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F987" w14:textId="77777777" w:rsidR="00C46168" w:rsidRPr="0017295B" w:rsidRDefault="00D47D46" w:rsidP="00275892">
      <w:pPr>
        <w:spacing w:after="0" w:line="480" w:lineRule="auto"/>
        <w:jc w:val="right"/>
        <w:rPr>
          <w:rFonts w:cs="Arial"/>
          <w:b/>
        </w:rPr>
      </w:pPr>
      <w:r w:rsidRPr="0017295B">
        <w:rPr>
          <w:noProof/>
        </w:rPr>
        <w:drawing>
          <wp:anchor distT="0" distB="0" distL="114300" distR="114300" simplePos="0" relativeHeight="251657728" behindDoc="0" locked="0" layoutInCell="1" allowOverlap="1" wp14:anchorId="733927B6" wp14:editId="72B56973">
            <wp:simplePos x="0" y="0"/>
            <wp:positionH relativeFrom="margin">
              <wp:posOffset>2175510</wp:posOffset>
            </wp:positionH>
            <wp:positionV relativeFrom="margin">
              <wp:posOffset>-386715</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D7AE5" w14:textId="77777777" w:rsidR="00C46168" w:rsidRPr="0017295B" w:rsidRDefault="00C46168" w:rsidP="00275892">
      <w:pPr>
        <w:spacing w:after="0" w:line="480" w:lineRule="auto"/>
        <w:jc w:val="right"/>
        <w:rPr>
          <w:rFonts w:cs="Arial"/>
          <w:b/>
        </w:rPr>
      </w:pPr>
    </w:p>
    <w:p w14:paraId="45008EA3" w14:textId="77777777" w:rsidR="00C46168" w:rsidRPr="0017295B" w:rsidRDefault="00C46168" w:rsidP="00275892">
      <w:pPr>
        <w:spacing w:after="0" w:line="480" w:lineRule="auto"/>
        <w:jc w:val="right"/>
        <w:rPr>
          <w:rFonts w:cs="Arial"/>
          <w:b/>
        </w:rPr>
      </w:pPr>
    </w:p>
    <w:p w14:paraId="416CEF30" w14:textId="77777777" w:rsidR="00C46168" w:rsidRPr="0017295B" w:rsidRDefault="00C46168" w:rsidP="00275892">
      <w:pPr>
        <w:spacing w:after="0" w:line="480" w:lineRule="auto"/>
        <w:jc w:val="right"/>
        <w:rPr>
          <w:rFonts w:cs="Arial"/>
          <w:b/>
        </w:rPr>
      </w:pPr>
    </w:p>
    <w:p w14:paraId="0B20D477" w14:textId="77777777" w:rsidR="00FF4712" w:rsidRPr="0010407D" w:rsidRDefault="00FF4712" w:rsidP="00FF4712">
      <w:pPr>
        <w:spacing w:after="0" w:line="480" w:lineRule="auto"/>
        <w:jc w:val="right"/>
        <w:rPr>
          <w:rFonts w:ascii="Arial" w:hAnsi="Arial" w:cs="Arial"/>
          <w:b/>
          <w:sz w:val="24"/>
          <w:szCs w:val="24"/>
        </w:rPr>
      </w:pPr>
      <w:r w:rsidRPr="0010407D">
        <w:rPr>
          <w:rFonts w:ascii="Arial" w:hAnsi="Arial" w:cs="Arial"/>
          <w:b/>
          <w:sz w:val="24"/>
          <w:szCs w:val="24"/>
        </w:rPr>
        <w:t>REPORTABLE</w:t>
      </w:r>
    </w:p>
    <w:p w14:paraId="05838C69" w14:textId="77777777"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 xml:space="preserve">CASE NO.: SA </w:t>
      </w:r>
      <w:r w:rsidR="00353A17">
        <w:rPr>
          <w:rFonts w:ascii="Arial" w:hAnsi="Arial" w:cs="Arial"/>
          <w:sz w:val="24"/>
          <w:szCs w:val="24"/>
        </w:rPr>
        <w:t>1</w:t>
      </w:r>
      <w:r w:rsidR="006A1E3D">
        <w:rPr>
          <w:rFonts w:ascii="Arial" w:hAnsi="Arial" w:cs="Arial"/>
          <w:sz w:val="24"/>
          <w:szCs w:val="24"/>
        </w:rPr>
        <w:t>6</w:t>
      </w:r>
      <w:r>
        <w:rPr>
          <w:rFonts w:ascii="Arial" w:hAnsi="Arial" w:cs="Arial"/>
          <w:sz w:val="24"/>
          <w:szCs w:val="24"/>
        </w:rPr>
        <w:t>/20</w:t>
      </w:r>
      <w:r w:rsidR="00353A17">
        <w:rPr>
          <w:rFonts w:ascii="Arial" w:hAnsi="Arial" w:cs="Arial"/>
          <w:sz w:val="24"/>
          <w:szCs w:val="24"/>
        </w:rPr>
        <w:t>2</w:t>
      </w:r>
      <w:r w:rsidR="00301690">
        <w:rPr>
          <w:rFonts w:ascii="Arial" w:hAnsi="Arial" w:cs="Arial"/>
          <w:sz w:val="24"/>
          <w:szCs w:val="24"/>
        </w:rPr>
        <w:t>1</w:t>
      </w:r>
    </w:p>
    <w:p w14:paraId="22AE4DF2" w14:textId="77777777" w:rsidR="00FF4712" w:rsidRPr="004C1A1C" w:rsidRDefault="00FF4712" w:rsidP="005F3B48">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14:paraId="13F1006D" w14:textId="77777777" w:rsidR="005D68F4" w:rsidRDefault="005D68F4" w:rsidP="005F3B48">
      <w:pPr>
        <w:spacing w:after="0" w:line="480" w:lineRule="auto"/>
        <w:jc w:val="both"/>
        <w:rPr>
          <w:rFonts w:ascii="Arial" w:hAnsi="Arial" w:cs="Arial"/>
          <w:sz w:val="24"/>
          <w:szCs w:val="24"/>
        </w:rPr>
      </w:pPr>
    </w:p>
    <w:p w14:paraId="1FAA2254" w14:textId="77777777" w:rsidR="00FF4712" w:rsidRDefault="00FF4712" w:rsidP="005F3B48">
      <w:pPr>
        <w:spacing w:after="0" w:line="480" w:lineRule="auto"/>
        <w:jc w:val="both"/>
        <w:rPr>
          <w:rFonts w:ascii="Arial" w:hAnsi="Arial" w:cs="Arial"/>
          <w:sz w:val="24"/>
          <w:szCs w:val="24"/>
        </w:rPr>
      </w:pPr>
      <w:r>
        <w:rPr>
          <w:rFonts w:ascii="Arial" w:hAnsi="Arial" w:cs="Arial"/>
          <w:sz w:val="24"/>
          <w:szCs w:val="24"/>
        </w:rPr>
        <w:t>In the matter between:</w:t>
      </w:r>
    </w:p>
    <w:p w14:paraId="5CF3A3FD" w14:textId="77777777" w:rsidR="006C6D3F" w:rsidRDefault="006C6D3F" w:rsidP="005F3B48">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6087"/>
        <w:gridCol w:w="3034"/>
      </w:tblGrid>
      <w:tr w:rsidR="00FF4712" w:rsidRPr="00500CF6" w14:paraId="4BFD6628" w14:textId="77777777" w:rsidTr="00BD7C87">
        <w:tc>
          <w:tcPr>
            <w:tcW w:w="6087" w:type="dxa"/>
            <w:shd w:val="clear" w:color="auto" w:fill="auto"/>
          </w:tcPr>
          <w:p w14:paraId="09E718F3" w14:textId="77777777" w:rsidR="00FF4712" w:rsidRDefault="006A1E3D" w:rsidP="005F3B48">
            <w:pPr>
              <w:spacing w:line="480" w:lineRule="auto"/>
              <w:ind w:hanging="108"/>
              <w:jc w:val="both"/>
              <w:rPr>
                <w:rFonts w:ascii="Arial" w:hAnsi="Arial" w:cs="Arial"/>
                <w:b/>
                <w:sz w:val="24"/>
                <w:szCs w:val="24"/>
              </w:rPr>
            </w:pPr>
            <w:r>
              <w:rPr>
                <w:rFonts w:ascii="Arial" w:hAnsi="Arial" w:cs="Arial"/>
                <w:b/>
                <w:sz w:val="24"/>
                <w:szCs w:val="24"/>
              </w:rPr>
              <w:t>GOVERNMENT OF THE REPUBLIC OF NAMIBIA</w:t>
            </w:r>
          </w:p>
          <w:p w14:paraId="01B4D54F" w14:textId="77777777" w:rsidR="006A1E3D" w:rsidRPr="00500CF6" w:rsidRDefault="006A1E3D" w:rsidP="005F3B48">
            <w:pPr>
              <w:spacing w:line="480" w:lineRule="auto"/>
              <w:ind w:hanging="108"/>
              <w:jc w:val="both"/>
              <w:rPr>
                <w:rFonts w:ascii="Arial" w:hAnsi="Arial" w:cs="Arial"/>
                <w:b/>
                <w:sz w:val="24"/>
                <w:szCs w:val="24"/>
              </w:rPr>
            </w:pPr>
            <w:r>
              <w:rPr>
                <w:rFonts w:ascii="Arial" w:hAnsi="Arial" w:cs="Arial"/>
                <w:b/>
                <w:sz w:val="24"/>
                <w:szCs w:val="24"/>
              </w:rPr>
              <w:t>PRESIDENT OF THE REPUBLIC OF NAMIBIA</w:t>
            </w:r>
          </w:p>
        </w:tc>
        <w:tc>
          <w:tcPr>
            <w:tcW w:w="3034" w:type="dxa"/>
            <w:shd w:val="clear" w:color="auto" w:fill="auto"/>
          </w:tcPr>
          <w:p w14:paraId="1167DF90" w14:textId="77777777" w:rsidR="00FF4712" w:rsidRDefault="006A1E3D" w:rsidP="005F3B48">
            <w:pPr>
              <w:spacing w:line="480" w:lineRule="auto"/>
              <w:ind w:left="-108"/>
              <w:jc w:val="right"/>
              <w:rPr>
                <w:rFonts w:ascii="Arial" w:hAnsi="Arial" w:cs="Arial"/>
                <w:b/>
                <w:sz w:val="24"/>
                <w:szCs w:val="24"/>
              </w:rPr>
            </w:pPr>
            <w:r>
              <w:rPr>
                <w:rFonts w:ascii="Arial" w:hAnsi="Arial" w:cs="Arial"/>
                <w:b/>
                <w:sz w:val="24"/>
                <w:szCs w:val="24"/>
              </w:rPr>
              <w:t xml:space="preserve">First </w:t>
            </w:r>
            <w:r w:rsidR="00345847" w:rsidRPr="00500CF6">
              <w:rPr>
                <w:rFonts w:ascii="Arial" w:hAnsi="Arial" w:cs="Arial"/>
                <w:b/>
                <w:sz w:val="24"/>
                <w:szCs w:val="24"/>
              </w:rPr>
              <w:t>Appellant</w:t>
            </w:r>
          </w:p>
          <w:p w14:paraId="58F86311" w14:textId="77777777" w:rsidR="006A1E3D" w:rsidRPr="00500CF6" w:rsidRDefault="006A1E3D" w:rsidP="005F3B48">
            <w:pPr>
              <w:spacing w:line="480" w:lineRule="auto"/>
              <w:ind w:left="-108"/>
              <w:jc w:val="right"/>
              <w:rPr>
                <w:rFonts w:ascii="Arial" w:hAnsi="Arial" w:cs="Arial"/>
                <w:b/>
                <w:sz w:val="24"/>
                <w:szCs w:val="24"/>
              </w:rPr>
            </w:pPr>
            <w:r>
              <w:rPr>
                <w:rFonts w:ascii="Arial" w:hAnsi="Arial" w:cs="Arial"/>
                <w:b/>
                <w:sz w:val="24"/>
                <w:szCs w:val="24"/>
              </w:rPr>
              <w:t>Second Appellant</w:t>
            </w:r>
          </w:p>
        </w:tc>
      </w:tr>
      <w:tr w:rsidR="00FF4712" w:rsidRPr="00500CF6" w14:paraId="2F75656B" w14:textId="77777777" w:rsidTr="00BD7C87">
        <w:tc>
          <w:tcPr>
            <w:tcW w:w="6087" w:type="dxa"/>
            <w:shd w:val="clear" w:color="auto" w:fill="auto"/>
          </w:tcPr>
          <w:p w14:paraId="5344E459" w14:textId="77777777" w:rsidR="00FF4712" w:rsidRPr="00500CF6" w:rsidRDefault="00446464" w:rsidP="005F3B48">
            <w:pPr>
              <w:spacing w:line="480" w:lineRule="auto"/>
              <w:ind w:left="-108"/>
              <w:jc w:val="both"/>
              <w:rPr>
                <w:rFonts w:ascii="Arial" w:hAnsi="Arial" w:cs="Arial"/>
                <w:sz w:val="24"/>
                <w:szCs w:val="24"/>
              </w:rPr>
            </w:pPr>
            <w:r>
              <w:rPr>
                <w:rFonts w:ascii="Arial" w:hAnsi="Arial" w:cs="Arial"/>
                <w:sz w:val="24"/>
                <w:szCs w:val="24"/>
              </w:rPr>
              <w:t>a</w:t>
            </w:r>
            <w:r w:rsidR="00FF4712" w:rsidRPr="00500CF6">
              <w:rPr>
                <w:rFonts w:ascii="Arial" w:hAnsi="Arial" w:cs="Arial"/>
                <w:sz w:val="24"/>
                <w:szCs w:val="24"/>
              </w:rPr>
              <w:t>nd</w:t>
            </w:r>
          </w:p>
        </w:tc>
        <w:tc>
          <w:tcPr>
            <w:tcW w:w="3034" w:type="dxa"/>
            <w:shd w:val="clear" w:color="auto" w:fill="auto"/>
          </w:tcPr>
          <w:p w14:paraId="14F8FFAE" w14:textId="77777777" w:rsidR="00FF4712" w:rsidRPr="00500CF6" w:rsidRDefault="00FF4712" w:rsidP="005F3B48">
            <w:pPr>
              <w:spacing w:line="480" w:lineRule="auto"/>
              <w:jc w:val="right"/>
              <w:rPr>
                <w:rFonts w:ascii="Arial" w:hAnsi="Arial" w:cs="Arial"/>
                <w:b/>
                <w:sz w:val="24"/>
                <w:szCs w:val="24"/>
              </w:rPr>
            </w:pPr>
          </w:p>
        </w:tc>
      </w:tr>
      <w:tr w:rsidR="00FF4712" w:rsidRPr="00BD7C87" w14:paraId="1E1BF07B" w14:textId="77777777" w:rsidTr="00BD7C87">
        <w:tc>
          <w:tcPr>
            <w:tcW w:w="6087" w:type="dxa"/>
            <w:shd w:val="clear" w:color="auto" w:fill="auto"/>
          </w:tcPr>
          <w:p w14:paraId="45C07DFB" w14:textId="77777777" w:rsidR="00FF4712" w:rsidRPr="00500CF6" w:rsidRDefault="006A1E3D" w:rsidP="005F3B48">
            <w:pPr>
              <w:spacing w:line="480" w:lineRule="auto"/>
              <w:ind w:hanging="108"/>
              <w:jc w:val="both"/>
              <w:rPr>
                <w:rFonts w:ascii="Arial" w:hAnsi="Arial" w:cs="Arial"/>
                <w:b/>
                <w:sz w:val="24"/>
                <w:szCs w:val="24"/>
              </w:rPr>
            </w:pPr>
            <w:r>
              <w:rPr>
                <w:rFonts w:ascii="Arial" w:hAnsi="Arial" w:cs="Arial"/>
                <w:b/>
                <w:sz w:val="24"/>
                <w:szCs w:val="24"/>
              </w:rPr>
              <w:t>AFFIRMATIVE REPOSITIONING MOVEMENT</w:t>
            </w:r>
          </w:p>
        </w:tc>
        <w:tc>
          <w:tcPr>
            <w:tcW w:w="3034" w:type="dxa"/>
            <w:shd w:val="clear" w:color="auto" w:fill="auto"/>
          </w:tcPr>
          <w:p w14:paraId="04ADE44C" w14:textId="77777777" w:rsidR="00FF4712" w:rsidRPr="00500CF6" w:rsidRDefault="006C6D3F" w:rsidP="005F3B48">
            <w:pPr>
              <w:spacing w:line="480" w:lineRule="auto"/>
              <w:jc w:val="right"/>
              <w:rPr>
                <w:rFonts w:ascii="Arial" w:hAnsi="Arial" w:cs="Arial"/>
                <w:b/>
                <w:sz w:val="24"/>
                <w:szCs w:val="24"/>
              </w:rPr>
            </w:pPr>
            <w:r>
              <w:rPr>
                <w:rFonts w:ascii="Arial" w:hAnsi="Arial" w:cs="Arial"/>
                <w:b/>
                <w:sz w:val="24"/>
                <w:szCs w:val="24"/>
              </w:rPr>
              <w:t xml:space="preserve"> </w:t>
            </w:r>
            <w:r w:rsidR="00345847" w:rsidRPr="00500CF6">
              <w:rPr>
                <w:rFonts w:ascii="Arial" w:hAnsi="Arial" w:cs="Arial"/>
                <w:b/>
                <w:sz w:val="24"/>
                <w:szCs w:val="24"/>
              </w:rPr>
              <w:t>Respondent</w:t>
            </w:r>
          </w:p>
        </w:tc>
      </w:tr>
    </w:tbl>
    <w:p w14:paraId="30E5735B" w14:textId="77777777" w:rsidR="00BD7C87" w:rsidRDefault="00BD7C87" w:rsidP="005F3B48">
      <w:pPr>
        <w:spacing w:after="0" w:line="240" w:lineRule="auto"/>
        <w:jc w:val="both"/>
        <w:rPr>
          <w:rFonts w:ascii="Arial" w:hAnsi="Arial" w:cs="Arial"/>
          <w:b/>
          <w:sz w:val="24"/>
          <w:szCs w:val="24"/>
        </w:rPr>
      </w:pPr>
    </w:p>
    <w:p w14:paraId="6D872746" w14:textId="77777777" w:rsidR="00FF4712" w:rsidRDefault="00FF4712" w:rsidP="005F3B48">
      <w:pPr>
        <w:spacing w:after="0" w:line="480" w:lineRule="auto"/>
        <w:jc w:val="both"/>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861369">
        <w:rPr>
          <w:rFonts w:ascii="Arial" w:hAnsi="Arial" w:cs="Arial"/>
          <w:sz w:val="24"/>
          <w:szCs w:val="24"/>
        </w:rPr>
        <w:t>MAINGA</w:t>
      </w:r>
      <w:r>
        <w:rPr>
          <w:rFonts w:ascii="Arial" w:hAnsi="Arial" w:cs="Arial"/>
          <w:sz w:val="24"/>
          <w:szCs w:val="24"/>
        </w:rPr>
        <w:t xml:space="preserve"> JA</w:t>
      </w:r>
      <w:r w:rsidR="006A1E3D">
        <w:rPr>
          <w:rFonts w:ascii="Arial" w:hAnsi="Arial" w:cs="Arial"/>
          <w:sz w:val="24"/>
          <w:szCs w:val="24"/>
        </w:rPr>
        <w:t>, FRANK AJA</w:t>
      </w:r>
      <w:r>
        <w:rPr>
          <w:rFonts w:ascii="Arial" w:hAnsi="Arial" w:cs="Arial"/>
          <w:sz w:val="24"/>
          <w:szCs w:val="24"/>
        </w:rPr>
        <w:t xml:space="preserve"> </w:t>
      </w:r>
      <w:r w:rsidR="00861369" w:rsidRPr="007D275A">
        <w:rPr>
          <w:rFonts w:ascii="Arial" w:hAnsi="Arial" w:cs="Arial"/>
          <w:sz w:val="24"/>
          <w:szCs w:val="24"/>
        </w:rPr>
        <w:t>and</w:t>
      </w:r>
      <w:r w:rsidR="00270C55">
        <w:rPr>
          <w:rFonts w:ascii="Arial" w:hAnsi="Arial" w:cs="Arial"/>
          <w:sz w:val="24"/>
          <w:szCs w:val="24"/>
        </w:rPr>
        <w:t xml:space="preserve"> </w:t>
      </w:r>
      <w:r w:rsidR="006A1E3D">
        <w:rPr>
          <w:rFonts w:ascii="Arial" w:hAnsi="Arial" w:cs="Arial"/>
          <w:sz w:val="24"/>
          <w:szCs w:val="24"/>
        </w:rPr>
        <w:t>UEITELE</w:t>
      </w:r>
      <w:r w:rsidR="00BD7C87">
        <w:rPr>
          <w:rFonts w:ascii="Arial" w:hAnsi="Arial" w:cs="Arial"/>
          <w:sz w:val="24"/>
          <w:szCs w:val="24"/>
        </w:rPr>
        <w:t xml:space="preserve"> </w:t>
      </w:r>
      <w:r w:rsidR="006A1E3D">
        <w:rPr>
          <w:rFonts w:ascii="Arial" w:hAnsi="Arial" w:cs="Arial"/>
          <w:sz w:val="24"/>
          <w:szCs w:val="24"/>
        </w:rPr>
        <w:t>A</w:t>
      </w:r>
      <w:r>
        <w:rPr>
          <w:rFonts w:ascii="Arial" w:hAnsi="Arial" w:cs="Arial"/>
          <w:sz w:val="24"/>
          <w:szCs w:val="24"/>
        </w:rPr>
        <w:t xml:space="preserve">JA </w:t>
      </w:r>
    </w:p>
    <w:p w14:paraId="74FA91A0" w14:textId="77777777" w:rsidR="00BB1B5D" w:rsidRDefault="00BB1B5D" w:rsidP="005F3B48">
      <w:pPr>
        <w:spacing w:after="0" w:line="480" w:lineRule="auto"/>
        <w:jc w:val="both"/>
        <w:rPr>
          <w:rFonts w:ascii="Arial" w:hAnsi="Arial" w:cs="Arial"/>
          <w:b/>
          <w:sz w:val="24"/>
          <w:szCs w:val="24"/>
        </w:rPr>
      </w:pPr>
    </w:p>
    <w:p w14:paraId="4BB1A83A" w14:textId="77777777" w:rsidR="00FF4712" w:rsidRPr="00594B41" w:rsidRDefault="00FF4712" w:rsidP="005F3B48">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353A17">
        <w:rPr>
          <w:rFonts w:ascii="Arial" w:hAnsi="Arial" w:cs="Arial"/>
          <w:b/>
          <w:sz w:val="24"/>
          <w:szCs w:val="24"/>
        </w:rPr>
        <w:t>2</w:t>
      </w:r>
      <w:r w:rsidR="00D75FDB">
        <w:rPr>
          <w:rFonts w:ascii="Arial" w:hAnsi="Arial" w:cs="Arial"/>
          <w:b/>
          <w:sz w:val="24"/>
          <w:szCs w:val="24"/>
        </w:rPr>
        <w:t>1</w:t>
      </w:r>
      <w:r w:rsidR="00270C55" w:rsidRPr="00594B41">
        <w:rPr>
          <w:rFonts w:ascii="Arial" w:hAnsi="Arial" w:cs="Arial"/>
          <w:b/>
          <w:sz w:val="24"/>
          <w:szCs w:val="24"/>
        </w:rPr>
        <w:t xml:space="preserve"> </w:t>
      </w:r>
      <w:r w:rsidR="006A1E3D">
        <w:rPr>
          <w:rFonts w:ascii="Arial" w:hAnsi="Arial" w:cs="Arial"/>
          <w:b/>
          <w:sz w:val="24"/>
          <w:szCs w:val="24"/>
        </w:rPr>
        <w:t>June</w:t>
      </w:r>
      <w:r w:rsidRPr="00594B41">
        <w:rPr>
          <w:rFonts w:ascii="Arial" w:hAnsi="Arial" w:cs="Arial"/>
          <w:b/>
          <w:sz w:val="24"/>
          <w:szCs w:val="24"/>
        </w:rPr>
        <w:t xml:space="preserve"> 20</w:t>
      </w:r>
      <w:r w:rsidR="00225E79">
        <w:rPr>
          <w:rFonts w:ascii="Arial" w:hAnsi="Arial" w:cs="Arial"/>
          <w:b/>
          <w:sz w:val="24"/>
          <w:szCs w:val="24"/>
        </w:rPr>
        <w:t>2</w:t>
      </w:r>
      <w:r w:rsidR="00BD7C87">
        <w:rPr>
          <w:rFonts w:ascii="Arial" w:hAnsi="Arial" w:cs="Arial"/>
          <w:b/>
          <w:sz w:val="24"/>
          <w:szCs w:val="24"/>
        </w:rPr>
        <w:t>3</w:t>
      </w:r>
    </w:p>
    <w:p w14:paraId="798F91B5" w14:textId="77777777" w:rsidR="00225E79" w:rsidRDefault="00FF4712" w:rsidP="005F3B48">
      <w:pPr>
        <w:spacing w:after="0" w:line="480" w:lineRule="auto"/>
        <w:jc w:val="both"/>
        <w:rPr>
          <w:rFonts w:ascii="Arial" w:hAnsi="Arial" w:cs="Arial"/>
          <w:b/>
          <w:sz w:val="24"/>
          <w:szCs w:val="24"/>
        </w:rPr>
      </w:pPr>
      <w:r w:rsidRPr="00594B41">
        <w:rPr>
          <w:rFonts w:ascii="Arial" w:hAnsi="Arial" w:cs="Arial"/>
          <w:b/>
          <w:sz w:val="24"/>
          <w:szCs w:val="24"/>
        </w:rPr>
        <w:t>Delivered:</w:t>
      </w:r>
      <w:r w:rsidR="00EB4727">
        <w:rPr>
          <w:rFonts w:ascii="Arial" w:hAnsi="Arial" w:cs="Arial"/>
          <w:b/>
          <w:sz w:val="24"/>
          <w:szCs w:val="24"/>
        </w:rPr>
        <w:tab/>
      </w:r>
      <w:r w:rsidR="003660A0">
        <w:rPr>
          <w:rFonts w:ascii="Arial" w:hAnsi="Arial" w:cs="Arial"/>
          <w:b/>
          <w:sz w:val="24"/>
          <w:szCs w:val="24"/>
        </w:rPr>
        <w:t>26</w:t>
      </w:r>
      <w:r w:rsidR="00DA0644">
        <w:rPr>
          <w:rFonts w:ascii="Arial" w:hAnsi="Arial" w:cs="Arial"/>
          <w:b/>
          <w:sz w:val="24"/>
          <w:szCs w:val="24"/>
        </w:rPr>
        <w:t xml:space="preserve"> Ju</w:t>
      </w:r>
      <w:r w:rsidR="006A1E3D">
        <w:rPr>
          <w:rFonts w:ascii="Arial" w:hAnsi="Arial" w:cs="Arial"/>
          <w:b/>
          <w:sz w:val="24"/>
          <w:szCs w:val="24"/>
        </w:rPr>
        <w:t>ly</w:t>
      </w:r>
      <w:r w:rsidR="00DA0644">
        <w:rPr>
          <w:rFonts w:ascii="Arial" w:hAnsi="Arial" w:cs="Arial"/>
          <w:b/>
          <w:sz w:val="24"/>
          <w:szCs w:val="24"/>
        </w:rPr>
        <w:t xml:space="preserve"> </w:t>
      </w:r>
      <w:r w:rsidR="00EB4727">
        <w:rPr>
          <w:rFonts w:ascii="Arial" w:hAnsi="Arial" w:cs="Arial"/>
          <w:b/>
          <w:sz w:val="24"/>
          <w:szCs w:val="24"/>
        </w:rPr>
        <w:t>202</w:t>
      </w:r>
      <w:r w:rsidR="00BD7C87">
        <w:rPr>
          <w:rFonts w:ascii="Arial" w:hAnsi="Arial" w:cs="Arial"/>
          <w:b/>
          <w:sz w:val="24"/>
          <w:szCs w:val="24"/>
        </w:rPr>
        <w:t>3</w:t>
      </w:r>
    </w:p>
    <w:p w14:paraId="13D5C863" w14:textId="77777777" w:rsidR="005F3B48" w:rsidRDefault="005F3B48" w:rsidP="005F3B48">
      <w:pPr>
        <w:spacing w:after="0" w:line="480" w:lineRule="auto"/>
        <w:jc w:val="both"/>
        <w:rPr>
          <w:rFonts w:ascii="Arial" w:hAnsi="Arial" w:cs="Arial"/>
          <w:b/>
          <w:sz w:val="24"/>
          <w:szCs w:val="24"/>
        </w:rPr>
      </w:pPr>
    </w:p>
    <w:p w14:paraId="0B754CB8" w14:textId="77777777" w:rsidR="003E1123" w:rsidRDefault="00225E79" w:rsidP="006A1E3D">
      <w:pPr>
        <w:spacing w:after="0" w:line="360" w:lineRule="auto"/>
        <w:jc w:val="both"/>
        <w:rPr>
          <w:rFonts w:ascii="Arial" w:hAnsi="Arial" w:cs="Arial"/>
          <w:sz w:val="24"/>
          <w:szCs w:val="24"/>
        </w:rPr>
      </w:pPr>
      <w:r>
        <w:rPr>
          <w:rFonts w:ascii="Arial" w:hAnsi="Arial" w:cs="Arial"/>
          <w:b/>
          <w:sz w:val="24"/>
          <w:szCs w:val="24"/>
        </w:rPr>
        <w:t>Summary:</w:t>
      </w:r>
      <w:r w:rsidR="00C46168">
        <w:rPr>
          <w:rFonts w:ascii="Arial" w:hAnsi="Arial" w:cs="Arial"/>
          <w:b/>
          <w:sz w:val="24"/>
          <w:szCs w:val="24"/>
        </w:rPr>
        <w:t xml:space="preserve"> </w:t>
      </w:r>
      <w:r w:rsidR="003E1123">
        <w:rPr>
          <w:rFonts w:ascii="Arial" w:hAnsi="Arial" w:cs="Arial"/>
          <w:b/>
          <w:sz w:val="24"/>
          <w:szCs w:val="24"/>
        </w:rPr>
        <w:tab/>
      </w:r>
      <w:r w:rsidR="00B403F8" w:rsidRPr="00B403F8">
        <w:rPr>
          <w:rFonts w:ascii="Arial" w:hAnsi="Arial" w:cs="Arial"/>
          <w:sz w:val="24"/>
          <w:szCs w:val="24"/>
        </w:rPr>
        <w:t>This is an appeal</w:t>
      </w:r>
      <w:r w:rsidR="00B403F8">
        <w:rPr>
          <w:rFonts w:ascii="Arial" w:hAnsi="Arial" w:cs="Arial"/>
          <w:sz w:val="24"/>
          <w:szCs w:val="24"/>
        </w:rPr>
        <w:t xml:space="preserve"> against a judgment of the High Court (Main Division) dismissing an exception to the respondent’s (plaintiff </w:t>
      </w:r>
      <w:r w:rsidR="00B403F8" w:rsidRPr="0080488D">
        <w:rPr>
          <w:rFonts w:ascii="Arial" w:hAnsi="Arial" w:cs="Arial"/>
          <w:i/>
          <w:sz w:val="24"/>
          <w:szCs w:val="24"/>
        </w:rPr>
        <w:t>a quo</w:t>
      </w:r>
      <w:r w:rsidR="00B403F8">
        <w:rPr>
          <w:rFonts w:ascii="Arial" w:hAnsi="Arial" w:cs="Arial"/>
          <w:sz w:val="24"/>
          <w:szCs w:val="24"/>
        </w:rPr>
        <w:t xml:space="preserve">) particulars of claim. In its action in the court </w:t>
      </w:r>
      <w:r w:rsidR="00B403F8" w:rsidRPr="0080488D">
        <w:rPr>
          <w:rFonts w:ascii="Arial" w:hAnsi="Arial" w:cs="Arial"/>
          <w:i/>
          <w:sz w:val="24"/>
          <w:szCs w:val="24"/>
        </w:rPr>
        <w:t>a quo</w:t>
      </w:r>
      <w:r w:rsidR="00B403F8">
        <w:rPr>
          <w:rFonts w:ascii="Arial" w:hAnsi="Arial" w:cs="Arial"/>
          <w:sz w:val="24"/>
          <w:szCs w:val="24"/>
        </w:rPr>
        <w:t xml:space="preserve">, the respondent sought an order directing the first appellant </w:t>
      </w:r>
      <w:r w:rsidR="00B403F8">
        <w:rPr>
          <w:rFonts w:ascii="Arial" w:hAnsi="Arial" w:cs="Arial"/>
          <w:sz w:val="24"/>
          <w:szCs w:val="24"/>
        </w:rPr>
        <w:lastRenderedPageBreak/>
        <w:t xml:space="preserve">(first defendant </w:t>
      </w:r>
      <w:r w:rsidR="00B403F8" w:rsidRPr="0080488D">
        <w:rPr>
          <w:rFonts w:ascii="Arial" w:hAnsi="Arial" w:cs="Arial"/>
          <w:i/>
          <w:sz w:val="24"/>
          <w:szCs w:val="24"/>
        </w:rPr>
        <w:t>a quo</w:t>
      </w:r>
      <w:r w:rsidR="00B403F8">
        <w:rPr>
          <w:rFonts w:ascii="Arial" w:hAnsi="Arial" w:cs="Arial"/>
          <w:sz w:val="24"/>
          <w:szCs w:val="24"/>
        </w:rPr>
        <w:t>) to service 200 000 plot</w:t>
      </w:r>
      <w:r w:rsidR="00557F2E">
        <w:rPr>
          <w:rFonts w:ascii="Arial" w:hAnsi="Arial" w:cs="Arial"/>
          <w:sz w:val="24"/>
          <w:szCs w:val="24"/>
        </w:rPr>
        <w:t>s</w:t>
      </w:r>
      <w:r w:rsidR="00B403F8">
        <w:rPr>
          <w:rFonts w:ascii="Arial" w:hAnsi="Arial" w:cs="Arial"/>
          <w:sz w:val="24"/>
          <w:szCs w:val="24"/>
        </w:rPr>
        <w:t xml:space="preserve"> within a period of two years, in the alternative an order directing the first appellant to, within a period of two years, service 200 000 plots less the plots that the first appellant may have serviced since 24 July 2015. </w:t>
      </w:r>
    </w:p>
    <w:p w14:paraId="2E0CDEA6" w14:textId="77777777" w:rsidR="00B403F8" w:rsidRDefault="00B403F8" w:rsidP="006A1E3D">
      <w:pPr>
        <w:spacing w:after="0" w:line="360" w:lineRule="auto"/>
        <w:jc w:val="both"/>
        <w:rPr>
          <w:rFonts w:ascii="Arial" w:hAnsi="Arial" w:cs="Arial"/>
          <w:sz w:val="24"/>
          <w:szCs w:val="24"/>
        </w:rPr>
      </w:pPr>
    </w:p>
    <w:p w14:paraId="3EC65BCC" w14:textId="77777777" w:rsidR="003C62E4" w:rsidRDefault="002C227E" w:rsidP="006A1E3D">
      <w:pPr>
        <w:spacing w:after="0" w:line="360" w:lineRule="auto"/>
        <w:jc w:val="both"/>
        <w:rPr>
          <w:rFonts w:ascii="Arial" w:hAnsi="Arial" w:cs="Arial"/>
          <w:sz w:val="24"/>
          <w:szCs w:val="24"/>
        </w:rPr>
      </w:pPr>
      <w:r>
        <w:rPr>
          <w:rFonts w:ascii="Arial" w:hAnsi="Arial" w:cs="Arial"/>
          <w:sz w:val="24"/>
          <w:szCs w:val="24"/>
        </w:rPr>
        <w:t xml:space="preserve">For its claim before the court </w:t>
      </w:r>
      <w:r w:rsidRPr="0080488D">
        <w:rPr>
          <w:rFonts w:ascii="Arial" w:hAnsi="Arial" w:cs="Arial"/>
          <w:i/>
          <w:sz w:val="24"/>
          <w:szCs w:val="24"/>
        </w:rPr>
        <w:t>a quo</w:t>
      </w:r>
      <w:r>
        <w:rPr>
          <w:rFonts w:ascii="Arial" w:hAnsi="Arial" w:cs="Arial"/>
          <w:sz w:val="24"/>
          <w:szCs w:val="24"/>
        </w:rPr>
        <w:t xml:space="preserve">, the respondent relied on a partly oral and a partly written agreement concluded between itself, represented by </w:t>
      </w:r>
      <w:proofErr w:type="spellStart"/>
      <w:r>
        <w:rPr>
          <w:rFonts w:ascii="Arial" w:hAnsi="Arial" w:cs="Arial"/>
          <w:sz w:val="24"/>
          <w:szCs w:val="24"/>
        </w:rPr>
        <w:t>Mr</w:t>
      </w:r>
      <w:proofErr w:type="spellEnd"/>
      <w:r>
        <w:rPr>
          <w:rFonts w:ascii="Arial" w:hAnsi="Arial" w:cs="Arial"/>
          <w:sz w:val="24"/>
          <w:szCs w:val="24"/>
        </w:rPr>
        <w:t xml:space="preserve"> Job </w:t>
      </w:r>
      <w:proofErr w:type="spellStart"/>
      <w:r>
        <w:rPr>
          <w:rFonts w:ascii="Arial" w:hAnsi="Arial" w:cs="Arial"/>
          <w:sz w:val="24"/>
          <w:szCs w:val="24"/>
        </w:rPr>
        <w:t>Shipululo</w:t>
      </w:r>
      <w:proofErr w:type="spellEnd"/>
      <w:r>
        <w:rPr>
          <w:rFonts w:ascii="Arial" w:hAnsi="Arial" w:cs="Arial"/>
          <w:sz w:val="24"/>
          <w:szCs w:val="24"/>
        </w:rPr>
        <w:t xml:space="preserve"> </w:t>
      </w:r>
      <w:proofErr w:type="spellStart"/>
      <w:r>
        <w:rPr>
          <w:rFonts w:ascii="Arial" w:hAnsi="Arial" w:cs="Arial"/>
          <w:sz w:val="24"/>
          <w:szCs w:val="24"/>
        </w:rPr>
        <w:t>Amupanda</w:t>
      </w:r>
      <w:proofErr w:type="spellEnd"/>
      <w:r>
        <w:rPr>
          <w:rFonts w:ascii="Arial" w:hAnsi="Arial" w:cs="Arial"/>
          <w:sz w:val="24"/>
          <w:szCs w:val="24"/>
        </w:rPr>
        <w:t xml:space="preserve"> and the first </w:t>
      </w:r>
      <w:r w:rsidR="003D27AA">
        <w:rPr>
          <w:rFonts w:ascii="Arial" w:hAnsi="Arial" w:cs="Arial"/>
          <w:sz w:val="24"/>
          <w:szCs w:val="24"/>
        </w:rPr>
        <w:t>appellant</w:t>
      </w:r>
      <w:r>
        <w:rPr>
          <w:rFonts w:ascii="Arial" w:hAnsi="Arial" w:cs="Arial"/>
          <w:sz w:val="24"/>
          <w:szCs w:val="24"/>
        </w:rPr>
        <w:t xml:space="preserve"> represented by H.E</w:t>
      </w:r>
      <w:r w:rsidR="005F3B48">
        <w:rPr>
          <w:rFonts w:ascii="Arial" w:hAnsi="Arial" w:cs="Arial"/>
          <w:sz w:val="24"/>
          <w:szCs w:val="24"/>
        </w:rPr>
        <w:t>.</w:t>
      </w:r>
      <w:r>
        <w:rPr>
          <w:rFonts w:ascii="Arial" w:hAnsi="Arial" w:cs="Arial"/>
          <w:sz w:val="24"/>
          <w:szCs w:val="24"/>
        </w:rPr>
        <w:t xml:space="preserve"> President </w:t>
      </w:r>
      <w:proofErr w:type="spellStart"/>
      <w:r>
        <w:rPr>
          <w:rFonts w:ascii="Arial" w:hAnsi="Arial" w:cs="Arial"/>
          <w:sz w:val="24"/>
          <w:szCs w:val="24"/>
        </w:rPr>
        <w:t>Hage</w:t>
      </w:r>
      <w:proofErr w:type="spellEnd"/>
      <w:r>
        <w:rPr>
          <w:rFonts w:ascii="Arial" w:hAnsi="Arial" w:cs="Arial"/>
          <w:sz w:val="24"/>
          <w:szCs w:val="24"/>
        </w:rPr>
        <w:t xml:space="preserve"> Geingob. The partly written agreement was marked as ‘Annexure “JSA1”’ and attached to the particulars of claim. </w:t>
      </w:r>
      <w:r w:rsidR="003C62E4">
        <w:rPr>
          <w:rFonts w:ascii="Arial" w:hAnsi="Arial" w:cs="Arial"/>
          <w:sz w:val="24"/>
          <w:szCs w:val="24"/>
        </w:rPr>
        <w:t xml:space="preserve">In terms of the partly written agreement, it was resolved that in line with the War Declared on Poverty by the President during his inauguration and during the 2015 </w:t>
      </w:r>
      <w:r w:rsidR="005F3B48">
        <w:rPr>
          <w:rFonts w:ascii="Arial" w:hAnsi="Arial" w:cs="Arial"/>
          <w:sz w:val="24"/>
          <w:szCs w:val="24"/>
        </w:rPr>
        <w:t>S</w:t>
      </w:r>
      <w:r w:rsidR="003C62E4">
        <w:rPr>
          <w:rFonts w:ascii="Arial" w:hAnsi="Arial" w:cs="Arial"/>
          <w:sz w:val="24"/>
          <w:szCs w:val="24"/>
        </w:rPr>
        <w:t xml:space="preserve">tate of the </w:t>
      </w:r>
      <w:r w:rsidR="005F3B48">
        <w:rPr>
          <w:rFonts w:ascii="Arial" w:hAnsi="Arial" w:cs="Arial"/>
          <w:sz w:val="24"/>
          <w:szCs w:val="24"/>
        </w:rPr>
        <w:t>N</w:t>
      </w:r>
      <w:r w:rsidR="003C62E4">
        <w:rPr>
          <w:rFonts w:ascii="Arial" w:hAnsi="Arial" w:cs="Arial"/>
          <w:sz w:val="24"/>
          <w:szCs w:val="24"/>
        </w:rPr>
        <w:t xml:space="preserve">ation </w:t>
      </w:r>
      <w:r w:rsidR="005F3B48">
        <w:rPr>
          <w:rFonts w:ascii="Arial" w:hAnsi="Arial" w:cs="Arial"/>
          <w:sz w:val="24"/>
          <w:szCs w:val="24"/>
        </w:rPr>
        <w:t>A</w:t>
      </w:r>
      <w:r w:rsidR="003C62E4">
        <w:rPr>
          <w:rFonts w:ascii="Arial" w:hAnsi="Arial" w:cs="Arial"/>
          <w:sz w:val="24"/>
          <w:szCs w:val="24"/>
        </w:rPr>
        <w:t xml:space="preserve">ddress, a nationwide project was earmarked towards servicing of urban land and land allocation. In that regard, it was resolved that first </w:t>
      </w:r>
      <w:r w:rsidR="005F3B48">
        <w:rPr>
          <w:rFonts w:ascii="Arial" w:hAnsi="Arial" w:cs="Arial"/>
          <w:sz w:val="24"/>
          <w:szCs w:val="24"/>
        </w:rPr>
        <w:t>appellant</w:t>
      </w:r>
      <w:r w:rsidR="003C62E4">
        <w:rPr>
          <w:rFonts w:ascii="Arial" w:hAnsi="Arial" w:cs="Arial"/>
          <w:sz w:val="24"/>
          <w:szCs w:val="24"/>
        </w:rPr>
        <w:t xml:space="preserve"> would immediately embark on a project to service 200 000 plots countrywide. Further</w:t>
      </w:r>
      <w:r w:rsidR="003D27AA">
        <w:rPr>
          <w:rFonts w:ascii="Arial" w:hAnsi="Arial" w:cs="Arial"/>
          <w:sz w:val="24"/>
          <w:szCs w:val="24"/>
        </w:rPr>
        <w:t>,</w:t>
      </w:r>
      <w:r w:rsidR="003C62E4">
        <w:rPr>
          <w:rFonts w:ascii="Arial" w:hAnsi="Arial" w:cs="Arial"/>
          <w:sz w:val="24"/>
          <w:szCs w:val="24"/>
        </w:rPr>
        <w:t xml:space="preserve"> that this </w:t>
      </w:r>
      <w:r w:rsidR="003D27AA">
        <w:rPr>
          <w:rFonts w:ascii="Arial" w:hAnsi="Arial" w:cs="Arial"/>
          <w:sz w:val="24"/>
          <w:szCs w:val="24"/>
        </w:rPr>
        <w:t>would</w:t>
      </w:r>
      <w:r w:rsidR="003C62E4">
        <w:rPr>
          <w:rFonts w:ascii="Arial" w:hAnsi="Arial" w:cs="Arial"/>
          <w:sz w:val="24"/>
          <w:szCs w:val="24"/>
        </w:rPr>
        <w:t xml:space="preserve"> start on a pilot project basis by servicing identified land in Windhoek, Walvis Bay and Oshakati. In return, the respondent would not continue with its intended radical </w:t>
      </w:r>
      <w:proofErr w:type="spellStart"/>
      <w:r w:rsidR="003C62E4">
        <w:rPr>
          <w:rFonts w:ascii="Arial" w:hAnsi="Arial" w:cs="Arial"/>
          <w:sz w:val="24"/>
          <w:szCs w:val="24"/>
        </w:rPr>
        <w:t>programme</w:t>
      </w:r>
      <w:proofErr w:type="spellEnd"/>
      <w:r w:rsidR="003C62E4">
        <w:rPr>
          <w:rFonts w:ascii="Arial" w:hAnsi="Arial" w:cs="Arial"/>
          <w:sz w:val="24"/>
          <w:szCs w:val="24"/>
        </w:rPr>
        <w:t xml:space="preserve"> of action to occupy land in urban areas. The respondent alleged compliance on its part and breach on the part of the first </w:t>
      </w:r>
      <w:r w:rsidR="003D27AA">
        <w:rPr>
          <w:rFonts w:ascii="Arial" w:hAnsi="Arial" w:cs="Arial"/>
          <w:sz w:val="24"/>
          <w:szCs w:val="24"/>
        </w:rPr>
        <w:t>appellant</w:t>
      </w:r>
      <w:r w:rsidR="003C62E4">
        <w:rPr>
          <w:rFonts w:ascii="Arial" w:hAnsi="Arial" w:cs="Arial"/>
          <w:sz w:val="24"/>
          <w:szCs w:val="24"/>
        </w:rPr>
        <w:t>. The terms of the alleged partly oral agreement</w:t>
      </w:r>
      <w:r w:rsidR="003D27AA">
        <w:rPr>
          <w:rFonts w:ascii="Arial" w:hAnsi="Arial" w:cs="Arial"/>
          <w:sz w:val="24"/>
          <w:szCs w:val="24"/>
        </w:rPr>
        <w:t xml:space="preserve"> feature nowhere in the particulars of claim</w:t>
      </w:r>
      <w:r w:rsidR="003C62E4">
        <w:rPr>
          <w:rFonts w:ascii="Arial" w:hAnsi="Arial" w:cs="Arial"/>
          <w:sz w:val="24"/>
          <w:szCs w:val="24"/>
        </w:rPr>
        <w:t>.</w:t>
      </w:r>
    </w:p>
    <w:p w14:paraId="5ABC849D" w14:textId="77777777" w:rsidR="003C62E4" w:rsidRDefault="003C62E4" w:rsidP="006A1E3D">
      <w:pPr>
        <w:spacing w:after="0" w:line="360" w:lineRule="auto"/>
        <w:jc w:val="both"/>
        <w:rPr>
          <w:rFonts w:ascii="Arial" w:hAnsi="Arial" w:cs="Arial"/>
          <w:sz w:val="24"/>
          <w:szCs w:val="24"/>
        </w:rPr>
      </w:pPr>
    </w:p>
    <w:p w14:paraId="0D385D45" w14:textId="77777777" w:rsidR="003C62E4" w:rsidRDefault="003C62E4" w:rsidP="006A1E3D">
      <w:pPr>
        <w:spacing w:after="0" w:line="360" w:lineRule="auto"/>
        <w:jc w:val="both"/>
        <w:rPr>
          <w:rFonts w:ascii="Arial" w:hAnsi="Arial" w:cs="Arial"/>
          <w:sz w:val="24"/>
          <w:szCs w:val="24"/>
        </w:rPr>
      </w:pPr>
      <w:r>
        <w:rPr>
          <w:rFonts w:ascii="Arial" w:hAnsi="Arial" w:cs="Arial"/>
          <w:sz w:val="24"/>
          <w:szCs w:val="24"/>
        </w:rPr>
        <w:t xml:space="preserve">The appellants excepted to the particulars of claim on the ground that </w:t>
      </w:r>
      <w:r w:rsidR="00190BAF">
        <w:rPr>
          <w:rFonts w:ascii="Arial" w:hAnsi="Arial" w:cs="Arial"/>
          <w:sz w:val="24"/>
          <w:szCs w:val="24"/>
        </w:rPr>
        <w:t xml:space="preserve">(a) the alleged agreement </w:t>
      </w:r>
      <w:r w:rsidR="003D27AA">
        <w:rPr>
          <w:rFonts w:ascii="Arial" w:hAnsi="Arial" w:cs="Arial"/>
          <w:sz w:val="24"/>
          <w:szCs w:val="24"/>
        </w:rPr>
        <w:t>was</w:t>
      </w:r>
      <w:r w:rsidR="00190BAF">
        <w:rPr>
          <w:rFonts w:ascii="Arial" w:hAnsi="Arial" w:cs="Arial"/>
          <w:sz w:val="24"/>
          <w:szCs w:val="24"/>
        </w:rPr>
        <w:t xml:space="preserve"> against public policy or the rule of law and </w:t>
      </w:r>
      <w:r w:rsidR="003D27AA">
        <w:rPr>
          <w:rFonts w:ascii="Arial" w:hAnsi="Arial" w:cs="Arial"/>
          <w:sz w:val="24"/>
          <w:szCs w:val="24"/>
        </w:rPr>
        <w:t>was</w:t>
      </w:r>
      <w:r w:rsidR="00190BAF">
        <w:rPr>
          <w:rFonts w:ascii="Arial" w:hAnsi="Arial" w:cs="Arial"/>
          <w:sz w:val="24"/>
          <w:szCs w:val="24"/>
        </w:rPr>
        <w:t xml:space="preserve"> thus unenforceable, (b) </w:t>
      </w:r>
      <w:r w:rsidR="00B36FDD">
        <w:rPr>
          <w:rFonts w:ascii="Arial" w:hAnsi="Arial" w:cs="Arial"/>
          <w:sz w:val="24"/>
          <w:szCs w:val="24"/>
        </w:rPr>
        <w:t xml:space="preserve">there </w:t>
      </w:r>
      <w:r w:rsidR="003D27AA">
        <w:rPr>
          <w:rFonts w:ascii="Arial" w:hAnsi="Arial" w:cs="Arial"/>
          <w:sz w:val="24"/>
          <w:szCs w:val="24"/>
        </w:rPr>
        <w:t>was</w:t>
      </w:r>
      <w:r w:rsidR="00B36FDD">
        <w:rPr>
          <w:rFonts w:ascii="Arial" w:hAnsi="Arial" w:cs="Arial"/>
          <w:sz w:val="24"/>
          <w:szCs w:val="24"/>
        </w:rPr>
        <w:t xml:space="preserve"> no enforceable agreement that </w:t>
      </w:r>
      <w:r w:rsidR="003D27AA">
        <w:rPr>
          <w:rFonts w:ascii="Arial" w:hAnsi="Arial" w:cs="Arial"/>
          <w:sz w:val="24"/>
          <w:szCs w:val="24"/>
        </w:rPr>
        <w:t>the</w:t>
      </w:r>
      <w:r w:rsidR="00B36FDD">
        <w:rPr>
          <w:rFonts w:ascii="Arial" w:hAnsi="Arial" w:cs="Arial"/>
          <w:sz w:val="24"/>
          <w:szCs w:val="24"/>
        </w:rPr>
        <w:t xml:space="preserve"> court </w:t>
      </w:r>
      <w:r w:rsidR="003D27AA">
        <w:rPr>
          <w:rFonts w:ascii="Arial" w:hAnsi="Arial" w:cs="Arial"/>
          <w:sz w:val="24"/>
          <w:szCs w:val="24"/>
        </w:rPr>
        <w:t>could</w:t>
      </w:r>
      <w:r w:rsidR="00B36FDD">
        <w:rPr>
          <w:rFonts w:ascii="Arial" w:hAnsi="Arial" w:cs="Arial"/>
          <w:sz w:val="24"/>
          <w:szCs w:val="24"/>
        </w:rPr>
        <w:t xml:space="preserve"> enforce, (c) that when the second appellant acted as he did, he did so in his capacity as ‘State President’ and therefore his actions </w:t>
      </w:r>
      <w:r w:rsidR="003D27AA">
        <w:rPr>
          <w:rFonts w:ascii="Arial" w:hAnsi="Arial" w:cs="Arial"/>
          <w:sz w:val="24"/>
          <w:szCs w:val="24"/>
        </w:rPr>
        <w:t>were</w:t>
      </w:r>
      <w:r w:rsidR="00B36FDD">
        <w:rPr>
          <w:rFonts w:ascii="Arial" w:hAnsi="Arial" w:cs="Arial"/>
          <w:sz w:val="24"/>
          <w:szCs w:val="24"/>
        </w:rPr>
        <w:t xml:space="preserve"> executive in nature and </w:t>
      </w:r>
      <w:r w:rsidR="003D27AA">
        <w:rPr>
          <w:rFonts w:ascii="Arial" w:hAnsi="Arial" w:cs="Arial"/>
          <w:sz w:val="24"/>
          <w:szCs w:val="24"/>
        </w:rPr>
        <w:t>were</w:t>
      </w:r>
      <w:r w:rsidR="00B36FDD">
        <w:rPr>
          <w:rFonts w:ascii="Arial" w:hAnsi="Arial" w:cs="Arial"/>
          <w:sz w:val="24"/>
          <w:szCs w:val="24"/>
        </w:rPr>
        <w:t xml:space="preserve"> not enforceable in a court of law and (d) the resolutions set out in paras 2-7 of “Annexure JSA1” </w:t>
      </w:r>
      <w:r w:rsidR="003D27AA">
        <w:rPr>
          <w:rFonts w:ascii="Arial" w:hAnsi="Arial" w:cs="Arial"/>
          <w:sz w:val="24"/>
          <w:szCs w:val="24"/>
        </w:rPr>
        <w:t>were</w:t>
      </w:r>
      <w:r w:rsidR="00B36FDD">
        <w:rPr>
          <w:rFonts w:ascii="Arial" w:hAnsi="Arial" w:cs="Arial"/>
          <w:sz w:val="24"/>
          <w:szCs w:val="24"/>
        </w:rPr>
        <w:t xml:space="preserve"> policy matters of the Government of the Republic of Namibia and </w:t>
      </w:r>
      <w:r w:rsidR="003D27AA">
        <w:rPr>
          <w:rFonts w:ascii="Arial" w:hAnsi="Arial" w:cs="Arial"/>
          <w:sz w:val="24"/>
          <w:szCs w:val="24"/>
        </w:rPr>
        <w:t>could not</w:t>
      </w:r>
      <w:r w:rsidR="00B36FDD">
        <w:rPr>
          <w:rFonts w:ascii="Arial" w:hAnsi="Arial" w:cs="Arial"/>
          <w:sz w:val="24"/>
          <w:szCs w:val="24"/>
        </w:rPr>
        <w:t xml:space="preserve"> be enforced as terms of an agreement by a court of law.</w:t>
      </w:r>
    </w:p>
    <w:p w14:paraId="465ED890" w14:textId="77777777" w:rsidR="003C62E4" w:rsidRDefault="003C62E4" w:rsidP="006A1E3D">
      <w:pPr>
        <w:spacing w:after="0" w:line="360" w:lineRule="auto"/>
        <w:jc w:val="both"/>
        <w:rPr>
          <w:rFonts w:ascii="Arial" w:hAnsi="Arial" w:cs="Arial"/>
          <w:sz w:val="24"/>
          <w:szCs w:val="24"/>
        </w:rPr>
      </w:pPr>
    </w:p>
    <w:p w14:paraId="3FA6E481" w14:textId="77777777" w:rsidR="003C62E4" w:rsidRDefault="00B36FDD" w:rsidP="006A1E3D">
      <w:pPr>
        <w:spacing w:after="0" w:line="360" w:lineRule="auto"/>
        <w:jc w:val="both"/>
        <w:rPr>
          <w:rFonts w:ascii="Arial" w:hAnsi="Arial" w:cs="Arial"/>
          <w:sz w:val="24"/>
          <w:szCs w:val="24"/>
        </w:rPr>
      </w:pPr>
      <w:r>
        <w:rPr>
          <w:rFonts w:ascii="Arial" w:hAnsi="Arial" w:cs="Arial"/>
          <w:sz w:val="24"/>
          <w:szCs w:val="24"/>
        </w:rPr>
        <w:lastRenderedPageBreak/>
        <w:t xml:space="preserve">The court </w:t>
      </w:r>
      <w:r w:rsidRPr="0080488D">
        <w:rPr>
          <w:rFonts w:ascii="Arial" w:hAnsi="Arial" w:cs="Arial"/>
          <w:i/>
          <w:sz w:val="24"/>
          <w:szCs w:val="24"/>
        </w:rPr>
        <w:t>a quo</w:t>
      </w:r>
      <w:r>
        <w:rPr>
          <w:rFonts w:ascii="Arial" w:hAnsi="Arial" w:cs="Arial"/>
          <w:sz w:val="24"/>
          <w:szCs w:val="24"/>
        </w:rPr>
        <w:t xml:space="preserve"> dismissed the exception and held that it </w:t>
      </w:r>
      <w:r w:rsidR="003D27AA">
        <w:rPr>
          <w:rFonts w:ascii="Arial" w:hAnsi="Arial" w:cs="Arial"/>
          <w:sz w:val="24"/>
          <w:szCs w:val="24"/>
        </w:rPr>
        <w:t>could not</w:t>
      </w:r>
      <w:r>
        <w:rPr>
          <w:rFonts w:ascii="Arial" w:hAnsi="Arial" w:cs="Arial"/>
          <w:sz w:val="24"/>
          <w:szCs w:val="24"/>
        </w:rPr>
        <w:t xml:space="preserve"> be said that the agreement created no binding and reciprocal enforceable obligations between the parties. </w:t>
      </w:r>
    </w:p>
    <w:p w14:paraId="0098FAB0" w14:textId="77777777" w:rsidR="00B36FDD" w:rsidRDefault="00B36FDD" w:rsidP="006A1E3D">
      <w:pPr>
        <w:spacing w:after="0" w:line="360" w:lineRule="auto"/>
        <w:jc w:val="both"/>
        <w:rPr>
          <w:rFonts w:ascii="Arial" w:hAnsi="Arial" w:cs="Arial"/>
          <w:sz w:val="24"/>
          <w:szCs w:val="24"/>
        </w:rPr>
      </w:pPr>
    </w:p>
    <w:p w14:paraId="07D5F2E7" w14:textId="77777777" w:rsidR="00B36FDD" w:rsidRDefault="00B36FDD" w:rsidP="006A1E3D">
      <w:pPr>
        <w:spacing w:after="0" w:line="360" w:lineRule="auto"/>
        <w:jc w:val="both"/>
        <w:rPr>
          <w:rFonts w:ascii="Arial" w:hAnsi="Arial" w:cs="Arial"/>
          <w:sz w:val="24"/>
          <w:szCs w:val="24"/>
        </w:rPr>
      </w:pPr>
      <w:r>
        <w:rPr>
          <w:rFonts w:ascii="Arial" w:hAnsi="Arial" w:cs="Arial"/>
          <w:sz w:val="24"/>
          <w:szCs w:val="24"/>
        </w:rPr>
        <w:t>On appeal, the appellants contended that by conflating the four bas</w:t>
      </w:r>
      <w:r w:rsidR="005F3B48">
        <w:rPr>
          <w:rFonts w:ascii="Arial" w:hAnsi="Arial" w:cs="Arial"/>
          <w:sz w:val="24"/>
          <w:szCs w:val="24"/>
        </w:rPr>
        <w:t>e</w:t>
      </w:r>
      <w:r>
        <w:rPr>
          <w:rFonts w:ascii="Arial" w:hAnsi="Arial" w:cs="Arial"/>
          <w:sz w:val="24"/>
          <w:szCs w:val="24"/>
        </w:rPr>
        <w:t xml:space="preserve">s of the exception into one, the court </w:t>
      </w:r>
      <w:r w:rsidRPr="0080488D">
        <w:rPr>
          <w:rFonts w:ascii="Arial" w:hAnsi="Arial" w:cs="Arial"/>
          <w:i/>
          <w:sz w:val="24"/>
          <w:szCs w:val="24"/>
        </w:rPr>
        <w:t>a quo</w:t>
      </w:r>
      <w:r>
        <w:rPr>
          <w:rFonts w:ascii="Arial" w:hAnsi="Arial" w:cs="Arial"/>
          <w:sz w:val="24"/>
          <w:szCs w:val="24"/>
        </w:rPr>
        <w:t xml:space="preserve"> failed to interpret the terms of the agreement </w:t>
      </w:r>
      <w:r w:rsidR="00371B6E">
        <w:rPr>
          <w:rFonts w:ascii="Arial" w:hAnsi="Arial" w:cs="Arial"/>
          <w:sz w:val="24"/>
          <w:szCs w:val="24"/>
        </w:rPr>
        <w:t>as alleged and thereby failed to consider the nature of the relationship of the parties to the alleged agreement. The wrong approach ad</w:t>
      </w:r>
      <w:r w:rsidR="005F3B48">
        <w:rPr>
          <w:rFonts w:ascii="Arial" w:hAnsi="Arial" w:cs="Arial"/>
          <w:sz w:val="24"/>
          <w:szCs w:val="24"/>
        </w:rPr>
        <w:t>o</w:t>
      </w:r>
      <w:r w:rsidR="00371B6E">
        <w:rPr>
          <w:rFonts w:ascii="Arial" w:hAnsi="Arial" w:cs="Arial"/>
          <w:sz w:val="24"/>
          <w:szCs w:val="24"/>
        </w:rPr>
        <w:t xml:space="preserve">pted by the court </w:t>
      </w:r>
      <w:r w:rsidR="00371B6E" w:rsidRPr="0080488D">
        <w:rPr>
          <w:rFonts w:ascii="Arial" w:hAnsi="Arial" w:cs="Arial"/>
          <w:i/>
          <w:sz w:val="24"/>
          <w:szCs w:val="24"/>
        </w:rPr>
        <w:t>a quo</w:t>
      </w:r>
      <w:r w:rsidR="00371B6E">
        <w:rPr>
          <w:rFonts w:ascii="Arial" w:hAnsi="Arial" w:cs="Arial"/>
          <w:sz w:val="24"/>
          <w:szCs w:val="24"/>
        </w:rPr>
        <w:t xml:space="preserve"> in the determination of the appeal</w:t>
      </w:r>
      <w:r w:rsidR="003D27AA">
        <w:rPr>
          <w:rFonts w:ascii="Arial" w:hAnsi="Arial" w:cs="Arial"/>
          <w:sz w:val="24"/>
          <w:szCs w:val="24"/>
        </w:rPr>
        <w:t>,</w:t>
      </w:r>
      <w:r w:rsidR="00371B6E">
        <w:rPr>
          <w:rFonts w:ascii="Arial" w:hAnsi="Arial" w:cs="Arial"/>
          <w:sz w:val="24"/>
          <w:szCs w:val="24"/>
        </w:rPr>
        <w:t xml:space="preserve"> resulted in the wrong findings at paras 19, 24 to 31 and 36 of its judgment.</w:t>
      </w:r>
    </w:p>
    <w:p w14:paraId="35D44DE7" w14:textId="77777777" w:rsidR="00371B6E" w:rsidRDefault="00371B6E" w:rsidP="006A1E3D">
      <w:pPr>
        <w:spacing w:after="0" w:line="360" w:lineRule="auto"/>
        <w:jc w:val="both"/>
        <w:rPr>
          <w:rFonts w:ascii="Arial" w:hAnsi="Arial" w:cs="Arial"/>
          <w:sz w:val="24"/>
          <w:szCs w:val="24"/>
        </w:rPr>
      </w:pPr>
    </w:p>
    <w:p w14:paraId="2CBD6EEC" w14:textId="77777777" w:rsidR="00371B6E" w:rsidRDefault="00371B6E" w:rsidP="006A1E3D">
      <w:pPr>
        <w:spacing w:after="0" w:line="360" w:lineRule="auto"/>
        <w:jc w:val="both"/>
        <w:rPr>
          <w:rFonts w:ascii="Arial" w:hAnsi="Arial" w:cs="Arial"/>
          <w:sz w:val="24"/>
          <w:szCs w:val="24"/>
        </w:rPr>
      </w:pPr>
      <w:r>
        <w:rPr>
          <w:rFonts w:ascii="Arial" w:hAnsi="Arial" w:cs="Arial"/>
          <w:sz w:val="24"/>
          <w:szCs w:val="24"/>
        </w:rPr>
        <w:t>The respondent did not participate in the appeal.</w:t>
      </w:r>
    </w:p>
    <w:p w14:paraId="7A55275A" w14:textId="77777777" w:rsidR="00371B6E" w:rsidRDefault="00371B6E" w:rsidP="006A1E3D">
      <w:pPr>
        <w:spacing w:after="0" w:line="360" w:lineRule="auto"/>
        <w:jc w:val="both"/>
        <w:rPr>
          <w:rFonts w:ascii="Arial" w:hAnsi="Arial" w:cs="Arial"/>
          <w:sz w:val="24"/>
          <w:szCs w:val="24"/>
        </w:rPr>
      </w:pPr>
    </w:p>
    <w:p w14:paraId="2FD39CCF" w14:textId="77777777" w:rsidR="00371B6E" w:rsidRDefault="00864D46" w:rsidP="006A1E3D">
      <w:pPr>
        <w:spacing w:after="0" w:line="360" w:lineRule="auto"/>
        <w:jc w:val="both"/>
        <w:rPr>
          <w:rFonts w:ascii="Arial" w:hAnsi="Arial" w:cs="Arial"/>
          <w:sz w:val="24"/>
          <w:szCs w:val="24"/>
        </w:rPr>
      </w:pPr>
      <w:r w:rsidRPr="0080488D">
        <w:rPr>
          <w:rFonts w:ascii="Arial" w:hAnsi="Arial" w:cs="Arial"/>
          <w:i/>
          <w:sz w:val="24"/>
          <w:szCs w:val="24"/>
        </w:rPr>
        <w:t>Held that</w:t>
      </w:r>
      <w:r>
        <w:rPr>
          <w:rFonts w:ascii="Arial" w:hAnsi="Arial" w:cs="Arial"/>
          <w:sz w:val="24"/>
          <w:szCs w:val="24"/>
        </w:rPr>
        <w:t>,</w:t>
      </w:r>
      <w:r w:rsidR="00371B6E">
        <w:rPr>
          <w:rFonts w:ascii="Arial" w:hAnsi="Arial" w:cs="Arial"/>
          <w:sz w:val="24"/>
          <w:szCs w:val="24"/>
        </w:rPr>
        <w:t xml:space="preserve"> the terms of the alleged partly oral agreement featured nowhere in the particulars of claim.</w:t>
      </w:r>
    </w:p>
    <w:p w14:paraId="64338771" w14:textId="77777777" w:rsidR="00371B6E" w:rsidRDefault="00371B6E" w:rsidP="006A1E3D">
      <w:pPr>
        <w:spacing w:after="0" w:line="360" w:lineRule="auto"/>
        <w:jc w:val="both"/>
        <w:rPr>
          <w:rFonts w:ascii="Arial" w:hAnsi="Arial" w:cs="Arial"/>
          <w:sz w:val="24"/>
          <w:szCs w:val="24"/>
        </w:rPr>
      </w:pPr>
    </w:p>
    <w:p w14:paraId="27DFD684" w14:textId="77777777" w:rsidR="00371B6E" w:rsidRDefault="00371B6E" w:rsidP="006A1E3D">
      <w:pPr>
        <w:spacing w:after="0" w:line="360" w:lineRule="auto"/>
        <w:jc w:val="both"/>
        <w:rPr>
          <w:rFonts w:ascii="Arial" w:hAnsi="Arial" w:cs="Arial"/>
          <w:sz w:val="24"/>
          <w:szCs w:val="24"/>
        </w:rPr>
      </w:pPr>
      <w:r w:rsidRPr="0080488D">
        <w:rPr>
          <w:rFonts w:ascii="Arial" w:hAnsi="Arial" w:cs="Arial"/>
          <w:i/>
          <w:sz w:val="24"/>
          <w:szCs w:val="24"/>
        </w:rPr>
        <w:t>Held that</w:t>
      </w:r>
      <w:r w:rsidR="00864D46">
        <w:rPr>
          <w:rFonts w:ascii="Arial" w:hAnsi="Arial" w:cs="Arial"/>
          <w:sz w:val="24"/>
          <w:szCs w:val="24"/>
        </w:rPr>
        <w:t>,</w:t>
      </w:r>
      <w:r>
        <w:rPr>
          <w:rFonts w:ascii="Arial" w:hAnsi="Arial" w:cs="Arial"/>
          <w:sz w:val="24"/>
          <w:szCs w:val="24"/>
        </w:rPr>
        <w:t xml:space="preserve"> the resolutions lack</w:t>
      </w:r>
      <w:r w:rsidR="003D27AA">
        <w:rPr>
          <w:rFonts w:ascii="Arial" w:hAnsi="Arial" w:cs="Arial"/>
          <w:sz w:val="24"/>
          <w:szCs w:val="24"/>
        </w:rPr>
        <w:t xml:space="preserve">ed the binding nature of </w:t>
      </w:r>
      <w:r>
        <w:rPr>
          <w:rFonts w:ascii="Arial" w:hAnsi="Arial" w:cs="Arial"/>
          <w:sz w:val="24"/>
          <w:szCs w:val="24"/>
        </w:rPr>
        <w:t>contract</w:t>
      </w:r>
      <w:r w:rsidR="003D27AA">
        <w:rPr>
          <w:rFonts w:ascii="Arial" w:hAnsi="Arial" w:cs="Arial"/>
          <w:sz w:val="24"/>
          <w:szCs w:val="24"/>
        </w:rPr>
        <w:t>s</w:t>
      </w:r>
      <w:r>
        <w:rPr>
          <w:rFonts w:ascii="Arial" w:hAnsi="Arial" w:cs="Arial"/>
          <w:sz w:val="24"/>
          <w:szCs w:val="24"/>
        </w:rPr>
        <w:t>.</w:t>
      </w:r>
      <w:r w:rsidR="00864D46">
        <w:rPr>
          <w:rFonts w:ascii="Arial" w:hAnsi="Arial" w:cs="Arial"/>
          <w:sz w:val="24"/>
          <w:szCs w:val="24"/>
        </w:rPr>
        <w:t xml:space="preserve"> </w:t>
      </w:r>
    </w:p>
    <w:p w14:paraId="51353EF9" w14:textId="77777777" w:rsidR="00864D46" w:rsidRDefault="00864D46" w:rsidP="006A1E3D">
      <w:pPr>
        <w:spacing w:after="0" w:line="360" w:lineRule="auto"/>
        <w:jc w:val="both"/>
        <w:rPr>
          <w:rFonts w:ascii="Arial" w:hAnsi="Arial" w:cs="Arial"/>
          <w:sz w:val="24"/>
          <w:szCs w:val="24"/>
        </w:rPr>
      </w:pPr>
    </w:p>
    <w:p w14:paraId="02BDB911" w14:textId="77777777" w:rsidR="00864D46" w:rsidRDefault="00864D46" w:rsidP="006A1E3D">
      <w:pPr>
        <w:spacing w:after="0" w:line="360" w:lineRule="auto"/>
        <w:jc w:val="both"/>
        <w:rPr>
          <w:rFonts w:ascii="Arial" w:hAnsi="Arial" w:cs="Arial"/>
          <w:sz w:val="24"/>
          <w:szCs w:val="24"/>
        </w:rPr>
      </w:pPr>
      <w:r w:rsidRPr="0080488D">
        <w:rPr>
          <w:rFonts w:ascii="Arial" w:hAnsi="Arial" w:cs="Arial"/>
          <w:i/>
          <w:sz w:val="24"/>
          <w:szCs w:val="24"/>
        </w:rPr>
        <w:t>Held that</w:t>
      </w:r>
      <w:r>
        <w:rPr>
          <w:rFonts w:ascii="Arial" w:hAnsi="Arial" w:cs="Arial"/>
          <w:sz w:val="24"/>
          <w:szCs w:val="24"/>
        </w:rPr>
        <w:t>, the land issue was a national issue, it was not of a commercial or business nature.</w:t>
      </w:r>
    </w:p>
    <w:p w14:paraId="43717626" w14:textId="77777777" w:rsidR="00371B6E" w:rsidRDefault="00371B6E" w:rsidP="006A1E3D">
      <w:pPr>
        <w:spacing w:after="0" w:line="360" w:lineRule="auto"/>
        <w:jc w:val="both"/>
        <w:rPr>
          <w:rFonts w:ascii="Arial" w:hAnsi="Arial" w:cs="Arial"/>
          <w:sz w:val="24"/>
          <w:szCs w:val="24"/>
        </w:rPr>
      </w:pPr>
    </w:p>
    <w:p w14:paraId="72CE79C1" w14:textId="77777777" w:rsidR="00371B6E" w:rsidRDefault="00864D46" w:rsidP="006A1E3D">
      <w:pPr>
        <w:spacing w:after="0" w:line="360" w:lineRule="auto"/>
        <w:jc w:val="both"/>
        <w:rPr>
          <w:rFonts w:ascii="Arial" w:hAnsi="Arial" w:cs="Arial"/>
          <w:sz w:val="24"/>
          <w:szCs w:val="24"/>
        </w:rPr>
      </w:pPr>
      <w:r w:rsidRPr="0080488D">
        <w:rPr>
          <w:rFonts w:ascii="Arial" w:hAnsi="Arial" w:cs="Arial"/>
          <w:i/>
          <w:sz w:val="24"/>
          <w:szCs w:val="24"/>
        </w:rPr>
        <w:t>Held that</w:t>
      </w:r>
      <w:r>
        <w:rPr>
          <w:rFonts w:ascii="Arial" w:hAnsi="Arial" w:cs="Arial"/>
          <w:sz w:val="24"/>
          <w:szCs w:val="24"/>
        </w:rPr>
        <w:t>,</w:t>
      </w:r>
      <w:r w:rsidR="00371B6E">
        <w:rPr>
          <w:rFonts w:ascii="Arial" w:hAnsi="Arial" w:cs="Arial"/>
          <w:sz w:val="24"/>
          <w:szCs w:val="24"/>
        </w:rPr>
        <w:t xml:space="preserve"> there was no </w:t>
      </w:r>
      <w:r w:rsidR="00371B6E" w:rsidRPr="00864D46">
        <w:rPr>
          <w:rFonts w:ascii="Arial" w:hAnsi="Arial" w:cs="Arial"/>
          <w:i/>
          <w:sz w:val="24"/>
          <w:szCs w:val="24"/>
        </w:rPr>
        <w:t xml:space="preserve">animus </w:t>
      </w:r>
      <w:proofErr w:type="spellStart"/>
      <w:r w:rsidR="00371B6E" w:rsidRPr="00864D46">
        <w:rPr>
          <w:rFonts w:ascii="Arial" w:hAnsi="Arial" w:cs="Arial"/>
          <w:i/>
          <w:sz w:val="24"/>
          <w:szCs w:val="24"/>
        </w:rPr>
        <w:t>contrahendi</w:t>
      </w:r>
      <w:proofErr w:type="spellEnd"/>
      <w:r w:rsidR="00371B6E">
        <w:rPr>
          <w:rFonts w:ascii="Arial" w:hAnsi="Arial" w:cs="Arial"/>
          <w:sz w:val="24"/>
          <w:szCs w:val="24"/>
        </w:rPr>
        <w:t xml:space="preserve"> in the sense required to </w:t>
      </w:r>
      <w:proofErr w:type="gramStart"/>
      <w:r w:rsidR="00371B6E">
        <w:rPr>
          <w:rFonts w:ascii="Arial" w:hAnsi="Arial" w:cs="Arial"/>
          <w:sz w:val="24"/>
          <w:szCs w:val="24"/>
        </w:rPr>
        <w:t>found</w:t>
      </w:r>
      <w:proofErr w:type="gramEnd"/>
      <w:r w:rsidR="00371B6E">
        <w:rPr>
          <w:rFonts w:ascii="Arial" w:hAnsi="Arial" w:cs="Arial"/>
          <w:sz w:val="24"/>
          <w:szCs w:val="24"/>
        </w:rPr>
        <w:t xml:space="preserve"> a legally enforceable contract and therefore the alleged agreement </w:t>
      </w:r>
      <w:r w:rsidR="003D27AA">
        <w:rPr>
          <w:rFonts w:ascii="Arial" w:hAnsi="Arial" w:cs="Arial"/>
          <w:sz w:val="24"/>
          <w:szCs w:val="24"/>
        </w:rPr>
        <w:t>was</w:t>
      </w:r>
      <w:r w:rsidR="00371B6E">
        <w:rPr>
          <w:rFonts w:ascii="Arial" w:hAnsi="Arial" w:cs="Arial"/>
          <w:sz w:val="24"/>
          <w:szCs w:val="24"/>
        </w:rPr>
        <w:t xml:space="preserve"> not binding in law. At most, its terms </w:t>
      </w:r>
      <w:r w:rsidR="003D27AA">
        <w:rPr>
          <w:rFonts w:ascii="Arial" w:hAnsi="Arial" w:cs="Arial"/>
          <w:sz w:val="24"/>
          <w:szCs w:val="24"/>
        </w:rPr>
        <w:t>were</w:t>
      </w:r>
      <w:r w:rsidR="00371B6E">
        <w:rPr>
          <w:rFonts w:ascii="Arial" w:hAnsi="Arial" w:cs="Arial"/>
          <w:sz w:val="24"/>
          <w:szCs w:val="24"/>
        </w:rPr>
        <w:t xml:space="preserve"> binding in </w:t>
      </w:r>
      <w:proofErr w:type="spellStart"/>
      <w:r w:rsidR="00371B6E">
        <w:rPr>
          <w:rFonts w:ascii="Arial" w:hAnsi="Arial" w:cs="Arial"/>
          <w:sz w:val="24"/>
          <w:szCs w:val="24"/>
        </w:rPr>
        <w:t>hono</w:t>
      </w:r>
      <w:r w:rsidR="0080488D">
        <w:rPr>
          <w:rFonts w:ascii="Arial" w:hAnsi="Arial" w:cs="Arial"/>
          <w:sz w:val="24"/>
          <w:szCs w:val="24"/>
        </w:rPr>
        <w:t>u</w:t>
      </w:r>
      <w:r w:rsidR="00371B6E">
        <w:rPr>
          <w:rFonts w:ascii="Arial" w:hAnsi="Arial" w:cs="Arial"/>
          <w:sz w:val="24"/>
          <w:szCs w:val="24"/>
        </w:rPr>
        <w:t>r</w:t>
      </w:r>
      <w:proofErr w:type="spellEnd"/>
      <w:r w:rsidR="00371B6E">
        <w:rPr>
          <w:rFonts w:ascii="Arial" w:hAnsi="Arial" w:cs="Arial"/>
          <w:sz w:val="24"/>
          <w:szCs w:val="24"/>
        </w:rPr>
        <w:t xml:space="preserve"> only.</w:t>
      </w:r>
    </w:p>
    <w:p w14:paraId="7621CBCF" w14:textId="77777777" w:rsidR="00E17B31" w:rsidRDefault="00E17B31" w:rsidP="00E17B31">
      <w:pPr>
        <w:spacing w:after="0" w:line="360" w:lineRule="auto"/>
        <w:jc w:val="both"/>
        <w:rPr>
          <w:rFonts w:ascii="Arial" w:hAnsi="Arial" w:cs="Arial"/>
          <w:sz w:val="24"/>
          <w:szCs w:val="24"/>
        </w:rPr>
      </w:pPr>
    </w:p>
    <w:p w14:paraId="0994B738" w14:textId="77777777" w:rsidR="006A1E3D" w:rsidRDefault="00864D46" w:rsidP="003E1123">
      <w:pPr>
        <w:spacing w:after="0" w:line="360" w:lineRule="auto"/>
        <w:jc w:val="both"/>
        <w:rPr>
          <w:rFonts w:ascii="Arial" w:hAnsi="Arial" w:cs="Arial"/>
          <w:sz w:val="24"/>
          <w:szCs w:val="24"/>
        </w:rPr>
      </w:pPr>
      <w:r w:rsidRPr="0080488D">
        <w:rPr>
          <w:rFonts w:ascii="Arial" w:hAnsi="Arial" w:cs="Arial"/>
          <w:i/>
          <w:sz w:val="24"/>
          <w:szCs w:val="24"/>
        </w:rPr>
        <w:t>Held that</w:t>
      </w:r>
      <w:r>
        <w:rPr>
          <w:rFonts w:ascii="Arial" w:hAnsi="Arial" w:cs="Arial"/>
          <w:sz w:val="24"/>
          <w:szCs w:val="24"/>
        </w:rPr>
        <w:t xml:space="preserve">, </w:t>
      </w:r>
      <w:r w:rsidR="00D9359E">
        <w:rPr>
          <w:rFonts w:ascii="Arial" w:hAnsi="Arial" w:cs="Arial"/>
          <w:sz w:val="24"/>
          <w:szCs w:val="24"/>
        </w:rPr>
        <w:t xml:space="preserve">respondent’s basis for the contract </w:t>
      </w:r>
      <w:r w:rsidR="003D27AA">
        <w:rPr>
          <w:rFonts w:ascii="Arial" w:hAnsi="Arial" w:cs="Arial"/>
          <w:sz w:val="24"/>
          <w:szCs w:val="24"/>
        </w:rPr>
        <w:t>was</w:t>
      </w:r>
      <w:r w:rsidR="00D9359E">
        <w:rPr>
          <w:rFonts w:ascii="Arial" w:hAnsi="Arial" w:cs="Arial"/>
          <w:sz w:val="24"/>
          <w:szCs w:val="24"/>
        </w:rPr>
        <w:t xml:space="preserve"> illegal in our law. Respondent could not occupy land in urban areas without the consent of the owners.</w:t>
      </w:r>
    </w:p>
    <w:p w14:paraId="29458BEE" w14:textId="77777777" w:rsidR="00D9359E" w:rsidRDefault="00D9359E" w:rsidP="003E1123">
      <w:pPr>
        <w:spacing w:after="0" w:line="360" w:lineRule="auto"/>
        <w:jc w:val="both"/>
        <w:rPr>
          <w:rFonts w:ascii="Arial" w:hAnsi="Arial" w:cs="Arial"/>
          <w:sz w:val="24"/>
          <w:szCs w:val="24"/>
        </w:rPr>
      </w:pPr>
    </w:p>
    <w:p w14:paraId="6C15DFDB" w14:textId="77777777" w:rsidR="00D9359E" w:rsidRDefault="00D9359E" w:rsidP="003E1123">
      <w:pPr>
        <w:spacing w:after="0" w:line="360" w:lineRule="auto"/>
        <w:jc w:val="both"/>
        <w:rPr>
          <w:rFonts w:ascii="Arial" w:hAnsi="Arial" w:cs="Arial"/>
          <w:sz w:val="24"/>
          <w:szCs w:val="24"/>
        </w:rPr>
      </w:pPr>
      <w:r w:rsidRPr="0080488D">
        <w:rPr>
          <w:rFonts w:ascii="Arial" w:hAnsi="Arial" w:cs="Arial"/>
          <w:i/>
          <w:sz w:val="24"/>
          <w:szCs w:val="24"/>
        </w:rPr>
        <w:t>Held that</w:t>
      </w:r>
      <w:r>
        <w:rPr>
          <w:rFonts w:ascii="Arial" w:hAnsi="Arial" w:cs="Arial"/>
          <w:sz w:val="24"/>
          <w:szCs w:val="24"/>
        </w:rPr>
        <w:t>, the resolutions were policy utterances and nothing more.</w:t>
      </w:r>
    </w:p>
    <w:p w14:paraId="1E39CFD1" w14:textId="77777777" w:rsidR="00D9359E" w:rsidRDefault="00D9359E" w:rsidP="003E1123">
      <w:pPr>
        <w:spacing w:after="0" w:line="360" w:lineRule="auto"/>
        <w:jc w:val="both"/>
        <w:rPr>
          <w:rFonts w:ascii="Arial" w:hAnsi="Arial" w:cs="Arial"/>
          <w:sz w:val="24"/>
          <w:szCs w:val="24"/>
        </w:rPr>
      </w:pPr>
    </w:p>
    <w:p w14:paraId="2AE65720" w14:textId="77777777" w:rsidR="00D9359E" w:rsidRDefault="00D9359E" w:rsidP="003E1123">
      <w:pPr>
        <w:spacing w:after="0" w:line="360" w:lineRule="auto"/>
        <w:jc w:val="both"/>
        <w:rPr>
          <w:rFonts w:ascii="Arial" w:hAnsi="Arial" w:cs="Arial"/>
          <w:sz w:val="24"/>
          <w:szCs w:val="24"/>
        </w:rPr>
      </w:pPr>
      <w:r>
        <w:rPr>
          <w:rFonts w:ascii="Arial" w:hAnsi="Arial" w:cs="Arial"/>
          <w:sz w:val="24"/>
          <w:szCs w:val="24"/>
        </w:rPr>
        <w:t>Consequently, the appeal is upheld.</w:t>
      </w:r>
    </w:p>
    <w:p w14:paraId="61A92411" w14:textId="77777777" w:rsidR="003D27AA" w:rsidRPr="00961779" w:rsidRDefault="003D27AA" w:rsidP="003E1123">
      <w:pPr>
        <w:spacing w:after="0" w:line="360" w:lineRule="auto"/>
        <w:jc w:val="both"/>
        <w:rPr>
          <w:rFonts w:ascii="Arial" w:hAnsi="Arial" w:cs="Arial"/>
          <w:sz w:val="24"/>
          <w:szCs w:val="24"/>
        </w:rPr>
      </w:pPr>
    </w:p>
    <w:p w14:paraId="30D977EB" w14:textId="77777777" w:rsidR="00FF4712" w:rsidRPr="00BD7C87" w:rsidRDefault="00FF4712" w:rsidP="009653F8">
      <w:pPr>
        <w:spacing w:after="0" w:line="360" w:lineRule="auto"/>
        <w:jc w:val="both"/>
        <w:rPr>
          <w:rFonts w:ascii="Arial" w:hAnsi="Arial" w:cs="Arial"/>
          <w:i/>
          <w:sz w:val="24"/>
          <w:szCs w:val="24"/>
        </w:rPr>
      </w:pPr>
      <w:r>
        <w:rPr>
          <w:rFonts w:ascii="Arial" w:hAnsi="Arial" w:cs="Arial"/>
          <w:sz w:val="24"/>
          <w:szCs w:val="24"/>
        </w:rPr>
        <w:lastRenderedPageBreak/>
        <w:t>__________________________________________________________________</w:t>
      </w:r>
    </w:p>
    <w:p w14:paraId="21DA40C0" w14:textId="77777777" w:rsidR="00FF4712" w:rsidRPr="00A9489D" w:rsidRDefault="00FF4712" w:rsidP="00FF4712">
      <w:pPr>
        <w:spacing w:after="0" w:line="240" w:lineRule="auto"/>
        <w:jc w:val="center"/>
        <w:rPr>
          <w:rFonts w:ascii="Arial" w:hAnsi="Arial" w:cs="Arial"/>
          <w:b/>
          <w:sz w:val="24"/>
          <w:szCs w:val="24"/>
        </w:rPr>
      </w:pPr>
      <w:r w:rsidRPr="00A9489D">
        <w:rPr>
          <w:rFonts w:ascii="Arial" w:hAnsi="Arial" w:cs="Arial"/>
          <w:b/>
          <w:sz w:val="24"/>
          <w:szCs w:val="24"/>
        </w:rPr>
        <w:t xml:space="preserve">APPEAL </w:t>
      </w:r>
      <w:r w:rsidR="00225E79" w:rsidRPr="00A9489D">
        <w:rPr>
          <w:rFonts w:ascii="Arial" w:hAnsi="Arial" w:cs="Arial"/>
          <w:b/>
          <w:sz w:val="24"/>
          <w:szCs w:val="24"/>
        </w:rPr>
        <w:t>JUDGMENT</w:t>
      </w:r>
    </w:p>
    <w:p w14:paraId="4CF2B913"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____________________________________________________________________</w:t>
      </w:r>
    </w:p>
    <w:p w14:paraId="16B2F801" w14:textId="77777777" w:rsidR="00FF4712" w:rsidRDefault="00FF4712" w:rsidP="00FF4712">
      <w:pPr>
        <w:spacing w:after="0" w:line="480" w:lineRule="auto"/>
        <w:jc w:val="both"/>
        <w:rPr>
          <w:rFonts w:ascii="Arial" w:hAnsi="Arial" w:cs="Arial"/>
          <w:sz w:val="24"/>
          <w:szCs w:val="24"/>
        </w:rPr>
      </w:pPr>
      <w:r w:rsidRPr="00861369">
        <w:rPr>
          <w:rFonts w:ascii="Arial" w:hAnsi="Arial" w:cs="Arial"/>
          <w:sz w:val="24"/>
          <w:szCs w:val="24"/>
        </w:rPr>
        <w:t>MAINGA JA (</w:t>
      </w:r>
      <w:r w:rsidR="006A1E3D">
        <w:rPr>
          <w:rFonts w:ascii="Arial" w:hAnsi="Arial" w:cs="Arial"/>
          <w:sz w:val="24"/>
          <w:szCs w:val="24"/>
        </w:rPr>
        <w:t>FRANK AJA</w:t>
      </w:r>
      <w:r w:rsidR="00270C55" w:rsidRPr="00861369">
        <w:rPr>
          <w:rFonts w:ascii="Arial" w:hAnsi="Arial" w:cs="Arial"/>
          <w:sz w:val="24"/>
          <w:szCs w:val="24"/>
        </w:rPr>
        <w:t xml:space="preserve"> and </w:t>
      </w:r>
      <w:r w:rsidR="006A1E3D">
        <w:rPr>
          <w:rFonts w:ascii="Arial" w:hAnsi="Arial" w:cs="Arial"/>
          <w:sz w:val="24"/>
          <w:szCs w:val="24"/>
        </w:rPr>
        <w:t>UEITELE A</w:t>
      </w:r>
      <w:r w:rsidR="00BD7C87">
        <w:rPr>
          <w:rFonts w:ascii="Arial" w:hAnsi="Arial" w:cs="Arial"/>
          <w:sz w:val="24"/>
          <w:szCs w:val="24"/>
        </w:rPr>
        <w:t>J</w:t>
      </w:r>
      <w:r w:rsidRPr="00861369">
        <w:rPr>
          <w:rFonts w:ascii="Arial" w:hAnsi="Arial" w:cs="Arial"/>
          <w:sz w:val="24"/>
          <w:szCs w:val="24"/>
        </w:rPr>
        <w:t>A concurring)</w:t>
      </w:r>
      <w:r w:rsidR="00971F56">
        <w:rPr>
          <w:rFonts w:ascii="Arial" w:hAnsi="Arial" w:cs="Arial"/>
          <w:sz w:val="24"/>
          <w:szCs w:val="24"/>
        </w:rPr>
        <w:t>:</w:t>
      </w:r>
    </w:p>
    <w:p w14:paraId="6AE0F9A1" w14:textId="77777777" w:rsidR="005807E4" w:rsidRPr="005807E4" w:rsidRDefault="005807E4" w:rsidP="00FF4712">
      <w:pPr>
        <w:spacing w:after="0" w:line="480" w:lineRule="auto"/>
        <w:jc w:val="both"/>
        <w:rPr>
          <w:rFonts w:ascii="Arial" w:hAnsi="Arial" w:cs="Arial"/>
          <w:sz w:val="24"/>
          <w:szCs w:val="24"/>
          <w:u w:val="single"/>
        </w:rPr>
      </w:pPr>
      <w:r w:rsidRPr="005807E4">
        <w:rPr>
          <w:rFonts w:ascii="Arial" w:hAnsi="Arial" w:cs="Arial"/>
          <w:sz w:val="24"/>
          <w:szCs w:val="24"/>
          <w:u w:val="single"/>
        </w:rPr>
        <w:t>Introduction</w:t>
      </w:r>
    </w:p>
    <w:p w14:paraId="53D58954" w14:textId="307194CF" w:rsidR="008C5045" w:rsidRDefault="00EF5FF5" w:rsidP="00EF5FF5">
      <w:pPr>
        <w:tabs>
          <w:tab w:val="left" w:pos="0"/>
        </w:tabs>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C5045">
        <w:rPr>
          <w:rFonts w:ascii="Arial" w:hAnsi="Arial" w:cs="Arial"/>
          <w:sz w:val="24"/>
          <w:szCs w:val="24"/>
        </w:rPr>
        <w:t>Th</w:t>
      </w:r>
      <w:r w:rsidR="006A1E3D">
        <w:rPr>
          <w:rFonts w:ascii="Arial" w:hAnsi="Arial" w:cs="Arial"/>
          <w:sz w:val="24"/>
          <w:szCs w:val="24"/>
        </w:rPr>
        <w:t>is is an appeal from a judgment of the High Court (</w:t>
      </w:r>
      <w:r w:rsidR="005F3B48">
        <w:rPr>
          <w:rFonts w:ascii="Arial" w:hAnsi="Arial" w:cs="Arial"/>
          <w:sz w:val="24"/>
          <w:szCs w:val="24"/>
        </w:rPr>
        <w:t>M</w:t>
      </w:r>
      <w:r w:rsidR="006A1E3D">
        <w:rPr>
          <w:rFonts w:ascii="Arial" w:hAnsi="Arial" w:cs="Arial"/>
          <w:sz w:val="24"/>
          <w:szCs w:val="24"/>
        </w:rPr>
        <w:t xml:space="preserve">ain </w:t>
      </w:r>
      <w:r w:rsidR="005F3B48">
        <w:rPr>
          <w:rFonts w:ascii="Arial" w:hAnsi="Arial" w:cs="Arial"/>
          <w:sz w:val="24"/>
          <w:szCs w:val="24"/>
        </w:rPr>
        <w:t>D</w:t>
      </w:r>
      <w:r w:rsidR="006A1E3D">
        <w:rPr>
          <w:rFonts w:ascii="Arial" w:hAnsi="Arial" w:cs="Arial"/>
          <w:sz w:val="24"/>
          <w:szCs w:val="24"/>
        </w:rPr>
        <w:t xml:space="preserve">ivision) dismissing an exception to the respondent’s (plaintiff’s court </w:t>
      </w:r>
      <w:r w:rsidR="006A1E3D" w:rsidRPr="00886280">
        <w:rPr>
          <w:rFonts w:ascii="Arial" w:hAnsi="Arial" w:cs="Arial"/>
          <w:i/>
          <w:sz w:val="24"/>
          <w:szCs w:val="24"/>
        </w:rPr>
        <w:t>a quo</w:t>
      </w:r>
      <w:r w:rsidR="006A1E3D">
        <w:rPr>
          <w:rFonts w:ascii="Arial" w:hAnsi="Arial" w:cs="Arial"/>
          <w:sz w:val="24"/>
          <w:szCs w:val="24"/>
        </w:rPr>
        <w:t>) particulars of claim in an action</w:t>
      </w:r>
      <w:r w:rsidR="00FE2EEB">
        <w:rPr>
          <w:rFonts w:ascii="Arial" w:hAnsi="Arial" w:cs="Arial"/>
          <w:sz w:val="24"/>
          <w:szCs w:val="24"/>
        </w:rPr>
        <w:t xml:space="preserve"> seeking an order directing the </w:t>
      </w:r>
      <w:r w:rsidR="00F04842">
        <w:rPr>
          <w:rFonts w:ascii="Arial" w:hAnsi="Arial" w:cs="Arial"/>
          <w:sz w:val="24"/>
          <w:szCs w:val="24"/>
        </w:rPr>
        <w:t>first</w:t>
      </w:r>
      <w:r w:rsidR="00FE2EEB">
        <w:rPr>
          <w:rFonts w:ascii="Arial" w:hAnsi="Arial" w:cs="Arial"/>
          <w:sz w:val="24"/>
          <w:szCs w:val="24"/>
        </w:rPr>
        <w:t xml:space="preserve"> appellant to service 200 000 plots within a period of </w:t>
      </w:r>
      <w:r w:rsidR="00F04842">
        <w:rPr>
          <w:rFonts w:ascii="Arial" w:hAnsi="Arial" w:cs="Arial"/>
          <w:sz w:val="24"/>
          <w:szCs w:val="24"/>
        </w:rPr>
        <w:t>two</w:t>
      </w:r>
      <w:r w:rsidR="00FE2EEB">
        <w:rPr>
          <w:rFonts w:ascii="Arial" w:hAnsi="Arial" w:cs="Arial"/>
          <w:sz w:val="24"/>
          <w:szCs w:val="24"/>
        </w:rPr>
        <w:t xml:space="preserve"> years, in the alternative an order directing the </w:t>
      </w:r>
      <w:r w:rsidR="00F04842">
        <w:rPr>
          <w:rFonts w:ascii="Arial" w:hAnsi="Arial" w:cs="Arial"/>
          <w:sz w:val="24"/>
          <w:szCs w:val="24"/>
        </w:rPr>
        <w:t>first</w:t>
      </w:r>
      <w:r w:rsidR="00FE2EEB">
        <w:rPr>
          <w:rFonts w:ascii="Arial" w:hAnsi="Arial" w:cs="Arial"/>
          <w:sz w:val="24"/>
          <w:szCs w:val="24"/>
        </w:rPr>
        <w:t xml:space="preserve"> </w:t>
      </w:r>
      <w:r w:rsidR="00DE2C28">
        <w:rPr>
          <w:rFonts w:ascii="Arial" w:hAnsi="Arial" w:cs="Arial"/>
          <w:sz w:val="24"/>
          <w:szCs w:val="24"/>
        </w:rPr>
        <w:t>appellant</w:t>
      </w:r>
      <w:r w:rsidR="00FE2EEB">
        <w:rPr>
          <w:rFonts w:ascii="Arial" w:hAnsi="Arial" w:cs="Arial"/>
          <w:sz w:val="24"/>
          <w:szCs w:val="24"/>
        </w:rPr>
        <w:t xml:space="preserve"> to, within a period of </w:t>
      </w:r>
      <w:r w:rsidR="00F04842">
        <w:rPr>
          <w:rFonts w:ascii="Arial" w:hAnsi="Arial" w:cs="Arial"/>
          <w:sz w:val="24"/>
          <w:szCs w:val="24"/>
        </w:rPr>
        <w:t>two</w:t>
      </w:r>
      <w:r w:rsidR="00FE2EEB">
        <w:rPr>
          <w:rFonts w:ascii="Arial" w:hAnsi="Arial" w:cs="Arial"/>
          <w:sz w:val="24"/>
          <w:szCs w:val="24"/>
        </w:rPr>
        <w:t xml:space="preserve"> years, service 200 000 plots less the plots that </w:t>
      </w:r>
      <w:r w:rsidR="00F04842">
        <w:rPr>
          <w:rFonts w:ascii="Arial" w:hAnsi="Arial" w:cs="Arial"/>
          <w:sz w:val="24"/>
          <w:szCs w:val="24"/>
        </w:rPr>
        <w:t>first</w:t>
      </w:r>
      <w:r w:rsidR="00FE2EEB">
        <w:rPr>
          <w:rFonts w:ascii="Arial" w:hAnsi="Arial" w:cs="Arial"/>
          <w:sz w:val="24"/>
          <w:szCs w:val="24"/>
        </w:rPr>
        <w:t xml:space="preserve"> </w:t>
      </w:r>
      <w:r w:rsidR="00DE2C28">
        <w:rPr>
          <w:rFonts w:ascii="Arial" w:hAnsi="Arial" w:cs="Arial"/>
          <w:sz w:val="24"/>
          <w:szCs w:val="24"/>
        </w:rPr>
        <w:t>appellant</w:t>
      </w:r>
      <w:r w:rsidR="00FE2EEB">
        <w:rPr>
          <w:rFonts w:ascii="Arial" w:hAnsi="Arial" w:cs="Arial"/>
          <w:sz w:val="24"/>
          <w:szCs w:val="24"/>
        </w:rPr>
        <w:t xml:space="preserve"> may have serviced since 24 July 2015.</w:t>
      </w:r>
      <w:r w:rsidR="00DE2C28">
        <w:rPr>
          <w:rFonts w:ascii="Arial" w:hAnsi="Arial" w:cs="Arial"/>
          <w:sz w:val="24"/>
          <w:szCs w:val="24"/>
        </w:rPr>
        <w:t xml:space="preserve"> The respondent chose not to participate in this appeal.</w:t>
      </w:r>
    </w:p>
    <w:p w14:paraId="42022E76" w14:textId="77777777" w:rsidR="007B3E4F" w:rsidRDefault="007B3E4F" w:rsidP="007B3E4F">
      <w:pPr>
        <w:tabs>
          <w:tab w:val="left" w:pos="0"/>
        </w:tabs>
        <w:spacing w:after="0" w:line="480" w:lineRule="auto"/>
        <w:jc w:val="both"/>
        <w:rPr>
          <w:rFonts w:ascii="Arial" w:hAnsi="Arial" w:cs="Arial"/>
          <w:sz w:val="24"/>
          <w:szCs w:val="24"/>
        </w:rPr>
      </w:pPr>
    </w:p>
    <w:p w14:paraId="68BD41A0" w14:textId="376ECB14" w:rsidR="007B3E4F" w:rsidRDefault="00EF5FF5" w:rsidP="00EF5FF5">
      <w:pPr>
        <w:tabs>
          <w:tab w:val="left" w:pos="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FE2EEB">
        <w:rPr>
          <w:rFonts w:ascii="Arial" w:hAnsi="Arial" w:cs="Arial"/>
          <w:sz w:val="24"/>
          <w:szCs w:val="24"/>
        </w:rPr>
        <w:t>In its particulars of claim, the respondent alleged that:</w:t>
      </w:r>
    </w:p>
    <w:p w14:paraId="3F8B9262" w14:textId="77777777" w:rsidR="00FE2EEB" w:rsidRDefault="00FE2EEB" w:rsidP="00A42C86">
      <w:pPr>
        <w:pStyle w:val="ListParagraph"/>
        <w:spacing w:after="0" w:line="480" w:lineRule="auto"/>
        <w:jc w:val="both"/>
        <w:rPr>
          <w:rFonts w:ascii="Arial" w:hAnsi="Arial" w:cs="Arial"/>
          <w:sz w:val="24"/>
          <w:szCs w:val="24"/>
        </w:rPr>
      </w:pPr>
    </w:p>
    <w:p w14:paraId="687B8BB9" w14:textId="77777777" w:rsidR="00FE2EEB" w:rsidRDefault="00886280" w:rsidP="00886280">
      <w:pPr>
        <w:tabs>
          <w:tab w:val="left" w:pos="0"/>
          <w:tab w:val="left" w:pos="851"/>
        </w:tabs>
        <w:spacing w:after="0" w:line="360" w:lineRule="auto"/>
        <w:ind w:left="1418" w:hanging="1418"/>
        <w:jc w:val="both"/>
        <w:rPr>
          <w:rFonts w:ascii="Arial" w:hAnsi="Arial" w:cs="Arial"/>
        </w:rPr>
      </w:pPr>
      <w:r>
        <w:rPr>
          <w:rFonts w:ascii="Arial" w:hAnsi="Arial" w:cs="Arial"/>
          <w:sz w:val="24"/>
          <w:szCs w:val="24"/>
        </w:rPr>
        <w:tab/>
      </w:r>
      <w:r w:rsidR="00A42C86">
        <w:rPr>
          <w:rFonts w:ascii="Arial" w:hAnsi="Arial" w:cs="Arial"/>
        </w:rPr>
        <w:t>‘5.</w:t>
      </w:r>
      <w:r w:rsidR="00A54073">
        <w:rPr>
          <w:rFonts w:ascii="Arial" w:hAnsi="Arial" w:cs="Arial"/>
        </w:rPr>
        <w:tab/>
      </w:r>
      <w:r w:rsidR="00FE2EEB">
        <w:rPr>
          <w:rFonts w:ascii="Arial" w:hAnsi="Arial" w:cs="Arial"/>
        </w:rPr>
        <w:t>On the 24 July 2015 and at Windhoek, the Plaintiff</w:t>
      </w:r>
      <w:r w:rsidR="00DE2C28">
        <w:rPr>
          <w:rFonts w:ascii="Arial" w:hAnsi="Arial" w:cs="Arial"/>
        </w:rPr>
        <w:t xml:space="preserve"> [Respondent]</w:t>
      </w:r>
      <w:r w:rsidR="00FE2EEB">
        <w:rPr>
          <w:rFonts w:ascii="Arial" w:hAnsi="Arial" w:cs="Arial"/>
        </w:rPr>
        <w:t xml:space="preserve">, duly represented by Job </w:t>
      </w:r>
      <w:proofErr w:type="spellStart"/>
      <w:r w:rsidR="00FE2EEB">
        <w:rPr>
          <w:rFonts w:ascii="Arial" w:hAnsi="Arial" w:cs="Arial"/>
        </w:rPr>
        <w:t>Shipululo</w:t>
      </w:r>
      <w:proofErr w:type="spellEnd"/>
      <w:r w:rsidR="00FE2EEB">
        <w:rPr>
          <w:rFonts w:ascii="Arial" w:hAnsi="Arial" w:cs="Arial"/>
        </w:rPr>
        <w:t xml:space="preserve"> </w:t>
      </w:r>
      <w:proofErr w:type="spellStart"/>
      <w:r w:rsidR="00FE2EEB">
        <w:rPr>
          <w:rFonts w:ascii="Arial" w:hAnsi="Arial" w:cs="Arial"/>
        </w:rPr>
        <w:t>Amupanda</w:t>
      </w:r>
      <w:proofErr w:type="spellEnd"/>
      <w:r w:rsidR="00FE2EEB">
        <w:rPr>
          <w:rFonts w:ascii="Arial" w:hAnsi="Arial" w:cs="Arial"/>
        </w:rPr>
        <w:t xml:space="preserve"> and the 1</w:t>
      </w:r>
      <w:r w:rsidR="00FE2EEB" w:rsidRPr="00FE2EEB">
        <w:rPr>
          <w:rFonts w:ascii="Arial" w:hAnsi="Arial" w:cs="Arial"/>
          <w:vertAlign w:val="superscript"/>
        </w:rPr>
        <w:t>st</w:t>
      </w:r>
      <w:r w:rsidR="00FE2EEB">
        <w:rPr>
          <w:rFonts w:ascii="Arial" w:hAnsi="Arial" w:cs="Arial"/>
        </w:rPr>
        <w:t xml:space="preserve"> Defendant</w:t>
      </w:r>
      <w:r w:rsidR="00DE2C28">
        <w:rPr>
          <w:rFonts w:ascii="Arial" w:hAnsi="Arial" w:cs="Arial"/>
        </w:rPr>
        <w:t xml:space="preserve"> [1</w:t>
      </w:r>
      <w:r w:rsidR="00DE2C28" w:rsidRPr="00DE2C28">
        <w:rPr>
          <w:rFonts w:ascii="Arial" w:hAnsi="Arial" w:cs="Arial"/>
          <w:vertAlign w:val="superscript"/>
        </w:rPr>
        <w:t>st</w:t>
      </w:r>
      <w:r w:rsidR="00DE2C28">
        <w:rPr>
          <w:rFonts w:ascii="Arial" w:hAnsi="Arial" w:cs="Arial"/>
        </w:rPr>
        <w:t xml:space="preserve"> Appellant]</w:t>
      </w:r>
      <w:r w:rsidR="00FE2EEB">
        <w:rPr>
          <w:rFonts w:ascii="Arial" w:hAnsi="Arial" w:cs="Arial"/>
        </w:rPr>
        <w:t xml:space="preserve"> duly represented by the 2</w:t>
      </w:r>
      <w:r w:rsidR="00FE2EEB" w:rsidRPr="00FE2EEB">
        <w:rPr>
          <w:rFonts w:ascii="Arial" w:hAnsi="Arial" w:cs="Arial"/>
          <w:vertAlign w:val="superscript"/>
        </w:rPr>
        <w:t>nd</w:t>
      </w:r>
      <w:r w:rsidR="00FE2EEB">
        <w:rPr>
          <w:rFonts w:ascii="Arial" w:hAnsi="Arial" w:cs="Arial"/>
        </w:rPr>
        <w:t xml:space="preserve"> Defendant</w:t>
      </w:r>
      <w:r w:rsidR="00DE2C28">
        <w:rPr>
          <w:rFonts w:ascii="Arial" w:hAnsi="Arial" w:cs="Arial"/>
        </w:rPr>
        <w:t xml:space="preserve"> [2</w:t>
      </w:r>
      <w:r w:rsidR="00DE2C28" w:rsidRPr="00DE2C28">
        <w:rPr>
          <w:rFonts w:ascii="Arial" w:hAnsi="Arial" w:cs="Arial"/>
          <w:vertAlign w:val="superscript"/>
        </w:rPr>
        <w:t>nd</w:t>
      </w:r>
      <w:r w:rsidR="00DE2C28">
        <w:rPr>
          <w:rFonts w:ascii="Arial" w:hAnsi="Arial" w:cs="Arial"/>
        </w:rPr>
        <w:t xml:space="preserve"> Appellant</w:t>
      </w:r>
      <w:r w:rsidR="00F04842">
        <w:rPr>
          <w:rFonts w:ascii="Arial" w:hAnsi="Arial" w:cs="Arial"/>
        </w:rPr>
        <w:t>]</w:t>
      </w:r>
      <w:r w:rsidR="00FE2EEB">
        <w:rPr>
          <w:rFonts w:ascii="Arial" w:hAnsi="Arial" w:cs="Arial"/>
        </w:rPr>
        <w:t>, entered into a partly oral and partly written agreement for the service of 200 000 housing plots country wide. The written portion of the aforesaid agreement is attached hereto and marked as “</w:t>
      </w:r>
      <w:r w:rsidR="00FE2EEB" w:rsidRPr="00FE2EEB">
        <w:rPr>
          <w:rFonts w:ascii="Arial" w:hAnsi="Arial" w:cs="Arial"/>
          <w:b/>
        </w:rPr>
        <w:t>JSA1</w:t>
      </w:r>
      <w:r w:rsidR="00FE2EEB">
        <w:rPr>
          <w:rFonts w:ascii="Arial" w:hAnsi="Arial" w:cs="Arial"/>
        </w:rPr>
        <w:t>”.</w:t>
      </w:r>
    </w:p>
    <w:p w14:paraId="66AC150B" w14:textId="77777777" w:rsidR="00FE2EEB" w:rsidRDefault="00FE2EEB" w:rsidP="00FE2EEB">
      <w:pPr>
        <w:tabs>
          <w:tab w:val="left" w:pos="0"/>
        </w:tabs>
        <w:spacing w:after="0" w:line="360" w:lineRule="auto"/>
        <w:ind w:left="709" w:hanging="720"/>
        <w:jc w:val="both"/>
        <w:rPr>
          <w:rFonts w:ascii="Arial" w:hAnsi="Arial" w:cs="Arial"/>
        </w:rPr>
      </w:pPr>
    </w:p>
    <w:p w14:paraId="72B022DB" w14:textId="77777777" w:rsidR="00FE2EEB" w:rsidRDefault="00FE2EEB" w:rsidP="00886280">
      <w:pPr>
        <w:tabs>
          <w:tab w:val="left" w:pos="0"/>
          <w:tab w:val="left" w:pos="851"/>
          <w:tab w:val="left" w:pos="1418"/>
        </w:tabs>
        <w:spacing w:after="0" w:line="360" w:lineRule="auto"/>
        <w:ind w:left="1418" w:hanging="2160"/>
        <w:jc w:val="both"/>
        <w:rPr>
          <w:rFonts w:ascii="Arial" w:hAnsi="Arial" w:cs="Arial"/>
        </w:rPr>
      </w:pPr>
      <w:r>
        <w:rPr>
          <w:rFonts w:ascii="Arial" w:hAnsi="Arial" w:cs="Arial"/>
        </w:rPr>
        <w:tab/>
      </w:r>
      <w:r>
        <w:rPr>
          <w:rFonts w:ascii="Arial" w:hAnsi="Arial" w:cs="Arial"/>
        </w:rPr>
        <w:tab/>
        <w:t>6.</w:t>
      </w:r>
      <w:r>
        <w:rPr>
          <w:rFonts w:ascii="Arial" w:hAnsi="Arial" w:cs="Arial"/>
        </w:rPr>
        <w:tab/>
        <w:t xml:space="preserve">The express, alternative tacit and or alternately implied terms of the </w:t>
      </w:r>
      <w:proofErr w:type="gramStart"/>
      <w:r>
        <w:rPr>
          <w:rFonts w:ascii="Arial" w:hAnsi="Arial" w:cs="Arial"/>
        </w:rPr>
        <w:t>aforementioned agreement</w:t>
      </w:r>
      <w:proofErr w:type="gramEnd"/>
      <w:r>
        <w:rPr>
          <w:rFonts w:ascii="Arial" w:hAnsi="Arial" w:cs="Arial"/>
        </w:rPr>
        <w:t xml:space="preserve"> were as follows:</w:t>
      </w:r>
    </w:p>
    <w:p w14:paraId="6A361FEC" w14:textId="77777777" w:rsidR="00F70C9D" w:rsidRDefault="00F70C9D" w:rsidP="00886280">
      <w:pPr>
        <w:tabs>
          <w:tab w:val="left" w:pos="0"/>
          <w:tab w:val="left" w:pos="851"/>
          <w:tab w:val="left" w:pos="1418"/>
        </w:tabs>
        <w:spacing w:after="0" w:line="360" w:lineRule="auto"/>
        <w:ind w:left="1418" w:hanging="2160"/>
        <w:jc w:val="both"/>
        <w:rPr>
          <w:rFonts w:ascii="Arial" w:hAnsi="Arial" w:cs="Arial"/>
        </w:rPr>
      </w:pPr>
    </w:p>
    <w:p w14:paraId="39737E05" w14:textId="77777777" w:rsidR="00F70C9D" w:rsidRDefault="00F70C9D" w:rsidP="00F70C9D">
      <w:pPr>
        <w:tabs>
          <w:tab w:val="left" w:pos="0"/>
          <w:tab w:val="left" w:pos="851"/>
          <w:tab w:val="left" w:pos="1418"/>
        </w:tabs>
        <w:spacing w:after="0" w:line="360" w:lineRule="auto"/>
        <w:ind w:left="2153" w:hanging="2895"/>
        <w:jc w:val="both"/>
        <w:rPr>
          <w:rFonts w:ascii="Arial" w:hAnsi="Arial" w:cs="Arial"/>
        </w:rPr>
      </w:pPr>
      <w:r>
        <w:rPr>
          <w:rFonts w:ascii="Arial" w:hAnsi="Arial" w:cs="Arial"/>
        </w:rPr>
        <w:tab/>
      </w:r>
      <w:r>
        <w:rPr>
          <w:rFonts w:ascii="Arial" w:hAnsi="Arial" w:cs="Arial"/>
        </w:rPr>
        <w:tab/>
      </w:r>
      <w:r>
        <w:rPr>
          <w:rFonts w:ascii="Arial" w:hAnsi="Arial" w:cs="Arial"/>
        </w:rPr>
        <w:tab/>
        <w:t>6.1</w:t>
      </w:r>
      <w:r>
        <w:rPr>
          <w:rFonts w:ascii="Arial" w:hAnsi="Arial" w:cs="Arial"/>
        </w:rPr>
        <w:tab/>
        <w:t xml:space="preserve">That the plaintiff shall not continue with its intended radical </w:t>
      </w:r>
      <w:proofErr w:type="spellStart"/>
      <w:r>
        <w:rPr>
          <w:rFonts w:ascii="Arial" w:hAnsi="Arial" w:cs="Arial"/>
        </w:rPr>
        <w:t>programme</w:t>
      </w:r>
      <w:proofErr w:type="spellEnd"/>
      <w:r>
        <w:rPr>
          <w:rFonts w:ascii="Arial" w:hAnsi="Arial" w:cs="Arial"/>
        </w:rPr>
        <w:t xml:space="preserve"> of action to occupy vacant land in urban </w:t>
      </w:r>
      <w:proofErr w:type="gramStart"/>
      <w:r>
        <w:rPr>
          <w:rFonts w:ascii="Arial" w:hAnsi="Arial" w:cs="Arial"/>
        </w:rPr>
        <w:t>areas;</w:t>
      </w:r>
      <w:proofErr w:type="gramEnd"/>
    </w:p>
    <w:p w14:paraId="1EB66521" w14:textId="77777777" w:rsidR="00F70C9D" w:rsidRDefault="00F70C9D" w:rsidP="00F70C9D">
      <w:pPr>
        <w:tabs>
          <w:tab w:val="left" w:pos="0"/>
          <w:tab w:val="left" w:pos="851"/>
          <w:tab w:val="left" w:pos="1418"/>
        </w:tabs>
        <w:spacing w:after="0" w:line="360" w:lineRule="auto"/>
        <w:ind w:left="2153" w:hanging="2895"/>
        <w:jc w:val="both"/>
        <w:rPr>
          <w:rFonts w:ascii="Arial" w:hAnsi="Arial" w:cs="Arial"/>
        </w:rPr>
      </w:pPr>
    </w:p>
    <w:p w14:paraId="56525843" w14:textId="77777777" w:rsidR="00F70C9D" w:rsidRDefault="00F70C9D" w:rsidP="00F70C9D">
      <w:pPr>
        <w:tabs>
          <w:tab w:val="left" w:pos="0"/>
          <w:tab w:val="left" w:pos="851"/>
          <w:tab w:val="left" w:pos="1418"/>
        </w:tabs>
        <w:spacing w:after="0" w:line="360" w:lineRule="auto"/>
        <w:ind w:left="2153" w:hanging="2153"/>
        <w:jc w:val="both"/>
        <w:rPr>
          <w:rFonts w:ascii="Arial" w:hAnsi="Arial" w:cs="Arial"/>
        </w:rPr>
      </w:pPr>
      <w:r>
        <w:rPr>
          <w:rFonts w:ascii="Arial" w:hAnsi="Arial" w:cs="Arial"/>
        </w:rPr>
        <w:lastRenderedPageBreak/>
        <w:tab/>
      </w:r>
      <w:r>
        <w:rPr>
          <w:rFonts w:ascii="Arial" w:hAnsi="Arial" w:cs="Arial"/>
        </w:rPr>
        <w:tab/>
        <w:t>6.2</w:t>
      </w:r>
      <w:r>
        <w:rPr>
          <w:rFonts w:ascii="Arial" w:hAnsi="Arial" w:cs="Arial"/>
        </w:rPr>
        <w:tab/>
        <w:t>That 1</w:t>
      </w:r>
      <w:r w:rsidRPr="00F70C9D">
        <w:rPr>
          <w:rFonts w:ascii="Arial" w:hAnsi="Arial" w:cs="Arial"/>
          <w:vertAlign w:val="superscript"/>
        </w:rPr>
        <w:t>st</w:t>
      </w:r>
      <w:r>
        <w:rPr>
          <w:rFonts w:ascii="Arial" w:hAnsi="Arial" w:cs="Arial"/>
        </w:rPr>
        <w:t xml:space="preserve"> Defendant shall immediately implement a massive nationwide project earmarked towards servicing of urban land and land </w:t>
      </w:r>
      <w:proofErr w:type="gramStart"/>
      <w:r>
        <w:rPr>
          <w:rFonts w:ascii="Arial" w:hAnsi="Arial" w:cs="Arial"/>
        </w:rPr>
        <w:t>allocation;</w:t>
      </w:r>
      <w:proofErr w:type="gramEnd"/>
    </w:p>
    <w:p w14:paraId="3010E1CD" w14:textId="77777777" w:rsidR="00F04842" w:rsidRDefault="00F04842" w:rsidP="00F70C9D">
      <w:pPr>
        <w:tabs>
          <w:tab w:val="left" w:pos="0"/>
          <w:tab w:val="left" w:pos="851"/>
          <w:tab w:val="left" w:pos="1418"/>
        </w:tabs>
        <w:spacing w:after="0" w:line="360" w:lineRule="auto"/>
        <w:ind w:left="2153" w:hanging="2153"/>
        <w:jc w:val="both"/>
        <w:rPr>
          <w:rFonts w:ascii="Arial" w:hAnsi="Arial" w:cs="Arial"/>
        </w:rPr>
      </w:pPr>
    </w:p>
    <w:p w14:paraId="12B338B0" w14:textId="77777777" w:rsidR="00F70C9D" w:rsidRDefault="00F70C9D" w:rsidP="00F70C9D">
      <w:pPr>
        <w:tabs>
          <w:tab w:val="left" w:pos="0"/>
          <w:tab w:val="left" w:pos="851"/>
          <w:tab w:val="left" w:pos="1418"/>
        </w:tabs>
        <w:spacing w:after="0" w:line="360" w:lineRule="auto"/>
        <w:ind w:left="2153" w:hanging="2153"/>
        <w:jc w:val="both"/>
        <w:rPr>
          <w:rFonts w:ascii="Arial" w:hAnsi="Arial" w:cs="Arial"/>
        </w:rPr>
      </w:pPr>
      <w:r>
        <w:rPr>
          <w:rFonts w:ascii="Arial" w:hAnsi="Arial" w:cs="Arial"/>
        </w:rPr>
        <w:tab/>
      </w:r>
      <w:r>
        <w:rPr>
          <w:rFonts w:ascii="Arial" w:hAnsi="Arial" w:cs="Arial"/>
        </w:rPr>
        <w:tab/>
        <w:t>6.3</w:t>
      </w:r>
      <w:r>
        <w:rPr>
          <w:rFonts w:ascii="Arial" w:hAnsi="Arial" w:cs="Arial"/>
        </w:rPr>
        <w:tab/>
        <w:t>That on a pilot project, 1</w:t>
      </w:r>
      <w:r w:rsidRPr="00F70C9D">
        <w:rPr>
          <w:rFonts w:ascii="Arial" w:hAnsi="Arial" w:cs="Arial"/>
          <w:vertAlign w:val="superscript"/>
        </w:rPr>
        <w:t>st</w:t>
      </w:r>
      <w:r>
        <w:rPr>
          <w:rFonts w:ascii="Arial" w:hAnsi="Arial" w:cs="Arial"/>
        </w:rPr>
        <w:t xml:space="preserve"> Defendant will start by servicing identified land in the towns of Windhoek, Walvis</w:t>
      </w:r>
      <w:r w:rsidR="005F3B48">
        <w:rPr>
          <w:rFonts w:ascii="Arial" w:hAnsi="Arial" w:cs="Arial"/>
        </w:rPr>
        <w:t xml:space="preserve"> </w:t>
      </w:r>
      <w:r>
        <w:rPr>
          <w:rFonts w:ascii="Arial" w:hAnsi="Arial" w:cs="Arial"/>
        </w:rPr>
        <w:t xml:space="preserve">Bay and </w:t>
      </w:r>
      <w:proofErr w:type="gramStart"/>
      <w:r>
        <w:rPr>
          <w:rFonts w:ascii="Arial" w:hAnsi="Arial" w:cs="Arial"/>
        </w:rPr>
        <w:t>Oshakati;</w:t>
      </w:r>
      <w:proofErr w:type="gramEnd"/>
    </w:p>
    <w:p w14:paraId="009268CC" w14:textId="77777777" w:rsidR="00F70C9D" w:rsidRDefault="00F70C9D" w:rsidP="00F70C9D">
      <w:pPr>
        <w:tabs>
          <w:tab w:val="left" w:pos="0"/>
          <w:tab w:val="left" w:pos="851"/>
          <w:tab w:val="left" w:pos="1418"/>
        </w:tabs>
        <w:spacing w:after="0" w:line="360" w:lineRule="auto"/>
        <w:ind w:left="2153" w:hanging="2153"/>
        <w:jc w:val="both"/>
        <w:rPr>
          <w:rFonts w:ascii="Arial" w:hAnsi="Arial" w:cs="Arial"/>
        </w:rPr>
      </w:pPr>
    </w:p>
    <w:p w14:paraId="0BCAF7B6" w14:textId="77777777" w:rsidR="00F70C9D" w:rsidRDefault="00F70C9D" w:rsidP="00F70C9D">
      <w:pPr>
        <w:tabs>
          <w:tab w:val="left" w:pos="0"/>
          <w:tab w:val="left" w:pos="851"/>
          <w:tab w:val="left" w:pos="1418"/>
        </w:tabs>
        <w:spacing w:after="0" w:line="360" w:lineRule="auto"/>
        <w:ind w:left="2153" w:hanging="2153"/>
        <w:jc w:val="both"/>
        <w:rPr>
          <w:rFonts w:ascii="Arial" w:hAnsi="Arial" w:cs="Arial"/>
        </w:rPr>
      </w:pPr>
      <w:r>
        <w:rPr>
          <w:rFonts w:ascii="Arial" w:hAnsi="Arial" w:cs="Arial"/>
        </w:rPr>
        <w:tab/>
      </w:r>
      <w:r>
        <w:rPr>
          <w:rFonts w:ascii="Arial" w:hAnsi="Arial" w:cs="Arial"/>
        </w:rPr>
        <w:tab/>
        <w:t>6.4</w:t>
      </w:r>
      <w:r>
        <w:rPr>
          <w:rFonts w:ascii="Arial" w:hAnsi="Arial" w:cs="Arial"/>
        </w:rPr>
        <w:tab/>
        <w:t>That the 1</w:t>
      </w:r>
      <w:r w:rsidRPr="00F70C9D">
        <w:rPr>
          <w:rFonts w:ascii="Arial" w:hAnsi="Arial" w:cs="Arial"/>
          <w:vertAlign w:val="superscript"/>
        </w:rPr>
        <w:t>st</w:t>
      </w:r>
      <w:r>
        <w:rPr>
          <w:rFonts w:ascii="Arial" w:hAnsi="Arial" w:cs="Arial"/>
        </w:rPr>
        <w:t xml:space="preserve"> Defendant shall immediately</w:t>
      </w:r>
      <w:r w:rsidR="006D32DE">
        <w:rPr>
          <w:rFonts w:ascii="Arial" w:hAnsi="Arial" w:cs="Arial"/>
        </w:rPr>
        <w:t xml:space="preserve"> embark on a project to service 200 000-00 plots country </w:t>
      </w:r>
      <w:proofErr w:type="gramStart"/>
      <w:r w:rsidR="006D32DE">
        <w:rPr>
          <w:rFonts w:ascii="Arial" w:hAnsi="Arial" w:cs="Arial"/>
        </w:rPr>
        <w:t>wide;</w:t>
      </w:r>
      <w:proofErr w:type="gramEnd"/>
    </w:p>
    <w:p w14:paraId="048DAAEF" w14:textId="77777777" w:rsidR="006D32DE" w:rsidRDefault="006D32DE" w:rsidP="00F70C9D">
      <w:pPr>
        <w:tabs>
          <w:tab w:val="left" w:pos="0"/>
          <w:tab w:val="left" w:pos="851"/>
          <w:tab w:val="left" w:pos="1418"/>
        </w:tabs>
        <w:spacing w:after="0" w:line="360" w:lineRule="auto"/>
        <w:ind w:left="2153" w:hanging="2153"/>
        <w:jc w:val="both"/>
        <w:rPr>
          <w:rFonts w:ascii="Arial" w:hAnsi="Arial" w:cs="Arial"/>
        </w:rPr>
      </w:pPr>
    </w:p>
    <w:p w14:paraId="49E33913" w14:textId="77777777" w:rsidR="006D32DE" w:rsidRDefault="006D32DE" w:rsidP="00F70C9D">
      <w:pPr>
        <w:tabs>
          <w:tab w:val="left" w:pos="0"/>
          <w:tab w:val="left" w:pos="851"/>
          <w:tab w:val="left" w:pos="1418"/>
        </w:tabs>
        <w:spacing w:after="0" w:line="360" w:lineRule="auto"/>
        <w:ind w:left="2153" w:hanging="2153"/>
        <w:jc w:val="both"/>
        <w:rPr>
          <w:rFonts w:ascii="Arial" w:hAnsi="Arial" w:cs="Arial"/>
        </w:rPr>
      </w:pPr>
      <w:r>
        <w:rPr>
          <w:rFonts w:ascii="Arial" w:hAnsi="Arial" w:cs="Arial"/>
        </w:rPr>
        <w:tab/>
      </w:r>
      <w:r>
        <w:rPr>
          <w:rFonts w:ascii="Arial" w:hAnsi="Arial" w:cs="Arial"/>
        </w:rPr>
        <w:tab/>
        <w:t>6.5</w:t>
      </w:r>
      <w:r>
        <w:rPr>
          <w:rFonts w:ascii="Arial" w:hAnsi="Arial" w:cs="Arial"/>
        </w:rPr>
        <w:tab/>
        <w:t xml:space="preserve">That the finalization of the servicing of 200 000 shall be achieved within a reasonable time after the </w:t>
      </w:r>
      <w:proofErr w:type="gramStart"/>
      <w:r>
        <w:rPr>
          <w:rFonts w:ascii="Arial" w:hAnsi="Arial" w:cs="Arial"/>
        </w:rPr>
        <w:t>24</w:t>
      </w:r>
      <w:r w:rsidRPr="006D32DE">
        <w:rPr>
          <w:rFonts w:ascii="Arial" w:hAnsi="Arial" w:cs="Arial"/>
          <w:vertAlign w:val="superscript"/>
        </w:rPr>
        <w:t>th</w:t>
      </w:r>
      <w:proofErr w:type="gramEnd"/>
      <w:r>
        <w:rPr>
          <w:rFonts w:ascii="Arial" w:hAnsi="Arial" w:cs="Arial"/>
        </w:rPr>
        <w:t xml:space="preserve"> July 2015.</w:t>
      </w:r>
    </w:p>
    <w:p w14:paraId="2D117079" w14:textId="77777777" w:rsidR="006D32DE" w:rsidRDefault="006D32DE" w:rsidP="00F70C9D">
      <w:pPr>
        <w:tabs>
          <w:tab w:val="left" w:pos="0"/>
          <w:tab w:val="left" w:pos="851"/>
          <w:tab w:val="left" w:pos="1418"/>
        </w:tabs>
        <w:spacing w:after="0" w:line="360" w:lineRule="auto"/>
        <w:ind w:left="2153" w:hanging="2153"/>
        <w:jc w:val="both"/>
        <w:rPr>
          <w:rFonts w:ascii="Arial" w:hAnsi="Arial" w:cs="Arial"/>
        </w:rPr>
      </w:pPr>
    </w:p>
    <w:p w14:paraId="11149698" w14:textId="77777777" w:rsidR="006D32DE" w:rsidRDefault="006D32DE" w:rsidP="006D32DE">
      <w:pPr>
        <w:tabs>
          <w:tab w:val="left" w:pos="0"/>
          <w:tab w:val="left" w:pos="851"/>
          <w:tab w:val="left" w:pos="1418"/>
        </w:tabs>
        <w:spacing w:after="0" w:line="360" w:lineRule="auto"/>
        <w:ind w:left="1418" w:hanging="1418"/>
        <w:jc w:val="both"/>
        <w:rPr>
          <w:rFonts w:ascii="Arial" w:hAnsi="Arial" w:cs="Arial"/>
        </w:rPr>
      </w:pPr>
      <w:r>
        <w:rPr>
          <w:rFonts w:ascii="Arial" w:hAnsi="Arial" w:cs="Arial"/>
        </w:rPr>
        <w:tab/>
        <w:t>7.</w:t>
      </w:r>
      <w:r>
        <w:rPr>
          <w:rFonts w:ascii="Arial" w:hAnsi="Arial" w:cs="Arial"/>
        </w:rPr>
        <w:tab/>
        <w:t xml:space="preserve">Plaintiff duly complied with the terms of the </w:t>
      </w:r>
      <w:proofErr w:type="gramStart"/>
      <w:r>
        <w:rPr>
          <w:rFonts w:ascii="Arial" w:hAnsi="Arial" w:cs="Arial"/>
        </w:rPr>
        <w:t>aforementioned agreement</w:t>
      </w:r>
      <w:proofErr w:type="gramEnd"/>
      <w:r>
        <w:rPr>
          <w:rFonts w:ascii="Arial" w:hAnsi="Arial" w:cs="Arial"/>
        </w:rPr>
        <w:t xml:space="preserve"> as contemplated in that Plaintiff did not continue with its intended radical </w:t>
      </w:r>
      <w:proofErr w:type="spellStart"/>
      <w:r>
        <w:rPr>
          <w:rFonts w:ascii="Arial" w:hAnsi="Arial" w:cs="Arial"/>
        </w:rPr>
        <w:t>programme</w:t>
      </w:r>
      <w:proofErr w:type="spellEnd"/>
      <w:r>
        <w:rPr>
          <w:rFonts w:ascii="Arial" w:hAnsi="Arial" w:cs="Arial"/>
        </w:rPr>
        <w:t xml:space="preserve"> of action to occupy vacant land in urban areas.</w:t>
      </w:r>
    </w:p>
    <w:p w14:paraId="5DE20761" w14:textId="77777777" w:rsidR="006D32DE" w:rsidRDefault="006D32DE" w:rsidP="006D32DE">
      <w:pPr>
        <w:tabs>
          <w:tab w:val="left" w:pos="0"/>
          <w:tab w:val="left" w:pos="851"/>
          <w:tab w:val="left" w:pos="1418"/>
        </w:tabs>
        <w:spacing w:after="0" w:line="360" w:lineRule="auto"/>
        <w:ind w:left="1418" w:hanging="1418"/>
        <w:jc w:val="both"/>
        <w:rPr>
          <w:rFonts w:ascii="Arial" w:hAnsi="Arial" w:cs="Arial"/>
        </w:rPr>
      </w:pPr>
    </w:p>
    <w:p w14:paraId="4341FCFD" w14:textId="77777777" w:rsidR="006D32DE" w:rsidRDefault="006D32DE" w:rsidP="006D32DE">
      <w:pPr>
        <w:tabs>
          <w:tab w:val="left" w:pos="0"/>
          <w:tab w:val="left" w:pos="851"/>
          <w:tab w:val="left" w:pos="1418"/>
        </w:tabs>
        <w:spacing w:after="0" w:line="360" w:lineRule="auto"/>
        <w:ind w:left="1418" w:hanging="1418"/>
        <w:jc w:val="both"/>
        <w:rPr>
          <w:rFonts w:ascii="Arial" w:hAnsi="Arial" w:cs="Arial"/>
        </w:rPr>
      </w:pPr>
      <w:r>
        <w:rPr>
          <w:rFonts w:ascii="Arial" w:hAnsi="Arial" w:cs="Arial"/>
        </w:rPr>
        <w:tab/>
        <w:t>8.</w:t>
      </w:r>
      <w:r>
        <w:rPr>
          <w:rFonts w:ascii="Arial" w:hAnsi="Arial" w:cs="Arial"/>
        </w:rPr>
        <w:tab/>
        <w:t>Despite a period of more than 5 years having passed, the 1</w:t>
      </w:r>
      <w:r w:rsidRPr="006D32DE">
        <w:rPr>
          <w:rFonts w:ascii="Arial" w:hAnsi="Arial" w:cs="Arial"/>
          <w:vertAlign w:val="superscript"/>
        </w:rPr>
        <w:t>st</w:t>
      </w:r>
      <w:r>
        <w:rPr>
          <w:rFonts w:ascii="Arial" w:hAnsi="Arial" w:cs="Arial"/>
        </w:rPr>
        <w:t xml:space="preserve"> Defendant has failed to service 200 000 plots country wide and has merely serviced less than 15 000 plots country wide.</w:t>
      </w:r>
    </w:p>
    <w:p w14:paraId="55934D33" w14:textId="77777777" w:rsidR="006D32DE" w:rsidRDefault="006D32DE" w:rsidP="006D32DE">
      <w:pPr>
        <w:tabs>
          <w:tab w:val="left" w:pos="0"/>
          <w:tab w:val="left" w:pos="851"/>
          <w:tab w:val="left" w:pos="1418"/>
        </w:tabs>
        <w:spacing w:after="0" w:line="360" w:lineRule="auto"/>
        <w:ind w:left="1418" w:hanging="1418"/>
        <w:jc w:val="both"/>
        <w:rPr>
          <w:rFonts w:ascii="Arial" w:hAnsi="Arial" w:cs="Arial"/>
        </w:rPr>
      </w:pPr>
    </w:p>
    <w:p w14:paraId="0F058ED2" w14:textId="77777777" w:rsidR="006D32DE" w:rsidRDefault="006D32DE" w:rsidP="006D32DE">
      <w:pPr>
        <w:tabs>
          <w:tab w:val="left" w:pos="0"/>
          <w:tab w:val="left" w:pos="851"/>
          <w:tab w:val="left" w:pos="1418"/>
        </w:tabs>
        <w:spacing w:after="0" w:line="360" w:lineRule="auto"/>
        <w:ind w:left="1418" w:hanging="1418"/>
        <w:jc w:val="both"/>
        <w:rPr>
          <w:rFonts w:ascii="Arial" w:hAnsi="Arial" w:cs="Arial"/>
        </w:rPr>
      </w:pPr>
      <w:r>
        <w:rPr>
          <w:rFonts w:ascii="Arial" w:hAnsi="Arial" w:cs="Arial"/>
        </w:rPr>
        <w:tab/>
        <w:t>9.</w:t>
      </w:r>
      <w:r>
        <w:rPr>
          <w:rFonts w:ascii="Arial" w:hAnsi="Arial" w:cs="Arial"/>
        </w:rPr>
        <w:tab/>
        <w:t>The 1</w:t>
      </w:r>
      <w:r w:rsidRPr="006D32DE">
        <w:rPr>
          <w:rFonts w:ascii="Arial" w:hAnsi="Arial" w:cs="Arial"/>
          <w:vertAlign w:val="superscript"/>
        </w:rPr>
        <w:t>st</w:t>
      </w:r>
      <w:r>
        <w:rPr>
          <w:rFonts w:ascii="Arial" w:hAnsi="Arial" w:cs="Arial"/>
        </w:rPr>
        <w:t xml:space="preserve"> Defendant has therefore breached the agreement </w:t>
      </w:r>
      <w:proofErr w:type="gramStart"/>
      <w:r>
        <w:rPr>
          <w:rFonts w:ascii="Arial" w:hAnsi="Arial" w:cs="Arial"/>
        </w:rPr>
        <w:t>entered into</w:t>
      </w:r>
      <w:proofErr w:type="gramEnd"/>
      <w:r>
        <w:rPr>
          <w:rFonts w:ascii="Arial" w:hAnsi="Arial" w:cs="Arial"/>
        </w:rPr>
        <w:t xml:space="preserve"> on the 24 July 2015 and the Plaintiff is entitled to an order directing the 1</w:t>
      </w:r>
      <w:r w:rsidRPr="006D32DE">
        <w:rPr>
          <w:rFonts w:ascii="Arial" w:hAnsi="Arial" w:cs="Arial"/>
          <w:vertAlign w:val="superscript"/>
        </w:rPr>
        <w:t>st</w:t>
      </w:r>
      <w:r>
        <w:rPr>
          <w:rFonts w:ascii="Arial" w:hAnsi="Arial" w:cs="Arial"/>
        </w:rPr>
        <w:t xml:space="preserve"> Defendant to act in terms of the said agreement.</w:t>
      </w:r>
      <w:r w:rsidR="005F3B48">
        <w:rPr>
          <w:rFonts w:ascii="Arial" w:hAnsi="Arial" w:cs="Arial"/>
        </w:rPr>
        <w:t>’</w:t>
      </w:r>
    </w:p>
    <w:p w14:paraId="6344DA57" w14:textId="77777777" w:rsidR="00FE2EEB" w:rsidRPr="00C461FF" w:rsidRDefault="00FE2EEB" w:rsidP="00C461FF">
      <w:pPr>
        <w:tabs>
          <w:tab w:val="left" w:pos="0"/>
        </w:tabs>
        <w:spacing w:after="0" w:line="480" w:lineRule="auto"/>
        <w:jc w:val="both"/>
        <w:rPr>
          <w:rFonts w:ascii="Arial" w:hAnsi="Arial" w:cs="Arial"/>
          <w:sz w:val="24"/>
          <w:szCs w:val="24"/>
        </w:rPr>
      </w:pPr>
    </w:p>
    <w:p w14:paraId="63792374" w14:textId="7240B50E" w:rsidR="007B3E4F" w:rsidRDefault="00EF5FF5" w:rsidP="00EF5FF5">
      <w:pPr>
        <w:tabs>
          <w:tab w:val="left" w:pos="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C461FF">
        <w:rPr>
          <w:rFonts w:ascii="Arial" w:hAnsi="Arial" w:cs="Arial"/>
          <w:sz w:val="24"/>
          <w:szCs w:val="24"/>
        </w:rPr>
        <w:t>The annexure JSA1 reads as follows:</w:t>
      </w:r>
    </w:p>
    <w:p w14:paraId="39520FE7" w14:textId="77777777" w:rsidR="00C461FF" w:rsidRPr="00C461FF" w:rsidRDefault="00C461FF" w:rsidP="00C461FF">
      <w:pPr>
        <w:tabs>
          <w:tab w:val="left" w:pos="0"/>
        </w:tabs>
        <w:spacing w:after="0" w:line="360" w:lineRule="auto"/>
        <w:jc w:val="both"/>
        <w:rPr>
          <w:rFonts w:ascii="Arial" w:hAnsi="Arial" w:cs="Arial"/>
        </w:rPr>
      </w:pPr>
    </w:p>
    <w:p w14:paraId="1C38E6F0" w14:textId="77777777" w:rsidR="007B3E4F" w:rsidRPr="007B3E4F" w:rsidRDefault="007B3E4F" w:rsidP="007B3E4F">
      <w:pPr>
        <w:pStyle w:val="ListParagraph"/>
        <w:spacing w:after="0" w:line="360" w:lineRule="auto"/>
        <w:jc w:val="both"/>
        <w:rPr>
          <w:rFonts w:ascii="Arial" w:hAnsi="Arial" w:cs="Arial"/>
          <w:b/>
        </w:rPr>
      </w:pPr>
      <w:r w:rsidRPr="007B3E4F">
        <w:rPr>
          <w:rFonts w:ascii="Arial" w:hAnsi="Arial" w:cs="Arial"/>
          <w:b/>
        </w:rPr>
        <w:t>‘</w:t>
      </w:r>
      <w:r w:rsidR="00C461FF">
        <w:rPr>
          <w:rFonts w:ascii="Arial" w:hAnsi="Arial" w:cs="Arial"/>
          <w:b/>
        </w:rPr>
        <w:t>ANNEXURE “JSA1”</w:t>
      </w:r>
    </w:p>
    <w:p w14:paraId="4E004CBE" w14:textId="77777777" w:rsidR="007B3E4F" w:rsidRDefault="007B3E4F" w:rsidP="007B3E4F">
      <w:pPr>
        <w:pStyle w:val="ListParagraph"/>
        <w:spacing w:after="0" w:line="360" w:lineRule="auto"/>
        <w:jc w:val="both"/>
        <w:rPr>
          <w:rFonts w:ascii="Arial" w:hAnsi="Arial" w:cs="Arial"/>
        </w:rPr>
      </w:pPr>
    </w:p>
    <w:p w14:paraId="7C8D00C4" w14:textId="77777777" w:rsidR="007B3E4F" w:rsidRDefault="00C461FF" w:rsidP="00C461FF">
      <w:pPr>
        <w:pStyle w:val="ListParagraph"/>
        <w:spacing w:after="0" w:line="360" w:lineRule="auto"/>
        <w:ind w:left="709" w:firstLine="11"/>
        <w:jc w:val="both"/>
        <w:rPr>
          <w:rFonts w:ascii="Arial" w:hAnsi="Arial" w:cs="Arial"/>
          <w:b/>
          <w:u w:val="single"/>
        </w:rPr>
      </w:pPr>
      <w:r>
        <w:rPr>
          <w:rFonts w:ascii="Arial" w:hAnsi="Arial" w:cs="Arial"/>
          <w:b/>
          <w:u w:val="single"/>
        </w:rPr>
        <w:t>Agreed Resolutions emanating from the meeting held between the Government of the Republic of Namibia, chaired by H.E</w:t>
      </w:r>
      <w:r w:rsidR="005F3B48">
        <w:rPr>
          <w:rFonts w:ascii="Arial" w:hAnsi="Arial" w:cs="Arial"/>
          <w:b/>
          <w:u w:val="single"/>
        </w:rPr>
        <w:t>.</w:t>
      </w:r>
      <w:r>
        <w:rPr>
          <w:rFonts w:ascii="Arial" w:hAnsi="Arial" w:cs="Arial"/>
          <w:b/>
          <w:u w:val="single"/>
        </w:rPr>
        <w:t xml:space="preserve"> Dr. </w:t>
      </w:r>
      <w:proofErr w:type="spellStart"/>
      <w:r>
        <w:rPr>
          <w:rFonts w:ascii="Arial" w:hAnsi="Arial" w:cs="Arial"/>
          <w:b/>
          <w:u w:val="single"/>
        </w:rPr>
        <w:t>Hage</w:t>
      </w:r>
      <w:proofErr w:type="spellEnd"/>
      <w:r>
        <w:rPr>
          <w:rFonts w:ascii="Arial" w:hAnsi="Arial" w:cs="Arial"/>
          <w:b/>
          <w:u w:val="single"/>
        </w:rPr>
        <w:t xml:space="preserve"> G. Geingob, President of the Republic of Namibia, and the Affirmative Repositioning Movement.</w:t>
      </w:r>
    </w:p>
    <w:p w14:paraId="4863670C" w14:textId="77777777" w:rsidR="00C461FF" w:rsidRDefault="00C461FF" w:rsidP="00C461FF">
      <w:pPr>
        <w:pStyle w:val="ListParagraph"/>
        <w:spacing w:after="0" w:line="360" w:lineRule="auto"/>
        <w:ind w:left="709" w:firstLine="11"/>
        <w:jc w:val="both"/>
        <w:rPr>
          <w:rFonts w:ascii="Arial" w:hAnsi="Arial" w:cs="Arial"/>
          <w:b/>
          <w:u w:val="single"/>
        </w:rPr>
      </w:pPr>
    </w:p>
    <w:p w14:paraId="28751D57" w14:textId="77777777" w:rsidR="00C461FF" w:rsidRPr="00967263" w:rsidRDefault="00C461FF" w:rsidP="00C461FF">
      <w:pPr>
        <w:pStyle w:val="ListParagraph"/>
        <w:spacing w:after="0" w:line="360" w:lineRule="auto"/>
        <w:ind w:left="709" w:firstLine="11"/>
        <w:jc w:val="both"/>
        <w:rPr>
          <w:rFonts w:ascii="Arial" w:hAnsi="Arial" w:cs="Arial"/>
          <w:b/>
        </w:rPr>
      </w:pPr>
      <w:r w:rsidRPr="00967263">
        <w:rPr>
          <w:rFonts w:ascii="Arial" w:hAnsi="Arial" w:cs="Arial"/>
          <w:b/>
        </w:rPr>
        <w:lastRenderedPageBreak/>
        <w:t>Background</w:t>
      </w:r>
    </w:p>
    <w:p w14:paraId="2FF34E40" w14:textId="77777777" w:rsidR="00C461FF" w:rsidRPr="00967263" w:rsidRDefault="00C461FF" w:rsidP="00C461FF">
      <w:pPr>
        <w:pStyle w:val="ListParagraph"/>
        <w:spacing w:after="0" w:line="360" w:lineRule="auto"/>
        <w:ind w:left="709" w:firstLine="11"/>
        <w:jc w:val="both"/>
        <w:rPr>
          <w:rFonts w:ascii="Arial" w:hAnsi="Arial" w:cs="Arial"/>
          <w:b/>
        </w:rPr>
      </w:pPr>
    </w:p>
    <w:p w14:paraId="240DB735" w14:textId="77777777" w:rsidR="00C461FF" w:rsidRPr="00967263" w:rsidRDefault="00C461FF" w:rsidP="00C461FF">
      <w:pPr>
        <w:pStyle w:val="ListParagraph"/>
        <w:spacing w:after="0" w:line="360" w:lineRule="auto"/>
        <w:ind w:left="709" w:firstLine="11"/>
        <w:jc w:val="both"/>
        <w:rPr>
          <w:rFonts w:ascii="Arial" w:hAnsi="Arial" w:cs="Arial"/>
          <w:b/>
        </w:rPr>
      </w:pPr>
      <w:r w:rsidRPr="00967263">
        <w:rPr>
          <w:rFonts w:ascii="Arial" w:hAnsi="Arial" w:cs="Arial"/>
          <w:b/>
        </w:rPr>
        <w:t>On invitation by H.E</w:t>
      </w:r>
      <w:r w:rsidR="005F3B48">
        <w:rPr>
          <w:rFonts w:ascii="Arial" w:hAnsi="Arial" w:cs="Arial"/>
          <w:b/>
        </w:rPr>
        <w:t>.</w:t>
      </w:r>
      <w:r w:rsidRPr="00967263">
        <w:rPr>
          <w:rFonts w:ascii="Arial" w:hAnsi="Arial" w:cs="Arial"/>
          <w:b/>
        </w:rPr>
        <w:t xml:space="preserve"> Dr. </w:t>
      </w:r>
      <w:proofErr w:type="spellStart"/>
      <w:r w:rsidR="00F04842">
        <w:rPr>
          <w:rFonts w:ascii="Arial" w:hAnsi="Arial" w:cs="Arial"/>
          <w:b/>
        </w:rPr>
        <w:t>Hage</w:t>
      </w:r>
      <w:proofErr w:type="spellEnd"/>
      <w:r w:rsidR="00F04842">
        <w:rPr>
          <w:rFonts w:ascii="Arial" w:hAnsi="Arial" w:cs="Arial"/>
          <w:b/>
        </w:rPr>
        <w:t xml:space="preserve"> </w:t>
      </w:r>
      <w:r w:rsidRPr="00967263">
        <w:rPr>
          <w:rFonts w:ascii="Arial" w:hAnsi="Arial" w:cs="Arial"/>
          <w:b/>
        </w:rPr>
        <w:t xml:space="preserve">Geingob, President of the Republic of Namibia, Government met with </w:t>
      </w:r>
      <w:r w:rsidR="00947692" w:rsidRPr="00967263">
        <w:rPr>
          <w:rFonts w:ascii="Arial" w:hAnsi="Arial" w:cs="Arial"/>
          <w:b/>
        </w:rPr>
        <w:t>representatives of the Affirmative Repositioning Movement at State House to discuss and dialogue on the Land Issue.</w:t>
      </w:r>
    </w:p>
    <w:p w14:paraId="3D3A2A72" w14:textId="77777777" w:rsidR="00947692" w:rsidRPr="00967263" w:rsidRDefault="00947692" w:rsidP="00C461FF">
      <w:pPr>
        <w:pStyle w:val="ListParagraph"/>
        <w:spacing w:after="0" w:line="360" w:lineRule="auto"/>
        <w:ind w:left="709" w:firstLine="11"/>
        <w:jc w:val="both"/>
        <w:rPr>
          <w:rFonts w:ascii="Arial" w:hAnsi="Arial" w:cs="Arial"/>
          <w:b/>
        </w:rPr>
      </w:pPr>
    </w:p>
    <w:p w14:paraId="7B7B281C" w14:textId="77777777" w:rsidR="00947692" w:rsidRPr="00967263" w:rsidRDefault="00947692" w:rsidP="00C461FF">
      <w:pPr>
        <w:pStyle w:val="ListParagraph"/>
        <w:spacing w:after="0" w:line="360" w:lineRule="auto"/>
        <w:ind w:left="709" w:firstLine="11"/>
        <w:jc w:val="both"/>
        <w:rPr>
          <w:rFonts w:ascii="Arial" w:hAnsi="Arial" w:cs="Arial"/>
          <w:b/>
        </w:rPr>
      </w:pPr>
      <w:r w:rsidRPr="00967263">
        <w:rPr>
          <w:rFonts w:ascii="Arial" w:hAnsi="Arial" w:cs="Arial"/>
          <w:b/>
        </w:rPr>
        <w:t>H.E</w:t>
      </w:r>
      <w:r w:rsidR="005F3B48">
        <w:rPr>
          <w:rFonts w:ascii="Arial" w:hAnsi="Arial" w:cs="Arial"/>
          <w:b/>
        </w:rPr>
        <w:t>.</w:t>
      </w:r>
      <w:r w:rsidRPr="00967263">
        <w:rPr>
          <w:rFonts w:ascii="Arial" w:hAnsi="Arial" w:cs="Arial"/>
          <w:b/>
        </w:rPr>
        <w:t xml:space="preserve"> the President extended an invitation to the Affirmative Repositioning Movement to engage the Government at State House on 24 July 2015, which commenced at 10H00 up to 16H00.</w:t>
      </w:r>
    </w:p>
    <w:p w14:paraId="3EBEAC10" w14:textId="77777777" w:rsidR="00947692" w:rsidRPr="00967263" w:rsidRDefault="00947692" w:rsidP="00C461FF">
      <w:pPr>
        <w:pStyle w:val="ListParagraph"/>
        <w:spacing w:after="0" w:line="360" w:lineRule="auto"/>
        <w:ind w:left="709" w:firstLine="11"/>
        <w:jc w:val="both"/>
        <w:rPr>
          <w:rFonts w:ascii="Arial" w:hAnsi="Arial" w:cs="Arial"/>
          <w:b/>
        </w:rPr>
      </w:pPr>
    </w:p>
    <w:p w14:paraId="33DBBF40" w14:textId="77777777" w:rsidR="00947692" w:rsidRPr="00967263" w:rsidRDefault="00947692" w:rsidP="00C461FF">
      <w:pPr>
        <w:pStyle w:val="ListParagraph"/>
        <w:spacing w:after="0" w:line="360" w:lineRule="auto"/>
        <w:ind w:left="709" w:firstLine="11"/>
        <w:jc w:val="both"/>
        <w:rPr>
          <w:rFonts w:ascii="Arial" w:hAnsi="Arial" w:cs="Arial"/>
          <w:b/>
        </w:rPr>
      </w:pPr>
      <w:r w:rsidRPr="00967263">
        <w:rPr>
          <w:rFonts w:ascii="Arial" w:hAnsi="Arial" w:cs="Arial"/>
          <w:b/>
        </w:rPr>
        <w:t>The meeting chaired by H.E</w:t>
      </w:r>
      <w:r w:rsidR="005F3B48">
        <w:rPr>
          <w:rFonts w:ascii="Arial" w:hAnsi="Arial" w:cs="Arial"/>
          <w:b/>
        </w:rPr>
        <w:t>.</w:t>
      </w:r>
      <w:r w:rsidRPr="00967263">
        <w:rPr>
          <w:rFonts w:ascii="Arial" w:hAnsi="Arial" w:cs="Arial"/>
          <w:b/>
        </w:rPr>
        <w:t xml:space="preserve"> the President, took place in a cordial atmosphere.</w:t>
      </w:r>
    </w:p>
    <w:p w14:paraId="1044C123" w14:textId="77777777" w:rsidR="00947692" w:rsidRPr="00967263" w:rsidRDefault="00947692" w:rsidP="00C461FF">
      <w:pPr>
        <w:pStyle w:val="ListParagraph"/>
        <w:spacing w:after="0" w:line="360" w:lineRule="auto"/>
        <w:ind w:left="709" w:firstLine="11"/>
        <w:jc w:val="both"/>
        <w:rPr>
          <w:rFonts w:ascii="Arial" w:hAnsi="Arial" w:cs="Arial"/>
          <w:b/>
        </w:rPr>
      </w:pPr>
    </w:p>
    <w:p w14:paraId="38B208BF" w14:textId="77777777" w:rsidR="00947692" w:rsidRPr="00967263" w:rsidRDefault="00947692" w:rsidP="00C461FF">
      <w:pPr>
        <w:pStyle w:val="ListParagraph"/>
        <w:spacing w:after="0" w:line="360" w:lineRule="auto"/>
        <w:ind w:left="709" w:firstLine="11"/>
        <w:jc w:val="both"/>
        <w:rPr>
          <w:rFonts w:ascii="Arial" w:hAnsi="Arial" w:cs="Arial"/>
          <w:b/>
        </w:rPr>
      </w:pPr>
      <w:r w:rsidRPr="00967263">
        <w:rPr>
          <w:rFonts w:ascii="Arial" w:hAnsi="Arial" w:cs="Arial"/>
          <w:b/>
        </w:rPr>
        <w:t>During the discussion it was discovered that there is common ground between the two solutions offered by Government and AR.</w:t>
      </w:r>
    </w:p>
    <w:p w14:paraId="21066799" w14:textId="77777777" w:rsidR="00947692" w:rsidRPr="00967263" w:rsidRDefault="00947692" w:rsidP="00C461FF">
      <w:pPr>
        <w:pStyle w:val="ListParagraph"/>
        <w:spacing w:after="0" w:line="360" w:lineRule="auto"/>
        <w:ind w:left="709" w:firstLine="11"/>
        <w:jc w:val="both"/>
        <w:rPr>
          <w:rFonts w:ascii="Arial" w:hAnsi="Arial" w:cs="Arial"/>
          <w:b/>
        </w:rPr>
      </w:pPr>
    </w:p>
    <w:p w14:paraId="0DC114C1" w14:textId="77777777" w:rsidR="00947692" w:rsidRPr="00967263" w:rsidRDefault="00947692" w:rsidP="00C461FF">
      <w:pPr>
        <w:pStyle w:val="ListParagraph"/>
        <w:spacing w:after="0" w:line="360" w:lineRule="auto"/>
        <w:ind w:left="709" w:firstLine="11"/>
        <w:jc w:val="both"/>
        <w:rPr>
          <w:rFonts w:ascii="Arial" w:hAnsi="Arial" w:cs="Arial"/>
          <w:b/>
        </w:rPr>
      </w:pPr>
      <w:r w:rsidRPr="00967263">
        <w:rPr>
          <w:rFonts w:ascii="Arial" w:hAnsi="Arial" w:cs="Arial"/>
          <w:b/>
        </w:rPr>
        <w:t>The meeting resolved as follows:</w:t>
      </w:r>
    </w:p>
    <w:p w14:paraId="4345DE1F" w14:textId="77777777" w:rsidR="00947692" w:rsidRPr="00967263" w:rsidRDefault="00947692" w:rsidP="00C461FF">
      <w:pPr>
        <w:pStyle w:val="ListParagraph"/>
        <w:spacing w:after="0" w:line="360" w:lineRule="auto"/>
        <w:ind w:left="709" w:firstLine="11"/>
        <w:jc w:val="both"/>
        <w:rPr>
          <w:rFonts w:ascii="Arial" w:hAnsi="Arial" w:cs="Arial"/>
          <w:b/>
        </w:rPr>
      </w:pPr>
    </w:p>
    <w:p w14:paraId="6A6712F7" w14:textId="23B1ACD9" w:rsidR="00947692" w:rsidRPr="00EF5FF5" w:rsidRDefault="00EF5FF5" w:rsidP="00EF5FF5">
      <w:pPr>
        <w:spacing w:after="0" w:line="360" w:lineRule="auto"/>
        <w:ind w:left="1080" w:hanging="360"/>
        <w:jc w:val="both"/>
        <w:rPr>
          <w:rFonts w:ascii="Arial" w:hAnsi="Arial" w:cs="Arial"/>
          <w:b/>
        </w:rPr>
      </w:pPr>
      <w:r w:rsidRPr="00967263">
        <w:rPr>
          <w:rFonts w:ascii="Arial" w:hAnsi="Arial" w:cs="Arial"/>
          <w:b/>
        </w:rPr>
        <w:t>1.</w:t>
      </w:r>
      <w:r w:rsidRPr="00967263">
        <w:rPr>
          <w:rFonts w:ascii="Arial" w:hAnsi="Arial" w:cs="Arial"/>
          <w:b/>
        </w:rPr>
        <w:tab/>
      </w:r>
      <w:r w:rsidR="00947692" w:rsidRPr="00EF5FF5">
        <w:rPr>
          <w:rFonts w:ascii="Arial" w:hAnsi="Arial" w:cs="Arial"/>
          <w:b/>
        </w:rPr>
        <w:t>It was resolved that in line with the War Declared on Poverty as declared by H.E</w:t>
      </w:r>
      <w:r w:rsidR="005F3B48" w:rsidRPr="00EF5FF5">
        <w:rPr>
          <w:rFonts w:ascii="Arial" w:hAnsi="Arial" w:cs="Arial"/>
          <w:b/>
        </w:rPr>
        <w:t>.</w:t>
      </w:r>
      <w:r w:rsidR="00947692" w:rsidRPr="00EF5FF5">
        <w:rPr>
          <w:rFonts w:ascii="Arial" w:hAnsi="Arial" w:cs="Arial"/>
          <w:b/>
        </w:rPr>
        <w:t xml:space="preserve"> the President during his inauguration and during the 2015 state of the nation Address, there shall be a massive nationwide project earmarked towards servicing of urban land and land allocation.</w:t>
      </w:r>
    </w:p>
    <w:p w14:paraId="0F4F876B" w14:textId="77777777" w:rsidR="00947692" w:rsidRPr="00967263" w:rsidRDefault="00947692" w:rsidP="00947692">
      <w:pPr>
        <w:pStyle w:val="ListParagraph"/>
        <w:spacing w:after="0" w:line="360" w:lineRule="auto"/>
        <w:ind w:left="1080"/>
        <w:jc w:val="both"/>
        <w:rPr>
          <w:rFonts w:ascii="Arial" w:hAnsi="Arial" w:cs="Arial"/>
          <w:b/>
        </w:rPr>
      </w:pPr>
    </w:p>
    <w:p w14:paraId="790AC6BF" w14:textId="344770AE" w:rsidR="00947692" w:rsidRPr="00EF5FF5" w:rsidRDefault="00EF5FF5" w:rsidP="00EF5FF5">
      <w:pPr>
        <w:spacing w:after="0" w:line="360" w:lineRule="auto"/>
        <w:ind w:left="1080" w:hanging="360"/>
        <w:jc w:val="both"/>
        <w:rPr>
          <w:rFonts w:ascii="Arial" w:hAnsi="Arial" w:cs="Arial"/>
          <w:b/>
        </w:rPr>
      </w:pPr>
      <w:r w:rsidRPr="00967263">
        <w:rPr>
          <w:rFonts w:ascii="Arial" w:hAnsi="Arial" w:cs="Arial"/>
          <w:b/>
        </w:rPr>
        <w:t>2.</w:t>
      </w:r>
      <w:r w:rsidRPr="00967263">
        <w:rPr>
          <w:rFonts w:ascii="Arial" w:hAnsi="Arial" w:cs="Arial"/>
          <w:b/>
        </w:rPr>
        <w:tab/>
      </w:r>
      <w:r w:rsidR="00947692" w:rsidRPr="00EF5FF5">
        <w:rPr>
          <w:rFonts w:ascii="Arial" w:hAnsi="Arial" w:cs="Arial"/>
          <w:b/>
        </w:rPr>
        <w:t>In this regard, Government will immediately embark on a project to service 200 000 plots country wide.</w:t>
      </w:r>
    </w:p>
    <w:p w14:paraId="2D77740A" w14:textId="77777777" w:rsidR="00947692" w:rsidRPr="00967263" w:rsidRDefault="00947692" w:rsidP="00947692">
      <w:pPr>
        <w:pStyle w:val="ListParagraph"/>
        <w:rPr>
          <w:rFonts w:ascii="Arial" w:hAnsi="Arial" w:cs="Arial"/>
          <w:b/>
        </w:rPr>
      </w:pPr>
    </w:p>
    <w:p w14:paraId="5AAB77C7" w14:textId="7CC84FB7" w:rsidR="00947692" w:rsidRPr="00EF5FF5" w:rsidRDefault="00EF5FF5" w:rsidP="00EF5FF5">
      <w:pPr>
        <w:spacing w:after="0" w:line="360" w:lineRule="auto"/>
        <w:ind w:left="1080" w:hanging="360"/>
        <w:jc w:val="both"/>
        <w:rPr>
          <w:rFonts w:ascii="Arial" w:hAnsi="Arial" w:cs="Arial"/>
          <w:b/>
        </w:rPr>
      </w:pPr>
      <w:r w:rsidRPr="00967263">
        <w:rPr>
          <w:rFonts w:ascii="Arial" w:hAnsi="Arial" w:cs="Arial"/>
          <w:b/>
        </w:rPr>
        <w:t>3.</w:t>
      </w:r>
      <w:r w:rsidRPr="00967263">
        <w:rPr>
          <w:rFonts w:ascii="Arial" w:hAnsi="Arial" w:cs="Arial"/>
          <w:b/>
        </w:rPr>
        <w:tab/>
      </w:r>
      <w:r w:rsidR="00947692" w:rsidRPr="00EF5FF5">
        <w:rPr>
          <w:rFonts w:ascii="Arial" w:hAnsi="Arial" w:cs="Arial"/>
          <w:b/>
        </w:rPr>
        <w:t>On a pilot project basis, Government will start by servicing identified land in the following towns: Windhoek, Walvis Bay and Oshakati.</w:t>
      </w:r>
    </w:p>
    <w:p w14:paraId="7F1EE674" w14:textId="77777777" w:rsidR="00A14021" w:rsidRPr="00967263" w:rsidRDefault="00A14021" w:rsidP="00A14021">
      <w:pPr>
        <w:pStyle w:val="ListParagraph"/>
        <w:rPr>
          <w:rFonts w:ascii="Arial" w:hAnsi="Arial" w:cs="Arial"/>
          <w:b/>
        </w:rPr>
      </w:pPr>
    </w:p>
    <w:p w14:paraId="5F7BF630" w14:textId="0D3F6623" w:rsidR="00A14021" w:rsidRPr="00EF5FF5" w:rsidRDefault="00EF5FF5" w:rsidP="00EF5FF5">
      <w:pPr>
        <w:spacing w:after="0" w:line="360" w:lineRule="auto"/>
        <w:ind w:left="1080" w:hanging="360"/>
        <w:jc w:val="both"/>
        <w:rPr>
          <w:rFonts w:ascii="Arial" w:hAnsi="Arial" w:cs="Arial"/>
          <w:b/>
        </w:rPr>
      </w:pPr>
      <w:r w:rsidRPr="00967263">
        <w:rPr>
          <w:rFonts w:ascii="Arial" w:hAnsi="Arial" w:cs="Arial"/>
          <w:b/>
        </w:rPr>
        <w:t>4.</w:t>
      </w:r>
      <w:r w:rsidRPr="00967263">
        <w:rPr>
          <w:rFonts w:ascii="Arial" w:hAnsi="Arial" w:cs="Arial"/>
          <w:b/>
        </w:rPr>
        <w:tab/>
      </w:r>
      <w:r w:rsidR="00A14021" w:rsidRPr="00EF5FF5">
        <w:rPr>
          <w:rFonts w:ascii="Arial" w:hAnsi="Arial" w:cs="Arial"/>
          <w:b/>
        </w:rPr>
        <w:t>It was further resolved that the period between 29 July to 5 August 2015, will be dedicated to a nationwide clearance of identified urban land.</w:t>
      </w:r>
    </w:p>
    <w:p w14:paraId="31A067A1" w14:textId="77777777" w:rsidR="00A14021" w:rsidRPr="00967263" w:rsidRDefault="00A14021" w:rsidP="00A14021">
      <w:pPr>
        <w:pStyle w:val="ListParagraph"/>
        <w:rPr>
          <w:rFonts w:ascii="Arial" w:hAnsi="Arial" w:cs="Arial"/>
          <w:b/>
        </w:rPr>
      </w:pPr>
    </w:p>
    <w:p w14:paraId="71B45D4F" w14:textId="7C5DC777" w:rsidR="00A14021" w:rsidRPr="00EF5FF5" w:rsidRDefault="00EF5FF5" w:rsidP="00EF5FF5">
      <w:pPr>
        <w:spacing w:after="0" w:line="360" w:lineRule="auto"/>
        <w:ind w:left="1080" w:hanging="360"/>
        <w:jc w:val="both"/>
        <w:rPr>
          <w:rFonts w:ascii="Arial" w:hAnsi="Arial" w:cs="Arial"/>
          <w:b/>
        </w:rPr>
      </w:pPr>
      <w:r w:rsidRPr="00967263">
        <w:rPr>
          <w:rFonts w:ascii="Arial" w:hAnsi="Arial" w:cs="Arial"/>
          <w:b/>
        </w:rPr>
        <w:lastRenderedPageBreak/>
        <w:t>5.</w:t>
      </w:r>
      <w:r w:rsidRPr="00967263">
        <w:rPr>
          <w:rFonts w:ascii="Arial" w:hAnsi="Arial" w:cs="Arial"/>
          <w:b/>
        </w:rPr>
        <w:tab/>
      </w:r>
      <w:r w:rsidR="00A14021" w:rsidRPr="00EF5FF5">
        <w:rPr>
          <w:rFonts w:ascii="Arial" w:hAnsi="Arial" w:cs="Arial"/>
          <w:b/>
        </w:rPr>
        <w:t xml:space="preserve">The aforementioned cleared urban land will be </w:t>
      </w:r>
      <w:proofErr w:type="gramStart"/>
      <w:r w:rsidR="00A14021" w:rsidRPr="00EF5FF5">
        <w:rPr>
          <w:rFonts w:ascii="Arial" w:hAnsi="Arial" w:cs="Arial"/>
          <w:b/>
        </w:rPr>
        <w:t>serviced, and</w:t>
      </w:r>
      <w:proofErr w:type="gramEnd"/>
      <w:r w:rsidR="00A14021" w:rsidRPr="00EF5FF5">
        <w:rPr>
          <w:rFonts w:ascii="Arial" w:hAnsi="Arial" w:cs="Arial"/>
          <w:b/>
        </w:rPr>
        <w:t xml:space="preserve"> is for future allocation.</w:t>
      </w:r>
    </w:p>
    <w:p w14:paraId="2F6C8707" w14:textId="77777777" w:rsidR="00A14021" w:rsidRPr="00967263" w:rsidRDefault="00A14021" w:rsidP="00A14021">
      <w:pPr>
        <w:pStyle w:val="ListParagraph"/>
        <w:rPr>
          <w:rFonts w:ascii="Arial" w:hAnsi="Arial" w:cs="Arial"/>
          <w:b/>
        </w:rPr>
      </w:pPr>
    </w:p>
    <w:p w14:paraId="7184DD99" w14:textId="18B916E7" w:rsidR="00A14021" w:rsidRPr="00EF5FF5" w:rsidRDefault="00EF5FF5" w:rsidP="00EF5FF5">
      <w:pPr>
        <w:spacing w:after="0" w:line="360" w:lineRule="auto"/>
        <w:ind w:left="1080" w:hanging="360"/>
        <w:jc w:val="both"/>
        <w:rPr>
          <w:rFonts w:ascii="Arial" w:hAnsi="Arial" w:cs="Arial"/>
          <w:b/>
        </w:rPr>
      </w:pPr>
      <w:r w:rsidRPr="00967263">
        <w:rPr>
          <w:rFonts w:ascii="Arial" w:hAnsi="Arial" w:cs="Arial"/>
          <w:b/>
        </w:rPr>
        <w:t>6.</w:t>
      </w:r>
      <w:r w:rsidRPr="00967263">
        <w:rPr>
          <w:rFonts w:ascii="Arial" w:hAnsi="Arial" w:cs="Arial"/>
          <w:b/>
        </w:rPr>
        <w:tab/>
      </w:r>
      <w:r w:rsidR="00A14021" w:rsidRPr="00EF5FF5">
        <w:rPr>
          <w:rFonts w:ascii="Arial" w:hAnsi="Arial" w:cs="Arial"/>
          <w:b/>
        </w:rPr>
        <w:t xml:space="preserve">Under the Massive Urban Land Servicing Project, Namibians will be called upon to voluntarily </w:t>
      </w:r>
      <w:r w:rsidR="00AC042F" w:rsidRPr="00EF5FF5">
        <w:rPr>
          <w:rFonts w:ascii="Arial" w:hAnsi="Arial" w:cs="Arial"/>
          <w:b/>
        </w:rPr>
        <w:t>participate in servicing identified urban land for future allocation.</w:t>
      </w:r>
    </w:p>
    <w:p w14:paraId="1136306B" w14:textId="77777777" w:rsidR="00AC042F" w:rsidRPr="00967263" w:rsidRDefault="00AC042F" w:rsidP="00AC042F">
      <w:pPr>
        <w:pStyle w:val="ListParagraph"/>
        <w:rPr>
          <w:rFonts w:ascii="Arial" w:hAnsi="Arial" w:cs="Arial"/>
          <w:b/>
        </w:rPr>
      </w:pPr>
    </w:p>
    <w:p w14:paraId="66EC39D5" w14:textId="04DDE0AC" w:rsidR="00AC042F" w:rsidRPr="00EF5FF5" w:rsidRDefault="00EF5FF5" w:rsidP="00EF5FF5">
      <w:pPr>
        <w:spacing w:after="0" w:line="360" w:lineRule="auto"/>
        <w:ind w:left="1080" w:hanging="360"/>
        <w:jc w:val="both"/>
        <w:rPr>
          <w:rFonts w:ascii="Arial" w:hAnsi="Arial" w:cs="Arial"/>
          <w:b/>
        </w:rPr>
      </w:pPr>
      <w:r w:rsidRPr="00967263">
        <w:rPr>
          <w:rFonts w:ascii="Arial" w:hAnsi="Arial" w:cs="Arial"/>
          <w:b/>
        </w:rPr>
        <w:t>7.</w:t>
      </w:r>
      <w:r w:rsidRPr="00967263">
        <w:rPr>
          <w:rFonts w:ascii="Arial" w:hAnsi="Arial" w:cs="Arial"/>
          <w:b/>
        </w:rPr>
        <w:tab/>
      </w:r>
      <w:r w:rsidR="00AC042F" w:rsidRPr="00EF5FF5">
        <w:rPr>
          <w:rFonts w:ascii="Arial" w:hAnsi="Arial" w:cs="Arial"/>
          <w:b/>
        </w:rPr>
        <w:t xml:space="preserve">To that effect, a technical committee will be established to work out all modalities </w:t>
      </w:r>
      <w:r w:rsidR="00967263" w:rsidRPr="00EF5FF5">
        <w:rPr>
          <w:rFonts w:ascii="Arial" w:hAnsi="Arial" w:cs="Arial"/>
          <w:b/>
        </w:rPr>
        <w:t>regarding the Massive Urban Land Servicing Project.</w:t>
      </w:r>
    </w:p>
    <w:p w14:paraId="0F738CBA" w14:textId="77777777" w:rsidR="00967263" w:rsidRPr="00967263" w:rsidRDefault="00967263" w:rsidP="00967263">
      <w:pPr>
        <w:pStyle w:val="ListParagraph"/>
        <w:rPr>
          <w:rFonts w:ascii="Arial" w:hAnsi="Arial" w:cs="Arial"/>
          <w:b/>
        </w:rPr>
      </w:pPr>
    </w:p>
    <w:p w14:paraId="5EEA8812" w14:textId="77777777" w:rsidR="00967263" w:rsidRPr="00967263" w:rsidRDefault="00967263" w:rsidP="00967263">
      <w:pPr>
        <w:pStyle w:val="ListParagraph"/>
        <w:spacing w:after="0" w:line="360" w:lineRule="auto"/>
        <w:ind w:left="1080"/>
        <w:jc w:val="center"/>
        <w:rPr>
          <w:rFonts w:ascii="Arial" w:hAnsi="Arial" w:cs="Arial"/>
          <w:b/>
        </w:rPr>
      </w:pPr>
      <w:r w:rsidRPr="00967263">
        <w:rPr>
          <w:rFonts w:ascii="Arial" w:hAnsi="Arial" w:cs="Arial"/>
          <w:b/>
        </w:rPr>
        <w:t>/ END /</w:t>
      </w:r>
      <w:r>
        <w:rPr>
          <w:rFonts w:ascii="Arial" w:hAnsi="Arial" w:cs="Arial"/>
          <w:b/>
        </w:rPr>
        <w:t>’</w:t>
      </w:r>
    </w:p>
    <w:p w14:paraId="667305D6" w14:textId="77777777" w:rsidR="0082146A" w:rsidRPr="00967263" w:rsidRDefault="0082146A" w:rsidP="00967263">
      <w:pPr>
        <w:pStyle w:val="ListParagraph"/>
        <w:spacing w:after="0" w:line="480" w:lineRule="auto"/>
        <w:ind w:left="1440" w:hanging="720"/>
        <w:jc w:val="both"/>
        <w:rPr>
          <w:rFonts w:ascii="Arial" w:hAnsi="Arial" w:cs="Arial"/>
          <w:sz w:val="24"/>
          <w:szCs w:val="24"/>
        </w:rPr>
      </w:pPr>
    </w:p>
    <w:p w14:paraId="65B3C0C6" w14:textId="12C9EA8B" w:rsidR="00967263" w:rsidRDefault="00EF5FF5" w:rsidP="00EF5FF5">
      <w:pPr>
        <w:tabs>
          <w:tab w:val="left" w:pos="0"/>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967263">
        <w:rPr>
          <w:rFonts w:ascii="Arial" w:hAnsi="Arial" w:cs="Arial"/>
          <w:sz w:val="24"/>
          <w:szCs w:val="24"/>
        </w:rPr>
        <w:t>To this claim the appellant excepted on four grounds namely:</w:t>
      </w:r>
    </w:p>
    <w:p w14:paraId="3BF76A8F" w14:textId="77777777" w:rsidR="00967263" w:rsidRDefault="00967263" w:rsidP="00967263">
      <w:pPr>
        <w:tabs>
          <w:tab w:val="left" w:pos="0"/>
        </w:tabs>
        <w:spacing w:after="0" w:line="480" w:lineRule="auto"/>
        <w:jc w:val="both"/>
        <w:rPr>
          <w:rFonts w:ascii="Arial" w:hAnsi="Arial" w:cs="Arial"/>
          <w:sz w:val="24"/>
          <w:szCs w:val="24"/>
        </w:rPr>
      </w:pPr>
    </w:p>
    <w:p w14:paraId="1DBFC8BE" w14:textId="164FE9D2" w:rsidR="00967263" w:rsidRPr="00EF5FF5" w:rsidRDefault="00EF5FF5" w:rsidP="00EF5FF5">
      <w:pPr>
        <w:tabs>
          <w:tab w:val="left" w:pos="0"/>
        </w:tabs>
        <w:spacing w:after="0" w:line="480" w:lineRule="auto"/>
        <w:ind w:left="1418" w:hanging="709"/>
        <w:jc w:val="both"/>
        <w:rPr>
          <w:rFonts w:ascii="Arial" w:hAnsi="Arial" w:cs="Arial"/>
          <w:sz w:val="24"/>
          <w:szCs w:val="24"/>
        </w:rPr>
      </w:pPr>
      <w:r>
        <w:rPr>
          <w:rFonts w:ascii="Arial" w:hAnsi="Arial" w:cs="Arial"/>
          <w:sz w:val="24"/>
          <w:szCs w:val="24"/>
        </w:rPr>
        <w:t>(a)</w:t>
      </w:r>
      <w:r>
        <w:rPr>
          <w:rFonts w:ascii="Arial" w:hAnsi="Arial" w:cs="Arial"/>
          <w:sz w:val="24"/>
          <w:szCs w:val="24"/>
        </w:rPr>
        <w:tab/>
      </w:r>
      <w:r w:rsidR="00967263" w:rsidRPr="00EF5FF5">
        <w:rPr>
          <w:rFonts w:ascii="Arial" w:hAnsi="Arial" w:cs="Arial"/>
          <w:sz w:val="24"/>
          <w:szCs w:val="24"/>
        </w:rPr>
        <w:t xml:space="preserve">The alleged agreement relied upon by the </w:t>
      </w:r>
      <w:r w:rsidR="005F3B48" w:rsidRPr="00EF5FF5">
        <w:rPr>
          <w:rFonts w:ascii="Arial" w:hAnsi="Arial" w:cs="Arial"/>
          <w:sz w:val="24"/>
          <w:szCs w:val="24"/>
        </w:rPr>
        <w:t>respondent</w:t>
      </w:r>
      <w:r w:rsidR="00967263" w:rsidRPr="00EF5FF5">
        <w:rPr>
          <w:rFonts w:ascii="Arial" w:hAnsi="Arial" w:cs="Arial"/>
          <w:sz w:val="24"/>
          <w:szCs w:val="24"/>
        </w:rPr>
        <w:t xml:space="preserve"> is against public policy, against the rule of law and unenforceable.</w:t>
      </w:r>
    </w:p>
    <w:p w14:paraId="6184DDDD" w14:textId="77777777" w:rsidR="00613D05" w:rsidRDefault="005F3B48" w:rsidP="005F3B48">
      <w:pPr>
        <w:pStyle w:val="ListParagraph"/>
        <w:tabs>
          <w:tab w:val="left" w:pos="0"/>
          <w:tab w:val="left" w:pos="3930"/>
        </w:tabs>
        <w:spacing w:after="0" w:line="480" w:lineRule="auto"/>
        <w:ind w:left="1418" w:hanging="709"/>
        <w:jc w:val="both"/>
        <w:rPr>
          <w:rFonts w:ascii="Arial" w:hAnsi="Arial" w:cs="Arial"/>
          <w:sz w:val="24"/>
          <w:szCs w:val="24"/>
        </w:rPr>
      </w:pPr>
      <w:r>
        <w:rPr>
          <w:rFonts w:ascii="Arial" w:hAnsi="Arial" w:cs="Arial"/>
          <w:sz w:val="24"/>
          <w:szCs w:val="24"/>
        </w:rPr>
        <w:tab/>
      </w:r>
    </w:p>
    <w:p w14:paraId="41405402" w14:textId="37F5F7FD" w:rsidR="00967263" w:rsidRPr="00EF5FF5" w:rsidRDefault="00EF5FF5" w:rsidP="00EF5FF5">
      <w:pPr>
        <w:tabs>
          <w:tab w:val="left" w:pos="0"/>
        </w:tabs>
        <w:spacing w:after="0" w:line="480" w:lineRule="auto"/>
        <w:ind w:left="1418" w:hanging="709"/>
        <w:jc w:val="both"/>
        <w:rPr>
          <w:rFonts w:ascii="Arial" w:hAnsi="Arial" w:cs="Arial"/>
          <w:sz w:val="24"/>
          <w:szCs w:val="24"/>
        </w:rPr>
      </w:pPr>
      <w:r>
        <w:rPr>
          <w:rFonts w:ascii="Arial" w:hAnsi="Arial" w:cs="Arial"/>
          <w:sz w:val="24"/>
          <w:szCs w:val="24"/>
        </w:rPr>
        <w:t>(b)</w:t>
      </w:r>
      <w:r>
        <w:rPr>
          <w:rFonts w:ascii="Arial" w:hAnsi="Arial" w:cs="Arial"/>
          <w:sz w:val="24"/>
          <w:szCs w:val="24"/>
        </w:rPr>
        <w:tab/>
      </w:r>
      <w:r w:rsidR="00967263" w:rsidRPr="00EF5FF5">
        <w:rPr>
          <w:rFonts w:ascii="Arial" w:hAnsi="Arial" w:cs="Arial"/>
          <w:sz w:val="24"/>
          <w:szCs w:val="24"/>
        </w:rPr>
        <w:t xml:space="preserve">There is no enforceable agreement that this </w:t>
      </w:r>
      <w:r w:rsidR="005F3B48" w:rsidRPr="00EF5FF5">
        <w:rPr>
          <w:rFonts w:ascii="Arial" w:hAnsi="Arial" w:cs="Arial"/>
          <w:sz w:val="24"/>
          <w:szCs w:val="24"/>
        </w:rPr>
        <w:t>C</w:t>
      </w:r>
      <w:r w:rsidR="00967263" w:rsidRPr="00EF5FF5">
        <w:rPr>
          <w:rFonts w:ascii="Arial" w:hAnsi="Arial" w:cs="Arial"/>
          <w:sz w:val="24"/>
          <w:szCs w:val="24"/>
        </w:rPr>
        <w:t>ourt can enforce.</w:t>
      </w:r>
    </w:p>
    <w:p w14:paraId="5BE399B5" w14:textId="77777777" w:rsidR="00613D05" w:rsidRPr="00613D05" w:rsidRDefault="00613D05" w:rsidP="005F3B48">
      <w:pPr>
        <w:pStyle w:val="ListParagraph"/>
        <w:ind w:left="1418" w:hanging="709"/>
        <w:rPr>
          <w:rFonts w:ascii="Arial" w:hAnsi="Arial" w:cs="Arial"/>
          <w:sz w:val="24"/>
          <w:szCs w:val="24"/>
        </w:rPr>
      </w:pPr>
    </w:p>
    <w:p w14:paraId="458C8B72" w14:textId="61C3B59A" w:rsidR="00967263" w:rsidRPr="00EF5FF5" w:rsidRDefault="00EF5FF5" w:rsidP="00EF5FF5">
      <w:pPr>
        <w:tabs>
          <w:tab w:val="left" w:pos="0"/>
        </w:tabs>
        <w:spacing w:after="0" w:line="480" w:lineRule="auto"/>
        <w:ind w:left="1418" w:hanging="709"/>
        <w:jc w:val="both"/>
        <w:rPr>
          <w:rFonts w:ascii="Arial" w:hAnsi="Arial" w:cs="Arial"/>
          <w:sz w:val="24"/>
          <w:szCs w:val="24"/>
        </w:rPr>
      </w:pPr>
      <w:r>
        <w:rPr>
          <w:rFonts w:ascii="Arial" w:hAnsi="Arial" w:cs="Arial"/>
          <w:sz w:val="24"/>
          <w:szCs w:val="24"/>
        </w:rPr>
        <w:t>(c)</w:t>
      </w:r>
      <w:r>
        <w:rPr>
          <w:rFonts w:ascii="Arial" w:hAnsi="Arial" w:cs="Arial"/>
          <w:sz w:val="24"/>
          <w:szCs w:val="24"/>
        </w:rPr>
        <w:tab/>
      </w:r>
      <w:r w:rsidR="00967263" w:rsidRPr="00EF5FF5">
        <w:rPr>
          <w:rFonts w:ascii="Arial" w:hAnsi="Arial" w:cs="Arial"/>
          <w:sz w:val="24"/>
          <w:szCs w:val="24"/>
        </w:rPr>
        <w:t>When the 2</w:t>
      </w:r>
      <w:r w:rsidR="00967263" w:rsidRPr="00EF5FF5">
        <w:rPr>
          <w:rFonts w:ascii="Arial" w:hAnsi="Arial" w:cs="Arial"/>
          <w:sz w:val="24"/>
          <w:szCs w:val="24"/>
          <w:vertAlign w:val="superscript"/>
        </w:rPr>
        <w:t>nd</w:t>
      </w:r>
      <w:r w:rsidR="00967263" w:rsidRPr="00EF5FF5">
        <w:rPr>
          <w:rFonts w:ascii="Arial" w:hAnsi="Arial" w:cs="Arial"/>
          <w:sz w:val="24"/>
          <w:szCs w:val="24"/>
        </w:rPr>
        <w:t xml:space="preserve"> </w:t>
      </w:r>
      <w:r w:rsidR="005F3B48" w:rsidRPr="00EF5FF5">
        <w:rPr>
          <w:rFonts w:ascii="Arial" w:hAnsi="Arial" w:cs="Arial"/>
          <w:sz w:val="24"/>
          <w:szCs w:val="24"/>
        </w:rPr>
        <w:t>appellant</w:t>
      </w:r>
      <w:r w:rsidR="00967263" w:rsidRPr="00EF5FF5">
        <w:rPr>
          <w:rFonts w:ascii="Arial" w:hAnsi="Arial" w:cs="Arial"/>
          <w:sz w:val="24"/>
          <w:szCs w:val="24"/>
        </w:rPr>
        <w:t xml:space="preserve"> acted in the manner alleged in the particulars of claim he acted in his capacity as State President and on this basis his actions are executive in </w:t>
      </w:r>
      <w:proofErr w:type="gramStart"/>
      <w:r w:rsidR="00967263" w:rsidRPr="00EF5FF5">
        <w:rPr>
          <w:rFonts w:ascii="Arial" w:hAnsi="Arial" w:cs="Arial"/>
          <w:sz w:val="24"/>
          <w:szCs w:val="24"/>
        </w:rPr>
        <w:t>nature</w:t>
      </w:r>
      <w:proofErr w:type="gramEnd"/>
      <w:r w:rsidR="00967263" w:rsidRPr="00EF5FF5">
        <w:rPr>
          <w:rFonts w:ascii="Arial" w:hAnsi="Arial" w:cs="Arial"/>
          <w:sz w:val="24"/>
          <w:szCs w:val="24"/>
        </w:rPr>
        <w:t xml:space="preserve"> and they are not enforceable in a court of law.</w:t>
      </w:r>
    </w:p>
    <w:p w14:paraId="3BCE7453" w14:textId="77777777" w:rsidR="00613D05" w:rsidRPr="00613D05" w:rsidRDefault="00613D05" w:rsidP="005F3B48">
      <w:pPr>
        <w:pStyle w:val="ListParagraph"/>
        <w:ind w:left="1418" w:hanging="709"/>
        <w:rPr>
          <w:rFonts w:ascii="Arial" w:hAnsi="Arial" w:cs="Arial"/>
          <w:sz w:val="24"/>
          <w:szCs w:val="24"/>
        </w:rPr>
      </w:pPr>
    </w:p>
    <w:p w14:paraId="7A515ACE" w14:textId="7585C50F" w:rsidR="00967263" w:rsidRPr="00EF5FF5" w:rsidRDefault="00EF5FF5" w:rsidP="00EF5FF5">
      <w:pPr>
        <w:tabs>
          <w:tab w:val="left" w:pos="0"/>
        </w:tabs>
        <w:spacing w:after="0" w:line="480" w:lineRule="auto"/>
        <w:ind w:left="1418" w:hanging="709"/>
        <w:jc w:val="both"/>
        <w:rPr>
          <w:rFonts w:ascii="Arial" w:hAnsi="Arial" w:cs="Arial"/>
          <w:sz w:val="24"/>
          <w:szCs w:val="24"/>
        </w:rPr>
      </w:pPr>
      <w:r>
        <w:rPr>
          <w:rFonts w:ascii="Arial" w:hAnsi="Arial" w:cs="Arial"/>
          <w:sz w:val="24"/>
          <w:szCs w:val="24"/>
        </w:rPr>
        <w:lastRenderedPageBreak/>
        <w:t>(d)</w:t>
      </w:r>
      <w:r>
        <w:rPr>
          <w:rFonts w:ascii="Arial" w:hAnsi="Arial" w:cs="Arial"/>
          <w:sz w:val="24"/>
          <w:szCs w:val="24"/>
        </w:rPr>
        <w:tab/>
      </w:r>
      <w:r w:rsidR="00967263" w:rsidRPr="00EF5FF5">
        <w:rPr>
          <w:rFonts w:ascii="Arial" w:hAnsi="Arial" w:cs="Arial"/>
          <w:sz w:val="24"/>
          <w:szCs w:val="24"/>
        </w:rPr>
        <w:t>Th</w:t>
      </w:r>
      <w:r w:rsidR="00203604" w:rsidRPr="00EF5FF5">
        <w:rPr>
          <w:rFonts w:ascii="Arial" w:hAnsi="Arial" w:cs="Arial"/>
          <w:sz w:val="24"/>
          <w:szCs w:val="24"/>
        </w:rPr>
        <w:t xml:space="preserve">e resolutions set out in paras 2 - 7 of </w:t>
      </w:r>
      <w:r w:rsidR="005F3B48" w:rsidRPr="00EF5FF5">
        <w:rPr>
          <w:rFonts w:ascii="Arial" w:hAnsi="Arial" w:cs="Arial"/>
          <w:sz w:val="24"/>
          <w:szCs w:val="24"/>
        </w:rPr>
        <w:t>A</w:t>
      </w:r>
      <w:r w:rsidR="00203604" w:rsidRPr="00EF5FF5">
        <w:rPr>
          <w:rFonts w:ascii="Arial" w:hAnsi="Arial" w:cs="Arial"/>
          <w:sz w:val="24"/>
          <w:szCs w:val="24"/>
        </w:rPr>
        <w:t>nnexure JSA</w:t>
      </w:r>
      <w:r w:rsidR="00F04842" w:rsidRPr="00EF5FF5">
        <w:rPr>
          <w:rFonts w:ascii="Arial" w:hAnsi="Arial" w:cs="Arial"/>
          <w:sz w:val="24"/>
          <w:szCs w:val="24"/>
        </w:rPr>
        <w:t>1</w:t>
      </w:r>
      <w:r w:rsidR="00203604" w:rsidRPr="00EF5FF5">
        <w:rPr>
          <w:rFonts w:ascii="Arial" w:hAnsi="Arial" w:cs="Arial"/>
          <w:sz w:val="24"/>
          <w:szCs w:val="24"/>
        </w:rPr>
        <w:t xml:space="preserve"> are policy matters of the Government of the Republic of Namibia and they cannot on that basis be enforced as terms of an agreement by a court of law.</w:t>
      </w:r>
    </w:p>
    <w:p w14:paraId="1E159C0E" w14:textId="77777777" w:rsidR="00203604" w:rsidRPr="00967263" w:rsidRDefault="00203604" w:rsidP="00203604">
      <w:pPr>
        <w:pStyle w:val="ListParagraph"/>
        <w:tabs>
          <w:tab w:val="left" w:pos="0"/>
        </w:tabs>
        <w:spacing w:after="0" w:line="480" w:lineRule="auto"/>
        <w:jc w:val="both"/>
        <w:rPr>
          <w:rFonts w:ascii="Arial" w:hAnsi="Arial" w:cs="Arial"/>
          <w:sz w:val="24"/>
          <w:szCs w:val="24"/>
        </w:rPr>
      </w:pPr>
    </w:p>
    <w:p w14:paraId="3E108B72" w14:textId="7AC4AC66" w:rsidR="00EA3D2E" w:rsidRDefault="00EF5FF5" w:rsidP="00EF5FF5">
      <w:pPr>
        <w:tabs>
          <w:tab w:val="left" w:pos="0"/>
        </w:tabs>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CD0013">
        <w:rPr>
          <w:rFonts w:ascii="Arial" w:hAnsi="Arial" w:cs="Arial"/>
          <w:sz w:val="24"/>
          <w:szCs w:val="24"/>
        </w:rPr>
        <w:t xml:space="preserve"> </w:t>
      </w:r>
      <w:r w:rsidR="00203604">
        <w:rPr>
          <w:rFonts w:ascii="Arial" w:hAnsi="Arial" w:cs="Arial"/>
          <w:sz w:val="24"/>
          <w:szCs w:val="24"/>
        </w:rPr>
        <w:t>Therefore</w:t>
      </w:r>
      <w:r w:rsidR="00F04842">
        <w:rPr>
          <w:rFonts w:ascii="Arial" w:hAnsi="Arial" w:cs="Arial"/>
          <w:sz w:val="24"/>
          <w:szCs w:val="24"/>
        </w:rPr>
        <w:t>,</w:t>
      </w:r>
      <w:r w:rsidR="00203604">
        <w:rPr>
          <w:rFonts w:ascii="Arial" w:hAnsi="Arial" w:cs="Arial"/>
          <w:sz w:val="24"/>
          <w:szCs w:val="24"/>
        </w:rPr>
        <w:t xml:space="preserve"> so it is alleged, the respondent’s particulars of claim lack averments in law that are necessary to sustain an action, and additionally </w:t>
      </w:r>
      <w:r w:rsidR="00DE2C28">
        <w:rPr>
          <w:rFonts w:ascii="Arial" w:hAnsi="Arial" w:cs="Arial"/>
          <w:sz w:val="24"/>
          <w:szCs w:val="24"/>
        </w:rPr>
        <w:t>or</w:t>
      </w:r>
      <w:r w:rsidR="00203604">
        <w:rPr>
          <w:rFonts w:ascii="Arial" w:hAnsi="Arial" w:cs="Arial"/>
          <w:sz w:val="24"/>
          <w:szCs w:val="24"/>
        </w:rPr>
        <w:t xml:space="preserve"> alternatively, the respondent’s particulars of claim are in some respects vague and embarrassing.</w:t>
      </w:r>
    </w:p>
    <w:p w14:paraId="1BC25D66" w14:textId="77777777" w:rsidR="005F3B48" w:rsidRDefault="005F3B48" w:rsidP="005F3B48">
      <w:pPr>
        <w:tabs>
          <w:tab w:val="left" w:pos="0"/>
        </w:tabs>
        <w:spacing w:after="0" w:line="480" w:lineRule="auto"/>
        <w:jc w:val="both"/>
        <w:rPr>
          <w:rFonts w:ascii="Arial" w:hAnsi="Arial" w:cs="Arial"/>
          <w:sz w:val="24"/>
          <w:szCs w:val="24"/>
        </w:rPr>
      </w:pPr>
    </w:p>
    <w:p w14:paraId="0A85C263" w14:textId="78A55BEE" w:rsidR="00613D05" w:rsidRDefault="00EF5FF5" w:rsidP="00EF5FF5">
      <w:pPr>
        <w:tabs>
          <w:tab w:val="left" w:pos="0"/>
        </w:tabs>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613D05">
        <w:rPr>
          <w:rFonts w:ascii="Arial" w:hAnsi="Arial" w:cs="Arial"/>
          <w:sz w:val="24"/>
          <w:szCs w:val="24"/>
        </w:rPr>
        <w:t>The appellant</w:t>
      </w:r>
      <w:r w:rsidR="000426B1">
        <w:rPr>
          <w:rFonts w:ascii="Arial" w:hAnsi="Arial" w:cs="Arial"/>
          <w:sz w:val="24"/>
          <w:szCs w:val="24"/>
        </w:rPr>
        <w:t>s</w:t>
      </w:r>
      <w:r w:rsidR="00613D05">
        <w:rPr>
          <w:rFonts w:ascii="Arial" w:hAnsi="Arial" w:cs="Arial"/>
          <w:sz w:val="24"/>
          <w:szCs w:val="24"/>
        </w:rPr>
        <w:t xml:space="preserve"> persist with these grounds of exception in this Court.</w:t>
      </w:r>
    </w:p>
    <w:p w14:paraId="487F0982" w14:textId="77777777" w:rsidR="00613D05" w:rsidRDefault="00613D05" w:rsidP="00613D05">
      <w:pPr>
        <w:tabs>
          <w:tab w:val="left" w:pos="0"/>
        </w:tabs>
        <w:spacing w:after="0" w:line="480" w:lineRule="auto"/>
        <w:jc w:val="both"/>
        <w:rPr>
          <w:rFonts w:ascii="Arial" w:hAnsi="Arial" w:cs="Arial"/>
          <w:sz w:val="24"/>
          <w:szCs w:val="24"/>
        </w:rPr>
      </w:pPr>
    </w:p>
    <w:p w14:paraId="4C9CAD3F" w14:textId="77777777" w:rsidR="00613D05" w:rsidRPr="005F3B48" w:rsidRDefault="00613D05" w:rsidP="00613D05">
      <w:pPr>
        <w:tabs>
          <w:tab w:val="left" w:pos="0"/>
        </w:tabs>
        <w:spacing w:after="0" w:line="480" w:lineRule="auto"/>
        <w:jc w:val="both"/>
        <w:rPr>
          <w:rFonts w:ascii="Arial" w:hAnsi="Arial" w:cs="Arial"/>
          <w:sz w:val="24"/>
          <w:szCs w:val="24"/>
          <w:u w:val="single"/>
        </w:rPr>
      </w:pPr>
      <w:r w:rsidRPr="005F3B48">
        <w:rPr>
          <w:rFonts w:ascii="Arial" w:hAnsi="Arial" w:cs="Arial"/>
          <w:sz w:val="24"/>
          <w:szCs w:val="24"/>
          <w:u w:val="single"/>
        </w:rPr>
        <w:t xml:space="preserve">The High Court </w:t>
      </w:r>
      <w:r w:rsidR="005F3B48">
        <w:rPr>
          <w:rFonts w:ascii="Arial" w:hAnsi="Arial" w:cs="Arial"/>
          <w:sz w:val="24"/>
          <w:szCs w:val="24"/>
          <w:u w:val="single"/>
        </w:rPr>
        <w:t>p</w:t>
      </w:r>
      <w:r w:rsidRPr="005F3B48">
        <w:rPr>
          <w:rFonts w:ascii="Arial" w:hAnsi="Arial" w:cs="Arial"/>
          <w:sz w:val="24"/>
          <w:szCs w:val="24"/>
          <w:u w:val="single"/>
        </w:rPr>
        <w:t>roceedings</w:t>
      </w:r>
    </w:p>
    <w:p w14:paraId="31AF2EBE" w14:textId="0337397E" w:rsidR="00613D05" w:rsidRDefault="00EF5FF5" w:rsidP="00EF5FF5">
      <w:pPr>
        <w:tabs>
          <w:tab w:val="left" w:pos="0"/>
        </w:tabs>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613D05">
        <w:rPr>
          <w:rFonts w:ascii="Arial" w:hAnsi="Arial" w:cs="Arial"/>
          <w:sz w:val="24"/>
          <w:szCs w:val="24"/>
        </w:rPr>
        <w:t xml:space="preserve">The High Court dismissed the exception upholding that it is settled law that when adjudicating on exceptions, the court must accept the facts alleged by plaintiff as correct and that the excipient bears the onus of proving to court that on every interpretation of the particulars of claim no cause of action is disclosed. The court further held that the word radical is misunderstood to mean crime, </w:t>
      </w:r>
      <w:proofErr w:type="gramStart"/>
      <w:r w:rsidR="00613D05">
        <w:rPr>
          <w:rFonts w:ascii="Arial" w:hAnsi="Arial" w:cs="Arial"/>
          <w:sz w:val="24"/>
          <w:szCs w:val="24"/>
        </w:rPr>
        <w:t>delict</w:t>
      </w:r>
      <w:proofErr w:type="gramEnd"/>
      <w:r w:rsidR="00613D05">
        <w:rPr>
          <w:rFonts w:ascii="Arial" w:hAnsi="Arial" w:cs="Arial"/>
          <w:sz w:val="24"/>
          <w:szCs w:val="24"/>
        </w:rPr>
        <w:t xml:space="preserve"> or some unlawful conduct but that is not the true meaning of the word – the word means advocating for thorough or complete political or social change. It was further held that an exception to a pleading is upheld only if upon any reasonable reading of such pleading, no cause of action is disclosed and in the present case the particulars of claim are capable of disclosing a cause of action based </w:t>
      </w:r>
      <w:r w:rsidR="00557F2E">
        <w:rPr>
          <w:rFonts w:ascii="Arial" w:hAnsi="Arial" w:cs="Arial"/>
          <w:sz w:val="24"/>
          <w:szCs w:val="24"/>
        </w:rPr>
        <w:t xml:space="preserve">on </w:t>
      </w:r>
      <w:r w:rsidR="00613D05">
        <w:rPr>
          <w:rFonts w:ascii="Arial" w:hAnsi="Arial" w:cs="Arial"/>
          <w:sz w:val="24"/>
          <w:szCs w:val="24"/>
        </w:rPr>
        <w:t>the agreement between the parties to service 200 000 plots and further that it cannot be said</w:t>
      </w:r>
      <w:r w:rsidR="00654A1C">
        <w:rPr>
          <w:rFonts w:ascii="Arial" w:hAnsi="Arial" w:cs="Arial"/>
          <w:sz w:val="24"/>
          <w:szCs w:val="24"/>
        </w:rPr>
        <w:t xml:space="preserve"> that the agreement created no binding and reciprocal enforceable obligations between the parties, therefore the </w:t>
      </w:r>
      <w:r w:rsidR="00654A1C">
        <w:rPr>
          <w:rFonts w:ascii="Arial" w:hAnsi="Arial" w:cs="Arial"/>
          <w:sz w:val="24"/>
          <w:szCs w:val="24"/>
        </w:rPr>
        <w:lastRenderedPageBreak/>
        <w:t>court is not satisfied that the resolutions taken were political or executive statements in nature incapable of constituting an agreement and therefore the court was not satisfied that the particulars of claim are vague and embarrassing.</w:t>
      </w:r>
    </w:p>
    <w:p w14:paraId="28A0F53C" w14:textId="77777777" w:rsidR="00654A1C" w:rsidRDefault="00654A1C" w:rsidP="00654A1C">
      <w:pPr>
        <w:tabs>
          <w:tab w:val="left" w:pos="0"/>
        </w:tabs>
        <w:spacing w:after="0" w:line="480" w:lineRule="auto"/>
        <w:jc w:val="both"/>
        <w:rPr>
          <w:rFonts w:ascii="Arial" w:hAnsi="Arial" w:cs="Arial"/>
          <w:sz w:val="24"/>
          <w:szCs w:val="24"/>
        </w:rPr>
      </w:pPr>
    </w:p>
    <w:p w14:paraId="41ECB9D7" w14:textId="77777777" w:rsidR="00654A1C" w:rsidRPr="005F3B48" w:rsidRDefault="00654A1C" w:rsidP="00654A1C">
      <w:pPr>
        <w:tabs>
          <w:tab w:val="left" w:pos="0"/>
        </w:tabs>
        <w:spacing w:after="0" w:line="480" w:lineRule="auto"/>
        <w:jc w:val="both"/>
        <w:rPr>
          <w:rFonts w:ascii="Arial" w:hAnsi="Arial" w:cs="Arial"/>
          <w:sz w:val="24"/>
          <w:szCs w:val="24"/>
          <w:u w:val="single"/>
        </w:rPr>
      </w:pPr>
      <w:r w:rsidRPr="005F3B48">
        <w:rPr>
          <w:rFonts w:ascii="Arial" w:hAnsi="Arial" w:cs="Arial"/>
          <w:sz w:val="24"/>
          <w:szCs w:val="24"/>
          <w:u w:val="single"/>
        </w:rPr>
        <w:t xml:space="preserve">The </w:t>
      </w:r>
      <w:r w:rsidR="005F3B48">
        <w:rPr>
          <w:rFonts w:ascii="Arial" w:hAnsi="Arial" w:cs="Arial"/>
          <w:sz w:val="24"/>
          <w:szCs w:val="24"/>
          <w:u w:val="single"/>
        </w:rPr>
        <w:t>s</w:t>
      </w:r>
      <w:r w:rsidRPr="005F3B48">
        <w:rPr>
          <w:rFonts w:ascii="Arial" w:hAnsi="Arial" w:cs="Arial"/>
          <w:sz w:val="24"/>
          <w:szCs w:val="24"/>
          <w:u w:val="single"/>
        </w:rPr>
        <w:t>ubmissions</w:t>
      </w:r>
    </w:p>
    <w:p w14:paraId="31A24C0A" w14:textId="0B8B89EE" w:rsidR="00654A1C" w:rsidRDefault="00EF5FF5" w:rsidP="00EF5FF5">
      <w:pPr>
        <w:tabs>
          <w:tab w:val="left" w:pos="0"/>
        </w:tabs>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654A1C">
        <w:rPr>
          <w:rFonts w:ascii="Arial" w:hAnsi="Arial" w:cs="Arial"/>
          <w:sz w:val="24"/>
          <w:szCs w:val="24"/>
        </w:rPr>
        <w:t>The appellant</w:t>
      </w:r>
      <w:r w:rsidR="000426B1">
        <w:rPr>
          <w:rFonts w:ascii="Arial" w:hAnsi="Arial" w:cs="Arial"/>
          <w:sz w:val="24"/>
          <w:szCs w:val="24"/>
        </w:rPr>
        <w:t>s</w:t>
      </w:r>
      <w:r w:rsidR="00654A1C">
        <w:rPr>
          <w:rFonts w:ascii="Arial" w:hAnsi="Arial" w:cs="Arial"/>
          <w:sz w:val="24"/>
          <w:szCs w:val="24"/>
        </w:rPr>
        <w:t xml:space="preserve"> </w:t>
      </w:r>
      <w:r w:rsidR="00654A1C" w:rsidRPr="00F04842">
        <w:rPr>
          <w:rFonts w:ascii="Arial" w:hAnsi="Arial" w:cs="Arial"/>
          <w:i/>
          <w:sz w:val="24"/>
          <w:szCs w:val="24"/>
        </w:rPr>
        <w:t>ex</w:t>
      </w:r>
      <w:r w:rsidR="00654A1C">
        <w:rPr>
          <w:rFonts w:ascii="Arial" w:hAnsi="Arial" w:cs="Arial"/>
          <w:sz w:val="24"/>
          <w:szCs w:val="24"/>
        </w:rPr>
        <w:t xml:space="preserve"> </w:t>
      </w:r>
      <w:proofErr w:type="spellStart"/>
      <w:r w:rsidR="00654A1C" w:rsidRPr="00F04842">
        <w:rPr>
          <w:rFonts w:ascii="Arial" w:hAnsi="Arial" w:cs="Arial"/>
          <w:i/>
          <w:sz w:val="24"/>
          <w:szCs w:val="24"/>
        </w:rPr>
        <w:t>abundant</w:t>
      </w:r>
      <w:r w:rsidR="00F04842" w:rsidRPr="00F04842">
        <w:rPr>
          <w:rFonts w:ascii="Arial" w:hAnsi="Arial" w:cs="Arial"/>
          <w:i/>
          <w:sz w:val="24"/>
          <w:szCs w:val="24"/>
        </w:rPr>
        <w:t>i</w:t>
      </w:r>
      <w:proofErr w:type="spellEnd"/>
      <w:r w:rsidR="00654A1C">
        <w:rPr>
          <w:rFonts w:ascii="Arial" w:hAnsi="Arial" w:cs="Arial"/>
          <w:sz w:val="24"/>
          <w:szCs w:val="24"/>
        </w:rPr>
        <w:t xml:space="preserve"> </w:t>
      </w:r>
      <w:r w:rsidR="00654A1C" w:rsidRPr="00E611A7">
        <w:rPr>
          <w:rFonts w:ascii="Arial" w:hAnsi="Arial" w:cs="Arial"/>
          <w:i/>
          <w:sz w:val="24"/>
          <w:szCs w:val="24"/>
        </w:rPr>
        <w:t>cautela</w:t>
      </w:r>
      <w:r w:rsidR="00654A1C">
        <w:rPr>
          <w:rFonts w:ascii="Arial" w:hAnsi="Arial" w:cs="Arial"/>
          <w:sz w:val="24"/>
          <w:szCs w:val="24"/>
        </w:rPr>
        <w:t xml:space="preserve"> filed a notice of appeal as of right to court on 17 March 2021 </w:t>
      </w:r>
      <w:proofErr w:type="gramStart"/>
      <w:r w:rsidR="00654A1C">
        <w:rPr>
          <w:rFonts w:ascii="Arial" w:hAnsi="Arial" w:cs="Arial"/>
          <w:sz w:val="24"/>
          <w:szCs w:val="24"/>
        </w:rPr>
        <w:t>and also</w:t>
      </w:r>
      <w:proofErr w:type="gramEnd"/>
      <w:r w:rsidR="00654A1C">
        <w:rPr>
          <w:rFonts w:ascii="Arial" w:hAnsi="Arial" w:cs="Arial"/>
          <w:sz w:val="24"/>
          <w:szCs w:val="24"/>
        </w:rPr>
        <w:t xml:space="preserve"> sought leave from the court </w:t>
      </w:r>
      <w:r w:rsidR="00654A1C">
        <w:rPr>
          <w:rFonts w:ascii="Arial" w:hAnsi="Arial" w:cs="Arial"/>
          <w:i/>
          <w:sz w:val="24"/>
          <w:szCs w:val="24"/>
        </w:rPr>
        <w:t xml:space="preserve">a quo </w:t>
      </w:r>
      <w:r w:rsidR="00654A1C">
        <w:rPr>
          <w:rFonts w:ascii="Arial" w:hAnsi="Arial" w:cs="Arial"/>
          <w:sz w:val="24"/>
          <w:szCs w:val="24"/>
        </w:rPr>
        <w:t xml:space="preserve">to appeal to this </w:t>
      </w:r>
      <w:r w:rsidR="005F3B48">
        <w:rPr>
          <w:rFonts w:ascii="Arial" w:hAnsi="Arial" w:cs="Arial"/>
          <w:sz w:val="24"/>
          <w:szCs w:val="24"/>
        </w:rPr>
        <w:t>C</w:t>
      </w:r>
      <w:r w:rsidR="00654A1C">
        <w:rPr>
          <w:rFonts w:ascii="Arial" w:hAnsi="Arial" w:cs="Arial"/>
          <w:sz w:val="24"/>
          <w:szCs w:val="24"/>
        </w:rPr>
        <w:t xml:space="preserve">ourt, which leave application was heard on 20 August 2021 and </w:t>
      </w:r>
      <w:r w:rsidR="005F3B48">
        <w:rPr>
          <w:rFonts w:ascii="Arial" w:hAnsi="Arial" w:cs="Arial"/>
          <w:sz w:val="24"/>
          <w:szCs w:val="24"/>
        </w:rPr>
        <w:t xml:space="preserve">an </w:t>
      </w:r>
      <w:r w:rsidR="00F04842">
        <w:rPr>
          <w:rFonts w:ascii="Arial" w:hAnsi="Arial" w:cs="Arial"/>
          <w:sz w:val="24"/>
          <w:szCs w:val="24"/>
        </w:rPr>
        <w:t>order</w:t>
      </w:r>
      <w:r w:rsidR="00654A1C">
        <w:rPr>
          <w:rFonts w:ascii="Arial" w:hAnsi="Arial" w:cs="Arial"/>
          <w:sz w:val="24"/>
          <w:szCs w:val="24"/>
        </w:rPr>
        <w:t xml:space="preserve"> granting leave</w:t>
      </w:r>
      <w:r w:rsidR="005F3B48">
        <w:rPr>
          <w:rFonts w:ascii="Arial" w:hAnsi="Arial" w:cs="Arial"/>
          <w:sz w:val="24"/>
          <w:szCs w:val="24"/>
        </w:rPr>
        <w:t xml:space="preserve"> was</w:t>
      </w:r>
      <w:r w:rsidR="00654A1C">
        <w:rPr>
          <w:rFonts w:ascii="Arial" w:hAnsi="Arial" w:cs="Arial"/>
          <w:sz w:val="24"/>
          <w:szCs w:val="24"/>
        </w:rPr>
        <w:t xml:space="preserve"> </w:t>
      </w:r>
      <w:r w:rsidR="00E611A7">
        <w:rPr>
          <w:rFonts w:ascii="Arial" w:hAnsi="Arial" w:cs="Arial"/>
          <w:sz w:val="24"/>
          <w:szCs w:val="24"/>
        </w:rPr>
        <w:t xml:space="preserve">delivered on </w:t>
      </w:r>
      <w:r w:rsidR="00F04842">
        <w:rPr>
          <w:rFonts w:ascii="Arial" w:hAnsi="Arial" w:cs="Arial"/>
          <w:sz w:val="24"/>
          <w:szCs w:val="24"/>
        </w:rPr>
        <w:t>1</w:t>
      </w:r>
      <w:r w:rsidR="00E611A7">
        <w:rPr>
          <w:rFonts w:ascii="Arial" w:hAnsi="Arial" w:cs="Arial"/>
          <w:sz w:val="24"/>
          <w:szCs w:val="24"/>
        </w:rPr>
        <w:t>7 September 2021</w:t>
      </w:r>
      <w:r w:rsidR="00F04842">
        <w:rPr>
          <w:rFonts w:ascii="Arial" w:hAnsi="Arial" w:cs="Arial"/>
          <w:sz w:val="24"/>
          <w:szCs w:val="24"/>
        </w:rPr>
        <w:t xml:space="preserve"> followed by the reasons on 28 September 2021</w:t>
      </w:r>
      <w:r w:rsidR="00E611A7">
        <w:rPr>
          <w:rFonts w:ascii="Arial" w:hAnsi="Arial" w:cs="Arial"/>
          <w:sz w:val="24"/>
          <w:szCs w:val="24"/>
        </w:rPr>
        <w:t>. When leave to appeal was granted</w:t>
      </w:r>
      <w:r w:rsidR="00F04842">
        <w:rPr>
          <w:rFonts w:ascii="Arial" w:hAnsi="Arial" w:cs="Arial"/>
          <w:sz w:val="24"/>
          <w:szCs w:val="24"/>
        </w:rPr>
        <w:t xml:space="preserve"> on 1</w:t>
      </w:r>
      <w:r w:rsidR="00E611A7">
        <w:rPr>
          <w:rFonts w:ascii="Arial" w:hAnsi="Arial" w:cs="Arial"/>
          <w:sz w:val="24"/>
          <w:szCs w:val="24"/>
        </w:rPr>
        <w:t xml:space="preserve">7 September 2021, appellants did not file </w:t>
      </w:r>
      <w:r w:rsidR="005F3B48">
        <w:rPr>
          <w:rFonts w:ascii="Arial" w:hAnsi="Arial" w:cs="Arial"/>
          <w:sz w:val="24"/>
          <w:szCs w:val="24"/>
        </w:rPr>
        <w:t xml:space="preserve">a </w:t>
      </w:r>
      <w:r w:rsidR="00E611A7">
        <w:rPr>
          <w:rFonts w:ascii="Arial" w:hAnsi="Arial" w:cs="Arial"/>
          <w:sz w:val="24"/>
          <w:szCs w:val="24"/>
        </w:rPr>
        <w:t>notice to appeal as they accepted that the notice filed as of right sufficed. As a result of that uncertainty</w:t>
      </w:r>
      <w:r w:rsidR="005F3B48">
        <w:rPr>
          <w:rFonts w:ascii="Arial" w:hAnsi="Arial" w:cs="Arial"/>
          <w:sz w:val="24"/>
          <w:szCs w:val="24"/>
        </w:rPr>
        <w:t>,</w:t>
      </w:r>
      <w:r w:rsidR="00E611A7">
        <w:rPr>
          <w:rFonts w:ascii="Arial" w:hAnsi="Arial" w:cs="Arial"/>
          <w:sz w:val="24"/>
          <w:szCs w:val="24"/>
        </w:rPr>
        <w:t xml:space="preserve"> appellants filed a condonation application on 26 October 2021 ventilating the uncertainty in the event it is found that the dismissal of the ex</w:t>
      </w:r>
      <w:r w:rsidR="00F04842">
        <w:rPr>
          <w:rFonts w:ascii="Arial" w:hAnsi="Arial" w:cs="Arial"/>
          <w:sz w:val="24"/>
          <w:szCs w:val="24"/>
        </w:rPr>
        <w:t>c</w:t>
      </w:r>
      <w:r w:rsidR="00E611A7">
        <w:rPr>
          <w:rFonts w:ascii="Arial" w:hAnsi="Arial" w:cs="Arial"/>
          <w:sz w:val="24"/>
          <w:szCs w:val="24"/>
        </w:rPr>
        <w:t>e</w:t>
      </w:r>
      <w:r w:rsidR="00557F2E">
        <w:rPr>
          <w:rFonts w:ascii="Arial" w:hAnsi="Arial" w:cs="Arial"/>
          <w:sz w:val="24"/>
          <w:szCs w:val="24"/>
        </w:rPr>
        <w:t>p</w:t>
      </w:r>
      <w:r w:rsidR="00E611A7">
        <w:rPr>
          <w:rFonts w:ascii="Arial" w:hAnsi="Arial" w:cs="Arial"/>
          <w:sz w:val="24"/>
          <w:szCs w:val="24"/>
        </w:rPr>
        <w:t xml:space="preserve">tion was interlocutory and required leave from the court </w:t>
      </w:r>
      <w:r w:rsidR="00E611A7">
        <w:rPr>
          <w:rFonts w:ascii="Arial" w:hAnsi="Arial" w:cs="Arial"/>
          <w:i/>
          <w:sz w:val="24"/>
          <w:szCs w:val="24"/>
        </w:rPr>
        <w:t xml:space="preserve">a quo </w:t>
      </w:r>
      <w:r w:rsidR="00E611A7">
        <w:rPr>
          <w:rFonts w:ascii="Arial" w:hAnsi="Arial" w:cs="Arial"/>
          <w:sz w:val="24"/>
          <w:szCs w:val="24"/>
        </w:rPr>
        <w:t>and appellants had no right to appeal as of right.</w:t>
      </w:r>
    </w:p>
    <w:p w14:paraId="3A4BFACB" w14:textId="77777777" w:rsidR="00E611A7" w:rsidRDefault="00E611A7" w:rsidP="00E611A7">
      <w:pPr>
        <w:tabs>
          <w:tab w:val="left" w:pos="0"/>
        </w:tabs>
        <w:spacing w:after="0" w:line="480" w:lineRule="auto"/>
        <w:jc w:val="both"/>
        <w:rPr>
          <w:rFonts w:ascii="Arial" w:hAnsi="Arial" w:cs="Arial"/>
          <w:sz w:val="24"/>
          <w:szCs w:val="24"/>
        </w:rPr>
      </w:pPr>
    </w:p>
    <w:p w14:paraId="0FE10B73" w14:textId="3DC361CB" w:rsidR="00E611A7" w:rsidRDefault="00EF5FF5" w:rsidP="00EF5FF5">
      <w:pPr>
        <w:tabs>
          <w:tab w:val="left" w:pos="0"/>
        </w:tabs>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E611A7">
        <w:rPr>
          <w:rFonts w:ascii="Arial" w:hAnsi="Arial" w:cs="Arial"/>
          <w:sz w:val="24"/>
          <w:szCs w:val="24"/>
        </w:rPr>
        <w:t xml:space="preserve">It is then contended that the appellants in this case, could file the notice of appeal as of right for the reasons that, the court </w:t>
      </w:r>
      <w:r w:rsidR="00E611A7">
        <w:rPr>
          <w:rFonts w:ascii="Arial" w:hAnsi="Arial" w:cs="Arial"/>
          <w:i/>
          <w:sz w:val="24"/>
          <w:szCs w:val="24"/>
        </w:rPr>
        <w:t xml:space="preserve">a quo’s </w:t>
      </w:r>
      <w:r w:rsidR="00E611A7">
        <w:rPr>
          <w:rFonts w:ascii="Arial" w:hAnsi="Arial" w:cs="Arial"/>
          <w:sz w:val="24"/>
          <w:szCs w:val="24"/>
        </w:rPr>
        <w:t>decision on the dismissal of the exception</w:t>
      </w:r>
      <w:r w:rsidR="008B1165">
        <w:rPr>
          <w:rFonts w:ascii="Arial" w:hAnsi="Arial" w:cs="Arial"/>
          <w:sz w:val="24"/>
          <w:szCs w:val="24"/>
        </w:rPr>
        <w:t xml:space="preserve"> (1)</w:t>
      </w:r>
      <w:r w:rsidR="00980E41">
        <w:rPr>
          <w:rFonts w:ascii="Arial" w:hAnsi="Arial" w:cs="Arial"/>
          <w:sz w:val="24"/>
          <w:szCs w:val="24"/>
        </w:rPr>
        <w:t xml:space="preserve"> was final in effect and not susceptible to alteration by it</w:t>
      </w:r>
      <w:r w:rsidR="00034D8B">
        <w:rPr>
          <w:rFonts w:ascii="Arial" w:hAnsi="Arial" w:cs="Arial"/>
          <w:sz w:val="24"/>
          <w:szCs w:val="24"/>
        </w:rPr>
        <w:t>;</w:t>
      </w:r>
      <w:r w:rsidR="00980E41">
        <w:rPr>
          <w:rStyle w:val="FootnoteReference"/>
          <w:rFonts w:ascii="Arial" w:hAnsi="Arial" w:cs="Arial"/>
          <w:sz w:val="24"/>
          <w:szCs w:val="24"/>
        </w:rPr>
        <w:footnoteReference w:id="1"/>
      </w:r>
      <w:r w:rsidR="00F04842">
        <w:rPr>
          <w:rFonts w:ascii="Arial" w:hAnsi="Arial" w:cs="Arial"/>
          <w:sz w:val="24"/>
          <w:szCs w:val="24"/>
        </w:rPr>
        <w:t xml:space="preserve"> </w:t>
      </w:r>
      <w:r w:rsidR="008B1165">
        <w:rPr>
          <w:rFonts w:ascii="Arial" w:hAnsi="Arial" w:cs="Arial"/>
          <w:sz w:val="24"/>
          <w:szCs w:val="24"/>
        </w:rPr>
        <w:t>(2)</w:t>
      </w:r>
      <w:r w:rsidR="00980E41">
        <w:rPr>
          <w:rFonts w:ascii="Arial" w:hAnsi="Arial" w:cs="Arial"/>
          <w:sz w:val="24"/>
          <w:szCs w:val="24"/>
        </w:rPr>
        <w:t xml:space="preserve"> it was also definitive of the rights of the parties on the issue</w:t>
      </w:r>
      <w:r w:rsidR="00557F2E">
        <w:rPr>
          <w:rFonts w:ascii="Arial" w:hAnsi="Arial" w:cs="Arial"/>
          <w:sz w:val="24"/>
          <w:szCs w:val="24"/>
        </w:rPr>
        <w:t>;</w:t>
      </w:r>
      <w:r w:rsidR="008B1165">
        <w:rPr>
          <w:rFonts w:ascii="Arial" w:hAnsi="Arial" w:cs="Arial"/>
          <w:sz w:val="24"/>
          <w:szCs w:val="24"/>
        </w:rPr>
        <w:t xml:space="preserve"> (3) is</w:t>
      </w:r>
      <w:r w:rsidR="00980E41">
        <w:rPr>
          <w:rFonts w:ascii="Arial" w:hAnsi="Arial" w:cs="Arial"/>
          <w:sz w:val="24"/>
          <w:szCs w:val="24"/>
        </w:rPr>
        <w:t xml:space="preserve"> </w:t>
      </w:r>
      <w:r w:rsidR="00032E14">
        <w:rPr>
          <w:rFonts w:ascii="Arial" w:hAnsi="Arial" w:cs="Arial"/>
          <w:sz w:val="24"/>
          <w:szCs w:val="24"/>
        </w:rPr>
        <w:t xml:space="preserve">wrong in law and therefore </w:t>
      </w:r>
      <w:r w:rsidR="00032E14">
        <w:rPr>
          <w:rFonts w:ascii="Arial" w:hAnsi="Arial" w:cs="Arial"/>
          <w:sz w:val="24"/>
          <w:szCs w:val="24"/>
        </w:rPr>
        <w:lastRenderedPageBreak/>
        <w:t>appealable even if it is interlocutory</w:t>
      </w:r>
      <w:r w:rsidR="008B1165">
        <w:rPr>
          <w:rFonts w:ascii="Arial" w:hAnsi="Arial" w:cs="Arial"/>
          <w:sz w:val="24"/>
          <w:szCs w:val="24"/>
        </w:rPr>
        <w:t>; (4) the underlying principle in s 18(1) and (2) of the High Court Act 16 of 1990 is that judgments and orders of the High Court are appealable without leave. In the alternative</w:t>
      </w:r>
      <w:r w:rsidR="00034D8B">
        <w:rPr>
          <w:rFonts w:ascii="Arial" w:hAnsi="Arial" w:cs="Arial"/>
          <w:sz w:val="24"/>
          <w:szCs w:val="24"/>
        </w:rPr>
        <w:t>,</w:t>
      </w:r>
      <w:r w:rsidR="008B1165">
        <w:rPr>
          <w:rFonts w:ascii="Arial" w:hAnsi="Arial" w:cs="Arial"/>
          <w:sz w:val="24"/>
          <w:szCs w:val="24"/>
        </w:rPr>
        <w:t xml:space="preserve"> appellants rel</w:t>
      </w:r>
      <w:r w:rsidR="00F04842">
        <w:rPr>
          <w:rFonts w:ascii="Arial" w:hAnsi="Arial" w:cs="Arial"/>
          <w:sz w:val="24"/>
          <w:szCs w:val="24"/>
        </w:rPr>
        <w:t>y</w:t>
      </w:r>
      <w:r w:rsidR="008B1165">
        <w:rPr>
          <w:rFonts w:ascii="Arial" w:hAnsi="Arial" w:cs="Arial"/>
          <w:sz w:val="24"/>
          <w:szCs w:val="24"/>
        </w:rPr>
        <w:t xml:space="preserve"> on s 18(3)</w:t>
      </w:r>
      <w:r w:rsidR="008B1165">
        <w:rPr>
          <w:rStyle w:val="FootnoteReference"/>
          <w:rFonts w:ascii="Arial" w:hAnsi="Arial" w:cs="Arial"/>
          <w:sz w:val="24"/>
          <w:szCs w:val="24"/>
        </w:rPr>
        <w:footnoteReference w:id="2"/>
      </w:r>
      <w:r w:rsidR="00A778EC">
        <w:rPr>
          <w:rFonts w:ascii="Arial" w:hAnsi="Arial" w:cs="Arial"/>
          <w:sz w:val="24"/>
          <w:szCs w:val="24"/>
        </w:rPr>
        <w:t xml:space="preserve"> of the High Court Act – hence the application for leave.</w:t>
      </w:r>
    </w:p>
    <w:p w14:paraId="4780FC1D" w14:textId="77777777" w:rsidR="00A778EC" w:rsidRDefault="00A778EC" w:rsidP="00A778EC">
      <w:pPr>
        <w:pStyle w:val="ListParagraph"/>
        <w:rPr>
          <w:rFonts w:ascii="Arial" w:hAnsi="Arial" w:cs="Arial"/>
          <w:sz w:val="24"/>
          <w:szCs w:val="24"/>
        </w:rPr>
      </w:pPr>
    </w:p>
    <w:p w14:paraId="3A54CD5C" w14:textId="546B91C0" w:rsidR="00A778EC" w:rsidRDefault="00EF5FF5" w:rsidP="00EF5FF5">
      <w:pPr>
        <w:tabs>
          <w:tab w:val="left" w:pos="0"/>
        </w:tabs>
        <w:spacing w:after="0"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A778EC">
        <w:rPr>
          <w:rFonts w:ascii="Arial" w:hAnsi="Arial" w:cs="Arial"/>
          <w:sz w:val="24"/>
          <w:szCs w:val="24"/>
        </w:rPr>
        <w:t xml:space="preserve">In my opinion the submissions on the condonation application require no further consideration. Either way the appeal is properly before this </w:t>
      </w:r>
      <w:r w:rsidR="00034D8B">
        <w:rPr>
          <w:rFonts w:ascii="Arial" w:hAnsi="Arial" w:cs="Arial"/>
          <w:sz w:val="24"/>
          <w:szCs w:val="24"/>
        </w:rPr>
        <w:t>C</w:t>
      </w:r>
      <w:r w:rsidR="00A778EC">
        <w:rPr>
          <w:rFonts w:ascii="Arial" w:hAnsi="Arial" w:cs="Arial"/>
          <w:sz w:val="24"/>
          <w:szCs w:val="24"/>
        </w:rPr>
        <w:t xml:space="preserve">ourt. On the facts of the case, as I will demonstrate infra, the appellants were entitled to approach this </w:t>
      </w:r>
      <w:r w:rsidR="00034D8B">
        <w:rPr>
          <w:rFonts w:ascii="Arial" w:hAnsi="Arial" w:cs="Arial"/>
          <w:sz w:val="24"/>
          <w:szCs w:val="24"/>
        </w:rPr>
        <w:t>C</w:t>
      </w:r>
      <w:r w:rsidR="00A778EC">
        <w:rPr>
          <w:rFonts w:ascii="Arial" w:hAnsi="Arial" w:cs="Arial"/>
          <w:sz w:val="24"/>
          <w:szCs w:val="24"/>
        </w:rPr>
        <w:t xml:space="preserve">ourt as of right – application for leave to appeal to this </w:t>
      </w:r>
      <w:r w:rsidR="00034D8B">
        <w:rPr>
          <w:rFonts w:ascii="Arial" w:hAnsi="Arial" w:cs="Arial"/>
          <w:sz w:val="24"/>
          <w:szCs w:val="24"/>
        </w:rPr>
        <w:t>C</w:t>
      </w:r>
      <w:r w:rsidR="00A778EC">
        <w:rPr>
          <w:rFonts w:ascii="Arial" w:hAnsi="Arial" w:cs="Arial"/>
          <w:sz w:val="24"/>
          <w:szCs w:val="24"/>
        </w:rPr>
        <w:t xml:space="preserve">ourt was not necessary </w:t>
      </w:r>
      <w:r w:rsidR="00482EAA">
        <w:rPr>
          <w:rFonts w:ascii="Arial" w:hAnsi="Arial" w:cs="Arial"/>
          <w:sz w:val="24"/>
          <w:szCs w:val="24"/>
        </w:rPr>
        <w:t xml:space="preserve">and </w:t>
      </w:r>
      <w:r w:rsidR="00A778EC">
        <w:rPr>
          <w:rFonts w:ascii="Arial" w:hAnsi="Arial" w:cs="Arial"/>
          <w:sz w:val="24"/>
          <w:szCs w:val="24"/>
        </w:rPr>
        <w:t>condonation should be granted which I do.</w:t>
      </w:r>
    </w:p>
    <w:p w14:paraId="625720AE" w14:textId="77777777" w:rsidR="00A778EC" w:rsidRDefault="00A778EC" w:rsidP="00482EAA">
      <w:pPr>
        <w:pStyle w:val="ListParagraph"/>
        <w:spacing w:after="0" w:line="480" w:lineRule="auto"/>
        <w:jc w:val="both"/>
        <w:rPr>
          <w:rFonts w:ascii="Arial" w:hAnsi="Arial" w:cs="Arial"/>
          <w:sz w:val="24"/>
          <w:szCs w:val="24"/>
        </w:rPr>
      </w:pPr>
    </w:p>
    <w:p w14:paraId="438DA062" w14:textId="336C14ED" w:rsidR="00A778EC" w:rsidRDefault="00EF5FF5" w:rsidP="00EF5FF5">
      <w:pPr>
        <w:tabs>
          <w:tab w:val="left" w:pos="0"/>
        </w:tabs>
        <w:spacing w:after="0"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82EAA">
        <w:rPr>
          <w:rFonts w:ascii="Arial" w:hAnsi="Arial" w:cs="Arial"/>
          <w:sz w:val="24"/>
          <w:szCs w:val="24"/>
        </w:rPr>
        <w:t xml:space="preserve">It is to the submissions on the main case I now turn. </w:t>
      </w:r>
      <w:r w:rsidR="00A778EC">
        <w:rPr>
          <w:rFonts w:ascii="Arial" w:hAnsi="Arial" w:cs="Arial"/>
          <w:sz w:val="24"/>
          <w:szCs w:val="24"/>
        </w:rPr>
        <w:t>Appellants persist in the four grounds as a bas</w:t>
      </w:r>
      <w:r w:rsidR="00482EAA">
        <w:rPr>
          <w:rFonts w:ascii="Arial" w:hAnsi="Arial" w:cs="Arial"/>
          <w:sz w:val="24"/>
          <w:szCs w:val="24"/>
        </w:rPr>
        <w:t>is of the exception and contend</w:t>
      </w:r>
      <w:r w:rsidR="00A778EC">
        <w:rPr>
          <w:rFonts w:ascii="Arial" w:hAnsi="Arial" w:cs="Arial"/>
          <w:sz w:val="24"/>
          <w:szCs w:val="24"/>
        </w:rPr>
        <w:t xml:space="preserve"> that the alleged agreement (the resolutions in </w:t>
      </w:r>
      <w:r w:rsidR="00034D8B">
        <w:rPr>
          <w:rFonts w:ascii="Arial" w:hAnsi="Arial" w:cs="Arial"/>
          <w:sz w:val="24"/>
          <w:szCs w:val="24"/>
        </w:rPr>
        <w:t>A</w:t>
      </w:r>
      <w:r w:rsidR="00A778EC">
        <w:rPr>
          <w:rFonts w:ascii="Arial" w:hAnsi="Arial" w:cs="Arial"/>
          <w:sz w:val="24"/>
          <w:szCs w:val="24"/>
        </w:rPr>
        <w:t>nnexure JSA1) that the respondent relies on does not in law exist or the alleged agreement cannot be legally enforced by any court of law, as in the circumstances the respondent’s particulars of claim lack the necessary averments that should sustain its action or claims.</w:t>
      </w:r>
    </w:p>
    <w:p w14:paraId="2B4E9C08" w14:textId="77777777" w:rsidR="00A778EC" w:rsidRDefault="00A778EC" w:rsidP="00A778EC">
      <w:pPr>
        <w:tabs>
          <w:tab w:val="left" w:pos="0"/>
        </w:tabs>
        <w:spacing w:after="0" w:line="480" w:lineRule="auto"/>
        <w:jc w:val="both"/>
        <w:rPr>
          <w:rFonts w:ascii="Arial" w:hAnsi="Arial" w:cs="Arial"/>
          <w:sz w:val="24"/>
          <w:szCs w:val="24"/>
        </w:rPr>
      </w:pPr>
    </w:p>
    <w:p w14:paraId="01C49CE0" w14:textId="66F3D62B" w:rsidR="00A778EC" w:rsidRDefault="00EF5FF5" w:rsidP="00EF5FF5">
      <w:pPr>
        <w:tabs>
          <w:tab w:val="left" w:pos="0"/>
        </w:tabs>
        <w:spacing w:after="0"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A778EC">
        <w:rPr>
          <w:rFonts w:ascii="Arial" w:hAnsi="Arial" w:cs="Arial"/>
          <w:sz w:val="24"/>
          <w:szCs w:val="24"/>
        </w:rPr>
        <w:t xml:space="preserve">It is further contended that the court </w:t>
      </w:r>
      <w:r w:rsidR="00A778EC">
        <w:rPr>
          <w:rFonts w:ascii="Arial" w:hAnsi="Arial" w:cs="Arial"/>
          <w:i/>
          <w:sz w:val="24"/>
          <w:szCs w:val="24"/>
        </w:rPr>
        <w:t xml:space="preserve">a quo </w:t>
      </w:r>
      <w:r w:rsidR="00A778EC">
        <w:rPr>
          <w:rFonts w:ascii="Arial" w:hAnsi="Arial" w:cs="Arial"/>
          <w:sz w:val="24"/>
          <w:szCs w:val="24"/>
        </w:rPr>
        <w:t>followed an incorrect approach in determining the exception, when the court conflated/fused the four bas</w:t>
      </w:r>
      <w:r w:rsidR="00034D8B">
        <w:rPr>
          <w:rFonts w:ascii="Arial" w:hAnsi="Arial" w:cs="Arial"/>
          <w:sz w:val="24"/>
          <w:szCs w:val="24"/>
        </w:rPr>
        <w:t>e</w:t>
      </w:r>
      <w:r w:rsidR="00A778EC">
        <w:rPr>
          <w:rFonts w:ascii="Arial" w:hAnsi="Arial" w:cs="Arial"/>
          <w:sz w:val="24"/>
          <w:szCs w:val="24"/>
        </w:rPr>
        <w:t xml:space="preserve">s of the </w:t>
      </w:r>
      <w:r w:rsidR="00A778EC">
        <w:rPr>
          <w:rFonts w:ascii="Arial" w:hAnsi="Arial" w:cs="Arial"/>
          <w:sz w:val="24"/>
          <w:szCs w:val="24"/>
        </w:rPr>
        <w:lastRenderedPageBreak/>
        <w:t>exception into one ground, ignoring the different bas</w:t>
      </w:r>
      <w:r w:rsidR="00034D8B">
        <w:rPr>
          <w:rFonts w:ascii="Arial" w:hAnsi="Arial" w:cs="Arial"/>
          <w:sz w:val="24"/>
          <w:szCs w:val="24"/>
        </w:rPr>
        <w:t>e</w:t>
      </w:r>
      <w:r w:rsidR="00A778EC">
        <w:rPr>
          <w:rFonts w:ascii="Arial" w:hAnsi="Arial" w:cs="Arial"/>
          <w:sz w:val="24"/>
          <w:szCs w:val="24"/>
        </w:rPr>
        <w:t>s upon which each ground was base</w:t>
      </w:r>
      <w:r w:rsidR="000426B1">
        <w:rPr>
          <w:rFonts w:ascii="Arial" w:hAnsi="Arial" w:cs="Arial"/>
          <w:sz w:val="24"/>
          <w:szCs w:val="24"/>
        </w:rPr>
        <w:t>d</w:t>
      </w:r>
      <w:r w:rsidR="00A778EC">
        <w:rPr>
          <w:rFonts w:ascii="Arial" w:hAnsi="Arial" w:cs="Arial"/>
          <w:sz w:val="24"/>
          <w:szCs w:val="24"/>
        </w:rPr>
        <w:t xml:space="preserve">, the court </w:t>
      </w:r>
      <w:r w:rsidR="00A778EC">
        <w:rPr>
          <w:rFonts w:ascii="Arial" w:hAnsi="Arial" w:cs="Arial"/>
          <w:i/>
          <w:sz w:val="24"/>
          <w:szCs w:val="24"/>
        </w:rPr>
        <w:t xml:space="preserve">a quo </w:t>
      </w:r>
      <w:r w:rsidR="00A778EC">
        <w:rPr>
          <w:rFonts w:ascii="Arial" w:hAnsi="Arial" w:cs="Arial"/>
          <w:sz w:val="24"/>
          <w:szCs w:val="24"/>
        </w:rPr>
        <w:t xml:space="preserve">failed to interpret the terms of the alleged agreement as pleaded in the respondent’s particulars of claim and failed to consider the nature of the relationship of the parties to the alleged agreement in order to determine the nature of the alleged agreement. The wrong approach adopted by the court </w:t>
      </w:r>
      <w:r w:rsidR="00252EDC">
        <w:rPr>
          <w:rFonts w:ascii="Arial" w:hAnsi="Arial" w:cs="Arial"/>
          <w:i/>
          <w:sz w:val="24"/>
          <w:szCs w:val="24"/>
        </w:rPr>
        <w:t xml:space="preserve">a quo </w:t>
      </w:r>
      <w:r w:rsidR="00252EDC">
        <w:rPr>
          <w:rFonts w:ascii="Arial" w:hAnsi="Arial" w:cs="Arial"/>
          <w:sz w:val="24"/>
          <w:szCs w:val="24"/>
        </w:rPr>
        <w:t>in the determination of the exception, so it was contended, resulted in the wrong findings the court made in paras 19, 24 to 31 and 36.</w:t>
      </w:r>
    </w:p>
    <w:p w14:paraId="6EC2F92A" w14:textId="77777777" w:rsidR="00252EDC" w:rsidRDefault="00252EDC" w:rsidP="00252EDC">
      <w:pPr>
        <w:pStyle w:val="ListParagraph"/>
        <w:rPr>
          <w:rFonts w:ascii="Arial" w:hAnsi="Arial" w:cs="Arial"/>
          <w:sz w:val="24"/>
          <w:szCs w:val="24"/>
        </w:rPr>
      </w:pPr>
    </w:p>
    <w:p w14:paraId="48DDBE84" w14:textId="0AA494F9" w:rsidR="00252EDC" w:rsidRDefault="00EF5FF5" w:rsidP="00EF5FF5">
      <w:pPr>
        <w:tabs>
          <w:tab w:val="left" w:pos="0"/>
        </w:tabs>
        <w:spacing w:after="0"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252EDC">
        <w:rPr>
          <w:rFonts w:ascii="Arial" w:hAnsi="Arial" w:cs="Arial"/>
          <w:sz w:val="24"/>
          <w:szCs w:val="24"/>
        </w:rPr>
        <w:t xml:space="preserve">On the ground that the agreement was against public policy, </w:t>
      </w:r>
      <w:r w:rsidR="00034D8B">
        <w:rPr>
          <w:rFonts w:ascii="Arial" w:hAnsi="Arial" w:cs="Arial"/>
          <w:sz w:val="24"/>
          <w:szCs w:val="24"/>
        </w:rPr>
        <w:t xml:space="preserve">the </w:t>
      </w:r>
      <w:r w:rsidR="00252EDC">
        <w:rPr>
          <w:rFonts w:ascii="Arial" w:hAnsi="Arial" w:cs="Arial"/>
          <w:sz w:val="24"/>
          <w:szCs w:val="24"/>
        </w:rPr>
        <w:t xml:space="preserve">rule of law and being unenforceable, it was contended that when the court </w:t>
      </w:r>
      <w:r w:rsidR="00252EDC">
        <w:rPr>
          <w:rFonts w:ascii="Arial" w:hAnsi="Arial" w:cs="Arial"/>
          <w:i/>
          <w:sz w:val="24"/>
          <w:szCs w:val="24"/>
        </w:rPr>
        <w:t>a quo</w:t>
      </w:r>
      <w:r w:rsidR="00252EDC">
        <w:rPr>
          <w:rFonts w:ascii="Arial" w:hAnsi="Arial" w:cs="Arial"/>
          <w:sz w:val="24"/>
          <w:szCs w:val="24"/>
        </w:rPr>
        <w:t xml:space="preserve">, held that, ‘for an agreement to be categorized in this group (public policy), it must be established that it is indeed against public policy’ was to set the bar/test much higher which is an incorrect yardstick/test. That error was acknowledged by the court </w:t>
      </w:r>
      <w:r w:rsidR="00252EDC">
        <w:rPr>
          <w:rFonts w:ascii="Arial" w:hAnsi="Arial" w:cs="Arial"/>
          <w:i/>
          <w:sz w:val="24"/>
          <w:szCs w:val="24"/>
        </w:rPr>
        <w:t xml:space="preserve">a quo </w:t>
      </w:r>
      <w:r w:rsidR="00252EDC">
        <w:rPr>
          <w:rFonts w:ascii="Arial" w:hAnsi="Arial" w:cs="Arial"/>
          <w:sz w:val="24"/>
          <w:szCs w:val="24"/>
        </w:rPr>
        <w:t xml:space="preserve">in its judgment in the application for leave to appeal to this </w:t>
      </w:r>
      <w:r w:rsidR="00034D8B">
        <w:rPr>
          <w:rFonts w:ascii="Arial" w:hAnsi="Arial" w:cs="Arial"/>
          <w:sz w:val="24"/>
          <w:szCs w:val="24"/>
        </w:rPr>
        <w:t>C</w:t>
      </w:r>
      <w:r w:rsidR="00252EDC">
        <w:rPr>
          <w:rFonts w:ascii="Arial" w:hAnsi="Arial" w:cs="Arial"/>
          <w:sz w:val="24"/>
          <w:szCs w:val="24"/>
        </w:rPr>
        <w:t xml:space="preserve">ourt and it was on that point alone that leave was granted </w:t>
      </w:r>
      <w:proofErr w:type="gramStart"/>
      <w:r w:rsidR="00252EDC">
        <w:rPr>
          <w:rFonts w:ascii="Arial" w:hAnsi="Arial" w:cs="Arial"/>
          <w:sz w:val="24"/>
          <w:szCs w:val="24"/>
        </w:rPr>
        <w:t>and on that concession</w:t>
      </w:r>
      <w:proofErr w:type="gramEnd"/>
      <w:r w:rsidR="00252EDC">
        <w:rPr>
          <w:rFonts w:ascii="Arial" w:hAnsi="Arial" w:cs="Arial"/>
          <w:sz w:val="24"/>
          <w:szCs w:val="24"/>
        </w:rPr>
        <w:t xml:space="preserve"> alone the appeal ought to be upheld</w:t>
      </w:r>
      <w:r w:rsidR="00557F2E">
        <w:rPr>
          <w:rFonts w:ascii="Arial" w:hAnsi="Arial" w:cs="Arial"/>
          <w:sz w:val="24"/>
          <w:szCs w:val="24"/>
        </w:rPr>
        <w:t xml:space="preserve"> as indicated below</w:t>
      </w:r>
      <w:r w:rsidR="00252EDC">
        <w:rPr>
          <w:rFonts w:ascii="Arial" w:hAnsi="Arial" w:cs="Arial"/>
          <w:sz w:val="24"/>
          <w:szCs w:val="24"/>
        </w:rPr>
        <w:t xml:space="preserve">. It is further contended that the correct approach and test was adopted in </w:t>
      </w:r>
      <w:r w:rsidR="00252EDC">
        <w:rPr>
          <w:rFonts w:ascii="Arial" w:hAnsi="Arial" w:cs="Arial"/>
          <w:i/>
          <w:sz w:val="24"/>
          <w:szCs w:val="24"/>
        </w:rPr>
        <w:t xml:space="preserve">Moolman </w:t>
      </w:r>
      <w:r w:rsidR="00482EAA">
        <w:rPr>
          <w:rFonts w:ascii="Arial" w:hAnsi="Arial" w:cs="Arial"/>
          <w:i/>
          <w:sz w:val="24"/>
          <w:szCs w:val="24"/>
        </w:rPr>
        <w:t>&amp;</w:t>
      </w:r>
      <w:r w:rsidR="00252EDC">
        <w:rPr>
          <w:rFonts w:ascii="Arial" w:hAnsi="Arial" w:cs="Arial"/>
          <w:i/>
          <w:sz w:val="24"/>
          <w:szCs w:val="24"/>
        </w:rPr>
        <w:t xml:space="preserve"> another v </w:t>
      </w:r>
      <w:proofErr w:type="spellStart"/>
      <w:r w:rsidR="00252EDC">
        <w:rPr>
          <w:rFonts w:ascii="Arial" w:hAnsi="Arial" w:cs="Arial"/>
          <w:i/>
          <w:sz w:val="24"/>
          <w:szCs w:val="24"/>
        </w:rPr>
        <w:t>Jeandre</w:t>
      </w:r>
      <w:proofErr w:type="spellEnd"/>
      <w:r w:rsidR="00252EDC">
        <w:rPr>
          <w:rFonts w:ascii="Arial" w:hAnsi="Arial" w:cs="Arial"/>
          <w:i/>
          <w:sz w:val="24"/>
          <w:szCs w:val="24"/>
        </w:rPr>
        <w:t xml:space="preserve"> Development CC</w:t>
      </w:r>
      <w:r w:rsidR="00034D8B">
        <w:rPr>
          <w:rFonts w:ascii="Arial" w:hAnsi="Arial" w:cs="Arial"/>
          <w:i/>
          <w:sz w:val="24"/>
          <w:szCs w:val="24"/>
        </w:rPr>
        <w:t>.</w:t>
      </w:r>
      <w:r w:rsidR="00E44718" w:rsidRPr="00E44718">
        <w:rPr>
          <w:rStyle w:val="FootnoteReference"/>
          <w:rFonts w:ascii="Arial" w:hAnsi="Arial" w:cs="Arial"/>
          <w:sz w:val="24"/>
          <w:szCs w:val="24"/>
        </w:rPr>
        <w:footnoteReference w:id="3"/>
      </w:r>
    </w:p>
    <w:p w14:paraId="7DE29AE7" w14:textId="77777777" w:rsidR="0017384B" w:rsidRDefault="0017384B" w:rsidP="0017384B">
      <w:pPr>
        <w:pStyle w:val="ListParagraph"/>
        <w:spacing w:after="0" w:line="480" w:lineRule="auto"/>
        <w:jc w:val="both"/>
        <w:rPr>
          <w:rFonts w:ascii="Arial" w:hAnsi="Arial" w:cs="Arial"/>
          <w:sz w:val="24"/>
          <w:szCs w:val="24"/>
        </w:rPr>
      </w:pPr>
    </w:p>
    <w:p w14:paraId="795D7EA9" w14:textId="05BEFAB5" w:rsidR="0017384B" w:rsidRDefault="00EF5FF5" w:rsidP="00EF5FF5">
      <w:pPr>
        <w:tabs>
          <w:tab w:val="left" w:pos="0"/>
        </w:tabs>
        <w:spacing w:after="0" w:line="480" w:lineRule="auto"/>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17384B">
        <w:rPr>
          <w:rFonts w:ascii="Arial" w:hAnsi="Arial" w:cs="Arial"/>
          <w:sz w:val="24"/>
          <w:szCs w:val="24"/>
        </w:rPr>
        <w:t xml:space="preserve">It is further contended that the respondent is seeking specific performance against the appellants on allegations in paras 6.1 and 7 of its particulars of claim of having desisted in its radical </w:t>
      </w:r>
      <w:proofErr w:type="spellStart"/>
      <w:r w:rsidR="0017384B">
        <w:rPr>
          <w:rFonts w:ascii="Arial" w:hAnsi="Arial" w:cs="Arial"/>
          <w:sz w:val="24"/>
          <w:szCs w:val="24"/>
        </w:rPr>
        <w:t>programme</w:t>
      </w:r>
      <w:proofErr w:type="spellEnd"/>
      <w:r w:rsidR="0017384B">
        <w:rPr>
          <w:rFonts w:ascii="Arial" w:hAnsi="Arial" w:cs="Arial"/>
          <w:sz w:val="24"/>
          <w:szCs w:val="24"/>
        </w:rPr>
        <w:t xml:space="preserve"> of action to occupy vacant land in urban areas and that it had complied with that agreement to which appellants excepted asserting that the agreement is against public policy and against </w:t>
      </w:r>
      <w:r w:rsidR="00113259">
        <w:rPr>
          <w:rFonts w:ascii="Arial" w:hAnsi="Arial" w:cs="Arial"/>
          <w:sz w:val="24"/>
          <w:szCs w:val="24"/>
        </w:rPr>
        <w:t>the rule of law, in that, had the respondent carried out its intention to occupy vacant land in urban areas such conduct would have been unlawful under the common law and under s 2(1) of the Squatters Proclamation AG 21 of 19</w:t>
      </w:r>
      <w:r w:rsidR="00482EAA">
        <w:rPr>
          <w:rFonts w:ascii="Arial" w:hAnsi="Arial" w:cs="Arial"/>
          <w:sz w:val="24"/>
          <w:szCs w:val="24"/>
        </w:rPr>
        <w:t>85</w:t>
      </w:r>
      <w:r w:rsidR="00113259">
        <w:rPr>
          <w:rFonts w:ascii="Arial" w:hAnsi="Arial" w:cs="Arial"/>
          <w:sz w:val="24"/>
          <w:szCs w:val="24"/>
        </w:rPr>
        <w:t xml:space="preserve"> as amended. It is further contended that the court </w:t>
      </w:r>
      <w:r w:rsidR="00113259">
        <w:rPr>
          <w:rFonts w:ascii="Arial" w:hAnsi="Arial" w:cs="Arial"/>
          <w:i/>
          <w:sz w:val="24"/>
          <w:szCs w:val="24"/>
        </w:rPr>
        <w:t xml:space="preserve">a quo </w:t>
      </w:r>
      <w:r w:rsidR="00113259">
        <w:rPr>
          <w:rFonts w:ascii="Arial" w:hAnsi="Arial" w:cs="Arial"/>
          <w:sz w:val="24"/>
          <w:szCs w:val="24"/>
        </w:rPr>
        <w:t xml:space="preserve">should have interpreted the terms pleaded in the particulars of claim together with </w:t>
      </w:r>
      <w:r w:rsidR="00034D8B">
        <w:rPr>
          <w:rFonts w:ascii="Arial" w:hAnsi="Arial" w:cs="Arial"/>
          <w:sz w:val="24"/>
          <w:szCs w:val="24"/>
        </w:rPr>
        <w:t>A</w:t>
      </w:r>
      <w:r w:rsidR="00113259">
        <w:rPr>
          <w:rFonts w:ascii="Arial" w:hAnsi="Arial" w:cs="Arial"/>
          <w:sz w:val="24"/>
          <w:szCs w:val="24"/>
        </w:rPr>
        <w:t xml:space="preserve">nnexure JSA1 to assess the meaning, grammar and syntax of the words used in the written agreement </w:t>
      </w:r>
      <w:proofErr w:type="gramStart"/>
      <w:r w:rsidR="00113259">
        <w:rPr>
          <w:rFonts w:ascii="Arial" w:hAnsi="Arial" w:cs="Arial"/>
          <w:sz w:val="24"/>
          <w:szCs w:val="24"/>
        </w:rPr>
        <w:t>in order to</w:t>
      </w:r>
      <w:proofErr w:type="gramEnd"/>
      <w:r w:rsidR="00113259">
        <w:rPr>
          <w:rFonts w:ascii="Arial" w:hAnsi="Arial" w:cs="Arial"/>
          <w:sz w:val="24"/>
          <w:szCs w:val="24"/>
        </w:rPr>
        <w:t xml:space="preserve"> properly construe the words, as well as against the broader purpose and character of the document.</w:t>
      </w:r>
    </w:p>
    <w:p w14:paraId="12D10538" w14:textId="77777777" w:rsidR="00113259" w:rsidRDefault="00113259" w:rsidP="00113259">
      <w:pPr>
        <w:pStyle w:val="ListParagraph"/>
        <w:spacing w:after="0" w:line="480" w:lineRule="auto"/>
        <w:jc w:val="both"/>
        <w:rPr>
          <w:rFonts w:ascii="Arial" w:hAnsi="Arial" w:cs="Arial"/>
          <w:sz w:val="24"/>
          <w:szCs w:val="24"/>
        </w:rPr>
      </w:pPr>
    </w:p>
    <w:p w14:paraId="77C1F781" w14:textId="166397B0" w:rsidR="00113259" w:rsidRDefault="00EF5FF5" w:rsidP="00EF5FF5">
      <w:pPr>
        <w:tabs>
          <w:tab w:val="left" w:pos="0"/>
        </w:tabs>
        <w:spacing w:after="0"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113259">
        <w:rPr>
          <w:rFonts w:ascii="Arial" w:hAnsi="Arial" w:cs="Arial"/>
          <w:sz w:val="24"/>
          <w:szCs w:val="24"/>
        </w:rPr>
        <w:t xml:space="preserve">It is further contended that the court </w:t>
      </w:r>
      <w:r w:rsidR="00113259">
        <w:rPr>
          <w:rFonts w:ascii="Arial" w:hAnsi="Arial" w:cs="Arial"/>
          <w:i/>
          <w:sz w:val="24"/>
          <w:szCs w:val="24"/>
        </w:rPr>
        <w:t xml:space="preserve">a quo </w:t>
      </w:r>
      <w:r w:rsidR="00113259">
        <w:rPr>
          <w:rFonts w:ascii="Arial" w:hAnsi="Arial" w:cs="Arial"/>
          <w:sz w:val="24"/>
          <w:szCs w:val="24"/>
        </w:rPr>
        <w:t xml:space="preserve">ought to have assessed whether the agreement had any business objective to understand the context within which the agreement was concluded and that the only contractual obligation that the respondent allegedly performed in para 6.1 of the particulars of claim which is the means by which the respondent allegedly would restore or intends to restore the alleged dignity of landless Namibians, which </w:t>
      </w:r>
      <w:proofErr w:type="spellStart"/>
      <w:r w:rsidR="00113259">
        <w:rPr>
          <w:rFonts w:ascii="Arial" w:hAnsi="Arial" w:cs="Arial"/>
          <w:sz w:val="24"/>
          <w:szCs w:val="24"/>
        </w:rPr>
        <w:t>programme</w:t>
      </w:r>
      <w:proofErr w:type="spellEnd"/>
      <w:r w:rsidR="00113259">
        <w:rPr>
          <w:rFonts w:ascii="Arial" w:hAnsi="Arial" w:cs="Arial"/>
          <w:sz w:val="24"/>
          <w:szCs w:val="24"/>
        </w:rPr>
        <w:t xml:space="preserve"> is illegal, against </w:t>
      </w:r>
      <w:r w:rsidR="005E7A23">
        <w:rPr>
          <w:rFonts w:ascii="Arial" w:hAnsi="Arial" w:cs="Arial"/>
          <w:sz w:val="24"/>
          <w:szCs w:val="24"/>
        </w:rPr>
        <w:t>public policy and/or the rule of law and that in Namibia occupation of vacant urban land without the authorization of the various local authorities is illegal and respondent would have no right and does not have any right in law to occupy such land and therefore the agreement encouraging crime or delict and other unlawful acts cannot in law be enforced by a court of law.</w:t>
      </w:r>
    </w:p>
    <w:p w14:paraId="6740F89C" w14:textId="77777777" w:rsidR="005E7A23" w:rsidRDefault="005E7A23" w:rsidP="005E7A23">
      <w:pPr>
        <w:pStyle w:val="ListParagraph"/>
        <w:spacing w:after="0" w:line="480" w:lineRule="auto"/>
        <w:jc w:val="both"/>
        <w:rPr>
          <w:rFonts w:ascii="Arial" w:hAnsi="Arial" w:cs="Arial"/>
          <w:sz w:val="24"/>
          <w:szCs w:val="24"/>
        </w:rPr>
      </w:pPr>
    </w:p>
    <w:p w14:paraId="428E767A" w14:textId="4E791691" w:rsidR="005E7A23" w:rsidRDefault="00EF5FF5" w:rsidP="00EF5FF5">
      <w:pPr>
        <w:tabs>
          <w:tab w:val="left" w:pos="0"/>
        </w:tabs>
        <w:spacing w:after="0"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5E7A23">
        <w:rPr>
          <w:rFonts w:ascii="Arial" w:hAnsi="Arial" w:cs="Arial"/>
          <w:sz w:val="24"/>
          <w:szCs w:val="24"/>
        </w:rPr>
        <w:t xml:space="preserve">It is further contended that the court </w:t>
      </w:r>
      <w:r w:rsidR="005E7A23">
        <w:rPr>
          <w:rFonts w:ascii="Arial" w:hAnsi="Arial" w:cs="Arial"/>
          <w:i/>
          <w:sz w:val="24"/>
          <w:szCs w:val="24"/>
        </w:rPr>
        <w:t xml:space="preserve">a quo </w:t>
      </w:r>
      <w:r w:rsidR="005E7A23">
        <w:rPr>
          <w:rFonts w:ascii="Arial" w:hAnsi="Arial" w:cs="Arial"/>
          <w:sz w:val="24"/>
          <w:szCs w:val="24"/>
        </w:rPr>
        <w:t>erred when it found that the respondent’s particulars of claim were capable of being read as disclosing a cause of action, for the alleged agreement of servi</w:t>
      </w:r>
      <w:r w:rsidR="00482EAA">
        <w:rPr>
          <w:rFonts w:ascii="Arial" w:hAnsi="Arial" w:cs="Arial"/>
          <w:sz w:val="24"/>
          <w:szCs w:val="24"/>
        </w:rPr>
        <w:t>ci</w:t>
      </w:r>
      <w:r w:rsidR="005E7A23">
        <w:rPr>
          <w:rFonts w:ascii="Arial" w:hAnsi="Arial" w:cs="Arial"/>
          <w:sz w:val="24"/>
          <w:szCs w:val="24"/>
        </w:rPr>
        <w:t>ng land in relation to the Government of the Republic of Namibia, is an issue that is in the public interest and government by public law and not the private law of contracts.</w:t>
      </w:r>
    </w:p>
    <w:p w14:paraId="6E63FF2F" w14:textId="77777777" w:rsidR="005E7A23" w:rsidRDefault="005E7A23" w:rsidP="005E7A23">
      <w:pPr>
        <w:pStyle w:val="ListParagraph"/>
        <w:spacing w:after="0" w:line="480" w:lineRule="auto"/>
        <w:jc w:val="both"/>
        <w:rPr>
          <w:rFonts w:ascii="Arial" w:hAnsi="Arial" w:cs="Arial"/>
          <w:sz w:val="24"/>
          <w:szCs w:val="24"/>
        </w:rPr>
      </w:pPr>
    </w:p>
    <w:p w14:paraId="0D419840" w14:textId="47A6362C" w:rsidR="005E7A23" w:rsidRDefault="00EF5FF5" w:rsidP="00EF5FF5">
      <w:pPr>
        <w:tabs>
          <w:tab w:val="left" w:pos="0"/>
        </w:tabs>
        <w:spacing w:after="0"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5E7A23">
        <w:rPr>
          <w:rFonts w:ascii="Arial" w:hAnsi="Arial" w:cs="Arial"/>
          <w:sz w:val="24"/>
          <w:szCs w:val="24"/>
        </w:rPr>
        <w:t xml:space="preserve">It is further contended that the court </w:t>
      </w:r>
      <w:r w:rsidR="005E7A23">
        <w:rPr>
          <w:rFonts w:ascii="Arial" w:hAnsi="Arial" w:cs="Arial"/>
          <w:i/>
          <w:sz w:val="24"/>
          <w:szCs w:val="24"/>
        </w:rPr>
        <w:t xml:space="preserve">a quo </w:t>
      </w:r>
      <w:r w:rsidR="005E7A23">
        <w:rPr>
          <w:rFonts w:ascii="Arial" w:hAnsi="Arial" w:cs="Arial"/>
          <w:sz w:val="24"/>
          <w:szCs w:val="24"/>
        </w:rPr>
        <w:t xml:space="preserve">erred when it found that </w:t>
      </w:r>
      <w:r w:rsidR="005E7A23" w:rsidRPr="005E7A23">
        <w:rPr>
          <w:rFonts w:ascii="Arial" w:hAnsi="Arial" w:cs="Arial"/>
          <w:i/>
          <w:sz w:val="24"/>
          <w:szCs w:val="24"/>
        </w:rPr>
        <w:t>prima facie</w:t>
      </w:r>
      <w:r w:rsidR="005E7A23">
        <w:rPr>
          <w:rFonts w:ascii="Arial" w:hAnsi="Arial" w:cs="Arial"/>
          <w:i/>
          <w:sz w:val="24"/>
          <w:szCs w:val="24"/>
        </w:rPr>
        <w:t xml:space="preserve"> </w:t>
      </w:r>
      <w:r w:rsidR="005E7A23">
        <w:rPr>
          <w:rFonts w:ascii="Arial" w:hAnsi="Arial" w:cs="Arial"/>
          <w:sz w:val="24"/>
          <w:szCs w:val="24"/>
        </w:rPr>
        <w:t xml:space="preserve">the terms of the alleged agreement appear to have imposed obligations on the parties. And further that on a proper construction of the expressed terms set out in resolution number one of </w:t>
      </w:r>
      <w:r w:rsidR="00034D8B">
        <w:rPr>
          <w:rFonts w:ascii="Arial" w:hAnsi="Arial" w:cs="Arial"/>
          <w:sz w:val="24"/>
          <w:szCs w:val="24"/>
        </w:rPr>
        <w:t>A</w:t>
      </w:r>
      <w:r w:rsidR="005E7A23">
        <w:rPr>
          <w:rFonts w:ascii="Arial" w:hAnsi="Arial" w:cs="Arial"/>
          <w:sz w:val="24"/>
          <w:szCs w:val="24"/>
        </w:rPr>
        <w:t xml:space="preserve">nnexure JSA1, and the rest of the resolutions in </w:t>
      </w:r>
      <w:r w:rsidR="00034D8B">
        <w:rPr>
          <w:rFonts w:ascii="Arial" w:hAnsi="Arial" w:cs="Arial"/>
          <w:sz w:val="24"/>
          <w:szCs w:val="24"/>
        </w:rPr>
        <w:t>A</w:t>
      </w:r>
      <w:r w:rsidR="005E7A23">
        <w:rPr>
          <w:rFonts w:ascii="Arial" w:hAnsi="Arial" w:cs="Arial"/>
          <w:sz w:val="24"/>
          <w:szCs w:val="24"/>
        </w:rPr>
        <w:t xml:space="preserve">nnexure JSA1 regard had to </w:t>
      </w:r>
      <w:r w:rsidR="00B57845">
        <w:rPr>
          <w:rFonts w:ascii="Arial" w:hAnsi="Arial" w:cs="Arial"/>
          <w:sz w:val="24"/>
          <w:szCs w:val="24"/>
        </w:rPr>
        <w:t xml:space="preserve">the context within which that resolution is made, it is clear that the resolution was a political statement or a policy statement made within the context of an inaugural political or executive statement that the </w:t>
      </w:r>
      <w:r w:rsidR="00482EAA">
        <w:rPr>
          <w:rFonts w:ascii="Arial" w:hAnsi="Arial" w:cs="Arial"/>
          <w:sz w:val="24"/>
          <w:szCs w:val="24"/>
        </w:rPr>
        <w:t>second</w:t>
      </w:r>
      <w:r w:rsidR="00B57845">
        <w:rPr>
          <w:rFonts w:ascii="Arial" w:hAnsi="Arial" w:cs="Arial"/>
          <w:sz w:val="24"/>
          <w:szCs w:val="24"/>
        </w:rPr>
        <w:t xml:space="preserve"> appellant made at his inauguration as the President of the Republic of Namibia in 2015, therefore </w:t>
      </w:r>
      <w:r w:rsidR="00034D8B">
        <w:rPr>
          <w:rFonts w:ascii="Arial" w:hAnsi="Arial" w:cs="Arial"/>
          <w:sz w:val="24"/>
          <w:szCs w:val="24"/>
        </w:rPr>
        <w:t>A</w:t>
      </w:r>
      <w:r w:rsidR="00B57845">
        <w:rPr>
          <w:rFonts w:ascii="Arial" w:hAnsi="Arial" w:cs="Arial"/>
          <w:sz w:val="24"/>
          <w:szCs w:val="24"/>
        </w:rPr>
        <w:t xml:space="preserve">nnexure JSA1 does not constitute contractual terms in or breaches, lacks reciprocal obligations, no </w:t>
      </w:r>
      <w:r w:rsidR="00B57845" w:rsidRPr="00B57845">
        <w:rPr>
          <w:rFonts w:ascii="Arial" w:hAnsi="Arial" w:cs="Arial"/>
          <w:i/>
          <w:sz w:val="24"/>
          <w:szCs w:val="24"/>
        </w:rPr>
        <w:t>animus</w:t>
      </w:r>
      <w:r w:rsidR="00B57845">
        <w:rPr>
          <w:rFonts w:ascii="Arial" w:hAnsi="Arial" w:cs="Arial"/>
          <w:sz w:val="24"/>
          <w:szCs w:val="24"/>
        </w:rPr>
        <w:t xml:space="preserve"> </w:t>
      </w:r>
      <w:proofErr w:type="spellStart"/>
      <w:r w:rsidR="00B57845" w:rsidRPr="00B57845">
        <w:rPr>
          <w:rFonts w:ascii="Arial" w:hAnsi="Arial" w:cs="Arial"/>
          <w:i/>
          <w:sz w:val="24"/>
          <w:szCs w:val="24"/>
        </w:rPr>
        <w:t>contrahendi</w:t>
      </w:r>
      <w:proofErr w:type="spellEnd"/>
      <w:r w:rsidR="00B57845">
        <w:rPr>
          <w:rFonts w:ascii="Arial" w:hAnsi="Arial" w:cs="Arial"/>
          <w:sz w:val="24"/>
          <w:szCs w:val="24"/>
        </w:rPr>
        <w:t xml:space="preserve"> between the parties and therefore unenforceable. </w:t>
      </w:r>
    </w:p>
    <w:p w14:paraId="287A9190" w14:textId="77777777" w:rsidR="00B57845" w:rsidRDefault="00B57845" w:rsidP="00B57845">
      <w:pPr>
        <w:pStyle w:val="ListParagraph"/>
        <w:spacing w:after="0" w:line="480" w:lineRule="auto"/>
        <w:jc w:val="both"/>
        <w:rPr>
          <w:rFonts w:ascii="Arial" w:hAnsi="Arial" w:cs="Arial"/>
          <w:sz w:val="24"/>
          <w:szCs w:val="24"/>
        </w:rPr>
      </w:pPr>
    </w:p>
    <w:p w14:paraId="012F11A4" w14:textId="7BA0172E" w:rsidR="00B57845" w:rsidRDefault="00EF5FF5" w:rsidP="00EF5FF5">
      <w:pPr>
        <w:tabs>
          <w:tab w:val="left" w:pos="0"/>
        </w:tabs>
        <w:spacing w:after="0"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9A1845">
        <w:rPr>
          <w:rFonts w:ascii="Arial" w:hAnsi="Arial" w:cs="Arial"/>
          <w:sz w:val="24"/>
          <w:szCs w:val="24"/>
        </w:rPr>
        <w:t xml:space="preserve">It is further contended that the court </w:t>
      </w:r>
      <w:r w:rsidR="009A1845">
        <w:rPr>
          <w:rFonts w:ascii="Arial" w:hAnsi="Arial" w:cs="Arial"/>
          <w:i/>
          <w:sz w:val="24"/>
          <w:szCs w:val="24"/>
        </w:rPr>
        <w:t xml:space="preserve">a quo </w:t>
      </w:r>
      <w:r w:rsidR="009A1845">
        <w:rPr>
          <w:rFonts w:ascii="Arial" w:hAnsi="Arial" w:cs="Arial"/>
          <w:sz w:val="24"/>
          <w:szCs w:val="24"/>
        </w:rPr>
        <w:t xml:space="preserve">erred when if found that the conduct of the appellants did not constitute executive functions and/or policy issues of the appellants and that Art 27(1) of the Republic’s Constitution provides that ‘the President shall be the Head of State and of the government . . .’ and when he acted as described in JSA1 he was performing executive duties in his Constitutional capacity as President </w:t>
      </w:r>
      <w:r w:rsidR="009A1845">
        <w:rPr>
          <w:rFonts w:ascii="Arial" w:hAnsi="Arial" w:cs="Arial"/>
          <w:sz w:val="24"/>
          <w:szCs w:val="24"/>
        </w:rPr>
        <w:lastRenderedPageBreak/>
        <w:t>and not as a party to a contract and the discussion was nothing more than government policy expressions and the resolutions cannot be enforced as contractual terms.</w:t>
      </w:r>
    </w:p>
    <w:p w14:paraId="05C46945" w14:textId="77777777" w:rsidR="009A1845" w:rsidRDefault="009A1845" w:rsidP="009A1845">
      <w:pPr>
        <w:pStyle w:val="ListParagraph"/>
        <w:spacing w:after="0" w:line="480" w:lineRule="auto"/>
        <w:jc w:val="both"/>
        <w:rPr>
          <w:rFonts w:ascii="Arial" w:hAnsi="Arial" w:cs="Arial"/>
          <w:sz w:val="24"/>
          <w:szCs w:val="24"/>
        </w:rPr>
      </w:pPr>
    </w:p>
    <w:p w14:paraId="5B072161" w14:textId="18C5E99E" w:rsidR="009A1845" w:rsidRDefault="00EF5FF5" w:rsidP="00EF5FF5">
      <w:pPr>
        <w:tabs>
          <w:tab w:val="left" w:pos="0"/>
        </w:tabs>
        <w:spacing w:after="0"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9A1845">
        <w:rPr>
          <w:rFonts w:ascii="Arial" w:hAnsi="Arial" w:cs="Arial"/>
          <w:sz w:val="24"/>
          <w:szCs w:val="24"/>
        </w:rPr>
        <w:t>Finally</w:t>
      </w:r>
      <w:r w:rsidR="00034D8B">
        <w:rPr>
          <w:rFonts w:ascii="Arial" w:hAnsi="Arial" w:cs="Arial"/>
          <w:sz w:val="24"/>
          <w:szCs w:val="24"/>
        </w:rPr>
        <w:t>,</w:t>
      </w:r>
      <w:r w:rsidR="009A1845">
        <w:rPr>
          <w:rFonts w:ascii="Arial" w:hAnsi="Arial" w:cs="Arial"/>
          <w:sz w:val="24"/>
          <w:szCs w:val="24"/>
        </w:rPr>
        <w:t xml:space="preserve"> it is contended that the court </w:t>
      </w:r>
      <w:r w:rsidR="009A1845">
        <w:rPr>
          <w:rFonts w:ascii="Arial" w:hAnsi="Arial" w:cs="Arial"/>
          <w:i/>
          <w:sz w:val="24"/>
          <w:szCs w:val="24"/>
        </w:rPr>
        <w:t xml:space="preserve">a quo </w:t>
      </w:r>
      <w:r w:rsidR="009A1845">
        <w:rPr>
          <w:rFonts w:ascii="Arial" w:hAnsi="Arial" w:cs="Arial"/>
          <w:sz w:val="24"/>
          <w:szCs w:val="24"/>
        </w:rPr>
        <w:t xml:space="preserve">erred when it found that the respondent’s particulars of claim were not vague and embarrassing and that the exception that a pleading is </w:t>
      </w:r>
      <w:proofErr w:type="gramStart"/>
      <w:r w:rsidR="009A1845">
        <w:rPr>
          <w:rFonts w:ascii="Arial" w:hAnsi="Arial" w:cs="Arial"/>
          <w:sz w:val="24"/>
          <w:szCs w:val="24"/>
        </w:rPr>
        <w:t>vague</w:t>
      </w:r>
      <w:proofErr w:type="gramEnd"/>
      <w:r w:rsidR="009A1845">
        <w:rPr>
          <w:rFonts w:ascii="Arial" w:hAnsi="Arial" w:cs="Arial"/>
          <w:sz w:val="24"/>
          <w:szCs w:val="24"/>
        </w:rPr>
        <w:t xml:space="preserve"> and embarrassing is not directed at a particular paragraph of a cause of action but goes to the whole cause of action. Further that respondent’s particulars of claim do not comply with rule 45(5) of the High Court </w:t>
      </w:r>
      <w:r w:rsidR="00034D8B">
        <w:rPr>
          <w:rFonts w:ascii="Arial" w:hAnsi="Arial" w:cs="Arial"/>
          <w:sz w:val="24"/>
          <w:szCs w:val="24"/>
        </w:rPr>
        <w:t xml:space="preserve">Rules </w:t>
      </w:r>
      <w:r w:rsidR="009A1845">
        <w:rPr>
          <w:rFonts w:ascii="Arial" w:hAnsi="Arial" w:cs="Arial"/>
          <w:sz w:val="24"/>
          <w:szCs w:val="24"/>
        </w:rPr>
        <w:t xml:space="preserve">and </w:t>
      </w:r>
      <w:r w:rsidR="001C5F70">
        <w:rPr>
          <w:rFonts w:ascii="Arial" w:hAnsi="Arial" w:cs="Arial"/>
          <w:sz w:val="24"/>
          <w:szCs w:val="24"/>
        </w:rPr>
        <w:t xml:space="preserve">are </w:t>
      </w:r>
      <w:r w:rsidR="009A1845">
        <w:rPr>
          <w:rFonts w:ascii="Arial" w:hAnsi="Arial" w:cs="Arial"/>
          <w:sz w:val="24"/>
          <w:szCs w:val="24"/>
        </w:rPr>
        <w:t>therefore vague and embarrassing.</w:t>
      </w:r>
    </w:p>
    <w:p w14:paraId="3B987D1C" w14:textId="77777777" w:rsidR="003A7D4E" w:rsidRDefault="003A7D4E" w:rsidP="00034D8B">
      <w:pPr>
        <w:spacing w:after="0" w:line="480" w:lineRule="auto"/>
        <w:jc w:val="both"/>
        <w:rPr>
          <w:rFonts w:ascii="Arial" w:hAnsi="Arial" w:cs="Arial"/>
          <w:sz w:val="24"/>
          <w:szCs w:val="24"/>
        </w:rPr>
      </w:pPr>
    </w:p>
    <w:p w14:paraId="640460DA" w14:textId="2C28154D" w:rsidR="009A1845" w:rsidRDefault="00EF5FF5" w:rsidP="00EF5FF5">
      <w:pPr>
        <w:tabs>
          <w:tab w:val="left" w:pos="0"/>
        </w:tabs>
        <w:spacing w:after="0"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482EAA">
        <w:rPr>
          <w:rFonts w:ascii="Arial" w:hAnsi="Arial" w:cs="Arial"/>
          <w:sz w:val="24"/>
          <w:szCs w:val="24"/>
        </w:rPr>
        <w:t>Rule 57</w:t>
      </w:r>
      <w:r w:rsidR="001C5F70">
        <w:rPr>
          <w:rFonts w:ascii="Arial" w:hAnsi="Arial" w:cs="Arial"/>
          <w:sz w:val="24"/>
          <w:szCs w:val="24"/>
        </w:rPr>
        <w:t xml:space="preserve"> </w:t>
      </w:r>
      <w:r w:rsidR="00482EAA">
        <w:rPr>
          <w:rFonts w:ascii="Arial" w:hAnsi="Arial" w:cs="Arial"/>
          <w:sz w:val="24"/>
          <w:szCs w:val="24"/>
        </w:rPr>
        <w:t xml:space="preserve">(1) of the High Court </w:t>
      </w:r>
      <w:r w:rsidR="001C5F70">
        <w:rPr>
          <w:rFonts w:ascii="Arial" w:hAnsi="Arial" w:cs="Arial"/>
          <w:sz w:val="24"/>
          <w:szCs w:val="24"/>
        </w:rPr>
        <w:t xml:space="preserve">Rules </w:t>
      </w:r>
      <w:r w:rsidR="00482EAA">
        <w:rPr>
          <w:rFonts w:ascii="Arial" w:hAnsi="Arial" w:cs="Arial"/>
          <w:sz w:val="24"/>
          <w:szCs w:val="24"/>
        </w:rPr>
        <w:t>provides</w:t>
      </w:r>
      <w:r w:rsidR="00377FB3">
        <w:rPr>
          <w:rFonts w:ascii="Arial" w:hAnsi="Arial" w:cs="Arial"/>
          <w:sz w:val="24"/>
          <w:szCs w:val="24"/>
        </w:rPr>
        <w:t>:</w:t>
      </w:r>
      <w:r w:rsidR="00482EAA">
        <w:rPr>
          <w:rFonts w:ascii="Arial" w:hAnsi="Arial" w:cs="Arial"/>
          <w:sz w:val="24"/>
          <w:szCs w:val="24"/>
        </w:rPr>
        <w:t xml:space="preserve"> </w:t>
      </w:r>
      <w:r w:rsidR="00377FB3">
        <w:rPr>
          <w:rFonts w:ascii="Arial" w:hAnsi="Arial" w:cs="Arial"/>
          <w:sz w:val="24"/>
          <w:szCs w:val="24"/>
        </w:rPr>
        <w:t>‘W</w:t>
      </w:r>
      <w:r w:rsidR="003A7D4E">
        <w:rPr>
          <w:rFonts w:ascii="Arial" w:hAnsi="Arial" w:cs="Arial"/>
          <w:sz w:val="24"/>
          <w:szCs w:val="24"/>
        </w:rPr>
        <w:t xml:space="preserve">here a pleading is vague and embarrassing or lacks averments which are necessary to sustain an action or a </w:t>
      </w:r>
      <w:proofErr w:type="spellStart"/>
      <w:r w:rsidR="003A7D4E">
        <w:rPr>
          <w:rFonts w:ascii="Arial" w:hAnsi="Arial" w:cs="Arial"/>
          <w:sz w:val="24"/>
          <w:szCs w:val="24"/>
        </w:rPr>
        <w:t>defence</w:t>
      </w:r>
      <w:proofErr w:type="spellEnd"/>
      <w:r w:rsidR="003A7D4E">
        <w:rPr>
          <w:rFonts w:ascii="Arial" w:hAnsi="Arial" w:cs="Arial"/>
          <w:sz w:val="24"/>
          <w:szCs w:val="24"/>
        </w:rPr>
        <w:t>, the opposing party may deliver an exception thereto within the period allowed for the purpose in the case plan order or in the absence of provision for such period, within such time as directed by the managing judge or the court for such purpose on directions in terms of rule 32(4) being sought by the party wishing to except</w:t>
      </w:r>
      <w:r w:rsidR="00377FB3">
        <w:rPr>
          <w:rFonts w:ascii="Arial" w:hAnsi="Arial" w:cs="Arial"/>
          <w:sz w:val="24"/>
          <w:szCs w:val="24"/>
        </w:rPr>
        <w:t>’</w:t>
      </w:r>
      <w:r w:rsidR="001C5F70">
        <w:rPr>
          <w:rFonts w:ascii="Arial" w:hAnsi="Arial" w:cs="Arial"/>
          <w:sz w:val="24"/>
          <w:szCs w:val="24"/>
        </w:rPr>
        <w:t>.</w:t>
      </w:r>
    </w:p>
    <w:p w14:paraId="1704888E" w14:textId="77777777" w:rsidR="003A7D4E" w:rsidRDefault="003A7D4E" w:rsidP="003A7D4E">
      <w:pPr>
        <w:tabs>
          <w:tab w:val="left" w:pos="0"/>
        </w:tabs>
        <w:spacing w:after="0" w:line="480" w:lineRule="auto"/>
        <w:jc w:val="both"/>
        <w:rPr>
          <w:rFonts w:ascii="Arial" w:hAnsi="Arial" w:cs="Arial"/>
          <w:sz w:val="24"/>
          <w:szCs w:val="24"/>
        </w:rPr>
      </w:pPr>
    </w:p>
    <w:p w14:paraId="23F75EA5" w14:textId="027DB8D3" w:rsidR="003A7D4E" w:rsidRDefault="00EF5FF5" w:rsidP="00EF5FF5">
      <w:pPr>
        <w:tabs>
          <w:tab w:val="left" w:pos="0"/>
        </w:tabs>
        <w:spacing w:after="0"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3A7D4E">
        <w:rPr>
          <w:rFonts w:ascii="Arial" w:hAnsi="Arial" w:cs="Arial"/>
          <w:sz w:val="24"/>
          <w:szCs w:val="24"/>
        </w:rPr>
        <w:t xml:space="preserve">Whilst exceptions provide a useful mechanism ‘to weed out cases without legal merit’, it is nonetheless necessary that they be dealt with sensibly. It is where pleadings are so vague that it is impossible to determine the nature of the claim or where pleadings are bad in law in that their contents do not support a discernible and legally </w:t>
      </w:r>
      <w:proofErr w:type="spellStart"/>
      <w:r w:rsidR="003A7D4E">
        <w:rPr>
          <w:rFonts w:ascii="Arial" w:hAnsi="Arial" w:cs="Arial"/>
          <w:sz w:val="24"/>
          <w:szCs w:val="24"/>
        </w:rPr>
        <w:t>recognised</w:t>
      </w:r>
      <w:proofErr w:type="spellEnd"/>
      <w:r w:rsidR="003A7D4E">
        <w:rPr>
          <w:rFonts w:ascii="Arial" w:hAnsi="Arial" w:cs="Arial"/>
          <w:sz w:val="24"/>
          <w:szCs w:val="24"/>
        </w:rPr>
        <w:t xml:space="preserve"> cause of action, that an exception is competent. The burden rests on an excipient, who must establish that on every interpretation that can reasonably be </w:t>
      </w:r>
      <w:r w:rsidR="003A7D4E">
        <w:rPr>
          <w:rFonts w:ascii="Arial" w:hAnsi="Arial" w:cs="Arial"/>
          <w:sz w:val="24"/>
          <w:szCs w:val="24"/>
        </w:rPr>
        <w:lastRenderedPageBreak/>
        <w:t xml:space="preserve">attached to it, the pleading is </w:t>
      </w:r>
      <w:proofErr w:type="spellStart"/>
      <w:r w:rsidR="003A7D4E">
        <w:rPr>
          <w:rFonts w:ascii="Arial" w:hAnsi="Arial" w:cs="Arial"/>
          <w:sz w:val="24"/>
          <w:szCs w:val="24"/>
        </w:rPr>
        <w:t>excipiable</w:t>
      </w:r>
      <w:proofErr w:type="spellEnd"/>
      <w:r w:rsidR="003A7D4E">
        <w:rPr>
          <w:rFonts w:ascii="Arial" w:hAnsi="Arial" w:cs="Arial"/>
          <w:sz w:val="24"/>
          <w:szCs w:val="24"/>
        </w:rPr>
        <w:t xml:space="preserve">. The test is whether on all possible readings of the facts no cause of action may be made out; it being for the excipient to satisfy the court that the conclusion of law for which the plaintiff contends cannot be supported on every interpretation that </w:t>
      </w:r>
      <w:r w:rsidR="0083499D">
        <w:rPr>
          <w:rFonts w:ascii="Arial" w:hAnsi="Arial" w:cs="Arial"/>
          <w:sz w:val="24"/>
          <w:szCs w:val="24"/>
        </w:rPr>
        <w:t>can be put upon the facts.</w:t>
      </w:r>
      <w:r w:rsidR="0083499D">
        <w:rPr>
          <w:rStyle w:val="FootnoteReference"/>
          <w:rFonts w:ascii="Arial" w:hAnsi="Arial" w:cs="Arial"/>
          <w:sz w:val="24"/>
          <w:szCs w:val="24"/>
        </w:rPr>
        <w:footnoteReference w:id="4"/>
      </w:r>
    </w:p>
    <w:p w14:paraId="63F6961D" w14:textId="77777777" w:rsidR="0083499D" w:rsidRDefault="0083499D" w:rsidP="0083499D">
      <w:pPr>
        <w:pStyle w:val="ListParagraph"/>
        <w:spacing w:after="0" w:line="480" w:lineRule="auto"/>
        <w:jc w:val="both"/>
        <w:rPr>
          <w:rFonts w:ascii="Arial" w:hAnsi="Arial" w:cs="Arial"/>
          <w:sz w:val="24"/>
          <w:szCs w:val="24"/>
        </w:rPr>
      </w:pPr>
    </w:p>
    <w:p w14:paraId="05E9BCE4" w14:textId="71451684" w:rsidR="0083499D" w:rsidRDefault="00EF5FF5" w:rsidP="00EF5FF5">
      <w:pPr>
        <w:tabs>
          <w:tab w:val="left" w:pos="0"/>
        </w:tabs>
        <w:spacing w:after="0"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83499D">
        <w:rPr>
          <w:rFonts w:ascii="Arial" w:hAnsi="Arial" w:cs="Arial"/>
          <w:sz w:val="24"/>
          <w:szCs w:val="24"/>
        </w:rPr>
        <w:t xml:space="preserve">In </w:t>
      </w:r>
      <w:proofErr w:type="spellStart"/>
      <w:r w:rsidR="0083499D" w:rsidRPr="0083499D">
        <w:rPr>
          <w:rFonts w:ascii="Arial" w:hAnsi="Arial" w:cs="Arial"/>
          <w:i/>
          <w:sz w:val="24"/>
          <w:szCs w:val="24"/>
        </w:rPr>
        <w:t>Telematrix</w:t>
      </w:r>
      <w:proofErr w:type="spellEnd"/>
      <w:r w:rsidR="0083499D" w:rsidRPr="0083499D">
        <w:rPr>
          <w:rFonts w:ascii="Arial" w:hAnsi="Arial" w:cs="Arial"/>
          <w:i/>
          <w:sz w:val="24"/>
          <w:szCs w:val="24"/>
        </w:rPr>
        <w:t xml:space="preserve"> (Pty) Ltd</w:t>
      </w:r>
      <w:r w:rsidR="00377FB3">
        <w:rPr>
          <w:rFonts w:ascii="Arial" w:hAnsi="Arial" w:cs="Arial"/>
          <w:i/>
          <w:sz w:val="24"/>
          <w:szCs w:val="24"/>
        </w:rPr>
        <w:t xml:space="preserve"> t/a Matrix Vehicle Tracking</w:t>
      </w:r>
      <w:r w:rsidR="0083499D" w:rsidRPr="0083499D">
        <w:rPr>
          <w:rFonts w:ascii="Arial" w:hAnsi="Arial" w:cs="Arial"/>
          <w:i/>
          <w:sz w:val="24"/>
          <w:szCs w:val="24"/>
        </w:rPr>
        <w:t xml:space="preserve"> v</w:t>
      </w:r>
      <w:r w:rsidR="00377FB3">
        <w:rPr>
          <w:rFonts w:ascii="Arial" w:hAnsi="Arial" w:cs="Arial"/>
          <w:i/>
          <w:sz w:val="24"/>
          <w:szCs w:val="24"/>
        </w:rPr>
        <w:t xml:space="preserve"> Advertising Standards Authority SA</w:t>
      </w:r>
      <w:r w:rsidR="0083499D">
        <w:rPr>
          <w:rStyle w:val="FootnoteReference"/>
          <w:rFonts w:ascii="Arial" w:hAnsi="Arial" w:cs="Arial"/>
          <w:sz w:val="24"/>
          <w:szCs w:val="24"/>
        </w:rPr>
        <w:footnoteReference w:id="5"/>
      </w:r>
      <w:r w:rsidR="0083499D">
        <w:rPr>
          <w:rFonts w:ascii="Arial" w:hAnsi="Arial" w:cs="Arial"/>
          <w:sz w:val="24"/>
          <w:szCs w:val="24"/>
        </w:rPr>
        <w:t xml:space="preserve">, Harms JA </w:t>
      </w:r>
      <w:r w:rsidR="001C5F70">
        <w:rPr>
          <w:rFonts w:ascii="Arial" w:hAnsi="Arial" w:cs="Arial"/>
          <w:sz w:val="24"/>
          <w:szCs w:val="24"/>
        </w:rPr>
        <w:t>s</w:t>
      </w:r>
      <w:r w:rsidR="0083499D">
        <w:rPr>
          <w:rFonts w:ascii="Arial" w:hAnsi="Arial" w:cs="Arial"/>
          <w:sz w:val="24"/>
          <w:szCs w:val="24"/>
        </w:rPr>
        <w:t>aid:</w:t>
      </w:r>
    </w:p>
    <w:p w14:paraId="73002EF2" w14:textId="77777777" w:rsidR="00377FB3" w:rsidRDefault="00377FB3" w:rsidP="00377FB3">
      <w:pPr>
        <w:pStyle w:val="ListParagraph"/>
        <w:spacing w:after="0" w:line="360" w:lineRule="auto"/>
        <w:jc w:val="both"/>
        <w:rPr>
          <w:rFonts w:ascii="Arial" w:hAnsi="Arial" w:cs="Arial"/>
          <w:sz w:val="24"/>
          <w:szCs w:val="24"/>
        </w:rPr>
      </w:pPr>
    </w:p>
    <w:p w14:paraId="6915FBFD" w14:textId="77777777" w:rsidR="0083499D" w:rsidRDefault="0083499D" w:rsidP="0083499D">
      <w:pPr>
        <w:pStyle w:val="ListParagraph"/>
        <w:spacing w:line="360" w:lineRule="auto"/>
        <w:jc w:val="both"/>
        <w:rPr>
          <w:rFonts w:ascii="Arial" w:hAnsi="Arial" w:cs="Arial"/>
        </w:rPr>
      </w:pPr>
      <w:r>
        <w:rPr>
          <w:rFonts w:ascii="Arial" w:hAnsi="Arial" w:cs="Arial"/>
        </w:rPr>
        <w:t>‘[3]</w:t>
      </w:r>
      <w:r w:rsidR="00F03AEB">
        <w:rPr>
          <w:rFonts w:ascii="Arial" w:hAnsi="Arial" w:cs="Arial"/>
        </w:rPr>
        <w:t xml:space="preserve"> </w:t>
      </w:r>
      <w:r>
        <w:rPr>
          <w:rFonts w:ascii="Arial" w:hAnsi="Arial" w:cs="Arial"/>
        </w:rPr>
        <w:t xml:space="preserve">Exceptions should be dealt with sensibly. They provide a useful mechanism to weed out cases without legal merit. An over-technical approach destroys their utility. To borrow the imagery employed by Miller J, the response to an exception should be like a sword that </w:t>
      </w:r>
      <w:r w:rsidR="001C5F70">
        <w:rPr>
          <w:rFonts w:ascii="Arial" w:hAnsi="Arial" w:cs="Arial"/>
        </w:rPr>
        <w:t>“</w:t>
      </w:r>
      <w:r>
        <w:rPr>
          <w:rFonts w:ascii="Arial" w:hAnsi="Arial" w:cs="Arial"/>
        </w:rPr>
        <w:t>cuts</w:t>
      </w:r>
      <w:r w:rsidR="00F03AEB">
        <w:rPr>
          <w:rFonts w:ascii="Arial" w:hAnsi="Arial" w:cs="Arial"/>
        </w:rPr>
        <w:t xml:space="preserve"> through the tissue of which the exception is compounded and exposes its vulnerability</w:t>
      </w:r>
      <w:r w:rsidR="001C5F70">
        <w:rPr>
          <w:rFonts w:ascii="Arial" w:hAnsi="Arial" w:cs="Arial"/>
        </w:rPr>
        <w:t>”</w:t>
      </w:r>
      <w:r w:rsidR="00F03AEB">
        <w:rPr>
          <w:rFonts w:ascii="Arial" w:hAnsi="Arial" w:cs="Arial"/>
        </w:rPr>
        <w:t>. Dealing with an interpretation issue, he added:</w:t>
      </w:r>
    </w:p>
    <w:p w14:paraId="0B70FF57" w14:textId="77777777" w:rsidR="000426B1" w:rsidRDefault="000426B1" w:rsidP="00377FB3">
      <w:pPr>
        <w:pStyle w:val="ListParagraph"/>
        <w:spacing w:after="0" w:line="360" w:lineRule="auto"/>
        <w:jc w:val="both"/>
        <w:rPr>
          <w:rFonts w:ascii="Arial" w:hAnsi="Arial" w:cs="Arial"/>
        </w:rPr>
      </w:pPr>
    </w:p>
    <w:p w14:paraId="09006BB3" w14:textId="77777777" w:rsidR="00F03AEB" w:rsidRDefault="001C5F70" w:rsidP="00F03AEB">
      <w:pPr>
        <w:pStyle w:val="ListParagraph"/>
        <w:spacing w:line="360" w:lineRule="auto"/>
        <w:ind w:left="1440"/>
        <w:jc w:val="both"/>
        <w:rPr>
          <w:rFonts w:ascii="Arial" w:hAnsi="Arial" w:cs="Arial"/>
        </w:rPr>
      </w:pPr>
      <w:r>
        <w:rPr>
          <w:rFonts w:ascii="Arial" w:hAnsi="Arial" w:cs="Arial"/>
        </w:rPr>
        <w:t>“</w:t>
      </w:r>
      <w:r w:rsidR="00F03AEB">
        <w:rPr>
          <w:rFonts w:ascii="Arial" w:hAnsi="Arial" w:cs="Arial"/>
        </w:rPr>
        <w:t>Nor do I think that the mere notional possibility that evidence of surrounding circumstances may influence the issue should necessarily operate to debar the Court from deciding such issue on exception. There must, I think, be something more than a notional or remote possibility. Usually that something more can be gathered from the pleadings and the facts alleged or admitted therein. There may be a specific allegation in the pleadings showing the relevance of extraneous facts, or there may be allegations from which it may be inferred that further facts affecting interpretation may reasonably possibly exist. A measure of conjecture is undoubtedly both permissible and proper, but the shield should not be allowed to protect the respondent where it is composed entirely of conjectural and speculative hypotheses, lacking any real foundation in the pleadings or in the obvious facts.</w:t>
      </w:r>
      <w:r>
        <w:rPr>
          <w:rFonts w:ascii="Arial" w:hAnsi="Arial" w:cs="Arial"/>
        </w:rPr>
        <w:t>”’</w:t>
      </w:r>
    </w:p>
    <w:p w14:paraId="70306341" w14:textId="77777777" w:rsidR="00F03AEB" w:rsidRPr="00F03AEB" w:rsidRDefault="00F03AEB" w:rsidP="00F03AEB">
      <w:pPr>
        <w:pStyle w:val="ListParagraph"/>
        <w:spacing w:after="0" w:line="480" w:lineRule="auto"/>
        <w:ind w:left="1440"/>
        <w:jc w:val="both"/>
        <w:rPr>
          <w:rFonts w:ascii="Arial" w:hAnsi="Arial" w:cs="Arial"/>
          <w:sz w:val="24"/>
          <w:szCs w:val="24"/>
        </w:rPr>
      </w:pPr>
    </w:p>
    <w:p w14:paraId="0B5C9B6B" w14:textId="54D4581C" w:rsidR="0083499D" w:rsidRDefault="00EF5FF5" w:rsidP="00EF5FF5">
      <w:pPr>
        <w:tabs>
          <w:tab w:val="left" w:pos="0"/>
        </w:tabs>
        <w:spacing w:after="0"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E71F7C">
        <w:rPr>
          <w:rFonts w:ascii="Arial" w:hAnsi="Arial" w:cs="Arial"/>
          <w:sz w:val="24"/>
          <w:szCs w:val="24"/>
        </w:rPr>
        <w:t xml:space="preserve">The question which arises is whether the agreement between the parties was entered into and </w:t>
      </w:r>
      <w:r w:rsidR="00AA4861">
        <w:rPr>
          <w:rFonts w:ascii="Arial" w:hAnsi="Arial" w:cs="Arial"/>
          <w:sz w:val="24"/>
          <w:szCs w:val="24"/>
        </w:rPr>
        <w:t>A</w:t>
      </w:r>
      <w:r w:rsidR="00E71F7C">
        <w:rPr>
          <w:rFonts w:ascii="Arial" w:hAnsi="Arial" w:cs="Arial"/>
          <w:sz w:val="24"/>
          <w:szCs w:val="24"/>
        </w:rPr>
        <w:t>nnexure JSA1 was formulated with the intention that it would be final and binding and legally enforceable.</w:t>
      </w:r>
    </w:p>
    <w:p w14:paraId="7AC31370" w14:textId="77777777" w:rsidR="00E71F7C" w:rsidRDefault="00E71F7C" w:rsidP="00E71F7C">
      <w:pPr>
        <w:tabs>
          <w:tab w:val="left" w:pos="0"/>
        </w:tabs>
        <w:spacing w:after="0" w:line="480" w:lineRule="auto"/>
        <w:jc w:val="both"/>
        <w:rPr>
          <w:rFonts w:ascii="Arial" w:hAnsi="Arial" w:cs="Arial"/>
          <w:sz w:val="24"/>
          <w:szCs w:val="24"/>
        </w:rPr>
      </w:pPr>
    </w:p>
    <w:p w14:paraId="28CD990A" w14:textId="43E5755D" w:rsidR="00E71F7C" w:rsidRPr="007C7059" w:rsidRDefault="00EF5FF5" w:rsidP="00EF5FF5">
      <w:pPr>
        <w:tabs>
          <w:tab w:val="left" w:pos="0"/>
        </w:tabs>
        <w:spacing w:after="0" w:line="480" w:lineRule="auto"/>
        <w:jc w:val="both"/>
        <w:rPr>
          <w:rFonts w:ascii="Arial" w:hAnsi="Arial" w:cs="Arial"/>
          <w:i/>
          <w:sz w:val="24"/>
          <w:szCs w:val="24"/>
        </w:rPr>
      </w:pPr>
      <w:r w:rsidRPr="007C7059">
        <w:rPr>
          <w:rFonts w:ascii="Arial" w:hAnsi="Arial" w:cs="Arial"/>
          <w:sz w:val="24"/>
          <w:szCs w:val="24"/>
        </w:rPr>
        <w:t>[24]</w:t>
      </w:r>
      <w:r w:rsidRPr="007C7059">
        <w:rPr>
          <w:rFonts w:ascii="Arial" w:hAnsi="Arial" w:cs="Arial"/>
          <w:sz w:val="24"/>
          <w:szCs w:val="24"/>
        </w:rPr>
        <w:tab/>
      </w:r>
      <w:r w:rsidR="00E71F7C">
        <w:rPr>
          <w:rFonts w:ascii="Arial" w:hAnsi="Arial" w:cs="Arial"/>
          <w:sz w:val="24"/>
          <w:szCs w:val="24"/>
        </w:rPr>
        <w:t xml:space="preserve">In the </w:t>
      </w:r>
      <w:r w:rsidR="00E71F7C" w:rsidRPr="00E71F7C">
        <w:rPr>
          <w:rFonts w:ascii="Arial" w:hAnsi="Arial" w:cs="Arial"/>
          <w:i/>
          <w:sz w:val="24"/>
          <w:szCs w:val="24"/>
        </w:rPr>
        <w:t xml:space="preserve">Government of the Self-Governing Territory of </w:t>
      </w:r>
      <w:proofErr w:type="spellStart"/>
      <w:r w:rsidR="00E71F7C" w:rsidRPr="00E71F7C">
        <w:rPr>
          <w:rFonts w:ascii="Arial" w:hAnsi="Arial" w:cs="Arial"/>
          <w:i/>
          <w:sz w:val="24"/>
          <w:szCs w:val="24"/>
        </w:rPr>
        <w:t>Kwazulu</w:t>
      </w:r>
      <w:proofErr w:type="spellEnd"/>
      <w:r w:rsidR="00E71F7C" w:rsidRPr="00E71F7C">
        <w:rPr>
          <w:rFonts w:ascii="Arial" w:hAnsi="Arial" w:cs="Arial"/>
          <w:i/>
          <w:sz w:val="24"/>
          <w:szCs w:val="24"/>
        </w:rPr>
        <w:t xml:space="preserve"> v Mahlangu </w:t>
      </w:r>
      <w:r w:rsidR="00377FB3">
        <w:rPr>
          <w:rFonts w:ascii="Arial" w:hAnsi="Arial" w:cs="Arial"/>
          <w:i/>
          <w:sz w:val="24"/>
          <w:szCs w:val="24"/>
        </w:rPr>
        <w:t>&amp;</w:t>
      </w:r>
      <w:r w:rsidR="00E71F7C" w:rsidRPr="00E71F7C">
        <w:rPr>
          <w:rFonts w:ascii="Arial" w:hAnsi="Arial" w:cs="Arial"/>
          <w:i/>
          <w:sz w:val="24"/>
          <w:szCs w:val="24"/>
        </w:rPr>
        <w:t xml:space="preserve"> another</w:t>
      </w:r>
      <w:r w:rsidR="00E71F7C" w:rsidRPr="00E71F7C">
        <w:rPr>
          <w:rStyle w:val="FootnoteReference"/>
          <w:rFonts w:ascii="Arial" w:hAnsi="Arial" w:cs="Arial"/>
          <w:sz w:val="24"/>
          <w:szCs w:val="24"/>
        </w:rPr>
        <w:footnoteReference w:id="6"/>
      </w:r>
      <w:r w:rsidR="00E71F7C">
        <w:rPr>
          <w:rFonts w:ascii="Arial" w:hAnsi="Arial" w:cs="Arial"/>
          <w:sz w:val="24"/>
          <w:szCs w:val="24"/>
        </w:rPr>
        <w:t xml:space="preserve"> where the applicant had approached the court seeking orders setting aside certain rulings made during the negotiations of the multi-party negotiating council at the World Trade Centre in Kempton Park, </w:t>
      </w:r>
      <w:r w:rsidR="00557F2E">
        <w:rPr>
          <w:rFonts w:ascii="Arial" w:hAnsi="Arial" w:cs="Arial"/>
          <w:sz w:val="24"/>
          <w:szCs w:val="24"/>
        </w:rPr>
        <w:t>Elo</w:t>
      </w:r>
      <w:r w:rsidR="00E71F7C">
        <w:rPr>
          <w:rFonts w:ascii="Arial" w:hAnsi="Arial" w:cs="Arial"/>
          <w:sz w:val="24"/>
          <w:szCs w:val="24"/>
        </w:rPr>
        <w:t>ff JP said:</w:t>
      </w:r>
    </w:p>
    <w:p w14:paraId="7274D717" w14:textId="77777777" w:rsidR="007C7059" w:rsidRDefault="007C7059" w:rsidP="007C7059">
      <w:pPr>
        <w:pStyle w:val="ListParagraph"/>
        <w:rPr>
          <w:rFonts w:ascii="Arial" w:hAnsi="Arial" w:cs="Arial"/>
          <w:sz w:val="24"/>
          <w:szCs w:val="24"/>
        </w:rPr>
      </w:pPr>
    </w:p>
    <w:p w14:paraId="076C91FB" w14:textId="77777777" w:rsidR="007C7059" w:rsidRDefault="007C7059" w:rsidP="007C7059">
      <w:pPr>
        <w:pStyle w:val="ListParagraph"/>
        <w:spacing w:line="360" w:lineRule="auto"/>
        <w:jc w:val="both"/>
        <w:rPr>
          <w:rFonts w:ascii="Arial" w:hAnsi="Arial" w:cs="Arial"/>
        </w:rPr>
      </w:pPr>
      <w:r>
        <w:rPr>
          <w:rFonts w:ascii="Arial" w:hAnsi="Arial" w:cs="Arial"/>
        </w:rPr>
        <w:t xml:space="preserve">‘It is necessary to stress that the sort of contract or agreement which </w:t>
      </w:r>
      <w:proofErr w:type="gramStart"/>
      <w:r>
        <w:rPr>
          <w:rFonts w:ascii="Arial" w:hAnsi="Arial" w:cs="Arial"/>
        </w:rPr>
        <w:t>has to</w:t>
      </w:r>
      <w:proofErr w:type="gramEnd"/>
      <w:r>
        <w:rPr>
          <w:rFonts w:ascii="Arial" w:hAnsi="Arial" w:cs="Arial"/>
        </w:rPr>
        <w:t xml:space="preserve"> be established is one entered into with the intention that it can be enforced. It is no doubt true that the fact that the 26 parties meet at the World Trade Centre is the consequence of an agreement that they would do so and the fact that they devised standing rules of procedure took place in consequence of an agreement. In this regard account might be had to the following </w:t>
      </w:r>
      <w:r>
        <w:rPr>
          <w:rFonts w:ascii="Arial" w:hAnsi="Arial" w:cs="Arial"/>
          <w:i/>
        </w:rPr>
        <w:t xml:space="preserve">dictum </w:t>
      </w:r>
      <w:r>
        <w:rPr>
          <w:rFonts w:ascii="Arial" w:hAnsi="Arial" w:cs="Arial"/>
        </w:rPr>
        <w:t xml:space="preserve">in </w:t>
      </w:r>
      <w:r>
        <w:rPr>
          <w:rFonts w:ascii="Arial" w:hAnsi="Arial" w:cs="Arial"/>
          <w:i/>
        </w:rPr>
        <w:t xml:space="preserve">Estate </w:t>
      </w:r>
      <w:proofErr w:type="spellStart"/>
      <w:r>
        <w:rPr>
          <w:rFonts w:ascii="Arial" w:hAnsi="Arial" w:cs="Arial"/>
          <w:i/>
        </w:rPr>
        <w:t>Breet</w:t>
      </w:r>
      <w:proofErr w:type="spellEnd"/>
      <w:r>
        <w:rPr>
          <w:rFonts w:ascii="Arial" w:hAnsi="Arial" w:cs="Arial"/>
          <w:i/>
        </w:rPr>
        <w:t xml:space="preserve"> v Peri-Urban Areas Health Board </w:t>
      </w:r>
      <w:r>
        <w:rPr>
          <w:rFonts w:ascii="Arial" w:hAnsi="Arial" w:cs="Arial"/>
        </w:rPr>
        <w:t>1955 (3) SA 523 (A), where Van den Heever JA said (at 532F-H):</w:t>
      </w:r>
    </w:p>
    <w:p w14:paraId="6B291123" w14:textId="77777777" w:rsidR="007C7059" w:rsidRDefault="007C7059" w:rsidP="007C7059">
      <w:pPr>
        <w:pStyle w:val="ListParagraph"/>
        <w:spacing w:line="360" w:lineRule="auto"/>
        <w:jc w:val="both"/>
        <w:rPr>
          <w:rFonts w:ascii="Arial" w:hAnsi="Arial" w:cs="Arial"/>
        </w:rPr>
      </w:pPr>
    </w:p>
    <w:p w14:paraId="21836C72" w14:textId="77777777" w:rsidR="007C7059" w:rsidRDefault="007C7059" w:rsidP="001E6237">
      <w:pPr>
        <w:pStyle w:val="ListParagraph"/>
        <w:spacing w:line="360" w:lineRule="auto"/>
        <w:ind w:left="1440"/>
        <w:jc w:val="both"/>
        <w:rPr>
          <w:rFonts w:ascii="Arial" w:hAnsi="Arial" w:cs="Arial"/>
        </w:rPr>
      </w:pPr>
      <w:r>
        <w:rPr>
          <w:rFonts w:ascii="Arial" w:hAnsi="Arial" w:cs="Arial"/>
        </w:rPr>
        <w:t xml:space="preserve">“The absence of </w:t>
      </w:r>
      <w:r>
        <w:rPr>
          <w:rFonts w:ascii="Arial" w:hAnsi="Arial" w:cs="Arial"/>
          <w:i/>
        </w:rPr>
        <w:t xml:space="preserve">consensus </w:t>
      </w:r>
      <w:r>
        <w:rPr>
          <w:rFonts w:ascii="Arial" w:hAnsi="Arial" w:cs="Arial"/>
        </w:rPr>
        <w:t xml:space="preserve">may render an ostensible contract void, but it does not follow that whenever two or more persons are in </w:t>
      </w:r>
      <w:proofErr w:type="gramStart"/>
      <w:r>
        <w:rPr>
          <w:rFonts w:ascii="Arial" w:hAnsi="Arial" w:cs="Arial"/>
        </w:rPr>
        <w:t>agreement</w:t>
      </w:r>
      <w:proofErr w:type="gramEnd"/>
      <w:r>
        <w:rPr>
          <w:rFonts w:ascii="Arial" w:hAnsi="Arial" w:cs="Arial"/>
        </w:rPr>
        <w:t xml:space="preserve"> they contract with each other. Many legal situations arise in which </w:t>
      </w:r>
      <w:r>
        <w:rPr>
          <w:rFonts w:ascii="Arial" w:hAnsi="Arial" w:cs="Arial"/>
          <w:i/>
        </w:rPr>
        <w:t xml:space="preserve">consensus </w:t>
      </w:r>
      <w:r>
        <w:rPr>
          <w:rFonts w:ascii="Arial" w:hAnsi="Arial" w:cs="Arial"/>
        </w:rPr>
        <w:t xml:space="preserve">was a </w:t>
      </w:r>
      <w:r>
        <w:rPr>
          <w:rFonts w:ascii="Arial" w:hAnsi="Arial" w:cs="Arial"/>
          <w:i/>
        </w:rPr>
        <w:t xml:space="preserve">sine qua non </w:t>
      </w:r>
      <w:r>
        <w:rPr>
          <w:rFonts w:ascii="Arial" w:hAnsi="Arial" w:cs="Arial"/>
        </w:rPr>
        <w:t>to validity but cannot be said to be contractual.”</w:t>
      </w:r>
    </w:p>
    <w:p w14:paraId="49E4074A" w14:textId="77777777" w:rsidR="00257026" w:rsidRDefault="00257026" w:rsidP="00257026">
      <w:pPr>
        <w:pStyle w:val="ListParagraph"/>
        <w:spacing w:line="360" w:lineRule="auto"/>
        <w:ind w:left="709" w:firstLine="731"/>
        <w:jc w:val="both"/>
        <w:rPr>
          <w:rFonts w:ascii="Arial" w:hAnsi="Arial" w:cs="Arial"/>
        </w:rPr>
      </w:pPr>
    </w:p>
    <w:p w14:paraId="4BF86C5C" w14:textId="77777777" w:rsidR="00257026" w:rsidRDefault="00257026" w:rsidP="001E6237">
      <w:pPr>
        <w:pStyle w:val="ListParagraph"/>
        <w:spacing w:line="360" w:lineRule="auto"/>
        <w:ind w:left="709"/>
        <w:jc w:val="both"/>
        <w:rPr>
          <w:rFonts w:ascii="Arial" w:hAnsi="Arial" w:cs="Arial"/>
        </w:rPr>
      </w:pPr>
      <w:r>
        <w:rPr>
          <w:rFonts w:ascii="Arial" w:hAnsi="Arial" w:cs="Arial"/>
        </w:rPr>
        <w:t xml:space="preserve">What is required before a Court can be approached to exercise powers of review is that the contract should appear to have been entered into and formulated with the intention that it would be final and binding and legally enforceable. The element of intention to </w:t>
      </w:r>
      <w:r>
        <w:rPr>
          <w:rFonts w:ascii="Arial" w:hAnsi="Arial" w:cs="Arial"/>
        </w:rPr>
        <w:lastRenderedPageBreak/>
        <w:t xml:space="preserve">enforce was crisply stated in the decision in </w:t>
      </w:r>
      <w:r>
        <w:rPr>
          <w:rFonts w:ascii="Arial" w:hAnsi="Arial" w:cs="Arial"/>
          <w:i/>
        </w:rPr>
        <w:t xml:space="preserve">Rose and Frank Co v J R Crompton &amp; Bros Ltd </w:t>
      </w:r>
      <w:r>
        <w:rPr>
          <w:rFonts w:ascii="Arial" w:hAnsi="Arial" w:cs="Arial"/>
        </w:rPr>
        <w:t>[1923] 2 KB 261 (CA) at 288, where it was said:</w:t>
      </w:r>
    </w:p>
    <w:p w14:paraId="1461F465" w14:textId="77777777" w:rsidR="00257026" w:rsidRDefault="00257026" w:rsidP="00257026">
      <w:pPr>
        <w:pStyle w:val="ListParagraph"/>
        <w:spacing w:line="360" w:lineRule="auto"/>
        <w:ind w:left="709" w:firstLine="731"/>
        <w:jc w:val="both"/>
        <w:rPr>
          <w:rFonts w:ascii="Arial" w:hAnsi="Arial" w:cs="Arial"/>
        </w:rPr>
      </w:pPr>
    </w:p>
    <w:p w14:paraId="0CE97A8C" w14:textId="77777777" w:rsidR="00257026" w:rsidRDefault="00257026" w:rsidP="001E6237">
      <w:pPr>
        <w:pStyle w:val="ListParagraph"/>
        <w:spacing w:line="360" w:lineRule="auto"/>
        <w:ind w:left="1440"/>
        <w:jc w:val="both"/>
        <w:rPr>
          <w:rFonts w:ascii="Arial" w:hAnsi="Arial" w:cs="Arial"/>
        </w:rPr>
      </w:pPr>
      <w:r>
        <w:rPr>
          <w:rFonts w:ascii="Arial" w:hAnsi="Arial" w:cs="Arial"/>
        </w:rPr>
        <w:t>“Now it is quite possible for parties to come to an agreement by accepting a proposal with the result that the agreement concluded does not give rise to legal relations. The reason of this is that the parties did not intend that the agreement shall give rise to legal relations.”</w:t>
      </w:r>
    </w:p>
    <w:p w14:paraId="740EF4A5" w14:textId="77777777" w:rsidR="00257026" w:rsidRDefault="00257026" w:rsidP="00257026">
      <w:pPr>
        <w:pStyle w:val="ListParagraph"/>
        <w:spacing w:line="360" w:lineRule="auto"/>
        <w:ind w:left="709" w:firstLine="731"/>
        <w:jc w:val="both"/>
        <w:rPr>
          <w:rFonts w:ascii="Arial" w:hAnsi="Arial" w:cs="Arial"/>
        </w:rPr>
      </w:pPr>
    </w:p>
    <w:p w14:paraId="7CCC4916" w14:textId="77777777" w:rsidR="00257026" w:rsidRDefault="00257026" w:rsidP="001E6237">
      <w:pPr>
        <w:pStyle w:val="ListParagraph"/>
        <w:spacing w:line="360" w:lineRule="auto"/>
        <w:ind w:left="709"/>
        <w:jc w:val="both"/>
        <w:rPr>
          <w:rFonts w:ascii="Arial" w:hAnsi="Arial" w:cs="Arial"/>
        </w:rPr>
      </w:pPr>
      <w:r>
        <w:rPr>
          <w:rFonts w:ascii="Arial" w:hAnsi="Arial" w:cs="Arial"/>
        </w:rPr>
        <w:t xml:space="preserve">The point was put as follows in the decision in </w:t>
      </w:r>
      <w:r w:rsidRPr="00257026">
        <w:rPr>
          <w:rFonts w:ascii="Arial" w:hAnsi="Arial" w:cs="Arial"/>
          <w:i/>
        </w:rPr>
        <w:t>Ford Motor Co Ltd v Amalgamated Union of Engineering and Foundry Workers and Others</w:t>
      </w:r>
      <w:r>
        <w:rPr>
          <w:rFonts w:ascii="Arial" w:hAnsi="Arial" w:cs="Arial"/>
        </w:rPr>
        <w:t xml:space="preserve"> [1969] 2 ALL ER 481 (QB) at 496D-E:</w:t>
      </w:r>
    </w:p>
    <w:p w14:paraId="441CC79B" w14:textId="77777777" w:rsidR="00257026" w:rsidRDefault="00257026" w:rsidP="00257026">
      <w:pPr>
        <w:pStyle w:val="ListParagraph"/>
        <w:spacing w:line="360" w:lineRule="auto"/>
        <w:ind w:left="709" w:firstLine="731"/>
        <w:jc w:val="both"/>
        <w:rPr>
          <w:rFonts w:ascii="Arial" w:hAnsi="Arial" w:cs="Arial"/>
        </w:rPr>
      </w:pPr>
    </w:p>
    <w:p w14:paraId="1F224D78" w14:textId="77777777" w:rsidR="00257026" w:rsidRPr="00257026" w:rsidRDefault="00257026" w:rsidP="001E6237">
      <w:pPr>
        <w:pStyle w:val="ListParagraph"/>
        <w:spacing w:line="360" w:lineRule="auto"/>
        <w:ind w:left="1440"/>
        <w:jc w:val="both"/>
        <w:rPr>
          <w:rFonts w:ascii="Arial" w:hAnsi="Arial" w:cs="Arial"/>
        </w:rPr>
      </w:pPr>
      <w:r>
        <w:rPr>
          <w:rFonts w:ascii="Arial" w:hAnsi="Arial" w:cs="Arial"/>
        </w:rPr>
        <w:t xml:space="preserve">“The fact that the agreements </w:t>
      </w:r>
      <w:r>
        <w:rPr>
          <w:rFonts w:ascii="Arial" w:hAnsi="Arial" w:cs="Arial"/>
          <w:i/>
        </w:rPr>
        <w:t xml:space="preserve">prima facie </w:t>
      </w:r>
      <w:r>
        <w:rPr>
          <w:rFonts w:ascii="Arial" w:hAnsi="Arial" w:cs="Arial"/>
        </w:rPr>
        <w:t xml:space="preserve">deal with commercial relationships is outweighed </w:t>
      </w:r>
      <w:r w:rsidR="008100B9">
        <w:rPr>
          <w:rFonts w:ascii="Arial" w:hAnsi="Arial" w:cs="Arial"/>
        </w:rPr>
        <w:t>by other considerations, by the</w:t>
      </w:r>
      <w:r>
        <w:rPr>
          <w:rFonts w:ascii="Arial" w:hAnsi="Arial" w:cs="Arial"/>
        </w:rPr>
        <w:t xml:space="preserve"> wording of the agreements, by the nature of the agreements, and by the climate of opinion voiced and evidenced by extra judicial authorities. Agreements such as these, composed largely of optimis</w:t>
      </w:r>
      <w:r w:rsidR="006D6177">
        <w:rPr>
          <w:rFonts w:ascii="Arial" w:hAnsi="Arial" w:cs="Arial"/>
        </w:rPr>
        <w:t xml:space="preserve">tic aspirations, presenting great practical problems of </w:t>
      </w:r>
      <w:proofErr w:type="gramStart"/>
      <w:r w:rsidR="006D6177">
        <w:rPr>
          <w:rFonts w:ascii="Arial" w:hAnsi="Arial" w:cs="Arial"/>
        </w:rPr>
        <w:t>enforcement</w:t>
      </w:r>
      <w:proofErr w:type="gramEnd"/>
      <w:r w:rsidR="006D6177">
        <w:rPr>
          <w:rFonts w:ascii="Arial" w:hAnsi="Arial" w:cs="Arial"/>
        </w:rPr>
        <w:t xml:space="preserve"> and reached against a background of opinion adverse to enforceability, are, in my judgment, not contracts in a legal sense and are not enforceable at law.”’</w:t>
      </w:r>
    </w:p>
    <w:p w14:paraId="0202A500" w14:textId="77777777" w:rsidR="007C7059" w:rsidRPr="006D6177" w:rsidRDefault="007C7059" w:rsidP="006D6177">
      <w:pPr>
        <w:pStyle w:val="ListParagraph"/>
        <w:spacing w:after="0" w:line="480" w:lineRule="auto"/>
        <w:ind w:left="1440"/>
        <w:jc w:val="both"/>
        <w:rPr>
          <w:rFonts w:ascii="Arial" w:hAnsi="Arial" w:cs="Arial"/>
          <w:sz w:val="24"/>
          <w:szCs w:val="24"/>
        </w:rPr>
      </w:pPr>
    </w:p>
    <w:p w14:paraId="3A80B184" w14:textId="6AAE8306" w:rsidR="007C7059" w:rsidRPr="006D6177" w:rsidRDefault="00EF5FF5" w:rsidP="00EF5FF5">
      <w:pPr>
        <w:tabs>
          <w:tab w:val="left" w:pos="0"/>
        </w:tabs>
        <w:spacing w:after="0" w:line="480" w:lineRule="auto"/>
        <w:jc w:val="both"/>
        <w:rPr>
          <w:rFonts w:ascii="Arial" w:hAnsi="Arial" w:cs="Arial"/>
          <w:i/>
          <w:sz w:val="24"/>
          <w:szCs w:val="24"/>
        </w:rPr>
      </w:pPr>
      <w:r w:rsidRPr="006D6177">
        <w:rPr>
          <w:rFonts w:ascii="Arial" w:hAnsi="Arial" w:cs="Arial"/>
          <w:sz w:val="24"/>
          <w:szCs w:val="24"/>
        </w:rPr>
        <w:t>[25]</w:t>
      </w:r>
      <w:r w:rsidRPr="006D6177">
        <w:rPr>
          <w:rFonts w:ascii="Arial" w:hAnsi="Arial" w:cs="Arial"/>
          <w:sz w:val="24"/>
          <w:szCs w:val="24"/>
        </w:rPr>
        <w:tab/>
      </w:r>
      <w:r w:rsidR="006D6177">
        <w:rPr>
          <w:rFonts w:ascii="Arial" w:hAnsi="Arial" w:cs="Arial"/>
          <w:sz w:val="24"/>
          <w:szCs w:val="24"/>
        </w:rPr>
        <w:t>In para 5 of the particulars of claim, the respondent identifies the parties to the agreement and further alleges that the agreement was partly oral and partly written for the servic</w:t>
      </w:r>
      <w:r w:rsidR="008D1E14">
        <w:rPr>
          <w:rFonts w:ascii="Arial" w:hAnsi="Arial" w:cs="Arial"/>
          <w:sz w:val="24"/>
          <w:szCs w:val="24"/>
        </w:rPr>
        <w:t>ing</w:t>
      </w:r>
      <w:r w:rsidR="006D6177">
        <w:rPr>
          <w:rFonts w:ascii="Arial" w:hAnsi="Arial" w:cs="Arial"/>
          <w:sz w:val="24"/>
          <w:szCs w:val="24"/>
        </w:rPr>
        <w:t xml:space="preserve"> of 200 000 housing plots country wide and that the written portion of the agreement is </w:t>
      </w:r>
      <w:r w:rsidR="008100B9">
        <w:rPr>
          <w:rFonts w:ascii="Arial" w:hAnsi="Arial" w:cs="Arial"/>
          <w:sz w:val="24"/>
          <w:szCs w:val="24"/>
        </w:rPr>
        <w:t xml:space="preserve">Annexure </w:t>
      </w:r>
      <w:r w:rsidR="006D6177">
        <w:rPr>
          <w:rFonts w:ascii="Arial" w:hAnsi="Arial" w:cs="Arial"/>
          <w:sz w:val="24"/>
          <w:szCs w:val="24"/>
        </w:rPr>
        <w:t xml:space="preserve">JSA1 above. The oral </w:t>
      </w:r>
      <w:r w:rsidR="00557F2E">
        <w:rPr>
          <w:rFonts w:ascii="Arial" w:hAnsi="Arial" w:cs="Arial"/>
          <w:sz w:val="24"/>
          <w:szCs w:val="24"/>
        </w:rPr>
        <w:t xml:space="preserve">part of the </w:t>
      </w:r>
      <w:r w:rsidR="006D6177">
        <w:rPr>
          <w:rFonts w:ascii="Arial" w:hAnsi="Arial" w:cs="Arial"/>
          <w:sz w:val="24"/>
          <w:szCs w:val="24"/>
        </w:rPr>
        <w:t xml:space="preserve">agreement </w:t>
      </w:r>
      <w:r w:rsidR="00557F2E">
        <w:rPr>
          <w:rFonts w:ascii="Arial" w:hAnsi="Arial" w:cs="Arial"/>
          <w:sz w:val="24"/>
          <w:szCs w:val="24"/>
        </w:rPr>
        <w:t xml:space="preserve">seems to be encapsulated in paras 6.1 and 6.5 of the particulars of claim </w:t>
      </w:r>
      <w:r w:rsidR="00AB558F">
        <w:rPr>
          <w:rFonts w:ascii="Arial" w:hAnsi="Arial" w:cs="Arial"/>
          <w:sz w:val="24"/>
          <w:szCs w:val="24"/>
        </w:rPr>
        <w:t xml:space="preserve">the aspects that do </w:t>
      </w:r>
      <w:r w:rsidR="00557F2E">
        <w:rPr>
          <w:rFonts w:ascii="Arial" w:hAnsi="Arial" w:cs="Arial"/>
          <w:sz w:val="24"/>
          <w:szCs w:val="24"/>
        </w:rPr>
        <w:t xml:space="preserve">not feature in </w:t>
      </w:r>
      <w:r w:rsidR="008100B9">
        <w:rPr>
          <w:rFonts w:ascii="Arial" w:hAnsi="Arial" w:cs="Arial"/>
          <w:sz w:val="24"/>
          <w:szCs w:val="24"/>
        </w:rPr>
        <w:t>A</w:t>
      </w:r>
      <w:r w:rsidR="00557F2E">
        <w:rPr>
          <w:rFonts w:ascii="Arial" w:hAnsi="Arial" w:cs="Arial"/>
          <w:sz w:val="24"/>
          <w:szCs w:val="24"/>
        </w:rPr>
        <w:t>nnexure JSA1</w:t>
      </w:r>
      <w:r w:rsidR="006D6177">
        <w:rPr>
          <w:rFonts w:ascii="Arial" w:hAnsi="Arial" w:cs="Arial"/>
          <w:sz w:val="24"/>
          <w:szCs w:val="24"/>
        </w:rPr>
        <w:t xml:space="preserve">. The claim goes on to allege that the express, alternative tacit and or alternately implied terms of the agreement is, that the respondent shall not continue with its intended radical </w:t>
      </w:r>
      <w:proofErr w:type="spellStart"/>
      <w:r w:rsidR="006D6177">
        <w:rPr>
          <w:rFonts w:ascii="Arial" w:hAnsi="Arial" w:cs="Arial"/>
          <w:sz w:val="24"/>
          <w:szCs w:val="24"/>
        </w:rPr>
        <w:t>programme</w:t>
      </w:r>
      <w:proofErr w:type="spellEnd"/>
      <w:r w:rsidR="006D6177">
        <w:rPr>
          <w:rFonts w:ascii="Arial" w:hAnsi="Arial" w:cs="Arial"/>
          <w:sz w:val="24"/>
          <w:szCs w:val="24"/>
        </w:rPr>
        <w:t xml:space="preserve"> of action to occupy vacant land in urban areas, which occupation without the consent of the owners, story short, is illegal. The </w:t>
      </w:r>
      <w:r w:rsidR="006D6177">
        <w:rPr>
          <w:rFonts w:ascii="Arial" w:hAnsi="Arial" w:cs="Arial"/>
          <w:sz w:val="24"/>
          <w:szCs w:val="24"/>
        </w:rPr>
        <w:lastRenderedPageBreak/>
        <w:t xml:space="preserve">claim further alleges that the </w:t>
      </w:r>
      <w:r w:rsidR="008D1E14">
        <w:rPr>
          <w:rFonts w:ascii="Arial" w:hAnsi="Arial" w:cs="Arial"/>
          <w:sz w:val="24"/>
          <w:szCs w:val="24"/>
        </w:rPr>
        <w:t>first</w:t>
      </w:r>
      <w:r w:rsidR="006D6177">
        <w:rPr>
          <w:rFonts w:ascii="Arial" w:hAnsi="Arial" w:cs="Arial"/>
          <w:sz w:val="24"/>
          <w:szCs w:val="24"/>
        </w:rPr>
        <w:t xml:space="preserve"> defendant shall immediately implement a massive nationwide project earmarked towards servicing of urban land and land allocation. </w:t>
      </w:r>
      <w:proofErr w:type="gramStart"/>
      <w:r w:rsidR="006D6177">
        <w:rPr>
          <w:rFonts w:ascii="Arial" w:hAnsi="Arial" w:cs="Arial"/>
          <w:sz w:val="24"/>
          <w:szCs w:val="24"/>
        </w:rPr>
        <w:t>Again</w:t>
      </w:r>
      <w:proofErr w:type="gramEnd"/>
      <w:r w:rsidR="006D6177">
        <w:rPr>
          <w:rFonts w:ascii="Arial" w:hAnsi="Arial" w:cs="Arial"/>
          <w:sz w:val="24"/>
          <w:szCs w:val="24"/>
        </w:rPr>
        <w:t xml:space="preserve"> it is not clear how the President was going to implement the servicing of land and land allocation immediately. Was it immediately in the dictionary meaning of the word?</w:t>
      </w:r>
      <w:r w:rsidR="00F95AC1">
        <w:rPr>
          <w:rFonts w:ascii="Arial" w:hAnsi="Arial" w:cs="Arial"/>
          <w:sz w:val="24"/>
          <w:szCs w:val="24"/>
        </w:rPr>
        <w:t xml:space="preserve"> The use of the word immediately </w:t>
      </w:r>
      <w:r w:rsidR="00AB558F">
        <w:rPr>
          <w:rFonts w:ascii="Arial" w:hAnsi="Arial" w:cs="Arial"/>
          <w:sz w:val="24"/>
          <w:szCs w:val="24"/>
        </w:rPr>
        <w:t>further</w:t>
      </w:r>
      <w:r w:rsidR="00F95AC1">
        <w:rPr>
          <w:rFonts w:ascii="Arial" w:hAnsi="Arial" w:cs="Arial"/>
          <w:sz w:val="24"/>
          <w:szCs w:val="24"/>
        </w:rPr>
        <w:t xml:space="preserve"> </w:t>
      </w:r>
      <w:r w:rsidR="000A65D1">
        <w:rPr>
          <w:rFonts w:ascii="Arial" w:hAnsi="Arial" w:cs="Arial"/>
          <w:sz w:val="24"/>
          <w:szCs w:val="24"/>
        </w:rPr>
        <w:t>u</w:t>
      </w:r>
      <w:r w:rsidR="00F95AC1">
        <w:rPr>
          <w:rFonts w:ascii="Arial" w:hAnsi="Arial" w:cs="Arial"/>
          <w:sz w:val="24"/>
          <w:szCs w:val="24"/>
        </w:rPr>
        <w:t xml:space="preserve">nderscores </w:t>
      </w:r>
      <w:r w:rsidR="000A65D1">
        <w:rPr>
          <w:rFonts w:ascii="Arial" w:hAnsi="Arial" w:cs="Arial"/>
          <w:sz w:val="24"/>
          <w:szCs w:val="24"/>
        </w:rPr>
        <w:t xml:space="preserve">the fact that it was not intended </w:t>
      </w:r>
      <w:r w:rsidR="00AB558F">
        <w:rPr>
          <w:rFonts w:ascii="Arial" w:hAnsi="Arial" w:cs="Arial"/>
          <w:sz w:val="24"/>
          <w:szCs w:val="24"/>
        </w:rPr>
        <w:t xml:space="preserve">to create contractual obligations as the President could only, in terms of the policy statement he made, immediately request the relevant local authorities to take steps </w:t>
      </w:r>
      <w:proofErr w:type="gramStart"/>
      <w:r w:rsidR="00AB558F">
        <w:rPr>
          <w:rFonts w:ascii="Arial" w:hAnsi="Arial" w:cs="Arial"/>
          <w:sz w:val="24"/>
          <w:szCs w:val="24"/>
        </w:rPr>
        <w:t>so as to</w:t>
      </w:r>
      <w:proofErr w:type="gramEnd"/>
      <w:r w:rsidR="00AB558F">
        <w:rPr>
          <w:rFonts w:ascii="Arial" w:hAnsi="Arial" w:cs="Arial"/>
          <w:sz w:val="24"/>
          <w:szCs w:val="24"/>
        </w:rPr>
        <w:t xml:space="preserve"> give effect to the policy statement seeing the </w:t>
      </w:r>
      <w:r w:rsidR="00EE5FF2">
        <w:rPr>
          <w:rFonts w:ascii="Arial" w:hAnsi="Arial" w:cs="Arial"/>
          <w:sz w:val="24"/>
          <w:szCs w:val="24"/>
        </w:rPr>
        <w:t xml:space="preserve">pivotal </w:t>
      </w:r>
      <w:r w:rsidR="009A1183">
        <w:rPr>
          <w:rFonts w:ascii="Arial" w:hAnsi="Arial" w:cs="Arial"/>
          <w:sz w:val="24"/>
          <w:szCs w:val="24"/>
        </w:rPr>
        <w:t xml:space="preserve">role of the local authorities in this regard. </w:t>
      </w:r>
    </w:p>
    <w:p w14:paraId="7626D77D" w14:textId="77777777" w:rsidR="006D6177" w:rsidRPr="008100B9" w:rsidRDefault="006D6177" w:rsidP="006D6177">
      <w:pPr>
        <w:tabs>
          <w:tab w:val="left" w:pos="0"/>
        </w:tabs>
        <w:spacing w:after="0" w:line="480" w:lineRule="auto"/>
        <w:jc w:val="both"/>
        <w:rPr>
          <w:rFonts w:ascii="Arial" w:hAnsi="Arial" w:cs="Arial"/>
          <w:sz w:val="24"/>
          <w:szCs w:val="24"/>
        </w:rPr>
      </w:pPr>
    </w:p>
    <w:p w14:paraId="4B25D2A4" w14:textId="4E493CCE" w:rsidR="00EC4E70" w:rsidRPr="00EC4E70" w:rsidRDefault="00EF5FF5" w:rsidP="00EF5FF5">
      <w:pPr>
        <w:tabs>
          <w:tab w:val="left" w:pos="0"/>
        </w:tabs>
        <w:spacing w:after="0" w:line="480" w:lineRule="auto"/>
        <w:jc w:val="both"/>
        <w:rPr>
          <w:rFonts w:ascii="Arial" w:hAnsi="Arial" w:cs="Arial"/>
          <w:i/>
          <w:sz w:val="24"/>
          <w:szCs w:val="24"/>
        </w:rPr>
      </w:pPr>
      <w:r w:rsidRPr="00EC4E70">
        <w:rPr>
          <w:rFonts w:ascii="Arial" w:hAnsi="Arial" w:cs="Arial"/>
          <w:sz w:val="24"/>
          <w:szCs w:val="24"/>
        </w:rPr>
        <w:t>[26]</w:t>
      </w:r>
      <w:r w:rsidRPr="00EC4E70">
        <w:rPr>
          <w:rFonts w:ascii="Arial" w:hAnsi="Arial" w:cs="Arial"/>
          <w:sz w:val="24"/>
          <w:szCs w:val="24"/>
        </w:rPr>
        <w:tab/>
      </w:r>
      <w:r w:rsidR="006D6177">
        <w:rPr>
          <w:rFonts w:ascii="Arial" w:hAnsi="Arial" w:cs="Arial"/>
          <w:sz w:val="24"/>
          <w:szCs w:val="24"/>
        </w:rPr>
        <w:t xml:space="preserve">The claim further states that there would be a pilot project </w:t>
      </w:r>
      <w:r w:rsidR="008D1E14">
        <w:rPr>
          <w:rFonts w:ascii="Arial" w:hAnsi="Arial" w:cs="Arial"/>
          <w:sz w:val="24"/>
          <w:szCs w:val="24"/>
        </w:rPr>
        <w:t>for</w:t>
      </w:r>
      <w:r w:rsidR="006D6177">
        <w:rPr>
          <w:rFonts w:ascii="Arial" w:hAnsi="Arial" w:cs="Arial"/>
          <w:sz w:val="24"/>
          <w:szCs w:val="24"/>
        </w:rPr>
        <w:t xml:space="preserve"> servicing identified land in three towns of Windhoek</w:t>
      </w:r>
      <w:r w:rsidR="00EC4E70">
        <w:rPr>
          <w:rFonts w:ascii="Arial" w:hAnsi="Arial" w:cs="Arial"/>
          <w:sz w:val="24"/>
          <w:szCs w:val="24"/>
        </w:rPr>
        <w:t>, Walvis</w:t>
      </w:r>
      <w:r w:rsidR="008100B9">
        <w:rPr>
          <w:rFonts w:ascii="Arial" w:hAnsi="Arial" w:cs="Arial"/>
          <w:sz w:val="24"/>
          <w:szCs w:val="24"/>
        </w:rPr>
        <w:t xml:space="preserve"> B</w:t>
      </w:r>
      <w:r w:rsidR="00EC4E70">
        <w:rPr>
          <w:rFonts w:ascii="Arial" w:hAnsi="Arial" w:cs="Arial"/>
          <w:sz w:val="24"/>
          <w:szCs w:val="24"/>
        </w:rPr>
        <w:t xml:space="preserve">ay and Oshakati; and that the </w:t>
      </w:r>
      <w:r w:rsidR="008D1E14">
        <w:rPr>
          <w:rFonts w:ascii="Arial" w:hAnsi="Arial" w:cs="Arial"/>
          <w:sz w:val="24"/>
          <w:szCs w:val="24"/>
        </w:rPr>
        <w:t>first</w:t>
      </w:r>
      <w:r w:rsidR="00EC4E70">
        <w:rPr>
          <w:rFonts w:ascii="Arial" w:hAnsi="Arial" w:cs="Arial"/>
          <w:sz w:val="24"/>
          <w:szCs w:val="24"/>
        </w:rPr>
        <w:t xml:space="preserve"> appellant shall immediately embark on a project to service 200 000-00 </w:t>
      </w:r>
      <w:r w:rsidR="008100B9">
        <w:rPr>
          <w:rFonts w:ascii="Arial" w:hAnsi="Arial" w:cs="Arial"/>
          <w:sz w:val="24"/>
          <w:szCs w:val="24"/>
        </w:rPr>
        <w:t xml:space="preserve">(sic) </w:t>
      </w:r>
      <w:r w:rsidR="00EC4E70">
        <w:rPr>
          <w:rFonts w:ascii="Arial" w:hAnsi="Arial" w:cs="Arial"/>
          <w:sz w:val="24"/>
          <w:szCs w:val="24"/>
        </w:rPr>
        <w:t xml:space="preserve">plots country wide. I assume the –00 after the 200 000 is an error and the word ‘immediately’ I assume in this context means after the pilot project. The claim further alleges that the servicing of the 200 000 plots should be </w:t>
      </w:r>
      <w:proofErr w:type="spellStart"/>
      <w:r w:rsidR="00EC4E70">
        <w:rPr>
          <w:rFonts w:ascii="Arial" w:hAnsi="Arial" w:cs="Arial"/>
          <w:sz w:val="24"/>
          <w:szCs w:val="24"/>
        </w:rPr>
        <w:t>finalised</w:t>
      </w:r>
      <w:proofErr w:type="spellEnd"/>
      <w:r w:rsidR="00EC4E70">
        <w:rPr>
          <w:rFonts w:ascii="Arial" w:hAnsi="Arial" w:cs="Arial"/>
          <w:sz w:val="24"/>
          <w:szCs w:val="24"/>
        </w:rPr>
        <w:t xml:space="preserve"> within a reasonable time after 24 July 2015 (the day of the meeting). Reasonable time was not defined or set but after a period of </w:t>
      </w:r>
      <w:r w:rsidR="005B6FD9">
        <w:rPr>
          <w:rFonts w:ascii="Arial" w:hAnsi="Arial" w:cs="Arial"/>
          <w:sz w:val="24"/>
          <w:szCs w:val="24"/>
        </w:rPr>
        <w:t>five</w:t>
      </w:r>
      <w:r w:rsidR="00EC4E70">
        <w:rPr>
          <w:rFonts w:ascii="Arial" w:hAnsi="Arial" w:cs="Arial"/>
          <w:sz w:val="24"/>
          <w:szCs w:val="24"/>
        </w:rPr>
        <w:t xml:space="preserve"> years, that is September 2020 the </w:t>
      </w:r>
      <w:r w:rsidR="008D1E14">
        <w:rPr>
          <w:rFonts w:ascii="Arial" w:hAnsi="Arial" w:cs="Arial"/>
          <w:sz w:val="24"/>
          <w:szCs w:val="24"/>
        </w:rPr>
        <w:t>first</w:t>
      </w:r>
      <w:r w:rsidR="00EC4E70">
        <w:rPr>
          <w:rFonts w:ascii="Arial" w:hAnsi="Arial" w:cs="Arial"/>
          <w:sz w:val="24"/>
          <w:szCs w:val="24"/>
        </w:rPr>
        <w:t xml:space="preserve"> appellant had only serviced less than 15 000 plots and therefore breached the agreement and that respondent had complied with the agreement when it did not continue with its intended radical </w:t>
      </w:r>
      <w:proofErr w:type="spellStart"/>
      <w:r w:rsidR="00EC4E70">
        <w:rPr>
          <w:rFonts w:ascii="Arial" w:hAnsi="Arial" w:cs="Arial"/>
          <w:sz w:val="24"/>
          <w:szCs w:val="24"/>
        </w:rPr>
        <w:t>programme</w:t>
      </w:r>
      <w:proofErr w:type="spellEnd"/>
      <w:r w:rsidR="00EC4E70">
        <w:rPr>
          <w:rFonts w:ascii="Arial" w:hAnsi="Arial" w:cs="Arial"/>
          <w:sz w:val="24"/>
          <w:szCs w:val="24"/>
        </w:rPr>
        <w:t xml:space="preserve"> of action to occupy vacant land in urban areas.</w:t>
      </w:r>
    </w:p>
    <w:p w14:paraId="050EBDB7" w14:textId="77777777" w:rsidR="00EC4E70" w:rsidRPr="00EC4E70" w:rsidRDefault="00EC4E70" w:rsidP="00EC4E70">
      <w:pPr>
        <w:pStyle w:val="ListParagraph"/>
        <w:spacing w:after="0" w:line="480" w:lineRule="auto"/>
        <w:jc w:val="both"/>
        <w:rPr>
          <w:rFonts w:ascii="Arial" w:hAnsi="Arial" w:cs="Arial"/>
          <w:sz w:val="24"/>
          <w:szCs w:val="24"/>
        </w:rPr>
      </w:pPr>
    </w:p>
    <w:p w14:paraId="2190CAAF" w14:textId="2D91D29B" w:rsidR="00EC4E70" w:rsidRPr="00EC4E70" w:rsidRDefault="00EF5FF5" w:rsidP="00EF5FF5">
      <w:pPr>
        <w:tabs>
          <w:tab w:val="left" w:pos="0"/>
        </w:tabs>
        <w:spacing w:after="0" w:line="480" w:lineRule="auto"/>
        <w:jc w:val="both"/>
        <w:rPr>
          <w:rFonts w:ascii="Arial" w:hAnsi="Arial" w:cs="Arial"/>
          <w:i/>
          <w:sz w:val="24"/>
          <w:szCs w:val="24"/>
        </w:rPr>
      </w:pPr>
      <w:r w:rsidRPr="00EC4E70">
        <w:rPr>
          <w:rFonts w:ascii="Arial" w:hAnsi="Arial" w:cs="Arial"/>
          <w:sz w:val="24"/>
          <w:szCs w:val="24"/>
        </w:rPr>
        <w:lastRenderedPageBreak/>
        <w:t>[27]</w:t>
      </w:r>
      <w:r w:rsidRPr="00EC4E70">
        <w:rPr>
          <w:rFonts w:ascii="Arial" w:hAnsi="Arial" w:cs="Arial"/>
          <w:sz w:val="24"/>
          <w:szCs w:val="24"/>
        </w:rPr>
        <w:tab/>
      </w:r>
      <w:r w:rsidR="00EC4E70">
        <w:rPr>
          <w:rFonts w:ascii="Arial" w:hAnsi="Arial" w:cs="Arial"/>
          <w:sz w:val="24"/>
          <w:szCs w:val="24"/>
        </w:rPr>
        <w:t>Annexure JSA1 speaks for itself</w:t>
      </w:r>
      <w:r w:rsidR="008E2585">
        <w:rPr>
          <w:rFonts w:ascii="Arial" w:hAnsi="Arial" w:cs="Arial"/>
          <w:sz w:val="24"/>
          <w:szCs w:val="24"/>
        </w:rPr>
        <w:t xml:space="preserve"> </w:t>
      </w:r>
      <w:r w:rsidR="00EC4E70">
        <w:rPr>
          <w:rFonts w:ascii="Arial" w:hAnsi="Arial" w:cs="Arial"/>
          <w:sz w:val="24"/>
          <w:szCs w:val="24"/>
        </w:rPr>
        <w:t>– the President invited the Affirmative Repositioning Movement (ARM) (I suppose its representative</w:t>
      </w:r>
      <w:r w:rsidR="000426B1">
        <w:rPr>
          <w:rFonts w:ascii="Arial" w:hAnsi="Arial" w:cs="Arial"/>
          <w:sz w:val="24"/>
          <w:szCs w:val="24"/>
        </w:rPr>
        <w:t>s</w:t>
      </w:r>
      <w:r w:rsidR="00EC4E70">
        <w:rPr>
          <w:rFonts w:ascii="Arial" w:hAnsi="Arial" w:cs="Arial"/>
          <w:sz w:val="24"/>
          <w:szCs w:val="24"/>
        </w:rPr>
        <w:t xml:space="preserve">) to State House on 24 July 2015 to a </w:t>
      </w:r>
      <w:r w:rsidR="00EC4E70">
        <w:rPr>
          <w:rFonts w:ascii="Arial" w:hAnsi="Arial" w:cs="Arial"/>
          <w:sz w:val="24"/>
          <w:szCs w:val="24"/>
          <w:u w:val="single"/>
        </w:rPr>
        <w:t>meeting</w:t>
      </w:r>
      <w:r w:rsidR="00EC4E70">
        <w:rPr>
          <w:rFonts w:ascii="Arial" w:hAnsi="Arial" w:cs="Arial"/>
          <w:sz w:val="24"/>
          <w:szCs w:val="24"/>
        </w:rPr>
        <w:t xml:space="preserve"> that commenced at 10H00 to 16H00. (</w:t>
      </w:r>
      <w:r w:rsidR="005B6FD9">
        <w:rPr>
          <w:rFonts w:ascii="Arial" w:hAnsi="Arial" w:cs="Arial"/>
          <w:sz w:val="24"/>
          <w:szCs w:val="24"/>
        </w:rPr>
        <w:t>T</w:t>
      </w:r>
      <w:r w:rsidR="00EC4E70">
        <w:rPr>
          <w:rFonts w:ascii="Arial" w:hAnsi="Arial" w:cs="Arial"/>
          <w:sz w:val="24"/>
          <w:szCs w:val="24"/>
        </w:rPr>
        <w:t>he underlining is mine). The President chaired the meeting which was cordial. It was only during the discussion that it was discovered that there is common ground between the two solutions offered by Government and AR</w:t>
      </w:r>
      <w:r w:rsidR="008D1E14">
        <w:rPr>
          <w:rFonts w:ascii="Arial" w:hAnsi="Arial" w:cs="Arial"/>
          <w:sz w:val="24"/>
          <w:szCs w:val="24"/>
        </w:rPr>
        <w:t>M</w:t>
      </w:r>
      <w:r w:rsidR="00EC4E70">
        <w:rPr>
          <w:rFonts w:ascii="Arial" w:hAnsi="Arial" w:cs="Arial"/>
          <w:sz w:val="24"/>
          <w:szCs w:val="24"/>
        </w:rPr>
        <w:t xml:space="preserve">. Then </w:t>
      </w:r>
      <w:r w:rsidR="008E2585">
        <w:rPr>
          <w:rFonts w:ascii="Arial" w:hAnsi="Arial" w:cs="Arial"/>
          <w:sz w:val="24"/>
          <w:szCs w:val="24"/>
        </w:rPr>
        <w:t>seven</w:t>
      </w:r>
      <w:r w:rsidR="00EC4E70">
        <w:rPr>
          <w:rFonts w:ascii="Arial" w:hAnsi="Arial" w:cs="Arial"/>
          <w:sz w:val="24"/>
          <w:szCs w:val="24"/>
        </w:rPr>
        <w:t xml:space="preserve"> resolutions were taken/</w:t>
      </w:r>
      <w:proofErr w:type="gramStart"/>
      <w:r w:rsidR="00EC4E70">
        <w:rPr>
          <w:rFonts w:ascii="Arial" w:hAnsi="Arial" w:cs="Arial"/>
          <w:sz w:val="24"/>
          <w:szCs w:val="24"/>
        </w:rPr>
        <w:t>adopted</w:t>
      </w:r>
      <w:proofErr w:type="gramEnd"/>
      <w:r w:rsidR="00EC4E70">
        <w:rPr>
          <w:rFonts w:ascii="Arial" w:hAnsi="Arial" w:cs="Arial"/>
          <w:sz w:val="24"/>
          <w:szCs w:val="24"/>
        </w:rPr>
        <w:t xml:space="preserve"> or the exact words used are, </w:t>
      </w:r>
      <w:r w:rsidR="008D1E14">
        <w:rPr>
          <w:rFonts w:ascii="Arial" w:hAnsi="Arial" w:cs="Arial"/>
          <w:sz w:val="24"/>
          <w:szCs w:val="24"/>
        </w:rPr>
        <w:t>‘</w:t>
      </w:r>
      <w:r w:rsidR="00EC4E70">
        <w:rPr>
          <w:rFonts w:ascii="Arial" w:hAnsi="Arial" w:cs="Arial"/>
          <w:sz w:val="24"/>
          <w:szCs w:val="24"/>
        </w:rPr>
        <w:t>the meeting resolved as follows</w:t>
      </w:r>
      <w:r w:rsidR="008D1E14">
        <w:rPr>
          <w:rFonts w:ascii="Arial" w:hAnsi="Arial" w:cs="Arial"/>
          <w:sz w:val="24"/>
          <w:szCs w:val="24"/>
        </w:rPr>
        <w:t>’</w:t>
      </w:r>
      <w:r w:rsidR="005B6FD9">
        <w:rPr>
          <w:rFonts w:ascii="Arial" w:hAnsi="Arial" w:cs="Arial"/>
          <w:sz w:val="24"/>
          <w:szCs w:val="24"/>
        </w:rPr>
        <w:t>.</w:t>
      </w:r>
      <w:r w:rsidR="008E2585">
        <w:rPr>
          <w:rFonts w:ascii="Arial" w:hAnsi="Arial" w:cs="Arial"/>
          <w:sz w:val="24"/>
          <w:szCs w:val="24"/>
        </w:rPr>
        <w:t xml:space="preserve"> All seven resolutions have their genesis in the President’s inauguration speech in 2015 repeated </w:t>
      </w:r>
      <w:r w:rsidR="008D1E14">
        <w:rPr>
          <w:rFonts w:ascii="Arial" w:hAnsi="Arial" w:cs="Arial"/>
          <w:sz w:val="24"/>
          <w:szCs w:val="24"/>
        </w:rPr>
        <w:t>in</w:t>
      </w:r>
      <w:r w:rsidR="008E2585">
        <w:rPr>
          <w:rFonts w:ascii="Arial" w:hAnsi="Arial" w:cs="Arial"/>
          <w:sz w:val="24"/>
          <w:szCs w:val="24"/>
        </w:rPr>
        <w:t xml:space="preserve"> the State of the Nation </w:t>
      </w:r>
      <w:r w:rsidR="005B6FD9">
        <w:rPr>
          <w:rFonts w:ascii="Arial" w:hAnsi="Arial" w:cs="Arial"/>
          <w:sz w:val="24"/>
          <w:szCs w:val="24"/>
        </w:rPr>
        <w:t>A</w:t>
      </w:r>
      <w:r w:rsidR="008E2585">
        <w:rPr>
          <w:rFonts w:ascii="Arial" w:hAnsi="Arial" w:cs="Arial"/>
          <w:sz w:val="24"/>
          <w:szCs w:val="24"/>
        </w:rPr>
        <w:t>ddress, where he declared war against poverty and declared that ‘there shall be a massive nationwide project earmarked towards servicing of urban land and land allocation’</w:t>
      </w:r>
      <w:r w:rsidR="005B6FD9">
        <w:rPr>
          <w:rFonts w:ascii="Arial" w:hAnsi="Arial" w:cs="Arial"/>
          <w:sz w:val="24"/>
          <w:szCs w:val="24"/>
        </w:rPr>
        <w:t>.</w:t>
      </w:r>
      <w:r w:rsidR="008E2585">
        <w:rPr>
          <w:rFonts w:ascii="Arial" w:hAnsi="Arial" w:cs="Arial"/>
          <w:sz w:val="24"/>
          <w:szCs w:val="24"/>
        </w:rPr>
        <w:t xml:space="preserve"> What follows after that opening resolution are modalities to implement that resolution, namely, the number of plots to be serv</w:t>
      </w:r>
      <w:r w:rsidR="008D1E14">
        <w:rPr>
          <w:rFonts w:ascii="Arial" w:hAnsi="Arial" w:cs="Arial"/>
          <w:sz w:val="24"/>
          <w:szCs w:val="24"/>
        </w:rPr>
        <w:t>ic</w:t>
      </w:r>
      <w:r w:rsidR="008E2585">
        <w:rPr>
          <w:rFonts w:ascii="Arial" w:hAnsi="Arial" w:cs="Arial"/>
          <w:sz w:val="24"/>
          <w:szCs w:val="24"/>
        </w:rPr>
        <w:t>ed, towns where the pilot project would commence, the period dedicated to a nationwide clearance of identified urban land, the servicing of that cleared urban land earmarked for its future allocation, a call would be made to Namibians to voluntarily participate in servicing the urban land so identified and the establishment of a technical committee to work out all modalities regarding the massive urban land servicing project</w:t>
      </w:r>
      <w:r w:rsidR="005B6FD9">
        <w:rPr>
          <w:rFonts w:ascii="Arial" w:hAnsi="Arial" w:cs="Arial"/>
          <w:sz w:val="24"/>
          <w:szCs w:val="24"/>
        </w:rPr>
        <w:t>.</w:t>
      </w:r>
    </w:p>
    <w:p w14:paraId="4ABC4DB3" w14:textId="77777777" w:rsidR="00EC4E70" w:rsidRDefault="00EC4E70" w:rsidP="008E2585">
      <w:pPr>
        <w:pStyle w:val="ListParagraph"/>
        <w:spacing w:after="0" w:line="480" w:lineRule="auto"/>
        <w:jc w:val="both"/>
        <w:rPr>
          <w:rFonts w:ascii="Arial" w:hAnsi="Arial" w:cs="Arial"/>
          <w:sz w:val="24"/>
          <w:szCs w:val="24"/>
        </w:rPr>
      </w:pPr>
    </w:p>
    <w:p w14:paraId="34FDB9B9" w14:textId="0D3B0DEC" w:rsidR="006D6177" w:rsidRPr="00A46822" w:rsidRDefault="00EF5FF5" w:rsidP="00EF5FF5">
      <w:pPr>
        <w:tabs>
          <w:tab w:val="left" w:pos="0"/>
        </w:tabs>
        <w:spacing w:after="0" w:line="480" w:lineRule="auto"/>
        <w:jc w:val="both"/>
        <w:rPr>
          <w:rFonts w:ascii="Arial" w:hAnsi="Arial" w:cs="Arial"/>
          <w:i/>
          <w:sz w:val="24"/>
          <w:szCs w:val="24"/>
        </w:rPr>
      </w:pPr>
      <w:r w:rsidRPr="00A46822">
        <w:rPr>
          <w:rFonts w:ascii="Arial" w:hAnsi="Arial" w:cs="Arial"/>
          <w:sz w:val="24"/>
          <w:szCs w:val="24"/>
        </w:rPr>
        <w:t>[28]</w:t>
      </w:r>
      <w:r w:rsidRPr="00A46822">
        <w:rPr>
          <w:rFonts w:ascii="Arial" w:hAnsi="Arial" w:cs="Arial"/>
          <w:sz w:val="24"/>
          <w:szCs w:val="24"/>
        </w:rPr>
        <w:tab/>
      </w:r>
      <w:r w:rsidR="00EC4E70">
        <w:rPr>
          <w:rFonts w:ascii="Arial" w:hAnsi="Arial" w:cs="Arial"/>
          <w:sz w:val="24"/>
          <w:szCs w:val="24"/>
        </w:rPr>
        <w:t xml:space="preserve"> </w:t>
      </w:r>
      <w:r w:rsidR="008E2585">
        <w:rPr>
          <w:rFonts w:ascii="Arial" w:hAnsi="Arial" w:cs="Arial"/>
          <w:sz w:val="24"/>
          <w:szCs w:val="24"/>
        </w:rPr>
        <w:t>The whole context of the resolutions is the idea of the massive urban land servicing project</w:t>
      </w:r>
      <w:r w:rsidR="008D1E14">
        <w:rPr>
          <w:rFonts w:ascii="Arial" w:hAnsi="Arial" w:cs="Arial"/>
          <w:sz w:val="24"/>
          <w:szCs w:val="24"/>
        </w:rPr>
        <w:t>,</w:t>
      </w:r>
      <w:r w:rsidR="008E2585">
        <w:rPr>
          <w:rFonts w:ascii="Arial" w:hAnsi="Arial" w:cs="Arial"/>
          <w:sz w:val="24"/>
          <w:szCs w:val="24"/>
        </w:rPr>
        <w:t xml:space="preserve"> a brainchild of the President</w:t>
      </w:r>
      <w:r w:rsidR="008D1E14">
        <w:rPr>
          <w:rFonts w:ascii="Arial" w:hAnsi="Arial" w:cs="Arial"/>
          <w:sz w:val="24"/>
          <w:szCs w:val="24"/>
        </w:rPr>
        <w:t>.</w:t>
      </w:r>
      <w:r w:rsidR="008E2585">
        <w:rPr>
          <w:rFonts w:ascii="Arial" w:hAnsi="Arial" w:cs="Arial"/>
          <w:sz w:val="24"/>
          <w:szCs w:val="24"/>
        </w:rPr>
        <w:t xml:space="preserve"> </w:t>
      </w:r>
      <w:r w:rsidR="008D1E14">
        <w:rPr>
          <w:rFonts w:ascii="Arial" w:hAnsi="Arial" w:cs="Arial"/>
          <w:sz w:val="24"/>
          <w:szCs w:val="24"/>
        </w:rPr>
        <w:t>H</w:t>
      </w:r>
      <w:r w:rsidR="008E2585">
        <w:rPr>
          <w:rFonts w:ascii="Arial" w:hAnsi="Arial" w:cs="Arial"/>
          <w:sz w:val="24"/>
          <w:szCs w:val="24"/>
        </w:rPr>
        <w:t xml:space="preserve">e invited the respondent </w:t>
      </w:r>
      <w:r w:rsidR="000426B1">
        <w:rPr>
          <w:rFonts w:ascii="Arial" w:hAnsi="Arial" w:cs="Arial"/>
          <w:sz w:val="24"/>
          <w:szCs w:val="24"/>
        </w:rPr>
        <w:t xml:space="preserve">or its representatives </w:t>
      </w:r>
      <w:r w:rsidR="008D1E14">
        <w:rPr>
          <w:rFonts w:ascii="Arial" w:hAnsi="Arial" w:cs="Arial"/>
          <w:sz w:val="24"/>
          <w:szCs w:val="24"/>
        </w:rPr>
        <w:t>and</w:t>
      </w:r>
      <w:r w:rsidR="008E2585">
        <w:rPr>
          <w:rFonts w:ascii="Arial" w:hAnsi="Arial" w:cs="Arial"/>
          <w:sz w:val="24"/>
          <w:szCs w:val="24"/>
        </w:rPr>
        <w:t xml:space="preserve"> chaired the meeting</w:t>
      </w:r>
      <w:r w:rsidR="008D1E14">
        <w:rPr>
          <w:rFonts w:ascii="Arial" w:hAnsi="Arial" w:cs="Arial"/>
          <w:sz w:val="24"/>
          <w:szCs w:val="24"/>
        </w:rPr>
        <w:t>.</w:t>
      </w:r>
      <w:r w:rsidR="008E2585">
        <w:rPr>
          <w:rFonts w:ascii="Arial" w:hAnsi="Arial" w:cs="Arial"/>
          <w:sz w:val="24"/>
          <w:szCs w:val="24"/>
        </w:rPr>
        <w:t xml:space="preserve"> </w:t>
      </w:r>
      <w:r w:rsidR="008D1E14">
        <w:rPr>
          <w:rFonts w:ascii="Arial" w:hAnsi="Arial" w:cs="Arial"/>
          <w:sz w:val="24"/>
          <w:szCs w:val="24"/>
        </w:rPr>
        <w:t>T</w:t>
      </w:r>
      <w:r w:rsidR="008E2585">
        <w:rPr>
          <w:rFonts w:ascii="Arial" w:hAnsi="Arial" w:cs="Arial"/>
          <w:sz w:val="24"/>
          <w:szCs w:val="24"/>
        </w:rPr>
        <w:t xml:space="preserve">he issue of land was </w:t>
      </w:r>
      <w:proofErr w:type="gramStart"/>
      <w:r w:rsidR="008E2585">
        <w:rPr>
          <w:rFonts w:ascii="Arial" w:hAnsi="Arial" w:cs="Arial"/>
          <w:sz w:val="24"/>
          <w:szCs w:val="24"/>
        </w:rPr>
        <w:t>national</w:t>
      </w:r>
      <w:r w:rsidR="00A46822">
        <w:rPr>
          <w:rFonts w:ascii="Arial" w:hAnsi="Arial" w:cs="Arial"/>
          <w:sz w:val="24"/>
          <w:szCs w:val="24"/>
        </w:rPr>
        <w:t xml:space="preserve">, </w:t>
      </w:r>
      <w:r w:rsidR="008D1E14">
        <w:rPr>
          <w:rFonts w:ascii="Arial" w:hAnsi="Arial" w:cs="Arial"/>
          <w:sz w:val="24"/>
          <w:szCs w:val="24"/>
        </w:rPr>
        <w:t>and</w:t>
      </w:r>
      <w:proofErr w:type="gramEnd"/>
      <w:r w:rsidR="008D1E14">
        <w:rPr>
          <w:rFonts w:ascii="Arial" w:hAnsi="Arial" w:cs="Arial"/>
          <w:sz w:val="24"/>
          <w:szCs w:val="24"/>
        </w:rPr>
        <w:t xml:space="preserve"> </w:t>
      </w:r>
      <w:r w:rsidR="00A46822">
        <w:rPr>
          <w:rFonts w:ascii="Arial" w:hAnsi="Arial" w:cs="Arial"/>
          <w:sz w:val="24"/>
          <w:szCs w:val="24"/>
        </w:rPr>
        <w:t>was not of a commercial or business nature. The resolutions are silent</w:t>
      </w:r>
      <w:r w:rsidR="008D1E14">
        <w:rPr>
          <w:rFonts w:ascii="Arial" w:hAnsi="Arial" w:cs="Arial"/>
          <w:sz w:val="24"/>
          <w:szCs w:val="24"/>
        </w:rPr>
        <w:t xml:space="preserve"> on</w:t>
      </w:r>
      <w:r w:rsidR="00A46822">
        <w:rPr>
          <w:rFonts w:ascii="Arial" w:hAnsi="Arial" w:cs="Arial"/>
          <w:sz w:val="24"/>
          <w:szCs w:val="24"/>
        </w:rPr>
        <w:t xml:space="preserve"> or lack binding nature of a contract. The parties agreed on the massive servicing of land and that was all, no </w:t>
      </w:r>
      <w:r w:rsidR="00A46822" w:rsidRPr="00A46822">
        <w:rPr>
          <w:rFonts w:ascii="Arial" w:hAnsi="Arial" w:cs="Arial"/>
          <w:i/>
          <w:sz w:val="24"/>
          <w:szCs w:val="24"/>
        </w:rPr>
        <w:lastRenderedPageBreak/>
        <w:t xml:space="preserve">animus </w:t>
      </w:r>
      <w:proofErr w:type="spellStart"/>
      <w:r w:rsidR="00A46822" w:rsidRPr="00A46822">
        <w:rPr>
          <w:rFonts w:ascii="Arial" w:hAnsi="Arial" w:cs="Arial"/>
          <w:i/>
          <w:sz w:val="24"/>
          <w:szCs w:val="24"/>
        </w:rPr>
        <w:t>contrahendi</w:t>
      </w:r>
      <w:proofErr w:type="spellEnd"/>
      <w:r w:rsidR="00A46822">
        <w:rPr>
          <w:rFonts w:ascii="Arial" w:hAnsi="Arial" w:cs="Arial"/>
          <w:sz w:val="24"/>
          <w:szCs w:val="24"/>
        </w:rPr>
        <w:t xml:space="preserve"> in the sense required to </w:t>
      </w:r>
      <w:proofErr w:type="gramStart"/>
      <w:r w:rsidR="00A46822">
        <w:rPr>
          <w:rFonts w:ascii="Arial" w:hAnsi="Arial" w:cs="Arial"/>
          <w:sz w:val="24"/>
          <w:szCs w:val="24"/>
        </w:rPr>
        <w:t>found</w:t>
      </w:r>
      <w:proofErr w:type="gramEnd"/>
      <w:r w:rsidR="00A46822">
        <w:rPr>
          <w:rFonts w:ascii="Arial" w:hAnsi="Arial" w:cs="Arial"/>
          <w:sz w:val="24"/>
          <w:szCs w:val="24"/>
        </w:rPr>
        <w:t xml:space="preserve"> a legally enforceable contract </w:t>
      </w:r>
      <w:r w:rsidR="009A1183">
        <w:rPr>
          <w:rFonts w:ascii="Arial" w:hAnsi="Arial" w:cs="Arial"/>
          <w:sz w:val="24"/>
          <w:szCs w:val="24"/>
        </w:rPr>
        <w:t>was established. The parties agreed that the policy statement be acted on actively and nothing else</w:t>
      </w:r>
      <w:r w:rsidR="00A46822">
        <w:rPr>
          <w:rFonts w:ascii="Arial" w:hAnsi="Arial" w:cs="Arial"/>
          <w:sz w:val="24"/>
          <w:szCs w:val="24"/>
        </w:rPr>
        <w:t>. At most</w:t>
      </w:r>
      <w:r w:rsidR="008D1E14">
        <w:rPr>
          <w:rFonts w:ascii="Arial" w:hAnsi="Arial" w:cs="Arial"/>
          <w:sz w:val="24"/>
          <w:szCs w:val="24"/>
        </w:rPr>
        <w:t>,</w:t>
      </w:r>
      <w:r w:rsidR="00A46822">
        <w:rPr>
          <w:rFonts w:ascii="Arial" w:hAnsi="Arial" w:cs="Arial"/>
          <w:sz w:val="24"/>
          <w:szCs w:val="24"/>
        </w:rPr>
        <w:t xml:space="preserve"> they are binding in </w:t>
      </w:r>
      <w:proofErr w:type="spellStart"/>
      <w:r w:rsidR="00A46822">
        <w:rPr>
          <w:rFonts w:ascii="Arial" w:hAnsi="Arial" w:cs="Arial"/>
          <w:sz w:val="24"/>
          <w:szCs w:val="24"/>
        </w:rPr>
        <w:t>honour</w:t>
      </w:r>
      <w:proofErr w:type="spellEnd"/>
      <w:r w:rsidR="00A46822">
        <w:rPr>
          <w:rFonts w:ascii="Arial" w:hAnsi="Arial" w:cs="Arial"/>
          <w:sz w:val="24"/>
          <w:szCs w:val="24"/>
        </w:rPr>
        <w:t xml:space="preserve"> only – the President could walk away from that statement given other pressing issues of the Republic, for example drought, a health pandemic</w:t>
      </w:r>
      <w:r w:rsidR="005B6FD9">
        <w:rPr>
          <w:rFonts w:ascii="Arial" w:hAnsi="Arial" w:cs="Arial"/>
          <w:sz w:val="24"/>
          <w:szCs w:val="24"/>
        </w:rPr>
        <w:t>,</w:t>
      </w:r>
      <w:r w:rsidR="00A46822">
        <w:rPr>
          <w:rFonts w:ascii="Arial" w:hAnsi="Arial" w:cs="Arial"/>
          <w:sz w:val="24"/>
          <w:szCs w:val="24"/>
        </w:rPr>
        <w:t xml:space="preserve"> etc.</w:t>
      </w:r>
    </w:p>
    <w:p w14:paraId="04CAC50E" w14:textId="77777777" w:rsidR="00A46822" w:rsidRPr="00A46822" w:rsidRDefault="00A46822" w:rsidP="00A46822">
      <w:pPr>
        <w:pStyle w:val="ListParagraph"/>
        <w:spacing w:after="0" w:line="480" w:lineRule="auto"/>
        <w:jc w:val="both"/>
        <w:rPr>
          <w:rFonts w:ascii="Arial" w:hAnsi="Arial" w:cs="Arial"/>
          <w:sz w:val="24"/>
          <w:szCs w:val="24"/>
        </w:rPr>
      </w:pPr>
    </w:p>
    <w:p w14:paraId="71F64B34" w14:textId="7FA23793" w:rsidR="00A46822" w:rsidRPr="00A46822" w:rsidRDefault="00EF5FF5" w:rsidP="00EF5FF5">
      <w:pPr>
        <w:tabs>
          <w:tab w:val="left" w:pos="0"/>
        </w:tabs>
        <w:spacing w:after="0" w:line="480" w:lineRule="auto"/>
        <w:jc w:val="both"/>
        <w:rPr>
          <w:rFonts w:ascii="Arial" w:hAnsi="Arial" w:cs="Arial"/>
          <w:i/>
          <w:sz w:val="24"/>
          <w:szCs w:val="24"/>
        </w:rPr>
      </w:pPr>
      <w:r w:rsidRPr="00A46822">
        <w:rPr>
          <w:rFonts w:ascii="Arial" w:hAnsi="Arial" w:cs="Arial"/>
          <w:sz w:val="24"/>
          <w:szCs w:val="24"/>
        </w:rPr>
        <w:t>[29]</w:t>
      </w:r>
      <w:r w:rsidRPr="00A46822">
        <w:rPr>
          <w:rFonts w:ascii="Arial" w:hAnsi="Arial" w:cs="Arial"/>
          <w:sz w:val="24"/>
          <w:szCs w:val="24"/>
        </w:rPr>
        <w:tab/>
      </w:r>
      <w:r w:rsidR="00A46822">
        <w:rPr>
          <w:rFonts w:ascii="Arial" w:hAnsi="Arial" w:cs="Arial"/>
          <w:sz w:val="24"/>
          <w:szCs w:val="24"/>
        </w:rPr>
        <w:t xml:space="preserve">Apart from the fact that </w:t>
      </w:r>
      <w:r w:rsidR="005B6FD9">
        <w:rPr>
          <w:rFonts w:ascii="Arial" w:hAnsi="Arial" w:cs="Arial"/>
          <w:sz w:val="24"/>
          <w:szCs w:val="24"/>
        </w:rPr>
        <w:t xml:space="preserve">Annexure </w:t>
      </w:r>
      <w:r w:rsidR="00A46822">
        <w:rPr>
          <w:rFonts w:ascii="Arial" w:hAnsi="Arial" w:cs="Arial"/>
          <w:sz w:val="24"/>
          <w:szCs w:val="24"/>
        </w:rPr>
        <w:t xml:space="preserve">JSA1 are mere resolutions only, respondent’s particulars of claim in para 6.1 and 7 is </w:t>
      </w:r>
      <w:r w:rsidR="00BA3EB5">
        <w:rPr>
          <w:rFonts w:ascii="Arial" w:hAnsi="Arial" w:cs="Arial"/>
          <w:sz w:val="24"/>
          <w:szCs w:val="24"/>
        </w:rPr>
        <w:t>further indicative of this fact</w:t>
      </w:r>
      <w:r w:rsidR="000426B1">
        <w:rPr>
          <w:rFonts w:ascii="Arial" w:hAnsi="Arial" w:cs="Arial"/>
          <w:sz w:val="24"/>
          <w:szCs w:val="24"/>
        </w:rPr>
        <w:t xml:space="preserve">, </w:t>
      </w:r>
      <w:r w:rsidR="00BA3EB5">
        <w:rPr>
          <w:rFonts w:ascii="Arial" w:hAnsi="Arial" w:cs="Arial"/>
          <w:sz w:val="24"/>
          <w:szCs w:val="24"/>
        </w:rPr>
        <w:t xml:space="preserve">but even if a contract was envisaged, such contract would be against public policy for the </w:t>
      </w:r>
      <w:r w:rsidR="005B6FD9">
        <w:rPr>
          <w:rFonts w:ascii="Arial" w:hAnsi="Arial" w:cs="Arial"/>
          <w:sz w:val="24"/>
          <w:szCs w:val="24"/>
        </w:rPr>
        <w:t>same</w:t>
      </w:r>
      <w:r w:rsidR="00BA3EB5">
        <w:rPr>
          <w:rFonts w:ascii="Arial" w:hAnsi="Arial" w:cs="Arial"/>
          <w:sz w:val="24"/>
          <w:szCs w:val="24"/>
        </w:rPr>
        <w:t xml:space="preserve"> reasons as well. The </w:t>
      </w:r>
      <w:r w:rsidR="000426B1">
        <w:rPr>
          <w:rFonts w:ascii="Arial" w:hAnsi="Arial" w:cs="Arial"/>
          <w:sz w:val="24"/>
          <w:szCs w:val="24"/>
        </w:rPr>
        <w:t xml:space="preserve">respondent could not rely on an illegal intended radical </w:t>
      </w:r>
      <w:proofErr w:type="spellStart"/>
      <w:r w:rsidR="000426B1">
        <w:rPr>
          <w:rFonts w:ascii="Arial" w:hAnsi="Arial" w:cs="Arial"/>
          <w:sz w:val="24"/>
          <w:szCs w:val="24"/>
        </w:rPr>
        <w:t>programme</w:t>
      </w:r>
      <w:proofErr w:type="spellEnd"/>
      <w:r w:rsidR="000426B1">
        <w:rPr>
          <w:rFonts w:ascii="Arial" w:hAnsi="Arial" w:cs="Arial"/>
          <w:sz w:val="24"/>
          <w:szCs w:val="24"/>
        </w:rPr>
        <w:t xml:space="preserve"> of action to occupy vacant land in urban areas to plead that it had duly complied with the terms of the agreement</w:t>
      </w:r>
      <w:r w:rsidR="00A46822">
        <w:rPr>
          <w:rFonts w:ascii="Arial" w:hAnsi="Arial" w:cs="Arial"/>
          <w:sz w:val="24"/>
          <w:szCs w:val="24"/>
        </w:rPr>
        <w:t xml:space="preserve">. In </w:t>
      </w:r>
      <w:r w:rsidR="00A46822">
        <w:rPr>
          <w:rFonts w:ascii="Arial" w:hAnsi="Arial" w:cs="Arial"/>
          <w:i/>
          <w:sz w:val="24"/>
          <w:szCs w:val="24"/>
        </w:rPr>
        <w:t>Conradie v Rossouw</w:t>
      </w:r>
      <w:r w:rsidR="005B6FD9">
        <w:rPr>
          <w:rFonts w:ascii="Arial" w:hAnsi="Arial" w:cs="Arial"/>
          <w:i/>
          <w:sz w:val="24"/>
          <w:szCs w:val="24"/>
        </w:rPr>
        <w:t>,</w:t>
      </w:r>
      <w:r w:rsidR="00A46822">
        <w:rPr>
          <w:rStyle w:val="FootnoteReference"/>
          <w:rFonts w:ascii="Arial" w:hAnsi="Arial" w:cs="Arial"/>
          <w:sz w:val="24"/>
          <w:szCs w:val="24"/>
        </w:rPr>
        <w:footnoteReference w:id="7"/>
      </w:r>
      <w:r w:rsidR="00A46822">
        <w:rPr>
          <w:rFonts w:ascii="Arial" w:hAnsi="Arial" w:cs="Arial"/>
          <w:sz w:val="24"/>
          <w:szCs w:val="24"/>
        </w:rPr>
        <w:t xml:space="preserve"> </w:t>
      </w:r>
      <w:r w:rsidR="008D1E14">
        <w:rPr>
          <w:rFonts w:ascii="Arial" w:hAnsi="Arial" w:cs="Arial"/>
          <w:sz w:val="24"/>
          <w:szCs w:val="24"/>
        </w:rPr>
        <w:t xml:space="preserve">De Villiers </w:t>
      </w:r>
      <w:r w:rsidR="00A46822">
        <w:rPr>
          <w:rFonts w:ascii="Arial" w:hAnsi="Arial" w:cs="Arial"/>
          <w:sz w:val="24"/>
          <w:szCs w:val="24"/>
        </w:rPr>
        <w:t>AJA said:</w:t>
      </w:r>
    </w:p>
    <w:p w14:paraId="10AFEEAC" w14:textId="77777777" w:rsidR="00A46822" w:rsidRDefault="00A46822" w:rsidP="009D72B2">
      <w:pPr>
        <w:pStyle w:val="ListParagraph"/>
        <w:spacing w:after="0" w:line="480" w:lineRule="auto"/>
        <w:jc w:val="both"/>
        <w:rPr>
          <w:rFonts w:ascii="Arial" w:hAnsi="Arial" w:cs="Arial"/>
          <w:sz w:val="24"/>
          <w:szCs w:val="24"/>
        </w:rPr>
      </w:pPr>
    </w:p>
    <w:p w14:paraId="4863FBCC" w14:textId="77777777" w:rsidR="00A46822" w:rsidRDefault="00A46822" w:rsidP="00A46822">
      <w:pPr>
        <w:pStyle w:val="ListParagraph"/>
        <w:spacing w:line="360" w:lineRule="auto"/>
        <w:jc w:val="both"/>
        <w:rPr>
          <w:rFonts w:ascii="Arial" w:hAnsi="Arial" w:cs="Arial"/>
        </w:rPr>
      </w:pPr>
      <w:r>
        <w:rPr>
          <w:rFonts w:ascii="Arial" w:hAnsi="Arial" w:cs="Arial"/>
        </w:rPr>
        <w:t>‘A person promises another to commit a crime or not to commit a crime, in either case</w:t>
      </w:r>
      <w:r w:rsidR="009D72B2">
        <w:rPr>
          <w:rFonts w:ascii="Arial" w:hAnsi="Arial" w:cs="Arial"/>
        </w:rPr>
        <w:t xml:space="preserve"> the promise is void. And the promise is void not because the ground of the obligation is bad, but because the promise or obligation itself is bad.’</w:t>
      </w:r>
    </w:p>
    <w:p w14:paraId="3EBFAD9B" w14:textId="77777777" w:rsidR="009D72B2" w:rsidRPr="009D72B2" w:rsidRDefault="009D72B2" w:rsidP="009D72B2">
      <w:pPr>
        <w:pStyle w:val="ListParagraph"/>
        <w:spacing w:after="0" w:line="480" w:lineRule="auto"/>
        <w:jc w:val="both"/>
        <w:rPr>
          <w:rFonts w:ascii="Arial" w:hAnsi="Arial" w:cs="Arial"/>
          <w:sz w:val="24"/>
          <w:szCs w:val="24"/>
        </w:rPr>
      </w:pPr>
    </w:p>
    <w:p w14:paraId="5A73EDBF" w14:textId="15949198" w:rsidR="00A46822" w:rsidRPr="009D72B2" w:rsidRDefault="00EF5FF5" w:rsidP="00EF5FF5">
      <w:pPr>
        <w:tabs>
          <w:tab w:val="left" w:pos="0"/>
        </w:tabs>
        <w:spacing w:after="0" w:line="480" w:lineRule="auto"/>
        <w:jc w:val="both"/>
        <w:rPr>
          <w:rFonts w:ascii="Arial" w:hAnsi="Arial" w:cs="Arial"/>
          <w:i/>
          <w:sz w:val="24"/>
          <w:szCs w:val="24"/>
        </w:rPr>
      </w:pPr>
      <w:r w:rsidRPr="009D72B2">
        <w:rPr>
          <w:rFonts w:ascii="Arial" w:hAnsi="Arial" w:cs="Arial"/>
          <w:sz w:val="24"/>
          <w:szCs w:val="24"/>
        </w:rPr>
        <w:t>[30]</w:t>
      </w:r>
      <w:r w:rsidRPr="009D72B2">
        <w:rPr>
          <w:rFonts w:ascii="Arial" w:hAnsi="Arial" w:cs="Arial"/>
          <w:sz w:val="24"/>
          <w:szCs w:val="24"/>
        </w:rPr>
        <w:tab/>
      </w:r>
      <w:r w:rsidR="009D72B2">
        <w:rPr>
          <w:rFonts w:ascii="Arial" w:hAnsi="Arial" w:cs="Arial"/>
          <w:sz w:val="24"/>
          <w:szCs w:val="24"/>
        </w:rPr>
        <w:t>The author R H Christie</w:t>
      </w:r>
      <w:r w:rsidR="009D72B2">
        <w:rPr>
          <w:rStyle w:val="FootnoteReference"/>
          <w:rFonts w:ascii="Arial" w:hAnsi="Arial" w:cs="Arial"/>
          <w:sz w:val="24"/>
          <w:szCs w:val="24"/>
        </w:rPr>
        <w:footnoteReference w:id="8"/>
      </w:r>
      <w:r w:rsidR="009D72B2">
        <w:rPr>
          <w:rFonts w:ascii="Arial" w:hAnsi="Arial" w:cs="Arial"/>
          <w:sz w:val="24"/>
          <w:szCs w:val="24"/>
        </w:rPr>
        <w:t xml:space="preserve"> state</w:t>
      </w:r>
      <w:r w:rsidR="005B6FD9">
        <w:rPr>
          <w:rFonts w:ascii="Arial" w:hAnsi="Arial" w:cs="Arial"/>
          <w:sz w:val="24"/>
          <w:szCs w:val="24"/>
        </w:rPr>
        <w:t>s</w:t>
      </w:r>
      <w:r w:rsidR="009D72B2">
        <w:rPr>
          <w:rFonts w:ascii="Arial" w:hAnsi="Arial" w:cs="Arial"/>
          <w:sz w:val="24"/>
          <w:szCs w:val="24"/>
        </w:rPr>
        <w:t xml:space="preserve"> that </w:t>
      </w:r>
      <w:r w:rsidR="005B6FD9">
        <w:rPr>
          <w:rFonts w:ascii="Arial" w:hAnsi="Arial" w:cs="Arial"/>
          <w:sz w:val="24"/>
          <w:szCs w:val="24"/>
        </w:rPr>
        <w:t>‘</w:t>
      </w:r>
      <w:r w:rsidR="009D72B2">
        <w:rPr>
          <w:rFonts w:ascii="Arial" w:hAnsi="Arial" w:cs="Arial"/>
          <w:sz w:val="24"/>
          <w:szCs w:val="24"/>
        </w:rPr>
        <w:t>and by Roman-Dutch times it was equally well established that a contract promising a reward for not committing an unlawful act was also void</w:t>
      </w:r>
      <w:r w:rsidR="005B6FD9">
        <w:rPr>
          <w:rFonts w:ascii="Arial" w:hAnsi="Arial" w:cs="Arial"/>
          <w:sz w:val="24"/>
          <w:szCs w:val="24"/>
        </w:rPr>
        <w:t>’</w:t>
      </w:r>
      <w:r w:rsidR="009D72B2">
        <w:rPr>
          <w:rFonts w:ascii="Arial" w:hAnsi="Arial" w:cs="Arial"/>
          <w:sz w:val="24"/>
          <w:szCs w:val="24"/>
        </w:rPr>
        <w:t xml:space="preserve">. These prohibitions form part of our modern law. </w:t>
      </w:r>
    </w:p>
    <w:p w14:paraId="2C749B72" w14:textId="77777777" w:rsidR="009D72B2" w:rsidRPr="009D72B2" w:rsidRDefault="009D72B2" w:rsidP="009D72B2">
      <w:pPr>
        <w:tabs>
          <w:tab w:val="left" w:pos="0"/>
        </w:tabs>
        <w:spacing w:after="0" w:line="480" w:lineRule="auto"/>
        <w:jc w:val="both"/>
        <w:rPr>
          <w:rFonts w:ascii="Arial" w:hAnsi="Arial" w:cs="Arial"/>
          <w:i/>
          <w:sz w:val="24"/>
          <w:szCs w:val="24"/>
        </w:rPr>
      </w:pPr>
    </w:p>
    <w:p w14:paraId="107C1CD7" w14:textId="52CEDAB4" w:rsidR="009D72B2" w:rsidRPr="00A46822" w:rsidRDefault="00EF5FF5" w:rsidP="00EF5FF5">
      <w:pPr>
        <w:tabs>
          <w:tab w:val="left" w:pos="0"/>
        </w:tabs>
        <w:spacing w:after="0" w:line="480" w:lineRule="auto"/>
        <w:jc w:val="both"/>
        <w:rPr>
          <w:rFonts w:ascii="Arial" w:hAnsi="Arial" w:cs="Arial"/>
          <w:i/>
          <w:sz w:val="24"/>
          <w:szCs w:val="24"/>
        </w:rPr>
      </w:pPr>
      <w:r w:rsidRPr="00A46822">
        <w:rPr>
          <w:rFonts w:ascii="Arial" w:hAnsi="Arial" w:cs="Arial"/>
          <w:sz w:val="24"/>
          <w:szCs w:val="24"/>
        </w:rPr>
        <w:lastRenderedPageBreak/>
        <w:t>[31]</w:t>
      </w:r>
      <w:r w:rsidRPr="00A46822">
        <w:rPr>
          <w:rFonts w:ascii="Arial" w:hAnsi="Arial" w:cs="Arial"/>
          <w:sz w:val="24"/>
          <w:szCs w:val="24"/>
        </w:rPr>
        <w:tab/>
      </w:r>
      <w:r w:rsidR="009D72B2">
        <w:rPr>
          <w:rFonts w:ascii="Arial" w:hAnsi="Arial" w:cs="Arial"/>
          <w:sz w:val="24"/>
          <w:szCs w:val="24"/>
        </w:rPr>
        <w:t xml:space="preserve">Respondent’s </w:t>
      </w:r>
      <w:r w:rsidR="00BA3EB5">
        <w:rPr>
          <w:rFonts w:ascii="Arial" w:hAnsi="Arial" w:cs="Arial"/>
          <w:sz w:val="24"/>
          <w:szCs w:val="24"/>
        </w:rPr>
        <w:t xml:space="preserve">performance as </w:t>
      </w:r>
      <w:r w:rsidR="009D72B2">
        <w:rPr>
          <w:rFonts w:ascii="Arial" w:hAnsi="Arial" w:cs="Arial"/>
          <w:sz w:val="24"/>
          <w:szCs w:val="24"/>
        </w:rPr>
        <w:t xml:space="preserve">basis for the contract is illegal in our law. Respondent could not occupy land in urban areas without the consent of the </w:t>
      </w:r>
      <w:proofErr w:type="gramStart"/>
      <w:r w:rsidR="009D72B2">
        <w:rPr>
          <w:rFonts w:ascii="Arial" w:hAnsi="Arial" w:cs="Arial"/>
          <w:sz w:val="24"/>
          <w:szCs w:val="24"/>
        </w:rPr>
        <w:t>owners</w:t>
      </w:r>
      <w:proofErr w:type="gramEnd"/>
    </w:p>
    <w:p w14:paraId="046B0EF8" w14:textId="77777777" w:rsidR="00A46822" w:rsidRPr="009D72B2" w:rsidRDefault="00A46822" w:rsidP="009D72B2">
      <w:pPr>
        <w:pStyle w:val="ListParagraph"/>
        <w:spacing w:after="0" w:line="480" w:lineRule="auto"/>
        <w:jc w:val="both"/>
        <w:rPr>
          <w:rFonts w:ascii="Arial" w:hAnsi="Arial" w:cs="Arial"/>
          <w:sz w:val="24"/>
          <w:szCs w:val="24"/>
        </w:rPr>
      </w:pPr>
    </w:p>
    <w:p w14:paraId="1A29EFAD" w14:textId="652B8D0B" w:rsidR="00A46822" w:rsidRPr="00E71F7C" w:rsidRDefault="00EF5FF5" w:rsidP="00EF5FF5">
      <w:pPr>
        <w:tabs>
          <w:tab w:val="left" w:pos="0"/>
        </w:tabs>
        <w:spacing w:after="0" w:line="480" w:lineRule="auto"/>
        <w:jc w:val="both"/>
        <w:rPr>
          <w:rFonts w:ascii="Arial" w:hAnsi="Arial" w:cs="Arial"/>
          <w:i/>
          <w:sz w:val="24"/>
          <w:szCs w:val="24"/>
        </w:rPr>
      </w:pPr>
      <w:r w:rsidRPr="00E71F7C">
        <w:rPr>
          <w:rFonts w:ascii="Arial" w:hAnsi="Arial" w:cs="Arial"/>
          <w:sz w:val="24"/>
          <w:szCs w:val="24"/>
        </w:rPr>
        <w:t>[32]</w:t>
      </w:r>
      <w:r w:rsidRPr="00E71F7C">
        <w:rPr>
          <w:rFonts w:ascii="Arial" w:hAnsi="Arial" w:cs="Arial"/>
          <w:sz w:val="24"/>
          <w:szCs w:val="24"/>
        </w:rPr>
        <w:tab/>
      </w:r>
      <w:r w:rsidR="00027252">
        <w:rPr>
          <w:rFonts w:ascii="Arial" w:hAnsi="Arial" w:cs="Arial"/>
          <w:sz w:val="24"/>
          <w:szCs w:val="24"/>
        </w:rPr>
        <w:t xml:space="preserve">Respondent’s claim lacks legal efficacy – the parties did not intend a legally enforceable agreement </w:t>
      </w:r>
      <w:r w:rsidR="005B6FD9">
        <w:rPr>
          <w:rFonts w:ascii="Arial" w:hAnsi="Arial" w:cs="Arial"/>
          <w:sz w:val="24"/>
          <w:szCs w:val="24"/>
        </w:rPr>
        <w:t>as</w:t>
      </w:r>
      <w:r w:rsidR="00027252">
        <w:rPr>
          <w:rFonts w:ascii="Arial" w:hAnsi="Arial" w:cs="Arial"/>
          <w:sz w:val="24"/>
          <w:szCs w:val="24"/>
        </w:rPr>
        <w:t xml:space="preserve"> </w:t>
      </w:r>
      <w:r w:rsidR="00BA3EB5">
        <w:rPr>
          <w:rFonts w:ascii="Arial" w:hAnsi="Arial" w:cs="Arial"/>
          <w:sz w:val="24"/>
          <w:szCs w:val="24"/>
        </w:rPr>
        <w:t xml:space="preserve">such </w:t>
      </w:r>
      <w:r w:rsidR="00EE20D5">
        <w:rPr>
          <w:rFonts w:ascii="Arial" w:hAnsi="Arial" w:cs="Arial"/>
          <w:sz w:val="24"/>
          <w:szCs w:val="24"/>
        </w:rPr>
        <w:t>is not apparent</w:t>
      </w:r>
      <w:r w:rsidR="00027252">
        <w:rPr>
          <w:rFonts w:ascii="Arial" w:hAnsi="Arial" w:cs="Arial"/>
          <w:sz w:val="24"/>
          <w:szCs w:val="24"/>
        </w:rPr>
        <w:t xml:space="preserve"> from the resolutions. </w:t>
      </w:r>
      <w:r w:rsidR="002D2DC7">
        <w:rPr>
          <w:rFonts w:ascii="Arial" w:hAnsi="Arial" w:cs="Arial"/>
          <w:sz w:val="24"/>
          <w:szCs w:val="24"/>
        </w:rPr>
        <w:t xml:space="preserve">Had the court </w:t>
      </w:r>
      <w:r w:rsidR="002D2DC7">
        <w:rPr>
          <w:rFonts w:ascii="Arial" w:hAnsi="Arial" w:cs="Arial"/>
          <w:i/>
          <w:sz w:val="24"/>
          <w:szCs w:val="24"/>
        </w:rPr>
        <w:t xml:space="preserve">a quo </w:t>
      </w:r>
      <w:r w:rsidR="002D2DC7">
        <w:rPr>
          <w:rFonts w:ascii="Arial" w:hAnsi="Arial" w:cs="Arial"/>
          <w:sz w:val="24"/>
          <w:szCs w:val="24"/>
        </w:rPr>
        <w:t xml:space="preserve">carefully considered the resolutions and the relationship of the parties it should have concluded that they were policy utterances and nothing else. </w:t>
      </w:r>
      <w:r w:rsidR="00027252">
        <w:rPr>
          <w:rFonts w:ascii="Arial" w:hAnsi="Arial" w:cs="Arial"/>
          <w:sz w:val="24"/>
          <w:szCs w:val="24"/>
        </w:rPr>
        <w:t xml:space="preserve">As a </w:t>
      </w:r>
      <w:proofErr w:type="gramStart"/>
      <w:r w:rsidR="00027252">
        <w:rPr>
          <w:rFonts w:ascii="Arial" w:hAnsi="Arial" w:cs="Arial"/>
          <w:sz w:val="24"/>
          <w:szCs w:val="24"/>
        </w:rPr>
        <w:t>result</w:t>
      </w:r>
      <w:proofErr w:type="gramEnd"/>
      <w:r w:rsidR="00027252">
        <w:rPr>
          <w:rFonts w:ascii="Arial" w:hAnsi="Arial" w:cs="Arial"/>
          <w:sz w:val="24"/>
          <w:szCs w:val="24"/>
        </w:rPr>
        <w:t xml:space="preserve"> the exception should have succeeded in the High Court and costs should follow the result.</w:t>
      </w:r>
    </w:p>
    <w:p w14:paraId="55DC806F" w14:textId="77777777" w:rsidR="00A21878" w:rsidRDefault="00A21878" w:rsidP="00A21878">
      <w:pPr>
        <w:tabs>
          <w:tab w:val="left" w:pos="0"/>
        </w:tabs>
        <w:spacing w:after="0" w:line="480" w:lineRule="auto"/>
        <w:jc w:val="both"/>
        <w:rPr>
          <w:rFonts w:ascii="Arial" w:hAnsi="Arial" w:cs="Arial"/>
          <w:sz w:val="24"/>
          <w:szCs w:val="24"/>
        </w:rPr>
      </w:pPr>
    </w:p>
    <w:p w14:paraId="07381232" w14:textId="5BB26077" w:rsidR="009F01C7" w:rsidRPr="00EF5FF5" w:rsidRDefault="00EF5FF5" w:rsidP="00EF5FF5">
      <w:pPr>
        <w:tabs>
          <w:tab w:val="left" w:pos="0"/>
        </w:tabs>
        <w:spacing w:after="0" w:line="480" w:lineRule="auto"/>
        <w:jc w:val="both"/>
        <w:rPr>
          <w:rFonts w:ascii="Arial" w:hAnsi="Arial" w:cs="Arial"/>
          <w:sz w:val="24"/>
          <w:szCs w:val="24"/>
        </w:rPr>
      </w:pPr>
      <w:r w:rsidRPr="007C1832">
        <w:rPr>
          <w:rFonts w:ascii="Arial" w:hAnsi="Arial" w:cs="Arial"/>
          <w:sz w:val="24"/>
          <w:szCs w:val="24"/>
        </w:rPr>
        <w:t>[33]</w:t>
      </w:r>
      <w:r w:rsidRPr="007C1832">
        <w:rPr>
          <w:rFonts w:ascii="Arial" w:hAnsi="Arial" w:cs="Arial"/>
          <w:sz w:val="24"/>
          <w:szCs w:val="24"/>
        </w:rPr>
        <w:tab/>
      </w:r>
      <w:r w:rsidR="00EA3D2E" w:rsidRPr="00EF5FF5">
        <w:rPr>
          <w:rFonts w:ascii="Arial" w:hAnsi="Arial" w:cs="Arial"/>
          <w:sz w:val="24"/>
          <w:szCs w:val="24"/>
        </w:rPr>
        <w:t>I therefore make the following order:</w:t>
      </w:r>
    </w:p>
    <w:p w14:paraId="0D1EC2E9" w14:textId="77777777" w:rsidR="00EA3D2E" w:rsidRDefault="00EA3D2E" w:rsidP="00557B1F">
      <w:pPr>
        <w:tabs>
          <w:tab w:val="left" w:pos="0"/>
        </w:tabs>
        <w:spacing w:after="0" w:line="480" w:lineRule="auto"/>
        <w:jc w:val="both"/>
        <w:rPr>
          <w:rFonts w:ascii="Arial" w:hAnsi="Arial" w:cs="Arial"/>
          <w:sz w:val="24"/>
          <w:szCs w:val="24"/>
        </w:rPr>
      </w:pPr>
    </w:p>
    <w:p w14:paraId="702827B4" w14:textId="61CC30BD" w:rsidR="00557B1F" w:rsidRPr="00EF5FF5" w:rsidRDefault="00EF5FF5" w:rsidP="00EF5FF5">
      <w:pPr>
        <w:tabs>
          <w:tab w:val="left" w:pos="0"/>
        </w:tabs>
        <w:spacing w:after="0" w:line="480" w:lineRule="auto"/>
        <w:ind w:left="1440" w:hanging="731"/>
        <w:jc w:val="both"/>
        <w:rPr>
          <w:rFonts w:ascii="Arial" w:hAnsi="Arial" w:cs="Arial"/>
          <w:sz w:val="24"/>
          <w:szCs w:val="24"/>
        </w:rPr>
      </w:pPr>
      <w:r>
        <w:rPr>
          <w:rFonts w:ascii="Arial" w:hAnsi="Arial" w:cs="Arial"/>
          <w:sz w:val="24"/>
          <w:szCs w:val="24"/>
        </w:rPr>
        <w:t>1.</w:t>
      </w:r>
      <w:r>
        <w:rPr>
          <w:rFonts w:ascii="Arial" w:hAnsi="Arial" w:cs="Arial"/>
          <w:sz w:val="24"/>
          <w:szCs w:val="24"/>
        </w:rPr>
        <w:tab/>
      </w:r>
      <w:r w:rsidR="00027252" w:rsidRPr="00EF5FF5">
        <w:rPr>
          <w:rFonts w:ascii="Arial" w:hAnsi="Arial" w:cs="Arial"/>
          <w:sz w:val="24"/>
          <w:szCs w:val="24"/>
        </w:rPr>
        <w:t>The appeal succeeds.</w:t>
      </w:r>
    </w:p>
    <w:p w14:paraId="4F881408" w14:textId="77777777" w:rsidR="00027252" w:rsidRDefault="00027252" w:rsidP="0070533F">
      <w:pPr>
        <w:pStyle w:val="ListParagraph"/>
        <w:tabs>
          <w:tab w:val="left" w:pos="0"/>
        </w:tabs>
        <w:spacing w:after="0" w:line="480" w:lineRule="auto"/>
        <w:ind w:left="1440"/>
        <w:jc w:val="both"/>
        <w:rPr>
          <w:rFonts w:ascii="Arial" w:hAnsi="Arial" w:cs="Arial"/>
          <w:sz w:val="24"/>
          <w:szCs w:val="24"/>
        </w:rPr>
      </w:pPr>
    </w:p>
    <w:p w14:paraId="3275699F" w14:textId="266E616B" w:rsidR="00027252" w:rsidRPr="00EF5FF5" w:rsidRDefault="00EF5FF5" w:rsidP="00EF5FF5">
      <w:pPr>
        <w:tabs>
          <w:tab w:val="left" w:pos="0"/>
        </w:tabs>
        <w:spacing w:after="0" w:line="480" w:lineRule="auto"/>
        <w:ind w:left="1440" w:hanging="731"/>
        <w:jc w:val="both"/>
        <w:rPr>
          <w:rFonts w:ascii="Arial" w:hAnsi="Arial" w:cs="Arial"/>
          <w:sz w:val="24"/>
          <w:szCs w:val="24"/>
        </w:rPr>
      </w:pPr>
      <w:r>
        <w:rPr>
          <w:rFonts w:ascii="Arial" w:hAnsi="Arial" w:cs="Arial"/>
          <w:sz w:val="24"/>
          <w:szCs w:val="24"/>
        </w:rPr>
        <w:t>2.</w:t>
      </w:r>
      <w:r>
        <w:rPr>
          <w:rFonts w:ascii="Arial" w:hAnsi="Arial" w:cs="Arial"/>
          <w:sz w:val="24"/>
          <w:szCs w:val="24"/>
        </w:rPr>
        <w:tab/>
      </w:r>
      <w:r w:rsidR="00027252" w:rsidRPr="00EF5FF5">
        <w:rPr>
          <w:rFonts w:ascii="Arial" w:hAnsi="Arial" w:cs="Arial"/>
          <w:sz w:val="24"/>
          <w:szCs w:val="24"/>
        </w:rPr>
        <w:t xml:space="preserve">The order of the High Court is </w:t>
      </w:r>
      <w:r w:rsidR="00EE5FF2" w:rsidRPr="00EF5FF5">
        <w:rPr>
          <w:rFonts w:ascii="Arial" w:hAnsi="Arial" w:cs="Arial"/>
          <w:sz w:val="24"/>
          <w:szCs w:val="24"/>
        </w:rPr>
        <w:t>altered to read:</w:t>
      </w:r>
    </w:p>
    <w:p w14:paraId="5D61D61F" w14:textId="77777777" w:rsidR="008D1E14" w:rsidRPr="008D1E14" w:rsidRDefault="008D1E14" w:rsidP="0070533F">
      <w:pPr>
        <w:pStyle w:val="ListParagraph"/>
        <w:spacing w:line="480" w:lineRule="auto"/>
        <w:jc w:val="both"/>
        <w:rPr>
          <w:rFonts w:ascii="Arial" w:hAnsi="Arial" w:cs="Arial"/>
          <w:sz w:val="24"/>
          <w:szCs w:val="24"/>
        </w:rPr>
      </w:pPr>
    </w:p>
    <w:p w14:paraId="0D60498B" w14:textId="77777777" w:rsidR="008D1E14" w:rsidRDefault="0070533F" w:rsidP="008D1E14">
      <w:pPr>
        <w:pStyle w:val="ListParagraph"/>
        <w:tabs>
          <w:tab w:val="left" w:pos="0"/>
        </w:tabs>
        <w:spacing w:after="0" w:line="480" w:lineRule="auto"/>
        <w:ind w:left="1440"/>
        <w:jc w:val="both"/>
        <w:rPr>
          <w:rFonts w:ascii="Arial" w:hAnsi="Arial" w:cs="Arial"/>
          <w:sz w:val="24"/>
          <w:szCs w:val="24"/>
        </w:rPr>
      </w:pPr>
      <w:r>
        <w:rPr>
          <w:rFonts w:ascii="Arial" w:hAnsi="Arial" w:cs="Arial"/>
          <w:sz w:val="24"/>
          <w:szCs w:val="24"/>
        </w:rPr>
        <w:tab/>
        <w:t>‘</w:t>
      </w:r>
      <w:r w:rsidR="008D1E14">
        <w:rPr>
          <w:rFonts w:ascii="Arial" w:hAnsi="Arial" w:cs="Arial"/>
          <w:sz w:val="24"/>
          <w:szCs w:val="24"/>
        </w:rPr>
        <w:t>The exception is upheld.</w:t>
      </w:r>
    </w:p>
    <w:p w14:paraId="41F20AA6" w14:textId="77777777" w:rsidR="00EE5FF2" w:rsidRDefault="00EE5FF2" w:rsidP="00776FAF">
      <w:pPr>
        <w:pStyle w:val="ListParagraph"/>
        <w:tabs>
          <w:tab w:val="left" w:pos="0"/>
        </w:tabs>
        <w:spacing w:after="0" w:line="480" w:lineRule="auto"/>
        <w:ind w:left="2160"/>
        <w:jc w:val="both"/>
        <w:rPr>
          <w:rFonts w:ascii="Arial" w:hAnsi="Arial" w:cs="Arial"/>
          <w:sz w:val="24"/>
          <w:szCs w:val="24"/>
        </w:rPr>
      </w:pPr>
      <w:r>
        <w:rPr>
          <w:rFonts w:ascii="Arial" w:hAnsi="Arial" w:cs="Arial"/>
          <w:sz w:val="24"/>
          <w:szCs w:val="24"/>
        </w:rPr>
        <w:t xml:space="preserve">The plaintiff’s particulars of claim are set </w:t>
      </w:r>
      <w:proofErr w:type="gramStart"/>
      <w:r>
        <w:rPr>
          <w:rFonts w:ascii="Arial" w:hAnsi="Arial" w:cs="Arial"/>
          <w:sz w:val="24"/>
          <w:szCs w:val="24"/>
        </w:rPr>
        <w:t>aside</w:t>
      </w:r>
      <w:proofErr w:type="gramEnd"/>
      <w:r>
        <w:rPr>
          <w:rFonts w:ascii="Arial" w:hAnsi="Arial" w:cs="Arial"/>
          <w:sz w:val="24"/>
          <w:szCs w:val="24"/>
        </w:rPr>
        <w:t xml:space="preserve"> and the plaintiff is gi</w:t>
      </w:r>
      <w:r w:rsidR="00776FAF">
        <w:rPr>
          <w:rFonts w:ascii="Arial" w:hAnsi="Arial" w:cs="Arial"/>
          <w:sz w:val="24"/>
          <w:szCs w:val="24"/>
        </w:rPr>
        <w:t>ven leave, if so advised and/or minded, to file a notice to amend the particulars of claim within one month, failing which the defendants are granted leave to apply for the dismissal of the plaintiff’s action within ten (10) days of the expiry of the period of one month afforded to the plaintiff.’</w:t>
      </w:r>
    </w:p>
    <w:p w14:paraId="7D8F6222" w14:textId="77777777" w:rsidR="00027252" w:rsidRPr="00027252" w:rsidRDefault="00027252" w:rsidP="0070533F">
      <w:pPr>
        <w:pStyle w:val="ListParagraph"/>
        <w:spacing w:after="0" w:line="480" w:lineRule="auto"/>
        <w:jc w:val="both"/>
        <w:rPr>
          <w:rFonts w:ascii="Arial" w:hAnsi="Arial" w:cs="Arial"/>
          <w:sz w:val="24"/>
          <w:szCs w:val="24"/>
        </w:rPr>
      </w:pPr>
    </w:p>
    <w:p w14:paraId="00B4BEC5" w14:textId="5FD02772" w:rsidR="00776FAF" w:rsidRPr="00EF5FF5" w:rsidRDefault="00EF5FF5" w:rsidP="00EF5FF5">
      <w:pPr>
        <w:tabs>
          <w:tab w:val="left" w:pos="0"/>
        </w:tabs>
        <w:spacing w:after="0" w:line="480" w:lineRule="auto"/>
        <w:ind w:left="1440" w:hanging="731"/>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776FAF" w:rsidRPr="00EF5FF5">
        <w:rPr>
          <w:rFonts w:ascii="Arial" w:hAnsi="Arial" w:cs="Arial"/>
          <w:sz w:val="24"/>
          <w:szCs w:val="24"/>
        </w:rPr>
        <w:t>The period of one month referred to in para 33 (2) above begins to run from the date of the delivery of this judgment.</w:t>
      </w:r>
    </w:p>
    <w:p w14:paraId="31074E54" w14:textId="77777777" w:rsidR="00776FAF" w:rsidRDefault="00776FAF" w:rsidP="0070533F">
      <w:pPr>
        <w:pStyle w:val="ListParagraph"/>
        <w:tabs>
          <w:tab w:val="left" w:pos="0"/>
        </w:tabs>
        <w:spacing w:after="0" w:line="480" w:lineRule="auto"/>
        <w:ind w:left="1440"/>
        <w:jc w:val="both"/>
        <w:rPr>
          <w:rFonts w:ascii="Arial" w:hAnsi="Arial" w:cs="Arial"/>
          <w:sz w:val="24"/>
          <w:szCs w:val="24"/>
        </w:rPr>
      </w:pPr>
      <w:r>
        <w:rPr>
          <w:rFonts w:ascii="Arial" w:hAnsi="Arial" w:cs="Arial"/>
          <w:sz w:val="24"/>
          <w:szCs w:val="24"/>
        </w:rPr>
        <w:t xml:space="preserve"> </w:t>
      </w:r>
    </w:p>
    <w:p w14:paraId="0054C04A" w14:textId="22D33623" w:rsidR="00027252" w:rsidRPr="00EF5FF5" w:rsidRDefault="00EF5FF5" w:rsidP="00EF5FF5">
      <w:pPr>
        <w:tabs>
          <w:tab w:val="left" w:pos="0"/>
        </w:tabs>
        <w:spacing w:after="0" w:line="480" w:lineRule="auto"/>
        <w:ind w:left="1440" w:hanging="731"/>
        <w:jc w:val="both"/>
        <w:rPr>
          <w:rFonts w:ascii="Arial" w:hAnsi="Arial" w:cs="Arial"/>
          <w:sz w:val="24"/>
          <w:szCs w:val="24"/>
        </w:rPr>
      </w:pPr>
      <w:r>
        <w:rPr>
          <w:rFonts w:ascii="Arial" w:hAnsi="Arial" w:cs="Arial"/>
          <w:sz w:val="24"/>
          <w:szCs w:val="24"/>
        </w:rPr>
        <w:t>4.</w:t>
      </w:r>
      <w:r>
        <w:rPr>
          <w:rFonts w:ascii="Arial" w:hAnsi="Arial" w:cs="Arial"/>
          <w:sz w:val="24"/>
          <w:szCs w:val="24"/>
        </w:rPr>
        <w:tab/>
      </w:r>
      <w:r w:rsidR="00027252" w:rsidRPr="00EF5FF5">
        <w:rPr>
          <w:rFonts w:ascii="Arial" w:hAnsi="Arial" w:cs="Arial"/>
          <w:sz w:val="24"/>
          <w:szCs w:val="24"/>
        </w:rPr>
        <w:t>The respondent is to pay the costs of the appeal and High Court which costs include that of one instructing and one instructed legal practitioner.</w:t>
      </w:r>
    </w:p>
    <w:p w14:paraId="4E6198B5" w14:textId="77777777" w:rsidR="0070533F" w:rsidRPr="00027252" w:rsidRDefault="0070533F" w:rsidP="005B6FD9">
      <w:pPr>
        <w:pStyle w:val="ListParagraph"/>
        <w:spacing w:after="0" w:line="480" w:lineRule="auto"/>
        <w:jc w:val="both"/>
        <w:rPr>
          <w:rFonts w:ascii="Arial" w:hAnsi="Arial" w:cs="Arial"/>
          <w:sz w:val="24"/>
          <w:szCs w:val="24"/>
        </w:rPr>
      </w:pPr>
    </w:p>
    <w:p w14:paraId="112C3455" w14:textId="4CE83C20" w:rsidR="00027252" w:rsidRPr="00EF5FF5" w:rsidRDefault="00EF5FF5" w:rsidP="00EF5FF5">
      <w:pPr>
        <w:tabs>
          <w:tab w:val="left" w:pos="0"/>
        </w:tabs>
        <w:spacing w:after="0" w:line="480" w:lineRule="auto"/>
        <w:ind w:left="1440" w:hanging="731"/>
        <w:jc w:val="both"/>
        <w:rPr>
          <w:rFonts w:ascii="Arial" w:hAnsi="Arial" w:cs="Arial"/>
          <w:sz w:val="24"/>
          <w:szCs w:val="24"/>
        </w:rPr>
      </w:pPr>
      <w:r w:rsidRPr="00027252">
        <w:rPr>
          <w:rFonts w:ascii="Arial" w:hAnsi="Arial" w:cs="Arial"/>
          <w:sz w:val="24"/>
          <w:szCs w:val="24"/>
        </w:rPr>
        <w:t>5.</w:t>
      </w:r>
      <w:r w:rsidRPr="00027252">
        <w:rPr>
          <w:rFonts w:ascii="Arial" w:hAnsi="Arial" w:cs="Arial"/>
          <w:sz w:val="24"/>
          <w:szCs w:val="24"/>
        </w:rPr>
        <w:tab/>
      </w:r>
      <w:r w:rsidR="00027252" w:rsidRPr="00EF5FF5">
        <w:rPr>
          <w:rFonts w:ascii="Arial" w:hAnsi="Arial" w:cs="Arial"/>
          <w:sz w:val="24"/>
          <w:szCs w:val="24"/>
        </w:rPr>
        <w:t xml:space="preserve">The matter is remitted </w:t>
      </w:r>
      <w:r w:rsidR="00776FAF" w:rsidRPr="00EF5FF5">
        <w:rPr>
          <w:rFonts w:ascii="Arial" w:hAnsi="Arial" w:cs="Arial"/>
          <w:sz w:val="24"/>
          <w:szCs w:val="24"/>
        </w:rPr>
        <w:t>for further case management, if required, for the further conduct of the proceedings</w:t>
      </w:r>
      <w:r w:rsidR="00027252" w:rsidRPr="00EF5FF5">
        <w:rPr>
          <w:rFonts w:ascii="Arial" w:hAnsi="Arial" w:cs="Arial"/>
          <w:sz w:val="24"/>
          <w:szCs w:val="24"/>
        </w:rPr>
        <w:t>.</w:t>
      </w:r>
    </w:p>
    <w:p w14:paraId="67E05F84" w14:textId="77777777" w:rsidR="002D0250" w:rsidRDefault="002D0250" w:rsidP="00557B1F">
      <w:pPr>
        <w:tabs>
          <w:tab w:val="left" w:pos="0"/>
        </w:tabs>
        <w:spacing w:after="0" w:line="480" w:lineRule="auto"/>
        <w:jc w:val="both"/>
        <w:rPr>
          <w:rFonts w:ascii="Arial" w:hAnsi="Arial" w:cs="Arial"/>
          <w:sz w:val="24"/>
          <w:szCs w:val="24"/>
        </w:rPr>
      </w:pPr>
    </w:p>
    <w:p w14:paraId="25BD4576" w14:textId="77777777" w:rsidR="006373D0" w:rsidRDefault="006373D0" w:rsidP="00E341CC">
      <w:pPr>
        <w:tabs>
          <w:tab w:val="left" w:pos="1134"/>
        </w:tabs>
        <w:spacing w:after="0" w:line="240" w:lineRule="auto"/>
        <w:jc w:val="both"/>
        <w:rPr>
          <w:rFonts w:ascii="Arial" w:hAnsi="Arial" w:cs="Arial"/>
          <w:sz w:val="24"/>
          <w:szCs w:val="24"/>
        </w:rPr>
      </w:pPr>
    </w:p>
    <w:p w14:paraId="691E9908" w14:textId="77777777" w:rsidR="0070533F" w:rsidRDefault="0070533F" w:rsidP="00E341CC">
      <w:pPr>
        <w:tabs>
          <w:tab w:val="left" w:pos="1134"/>
        </w:tabs>
        <w:spacing w:after="0" w:line="240" w:lineRule="auto"/>
        <w:jc w:val="both"/>
        <w:rPr>
          <w:rFonts w:ascii="Arial" w:hAnsi="Arial" w:cs="Arial"/>
          <w:sz w:val="24"/>
          <w:szCs w:val="24"/>
        </w:rPr>
      </w:pPr>
    </w:p>
    <w:p w14:paraId="55E1A797" w14:textId="77777777"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14:paraId="4CE723F8" w14:textId="77777777" w:rsidR="00FF4712" w:rsidRDefault="00E55E04" w:rsidP="00D36262">
      <w:pPr>
        <w:spacing w:after="0" w:line="24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14:paraId="5A5BD24F" w14:textId="77777777" w:rsidR="00B77F9B" w:rsidRDefault="00B77F9B" w:rsidP="00D36262">
      <w:pPr>
        <w:spacing w:after="0" w:line="240" w:lineRule="auto"/>
        <w:jc w:val="both"/>
        <w:rPr>
          <w:rFonts w:ascii="Arial" w:hAnsi="Arial" w:cs="Arial"/>
          <w:b/>
          <w:sz w:val="24"/>
          <w:szCs w:val="24"/>
        </w:rPr>
      </w:pPr>
    </w:p>
    <w:p w14:paraId="0FA00C26" w14:textId="77777777" w:rsidR="00B77F9B" w:rsidRDefault="00B77F9B" w:rsidP="00D36262">
      <w:pPr>
        <w:spacing w:after="0" w:line="240" w:lineRule="auto"/>
        <w:jc w:val="both"/>
        <w:rPr>
          <w:rFonts w:ascii="Arial" w:hAnsi="Arial" w:cs="Arial"/>
          <w:sz w:val="24"/>
          <w:szCs w:val="24"/>
        </w:rPr>
      </w:pPr>
    </w:p>
    <w:p w14:paraId="09FED36B" w14:textId="77777777" w:rsidR="00371205" w:rsidRDefault="00371205" w:rsidP="00D36262">
      <w:pPr>
        <w:spacing w:after="0" w:line="240" w:lineRule="auto"/>
        <w:jc w:val="both"/>
        <w:rPr>
          <w:rFonts w:ascii="Arial" w:hAnsi="Arial" w:cs="Arial"/>
          <w:sz w:val="24"/>
          <w:szCs w:val="24"/>
        </w:rPr>
      </w:pPr>
    </w:p>
    <w:p w14:paraId="10015989" w14:textId="77777777" w:rsidR="00A53FB4" w:rsidRDefault="00A53FB4" w:rsidP="00D36262">
      <w:pPr>
        <w:spacing w:after="0" w:line="240" w:lineRule="auto"/>
        <w:jc w:val="both"/>
        <w:rPr>
          <w:rFonts w:ascii="Arial" w:hAnsi="Arial" w:cs="Arial"/>
          <w:sz w:val="24"/>
          <w:szCs w:val="24"/>
        </w:rPr>
      </w:pPr>
    </w:p>
    <w:p w14:paraId="1ED48FF3" w14:textId="77777777" w:rsidR="00B77F9B" w:rsidRPr="00B53471" w:rsidRDefault="00D36262" w:rsidP="00D36262">
      <w:pPr>
        <w:spacing w:after="0" w:line="240" w:lineRule="auto"/>
        <w:jc w:val="both"/>
        <w:rPr>
          <w:rFonts w:ascii="Arial" w:hAnsi="Arial" w:cs="Arial"/>
          <w:sz w:val="24"/>
          <w:szCs w:val="24"/>
        </w:rPr>
      </w:pPr>
      <w:r>
        <w:rPr>
          <w:rFonts w:ascii="Arial" w:hAnsi="Arial" w:cs="Arial"/>
          <w:sz w:val="24"/>
          <w:szCs w:val="24"/>
        </w:rPr>
        <w:t>___________________</w:t>
      </w:r>
    </w:p>
    <w:p w14:paraId="5BA31313" w14:textId="77777777" w:rsidR="00B77F9B" w:rsidRDefault="00A21878" w:rsidP="00D36262">
      <w:pPr>
        <w:spacing w:after="0" w:line="240" w:lineRule="auto"/>
        <w:jc w:val="both"/>
        <w:rPr>
          <w:rFonts w:ascii="Arial" w:hAnsi="Arial" w:cs="Arial"/>
          <w:b/>
          <w:sz w:val="24"/>
          <w:szCs w:val="24"/>
        </w:rPr>
      </w:pPr>
      <w:r>
        <w:rPr>
          <w:rFonts w:ascii="Arial" w:hAnsi="Arial" w:cs="Arial"/>
          <w:b/>
          <w:sz w:val="24"/>
          <w:szCs w:val="24"/>
        </w:rPr>
        <w:t>FRANK AJA</w:t>
      </w:r>
    </w:p>
    <w:p w14:paraId="1A1FA9C7" w14:textId="77777777" w:rsidR="008C5045" w:rsidRDefault="008C5045" w:rsidP="00D36262">
      <w:pPr>
        <w:spacing w:after="0" w:line="240" w:lineRule="auto"/>
        <w:jc w:val="both"/>
        <w:rPr>
          <w:rFonts w:ascii="Arial" w:hAnsi="Arial" w:cs="Arial"/>
          <w:b/>
          <w:sz w:val="24"/>
          <w:szCs w:val="24"/>
        </w:rPr>
      </w:pPr>
    </w:p>
    <w:p w14:paraId="4BC10405" w14:textId="77777777" w:rsidR="008C5045" w:rsidRDefault="008C5045" w:rsidP="00D36262">
      <w:pPr>
        <w:spacing w:after="0" w:line="240" w:lineRule="auto"/>
        <w:jc w:val="both"/>
        <w:rPr>
          <w:rFonts w:ascii="Arial" w:hAnsi="Arial" w:cs="Arial"/>
          <w:b/>
          <w:sz w:val="24"/>
          <w:szCs w:val="24"/>
        </w:rPr>
      </w:pPr>
    </w:p>
    <w:p w14:paraId="46C40DA8" w14:textId="77777777" w:rsidR="008C5045" w:rsidRDefault="008C5045" w:rsidP="00D36262">
      <w:pPr>
        <w:spacing w:after="0" w:line="240" w:lineRule="auto"/>
        <w:jc w:val="both"/>
        <w:rPr>
          <w:rFonts w:ascii="Arial" w:hAnsi="Arial" w:cs="Arial"/>
          <w:b/>
          <w:sz w:val="24"/>
          <w:szCs w:val="24"/>
        </w:rPr>
      </w:pPr>
    </w:p>
    <w:p w14:paraId="6A4CB7B3" w14:textId="77777777" w:rsidR="00A53FB4" w:rsidRDefault="00A53FB4" w:rsidP="00D36262">
      <w:pPr>
        <w:spacing w:after="0" w:line="240" w:lineRule="auto"/>
        <w:jc w:val="both"/>
        <w:rPr>
          <w:rFonts w:ascii="Arial" w:hAnsi="Arial" w:cs="Arial"/>
          <w:b/>
          <w:sz w:val="24"/>
          <w:szCs w:val="24"/>
        </w:rPr>
      </w:pPr>
    </w:p>
    <w:p w14:paraId="1C304DC8" w14:textId="77777777" w:rsidR="008C5045" w:rsidRDefault="008C5045" w:rsidP="00D36262">
      <w:pPr>
        <w:spacing w:after="0" w:line="240" w:lineRule="auto"/>
        <w:jc w:val="both"/>
        <w:rPr>
          <w:rFonts w:ascii="Arial" w:hAnsi="Arial" w:cs="Arial"/>
          <w:sz w:val="24"/>
          <w:szCs w:val="24"/>
        </w:rPr>
      </w:pPr>
      <w:r>
        <w:rPr>
          <w:rFonts w:ascii="Arial" w:hAnsi="Arial" w:cs="Arial"/>
          <w:sz w:val="24"/>
          <w:szCs w:val="24"/>
        </w:rPr>
        <w:t>___________________</w:t>
      </w:r>
    </w:p>
    <w:p w14:paraId="0424BFE3" w14:textId="77777777" w:rsidR="008C5045" w:rsidRDefault="00A21878" w:rsidP="00D36262">
      <w:pPr>
        <w:spacing w:after="0" w:line="240" w:lineRule="auto"/>
        <w:jc w:val="both"/>
        <w:rPr>
          <w:rFonts w:ascii="Arial" w:hAnsi="Arial" w:cs="Arial"/>
          <w:b/>
          <w:sz w:val="24"/>
          <w:szCs w:val="24"/>
        </w:rPr>
      </w:pPr>
      <w:r>
        <w:rPr>
          <w:rFonts w:ascii="Arial" w:hAnsi="Arial" w:cs="Arial"/>
          <w:b/>
          <w:sz w:val="24"/>
          <w:szCs w:val="24"/>
        </w:rPr>
        <w:t>UEITELE</w:t>
      </w:r>
      <w:r w:rsidR="008C5045">
        <w:rPr>
          <w:rFonts w:ascii="Arial" w:hAnsi="Arial" w:cs="Arial"/>
          <w:b/>
          <w:sz w:val="24"/>
          <w:szCs w:val="24"/>
        </w:rPr>
        <w:t xml:space="preserve"> </w:t>
      </w:r>
      <w:r>
        <w:rPr>
          <w:rFonts w:ascii="Arial" w:hAnsi="Arial" w:cs="Arial"/>
          <w:b/>
          <w:sz w:val="24"/>
          <w:szCs w:val="24"/>
        </w:rPr>
        <w:t>A</w:t>
      </w:r>
      <w:r w:rsidR="008C5045">
        <w:rPr>
          <w:rFonts w:ascii="Arial" w:hAnsi="Arial" w:cs="Arial"/>
          <w:b/>
          <w:sz w:val="24"/>
          <w:szCs w:val="24"/>
        </w:rPr>
        <w:t>JA</w:t>
      </w:r>
    </w:p>
    <w:p w14:paraId="10E20CDB" w14:textId="77777777" w:rsidR="0070533F" w:rsidRDefault="0070533F" w:rsidP="00D36262">
      <w:pPr>
        <w:spacing w:after="0" w:line="240" w:lineRule="auto"/>
        <w:jc w:val="both"/>
        <w:rPr>
          <w:rFonts w:ascii="Arial" w:hAnsi="Arial" w:cs="Arial"/>
          <w:b/>
          <w:sz w:val="24"/>
          <w:szCs w:val="24"/>
        </w:rPr>
      </w:pPr>
    </w:p>
    <w:p w14:paraId="4B13F989" w14:textId="77777777" w:rsidR="0070533F" w:rsidRDefault="0070533F" w:rsidP="00D36262">
      <w:pPr>
        <w:spacing w:after="0" w:line="240" w:lineRule="auto"/>
        <w:jc w:val="both"/>
        <w:rPr>
          <w:rFonts w:ascii="Arial" w:hAnsi="Arial" w:cs="Arial"/>
          <w:b/>
          <w:sz w:val="24"/>
          <w:szCs w:val="24"/>
        </w:rPr>
      </w:pPr>
    </w:p>
    <w:p w14:paraId="5858DDA7" w14:textId="77777777" w:rsidR="0070533F" w:rsidRDefault="0070533F" w:rsidP="00D36262">
      <w:pPr>
        <w:spacing w:after="0" w:line="240" w:lineRule="auto"/>
        <w:jc w:val="both"/>
        <w:rPr>
          <w:rFonts w:ascii="Arial" w:hAnsi="Arial" w:cs="Arial"/>
          <w:b/>
          <w:sz w:val="24"/>
          <w:szCs w:val="24"/>
        </w:rPr>
      </w:pPr>
    </w:p>
    <w:p w14:paraId="643C242F" w14:textId="77777777" w:rsidR="0070533F" w:rsidRDefault="0070533F" w:rsidP="00D36262">
      <w:pPr>
        <w:spacing w:after="0" w:line="240" w:lineRule="auto"/>
        <w:jc w:val="both"/>
        <w:rPr>
          <w:rFonts w:ascii="Arial" w:hAnsi="Arial" w:cs="Arial"/>
          <w:b/>
          <w:sz w:val="24"/>
          <w:szCs w:val="24"/>
        </w:rPr>
      </w:pPr>
    </w:p>
    <w:p w14:paraId="72451B14" w14:textId="77777777" w:rsidR="0070533F" w:rsidRDefault="0070533F" w:rsidP="00D36262">
      <w:pPr>
        <w:spacing w:after="0" w:line="240" w:lineRule="auto"/>
        <w:jc w:val="both"/>
        <w:rPr>
          <w:rFonts w:ascii="Arial" w:hAnsi="Arial" w:cs="Arial"/>
          <w:b/>
          <w:sz w:val="24"/>
          <w:szCs w:val="24"/>
        </w:rPr>
      </w:pPr>
    </w:p>
    <w:p w14:paraId="602CBFB5" w14:textId="77777777" w:rsidR="0070533F" w:rsidRDefault="0070533F" w:rsidP="00D36262">
      <w:pPr>
        <w:spacing w:after="0" w:line="240" w:lineRule="auto"/>
        <w:jc w:val="both"/>
        <w:rPr>
          <w:rFonts w:ascii="Arial" w:hAnsi="Arial" w:cs="Arial"/>
          <w:b/>
          <w:sz w:val="24"/>
          <w:szCs w:val="24"/>
        </w:rPr>
      </w:pPr>
    </w:p>
    <w:p w14:paraId="2FC35CE5" w14:textId="77777777" w:rsidR="0070533F" w:rsidRDefault="0070533F" w:rsidP="00D36262">
      <w:pPr>
        <w:spacing w:after="0" w:line="240" w:lineRule="auto"/>
        <w:jc w:val="both"/>
        <w:rPr>
          <w:rFonts w:ascii="Arial" w:hAnsi="Arial" w:cs="Arial"/>
          <w:b/>
          <w:sz w:val="24"/>
          <w:szCs w:val="24"/>
        </w:rPr>
      </w:pPr>
    </w:p>
    <w:p w14:paraId="74CF845F" w14:textId="77777777" w:rsidR="0070533F" w:rsidRDefault="0070533F" w:rsidP="00D36262">
      <w:pPr>
        <w:spacing w:after="0" w:line="240" w:lineRule="auto"/>
        <w:jc w:val="both"/>
        <w:rPr>
          <w:rFonts w:ascii="Arial" w:hAnsi="Arial" w:cs="Arial"/>
          <w:b/>
          <w:sz w:val="24"/>
          <w:szCs w:val="24"/>
        </w:rPr>
      </w:pPr>
    </w:p>
    <w:p w14:paraId="58161FC7" w14:textId="77777777" w:rsidR="0070533F" w:rsidRDefault="0070533F" w:rsidP="00D36262">
      <w:pPr>
        <w:spacing w:after="0" w:line="240" w:lineRule="auto"/>
        <w:jc w:val="both"/>
        <w:rPr>
          <w:rFonts w:ascii="Arial" w:hAnsi="Arial" w:cs="Arial"/>
          <w:b/>
          <w:sz w:val="24"/>
          <w:szCs w:val="24"/>
        </w:rPr>
      </w:pPr>
    </w:p>
    <w:p w14:paraId="63CE0B74" w14:textId="77777777" w:rsidR="0070533F" w:rsidRDefault="0070533F" w:rsidP="00D36262">
      <w:pPr>
        <w:spacing w:after="0" w:line="240" w:lineRule="auto"/>
        <w:jc w:val="both"/>
        <w:rPr>
          <w:rFonts w:ascii="Arial" w:hAnsi="Arial" w:cs="Arial"/>
          <w:b/>
          <w:sz w:val="24"/>
          <w:szCs w:val="24"/>
        </w:rPr>
      </w:pPr>
    </w:p>
    <w:p w14:paraId="729A4C23" w14:textId="77777777" w:rsidR="0070533F" w:rsidRDefault="0070533F" w:rsidP="00D36262">
      <w:pPr>
        <w:spacing w:after="0" w:line="240" w:lineRule="auto"/>
        <w:jc w:val="both"/>
        <w:rPr>
          <w:rFonts w:ascii="Arial" w:hAnsi="Arial" w:cs="Arial"/>
          <w:b/>
          <w:sz w:val="24"/>
          <w:szCs w:val="24"/>
        </w:rPr>
      </w:pPr>
    </w:p>
    <w:p w14:paraId="2467C33E" w14:textId="77777777" w:rsidR="0070533F" w:rsidRDefault="0070533F" w:rsidP="00D36262">
      <w:pPr>
        <w:spacing w:after="0" w:line="240" w:lineRule="auto"/>
        <w:jc w:val="both"/>
        <w:rPr>
          <w:rFonts w:ascii="Arial" w:hAnsi="Arial" w:cs="Arial"/>
          <w:b/>
          <w:sz w:val="24"/>
          <w:szCs w:val="24"/>
        </w:rPr>
      </w:pPr>
    </w:p>
    <w:tbl>
      <w:tblPr>
        <w:tblW w:w="0" w:type="auto"/>
        <w:tblLook w:val="04A0" w:firstRow="1" w:lastRow="0" w:firstColumn="1" w:lastColumn="0" w:noHBand="0" w:noVBand="1"/>
      </w:tblPr>
      <w:tblGrid>
        <w:gridCol w:w="4867"/>
        <w:gridCol w:w="4254"/>
      </w:tblGrid>
      <w:tr w:rsidR="00B4276E" w:rsidRPr="00500CF6" w14:paraId="4F3EF449" w14:textId="77777777" w:rsidTr="008C5045">
        <w:tc>
          <w:tcPr>
            <w:tcW w:w="4867" w:type="dxa"/>
            <w:shd w:val="clear" w:color="auto" w:fill="auto"/>
          </w:tcPr>
          <w:p w14:paraId="3BB9E3FC" w14:textId="77777777" w:rsidR="000C319E" w:rsidRDefault="000C319E" w:rsidP="00500CF6">
            <w:pPr>
              <w:spacing w:after="0" w:line="480" w:lineRule="auto"/>
              <w:ind w:right="-146"/>
              <w:rPr>
                <w:rFonts w:ascii="Arial" w:hAnsi="Arial" w:cs="Arial"/>
                <w:sz w:val="24"/>
                <w:szCs w:val="24"/>
              </w:rPr>
            </w:pPr>
            <w:r w:rsidRPr="00500CF6">
              <w:rPr>
                <w:rFonts w:ascii="Arial" w:hAnsi="Arial" w:cs="Arial"/>
                <w:sz w:val="24"/>
                <w:szCs w:val="24"/>
              </w:rPr>
              <w:lastRenderedPageBreak/>
              <w:t>APPEARANCES:</w:t>
            </w:r>
          </w:p>
          <w:p w14:paraId="656C18CE" w14:textId="77777777" w:rsidR="00027252" w:rsidRPr="00500CF6" w:rsidRDefault="00027252" w:rsidP="00500CF6">
            <w:pPr>
              <w:spacing w:after="0" w:line="480" w:lineRule="auto"/>
              <w:ind w:right="-146"/>
              <w:rPr>
                <w:rFonts w:ascii="Arial" w:hAnsi="Arial" w:cs="Arial"/>
                <w:sz w:val="24"/>
                <w:szCs w:val="24"/>
              </w:rPr>
            </w:pPr>
          </w:p>
          <w:p w14:paraId="7F008401" w14:textId="77777777" w:rsidR="00B4276E" w:rsidRPr="00500CF6" w:rsidRDefault="00B4276E" w:rsidP="00500CF6">
            <w:pPr>
              <w:spacing w:after="0" w:line="480" w:lineRule="auto"/>
              <w:ind w:right="-146"/>
              <w:rPr>
                <w:rFonts w:ascii="Arial" w:hAnsi="Arial" w:cs="Arial"/>
                <w:sz w:val="24"/>
                <w:szCs w:val="24"/>
              </w:rPr>
            </w:pPr>
            <w:r w:rsidRPr="00500CF6">
              <w:rPr>
                <w:rFonts w:ascii="Arial" w:hAnsi="Arial" w:cs="Arial"/>
                <w:sz w:val="24"/>
                <w:szCs w:val="24"/>
              </w:rPr>
              <w:t>Appellant</w:t>
            </w:r>
            <w:r w:rsidR="00A21878">
              <w:rPr>
                <w:rFonts w:ascii="Arial" w:hAnsi="Arial" w:cs="Arial"/>
                <w:sz w:val="24"/>
                <w:szCs w:val="24"/>
              </w:rPr>
              <w:t>s</w:t>
            </w:r>
            <w:r w:rsidRPr="00500CF6">
              <w:rPr>
                <w:rFonts w:ascii="Arial" w:hAnsi="Arial" w:cs="Arial"/>
                <w:sz w:val="24"/>
                <w:szCs w:val="24"/>
              </w:rPr>
              <w:t>:</w:t>
            </w:r>
          </w:p>
        </w:tc>
        <w:tc>
          <w:tcPr>
            <w:tcW w:w="4254" w:type="dxa"/>
            <w:shd w:val="clear" w:color="auto" w:fill="auto"/>
          </w:tcPr>
          <w:p w14:paraId="51D50D27" w14:textId="77777777" w:rsidR="00027252" w:rsidRDefault="00027252" w:rsidP="00E61DC7">
            <w:pPr>
              <w:spacing w:after="0" w:line="480" w:lineRule="auto"/>
              <w:rPr>
                <w:rFonts w:ascii="Arial" w:hAnsi="Arial" w:cs="Arial"/>
                <w:sz w:val="24"/>
                <w:szCs w:val="24"/>
              </w:rPr>
            </w:pPr>
          </w:p>
          <w:p w14:paraId="7566757E" w14:textId="77777777" w:rsidR="00A21878" w:rsidRDefault="00A21878" w:rsidP="00E61DC7">
            <w:pPr>
              <w:spacing w:after="0" w:line="480" w:lineRule="auto"/>
              <w:rPr>
                <w:rFonts w:ascii="Arial" w:hAnsi="Arial" w:cs="Arial"/>
                <w:sz w:val="24"/>
                <w:szCs w:val="24"/>
              </w:rPr>
            </w:pPr>
          </w:p>
          <w:p w14:paraId="76B66B4A" w14:textId="77777777" w:rsidR="00B4276E" w:rsidRPr="00500CF6" w:rsidRDefault="00A21878" w:rsidP="00A21878">
            <w:pPr>
              <w:spacing w:after="0" w:line="480" w:lineRule="auto"/>
              <w:rPr>
                <w:rFonts w:ascii="Arial" w:hAnsi="Arial" w:cs="Arial"/>
                <w:sz w:val="24"/>
                <w:szCs w:val="24"/>
              </w:rPr>
            </w:pPr>
            <w:r>
              <w:rPr>
                <w:rFonts w:ascii="Arial" w:hAnsi="Arial" w:cs="Arial"/>
                <w:sz w:val="24"/>
                <w:szCs w:val="24"/>
              </w:rPr>
              <w:t>D Khama</w:t>
            </w:r>
            <w:r w:rsidR="00EB15BF" w:rsidRPr="00500CF6">
              <w:rPr>
                <w:rFonts w:ascii="Arial" w:hAnsi="Arial" w:cs="Arial"/>
                <w:sz w:val="24"/>
                <w:szCs w:val="24"/>
              </w:rPr>
              <w:t xml:space="preserve"> </w:t>
            </w:r>
          </w:p>
        </w:tc>
      </w:tr>
      <w:tr w:rsidR="00B4276E" w:rsidRPr="00500CF6" w14:paraId="0DEA1F0F" w14:textId="77777777" w:rsidTr="008C5045">
        <w:tc>
          <w:tcPr>
            <w:tcW w:w="4867" w:type="dxa"/>
            <w:shd w:val="clear" w:color="auto" w:fill="auto"/>
          </w:tcPr>
          <w:p w14:paraId="3D2E7ED8" w14:textId="77777777" w:rsidR="00B4276E" w:rsidRPr="00500CF6" w:rsidRDefault="00B4276E" w:rsidP="00500CF6">
            <w:pPr>
              <w:spacing w:after="0" w:line="480" w:lineRule="auto"/>
              <w:rPr>
                <w:rFonts w:ascii="Arial" w:hAnsi="Arial" w:cs="Arial"/>
                <w:sz w:val="24"/>
                <w:szCs w:val="24"/>
              </w:rPr>
            </w:pPr>
          </w:p>
        </w:tc>
        <w:tc>
          <w:tcPr>
            <w:tcW w:w="4254" w:type="dxa"/>
            <w:shd w:val="clear" w:color="auto" w:fill="auto"/>
          </w:tcPr>
          <w:p w14:paraId="3BC4F4A5" w14:textId="77777777" w:rsidR="00B4276E" w:rsidRPr="00500CF6" w:rsidRDefault="00594B41" w:rsidP="00A21878">
            <w:pPr>
              <w:spacing w:after="0" w:line="480" w:lineRule="auto"/>
              <w:rPr>
                <w:rFonts w:ascii="Arial" w:hAnsi="Arial" w:cs="Arial"/>
                <w:sz w:val="24"/>
                <w:szCs w:val="24"/>
              </w:rPr>
            </w:pPr>
            <w:r w:rsidRPr="00500CF6">
              <w:rPr>
                <w:rFonts w:ascii="Arial" w:hAnsi="Arial" w:cs="Arial"/>
                <w:sz w:val="24"/>
                <w:szCs w:val="24"/>
              </w:rPr>
              <w:t xml:space="preserve">Instructed by </w:t>
            </w:r>
            <w:r w:rsidR="00A21878">
              <w:rPr>
                <w:rFonts w:ascii="Arial" w:hAnsi="Arial" w:cs="Arial"/>
                <w:sz w:val="24"/>
                <w:szCs w:val="24"/>
              </w:rPr>
              <w:t>Government Attorney</w:t>
            </w:r>
          </w:p>
        </w:tc>
      </w:tr>
      <w:tr w:rsidR="00573B8D" w:rsidRPr="00500CF6" w14:paraId="1E463A0A" w14:textId="77777777" w:rsidTr="008C5045">
        <w:tc>
          <w:tcPr>
            <w:tcW w:w="4867" w:type="dxa"/>
            <w:shd w:val="clear" w:color="auto" w:fill="auto"/>
          </w:tcPr>
          <w:p w14:paraId="69B63001" w14:textId="77777777" w:rsidR="004169A7" w:rsidRPr="00500CF6" w:rsidRDefault="004169A7" w:rsidP="00500CF6">
            <w:pPr>
              <w:spacing w:after="0" w:line="480" w:lineRule="auto"/>
              <w:rPr>
                <w:rFonts w:ascii="Arial" w:hAnsi="Arial" w:cs="Arial"/>
                <w:sz w:val="24"/>
                <w:szCs w:val="24"/>
              </w:rPr>
            </w:pPr>
          </w:p>
          <w:p w14:paraId="0D5C80FD" w14:textId="77777777" w:rsidR="00573B8D" w:rsidRPr="00500CF6" w:rsidRDefault="00573B8D" w:rsidP="00446464">
            <w:pPr>
              <w:spacing w:after="0" w:line="480" w:lineRule="auto"/>
              <w:rPr>
                <w:rFonts w:ascii="Arial" w:hAnsi="Arial" w:cs="Arial"/>
                <w:sz w:val="24"/>
                <w:szCs w:val="24"/>
              </w:rPr>
            </w:pPr>
            <w:r w:rsidRPr="00500CF6">
              <w:rPr>
                <w:rFonts w:ascii="Arial" w:hAnsi="Arial" w:cs="Arial"/>
                <w:sz w:val="24"/>
                <w:szCs w:val="24"/>
              </w:rPr>
              <w:t>Respondent:</w:t>
            </w:r>
          </w:p>
        </w:tc>
        <w:tc>
          <w:tcPr>
            <w:tcW w:w="4254" w:type="dxa"/>
            <w:shd w:val="clear" w:color="auto" w:fill="auto"/>
          </w:tcPr>
          <w:p w14:paraId="30CD2F98" w14:textId="77777777" w:rsidR="004169A7" w:rsidRPr="00500CF6" w:rsidRDefault="004169A7" w:rsidP="00500CF6">
            <w:pPr>
              <w:spacing w:after="0" w:line="480" w:lineRule="auto"/>
              <w:rPr>
                <w:rFonts w:ascii="Arial" w:hAnsi="Arial" w:cs="Arial"/>
                <w:sz w:val="24"/>
                <w:szCs w:val="24"/>
              </w:rPr>
            </w:pPr>
          </w:p>
          <w:p w14:paraId="4AA7B136" w14:textId="77777777" w:rsidR="00573B8D" w:rsidRPr="00500CF6" w:rsidRDefault="00A21878" w:rsidP="00E61DC7">
            <w:pPr>
              <w:spacing w:after="0" w:line="480" w:lineRule="auto"/>
              <w:rPr>
                <w:rFonts w:ascii="Arial" w:hAnsi="Arial" w:cs="Arial"/>
                <w:sz w:val="24"/>
                <w:szCs w:val="24"/>
              </w:rPr>
            </w:pPr>
            <w:r>
              <w:rPr>
                <w:rFonts w:ascii="Arial" w:hAnsi="Arial" w:cs="Arial"/>
                <w:sz w:val="24"/>
                <w:szCs w:val="24"/>
              </w:rPr>
              <w:t>Non-Appearance</w:t>
            </w:r>
          </w:p>
        </w:tc>
      </w:tr>
      <w:tr w:rsidR="00573B8D" w:rsidRPr="00500CF6" w14:paraId="02305FED" w14:textId="77777777" w:rsidTr="008C5045">
        <w:trPr>
          <w:trHeight w:val="328"/>
        </w:trPr>
        <w:tc>
          <w:tcPr>
            <w:tcW w:w="4867" w:type="dxa"/>
            <w:shd w:val="clear" w:color="auto" w:fill="auto"/>
          </w:tcPr>
          <w:p w14:paraId="072D47CF" w14:textId="77777777" w:rsidR="00573B8D" w:rsidRPr="00500CF6" w:rsidRDefault="00573B8D" w:rsidP="00500CF6">
            <w:pPr>
              <w:spacing w:after="0" w:line="480" w:lineRule="auto"/>
              <w:rPr>
                <w:rFonts w:ascii="Arial" w:hAnsi="Arial" w:cs="Arial"/>
                <w:sz w:val="24"/>
                <w:szCs w:val="24"/>
              </w:rPr>
            </w:pPr>
          </w:p>
        </w:tc>
        <w:tc>
          <w:tcPr>
            <w:tcW w:w="4254" w:type="dxa"/>
            <w:shd w:val="clear" w:color="auto" w:fill="auto"/>
          </w:tcPr>
          <w:p w14:paraId="6F28902F" w14:textId="77777777" w:rsidR="00573B8D" w:rsidRPr="00500CF6" w:rsidRDefault="00573B8D" w:rsidP="008C5045">
            <w:pPr>
              <w:spacing w:after="0" w:line="480" w:lineRule="auto"/>
              <w:rPr>
                <w:rFonts w:ascii="Arial" w:hAnsi="Arial" w:cs="Arial"/>
                <w:sz w:val="24"/>
                <w:szCs w:val="24"/>
              </w:rPr>
            </w:pPr>
          </w:p>
        </w:tc>
      </w:tr>
    </w:tbl>
    <w:p w14:paraId="14DCBC86" w14:textId="77777777" w:rsidR="00B266CC" w:rsidRDefault="00B266CC" w:rsidP="007D275A">
      <w:pPr>
        <w:spacing w:after="0" w:line="480" w:lineRule="auto"/>
        <w:jc w:val="both"/>
      </w:pPr>
    </w:p>
    <w:sectPr w:rsidR="00B266CC" w:rsidSect="00BB1B5D">
      <w:headerReference w:type="default" r:id="rId12"/>
      <w:pgSz w:w="12240" w:h="15840"/>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33D0" w14:textId="77777777" w:rsidR="00212D43" w:rsidRDefault="00212D43" w:rsidP="00F74879">
      <w:pPr>
        <w:spacing w:after="0" w:line="240" w:lineRule="auto"/>
      </w:pPr>
      <w:r>
        <w:separator/>
      </w:r>
    </w:p>
  </w:endnote>
  <w:endnote w:type="continuationSeparator" w:id="0">
    <w:p w14:paraId="0E7583F4" w14:textId="77777777" w:rsidR="00212D43" w:rsidRDefault="00212D43"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8F841" w14:textId="77777777" w:rsidR="00212D43" w:rsidRDefault="00212D43" w:rsidP="00F74879">
      <w:pPr>
        <w:spacing w:after="0" w:line="240" w:lineRule="auto"/>
      </w:pPr>
      <w:r>
        <w:separator/>
      </w:r>
    </w:p>
  </w:footnote>
  <w:footnote w:type="continuationSeparator" w:id="0">
    <w:p w14:paraId="770EA8B1" w14:textId="77777777" w:rsidR="00212D43" w:rsidRDefault="00212D43" w:rsidP="00F74879">
      <w:pPr>
        <w:spacing w:after="0" w:line="240" w:lineRule="auto"/>
      </w:pPr>
      <w:r>
        <w:continuationSeparator/>
      </w:r>
    </w:p>
  </w:footnote>
  <w:footnote w:id="1">
    <w:p w14:paraId="31AE767B" w14:textId="77777777" w:rsidR="009D72B2" w:rsidRPr="00980E41" w:rsidRDefault="009D72B2" w:rsidP="00980E41">
      <w:pPr>
        <w:pStyle w:val="FootnoteText"/>
        <w:jc w:val="both"/>
        <w:rPr>
          <w:rFonts w:ascii="Arial" w:hAnsi="Arial" w:cs="Arial"/>
          <w:lang w:val="en-ZA"/>
        </w:rPr>
      </w:pPr>
      <w:r w:rsidRPr="00980E41">
        <w:rPr>
          <w:rStyle w:val="FootnoteReference"/>
          <w:rFonts w:ascii="Arial" w:hAnsi="Arial" w:cs="Arial"/>
        </w:rPr>
        <w:footnoteRef/>
      </w:r>
      <w:r w:rsidRPr="00980E41">
        <w:rPr>
          <w:rFonts w:ascii="Arial" w:hAnsi="Arial" w:cs="Arial"/>
        </w:rPr>
        <w:t xml:space="preserve"> </w:t>
      </w:r>
      <w:r>
        <w:rPr>
          <w:rFonts w:ascii="Arial" w:hAnsi="Arial" w:cs="Arial"/>
        </w:rPr>
        <w:t>Section 18(1) provides</w:t>
      </w:r>
      <w:r w:rsidR="00034D8B">
        <w:rPr>
          <w:rFonts w:ascii="Arial" w:hAnsi="Arial" w:cs="Arial"/>
        </w:rPr>
        <w:t>:</w:t>
      </w:r>
      <w:r>
        <w:rPr>
          <w:rFonts w:ascii="Arial" w:hAnsi="Arial" w:cs="Arial"/>
        </w:rPr>
        <w:t xml:space="preserve"> </w:t>
      </w:r>
      <w:r w:rsidR="00F04842">
        <w:rPr>
          <w:rFonts w:ascii="Arial" w:hAnsi="Arial" w:cs="Arial"/>
        </w:rPr>
        <w:t>‘</w:t>
      </w:r>
      <w:r>
        <w:rPr>
          <w:rFonts w:ascii="Arial" w:hAnsi="Arial" w:cs="Arial"/>
        </w:rPr>
        <w:t>an appeal from a judgment or order of the High Court in any civil proceedings or against any judgment or order of the High Court given on appeal shall, except in so far as this section otherwise provides, be heard by the Supreme Court.</w:t>
      </w:r>
      <w:r w:rsidR="00F04842">
        <w:rPr>
          <w:rFonts w:ascii="Arial" w:hAnsi="Arial" w:cs="Arial"/>
        </w:rPr>
        <w:t>’</w:t>
      </w:r>
      <w:r>
        <w:rPr>
          <w:rFonts w:ascii="Arial" w:hAnsi="Arial" w:cs="Arial"/>
        </w:rPr>
        <w:t xml:space="preserve"> S</w:t>
      </w:r>
      <w:r w:rsidR="00F04842">
        <w:rPr>
          <w:rFonts w:ascii="Arial" w:hAnsi="Arial" w:cs="Arial"/>
        </w:rPr>
        <w:t>ection</w:t>
      </w:r>
      <w:r>
        <w:rPr>
          <w:rFonts w:ascii="Arial" w:hAnsi="Arial" w:cs="Arial"/>
        </w:rPr>
        <w:t xml:space="preserve"> 18(2) provides</w:t>
      </w:r>
      <w:r w:rsidR="00034D8B">
        <w:rPr>
          <w:rFonts w:ascii="Arial" w:hAnsi="Arial" w:cs="Arial"/>
        </w:rPr>
        <w:t>:</w:t>
      </w:r>
      <w:r>
        <w:rPr>
          <w:rFonts w:ascii="Arial" w:hAnsi="Arial" w:cs="Arial"/>
        </w:rPr>
        <w:t xml:space="preserve"> </w:t>
      </w:r>
      <w:r w:rsidR="00F04842">
        <w:rPr>
          <w:rFonts w:ascii="Arial" w:hAnsi="Arial" w:cs="Arial"/>
        </w:rPr>
        <w:t>‘</w:t>
      </w:r>
      <w:r>
        <w:rPr>
          <w:rFonts w:ascii="Arial" w:hAnsi="Arial" w:cs="Arial"/>
        </w:rPr>
        <w:t>an appeal from any judgment or order of the High Court in civil proceedings shall lie – (a) in the case of that court sitting as a court of first instance, whether the full court or otherwise, to the Supreme Court, as of right, and no leave to appeal shall be required.</w:t>
      </w:r>
      <w:r w:rsidR="00F04842">
        <w:rPr>
          <w:rFonts w:ascii="Arial" w:hAnsi="Arial" w:cs="Arial"/>
        </w:rPr>
        <w:t>’</w:t>
      </w:r>
    </w:p>
  </w:footnote>
  <w:footnote w:id="2">
    <w:p w14:paraId="0D0407A8" w14:textId="77777777" w:rsidR="009D72B2" w:rsidRPr="00980E41" w:rsidRDefault="009D72B2" w:rsidP="008B1165">
      <w:pPr>
        <w:pStyle w:val="FootnoteText"/>
        <w:jc w:val="both"/>
        <w:rPr>
          <w:rFonts w:ascii="Arial" w:hAnsi="Arial" w:cs="Arial"/>
          <w:lang w:val="en-ZA"/>
        </w:rPr>
      </w:pPr>
      <w:r w:rsidRPr="00A778EC">
        <w:rPr>
          <w:rStyle w:val="FootnoteReference"/>
          <w:rFonts w:ascii="Arial" w:hAnsi="Arial" w:cs="Arial"/>
        </w:rPr>
        <w:footnoteRef/>
      </w:r>
      <w:r w:rsidRPr="00A778EC">
        <w:rPr>
          <w:rFonts w:ascii="Arial" w:hAnsi="Arial" w:cs="Arial"/>
        </w:rPr>
        <w:t xml:space="preserve"> </w:t>
      </w:r>
      <w:r w:rsidR="00482EAA">
        <w:rPr>
          <w:rFonts w:ascii="Arial" w:hAnsi="Arial" w:cs="Arial"/>
        </w:rPr>
        <w:t xml:space="preserve">‘No </w:t>
      </w:r>
      <w:r>
        <w:rPr>
          <w:rFonts w:ascii="Arial" w:hAnsi="Arial" w:cs="Arial"/>
        </w:rPr>
        <w:t>judgment or order where the judgment or order sought to be appealed from is an interlocutory order or an order as to costs only left by law to the discretion of the court shall be subject to appeal save with the leave of the court which has given the judgment or has made the order, or in the event of such leave to appeal being refused, leave to appeal being granted by the Supreme Court.</w:t>
      </w:r>
      <w:r w:rsidR="00F04842">
        <w:rPr>
          <w:rFonts w:ascii="Arial" w:hAnsi="Arial" w:cs="Arial"/>
        </w:rPr>
        <w:t>’</w:t>
      </w:r>
    </w:p>
    <w:p w14:paraId="6EA669A2" w14:textId="77777777" w:rsidR="009D72B2" w:rsidRPr="008B1165" w:rsidRDefault="009D72B2">
      <w:pPr>
        <w:pStyle w:val="FootnoteText"/>
        <w:rPr>
          <w:lang w:val="en-ZA"/>
        </w:rPr>
      </w:pPr>
      <w:r>
        <w:t xml:space="preserve"> </w:t>
      </w:r>
    </w:p>
  </w:footnote>
  <w:footnote w:id="3">
    <w:p w14:paraId="012F4F23" w14:textId="77777777" w:rsidR="009D72B2" w:rsidRDefault="009D72B2" w:rsidP="00E44718">
      <w:pPr>
        <w:pStyle w:val="FootnoteText"/>
        <w:jc w:val="both"/>
        <w:rPr>
          <w:rFonts w:ascii="Arial" w:hAnsi="Arial" w:cs="Arial"/>
        </w:rPr>
      </w:pPr>
      <w:r w:rsidRPr="00E44718">
        <w:rPr>
          <w:rStyle w:val="FootnoteReference"/>
          <w:rFonts w:ascii="Arial" w:hAnsi="Arial" w:cs="Arial"/>
        </w:rPr>
        <w:footnoteRef/>
      </w:r>
      <w:r w:rsidRPr="00E44718">
        <w:rPr>
          <w:rFonts w:ascii="Arial" w:hAnsi="Arial" w:cs="Arial"/>
        </w:rPr>
        <w:t xml:space="preserve"> </w:t>
      </w:r>
      <w:r w:rsidR="00482EAA">
        <w:rPr>
          <w:rFonts w:ascii="Arial" w:hAnsi="Arial" w:cs="Arial"/>
          <w:i/>
        </w:rPr>
        <w:t xml:space="preserve">Moolman &amp; another v Jeandre Development CC </w:t>
      </w:r>
      <w:r>
        <w:rPr>
          <w:rFonts w:ascii="Arial" w:hAnsi="Arial" w:cs="Arial"/>
        </w:rPr>
        <w:t>2016 (2) NR 322 (SC) para 66.</w:t>
      </w:r>
    </w:p>
    <w:p w14:paraId="0EFB98C1" w14:textId="77777777" w:rsidR="009D72B2" w:rsidRDefault="00034D8B" w:rsidP="00E44718">
      <w:pPr>
        <w:pStyle w:val="FootnoteText"/>
        <w:jc w:val="both"/>
        <w:rPr>
          <w:rFonts w:ascii="Arial" w:hAnsi="Arial" w:cs="Arial"/>
        </w:rPr>
      </w:pPr>
      <w:r>
        <w:rPr>
          <w:rFonts w:ascii="Arial" w:hAnsi="Arial" w:cs="Arial"/>
        </w:rPr>
        <w:t>‘</w:t>
      </w:r>
      <w:r w:rsidR="009D72B2">
        <w:rPr>
          <w:rFonts w:ascii="Arial" w:hAnsi="Arial" w:cs="Arial"/>
        </w:rPr>
        <w:t xml:space="preserve">What is also clear from the authorities is that a court would determine in any given case whether a contract is contrary to public policy. The majority in </w:t>
      </w:r>
      <w:r w:rsidR="009D72B2" w:rsidRPr="00482EAA">
        <w:rPr>
          <w:rFonts w:ascii="Arial" w:hAnsi="Arial" w:cs="Arial"/>
          <w:i/>
        </w:rPr>
        <w:t xml:space="preserve">Sasfin </w:t>
      </w:r>
      <w:r w:rsidR="009D72B2">
        <w:rPr>
          <w:rFonts w:ascii="Arial" w:hAnsi="Arial" w:cs="Arial"/>
        </w:rPr>
        <w:t xml:space="preserve">referred to an early exposition of the common law on the issue thus articulated by Innes CJ in </w:t>
      </w:r>
      <w:r w:rsidR="009D72B2" w:rsidRPr="00E44718">
        <w:rPr>
          <w:rFonts w:ascii="Arial" w:hAnsi="Arial" w:cs="Arial"/>
          <w:i/>
        </w:rPr>
        <w:t>Eastwood v Shepstone</w:t>
      </w:r>
      <w:r w:rsidR="009D72B2">
        <w:rPr>
          <w:rFonts w:ascii="Arial" w:hAnsi="Arial" w:cs="Arial"/>
        </w:rPr>
        <w:t xml:space="preserve"> 1902 TS 294 at 302:</w:t>
      </w:r>
    </w:p>
    <w:p w14:paraId="651FEFF1" w14:textId="77777777" w:rsidR="009D72B2" w:rsidRPr="00E44718" w:rsidRDefault="00034D8B" w:rsidP="00E44718">
      <w:pPr>
        <w:pStyle w:val="FootnoteText"/>
        <w:jc w:val="both"/>
        <w:rPr>
          <w:rFonts w:ascii="Arial" w:hAnsi="Arial" w:cs="Arial"/>
          <w:lang w:val="en-ZA"/>
        </w:rPr>
      </w:pPr>
      <w:r>
        <w:rPr>
          <w:rFonts w:ascii="Arial" w:hAnsi="Arial" w:cs="Arial"/>
        </w:rPr>
        <w:t>“</w:t>
      </w:r>
      <w:r w:rsidR="009D72B2">
        <w:rPr>
          <w:rFonts w:ascii="Arial" w:hAnsi="Arial" w:cs="Arial"/>
        </w:rPr>
        <w:t>Now this Court has the power to treat as void and to refuse in any way to recognise contracts and transactions which are against public policy or contrary to good morals. It is a power not to be hastily or rashly exercised; but when once it is clear that any arrangement is against public policy, the Court would be wanting in its duty if it hesitated to declare such an arrangement void. What we have to look to is the tendency of the proposed transaction, not its actually proved result.”</w:t>
      </w:r>
      <w:r>
        <w:rPr>
          <w:rFonts w:ascii="Arial" w:hAnsi="Arial" w:cs="Arial"/>
        </w:rPr>
        <w:t>’</w:t>
      </w:r>
    </w:p>
  </w:footnote>
  <w:footnote w:id="4">
    <w:p w14:paraId="1544CF00" w14:textId="77777777" w:rsidR="009D72B2" w:rsidRPr="00377FB3" w:rsidRDefault="009D72B2" w:rsidP="0083499D">
      <w:pPr>
        <w:pStyle w:val="FootnoteText"/>
        <w:jc w:val="both"/>
        <w:rPr>
          <w:rFonts w:ascii="Arial" w:hAnsi="Arial" w:cs="Arial"/>
          <w:lang w:val="en-ZA"/>
        </w:rPr>
      </w:pPr>
      <w:r w:rsidRPr="0083499D">
        <w:rPr>
          <w:rStyle w:val="FootnoteReference"/>
          <w:rFonts w:ascii="Arial" w:hAnsi="Arial" w:cs="Arial"/>
        </w:rPr>
        <w:footnoteRef/>
      </w:r>
      <w:r w:rsidRPr="0083499D">
        <w:rPr>
          <w:rFonts w:ascii="Arial" w:hAnsi="Arial" w:cs="Arial"/>
        </w:rPr>
        <w:t xml:space="preserve"> </w:t>
      </w:r>
      <w:r>
        <w:rPr>
          <w:rFonts w:ascii="Arial" w:hAnsi="Arial" w:cs="Arial"/>
          <w:i/>
        </w:rPr>
        <w:t xml:space="preserve">Tembani </w:t>
      </w:r>
      <w:r w:rsidR="00377FB3">
        <w:rPr>
          <w:rFonts w:ascii="Arial" w:hAnsi="Arial" w:cs="Arial"/>
          <w:i/>
        </w:rPr>
        <w:t>&amp;</w:t>
      </w:r>
      <w:r>
        <w:rPr>
          <w:rFonts w:ascii="Arial" w:hAnsi="Arial" w:cs="Arial"/>
          <w:i/>
        </w:rPr>
        <w:t xml:space="preserve"> others v President of the Republic of South Africa </w:t>
      </w:r>
      <w:r w:rsidR="00377FB3">
        <w:rPr>
          <w:rFonts w:ascii="Arial" w:hAnsi="Arial" w:cs="Arial"/>
          <w:i/>
        </w:rPr>
        <w:t>&amp;</w:t>
      </w:r>
      <w:r>
        <w:rPr>
          <w:rFonts w:ascii="Arial" w:hAnsi="Arial" w:cs="Arial"/>
          <w:i/>
        </w:rPr>
        <w:t xml:space="preserve"> another </w:t>
      </w:r>
      <w:r w:rsidR="00377FB3">
        <w:rPr>
          <w:rFonts w:ascii="Arial" w:hAnsi="Arial" w:cs="Arial"/>
        </w:rPr>
        <w:t>2023 (1) SA 432 (SCA) para 14.</w:t>
      </w:r>
    </w:p>
  </w:footnote>
  <w:footnote w:id="5">
    <w:p w14:paraId="0BC5F816" w14:textId="77777777" w:rsidR="009D72B2" w:rsidRDefault="009D72B2" w:rsidP="0083499D">
      <w:pPr>
        <w:pStyle w:val="FootnoteText"/>
        <w:jc w:val="both"/>
        <w:rPr>
          <w:rFonts w:ascii="Arial" w:hAnsi="Arial" w:cs="Arial"/>
        </w:rPr>
      </w:pPr>
      <w:r w:rsidRPr="0083499D">
        <w:rPr>
          <w:rStyle w:val="FootnoteReference"/>
          <w:rFonts w:ascii="Arial" w:hAnsi="Arial" w:cs="Arial"/>
        </w:rPr>
        <w:footnoteRef/>
      </w:r>
      <w:r w:rsidRPr="0083499D">
        <w:rPr>
          <w:rFonts w:ascii="Arial" w:hAnsi="Arial" w:cs="Arial"/>
        </w:rPr>
        <w:t xml:space="preserve"> </w:t>
      </w:r>
      <w:r w:rsidR="00377FB3">
        <w:rPr>
          <w:rFonts w:ascii="Arial" w:hAnsi="Arial" w:cs="Arial"/>
          <w:i/>
        </w:rPr>
        <w:t>Telematrix (Pty) Ltd t/a Matrix Vehicle Tra</w:t>
      </w:r>
      <w:r w:rsidR="00AA4861">
        <w:rPr>
          <w:rFonts w:ascii="Arial" w:hAnsi="Arial" w:cs="Arial"/>
          <w:i/>
        </w:rPr>
        <w:t>ck</w:t>
      </w:r>
      <w:r w:rsidR="00377FB3">
        <w:rPr>
          <w:rFonts w:ascii="Arial" w:hAnsi="Arial" w:cs="Arial"/>
          <w:i/>
        </w:rPr>
        <w:t xml:space="preserve">ing v </w:t>
      </w:r>
      <w:r w:rsidR="00AA4861">
        <w:rPr>
          <w:rFonts w:ascii="Arial" w:hAnsi="Arial" w:cs="Arial"/>
          <w:i/>
        </w:rPr>
        <w:t>A</w:t>
      </w:r>
      <w:r w:rsidR="00377FB3">
        <w:rPr>
          <w:rFonts w:ascii="Arial" w:hAnsi="Arial" w:cs="Arial"/>
          <w:i/>
        </w:rPr>
        <w:t xml:space="preserve">dvertising Standards Authority </w:t>
      </w:r>
      <w:r w:rsidR="00377FB3" w:rsidRPr="00377FB3">
        <w:rPr>
          <w:rFonts w:ascii="Arial" w:hAnsi="Arial" w:cs="Arial"/>
        </w:rPr>
        <w:t>SA</w:t>
      </w:r>
      <w:r w:rsidR="00377FB3">
        <w:rPr>
          <w:rFonts w:ascii="Arial" w:hAnsi="Arial" w:cs="Arial"/>
          <w:i/>
        </w:rPr>
        <w:t xml:space="preserve"> </w:t>
      </w:r>
      <w:r>
        <w:rPr>
          <w:rFonts w:ascii="Arial" w:hAnsi="Arial" w:cs="Arial"/>
        </w:rPr>
        <w:t xml:space="preserve">2006 (1) SA 461 </w:t>
      </w:r>
      <w:r w:rsidR="00377FB3">
        <w:rPr>
          <w:rFonts w:ascii="Arial" w:hAnsi="Arial" w:cs="Arial"/>
        </w:rPr>
        <w:t>(</w:t>
      </w:r>
      <w:r>
        <w:rPr>
          <w:rFonts w:ascii="Arial" w:hAnsi="Arial" w:cs="Arial"/>
        </w:rPr>
        <w:t>SCA</w:t>
      </w:r>
      <w:r w:rsidR="00377FB3">
        <w:rPr>
          <w:rFonts w:ascii="Arial" w:hAnsi="Arial" w:cs="Arial"/>
        </w:rPr>
        <w:t>)</w:t>
      </w:r>
      <w:r>
        <w:rPr>
          <w:rFonts w:ascii="Arial" w:hAnsi="Arial" w:cs="Arial"/>
        </w:rPr>
        <w:t xml:space="preserve"> para 3.</w:t>
      </w:r>
    </w:p>
    <w:p w14:paraId="44CB299A" w14:textId="77777777" w:rsidR="009D72B2" w:rsidRPr="0083499D" w:rsidRDefault="009D72B2" w:rsidP="0083499D">
      <w:pPr>
        <w:pStyle w:val="FootnoteText"/>
        <w:jc w:val="both"/>
        <w:rPr>
          <w:rFonts w:ascii="Arial" w:hAnsi="Arial" w:cs="Arial"/>
          <w:lang w:val="en-ZA"/>
        </w:rPr>
      </w:pPr>
    </w:p>
  </w:footnote>
  <w:footnote w:id="6">
    <w:p w14:paraId="4107C8F8" w14:textId="77777777" w:rsidR="009D72B2" w:rsidRPr="00E71F7C" w:rsidRDefault="009D72B2" w:rsidP="00E71F7C">
      <w:pPr>
        <w:pStyle w:val="FootnoteText"/>
        <w:jc w:val="both"/>
        <w:rPr>
          <w:rFonts w:ascii="Arial" w:hAnsi="Arial" w:cs="Arial"/>
          <w:lang w:val="en-ZA"/>
        </w:rPr>
      </w:pPr>
      <w:r w:rsidRPr="00E71F7C">
        <w:rPr>
          <w:rStyle w:val="FootnoteReference"/>
          <w:rFonts w:ascii="Arial" w:hAnsi="Arial" w:cs="Arial"/>
        </w:rPr>
        <w:footnoteRef/>
      </w:r>
      <w:r w:rsidRPr="00E71F7C">
        <w:rPr>
          <w:rFonts w:ascii="Arial" w:hAnsi="Arial" w:cs="Arial"/>
        </w:rPr>
        <w:t xml:space="preserve"> </w:t>
      </w:r>
      <w:r w:rsidR="00377FB3">
        <w:rPr>
          <w:rFonts w:ascii="Arial" w:hAnsi="Arial" w:cs="Arial"/>
          <w:i/>
        </w:rPr>
        <w:t xml:space="preserve">Government of the Self-Governing Territory of Kwazulu v Mahlangu &amp; another </w:t>
      </w:r>
      <w:r>
        <w:rPr>
          <w:rFonts w:ascii="Arial" w:hAnsi="Arial" w:cs="Arial"/>
        </w:rPr>
        <w:t xml:space="preserve">1994 (1) SA 626 </w:t>
      </w:r>
      <w:r w:rsidR="00377FB3">
        <w:rPr>
          <w:rFonts w:ascii="Arial" w:hAnsi="Arial" w:cs="Arial"/>
        </w:rPr>
        <w:t>(</w:t>
      </w:r>
      <w:r>
        <w:rPr>
          <w:rFonts w:ascii="Arial" w:hAnsi="Arial" w:cs="Arial"/>
        </w:rPr>
        <w:t>T</w:t>
      </w:r>
      <w:r w:rsidR="00377FB3">
        <w:rPr>
          <w:rFonts w:ascii="Arial" w:hAnsi="Arial" w:cs="Arial"/>
        </w:rPr>
        <w:t>)</w:t>
      </w:r>
      <w:r>
        <w:rPr>
          <w:rFonts w:ascii="Arial" w:hAnsi="Arial" w:cs="Arial"/>
        </w:rPr>
        <w:t xml:space="preserve"> at 635B-G.</w:t>
      </w:r>
    </w:p>
  </w:footnote>
  <w:footnote w:id="7">
    <w:p w14:paraId="62B5ABA2" w14:textId="77777777" w:rsidR="009D72B2" w:rsidRPr="00A46822" w:rsidRDefault="009D72B2" w:rsidP="00A46822">
      <w:pPr>
        <w:pStyle w:val="FootnoteText"/>
        <w:jc w:val="both"/>
        <w:rPr>
          <w:rFonts w:ascii="Arial" w:hAnsi="Arial" w:cs="Arial"/>
          <w:lang w:val="en-ZA"/>
        </w:rPr>
      </w:pPr>
      <w:r w:rsidRPr="00A46822">
        <w:rPr>
          <w:rStyle w:val="FootnoteReference"/>
          <w:rFonts w:ascii="Arial" w:hAnsi="Arial" w:cs="Arial"/>
        </w:rPr>
        <w:footnoteRef/>
      </w:r>
      <w:r w:rsidRPr="00A46822">
        <w:rPr>
          <w:rFonts w:ascii="Arial" w:hAnsi="Arial" w:cs="Arial"/>
        </w:rPr>
        <w:t xml:space="preserve"> </w:t>
      </w:r>
      <w:r w:rsidR="008D1E14">
        <w:rPr>
          <w:rFonts w:ascii="Arial" w:hAnsi="Arial" w:cs="Arial"/>
          <w:i/>
        </w:rPr>
        <w:t xml:space="preserve">Conradie v Rossouw </w:t>
      </w:r>
      <w:r>
        <w:rPr>
          <w:rFonts w:ascii="Arial" w:hAnsi="Arial" w:cs="Arial"/>
        </w:rPr>
        <w:t>1919 AD</w:t>
      </w:r>
      <w:r w:rsidR="008D1E14">
        <w:rPr>
          <w:rFonts w:ascii="Arial" w:hAnsi="Arial" w:cs="Arial"/>
        </w:rPr>
        <w:t xml:space="preserve"> 279</w:t>
      </w:r>
      <w:r>
        <w:rPr>
          <w:rFonts w:ascii="Arial" w:hAnsi="Arial" w:cs="Arial"/>
        </w:rPr>
        <w:t xml:space="preserve"> at 314-315.</w:t>
      </w:r>
    </w:p>
  </w:footnote>
  <w:footnote w:id="8">
    <w:p w14:paraId="6E864203" w14:textId="77777777" w:rsidR="009D72B2" w:rsidRPr="009D72B2" w:rsidRDefault="009D72B2" w:rsidP="009D72B2">
      <w:pPr>
        <w:pStyle w:val="FootnoteText"/>
        <w:jc w:val="both"/>
        <w:rPr>
          <w:rFonts w:ascii="Arial" w:hAnsi="Arial" w:cs="Arial"/>
          <w:lang w:val="en-ZA"/>
        </w:rPr>
      </w:pPr>
      <w:r w:rsidRPr="009D72B2">
        <w:rPr>
          <w:rStyle w:val="FootnoteReference"/>
          <w:rFonts w:ascii="Arial" w:hAnsi="Arial" w:cs="Arial"/>
        </w:rPr>
        <w:footnoteRef/>
      </w:r>
      <w:r w:rsidRPr="009D72B2">
        <w:rPr>
          <w:rFonts w:ascii="Arial" w:hAnsi="Arial" w:cs="Arial"/>
        </w:rPr>
        <w:t xml:space="preserve"> </w:t>
      </w:r>
      <w:r>
        <w:rPr>
          <w:rFonts w:ascii="Arial" w:hAnsi="Arial" w:cs="Arial"/>
        </w:rPr>
        <w:t xml:space="preserve">R H Christie </w:t>
      </w:r>
      <w:r w:rsidRPr="0070533F">
        <w:rPr>
          <w:rFonts w:ascii="Arial" w:hAnsi="Arial" w:cs="Arial"/>
          <w:i/>
        </w:rPr>
        <w:t>Law of Contract in South Africa</w:t>
      </w:r>
      <w:r>
        <w:rPr>
          <w:rFonts w:ascii="Arial" w:hAnsi="Arial" w:cs="Arial"/>
        </w:rPr>
        <w:t xml:space="preserve">, 5 </w:t>
      </w:r>
      <w:r w:rsidR="0070533F">
        <w:rPr>
          <w:rFonts w:ascii="Arial" w:hAnsi="Arial" w:cs="Arial"/>
        </w:rPr>
        <w:t>e</w:t>
      </w:r>
      <w:r>
        <w:rPr>
          <w:rFonts w:ascii="Arial" w:hAnsi="Arial" w:cs="Arial"/>
        </w:rPr>
        <w:t>d</w:t>
      </w:r>
      <w:r w:rsidR="005B6FD9">
        <w:rPr>
          <w:rFonts w:ascii="Arial" w:hAnsi="Arial" w:cs="Arial"/>
        </w:rPr>
        <w:t>. 2006 p 356.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F451" w14:textId="77777777" w:rsidR="009D72B2" w:rsidRPr="007D275A" w:rsidRDefault="009D72B2">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6A4122">
      <w:rPr>
        <w:rFonts w:ascii="Arial" w:hAnsi="Arial" w:cs="Arial"/>
        <w:noProof/>
        <w:sz w:val="24"/>
        <w:szCs w:val="24"/>
      </w:rPr>
      <w:t>2</w:t>
    </w:r>
    <w:r w:rsidRPr="007D275A">
      <w:rPr>
        <w:rFonts w:ascii="Arial" w:hAnsi="Arial" w:cs="Arial"/>
        <w:noProof/>
        <w:sz w:val="24"/>
        <w:szCs w:val="24"/>
      </w:rPr>
      <w:fldChar w:fldCharType="end"/>
    </w:r>
  </w:p>
  <w:p w14:paraId="5654A413" w14:textId="77777777" w:rsidR="009D72B2" w:rsidRDefault="009D7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A6B"/>
    <w:multiLevelType w:val="hybridMultilevel"/>
    <w:tmpl w:val="8E002AD4"/>
    <w:lvl w:ilvl="0" w:tplc="BF8AAE5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6767"/>
    <w:multiLevelType w:val="hybridMultilevel"/>
    <w:tmpl w:val="691821F8"/>
    <w:lvl w:ilvl="0" w:tplc="1C09000F">
      <w:start w:val="1"/>
      <w:numFmt w:val="decimal"/>
      <w:lvlText w:val="%1."/>
      <w:lvlJc w:val="left"/>
      <w:pPr>
        <w:ind w:left="1425" w:hanging="360"/>
      </w:pPr>
    </w:lvl>
    <w:lvl w:ilvl="1" w:tplc="1C090019" w:tentative="1">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abstractNum w:abstractNumId="2" w15:restartNumberingAfterBreak="0">
    <w:nsid w:val="068F3FD4"/>
    <w:multiLevelType w:val="multilevel"/>
    <w:tmpl w:val="D88CF3CA"/>
    <w:lvl w:ilvl="0">
      <w:start w:val="1"/>
      <w:numFmt w:val="decimal"/>
      <w:lvlText w:val="%1."/>
      <w:lvlJc w:val="left"/>
      <w:pPr>
        <w:ind w:left="720" w:hanging="360"/>
      </w:pPr>
    </w:lvl>
    <w:lvl w:ilvl="1">
      <w:start w:val="1"/>
      <w:numFmt w:val="decimal"/>
      <w:isLgl/>
      <w:lvlText w:val="%1.%2"/>
      <w:lvlJc w:val="left"/>
      <w:pPr>
        <w:ind w:left="127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7F62191"/>
    <w:multiLevelType w:val="hybridMultilevel"/>
    <w:tmpl w:val="D15AF782"/>
    <w:lvl w:ilvl="0" w:tplc="5338F6AC">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08927B3F"/>
    <w:multiLevelType w:val="hybridMultilevel"/>
    <w:tmpl w:val="59A6C3CE"/>
    <w:lvl w:ilvl="0" w:tplc="E698EB7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00DB9"/>
    <w:multiLevelType w:val="hybridMultilevel"/>
    <w:tmpl w:val="DB56124E"/>
    <w:lvl w:ilvl="0" w:tplc="200E3D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EF3515"/>
    <w:multiLevelType w:val="hybridMultilevel"/>
    <w:tmpl w:val="7F88ED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66495"/>
    <w:multiLevelType w:val="hybridMultilevel"/>
    <w:tmpl w:val="05CEF77A"/>
    <w:lvl w:ilvl="0" w:tplc="8F2896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D0621"/>
    <w:multiLevelType w:val="hybridMultilevel"/>
    <w:tmpl w:val="217253D4"/>
    <w:lvl w:ilvl="0" w:tplc="BACE1E84">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13E4380F"/>
    <w:multiLevelType w:val="hybridMultilevel"/>
    <w:tmpl w:val="C762A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369C4"/>
    <w:multiLevelType w:val="hybridMultilevel"/>
    <w:tmpl w:val="BC185946"/>
    <w:lvl w:ilvl="0" w:tplc="80A81A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A6A7B61"/>
    <w:multiLevelType w:val="hybridMultilevel"/>
    <w:tmpl w:val="2DFE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263C2"/>
    <w:multiLevelType w:val="hybridMultilevel"/>
    <w:tmpl w:val="17D6CC92"/>
    <w:lvl w:ilvl="0" w:tplc="3ECC68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E4C13"/>
    <w:multiLevelType w:val="hybridMultilevel"/>
    <w:tmpl w:val="0EDA0C98"/>
    <w:lvl w:ilvl="0" w:tplc="F8649CA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1EA3176A"/>
    <w:multiLevelType w:val="hybridMultilevel"/>
    <w:tmpl w:val="503A5958"/>
    <w:lvl w:ilvl="0" w:tplc="D576C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0C4E2B"/>
    <w:multiLevelType w:val="hybridMultilevel"/>
    <w:tmpl w:val="3370B664"/>
    <w:lvl w:ilvl="0" w:tplc="03D67906">
      <w:start w:val="1"/>
      <w:numFmt w:val="decimal"/>
      <w:lvlText w:val="[%1]"/>
      <w:lvlJc w:val="left"/>
      <w:pPr>
        <w:ind w:left="1800" w:hanging="360"/>
      </w:pPr>
      <w:rPr>
        <w:rFonts w:hint="default"/>
        <w:i w:val="0"/>
      </w:rPr>
    </w:lvl>
    <w:lvl w:ilvl="1" w:tplc="1C090019" w:tentative="1">
      <w:start w:val="1"/>
      <w:numFmt w:val="lowerLetter"/>
      <w:lvlText w:val="%2."/>
      <w:lvlJc w:val="left"/>
      <w:pPr>
        <w:ind w:left="2913" w:hanging="360"/>
      </w:pPr>
    </w:lvl>
    <w:lvl w:ilvl="2" w:tplc="1C09001B" w:tentative="1">
      <w:start w:val="1"/>
      <w:numFmt w:val="lowerRoman"/>
      <w:lvlText w:val="%3."/>
      <w:lvlJc w:val="right"/>
      <w:pPr>
        <w:ind w:left="3633" w:hanging="180"/>
      </w:pPr>
    </w:lvl>
    <w:lvl w:ilvl="3" w:tplc="1C09000F" w:tentative="1">
      <w:start w:val="1"/>
      <w:numFmt w:val="decimal"/>
      <w:lvlText w:val="%4."/>
      <w:lvlJc w:val="left"/>
      <w:pPr>
        <w:ind w:left="4353" w:hanging="360"/>
      </w:pPr>
    </w:lvl>
    <w:lvl w:ilvl="4" w:tplc="1C090019" w:tentative="1">
      <w:start w:val="1"/>
      <w:numFmt w:val="lowerLetter"/>
      <w:lvlText w:val="%5."/>
      <w:lvlJc w:val="left"/>
      <w:pPr>
        <w:ind w:left="5073" w:hanging="360"/>
      </w:pPr>
    </w:lvl>
    <w:lvl w:ilvl="5" w:tplc="1C09001B" w:tentative="1">
      <w:start w:val="1"/>
      <w:numFmt w:val="lowerRoman"/>
      <w:lvlText w:val="%6."/>
      <w:lvlJc w:val="right"/>
      <w:pPr>
        <w:ind w:left="5793" w:hanging="180"/>
      </w:pPr>
    </w:lvl>
    <w:lvl w:ilvl="6" w:tplc="1C09000F" w:tentative="1">
      <w:start w:val="1"/>
      <w:numFmt w:val="decimal"/>
      <w:lvlText w:val="%7."/>
      <w:lvlJc w:val="left"/>
      <w:pPr>
        <w:ind w:left="6513" w:hanging="360"/>
      </w:pPr>
    </w:lvl>
    <w:lvl w:ilvl="7" w:tplc="1C090019" w:tentative="1">
      <w:start w:val="1"/>
      <w:numFmt w:val="lowerLetter"/>
      <w:lvlText w:val="%8."/>
      <w:lvlJc w:val="left"/>
      <w:pPr>
        <w:ind w:left="7233" w:hanging="360"/>
      </w:pPr>
    </w:lvl>
    <w:lvl w:ilvl="8" w:tplc="1C09001B" w:tentative="1">
      <w:start w:val="1"/>
      <w:numFmt w:val="lowerRoman"/>
      <w:lvlText w:val="%9."/>
      <w:lvlJc w:val="right"/>
      <w:pPr>
        <w:ind w:left="7953" w:hanging="180"/>
      </w:pPr>
    </w:lvl>
  </w:abstractNum>
  <w:abstractNum w:abstractNumId="16" w15:restartNumberingAfterBreak="0">
    <w:nsid w:val="243E07B4"/>
    <w:multiLevelType w:val="hybridMultilevel"/>
    <w:tmpl w:val="49A6E802"/>
    <w:lvl w:ilvl="0" w:tplc="343E830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24923FD1"/>
    <w:multiLevelType w:val="hybridMultilevel"/>
    <w:tmpl w:val="EADCB6FC"/>
    <w:lvl w:ilvl="0" w:tplc="6AF25F5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8" w15:restartNumberingAfterBreak="0">
    <w:nsid w:val="24E810FD"/>
    <w:multiLevelType w:val="hybridMultilevel"/>
    <w:tmpl w:val="060EC80C"/>
    <w:lvl w:ilvl="0" w:tplc="E75EAB8E">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9" w15:restartNumberingAfterBreak="0">
    <w:nsid w:val="25B6620D"/>
    <w:multiLevelType w:val="hybridMultilevel"/>
    <w:tmpl w:val="3BC4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B93DF7"/>
    <w:multiLevelType w:val="hybridMultilevel"/>
    <w:tmpl w:val="9C6ED776"/>
    <w:lvl w:ilvl="0" w:tplc="FF760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323A84"/>
    <w:multiLevelType w:val="hybridMultilevel"/>
    <w:tmpl w:val="786647DA"/>
    <w:lvl w:ilvl="0" w:tplc="11CC0A60">
      <w:start w:val="1"/>
      <w:numFmt w:val="decimal"/>
      <w:lvlText w:val="%1."/>
      <w:lvlJc w:val="left"/>
      <w:pPr>
        <w:ind w:left="1440" w:hanging="735"/>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2" w15:restartNumberingAfterBreak="0">
    <w:nsid w:val="28DA6505"/>
    <w:multiLevelType w:val="hybridMultilevel"/>
    <w:tmpl w:val="B16E4D14"/>
    <w:lvl w:ilvl="0" w:tplc="A202C4B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514E25"/>
    <w:multiLevelType w:val="hybridMultilevel"/>
    <w:tmpl w:val="2FA09A16"/>
    <w:lvl w:ilvl="0" w:tplc="39827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9169AC"/>
    <w:multiLevelType w:val="hybridMultilevel"/>
    <w:tmpl w:val="73FC1E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2C2761A"/>
    <w:multiLevelType w:val="hybridMultilevel"/>
    <w:tmpl w:val="138E854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3A384132"/>
    <w:multiLevelType w:val="hybridMultilevel"/>
    <w:tmpl w:val="D01656A8"/>
    <w:lvl w:ilvl="0" w:tplc="108646CE">
      <w:start w:val="1"/>
      <w:numFmt w:val="low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7" w15:restartNumberingAfterBreak="0">
    <w:nsid w:val="3D82715F"/>
    <w:multiLevelType w:val="hybridMultilevel"/>
    <w:tmpl w:val="910E5B8C"/>
    <w:lvl w:ilvl="0" w:tplc="8C089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DF63E2"/>
    <w:multiLevelType w:val="multilevel"/>
    <w:tmpl w:val="41C6CF58"/>
    <w:lvl w:ilvl="0">
      <w:start w:val="24"/>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3862BE0"/>
    <w:multiLevelType w:val="hybridMultilevel"/>
    <w:tmpl w:val="3864CE80"/>
    <w:lvl w:ilvl="0" w:tplc="8654A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AD739F"/>
    <w:multiLevelType w:val="multilevel"/>
    <w:tmpl w:val="E586E206"/>
    <w:lvl w:ilvl="0">
      <w:start w:val="2"/>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121251E"/>
    <w:multiLevelType w:val="hybridMultilevel"/>
    <w:tmpl w:val="74D4638E"/>
    <w:lvl w:ilvl="0" w:tplc="08EA4C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5294632"/>
    <w:multiLevelType w:val="hybridMultilevel"/>
    <w:tmpl w:val="5D2610DA"/>
    <w:lvl w:ilvl="0" w:tplc="F8649CA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15:restartNumberingAfterBreak="0">
    <w:nsid w:val="56664DA6"/>
    <w:multiLevelType w:val="hybridMultilevel"/>
    <w:tmpl w:val="23EA402E"/>
    <w:lvl w:ilvl="0" w:tplc="8654A99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15:restartNumberingAfterBreak="0">
    <w:nsid w:val="585208AD"/>
    <w:multiLevelType w:val="hybridMultilevel"/>
    <w:tmpl w:val="F7A05B06"/>
    <w:lvl w:ilvl="0" w:tplc="8654A99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5A943731"/>
    <w:multiLevelType w:val="hybridMultilevel"/>
    <w:tmpl w:val="47AAB0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B31244A"/>
    <w:multiLevelType w:val="hybridMultilevel"/>
    <w:tmpl w:val="E1E4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E045DB"/>
    <w:multiLevelType w:val="hybridMultilevel"/>
    <w:tmpl w:val="5E60E658"/>
    <w:lvl w:ilvl="0" w:tplc="248C7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F45B06"/>
    <w:multiLevelType w:val="hybridMultilevel"/>
    <w:tmpl w:val="C938057A"/>
    <w:lvl w:ilvl="0" w:tplc="856AB18C">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9" w15:restartNumberingAfterBreak="0">
    <w:nsid w:val="6EFA3238"/>
    <w:multiLevelType w:val="multilevel"/>
    <w:tmpl w:val="741A99EC"/>
    <w:lvl w:ilvl="0">
      <w:start w:val="1"/>
      <w:numFmt w:val="decimal"/>
      <w:lvlText w:val="%1."/>
      <w:lvlJc w:val="left"/>
      <w:pPr>
        <w:ind w:left="135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0" w15:restartNumberingAfterBreak="0">
    <w:nsid w:val="732D55EB"/>
    <w:multiLevelType w:val="hybridMultilevel"/>
    <w:tmpl w:val="57ACF03E"/>
    <w:lvl w:ilvl="0" w:tplc="EE225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551CA7"/>
    <w:multiLevelType w:val="hybridMultilevel"/>
    <w:tmpl w:val="F9C6E2F4"/>
    <w:lvl w:ilvl="0" w:tplc="A3B2657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57A11C9"/>
    <w:multiLevelType w:val="hybridMultilevel"/>
    <w:tmpl w:val="E0000628"/>
    <w:lvl w:ilvl="0" w:tplc="D9C26624">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611870"/>
    <w:multiLevelType w:val="hybridMultilevel"/>
    <w:tmpl w:val="692E604C"/>
    <w:lvl w:ilvl="0" w:tplc="B3B80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DF38D5"/>
    <w:multiLevelType w:val="hybridMultilevel"/>
    <w:tmpl w:val="B9A0C68E"/>
    <w:lvl w:ilvl="0" w:tplc="5338F6AC">
      <w:start w:val="1"/>
      <w:numFmt w:val="lowerRoman"/>
      <w:lvlText w:val="(%1)"/>
      <w:lvlJc w:val="left"/>
      <w:pPr>
        <w:ind w:left="3555" w:hanging="720"/>
      </w:pPr>
      <w:rPr>
        <w:rFonts w:hint="default"/>
      </w:rPr>
    </w:lvl>
    <w:lvl w:ilvl="1" w:tplc="1C090019" w:tentative="1">
      <w:start w:val="1"/>
      <w:numFmt w:val="lowerLetter"/>
      <w:lvlText w:val="%2."/>
      <w:lvlJc w:val="left"/>
      <w:pPr>
        <w:ind w:left="3915" w:hanging="360"/>
      </w:pPr>
    </w:lvl>
    <w:lvl w:ilvl="2" w:tplc="1C09001B" w:tentative="1">
      <w:start w:val="1"/>
      <w:numFmt w:val="lowerRoman"/>
      <w:lvlText w:val="%3."/>
      <w:lvlJc w:val="right"/>
      <w:pPr>
        <w:ind w:left="4635" w:hanging="180"/>
      </w:pPr>
    </w:lvl>
    <w:lvl w:ilvl="3" w:tplc="1C09000F" w:tentative="1">
      <w:start w:val="1"/>
      <w:numFmt w:val="decimal"/>
      <w:lvlText w:val="%4."/>
      <w:lvlJc w:val="left"/>
      <w:pPr>
        <w:ind w:left="5355" w:hanging="360"/>
      </w:pPr>
    </w:lvl>
    <w:lvl w:ilvl="4" w:tplc="1C090019" w:tentative="1">
      <w:start w:val="1"/>
      <w:numFmt w:val="lowerLetter"/>
      <w:lvlText w:val="%5."/>
      <w:lvlJc w:val="left"/>
      <w:pPr>
        <w:ind w:left="6075" w:hanging="360"/>
      </w:pPr>
    </w:lvl>
    <w:lvl w:ilvl="5" w:tplc="1C09001B" w:tentative="1">
      <w:start w:val="1"/>
      <w:numFmt w:val="lowerRoman"/>
      <w:lvlText w:val="%6."/>
      <w:lvlJc w:val="right"/>
      <w:pPr>
        <w:ind w:left="6795" w:hanging="180"/>
      </w:pPr>
    </w:lvl>
    <w:lvl w:ilvl="6" w:tplc="1C09000F" w:tentative="1">
      <w:start w:val="1"/>
      <w:numFmt w:val="decimal"/>
      <w:lvlText w:val="%7."/>
      <w:lvlJc w:val="left"/>
      <w:pPr>
        <w:ind w:left="7515" w:hanging="360"/>
      </w:pPr>
    </w:lvl>
    <w:lvl w:ilvl="7" w:tplc="1C090019" w:tentative="1">
      <w:start w:val="1"/>
      <w:numFmt w:val="lowerLetter"/>
      <w:lvlText w:val="%8."/>
      <w:lvlJc w:val="left"/>
      <w:pPr>
        <w:ind w:left="8235" w:hanging="360"/>
      </w:pPr>
    </w:lvl>
    <w:lvl w:ilvl="8" w:tplc="1C09001B" w:tentative="1">
      <w:start w:val="1"/>
      <w:numFmt w:val="lowerRoman"/>
      <w:lvlText w:val="%9."/>
      <w:lvlJc w:val="right"/>
      <w:pPr>
        <w:ind w:left="8955" w:hanging="180"/>
      </w:pPr>
    </w:lvl>
  </w:abstractNum>
  <w:abstractNum w:abstractNumId="45" w15:restartNumberingAfterBreak="0">
    <w:nsid w:val="7AD9360D"/>
    <w:multiLevelType w:val="hybridMultilevel"/>
    <w:tmpl w:val="6234BA2E"/>
    <w:lvl w:ilvl="0" w:tplc="00B45626">
      <w:start w:val="2"/>
      <w:numFmt w:val="lowerRoman"/>
      <w:lvlText w:val="(%1)"/>
      <w:lvlJc w:val="left"/>
      <w:pPr>
        <w:ind w:left="1418" w:hanging="720"/>
      </w:pPr>
      <w:rPr>
        <w:rFonts w:hint="default"/>
      </w:rPr>
    </w:lvl>
    <w:lvl w:ilvl="1" w:tplc="1C090019" w:tentative="1">
      <w:start w:val="1"/>
      <w:numFmt w:val="lowerLetter"/>
      <w:lvlText w:val="%2."/>
      <w:lvlJc w:val="left"/>
      <w:pPr>
        <w:ind w:left="1778" w:hanging="360"/>
      </w:pPr>
    </w:lvl>
    <w:lvl w:ilvl="2" w:tplc="1C09001B" w:tentative="1">
      <w:start w:val="1"/>
      <w:numFmt w:val="lowerRoman"/>
      <w:lvlText w:val="%3."/>
      <w:lvlJc w:val="right"/>
      <w:pPr>
        <w:ind w:left="2498" w:hanging="180"/>
      </w:pPr>
    </w:lvl>
    <w:lvl w:ilvl="3" w:tplc="1C09000F" w:tentative="1">
      <w:start w:val="1"/>
      <w:numFmt w:val="decimal"/>
      <w:lvlText w:val="%4."/>
      <w:lvlJc w:val="left"/>
      <w:pPr>
        <w:ind w:left="3218" w:hanging="360"/>
      </w:pPr>
    </w:lvl>
    <w:lvl w:ilvl="4" w:tplc="1C090019" w:tentative="1">
      <w:start w:val="1"/>
      <w:numFmt w:val="lowerLetter"/>
      <w:lvlText w:val="%5."/>
      <w:lvlJc w:val="left"/>
      <w:pPr>
        <w:ind w:left="3938" w:hanging="360"/>
      </w:pPr>
    </w:lvl>
    <w:lvl w:ilvl="5" w:tplc="1C09001B" w:tentative="1">
      <w:start w:val="1"/>
      <w:numFmt w:val="lowerRoman"/>
      <w:lvlText w:val="%6."/>
      <w:lvlJc w:val="right"/>
      <w:pPr>
        <w:ind w:left="4658" w:hanging="180"/>
      </w:pPr>
    </w:lvl>
    <w:lvl w:ilvl="6" w:tplc="1C09000F" w:tentative="1">
      <w:start w:val="1"/>
      <w:numFmt w:val="decimal"/>
      <w:lvlText w:val="%7."/>
      <w:lvlJc w:val="left"/>
      <w:pPr>
        <w:ind w:left="5378" w:hanging="360"/>
      </w:pPr>
    </w:lvl>
    <w:lvl w:ilvl="7" w:tplc="1C090019" w:tentative="1">
      <w:start w:val="1"/>
      <w:numFmt w:val="lowerLetter"/>
      <w:lvlText w:val="%8."/>
      <w:lvlJc w:val="left"/>
      <w:pPr>
        <w:ind w:left="6098" w:hanging="360"/>
      </w:pPr>
    </w:lvl>
    <w:lvl w:ilvl="8" w:tplc="1C09001B" w:tentative="1">
      <w:start w:val="1"/>
      <w:numFmt w:val="lowerRoman"/>
      <w:lvlText w:val="%9."/>
      <w:lvlJc w:val="right"/>
      <w:pPr>
        <w:ind w:left="6818" w:hanging="180"/>
      </w:pPr>
    </w:lvl>
  </w:abstractNum>
  <w:abstractNum w:abstractNumId="46" w15:restartNumberingAfterBreak="0">
    <w:nsid w:val="7D1435E3"/>
    <w:multiLevelType w:val="hybridMultilevel"/>
    <w:tmpl w:val="2104EDBC"/>
    <w:lvl w:ilvl="0" w:tplc="F254135C">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525145015">
    <w:abstractNumId w:val="36"/>
  </w:num>
  <w:num w:numId="2" w16cid:durableId="1579823110">
    <w:abstractNumId w:val="9"/>
  </w:num>
  <w:num w:numId="3" w16cid:durableId="2099790177">
    <w:abstractNumId w:val="2"/>
  </w:num>
  <w:num w:numId="4" w16cid:durableId="500245572">
    <w:abstractNumId w:val="27"/>
  </w:num>
  <w:num w:numId="5" w16cid:durableId="1538615933">
    <w:abstractNumId w:val="41"/>
  </w:num>
  <w:num w:numId="6" w16cid:durableId="2037535418">
    <w:abstractNumId w:val="26"/>
  </w:num>
  <w:num w:numId="7" w16cid:durableId="860321048">
    <w:abstractNumId w:val="37"/>
  </w:num>
  <w:num w:numId="8" w16cid:durableId="932593322">
    <w:abstractNumId w:val="8"/>
  </w:num>
  <w:num w:numId="9" w16cid:durableId="77100723">
    <w:abstractNumId w:val="4"/>
  </w:num>
  <w:num w:numId="10" w16cid:durableId="1276404950">
    <w:abstractNumId w:val="0"/>
  </w:num>
  <w:num w:numId="11" w16cid:durableId="1996252965">
    <w:abstractNumId w:val="7"/>
  </w:num>
  <w:num w:numId="12" w16cid:durableId="434328555">
    <w:abstractNumId w:val="38"/>
  </w:num>
  <w:num w:numId="13" w16cid:durableId="1872916074">
    <w:abstractNumId w:val="11"/>
  </w:num>
  <w:num w:numId="14" w16cid:durableId="1376544508">
    <w:abstractNumId w:val="19"/>
  </w:num>
  <w:num w:numId="15" w16cid:durableId="834347836">
    <w:abstractNumId w:val="14"/>
  </w:num>
  <w:num w:numId="16" w16cid:durableId="246547131">
    <w:abstractNumId w:val="6"/>
  </w:num>
  <w:num w:numId="17" w16cid:durableId="1762490179">
    <w:abstractNumId w:val="16"/>
  </w:num>
  <w:num w:numId="18" w16cid:durableId="1980111134">
    <w:abstractNumId w:val="12"/>
  </w:num>
  <w:num w:numId="19" w16cid:durableId="68961456">
    <w:abstractNumId w:val="42"/>
  </w:num>
  <w:num w:numId="20" w16cid:durableId="299463330">
    <w:abstractNumId w:val="23"/>
  </w:num>
  <w:num w:numId="21" w16cid:durableId="1816137865">
    <w:abstractNumId w:val="22"/>
  </w:num>
  <w:num w:numId="22" w16cid:durableId="347220169">
    <w:abstractNumId w:val="43"/>
  </w:num>
  <w:num w:numId="23" w16cid:durableId="1915700816">
    <w:abstractNumId w:val="5"/>
  </w:num>
  <w:num w:numId="24" w16cid:durableId="2089423906">
    <w:abstractNumId w:val="31"/>
  </w:num>
  <w:num w:numId="25" w16cid:durableId="1999922520">
    <w:abstractNumId w:val="10"/>
  </w:num>
  <w:num w:numId="26" w16cid:durableId="1436443297">
    <w:abstractNumId w:val="39"/>
  </w:num>
  <w:num w:numId="27" w16cid:durableId="2008553051">
    <w:abstractNumId w:val="40"/>
  </w:num>
  <w:num w:numId="28" w16cid:durableId="1484472144">
    <w:abstractNumId w:val="15"/>
  </w:num>
  <w:num w:numId="29" w16cid:durableId="2032222015">
    <w:abstractNumId w:val="25"/>
  </w:num>
  <w:num w:numId="30" w16cid:durableId="1280452608">
    <w:abstractNumId w:val="46"/>
  </w:num>
  <w:num w:numId="31" w16cid:durableId="1119107413">
    <w:abstractNumId w:val="17"/>
  </w:num>
  <w:num w:numId="32" w16cid:durableId="907227004">
    <w:abstractNumId w:val="18"/>
  </w:num>
  <w:num w:numId="33" w16cid:durableId="639698399">
    <w:abstractNumId w:val="44"/>
  </w:num>
  <w:num w:numId="34" w16cid:durableId="191959465">
    <w:abstractNumId w:val="1"/>
  </w:num>
  <w:num w:numId="35" w16cid:durableId="939334537">
    <w:abstractNumId w:val="24"/>
  </w:num>
  <w:num w:numId="36" w16cid:durableId="728654229">
    <w:abstractNumId w:val="21"/>
  </w:num>
  <w:num w:numId="37" w16cid:durableId="597755468">
    <w:abstractNumId w:val="3"/>
  </w:num>
  <w:num w:numId="38" w16cid:durableId="464086034">
    <w:abstractNumId w:val="45"/>
  </w:num>
  <w:num w:numId="39" w16cid:durableId="411971992">
    <w:abstractNumId w:val="30"/>
  </w:num>
  <w:num w:numId="40" w16cid:durableId="1998217343">
    <w:abstractNumId w:val="28"/>
  </w:num>
  <w:num w:numId="41" w16cid:durableId="1273901429">
    <w:abstractNumId w:val="20"/>
  </w:num>
  <w:num w:numId="42" w16cid:durableId="1184048728">
    <w:abstractNumId w:val="29"/>
  </w:num>
  <w:num w:numId="43" w16cid:durableId="1198931523">
    <w:abstractNumId w:val="35"/>
  </w:num>
  <w:num w:numId="44" w16cid:durableId="76945932">
    <w:abstractNumId w:val="13"/>
  </w:num>
  <w:num w:numId="45" w16cid:durableId="628510646">
    <w:abstractNumId w:val="34"/>
  </w:num>
  <w:num w:numId="46" w16cid:durableId="221408753">
    <w:abstractNumId w:val="33"/>
  </w:num>
  <w:num w:numId="47" w16cid:durableId="200397031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712"/>
    <w:rsid w:val="000050DF"/>
    <w:rsid w:val="000056DD"/>
    <w:rsid w:val="00012D8E"/>
    <w:rsid w:val="00012F9A"/>
    <w:rsid w:val="000151D2"/>
    <w:rsid w:val="00017D09"/>
    <w:rsid w:val="000203EA"/>
    <w:rsid w:val="00027252"/>
    <w:rsid w:val="00030D4C"/>
    <w:rsid w:val="00032E14"/>
    <w:rsid w:val="000335A8"/>
    <w:rsid w:val="00034D8B"/>
    <w:rsid w:val="000426B1"/>
    <w:rsid w:val="000443B4"/>
    <w:rsid w:val="00054CA1"/>
    <w:rsid w:val="00055D77"/>
    <w:rsid w:val="00060424"/>
    <w:rsid w:val="00065103"/>
    <w:rsid w:val="00065B89"/>
    <w:rsid w:val="00071968"/>
    <w:rsid w:val="00072413"/>
    <w:rsid w:val="00077C37"/>
    <w:rsid w:val="0008788C"/>
    <w:rsid w:val="000908B3"/>
    <w:rsid w:val="000950EE"/>
    <w:rsid w:val="000A6107"/>
    <w:rsid w:val="000A65D1"/>
    <w:rsid w:val="000B54B4"/>
    <w:rsid w:val="000B648D"/>
    <w:rsid w:val="000C074D"/>
    <w:rsid w:val="000C0F76"/>
    <w:rsid w:val="000C2B11"/>
    <w:rsid w:val="000C319E"/>
    <w:rsid w:val="000C4ED6"/>
    <w:rsid w:val="000C5A04"/>
    <w:rsid w:val="000C705B"/>
    <w:rsid w:val="000D11C7"/>
    <w:rsid w:val="000D51B3"/>
    <w:rsid w:val="000D6360"/>
    <w:rsid w:val="000E0574"/>
    <w:rsid w:val="000E06A7"/>
    <w:rsid w:val="000E493D"/>
    <w:rsid w:val="000E6C15"/>
    <w:rsid w:val="000F0436"/>
    <w:rsid w:val="000F1E04"/>
    <w:rsid w:val="000F39A1"/>
    <w:rsid w:val="000F5E3D"/>
    <w:rsid w:val="000F5E43"/>
    <w:rsid w:val="00101162"/>
    <w:rsid w:val="001015D5"/>
    <w:rsid w:val="00113259"/>
    <w:rsid w:val="00114718"/>
    <w:rsid w:val="00116BEE"/>
    <w:rsid w:val="00123AF3"/>
    <w:rsid w:val="001244BA"/>
    <w:rsid w:val="0013440A"/>
    <w:rsid w:val="0013493D"/>
    <w:rsid w:val="00135D84"/>
    <w:rsid w:val="00136208"/>
    <w:rsid w:val="00140AFD"/>
    <w:rsid w:val="00154232"/>
    <w:rsid w:val="00154629"/>
    <w:rsid w:val="0015567B"/>
    <w:rsid w:val="00161A57"/>
    <w:rsid w:val="001644ED"/>
    <w:rsid w:val="001646E3"/>
    <w:rsid w:val="00166C42"/>
    <w:rsid w:val="0017110F"/>
    <w:rsid w:val="00171EA7"/>
    <w:rsid w:val="00172435"/>
    <w:rsid w:val="0017295B"/>
    <w:rsid w:val="0017384B"/>
    <w:rsid w:val="001738E6"/>
    <w:rsid w:val="00174781"/>
    <w:rsid w:val="00177803"/>
    <w:rsid w:val="00181473"/>
    <w:rsid w:val="00190BAF"/>
    <w:rsid w:val="0019122B"/>
    <w:rsid w:val="00191A8B"/>
    <w:rsid w:val="00195AA8"/>
    <w:rsid w:val="001973B0"/>
    <w:rsid w:val="001973F0"/>
    <w:rsid w:val="001A1D13"/>
    <w:rsid w:val="001A35C8"/>
    <w:rsid w:val="001A46D4"/>
    <w:rsid w:val="001A6DE8"/>
    <w:rsid w:val="001A77BC"/>
    <w:rsid w:val="001B2CEB"/>
    <w:rsid w:val="001B38F6"/>
    <w:rsid w:val="001C5EF1"/>
    <w:rsid w:val="001C5F70"/>
    <w:rsid w:val="001D0702"/>
    <w:rsid w:val="001D35DD"/>
    <w:rsid w:val="001D4B4C"/>
    <w:rsid w:val="001D641E"/>
    <w:rsid w:val="001D7A7E"/>
    <w:rsid w:val="001E0ABD"/>
    <w:rsid w:val="001E2873"/>
    <w:rsid w:val="001E4864"/>
    <w:rsid w:val="001E4978"/>
    <w:rsid w:val="001E6237"/>
    <w:rsid w:val="001F4247"/>
    <w:rsid w:val="00202E8B"/>
    <w:rsid w:val="00203604"/>
    <w:rsid w:val="00206785"/>
    <w:rsid w:val="0021229D"/>
    <w:rsid w:val="00212D43"/>
    <w:rsid w:val="00212E8B"/>
    <w:rsid w:val="0021494B"/>
    <w:rsid w:val="00215D4F"/>
    <w:rsid w:val="00222709"/>
    <w:rsid w:val="00225E79"/>
    <w:rsid w:val="00232AF8"/>
    <w:rsid w:val="00233593"/>
    <w:rsid w:val="00234EC1"/>
    <w:rsid w:val="002474E1"/>
    <w:rsid w:val="00250D0E"/>
    <w:rsid w:val="0025125F"/>
    <w:rsid w:val="00252EDC"/>
    <w:rsid w:val="00255089"/>
    <w:rsid w:val="002553B5"/>
    <w:rsid w:val="00257026"/>
    <w:rsid w:val="0026172A"/>
    <w:rsid w:val="00261D26"/>
    <w:rsid w:val="0026498E"/>
    <w:rsid w:val="00265AC1"/>
    <w:rsid w:val="00265B49"/>
    <w:rsid w:val="00267962"/>
    <w:rsid w:val="00267E61"/>
    <w:rsid w:val="00270527"/>
    <w:rsid w:val="00270C55"/>
    <w:rsid w:val="0027322F"/>
    <w:rsid w:val="00275892"/>
    <w:rsid w:val="0027621D"/>
    <w:rsid w:val="0028553D"/>
    <w:rsid w:val="002907E6"/>
    <w:rsid w:val="00293ACC"/>
    <w:rsid w:val="002C04BD"/>
    <w:rsid w:val="002C1FC2"/>
    <w:rsid w:val="002C227E"/>
    <w:rsid w:val="002C3677"/>
    <w:rsid w:val="002C4248"/>
    <w:rsid w:val="002C50CA"/>
    <w:rsid w:val="002D0250"/>
    <w:rsid w:val="002D0560"/>
    <w:rsid w:val="002D2B44"/>
    <w:rsid w:val="002D2DC7"/>
    <w:rsid w:val="002E456A"/>
    <w:rsid w:val="002E5345"/>
    <w:rsid w:val="002F08F0"/>
    <w:rsid w:val="002F3C81"/>
    <w:rsid w:val="002F3FB6"/>
    <w:rsid w:val="002F7D3A"/>
    <w:rsid w:val="00301690"/>
    <w:rsid w:val="00301DEC"/>
    <w:rsid w:val="003114FE"/>
    <w:rsid w:val="00312D39"/>
    <w:rsid w:val="00317D01"/>
    <w:rsid w:val="003243BC"/>
    <w:rsid w:val="00324C23"/>
    <w:rsid w:val="00330168"/>
    <w:rsid w:val="003301DB"/>
    <w:rsid w:val="00335379"/>
    <w:rsid w:val="00335797"/>
    <w:rsid w:val="003401D3"/>
    <w:rsid w:val="00345847"/>
    <w:rsid w:val="00353A17"/>
    <w:rsid w:val="0035463F"/>
    <w:rsid w:val="003555C6"/>
    <w:rsid w:val="00360A85"/>
    <w:rsid w:val="003660A0"/>
    <w:rsid w:val="0036696C"/>
    <w:rsid w:val="00366A5D"/>
    <w:rsid w:val="00371205"/>
    <w:rsid w:val="00371B6E"/>
    <w:rsid w:val="00373334"/>
    <w:rsid w:val="00377FB3"/>
    <w:rsid w:val="0038409F"/>
    <w:rsid w:val="00390931"/>
    <w:rsid w:val="00395F8D"/>
    <w:rsid w:val="0039733A"/>
    <w:rsid w:val="003A0BBD"/>
    <w:rsid w:val="003A28E3"/>
    <w:rsid w:val="003A292A"/>
    <w:rsid w:val="003A2D54"/>
    <w:rsid w:val="003A4A50"/>
    <w:rsid w:val="003A63BD"/>
    <w:rsid w:val="003A7D4E"/>
    <w:rsid w:val="003B061F"/>
    <w:rsid w:val="003B306C"/>
    <w:rsid w:val="003B45FF"/>
    <w:rsid w:val="003B461B"/>
    <w:rsid w:val="003C10AD"/>
    <w:rsid w:val="003C23AF"/>
    <w:rsid w:val="003C3002"/>
    <w:rsid w:val="003C5421"/>
    <w:rsid w:val="003C62E4"/>
    <w:rsid w:val="003D27AA"/>
    <w:rsid w:val="003D7C0A"/>
    <w:rsid w:val="003E1123"/>
    <w:rsid w:val="003E3379"/>
    <w:rsid w:val="003E3D9A"/>
    <w:rsid w:val="003E52E0"/>
    <w:rsid w:val="003F5C5F"/>
    <w:rsid w:val="00402032"/>
    <w:rsid w:val="004026E8"/>
    <w:rsid w:val="004032A5"/>
    <w:rsid w:val="00406B4C"/>
    <w:rsid w:val="00410198"/>
    <w:rsid w:val="0041472C"/>
    <w:rsid w:val="0041555E"/>
    <w:rsid w:val="00416416"/>
    <w:rsid w:val="004169A7"/>
    <w:rsid w:val="00420A3B"/>
    <w:rsid w:val="00421449"/>
    <w:rsid w:val="00421BB0"/>
    <w:rsid w:val="00423B4F"/>
    <w:rsid w:val="0042765C"/>
    <w:rsid w:val="00427BC7"/>
    <w:rsid w:val="00430CF7"/>
    <w:rsid w:val="004314E6"/>
    <w:rsid w:val="00431C6D"/>
    <w:rsid w:val="0043332A"/>
    <w:rsid w:val="0043404C"/>
    <w:rsid w:val="00442743"/>
    <w:rsid w:val="0044373E"/>
    <w:rsid w:val="00445F0E"/>
    <w:rsid w:val="00446464"/>
    <w:rsid w:val="0045561C"/>
    <w:rsid w:val="00455681"/>
    <w:rsid w:val="0045728B"/>
    <w:rsid w:val="00462FE0"/>
    <w:rsid w:val="004643E5"/>
    <w:rsid w:val="00465752"/>
    <w:rsid w:val="00465EAB"/>
    <w:rsid w:val="00466472"/>
    <w:rsid w:val="00470647"/>
    <w:rsid w:val="00471F7E"/>
    <w:rsid w:val="00480323"/>
    <w:rsid w:val="00482EAA"/>
    <w:rsid w:val="00486796"/>
    <w:rsid w:val="00490D0C"/>
    <w:rsid w:val="00491BF8"/>
    <w:rsid w:val="0049225D"/>
    <w:rsid w:val="004924ED"/>
    <w:rsid w:val="004A1A41"/>
    <w:rsid w:val="004A4629"/>
    <w:rsid w:val="004A686F"/>
    <w:rsid w:val="004A68B6"/>
    <w:rsid w:val="004C4137"/>
    <w:rsid w:val="004C7CBC"/>
    <w:rsid w:val="004D08DA"/>
    <w:rsid w:val="004D0ADA"/>
    <w:rsid w:val="004D2D9E"/>
    <w:rsid w:val="004E0141"/>
    <w:rsid w:val="004E1D79"/>
    <w:rsid w:val="004E4059"/>
    <w:rsid w:val="004E797E"/>
    <w:rsid w:val="004E7D39"/>
    <w:rsid w:val="004F13E8"/>
    <w:rsid w:val="004F4659"/>
    <w:rsid w:val="004F602A"/>
    <w:rsid w:val="004F66F0"/>
    <w:rsid w:val="00500CF6"/>
    <w:rsid w:val="00506610"/>
    <w:rsid w:val="00514A73"/>
    <w:rsid w:val="00514B86"/>
    <w:rsid w:val="00517AEC"/>
    <w:rsid w:val="00520828"/>
    <w:rsid w:val="00520A5E"/>
    <w:rsid w:val="005259DF"/>
    <w:rsid w:val="005264DB"/>
    <w:rsid w:val="00530D38"/>
    <w:rsid w:val="00531CFE"/>
    <w:rsid w:val="00532772"/>
    <w:rsid w:val="00534008"/>
    <w:rsid w:val="00536E3F"/>
    <w:rsid w:val="005450C4"/>
    <w:rsid w:val="00556530"/>
    <w:rsid w:val="00557B1F"/>
    <w:rsid w:val="00557F2E"/>
    <w:rsid w:val="00562DAF"/>
    <w:rsid w:val="00564690"/>
    <w:rsid w:val="00564AA1"/>
    <w:rsid w:val="00570D57"/>
    <w:rsid w:val="00570D69"/>
    <w:rsid w:val="00573B8D"/>
    <w:rsid w:val="00574A74"/>
    <w:rsid w:val="005807E4"/>
    <w:rsid w:val="00582912"/>
    <w:rsid w:val="00585667"/>
    <w:rsid w:val="0058633C"/>
    <w:rsid w:val="00594B41"/>
    <w:rsid w:val="005A08B9"/>
    <w:rsid w:val="005A3C44"/>
    <w:rsid w:val="005A43F0"/>
    <w:rsid w:val="005A7EB6"/>
    <w:rsid w:val="005B1FB0"/>
    <w:rsid w:val="005B3865"/>
    <w:rsid w:val="005B4210"/>
    <w:rsid w:val="005B4527"/>
    <w:rsid w:val="005B5141"/>
    <w:rsid w:val="005B680A"/>
    <w:rsid w:val="005B6FD9"/>
    <w:rsid w:val="005C2370"/>
    <w:rsid w:val="005C294F"/>
    <w:rsid w:val="005C5860"/>
    <w:rsid w:val="005C6E3F"/>
    <w:rsid w:val="005D3F48"/>
    <w:rsid w:val="005D5D82"/>
    <w:rsid w:val="005D6041"/>
    <w:rsid w:val="005D68F4"/>
    <w:rsid w:val="005E28B4"/>
    <w:rsid w:val="005E30D5"/>
    <w:rsid w:val="005E3BDD"/>
    <w:rsid w:val="005E5164"/>
    <w:rsid w:val="005E7A23"/>
    <w:rsid w:val="005F0241"/>
    <w:rsid w:val="005F3B48"/>
    <w:rsid w:val="005F6976"/>
    <w:rsid w:val="006001C9"/>
    <w:rsid w:val="0060091A"/>
    <w:rsid w:val="00604BAC"/>
    <w:rsid w:val="00607B89"/>
    <w:rsid w:val="006136BD"/>
    <w:rsid w:val="00613D05"/>
    <w:rsid w:val="00614423"/>
    <w:rsid w:val="00614983"/>
    <w:rsid w:val="00616C24"/>
    <w:rsid w:val="00622012"/>
    <w:rsid w:val="00623669"/>
    <w:rsid w:val="00636B02"/>
    <w:rsid w:val="006373D0"/>
    <w:rsid w:val="006404C1"/>
    <w:rsid w:val="006423F6"/>
    <w:rsid w:val="006506DE"/>
    <w:rsid w:val="006545D0"/>
    <w:rsid w:val="00654A1C"/>
    <w:rsid w:val="00655606"/>
    <w:rsid w:val="00671A08"/>
    <w:rsid w:val="00672DC9"/>
    <w:rsid w:val="006762D5"/>
    <w:rsid w:val="00677512"/>
    <w:rsid w:val="006826B1"/>
    <w:rsid w:val="00683B35"/>
    <w:rsid w:val="00687B8D"/>
    <w:rsid w:val="00690143"/>
    <w:rsid w:val="006964BD"/>
    <w:rsid w:val="00697DF4"/>
    <w:rsid w:val="006A1E3D"/>
    <w:rsid w:val="006A4122"/>
    <w:rsid w:val="006C3CEC"/>
    <w:rsid w:val="006C6D3F"/>
    <w:rsid w:val="006D1583"/>
    <w:rsid w:val="006D2E2E"/>
    <w:rsid w:val="006D32DE"/>
    <w:rsid w:val="006D3968"/>
    <w:rsid w:val="006D6177"/>
    <w:rsid w:val="006D6870"/>
    <w:rsid w:val="006E0FA1"/>
    <w:rsid w:val="006E116F"/>
    <w:rsid w:val="006E22C9"/>
    <w:rsid w:val="006E7C7E"/>
    <w:rsid w:val="006F2401"/>
    <w:rsid w:val="006F3114"/>
    <w:rsid w:val="006F3164"/>
    <w:rsid w:val="006F359F"/>
    <w:rsid w:val="006F4D06"/>
    <w:rsid w:val="006F7CA3"/>
    <w:rsid w:val="0070074D"/>
    <w:rsid w:val="007008DD"/>
    <w:rsid w:val="007039B2"/>
    <w:rsid w:val="0070533F"/>
    <w:rsid w:val="00705BBA"/>
    <w:rsid w:val="00707D43"/>
    <w:rsid w:val="00714A3E"/>
    <w:rsid w:val="00737051"/>
    <w:rsid w:val="0073788F"/>
    <w:rsid w:val="00737E53"/>
    <w:rsid w:val="0074091C"/>
    <w:rsid w:val="00740B8A"/>
    <w:rsid w:val="007417B9"/>
    <w:rsid w:val="0074364A"/>
    <w:rsid w:val="00747452"/>
    <w:rsid w:val="00747494"/>
    <w:rsid w:val="00750CE9"/>
    <w:rsid w:val="00753705"/>
    <w:rsid w:val="007544E9"/>
    <w:rsid w:val="00756B3C"/>
    <w:rsid w:val="00760A86"/>
    <w:rsid w:val="00762595"/>
    <w:rsid w:val="007635BC"/>
    <w:rsid w:val="00766C13"/>
    <w:rsid w:val="0076702F"/>
    <w:rsid w:val="007718F3"/>
    <w:rsid w:val="00774B96"/>
    <w:rsid w:val="00776FAF"/>
    <w:rsid w:val="007815F8"/>
    <w:rsid w:val="00781DCE"/>
    <w:rsid w:val="00782B8E"/>
    <w:rsid w:val="00787637"/>
    <w:rsid w:val="00794440"/>
    <w:rsid w:val="007946AA"/>
    <w:rsid w:val="00797F4E"/>
    <w:rsid w:val="007A19F8"/>
    <w:rsid w:val="007A75FD"/>
    <w:rsid w:val="007B29D2"/>
    <w:rsid w:val="007B35CE"/>
    <w:rsid w:val="007B3E4F"/>
    <w:rsid w:val="007B6882"/>
    <w:rsid w:val="007C1832"/>
    <w:rsid w:val="007C6D0C"/>
    <w:rsid w:val="007C7059"/>
    <w:rsid w:val="007D14AC"/>
    <w:rsid w:val="007D275A"/>
    <w:rsid w:val="007D46E3"/>
    <w:rsid w:val="007D6AFF"/>
    <w:rsid w:val="007E0FA9"/>
    <w:rsid w:val="007E1992"/>
    <w:rsid w:val="007F571B"/>
    <w:rsid w:val="007F594E"/>
    <w:rsid w:val="007F6E96"/>
    <w:rsid w:val="007F737D"/>
    <w:rsid w:val="008015C3"/>
    <w:rsid w:val="0080196B"/>
    <w:rsid w:val="0080488D"/>
    <w:rsid w:val="0080731A"/>
    <w:rsid w:val="008100B9"/>
    <w:rsid w:val="00810317"/>
    <w:rsid w:val="00810333"/>
    <w:rsid w:val="00813FFF"/>
    <w:rsid w:val="00814BD5"/>
    <w:rsid w:val="008168DF"/>
    <w:rsid w:val="00816C7C"/>
    <w:rsid w:val="00820C53"/>
    <w:rsid w:val="0082146A"/>
    <w:rsid w:val="00822C36"/>
    <w:rsid w:val="008307F0"/>
    <w:rsid w:val="00831D8F"/>
    <w:rsid w:val="00833C14"/>
    <w:rsid w:val="0083499D"/>
    <w:rsid w:val="00840C58"/>
    <w:rsid w:val="00850843"/>
    <w:rsid w:val="008521EA"/>
    <w:rsid w:val="008543D6"/>
    <w:rsid w:val="00861369"/>
    <w:rsid w:val="0086345B"/>
    <w:rsid w:val="00864D46"/>
    <w:rsid w:val="008653DA"/>
    <w:rsid w:val="00867E5A"/>
    <w:rsid w:val="00871918"/>
    <w:rsid w:val="0087504D"/>
    <w:rsid w:val="00882821"/>
    <w:rsid w:val="00883C2F"/>
    <w:rsid w:val="00884583"/>
    <w:rsid w:val="0088462B"/>
    <w:rsid w:val="00884740"/>
    <w:rsid w:val="00886280"/>
    <w:rsid w:val="0088784D"/>
    <w:rsid w:val="00890402"/>
    <w:rsid w:val="008A4115"/>
    <w:rsid w:val="008A51FB"/>
    <w:rsid w:val="008B0909"/>
    <w:rsid w:val="008B1165"/>
    <w:rsid w:val="008B6B15"/>
    <w:rsid w:val="008C31B3"/>
    <w:rsid w:val="008C4C1D"/>
    <w:rsid w:val="008C5045"/>
    <w:rsid w:val="008C654D"/>
    <w:rsid w:val="008C680E"/>
    <w:rsid w:val="008D14F7"/>
    <w:rsid w:val="008D1E14"/>
    <w:rsid w:val="008D6B55"/>
    <w:rsid w:val="008D6CE9"/>
    <w:rsid w:val="008D7AE9"/>
    <w:rsid w:val="008E2585"/>
    <w:rsid w:val="008E7FF9"/>
    <w:rsid w:val="008F204B"/>
    <w:rsid w:val="008F22A3"/>
    <w:rsid w:val="008F276B"/>
    <w:rsid w:val="008F598B"/>
    <w:rsid w:val="008F6F82"/>
    <w:rsid w:val="0090365D"/>
    <w:rsid w:val="0091440B"/>
    <w:rsid w:val="009173BB"/>
    <w:rsid w:val="009177A0"/>
    <w:rsid w:val="00935DA8"/>
    <w:rsid w:val="00936D44"/>
    <w:rsid w:val="00943CCD"/>
    <w:rsid w:val="009444FB"/>
    <w:rsid w:val="00947692"/>
    <w:rsid w:val="00947A48"/>
    <w:rsid w:val="00951146"/>
    <w:rsid w:val="00955B59"/>
    <w:rsid w:val="00956B81"/>
    <w:rsid w:val="00957E6F"/>
    <w:rsid w:val="009653F8"/>
    <w:rsid w:val="00967263"/>
    <w:rsid w:val="009672D4"/>
    <w:rsid w:val="00967F66"/>
    <w:rsid w:val="00970B6B"/>
    <w:rsid w:val="00971F56"/>
    <w:rsid w:val="00975E1C"/>
    <w:rsid w:val="00980C94"/>
    <w:rsid w:val="00980E41"/>
    <w:rsid w:val="009811CF"/>
    <w:rsid w:val="00986FBE"/>
    <w:rsid w:val="009900E7"/>
    <w:rsid w:val="009905D2"/>
    <w:rsid w:val="00991667"/>
    <w:rsid w:val="00992CD7"/>
    <w:rsid w:val="009943FD"/>
    <w:rsid w:val="00994872"/>
    <w:rsid w:val="00994D07"/>
    <w:rsid w:val="00997143"/>
    <w:rsid w:val="009A1183"/>
    <w:rsid w:val="009A1845"/>
    <w:rsid w:val="009A2E1E"/>
    <w:rsid w:val="009A39AC"/>
    <w:rsid w:val="009B0523"/>
    <w:rsid w:val="009C07E3"/>
    <w:rsid w:val="009C11DC"/>
    <w:rsid w:val="009C1E4F"/>
    <w:rsid w:val="009C2BE2"/>
    <w:rsid w:val="009C2CB0"/>
    <w:rsid w:val="009C386D"/>
    <w:rsid w:val="009D3434"/>
    <w:rsid w:val="009D6BF9"/>
    <w:rsid w:val="009D72B2"/>
    <w:rsid w:val="009E6EA7"/>
    <w:rsid w:val="009E70DD"/>
    <w:rsid w:val="009F01C7"/>
    <w:rsid w:val="009F0204"/>
    <w:rsid w:val="00A030FF"/>
    <w:rsid w:val="00A04AD1"/>
    <w:rsid w:val="00A14021"/>
    <w:rsid w:val="00A152C2"/>
    <w:rsid w:val="00A21878"/>
    <w:rsid w:val="00A24AF1"/>
    <w:rsid w:val="00A3295D"/>
    <w:rsid w:val="00A33365"/>
    <w:rsid w:val="00A35967"/>
    <w:rsid w:val="00A400B5"/>
    <w:rsid w:val="00A42646"/>
    <w:rsid w:val="00A42C86"/>
    <w:rsid w:val="00A43B45"/>
    <w:rsid w:val="00A43C74"/>
    <w:rsid w:val="00A4495A"/>
    <w:rsid w:val="00A44BA9"/>
    <w:rsid w:val="00A44E78"/>
    <w:rsid w:val="00A455D2"/>
    <w:rsid w:val="00A460B4"/>
    <w:rsid w:val="00A46822"/>
    <w:rsid w:val="00A53FB4"/>
    <w:rsid w:val="00A54073"/>
    <w:rsid w:val="00A5583D"/>
    <w:rsid w:val="00A613EA"/>
    <w:rsid w:val="00A63189"/>
    <w:rsid w:val="00A66293"/>
    <w:rsid w:val="00A66C20"/>
    <w:rsid w:val="00A7280E"/>
    <w:rsid w:val="00A7350E"/>
    <w:rsid w:val="00A778EC"/>
    <w:rsid w:val="00A817EC"/>
    <w:rsid w:val="00A8292B"/>
    <w:rsid w:val="00A83C06"/>
    <w:rsid w:val="00A858E6"/>
    <w:rsid w:val="00A920DA"/>
    <w:rsid w:val="00A9267E"/>
    <w:rsid w:val="00A92859"/>
    <w:rsid w:val="00A94C08"/>
    <w:rsid w:val="00A9586C"/>
    <w:rsid w:val="00A95AA3"/>
    <w:rsid w:val="00AA1DEF"/>
    <w:rsid w:val="00AA4861"/>
    <w:rsid w:val="00AA7348"/>
    <w:rsid w:val="00AA7F1B"/>
    <w:rsid w:val="00AB42A1"/>
    <w:rsid w:val="00AB5115"/>
    <w:rsid w:val="00AB558F"/>
    <w:rsid w:val="00AC042F"/>
    <w:rsid w:val="00AC3E30"/>
    <w:rsid w:val="00AC693D"/>
    <w:rsid w:val="00AC6A9B"/>
    <w:rsid w:val="00AD0947"/>
    <w:rsid w:val="00AD2219"/>
    <w:rsid w:val="00AD5720"/>
    <w:rsid w:val="00AD5A8B"/>
    <w:rsid w:val="00AD6AEF"/>
    <w:rsid w:val="00AE71C2"/>
    <w:rsid w:val="00AF6921"/>
    <w:rsid w:val="00B05DBA"/>
    <w:rsid w:val="00B07399"/>
    <w:rsid w:val="00B07C7A"/>
    <w:rsid w:val="00B11039"/>
    <w:rsid w:val="00B1135A"/>
    <w:rsid w:val="00B14237"/>
    <w:rsid w:val="00B22D89"/>
    <w:rsid w:val="00B22F37"/>
    <w:rsid w:val="00B26106"/>
    <w:rsid w:val="00B266CC"/>
    <w:rsid w:val="00B27395"/>
    <w:rsid w:val="00B31609"/>
    <w:rsid w:val="00B32D84"/>
    <w:rsid w:val="00B33182"/>
    <w:rsid w:val="00B33EAF"/>
    <w:rsid w:val="00B34948"/>
    <w:rsid w:val="00B36FDD"/>
    <w:rsid w:val="00B403F8"/>
    <w:rsid w:val="00B4276E"/>
    <w:rsid w:val="00B44B69"/>
    <w:rsid w:val="00B466C2"/>
    <w:rsid w:val="00B538A6"/>
    <w:rsid w:val="00B57845"/>
    <w:rsid w:val="00B6019A"/>
    <w:rsid w:val="00B63973"/>
    <w:rsid w:val="00B6794C"/>
    <w:rsid w:val="00B67E26"/>
    <w:rsid w:val="00B7409A"/>
    <w:rsid w:val="00B76B8F"/>
    <w:rsid w:val="00B77F9B"/>
    <w:rsid w:val="00B80ECC"/>
    <w:rsid w:val="00B85DB2"/>
    <w:rsid w:val="00B869DA"/>
    <w:rsid w:val="00B94AA7"/>
    <w:rsid w:val="00BA2238"/>
    <w:rsid w:val="00BA33EB"/>
    <w:rsid w:val="00BA3EB5"/>
    <w:rsid w:val="00BA52DD"/>
    <w:rsid w:val="00BB1B5D"/>
    <w:rsid w:val="00BB74BA"/>
    <w:rsid w:val="00BB7DCD"/>
    <w:rsid w:val="00BC420D"/>
    <w:rsid w:val="00BD18D4"/>
    <w:rsid w:val="00BD2D2F"/>
    <w:rsid w:val="00BD382D"/>
    <w:rsid w:val="00BD5547"/>
    <w:rsid w:val="00BD6C32"/>
    <w:rsid w:val="00BD7C87"/>
    <w:rsid w:val="00BE271A"/>
    <w:rsid w:val="00BE3B16"/>
    <w:rsid w:val="00BE3E73"/>
    <w:rsid w:val="00BE5221"/>
    <w:rsid w:val="00BF1BEE"/>
    <w:rsid w:val="00BF3060"/>
    <w:rsid w:val="00BF481F"/>
    <w:rsid w:val="00BF587A"/>
    <w:rsid w:val="00BF71A8"/>
    <w:rsid w:val="00C03AC8"/>
    <w:rsid w:val="00C06A6C"/>
    <w:rsid w:val="00C120AE"/>
    <w:rsid w:val="00C13593"/>
    <w:rsid w:val="00C13FBD"/>
    <w:rsid w:val="00C151E1"/>
    <w:rsid w:val="00C15C9D"/>
    <w:rsid w:val="00C167C8"/>
    <w:rsid w:val="00C16CD1"/>
    <w:rsid w:val="00C210C7"/>
    <w:rsid w:val="00C219D4"/>
    <w:rsid w:val="00C23D00"/>
    <w:rsid w:val="00C272A8"/>
    <w:rsid w:val="00C455CC"/>
    <w:rsid w:val="00C46168"/>
    <w:rsid w:val="00C461FF"/>
    <w:rsid w:val="00C4694F"/>
    <w:rsid w:val="00C50848"/>
    <w:rsid w:val="00C55060"/>
    <w:rsid w:val="00C5570B"/>
    <w:rsid w:val="00C57E2D"/>
    <w:rsid w:val="00C57F0A"/>
    <w:rsid w:val="00C648E9"/>
    <w:rsid w:val="00C720E7"/>
    <w:rsid w:val="00C75400"/>
    <w:rsid w:val="00C822E1"/>
    <w:rsid w:val="00C83142"/>
    <w:rsid w:val="00C8728C"/>
    <w:rsid w:val="00C90B7B"/>
    <w:rsid w:val="00C92C8B"/>
    <w:rsid w:val="00C92F68"/>
    <w:rsid w:val="00C94565"/>
    <w:rsid w:val="00C9778B"/>
    <w:rsid w:val="00C97E9D"/>
    <w:rsid w:val="00CA3953"/>
    <w:rsid w:val="00CA4248"/>
    <w:rsid w:val="00CB0991"/>
    <w:rsid w:val="00CC4A57"/>
    <w:rsid w:val="00CD0013"/>
    <w:rsid w:val="00CD0297"/>
    <w:rsid w:val="00CD1578"/>
    <w:rsid w:val="00CD1F66"/>
    <w:rsid w:val="00CD3009"/>
    <w:rsid w:val="00CE1A05"/>
    <w:rsid w:val="00CE56C4"/>
    <w:rsid w:val="00CF70CA"/>
    <w:rsid w:val="00CF7969"/>
    <w:rsid w:val="00D0303F"/>
    <w:rsid w:val="00D033C2"/>
    <w:rsid w:val="00D03CC8"/>
    <w:rsid w:val="00D0579D"/>
    <w:rsid w:val="00D127FC"/>
    <w:rsid w:val="00D13378"/>
    <w:rsid w:val="00D17327"/>
    <w:rsid w:val="00D21C3F"/>
    <w:rsid w:val="00D21E6C"/>
    <w:rsid w:val="00D22B57"/>
    <w:rsid w:val="00D22F0C"/>
    <w:rsid w:val="00D23871"/>
    <w:rsid w:val="00D24512"/>
    <w:rsid w:val="00D309CF"/>
    <w:rsid w:val="00D36262"/>
    <w:rsid w:val="00D42933"/>
    <w:rsid w:val="00D4343C"/>
    <w:rsid w:val="00D43CE4"/>
    <w:rsid w:val="00D46C30"/>
    <w:rsid w:val="00D47D46"/>
    <w:rsid w:val="00D51C6C"/>
    <w:rsid w:val="00D5334C"/>
    <w:rsid w:val="00D53799"/>
    <w:rsid w:val="00D53806"/>
    <w:rsid w:val="00D539A6"/>
    <w:rsid w:val="00D558AE"/>
    <w:rsid w:val="00D612BC"/>
    <w:rsid w:val="00D62B0B"/>
    <w:rsid w:val="00D7249C"/>
    <w:rsid w:val="00D73C33"/>
    <w:rsid w:val="00D75F0D"/>
    <w:rsid w:val="00D75FDB"/>
    <w:rsid w:val="00D82466"/>
    <w:rsid w:val="00D83A13"/>
    <w:rsid w:val="00D84F10"/>
    <w:rsid w:val="00D866A9"/>
    <w:rsid w:val="00D86BD4"/>
    <w:rsid w:val="00D92541"/>
    <w:rsid w:val="00D930C0"/>
    <w:rsid w:val="00D9359E"/>
    <w:rsid w:val="00D93CB4"/>
    <w:rsid w:val="00D97179"/>
    <w:rsid w:val="00DA0644"/>
    <w:rsid w:val="00DA1305"/>
    <w:rsid w:val="00DA7E4D"/>
    <w:rsid w:val="00DB103E"/>
    <w:rsid w:val="00DB6253"/>
    <w:rsid w:val="00DC0C60"/>
    <w:rsid w:val="00DC314D"/>
    <w:rsid w:val="00DD1168"/>
    <w:rsid w:val="00DD4863"/>
    <w:rsid w:val="00DD5ABA"/>
    <w:rsid w:val="00DE2C28"/>
    <w:rsid w:val="00DE6D95"/>
    <w:rsid w:val="00DE7ABA"/>
    <w:rsid w:val="00DF0C9E"/>
    <w:rsid w:val="00DF4388"/>
    <w:rsid w:val="00E01B17"/>
    <w:rsid w:val="00E049B5"/>
    <w:rsid w:val="00E053BB"/>
    <w:rsid w:val="00E11255"/>
    <w:rsid w:val="00E16803"/>
    <w:rsid w:val="00E17B31"/>
    <w:rsid w:val="00E20870"/>
    <w:rsid w:val="00E239EA"/>
    <w:rsid w:val="00E23AEF"/>
    <w:rsid w:val="00E2441D"/>
    <w:rsid w:val="00E326EE"/>
    <w:rsid w:val="00E341CC"/>
    <w:rsid w:val="00E3554F"/>
    <w:rsid w:val="00E42110"/>
    <w:rsid w:val="00E43C3B"/>
    <w:rsid w:val="00E44718"/>
    <w:rsid w:val="00E44F60"/>
    <w:rsid w:val="00E4679E"/>
    <w:rsid w:val="00E476ED"/>
    <w:rsid w:val="00E533A7"/>
    <w:rsid w:val="00E54AD8"/>
    <w:rsid w:val="00E55E04"/>
    <w:rsid w:val="00E611A7"/>
    <w:rsid w:val="00E61889"/>
    <w:rsid w:val="00E61DC7"/>
    <w:rsid w:val="00E6587D"/>
    <w:rsid w:val="00E67342"/>
    <w:rsid w:val="00E71781"/>
    <w:rsid w:val="00E71DFE"/>
    <w:rsid w:val="00E71F7C"/>
    <w:rsid w:val="00E74A2C"/>
    <w:rsid w:val="00E80D1C"/>
    <w:rsid w:val="00E8375E"/>
    <w:rsid w:val="00E852D6"/>
    <w:rsid w:val="00E85692"/>
    <w:rsid w:val="00E91E4A"/>
    <w:rsid w:val="00E9294B"/>
    <w:rsid w:val="00E977F6"/>
    <w:rsid w:val="00EA283D"/>
    <w:rsid w:val="00EA30E1"/>
    <w:rsid w:val="00EA3D2E"/>
    <w:rsid w:val="00EA524A"/>
    <w:rsid w:val="00EB0259"/>
    <w:rsid w:val="00EB15BF"/>
    <w:rsid w:val="00EB4727"/>
    <w:rsid w:val="00EB6328"/>
    <w:rsid w:val="00EB67CF"/>
    <w:rsid w:val="00EC35E4"/>
    <w:rsid w:val="00EC4E70"/>
    <w:rsid w:val="00EC7158"/>
    <w:rsid w:val="00ED22AD"/>
    <w:rsid w:val="00ED3082"/>
    <w:rsid w:val="00ED4960"/>
    <w:rsid w:val="00ED5E15"/>
    <w:rsid w:val="00ED6E0B"/>
    <w:rsid w:val="00EE20D5"/>
    <w:rsid w:val="00EE5FF2"/>
    <w:rsid w:val="00EE6158"/>
    <w:rsid w:val="00EF58F8"/>
    <w:rsid w:val="00EF5FF5"/>
    <w:rsid w:val="00F01DB5"/>
    <w:rsid w:val="00F03AEB"/>
    <w:rsid w:val="00F04842"/>
    <w:rsid w:val="00F04BA6"/>
    <w:rsid w:val="00F11FDD"/>
    <w:rsid w:val="00F135E1"/>
    <w:rsid w:val="00F178EE"/>
    <w:rsid w:val="00F230C4"/>
    <w:rsid w:val="00F23C14"/>
    <w:rsid w:val="00F33815"/>
    <w:rsid w:val="00F342B7"/>
    <w:rsid w:val="00F34C87"/>
    <w:rsid w:val="00F43057"/>
    <w:rsid w:val="00F5063E"/>
    <w:rsid w:val="00F566FE"/>
    <w:rsid w:val="00F56D4C"/>
    <w:rsid w:val="00F60601"/>
    <w:rsid w:val="00F6154D"/>
    <w:rsid w:val="00F6735C"/>
    <w:rsid w:val="00F70C9D"/>
    <w:rsid w:val="00F711E6"/>
    <w:rsid w:val="00F7287F"/>
    <w:rsid w:val="00F74879"/>
    <w:rsid w:val="00F75986"/>
    <w:rsid w:val="00F77238"/>
    <w:rsid w:val="00F779A3"/>
    <w:rsid w:val="00F84737"/>
    <w:rsid w:val="00F8730E"/>
    <w:rsid w:val="00F90DE2"/>
    <w:rsid w:val="00F95665"/>
    <w:rsid w:val="00F95AC1"/>
    <w:rsid w:val="00FA1F52"/>
    <w:rsid w:val="00FA4039"/>
    <w:rsid w:val="00FA61C8"/>
    <w:rsid w:val="00FB68D5"/>
    <w:rsid w:val="00FB78DB"/>
    <w:rsid w:val="00FC2028"/>
    <w:rsid w:val="00FC6063"/>
    <w:rsid w:val="00FD2ED1"/>
    <w:rsid w:val="00FE0880"/>
    <w:rsid w:val="00FE2481"/>
    <w:rsid w:val="00FE2EEB"/>
    <w:rsid w:val="00FE7836"/>
    <w:rsid w:val="00FF053C"/>
    <w:rsid w:val="00FF1FAC"/>
    <w:rsid w:val="00FF2FB5"/>
    <w:rsid w:val="00FF3BE5"/>
    <w:rsid w:val="00FF47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5837"/>
  <w15:docId w15:val="{F081D641-1A92-4746-B516-C3C851D5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semiHidden/>
    <w:unhideWhenUsed/>
    <w:rsid w:val="00F74879"/>
    <w:pPr>
      <w:spacing w:after="0" w:line="240" w:lineRule="auto"/>
    </w:pPr>
    <w:rPr>
      <w:sz w:val="20"/>
      <w:szCs w:val="20"/>
    </w:rPr>
  </w:style>
  <w:style w:type="character" w:customStyle="1" w:styleId="FootnoteTextChar">
    <w:name w:val="Footnote Text Char"/>
    <w:link w:val="FootnoteText"/>
    <w:uiPriority w:val="99"/>
    <w:semiHidden/>
    <w:rsid w:val="00F74879"/>
    <w:rPr>
      <w:sz w:val="20"/>
      <w:szCs w:val="20"/>
    </w:rPr>
  </w:style>
  <w:style w:type="character" w:styleId="FootnoteReference">
    <w:name w:val="footnote reference"/>
    <w:uiPriority w:val="99"/>
    <w:semiHidden/>
    <w:unhideWhenUsed/>
    <w:rsid w:val="00F74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2023-07-25T18:30:00+00:00</Judgment_x0020_Date>
    <Year xmlns="63bdd487-88aa-4c54-b893-ddaa81ed2e7c">2023</Yea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624E2-456A-4CB8-9482-E55BC18FB3D0}">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D9AD44F7-FBFA-49E2-8B2E-B11FCC0A8395}">
  <ds:schemaRefs>
    <ds:schemaRef ds:uri="http://schemas.openxmlformats.org/officeDocument/2006/bibliography"/>
  </ds:schemaRefs>
</ds:datastoreItem>
</file>

<file path=customXml/itemProps3.xml><?xml version="1.0" encoding="utf-8"?>
<ds:datastoreItem xmlns:ds="http://schemas.openxmlformats.org/officeDocument/2006/customXml" ds:itemID="{7156B4AC-9DE1-416B-9D62-F6B8BB170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7E322-EF2F-446F-83D0-1E5FEE9667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4727</Words>
  <Characters>26946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Republic of Namibia v Affirmative Repositioning Movement (SA 16-2021) [2023] NASC (26 July 2023)</dc:title>
  <dc:creator>ybasson</dc:creator>
  <cp:lastModifiedBy>Mariana Anguelov</cp:lastModifiedBy>
  <cp:revision>3</cp:revision>
  <cp:lastPrinted>2023-07-19T09:00:00Z</cp:lastPrinted>
  <dcterms:created xsi:type="dcterms:W3CDTF">2023-07-26T09:04:00Z</dcterms:created>
  <dcterms:modified xsi:type="dcterms:W3CDTF">2023-07-31T17:11:00Z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