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D2D03" w14:textId="77777777" w:rsidR="008B6DD2" w:rsidRPr="00711135" w:rsidRDefault="008B6DD2" w:rsidP="00CD0741">
      <w:pPr>
        <w:spacing w:after="0" w:line="360" w:lineRule="auto"/>
        <w:jc w:val="center"/>
        <w:rPr>
          <w:b/>
          <w:sz w:val="24"/>
          <w:szCs w:val="24"/>
        </w:rPr>
      </w:pPr>
      <w:r w:rsidRPr="00711135">
        <w:rPr>
          <w:b/>
          <w:noProof/>
          <w:sz w:val="24"/>
          <w:szCs w:val="24"/>
          <w:lang w:val="en-US"/>
        </w:rPr>
        <w:drawing>
          <wp:inline distT="0" distB="0" distL="0" distR="0" wp14:anchorId="724B65EC" wp14:editId="51920FD6">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0134CE2B" w14:textId="77777777" w:rsidR="008B6DD2" w:rsidRPr="00711135" w:rsidRDefault="008B6DD2">
      <w:pPr>
        <w:spacing w:after="0" w:line="240" w:lineRule="auto"/>
        <w:jc w:val="right"/>
        <w:rPr>
          <w:rFonts w:ascii="Arial" w:hAnsi="Arial" w:cs="Arial"/>
          <w:b/>
          <w:sz w:val="24"/>
          <w:szCs w:val="24"/>
        </w:rPr>
      </w:pPr>
      <w:r w:rsidRPr="00711135">
        <w:rPr>
          <w:rFonts w:ascii="Arial" w:hAnsi="Arial" w:cs="Arial"/>
          <w:b/>
          <w:sz w:val="24"/>
          <w:szCs w:val="24"/>
        </w:rPr>
        <w:t>REPORTABLE</w:t>
      </w:r>
    </w:p>
    <w:p w14:paraId="61D607AF" w14:textId="77777777" w:rsidR="008B6DD2" w:rsidRPr="00711135" w:rsidRDefault="008B6DD2">
      <w:pPr>
        <w:spacing w:after="0" w:line="240" w:lineRule="auto"/>
        <w:jc w:val="right"/>
        <w:rPr>
          <w:rFonts w:ascii="Arial" w:hAnsi="Arial" w:cs="Arial"/>
          <w:sz w:val="24"/>
          <w:szCs w:val="24"/>
        </w:rPr>
      </w:pPr>
    </w:p>
    <w:p w14:paraId="6AF1AA07" w14:textId="77777777" w:rsidR="008B6DD2" w:rsidRPr="00711135" w:rsidRDefault="008B6DD2">
      <w:pPr>
        <w:spacing w:after="0" w:line="240" w:lineRule="auto"/>
        <w:jc w:val="right"/>
        <w:rPr>
          <w:rFonts w:ascii="Arial" w:hAnsi="Arial" w:cs="Arial"/>
          <w:sz w:val="24"/>
          <w:szCs w:val="24"/>
        </w:rPr>
      </w:pPr>
      <w:r w:rsidRPr="00711135">
        <w:rPr>
          <w:rFonts w:ascii="Arial" w:hAnsi="Arial" w:cs="Arial"/>
          <w:sz w:val="24"/>
          <w:szCs w:val="24"/>
        </w:rPr>
        <w:t>CASE NO: SA 5</w:t>
      </w:r>
      <w:r w:rsidR="00044F8B" w:rsidRPr="00711135">
        <w:rPr>
          <w:rFonts w:ascii="Arial" w:hAnsi="Arial" w:cs="Arial"/>
          <w:sz w:val="24"/>
          <w:szCs w:val="24"/>
        </w:rPr>
        <w:t>6/2020</w:t>
      </w:r>
    </w:p>
    <w:p w14:paraId="5414B199" w14:textId="77777777" w:rsidR="008B6DD2" w:rsidRPr="00711135" w:rsidRDefault="008B6DD2">
      <w:pPr>
        <w:spacing w:after="0" w:line="240" w:lineRule="auto"/>
        <w:rPr>
          <w:rFonts w:ascii="Arial" w:hAnsi="Arial" w:cs="Arial"/>
          <w:sz w:val="24"/>
          <w:szCs w:val="24"/>
        </w:rPr>
      </w:pPr>
    </w:p>
    <w:p w14:paraId="38EE1984" w14:textId="77777777" w:rsidR="008B6DD2" w:rsidRPr="00711135" w:rsidRDefault="008B6DD2">
      <w:pPr>
        <w:spacing w:after="0" w:line="240" w:lineRule="auto"/>
        <w:rPr>
          <w:rFonts w:ascii="Arial" w:hAnsi="Arial" w:cs="Arial"/>
          <w:sz w:val="24"/>
          <w:szCs w:val="24"/>
        </w:rPr>
      </w:pPr>
    </w:p>
    <w:p w14:paraId="2155BC1D" w14:textId="77777777" w:rsidR="008B6DD2" w:rsidRPr="00711135" w:rsidRDefault="008B6DD2">
      <w:pPr>
        <w:spacing w:after="0" w:line="240" w:lineRule="auto"/>
        <w:rPr>
          <w:rFonts w:ascii="Arial" w:hAnsi="Arial" w:cs="Arial"/>
          <w:b/>
          <w:sz w:val="24"/>
          <w:szCs w:val="24"/>
        </w:rPr>
      </w:pPr>
      <w:r w:rsidRPr="00711135">
        <w:rPr>
          <w:rFonts w:ascii="Arial" w:hAnsi="Arial" w:cs="Arial"/>
          <w:b/>
          <w:sz w:val="24"/>
          <w:szCs w:val="24"/>
        </w:rPr>
        <w:t>IN THE SUPREME COURT OF NAMIBIA</w:t>
      </w:r>
    </w:p>
    <w:p w14:paraId="711E723C" w14:textId="77777777" w:rsidR="008B6DD2" w:rsidRPr="00711135" w:rsidRDefault="008B6DD2">
      <w:pPr>
        <w:spacing w:after="0" w:line="240" w:lineRule="auto"/>
        <w:rPr>
          <w:rFonts w:ascii="Arial" w:hAnsi="Arial" w:cs="Arial"/>
          <w:sz w:val="24"/>
          <w:szCs w:val="24"/>
        </w:rPr>
      </w:pPr>
    </w:p>
    <w:p w14:paraId="38114F80" w14:textId="77777777" w:rsidR="008B6DD2" w:rsidRPr="00711135" w:rsidRDefault="008B6DD2">
      <w:pPr>
        <w:spacing w:after="0" w:line="240" w:lineRule="auto"/>
        <w:rPr>
          <w:rFonts w:ascii="Arial" w:hAnsi="Arial" w:cs="Arial"/>
          <w:sz w:val="24"/>
          <w:szCs w:val="24"/>
        </w:rPr>
      </w:pPr>
    </w:p>
    <w:p w14:paraId="0B23A3F7" w14:textId="77777777" w:rsidR="008B6DD2" w:rsidRPr="00711135" w:rsidRDefault="008B6DD2">
      <w:pPr>
        <w:spacing w:after="0" w:line="240" w:lineRule="auto"/>
        <w:rPr>
          <w:rFonts w:ascii="Arial" w:hAnsi="Arial" w:cs="Arial"/>
          <w:sz w:val="24"/>
          <w:szCs w:val="24"/>
        </w:rPr>
      </w:pPr>
      <w:r w:rsidRPr="00711135">
        <w:rPr>
          <w:rFonts w:ascii="Arial" w:hAnsi="Arial" w:cs="Arial"/>
          <w:sz w:val="24"/>
          <w:szCs w:val="24"/>
        </w:rPr>
        <w:t>In the matter between:</w:t>
      </w:r>
    </w:p>
    <w:p w14:paraId="7155F2A0" w14:textId="77777777" w:rsidR="008B6DD2" w:rsidRDefault="008B6DD2">
      <w:pPr>
        <w:spacing w:after="0" w:line="240" w:lineRule="auto"/>
        <w:rPr>
          <w:rFonts w:ascii="Arial" w:hAnsi="Arial" w:cs="Arial"/>
          <w:sz w:val="24"/>
          <w:szCs w:val="24"/>
        </w:rPr>
      </w:pPr>
    </w:p>
    <w:p w14:paraId="77904F0D" w14:textId="77777777" w:rsidR="00D95484" w:rsidRPr="00711135" w:rsidRDefault="00D95484">
      <w:pPr>
        <w:spacing w:after="0" w:line="240" w:lineRule="auto"/>
        <w:rPr>
          <w:rFonts w:ascii="Arial" w:hAnsi="Arial" w:cs="Arial"/>
          <w:sz w:val="24"/>
          <w:szCs w:val="24"/>
        </w:rPr>
      </w:pPr>
    </w:p>
    <w:p w14:paraId="0949D14D" w14:textId="77777777" w:rsidR="008B6DD2" w:rsidRPr="00711135" w:rsidRDefault="008B6DD2">
      <w:pPr>
        <w:spacing w:after="0" w:line="240" w:lineRule="auto"/>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B6DD2" w:rsidRPr="00711135" w14:paraId="08CB27A2" w14:textId="77777777" w:rsidTr="00EB7C6F">
        <w:tc>
          <w:tcPr>
            <w:tcW w:w="4555" w:type="dxa"/>
          </w:tcPr>
          <w:p w14:paraId="6FEF1D1C" w14:textId="77777777" w:rsidR="008B6DD2" w:rsidRPr="00711135" w:rsidRDefault="008B6DD2">
            <w:pPr>
              <w:spacing w:line="360" w:lineRule="auto"/>
              <w:ind w:left="-108"/>
              <w:rPr>
                <w:rFonts w:ascii="Arial" w:hAnsi="Arial" w:cs="Arial"/>
                <w:b/>
                <w:sz w:val="24"/>
                <w:szCs w:val="24"/>
              </w:rPr>
            </w:pPr>
            <w:r w:rsidRPr="00711135">
              <w:rPr>
                <w:rFonts w:ascii="Arial" w:hAnsi="Arial" w:cs="Arial"/>
                <w:b/>
                <w:sz w:val="24"/>
                <w:szCs w:val="24"/>
              </w:rPr>
              <w:t>ALEX KAMWI MABUKU KAMWI</w:t>
            </w:r>
          </w:p>
        </w:tc>
        <w:tc>
          <w:tcPr>
            <w:tcW w:w="4556" w:type="dxa"/>
          </w:tcPr>
          <w:p w14:paraId="433CA678" w14:textId="77777777" w:rsidR="008B6DD2" w:rsidRPr="00711135" w:rsidRDefault="008B6DD2">
            <w:pPr>
              <w:spacing w:line="360" w:lineRule="auto"/>
              <w:jc w:val="right"/>
              <w:rPr>
                <w:rFonts w:ascii="Arial" w:hAnsi="Arial" w:cs="Arial"/>
                <w:b/>
                <w:sz w:val="24"/>
                <w:szCs w:val="24"/>
              </w:rPr>
            </w:pPr>
            <w:r w:rsidRPr="00711135">
              <w:rPr>
                <w:rFonts w:ascii="Arial" w:hAnsi="Arial" w:cs="Arial"/>
                <w:b/>
                <w:sz w:val="24"/>
                <w:szCs w:val="24"/>
              </w:rPr>
              <w:t>App</w:t>
            </w:r>
            <w:r w:rsidR="00044F8B" w:rsidRPr="00711135">
              <w:rPr>
                <w:rFonts w:ascii="Arial" w:hAnsi="Arial" w:cs="Arial"/>
                <w:b/>
                <w:sz w:val="24"/>
                <w:szCs w:val="24"/>
              </w:rPr>
              <w:t>licant</w:t>
            </w:r>
          </w:p>
        </w:tc>
      </w:tr>
      <w:tr w:rsidR="008B6DD2" w:rsidRPr="00711135" w14:paraId="57023032" w14:textId="77777777" w:rsidTr="00EB7C6F">
        <w:tc>
          <w:tcPr>
            <w:tcW w:w="4555" w:type="dxa"/>
          </w:tcPr>
          <w:p w14:paraId="74BC23C0" w14:textId="77777777" w:rsidR="008B6DD2" w:rsidRPr="00711135" w:rsidRDefault="008B6DD2" w:rsidP="00CD0741">
            <w:pPr>
              <w:spacing w:line="360" w:lineRule="auto"/>
              <w:ind w:left="-108"/>
              <w:rPr>
                <w:rFonts w:ascii="Arial" w:hAnsi="Arial" w:cs="Arial"/>
                <w:sz w:val="24"/>
                <w:szCs w:val="24"/>
              </w:rPr>
            </w:pPr>
          </w:p>
        </w:tc>
        <w:tc>
          <w:tcPr>
            <w:tcW w:w="4556" w:type="dxa"/>
          </w:tcPr>
          <w:p w14:paraId="70B47BE7" w14:textId="77777777" w:rsidR="008B6DD2" w:rsidRPr="00711135" w:rsidRDefault="008B6DD2">
            <w:pPr>
              <w:spacing w:line="360" w:lineRule="auto"/>
              <w:jc w:val="right"/>
              <w:rPr>
                <w:rFonts w:ascii="Arial" w:hAnsi="Arial" w:cs="Arial"/>
                <w:sz w:val="24"/>
                <w:szCs w:val="24"/>
              </w:rPr>
            </w:pPr>
          </w:p>
        </w:tc>
      </w:tr>
      <w:tr w:rsidR="008B6DD2" w:rsidRPr="00711135" w14:paraId="4F3B70D4" w14:textId="77777777" w:rsidTr="00EB7C6F">
        <w:tc>
          <w:tcPr>
            <w:tcW w:w="4555" w:type="dxa"/>
          </w:tcPr>
          <w:p w14:paraId="09FFE1EF" w14:textId="5EDD2178" w:rsidR="008B6DD2" w:rsidRPr="00711135" w:rsidRDefault="001B515C" w:rsidP="00CD0741">
            <w:pPr>
              <w:spacing w:line="360" w:lineRule="auto"/>
              <w:ind w:left="-108"/>
              <w:rPr>
                <w:rFonts w:ascii="Arial" w:hAnsi="Arial" w:cs="Arial"/>
                <w:sz w:val="24"/>
                <w:szCs w:val="24"/>
              </w:rPr>
            </w:pPr>
            <w:r>
              <w:rPr>
                <w:rFonts w:ascii="Arial" w:hAnsi="Arial" w:cs="Arial"/>
                <w:sz w:val="24"/>
                <w:szCs w:val="24"/>
              </w:rPr>
              <w:t>a</w:t>
            </w:r>
            <w:r w:rsidR="008B6DD2" w:rsidRPr="00711135">
              <w:rPr>
                <w:rFonts w:ascii="Arial" w:hAnsi="Arial" w:cs="Arial"/>
                <w:sz w:val="24"/>
                <w:szCs w:val="24"/>
              </w:rPr>
              <w:t>nd</w:t>
            </w:r>
          </w:p>
        </w:tc>
        <w:tc>
          <w:tcPr>
            <w:tcW w:w="4556" w:type="dxa"/>
          </w:tcPr>
          <w:p w14:paraId="388B334A" w14:textId="77777777" w:rsidR="008B6DD2" w:rsidRPr="00711135" w:rsidRDefault="008B6DD2">
            <w:pPr>
              <w:spacing w:line="360" w:lineRule="auto"/>
              <w:rPr>
                <w:rFonts w:ascii="Arial" w:hAnsi="Arial" w:cs="Arial"/>
                <w:sz w:val="24"/>
                <w:szCs w:val="24"/>
              </w:rPr>
            </w:pPr>
          </w:p>
        </w:tc>
      </w:tr>
      <w:tr w:rsidR="008B6DD2" w:rsidRPr="00711135" w14:paraId="01ED4790" w14:textId="77777777" w:rsidTr="00EB7C6F">
        <w:tc>
          <w:tcPr>
            <w:tcW w:w="4555" w:type="dxa"/>
          </w:tcPr>
          <w:p w14:paraId="366451C7" w14:textId="77777777" w:rsidR="008B6DD2" w:rsidRPr="00711135" w:rsidRDefault="008B6DD2" w:rsidP="00CD0741">
            <w:pPr>
              <w:spacing w:line="360" w:lineRule="auto"/>
              <w:ind w:left="-108"/>
              <w:rPr>
                <w:rFonts w:ascii="Arial" w:hAnsi="Arial" w:cs="Arial"/>
                <w:sz w:val="24"/>
                <w:szCs w:val="24"/>
              </w:rPr>
            </w:pPr>
          </w:p>
        </w:tc>
        <w:tc>
          <w:tcPr>
            <w:tcW w:w="4556" w:type="dxa"/>
          </w:tcPr>
          <w:p w14:paraId="41A21430" w14:textId="77777777" w:rsidR="008B6DD2" w:rsidRPr="00711135" w:rsidRDefault="008B6DD2">
            <w:pPr>
              <w:spacing w:line="360" w:lineRule="auto"/>
              <w:rPr>
                <w:rFonts w:ascii="Arial" w:hAnsi="Arial" w:cs="Arial"/>
                <w:sz w:val="24"/>
                <w:szCs w:val="24"/>
              </w:rPr>
            </w:pPr>
          </w:p>
        </w:tc>
      </w:tr>
      <w:tr w:rsidR="008B6DD2" w:rsidRPr="00711135" w14:paraId="1D901219" w14:textId="77777777" w:rsidTr="00EB7C6F">
        <w:tc>
          <w:tcPr>
            <w:tcW w:w="4555" w:type="dxa"/>
          </w:tcPr>
          <w:p w14:paraId="06DF15CA" w14:textId="77777777" w:rsidR="008B6DD2" w:rsidRPr="00711135" w:rsidRDefault="00044F8B" w:rsidP="00CD0741">
            <w:pPr>
              <w:spacing w:line="360" w:lineRule="auto"/>
              <w:ind w:left="-108"/>
              <w:rPr>
                <w:rFonts w:ascii="Arial" w:hAnsi="Arial" w:cs="Arial"/>
                <w:b/>
                <w:sz w:val="24"/>
                <w:szCs w:val="24"/>
              </w:rPr>
            </w:pPr>
            <w:r w:rsidRPr="00711135">
              <w:rPr>
                <w:rFonts w:ascii="Arial" w:hAnsi="Arial" w:cs="Arial"/>
                <w:b/>
                <w:sz w:val="24"/>
                <w:szCs w:val="24"/>
              </w:rPr>
              <w:t xml:space="preserve">LAW SOCIETY OF NAMIBIA </w:t>
            </w:r>
          </w:p>
        </w:tc>
        <w:tc>
          <w:tcPr>
            <w:tcW w:w="4556" w:type="dxa"/>
          </w:tcPr>
          <w:p w14:paraId="37539BE3" w14:textId="77777777" w:rsidR="008B6DD2" w:rsidRPr="00711135" w:rsidRDefault="008B6DD2">
            <w:pPr>
              <w:spacing w:line="360" w:lineRule="auto"/>
              <w:jc w:val="right"/>
              <w:rPr>
                <w:rFonts w:ascii="Arial" w:hAnsi="Arial" w:cs="Arial"/>
                <w:b/>
                <w:sz w:val="24"/>
                <w:szCs w:val="24"/>
              </w:rPr>
            </w:pPr>
            <w:r w:rsidRPr="00711135">
              <w:rPr>
                <w:rFonts w:ascii="Arial" w:hAnsi="Arial" w:cs="Arial"/>
                <w:b/>
                <w:sz w:val="24"/>
                <w:szCs w:val="24"/>
              </w:rPr>
              <w:t>Respondent</w:t>
            </w:r>
          </w:p>
        </w:tc>
      </w:tr>
    </w:tbl>
    <w:p w14:paraId="3B130DF1" w14:textId="77777777" w:rsidR="008B6DD2" w:rsidRPr="00711135" w:rsidRDefault="008B6DD2" w:rsidP="00CD0741">
      <w:pPr>
        <w:spacing w:after="0" w:line="240" w:lineRule="auto"/>
        <w:rPr>
          <w:rFonts w:ascii="Arial" w:hAnsi="Arial" w:cs="Arial"/>
          <w:sz w:val="24"/>
          <w:szCs w:val="24"/>
        </w:rPr>
      </w:pPr>
    </w:p>
    <w:p w14:paraId="650AAD9E" w14:textId="77777777" w:rsidR="00E6497F" w:rsidRPr="00711135" w:rsidRDefault="00E6497F">
      <w:pPr>
        <w:spacing w:after="0" w:line="240" w:lineRule="auto"/>
        <w:rPr>
          <w:rFonts w:ascii="Arial" w:hAnsi="Arial" w:cs="Arial"/>
          <w:sz w:val="24"/>
          <w:szCs w:val="24"/>
        </w:rPr>
      </w:pPr>
    </w:p>
    <w:p w14:paraId="65B362C8" w14:textId="77777777" w:rsidR="00C356AF" w:rsidRPr="00711135" w:rsidRDefault="00C356AF">
      <w:pPr>
        <w:spacing w:after="0" w:line="240" w:lineRule="auto"/>
        <w:jc w:val="right"/>
        <w:rPr>
          <w:rFonts w:ascii="Arial" w:hAnsi="Arial" w:cs="Arial"/>
          <w:sz w:val="24"/>
          <w:szCs w:val="24"/>
        </w:rPr>
      </w:pPr>
      <w:r w:rsidRPr="00711135">
        <w:rPr>
          <w:rFonts w:ascii="Arial" w:hAnsi="Arial" w:cs="Arial"/>
          <w:sz w:val="24"/>
          <w:szCs w:val="24"/>
        </w:rPr>
        <w:t>CASE NO: SA 43/2021</w:t>
      </w:r>
    </w:p>
    <w:p w14:paraId="2DE19170" w14:textId="77777777" w:rsidR="00C356AF" w:rsidRPr="00711135" w:rsidRDefault="00C356AF">
      <w:pPr>
        <w:spacing w:after="0" w:line="240" w:lineRule="auto"/>
        <w:rPr>
          <w:rFonts w:ascii="Arial" w:hAnsi="Arial" w:cs="Arial"/>
          <w:sz w:val="24"/>
          <w:szCs w:val="24"/>
        </w:rPr>
      </w:pPr>
    </w:p>
    <w:p w14:paraId="4195360D" w14:textId="77777777" w:rsidR="00C356AF" w:rsidRPr="00711135" w:rsidRDefault="00C356AF">
      <w:pPr>
        <w:spacing w:after="0" w:line="240" w:lineRule="auto"/>
        <w:rPr>
          <w:rFonts w:ascii="Arial" w:hAnsi="Arial" w:cs="Arial"/>
          <w:sz w:val="24"/>
          <w:szCs w:val="24"/>
        </w:rPr>
      </w:pPr>
    </w:p>
    <w:p w14:paraId="14476BB0" w14:textId="77777777" w:rsidR="00C356AF" w:rsidRPr="00711135" w:rsidRDefault="00C356AF">
      <w:pPr>
        <w:spacing w:after="0" w:line="240" w:lineRule="auto"/>
        <w:rPr>
          <w:rFonts w:ascii="Arial" w:hAnsi="Arial" w:cs="Arial"/>
          <w:b/>
          <w:sz w:val="24"/>
          <w:szCs w:val="24"/>
        </w:rPr>
      </w:pPr>
      <w:r w:rsidRPr="00711135">
        <w:rPr>
          <w:rFonts w:ascii="Arial" w:hAnsi="Arial" w:cs="Arial"/>
          <w:b/>
          <w:sz w:val="24"/>
          <w:szCs w:val="24"/>
        </w:rPr>
        <w:t>IN THE SUPREME COURT OF NAMIBIA</w:t>
      </w:r>
    </w:p>
    <w:p w14:paraId="12FB060C" w14:textId="77777777" w:rsidR="00C356AF" w:rsidRPr="00711135" w:rsidRDefault="00C356AF">
      <w:pPr>
        <w:spacing w:after="0" w:line="240" w:lineRule="auto"/>
        <w:rPr>
          <w:rFonts w:ascii="Arial" w:hAnsi="Arial" w:cs="Arial"/>
          <w:sz w:val="24"/>
          <w:szCs w:val="24"/>
        </w:rPr>
      </w:pPr>
    </w:p>
    <w:p w14:paraId="4323BC4C" w14:textId="77777777" w:rsidR="00C356AF" w:rsidRPr="00711135" w:rsidRDefault="00C356AF">
      <w:pPr>
        <w:spacing w:after="0" w:line="240" w:lineRule="auto"/>
        <w:rPr>
          <w:rFonts w:ascii="Arial" w:hAnsi="Arial" w:cs="Arial"/>
          <w:sz w:val="24"/>
          <w:szCs w:val="24"/>
        </w:rPr>
      </w:pPr>
    </w:p>
    <w:p w14:paraId="4CFB8374" w14:textId="77777777" w:rsidR="00C356AF" w:rsidRPr="00711135" w:rsidRDefault="00C356AF">
      <w:pPr>
        <w:spacing w:after="0" w:line="240" w:lineRule="auto"/>
        <w:rPr>
          <w:rFonts w:ascii="Arial" w:hAnsi="Arial" w:cs="Arial"/>
          <w:sz w:val="24"/>
          <w:szCs w:val="24"/>
        </w:rPr>
      </w:pPr>
      <w:r w:rsidRPr="00711135">
        <w:rPr>
          <w:rFonts w:ascii="Arial" w:hAnsi="Arial" w:cs="Arial"/>
          <w:sz w:val="24"/>
          <w:szCs w:val="24"/>
        </w:rPr>
        <w:t>In the matter between:</w:t>
      </w:r>
    </w:p>
    <w:p w14:paraId="67EEDCCB" w14:textId="77777777" w:rsidR="00C356AF" w:rsidRPr="00711135" w:rsidRDefault="00C356AF">
      <w:pPr>
        <w:spacing w:after="0" w:line="240" w:lineRule="auto"/>
        <w:rPr>
          <w:rFonts w:ascii="Arial" w:hAnsi="Arial" w:cs="Arial"/>
          <w:sz w:val="24"/>
          <w:szCs w:val="24"/>
        </w:rPr>
      </w:pPr>
    </w:p>
    <w:p w14:paraId="519947EA" w14:textId="77777777" w:rsidR="00C356AF" w:rsidRPr="00711135" w:rsidRDefault="00C356AF">
      <w:pPr>
        <w:spacing w:after="0" w:line="240" w:lineRule="auto"/>
        <w:rPr>
          <w:rFonts w:ascii="Arial" w:hAnsi="Arial" w:cs="Arial"/>
          <w:sz w:val="24"/>
          <w:szCs w:val="24"/>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D95484" w:rsidRPr="00711135" w14:paraId="61F7D8EE" w14:textId="77777777" w:rsidTr="00D95484">
        <w:tc>
          <w:tcPr>
            <w:tcW w:w="9180" w:type="dxa"/>
          </w:tcPr>
          <w:p w14:paraId="0068B2A1" w14:textId="77777777" w:rsidR="00D95484" w:rsidRPr="00711135" w:rsidRDefault="00D95484">
            <w:pPr>
              <w:spacing w:line="360" w:lineRule="auto"/>
              <w:ind w:left="-108"/>
              <w:rPr>
                <w:rFonts w:ascii="Arial" w:hAnsi="Arial" w:cs="Arial"/>
                <w:b/>
                <w:sz w:val="24"/>
                <w:szCs w:val="24"/>
              </w:rPr>
            </w:pPr>
            <w:r w:rsidRPr="00711135">
              <w:rPr>
                <w:rFonts w:ascii="Arial" w:hAnsi="Arial" w:cs="Arial"/>
                <w:b/>
                <w:sz w:val="24"/>
                <w:szCs w:val="24"/>
              </w:rPr>
              <w:t xml:space="preserve">ALEX KAMWI MABUKU KAMWI                                                                 Applicant                                                                  </w:t>
            </w:r>
          </w:p>
          <w:p w14:paraId="2653E682" w14:textId="77777777" w:rsidR="00D95484" w:rsidRPr="00711135" w:rsidRDefault="00D95484" w:rsidP="00CD0741">
            <w:pPr>
              <w:spacing w:line="360" w:lineRule="auto"/>
              <w:ind w:left="-108"/>
              <w:rPr>
                <w:rFonts w:ascii="Arial" w:hAnsi="Arial" w:cs="Arial"/>
                <w:b/>
                <w:sz w:val="24"/>
                <w:szCs w:val="24"/>
              </w:rPr>
            </w:pPr>
          </w:p>
        </w:tc>
      </w:tr>
      <w:tr w:rsidR="00D95484" w:rsidRPr="00711135" w14:paraId="2B147A91" w14:textId="77777777" w:rsidTr="00D95484">
        <w:tc>
          <w:tcPr>
            <w:tcW w:w="9180" w:type="dxa"/>
          </w:tcPr>
          <w:p w14:paraId="5E41CCCA" w14:textId="6688AB5F" w:rsidR="00D95484" w:rsidRPr="00711135" w:rsidRDefault="00D95484" w:rsidP="00CD0741">
            <w:pPr>
              <w:spacing w:line="360" w:lineRule="auto"/>
              <w:ind w:left="-108"/>
              <w:rPr>
                <w:rFonts w:ascii="Arial" w:hAnsi="Arial" w:cs="Arial"/>
                <w:sz w:val="24"/>
                <w:szCs w:val="24"/>
              </w:rPr>
            </w:pPr>
            <w:r>
              <w:rPr>
                <w:rFonts w:ascii="Arial" w:hAnsi="Arial" w:cs="Arial"/>
                <w:sz w:val="24"/>
                <w:szCs w:val="24"/>
              </w:rPr>
              <w:t>a</w:t>
            </w:r>
            <w:r w:rsidRPr="00711135">
              <w:rPr>
                <w:rFonts w:ascii="Arial" w:hAnsi="Arial" w:cs="Arial"/>
                <w:sz w:val="24"/>
                <w:szCs w:val="24"/>
              </w:rPr>
              <w:t>nd</w:t>
            </w:r>
          </w:p>
        </w:tc>
      </w:tr>
      <w:tr w:rsidR="00D95484" w:rsidRPr="00711135" w14:paraId="1E1FF534" w14:textId="77777777" w:rsidTr="00D95484">
        <w:tc>
          <w:tcPr>
            <w:tcW w:w="9180" w:type="dxa"/>
          </w:tcPr>
          <w:p w14:paraId="4BAEE76A" w14:textId="77777777" w:rsidR="00D95484" w:rsidRPr="00711135" w:rsidRDefault="00D95484" w:rsidP="00CD0741">
            <w:pPr>
              <w:spacing w:line="360" w:lineRule="auto"/>
              <w:ind w:left="-108"/>
              <w:rPr>
                <w:rFonts w:ascii="Arial" w:hAnsi="Arial" w:cs="Arial"/>
                <w:sz w:val="24"/>
                <w:szCs w:val="24"/>
              </w:rPr>
            </w:pPr>
          </w:p>
        </w:tc>
      </w:tr>
      <w:tr w:rsidR="00D95484" w:rsidRPr="00711135" w14:paraId="5DCAC2E2" w14:textId="77777777" w:rsidTr="00D95484">
        <w:tc>
          <w:tcPr>
            <w:tcW w:w="9180" w:type="dxa"/>
          </w:tcPr>
          <w:p w14:paraId="4B0E9E9C" w14:textId="77777777" w:rsidR="00D95484" w:rsidRPr="00711135" w:rsidRDefault="00D95484" w:rsidP="00CD0741">
            <w:pPr>
              <w:spacing w:line="360" w:lineRule="auto"/>
              <w:ind w:left="-108"/>
              <w:rPr>
                <w:rFonts w:ascii="Arial" w:hAnsi="Arial" w:cs="Arial"/>
                <w:b/>
                <w:sz w:val="24"/>
                <w:szCs w:val="24"/>
              </w:rPr>
            </w:pPr>
            <w:r w:rsidRPr="00711135">
              <w:rPr>
                <w:rFonts w:ascii="Arial" w:hAnsi="Arial" w:cs="Arial"/>
                <w:b/>
                <w:sz w:val="24"/>
                <w:szCs w:val="24"/>
              </w:rPr>
              <w:t>PROSECUTOR-GENERAL OF NAMIBIA                                       First Respondent</w:t>
            </w:r>
          </w:p>
          <w:p w14:paraId="0AE7B4E5" w14:textId="3478E12D" w:rsidR="00D95484" w:rsidRPr="00711135" w:rsidRDefault="00D95484">
            <w:pPr>
              <w:spacing w:line="360" w:lineRule="auto"/>
              <w:ind w:left="-108"/>
              <w:rPr>
                <w:rFonts w:ascii="Arial" w:hAnsi="Arial" w:cs="Arial"/>
                <w:b/>
                <w:sz w:val="24"/>
                <w:szCs w:val="24"/>
              </w:rPr>
            </w:pPr>
            <w:r w:rsidRPr="00711135">
              <w:rPr>
                <w:rFonts w:ascii="Arial" w:hAnsi="Arial" w:cs="Arial"/>
                <w:b/>
                <w:sz w:val="24"/>
                <w:szCs w:val="24"/>
              </w:rPr>
              <w:lastRenderedPageBreak/>
              <w:t xml:space="preserve">THE MAGISTRATE OF KATUTURA                                          </w:t>
            </w:r>
          </w:p>
          <w:p w14:paraId="76137015" w14:textId="3C3039AA" w:rsidR="00D95484" w:rsidRPr="00711135" w:rsidRDefault="00D95484">
            <w:pPr>
              <w:spacing w:line="360" w:lineRule="auto"/>
              <w:ind w:left="-108"/>
              <w:rPr>
                <w:rFonts w:ascii="Arial" w:hAnsi="Arial" w:cs="Arial"/>
                <w:b/>
                <w:sz w:val="24"/>
                <w:szCs w:val="24"/>
              </w:rPr>
            </w:pPr>
            <w:r w:rsidRPr="00711135">
              <w:rPr>
                <w:rFonts w:ascii="Arial" w:hAnsi="Arial" w:cs="Arial"/>
                <w:b/>
                <w:sz w:val="24"/>
                <w:szCs w:val="24"/>
              </w:rPr>
              <w:t>MAGISTRATE’S COURT                                                            Second Respondent</w:t>
            </w:r>
          </w:p>
        </w:tc>
      </w:tr>
      <w:tr w:rsidR="00D95484" w:rsidRPr="00711135" w14:paraId="13782D3C" w14:textId="77777777" w:rsidTr="00D95484">
        <w:tc>
          <w:tcPr>
            <w:tcW w:w="9180" w:type="dxa"/>
          </w:tcPr>
          <w:p w14:paraId="046C209B" w14:textId="3928CBD7" w:rsidR="00D95484" w:rsidRDefault="00D95484" w:rsidP="00D95484">
            <w:pPr>
              <w:spacing w:line="360" w:lineRule="auto"/>
              <w:ind w:left="-108"/>
              <w:jc w:val="right"/>
              <w:rPr>
                <w:rFonts w:ascii="Arial" w:hAnsi="Arial" w:cs="Arial"/>
                <w:b/>
                <w:sz w:val="24"/>
                <w:szCs w:val="24"/>
              </w:rPr>
            </w:pPr>
          </w:p>
          <w:p w14:paraId="432B8A90" w14:textId="77777777" w:rsidR="00D95484" w:rsidRDefault="00D95484" w:rsidP="00D95484">
            <w:pPr>
              <w:spacing w:line="360" w:lineRule="auto"/>
              <w:ind w:left="-108"/>
              <w:jc w:val="right"/>
              <w:rPr>
                <w:rFonts w:ascii="Arial" w:hAnsi="Arial" w:cs="Arial"/>
                <w:sz w:val="24"/>
                <w:szCs w:val="24"/>
              </w:rPr>
            </w:pPr>
            <w:r>
              <w:rPr>
                <w:rFonts w:ascii="Arial" w:hAnsi="Arial" w:cs="Arial"/>
                <w:sz w:val="24"/>
                <w:szCs w:val="24"/>
              </w:rPr>
              <w:t>CASE NO. SA 44/2021</w:t>
            </w:r>
          </w:p>
          <w:p w14:paraId="6AD77B64" w14:textId="77777777" w:rsidR="00D95484" w:rsidRPr="00D95484" w:rsidRDefault="00D95484" w:rsidP="00D95484">
            <w:pPr>
              <w:spacing w:line="360" w:lineRule="auto"/>
              <w:ind w:left="-108"/>
              <w:rPr>
                <w:rFonts w:ascii="Arial" w:hAnsi="Arial" w:cs="Arial"/>
                <w:b/>
                <w:sz w:val="24"/>
                <w:szCs w:val="24"/>
              </w:rPr>
            </w:pPr>
            <w:r w:rsidRPr="00D95484">
              <w:rPr>
                <w:rFonts w:ascii="Arial" w:hAnsi="Arial" w:cs="Arial"/>
                <w:b/>
                <w:sz w:val="24"/>
                <w:szCs w:val="24"/>
              </w:rPr>
              <w:t>IN THE SUPREME COURT OF NAMIBIA</w:t>
            </w:r>
          </w:p>
          <w:p w14:paraId="0861BC06" w14:textId="77777777" w:rsidR="00D95484" w:rsidRDefault="00D95484" w:rsidP="00D95484">
            <w:pPr>
              <w:spacing w:line="360" w:lineRule="auto"/>
              <w:ind w:left="-108"/>
              <w:rPr>
                <w:rFonts w:ascii="Arial" w:hAnsi="Arial" w:cs="Arial"/>
                <w:sz w:val="24"/>
                <w:szCs w:val="24"/>
              </w:rPr>
            </w:pPr>
          </w:p>
          <w:p w14:paraId="03BE5E00" w14:textId="6017B403" w:rsidR="00D95484" w:rsidRDefault="00D95484" w:rsidP="00D95484">
            <w:pPr>
              <w:spacing w:line="360" w:lineRule="auto"/>
              <w:ind w:left="-108"/>
              <w:rPr>
                <w:rFonts w:ascii="Arial" w:hAnsi="Arial" w:cs="Arial"/>
                <w:sz w:val="24"/>
                <w:szCs w:val="24"/>
              </w:rPr>
            </w:pPr>
            <w:r>
              <w:rPr>
                <w:rFonts w:ascii="Arial" w:hAnsi="Arial" w:cs="Arial"/>
                <w:sz w:val="24"/>
                <w:szCs w:val="24"/>
              </w:rPr>
              <w:t>In the matter between:</w:t>
            </w:r>
          </w:p>
          <w:p w14:paraId="092C4E24" w14:textId="77777777" w:rsidR="00D95484" w:rsidRDefault="00D95484" w:rsidP="00D95484">
            <w:pPr>
              <w:spacing w:line="360" w:lineRule="auto"/>
              <w:ind w:left="-108"/>
              <w:rPr>
                <w:rFonts w:ascii="Arial" w:hAnsi="Arial" w:cs="Arial"/>
                <w:sz w:val="24"/>
                <w:szCs w:val="24"/>
              </w:rPr>
            </w:pPr>
          </w:p>
          <w:p w14:paraId="67A58FF4" w14:textId="689E377E" w:rsidR="00D95484" w:rsidRPr="00D95484" w:rsidRDefault="00D95484" w:rsidP="00D95484">
            <w:pPr>
              <w:spacing w:line="360" w:lineRule="auto"/>
              <w:ind w:left="-108"/>
              <w:rPr>
                <w:rFonts w:ascii="Arial" w:hAnsi="Arial" w:cs="Arial"/>
                <w:b/>
                <w:sz w:val="24"/>
                <w:szCs w:val="24"/>
              </w:rPr>
            </w:pPr>
            <w:r w:rsidRPr="00D95484">
              <w:rPr>
                <w:rFonts w:ascii="Arial" w:hAnsi="Arial" w:cs="Arial"/>
                <w:b/>
                <w:sz w:val="24"/>
                <w:szCs w:val="24"/>
              </w:rPr>
              <w:t>ALEX KAMWI MABUKU KAMWI                                                                 Applicant</w:t>
            </w:r>
          </w:p>
          <w:p w14:paraId="23CE4AC4" w14:textId="77777777" w:rsidR="00D95484" w:rsidRPr="00D95484" w:rsidRDefault="00D95484" w:rsidP="00D95484">
            <w:pPr>
              <w:spacing w:line="360" w:lineRule="auto"/>
              <w:ind w:left="-108"/>
              <w:rPr>
                <w:rFonts w:ascii="Arial" w:hAnsi="Arial" w:cs="Arial"/>
                <w:b/>
                <w:sz w:val="24"/>
                <w:szCs w:val="24"/>
              </w:rPr>
            </w:pPr>
          </w:p>
          <w:p w14:paraId="3C16F488" w14:textId="7C3497D4" w:rsidR="00D95484" w:rsidRDefault="00D95484" w:rsidP="00D95484">
            <w:pPr>
              <w:spacing w:line="360" w:lineRule="auto"/>
              <w:ind w:left="-108"/>
              <w:rPr>
                <w:rFonts w:ascii="Arial" w:hAnsi="Arial" w:cs="Arial"/>
                <w:sz w:val="24"/>
                <w:szCs w:val="24"/>
              </w:rPr>
            </w:pPr>
            <w:r>
              <w:rPr>
                <w:rFonts w:ascii="Arial" w:hAnsi="Arial" w:cs="Arial"/>
                <w:sz w:val="24"/>
                <w:szCs w:val="24"/>
              </w:rPr>
              <w:t>and</w:t>
            </w:r>
          </w:p>
          <w:p w14:paraId="1B026404" w14:textId="77777777" w:rsidR="00D95484" w:rsidRDefault="00D95484" w:rsidP="00D95484">
            <w:pPr>
              <w:spacing w:line="360" w:lineRule="auto"/>
              <w:ind w:left="-108"/>
              <w:rPr>
                <w:rFonts w:ascii="Arial" w:hAnsi="Arial" w:cs="Arial"/>
                <w:sz w:val="24"/>
                <w:szCs w:val="24"/>
              </w:rPr>
            </w:pPr>
          </w:p>
          <w:p w14:paraId="08B1AA43" w14:textId="0D4A7C43" w:rsidR="00D95484" w:rsidRPr="00D95484" w:rsidRDefault="00D95484" w:rsidP="00D95484">
            <w:pPr>
              <w:spacing w:line="360" w:lineRule="auto"/>
              <w:ind w:left="-108"/>
              <w:rPr>
                <w:rFonts w:ascii="Arial" w:hAnsi="Arial" w:cs="Arial"/>
                <w:b/>
                <w:sz w:val="24"/>
                <w:szCs w:val="24"/>
              </w:rPr>
            </w:pPr>
            <w:r w:rsidRPr="00D95484">
              <w:rPr>
                <w:rFonts w:ascii="Arial" w:hAnsi="Arial" w:cs="Arial"/>
                <w:b/>
                <w:sz w:val="24"/>
                <w:szCs w:val="24"/>
              </w:rPr>
              <w:t xml:space="preserve">LAW SOCIETY OF NAMIBIA                            </w:t>
            </w:r>
            <w:r>
              <w:rPr>
                <w:rFonts w:ascii="Arial" w:hAnsi="Arial" w:cs="Arial"/>
                <w:b/>
                <w:sz w:val="24"/>
                <w:szCs w:val="24"/>
              </w:rPr>
              <w:t xml:space="preserve">                               </w:t>
            </w:r>
            <w:r w:rsidRPr="00D95484">
              <w:rPr>
                <w:rFonts w:ascii="Arial" w:hAnsi="Arial" w:cs="Arial"/>
                <w:b/>
                <w:sz w:val="24"/>
                <w:szCs w:val="24"/>
              </w:rPr>
              <w:t>First Respondent</w:t>
            </w:r>
          </w:p>
          <w:p w14:paraId="5E2416F1" w14:textId="77777777" w:rsidR="00097B9F" w:rsidRDefault="00D95484" w:rsidP="00D95484">
            <w:pPr>
              <w:spacing w:line="360" w:lineRule="auto"/>
              <w:ind w:left="-108"/>
              <w:rPr>
                <w:rFonts w:ascii="Arial" w:hAnsi="Arial" w:cs="Arial"/>
                <w:b/>
                <w:sz w:val="24"/>
                <w:szCs w:val="24"/>
              </w:rPr>
            </w:pPr>
            <w:r w:rsidRPr="00D95484">
              <w:rPr>
                <w:rFonts w:ascii="Arial" w:hAnsi="Arial" w:cs="Arial"/>
                <w:b/>
                <w:sz w:val="24"/>
                <w:szCs w:val="24"/>
              </w:rPr>
              <w:t xml:space="preserve">MARGARETHA STEINMANN                      </w:t>
            </w:r>
            <w:r>
              <w:rPr>
                <w:rFonts w:ascii="Arial" w:hAnsi="Arial" w:cs="Arial"/>
                <w:b/>
                <w:sz w:val="24"/>
                <w:szCs w:val="24"/>
              </w:rPr>
              <w:t xml:space="preserve">                              </w:t>
            </w:r>
            <w:r w:rsidRPr="00D95484">
              <w:rPr>
                <w:rFonts w:ascii="Arial" w:hAnsi="Arial" w:cs="Arial"/>
                <w:b/>
                <w:sz w:val="24"/>
                <w:szCs w:val="24"/>
              </w:rPr>
              <w:t>Second Respondent</w:t>
            </w:r>
          </w:p>
          <w:p w14:paraId="04462EA5" w14:textId="3B6774E0" w:rsidR="00D95484" w:rsidRPr="00D95484" w:rsidRDefault="00D95484" w:rsidP="00D95484">
            <w:pPr>
              <w:spacing w:line="360" w:lineRule="auto"/>
              <w:ind w:left="-108"/>
              <w:rPr>
                <w:rFonts w:ascii="Arial" w:hAnsi="Arial" w:cs="Arial"/>
                <w:sz w:val="24"/>
                <w:szCs w:val="24"/>
              </w:rPr>
            </w:pPr>
          </w:p>
        </w:tc>
      </w:tr>
    </w:tbl>
    <w:p w14:paraId="13A768F2" w14:textId="77777777" w:rsidR="000356B7" w:rsidRDefault="000356B7">
      <w:pPr>
        <w:spacing w:after="0" w:line="240" w:lineRule="auto"/>
        <w:rPr>
          <w:rFonts w:ascii="Arial" w:hAnsi="Arial" w:cs="Arial"/>
          <w:b/>
          <w:sz w:val="24"/>
          <w:szCs w:val="24"/>
        </w:rPr>
      </w:pPr>
    </w:p>
    <w:p w14:paraId="25C2BF77" w14:textId="77777777" w:rsidR="009C6979" w:rsidRPr="00711135" w:rsidRDefault="009C6979">
      <w:pPr>
        <w:spacing w:after="0" w:line="240" w:lineRule="auto"/>
        <w:rPr>
          <w:rFonts w:ascii="Arial" w:hAnsi="Arial" w:cs="Arial"/>
          <w:b/>
          <w:sz w:val="24"/>
          <w:szCs w:val="24"/>
        </w:rPr>
      </w:pPr>
    </w:p>
    <w:p w14:paraId="691B180D" w14:textId="6AC51C81" w:rsidR="008B6DD2" w:rsidRPr="00711135" w:rsidRDefault="008B6DD2">
      <w:pPr>
        <w:spacing w:after="0" w:line="240" w:lineRule="auto"/>
        <w:rPr>
          <w:rFonts w:ascii="Arial" w:hAnsi="Arial" w:cs="Arial"/>
          <w:sz w:val="24"/>
          <w:szCs w:val="24"/>
        </w:rPr>
      </w:pPr>
      <w:r w:rsidRPr="00711135">
        <w:rPr>
          <w:rFonts w:ascii="Arial" w:hAnsi="Arial" w:cs="Arial"/>
          <w:b/>
          <w:sz w:val="24"/>
          <w:szCs w:val="24"/>
        </w:rPr>
        <w:t>Coram:</w:t>
      </w:r>
      <w:r w:rsidRPr="00711135">
        <w:rPr>
          <w:rFonts w:ascii="Arial" w:hAnsi="Arial" w:cs="Arial"/>
          <w:sz w:val="24"/>
          <w:szCs w:val="24"/>
        </w:rPr>
        <w:tab/>
      </w:r>
      <w:r w:rsidR="00995FCE">
        <w:rPr>
          <w:rFonts w:ascii="Arial" w:hAnsi="Arial" w:cs="Arial"/>
          <w:sz w:val="24"/>
          <w:szCs w:val="24"/>
        </w:rPr>
        <w:tab/>
      </w:r>
      <w:r w:rsidR="00044F8B" w:rsidRPr="00711135">
        <w:rPr>
          <w:rFonts w:ascii="Arial" w:hAnsi="Arial" w:cs="Arial"/>
          <w:sz w:val="24"/>
          <w:szCs w:val="24"/>
        </w:rPr>
        <w:t xml:space="preserve">SHIVUTE CJ, SMUTS </w:t>
      </w:r>
      <w:r w:rsidRPr="00711135">
        <w:rPr>
          <w:rFonts w:ascii="Arial" w:hAnsi="Arial" w:cs="Arial"/>
          <w:sz w:val="24"/>
          <w:szCs w:val="24"/>
        </w:rPr>
        <w:t>JA and FRANK AJA</w:t>
      </w:r>
    </w:p>
    <w:p w14:paraId="4F769BCA" w14:textId="77777777" w:rsidR="008B6DD2" w:rsidRPr="00711135" w:rsidRDefault="008B6DD2">
      <w:pPr>
        <w:spacing w:after="0" w:line="240" w:lineRule="auto"/>
        <w:rPr>
          <w:rFonts w:ascii="Arial" w:hAnsi="Arial" w:cs="Arial"/>
          <w:b/>
          <w:sz w:val="24"/>
          <w:szCs w:val="24"/>
        </w:rPr>
      </w:pPr>
    </w:p>
    <w:p w14:paraId="144371E5" w14:textId="26E37CCC" w:rsidR="008B6DD2" w:rsidRPr="00711135" w:rsidRDefault="00044F8B">
      <w:pPr>
        <w:spacing w:after="0" w:line="240" w:lineRule="auto"/>
        <w:rPr>
          <w:rFonts w:ascii="Arial" w:hAnsi="Arial" w:cs="Arial"/>
          <w:b/>
          <w:sz w:val="24"/>
          <w:szCs w:val="24"/>
        </w:rPr>
      </w:pPr>
      <w:r w:rsidRPr="00711135">
        <w:rPr>
          <w:rFonts w:ascii="Arial" w:hAnsi="Arial" w:cs="Arial"/>
          <w:b/>
          <w:sz w:val="24"/>
          <w:szCs w:val="24"/>
        </w:rPr>
        <w:t>Heard:</w:t>
      </w:r>
      <w:r w:rsidRPr="00711135">
        <w:rPr>
          <w:rFonts w:ascii="Arial" w:hAnsi="Arial" w:cs="Arial"/>
          <w:b/>
          <w:sz w:val="24"/>
          <w:szCs w:val="24"/>
        </w:rPr>
        <w:tab/>
      </w:r>
      <w:r w:rsidR="00995FCE">
        <w:rPr>
          <w:rFonts w:ascii="Arial" w:hAnsi="Arial" w:cs="Arial"/>
          <w:b/>
          <w:sz w:val="24"/>
          <w:szCs w:val="24"/>
        </w:rPr>
        <w:tab/>
      </w:r>
      <w:r w:rsidRPr="00711135">
        <w:rPr>
          <w:rFonts w:ascii="Arial" w:hAnsi="Arial" w:cs="Arial"/>
          <w:b/>
          <w:sz w:val="24"/>
          <w:szCs w:val="24"/>
        </w:rPr>
        <w:t>15</w:t>
      </w:r>
      <w:r w:rsidR="008B6DD2" w:rsidRPr="00711135">
        <w:rPr>
          <w:rFonts w:ascii="Arial" w:hAnsi="Arial" w:cs="Arial"/>
          <w:b/>
          <w:sz w:val="24"/>
          <w:szCs w:val="24"/>
        </w:rPr>
        <w:t xml:space="preserve"> </w:t>
      </w:r>
      <w:r w:rsidRPr="00711135">
        <w:rPr>
          <w:rFonts w:ascii="Arial" w:hAnsi="Arial" w:cs="Arial"/>
          <w:b/>
          <w:sz w:val="24"/>
          <w:szCs w:val="24"/>
        </w:rPr>
        <w:t>March</w:t>
      </w:r>
      <w:r w:rsidR="008B6DD2" w:rsidRPr="00711135">
        <w:rPr>
          <w:rFonts w:ascii="Arial" w:hAnsi="Arial" w:cs="Arial"/>
          <w:b/>
          <w:sz w:val="24"/>
          <w:szCs w:val="24"/>
        </w:rPr>
        <w:t xml:space="preserve"> 20</w:t>
      </w:r>
      <w:r w:rsidRPr="00711135">
        <w:rPr>
          <w:rFonts w:ascii="Arial" w:hAnsi="Arial" w:cs="Arial"/>
          <w:b/>
          <w:sz w:val="24"/>
          <w:szCs w:val="24"/>
        </w:rPr>
        <w:t>23</w:t>
      </w:r>
    </w:p>
    <w:p w14:paraId="7A752C0A" w14:textId="77777777" w:rsidR="008B6DD2" w:rsidRPr="00711135" w:rsidRDefault="008B6DD2">
      <w:pPr>
        <w:spacing w:after="0" w:line="240" w:lineRule="auto"/>
        <w:rPr>
          <w:rFonts w:ascii="Arial" w:hAnsi="Arial" w:cs="Arial"/>
          <w:b/>
          <w:sz w:val="24"/>
          <w:szCs w:val="24"/>
        </w:rPr>
      </w:pPr>
    </w:p>
    <w:p w14:paraId="7C277144" w14:textId="00376260" w:rsidR="008B6DD2" w:rsidRPr="00711135" w:rsidRDefault="00044F8B">
      <w:pPr>
        <w:spacing w:after="0" w:line="240" w:lineRule="auto"/>
        <w:rPr>
          <w:rFonts w:ascii="Arial" w:hAnsi="Arial" w:cs="Arial"/>
          <w:b/>
          <w:sz w:val="24"/>
          <w:szCs w:val="24"/>
        </w:rPr>
      </w:pPr>
      <w:r w:rsidRPr="00711135">
        <w:rPr>
          <w:rFonts w:ascii="Arial" w:hAnsi="Arial" w:cs="Arial"/>
          <w:b/>
          <w:sz w:val="24"/>
          <w:szCs w:val="24"/>
        </w:rPr>
        <w:t>Delivered:</w:t>
      </w:r>
      <w:r w:rsidRPr="00711135">
        <w:rPr>
          <w:rFonts w:ascii="Arial" w:hAnsi="Arial" w:cs="Arial"/>
          <w:b/>
          <w:sz w:val="24"/>
          <w:szCs w:val="24"/>
        </w:rPr>
        <w:tab/>
      </w:r>
      <w:r w:rsidR="00995FCE">
        <w:rPr>
          <w:rFonts w:ascii="Arial" w:hAnsi="Arial" w:cs="Arial"/>
          <w:b/>
          <w:sz w:val="24"/>
          <w:szCs w:val="24"/>
        </w:rPr>
        <w:tab/>
        <w:t xml:space="preserve">10 </w:t>
      </w:r>
      <w:r w:rsidR="001B515C">
        <w:rPr>
          <w:rFonts w:ascii="Arial" w:hAnsi="Arial" w:cs="Arial"/>
          <w:b/>
          <w:sz w:val="24"/>
          <w:szCs w:val="24"/>
        </w:rPr>
        <w:t>October</w:t>
      </w:r>
      <w:r w:rsidR="00DD335B" w:rsidRPr="00711135">
        <w:rPr>
          <w:rFonts w:ascii="Arial" w:hAnsi="Arial" w:cs="Arial"/>
          <w:b/>
          <w:sz w:val="24"/>
          <w:szCs w:val="24"/>
        </w:rPr>
        <w:t xml:space="preserve"> </w:t>
      </w:r>
      <w:r w:rsidR="008B6DD2" w:rsidRPr="00711135">
        <w:rPr>
          <w:rFonts w:ascii="Arial" w:hAnsi="Arial" w:cs="Arial"/>
          <w:b/>
          <w:sz w:val="24"/>
          <w:szCs w:val="24"/>
        </w:rPr>
        <w:t>20</w:t>
      </w:r>
      <w:r w:rsidRPr="00711135">
        <w:rPr>
          <w:rFonts w:ascii="Arial" w:hAnsi="Arial" w:cs="Arial"/>
          <w:b/>
          <w:sz w:val="24"/>
          <w:szCs w:val="24"/>
        </w:rPr>
        <w:t>23</w:t>
      </w:r>
    </w:p>
    <w:p w14:paraId="103144CD" w14:textId="77777777" w:rsidR="008B6DD2" w:rsidRPr="00711135" w:rsidRDefault="008B6DD2">
      <w:pPr>
        <w:spacing w:after="0" w:line="240" w:lineRule="auto"/>
        <w:rPr>
          <w:rFonts w:ascii="Arial" w:hAnsi="Arial" w:cs="Arial"/>
          <w:sz w:val="24"/>
          <w:szCs w:val="24"/>
        </w:rPr>
      </w:pPr>
    </w:p>
    <w:p w14:paraId="4D293321" w14:textId="77777777" w:rsidR="008B6DD2" w:rsidRPr="00711135" w:rsidRDefault="008B6DD2">
      <w:pPr>
        <w:spacing w:after="0" w:line="240" w:lineRule="auto"/>
        <w:rPr>
          <w:rFonts w:ascii="Arial" w:hAnsi="Arial" w:cs="Arial"/>
          <w:sz w:val="24"/>
          <w:szCs w:val="24"/>
        </w:rPr>
      </w:pPr>
    </w:p>
    <w:p w14:paraId="409B5DD8" w14:textId="77777777" w:rsidR="008B6DD2" w:rsidRPr="00711135" w:rsidRDefault="008B6DD2">
      <w:pPr>
        <w:spacing w:after="0" w:line="240" w:lineRule="auto"/>
        <w:rPr>
          <w:rFonts w:ascii="Arial" w:hAnsi="Arial" w:cs="Arial"/>
          <w:sz w:val="24"/>
          <w:szCs w:val="24"/>
        </w:rPr>
      </w:pPr>
    </w:p>
    <w:p w14:paraId="771987E4" w14:textId="60E167EB" w:rsidR="00023DDF" w:rsidRPr="00711135" w:rsidRDefault="00044F8B">
      <w:pPr>
        <w:spacing w:after="0" w:line="360" w:lineRule="auto"/>
        <w:jc w:val="both"/>
        <w:rPr>
          <w:rFonts w:ascii="Arial" w:hAnsi="Arial" w:cs="Arial"/>
          <w:sz w:val="24"/>
          <w:szCs w:val="24"/>
        </w:rPr>
      </w:pPr>
      <w:r w:rsidRPr="00711135">
        <w:rPr>
          <w:rFonts w:ascii="Arial" w:hAnsi="Arial" w:cs="Arial"/>
          <w:b/>
          <w:sz w:val="24"/>
          <w:szCs w:val="24"/>
        </w:rPr>
        <w:t xml:space="preserve">Summary: </w:t>
      </w:r>
      <w:r w:rsidR="00023DDF" w:rsidRPr="00711135">
        <w:rPr>
          <w:rFonts w:ascii="Arial" w:hAnsi="Arial" w:cs="Arial"/>
          <w:sz w:val="24"/>
          <w:szCs w:val="24"/>
        </w:rPr>
        <w:t xml:space="preserve">These matters are </w:t>
      </w:r>
      <w:r w:rsidR="005F01FF" w:rsidRPr="00711135">
        <w:rPr>
          <w:rFonts w:ascii="Arial" w:hAnsi="Arial" w:cs="Arial"/>
          <w:sz w:val="24"/>
          <w:szCs w:val="24"/>
        </w:rPr>
        <w:t xml:space="preserve">consolidated </w:t>
      </w:r>
      <w:r w:rsidR="00023DDF" w:rsidRPr="00711135">
        <w:rPr>
          <w:rFonts w:ascii="Arial" w:hAnsi="Arial" w:cs="Arial"/>
          <w:sz w:val="24"/>
          <w:szCs w:val="24"/>
        </w:rPr>
        <w:t xml:space="preserve">applications for condonation for the late filing of the record of proceedings in the High Court involving the same applicant. The applications were heard together on the same day, hence this composite judgment covering all three of them. When informed by this </w:t>
      </w:r>
      <w:r w:rsidR="00E10407" w:rsidRPr="00711135">
        <w:rPr>
          <w:rFonts w:ascii="Arial" w:hAnsi="Arial" w:cs="Arial"/>
          <w:sz w:val="24"/>
          <w:szCs w:val="24"/>
        </w:rPr>
        <w:t>C</w:t>
      </w:r>
      <w:r w:rsidR="00023DDF" w:rsidRPr="00711135">
        <w:rPr>
          <w:rFonts w:ascii="Arial" w:hAnsi="Arial" w:cs="Arial"/>
          <w:sz w:val="24"/>
          <w:szCs w:val="24"/>
        </w:rPr>
        <w:t>ourt’s registrar that his appeals were deemed to have been withdrawn on account of the failure to file the appeal records and to provide security for the respondents</w:t>
      </w:r>
      <w:r w:rsidR="00CD0741" w:rsidRPr="00711135">
        <w:rPr>
          <w:rFonts w:ascii="Arial" w:hAnsi="Arial" w:cs="Arial"/>
          <w:sz w:val="24"/>
          <w:szCs w:val="24"/>
        </w:rPr>
        <w:t>’</w:t>
      </w:r>
      <w:r w:rsidR="00023DDF" w:rsidRPr="00711135">
        <w:rPr>
          <w:rFonts w:ascii="Arial" w:hAnsi="Arial" w:cs="Arial"/>
          <w:sz w:val="24"/>
          <w:szCs w:val="24"/>
        </w:rPr>
        <w:t xml:space="preserve"> costs, the applicant insisted that he was only required to file the records once the issue of security had been resolved. He argued that </w:t>
      </w:r>
      <w:r w:rsidR="00E10407" w:rsidRPr="00711135">
        <w:rPr>
          <w:rFonts w:ascii="Arial" w:hAnsi="Arial" w:cs="Arial"/>
          <w:sz w:val="24"/>
          <w:szCs w:val="24"/>
        </w:rPr>
        <w:t xml:space="preserve">as </w:t>
      </w:r>
      <w:r w:rsidR="00023DDF" w:rsidRPr="00711135">
        <w:rPr>
          <w:rFonts w:ascii="Arial" w:hAnsi="Arial" w:cs="Arial"/>
          <w:sz w:val="24"/>
          <w:szCs w:val="24"/>
        </w:rPr>
        <w:t>his applications to be released fr</w:t>
      </w:r>
      <w:r w:rsidR="005F01FF" w:rsidRPr="00711135">
        <w:rPr>
          <w:rFonts w:ascii="Arial" w:hAnsi="Arial" w:cs="Arial"/>
          <w:sz w:val="24"/>
          <w:szCs w:val="24"/>
        </w:rPr>
        <w:t>o</w:t>
      </w:r>
      <w:r w:rsidR="00023DDF" w:rsidRPr="00711135">
        <w:rPr>
          <w:rFonts w:ascii="Arial" w:hAnsi="Arial" w:cs="Arial"/>
          <w:sz w:val="24"/>
          <w:szCs w:val="24"/>
        </w:rPr>
        <w:t xml:space="preserve">m the obligation to provide security were still pending, he was not obliged to file the </w:t>
      </w:r>
      <w:r w:rsidR="006709B7">
        <w:rPr>
          <w:rFonts w:ascii="Arial" w:hAnsi="Arial" w:cs="Arial"/>
          <w:sz w:val="24"/>
          <w:szCs w:val="24"/>
        </w:rPr>
        <w:t xml:space="preserve">appeal </w:t>
      </w:r>
      <w:r w:rsidR="00023DDF" w:rsidRPr="00711135">
        <w:rPr>
          <w:rFonts w:ascii="Arial" w:hAnsi="Arial" w:cs="Arial"/>
          <w:sz w:val="24"/>
          <w:szCs w:val="24"/>
        </w:rPr>
        <w:t xml:space="preserve">records. </w:t>
      </w:r>
    </w:p>
    <w:p w14:paraId="1D21A543" w14:textId="77777777" w:rsidR="00CD0741" w:rsidRPr="00711135" w:rsidRDefault="00CD0741">
      <w:pPr>
        <w:spacing w:after="0" w:line="360" w:lineRule="auto"/>
        <w:jc w:val="both"/>
        <w:rPr>
          <w:rFonts w:ascii="Arial" w:hAnsi="Arial" w:cs="Arial"/>
          <w:sz w:val="24"/>
          <w:szCs w:val="24"/>
        </w:rPr>
      </w:pPr>
    </w:p>
    <w:p w14:paraId="205D1C2A" w14:textId="7BF4B5D3" w:rsidR="006F3AE7" w:rsidRPr="00711135" w:rsidRDefault="00023DDF">
      <w:pPr>
        <w:spacing w:after="0" w:line="360" w:lineRule="auto"/>
        <w:jc w:val="both"/>
        <w:rPr>
          <w:rFonts w:ascii="Arial" w:hAnsi="Arial" w:cs="Arial"/>
          <w:sz w:val="24"/>
          <w:szCs w:val="24"/>
        </w:rPr>
      </w:pPr>
      <w:r w:rsidRPr="00711135">
        <w:rPr>
          <w:rFonts w:ascii="Arial" w:hAnsi="Arial" w:cs="Arial"/>
          <w:sz w:val="24"/>
          <w:szCs w:val="24"/>
        </w:rPr>
        <w:t xml:space="preserve">The applicant later filed applications for condonation for the failure to file the appeal records. In his applications, he repeated the assertion that he was only required to file the records once </w:t>
      </w:r>
      <w:r w:rsidR="006F3AE7" w:rsidRPr="00711135">
        <w:rPr>
          <w:rFonts w:ascii="Arial" w:hAnsi="Arial" w:cs="Arial"/>
          <w:sz w:val="24"/>
          <w:szCs w:val="24"/>
        </w:rPr>
        <w:t>the matter of security ha</w:t>
      </w:r>
      <w:r w:rsidR="005F01FF" w:rsidRPr="00711135">
        <w:rPr>
          <w:rFonts w:ascii="Arial" w:hAnsi="Arial" w:cs="Arial"/>
          <w:sz w:val="24"/>
          <w:szCs w:val="24"/>
        </w:rPr>
        <w:t>d</w:t>
      </w:r>
      <w:r w:rsidR="006F3AE7" w:rsidRPr="00711135">
        <w:rPr>
          <w:rFonts w:ascii="Arial" w:hAnsi="Arial" w:cs="Arial"/>
          <w:sz w:val="24"/>
          <w:szCs w:val="24"/>
        </w:rPr>
        <w:t xml:space="preserve"> been decided.</w:t>
      </w:r>
    </w:p>
    <w:p w14:paraId="383A0549" w14:textId="77777777" w:rsidR="006F3AE7" w:rsidRPr="00711135" w:rsidRDefault="006F3AE7">
      <w:pPr>
        <w:spacing w:after="0" w:line="360" w:lineRule="auto"/>
        <w:jc w:val="both"/>
        <w:rPr>
          <w:rFonts w:ascii="Arial" w:hAnsi="Arial" w:cs="Arial"/>
          <w:sz w:val="24"/>
          <w:szCs w:val="24"/>
        </w:rPr>
      </w:pPr>
    </w:p>
    <w:p w14:paraId="785F9164" w14:textId="77777777" w:rsidR="006F3AE7" w:rsidRPr="00711135" w:rsidRDefault="006F3AE7">
      <w:pPr>
        <w:spacing w:after="0" w:line="360" w:lineRule="auto"/>
        <w:jc w:val="both"/>
        <w:rPr>
          <w:rFonts w:ascii="Arial" w:hAnsi="Arial" w:cs="Arial"/>
          <w:sz w:val="24"/>
          <w:szCs w:val="24"/>
        </w:rPr>
      </w:pPr>
      <w:r w:rsidRPr="00711135">
        <w:rPr>
          <w:rFonts w:ascii="Arial" w:hAnsi="Arial" w:cs="Arial"/>
          <w:sz w:val="24"/>
          <w:szCs w:val="24"/>
        </w:rPr>
        <w:t>To resolve the impasse created by the competing contentions, the applications for condonation were set down for argument.</w:t>
      </w:r>
    </w:p>
    <w:p w14:paraId="68603305" w14:textId="77777777" w:rsidR="006F3AE7" w:rsidRPr="00711135" w:rsidRDefault="006F3AE7">
      <w:pPr>
        <w:spacing w:after="0" w:line="360" w:lineRule="auto"/>
        <w:jc w:val="both"/>
        <w:rPr>
          <w:rFonts w:ascii="Arial" w:hAnsi="Arial" w:cs="Arial"/>
          <w:i/>
          <w:sz w:val="24"/>
          <w:szCs w:val="24"/>
        </w:rPr>
      </w:pPr>
    </w:p>
    <w:p w14:paraId="6168F6A5" w14:textId="6EA80D19" w:rsidR="006F3AE7" w:rsidRPr="00711135" w:rsidRDefault="006F3AE7">
      <w:pPr>
        <w:spacing w:after="0" w:line="360" w:lineRule="auto"/>
        <w:jc w:val="both"/>
        <w:rPr>
          <w:rFonts w:ascii="Arial" w:hAnsi="Arial" w:cs="Arial"/>
          <w:sz w:val="24"/>
          <w:szCs w:val="24"/>
        </w:rPr>
      </w:pPr>
      <w:r w:rsidRPr="00711135">
        <w:rPr>
          <w:rFonts w:ascii="Arial" w:hAnsi="Arial" w:cs="Arial"/>
          <w:i/>
          <w:sz w:val="24"/>
          <w:szCs w:val="24"/>
        </w:rPr>
        <w:t>Held that</w:t>
      </w:r>
      <w:r w:rsidR="00CD0741" w:rsidRPr="00711135">
        <w:rPr>
          <w:rFonts w:ascii="Arial" w:hAnsi="Arial" w:cs="Arial"/>
          <w:sz w:val="24"/>
          <w:szCs w:val="24"/>
        </w:rPr>
        <w:t>, the</w:t>
      </w:r>
      <w:r w:rsidRPr="00711135">
        <w:rPr>
          <w:rFonts w:ascii="Arial" w:hAnsi="Arial" w:cs="Arial"/>
          <w:sz w:val="24"/>
          <w:szCs w:val="24"/>
        </w:rPr>
        <w:t xml:space="preserve"> interpretation contended for by the applicant that security for costs must first be furnished prior to attending to the preparation of the record is untenable.</w:t>
      </w:r>
    </w:p>
    <w:p w14:paraId="120B9067" w14:textId="77777777" w:rsidR="006F3AE7" w:rsidRPr="00711135" w:rsidRDefault="006F3AE7">
      <w:pPr>
        <w:spacing w:after="0" w:line="360" w:lineRule="auto"/>
        <w:jc w:val="both"/>
        <w:rPr>
          <w:rFonts w:ascii="Arial" w:hAnsi="Arial" w:cs="Arial"/>
          <w:sz w:val="24"/>
          <w:szCs w:val="24"/>
        </w:rPr>
      </w:pPr>
    </w:p>
    <w:p w14:paraId="5987DA4A" w14:textId="400B67E0" w:rsidR="006F3AE7" w:rsidRPr="00711135" w:rsidRDefault="006F3AE7">
      <w:pPr>
        <w:spacing w:after="0" w:line="360" w:lineRule="auto"/>
        <w:jc w:val="both"/>
        <w:rPr>
          <w:rFonts w:ascii="Arial" w:hAnsi="Arial" w:cs="Arial"/>
          <w:sz w:val="24"/>
          <w:szCs w:val="24"/>
        </w:rPr>
      </w:pPr>
      <w:r w:rsidRPr="00711135">
        <w:rPr>
          <w:rFonts w:ascii="Arial" w:hAnsi="Arial" w:cs="Arial"/>
          <w:i/>
          <w:sz w:val="24"/>
          <w:szCs w:val="24"/>
        </w:rPr>
        <w:t>Held that</w:t>
      </w:r>
      <w:r w:rsidRPr="00711135">
        <w:rPr>
          <w:rFonts w:ascii="Arial" w:hAnsi="Arial" w:cs="Arial"/>
          <w:sz w:val="24"/>
          <w:szCs w:val="24"/>
        </w:rPr>
        <w:t>,</w:t>
      </w:r>
      <w:r w:rsidRPr="00711135">
        <w:rPr>
          <w:rFonts w:ascii="Arial" w:hAnsi="Arial" w:cs="Arial"/>
          <w:i/>
          <w:sz w:val="24"/>
          <w:szCs w:val="24"/>
        </w:rPr>
        <w:t xml:space="preserve"> </w:t>
      </w:r>
      <w:r w:rsidRPr="00711135">
        <w:rPr>
          <w:rFonts w:ascii="Arial" w:hAnsi="Arial" w:cs="Arial"/>
          <w:sz w:val="24"/>
          <w:szCs w:val="24"/>
        </w:rPr>
        <w:t xml:space="preserve">rule 8 not only requires that an appellant must file the record within three months </w:t>
      </w:r>
      <w:r w:rsidR="005F01FF" w:rsidRPr="00711135">
        <w:rPr>
          <w:rFonts w:ascii="Arial" w:hAnsi="Arial" w:cs="Arial"/>
          <w:sz w:val="24"/>
          <w:szCs w:val="24"/>
        </w:rPr>
        <w:t>o</w:t>
      </w:r>
      <w:r w:rsidRPr="00711135">
        <w:rPr>
          <w:rFonts w:ascii="Arial" w:hAnsi="Arial" w:cs="Arial"/>
          <w:sz w:val="24"/>
          <w:szCs w:val="24"/>
        </w:rPr>
        <w:t>f the date of the judgment appealed against or within such further period as may be agreed upon in writing by the respondent, but rule 9(4) spells out sanctions for non-compliance with rule 8.</w:t>
      </w:r>
    </w:p>
    <w:p w14:paraId="41EDF8A6" w14:textId="77777777" w:rsidR="006F3AE7" w:rsidRPr="00711135" w:rsidRDefault="006F3AE7">
      <w:pPr>
        <w:spacing w:after="0" w:line="360" w:lineRule="auto"/>
        <w:jc w:val="both"/>
        <w:rPr>
          <w:rFonts w:ascii="Arial" w:hAnsi="Arial" w:cs="Arial"/>
          <w:i/>
          <w:sz w:val="24"/>
          <w:szCs w:val="24"/>
        </w:rPr>
      </w:pPr>
    </w:p>
    <w:p w14:paraId="306A7228" w14:textId="77777777" w:rsidR="00F24641" w:rsidRPr="00711135" w:rsidRDefault="006F3AE7">
      <w:pPr>
        <w:spacing w:after="0" w:line="360" w:lineRule="auto"/>
        <w:jc w:val="both"/>
        <w:rPr>
          <w:rFonts w:ascii="Arial" w:hAnsi="Arial" w:cs="Arial"/>
          <w:sz w:val="24"/>
          <w:szCs w:val="24"/>
        </w:rPr>
      </w:pPr>
      <w:r w:rsidRPr="00711135">
        <w:rPr>
          <w:rFonts w:ascii="Arial" w:hAnsi="Arial" w:cs="Arial"/>
          <w:i/>
          <w:sz w:val="24"/>
          <w:szCs w:val="24"/>
        </w:rPr>
        <w:t>Held that</w:t>
      </w:r>
      <w:r w:rsidRPr="00711135">
        <w:rPr>
          <w:rFonts w:ascii="Arial" w:hAnsi="Arial" w:cs="Arial"/>
          <w:sz w:val="24"/>
          <w:szCs w:val="24"/>
        </w:rPr>
        <w:t>,</w:t>
      </w:r>
      <w:r w:rsidRPr="00711135">
        <w:rPr>
          <w:rFonts w:ascii="Arial" w:hAnsi="Arial" w:cs="Arial"/>
          <w:i/>
          <w:sz w:val="24"/>
          <w:szCs w:val="24"/>
        </w:rPr>
        <w:t xml:space="preserve"> </w:t>
      </w:r>
      <w:r w:rsidRPr="00711135">
        <w:rPr>
          <w:rFonts w:ascii="Arial" w:hAnsi="Arial" w:cs="Arial"/>
          <w:sz w:val="24"/>
          <w:szCs w:val="24"/>
        </w:rPr>
        <w:t>the absence of the record of proceedings also impedes on the administration of justice, in that it hinders the court’s ability to determine the prospects of success on appeal as the relevant evidence or material is not placed before it.</w:t>
      </w:r>
    </w:p>
    <w:p w14:paraId="36566840" w14:textId="77777777" w:rsidR="005F01FF" w:rsidRPr="00711135" w:rsidRDefault="005F01FF">
      <w:pPr>
        <w:spacing w:after="0" w:line="360" w:lineRule="auto"/>
        <w:jc w:val="both"/>
        <w:rPr>
          <w:rFonts w:ascii="Arial" w:hAnsi="Arial" w:cs="Arial"/>
          <w:i/>
          <w:sz w:val="24"/>
          <w:szCs w:val="24"/>
        </w:rPr>
      </w:pPr>
    </w:p>
    <w:p w14:paraId="4FE0DE58" w14:textId="47070CAA" w:rsidR="00F24641" w:rsidRPr="00711135" w:rsidRDefault="00F24641">
      <w:pPr>
        <w:spacing w:after="0" w:line="360" w:lineRule="auto"/>
        <w:jc w:val="both"/>
        <w:rPr>
          <w:rFonts w:ascii="Arial" w:hAnsi="Arial" w:cs="Arial"/>
          <w:b/>
          <w:i/>
          <w:sz w:val="24"/>
          <w:szCs w:val="24"/>
        </w:rPr>
      </w:pPr>
      <w:r w:rsidRPr="00711135">
        <w:rPr>
          <w:rFonts w:ascii="Arial" w:hAnsi="Arial" w:cs="Arial"/>
          <w:i/>
          <w:sz w:val="24"/>
          <w:szCs w:val="24"/>
        </w:rPr>
        <w:t>Held that</w:t>
      </w:r>
      <w:r w:rsidRPr="00711135">
        <w:rPr>
          <w:rFonts w:ascii="Arial" w:hAnsi="Arial" w:cs="Arial"/>
          <w:sz w:val="24"/>
          <w:szCs w:val="24"/>
        </w:rPr>
        <w:t xml:space="preserve">, </w:t>
      </w:r>
      <w:r w:rsidRPr="00711135">
        <w:rPr>
          <w:rFonts w:ascii="Arial" w:hAnsi="Arial" w:cs="Arial"/>
          <w:color w:val="000000" w:themeColor="text1"/>
          <w:sz w:val="24"/>
          <w:szCs w:val="24"/>
        </w:rPr>
        <w:t xml:space="preserve">in view of the applicant’s non-compliance with multiple rules of court, this is an instance where, due to the cumulative effect of glaring, flagrant and inexplicable non-compliances with the </w:t>
      </w:r>
      <w:r w:rsidR="000D2415">
        <w:rPr>
          <w:rFonts w:ascii="Arial" w:hAnsi="Arial" w:cs="Arial"/>
          <w:color w:val="000000" w:themeColor="text1"/>
          <w:sz w:val="24"/>
          <w:szCs w:val="24"/>
        </w:rPr>
        <w:t>r</w:t>
      </w:r>
      <w:r w:rsidRPr="00711135">
        <w:rPr>
          <w:rFonts w:ascii="Arial" w:hAnsi="Arial" w:cs="Arial"/>
          <w:color w:val="000000" w:themeColor="text1"/>
          <w:sz w:val="24"/>
          <w:szCs w:val="24"/>
        </w:rPr>
        <w:t xml:space="preserve">ules of </w:t>
      </w:r>
      <w:r w:rsidR="000D2415">
        <w:rPr>
          <w:rFonts w:ascii="Arial" w:hAnsi="Arial" w:cs="Arial"/>
          <w:color w:val="000000" w:themeColor="text1"/>
          <w:sz w:val="24"/>
          <w:szCs w:val="24"/>
        </w:rPr>
        <w:t>c</w:t>
      </w:r>
      <w:r w:rsidRPr="00711135">
        <w:rPr>
          <w:rFonts w:ascii="Arial" w:hAnsi="Arial" w:cs="Arial"/>
          <w:color w:val="000000" w:themeColor="text1"/>
          <w:sz w:val="24"/>
          <w:szCs w:val="24"/>
        </w:rPr>
        <w:t>ourt, condonation should be refused without considering the merits. Applications dismissed.</w:t>
      </w:r>
      <w:r w:rsidR="006F3AE7" w:rsidRPr="00711135">
        <w:rPr>
          <w:rFonts w:ascii="Arial" w:hAnsi="Arial" w:cs="Arial"/>
          <w:b/>
          <w:i/>
          <w:sz w:val="24"/>
          <w:szCs w:val="24"/>
        </w:rPr>
        <w:t xml:space="preserve"> </w:t>
      </w:r>
      <w:r w:rsidR="00023DDF" w:rsidRPr="00711135">
        <w:rPr>
          <w:rFonts w:ascii="Arial" w:hAnsi="Arial" w:cs="Arial"/>
          <w:b/>
          <w:i/>
          <w:sz w:val="24"/>
          <w:szCs w:val="24"/>
        </w:rPr>
        <w:t xml:space="preserve">   </w:t>
      </w:r>
    </w:p>
    <w:p w14:paraId="7E89E740" w14:textId="6BDE4D22" w:rsidR="008B6DD2" w:rsidRPr="00711135" w:rsidRDefault="00023DDF" w:rsidP="00DD335B">
      <w:pPr>
        <w:spacing w:after="0" w:line="360" w:lineRule="auto"/>
        <w:jc w:val="both"/>
        <w:rPr>
          <w:rFonts w:ascii="Arial" w:hAnsi="Arial" w:cs="Arial"/>
          <w:sz w:val="24"/>
          <w:szCs w:val="24"/>
        </w:rPr>
      </w:pPr>
      <w:r w:rsidRPr="00711135">
        <w:rPr>
          <w:rFonts w:ascii="Arial" w:hAnsi="Arial" w:cs="Arial"/>
          <w:b/>
          <w:i/>
          <w:sz w:val="24"/>
          <w:szCs w:val="24"/>
        </w:rPr>
        <w:t xml:space="preserve"> </w:t>
      </w:r>
      <w:r w:rsidR="008B6DD2" w:rsidRPr="00711135">
        <w:rPr>
          <w:rFonts w:ascii="Arial" w:hAnsi="Arial" w:cs="Arial"/>
          <w:sz w:val="24"/>
          <w:szCs w:val="24"/>
        </w:rPr>
        <w:t>____________________________________________________________________</w:t>
      </w:r>
    </w:p>
    <w:p w14:paraId="0B79878D" w14:textId="77777777" w:rsidR="008B6DD2" w:rsidRPr="00711135" w:rsidRDefault="008B6DD2" w:rsidP="00CD0741">
      <w:pPr>
        <w:spacing w:after="0" w:line="240" w:lineRule="auto"/>
        <w:rPr>
          <w:rFonts w:ascii="Arial" w:hAnsi="Arial" w:cs="Arial"/>
          <w:sz w:val="24"/>
          <w:szCs w:val="24"/>
        </w:rPr>
      </w:pPr>
    </w:p>
    <w:p w14:paraId="5051E518" w14:textId="3EFCFCC9" w:rsidR="008B6DD2" w:rsidRPr="00711135" w:rsidRDefault="00CD0741">
      <w:pPr>
        <w:spacing w:after="0" w:line="240" w:lineRule="auto"/>
        <w:jc w:val="center"/>
        <w:rPr>
          <w:rFonts w:ascii="Arial" w:hAnsi="Arial" w:cs="Arial"/>
          <w:b/>
          <w:sz w:val="24"/>
          <w:szCs w:val="24"/>
        </w:rPr>
      </w:pPr>
      <w:r w:rsidRPr="00711135">
        <w:rPr>
          <w:rFonts w:ascii="Arial" w:hAnsi="Arial" w:cs="Arial"/>
          <w:b/>
          <w:sz w:val="24"/>
          <w:szCs w:val="24"/>
        </w:rPr>
        <w:t xml:space="preserve">APPEAL </w:t>
      </w:r>
      <w:r w:rsidR="008B6DD2" w:rsidRPr="00711135">
        <w:rPr>
          <w:rFonts w:ascii="Arial" w:hAnsi="Arial" w:cs="Arial"/>
          <w:b/>
          <w:sz w:val="24"/>
          <w:szCs w:val="24"/>
        </w:rPr>
        <w:t>JUDGMENT</w:t>
      </w:r>
    </w:p>
    <w:p w14:paraId="70CE9E63" w14:textId="77777777" w:rsidR="008B6DD2" w:rsidRPr="00711135" w:rsidRDefault="008B6DD2">
      <w:pPr>
        <w:spacing w:after="0" w:line="240" w:lineRule="auto"/>
        <w:rPr>
          <w:rFonts w:ascii="Arial" w:hAnsi="Arial" w:cs="Arial"/>
          <w:sz w:val="24"/>
          <w:szCs w:val="24"/>
        </w:rPr>
      </w:pPr>
      <w:r w:rsidRPr="00711135">
        <w:rPr>
          <w:rFonts w:ascii="Arial" w:hAnsi="Arial" w:cs="Arial"/>
          <w:sz w:val="24"/>
          <w:szCs w:val="24"/>
        </w:rPr>
        <w:t>____________________________________________________________________</w:t>
      </w:r>
    </w:p>
    <w:p w14:paraId="419F1F8B" w14:textId="77777777" w:rsidR="008B6DD2" w:rsidRPr="00711135" w:rsidRDefault="008B6DD2">
      <w:pPr>
        <w:spacing w:after="0" w:line="240" w:lineRule="auto"/>
        <w:rPr>
          <w:rFonts w:ascii="Arial" w:hAnsi="Arial" w:cs="Arial"/>
          <w:sz w:val="24"/>
          <w:szCs w:val="24"/>
        </w:rPr>
      </w:pPr>
    </w:p>
    <w:p w14:paraId="108A00C6" w14:textId="77777777" w:rsidR="008B6DD2" w:rsidRPr="00711135" w:rsidRDefault="008B6DD2">
      <w:pPr>
        <w:spacing w:after="0" w:line="240" w:lineRule="auto"/>
        <w:rPr>
          <w:rFonts w:ascii="Arial" w:hAnsi="Arial" w:cs="Arial"/>
          <w:sz w:val="24"/>
          <w:szCs w:val="24"/>
        </w:rPr>
      </w:pPr>
    </w:p>
    <w:p w14:paraId="194C6747" w14:textId="77777777" w:rsidR="008B6DD2" w:rsidRPr="00711135" w:rsidRDefault="00044F8B">
      <w:pPr>
        <w:spacing w:after="0" w:line="480" w:lineRule="auto"/>
        <w:jc w:val="both"/>
        <w:rPr>
          <w:rFonts w:ascii="Arial" w:hAnsi="Arial" w:cs="Arial"/>
          <w:sz w:val="24"/>
          <w:szCs w:val="24"/>
        </w:rPr>
      </w:pPr>
      <w:r w:rsidRPr="00711135">
        <w:rPr>
          <w:rFonts w:ascii="Arial" w:hAnsi="Arial" w:cs="Arial"/>
          <w:sz w:val="24"/>
          <w:szCs w:val="24"/>
        </w:rPr>
        <w:t xml:space="preserve">SHIVUTE CJ </w:t>
      </w:r>
      <w:r w:rsidR="008B6DD2" w:rsidRPr="00711135">
        <w:rPr>
          <w:rFonts w:ascii="Arial" w:hAnsi="Arial" w:cs="Arial"/>
          <w:sz w:val="24"/>
          <w:szCs w:val="24"/>
        </w:rPr>
        <w:t>(</w:t>
      </w:r>
      <w:r w:rsidRPr="00711135">
        <w:rPr>
          <w:rFonts w:ascii="Arial" w:hAnsi="Arial" w:cs="Arial"/>
          <w:sz w:val="24"/>
          <w:szCs w:val="24"/>
        </w:rPr>
        <w:t xml:space="preserve">SMUTS JA and FRANK AJA </w:t>
      </w:r>
      <w:r w:rsidR="008B6DD2" w:rsidRPr="00711135">
        <w:rPr>
          <w:rFonts w:ascii="Arial" w:hAnsi="Arial" w:cs="Arial"/>
          <w:sz w:val="24"/>
          <w:szCs w:val="24"/>
        </w:rPr>
        <w:t>concurring):</w:t>
      </w:r>
    </w:p>
    <w:p w14:paraId="2322BCE0" w14:textId="77777777" w:rsidR="008B6DD2" w:rsidRPr="00711135" w:rsidRDefault="008B6DD2">
      <w:pPr>
        <w:spacing w:after="0" w:line="480" w:lineRule="auto"/>
        <w:jc w:val="both"/>
        <w:rPr>
          <w:rFonts w:ascii="Arial" w:hAnsi="Arial" w:cs="Arial"/>
          <w:sz w:val="24"/>
          <w:szCs w:val="24"/>
          <w:u w:val="single"/>
        </w:rPr>
      </w:pPr>
      <w:r w:rsidRPr="00711135">
        <w:rPr>
          <w:rFonts w:ascii="Arial" w:hAnsi="Arial" w:cs="Arial"/>
          <w:sz w:val="24"/>
          <w:szCs w:val="24"/>
          <w:u w:val="single"/>
        </w:rPr>
        <w:lastRenderedPageBreak/>
        <w:t>Introduction</w:t>
      </w:r>
    </w:p>
    <w:p w14:paraId="1A6152C2" w14:textId="06C87E4D" w:rsidR="00C16B5D"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w:t>
      </w:r>
      <w:r w:rsidRPr="00711135">
        <w:rPr>
          <w:rFonts w:ascii="Arial" w:hAnsi="Arial" w:cs="Arial"/>
          <w:sz w:val="24"/>
          <w:szCs w:val="24"/>
        </w:rPr>
        <w:tab/>
      </w:r>
      <w:r w:rsidR="00E264FE" w:rsidRPr="00711135">
        <w:rPr>
          <w:rFonts w:ascii="Arial" w:hAnsi="Arial" w:cs="Arial"/>
          <w:sz w:val="24"/>
          <w:szCs w:val="24"/>
        </w:rPr>
        <w:t>These</w:t>
      </w:r>
      <w:r w:rsidR="00C16B5D" w:rsidRPr="00711135">
        <w:rPr>
          <w:rFonts w:ascii="Arial" w:hAnsi="Arial" w:cs="Arial"/>
          <w:sz w:val="24"/>
          <w:szCs w:val="24"/>
        </w:rPr>
        <w:t xml:space="preserve"> </w:t>
      </w:r>
      <w:r w:rsidR="00497CF4" w:rsidRPr="00711135">
        <w:rPr>
          <w:rFonts w:ascii="Arial" w:hAnsi="Arial" w:cs="Arial"/>
          <w:sz w:val="24"/>
          <w:szCs w:val="24"/>
        </w:rPr>
        <w:t xml:space="preserve">consolidated </w:t>
      </w:r>
      <w:r w:rsidR="00E264FE" w:rsidRPr="00711135">
        <w:rPr>
          <w:rFonts w:ascii="Arial" w:hAnsi="Arial" w:cs="Arial"/>
          <w:sz w:val="24"/>
          <w:szCs w:val="24"/>
        </w:rPr>
        <w:t xml:space="preserve">matters </w:t>
      </w:r>
      <w:r w:rsidR="006136F6" w:rsidRPr="00711135">
        <w:rPr>
          <w:rFonts w:ascii="Arial" w:hAnsi="Arial" w:cs="Arial"/>
          <w:sz w:val="24"/>
          <w:szCs w:val="24"/>
        </w:rPr>
        <w:t>involve the same applicant</w:t>
      </w:r>
      <w:r w:rsidR="00497CF4" w:rsidRPr="00711135">
        <w:rPr>
          <w:rFonts w:ascii="Arial" w:hAnsi="Arial" w:cs="Arial"/>
          <w:sz w:val="24"/>
          <w:szCs w:val="24"/>
        </w:rPr>
        <w:t xml:space="preserve"> </w:t>
      </w:r>
      <w:r w:rsidR="006136F6" w:rsidRPr="00711135">
        <w:rPr>
          <w:rFonts w:ascii="Arial" w:hAnsi="Arial" w:cs="Arial"/>
          <w:sz w:val="24"/>
          <w:szCs w:val="24"/>
        </w:rPr>
        <w:t>i</w:t>
      </w:r>
      <w:r w:rsidR="00497CF4" w:rsidRPr="00711135">
        <w:rPr>
          <w:rFonts w:ascii="Arial" w:hAnsi="Arial" w:cs="Arial"/>
          <w:sz w:val="24"/>
          <w:szCs w:val="24"/>
        </w:rPr>
        <w:t>n</w:t>
      </w:r>
      <w:r w:rsidR="006136F6" w:rsidRPr="00711135">
        <w:rPr>
          <w:rFonts w:ascii="Arial" w:hAnsi="Arial" w:cs="Arial"/>
          <w:sz w:val="24"/>
          <w:szCs w:val="24"/>
        </w:rPr>
        <w:t xml:space="preserve"> </w:t>
      </w:r>
      <w:r w:rsidR="00497CF4" w:rsidRPr="00711135">
        <w:rPr>
          <w:rFonts w:ascii="Arial" w:hAnsi="Arial" w:cs="Arial"/>
          <w:sz w:val="24"/>
          <w:szCs w:val="24"/>
        </w:rPr>
        <w:t xml:space="preserve">three </w:t>
      </w:r>
      <w:r w:rsidR="00D06FB0" w:rsidRPr="00711135">
        <w:rPr>
          <w:rFonts w:ascii="Arial" w:hAnsi="Arial" w:cs="Arial"/>
          <w:sz w:val="24"/>
          <w:szCs w:val="24"/>
        </w:rPr>
        <w:t xml:space="preserve">separate </w:t>
      </w:r>
      <w:r w:rsidR="00C16B5D" w:rsidRPr="00711135">
        <w:rPr>
          <w:rFonts w:ascii="Arial" w:hAnsi="Arial" w:cs="Arial"/>
          <w:sz w:val="24"/>
          <w:szCs w:val="24"/>
        </w:rPr>
        <w:t xml:space="preserve">applications for condonation for the </w:t>
      </w:r>
      <w:r w:rsidR="00C16B5D" w:rsidRPr="00711135">
        <w:rPr>
          <w:rFonts w:ascii="Arial" w:eastAsia="Arial" w:hAnsi="Arial" w:cs="Arial"/>
          <w:sz w:val="24"/>
          <w:szCs w:val="24"/>
        </w:rPr>
        <w:t>late filing of appeal record</w:t>
      </w:r>
      <w:r w:rsidR="000356B7" w:rsidRPr="00711135">
        <w:rPr>
          <w:rFonts w:ascii="Arial" w:eastAsia="Arial" w:hAnsi="Arial" w:cs="Arial"/>
          <w:sz w:val="24"/>
          <w:szCs w:val="24"/>
        </w:rPr>
        <w:t>s</w:t>
      </w:r>
      <w:r w:rsidR="00C16B5D" w:rsidRPr="00711135">
        <w:rPr>
          <w:rFonts w:ascii="Arial" w:eastAsia="Arial" w:hAnsi="Arial" w:cs="Arial"/>
          <w:sz w:val="24"/>
          <w:szCs w:val="24"/>
        </w:rPr>
        <w:t xml:space="preserve"> </w:t>
      </w:r>
      <w:r w:rsidR="00E10407" w:rsidRPr="00711135">
        <w:rPr>
          <w:rFonts w:ascii="Arial" w:eastAsia="Arial" w:hAnsi="Arial" w:cs="Arial"/>
          <w:sz w:val="24"/>
          <w:szCs w:val="24"/>
        </w:rPr>
        <w:t>–</w:t>
      </w:r>
      <w:r w:rsidR="009B2A72" w:rsidRPr="00711135">
        <w:rPr>
          <w:rFonts w:ascii="Arial" w:eastAsia="Arial" w:hAnsi="Arial" w:cs="Arial"/>
          <w:sz w:val="24"/>
          <w:szCs w:val="24"/>
        </w:rPr>
        <w:t xml:space="preserve"> </w:t>
      </w:r>
      <w:r w:rsidR="00C16B5D" w:rsidRPr="00711135">
        <w:rPr>
          <w:rFonts w:ascii="Arial" w:eastAsia="Arial" w:hAnsi="Arial" w:cs="Arial"/>
          <w:sz w:val="24"/>
          <w:szCs w:val="24"/>
        </w:rPr>
        <w:t>a</w:t>
      </w:r>
      <w:r w:rsidR="00E264FE" w:rsidRPr="00711135">
        <w:rPr>
          <w:rFonts w:ascii="Arial" w:eastAsia="Arial" w:hAnsi="Arial" w:cs="Arial"/>
          <w:sz w:val="24"/>
          <w:szCs w:val="24"/>
        </w:rPr>
        <w:t>nd</w:t>
      </w:r>
      <w:r w:rsidR="00C16B5D" w:rsidRPr="00711135">
        <w:rPr>
          <w:rFonts w:ascii="Arial" w:eastAsia="Arial" w:hAnsi="Arial" w:cs="Arial"/>
          <w:sz w:val="24"/>
          <w:szCs w:val="24"/>
        </w:rPr>
        <w:t xml:space="preserve"> </w:t>
      </w:r>
      <w:r w:rsidR="009B2A72" w:rsidRPr="00711135">
        <w:rPr>
          <w:rFonts w:ascii="Arial" w:eastAsia="Arial" w:hAnsi="Arial" w:cs="Arial"/>
          <w:sz w:val="24"/>
          <w:szCs w:val="24"/>
        </w:rPr>
        <w:t xml:space="preserve">in respect of two of those applications </w:t>
      </w:r>
      <w:r w:rsidR="00E10407" w:rsidRPr="00711135">
        <w:rPr>
          <w:rFonts w:ascii="Arial" w:eastAsia="Arial" w:hAnsi="Arial" w:cs="Arial"/>
          <w:sz w:val="24"/>
          <w:szCs w:val="24"/>
        </w:rPr>
        <w:t>–</w:t>
      </w:r>
      <w:r w:rsidR="009B2A72" w:rsidRPr="00711135">
        <w:rPr>
          <w:rFonts w:ascii="Arial" w:eastAsia="Arial" w:hAnsi="Arial" w:cs="Arial"/>
          <w:sz w:val="24"/>
          <w:szCs w:val="24"/>
        </w:rPr>
        <w:t xml:space="preserve"> </w:t>
      </w:r>
      <w:r w:rsidR="00C16B5D" w:rsidRPr="00711135">
        <w:rPr>
          <w:rFonts w:ascii="Arial" w:eastAsia="Arial" w:hAnsi="Arial" w:cs="Arial"/>
          <w:sz w:val="24"/>
          <w:szCs w:val="24"/>
        </w:rPr>
        <w:t>the r</w:t>
      </w:r>
      <w:r w:rsidR="00C16B5D" w:rsidRPr="00711135">
        <w:rPr>
          <w:rFonts w:ascii="Arial" w:hAnsi="Arial" w:cs="Arial"/>
          <w:sz w:val="24"/>
          <w:szCs w:val="24"/>
        </w:rPr>
        <w:t xml:space="preserve">einstatement of </w:t>
      </w:r>
      <w:r w:rsidR="00E264FE" w:rsidRPr="00711135">
        <w:rPr>
          <w:rFonts w:ascii="Arial" w:hAnsi="Arial" w:cs="Arial"/>
          <w:sz w:val="24"/>
          <w:szCs w:val="24"/>
        </w:rPr>
        <w:t xml:space="preserve">lapsed </w:t>
      </w:r>
      <w:r w:rsidR="00C16B5D" w:rsidRPr="00711135">
        <w:rPr>
          <w:rFonts w:ascii="Arial" w:hAnsi="Arial" w:cs="Arial"/>
          <w:sz w:val="24"/>
          <w:szCs w:val="24"/>
        </w:rPr>
        <w:t>appeals noted i</w:t>
      </w:r>
      <w:r w:rsidR="00E264FE" w:rsidRPr="00711135">
        <w:rPr>
          <w:rFonts w:ascii="Arial" w:hAnsi="Arial" w:cs="Arial"/>
          <w:sz w:val="24"/>
          <w:szCs w:val="24"/>
        </w:rPr>
        <w:t>n</w:t>
      </w:r>
      <w:r w:rsidR="00C16B5D" w:rsidRPr="00711135">
        <w:rPr>
          <w:rFonts w:ascii="Arial" w:hAnsi="Arial" w:cs="Arial"/>
          <w:sz w:val="24"/>
          <w:szCs w:val="24"/>
        </w:rPr>
        <w:t xml:space="preserve"> </w:t>
      </w:r>
      <w:r w:rsidR="008F5DBA" w:rsidRPr="00711135">
        <w:rPr>
          <w:rFonts w:ascii="Arial" w:hAnsi="Arial" w:cs="Arial"/>
          <w:sz w:val="24"/>
          <w:szCs w:val="24"/>
        </w:rPr>
        <w:t xml:space="preserve">this </w:t>
      </w:r>
      <w:r w:rsidR="00C16B5D" w:rsidRPr="00711135">
        <w:rPr>
          <w:rFonts w:ascii="Arial" w:hAnsi="Arial" w:cs="Arial"/>
          <w:sz w:val="24"/>
          <w:szCs w:val="24"/>
        </w:rPr>
        <w:t>Court.</w:t>
      </w:r>
      <w:r w:rsidR="00E264FE" w:rsidRPr="00711135">
        <w:rPr>
          <w:rFonts w:ascii="Arial" w:hAnsi="Arial" w:cs="Arial"/>
          <w:sz w:val="24"/>
          <w:szCs w:val="24"/>
        </w:rPr>
        <w:t xml:space="preserve"> </w:t>
      </w:r>
      <w:r w:rsidR="00C16B5D" w:rsidRPr="00711135">
        <w:rPr>
          <w:rFonts w:ascii="Arial" w:hAnsi="Arial" w:cs="Arial"/>
          <w:sz w:val="24"/>
          <w:szCs w:val="24"/>
        </w:rPr>
        <w:t xml:space="preserve">As the contentions and issues material to the determination of the applications are similar, </w:t>
      </w:r>
      <w:r w:rsidR="00E264FE" w:rsidRPr="00711135">
        <w:rPr>
          <w:rFonts w:ascii="Arial" w:hAnsi="Arial" w:cs="Arial"/>
          <w:sz w:val="24"/>
          <w:szCs w:val="24"/>
        </w:rPr>
        <w:t>the</w:t>
      </w:r>
      <w:r w:rsidR="00C16B5D" w:rsidRPr="00711135">
        <w:rPr>
          <w:rFonts w:ascii="Arial" w:hAnsi="Arial" w:cs="Arial"/>
          <w:sz w:val="24"/>
          <w:szCs w:val="24"/>
        </w:rPr>
        <w:t xml:space="preserve"> matters were set down for hearing </w:t>
      </w:r>
      <w:r w:rsidR="00D06FB0" w:rsidRPr="00711135">
        <w:rPr>
          <w:rFonts w:ascii="Arial" w:hAnsi="Arial" w:cs="Arial"/>
          <w:sz w:val="24"/>
          <w:szCs w:val="24"/>
        </w:rPr>
        <w:t xml:space="preserve">together </w:t>
      </w:r>
      <w:r w:rsidR="00C16B5D" w:rsidRPr="00711135">
        <w:rPr>
          <w:rFonts w:ascii="Arial" w:hAnsi="Arial" w:cs="Arial"/>
          <w:sz w:val="24"/>
          <w:szCs w:val="24"/>
        </w:rPr>
        <w:t>and were heard on the same day. I</w:t>
      </w:r>
      <w:r w:rsidR="00E264FE" w:rsidRPr="00711135">
        <w:rPr>
          <w:rFonts w:ascii="Arial" w:hAnsi="Arial" w:cs="Arial"/>
          <w:sz w:val="24"/>
          <w:szCs w:val="24"/>
        </w:rPr>
        <w:t xml:space="preserve">t is for those reasons that </w:t>
      </w:r>
      <w:r w:rsidR="008856BB" w:rsidRPr="00711135">
        <w:rPr>
          <w:rFonts w:ascii="Arial" w:hAnsi="Arial" w:cs="Arial"/>
          <w:sz w:val="24"/>
          <w:szCs w:val="24"/>
        </w:rPr>
        <w:t>one composite judgment</w:t>
      </w:r>
      <w:r w:rsidR="00C9720D" w:rsidRPr="00711135">
        <w:rPr>
          <w:rFonts w:ascii="Arial" w:hAnsi="Arial" w:cs="Arial"/>
          <w:sz w:val="24"/>
          <w:szCs w:val="24"/>
        </w:rPr>
        <w:t xml:space="preserve"> covering all the </w:t>
      </w:r>
      <w:r w:rsidR="00614995" w:rsidRPr="00711135">
        <w:rPr>
          <w:rFonts w:ascii="Arial" w:hAnsi="Arial" w:cs="Arial"/>
          <w:sz w:val="24"/>
          <w:szCs w:val="24"/>
        </w:rPr>
        <w:t>three applications has been prepared.</w:t>
      </w:r>
      <w:r w:rsidR="00C16B5D" w:rsidRPr="00711135">
        <w:rPr>
          <w:rFonts w:ascii="Arial" w:hAnsi="Arial" w:cs="Arial"/>
          <w:sz w:val="24"/>
          <w:szCs w:val="24"/>
        </w:rPr>
        <w:t xml:space="preserve"> I</w:t>
      </w:r>
      <w:r w:rsidR="007B1D93" w:rsidRPr="00711135">
        <w:rPr>
          <w:rFonts w:ascii="Arial" w:hAnsi="Arial" w:cs="Arial"/>
          <w:sz w:val="24"/>
          <w:szCs w:val="24"/>
        </w:rPr>
        <w:t>t</w:t>
      </w:r>
      <w:r w:rsidR="00C16B5D" w:rsidRPr="00711135">
        <w:rPr>
          <w:rFonts w:ascii="Arial" w:hAnsi="Arial" w:cs="Arial"/>
          <w:sz w:val="24"/>
          <w:szCs w:val="24"/>
        </w:rPr>
        <w:t xml:space="preserve"> </w:t>
      </w:r>
      <w:r w:rsidR="007B1D93" w:rsidRPr="00711135">
        <w:rPr>
          <w:rFonts w:ascii="Arial" w:hAnsi="Arial" w:cs="Arial"/>
          <w:sz w:val="24"/>
          <w:szCs w:val="24"/>
        </w:rPr>
        <w:t>remains n</w:t>
      </w:r>
      <w:r w:rsidR="00C16B5D" w:rsidRPr="00711135">
        <w:rPr>
          <w:rFonts w:ascii="Arial" w:hAnsi="Arial" w:cs="Arial"/>
          <w:sz w:val="24"/>
          <w:szCs w:val="24"/>
        </w:rPr>
        <w:t xml:space="preserve">ow to </w:t>
      </w:r>
      <w:r w:rsidR="007B1D93" w:rsidRPr="00711135">
        <w:rPr>
          <w:rFonts w:ascii="Arial" w:hAnsi="Arial" w:cs="Arial"/>
          <w:sz w:val="24"/>
          <w:szCs w:val="24"/>
        </w:rPr>
        <w:t>briefly</w:t>
      </w:r>
      <w:r w:rsidR="00D45B9D" w:rsidRPr="00711135">
        <w:rPr>
          <w:rFonts w:ascii="Arial" w:hAnsi="Arial" w:cs="Arial"/>
          <w:sz w:val="24"/>
          <w:szCs w:val="24"/>
        </w:rPr>
        <w:t xml:space="preserve"> sketch the</w:t>
      </w:r>
      <w:r w:rsidR="007B1D93" w:rsidRPr="00711135">
        <w:rPr>
          <w:rFonts w:ascii="Arial" w:hAnsi="Arial" w:cs="Arial"/>
          <w:sz w:val="24"/>
          <w:szCs w:val="24"/>
        </w:rPr>
        <w:t xml:space="preserve"> history of </w:t>
      </w:r>
      <w:r w:rsidR="00A30120" w:rsidRPr="00711135">
        <w:rPr>
          <w:rFonts w:ascii="Arial" w:hAnsi="Arial" w:cs="Arial"/>
          <w:sz w:val="24"/>
          <w:szCs w:val="24"/>
        </w:rPr>
        <w:t>the</w:t>
      </w:r>
      <w:r w:rsidR="007B1D93" w:rsidRPr="00711135">
        <w:rPr>
          <w:rFonts w:ascii="Arial" w:hAnsi="Arial" w:cs="Arial"/>
          <w:sz w:val="24"/>
          <w:szCs w:val="24"/>
        </w:rPr>
        <w:t xml:space="preserve"> application</w:t>
      </w:r>
      <w:r w:rsidR="00A30120" w:rsidRPr="00711135">
        <w:rPr>
          <w:rFonts w:ascii="Arial" w:hAnsi="Arial" w:cs="Arial"/>
          <w:sz w:val="24"/>
          <w:szCs w:val="24"/>
        </w:rPr>
        <w:t>s</w:t>
      </w:r>
      <w:r w:rsidR="00D45B9D" w:rsidRPr="00711135">
        <w:rPr>
          <w:rFonts w:ascii="Arial" w:hAnsi="Arial" w:cs="Arial"/>
          <w:sz w:val="24"/>
          <w:szCs w:val="24"/>
        </w:rPr>
        <w:t xml:space="preserve"> and </w:t>
      </w:r>
      <w:r w:rsidR="00C9720D" w:rsidRPr="00711135">
        <w:rPr>
          <w:rFonts w:ascii="Arial" w:hAnsi="Arial" w:cs="Arial"/>
          <w:sz w:val="24"/>
          <w:szCs w:val="24"/>
        </w:rPr>
        <w:t xml:space="preserve">the context in which </w:t>
      </w:r>
      <w:r w:rsidR="00D45B9D" w:rsidRPr="00711135">
        <w:rPr>
          <w:rFonts w:ascii="Arial" w:hAnsi="Arial" w:cs="Arial"/>
          <w:sz w:val="24"/>
          <w:szCs w:val="24"/>
        </w:rPr>
        <w:t>t</w:t>
      </w:r>
      <w:r w:rsidR="00A30120" w:rsidRPr="00711135">
        <w:rPr>
          <w:rFonts w:ascii="Arial" w:hAnsi="Arial" w:cs="Arial"/>
          <w:sz w:val="24"/>
          <w:szCs w:val="24"/>
        </w:rPr>
        <w:t>hey</w:t>
      </w:r>
      <w:r w:rsidR="00D45B9D" w:rsidRPr="00711135">
        <w:rPr>
          <w:rFonts w:ascii="Arial" w:hAnsi="Arial" w:cs="Arial"/>
          <w:sz w:val="24"/>
          <w:szCs w:val="24"/>
        </w:rPr>
        <w:t xml:space="preserve"> came to be argued</w:t>
      </w:r>
      <w:r w:rsidR="00C16B5D" w:rsidRPr="00711135">
        <w:rPr>
          <w:rFonts w:ascii="Arial" w:hAnsi="Arial" w:cs="Arial"/>
          <w:sz w:val="24"/>
          <w:szCs w:val="24"/>
        </w:rPr>
        <w:t xml:space="preserve">. </w:t>
      </w:r>
    </w:p>
    <w:p w14:paraId="22B09247" w14:textId="77777777" w:rsidR="00C16B5D" w:rsidRPr="00711135" w:rsidRDefault="00C16B5D">
      <w:pPr>
        <w:spacing w:after="0" w:line="480" w:lineRule="auto"/>
        <w:jc w:val="both"/>
        <w:rPr>
          <w:rFonts w:ascii="Arial" w:hAnsi="Arial" w:cs="Arial"/>
          <w:color w:val="000000" w:themeColor="text1"/>
          <w:sz w:val="24"/>
          <w:szCs w:val="24"/>
        </w:rPr>
      </w:pPr>
    </w:p>
    <w:p w14:paraId="6AE8714D" w14:textId="7B001914" w:rsidR="00C16B5D" w:rsidRPr="00711135" w:rsidRDefault="00C16B5D">
      <w:pPr>
        <w:spacing w:after="0" w:line="480" w:lineRule="auto"/>
        <w:jc w:val="both"/>
        <w:rPr>
          <w:rFonts w:ascii="Arial" w:hAnsi="Arial" w:cs="Arial"/>
          <w:sz w:val="24"/>
          <w:szCs w:val="24"/>
          <w:u w:val="single"/>
        </w:rPr>
      </w:pPr>
      <w:r w:rsidRPr="00711135">
        <w:rPr>
          <w:rFonts w:ascii="Arial" w:hAnsi="Arial" w:cs="Arial"/>
          <w:sz w:val="24"/>
          <w:szCs w:val="24"/>
          <w:u w:val="single"/>
        </w:rPr>
        <w:t>Background</w:t>
      </w:r>
    </w:p>
    <w:p w14:paraId="48000B2C" w14:textId="50927E8D" w:rsidR="00C9720D" w:rsidRPr="00711135" w:rsidRDefault="00C9720D">
      <w:pPr>
        <w:spacing w:after="0" w:line="480" w:lineRule="auto"/>
        <w:jc w:val="both"/>
        <w:rPr>
          <w:rFonts w:ascii="Arial" w:hAnsi="Arial" w:cs="Arial"/>
          <w:i/>
          <w:sz w:val="24"/>
          <w:szCs w:val="24"/>
          <w:u w:val="single"/>
        </w:rPr>
      </w:pPr>
      <w:r w:rsidRPr="00711135">
        <w:rPr>
          <w:rFonts w:ascii="Arial" w:hAnsi="Arial" w:cs="Arial"/>
          <w:i/>
          <w:sz w:val="24"/>
          <w:szCs w:val="24"/>
        </w:rPr>
        <w:t xml:space="preserve">Alex Kamwi Mabuku Kamwi v Law Society of Namibia </w:t>
      </w:r>
      <w:r w:rsidRPr="00711135">
        <w:rPr>
          <w:rFonts w:ascii="Arial" w:hAnsi="Arial" w:cs="Arial"/>
          <w:sz w:val="24"/>
          <w:szCs w:val="24"/>
        </w:rPr>
        <w:t xml:space="preserve">Case </w:t>
      </w:r>
      <w:r w:rsidR="008A5B7E" w:rsidRPr="00711135">
        <w:rPr>
          <w:rFonts w:ascii="Arial" w:hAnsi="Arial" w:cs="Arial"/>
          <w:sz w:val="24"/>
          <w:szCs w:val="24"/>
        </w:rPr>
        <w:t>SA</w:t>
      </w:r>
      <w:r w:rsidRPr="00711135">
        <w:rPr>
          <w:rFonts w:ascii="Arial" w:hAnsi="Arial" w:cs="Arial"/>
          <w:sz w:val="24"/>
          <w:szCs w:val="24"/>
        </w:rPr>
        <w:t xml:space="preserve"> 56/2020</w:t>
      </w:r>
    </w:p>
    <w:p w14:paraId="44B96DAD" w14:textId="40EE087D" w:rsidR="00C9720D"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w:t>
      </w:r>
      <w:r w:rsidRPr="00711135">
        <w:rPr>
          <w:rFonts w:ascii="Arial" w:hAnsi="Arial" w:cs="Arial"/>
          <w:sz w:val="24"/>
          <w:szCs w:val="24"/>
        </w:rPr>
        <w:tab/>
      </w:r>
      <w:r w:rsidR="00C9720D" w:rsidRPr="00711135">
        <w:rPr>
          <w:rFonts w:ascii="Arial" w:hAnsi="Arial" w:cs="Arial"/>
          <w:sz w:val="24"/>
          <w:szCs w:val="24"/>
        </w:rPr>
        <w:t xml:space="preserve">In this </w:t>
      </w:r>
      <w:r w:rsidR="00C57DAE" w:rsidRPr="00711135">
        <w:rPr>
          <w:rFonts w:ascii="Arial" w:hAnsi="Arial" w:cs="Arial"/>
          <w:sz w:val="24"/>
          <w:szCs w:val="24"/>
        </w:rPr>
        <w:t>case</w:t>
      </w:r>
      <w:r w:rsidR="00C9720D" w:rsidRPr="00711135">
        <w:rPr>
          <w:rFonts w:ascii="Arial" w:hAnsi="Arial" w:cs="Arial"/>
          <w:sz w:val="24"/>
          <w:szCs w:val="24"/>
        </w:rPr>
        <w:t>, the applicant timeously lodged an appeal on 22 July 2020, against his conviction f</w:t>
      </w:r>
      <w:r w:rsidR="00C1166B" w:rsidRPr="00711135">
        <w:rPr>
          <w:rFonts w:ascii="Arial" w:hAnsi="Arial" w:cs="Arial"/>
          <w:sz w:val="24"/>
          <w:szCs w:val="24"/>
        </w:rPr>
        <w:t>or</w:t>
      </w:r>
      <w:r w:rsidR="00C9720D" w:rsidRPr="00711135">
        <w:rPr>
          <w:rFonts w:ascii="Arial" w:hAnsi="Arial" w:cs="Arial"/>
          <w:sz w:val="24"/>
          <w:szCs w:val="24"/>
        </w:rPr>
        <w:t xml:space="preserve"> contempt of court in the High Court.  </w:t>
      </w:r>
      <w:r w:rsidR="00C9720D" w:rsidRPr="00711135">
        <w:rPr>
          <w:rFonts w:ascii="Arial" w:hAnsi="Arial" w:cs="Arial"/>
          <w:color w:val="000000" w:themeColor="text1"/>
          <w:sz w:val="24"/>
          <w:szCs w:val="24"/>
        </w:rPr>
        <w:t xml:space="preserve">On 22 October 2020, he was informed by the registrar that his appeal was deemed to have been withdrawn </w:t>
      </w:r>
      <w:r w:rsidR="00C1166B" w:rsidRPr="00711135">
        <w:rPr>
          <w:rFonts w:ascii="Arial" w:hAnsi="Arial" w:cs="Arial"/>
          <w:color w:val="000000" w:themeColor="text1"/>
          <w:sz w:val="24"/>
          <w:szCs w:val="24"/>
        </w:rPr>
        <w:t xml:space="preserve">as contemplated under </w:t>
      </w:r>
      <w:r w:rsidR="00C9720D" w:rsidRPr="00711135">
        <w:rPr>
          <w:rFonts w:ascii="Arial" w:hAnsi="Arial" w:cs="Arial"/>
          <w:color w:val="000000" w:themeColor="text1"/>
          <w:sz w:val="24"/>
          <w:szCs w:val="24"/>
        </w:rPr>
        <w:t xml:space="preserve">rule 9 by reason of the failure to file the record </w:t>
      </w:r>
      <w:r w:rsidR="00614995" w:rsidRPr="00711135">
        <w:rPr>
          <w:rFonts w:ascii="Arial" w:hAnsi="Arial" w:cs="Arial"/>
          <w:color w:val="000000" w:themeColor="text1"/>
          <w:sz w:val="24"/>
          <w:szCs w:val="24"/>
        </w:rPr>
        <w:t xml:space="preserve">of proceedings in the High Court </w:t>
      </w:r>
      <w:r w:rsidR="00C9720D" w:rsidRPr="00711135">
        <w:rPr>
          <w:rFonts w:ascii="Arial" w:hAnsi="Arial" w:cs="Arial"/>
          <w:color w:val="000000" w:themeColor="text1"/>
          <w:sz w:val="24"/>
          <w:szCs w:val="24"/>
        </w:rPr>
        <w:t xml:space="preserve">in accordance with rule 8(2)(b) </w:t>
      </w:r>
      <w:r w:rsidR="00614995" w:rsidRPr="00711135">
        <w:rPr>
          <w:rFonts w:ascii="Arial" w:hAnsi="Arial" w:cs="Arial"/>
          <w:color w:val="000000" w:themeColor="text1"/>
          <w:sz w:val="24"/>
          <w:szCs w:val="24"/>
        </w:rPr>
        <w:t xml:space="preserve">of the Rules of Court </w:t>
      </w:r>
      <w:r w:rsidR="00C9720D" w:rsidRPr="00711135">
        <w:rPr>
          <w:rFonts w:ascii="Arial" w:hAnsi="Arial" w:cs="Arial"/>
          <w:color w:val="000000" w:themeColor="text1"/>
          <w:sz w:val="24"/>
          <w:szCs w:val="24"/>
        </w:rPr>
        <w:t xml:space="preserve">and for the failure to furnish security in terms of rule 14. </w:t>
      </w:r>
    </w:p>
    <w:p w14:paraId="18B165C2" w14:textId="77777777" w:rsidR="00C9720D" w:rsidRPr="00711135" w:rsidRDefault="00C9720D" w:rsidP="00DD335B">
      <w:pPr>
        <w:pStyle w:val="ListParagraph"/>
        <w:spacing w:after="0"/>
        <w:rPr>
          <w:rFonts w:ascii="Arial" w:hAnsi="Arial" w:cs="Arial"/>
          <w:sz w:val="24"/>
          <w:szCs w:val="24"/>
        </w:rPr>
      </w:pPr>
    </w:p>
    <w:p w14:paraId="1C7707CF" w14:textId="5CD3B5B0" w:rsidR="00614995"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[3]</w:t>
      </w:r>
      <w:r w:rsidRPr="00711135">
        <w:rPr>
          <w:rFonts w:ascii="Arial" w:hAnsi="Arial" w:cs="Arial"/>
          <w:sz w:val="24"/>
          <w:szCs w:val="24"/>
        </w:rPr>
        <w:tab/>
      </w:r>
      <w:r w:rsidR="00C9720D" w:rsidRPr="00711135">
        <w:rPr>
          <w:rFonts w:ascii="Arial" w:hAnsi="Arial" w:cs="Arial"/>
          <w:sz w:val="24"/>
          <w:szCs w:val="24"/>
        </w:rPr>
        <w:t>On 2 November 2020, the applicant filed an application</w:t>
      </w:r>
      <w:r w:rsidR="00C9720D" w:rsidRPr="00711135">
        <w:rPr>
          <w:rFonts w:ascii="Arial" w:hAnsi="Arial" w:cs="Arial"/>
          <w:bCs/>
          <w:sz w:val="24"/>
          <w:szCs w:val="24"/>
          <w:lang w:val="en-GB"/>
        </w:rPr>
        <w:t xml:space="preserve"> for condonation for the late filing of the record. He, however, did not address the issue of security for the respondent’s costs on appeal. </w:t>
      </w:r>
      <w:r w:rsidR="004D5A23">
        <w:rPr>
          <w:rFonts w:ascii="Arial" w:hAnsi="Arial" w:cs="Arial"/>
          <w:bCs/>
          <w:sz w:val="24"/>
          <w:szCs w:val="24"/>
          <w:lang w:val="en-GB"/>
        </w:rPr>
        <w:t xml:space="preserve">Also, </w:t>
      </w:r>
      <w:r w:rsidR="000D2415">
        <w:rPr>
          <w:rFonts w:ascii="Arial" w:hAnsi="Arial" w:cs="Arial"/>
          <w:bCs/>
          <w:sz w:val="24"/>
          <w:szCs w:val="24"/>
          <w:lang w:val="en-GB"/>
        </w:rPr>
        <w:t xml:space="preserve">he </w:t>
      </w:r>
      <w:r w:rsidR="00C9720D" w:rsidRPr="00711135">
        <w:rPr>
          <w:rFonts w:ascii="Arial" w:hAnsi="Arial" w:cs="Arial"/>
          <w:bCs/>
          <w:sz w:val="24"/>
          <w:szCs w:val="24"/>
          <w:lang w:val="en-GB"/>
        </w:rPr>
        <w:t xml:space="preserve">did </w:t>
      </w:r>
      <w:r w:rsidR="009B2A72" w:rsidRPr="00711135">
        <w:rPr>
          <w:rFonts w:ascii="Arial" w:hAnsi="Arial" w:cs="Arial"/>
          <w:bCs/>
          <w:sz w:val="24"/>
          <w:szCs w:val="24"/>
          <w:lang w:val="en-GB"/>
        </w:rPr>
        <w:t xml:space="preserve">not </w:t>
      </w:r>
      <w:r w:rsidR="00C9720D" w:rsidRPr="00711135">
        <w:rPr>
          <w:rFonts w:ascii="Arial" w:hAnsi="Arial" w:cs="Arial"/>
          <w:bCs/>
          <w:sz w:val="24"/>
          <w:szCs w:val="24"/>
          <w:lang w:val="en-GB"/>
        </w:rPr>
        <w:t>seek an order reinstat</w:t>
      </w:r>
      <w:r w:rsidR="009B2A72" w:rsidRPr="00711135">
        <w:rPr>
          <w:rFonts w:ascii="Arial" w:hAnsi="Arial" w:cs="Arial"/>
          <w:bCs/>
          <w:sz w:val="24"/>
          <w:szCs w:val="24"/>
          <w:lang w:val="en-GB"/>
        </w:rPr>
        <w:t>ing</w:t>
      </w:r>
      <w:r w:rsidR="00C9720D" w:rsidRPr="00711135">
        <w:rPr>
          <w:rFonts w:ascii="Arial" w:hAnsi="Arial" w:cs="Arial"/>
          <w:bCs/>
          <w:sz w:val="24"/>
          <w:szCs w:val="24"/>
          <w:lang w:val="en-GB"/>
        </w:rPr>
        <w:t xml:space="preserve"> the lapsed appeal</w:t>
      </w:r>
      <w:r w:rsidR="009B2A72" w:rsidRPr="00711135">
        <w:rPr>
          <w:rFonts w:ascii="Arial" w:hAnsi="Arial" w:cs="Arial"/>
          <w:bCs/>
          <w:sz w:val="24"/>
          <w:szCs w:val="24"/>
          <w:lang w:val="en-GB"/>
        </w:rPr>
        <w:t xml:space="preserve"> in this application</w:t>
      </w:r>
      <w:r w:rsidR="00C9720D" w:rsidRPr="00711135">
        <w:rPr>
          <w:rFonts w:ascii="Arial" w:hAnsi="Arial" w:cs="Arial"/>
          <w:bCs/>
          <w:sz w:val="24"/>
          <w:szCs w:val="24"/>
          <w:lang w:val="en-GB"/>
        </w:rPr>
        <w:t xml:space="preserve">. In </w:t>
      </w:r>
      <w:r w:rsidR="009B2A72" w:rsidRPr="00711135">
        <w:rPr>
          <w:rFonts w:ascii="Arial" w:hAnsi="Arial" w:cs="Arial"/>
          <w:bCs/>
          <w:sz w:val="24"/>
          <w:szCs w:val="24"/>
          <w:lang w:val="en-GB"/>
        </w:rPr>
        <w:t xml:space="preserve">his affidavit supporting the application, </w:t>
      </w:r>
      <w:r w:rsidR="00C9720D" w:rsidRPr="00711135">
        <w:rPr>
          <w:rFonts w:ascii="Arial" w:hAnsi="Arial" w:cs="Arial"/>
          <w:bCs/>
          <w:sz w:val="24"/>
          <w:szCs w:val="24"/>
          <w:lang w:val="en-GB"/>
        </w:rPr>
        <w:t>the</w:t>
      </w:r>
      <w:r w:rsidR="009B2A72" w:rsidRPr="00711135">
        <w:rPr>
          <w:rFonts w:ascii="Arial" w:hAnsi="Arial" w:cs="Arial"/>
          <w:bCs/>
          <w:sz w:val="24"/>
          <w:szCs w:val="24"/>
          <w:lang w:val="en-GB"/>
        </w:rPr>
        <w:t xml:space="preserve"> applicant </w:t>
      </w:r>
      <w:r w:rsidR="00614995" w:rsidRPr="00711135">
        <w:rPr>
          <w:rFonts w:ascii="Arial" w:hAnsi="Arial" w:cs="Arial"/>
          <w:sz w:val="24"/>
          <w:szCs w:val="24"/>
        </w:rPr>
        <w:t xml:space="preserve">stated that the record was not filed because rule 14(2) required of an appellant to furnish </w:t>
      </w:r>
      <w:r w:rsidR="00614995" w:rsidRPr="00711135">
        <w:rPr>
          <w:rFonts w:ascii="Arial" w:hAnsi="Arial" w:cs="Arial"/>
          <w:sz w:val="24"/>
          <w:szCs w:val="24"/>
        </w:rPr>
        <w:lastRenderedPageBreak/>
        <w:t xml:space="preserve">security </w:t>
      </w:r>
      <w:r w:rsidR="008C2163" w:rsidRPr="00711135">
        <w:rPr>
          <w:rFonts w:ascii="Arial" w:hAnsi="Arial" w:cs="Arial"/>
          <w:sz w:val="24"/>
          <w:szCs w:val="24"/>
        </w:rPr>
        <w:t>before filing the appeal record</w:t>
      </w:r>
      <w:r w:rsidR="00614995" w:rsidRPr="00711135">
        <w:rPr>
          <w:rFonts w:ascii="Arial" w:hAnsi="Arial" w:cs="Arial"/>
          <w:sz w:val="24"/>
          <w:szCs w:val="24"/>
        </w:rPr>
        <w:t xml:space="preserve"> unless the respondent had waived his or her right to security or the court appealed from had released an appellant from such obligation. According to the applicant, rule 14 suspends the filing of the record until the issue of security for costs has been resolved. As the issue of security had not been resolved at the time he filed the application for condonation, he was not required to file the appeal record.</w:t>
      </w:r>
    </w:p>
    <w:p w14:paraId="65551F34" w14:textId="77777777" w:rsidR="00C9720D" w:rsidRPr="00711135" w:rsidRDefault="00C9720D" w:rsidP="00DD335B">
      <w:pPr>
        <w:pStyle w:val="ListParagraph"/>
        <w:spacing w:after="0"/>
        <w:rPr>
          <w:rFonts w:ascii="Arial" w:hAnsi="Arial" w:cs="Arial"/>
          <w:sz w:val="24"/>
          <w:szCs w:val="24"/>
        </w:rPr>
      </w:pPr>
    </w:p>
    <w:p w14:paraId="0D9AFA77" w14:textId="4FAA8C43" w:rsidR="00C9720D"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[4]</w:t>
      </w:r>
      <w:r w:rsidRPr="00711135">
        <w:rPr>
          <w:rFonts w:ascii="Arial" w:hAnsi="Arial" w:cs="Arial"/>
          <w:sz w:val="24"/>
          <w:szCs w:val="24"/>
        </w:rPr>
        <w:tab/>
      </w:r>
      <w:r w:rsidR="00C9720D" w:rsidRPr="00711135">
        <w:rPr>
          <w:rFonts w:ascii="Arial" w:hAnsi="Arial" w:cs="Arial"/>
          <w:sz w:val="24"/>
          <w:szCs w:val="24"/>
        </w:rPr>
        <w:t>As regards the provision of security for the respondent</w:t>
      </w:r>
      <w:r w:rsidR="000D2415">
        <w:rPr>
          <w:rFonts w:ascii="Arial" w:hAnsi="Arial" w:cs="Arial"/>
          <w:sz w:val="24"/>
          <w:szCs w:val="24"/>
        </w:rPr>
        <w:t>’</w:t>
      </w:r>
      <w:r w:rsidR="00C9720D" w:rsidRPr="00711135">
        <w:rPr>
          <w:rFonts w:ascii="Arial" w:hAnsi="Arial" w:cs="Arial"/>
          <w:sz w:val="24"/>
          <w:szCs w:val="24"/>
        </w:rPr>
        <w:t xml:space="preserve">s costs, the applicant stated that the respondent was requested to waive its right to </w:t>
      </w:r>
      <w:proofErr w:type="gramStart"/>
      <w:r w:rsidR="00C9720D" w:rsidRPr="00711135">
        <w:rPr>
          <w:rFonts w:ascii="Arial" w:hAnsi="Arial" w:cs="Arial"/>
          <w:sz w:val="24"/>
          <w:szCs w:val="24"/>
        </w:rPr>
        <w:t>security</w:t>
      </w:r>
      <w:proofErr w:type="gramEnd"/>
      <w:r w:rsidR="00C9720D" w:rsidRPr="00711135">
        <w:rPr>
          <w:rFonts w:ascii="Arial" w:hAnsi="Arial" w:cs="Arial"/>
          <w:sz w:val="24"/>
          <w:szCs w:val="24"/>
        </w:rPr>
        <w:t xml:space="preserve"> but the request was declined. He noted further that he had filed an application in the court a quo </w:t>
      </w:r>
      <w:r w:rsidR="008A5B7E" w:rsidRPr="00711135">
        <w:rPr>
          <w:rFonts w:ascii="Arial" w:hAnsi="Arial" w:cs="Arial"/>
          <w:sz w:val="24"/>
          <w:szCs w:val="24"/>
        </w:rPr>
        <w:t xml:space="preserve">to be </w:t>
      </w:r>
      <w:r w:rsidR="00C9720D" w:rsidRPr="00711135">
        <w:rPr>
          <w:rFonts w:ascii="Arial" w:eastAsia="Times New Roman" w:hAnsi="Arial" w:cs="Arial"/>
          <w:sz w:val="24"/>
          <w:szCs w:val="24"/>
        </w:rPr>
        <w:t>absolv</w:t>
      </w:r>
      <w:r w:rsidR="008A5B7E" w:rsidRPr="00711135">
        <w:rPr>
          <w:rFonts w:ascii="Arial" w:eastAsia="Times New Roman" w:hAnsi="Arial" w:cs="Arial"/>
          <w:sz w:val="24"/>
          <w:szCs w:val="24"/>
        </w:rPr>
        <w:t>ed</w:t>
      </w:r>
      <w:r w:rsidR="00C9720D" w:rsidRPr="00711135">
        <w:rPr>
          <w:rFonts w:ascii="Arial" w:eastAsia="Times New Roman" w:hAnsi="Arial" w:cs="Arial"/>
          <w:spacing w:val="1"/>
          <w:sz w:val="24"/>
          <w:szCs w:val="24"/>
        </w:rPr>
        <w:t xml:space="preserve"> </w:t>
      </w:r>
      <w:r w:rsidR="00C9720D" w:rsidRPr="00711135">
        <w:rPr>
          <w:rFonts w:ascii="Arial" w:eastAsia="Times New Roman" w:hAnsi="Arial" w:cs="Arial"/>
          <w:sz w:val="24"/>
          <w:szCs w:val="24"/>
        </w:rPr>
        <w:t xml:space="preserve">from the obligation to provide security. He claimed that the delay in lodging the appeal record was not intentional but that he was simply following the provisions of rule 14. </w:t>
      </w:r>
      <w:r w:rsidR="00C9720D" w:rsidRPr="00711135">
        <w:rPr>
          <w:rFonts w:ascii="Times New Roman" w:eastAsia="Times New Roman" w:hAnsi="Times New Roman"/>
        </w:rPr>
        <w:t xml:space="preserve"> </w:t>
      </w:r>
    </w:p>
    <w:p w14:paraId="0D876247" w14:textId="77777777" w:rsidR="00C9720D" w:rsidRPr="00711135" w:rsidRDefault="00C9720D" w:rsidP="00DD335B">
      <w:pPr>
        <w:pStyle w:val="ListParagraph"/>
        <w:spacing w:after="0"/>
        <w:rPr>
          <w:rFonts w:ascii="Arial" w:hAnsi="Arial" w:cs="Arial"/>
          <w:sz w:val="24"/>
          <w:szCs w:val="24"/>
        </w:rPr>
      </w:pPr>
    </w:p>
    <w:p w14:paraId="186774AF" w14:textId="6DA0DF7C" w:rsidR="00A30120"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[5]</w:t>
      </w:r>
      <w:r w:rsidRPr="00711135">
        <w:rPr>
          <w:rFonts w:ascii="Arial" w:hAnsi="Arial" w:cs="Arial"/>
          <w:sz w:val="24"/>
          <w:szCs w:val="24"/>
        </w:rPr>
        <w:tab/>
      </w:r>
      <w:r w:rsidR="00C9720D" w:rsidRPr="00711135">
        <w:rPr>
          <w:rFonts w:ascii="Arial" w:hAnsi="Arial" w:cs="Arial"/>
          <w:sz w:val="24"/>
          <w:szCs w:val="24"/>
        </w:rPr>
        <w:t xml:space="preserve">On 26 April 2021, the applicant filed an amended notice of appeal in the same matter. A further amended notice of appeal was filed on 3 June 2022. </w:t>
      </w:r>
      <w:r w:rsidR="009B2A72" w:rsidRPr="00711135">
        <w:rPr>
          <w:rFonts w:ascii="Arial" w:hAnsi="Arial" w:cs="Arial"/>
          <w:sz w:val="24"/>
          <w:szCs w:val="24"/>
        </w:rPr>
        <w:t xml:space="preserve"> </w:t>
      </w:r>
      <w:r w:rsidR="00C9720D" w:rsidRPr="00711135">
        <w:rPr>
          <w:rFonts w:ascii="Arial" w:hAnsi="Arial" w:cs="Arial"/>
          <w:sz w:val="24"/>
          <w:szCs w:val="24"/>
        </w:rPr>
        <w:t xml:space="preserve">Nine days before the hearing of the applications on 1 March 2023, the applicant filed a record of the proceedings in the High Court with the registrar of this Court. A document titled ‘Argument: Application for condonation and reinstatement of the appeal’ was filed together with the record. In this document, the applicant repeated his contention that he was only required by rule 14 to file the appeal record after security had been furnished or </w:t>
      </w:r>
      <w:r w:rsidR="009B2A72" w:rsidRPr="00711135">
        <w:rPr>
          <w:rFonts w:ascii="Arial" w:hAnsi="Arial" w:cs="Arial"/>
          <w:sz w:val="24"/>
          <w:szCs w:val="24"/>
        </w:rPr>
        <w:t xml:space="preserve">if </w:t>
      </w:r>
      <w:r w:rsidR="00C9720D" w:rsidRPr="00711135">
        <w:rPr>
          <w:rFonts w:ascii="Arial" w:hAnsi="Arial" w:cs="Arial"/>
          <w:sz w:val="24"/>
          <w:szCs w:val="24"/>
        </w:rPr>
        <w:t>released from such obligation by the court appealed from.</w:t>
      </w:r>
    </w:p>
    <w:p w14:paraId="53F42EA5" w14:textId="77777777" w:rsidR="00A30120" w:rsidRPr="00711135" w:rsidRDefault="00A30120" w:rsidP="00DD335B">
      <w:pPr>
        <w:pStyle w:val="ListParagraph"/>
        <w:spacing w:after="0"/>
        <w:rPr>
          <w:rFonts w:ascii="Arial" w:hAnsi="Arial" w:cs="Arial"/>
          <w:sz w:val="24"/>
          <w:szCs w:val="24"/>
        </w:rPr>
      </w:pPr>
    </w:p>
    <w:p w14:paraId="6100120C" w14:textId="1814B643" w:rsidR="00C9720D"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[6]</w:t>
      </w:r>
      <w:r w:rsidRPr="00711135">
        <w:rPr>
          <w:rFonts w:ascii="Arial" w:hAnsi="Arial" w:cs="Arial"/>
          <w:sz w:val="24"/>
          <w:szCs w:val="24"/>
        </w:rPr>
        <w:tab/>
      </w:r>
      <w:r w:rsidR="00A30120" w:rsidRPr="00711135">
        <w:rPr>
          <w:rFonts w:ascii="Arial" w:hAnsi="Arial" w:cs="Arial"/>
          <w:sz w:val="24"/>
          <w:szCs w:val="24"/>
        </w:rPr>
        <w:t>De</w:t>
      </w:r>
      <w:r w:rsidR="00116D57">
        <w:rPr>
          <w:rFonts w:ascii="Arial" w:hAnsi="Arial" w:cs="Arial"/>
          <w:sz w:val="24"/>
          <w:szCs w:val="24"/>
        </w:rPr>
        <w:t>spite the timeous serving</w:t>
      </w:r>
      <w:r w:rsidR="00A30120" w:rsidRPr="00711135">
        <w:rPr>
          <w:rFonts w:ascii="Arial" w:hAnsi="Arial" w:cs="Arial"/>
          <w:sz w:val="24"/>
          <w:szCs w:val="24"/>
        </w:rPr>
        <w:t xml:space="preserve"> of the notice of set down on it, the respondent filed a condonation application for the late filing of the notice to oppose the appeal as well </w:t>
      </w:r>
      <w:r w:rsidR="00A30120" w:rsidRPr="00711135">
        <w:rPr>
          <w:rFonts w:ascii="Arial" w:hAnsi="Arial" w:cs="Arial"/>
          <w:sz w:val="24"/>
          <w:szCs w:val="24"/>
        </w:rPr>
        <w:lastRenderedPageBreak/>
        <w:t xml:space="preserve">as the late filing of the heads of argument only on the day of the hearing. No power of attorney was filed on behalf of the respondent. After considering the submissions made by counsel and the applicant, the court informed counsel that the failure to file a power of attorney could not be condoned and as such, the respondent would not be allowed further representation in the proceedings. The applicant’s condonation application in </w:t>
      </w:r>
      <w:r w:rsidR="00D31BAA" w:rsidRPr="00711135">
        <w:rPr>
          <w:rFonts w:ascii="Arial" w:hAnsi="Arial" w:cs="Arial"/>
          <w:sz w:val="24"/>
          <w:szCs w:val="24"/>
        </w:rPr>
        <w:t xml:space="preserve">this case </w:t>
      </w:r>
      <w:r w:rsidR="00A30120" w:rsidRPr="00711135">
        <w:rPr>
          <w:rFonts w:ascii="Arial" w:hAnsi="Arial" w:cs="Arial"/>
          <w:sz w:val="24"/>
          <w:szCs w:val="24"/>
        </w:rPr>
        <w:t>thus remain</w:t>
      </w:r>
      <w:r w:rsidR="005F01FF" w:rsidRPr="00711135">
        <w:rPr>
          <w:rFonts w:ascii="Arial" w:hAnsi="Arial" w:cs="Arial"/>
          <w:sz w:val="24"/>
          <w:szCs w:val="24"/>
        </w:rPr>
        <w:t>ed</w:t>
      </w:r>
      <w:r w:rsidR="00A30120" w:rsidRPr="00711135">
        <w:rPr>
          <w:rFonts w:ascii="Arial" w:hAnsi="Arial" w:cs="Arial"/>
          <w:sz w:val="24"/>
          <w:szCs w:val="24"/>
        </w:rPr>
        <w:t xml:space="preserve"> unopposed. </w:t>
      </w:r>
      <w:r w:rsidR="00C9720D" w:rsidRPr="00711135">
        <w:rPr>
          <w:rFonts w:ascii="Arial" w:hAnsi="Arial" w:cs="Arial"/>
          <w:sz w:val="24"/>
          <w:szCs w:val="24"/>
        </w:rPr>
        <w:t xml:space="preserve"> </w:t>
      </w:r>
    </w:p>
    <w:p w14:paraId="52EBBF61" w14:textId="77777777" w:rsidR="00B7778D" w:rsidRPr="00711135" w:rsidRDefault="00B7778D">
      <w:pPr>
        <w:spacing w:after="0" w:line="480" w:lineRule="auto"/>
        <w:jc w:val="both"/>
        <w:rPr>
          <w:rFonts w:ascii="Arial" w:hAnsi="Arial" w:cs="Arial"/>
          <w:sz w:val="24"/>
          <w:szCs w:val="24"/>
        </w:rPr>
      </w:pPr>
    </w:p>
    <w:p w14:paraId="294B9AF8" w14:textId="4762F483" w:rsidR="006136F6" w:rsidRPr="00711135" w:rsidRDefault="006136F6">
      <w:pPr>
        <w:spacing w:after="0" w:line="480" w:lineRule="auto"/>
        <w:jc w:val="both"/>
        <w:rPr>
          <w:rFonts w:ascii="Arial" w:hAnsi="Arial" w:cs="Arial"/>
          <w:i/>
          <w:sz w:val="24"/>
          <w:szCs w:val="24"/>
          <w:u w:val="single"/>
        </w:rPr>
      </w:pPr>
      <w:r w:rsidRPr="00711135">
        <w:rPr>
          <w:rFonts w:ascii="Arial" w:hAnsi="Arial" w:cs="Arial"/>
          <w:i/>
          <w:sz w:val="24"/>
          <w:szCs w:val="24"/>
        </w:rPr>
        <w:t xml:space="preserve">Alex Kamwi Mabuku Kamwi v Prosecutor-General of Namibia </w:t>
      </w:r>
      <w:r w:rsidR="00CD0741" w:rsidRPr="00711135">
        <w:rPr>
          <w:rFonts w:ascii="Arial" w:hAnsi="Arial" w:cs="Arial"/>
          <w:i/>
          <w:sz w:val="24"/>
          <w:szCs w:val="24"/>
        </w:rPr>
        <w:t>&amp;</w:t>
      </w:r>
      <w:r w:rsidRPr="00711135">
        <w:rPr>
          <w:rFonts w:ascii="Arial" w:hAnsi="Arial" w:cs="Arial"/>
          <w:i/>
          <w:sz w:val="24"/>
          <w:szCs w:val="24"/>
        </w:rPr>
        <w:t xml:space="preserve"> another </w:t>
      </w:r>
      <w:r w:rsidRPr="00711135">
        <w:rPr>
          <w:rFonts w:ascii="Arial" w:hAnsi="Arial" w:cs="Arial"/>
          <w:sz w:val="24"/>
          <w:szCs w:val="24"/>
        </w:rPr>
        <w:t xml:space="preserve">Case </w:t>
      </w:r>
      <w:r w:rsidR="008A5B7E" w:rsidRPr="00711135">
        <w:rPr>
          <w:rFonts w:ascii="Arial" w:hAnsi="Arial" w:cs="Arial"/>
          <w:sz w:val="24"/>
          <w:szCs w:val="24"/>
        </w:rPr>
        <w:t xml:space="preserve">SA </w:t>
      </w:r>
      <w:r w:rsidRPr="00711135">
        <w:rPr>
          <w:rFonts w:ascii="Arial" w:hAnsi="Arial" w:cs="Arial"/>
          <w:sz w:val="24"/>
          <w:szCs w:val="24"/>
        </w:rPr>
        <w:t>43/2021</w:t>
      </w:r>
    </w:p>
    <w:p w14:paraId="50CA3DF7" w14:textId="10BC04E6" w:rsidR="00DD3AC0"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[7]</w:t>
      </w:r>
      <w:r w:rsidRPr="00711135">
        <w:rPr>
          <w:rFonts w:ascii="Arial" w:hAnsi="Arial" w:cs="Arial"/>
          <w:sz w:val="24"/>
          <w:szCs w:val="24"/>
        </w:rPr>
        <w:tab/>
      </w:r>
      <w:r w:rsidR="00D06FB0" w:rsidRPr="00711135">
        <w:rPr>
          <w:rFonts w:ascii="Arial" w:hAnsi="Arial" w:cs="Arial"/>
          <w:sz w:val="24"/>
          <w:szCs w:val="24"/>
        </w:rPr>
        <w:t>In this matter, t</w:t>
      </w:r>
      <w:r w:rsidR="006136F6" w:rsidRPr="00711135">
        <w:rPr>
          <w:rFonts w:ascii="Arial" w:hAnsi="Arial" w:cs="Arial"/>
          <w:sz w:val="24"/>
          <w:szCs w:val="24"/>
        </w:rPr>
        <w:t xml:space="preserve">he applicant </w:t>
      </w:r>
      <w:r w:rsidR="00D06FB0" w:rsidRPr="00711135">
        <w:rPr>
          <w:rFonts w:ascii="Arial" w:hAnsi="Arial" w:cs="Arial"/>
          <w:sz w:val="24"/>
          <w:szCs w:val="24"/>
        </w:rPr>
        <w:t xml:space="preserve">instituted proceedings </w:t>
      </w:r>
      <w:r w:rsidR="006136F6" w:rsidRPr="00711135">
        <w:rPr>
          <w:rFonts w:ascii="Arial" w:hAnsi="Arial" w:cs="Arial"/>
          <w:sz w:val="24"/>
          <w:szCs w:val="24"/>
        </w:rPr>
        <w:t xml:space="preserve">in the High Court seeking an order for the permanent stay of his prosecution </w:t>
      </w:r>
      <w:r w:rsidR="001A2AEE" w:rsidRPr="00711135">
        <w:rPr>
          <w:rFonts w:ascii="Arial" w:hAnsi="Arial" w:cs="Arial"/>
          <w:sz w:val="24"/>
          <w:szCs w:val="24"/>
        </w:rPr>
        <w:t xml:space="preserve">in the </w:t>
      </w:r>
      <w:r w:rsidR="00CD0741" w:rsidRPr="00711135">
        <w:rPr>
          <w:rFonts w:ascii="Arial" w:hAnsi="Arial" w:cs="Arial"/>
          <w:sz w:val="24"/>
          <w:szCs w:val="24"/>
        </w:rPr>
        <w:t>r</w:t>
      </w:r>
      <w:r w:rsidR="001A2AEE" w:rsidRPr="00711135">
        <w:rPr>
          <w:rFonts w:ascii="Arial" w:hAnsi="Arial" w:cs="Arial"/>
          <w:sz w:val="24"/>
          <w:szCs w:val="24"/>
        </w:rPr>
        <w:t xml:space="preserve">egional </w:t>
      </w:r>
      <w:r w:rsidR="00CD0741" w:rsidRPr="00711135">
        <w:rPr>
          <w:rFonts w:ascii="Arial" w:hAnsi="Arial" w:cs="Arial"/>
          <w:sz w:val="24"/>
          <w:szCs w:val="24"/>
        </w:rPr>
        <w:t>c</w:t>
      </w:r>
      <w:r w:rsidR="001A2AEE" w:rsidRPr="00711135">
        <w:rPr>
          <w:rFonts w:ascii="Arial" w:hAnsi="Arial" w:cs="Arial"/>
          <w:sz w:val="24"/>
          <w:szCs w:val="24"/>
        </w:rPr>
        <w:t xml:space="preserve">ourt </w:t>
      </w:r>
      <w:r w:rsidR="006136F6" w:rsidRPr="00711135">
        <w:rPr>
          <w:rFonts w:ascii="Arial" w:hAnsi="Arial" w:cs="Arial"/>
          <w:sz w:val="24"/>
          <w:szCs w:val="24"/>
        </w:rPr>
        <w:t xml:space="preserve">on </w:t>
      </w:r>
      <w:r w:rsidR="00D06FB0" w:rsidRPr="00711135">
        <w:rPr>
          <w:rFonts w:ascii="Arial" w:hAnsi="Arial" w:cs="Arial"/>
          <w:sz w:val="24"/>
          <w:szCs w:val="24"/>
        </w:rPr>
        <w:t xml:space="preserve">the offence of practising or holding himself out as or pretending to be a legal practitioner in contravention of </w:t>
      </w:r>
      <w:r w:rsidR="006136F6" w:rsidRPr="00711135">
        <w:rPr>
          <w:rFonts w:ascii="Arial" w:hAnsi="Arial" w:cs="Arial"/>
          <w:sz w:val="24"/>
          <w:szCs w:val="24"/>
        </w:rPr>
        <w:t>s</w:t>
      </w:r>
      <w:r w:rsidR="00CD0741" w:rsidRPr="00711135">
        <w:rPr>
          <w:rFonts w:ascii="Arial" w:hAnsi="Arial" w:cs="Arial"/>
          <w:sz w:val="24"/>
          <w:szCs w:val="24"/>
        </w:rPr>
        <w:t xml:space="preserve"> </w:t>
      </w:r>
      <w:r w:rsidR="006136F6" w:rsidRPr="00711135">
        <w:rPr>
          <w:rFonts w:ascii="Arial" w:hAnsi="Arial" w:cs="Arial"/>
          <w:sz w:val="24"/>
          <w:szCs w:val="24"/>
        </w:rPr>
        <w:t xml:space="preserve">21 of the Legal Practitioners Act 15 of 1995 (as amended). The application </w:t>
      </w:r>
      <w:r w:rsidR="00497CF4" w:rsidRPr="00711135">
        <w:rPr>
          <w:rFonts w:ascii="Arial" w:hAnsi="Arial" w:cs="Arial"/>
          <w:sz w:val="24"/>
          <w:szCs w:val="24"/>
        </w:rPr>
        <w:t>f</w:t>
      </w:r>
      <w:r w:rsidR="006136F6" w:rsidRPr="00711135">
        <w:rPr>
          <w:rFonts w:ascii="Arial" w:hAnsi="Arial" w:cs="Arial"/>
          <w:sz w:val="24"/>
          <w:szCs w:val="24"/>
        </w:rPr>
        <w:t>o</w:t>
      </w:r>
      <w:r w:rsidR="00497CF4" w:rsidRPr="00711135">
        <w:rPr>
          <w:rFonts w:ascii="Arial" w:hAnsi="Arial" w:cs="Arial"/>
          <w:sz w:val="24"/>
          <w:szCs w:val="24"/>
        </w:rPr>
        <w:t>r</w:t>
      </w:r>
      <w:r w:rsidR="006136F6" w:rsidRPr="00711135">
        <w:rPr>
          <w:rFonts w:ascii="Arial" w:hAnsi="Arial" w:cs="Arial"/>
          <w:sz w:val="24"/>
          <w:szCs w:val="24"/>
        </w:rPr>
        <w:t xml:space="preserve"> </w:t>
      </w:r>
      <w:r w:rsidR="00497CF4" w:rsidRPr="00711135">
        <w:rPr>
          <w:rFonts w:ascii="Arial" w:hAnsi="Arial" w:cs="Arial"/>
          <w:sz w:val="24"/>
          <w:szCs w:val="24"/>
        </w:rPr>
        <w:t xml:space="preserve">the </w:t>
      </w:r>
      <w:r w:rsidR="006136F6" w:rsidRPr="00711135">
        <w:rPr>
          <w:rFonts w:ascii="Arial" w:hAnsi="Arial" w:cs="Arial"/>
          <w:sz w:val="24"/>
          <w:szCs w:val="24"/>
        </w:rPr>
        <w:t xml:space="preserve">permanent stay </w:t>
      </w:r>
      <w:r w:rsidR="00497CF4" w:rsidRPr="00711135">
        <w:rPr>
          <w:rFonts w:ascii="Arial" w:hAnsi="Arial" w:cs="Arial"/>
          <w:sz w:val="24"/>
          <w:szCs w:val="24"/>
        </w:rPr>
        <w:t xml:space="preserve">of </w:t>
      </w:r>
      <w:r w:rsidR="006136F6" w:rsidRPr="00711135">
        <w:rPr>
          <w:rFonts w:ascii="Arial" w:hAnsi="Arial" w:cs="Arial"/>
          <w:sz w:val="24"/>
          <w:szCs w:val="24"/>
        </w:rPr>
        <w:t>his prosecution was heard on 6 October 2020 and dismissed on 7 May 2021</w:t>
      </w:r>
      <w:r w:rsidR="00D06FB0" w:rsidRPr="00711135">
        <w:rPr>
          <w:rFonts w:ascii="Arial" w:hAnsi="Arial" w:cs="Arial"/>
          <w:sz w:val="24"/>
          <w:szCs w:val="24"/>
        </w:rPr>
        <w:t>.</w:t>
      </w:r>
      <w:r w:rsidR="006136F6" w:rsidRPr="00711135">
        <w:rPr>
          <w:rFonts w:ascii="Arial" w:hAnsi="Arial" w:cs="Arial"/>
          <w:sz w:val="24"/>
          <w:szCs w:val="24"/>
        </w:rPr>
        <w:t xml:space="preserve"> </w:t>
      </w:r>
    </w:p>
    <w:p w14:paraId="3B4E469C" w14:textId="77777777" w:rsidR="00DD3AC0" w:rsidRPr="00711135" w:rsidRDefault="00DD3AC0">
      <w:pPr>
        <w:spacing w:after="0" w:line="480" w:lineRule="auto"/>
        <w:ind w:left="360"/>
        <w:jc w:val="both"/>
        <w:rPr>
          <w:rFonts w:ascii="Arial" w:hAnsi="Arial" w:cs="Arial"/>
          <w:sz w:val="24"/>
          <w:szCs w:val="24"/>
        </w:rPr>
      </w:pPr>
    </w:p>
    <w:p w14:paraId="0BD531D0" w14:textId="47C2A18A" w:rsidR="00971DA2"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[8]</w:t>
      </w:r>
      <w:r w:rsidRPr="00711135">
        <w:rPr>
          <w:rFonts w:ascii="Arial" w:hAnsi="Arial" w:cs="Arial"/>
          <w:sz w:val="24"/>
          <w:szCs w:val="24"/>
        </w:rPr>
        <w:tab/>
      </w:r>
      <w:r w:rsidR="00D06FB0" w:rsidRPr="00711135">
        <w:rPr>
          <w:rFonts w:ascii="Arial" w:hAnsi="Arial" w:cs="Arial"/>
          <w:sz w:val="24"/>
          <w:szCs w:val="24"/>
        </w:rPr>
        <w:t xml:space="preserve">The applicant then noted </w:t>
      </w:r>
      <w:r w:rsidR="006136F6" w:rsidRPr="00711135">
        <w:rPr>
          <w:rFonts w:ascii="Arial" w:hAnsi="Arial" w:cs="Arial"/>
          <w:sz w:val="24"/>
          <w:szCs w:val="24"/>
        </w:rPr>
        <w:t>an appeal to th</w:t>
      </w:r>
      <w:r w:rsidR="00D06FB0" w:rsidRPr="00711135">
        <w:rPr>
          <w:rFonts w:ascii="Arial" w:hAnsi="Arial" w:cs="Arial"/>
          <w:sz w:val="24"/>
          <w:szCs w:val="24"/>
        </w:rPr>
        <w:t xml:space="preserve">is </w:t>
      </w:r>
      <w:r w:rsidR="006136F6" w:rsidRPr="00711135">
        <w:rPr>
          <w:rFonts w:ascii="Arial" w:hAnsi="Arial" w:cs="Arial"/>
          <w:sz w:val="24"/>
          <w:szCs w:val="24"/>
        </w:rPr>
        <w:t xml:space="preserve">Court on 28 May 2021. </w:t>
      </w:r>
      <w:r w:rsidR="00971DA2" w:rsidRPr="00711135">
        <w:rPr>
          <w:rFonts w:ascii="Arial" w:hAnsi="Arial" w:cs="Arial"/>
          <w:color w:val="000000" w:themeColor="text1"/>
          <w:sz w:val="24"/>
          <w:szCs w:val="24"/>
        </w:rPr>
        <w:t>By letter dated 10 March 2022, the registrar informed the applicant that his appeal was deemed to have been withdrawn by reason of the failure to file the record of proceedings in the High Court in accordance with rule 8(2)(b) and for the failure to furnish security in terms of rule 14.</w:t>
      </w:r>
    </w:p>
    <w:p w14:paraId="0CE4A1B4" w14:textId="77777777" w:rsidR="00971DA2" w:rsidRPr="00711135" w:rsidRDefault="00971DA2" w:rsidP="00DD335B">
      <w:pPr>
        <w:pStyle w:val="ListParagraph"/>
        <w:spacing w:after="0"/>
        <w:rPr>
          <w:rFonts w:ascii="Arial" w:hAnsi="Arial" w:cs="Arial"/>
          <w:sz w:val="24"/>
          <w:szCs w:val="24"/>
        </w:rPr>
      </w:pPr>
    </w:p>
    <w:p w14:paraId="5D4B9C8B" w14:textId="1A624A21" w:rsidR="006136F6" w:rsidRPr="008C3C27" w:rsidRDefault="008C3C27" w:rsidP="008C3C27">
      <w:pPr>
        <w:spacing w:after="0" w:line="480" w:lineRule="auto"/>
        <w:jc w:val="both"/>
        <w:rPr>
          <w:rFonts w:ascii="Arial" w:hAnsi="Arial" w:cs="Arial"/>
          <w:sz w:val="24"/>
          <w:szCs w:val="24"/>
        </w:rPr>
      </w:pPr>
      <w:r w:rsidRPr="00711135">
        <w:rPr>
          <w:rFonts w:ascii="Arial" w:hAnsi="Arial" w:cs="Arial"/>
          <w:sz w:val="24"/>
          <w:szCs w:val="24"/>
        </w:rPr>
        <w:t>[9]</w:t>
      </w:r>
      <w:r w:rsidRPr="00711135">
        <w:rPr>
          <w:rFonts w:ascii="Arial" w:hAnsi="Arial" w:cs="Arial"/>
          <w:sz w:val="24"/>
          <w:szCs w:val="24"/>
        </w:rPr>
        <w:tab/>
      </w:r>
      <w:r w:rsidR="006136F6" w:rsidRPr="008C3C27">
        <w:rPr>
          <w:rFonts w:ascii="Arial" w:hAnsi="Arial" w:cs="Arial"/>
          <w:sz w:val="24"/>
          <w:szCs w:val="24"/>
        </w:rPr>
        <w:t xml:space="preserve">On 11 August 2021, the applicant filed a condonation application for the late filing of the appeal record. </w:t>
      </w:r>
      <w:r w:rsidR="00D06FB0" w:rsidRPr="008C3C27">
        <w:rPr>
          <w:rFonts w:ascii="Arial" w:hAnsi="Arial" w:cs="Arial"/>
          <w:sz w:val="24"/>
          <w:szCs w:val="24"/>
        </w:rPr>
        <w:t>I</w:t>
      </w:r>
      <w:r w:rsidR="006136F6" w:rsidRPr="008C3C27">
        <w:rPr>
          <w:rFonts w:ascii="Arial" w:hAnsi="Arial" w:cs="Arial"/>
          <w:sz w:val="24"/>
          <w:szCs w:val="24"/>
        </w:rPr>
        <w:t xml:space="preserve">n </w:t>
      </w:r>
      <w:r w:rsidR="00644150" w:rsidRPr="008C3C27">
        <w:rPr>
          <w:rFonts w:ascii="Arial" w:hAnsi="Arial" w:cs="Arial"/>
          <w:sz w:val="24"/>
          <w:szCs w:val="24"/>
        </w:rPr>
        <w:t xml:space="preserve">the affidavit supporting his </w:t>
      </w:r>
      <w:r w:rsidR="006136F6" w:rsidRPr="008C3C27">
        <w:rPr>
          <w:rFonts w:ascii="Arial" w:hAnsi="Arial" w:cs="Arial"/>
          <w:sz w:val="24"/>
          <w:szCs w:val="24"/>
        </w:rPr>
        <w:t xml:space="preserve">application, </w:t>
      </w:r>
      <w:r w:rsidR="00614995" w:rsidRPr="008C3C27">
        <w:rPr>
          <w:rFonts w:ascii="Arial" w:hAnsi="Arial" w:cs="Arial"/>
          <w:bCs/>
          <w:sz w:val="24"/>
          <w:szCs w:val="24"/>
          <w:lang w:val="en-GB"/>
        </w:rPr>
        <w:t xml:space="preserve">he </w:t>
      </w:r>
      <w:r w:rsidR="00DD3AC0" w:rsidRPr="008C3C27">
        <w:rPr>
          <w:rFonts w:ascii="Arial" w:hAnsi="Arial" w:cs="Arial"/>
          <w:bCs/>
          <w:sz w:val="24"/>
          <w:szCs w:val="24"/>
          <w:lang w:val="en-GB"/>
        </w:rPr>
        <w:t xml:space="preserve">repeated the </w:t>
      </w:r>
      <w:r w:rsidR="00614995" w:rsidRPr="008C3C27">
        <w:rPr>
          <w:rFonts w:ascii="Arial" w:hAnsi="Arial" w:cs="Arial"/>
          <w:bCs/>
          <w:sz w:val="24"/>
          <w:szCs w:val="24"/>
          <w:lang w:val="en-GB"/>
        </w:rPr>
        <w:lastRenderedPageBreak/>
        <w:t xml:space="preserve">argument </w:t>
      </w:r>
      <w:r w:rsidR="00614995" w:rsidRPr="008C3C27">
        <w:rPr>
          <w:rFonts w:ascii="Arial" w:hAnsi="Arial" w:cs="Arial"/>
          <w:sz w:val="24"/>
          <w:szCs w:val="24"/>
        </w:rPr>
        <w:t xml:space="preserve">that he was only required to file the appeal record after the issue of </w:t>
      </w:r>
      <w:r w:rsidR="00116D57" w:rsidRPr="008C3C27">
        <w:rPr>
          <w:rFonts w:ascii="Arial" w:hAnsi="Arial" w:cs="Arial"/>
          <w:sz w:val="24"/>
          <w:szCs w:val="24"/>
        </w:rPr>
        <w:t>security for the respondent</w:t>
      </w:r>
      <w:r w:rsidR="00614995" w:rsidRPr="008C3C27">
        <w:rPr>
          <w:rFonts w:ascii="Arial" w:hAnsi="Arial" w:cs="Arial"/>
          <w:sz w:val="24"/>
          <w:szCs w:val="24"/>
        </w:rPr>
        <w:t>s</w:t>
      </w:r>
      <w:r w:rsidR="00116D57" w:rsidRPr="008C3C27">
        <w:rPr>
          <w:rFonts w:ascii="Arial" w:hAnsi="Arial" w:cs="Arial"/>
          <w:sz w:val="24"/>
          <w:szCs w:val="24"/>
        </w:rPr>
        <w:t>’</w:t>
      </w:r>
      <w:r w:rsidR="00614995" w:rsidRPr="008C3C27">
        <w:rPr>
          <w:rFonts w:ascii="Arial" w:hAnsi="Arial" w:cs="Arial"/>
          <w:sz w:val="24"/>
          <w:szCs w:val="24"/>
        </w:rPr>
        <w:t xml:space="preserve"> costs had been resolved. He again took issue</w:t>
      </w:r>
      <w:r w:rsidR="008450C7" w:rsidRPr="008C3C27">
        <w:rPr>
          <w:rFonts w:ascii="Arial" w:hAnsi="Arial" w:cs="Arial"/>
          <w:sz w:val="24"/>
          <w:szCs w:val="24"/>
        </w:rPr>
        <w:t xml:space="preserve"> with the </w:t>
      </w:r>
      <w:r w:rsidR="00AA6043" w:rsidRPr="008C3C27">
        <w:rPr>
          <w:rFonts w:ascii="Arial" w:hAnsi="Arial" w:cs="Arial"/>
          <w:sz w:val="24"/>
          <w:szCs w:val="24"/>
        </w:rPr>
        <w:t>contentions</w:t>
      </w:r>
      <w:r w:rsidR="00B81AA1" w:rsidRPr="008C3C27">
        <w:rPr>
          <w:rFonts w:ascii="Arial" w:hAnsi="Arial" w:cs="Arial"/>
          <w:sz w:val="24"/>
          <w:szCs w:val="24"/>
        </w:rPr>
        <w:t>,</w:t>
      </w:r>
      <w:r w:rsidR="00AA6043" w:rsidRPr="008C3C27">
        <w:rPr>
          <w:rFonts w:ascii="Arial" w:hAnsi="Arial" w:cs="Arial"/>
          <w:sz w:val="24"/>
          <w:szCs w:val="24"/>
        </w:rPr>
        <w:t xml:space="preserve"> </w:t>
      </w:r>
      <w:r w:rsidR="008450C7" w:rsidRPr="008C3C27">
        <w:rPr>
          <w:rFonts w:ascii="Arial" w:hAnsi="Arial" w:cs="Arial"/>
          <w:sz w:val="24"/>
          <w:szCs w:val="24"/>
        </w:rPr>
        <w:t>contrary to his</w:t>
      </w:r>
      <w:r w:rsidR="00B81AA1" w:rsidRPr="008C3C27">
        <w:rPr>
          <w:rFonts w:ascii="Arial" w:hAnsi="Arial" w:cs="Arial"/>
          <w:sz w:val="24"/>
          <w:szCs w:val="24"/>
        </w:rPr>
        <w:t>,</w:t>
      </w:r>
      <w:r w:rsidR="008450C7" w:rsidRPr="008C3C27">
        <w:rPr>
          <w:rFonts w:ascii="Arial" w:hAnsi="Arial" w:cs="Arial"/>
          <w:sz w:val="24"/>
          <w:szCs w:val="24"/>
        </w:rPr>
        <w:t xml:space="preserve"> </w:t>
      </w:r>
      <w:r w:rsidR="00DD3AC0" w:rsidRPr="008C3C27">
        <w:rPr>
          <w:rFonts w:ascii="Arial" w:hAnsi="Arial" w:cs="Arial"/>
          <w:sz w:val="24"/>
          <w:szCs w:val="24"/>
        </w:rPr>
        <w:t>advanced in the registrar’s letter</w:t>
      </w:r>
      <w:r w:rsidR="00614995" w:rsidRPr="008C3C27">
        <w:rPr>
          <w:rFonts w:ascii="Arial" w:hAnsi="Arial" w:cs="Arial"/>
          <w:sz w:val="24"/>
          <w:szCs w:val="24"/>
        </w:rPr>
        <w:t>.</w:t>
      </w:r>
      <w:r w:rsidR="00A30120" w:rsidRPr="008C3C27">
        <w:rPr>
          <w:rFonts w:ascii="Arial" w:hAnsi="Arial" w:cs="Arial"/>
          <w:sz w:val="24"/>
          <w:szCs w:val="24"/>
        </w:rPr>
        <w:t xml:space="preserve"> This application is opposed.</w:t>
      </w:r>
      <w:r w:rsidR="00614995" w:rsidRPr="008C3C27">
        <w:rPr>
          <w:rFonts w:ascii="Arial" w:hAnsi="Arial" w:cs="Arial"/>
          <w:sz w:val="24"/>
          <w:szCs w:val="24"/>
        </w:rPr>
        <w:t xml:space="preserve"> </w:t>
      </w:r>
    </w:p>
    <w:p w14:paraId="45763452" w14:textId="77777777" w:rsidR="00711135" w:rsidRPr="00711135" w:rsidRDefault="00711135" w:rsidP="00711135">
      <w:pPr>
        <w:pStyle w:val="ListParagraph"/>
        <w:rPr>
          <w:rFonts w:ascii="Arial" w:hAnsi="Arial" w:cs="Arial"/>
          <w:sz w:val="24"/>
          <w:szCs w:val="24"/>
        </w:rPr>
      </w:pPr>
    </w:p>
    <w:p w14:paraId="62C210D8" w14:textId="264CF9DF" w:rsidR="00711135"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[10]</w:t>
      </w:r>
      <w:r w:rsidRPr="00711135">
        <w:rPr>
          <w:rFonts w:ascii="Arial" w:hAnsi="Arial" w:cs="Arial"/>
          <w:sz w:val="24"/>
          <w:szCs w:val="24"/>
        </w:rPr>
        <w:tab/>
      </w:r>
      <w:r w:rsidR="00711135" w:rsidRPr="00711135">
        <w:rPr>
          <w:rFonts w:ascii="Arial" w:hAnsi="Arial" w:cs="Arial"/>
          <w:sz w:val="24"/>
          <w:szCs w:val="24"/>
        </w:rPr>
        <w:t xml:space="preserve">On 2 May 2022, the applicant addressed a letter to the Chief Justice in which he recorded his disagreement with the legal contentions made in the registrar’s letter. The applicant asserted that his appeal could not have lapsed because rule 14 only required of him to file the record of proceedings after security for costs had been furnished and not at any stage before that. </w:t>
      </w:r>
    </w:p>
    <w:p w14:paraId="428471EC" w14:textId="77777777" w:rsidR="00FA0388" w:rsidRPr="00711135" w:rsidRDefault="00FA0388" w:rsidP="00DD335B">
      <w:pPr>
        <w:spacing w:after="0"/>
        <w:rPr>
          <w:rFonts w:ascii="Arial" w:hAnsi="Arial" w:cs="Arial"/>
          <w:sz w:val="24"/>
          <w:szCs w:val="24"/>
        </w:rPr>
      </w:pPr>
    </w:p>
    <w:p w14:paraId="38C1716A" w14:textId="001D8AE7" w:rsidR="006136F6" w:rsidRPr="00711135" w:rsidRDefault="006136F6" w:rsidP="00CD0741">
      <w:pPr>
        <w:spacing w:after="0" w:line="480" w:lineRule="auto"/>
        <w:jc w:val="both"/>
        <w:rPr>
          <w:rFonts w:ascii="Arial" w:hAnsi="Arial" w:cs="Arial"/>
          <w:i/>
          <w:sz w:val="24"/>
          <w:szCs w:val="24"/>
          <w:u w:val="single"/>
        </w:rPr>
      </w:pPr>
      <w:r w:rsidRPr="00711135">
        <w:rPr>
          <w:rFonts w:ascii="Arial" w:hAnsi="Arial" w:cs="Arial"/>
          <w:i/>
          <w:sz w:val="24"/>
          <w:szCs w:val="24"/>
        </w:rPr>
        <w:t xml:space="preserve">Alex Kamwi Mabuku Kamwi v Law Society of Namibia </w:t>
      </w:r>
      <w:r w:rsidR="008A5B7E" w:rsidRPr="00711135">
        <w:rPr>
          <w:rFonts w:ascii="Arial" w:hAnsi="Arial" w:cs="Arial"/>
          <w:i/>
          <w:sz w:val="24"/>
          <w:szCs w:val="24"/>
        </w:rPr>
        <w:t>&amp;</w:t>
      </w:r>
      <w:r w:rsidRPr="00711135">
        <w:rPr>
          <w:rFonts w:ascii="Arial" w:hAnsi="Arial" w:cs="Arial"/>
          <w:i/>
          <w:sz w:val="24"/>
          <w:szCs w:val="24"/>
        </w:rPr>
        <w:t xml:space="preserve"> another </w:t>
      </w:r>
      <w:r w:rsidRPr="00711135">
        <w:rPr>
          <w:rFonts w:ascii="Arial" w:hAnsi="Arial" w:cs="Arial"/>
          <w:sz w:val="24"/>
          <w:szCs w:val="24"/>
        </w:rPr>
        <w:t xml:space="preserve">Case </w:t>
      </w:r>
      <w:r w:rsidR="008A5B7E" w:rsidRPr="00711135">
        <w:rPr>
          <w:rFonts w:ascii="Arial" w:hAnsi="Arial" w:cs="Arial"/>
          <w:sz w:val="24"/>
          <w:szCs w:val="24"/>
        </w:rPr>
        <w:t>SA</w:t>
      </w:r>
      <w:r w:rsidRPr="00711135">
        <w:rPr>
          <w:rFonts w:ascii="Arial" w:hAnsi="Arial" w:cs="Arial"/>
          <w:sz w:val="24"/>
          <w:szCs w:val="24"/>
        </w:rPr>
        <w:t xml:space="preserve"> 44/2021</w:t>
      </w:r>
    </w:p>
    <w:p w14:paraId="7028BF14" w14:textId="04ED7FD0" w:rsidR="006136F6"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[11]</w:t>
      </w:r>
      <w:r w:rsidRPr="00711135">
        <w:rPr>
          <w:rFonts w:ascii="Arial" w:hAnsi="Arial" w:cs="Arial"/>
          <w:sz w:val="24"/>
          <w:szCs w:val="24"/>
        </w:rPr>
        <w:tab/>
      </w:r>
      <w:r w:rsidR="00D966A7" w:rsidRPr="00711135">
        <w:rPr>
          <w:rFonts w:ascii="Arial" w:hAnsi="Arial" w:cs="Arial"/>
          <w:sz w:val="24"/>
          <w:szCs w:val="24"/>
        </w:rPr>
        <w:t xml:space="preserve">In this </w:t>
      </w:r>
      <w:r w:rsidR="00C57DAE" w:rsidRPr="00711135">
        <w:rPr>
          <w:rFonts w:ascii="Arial" w:hAnsi="Arial" w:cs="Arial"/>
          <w:sz w:val="24"/>
          <w:szCs w:val="24"/>
        </w:rPr>
        <w:t>case</w:t>
      </w:r>
      <w:r w:rsidR="00D966A7" w:rsidRPr="00711135">
        <w:rPr>
          <w:rFonts w:ascii="Arial" w:hAnsi="Arial" w:cs="Arial"/>
          <w:sz w:val="24"/>
          <w:szCs w:val="24"/>
        </w:rPr>
        <w:t>, t</w:t>
      </w:r>
      <w:r w:rsidR="006136F6" w:rsidRPr="00711135">
        <w:rPr>
          <w:rFonts w:ascii="Arial" w:hAnsi="Arial" w:cs="Arial"/>
          <w:sz w:val="24"/>
          <w:szCs w:val="24"/>
        </w:rPr>
        <w:t xml:space="preserve">he applicant lodged an appeal against the decision </w:t>
      </w:r>
      <w:r w:rsidR="00D966A7" w:rsidRPr="00711135">
        <w:rPr>
          <w:rFonts w:ascii="Arial" w:hAnsi="Arial" w:cs="Arial"/>
          <w:sz w:val="24"/>
          <w:szCs w:val="24"/>
        </w:rPr>
        <w:t xml:space="preserve">of the High Court </w:t>
      </w:r>
      <w:r w:rsidR="006136F6" w:rsidRPr="00711135">
        <w:rPr>
          <w:rFonts w:ascii="Arial" w:hAnsi="Arial" w:cs="Arial"/>
          <w:sz w:val="24"/>
          <w:szCs w:val="24"/>
        </w:rPr>
        <w:t>dismissing a rescission application brought by him against the setting aside of his amended particulars of claim.</w:t>
      </w:r>
    </w:p>
    <w:p w14:paraId="66375EB8" w14:textId="77777777" w:rsidR="006136F6" w:rsidRPr="00711135" w:rsidRDefault="006136F6" w:rsidP="00DD335B">
      <w:pPr>
        <w:spacing w:after="0"/>
        <w:rPr>
          <w:rFonts w:ascii="Arial" w:hAnsi="Arial" w:cs="Arial"/>
          <w:sz w:val="24"/>
          <w:szCs w:val="24"/>
        </w:rPr>
      </w:pPr>
    </w:p>
    <w:p w14:paraId="7539ADCE" w14:textId="0A3DEE59" w:rsidR="006136F6"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[12]</w:t>
      </w:r>
      <w:r w:rsidRPr="00711135">
        <w:rPr>
          <w:rFonts w:ascii="Arial" w:hAnsi="Arial" w:cs="Arial"/>
          <w:sz w:val="24"/>
          <w:szCs w:val="24"/>
        </w:rPr>
        <w:tab/>
      </w:r>
      <w:r w:rsidR="006136F6" w:rsidRPr="00711135">
        <w:rPr>
          <w:rFonts w:ascii="Arial" w:hAnsi="Arial" w:cs="Arial"/>
          <w:sz w:val="24"/>
          <w:szCs w:val="24"/>
        </w:rPr>
        <w:t xml:space="preserve">On 11 August 2021, the applicant filed a condonation application for the late filing of the appeal record. </w:t>
      </w:r>
      <w:r w:rsidR="00D966A7" w:rsidRPr="00711135">
        <w:rPr>
          <w:rFonts w:ascii="Arial" w:hAnsi="Arial" w:cs="Arial"/>
          <w:sz w:val="24"/>
          <w:szCs w:val="24"/>
        </w:rPr>
        <w:t>In this application</w:t>
      </w:r>
      <w:r w:rsidR="00A733C4" w:rsidRPr="00711135">
        <w:rPr>
          <w:rFonts w:ascii="Arial" w:hAnsi="Arial" w:cs="Arial"/>
          <w:sz w:val="24"/>
          <w:szCs w:val="24"/>
        </w:rPr>
        <w:t>,</w:t>
      </w:r>
      <w:r w:rsidR="00D966A7" w:rsidRPr="00711135">
        <w:rPr>
          <w:rFonts w:ascii="Arial" w:hAnsi="Arial" w:cs="Arial"/>
          <w:sz w:val="24"/>
          <w:szCs w:val="24"/>
        </w:rPr>
        <w:t xml:space="preserve"> t</w:t>
      </w:r>
      <w:r w:rsidR="006136F6" w:rsidRPr="00711135">
        <w:rPr>
          <w:rFonts w:ascii="Arial" w:hAnsi="Arial" w:cs="Arial"/>
          <w:sz w:val="24"/>
          <w:szCs w:val="24"/>
        </w:rPr>
        <w:t>he applicant repeat</w:t>
      </w:r>
      <w:r w:rsidR="00D966A7" w:rsidRPr="00711135">
        <w:rPr>
          <w:rFonts w:ascii="Arial" w:hAnsi="Arial" w:cs="Arial"/>
          <w:sz w:val="24"/>
          <w:szCs w:val="24"/>
        </w:rPr>
        <w:t>ed</w:t>
      </w:r>
      <w:r w:rsidR="006136F6" w:rsidRPr="00711135">
        <w:rPr>
          <w:rFonts w:ascii="Arial" w:hAnsi="Arial" w:cs="Arial"/>
          <w:sz w:val="24"/>
          <w:szCs w:val="24"/>
        </w:rPr>
        <w:t xml:space="preserve"> </w:t>
      </w:r>
      <w:r w:rsidR="008C0EA9" w:rsidRPr="00711135">
        <w:rPr>
          <w:rFonts w:ascii="Arial" w:hAnsi="Arial" w:cs="Arial"/>
          <w:sz w:val="24"/>
          <w:szCs w:val="24"/>
        </w:rPr>
        <w:t>t</w:t>
      </w:r>
      <w:r w:rsidR="006136F6" w:rsidRPr="00711135">
        <w:rPr>
          <w:rFonts w:ascii="Arial" w:hAnsi="Arial" w:cs="Arial"/>
          <w:sz w:val="24"/>
          <w:szCs w:val="24"/>
        </w:rPr>
        <w:t>h</w:t>
      </w:r>
      <w:r w:rsidR="008C0EA9" w:rsidRPr="00711135">
        <w:rPr>
          <w:rFonts w:ascii="Arial" w:hAnsi="Arial" w:cs="Arial"/>
          <w:sz w:val="24"/>
          <w:szCs w:val="24"/>
        </w:rPr>
        <w:t>e</w:t>
      </w:r>
      <w:r w:rsidR="006136F6" w:rsidRPr="00711135">
        <w:rPr>
          <w:rFonts w:ascii="Arial" w:hAnsi="Arial" w:cs="Arial"/>
          <w:sz w:val="24"/>
          <w:szCs w:val="24"/>
        </w:rPr>
        <w:t xml:space="preserve"> </w:t>
      </w:r>
      <w:r w:rsidR="00D966A7" w:rsidRPr="00711135">
        <w:rPr>
          <w:rFonts w:ascii="Arial" w:hAnsi="Arial" w:cs="Arial"/>
          <w:sz w:val="24"/>
          <w:szCs w:val="24"/>
        </w:rPr>
        <w:t xml:space="preserve">contention </w:t>
      </w:r>
      <w:r w:rsidR="008C0EA9" w:rsidRPr="00711135">
        <w:rPr>
          <w:rFonts w:ascii="Arial" w:hAnsi="Arial" w:cs="Arial"/>
          <w:sz w:val="24"/>
          <w:szCs w:val="24"/>
        </w:rPr>
        <w:t xml:space="preserve">he made in Case </w:t>
      </w:r>
      <w:r w:rsidR="00B81AA1" w:rsidRPr="00711135">
        <w:rPr>
          <w:rFonts w:ascii="Arial" w:hAnsi="Arial" w:cs="Arial"/>
          <w:sz w:val="24"/>
          <w:szCs w:val="24"/>
        </w:rPr>
        <w:t>SA</w:t>
      </w:r>
      <w:r w:rsidR="008C0EA9" w:rsidRPr="00711135">
        <w:rPr>
          <w:rFonts w:ascii="Arial" w:hAnsi="Arial" w:cs="Arial"/>
          <w:sz w:val="24"/>
          <w:szCs w:val="24"/>
        </w:rPr>
        <w:t xml:space="preserve"> 43/2021 above </w:t>
      </w:r>
      <w:r w:rsidR="006136F6" w:rsidRPr="00711135">
        <w:rPr>
          <w:rFonts w:ascii="Arial" w:hAnsi="Arial" w:cs="Arial"/>
          <w:sz w:val="24"/>
          <w:szCs w:val="24"/>
        </w:rPr>
        <w:t>that rule 14 require</w:t>
      </w:r>
      <w:r w:rsidR="00D966A7" w:rsidRPr="00711135">
        <w:rPr>
          <w:rFonts w:ascii="Arial" w:hAnsi="Arial" w:cs="Arial"/>
          <w:sz w:val="24"/>
          <w:szCs w:val="24"/>
        </w:rPr>
        <w:t>d</w:t>
      </w:r>
      <w:r w:rsidR="006136F6" w:rsidRPr="00711135">
        <w:rPr>
          <w:rFonts w:ascii="Arial" w:hAnsi="Arial" w:cs="Arial"/>
          <w:sz w:val="24"/>
          <w:szCs w:val="24"/>
        </w:rPr>
        <w:t xml:space="preserve"> </w:t>
      </w:r>
      <w:r w:rsidR="00D966A7" w:rsidRPr="00711135">
        <w:rPr>
          <w:rFonts w:ascii="Arial" w:hAnsi="Arial" w:cs="Arial"/>
          <w:sz w:val="24"/>
          <w:szCs w:val="24"/>
        </w:rPr>
        <w:t xml:space="preserve">of </w:t>
      </w:r>
      <w:r w:rsidR="00A733C4" w:rsidRPr="00711135">
        <w:rPr>
          <w:rFonts w:ascii="Arial" w:hAnsi="Arial" w:cs="Arial"/>
          <w:sz w:val="24"/>
          <w:szCs w:val="24"/>
        </w:rPr>
        <w:t xml:space="preserve">an appellant </w:t>
      </w:r>
      <w:r w:rsidR="006136F6" w:rsidRPr="00711135">
        <w:rPr>
          <w:rFonts w:ascii="Arial" w:hAnsi="Arial" w:cs="Arial"/>
          <w:sz w:val="24"/>
          <w:szCs w:val="24"/>
        </w:rPr>
        <w:t xml:space="preserve">to </w:t>
      </w:r>
      <w:r w:rsidR="00A733C4" w:rsidRPr="00711135">
        <w:rPr>
          <w:rFonts w:ascii="Arial" w:hAnsi="Arial" w:cs="Arial"/>
          <w:sz w:val="24"/>
          <w:szCs w:val="24"/>
        </w:rPr>
        <w:t xml:space="preserve">file the record </w:t>
      </w:r>
      <w:r w:rsidR="008C0EA9" w:rsidRPr="00711135">
        <w:rPr>
          <w:rFonts w:ascii="Arial" w:hAnsi="Arial" w:cs="Arial"/>
          <w:sz w:val="24"/>
          <w:szCs w:val="24"/>
        </w:rPr>
        <w:t xml:space="preserve">of appeal </w:t>
      </w:r>
      <w:r w:rsidR="00A733C4" w:rsidRPr="00711135">
        <w:rPr>
          <w:rFonts w:ascii="Arial" w:hAnsi="Arial" w:cs="Arial"/>
          <w:sz w:val="24"/>
          <w:szCs w:val="24"/>
        </w:rPr>
        <w:t xml:space="preserve">only after </w:t>
      </w:r>
      <w:r w:rsidR="008C0EA9" w:rsidRPr="00711135">
        <w:rPr>
          <w:rFonts w:ascii="Arial" w:hAnsi="Arial" w:cs="Arial"/>
          <w:sz w:val="24"/>
          <w:szCs w:val="24"/>
        </w:rPr>
        <w:t xml:space="preserve">– and not before – </w:t>
      </w:r>
      <w:r w:rsidR="00A733C4" w:rsidRPr="00711135">
        <w:rPr>
          <w:rFonts w:ascii="Arial" w:hAnsi="Arial" w:cs="Arial"/>
          <w:sz w:val="24"/>
          <w:szCs w:val="24"/>
        </w:rPr>
        <w:t xml:space="preserve">he or she had </w:t>
      </w:r>
      <w:proofErr w:type="gramStart"/>
      <w:r w:rsidR="00A733C4" w:rsidRPr="00711135">
        <w:rPr>
          <w:rFonts w:ascii="Arial" w:hAnsi="Arial" w:cs="Arial"/>
          <w:sz w:val="24"/>
          <w:szCs w:val="24"/>
        </w:rPr>
        <w:t>entered into</w:t>
      </w:r>
      <w:proofErr w:type="gramEnd"/>
      <w:r w:rsidR="00A733C4" w:rsidRPr="00711135">
        <w:rPr>
          <w:rFonts w:ascii="Arial" w:hAnsi="Arial" w:cs="Arial"/>
          <w:sz w:val="24"/>
          <w:szCs w:val="24"/>
        </w:rPr>
        <w:t xml:space="preserve"> good and sufficient </w:t>
      </w:r>
      <w:r w:rsidR="006136F6" w:rsidRPr="00711135">
        <w:rPr>
          <w:rFonts w:ascii="Arial" w:hAnsi="Arial" w:cs="Arial"/>
          <w:sz w:val="24"/>
          <w:szCs w:val="24"/>
        </w:rPr>
        <w:t xml:space="preserve">security for </w:t>
      </w:r>
      <w:r w:rsidR="000D2415">
        <w:rPr>
          <w:rFonts w:ascii="Arial" w:hAnsi="Arial" w:cs="Arial"/>
          <w:sz w:val="24"/>
          <w:szCs w:val="24"/>
        </w:rPr>
        <w:t xml:space="preserve">a </w:t>
      </w:r>
      <w:r w:rsidR="006136F6" w:rsidRPr="00711135">
        <w:rPr>
          <w:rFonts w:ascii="Arial" w:hAnsi="Arial" w:cs="Arial"/>
          <w:sz w:val="24"/>
          <w:szCs w:val="24"/>
        </w:rPr>
        <w:t>respondent</w:t>
      </w:r>
      <w:r w:rsidR="000D2415">
        <w:rPr>
          <w:rFonts w:ascii="Arial" w:hAnsi="Arial" w:cs="Arial"/>
          <w:sz w:val="24"/>
          <w:szCs w:val="24"/>
        </w:rPr>
        <w:t>’</w:t>
      </w:r>
      <w:r w:rsidR="006136F6" w:rsidRPr="00711135">
        <w:rPr>
          <w:rFonts w:ascii="Arial" w:hAnsi="Arial" w:cs="Arial"/>
          <w:sz w:val="24"/>
          <w:szCs w:val="24"/>
        </w:rPr>
        <w:t>s costs on appeal or ha</w:t>
      </w:r>
      <w:r w:rsidR="00D966A7" w:rsidRPr="00711135">
        <w:rPr>
          <w:rFonts w:ascii="Arial" w:hAnsi="Arial" w:cs="Arial"/>
          <w:sz w:val="24"/>
          <w:szCs w:val="24"/>
        </w:rPr>
        <w:t>d</w:t>
      </w:r>
      <w:r w:rsidR="006136F6" w:rsidRPr="00711135">
        <w:rPr>
          <w:rFonts w:ascii="Arial" w:hAnsi="Arial" w:cs="Arial"/>
          <w:sz w:val="24"/>
          <w:szCs w:val="24"/>
        </w:rPr>
        <w:t xml:space="preserve"> been released from such an obligation.</w:t>
      </w:r>
    </w:p>
    <w:p w14:paraId="40CDA66E" w14:textId="77777777" w:rsidR="006136F6" w:rsidRPr="00711135" w:rsidRDefault="006136F6" w:rsidP="00DD335B">
      <w:pPr>
        <w:pStyle w:val="ListParagraph"/>
        <w:spacing w:after="0"/>
        <w:rPr>
          <w:rFonts w:ascii="Arial" w:hAnsi="Arial" w:cs="Arial"/>
          <w:sz w:val="24"/>
          <w:szCs w:val="24"/>
        </w:rPr>
      </w:pPr>
    </w:p>
    <w:p w14:paraId="3C83EFBA" w14:textId="19E89236" w:rsidR="008C3DF3"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[13]</w:t>
      </w:r>
      <w:r w:rsidRPr="00711135">
        <w:rPr>
          <w:rFonts w:ascii="Arial" w:hAnsi="Arial" w:cs="Arial"/>
          <w:sz w:val="24"/>
          <w:szCs w:val="24"/>
        </w:rPr>
        <w:tab/>
      </w:r>
      <w:r w:rsidR="006136F6" w:rsidRPr="00711135">
        <w:rPr>
          <w:rFonts w:ascii="Arial" w:hAnsi="Arial" w:cs="Arial"/>
          <w:color w:val="000000" w:themeColor="text1"/>
          <w:sz w:val="24"/>
          <w:szCs w:val="24"/>
        </w:rPr>
        <w:t>On 13 December 2021, he was informed by the registrar of this Court that the appeal noted on 28 May 2020 was, in terms of rule 9 of the court’s rules, deemed to have been withdrawn due to his failure to comply with rule 8</w:t>
      </w:r>
      <w:r w:rsidR="008C3DF3" w:rsidRPr="00711135">
        <w:rPr>
          <w:rFonts w:ascii="Arial" w:hAnsi="Arial" w:cs="Arial"/>
          <w:color w:val="000000" w:themeColor="text1"/>
          <w:sz w:val="24"/>
          <w:szCs w:val="24"/>
        </w:rPr>
        <w:t xml:space="preserve"> </w:t>
      </w:r>
      <w:r w:rsidR="006136F6" w:rsidRPr="00711135">
        <w:rPr>
          <w:rFonts w:ascii="Arial" w:hAnsi="Arial" w:cs="Arial"/>
          <w:color w:val="000000" w:themeColor="text1"/>
          <w:sz w:val="24"/>
          <w:szCs w:val="24"/>
        </w:rPr>
        <w:t xml:space="preserve">and rule 14.  </w:t>
      </w:r>
    </w:p>
    <w:p w14:paraId="0062F268" w14:textId="77777777" w:rsidR="00BA019D" w:rsidRPr="00711135" w:rsidRDefault="00BA019D">
      <w:pPr>
        <w:spacing w:after="0" w:line="480" w:lineRule="auto"/>
        <w:ind w:left="360"/>
        <w:jc w:val="both"/>
        <w:rPr>
          <w:rFonts w:ascii="Arial" w:hAnsi="Arial" w:cs="Arial"/>
          <w:sz w:val="24"/>
          <w:szCs w:val="24"/>
        </w:rPr>
      </w:pPr>
    </w:p>
    <w:p w14:paraId="4DC76484" w14:textId="5E20584E" w:rsidR="00A30120"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[14]</w:t>
      </w:r>
      <w:r w:rsidRPr="00711135">
        <w:rPr>
          <w:rFonts w:ascii="Arial" w:hAnsi="Arial" w:cs="Arial"/>
          <w:sz w:val="24"/>
          <w:szCs w:val="24"/>
        </w:rPr>
        <w:tab/>
      </w:r>
      <w:r w:rsidR="008450C7" w:rsidRPr="00711135">
        <w:rPr>
          <w:rFonts w:ascii="Arial" w:hAnsi="Arial" w:cs="Arial"/>
          <w:sz w:val="24"/>
          <w:szCs w:val="24"/>
        </w:rPr>
        <w:t>T</w:t>
      </w:r>
      <w:r w:rsidR="00BA019D" w:rsidRPr="00711135">
        <w:rPr>
          <w:rFonts w:ascii="Arial" w:hAnsi="Arial" w:cs="Arial"/>
          <w:sz w:val="24"/>
          <w:szCs w:val="24"/>
        </w:rPr>
        <w:t xml:space="preserve">he applicant </w:t>
      </w:r>
      <w:r w:rsidR="001D4275" w:rsidRPr="00711135">
        <w:rPr>
          <w:rFonts w:ascii="Arial" w:hAnsi="Arial" w:cs="Arial"/>
          <w:sz w:val="24"/>
          <w:szCs w:val="24"/>
        </w:rPr>
        <w:t>replied t</w:t>
      </w:r>
      <w:r w:rsidR="008450C7" w:rsidRPr="00711135">
        <w:rPr>
          <w:rFonts w:ascii="Arial" w:hAnsi="Arial" w:cs="Arial"/>
          <w:sz w:val="24"/>
          <w:szCs w:val="24"/>
        </w:rPr>
        <w:t xml:space="preserve">o the registrar’s letter </w:t>
      </w:r>
      <w:r w:rsidR="005F01FF" w:rsidRPr="00711135">
        <w:rPr>
          <w:rFonts w:ascii="Arial" w:hAnsi="Arial" w:cs="Arial"/>
          <w:sz w:val="24"/>
          <w:szCs w:val="24"/>
        </w:rPr>
        <w:t xml:space="preserve">in a letter dated </w:t>
      </w:r>
      <w:r w:rsidR="006136F6" w:rsidRPr="00711135">
        <w:rPr>
          <w:rFonts w:ascii="Arial" w:hAnsi="Arial" w:cs="Arial"/>
          <w:sz w:val="24"/>
          <w:szCs w:val="24"/>
        </w:rPr>
        <w:t>12 January 2022</w:t>
      </w:r>
      <w:r w:rsidR="008450C7" w:rsidRPr="00711135">
        <w:rPr>
          <w:rFonts w:ascii="Arial" w:hAnsi="Arial" w:cs="Arial"/>
          <w:sz w:val="24"/>
          <w:szCs w:val="24"/>
        </w:rPr>
        <w:t>,</w:t>
      </w:r>
      <w:r w:rsidR="006136F6" w:rsidRPr="00711135">
        <w:rPr>
          <w:rFonts w:ascii="Arial" w:hAnsi="Arial" w:cs="Arial"/>
          <w:sz w:val="24"/>
          <w:szCs w:val="24"/>
        </w:rPr>
        <w:t xml:space="preserve"> </w:t>
      </w:r>
      <w:r w:rsidR="00803DFB" w:rsidRPr="00711135">
        <w:rPr>
          <w:rFonts w:ascii="Arial" w:hAnsi="Arial" w:cs="Arial"/>
          <w:sz w:val="24"/>
          <w:szCs w:val="24"/>
        </w:rPr>
        <w:t xml:space="preserve">addressed </w:t>
      </w:r>
      <w:r w:rsidR="006136F6" w:rsidRPr="00711135">
        <w:rPr>
          <w:rFonts w:ascii="Arial" w:hAnsi="Arial" w:cs="Arial"/>
          <w:sz w:val="24"/>
          <w:szCs w:val="24"/>
        </w:rPr>
        <w:t xml:space="preserve">to </w:t>
      </w:r>
      <w:r w:rsidR="00BA019D" w:rsidRPr="00711135">
        <w:rPr>
          <w:rFonts w:ascii="Arial" w:hAnsi="Arial" w:cs="Arial"/>
          <w:sz w:val="24"/>
          <w:szCs w:val="24"/>
        </w:rPr>
        <w:t>the Chief Justice</w:t>
      </w:r>
      <w:r w:rsidR="006136F6" w:rsidRPr="00711135">
        <w:rPr>
          <w:rFonts w:ascii="Arial" w:hAnsi="Arial" w:cs="Arial"/>
          <w:sz w:val="24"/>
          <w:szCs w:val="24"/>
        </w:rPr>
        <w:t xml:space="preserve">, </w:t>
      </w:r>
      <w:r w:rsidR="00BA019D" w:rsidRPr="00711135">
        <w:rPr>
          <w:rFonts w:ascii="Arial" w:hAnsi="Arial" w:cs="Arial"/>
          <w:sz w:val="24"/>
          <w:szCs w:val="24"/>
        </w:rPr>
        <w:t xml:space="preserve">contending </w:t>
      </w:r>
      <w:r w:rsidR="006136F6" w:rsidRPr="00711135">
        <w:rPr>
          <w:rFonts w:ascii="Arial" w:hAnsi="Arial" w:cs="Arial"/>
          <w:sz w:val="24"/>
          <w:szCs w:val="24"/>
        </w:rPr>
        <w:t xml:space="preserve">that his appeal had </w:t>
      </w:r>
      <w:r w:rsidR="00BA019D" w:rsidRPr="00711135">
        <w:rPr>
          <w:rFonts w:ascii="Arial" w:hAnsi="Arial" w:cs="Arial"/>
          <w:sz w:val="24"/>
          <w:szCs w:val="24"/>
        </w:rPr>
        <w:t xml:space="preserve">not </w:t>
      </w:r>
      <w:r w:rsidR="006136F6" w:rsidRPr="00711135">
        <w:rPr>
          <w:rFonts w:ascii="Arial" w:hAnsi="Arial" w:cs="Arial"/>
          <w:sz w:val="24"/>
          <w:szCs w:val="24"/>
        </w:rPr>
        <w:t xml:space="preserve">lapsed due to the non-compliances with the rules </w:t>
      </w:r>
      <w:r w:rsidR="008450C7" w:rsidRPr="00711135">
        <w:rPr>
          <w:rFonts w:ascii="Arial" w:hAnsi="Arial" w:cs="Arial"/>
          <w:sz w:val="24"/>
          <w:szCs w:val="24"/>
        </w:rPr>
        <w:t xml:space="preserve">of </w:t>
      </w:r>
      <w:r w:rsidR="006136F6" w:rsidRPr="00711135">
        <w:rPr>
          <w:rFonts w:ascii="Arial" w:hAnsi="Arial" w:cs="Arial"/>
          <w:sz w:val="24"/>
          <w:szCs w:val="24"/>
        </w:rPr>
        <w:t>court st</w:t>
      </w:r>
      <w:r w:rsidR="00BA019D" w:rsidRPr="00711135">
        <w:rPr>
          <w:rFonts w:ascii="Arial" w:hAnsi="Arial" w:cs="Arial"/>
          <w:sz w:val="24"/>
          <w:szCs w:val="24"/>
        </w:rPr>
        <w:t xml:space="preserve">ipulated </w:t>
      </w:r>
      <w:r w:rsidR="006136F6" w:rsidRPr="00711135">
        <w:rPr>
          <w:rFonts w:ascii="Arial" w:hAnsi="Arial" w:cs="Arial"/>
          <w:sz w:val="24"/>
          <w:szCs w:val="24"/>
        </w:rPr>
        <w:t xml:space="preserve">in the </w:t>
      </w:r>
      <w:r w:rsidR="00BA019D" w:rsidRPr="00711135">
        <w:rPr>
          <w:rFonts w:ascii="Arial" w:hAnsi="Arial" w:cs="Arial"/>
          <w:sz w:val="24"/>
          <w:szCs w:val="24"/>
        </w:rPr>
        <w:t xml:space="preserve">registrar’s </w:t>
      </w:r>
      <w:r w:rsidR="006136F6" w:rsidRPr="00711135">
        <w:rPr>
          <w:rFonts w:ascii="Arial" w:hAnsi="Arial" w:cs="Arial"/>
          <w:sz w:val="24"/>
          <w:szCs w:val="24"/>
        </w:rPr>
        <w:t xml:space="preserve">letter.  </w:t>
      </w:r>
      <w:r w:rsidR="00BA019D" w:rsidRPr="00711135">
        <w:rPr>
          <w:rFonts w:ascii="Arial" w:hAnsi="Arial" w:cs="Arial"/>
          <w:sz w:val="24"/>
          <w:szCs w:val="24"/>
        </w:rPr>
        <w:t xml:space="preserve">The applicant argued furthermore </w:t>
      </w:r>
      <w:r w:rsidR="006136F6" w:rsidRPr="00711135">
        <w:rPr>
          <w:rFonts w:ascii="Arial" w:hAnsi="Arial" w:cs="Arial"/>
          <w:sz w:val="24"/>
          <w:szCs w:val="24"/>
        </w:rPr>
        <w:t>that his appeal c</w:t>
      </w:r>
      <w:r w:rsidR="00BA019D" w:rsidRPr="00711135">
        <w:rPr>
          <w:rFonts w:ascii="Arial" w:hAnsi="Arial" w:cs="Arial"/>
          <w:sz w:val="24"/>
          <w:szCs w:val="24"/>
        </w:rPr>
        <w:t xml:space="preserve">ould not have </w:t>
      </w:r>
      <w:r w:rsidR="006136F6" w:rsidRPr="00711135">
        <w:rPr>
          <w:rFonts w:ascii="Arial" w:hAnsi="Arial" w:cs="Arial"/>
          <w:sz w:val="24"/>
          <w:szCs w:val="24"/>
        </w:rPr>
        <w:t>lapse</w:t>
      </w:r>
      <w:r w:rsidR="00BA019D" w:rsidRPr="00711135">
        <w:rPr>
          <w:rFonts w:ascii="Arial" w:hAnsi="Arial" w:cs="Arial"/>
          <w:sz w:val="24"/>
          <w:szCs w:val="24"/>
        </w:rPr>
        <w:t>d</w:t>
      </w:r>
      <w:r w:rsidR="006136F6" w:rsidRPr="00711135">
        <w:rPr>
          <w:rFonts w:ascii="Arial" w:hAnsi="Arial" w:cs="Arial"/>
          <w:sz w:val="24"/>
          <w:szCs w:val="24"/>
        </w:rPr>
        <w:t xml:space="preserve"> because rule 14 suspends the filing of the record of proceedings until the issue relating to the </w:t>
      </w:r>
      <w:r w:rsidR="008450C7" w:rsidRPr="00711135">
        <w:rPr>
          <w:rFonts w:ascii="Arial" w:hAnsi="Arial" w:cs="Arial"/>
          <w:sz w:val="24"/>
          <w:szCs w:val="24"/>
        </w:rPr>
        <w:t xml:space="preserve">provision </w:t>
      </w:r>
      <w:r w:rsidR="006136F6" w:rsidRPr="00711135">
        <w:rPr>
          <w:rFonts w:ascii="Arial" w:hAnsi="Arial" w:cs="Arial"/>
          <w:sz w:val="24"/>
          <w:szCs w:val="24"/>
        </w:rPr>
        <w:t xml:space="preserve">of security </w:t>
      </w:r>
      <w:r w:rsidR="00BA019D" w:rsidRPr="00711135">
        <w:rPr>
          <w:rFonts w:ascii="Arial" w:hAnsi="Arial" w:cs="Arial"/>
          <w:sz w:val="24"/>
          <w:szCs w:val="24"/>
        </w:rPr>
        <w:t>wa</w:t>
      </w:r>
      <w:r w:rsidR="006136F6" w:rsidRPr="00711135">
        <w:rPr>
          <w:rFonts w:ascii="Arial" w:hAnsi="Arial" w:cs="Arial"/>
          <w:sz w:val="24"/>
          <w:szCs w:val="24"/>
        </w:rPr>
        <w:t>s resolved.</w:t>
      </w:r>
      <w:r w:rsidR="00A30120" w:rsidRPr="00711135">
        <w:rPr>
          <w:rFonts w:ascii="Arial" w:hAnsi="Arial" w:cs="Arial"/>
          <w:sz w:val="24"/>
          <w:szCs w:val="24"/>
        </w:rPr>
        <w:t xml:space="preserve"> </w:t>
      </w:r>
      <w:r w:rsidR="00195D54" w:rsidRPr="00711135">
        <w:rPr>
          <w:rFonts w:ascii="Arial" w:hAnsi="Arial" w:cs="Arial"/>
          <w:sz w:val="24"/>
          <w:szCs w:val="24"/>
        </w:rPr>
        <w:t xml:space="preserve"> </w:t>
      </w:r>
      <w:r w:rsidR="00A30120" w:rsidRPr="00711135">
        <w:rPr>
          <w:rFonts w:ascii="Arial" w:hAnsi="Arial" w:cs="Arial"/>
          <w:sz w:val="24"/>
          <w:szCs w:val="24"/>
        </w:rPr>
        <w:t xml:space="preserve">This application is also opposed. </w:t>
      </w:r>
    </w:p>
    <w:p w14:paraId="46E2F7F7" w14:textId="77777777" w:rsidR="00515EB9" w:rsidRPr="00711135" w:rsidRDefault="00515EB9" w:rsidP="00DD335B">
      <w:pPr>
        <w:pStyle w:val="ListParagraph"/>
        <w:spacing w:after="0"/>
        <w:rPr>
          <w:rFonts w:ascii="Arial" w:hAnsi="Arial" w:cs="Arial"/>
          <w:sz w:val="24"/>
          <w:szCs w:val="24"/>
        </w:rPr>
      </w:pPr>
    </w:p>
    <w:p w14:paraId="6EE79F9B" w14:textId="1F56C06A" w:rsidR="00515EB9"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[15]</w:t>
      </w:r>
      <w:r w:rsidRPr="00711135">
        <w:rPr>
          <w:rFonts w:ascii="Arial" w:hAnsi="Arial" w:cs="Arial"/>
          <w:sz w:val="24"/>
          <w:szCs w:val="24"/>
        </w:rPr>
        <w:tab/>
      </w:r>
      <w:r w:rsidR="00515EB9" w:rsidRPr="00711135">
        <w:rPr>
          <w:rFonts w:ascii="Arial" w:hAnsi="Arial" w:cs="Arial"/>
          <w:sz w:val="24"/>
          <w:szCs w:val="24"/>
        </w:rPr>
        <w:t>Upon consideration of the content of the applicant’s letters, I directed that the applications be set down for argument so that the competing contentions made by the applicant and the registrar can be adjudicated upon, in a way, to break the deadlock. It is in this limited context that these matters were set down for argument.</w:t>
      </w:r>
      <w:r w:rsidR="00B57D38">
        <w:rPr>
          <w:rFonts w:ascii="Arial" w:hAnsi="Arial" w:cs="Arial"/>
          <w:sz w:val="24"/>
          <w:szCs w:val="24"/>
        </w:rPr>
        <w:t xml:space="preserve"> The parties were directed to file heads of argument </w:t>
      </w:r>
      <w:r w:rsidR="006C7000">
        <w:rPr>
          <w:rFonts w:ascii="Arial" w:hAnsi="Arial" w:cs="Arial"/>
          <w:sz w:val="24"/>
          <w:szCs w:val="24"/>
        </w:rPr>
        <w:t xml:space="preserve">on </w:t>
      </w:r>
      <w:r w:rsidR="00B57D38">
        <w:rPr>
          <w:rFonts w:ascii="Arial" w:hAnsi="Arial" w:cs="Arial"/>
          <w:sz w:val="24"/>
          <w:szCs w:val="24"/>
        </w:rPr>
        <w:t>the interpretation of rule 14</w:t>
      </w:r>
      <w:r w:rsidR="006C7000">
        <w:rPr>
          <w:rFonts w:ascii="Arial" w:hAnsi="Arial" w:cs="Arial"/>
          <w:sz w:val="24"/>
          <w:szCs w:val="24"/>
        </w:rPr>
        <w:t xml:space="preserve"> contended for by the applicant</w:t>
      </w:r>
      <w:r w:rsidR="00B57D38">
        <w:rPr>
          <w:rFonts w:ascii="Arial" w:hAnsi="Arial" w:cs="Arial"/>
          <w:sz w:val="24"/>
          <w:szCs w:val="24"/>
        </w:rPr>
        <w:t>.</w:t>
      </w:r>
    </w:p>
    <w:p w14:paraId="5EB0A7E1" w14:textId="77777777" w:rsidR="00C16B5D" w:rsidRPr="00711135" w:rsidRDefault="00C16B5D" w:rsidP="00DD335B">
      <w:pPr>
        <w:spacing w:after="0"/>
        <w:rPr>
          <w:rFonts w:ascii="Arial" w:hAnsi="Arial" w:cs="Arial"/>
          <w:sz w:val="24"/>
          <w:szCs w:val="24"/>
        </w:rPr>
      </w:pPr>
    </w:p>
    <w:p w14:paraId="28C3CEED" w14:textId="3B294BF1" w:rsidR="00C16B5D" w:rsidRPr="00711135" w:rsidRDefault="00C16B5D" w:rsidP="00DD335B">
      <w:pPr>
        <w:spacing w:after="0" w:line="480" w:lineRule="auto"/>
        <w:rPr>
          <w:rFonts w:ascii="Arial" w:hAnsi="Arial" w:cs="Arial"/>
          <w:sz w:val="24"/>
          <w:szCs w:val="24"/>
          <w:u w:val="single"/>
        </w:rPr>
      </w:pPr>
      <w:r w:rsidRPr="00711135">
        <w:rPr>
          <w:rFonts w:ascii="Arial" w:hAnsi="Arial" w:cs="Arial"/>
          <w:sz w:val="24"/>
          <w:szCs w:val="24"/>
          <w:u w:val="single"/>
        </w:rPr>
        <w:t>Attitude of the respondents to the applications</w:t>
      </w:r>
      <w:r w:rsidR="00AE0F18" w:rsidRPr="00711135">
        <w:rPr>
          <w:rFonts w:ascii="Arial" w:hAnsi="Arial" w:cs="Arial"/>
          <w:sz w:val="24"/>
          <w:szCs w:val="24"/>
          <w:u w:val="single"/>
        </w:rPr>
        <w:t xml:space="preserve"> for condonation </w:t>
      </w:r>
      <w:r w:rsidRPr="00711135">
        <w:rPr>
          <w:rFonts w:ascii="Arial" w:hAnsi="Arial" w:cs="Arial"/>
          <w:sz w:val="24"/>
          <w:szCs w:val="24"/>
          <w:u w:val="single"/>
        </w:rPr>
        <w:t xml:space="preserve"> </w:t>
      </w:r>
    </w:p>
    <w:p w14:paraId="5C6C7BFD" w14:textId="1E07766C" w:rsidR="00301236"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[16]</w:t>
      </w:r>
      <w:r w:rsidRPr="00711135">
        <w:rPr>
          <w:rFonts w:ascii="Arial" w:hAnsi="Arial" w:cs="Arial"/>
          <w:sz w:val="24"/>
          <w:szCs w:val="24"/>
        </w:rPr>
        <w:tab/>
      </w:r>
      <w:r w:rsidR="00A30120" w:rsidRPr="00711135">
        <w:rPr>
          <w:rFonts w:ascii="Arial" w:hAnsi="Arial" w:cs="Arial"/>
          <w:sz w:val="24"/>
          <w:szCs w:val="24"/>
        </w:rPr>
        <w:t xml:space="preserve">The two counsel who </w:t>
      </w:r>
      <w:r w:rsidR="00195D54" w:rsidRPr="00711135">
        <w:rPr>
          <w:rFonts w:ascii="Arial" w:hAnsi="Arial" w:cs="Arial"/>
          <w:sz w:val="24"/>
          <w:szCs w:val="24"/>
        </w:rPr>
        <w:t xml:space="preserve">separately </w:t>
      </w:r>
      <w:r w:rsidR="00A30120" w:rsidRPr="00711135">
        <w:rPr>
          <w:rFonts w:ascii="Arial" w:hAnsi="Arial" w:cs="Arial"/>
          <w:sz w:val="24"/>
          <w:szCs w:val="24"/>
        </w:rPr>
        <w:t xml:space="preserve">argued the matters were </w:t>
      </w:r>
      <w:r w:rsidR="00A30120" w:rsidRPr="00711135">
        <w:rPr>
          <w:rFonts w:ascii="Arial" w:hAnsi="Arial" w:cs="Arial"/>
          <w:i/>
          <w:sz w:val="24"/>
          <w:szCs w:val="24"/>
        </w:rPr>
        <w:t>ad idem</w:t>
      </w:r>
      <w:r w:rsidR="00A30120" w:rsidRPr="00711135">
        <w:rPr>
          <w:rFonts w:ascii="Arial" w:hAnsi="Arial" w:cs="Arial"/>
          <w:sz w:val="24"/>
          <w:szCs w:val="24"/>
        </w:rPr>
        <w:t xml:space="preserve"> that an application brought in terms of rule 14(2)(b) for release from the obligation to furnish security for costs does not absolve </w:t>
      </w:r>
      <w:r w:rsidR="00B57D38">
        <w:rPr>
          <w:rFonts w:ascii="Arial" w:hAnsi="Arial" w:cs="Arial"/>
          <w:sz w:val="24"/>
          <w:szCs w:val="24"/>
        </w:rPr>
        <w:t xml:space="preserve">an </w:t>
      </w:r>
      <w:r w:rsidR="00A30120" w:rsidRPr="00711135">
        <w:rPr>
          <w:rFonts w:ascii="Arial" w:hAnsi="Arial" w:cs="Arial"/>
          <w:sz w:val="24"/>
          <w:szCs w:val="24"/>
        </w:rPr>
        <w:t>applicant from complying with rule 8. Counsel argued that the interpretation and construction of rule 14 read with rule 8 contended for by the applicant is misplaced.</w:t>
      </w:r>
      <w:r w:rsidR="00A2315E" w:rsidRPr="00711135">
        <w:rPr>
          <w:rFonts w:ascii="Arial" w:hAnsi="Arial" w:cs="Arial"/>
          <w:sz w:val="24"/>
          <w:szCs w:val="24"/>
        </w:rPr>
        <w:t xml:space="preserve"> </w:t>
      </w:r>
      <w:r w:rsidR="00301236" w:rsidRPr="00711135">
        <w:rPr>
          <w:rFonts w:ascii="Arial" w:hAnsi="Arial" w:cs="Arial"/>
          <w:sz w:val="24"/>
          <w:szCs w:val="24"/>
        </w:rPr>
        <w:t xml:space="preserve">In support of this proposition, counsel referred us to </w:t>
      </w:r>
      <w:r w:rsidR="00301236" w:rsidRPr="00711135">
        <w:rPr>
          <w:rFonts w:ascii="Arial" w:hAnsi="Arial" w:cs="Arial"/>
          <w:i/>
          <w:sz w:val="24"/>
          <w:szCs w:val="24"/>
        </w:rPr>
        <w:t>Shikongo v Lee’s Investments</w:t>
      </w:r>
      <w:r w:rsidR="00A2315E" w:rsidRPr="00711135">
        <w:rPr>
          <w:rStyle w:val="FootnoteReference"/>
          <w:rFonts w:ascii="Arial" w:hAnsi="Arial" w:cs="Arial"/>
          <w:sz w:val="24"/>
          <w:szCs w:val="24"/>
        </w:rPr>
        <w:footnoteReference w:id="1"/>
      </w:r>
      <w:r w:rsidR="00301236" w:rsidRPr="00711135">
        <w:rPr>
          <w:rFonts w:ascii="Arial" w:hAnsi="Arial" w:cs="Arial"/>
          <w:i/>
          <w:sz w:val="24"/>
          <w:szCs w:val="24"/>
        </w:rPr>
        <w:t xml:space="preserve"> </w:t>
      </w:r>
      <w:r w:rsidR="00301236" w:rsidRPr="00711135">
        <w:rPr>
          <w:rFonts w:ascii="Arial" w:hAnsi="Arial" w:cs="Arial"/>
          <w:sz w:val="24"/>
          <w:szCs w:val="24"/>
        </w:rPr>
        <w:t xml:space="preserve">where </w:t>
      </w:r>
      <w:r w:rsidR="00A2315E" w:rsidRPr="00711135">
        <w:rPr>
          <w:rFonts w:ascii="Arial" w:hAnsi="Arial" w:cs="Arial"/>
          <w:sz w:val="24"/>
          <w:szCs w:val="24"/>
        </w:rPr>
        <w:t xml:space="preserve">a similar argument was rejected. </w:t>
      </w:r>
    </w:p>
    <w:p w14:paraId="0D2BDAC1" w14:textId="763FEF0F" w:rsidR="00710B90" w:rsidRPr="00711135" w:rsidRDefault="00C16B5D">
      <w:pPr>
        <w:spacing w:after="0" w:line="480" w:lineRule="auto"/>
        <w:jc w:val="both"/>
        <w:rPr>
          <w:rFonts w:ascii="Arial" w:hAnsi="Arial" w:cs="Arial"/>
          <w:sz w:val="24"/>
          <w:szCs w:val="24"/>
        </w:rPr>
      </w:pPr>
      <w:r w:rsidRPr="00711135">
        <w:rPr>
          <w:rFonts w:ascii="Arial" w:hAnsi="Arial" w:cs="Arial"/>
          <w:color w:val="000000" w:themeColor="text1"/>
          <w:sz w:val="24"/>
          <w:szCs w:val="24"/>
        </w:rPr>
        <w:t xml:space="preserve"> </w:t>
      </w:r>
    </w:p>
    <w:p w14:paraId="587B4C52" w14:textId="394B6FA9" w:rsidR="00710B90" w:rsidRPr="00711135" w:rsidRDefault="008C3C27" w:rsidP="008C3C27">
      <w:pPr>
        <w:spacing w:after="24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lastRenderedPageBreak/>
        <w:t>[17]</w:t>
      </w:r>
      <w:r w:rsidRPr="00711135">
        <w:rPr>
          <w:rFonts w:ascii="Arial" w:hAnsi="Arial" w:cs="Arial"/>
          <w:color w:val="000000" w:themeColor="text1"/>
          <w:sz w:val="24"/>
          <w:szCs w:val="24"/>
        </w:rPr>
        <w:tab/>
      </w:r>
      <w:r w:rsidR="007A2A0C" w:rsidRPr="00711135">
        <w:rPr>
          <w:rFonts w:ascii="Arial" w:hAnsi="Arial" w:cs="Arial"/>
          <w:color w:val="000000" w:themeColor="text1"/>
          <w:sz w:val="24"/>
          <w:szCs w:val="24"/>
        </w:rPr>
        <w:t xml:space="preserve">Counsel, correctly, </w:t>
      </w:r>
      <w:r w:rsidR="00121396" w:rsidRPr="00711135">
        <w:rPr>
          <w:rFonts w:ascii="Arial" w:hAnsi="Arial" w:cs="Arial"/>
          <w:color w:val="000000" w:themeColor="text1"/>
          <w:sz w:val="24"/>
          <w:szCs w:val="24"/>
        </w:rPr>
        <w:t xml:space="preserve">also highlighted </w:t>
      </w:r>
      <w:r w:rsidR="00B57D38">
        <w:rPr>
          <w:rFonts w:ascii="Arial" w:hAnsi="Arial" w:cs="Arial"/>
          <w:color w:val="000000" w:themeColor="text1"/>
          <w:sz w:val="24"/>
          <w:szCs w:val="24"/>
        </w:rPr>
        <w:t xml:space="preserve">the </w:t>
      </w:r>
      <w:r w:rsidR="00121396" w:rsidRPr="00711135">
        <w:rPr>
          <w:rFonts w:ascii="Arial" w:hAnsi="Arial" w:cs="Arial"/>
          <w:color w:val="000000" w:themeColor="text1"/>
          <w:sz w:val="24"/>
          <w:szCs w:val="24"/>
        </w:rPr>
        <w:t xml:space="preserve">applicant’s non-compliance with multiple other rules of court, including the failure to file an appeal record compliant with rule 11(1); the failure to hold meetings with the respondents or their legal practitioners to agree on the content of the record in violation of rule 11(10);  the failure to properly index and paginate the records as set out in rule 17(7); the failure to file heads of argument within the period stipulated in rule 17(1), and his reliance on foreign authorities without certifying that no Namibian authority existed in support of </w:t>
      </w:r>
      <w:r w:rsidR="00121396" w:rsidRPr="00711135">
        <w:rPr>
          <w:rFonts w:ascii="Arial" w:eastAsia="Times New Roman" w:hAnsi="Arial" w:cs="Arial"/>
          <w:sz w:val="24"/>
          <w:szCs w:val="24"/>
        </w:rPr>
        <w:t>propositions of law he advanced as required by rule 19</w:t>
      </w:r>
      <w:r w:rsidR="00711135">
        <w:rPr>
          <w:rFonts w:ascii="Arial" w:eastAsia="Times New Roman" w:hAnsi="Arial" w:cs="Arial"/>
          <w:sz w:val="24"/>
          <w:szCs w:val="24"/>
        </w:rPr>
        <w:t>.</w:t>
      </w:r>
    </w:p>
    <w:p w14:paraId="7CACBCEB" w14:textId="77777777" w:rsidR="00A23DA7" w:rsidRPr="00711135" w:rsidRDefault="00A23DA7" w:rsidP="00DD335B">
      <w:pPr>
        <w:pStyle w:val="ListParagraph"/>
        <w:spacing w:after="0"/>
        <w:rPr>
          <w:rFonts w:ascii="Arial" w:hAnsi="Arial" w:cs="Arial"/>
          <w:sz w:val="24"/>
          <w:szCs w:val="24"/>
        </w:rPr>
      </w:pPr>
    </w:p>
    <w:p w14:paraId="09D88154" w14:textId="6F0D3E0C" w:rsidR="00F6153A" w:rsidRPr="00711135" w:rsidRDefault="00F6153A" w:rsidP="00CD0741">
      <w:pPr>
        <w:spacing w:after="0" w:line="480" w:lineRule="auto"/>
        <w:jc w:val="both"/>
        <w:rPr>
          <w:rFonts w:ascii="Arial" w:hAnsi="Arial" w:cs="Arial"/>
          <w:sz w:val="24"/>
          <w:szCs w:val="24"/>
          <w:u w:val="single"/>
        </w:rPr>
      </w:pPr>
      <w:r w:rsidRPr="00711135">
        <w:rPr>
          <w:rFonts w:ascii="Arial" w:hAnsi="Arial" w:cs="Arial"/>
          <w:sz w:val="24"/>
          <w:szCs w:val="24"/>
          <w:u w:val="single"/>
        </w:rPr>
        <w:t xml:space="preserve">Principles governing condonation </w:t>
      </w:r>
      <w:proofErr w:type="gramStart"/>
      <w:r w:rsidRPr="00711135">
        <w:rPr>
          <w:rFonts w:ascii="Arial" w:hAnsi="Arial" w:cs="Arial"/>
          <w:sz w:val="24"/>
          <w:szCs w:val="24"/>
          <w:u w:val="single"/>
        </w:rPr>
        <w:t>application</w:t>
      </w:r>
      <w:r w:rsidR="004A2AEF" w:rsidRPr="00711135">
        <w:rPr>
          <w:rFonts w:ascii="Arial" w:hAnsi="Arial" w:cs="Arial"/>
          <w:sz w:val="24"/>
          <w:szCs w:val="24"/>
          <w:u w:val="single"/>
        </w:rPr>
        <w:t>s</w:t>
      </w:r>
      <w:proofErr w:type="gramEnd"/>
      <w:r w:rsidR="00AC3F35" w:rsidRPr="00711135">
        <w:rPr>
          <w:rFonts w:ascii="Arial" w:hAnsi="Arial" w:cs="Arial"/>
          <w:sz w:val="24"/>
          <w:szCs w:val="24"/>
          <w:u w:val="single"/>
        </w:rPr>
        <w:t xml:space="preserve"> </w:t>
      </w:r>
    </w:p>
    <w:p w14:paraId="51E63407" w14:textId="3732F771" w:rsidR="00C70BB6"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[18]</w:t>
      </w:r>
      <w:r w:rsidRPr="00711135">
        <w:rPr>
          <w:rFonts w:ascii="Arial" w:hAnsi="Arial" w:cs="Arial"/>
          <w:sz w:val="24"/>
          <w:szCs w:val="24"/>
        </w:rPr>
        <w:tab/>
      </w:r>
      <w:r w:rsidR="00541DF8" w:rsidRPr="00711135">
        <w:rPr>
          <w:rFonts w:ascii="Arial" w:hAnsi="Arial" w:cs="Arial"/>
          <w:sz w:val="24"/>
          <w:szCs w:val="24"/>
        </w:rPr>
        <w:t xml:space="preserve">The general principles applied in </w:t>
      </w:r>
      <w:r w:rsidR="00893B17" w:rsidRPr="00711135">
        <w:rPr>
          <w:rFonts w:ascii="Arial" w:hAnsi="Arial" w:cs="Arial"/>
          <w:sz w:val="24"/>
          <w:szCs w:val="24"/>
        </w:rPr>
        <w:t xml:space="preserve">the </w:t>
      </w:r>
      <w:r w:rsidR="00541DF8" w:rsidRPr="00711135">
        <w:rPr>
          <w:rFonts w:ascii="Arial" w:hAnsi="Arial" w:cs="Arial"/>
          <w:sz w:val="24"/>
          <w:szCs w:val="24"/>
        </w:rPr>
        <w:t xml:space="preserve">determination of applications for condonation </w:t>
      </w:r>
      <w:r w:rsidR="005F0FF9" w:rsidRPr="00711135">
        <w:rPr>
          <w:rFonts w:ascii="Arial" w:hAnsi="Arial" w:cs="Arial"/>
          <w:sz w:val="24"/>
          <w:szCs w:val="24"/>
        </w:rPr>
        <w:t>are</w:t>
      </w:r>
      <w:r w:rsidR="00541DF8" w:rsidRPr="00711135">
        <w:rPr>
          <w:rFonts w:ascii="Arial" w:hAnsi="Arial" w:cs="Arial"/>
          <w:sz w:val="24"/>
          <w:szCs w:val="24"/>
        </w:rPr>
        <w:t xml:space="preserve"> well</w:t>
      </w:r>
      <w:r w:rsidR="005F0FF9" w:rsidRPr="00711135">
        <w:rPr>
          <w:rFonts w:ascii="Arial" w:hAnsi="Arial" w:cs="Arial"/>
          <w:sz w:val="24"/>
          <w:szCs w:val="24"/>
        </w:rPr>
        <w:t>-</w:t>
      </w:r>
      <w:r w:rsidR="00541DF8" w:rsidRPr="00711135">
        <w:rPr>
          <w:rFonts w:ascii="Arial" w:hAnsi="Arial" w:cs="Arial"/>
          <w:sz w:val="24"/>
          <w:szCs w:val="24"/>
        </w:rPr>
        <w:t xml:space="preserve">established. They have been comprehensively discussed </w:t>
      </w:r>
      <w:r w:rsidR="00AC3F35" w:rsidRPr="00711135">
        <w:rPr>
          <w:rFonts w:ascii="Arial" w:hAnsi="Arial" w:cs="Arial"/>
          <w:sz w:val="24"/>
          <w:szCs w:val="24"/>
        </w:rPr>
        <w:t xml:space="preserve">in </w:t>
      </w:r>
      <w:r w:rsidR="00541DF8" w:rsidRPr="00711135">
        <w:rPr>
          <w:rFonts w:ascii="Arial" w:hAnsi="Arial" w:cs="Arial"/>
          <w:sz w:val="24"/>
          <w:szCs w:val="24"/>
        </w:rPr>
        <w:t xml:space="preserve">numerous </w:t>
      </w:r>
      <w:r w:rsidR="005F0FF9" w:rsidRPr="00711135">
        <w:rPr>
          <w:rFonts w:ascii="Arial" w:hAnsi="Arial" w:cs="Arial"/>
          <w:sz w:val="24"/>
          <w:szCs w:val="24"/>
        </w:rPr>
        <w:t>judgment</w:t>
      </w:r>
      <w:r w:rsidR="00541DF8" w:rsidRPr="00711135">
        <w:rPr>
          <w:rFonts w:ascii="Arial" w:hAnsi="Arial" w:cs="Arial"/>
          <w:sz w:val="24"/>
          <w:szCs w:val="24"/>
        </w:rPr>
        <w:t>s of this Court</w:t>
      </w:r>
      <w:r w:rsidR="00E132C8" w:rsidRPr="00711135">
        <w:rPr>
          <w:rStyle w:val="FootnoteReference"/>
          <w:rFonts w:ascii="Arial" w:hAnsi="Arial" w:cs="Arial"/>
          <w:sz w:val="24"/>
          <w:szCs w:val="24"/>
        </w:rPr>
        <w:footnoteReference w:id="2"/>
      </w:r>
      <w:r w:rsidR="005F0FF9" w:rsidRPr="00711135">
        <w:rPr>
          <w:rFonts w:ascii="Arial" w:hAnsi="Arial" w:cs="Arial"/>
          <w:sz w:val="24"/>
          <w:szCs w:val="24"/>
        </w:rPr>
        <w:t xml:space="preserve"> and it serves no useful purpose to re</w:t>
      </w:r>
      <w:r w:rsidR="00E132C8" w:rsidRPr="00711135">
        <w:rPr>
          <w:rFonts w:ascii="Arial" w:hAnsi="Arial" w:cs="Arial"/>
          <w:sz w:val="24"/>
          <w:szCs w:val="24"/>
        </w:rPr>
        <w:t>state</w:t>
      </w:r>
      <w:r w:rsidR="005F0FF9" w:rsidRPr="00711135">
        <w:rPr>
          <w:rFonts w:ascii="Arial" w:hAnsi="Arial" w:cs="Arial"/>
          <w:sz w:val="24"/>
          <w:szCs w:val="24"/>
        </w:rPr>
        <w:t xml:space="preserve"> them </w:t>
      </w:r>
      <w:r w:rsidR="005F01FF" w:rsidRPr="00711135">
        <w:rPr>
          <w:rFonts w:ascii="Arial" w:hAnsi="Arial" w:cs="Arial"/>
          <w:sz w:val="24"/>
          <w:szCs w:val="24"/>
        </w:rPr>
        <w:t xml:space="preserve">in any detail </w:t>
      </w:r>
      <w:r w:rsidR="005F0FF9" w:rsidRPr="00711135">
        <w:rPr>
          <w:rFonts w:ascii="Arial" w:hAnsi="Arial" w:cs="Arial"/>
          <w:sz w:val="24"/>
          <w:szCs w:val="24"/>
        </w:rPr>
        <w:t>here</w:t>
      </w:r>
      <w:r w:rsidR="00E132C8" w:rsidRPr="00711135">
        <w:rPr>
          <w:rFonts w:ascii="Arial" w:hAnsi="Arial" w:cs="Arial"/>
          <w:sz w:val="24"/>
          <w:szCs w:val="24"/>
        </w:rPr>
        <w:t>.</w:t>
      </w:r>
      <w:r w:rsidR="005A490F" w:rsidRPr="00711135">
        <w:rPr>
          <w:rFonts w:ascii="Arial" w:hAnsi="Arial" w:cs="Arial"/>
          <w:sz w:val="24"/>
          <w:szCs w:val="24"/>
        </w:rPr>
        <w:t xml:space="preserve"> </w:t>
      </w:r>
    </w:p>
    <w:p w14:paraId="0766D972" w14:textId="77777777" w:rsidR="00C70BB6" w:rsidRPr="00711135" w:rsidRDefault="00C70BB6">
      <w:pPr>
        <w:spacing w:after="0" w:line="480" w:lineRule="auto"/>
        <w:jc w:val="both"/>
        <w:rPr>
          <w:rFonts w:ascii="Arial" w:hAnsi="Arial" w:cs="Arial"/>
          <w:sz w:val="24"/>
          <w:szCs w:val="24"/>
        </w:rPr>
      </w:pPr>
    </w:p>
    <w:p w14:paraId="0FB0A948" w14:textId="2D01C017" w:rsidR="00835B30"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t>[19]</w:t>
      </w:r>
      <w:r w:rsidRPr="00711135">
        <w:rPr>
          <w:rFonts w:ascii="Arial" w:hAnsi="Arial" w:cs="Arial"/>
          <w:color w:val="000000" w:themeColor="text1"/>
          <w:sz w:val="24"/>
          <w:szCs w:val="24"/>
        </w:rPr>
        <w:tab/>
      </w:r>
      <w:r w:rsidR="007A2A0C" w:rsidRPr="00711135">
        <w:rPr>
          <w:rFonts w:ascii="Arial" w:hAnsi="Arial" w:cs="Arial"/>
          <w:color w:val="000000" w:themeColor="text1"/>
          <w:sz w:val="24"/>
          <w:szCs w:val="24"/>
        </w:rPr>
        <w:t xml:space="preserve">As repeatedly stated, </w:t>
      </w:r>
      <w:r w:rsidR="007A2A0C" w:rsidRPr="006C7000">
        <w:rPr>
          <w:rFonts w:ascii="Arial" w:hAnsi="Arial" w:cs="Arial"/>
          <w:color w:val="000000" w:themeColor="text1"/>
          <w:sz w:val="24"/>
          <w:szCs w:val="24"/>
        </w:rPr>
        <w:t>c</w:t>
      </w:r>
      <w:r w:rsidR="005A490F" w:rsidRPr="006C7000">
        <w:rPr>
          <w:rFonts w:ascii="Arial" w:hAnsi="Arial" w:cs="Arial"/>
          <w:color w:val="000000" w:themeColor="text1"/>
          <w:sz w:val="24"/>
          <w:szCs w:val="24"/>
        </w:rPr>
        <w:t>ondonation f</w:t>
      </w:r>
      <w:r w:rsidR="002C0C09" w:rsidRPr="006C7000">
        <w:rPr>
          <w:rFonts w:ascii="Arial" w:hAnsi="Arial" w:cs="Arial"/>
          <w:color w:val="000000" w:themeColor="text1"/>
          <w:sz w:val="24"/>
          <w:szCs w:val="24"/>
        </w:rPr>
        <w:t>or</w:t>
      </w:r>
      <w:r w:rsidR="005A490F" w:rsidRPr="006C7000">
        <w:rPr>
          <w:rFonts w:ascii="Arial" w:hAnsi="Arial" w:cs="Arial"/>
          <w:color w:val="000000" w:themeColor="text1"/>
          <w:sz w:val="24"/>
          <w:szCs w:val="24"/>
        </w:rPr>
        <w:t xml:space="preserve"> </w:t>
      </w:r>
      <w:r w:rsidR="007A2A0C" w:rsidRPr="006C7000">
        <w:rPr>
          <w:rFonts w:ascii="Arial" w:hAnsi="Arial" w:cs="Arial"/>
          <w:color w:val="000000" w:themeColor="text1"/>
          <w:sz w:val="24"/>
          <w:szCs w:val="24"/>
        </w:rPr>
        <w:t>the</w:t>
      </w:r>
      <w:r w:rsidR="003A28BC" w:rsidRPr="006C7000">
        <w:rPr>
          <w:rFonts w:ascii="Arial" w:hAnsi="Arial" w:cs="Arial"/>
          <w:color w:val="000000" w:themeColor="text1"/>
          <w:sz w:val="24"/>
          <w:szCs w:val="24"/>
        </w:rPr>
        <w:t xml:space="preserve"> </w:t>
      </w:r>
      <w:r w:rsidR="005A490F" w:rsidRPr="006C7000">
        <w:rPr>
          <w:rFonts w:ascii="Arial" w:hAnsi="Arial" w:cs="Arial"/>
          <w:color w:val="000000" w:themeColor="text1"/>
          <w:sz w:val="24"/>
          <w:szCs w:val="24"/>
        </w:rPr>
        <w:t xml:space="preserve">non-compliance with </w:t>
      </w:r>
      <w:r w:rsidR="007A2A0C" w:rsidRPr="006C7000">
        <w:rPr>
          <w:rFonts w:ascii="Arial" w:hAnsi="Arial" w:cs="Arial"/>
          <w:color w:val="000000" w:themeColor="text1"/>
          <w:sz w:val="24"/>
          <w:szCs w:val="24"/>
        </w:rPr>
        <w:t xml:space="preserve">a </w:t>
      </w:r>
      <w:r w:rsidR="005A490F" w:rsidRPr="006C7000">
        <w:rPr>
          <w:rFonts w:ascii="Arial" w:hAnsi="Arial" w:cs="Arial"/>
          <w:color w:val="000000" w:themeColor="text1"/>
          <w:sz w:val="24"/>
          <w:szCs w:val="24"/>
        </w:rPr>
        <w:t>rule</w:t>
      </w:r>
      <w:r w:rsidR="007A2A0C" w:rsidRPr="006C7000">
        <w:rPr>
          <w:rFonts w:ascii="Arial" w:hAnsi="Arial" w:cs="Arial"/>
          <w:color w:val="000000" w:themeColor="text1"/>
          <w:sz w:val="24"/>
          <w:szCs w:val="24"/>
        </w:rPr>
        <w:t xml:space="preserve"> </w:t>
      </w:r>
      <w:r w:rsidR="005A490F" w:rsidRPr="006C7000">
        <w:rPr>
          <w:rFonts w:ascii="Arial" w:hAnsi="Arial" w:cs="Arial"/>
          <w:color w:val="000000" w:themeColor="text1"/>
          <w:sz w:val="24"/>
          <w:szCs w:val="24"/>
        </w:rPr>
        <w:t xml:space="preserve">of </w:t>
      </w:r>
      <w:r w:rsidR="007A2A0C" w:rsidRPr="006C7000">
        <w:rPr>
          <w:rFonts w:ascii="Arial" w:hAnsi="Arial" w:cs="Arial"/>
          <w:color w:val="000000" w:themeColor="text1"/>
          <w:sz w:val="24"/>
          <w:szCs w:val="24"/>
        </w:rPr>
        <w:t>the Rules of C</w:t>
      </w:r>
      <w:r w:rsidR="005A490F" w:rsidRPr="006C7000">
        <w:rPr>
          <w:rFonts w:ascii="Arial" w:hAnsi="Arial" w:cs="Arial"/>
          <w:color w:val="000000" w:themeColor="text1"/>
          <w:sz w:val="24"/>
          <w:szCs w:val="24"/>
        </w:rPr>
        <w:t>ourt is by no means a mere formality</w:t>
      </w:r>
      <w:r w:rsidR="005A490F" w:rsidRPr="00711135">
        <w:rPr>
          <w:rFonts w:ascii="Arial" w:hAnsi="Arial" w:cs="Arial"/>
          <w:color w:val="000000" w:themeColor="text1"/>
          <w:sz w:val="24"/>
          <w:szCs w:val="24"/>
        </w:rPr>
        <w:t>. It is for the applicant to satisfy th</w:t>
      </w:r>
      <w:r w:rsidR="00BC151D" w:rsidRPr="00711135">
        <w:rPr>
          <w:rFonts w:ascii="Arial" w:hAnsi="Arial" w:cs="Arial"/>
          <w:color w:val="000000" w:themeColor="text1"/>
          <w:sz w:val="24"/>
          <w:szCs w:val="24"/>
        </w:rPr>
        <w:t>e</w:t>
      </w:r>
      <w:r w:rsidR="005A490F" w:rsidRPr="00711135">
        <w:rPr>
          <w:rFonts w:ascii="Arial" w:hAnsi="Arial" w:cs="Arial"/>
          <w:color w:val="000000" w:themeColor="text1"/>
          <w:sz w:val="24"/>
          <w:szCs w:val="24"/>
        </w:rPr>
        <w:t xml:space="preserve"> Court that sufficient cause </w:t>
      </w:r>
      <w:r w:rsidR="00BC151D" w:rsidRPr="00711135">
        <w:rPr>
          <w:rFonts w:ascii="Arial" w:hAnsi="Arial" w:cs="Arial"/>
          <w:color w:val="000000" w:themeColor="text1"/>
          <w:sz w:val="24"/>
          <w:szCs w:val="24"/>
        </w:rPr>
        <w:t xml:space="preserve">exists </w:t>
      </w:r>
      <w:r w:rsidR="005A490F" w:rsidRPr="00711135">
        <w:rPr>
          <w:rFonts w:ascii="Arial" w:hAnsi="Arial" w:cs="Arial"/>
          <w:color w:val="000000" w:themeColor="text1"/>
          <w:sz w:val="24"/>
          <w:szCs w:val="24"/>
        </w:rPr>
        <w:t xml:space="preserve">for excusing him or her from </w:t>
      </w:r>
      <w:r w:rsidR="00BC151D" w:rsidRPr="00711135">
        <w:rPr>
          <w:rFonts w:ascii="Arial" w:hAnsi="Arial" w:cs="Arial"/>
          <w:color w:val="000000" w:themeColor="text1"/>
          <w:sz w:val="24"/>
          <w:szCs w:val="24"/>
        </w:rPr>
        <w:t>the no</w:t>
      </w:r>
      <w:r w:rsidR="00CD0741" w:rsidRPr="00711135">
        <w:rPr>
          <w:rFonts w:ascii="Arial" w:hAnsi="Arial" w:cs="Arial"/>
          <w:color w:val="000000" w:themeColor="text1"/>
          <w:sz w:val="24"/>
          <w:szCs w:val="24"/>
        </w:rPr>
        <w:t>n</w:t>
      </w:r>
      <w:r w:rsidR="00BC151D" w:rsidRPr="00711135">
        <w:rPr>
          <w:rFonts w:ascii="Arial" w:hAnsi="Arial" w:cs="Arial"/>
          <w:color w:val="000000" w:themeColor="text1"/>
          <w:sz w:val="24"/>
          <w:szCs w:val="24"/>
        </w:rPr>
        <w:t>-</w:t>
      </w:r>
      <w:r w:rsidR="005A490F" w:rsidRPr="00711135">
        <w:rPr>
          <w:rFonts w:ascii="Arial" w:hAnsi="Arial" w:cs="Arial"/>
          <w:color w:val="000000" w:themeColor="text1"/>
          <w:sz w:val="24"/>
          <w:szCs w:val="24"/>
        </w:rPr>
        <w:t>compliance. The applicant is required</w:t>
      </w:r>
      <w:r w:rsidR="00BC151D" w:rsidRPr="00711135">
        <w:rPr>
          <w:rFonts w:ascii="Arial" w:hAnsi="Arial" w:cs="Arial"/>
          <w:color w:val="000000" w:themeColor="text1"/>
          <w:sz w:val="24"/>
          <w:szCs w:val="24"/>
        </w:rPr>
        <w:t>, in the first place,</w:t>
      </w:r>
      <w:r w:rsidR="005A490F" w:rsidRPr="00711135">
        <w:rPr>
          <w:rFonts w:ascii="Arial" w:hAnsi="Arial" w:cs="Arial"/>
          <w:color w:val="000000" w:themeColor="text1"/>
          <w:sz w:val="24"/>
          <w:szCs w:val="24"/>
        </w:rPr>
        <w:t xml:space="preserve"> to provide a reasonable and acceptable explanation for the non-compliance and secondly, to satisfy th</w:t>
      </w:r>
      <w:r w:rsidR="00BC151D" w:rsidRPr="00711135">
        <w:rPr>
          <w:rFonts w:ascii="Arial" w:hAnsi="Arial" w:cs="Arial"/>
          <w:color w:val="000000" w:themeColor="text1"/>
          <w:sz w:val="24"/>
          <w:szCs w:val="24"/>
        </w:rPr>
        <w:t xml:space="preserve">e </w:t>
      </w:r>
      <w:r w:rsidR="000D2415">
        <w:rPr>
          <w:rFonts w:ascii="Arial" w:hAnsi="Arial" w:cs="Arial"/>
          <w:color w:val="000000" w:themeColor="text1"/>
          <w:sz w:val="24"/>
          <w:szCs w:val="24"/>
        </w:rPr>
        <w:t>C</w:t>
      </w:r>
      <w:r w:rsidR="005A490F" w:rsidRPr="00711135">
        <w:rPr>
          <w:rFonts w:ascii="Arial" w:hAnsi="Arial" w:cs="Arial"/>
          <w:color w:val="000000" w:themeColor="text1"/>
          <w:sz w:val="24"/>
          <w:szCs w:val="24"/>
        </w:rPr>
        <w:t>ourt that there are reasonable prospects of success on appeal</w:t>
      </w:r>
      <w:r w:rsidR="00C70BB6" w:rsidRPr="00711135">
        <w:rPr>
          <w:rFonts w:ascii="Arial" w:hAnsi="Arial" w:cs="Arial"/>
          <w:color w:val="000000" w:themeColor="text1"/>
          <w:sz w:val="24"/>
          <w:szCs w:val="24"/>
        </w:rPr>
        <w:t>.</w:t>
      </w:r>
    </w:p>
    <w:p w14:paraId="075AF1D9" w14:textId="77777777" w:rsidR="00835B30" w:rsidRPr="00711135" w:rsidRDefault="00835B30" w:rsidP="00DD335B">
      <w:pPr>
        <w:pStyle w:val="ListParagraph"/>
        <w:spacing w:after="0"/>
        <w:rPr>
          <w:rFonts w:ascii="Arial" w:hAnsi="Arial" w:cs="Arial"/>
          <w:color w:val="000000" w:themeColor="text1"/>
          <w:sz w:val="24"/>
          <w:szCs w:val="24"/>
        </w:rPr>
      </w:pPr>
    </w:p>
    <w:p w14:paraId="1D974A7F" w14:textId="24DF7E6C" w:rsidR="00710B90"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lastRenderedPageBreak/>
        <w:t>[20]</w:t>
      </w:r>
      <w:r w:rsidRPr="00711135">
        <w:rPr>
          <w:rFonts w:ascii="Arial" w:hAnsi="Arial" w:cs="Arial"/>
          <w:color w:val="000000" w:themeColor="text1"/>
          <w:sz w:val="24"/>
          <w:szCs w:val="24"/>
        </w:rPr>
        <w:tab/>
      </w:r>
      <w:r w:rsidR="008A5B7E" w:rsidRPr="00711135">
        <w:rPr>
          <w:rFonts w:ascii="Arial" w:hAnsi="Arial" w:cs="Arial"/>
          <w:color w:val="000000" w:themeColor="text1"/>
          <w:sz w:val="24"/>
          <w:szCs w:val="24"/>
        </w:rPr>
        <w:t xml:space="preserve">It is also now trite </w:t>
      </w:r>
      <w:r w:rsidR="00C70BB6" w:rsidRPr="00711135">
        <w:rPr>
          <w:rFonts w:ascii="Arial" w:hAnsi="Arial" w:cs="Arial"/>
          <w:color w:val="000000" w:themeColor="text1"/>
          <w:sz w:val="24"/>
          <w:szCs w:val="24"/>
        </w:rPr>
        <w:t xml:space="preserve">that </w:t>
      </w:r>
      <w:r w:rsidR="00C70BB6" w:rsidRPr="006C7000">
        <w:rPr>
          <w:rFonts w:ascii="Arial" w:hAnsi="Arial" w:cs="Arial"/>
          <w:color w:val="000000" w:themeColor="text1"/>
          <w:sz w:val="24"/>
          <w:szCs w:val="24"/>
        </w:rPr>
        <w:t xml:space="preserve">an application for condonation </w:t>
      </w:r>
      <w:r w:rsidR="00AA7F01" w:rsidRPr="006C7000">
        <w:rPr>
          <w:rFonts w:ascii="Arial" w:hAnsi="Arial" w:cs="Arial"/>
          <w:color w:val="000000" w:themeColor="text1"/>
          <w:sz w:val="24"/>
          <w:szCs w:val="24"/>
        </w:rPr>
        <w:t xml:space="preserve">may be </w:t>
      </w:r>
      <w:r w:rsidR="00C70BB6" w:rsidRPr="006C7000">
        <w:rPr>
          <w:rFonts w:ascii="Arial" w:hAnsi="Arial" w:cs="Arial"/>
          <w:color w:val="000000" w:themeColor="text1"/>
          <w:sz w:val="24"/>
          <w:szCs w:val="24"/>
        </w:rPr>
        <w:t>dismissed without consider</w:t>
      </w:r>
      <w:r w:rsidR="005F0FF9" w:rsidRPr="006C7000">
        <w:rPr>
          <w:rFonts w:ascii="Arial" w:hAnsi="Arial" w:cs="Arial"/>
          <w:color w:val="000000" w:themeColor="text1"/>
          <w:sz w:val="24"/>
          <w:szCs w:val="24"/>
        </w:rPr>
        <w:t>ing</w:t>
      </w:r>
      <w:r w:rsidR="00C70BB6" w:rsidRPr="006C7000">
        <w:rPr>
          <w:rFonts w:ascii="Arial" w:hAnsi="Arial" w:cs="Arial"/>
          <w:color w:val="000000" w:themeColor="text1"/>
          <w:sz w:val="24"/>
          <w:szCs w:val="24"/>
        </w:rPr>
        <w:t xml:space="preserve"> the prospects of success on appeal where there is no </w:t>
      </w:r>
      <w:r w:rsidR="00E52C01" w:rsidRPr="006C7000">
        <w:rPr>
          <w:rFonts w:ascii="Arial" w:hAnsi="Arial" w:cs="Arial"/>
          <w:color w:val="000000" w:themeColor="text1"/>
          <w:sz w:val="24"/>
          <w:szCs w:val="24"/>
        </w:rPr>
        <w:t xml:space="preserve">reasonable and </w:t>
      </w:r>
      <w:r w:rsidR="00C70BB6" w:rsidRPr="006C7000">
        <w:rPr>
          <w:rFonts w:ascii="Arial" w:hAnsi="Arial" w:cs="Arial"/>
          <w:color w:val="000000" w:themeColor="text1"/>
          <w:sz w:val="24"/>
          <w:szCs w:val="24"/>
        </w:rPr>
        <w:t>acceptable explanation for a</w:t>
      </w:r>
      <w:r w:rsidR="00C70BB6" w:rsidRPr="00711135">
        <w:rPr>
          <w:rFonts w:ascii="Arial" w:hAnsi="Arial" w:cs="Arial"/>
          <w:color w:val="000000" w:themeColor="text1"/>
          <w:sz w:val="24"/>
          <w:szCs w:val="24"/>
        </w:rPr>
        <w:t xml:space="preserve"> glaring or flagrant non-compliance with the rules.</w:t>
      </w:r>
      <w:r w:rsidR="00C70BB6" w:rsidRPr="00711135">
        <w:rPr>
          <w:rStyle w:val="FootnoteReference"/>
          <w:rFonts w:ascii="Arial" w:hAnsi="Arial" w:cs="Arial"/>
          <w:color w:val="000000" w:themeColor="text1"/>
          <w:sz w:val="24"/>
          <w:szCs w:val="24"/>
        </w:rPr>
        <w:footnoteReference w:id="3"/>
      </w:r>
    </w:p>
    <w:p w14:paraId="639F49A9" w14:textId="77777777" w:rsidR="00E132C8" w:rsidRPr="00711135" w:rsidRDefault="00E132C8">
      <w:pPr>
        <w:spacing w:after="0" w:line="480" w:lineRule="auto"/>
        <w:jc w:val="both"/>
        <w:rPr>
          <w:rFonts w:ascii="Arial" w:hAnsi="Arial" w:cs="Arial"/>
          <w:color w:val="000000" w:themeColor="text1"/>
          <w:sz w:val="24"/>
          <w:szCs w:val="24"/>
        </w:rPr>
      </w:pPr>
    </w:p>
    <w:p w14:paraId="0CD50AE0" w14:textId="45021F8E" w:rsidR="00710B90" w:rsidRPr="00711135" w:rsidRDefault="00710B90">
      <w:pPr>
        <w:spacing w:after="0" w:line="480" w:lineRule="auto"/>
        <w:jc w:val="both"/>
        <w:rPr>
          <w:rFonts w:ascii="Arial" w:hAnsi="Arial" w:cs="Arial"/>
          <w:color w:val="000000" w:themeColor="text1"/>
          <w:sz w:val="24"/>
          <w:szCs w:val="24"/>
        </w:rPr>
      </w:pPr>
      <w:r w:rsidRPr="00711135">
        <w:rPr>
          <w:rFonts w:ascii="Arial" w:hAnsi="Arial" w:cs="Arial"/>
          <w:sz w:val="24"/>
          <w:szCs w:val="24"/>
          <w:u w:val="single"/>
          <w:lang w:val="en-GB"/>
        </w:rPr>
        <w:t xml:space="preserve">Analysis and </w:t>
      </w:r>
      <w:r w:rsidR="00E132C8" w:rsidRPr="00711135">
        <w:rPr>
          <w:rFonts w:ascii="Arial" w:hAnsi="Arial" w:cs="Arial"/>
          <w:sz w:val="24"/>
          <w:szCs w:val="24"/>
          <w:u w:val="single"/>
          <w:lang w:val="en-GB"/>
        </w:rPr>
        <w:t>determination</w:t>
      </w:r>
      <w:r w:rsidRPr="00711135">
        <w:rPr>
          <w:rFonts w:ascii="Arial" w:hAnsi="Arial" w:cs="Arial"/>
          <w:sz w:val="24"/>
          <w:szCs w:val="24"/>
          <w:u w:val="single"/>
          <w:lang w:val="en-GB"/>
        </w:rPr>
        <w:t xml:space="preserve">  </w:t>
      </w:r>
    </w:p>
    <w:p w14:paraId="49814ADD" w14:textId="34B87EA6" w:rsidR="001A0856"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t>[21]</w:t>
      </w:r>
      <w:r w:rsidRPr="00711135">
        <w:rPr>
          <w:rFonts w:ascii="Arial" w:hAnsi="Arial" w:cs="Arial"/>
          <w:color w:val="000000" w:themeColor="text1"/>
          <w:sz w:val="24"/>
          <w:szCs w:val="24"/>
        </w:rPr>
        <w:tab/>
      </w:r>
      <w:r w:rsidR="0035240A" w:rsidRPr="00711135">
        <w:rPr>
          <w:rFonts w:ascii="Arial" w:eastAsia="Arial" w:hAnsi="Arial" w:cs="Arial"/>
          <w:color w:val="000000"/>
          <w:sz w:val="24"/>
          <w:szCs w:val="24"/>
        </w:rPr>
        <w:t xml:space="preserve">Regarding </w:t>
      </w:r>
      <w:r w:rsidR="001A5FBF" w:rsidRPr="00711135">
        <w:rPr>
          <w:rFonts w:ascii="Arial" w:eastAsia="Arial" w:hAnsi="Arial" w:cs="Arial"/>
          <w:color w:val="000000"/>
          <w:sz w:val="24"/>
          <w:szCs w:val="24"/>
        </w:rPr>
        <w:t xml:space="preserve">the late filing of the record, it can be recalled that the applicant in all three </w:t>
      </w:r>
      <w:r w:rsidR="00FC0D5E" w:rsidRPr="00711135">
        <w:rPr>
          <w:rFonts w:ascii="Arial" w:eastAsia="Arial" w:hAnsi="Arial" w:cs="Arial"/>
          <w:color w:val="000000"/>
          <w:sz w:val="24"/>
          <w:szCs w:val="24"/>
        </w:rPr>
        <w:t>matters</w:t>
      </w:r>
      <w:r w:rsidR="001A5FBF" w:rsidRPr="00711135">
        <w:rPr>
          <w:rFonts w:ascii="Arial" w:eastAsia="Arial" w:hAnsi="Arial" w:cs="Arial"/>
          <w:color w:val="000000"/>
          <w:sz w:val="24"/>
          <w:szCs w:val="24"/>
        </w:rPr>
        <w:t xml:space="preserve"> </w:t>
      </w:r>
      <w:r w:rsidR="00FC1812" w:rsidRPr="00711135">
        <w:rPr>
          <w:rFonts w:ascii="Arial" w:eastAsia="Arial" w:hAnsi="Arial" w:cs="Arial"/>
          <w:color w:val="000000"/>
          <w:sz w:val="24"/>
          <w:szCs w:val="24"/>
        </w:rPr>
        <w:t>maintain</w:t>
      </w:r>
      <w:r w:rsidR="005F0FF9" w:rsidRPr="00711135">
        <w:rPr>
          <w:rFonts w:ascii="Arial" w:eastAsia="Arial" w:hAnsi="Arial" w:cs="Arial"/>
          <w:color w:val="000000"/>
          <w:sz w:val="24"/>
          <w:szCs w:val="24"/>
        </w:rPr>
        <w:t>ed</w:t>
      </w:r>
      <w:r w:rsidR="00FC0D5E" w:rsidRPr="00711135">
        <w:rPr>
          <w:rFonts w:ascii="Arial" w:eastAsia="Arial" w:hAnsi="Arial" w:cs="Arial"/>
          <w:color w:val="000000"/>
          <w:sz w:val="24"/>
          <w:szCs w:val="24"/>
        </w:rPr>
        <w:t xml:space="preserve"> </w:t>
      </w:r>
      <w:r w:rsidR="001A5FBF" w:rsidRPr="00711135">
        <w:rPr>
          <w:rFonts w:ascii="Arial" w:eastAsia="Arial" w:hAnsi="Arial" w:cs="Arial"/>
          <w:color w:val="000000"/>
          <w:sz w:val="24"/>
          <w:szCs w:val="24"/>
        </w:rPr>
        <w:t xml:space="preserve">that </w:t>
      </w:r>
      <w:r w:rsidR="001A5FBF" w:rsidRPr="00711135">
        <w:rPr>
          <w:rFonts w:ascii="Arial" w:hAnsi="Arial" w:cs="Arial"/>
          <w:sz w:val="24"/>
          <w:szCs w:val="24"/>
        </w:rPr>
        <w:t xml:space="preserve">rule 14 of </w:t>
      </w:r>
      <w:r w:rsidR="00FC0D5E" w:rsidRPr="00711135">
        <w:rPr>
          <w:rFonts w:ascii="Arial" w:hAnsi="Arial" w:cs="Arial"/>
          <w:sz w:val="24"/>
          <w:szCs w:val="24"/>
        </w:rPr>
        <w:t>this Court</w:t>
      </w:r>
      <w:r w:rsidR="001A5FBF" w:rsidRPr="00711135">
        <w:rPr>
          <w:rFonts w:ascii="Arial" w:hAnsi="Arial" w:cs="Arial"/>
          <w:sz w:val="24"/>
          <w:szCs w:val="24"/>
        </w:rPr>
        <w:t xml:space="preserve">’s rules </w:t>
      </w:r>
      <w:r w:rsidR="0080079E" w:rsidRPr="00711135">
        <w:rPr>
          <w:rFonts w:ascii="Arial" w:hAnsi="Arial" w:cs="Arial"/>
          <w:sz w:val="24"/>
          <w:szCs w:val="24"/>
        </w:rPr>
        <w:t>require</w:t>
      </w:r>
      <w:r w:rsidR="00893B17" w:rsidRPr="00711135">
        <w:rPr>
          <w:rFonts w:ascii="Arial" w:hAnsi="Arial" w:cs="Arial"/>
          <w:sz w:val="24"/>
          <w:szCs w:val="24"/>
        </w:rPr>
        <w:t>d</w:t>
      </w:r>
      <w:r w:rsidR="0080079E" w:rsidRPr="00711135">
        <w:rPr>
          <w:rFonts w:ascii="Arial" w:hAnsi="Arial" w:cs="Arial"/>
          <w:sz w:val="24"/>
          <w:szCs w:val="24"/>
        </w:rPr>
        <w:t xml:space="preserve"> an appellant to file the record </w:t>
      </w:r>
      <w:r w:rsidR="007A2A0C" w:rsidRPr="00711135">
        <w:rPr>
          <w:rFonts w:ascii="Arial" w:hAnsi="Arial" w:cs="Arial"/>
          <w:sz w:val="24"/>
          <w:szCs w:val="24"/>
        </w:rPr>
        <w:t xml:space="preserve">of proceedings </w:t>
      </w:r>
      <w:r w:rsidR="00FC0D5E" w:rsidRPr="00711135">
        <w:rPr>
          <w:rFonts w:ascii="Arial" w:hAnsi="Arial" w:cs="Arial"/>
          <w:sz w:val="24"/>
          <w:szCs w:val="24"/>
        </w:rPr>
        <w:t xml:space="preserve">only </w:t>
      </w:r>
      <w:r w:rsidR="0080079E" w:rsidRPr="00711135">
        <w:rPr>
          <w:rFonts w:ascii="Arial" w:hAnsi="Arial" w:cs="Arial"/>
          <w:sz w:val="24"/>
          <w:szCs w:val="24"/>
        </w:rPr>
        <w:t xml:space="preserve">after </w:t>
      </w:r>
      <w:r w:rsidR="00FC0D5E" w:rsidRPr="00711135">
        <w:rPr>
          <w:rFonts w:ascii="Arial" w:hAnsi="Arial" w:cs="Arial"/>
          <w:sz w:val="24"/>
          <w:szCs w:val="24"/>
        </w:rPr>
        <w:t xml:space="preserve">the issue relating to </w:t>
      </w:r>
      <w:r w:rsidR="0080079E" w:rsidRPr="00711135">
        <w:rPr>
          <w:rFonts w:ascii="Arial" w:hAnsi="Arial" w:cs="Arial"/>
          <w:sz w:val="24"/>
          <w:szCs w:val="24"/>
        </w:rPr>
        <w:t>the</w:t>
      </w:r>
      <w:r w:rsidR="001A5FBF" w:rsidRPr="00711135">
        <w:rPr>
          <w:rFonts w:ascii="Arial" w:hAnsi="Arial" w:cs="Arial"/>
          <w:sz w:val="24"/>
          <w:szCs w:val="24"/>
        </w:rPr>
        <w:t xml:space="preserve"> respondent’s </w:t>
      </w:r>
      <w:r w:rsidR="00FC0D5E" w:rsidRPr="00711135">
        <w:rPr>
          <w:rFonts w:ascii="Arial" w:hAnsi="Arial" w:cs="Arial"/>
          <w:sz w:val="24"/>
          <w:szCs w:val="24"/>
        </w:rPr>
        <w:t xml:space="preserve">costs on appeal </w:t>
      </w:r>
      <w:r w:rsidR="0080079E" w:rsidRPr="00711135">
        <w:rPr>
          <w:rFonts w:ascii="Arial" w:hAnsi="Arial" w:cs="Arial"/>
          <w:sz w:val="24"/>
          <w:szCs w:val="24"/>
        </w:rPr>
        <w:t>ha</w:t>
      </w:r>
      <w:r w:rsidR="00893B17" w:rsidRPr="00711135">
        <w:rPr>
          <w:rFonts w:ascii="Arial" w:hAnsi="Arial" w:cs="Arial"/>
          <w:sz w:val="24"/>
          <w:szCs w:val="24"/>
        </w:rPr>
        <w:t>d</w:t>
      </w:r>
      <w:r w:rsidR="0080079E" w:rsidRPr="00711135">
        <w:rPr>
          <w:rFonts w:ascii="Arial" w:hAnsi="Arial" w:cs="Arial"/>
          <w:sz w:val="24"/>
          <w:szCs w:val="24"/>
        </w:rPr>
        <w:t xml:space="preserve"> been </w:t>
      </w:r>
      <w:r w:rsidR="00FC0D5E" w:rsidRPr="00711135">
        <w:rPr>
          <w:rFonts w:ascii="Arial" w:hAnsi="Arial" w:cs="Arial"/>
          <w:sz w:val="24"/>
          <w:szCs w:val="24"/>
        </w:rPr>
        <w:t xml:space="preserve">resolved. </w:t>
      </w:r>
      <w:r w:rsidR="0054005B" w:rsidRPr="00711135">
        <w:rPr>
          <w:rFonts w:ascii="Arial" w:hAnsi="Arial" w:cs="Arial"/>
          <w:sz w:val="24"/>
          <w:szCs w:val="24"/>
        </w:rPr>
        <w:t xml:space="preserve">The interpretation contended for by the applicant that security for costs must first be furnished prior to attending to the preparation of the record is untenable. </w:t>
      </w:r>
    </w:p>
    <w:p w14:paraId="0021CB25" w14:textId="77777777" w:rsidR="00332ABA" w:rsidRPr="00711135" w:rsidRDefault="00332ABA">
      <w:pPr>
        <w:spacing w:after="0" w:line="480" w:lineRule="auto"/>
        <w:jc w:val="both"/>
        <w:rPr>
          <w:rFonts w:ascii="Arial" w:hAnsi="Arial" w:cs="Arial"/>
          <w:sz w:val="24"/>
          <w:szCs w:val="24"/>
        </w:rPr>
      </w:pPr>
    </w:p>
    <w:p w14:paraId="2C951845" w14:textId="05915D64" w:rsidR="00893B17"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[22]</w:t>
      </w:r>
      <w:r w:rsidRPr="00711135">
        <w:rPr>
          <w:rFonts w:ascii="Arial" w:hAnsi="Arial" w:cs="Arial"/>
          <w:sz w:val="24"/>
          <w:szCs w:val="24"/>
        </w:rPr>
        <w:tab/>
      </w:r>
      <w:r w:rsidR="005E67CA" w:rsidRPr="00711135">
        <w:rPr>
          <w:rFonts w:ascii="Arial" w:hAnsi="Arial" w:cs="Arial"/>
          <w:sz w:val="24"/>
          <w:szCs w:val="24"/>
        </w:rPr>
        <w:t xml:space="preserve">Rule 8(1) requires that after an appeal has been noted, the appellant </w:t>
      </w:r>
      <w:r w:rsidR="005E67CA" w:rsidRPr="00711135">
        <w:rPr>
          <w:rFonts w:ascii="Arial" w:hAnsi="Arial" w:cs="Arial"/>
          <w:i/>
          <w:sz w:val="24"/>
          <w:szCs w:val="24"/>
        </w:rPr>
        <w:t>must</w:t>
      </w:r>
      <w:r w:rsidR="005E67CA" w:rsidRPr="00711135">
        <w:rPr>
          <w:rFonts w:ascii="Arial" w:hAnsi="Arial" w:cs="Arial"/>
          <w:sz w:val="24"/>
          <w:szCs w:val="24"/>
        </w:rPr>
        <w:t>, subject to any direction issued by the Chief Justice, file four copies of the record of the proceedings with the registrar and deliver such number of copies of the record to the respondent as may be considered necessary. Subrule (2)(b) provides that the record must be file</w:t>
      </w:r>
      <w:r w:rsidR="00893B17" w:rsidRPr="00711135">
        <w:rPr>
          <w:rFonts w:ascii="Arial" w:hAnsi="Arial" w:cs="Arial"/>
          <w:sz w:val="24"/>
          <w:szCs w:val="24"/>
        </w:rPr>
        <w:t>d,</w:t>
      </w:r>
      <w:r w:rsidR="00EF0D04" w:rsidRPr="00711135">
        <w:rPr>
          <w:rFonts w:ascii="Arial" w:hAnsi="Arial" w:cs="Arial"/>
          <w:sz w:val="24"/>
          <w:szCs w:val="24"/>
        </w:rPr>
        <w:t xml:space="preserve"> in all cases, within three months of the date of the judgment or order appealed against or,</w:t>
      </w:r>
      <w:r w:rsidR="005E67CA" w:rsidRPr="00711135">
        <w:rPr>
          <w:rFonts w:ascii="Arial" w:hAnsi="Arial" w:cs="Arial"/>
          <w:sz w:val="24"/>
          <w:szCs w:val="24"/>
        </w:rPr>
        <w:t xml:space="preserve"> </w:t>
      </w:r>
      <w:r w:rsidR="00EF0D04" w:rsidRPr="00711135">
        <w:rPr>
          <w:rFonts w:ascii="Arial" w:hAnsi="Arial" w:cs="Arial"/>
          <w:sz w:val="24"/>
          <w:szCs w:val="24"/>
        </w:rPr>
        <w:t xml:space="preserve">in cases where leave to appeal is required, within three months of an order granting leave to appeal; or within such further period as may be agreed to in writing by the respondent. </w:t>
      </w:r>
      <w:r w:rsidR="00893B17" w:rsidRPr="00711135">
        <w:rPr>
          <w:rFonts w:ascii="Arial" w:hAnsi="Arial" w:cs="Arial"/>
          <w:sz w:val="24"/>
          <w:szCs w:val="24"/>
        </w:rPr>
        <w:t xml:space="preserve">In the present matters, it is common cause that the </w:t>
      </w:r>
      <w:r w:rsidR="00893B17" w:rsidRPr="00711135">
        <w:rPr>
          <w:rFonts w:ascii="Arial" w:hAnsi="Arial" w:cs="Arial"/>
          <w:sz w:val="24"/>
          <w:szCs w:val="24"/>
        </w:rPr>
        <w:lastRenderedPageBreak/>
        <w:t xml:space="preserve">respondents were not </w:t>
      </w:r>
      <w:r w:rsidR="00CB0521" w:rsidRPr="00711135">
        <w:rPr>
          <w:rFonts w:ascii="Arial" w:hAnsi="Arial" w:cs="Arial"/>
          <w:sz w:val="24"/>
          <w:szCs w:val="24"/>
        </w:rPr>
        <w:t xml:space="preserve">approached </w:t>
      </w:r>
      <w:r w:rsidR="00893B17" w:rsidRPr="00711135">
        <w:rPr>
          <w:rFonts w:ascii="Arial" w:hAnsi="Arial" w:cs="Arial"/>
          <w:sz w:val="24"/>
          <w:szCs w:val="24"/>
        </w:rPr>
        <w:t xml:space="preserve">to grant consent and therefore no such consent was obtained.  </w:t>
      </w:r>
    </w:p>
    <w:p w14:paraId="65FBF2FC" w14:textId="77777777" w:rsidR="00893B17" w:rsidRPr="00711135" w:rsidRDefault="00893B17">
      <w:pPr>
        <w:spacing w:after="0" w:line="480" w:lineRule="auto"/>
        <w:jc w:val="both"/>
        <w:rPr>
          <w:rFonts w:ascii="Arial" w:hAnsi="Arial" w:cs="Arial"/>
          <w:sz w:val="24"/>
          <w:szCs w:val="24"/>
        </w:rPr>
      </w:pPr>
    </w:p>
    <w:p w14:paraId="40AC192F" w14:textId="0810BF8E" w:rsidR="00322564"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[23]</w:t>
      </w:r>
      <w:r w:rsidRPr="00711135">
        <w:rPr>
          <w:rFonts w:ascii="Arial" w:hAnsi="Arial" w:cs="Arial"/>
          <w:sz w:val="24"/>
          <w:szCs w:val="24"/>
        </w:rPr>
        <w:tab/>
      </w:r>
      <w:r w:rsidR="00034125" w:rsidRPr="00711135">
        <w:rPr>
          <w:rFonts w:ascii="Arial" w:hAnsi="Arial" w:cs="Arial"/>
          <w:sz w:val="24"/>
          <w:szCs w:val="24"/>
        </w:rPr>
        <w:t>R</w:t>
      </w:r>
      <w:r w:rsidR="00756A77" w:rsidRPr="00711135">
        <w:rPr>
          <w:rFonts w:ascii="Arial" w:hAnsi="Arial" w:cs="Arial"/>
          <w:sz w:val="24"/>
          <w:szCs w:val="24"/>
        </w:rPr>
        <w:t>ule 8 not only require</w:t>
      </w:r>
      <w:r w:rsidR="00034125" w:rsidRPr="00711135">
        <w:rPr>
          <w:rFonts w:ascii="Arial" w:hAnsi="Arial" w:cs="Arial"/>
          <w:sz w:val="24"/>
          <w:szCs w:val="24"/>
        </w:rPr>
        <w:t>s</w:t>
      </w:r>
      <w:r w:rsidR="00756A77" w:rsidRPr="00711135">
        <w:rPr>
          <w:rFonts w:ascii="Arial" w:hAnsi="Arial" w:cs="Arial"/>
          <w:sz w:val="24"/>
          <w:szCs w:val="24"/>
        </w:rPr>
        <w:t xml:space="preserve"> that an appellant must file the record within three months from the date of the judgment appealed against or with</w:t>
      </w:r>
      <w:r w:rsidR="00034125" w:rsidRPr="00711135">
        <w:rPr>
          <w:rFonts w:ascii="Arial" w:hAnsi="Arial" w:cs="Arial"/>
          <w:sz w:val="24"/>
          <w:szCs w:val="24"/>
        </w:rPr>
        <w:t>in</w:t>
      </w:r>
      <w:r w:rsidR="00756A77" w:rsidRPr="00711135">
        <w:rPr>
          <w:rFonts w:ascii="Arial" w:hAnsi="Arial" w:cs="Arial"/>
          <w:sz w:val="24"/>
          <w:szCs w:val="24"/>
        </w:rPr>
        <w:t xml:space="preserve"> such</w:t>
      </w:r>
      <w:r w:rsidR="00034125" w:rsidRPr="00711135">
        <w:rPr>
          <w:rFonts w:ascii="Arial" w:hAnsi="Arial" w:cs="Arial"/>
          <w:sz w:val="24"/>
          <w:szCs w:val="24"/>
        </w:rPr>
        <w:t xml:space="preserve"> </w:t>
      </w:r>
      <w:r w:rsidR="00756A77" w:rsidRPr="00711135">
        <w:rPr>
          <w:rFonts w:ascii="Arial" w:hAnsi="Arial" w:cs="Arial"/>
          <w:sz w:val="24"/>
          <w:szCs w:val="24"/>
        </w:rPr>
        <w:t xml:space="preserve">further period as may be agreed </w:t>
      </w:r>
      <w:r w:rsidR="00034125" w:rsidRPr="00711135">
        <w:rPr>
          <w:rFonts w:ascii="Arial" w:hAnsi="Arial" w:cs="Arial"/>
          <w:sz w:val="24"/>
          <w:szCs w:val="24"/>
        </w:rPr>
        <w:t>up</w:t>
      </w:r>
      <w:r w:rsidR="00756A77" w:rsidRPr="00711135">
        <w:rPr>
          <w:rFonts w:ascii="Arial" w:hAnsi="Arial" w:cs="Arial"/>
          <w:sz w:val="24"/>
          <w:szCs w:val="24"/>
        </w:rPr>
        <w:t>o</w:t>
      </w:r>
      <w:r w:rsidR="00034125" w:rsidRPr="00711135">
        <w:rPr>
          <w:rFonts w:ascii="Arial" w:hAnsi="Arial" w:cs="Arial"/>
          <w:sz w:val="24"/>
          <w:szCs w:val="24"/>
        </w:rPr>
        <w:t>n</w:t>
      </w:r>
      <w:r w:rsidR="00756A77" w:rsidRPr="00711135">
        <w:rPr>
          <w:rFonts w:ascii="Arial" w:hAnsi="Arial" w:cs="Arial"/>
          <w:sz w:val="24"/>
          <w:szCs w:val="24"/>
        </w:rPr>
        <w:t xml:space="preserve"> in writing by the respondent, but rule 9(4) spells out sanctions for non-compliance with rule 8. These are that if an appellant or a respondent </w:t>
      </w:r>
      <w:r w:rsidR="00322564" w:rsidRPr="00711135">
        <w:rPr>
          <w:rFonts w:ascii="Arial" w:hAnsi="Arial" w:cs="Arial"/>
          <w:sz w:val="24"/>
          <w:szCs w:val="24"/>
        </w:rPr>
        <w:t>(</w:t>
      </w:r>
      <w:r w:rsidR="00756A77" w:rsidRPr="00711135">
        <w:rPr>
          <w:rFonts w:ascii="Arial" w:hAnsi="Arial" w:cs="Arial"/>
          <w:sz w:val="24"/>
          <w:szCs w:val="24"/>
        </w:rPr>
        <w:t>in the event of a cross-appeal</w:t>
      </w:r>
      <w:r w:rsidR="00322564" w:rsidRPr="00711135">
        <w:rPr>
          <w:rFonts w:ascii="Arial" w:hAnsi="Arial" w:cs="Arial"/>
          <w:sz w:val="24"/>
          <w:szCs w:val="24"/>
        </w:rPr>
        <w:t>)</w:t>
      </w:r>
      <w:r w:rsidR="00756A77" w:rsidRPr="00711135">
        <w:rPr>
          <w:rFonts w:ascii="Arial" w:hAnsi="Arial" w:cs="Arial"/>
          <w:sz w:val="24"/>
          <w:szCs w:val="24"/>
        </w:rPr>
        <w:t xml:space="preserve"> fails to lodge the record within the period prescribed in rule 8(2)</w:t>
      </w:r>
      <w:r w:rsidR="00034125" w:rsidRPr="00711135">
        <w:rPr>
          <w:rFonts w:ascii="Arial" w:hAnsi="Arial" w:cs="Arial"/>
          <w:sz w:val="24"/>
          <w:szCs w:val="24"/>
        </w:rPr>
        <w:t>;</w:t>
      </w:r>
      <w:r w:rsidR="00322564" w:rsidRPr="00711135">
        <w:rPr>
          <w:rFonts w:ascii="Arial" w:hAnsi="Arial" w:cs="Arial"/>
          <w:sz w:val="24"/>
          <w:szCs w:val="24"/>
        </w:rPr>
        <w:t xml:space="preserve"> has not applied to the respondent for consent to an extension</w:t>
      </w:r>
      <w:r w:rsidR="00034125" w:rsidRPr="00711135">
        <w:rPr>
          <w:rFonts w:ascii="Arial" w:hAnsi="Arial" w:cs="Arial"/>
          <w:sz w:val="24"/>
          <w:szCs w:val="24"/>
        </w:rPr>
        <w:t>;</w:t>
      </w:r>
      <w:r w:rsidR="00322564" w:rsidRPr="00711135">
        <w:rPr>
          <w:rFonts w:ascii="Arial" w:hAnsi="Arial" w:cs="Arial"/>
          <w:sz w:val="24"/>
          <w:szCs w:val="24"/>
        </w:rPr>
        <w:t xml:space="preserve"> and has not given notice to the registrar that he or she has so applied, then the appeal is deemed to have been withdrawn and</w:t>
      </w:r>
      <w:r w:rsidR="00756A77" w:rsidRPr="00711135">
        <w:rPr>
          <w:rFonts w:ascii="Arial" w:hAnsi="Arial" w:cs="Arial"/>
          <w:sz w:val="24"/>
          <w:szCs w:val="24"/>
        </w:rPr>
        <w:t xml:space="preserve"> </w:t>
      </w:r>
      <w:r w:rsidR="00322564" w:rsidRPr="00711135">
        <w:rPr>
          <w:rFonts w:ascii="Arial" w:hAnsi="Arial" w:cs="Arial"/>
          <w:sz w:val="24"/>
          <w:szCs w:val="24"/>
        </w:rPr>
        <w:t>the suspension of any judgment or order of the court appealed from is considered lifted.</w:t>
      </w:r>
    </w:p>
    <w:p w14:paraId="6DE47EE6" w14:textId="77777777" w:rsidR="00F24641" w:rsidRPr="00711135" w:rsidRDefault="00F24641" w:rsidP="00DD335B">
      <w:pPr>
        <w:pStyle w:val="ListParagraph"/>
        <w:spacing w:after="0"/>
        <w:rPr>
          <w:rFonts w:ascii="Arial" w:hAnsi="Arial" w:cs="Arial"/>
          <w:sz w:val="24"/>
          <w:szCs w:val="24"/>
        </w:rPr>
      </w:pPr>
    </w:p>
    <w:p w14:paraId="254EE3E3" w14:textId="55611288" w:rsidR="00322564"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[24]</w:t>
      </w:r>
      <w:r w:rsidRPr="00711135">
        <w:rPr>
          <w:rFonts w:ascii="Arial" w:hAnsi="Arial" w:cs="Arial"/>
          <w:sz w:val="24"/>
          <w:szCs w:val="24"/>
        </w:rPr>
        <w:tab/>
      </w:r>
      <w:r w:rsidR="00F24641" w:rsidRPr="00711135">
        <w:rPr>
          <w:rFonts w:ascii="Arial" w:hAnsi="Arial" w:cs="Arial"/>
          <w:sz w:val="24"/>
          <w:szCs w:val="24"/>
        </w:rPr>
        <w:t>The absence of the record of proceedings also impedes on the administration of justice, in that it hinders the court’s ability to determine the prospects of success on appeal as the relevant evidence or material is not placed before it.</w:t>
      </w:r>
    </w:p>
    <w:p w14:paraId="32877D6F" w14:textId="77777777" w:rsidR="00F24641" w:rsidRPr="00711135" w:rsidRDefault="00F24641">
      <w:pPr>
        <w:spacing w:after="0" w:line="480" w:lineRule="auto"/>
        <w:jc w:val="both"/>
        <w:rPr>
          <w:rFonts w:ascii="Arial" w:hAnsi="Arial" w:cs="Arial"/>
          <w:sz w:val="24"/>
          <w:szCs w:val="24"/>
        </w:rPr>
      </w:pPr>
    </w:p>
    <w:p w14:paraId="2B7AE92A" w14:textId="46841D33" w:rsidR="00332ABA"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[25]</w:t>
      </w:r>
      <w:r w:rsidRPr="00711135">
        <w:rPr>
          <w:rFonts w:ascii="Arial" w:hAnsi="Arial" w:cs="Arial"/>
          <w:sz w:val="24"/>
          <w:szCs w:val="24"/>
        </w:rPr>
        <w:tab/>
      </w:r>
      <w:r w:rsidR="00BC151D" w:rsidRPr="00711135">
        <w:rPr>
          <w:rFonts w:ascii="Arial" w:hAnsi="Arial" w:cs="Arial"/>
          <w:sz w:val="24"/>
          <w:szCs w:val="24"/>
        </w:rPr>
        <w:t>In any event</w:t>
      </w:r>
      <w:r w:rsidR="00322564" w:rsidRPr="00711135">
        <w:rPr>
          <w:rFonts w:ascii="Arial" w:hAnsi="Arial" w:cs="Arial"/>
          <w:sz w:val="24"/>
          <w:szCs w:val="24"/>
        </w:rPr>
        <w:t xml:space="preserve">, the interpretation contended for </w:t>
      </w:r>
      <w:r w:rsidR="00BC151D" w:rsidRPr="00711135">
        <w:rPr>
          <w:rFonts w:ascii="Arial" w:hAnsi="Arial" w:cs="Arial"/>
          <w:sz w:val="24"/>
          <w:szCs w:val="24"/>
        </w:rPr>
        <w:t xml:space="preserve">by </w:t>
      </w:r>
      <w:r w:rsidR="00322564" w:rsidRPr="00711135">
        <w:rPr>
          <w:rFonts w:ascii="Arial" w:hAnsi="Arial" w:cs="Arial"/>
          <w:sz w:val="24"/>
          <w:szCs w:val="24"/>
        </w:rPr>
        <w:t>the applicant</w:t>
      </w:r>
      <w:r w:rsidR="005F0FF9" w:rsidRPr="00711135">
        <w:rPr>
          <w:rFonts w:ascii="Arial" w:hAnsi="Arial" w:cs="Arial"/>
          <w:sz w:val="24"/>
          <w:szCs w:val="24"/>
        </w:rPr>
        <w:t xml:space="preserve"> has already been rejected by </w:t>
      </w:r>
      <w:r w:rsidR="00080055" w:rsidRPr="00711135">
        <w:rPr>
          <w:rFonts w:ascii="Arial" w:hAnsi="Arial" w:cs="Arial"/>
          <w:sz w:val="24"/>
          <w:szCs w:val="24"/>
        </w:rPr>
        <w:t xml:space="preserve">this Court in </w:t>
      </w:r>
      <w:r w:rsidR="00080055" w:rsidRPr="00711135">
        <w:rPr>
          <w:rFonts w:ascii="Arial" w:hAnsi="Arial" w:cs="Arial"/>
          <w:i/>
          <w:sz w:val="24"/>
          <w:szCs w:val="24"/>
        </w:rPr>
        <w:t xml:space="preserve">Shikongo </w:t>
      </w:r>
      <w:r w:rsidR="005E67CA" w:rsidRPr="00711135">
        <w:rPr>
          <w:rFonts w:ascii="Arial" w:hAnsi="Arial" w:cs="Arial"/>
          <w:i/>
          <w:sz w:val="24"/>
          <w:szCs w:val="24"/>
        </w:rPr>
        <w:t>&amp;</w:t>
      </w:r>
      <w:r w:rsidR="00080055" w:rsidRPr="00711135">
        <w:rPr>
          <w:rFonts w:ascii="Arial" w:hAnsi="Arial" w:cs="Arial"/>
          <w:i/>
          <w:sz w:val="24"/>
          <w:szCs w:val="24"/>
        </w:rPr>
        <w:t xml:space="preserve"> another v Lee’s Investment</w:t>
      </w:r>
      <w:r w:rsidR="00BC3171" w:rsidRPr="00711135">
        <w:rPr>
          <w:rFonts w:ascii="Arial" w:hAnsi="Arial" w:cs="Arial"/>
          <w:sz w:val="24"/>
          <w:szCs w:val="24"/>
        </w:rPr>
        <w:t xml:space="preserve">. </w:t>
      </w:r>
      <w:r w:rsidR="00313ACE" w:rsidRPr="00711135">
        <w:rPr>
          <w:rFonts w:ascii="Arial" w:hAnsi="Arial" w:cs="Arial"/>
          <w:sz w:val="24"/>
          <w:szCs w:val="24"/>
        </w:rPr>
        <w:t>In para 95</w:t>
      </w:r>
      <w:r w:rsidR="0054005B" w:rsidRPr="00711135">
        <w:rPr>
          <w:rFonts w:ascii="Arial" w:hAnsi="Arial" w:cs="Arial"/>
          <w:sz w:val="24"/>
          <w:szCs w:val="24"/>
        </w:rPr>
        <w:t>,</w:t>
      </w:r>
      <w:r w:rsidR="00313ACE" w:rsidRPr="00711135">
        <w:rPr>
          <w:rFonts w:ascii="Arial" w:hAnsi="Arial" w:cs="Arial"/>
          <w:sz w:val="24"/>
          <w:szCs w:val="24"/>
        </w:rPr>
        <w:t xml:space="preserve"> </w:t>
      </w:r>
      <w:r w:rsidR="007266A2" w:rsidRPr="00711135">
        <w:rPr>
          <w:rFonts w:ascii="Arial" w:hAnsi="Arial" w:cs="Arial"/>
          <w:sz w:val="24"/>
          <w:szCs w:val="24"/>
        </w:rPr>
        <w:t xml:space="preserve">the </w:t>
      </w:r>
      <w:r w:rsidR="00CD0741" w:rsidRPr="00711135">
        <w:rPr>
          <w:rFonts w:ascii="Arial" w:hAnsi="Arial" w:cs="Arial"/>
          <w:sz w:val="24"/>
          <w:szCs w:val="24"/>
        </w:rPr>
        <w:t>c</w:t>
      </w:r>
      <w:r w:rsidR="007266A2" w:rsidRPr="00711135">
        <w:rPr>
          <w:rFonts w:ascii="Arial" w:hAnsi="Arial" w:cs="Arial"/>
          <w:sz w:val="24"/>
          <w:szCs w:val="24"/>
        </w:rPr>
        <w:t>ourt</w:t>
      </w:r>
      <w:r w:rsidR="005E67CA" w:rsidRPr="00711135">
        <w:rPr>
          <w:rFonts w:ascii="Arial" w:hAnsi="Arial" w:cs="Arial"/>
          <w:sz w:val="24"/>
          <w:szCs w:val="24"/>
        </w:rPr>
        <w:t xml:space="preserve"> </w:t>
      </w:r>
      <w:r w:rsidR="00313ACE" w:rsidRPr="00711135">
        <w:rPr>
          <w:rFonts w:ascii="Arial" w:hAnsi="Arial" w:cs="Arial"/>
          <w:sz w:val="24"/>
          <w:szCs w:val="24"/>
        </w:rPr>
        <w:t xml:space="preserve">in </w:t>
      </w:r>
      <w:r w:rsidR="00313ACE" w:rsidRPr="00711135">
        <w:rPr>
          <w:rFonts w:ascii="Arial" w:hAnsi="Arial" w:cs="Arial"/>
          <w:i/>
          <w:sz w:val="24"/>
          <w:szCs w:val="24"/>
        </w:rPr>
        <w:t>Shikongo</w:t>
      </w:r>
      <w:r w:rsidR="00313ACE" w:rsidRPr="00711135">
        <w:rPr>
          <w:rFonts w:ascii="Arial" w:hAnsi="Arial" w:cs="Arial"/>
          <w:sz w:val="24"/>
          <w:szCs w:val="24"/>
        </w:rPr>
        <w:t xml:space="preserve"> </w:t>
      </w:r>
      <w:r w:rsidR="00CB0521" w:rsidRPr="00711135">
        <w:rPr>
          <w:rFonts w:ascii="Arial" w:hAnsi="Arial" w:cs="Arial"/>
          <w:sz w:val="24"/>
          <w:szCs w:val="24"/>
        </w:rPr>
        <w:t xml:space="preserve">held </w:t>
      </w:r>
      <w:r w:rsidR="007266A2" w:rsidRPr="00711135">
        <w:rPr>
          <w:rFonts w:ascii="Arial" w:hAnsi="Arial" w:cs="Arial"/>
          <w:sz w:val="24"/>
          <w:szCs w:val="24"/>
        </w:rPr>
        <w:t>that if the contentio</w:t>
      </w:r>
      <w:r w:rsidR="00AF4A3D" w:rsidRPr="00711135">
        <w:rPr>
          <w:rFonts w:ascii="Arial" w:hAnsi="Arial" w:cs="Arial"/>
          <w:sz w:val="24"/>
          <w:szCs w:val="24"/>
        </w:rPr>
        <w:t>n</w:t>
      </w:r>
      <w:r w:rsidR="007266A2" w:rsidRPr="00711135">
        <w:rPr>
          <w:rFonts w:ascii="Arial" w:hAnsi="Arial" w:cs="Arial"/>
          <w:sz w:val="24"/>
          <w:szCs w:val="24"/>
        </w:rPr>
        <w:t xml:space="preserve"> </w:t>
      </w:r>
      <w:r w:rsidR="00BC151D" w:rsidRPr="00711135">
        <w:rPr>
          <w:rFonts w:ascii="Arial" w:hAnsi="Arial" w:cs="Arial"/>
          <w:sz w:val="24"/>
          <w:szCs w:val="24"/>
        </w:rPr>
        <w:t xml:space="preserve">such as that advanced by the applicant </w:t>
      </w:r>
      <w:r w:rsidR="007266A2" w:rsidRPr="00711135">
        <w:rPr>
          <w:rFonts w:ascii="Arial" w:hAnsi="Arial" w:cs="Arial"/>
          <w:sz w:val="24"/>
          <w:szCs w:val="24"/>
        </w:rPr>
        <w:t xml:space="preserve">is to </w:t>
      </w:r>
      <w:r w:rsidR="00AF4A3D" w:rsidRPr="00711135">
        <w:rPr>
          <w:rFonts w:ascii="Arial" w:hAnsi="Arial" w:cs="Arial"/>
          <w:sz w:val="24"/>
          <w:szCs w:val="24"/>
        </w:rPr>
        <w:t>be accepted</w:t>
      </w:r>
      <w:r w:rsidR="007266A2" w:rsidRPr="00711135">
        <w:rPr>
          <w:rFonts w:ascii="Arial" w:hAnsi="Arial" w:cs="Arial"/>
          <w:sz w:val="24"/>
          <w:szCs w:val="24"/>
        </w:rPr>
        <w:t>,</w:t>
      </w:r>
      <w:r w:rsidR="00313ACE" w:rsidRPr="00711135">
        <w:rPr>
          <w:rFonts w:ascii="Arial" w:hAnsi="Arial" w:cs="Arial"/>
          <w:sz w:val="24"/>
          <w:szCs w:val="24"/>
        </w:rPr>
        <w:t xml:space="preserve"> it would result in a complete </w:t>
      </w:r>
      <w:r w:rsidR="00034125" w:rsidRPr="00711135">
        <w:rPr>
          <w:rFonts w:ascii="Arial" w:hAnsi="Arial" w:cs="Arial"/>
          <w:sz w:val="24"/>
          <w:szCs w:val="24"/>
        </w:rPr>
        <w:t>distortion</w:t>
      </w:r>
      <w:r w:rsidR="00313ACE" w:rsidRPr="00711135">
        <w:rPr>
          <w:rFonts w:ascii="Arial" w:hAnsi="Arial" w:cs="Arial"/>
          <w:sz w:val="24"/>
          <w:szCs w:val="24"/>
        </w:rPr>
        <w:t xml:space="preserve"> of the rule, in that an appellant would </w:t>
      </w:r>
      <w:r w:rsidR="00AF4A3D" w:rsidRPr="00711135">
        <w:rPr>
          <w:rFonts w:ascii="Arial" w:hAnsi="Arial" w:cs="Arial"/>
          <w:sz w:val="24"/>
          <w:szCs w:val="24"/>
        </w:rPr>
        <w:t xml:space="preserve">claim to </w:t>
      </w:r>
      <w:r w:rsidR="00313ACE" w:rsidRPr="00711135">
        <w:rPr>
          <w:rFonts w:ascii="Arial" w:hAnsi="Arial" w:cs="Arial"/>
          <w:sz w:val="24"/>
          <w:szCs w:val="24"/>
        </w:rPr>
        <w:t xml:space="preserve">be entitled to </w:t>
      </w:r>
      <w:r w:rsidR="00AF4A3D" w:rsidRPr="00711135">
        <w:rPr>
          <w:rFonts w:ascii="Arial" w:hAnsi="Arial" w:cs="Arial"/>
          <w:sz w:val="24"/>
          <w:szCs w:val="24"/>
        </w:rPr>
        <w:t xml:space="preserve">prepare the record </w:t>
      </w:r>
      <w:r w:rsidR="0054005B" w:rsidRPr="00711135">
        <w:rPr>
          <w:rFonts w:ascii="Arial" w:hAnsi="Arial" w:cs="Arial"/>
          <w:sz w:val="24"/>
          <w:szCs w:val="24"/>
        </w:rPr>
        <w:t xml:space="preserve">of proceedings </w:t>
      </w:r>
      <w:r w:rsidR="00AF4A3D" w:rsidRPr="00711135">
        <w:rPr>
          <w:rFonts w:ascii="Arial" w:hAnsi="Arial" w:cs="Arial"/>
          <w:sz w:val="24"/>
          <w:szCs w:val="24"/>
        </w:rPr>
        <w:t xml:space="preserve">for filing outside the three months of the date of the judgment or order appealed against set out in the rule. This </w:t>
      </w:r>
      <w:r w:rsidR="00AF4A3D" w:rsidRPr="00711135">
        <w:rPr>
          <w:rFonts w:ascii="Arial" w:hAnsi="Arial" w:cs="Arial"/>
          <w:sz w:val="24"/>
          <w:szCs w:val="24"/>
        </w:rPr>
        <w:lastRenderedPageBreak/>
        <w:t xml:space="preserve">is clearly not what the rule </w:t>
      </w:r>
      <w:r w:rsidR="00034125" w:rsidRPr="00711135">
        <w:rPr>
          <w:rFonts w:ascii="Arial" w:hAnsi="Arial" w:cs="Arial"/>
          <w:sz w:val="24"/>
          <w:szCs w:val="24"/>
        </w:rPr>
        <w:t>means and any attempt to subvert i</w:t>
      </w:r>
      <w:r w:rsidR="0054005B" w:rsidRPr="00711135">
        <w:rPr>
          <w:rFonts w:ascii="Arial" w:hAnsi="Arial" w:cs="Arial"/>
          <w:sz w:val="24"/>
          <w:szCs w:val="24"/>
        </w:rPr>
        <w:t>ts</w:t>
      </w:r>
      <w:r w:rsidR="00034125" w:rsidRPr="00711135">
        <w:rPr>
          <w:rFonts w:ascii="Arial" w:hAnsi="Arial" w:cs="Arial"/>
          <w:sz w:val="24"/>
          <w:szCs w:val="24"/>
        </w:rPr>
        <w:t xml:space="preserve"> true meaning must be resisted.</w:t>
      </w:r>
      <w:r w:rsidR="00FC1812" w:rsidRPr="00711135">
        <w:rPr>
          <w:rFonts w:ascii="Arial" w:hAnsi="Arial" w:cs="Arial"/>
          <w:sz w:val="24"/>
          <w:szCs w:val="24"/>
        </w:rPr>
        <w:t xml:space="preserve"> </w:t>
      </w:r>
      <w:r w:rsidR="00332ABA" w:rsidRPr="00711135">
        <w:rPr>
          <w:rFonts w:ascii="Arial" w:eastAsia="Arial" w:hAnsi="Arial" w:cs="Arial"/>
          <w:color w:val="000000"/>
          <w:sz w:val="24"/>
          <w:szCs w:val="24"/>
        </w:rPr>
        <w:t xml:space="preserve"> </w:t>
      </w:r>
    </w:p>
    <w:p w14:paraId="254FB5DF" w14:textId="77777777" w:rsidR="00332ABA" w:rsidRPr="00711135" w:rsidRDefault="00332ABA" w:rsidP="00DD335B">
      <w:pPr>
        <w:pStyle w:val="ListParagraph"/>
        <w:spacing w:after="0"/>
        <w:rPr>
          <w:rFonts w:ascii="Arial" w:hAnsi="Arial" w:cs="Arial"/>
          <w:sz w:val="24"/>
          <w:szCs w:val="24"/>
        </w:rPr>
      </w:pPr>
    </w:p>
    <w:p w14:paraId="7E00E40E" w14:textId="066AB3E5" w:rsidR="000947CC"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t>[26]</w:t>
      </w:r>
      <w:r w:rsidRPr="00711135">
        <w:rPr>
          <w:rFonts w:ascii="Arial" w:hAnsi="Arial" w:cs="Arial"/>
          <w:color w:val="000000" w:themeColor="text1"/>
          <w:sz w:val="24"/>
          <w:szCs w:val="24"/>
        </w:rPr>
        <w:tab/>
      </w:r>
      <w:r w:rsidR="00195D54" w:rsidRPr="00711135">
        <w:rPr>
          <w:rFonts w:ascii="Arial" w:eastAsia="Arial" w:hAnsi="Arial" w:cs="Arial"/>
          <w:color w:val="000000" w:themeColor="text1"/>
          <w:sz w:val="24"/>
          <w:szCs w:val="24"/>
        </w:rPr>
        <w:t xml:space="preserve">As </w:t>
      </w:r>
      <w:r w:rsidR="00903B13" w:rsidRPr="00711135">
        <w:rPr>
          <w:rFonts w:ascii="Arial" w:eastAsia="Arial" w:hAnsi="Arial" w:cs="Arial"/>
          <w:color w:val="000000" w:themeColor="text1"/>
          <w:sz w:val="24"/>
          <w:szCs w:val="24"/>
        </w:rPr>
        <w:t>regard</w:t>
      </w:r>
      <w:r w:rsidR="00195D54" w:rsidRPr="00711135">
        <w:rPr>
          <w:rFonts w:ascii="Arial" w:eastAsia="Arial" w:hAnsi="Arial" w:cs="Arial"/>
          <w:color w:val="000000" w:themeColor="text1"/>
          <w:sz w:val="24"/>
          <w:szCs w:val="24"/>
        </w:rPr>
        <w:t>s</w:t>
      </w:r>
      <w:r w:rsidR="00903B13" w:rsidRPr="00711135">
        <w:rPr>
          <w:rFonts w:ascii="Arial" w:eastAsia="Arial" w:hAnsi="Arial" w:cs="Arial"/>
          <w:color w:val="000000" w:themeColor="text1"/>
          <w:sz w:val="24"/>
          <w:szCs w:val="24"/>
        </w:rPr>
        <w:t xml:space="preserve"> the late filing of the heads of argument, the explanation is that rule 17(1) </w:t>
      </w:r>
      <w:r w:rsidR="003848EF" w:rsidRPr="00711135">
        <w:rPr>
          <w:rFonts w:ascii="Arial" w:eastAsia="Arial" w:hAnsi="Arial" w:cs="Arial"/>
          <w:color w:val="000000" w:themeColor="text1"/>
          <w:sz w:val="24"/>
          <w:szCs w:val="24"/>
        </w:rPr>
        <w:t xml:space="preserve">provides </w:t>
      </w:r>
      <w:r w:rsidR="00835B30" w:rsidRPr="00711135">
        <w:rPr>
          <w:rFonts w:ascii="Arial" w:eastAsia="Arial" w:hAnsi="Arial" w:cs="Arial"/>
          <w:color w:val="000000" w:themeColor="text1"/>
          <w:sz w:val="24"/>
          <w:szCs w:val="24"/>
        </w:rPr>
        <w:t>that</w:t>
      </w:r>
      <w:r w:rsidR="00903B13" w:rsidRPr="00711135">
        <w:rPr>
          <w:rFonts w:ascii="Arial" w:eastAsia="Arial" w:hAnsi="Arial" w:cs="Arial"/>
          <w:color w:val="000000" w:themeColor="text1"/>
          <w:sz w:val="24"/>
          <w:szCs w:val="24"/>
        </w:rPr>
        <w:t xml:space="preserve"> </w:t>
      </w:r>
      <w:r w:rsidR="00835B30" w:rsidRPr="00711135">
        <w:rPr>
          <w:rFonts w:ascii="Arial" w:eastAsia="Arial" w:hAnsi="Arial" w:cs="Arial"/>
          <w:color w:val="000000" w:themeColor="text1"/>
          <w:sz w:val="24"/>
          <w:szCs w:val="24"/>
        </w:rPr>
        <w:t xml:space="preserve">an </w:t>
      </w:r>
      <w:r w:rsidR="00835B30" w:rsidRPr="00711135">
        <w:rPr>
          <w:rFonts w:ascii="Arial" w:eastAsia="Times New Roman" w:hAnsi="Arial" w:cs="Arial"/>
          <w:color w:val="000000" w:themeColor="text1"/>
          <w:sz w:val="24"/>
          <w:szCs w:val="24"/>
        </w:rPr>
        <w:t xml:space="preserve">applicant is required to file heads of argument, not more than 21 days before the hearing of the matter. The applicant </w:t>
      </w:r>
      <w:r w:rsidR="0054005B" w:rsidRPr="00711135">
        <w:rPr>
          <w:rFonts w:ascii="Arial" w:eastAsia="Times New Roman" w:hAnsi="Arial" w:cs="Arial"/>
          <w:color w:val="000000" w:themeColor="text1"/>
          <w:sz w:val="24"/>
          <w:szCs w:val="24"/>
        </w:rPr>
        <w:t xml:space="preserve">argued </w:t>
      </w:r>
      <w:r w:rsidR="00FC1812" w:rsidRPr="00711135">
        <w:rPr>
          <w:rFonts w:ascii="Arial" w:eastAsia="Times New Roman" w:hAnsi="Arial" w:cs="Arial"/>
          <w:color w:val="000000" w:themeColor="text1"/>
          <w:sz w:val="24"/>
          <w:szCs w:val="24"/>
        </w:rPr>
        <w:t>t</w:t>
      </w:r>
      <w:r w:rsidR="00835B30" w:rsidRPr="00711135">
        <w:rPr>
          <w:rFonts w:ascii="Arial" w:eastAsia="Times New Roman" w:hAnsi="Arial" w:cs="Arial"/>
          <w:color w:val="000000" w:themeColor="text1"/>
          <w:sz w:val="24"/>
          <w:szCs w:val="24"/>
        </w:rPr>
        <w:t xml:space="preserve">hat he understood the rule to mean that heads of argument </w:t>
      </w:r>
      <w:r w:rsidR="00D62486" w:rsidRPr="00711135">
        <w:rPr>
          <w:rFonts w:ascii="Arial" w:eastAsia="Times New Roman" w:hAnsi="Arial" w:cs="Arial"/>
          <w:color w:val="000000" w:themeColor="text1"/>
          <w:sz w:val="24"/>
          <w:szCs w:val="24"/>
        </w:rPr>
        <w:t xml:space="preserve">can be filed at any </w:t>
      </w:r>
      <w:r w:rsidR="00741556" w:rsidRPr="00711135">
        <w:rPr>
          <w:rFonts w:ascii="Arial" w:eastAsia="Times New Roman" w:hAnsi="Arial" w:cs="Arial"/>
          <w:color w:val="000000" w:themeColor="text1"/>
          <w:sz w:val="24"/>
          <w:szCs w:val="24"/>
        </w:rPr>
        <w:t>stage</w:t>
      </w:r>
      <w:r w:rsidR="00D62486" w:rsidRPr="00711135">
        <w:rPr>
          <w:rFonts w:ascii="Arial" w:eastAsia="Times New Roman" w:hAnsi="Arial" w:cs="Arial"/>
          <w:color w:val="000000" w:themeColor="text1"/>
          <w:sz w:val="24"/>
          <w:szCs w:val="24"/>
        </w:rPr>
        <w:t xml:space="preserve">, </w:t>
      </w:r>
      <w:r w:rsidR="00835B30" w:rsidRPr="00711135">
        <w:rPr>
          <w:rFonts w:ascii="Arial" w:eastAsia="Times New Roman" w:hAnsi="Arial" w:cs="Arial"/>
          <w:color w:val="000000" w:themeColor="text1"/>
          <w:sz w:val="24"/>
          <w:szCs w:val="24"/>
        </w:rPr>
        <w:t xml:space="preserve">even a day before the </w:t>
      </w:r>
      <w:r w:rsidR="00121396" w:rsidRPr="00711135">
        <w:rPr>
          <w:rFonts w:ascii="Arial" w:eastAsia="Times New Roman" w:hAnsi="Arial" w:cs="Arial"/>
          <w:color w:val="000000" w:themeColor="text1"/>
          <w:sz w:val="24"/>
          <w:szCs w:val="24"/>
        </w:rPr>
        <w:t xml:space="preserve">date of </w:t>
      </w:r>
      <w:r w:rsidR="00FC1812" w:rsidRPr="00711135">
        <w:rPr>
          <w:rFonts w:ascii="Arial" w:eastAsia="Times New Roman" w:hAnsi="Arial" w:cs="Arial"/>
          <w:color w:val="000000" w:themeColor="text1"/>
          <w:sz w:val="24"/>
          <w:szCs w:val="24"/>
        </w:rPr>
        <w:t>hearing</w:t>
      </w:r>
      <w:r w:rsidR="00835B30" w:rsidRPr="00711135">
        <w:rPr>
          <w:rFonts w:ascii="Arial" w:eastAsia="Times New Roman" w:hAnsi="Arial" w:cs="Arial"/>
          <w:color w:val="000000" w:themeColor="text1"/>
          <w:sz w:val="24"/>
          <w:szCs w:val="24"/>
        </w:rPr>
        <w:t xml:space="preserve">. </w:t>
      </w:r>
    </w:p>
    <w:p w14:paraId="0339E832" w14:textId="77777777" w:rsidR="000947CC" w:rsidRPr="00711135" w:rsidRDefault="000947CC" w:rsidP="00DD335B">
      <w:pPr>
        <w:pStyle w:val="ListParagraph"/>
        <w:spacing w:after="0"/>
        <w:rPr>
          <w:rFonts w:ascii="Arial" w:hAnsi="Arial" w:cs="Arial"/>
          <w:color w:val="000000" w:themeColor="text1"/>
          <w:sz w:val="24"/>
          <w:szCs w:val="24"/>
        </w:rPr>
      </w:pPr>
    </w:p>
    <w:p w14:paraId="135D6186" w14:textId="3FADB7A3" w:rsidR="00224B80"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t>[27]</w:t>
      </w:r>
      <w:r w:rsidRPr="00711135">
        <w:rPr>
          <w:rFonts w:ascii="Arial" w:hAnsi="Arial" w:cs="Arial"/>
          <w:color w:val="000000" w:themeColor="text1"/>
          <w:sz w:val="24"/>
          <w:szCs w:val="24"/>
        </w:rPr>
        <w:tab/>
      </w:r>
      <w:r w:rsidR="000947CC" w:rsidRPr="00711135">
        <w:rPr>
          <w:rFonts w:ascii="Arial" w:hAnsi="Arial" w:cs="Arial"/>
          <w:color w:val="000000" w:themeColor="text1"/>
          <w:sz w:val="24"/>
          <w:szCs w:val="24"/>
        </w:rPr>
        <w:t xml:space="preserve">This Court in </w:t>
      </w:r>
      <w:r w:rsidR="00500330" w:rsidRPr="00711135">
        <w:rPr>
          <w:rFonts w:ascii="Arial" w:hAnsi="Arial" w:cs="Arial"/>
          <w:i/>
          <w:color w:val="000000" w:themeColor="text1"/>
          <w:sz w:val="24"/>
          <w:szCs w:val="24"/>
        </w:rPr>
        <w:t>Metropolitan Bank of Zimbabwe Ltd v Bank of Namibia</w:t>
      </w:r>
      <w:r w:rsidR="00CD0741" w:rsidRPr="00711135">
        <w:rPr>
          <w:rFonts w:ascii="Arial" w:hAnsi="Arial" w:cs="Arial"/>
          <w:i/>
          <w:color w:val="000000" w:themeColor="text1"/>
          <w:sz w:val="24"/>
          <w:szCs w:val="24"/>
        </w:rPr>
        <w:t>,</w:t>
      </w:r>
      <w:r w:rsidR="00FD3FA0" w:rsidRPr="00711135">
        <w:rPr>
          <w:rStyle w:val="FootnoteReference"/>
          <w:rFonts w:ascii="Arial" w:hAnsi="Arial" w:cs="Arial"/>
          <w:color w:val="000000" w:themeColor="text1"/>
          <w:sz w:val="24"/>
          <w:szCs w:val="24"/>
        </w:rPr>
        <w:footnoteReference w:id="4"/>
      </w:r>
      <w:r w:rsidR="00500330" w:rsidRPr="00711135">
        <w:rPr>
          <w:rFonts w:ascii="Arial" w:hAnsi="Arial" w:cs="Arial"/>
          <w:color w:val="000000" w:themeColor="text1"/>
          <w:sz w:val="24"/>
          <w:szCs w:val="24"/>
        </w:rPr>
        <w:t xml:space="preserve"> para 11</w:t>
      </w:r>
      <w:r w:rsidR="0054005B" w:rsidRPr="00711135">
        <w:rPr>
          <w:rFonts w:ascii="Arial" w:hAnsi="Arial" w:cs="Arial"/>
          <w:color w:val="000000" w:themeColor="text1"/>
          <w:sz w:val="24"/>
          <w:szCs w:val="24"/>
        </w:rPr>
        <w:t>,</w:t>
      </w:r>
      <w:r w:rsidR="00500330" w:rsidRPr="00711135">
        <w:rPr>
          <w:rFonts w:ascii="Arial" w:hAnsi="Arial" w:cs="Arial"/>
          <w:color w:val="000000" w:themeColor="text1"/>
          <w:sz w:val="24"/>
          <w:szCs w:val="24"/>
        </w:rPr>
        <w:t xml:space="preserve"> held that rule 17</w:t>
      </w:r>
      <w:r w:rsidR="00FD3FA0" w:rsidRPr="00711135">
        <w:rPr>
          <w:rFonts w:ascii="Arial" w:hAnsi="Arial" w:cs="Arial"/>
          <w:color w:val="000000" w:themeColor="text1"/>
          <w:sz w:val="24"/>
          <w:szCs w:val="24"/>
        </w:rPr>
        <w:t>,</w:t>
      </w:r>
      <w:r w:rsidR="00034125" w:rsidRPr="00711135">
        <w:rPr>
          <w:rFonts w:ascii="Arial" w:hAnsi="Arial" w:cs="Arial"/>
          <w:color w:val="000000" w:themeColor="text1"/>
          <w:sz w:val="24"/>
          <w:szCs w:val="24"/>
        </w:rPr>
        <w:t xml:space="preserve"> as understood </w:t>
      </w:r>
      <w:r w:rsidR="00500330" w:rsidRPr="00711135">
        <w:rPr>
          <w:rFonts w:ascii="Arial" w:hAnsi="Arial" w:cs="Arial"/>
          <w:color w:val="000000" w:themeColor="text1"/>
          <w:sz w:val="24"/>
          <w:szCs w:val="24"/>
        </w:rPr>
        <w:t xml:space="preserve">by </w:t>
      </w:r>
      <w:r w:rsidR="00CD0741" w:rsidRPr="00711135">
        <w:rPr>
          <w:rFonts w:ascii="Arial" w:hAnsi="Arial" w:cs="Arial"/>
          <w:color w:val="000000" w:themeColor="text1"/>
          <w:sz w:val="24"/>
          <w:szCs w:val="24"/>
        </w:rPr>
        <w:t xml:space="preserve">legal </w:t>
      </w:r>
      <w:r w:rsidR="00500330" w:rsidRPr="00711135">
        <w:rPr>
          <w:rFonts w:ascii="Arial" w:hAnsi="Arial" w:cs="Arial"/>
          <w:color w:val="000000" w:themeColor="text1"/>
          <w:sz w:val="24"/>
          <w:szCs w:val="24"/>
        </w:rPr>
        <w:t xml:space="preserve">practitioners and applied by this Court, </w:t>
      </w:r>
      <w:r w:rsidR="00034125" w:rsidRPr="00711135">
        <w:rPr>
          <w:rFonts w:ascii="Arial" w:hAnsi="Arial" w:cs="Arial"/>
          <w:color w:val="000000" w:themeColor="text1"/>
          <w:sz w:val="24"/>
          <w:szCs w:val="24"/>
        </w:rPr>
        <w:t xml:space="preserve">has always been </w:t>
      </w:r>
      <w:r w:rsidR="00500330" w:rsidRPr="00711135">
        <w:rPr>
          <w:rFonts w:ascii="Arial" w:hAnsi="Arial" w:cs="Arial"/>
          <w:color w:val="000000" w:themeColor="text1"/>
          <w:sz w:val="24"/>
          <w:szCs w:val="24"/>
        </w:rPr>
        <w:t xml:space="preserve">that </w:t>
      </w:r>
      <w:r w:rsidR="00034125" w:rsidRPr="00711135">
        <w:rPr>
          <w:rFonts w:ascii="Arial" w:hAnsi="Arial" w:cs="Arial"/>
          <w:color w:val="000000" w:themeColor="text1"/>
          <w:sz w:val="24"/>
          <w:szCs w:val="24"/>
        </w:rPr>
        <w:t xml:space="preserve">an appellant’s </w:t>
      </w:r>
      <w:r w:rsidR="00500330" w:rsidRPr="00711135">
        <w:rPr>
          <w:rFonts w:ascii="Arial" w:hAnsi="Arial" w:cs="Arial"/>
          <w:color w:val="000000" w:themeColor="text1"/>
          <w:sz w:val="24"/>
          <w:szCs w:val="24"/>
        </w:rPr>
        <w:t xml:space="preserve">heads of argument must be filed no later than 21 days before the date of </w:t>
      </w:r>
      <w:r w:rsidR="006D3289" w:rsidRPr="00711135">
        <w:rPr>
          <w:rFonts w:ascii="Arial" w:hAnsi="Arial" w:cs="Arial"/>
          <w:color w:val="000000" w:themeColor="text1"/>
          <w:sz w:val="24"/>
          <w:szCs w:val="24"/>
        </w:rPr>
        <w:t xml:space="preserve">the </w:t>
      </w:r>
      <w:r w:rsidR="00500330" w:rsidRPr="00711135">
        <w:rPr>
          <w:rFonts w:ascii="Arial" w:hAnsi="Arial" w:cs="Arial"/>
          <w:color w:val="000000" w:themeColor="text1"/>
          <w:sz w:val="24"/>
          <w:szCs w:val="24"/>
        </w:rPr>
        <w:t>hearing and a respondent’s heads are to be filed no later than 10 days before the hearing.</w:t>
      </w:r>
      <w:r w:rsidR="006D3289" w:rsidRPr="00711135">
        <w:rPr>
          <w:rFonts w:ascii="Arial" w:hAnsi="Arial" w:cs="Arial"/>
          <w:color w:val="000000" w:themeColor="text1"/>
          <w:sz w:val="24"/>
          <w:szCs w:val="24"/>
        </w:rPr>
        <w:t xml:space="preserve"> This is the true import </w:t>
      </w:r>
      <w:r w:rsidR="00C55243" w:rsidRPr="00711135">
        <w:rPr>
          <w:rFonts w:ascii="Arial" w:hAnsi="Arial" w:cs="Arial"/>
          <w:color w:val="000000" w:themeColor="text1"/>
          <w:sz w:val="24"/>
          <w:szCs w:val="24"/>
        </w:rPr>
        <w:t xml:space="preserve">and scope </w:t>
      </w:r>
      <w:r w:rsidR="006D3289" w:rsidRPr="00711135">
        <w:rPr>
          <w:rFonts w:ascii="Arial" w:hAnsi="Arial" w:cs="Arial"/>
          <w:color w:val="000000" w:themeColor="text1"/>
          <w:sz w:val="24"/>
          <w:szCs w:val="24"/>
        </w:rPr>
        <w:t xml:space="preserve">of the rule and the argument by </w:t>
      </w:r>
      <w:r w:rsidR="003848EF" w:rsidRPr="00711135">
        <w:rPr>
          <w:rFonts w:ascii="Arial" w:hAnsi="Arial" w:cs="Arial"/>
          <w:color w:val="000000" w:themeColor="text1"/>
          <w:sz w:val="24"/>
          <w:szCs w:val="24"/>
        </w:rPr>
        <w:t>the applicant that</w:t>
      </w:r>
      <w:r w:rsidR="00500330" w:rsidRPr="00711135">
        <w:rPr>
          <w:rFonts w:ascii="Arial" w:hAnsi="Arial" w:cs="Arial"/>
          <w:color w:val="000000" w:themeColor="text1"/>
          <w:sz w:val="24"/>
          <w:szCs w:val="24"/>
        </w:rPr>
        <w:t xml:space="preserve"> h</w:t>
      </w:r>
      <w:r w:rsidR="006D3289" w:rsidRPr="00711135">
        <w:rPr>
          <w:rFonts w:ascii="Arial" w:hAnsi="Arial" w:cs="Arial"/>
          <w:color w:val="000000" w:themeColor="text1"/>
          <w:sz w:val="24"/>
          <w:szCs w:val="24"/>
        </w:rPr>
        <w:t>e</w:t>
      </w:r>
      <w:r w:rsidR="003848EF" w:rsidRPr="00711135">
        <w:rPr>
          <w:rFonts w:ascii="Arial" w:hAnsi="Arial" w:cs="Arial"/>
          <w:color w:val="000000" w:themeColor="text1"/>
          <w:sz w:val="24"/>
          <w:szCs w:val="24"/>
        </w:rPr>
        <w:t xml:space="preserve"> </w:t>
      </w:r>
      <w:r w:rsidR="006D3289" w:rsidRPr="00711135">
        <w:rPr>
          <w:rFonts w:ascii="Arial" w:hAnsi="Arial" w:cs="Arial"/>
          <w:color w:val="000000" w:themeColor="text1"/>
          <w:sz w:val="24"/>
          <w:szCs w:val="24"/>
        </w:rPr>
        <w:t xml:space="preserve">could file his </w:t>
      </w:r>
      <w:r w:rsidR="003848EF" w:rsidRPr="00711135">
        <w:rPr>
          <w:rFonts w:ascii="Arial" w:eastAsia="Times New Roman" w:hAnsi="Arial" w:cs="Arial"/>
          <w:color w:val="000000" w:themeColor="text1"/>
          <w:sz w:val="24"/>
          <w:szCs w:val="24"/>
        </w:rPr>
        <w:t xml:space="preserve">heads of argument even a day before the hearing of </w:t>
      </w:r>
      <w:r w:rsidR="006D3289" w:rsidRPr="00711135">
        <w:rPr>
          <w:rFonts w:ascii="Arial" w:eastAsia="Times New Roman" w:hAnsi="Arial" w:cs="Arial"/>
          <w:color w:val="000000" w:themeColor="text1"/>
          <w:sz w:val="24"/>
          <w:szCs w:val="24"/>
        </w:rPr>
        <w:t xml:space="preserve">an appeal </w:t>
      </w:r>
      <w:r w:rsidR="003848EF" w:rsidRPr="00711135">
        <w:rPr>
          <w:rFonts w:ascii="Arial" w:eastAsia="Times New Roman" w:hAnsi="Arial" w:cs="Arial"/>
          <w:color w:val="000000" w:themeColor="text1"/>
          <w:sz w:val="24"/>
          <w:szCs w:val="24"/>
        </w:rPr>
        <w:t xml:space="preserve">is </w:t>
      </w:r>
      <w:r w:rsidR="006D3289" w:rsidRPr="00711135">
        <w:rPr>
          <w:rFonts w:ascii="Arial" w:eastAsia="Times New Roman" w:hAnsi="Arial" w:cs="Arial"/>
          <w:color w:val="000000" w:themeColor="text1"/>
          <w:sz w:val="24"/>
          <w:szCs w:val="24"/>
        </w:rPr>
        <w:t xml:space="preserve">clearly </w:t>
      </w:r>
      <w:r w:rsidR="00741556" w:rsidRPr="00711135">
        <w:rPr>
          <w:rFonts w:ascii="Arial" w:eastAsia="Times New Roman" w:hAnsi="Arial" w:cs="Arial"/>
          <w:color w:val="000000" w:themeColor="text1"/>
          <w:sz w:val="24"/>
          <w:szCs w:val="24"/>
        </w:rPr>
        <w:t xml:space="preserve">wrong </w:t>
      </w:r>
      <w:r w:rsidR="006D3289" w:rsidRPr="00711135">
        <w:rPr>
          <w:rFonts w:ascii="Arial" w:eastAsia="Times New Roman" w:hAnsi="Arial" w:cs="Arial"/>
          <w:color w:val="000000" w:themeColor="text1"/>
          <w:sz w:val="24"/>
          <w:szCs w:val="24"/>
        </w:rPr>
        <w:t xml:space="preserve">as such practice would </w:t>
      </w:r>
      <w:r w:rsidR="00C55243" w:rsidRPr="00711135">
        <w:rPr>
          <w:rFonts w:ascii="Arial" w:eastAsia="Times New Roman" w:hAnsi="Arial" w:cs="Arial"/>
          <w:color w:val="000000" w:themeColor="text1"/>
          <w:sz w:val="24"/>
          <w:szCs w:val="24"/>
        </w:rPr>
        <w:t>severely prejudice the court and a</w:t>
      </w:r>
      <w:r w:rsidR="00EC67E2" w:rsidRPr="00711135">
        <w:rPr>
          <w:rFonts w:ascii="Arial" w:eastAsia="Times New Roman" w:hAnsi="Arial" w:cs="Arial"/>
          <w:color w:val="000000" w:themeColor="text1"/>
          <w:sz w:val="24"/>
          <w:szCs w:val="24"/>
        </w:rPr>
        <w:t xml:space="preserve"> party </w:t>
      </w:r>
      <w:r w:rsidR="00C55243" w:rsidRPr="00711135">
        <w:rPr>
          <w:rFonts w:ascii="Arial" w:eastAsia="Times New Roman" w:hAnsi="Arial" w:cs="Arial"/>
          <w:color w:val="000000" w:themeColor="text1"/>
          <w:sz w:val="24"/>
          <w:szCs w:val="24"/>
        </w:rPr>
        <w:t xml:space="preserve">in the preparation of </w:t>
      </w:r>
      <w:r w:rsidR="006D3289" w:rsidRPr="00711135">
        <w:rPr>
          <w:rFonts w:ascii="Arial" w:eastAsia="Times New Roman" w:hAnsi="Arial" w:cs="Arial"/>
          <w:color w:val="000000" w:themeColor="text1"/>
          <w:sz w:val="24"/>
          <w:szCs w:val="24"/>
        </w:rPr>
        <w:t>an appeal</w:t>
      </w:r>
      <w:r w:rsidR="00C55243" w:rsidRPr="00711135">
        <w:rPr>
          <w:rFonts w:ascii="Arial" w:eastAsia="Times New Roman" w:hAnsi="Arial" w:cs="Arial"/>
          <w:color w:val="000000" w:themeColor="text1"/>
          <w:sz w:val="24"/>
          <w:szCs w:val="24"/>
        </w:rPr>
        <w:t xml:space="preserve"> and cannot </w:t>
      </w:r>
      <w:r w:rsidR="00121396" w:rsidRPr="00711135">
        <w:rPr>
          <w:rFonts w:ascii="Arial" w:eastAsia="Times New Roman" w:hAnsi="Arial" w:cs="Arial"/>
          <w:color w:val="000000" w:themeColor="text1"/>
          <w:sz w:val="24"/>
          <w:szCs w:val="24"/>
        </w:rPr>
        <w:t xml:space="preserve">therefore be </w:t>
      </w:r>
      <w:r w:rsidR="00C55243" w:rsidRPr="00711135">
        <w:rPr>
          <w:rFonts w:ascii="Arial" w:eastAsia="Times New Roman" w:hAnsi="Arial" w:cs="Arial"/>
          <w:color w:val="000000" w:themeColor="text1"/>
          <w:sz w:val="24"/>
          <w:szCs w:val="24"/>
        </w:rPr>
        <w:t>countenanced</w:t>
      </w:r>
      <w:r w:rsidR="006D3289" w:rsidRPr="00711135">
        <w:rPr>
          <w:rFonts w:ascii="Arial" w:eastAsia="Times New Roman" w:hAnsi="Arial" w:cs="Arial"/>
          <w:color w:val="000000" w:themeColor="text1"/>
          <w:sz w:val="24"/>
          <w:szCs w:val="24"/>
        </w:rPr>
        <w:t>.</w:t>
      </w:r>
      <w:r w:rsidR="00500330" w:rsidRPr="00711135">
        <w:rPr>
          <w:rFonts w:ascii="Arial" w:eastAsia="Times New Roman" w:hAnsi="Arial" w:cs="Arial"/>
          <w:color w:val="000000" w:themeColor="text1"/>
          <w:sz w:val="24"/>
          <w:szCs w:val="24"/>
        </w:rPr>
        <w:t xml:space="preserve"> </w:t>
      </w:r>
      <w:r w:rsidR="003848EF" w:rsidRPr="00711135">
        <w:rPr>
          <w:rFonts w:ascii="Arial" w:eastAsia="Times New Roman" w:hAnsi="Arial" w:cs="Arial"/>
          <w:color w:val="000000" w:themeColor="text1"/>
          <w:sz w:val="24"/>
          <w:szCs w:val="24"/>
        </w:rPr>
        <w:t xml:space="preserve"> </w:t>
      </w:r>
      <w:r w:rsidR="0054005B" w:rsidRPr="00711135">
        <w:rPr>
          <w:rFonts w:ascii="Arial" w:eastAsia="Times New Roman" w:hAnsi="Arial" w:cs="Arial"/>
          <w:color w:val="000000" w:themeColor="text1"/>
          <w:sz w:val="24"/>
          <w:szCs w:val="24"/>
        </w:rPr>
        <w:t>It follows that the applicant has not given a satisfactory and acceptable explanation for the failure to comply with the rule</w:t>
      </w:r>
      <w:r w:rsidR="00CB0521" w:rsidRPr="00711135">
        <w:rPr>
          <w:rFonts w:ascii="Arial" w:eastAsia="Times New Roman" w:hAnsi="Arial" w:cs="Arial"/>
          <w:color w:val="000000" w:themeColor="text1"/>
          <w:sz w:val="24"/>
          <w:szCs w:val="24"/>
        </w:rPr>
        <w:t>s</w:t>
      </w:r>
      <w:r w:rsidR="0054005B" w:rsidRPr="00711135">
        <w:rPr>
          <w:rFonts w:ascii="Arial" w:eastAsia="Times New Roman" w:hAnsi="Arial" w:cs="Arial"/>
          <w:color w:val="000000" w:themeColor="text1"/>
          <w:sz w:val="24"/>
          <w:szCs w:val="24"/>
        </w:rPr>
        <w:t xml:space="preserve"> of court. </w:t>
      </w:r>
    </w:p>
    <w:p w14:paraId="007308AE" w14:textId="77777777" w:rsidR="00224B80" w:rsidRPr="00711135" w:rsidRDefault="00224B80">
      <w:pPr>
        <w:spacing w:after="0" w:line="480" w:lineRule="auto"/>
        <w:jc w:val="both"/>
        <w:rPr>
          <w:rFonts w:ascii="Arial" w:hAnsi="Arial" w:cs="Arial"/>
          <w:color w:val="000000" w:themeColor="text1"/>
          <w:sz w:val="24"/>
          <w:szCs w:val="24"/>
        </w:rPr>
      </w:pPr>
    </w:p>
    <w:p w14:paraId="11089EEB" w14:textId="77777777" w:rsidR="00F94324" w:rsidRPr="00711135" w:rsidRDefault="00F94324" w:rsidP="00DD335B">
      <w:pPr>
        <w:pStyle w:val="ListParagraph"/>
        <w:spacing w:after="0"/>
        <w:rPr>
          <w:rFonts w:ascii="Arial" w:hAnsi="Arial" w:cs="Arial"/>
          <w:color w:val="000000" w:themeColor="text1"/>
          <w:sz w:val="24"/>
          <w:szCs w:val="24"/>
        </w:rPr>
      </w:pPr>
    </w:p>
    <w:p w14:paraId="5EBE22C1" w14:textId="049E158F" w:rsidR="00F8019E" w:rsidRPr="00711135" w:rsidRDefault="008C3C27" w:rsidP="008C3C27">
      <w:pPr>
        <w:spacing w:after="0" w:line="480" w:lineRule="auto"/>
        <w:jc w:val="both"/>
        <w:rPr>
          <w:rFonts w:ascii="Arial" w:hAnsi="Arial" w:cs="Arial"/>
          <w:color w:val="000000" w:themeColor="text1"/>
          <w:sz w:val="24"/>
          <w:szCs w:val="24"/>
        </w:rPr>
      </w:pPr>
      <w:r w:rsidRPr="00711135">
        <w:rPr>
          <w:rFonts w:ascii="Arial" w:hAnsi="Arial" w:cs="Arial"/>
          <w:color w:val="000000" w:themeColor="text1"/>
          <w:sz w:val="24"/>
          <w:szCs w:val="24"/>
        </w:rPr>
        <w:t>[28]</w:t>
      </w:r>
      <w:r w:rsidRPr="00711135">
        <w:rPr>
          <w:rFonts w:ascii="Arial" w:hAnsi="Arial" w:cs="Arial"/>
          <w:color w:val="000000" w:themeColor="text1"/>
          <w:sz w:val="24"/>
          <w:szCs w:val="24"/>
        </w:rPr>
        <w:tab/>
      </w:r>
      <w:r w:rsidR="00676D73" w:rsidRPr="00711135">
        <w:rPr>
          <w:rFonts w:ascii="Arial" w:hAnsi="Arial" w:cs="Arial"/>
          <w:color w:val="000000" w:themeColor="text1"/>
          <w:sz w:val="24"/>
          <w:szCs w:val="24"/>
        </w:rPr>
        <w:t>In light of the applicant’s</w:t>
      </w:r>
      <w:r w:rsidR="006277BE" w:rsidRPr="00711135">
        <w:rPr>
          <w:rFonts w:ascii="Arial" w:hAnsi="Arial" w:cs="Arial"/>
          <w:color w:val="000000" w:themeColor="text1"/>
          <w:sz w:val="24"/>
          <w:szCs w:val="24"/>
        </w:rPr>
        <w:t xml:space="preserve"> non-</w:t>
      </w:r>
      <w:r w:rsidR="00F8019E" w:rsidRPr="00711135">
        <w:rPr>
          <w:rFonts w:ascii="Arial" w:hAnsi="Arial" w:cs="Arial"/>
          <w:color w:val="000000" w:themeColor="text1"/>
          <w:sz w:val="24"/>
          <w:szCs w:val="24"/>
        </w:rPr>
        <w:t>compliance</w:t>
      </w:r>
      <w:r w:rsidR="006277BE" w:rsidRPr="00711135">
        <w:rPr>
          <w:rFonts w:ascii="Arial" w:hAnsi="Arial" w:cs="Arial"/>
          <w:color w:val="000000" w:themeColor="text1"/>
          <w:sz w:val="24"/>
          <w:szCs w:val="24"/>
        </w:rPr>
        <w:t xml:space="preserve"> </w:t>
      </w:r>
      <w:r w:rsidR="00676D73" w:rsidRPr="00711135">
        <w:rPr>
          <w:rFonts w:ascii="Arial" w:hAnsi="Arial" w:cs="Arial"/>
          <w:color w:val="000000" w:themeColor="text1"/>
          <w:sz w:val="24"/>
          <w:szCs w:val="24"/>
        </w:rPr>
        <w:t xml:space="preserve">with </w:t>
      </w:r>
      <w:r w:rsidR="00E132C8" w:rsidRPr="00711135">
        <w:rPr>
          <w:rFonts w:ascii="Arial" w:hAnsi="Arial" w:cs="Arial"/>
          <w:color w:val="000000" w:themeColor="text1"/>
          <w:sz w:val="24"/>
          <w:szCs w:val="24"/>
        </w:rPr>
        <w:t xml:space="preserve">multiple </w:t>
      </w:r>
      <w:r w:rsidR="00676D73" w:rsidRPr="00711135">
        <w:rPr>
          <w:rFonts w:ascii="Arial" w:hAnsi="Arial" w:cs="Arial"/>
          <w:color w:val="000000" w:themeColor="text1"/>
          <w:sz w:val="24"/>
          <w:szCs w:val="24"/>
        </w:rPr>
        <w:t>rules of court,</w:t>
      </w:r>
      <w:r w:rsidR="006277BE" w:rsidRPr="00711135">
        <w:rPr>
          <w:rFonts w:ascii="Arial" w:hAnsi="Arial" w:cs="Arial"/>
          <w:color w:val="000000" w:themeColor="text1"/>
          <w:sz w:val="24"/>
          <w:szCs w:val="24"/>
        </w:rPr>
        <w:t xml:space="preserve"> </w:t>
      </w:r>
      <w:r w:rsidR="00121396" w:rsidRPr="00711135">
        <w:rPr>
          <w:rFonts w:ascii="Arial" w:hAnsi="Arial" w:cs="Arial"/>
          <w:color w:val="000000" w:themeColor="text1"/>
          <w:sz w:val="24"/>
          <w:szCs w:val="24"/>
        </w:rPr>
        <w:t xml:space="preserve">including those highlighted by the respondents, </w:t>
      </w:r>
      <w:r w:rsidR="006277BE" w:rsidRPr="00711135">
        <w:rPr>
          <w:rFonts w:ascii="Arial" w:hAnsi="Arial" w:cs="Arial"/>
          <w:color w:val="000000" w:themeColor="text1"/>
          <w:sz w:val="24"/>
          <w:szCs w:val="24"/>
        </w:rPr>
        <w:t xml:space="preserve">I am of the considered view that this is one </w:t>
      </w:r>
      <w:r w:rsidR="00676D73" w:rsidRPr="00711135">
        <w:rPr>
          <w:rFonts w:ascii="Arial" w:hAnsi="Arial" w:cs="Arial"/>
          <w:color w:val="000000" w:themeColor="text1"/>
          <w:sz w:val="24"/>
          <w:szCs w:val="24"/>
        </w:rPr>
        <w:t xml:space="preserve">of </w:t>
      </w:r>
      <w:r w:rsidR="006277BE" w:rsidRPr="00711135">
        <w:rPr>
          <w:rFonts w:ascii="Arial" w:hAnsi="Arial" w:cs="Arial"/>
          <w:color w:val="000000" w:themeColor="text1"/>
          <w:sz w:val="24"/>
          <w:szCs w:val="24"/>
        </w:rPr>
        <w:lastRenderedPageBreak/>
        <w:t xml:space="preserve">those </w:t>
      </w:r>
      <w:r w:rsidR="00F8019E" w:rsidRPr="00711135">
        <w:rPr>
          <w:rFonts w:ascii="Arial" w:hAnsi="Arial" w:cs="Arial"/>
          <w:color w:val="000000" w:themeColor="text1"/>
          <w:sz w:val="24"/>
          <w:szCs w:val="24"/>
        </w:rPr>
        <w:t xml:space="preserve">instances </w:t>
      </w:r>
      <w:r w:rsidR="007A2A0C" w:rsidRPr="00711135">
        <w:rPr>
          <w:rFonts w:ascii="Arial" w:hAnsi="Arial" w:cs="Arial"/>
          <w:color w:val="000000" w:themeColor="text1"/>
          <w:sz w:val="24"/>
          <w:szCs w:val="24"/>
        </w:rPr>
        <w:t>where,</w:t>
      </w:r>
      <w:r w:rsidR="00F8019E" w:rsidRPr="00711135">
        <w:rPr>
          <w:rFonts w:ascii="Arial" w:hAnsi="Arial" w:cs="Arial"/>
          <w:color w:val="000000" w:themeColor="text1"/>
          <w:sz w:val="24"/>
          <w:szCs w:val="24"/>
        </w:rPr>
        <w:t xml:space="preserve"> due to the cumulative effect of glaring, flagrant and inexplicable non-</w:t>
      </w:r>
      <w:r w:rsidR="0029448B" w:rsidRPr="00711135">
        <w:rPr>
          <w:rFonts w:ascii="Arial" w:hAnsi="Arial" w:cs="Arial"/>
          <w:color w:val="000000" w:themeColor="text1"/>
          <w:sz w:val="24"/>
          <w:szCs w:val="24"/>
        </w:rPr>
        <w:t>compliances</w:t>
      </w:r>
      <w:r w:rsidR="00F8019E" w:rsidRPr="00711135">
        <w:rPr>
          <w:rFonts w:ascii="Arial" w:hAnsi="Arial" w:cs="Arial"/>
          <w:color w:val="000000" w:themeColor="text1"/>
          <w:sz w:val="24"/>
          <w:szCs w:val="24"/>
        </w:rPr>
        <w:t xml:space="preserve"> with th</w:t>
      </w:r>
      <w:r w:rsidR="00121396" w:rsidRPr="00711135">
        <w:rPr>
          <w:rFonts w:ascii="Arial" w:hAnsi="Arial" w:cs="Arial"/>
          <w:color w:val="000000" w:themeColor="text1"/>
          <w:sz w:val="24"/>
          <w:szCs w:val="24"/>
        </w:rPr>
        <w:t>e</w:t>
      </w:r>
      <w:r w:rsidR="00F8019E" w:rsidRPr="00711135">
        <w:rPr>
          <w:rFonts w:ascii="Arial" w:hAnsi="Arial" w:cs="Arial"/>
          <w:color w:val="000000" w:themeColor="text1"/>
          <w:sz w:val="24"/>
          <w:szCs w:val="24"/>
        </w:rPr>
        <w:t xml:space="preserve"> </w:t>
      </w:r>
      <w:r w:rsidR="00121396" w:rsidRPr="00711135">
        <w:rPr>
          <w:rFonts w:ascii="Arial" w:hAnsi="Arial" w:cs="Arial"/>
          <w:color w:val="000000" w:themeColor="text1"/>
          <w:sz w:val="24"/>
          <w:szCs w:val="24"/>
        </w:rPr>
        <w:t>Rule</w:t>
      </w:r>
      <w:r w:rsidR="007A2A0C" w:rsidRPr="00711135">
        <w:rPr>
          <w:rFonts w:ascii="Arial" w:hAnsi="Arial" w:cs="Arial"/>
          <w:color w:val="000000" w:themeColor="text1"/>
          <w:sz w:val="24"/>
          <w:szCs w:val="24"/>
        </w:rPr>
        <w:t>s</w:t>
      </w:r>
      <w:r w:rsidR="00121396" w:rsidRPr="00711135">
        <w:rPr>
          <w:rFonts w:ascii="Arial" w:hAnsi="Arial" w:cs="Arial"/>
          <w:color w:val="000000" w:themeColor="text1"/>
          <w:sz w:val="24"/>
          <w:szCs w:val="24"/>
        </w:rPr>
        <w:t xml:space="preserve"> of </w:t>
      </w:r>
      <w:r w:rsidR="00F8019E" w:rsidRPr="00711135">
        <w:rPr>
          <w:rFonts w:ascii="Arial" w:hAnsi="Arial" w:cs="Arial"/>
          <w:color w:val="000000" w:themeColor="text1"/>
          <w:sz w:val="24"/>
          <w:szCs w:val="24"/>
        </w:rPr>
        <w:t xml:space="preserve">Court, </w:t>
      </w:r>
      <w:r w:rsidR="00EA6103" w:rsidRPr="00711135">
        <w:rPr>
          <w:rFonts w:ascii="Arial" w:hAnsi="Arial" w:cs="Arial"/>
          <w:color w:val="000000" w:themeColor="text1"/>
          <w:sz w:val="24"/>
          <w:szCs w:val="24"/>
        </w:rPr>
        <w:t xml:space="preserve">condonation </w:t>
      </w:r>
      <w:r w:rsidR="00676D73" w:rsidRPr="00711135">
        <w:rPr>
          <w:rFonts w:ascii="Arial" w:hAnsi="Arial" w:cs="Arial"/>
          <w:color w:val="000000" w:themeColor="text1"/>
          <w:sz w:val="24"/>
          <w:szCs w:val="24"/>
        </w:rPr>
        <w:t>should be</w:t>
      </w:r>
      <w:r w:rsidR="00EA6103" w:rsidRPr="00711135">
        <w:rPr>
          <w:rFonts w:ascii="Arial" w:hAnsi="Arial" w:cs="Arial"/>
          <w:color w:val="000000" w:themeColor="text1"/>
          <w:sz w:val="24"/>
          <w:szCs w:val="24"/>
        </w:rPr>
        <w:t xml:space="preserve"> refused </w:t>
      </w:r>
      <w:r w:rsidR="00F8019E" w:rsidRPr="00711135">
        <w:rPr>
          <w:rFonts w:ascii="Arial" w:hAnsi="Arial" w:cs="Arial"/>
          <w:color w:val="000000" w:themeColor="text1"/>
          <w:sz w:val="24"/>
          <w:szCs w:val="24"/>
        </w:rPr>
        <w:t>without considering the merits</w:t>
      </w:r>
      <w:r w:rsidR="00EA6103" w:rsidRPr="00711135">
        <w:rPr>
          <w:rFonts w:ascii="Arial" w:hAnsi="Arial" w:cs="Arial"/>
          <w:color w:val="000000" w:themeColor="text1"/>
          <w:sz w:val="24"/>
          <w:szCs w:val="24"/>
        </w:rPr>
        <w:t>.</w:t>
      </w:r>
      <w:r w:rsidR="00F8019E" w:rsidRPr="00711135">
        <w:rPr>
          <w:rFonts w:ascii="Arial" w:hAnsi="Arial" w:cs="Arial"/>
          <w:color w:val="000000" w:themeColor="text1"/>
          <w:sz w:val="24"/>
          <w:szCs w:val="24"/>
        </w:rPr>
        <w:t xml:space="preserve"> </w:t>
      </w:r>
      <w:r w:rsidR="007A2A0C" w:rsidRPr="00711135">
        <w:rPr>
          <w:rFonts w:ascii="Arial" w:hAnsi="Arial" w:cs="Arial"/>
          <w:color w:val="000000" w:themeColor="text1"/>
          <w:sz w:val="24"/>
          <w:szCs w:val="24"/>
        </w:rPr>
        <w:t xml:space="preserve">It follows that the applications must be dismissed. </w:t>
      </w:r>
      <w:r w:rsidR="00F8019E" w:rsidRPr="00711135">
        <w:rPr>
          <w:rFonts w:ascii="Arial" w:hAnsi="Arial" w:cs="Arial"/>
          <w:color w:val="000000" w:themeColor="text1"/>
          <w:sz w:val="24"/>
          <w:szCs w:val="24"/>
        </w:rPr>
        <w:t xml:space="preserve">What remains </w:t>
      </w:r>
      <w:r w:rsidR="00CB0521" w:rsidRPr="00711135">
        <w:rPr>
          <w:rFonts w:ascii="Arial" w:hAnsi="Arial" w:cs="Arial"/>
          <w:color w:val="000000" w:themeColor="text1"/>
          <w:sz w:val="24"/>
          <w:szCs w:val="24"/>
        </w:rPr>
        <w:t>is to</w:t>
      </w:r>
      <w:r w:rsidR="0029448B" w:rsidRPr="00711135">
        <w:rPr>
          <w:rFonts w:ascii="Arial" w:hAnsi="Arial" w:cs="Arial"/>
          <w:color w:val="000000" w:themeColor="text1"/>
          <w:sz w:val="24"/>
          <w:szCs w:val="24"/>
        </w:rPr>
        <w:t xml:space="preserve"> determine </w:t>
      </w:r>
      <w:r w:rsidR="00F8019E" w:rsidRPr="00711135">
        <w:rPr>
          <w:rFonts w:ascii="Arial" w:hAnsi="Arial" w:cs="Arial"/>
          <w:color w:val="000000" w:themeColor="text1"/>
          <w:sz w:val="24"/>
          <w:szCs w:val="24"/>
        </w:rPr>
        <w:t xml:space="preserve">the issue of costs.   </w:t>
      </w:r>
    </w:p>
    <w:p w14:paraId="5D5AC9C5" w14:textId="77777777" w:rsidR="0029448B" w:rsidRPr="00711135" w:rsidRDefault="0029448B">
      <w:pPr>
        <w:spacing w:after="0" w:line="480" w:lineRule="auto"/>
        <w:jc w:val="both"/>
        <w:rPr>
          <w:rFonts w:ascii="Arial" w:hAnsi="Arial" w:cs="Arial"/>
          <w:sz w:val="24"/>
          <w:szCs w:val="24"/>
        </w:rPr>
      </w:pPr>
    </w:p>
    <w:p w14:paraId="06309B17" w14:textId="6BB2BF70" w:rsidR="00184A4D" w:rsidRPr="006C7000" w:rsidRDefault="00AE0F18" w:rsidP="006C7000">
      <w:pPr>
        <w:spacing w:after="0" w:line="480" w:lineRule="auto"/>
        <w:jc w:val="both"/>
        <w:rPr>
          <w:rFonts w:ascii="Arial" w:hAnsi="Arial" w:cs="Arial"/>
          <w:sz w:val="24"/>
          <w:szCs w:val="24"/>
          <w:u w:val="single"/>
        </w:rPr>
      </w:pPr>
      <w:r w:rsidRPr="00711135">
        <w:rPr>
          <w:rFonts w:ascii="Arial" w:hAnsi="Arial" w:cs="Arial"/>
          <w:sz w:val="24"/>
          <w:szCs w:val="24"/>
          <w:u w:val="single"/>
        </w:rPr>
        <w:t>Costs</w:t>
      </w:r>
      <w:r w:rsidR="004D5054" w:rsidRPr="008963A8">
        <w:rPr>
          <w:rFonts w:ascii="Arial" w:hAnsi="Arial" w:cs="Arial"/>
          <w:sz w:val="24"/>
          <w:szCs w:val="24"/>
        </w:rPr>
        <w:t xml:space="preserve"> </w:t>
      </w:r>
    </w:p>
    <w:p w14:paraId="599F9C53" w14:textId="6AA63076" w:rsidR="00AE0F18"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[29]</w:t>
      </w:r>
      <w:r w:rsidRPr="00711135">
        <w:rPr>
          <w:rFonts w:ascii="Arial" w:hAnsi="Arial" w:cs="Arial"/>
          <w:sz w:val="24"/>
          <w:szCs w:val="24"/>
        </w:rPr>
        <w:tab/>
      </w:r>
      <w:r w:rsidR="006C7000">
        <w:rPr>
          <w:rFonts w:ascii="Arial" w:hAnsi="Arial" w:cs="Arial"/>
          <w:sz w:val="24"/>
          <w:szCs w:val="24"/>
        </w:rPr>
        <w:t>A</w:t>
      </w:r>
      <w:r w:rsidR="003813FA" w:rsidRPr="00711135">
        <w:rPr>
          <w:rFonts w:ascii="Arial" w:hAnsi="Arial" w:cs="Arial"/>
          <w:sz w:val="24"/>
          <w:szCs w:val="24"/>
        </w:rPr>
        <w:t xml:space="preserve">n </w:t>
      </w:r>
      <w:r w:rsidR="00AE0F18" w:rsidRPr="00711135">
        <w:rPr>
          <w:rFonts w:ascii="Arial" w:hAnsi="Arial" w:cs="Arial"/>
          <w:sz w:val="24"/>
          <w:szCs w:val="24"/>
        </w:rPr>
        <w:t xml:space="preserve">aggrieved party to litigation is entitled to approach a court for redress. </w:t>
      </w:r>
      <w:r w:rsidR="00CB0521" w:rsidRPr="00711135">
        <w:rPr>
          <w:rFonts w:ascii="Arial" w:hAnsi="Arial" w:cs="Arial"/>
          <w:sz w:val="24"/>
          <w:szCs w:val="24"/>
        </w:rPr>
        <w:t>H</w:t>
      </w:r>
      <w:r w:rsidR="00AE0F18" w:rsidRPr="00711135">
        <w:rPr>
          <w:rFonts w:ascii="Arial" w:hAnsi="Arial" w:cs="Arial"/>
          <w:sz w:val="24"/>
          <w:szCs w:val="24"/>
        </w:rPr>
        <w:t xml:space="preserve">owever, </w:t>
      </w:r>
      <w:r w:rsidR="003813FA" w:rsidRPr="00711135">
        <w:rPr>
          <w:rFonts w:ascii="Arial" w:hAnsi="Arial" w:cs="Arial"/>
          <w:sz w:val="24"/>
          <w:szCs w:val="24"/>
        </w:rPr>
        <w:t xml:space="preserve">such </w:t>
      </w:r>
      <w:r w:rsidR="00AE0F18" w:rsidRPr="00711135">
        <w:rPr>
          <w:rFonts w:ascii="Arial" w:hAnsi="Arial" w:cs="Arial"/>
          <w:sz w:val="24"/>
          <w:szCs w:val="24"/>
        </w:rPr>
        <w:t xml:space="preserve">decision </w:t>
      </w:r>
      <w:r w:rsidR="00DD159F" w:rsidRPr="00711135">
        <w:rPr>
          <w:rFonts w:ascii="Arial" w:hAnsi="Arial" w:cs="Arial"/>
          <w:sz w:val="24"/>
          <w:szCs w:val="24"/>
        </w:rPr>
        <w:t xml:space="preserve">has </w:t>
      </w:r>
      <w:r w:rsidR="00286AA4" w:rsidRPr="00711135">
        <w:rPr>
          <w:rFonts w:ascii="Arial" w:hAnsi="Arial" w:cs="Arial"/>
          <w:sz w:val="24"/>
          <w:szCs w:val="24"/>
        </w:rPr>
        <w:t xml:space="preserve">cost </w:t>
      </w:r>
      <w:r w:rsidR="00DD159F" w:rsidRPr="00711135">
        <w:rPr>
          <w:rFonts w:ascii="Arial" w:hAnsi="Arial" w:cs="Arial"/>
          <w:sz w:val="24"/>
          <w:szCs w:val="24"/>
        </w:rPr>
        <w:t>implications</w:t>
      </w:r>
      <w:r w:rsidR="003813FA" w:rsidRPr="00711135">
        <w:rPr>
          <w:rFonts w:ascii="Arial" w:hAnsi="Arial" w:cs="Arial"/>
          <w:sz w:val="24"/>
          <w:szCs w:val="24"/>
        </w:rPr>
        <w:t xml:space="preserve"> on both sides, but more so on a respondent, especially i</w:t>
      </w:r>
      <w:r w:rsidR="007A2A0C" w:rsidRPr="00711135">
        <w:rPr>
          <w:rFonts w:ascii="Arial" w:hAnsi="Arial" w:cs="Arial"/>
          <w:sz w:val="24"/>
          <w:szCs w:val="24"/>
        </w:rPr>
        <w:t xml:space="preserve">n an appeal such as the present matters where </w:t>
      </w:r>
      <w:r w:rsidR="003813FA" w:rsidRPr="00711135">
        <w:rPr>
          <w:rFonts w:ascii="Arial" w:hAnsi="Arial" w:cs="Arial"/>
          <w:sz w:val="24"/>
          <w:szCs w:val="24"/>
        </w:rPr>
        <w:t>the appeal</w:t>
      </w:r>
      <w:r w:rsidR="007A2A0C" w:rsidRPr="00711135">
        <w:rPr>
          <w:rFonts w:ascii="Arial" w:hAnsi="Arial" w:cs="Arial"/>
          <w:sz w:val="24"/>
          <w:szCs w:val="24"/>
        </w:rPr>
        <w:t>s</w:t>
      </w:r>
      <w:r w:rsidR="003813FA" w:rsidRPr="00711135">
        <w:rPr>
          <w:rFonts w:ascii="Arial" w:hAnsi="Arial" w:cs="Arial"/>
          <w:sz w:val="24"/>
          <w:szCs w:val="24"/>
        </w:rPr>
        <w:t xml:space="preserve"> </w:t>
      </w:r>
      <w:r w:rsidR="007A2A0C" w:rsidRPr="00711135">
        <w:rPr>
          <w:rFonts w:ascii="Arial" w:hAnsi="Arial" w:cs="Arial"/>
          <w:sz w:val="24"/>
          <w:szCs w:val="24"/>
        </w:rPr>
        <w:t xml:space="preserve">are </w:t>
      </w:r>
      <w:r w:rsidR="003813FA" w:rsidRPr="00711135">
        <w:rPr>
          <w:rFonts w:ascii="Arial" w:hAnsi="Arial" w:cs="Arial"/>
          <w:sz w:val="24"/>
          <w:szCs w:val="24"/>
        </w:rPr>
        <w:t>anchored on shaky grounds</w:t>
      </w:r>
      <w:r w:rsidR="00DD159F" w:rsidRPr="00711135">
        <w:rPr>
          <w:rFonts w:ascii="Arial" w:hAnsi="Arial" w:cs="Arial"/>
          <w:sz w:val="24"/>
          <w:szCs w:val="24"/>
        </w:rPr>
        <w:t xml:space="preserve">. It is for a good reason that an appellant is required </w:t>
      </w:r>
      <w:r w:rsidR="003813FA" w:rsidRPr="00711135">
        <w:rPr>
          <w:rFonts w:ascii="Arial" w:hAnsi="Arial" w:cs="Arial"/>
          <w:sz w:val="24"/>
          <w:szCs w:val="24"/>
        </w:rPr>
        <w:t xml:space="preserve">by the Rules of Court </w:t>
      </w:r>
      <w:r w:rsidR="00DD159F" w:rsidRPr="00711135">
        <w:rPr>
          <w:rFonts w:ascii="Arial" w:hAnsi="Arial" w:cs="Arial"/>
          <w:sz w:val="24"/>
          <w:szCs w:val="24"/>
        </w:rPr>
        <w:t xml:space="preserve">to </w:t>
      </w:r>
      <w:proofErr w:type="gramStart"/>
      <w:r w:rsidR="00DD159F" w:rsidRPr="00711135">
        <w:rPr>
          <w:rFonts w:ascii="Arial" w:hAnsi="Arial" w:cs="Arial"/>
          <w:sz w:val="24"/>
          <w:szCs w:val="24"/>
        </w:rPr>
        <w:t>enter into</w:t>
      </w:r>
      <w:proofErr w:type="gramEnd"/>
      <w:r w:rsidR="00DD159F" w:rsidRPr="00711135">
        <w:rPr>
          <w:rFonts w:ascii="Arial" w:hAnsi="Arial" w:cs="Arial"/>
          <w:sz w:val="24"/>
          <w:szCs w:val="24"/>
        </w:rPr>
        <w:t xml:space="preserve"> good and sufficient security for a respondent’s costs of appeal, unless the appellant has been released from that obligation by virtue of the provisions of rule 14(2)</w:t>
      </w:r>
      <w:r w:rsidR="00AE0F18" w:rsidRPr="00711135">
        <w:rPr>
          <w:rFonts w:ascii="Arial" w:hAnsi="Arial" w:cs="Arial"/>
          <w:sz w:val="24"/>
          <w:szCs w:val="24"/>
        </w:rPr>
        <w:t>.</w:t>
      </w:r>
    </w:p>
    <w:p w14:paraId="5B3D080C" w14:textId="77777777" w:rsidR="00AE0F18" w:rsidRPr="00711135" w:rsidRDefault="00AE0F18">
      <w:pPr>
        <w:spacing w:after="0" w:line="480" w:lineRule="auto"/>
        <w:jc w:val="both"/>
        <w:rPr>
          <w:rFonts w:ascii="Arial" w:hAnsi="Arial" w:cs="Arial"/>
          <w:sz w:val="24"/>
          <w:szCs w:val="24"/>
        </w:rPr>
      </w:pPr>
    </w:p>
    <w:p w14:paraId="4F6AA3C7" w14:textId="17351653" w:rsidR="00AE0F18"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[30]</w:t>
      </w:r>
      <w:r w:rsidRPr="00711135">
        <w:rPr>
          <w:rFonts w:ascii="Arial" w:hAnsi="Arial" w:cs="Arial"/>
          <w:sz w:val="24"/>
          <w:szCs w:val="24"/>
        </w:rPr>
        <w:tab/>
      </w:r>
      <w:r w:rsidR="003813FA" w:rsidRPr="00711135">
        <w:rPr>
          <w:rFonts w:ascii="Arial" w:hAnsi="Arial" w:cs="Arial"/>
          <w:sz w:val="24"/>
          <w:szCs w:val="24"/>
        </w:rPr>
        <w:t>D</w:t>
      </w:r>
      <w:r w:rsidR="0061038A" w:rsidRPr="00711135">
        <w:rPr>
          <w:rFonts w:ascii="Arial" w:hAnsi="Arial" w:cs="Arial"/>
          <w:sz w:val="24"/>
          <w:szCs w:val="24"/>
        </w:rPr>
        <w:t>uring oral argument</w:t>
      </w:r>
      <w:r w:rsidR="003813FA" w:rsidRPr="00711135">
        <w:rPr>
          <w:rFonts w:ascii="Arial" w:hAnsi="Arial" w:cs="Arial"/>
          <w:sz w:val="24"/>
          <w:szCs w:val="24"/>
        </w:rPr>
        <w:t>, the applicant</w:t>
      </w:r>
      <w:r w:rsidR="00AE0F18" w:rsidRPr="00711135">
        <w:rPr>
          <w:rFonts w:ascii="Arial" w:hAnsi="Arial" w:cs="Arial"/>
          <w:sz w:val="24"/>
          <w:szCs w:val="24"/>
        </w:rPr>
        <w:t xml:space="preserve"> informed </w:t>
      </w:r>
      <w:r w:rsidR="000D2415">
        <w:rPr>
          <w:rFonts w:ascii="Arial" w:hAnsi="Arial" w:cs="Arial"/>
          <w:sz w:val="24"/>
          <w:szCs w:val="24"/>
        </w:rPr>
        <w:t>the Court</w:t>
      </w:r>
      <w:r w:rsidR="00AE0F18" w:rsidRPr="00711135">
        <w:rPr>
          <w:rFonts w:ascii="Arial" w:hAnsi="Arial" w:cs="Arial"/>
          <w:sz w:val="24"/>
          <w:szCs w:val="24"/>
        </w:rPr>
        <w:t xml:space="preserve"> that the present matters</w:t>
      </w:r>
      <w:r w:rsidR="003813FA" w:rsidRPr="00711135">
        <w:rPr>
          <w:rFonts w:ascii="Arial" w:hAnsi="Arial" w:cs="Arial"/>
          <w:sz w:val="24"/>
          <w:szCs w:val="24"/>
        </w:rPr>
        <w:t xml:space="preserve"> we</w:t>
      </w:r>
      <w:r w:rsidR="00AE0F18" w:rsidRPr="00711135">
        <w:rPr>
          <w:rFonts w:ascii="Arial" w:hAnsi="Arial" w:cs="Arial"/>
          <w:sz w:val="24"/>
          <w:szCs w:val="24"/>
        </w:rPr>
        <w:t>re very important to him. He thus urged</w:t>
      </w:r>
      <w:r w:rsidR="0044575C" w:rsidRPr="00711135">
        <w:rPr>
          <w:rFonts w:ascii="Arial" w:hAnsi="Arial" w:cs="Arial"/>
          <w:sz w:val="24"/>
          <w:szCs w:val="24"/>
        </w:rPr>
        <w:t xml:space="preserve"> </w:t>
      </w:r>
      <w:r w:rsidR="000D2415">
        <w:rPr>
          <w:rFonts w:ascii="Arial" w:hAnsi="Arial" w:cs="Arial"/>
          <w:sz w:val="24"/>
          <w:szCs w:val="24"/>
        </w:rPr>
        <w:t xml:space="preserve">that </w:t>
      </w:r>
      <w:r w:rsidR="00AE0F18" w:rsidRPr="00711135">
        <w:rPr>
          <w:rFonts w:ascii="Arial" w:hAnsi="Arial" w:cs="Arial"/>
          <w:sz w:val="24"/>
          <w:szCs w:val="24"/>
        </w:rPr>
        <w:t xml:space="preserve">no cost order </w:t>
      </w:r>
      <w:r w:rsidR="000D2415">
        <w:rPr>
          <w:rFonts w:ascii="Arial" w:hAnsi="Arial" w:cs="Arial"/>
          <w:sz w:val="24"/>
          <w:szCs w:val="24"/>
        </w:rPr>
        <w:t xml:space="preserve">be made </w:t>
      </w:r>
      <w:r w:rsidR="00AE0F18" w:rsidRPr="00711135">
        <w:rPr>
          <w:rFonts w:ascii="Arial" w:hAnsi="Arial" w:cs="Arial"/>
          <w:sz w:val="24"/>
          <w:szCs w:val="24"/>
        </w:rPr>
        <w:t>against him</w:t>
      </w:r>
      <w:r w:rsidR="003813FA" w:rsidRPr="00711135">
        <w:rPr>
          <w:rFonts w:ascii="Arial" w:hAnsi="Arial" w:cs="Arial"/>
          <w:sz w:val="24"/>
          <w:szCs w:val="24"/>
        </w:rPr>
        <w:t xml:space="preserve"> </w:t>
      </w:r>
      <w:r w:rsidR="00AE0F18" w:rsidRPr="00711135">
        <w:rPr>
          <w:rFonts w:ascii="Arial" w:hAnsi="Arial" w:cs="Arial"/>
          <w:sz w:val="24"/>
          <w:szCs w:val="24"/>
        </w:rPr>
        <w:t xml:space="preserve">should his </w:t>
      </w:r>
      <w:r w:rsidR="003813FA" w:rsidRPr="00711135">
        <w:rPr>
          <w:rFonts w:ascii="Arial" w:hAnsi="Arial" w:cs="Arial"/>
          <w:sz w:val="24"/>
          <w:szCs w:val="24"/>
        </w:rPr>
        <w:t>applications</w:t>
      </w:r>
      <w:r w:rsidR="00AE0F18" w:rsidRPr="00711135">
        <w:rPr>
          <w:rFonts w:ascii="Arial" w:hAnsi="Arial" w:cs="Arial"/>
          <w:sz w:val="24"/>
          <w:szCs w:val="24"/>
        </w:rPr>
        <w:t xml:space="preserve"> fail as he is a pensioner. </w:t>
      </w:r>
    </w:p>
    <w:p w14:paraId="4919E6F4" w14:textId="77777777" w:rsidR="00AE0F18" w:rsidRPr="00711135" w:rsidRDefault="00AE0F18" w:rsidP="00DD335B">
      <w:pPr>
        <w:pStyle w:val="ListParagraph"/>
        <w:spacing w:after="0"/>
        <w:rPr>
          <w:rFonts w:ascii="Arial" w:hAnsi="Arial" w:cs="Arial"/>
          <w:sz w:val="24"/>
          <w:szCs w:val="24"/>
        </w:rPr>
      </w:pPr>
    </w:p>
    <w:p w14:paraId="2FF70CF5" w14:textId="431EFF4D" w:rsidR="00D1296D"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[31]</w:t>
      </w:r>
      <w:r w:rsidRPr="00711135">
        <w:rPr>
          <w:rFonts w:ascii="Arial" w:hAnsi="Arial" w:cs="Arial"/>
          <w:sz w:val="24"/>
          <w:szCs w:val="24"/>
        </w:rPr>
        <w:tab/>
      </w:r>
      <w:r w:rsidR="00AE0F18" w:rsidRPr="00711135">
        <w:rPr>
          <w:rFonts w:ascii="Arial" w:hAnsi="Arial" w:cs="Arial"/>
          <w:sz w:val="24"/>
          <w:szCs w:val="24"/>
        </w:rPr>
        <w:t xml:space="preserve">As mentioned </w:t>
      </w:r>
      <w:r w:rsidR="00204588" w:rsidRPr="00711135">
        <w:rPr>
          <w:rFonts w:ascii="Arial" w:hAnsi="Arial" w:cs="Arial"/>
          <w:sz w:val="24"/>
          <w:szCs w:val="24"/>
        </w:rPr>
        <w:t>already</w:t>
      </w:r>
      <w:r w:rsidR="00AE0F18" w:rsidRPr="00711135">
        <w:rPr>
          <w:rFonts w:ascii="Arial" w:hAnsi="Arial" w:cs="Arial"/>
          <w:sz w:val="24"/>
          <w:szCs w:val="24"/>
        </w:rPr>
        <w:t>, the application for condonation and reinstatement under Case 56/2020 is unopposed</w:t>
      </w:r>
      <w:r w:rsidR="0044575C" w:rsidRPr="00711135">
        <w:rPr>
          <w:rFonts w:ascii="Arial" w:hAnsi="Arial" w:cs="Arial"/>
          <w:sz w:val="24"/>
          <w:szCs w:val="24"/>
        </w:rPr>
        <w:t>. C</w:t>
      </w:r>
      <w:r w:rsidR="00AE0F18" w:rsidRPr="00711135">
        <w:rPr>
          <w:rFonts w:ascii="Arial" w:hAnsi="Arial" w:cs="Arial"/>
          <w:sz w:val="24"/>
          <w:szCs w:val="24"/>
        </w:rPr>
        <w:t>onsequently</w:t>
      </w:r>
      <w:r w:rsidR="0044575C" w:rsidRPr="00711135">
        <w:rPr>
          <w:rFonts w:ascii="Arial" w:hAnsi="Arial" w:cs="Arial"/>
          <w:sz w:val="24"/>
          <w:szCs w:val="24"/>
        </w:rPr>
        <w:t>,</w:t>
      </w:r>
      <w:r w:rsidR="00AE0F18" w:rsidRPr="00711135">
        <w:rPr>
          <w:rFonts w:ascii="Arial" w:hAnsi="Arial" w:cs="Arial"/>
          <w:sz w:val="24"/>
          <w:szCs w:val="24"/>
        </w:rPr>
        <w:t xml:space="preserve"> no </w:t>
      </w:r>
      <w:r w:rsidR="0044575C" w:rsidRPr="00711135">
        <w:rPr>
          <w:rFonts w:ascii="Arial" w:hAnsi="Arial" w:cs="Arial"/>
          <w:sz w:val="24"/>
          <w:szCs w:val="24"/>
        </w:rPr>
        <w:t xml:space="preserve">order as to </w:t>
      </w:r>
      <w:r w:rsidR="00AE0F18" w:rsidRPr="00711135">
        <w:rPr>
          <w:rFonts w:ascii="Arial" w:hAnsi="Arial" w:cs="Arial"/>
          <w:sz w:val="24"/>
          <w:szCs w:val="24"/>
        </w:rPr>
        <w:t xml:space="preserve">costs </w:t>
      </w:r>
      <w:r w:rsidR="007A2A0C" w:rsidRPr="00711135">
        <w:rPr>
          <w:rFonts w:ascii="Arial" w:hAnsi="Arial" w:cs="Arial"/>
          <w:sz w:val="24"/>
          <w:szCs w:val="24"/>
        </w:rPr>
        <w:t xml:space="preserve">in that matter </w:t>
      </w:r>
      <w:r w:rsidR="00CB0521" w:rsidRPr="00711135">
        <w:rPr>
          <w:rFonts w:ascii="Arial" w:hAnsi="Arial" w:cs="Arial"/>
          <w:sz w:val="24"/>
          <w:szCs w:val="24"/>
        </w:rPr>
        <w:t>will be made</w:t>
      </w:r>
      <w:r w:rsidR="00AE0F18" w:rsidRPr="00711135">
        <w:rPr>
          <w:rFonts w:ascii="Arial" w:hAnsi="Arial" w:cs="Arial"/>
          <w:sz w:val="24"/>
          <w:szCs w:val="24"/>
        </w:rPr>
        <w:t xml:space="preserve">. </w:t>
      </w:r>
      <w:r w:rsidR="00204588" w:rsidRPr="00711135">
        <w:rPr>
          <w:rFonts w:ascii="Arial" w:hAnsi="Arial" w:cs="Arial"/>
          <w:sz w:val="24"/>
          <w:szCs w:val="24"/>
        </w:rPr>
        <w:t xml:space="preserve">The respondents in </w:t>
      </w:r>
      <w:r w:rsidR="00AE0F18" w:rsidRPr="00711135">
        <w:rPr>
          <w:rFonts w:ascii="Arial" w:hAnsi="Arial" w:cs="Arial"/>
          <w:sz w:val="24"/>
          <w:szCs w:val="24"/>
        </w:rPr>
        <w:t xml:space="preserve">Case </w:t>
      </w:r>
      <w:r w:rsidR="00F117C6" w:rsidRPr="00711135">
        <w:rPr>
          <w:rFonts w:ascii="Arial" w:hAnsi="Arial" w:cs="Arial"/>
          <w:sz w:val="24"/>
          <w:szCs w:val="24"/>
        </w:rPr>
        <w:t xml:space="preserve">SA </w:t>
      </w:r>
      <w:r w:rsidR="00AE0F18" w:rsidRPr="00711135">
        <w:rPr>
          <w:rFonts w:ascii="Arial" w:hAnsi="Arial" w:cs="Arial"/>
          <w:sz w:val="24"/>
          <w:szCs w:val="24"/>
        </w:rPr>
        <w:t>43/2021</w:t>
      </w:r>
      <w:r w:rsidR="00204588" w:rsidRPr="00711135">
        <w:rPr>
          <w:rFonts w:ascii="Arial" w:hAnsi="Arial" w:cs="Arial"/>
          <w:sz w:val="24"/>
          <w:szCs w:val="24"/>
        </w:rPr>
        <w:t xml:space="preserve"> and Case</w:t>
      </w:r>
      <w:r w:rsidR="00F117C6" w:rsidRPr="00711135">
        <w:rPr>
          <w:rFonts w:ascii="Arial" w:hAnsi="Arial" w:cs="Arial"/>
          <w:sz w:val="24"/>
          <w:szCs w:val="24"/>
        </w:rPr>
        <w:t xml:space="preserve"> SA </w:t>
      </w:r>
      <w:r w:rsidR="00204588" w:rsidRPr="00711135">
        <w:rPr>
          <w:rFonts w:ascii="Arial" w:hAnsi="Arial" w:cs="Arial"/>
          <w:sz w:val="24"/>
          <w:szCs w:val="24"/>
        </w:rPr>
        <w:t xml:space="preserve">44/2021 </w:t>
      </w:r>
      <w:r w:rsidR="00AE0F18" w:rsidRPr="00711135">
        <w:rPr>
          <w:rFonts w:ascii="Arial" w:hAnsi="Arial" w:cs="Arial"/>
          <w:sz w:val="24"/>
          <w:szCs w:val="24"/>
        </w:rPr>
        <w:t xml:space="preserve">have requested </w:t>
      </w:r>
      <w:r w:rsidR="004C6DEC" w:rsidRPr="00711135">
        <w:rPr>
          <w:rFonts w:ascii="Arial" w:hAnsi="Arial" w:cs="Arial"/>
          <w:sz w:val="24"/>
          <w:szCs w:val="24"/>
        </w:rPr>
        <w:t xml:space="preserve">for </w:t>
      </w:r>
      <w:r w:rsidR="00AE0F18" w:rsidRPr="00711135">
        <w:rPr>
          <w:rFonts w:ascii="Arial" w:hAnsi="Arial" w:cs="Arial"/>
          <w:sz w:val="24"/>
          <w:szCs w:val="24"/>
        </w:rPr>
        <w:t>cost order</w:t>
      </w:r>
      <w:r w:rsidR="00204588" w:rsidRPr="00711135">
        <w:rPr>
          <w:rFonts w:ascii="Arial" w:hAnsi="Arial" w:cs="Arial"/>
          <w:sz w:val="24"/>
          <w:szCs w:val="24"/>
        </w:rPr>
        <w:t>s</w:t>
      </w:r>
      <w:r w:rsidR="00AE0F18" w:rsidRPr="00711135">
        <w:rPr>
          <w:rFonts w:ascii="Arial" w:hAnsi="Arial" w:cs="Arial"/>
          <w:sz w:val="24"/>
          <w:szCs w:val="24"/>
        </w:rPr>
        <w:t xml:space="preserve"> </w:t>
      </w:r>
      <w:r w:rsidR="00204588" w:rsidRPr="00711135">
        <w:rPr>
          <w:rFonts w:ascii="Arial" w:hAnsi="Arial" w:cs="Arial"/>
          <w:sz w:val="24"/>
          <w:szCs w:val="24"/>
        </w:rPr>
        <w:t>should the applications be dismissed</w:t>
      </w:r>
      <w:r w:rsidR="00AE0F18" w:rsidRPr="00711135">
        <w:rPr>
          <w:rFonts w:ascii="Arial" w:hAnsi="Arial" w:cs="Arial"/>
          <w:sz w:val="24"/>
          <w:szCs w:val="24"/>
        </w:rPr>
        <w:t xml:space="preserve">. </w:t>
      </w:r>
      <w:r w:rsidR="0044575C" w:rsidRPr="00711135">
        <w:rPr>
          <w:rFonts w:ascii="Arial" w:hAnsi="Arial" w:cs="Arial"/>
          <w:sz w:val="24"/>
          <w:szCs w:val="24"/>
        </w:rPr>
        <w:t xml:space="preserve">In respect of Case </w:t>
      </w:r>
      <w:r w:rsidR="00F117C6" w:rsidRPr="00711135">
        <w:rPr>
          <w:rFonts w:ascii="Arial" w:hAnsi="Arial" w:cs="Arial"/>
          <w:sz w:val="24"/>
          <w:szCs w:val="24"/>
        </w:rPr>
        <w:t xml:space="preserve">SA </w:t>
      </w:r>
      <w:r w:rsidR="0044575C" w:rsidRPr="00711135">
        <w:rPr>
          <w:rFonts w:ascii="Arial" w:hAnsi="Arial" w:cs="Arial"/>
          <w:sz w:val="24"/>
          <w:szCs w:val="24"/>
        </w:rPr>
        <w:t xml:space="preserve">43/2021, we were informed </w:t>
      </w:r>
      <w:r w:rsidR="007955E9" w:rsidRPr="00711135">
        <w:rPr>
          <w:rFonts w:ascii="Arial" w:hAnsi="Arial" w:cs="Arial"/>
          <w:sz w:val="24"/>
          <w:szCs w:val="24"/>
        </w:rPr>
        <w:t xml:space="preserve">by the applicant </w:t>
      </w:r>
      <w:r w:rsidR="0044575C" w:rsidRPr="00711135">
        <w:rPr>
          <w:rFonts w:ascii="Arial" w:hAnsi="Arial" w:cs="Arial"/>
          <w:sz w:val="24"/>
          <w:szCs w:val="24"/>
        </w:rPr>
        <w:t xml:space="preserve">that the </w:t>
      </w:r>
      <w:r w:rsidR="007955E9" w:rsidRPr="00711135">
        <w:rPr>
          <w:rFonts w:ascii="Arial" w:hAnsi="Arial" w:cs="Arial"/>
          <w:sz w:val="24"/>
          <w:szCs w:val="24"/>
        </w:rPr>
        <w:t>application for h</w:t>
      </w:r>
      <w:r w:rsidR="00F117C6" w:rsidRPr="00711135">
        <w:rPr>
          <w:rFonts w:ascii="Arial" w:hAnsi="Arial" w:cs="Arial"/>
          <w:sz w:val="24"/>
          <w:szCs w:val="24"/>
        </w:rPr>
        <w:t>is</w:t>
      </w:r>
      <w:r w:rsidR="007955E9" w:rsidRPr="00711135">
        <w:rPr>
          <w:rFonts w:ascii="Arial" w:hAnsi="Arial" w:cs="Arial"/>
          <w:sz w:val="24"/>
          <w:szCs w:val="24"/>
        </w:rPr>
        <w:t xml:space="preserve"> </w:t>
      </w:r>
      <w:r w:rsidR="00F117C6" w:rsidRPr="00711135">
        <w:rPr>
          <w:rFonts w:ascii="Arial" w:hAnsi="Arial" w:cs="Arial"/>
          <w:sz w:val="24"/>
          <w:szCs w:val="24"/>
        </w:rPr>
        <w:t xml:space="preserve">possible </w:t>
      </w:r>
      <w:r w:rsidR="007955E9" w:rsidRPr="00711135">
        <w:rPr>
          <w:rFonts w:ascii="Arial" w:hAnsi="Arial" w:cs="Arial"/>
          <w:sz w:val="24"/>
          <w:szCs w:val="24"/>
        </w:rPr>
        <w:t xml:space="preserve">release from </w:t>
      </w:r>
      <w:r w:rsidR="00F117C6" w:rsidRPr="00711135">
        <w:rPr>
          <w:rFonts w:ascii="Arial" w:hAnsi="Arial" w:cs="Arial"/>
          <w:sz w:val="24"/>
          <w:szCs w:val="24"/>
        </w:rPr>
        <w:t xml:space="preserve">the obligation to </w:t>
      </w:r>
      <w:r w:rsidR="007955E9" w:rsidRPr="00711135">
        <w:rPr>
          <w:rFonts w:ascii="Arial" w:hAnsi="Arial" w:cs="Arial"/>
          <w:sz w:val="24"/>
          <w:szCs w:val="24"/>
        </w:rPr>
        <w:t>provid</w:t>
      </w:r>
      <w:r w:rsidR="00F117C6" w:rsidRPr="00711135">
        <w:rPr>
          <w:rFonts w:ascii="Arial" w:hAnsi="Arial" w:cs="Arial"/>
          <w:sz w:val="24"/>
          <w:szCs w:val="24"/>
        </w:rPr>
        <w:t>e</w:t>
      </w:r>
      <w:r w:rsidR="007955E9" w:rsidRPr="00711135">
        <w:rPr>
          <w:rFonts w:ascii="Arial" w:hAnsi="Arial" w:cs="Arial"/>
          <w:sz w:val="24"/>
          <w:szCs w:val="24"/>
        </w:rPr>
        <w:t xml:space="preserve"> security </w:t>
      </w:r>
      <w:r w:rsidR="0044575C" w:rsidRPr="00711135">
        <w:rPr>
          <w:rFonts w:ascii="Arial" w:hAnsi="Arial" w:cs="Arial"/>
          <w:sz w:val="24"/>
          <w:szCs w:val="24"/>
        </w:rPr>
        <w:t xml:space="preserve">for </w:t>
      </w:r>
      <w:r w:rsidR="00F117C6" w:rsidRPr="00711135">
        <w:rPr>
          <w:rFonts w:ascii="Arial" w:hAnsi="Arial" w:cs="Arial"/>
          <w:sz w:val="24"/>
          <w:szCs w:val="24"/>
        </w:rPr>
        <w:t xml:space="preserve">the respondents’ </w:t>
      </w:r>
      <w:r w:rsidR="0044575C" w:rsidRPr="00711135">
        <w:rPr>
          <w:rFonts w:ascii="Arial" w:hAnsi="Arial" w:cs="Arial"/>
          <w:sz w:val="24"/>
          <w:szCs w:val="24"/>
        </w:rPr>
        <w:t>costs was pending in the High Court</w:t>
      </w:r>
      <w:r w:rsidR="007955E9" w:rsidRPr="00711135">
        <w:rPr>
          <w:rFonts w:ascii="Arial" w:hAnsi="Arial" w:cs="Arial"/>
          <w:sz w:val="24"/>
          <w:szCs w:val="24"/>
        </w:rPr>
        <w:t xml:space="preserve"> </w:t>
      </w:r>
      <w:r w:rsidR="007955E9" w:rsidRPr="00711135">
        <w:rPr>
          <w:rFonts w:ascii="Arial" w:hAnsi="Arial" w:cs="Arial"/>
          <w:sz w:val="24"/>
          <w:szCs w:val="24"/>
        </w:rPr>
        <w:lastRenderedPageBreak/>
        <w:t>and that i</w:t>
      </w:r>
      <w:r w:rsidR="0044575C" w:rsidRPr="00711135">
        <w:rPr>
          <w:rFonts w:ascii="Arial" w:hAnsi="Arial" w:cs="Arial"/>
          <w:sz w:val="24"/>
          <w:szCs w:val="24"/>
        </w:rPr>
        <w:t xml:space="preserve">n respect of Case </w:t>
      </w:r>
      <w:r w:rsidR="00F117C6" w:rsidRPr="00711135">
        <w:rPr>
          <w:rFonts w:ascii="Arial" w:hAnsi="Arial" w:cs="Arial"/>
          <w:sz w:val="24"/>
          <w:szCs w:val="24"/>
        </w:rPr>
        <w:t xml:space="preserve">SA </w:t>
      </w:r>
      <w:r w:rsidR="0044575C" w:rsidRPr="00711135">
        <w:rPr>
          <w:rFonts w:ascii="Arial" w:hAnsi="Arial" w:cs="Arial"/>
          <w:sz w:val="24"/>
          <w:szCs w:val="24"/>
        </w:rPr>
        <w:t xml:space="preserve">44/2021, </w:t>
      </w:r>
      <w:r w:rsidR="007955E9" w:rsidRPr="00711135">
        <w:rPr>
          <w:rFonts w:ascii="Arial" w:hAnsi="Arial" w:cs="Arial"/>
          <w:sz w:val="24"/>
          <w:szCs w:val="24"/>
        </w:rPr>
        <w:t xml:space="preserve">a similar </w:t>
      </w:r>
      <w:r w:rsidR="0044575C" w:rsidRPr="00711135">
        <w:rPr>
          <w:rFonts w:ascii="Arial" w:hAnsi="Arial" w:cs="Arial"/>
          <w:sz w:val="24"/>
          <w:szCs w:val="24"/>
        </w:rPr>
        <w:t xml:space="preserve">application was decided against </w:t>
      </w:r>
      <w:r w:rsidR="004C6DEC" w:rsidRPr="00711135">
        <w:rPr>
          <w:rFonts w:ascii="Arial" w:hAnsi="Arial" w:cs="Arial"/>
          <w:sz w:val="24"/>
          <w:szCs w:val="24"/>
        </w:rPr>
        <w:t>him</w:t>
      </w:r>
      <w:r w:rsidR="0044575C" w:rsidRPr="00711135">
        <w:rPr>
          <w:rFonts w:ascii="Arial" w:hAnsi="Arial" w:cs="Arial"/>
          <w:sz w:val="24"/>
          <w:szCs w:val="24"/>
        </w:rPr>
        <w:t xml:space="preserve"> on 23 February 2023. The applicant made application from the Bar for this Court to release him from the obligation to p</w:t>
      </w:r>
      <w:r w:rsidR="007955E9" w:rsidRPr="00711135">
        <w:rPr>
          <w:rFonts w:ascii="Arial" w:hAnsi="Arial" w:cs="Arial"/>
          <w:sz w:val="24"/>
          <w:szCs w:val="24"/>
        </w:rPr>
        <w:t xml:space="preserve">rovide security in </w:t>
      </w:r>
      <w:r w:rsidR="00D1296D" w:rsidRPr="00711135">
        <w:rPr>
          <w:rFonts w:ascii="Arial" w:hAnsi="Arial" w:cs="Arial"/>
          <w:sz w:val="24"/>
          <w:szCs w:val="24"/>
        </w:rPr>
        <w:t xml:space="preserve">Case </w:t>
      </w:r>
      <w:r w:rsidR="00F117C6" w:rsidRPr="00711135">
        <w:rPr>
          <w:rFonts w:ascii="Arial" w:hAnsi="Arial" w:cs="Arial"/>
          <w:sz w:val="24"/>
          <w:szCs w:val="24"/>
        </w:rPr>
        <w:t xml:space="preserve">SA </w:t>
      </w:r>
      <w:r w:rsidR="00D1296D" w:rsidRPr="00711135">
        <w:rPr>
          <w:rFonts w:ascii="Arial" w:hAnsi="Arial" w:cs="Arial"/>
          <w:sz w:val="24"/>
          <w:szCs w:val="24"/>
        </w:rPr>
        <w:t xml:space="preserve">56/2020 and Case </w:t>
      </w:r>
      <w:r w:rsidR="00F117C6" w:rsidRPr="00711135">
        <w:rPr>
          <w:rFonts w:ascii="Arial" w:hAnsi="Arial" w:cs="Arial"/>
          <w:sz w:val="24"/>
          <w:szCs w:val="24"/>
        </w:rPr>
        <w:t xml:space="preserve">SA </w:t>
      </w:r>
      <w:r w:rsidR="00D1296D" w:rsidRPr="00711135">
        <w:rPr>
          <w:rFonts w:ascii="Arial" w:hAnsi="Arial" w:cs="Arial"/>
          <w:sz w:val="24"/>
          <w:szCs w:val="24"/>
        </w:rPr>
        <w:t>44/2021.</w:t>
      </w:r>
    </w:p>
    <w:p w14:paraId="33B8E3C7" w14:textId="77777777" w:rsidR="00D1296D" w:rsidRPr="00711135" w:rsidRDefault="00D1296D" w:rsidP="00DD335B">
      <w:pPr>
        <w:pStyle w:val="ListParagraph"/>
        <w:spacing w:after="0"/>
        <w:rPr>
          <w:rFonts w:ascii="Arial" w:hAnsi="Arial" w:cs="Arial"/>
          <w:sz w:val="24"/>
          <w:szCs w:val="24"/>
        </w:rPr>
      </w:pPr>
    </w:p>
    <w:p w14:paraId="5D6E8F51" w14:textId="1A301EEC" w:rsidR="00F5362B"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[32]</w:t>
      </w:r>
      <w:r w:rsidRPr="00711135">
        <w:rPr>
          <w:rFonts w:ascii="Arial" w:hAnsi="Arial" w:cs="Arial"/>
          <w:sz w:val="24"/>
          <w:szCs w:val="24"/>
        </w:rPr>
        <w:tab/>
      </w:r>
      <w:r w:rsidR="00D1296D" w:rsidRPr="00711135">
        <w:rPr>
          <w:rFonts w:ascii="Arial" w:hAnsi="Arial" w:cs="Arial"/>
          <w:sz w:val="24"/>
          <w:szCs w:val="24"/>
        </w:rPr>
        <w:t xml:space="preserve">He relies for this application on </w:t>
      </w:r>
      <w:r w:rsidR="00D1296D" w:rsidRPr="00711135">
        <w:rPr>
          <w:rFonts w:ascii="Arial" w:hAnsi="Arial" w:cs="Arial"/>
          <w:i/>
          <w:sz w:val="24"/>
          <w:szCs w:val="24"/>
        </w:rPr>
        <w:t>Kamwi v Duvenhage</w:t>
      </w:r>
      <w:r w:rsidR="00CD0741" w:rsidRPr="00711135">
        <w:rPr>
          <w:rFonts w:ascii="Arial" w:hAnsi="Arial" w:cs="Arial"/>
          <w:i/>
          <w:sz w:val="24"/>
          <w:szCs w:val="24"/>
        </w:rPr>
        <w:t>,</w:t>
      </w:r>
      <w:r w:rsidR="00FD3FA0" w:rsidRPr="00711135">
        <w:rPr>
          <w:rStyle w:val="FootnoteReference"/>
          <w:rFonts w:ascii="Arial" w:hAnsi="Arial" w:cs="Arial"/>
          <w:sz w:val="24"/>
          <w:szCs w:val="24"/>
        </w:rPr>
        <w:footnoteReference w:id="5"/>
      </w:r>
      <w:r w:rsidR="00D1296D" w:rsidRPr="00711135">
        <w:rPr>
          <w:rFonts w:ascii="Arial" w:hAnsi="Arial" w:cs="Arial"/>
          <w:sz w:val="24"/>
          <w:szCs w:val="24"/>
        </w:rPr>
        <w:t xml:space="preserve"> which he says is authority for the proposition that </w:t>
      </w:r>
      <w:r w:rsidR="0056163A" w:rsidRPr="00711135">
        <w:rPr>
          <w:rFonts w:ascii="Arial" w:hAnsi="Arial" w:cs="Arial"/>
          <w:sz w:val="24"/>
          <w:szCs w:val="24"/>
        </w:rPr>
        <w:t xml:space="preserve">an </w:t>
      </w:r>
      <w:r w:rsidR="00D1296D" w:rsidRPr="00711135">
        <w:rPr>
          <w:rFonts w:ascii="Arial" w:hAnsi="Arial" w:cs="Arial"/>
          <w:sz w:val="24"/>
          <w:szCs w:val="24"/>
        </w:rPr>
        <w:t>application f</w:t>
      </w:r>
      <w:r w:rsidR="00CB0521" w:rsidRPr="00711135">
        <w:rPr>
          <w:rFonts w:ascii="Arial" w:hAnsi="Arial" w:cs="Arial"/>
          <w:sz w:val="24"/>
          <w:szCs w:val="24"/>
        </w:rPr>
        <w:t>or</w:t>
      </w:r>
      <w:r w:rsidR="00D1296D" w:rsidRPr="00711135">
        <w:rPr>
          <w:rFonts w:ascii="Arial" w:hAnsi="Arial" w:cs="Arial"/>
          <w:sz w:val="24"/>
          <w:szCs w:val="24"/>
        </w:rPr>
        <w:t xml:space="preserve"> release from </w:t>
      </w:r>
      <w:r w:rsidR="0056163A" w:rsidRPr="00711135">
        <w:rPr>
          <w:rFonts w:ascii="Arial" w:hAnsi="Arial" w:cs="Arial"/>
          <w:sz w:val="24"/>
          <w:szCs w:val="24"/>
        </w:rPr>
        <w:t xml:space="preserve">the </w:t>
      </w:r>
      <w:r w:rsidR="00CB0521" w:rsidRPr="00711135">
        <w:rPr>
          <w:rFonts w:ascii="Arial" w:hAnsi="Arial" w:cs="Arial"/>
          <w:sz w:val="24"/>
          <w:szCs w:val="24"/>
        </w:rPr>
        <w:t xml:space="preserve">obligation to </w:t>
      </w:r>
      <w:r w:rsidR="00D1296D" w:rsidRPr="00711135">
        <w:rPr>
          <w:rFonts w:ascii="Arial" w:hAnsi="Arial" w:cs="Arial"/>
          <w:sz w:val="24"/>
          <w:szCs w:val="24"/>
        </w:rPr>
        <w:t>provid</w:t>
      </w:r>
      <w:r w:rsidR="00CB0521" w:rsidRPr="00711135">
        <w:rPr>
          <w:rFonts w:ascii="Arial" w:hAnsi="Arial" w:cs="Arial"/>
          <w:sz w:val="24"/>
          <w:szCs w:val="24"/>
        </w:rPr>
        <w:t>e</w:t>
      </w:r>
      <w:r w:rsidR="00D1296D" w:rsidRPr="00711135">
        <w:rPr>
          <w:rFonts w:ascii="Arial" w:hAnsi="Arial" w:cs="Arial"/>
          <w:sz w:val="24"/>
          <w:szCs w:val="24"/>
        </w:rPr>
        <w:t xml:space="preserve"> security</w:t>
      </w:r>
      <w:r w:rsidR="00FD3FA0" w:rsidRPr="00711135">
        <w:rPr>
          <w:rFonts w:ascii="Arial" w:hAnsi="Arial" w:cs="Arial"/>
          <w:sz w:val="24"/>
          <w:szCs w:val="24"/>
        </w:rPr>
        <w:t xml:space="preserve"> for the respondents’ costs of appeal</w:t>
      </w:r>
      <w:r w:rsidR="00CB0521" w:rsidRPr="00711135">
        <w:rPr>
          <w:rFonts w:ascii="Arial" w:hAnsi="Arial" w:cs="Arial"/>
          <w:sz w:val="24"/>
          <w:szCs w:val="24"/>
        </w:rPr>
        <w:t xml:space="preserve"> can be made from the Bar</w:t>
      </w:r>
      <w:r w:rsidR="00D1296D" w:rsidRPr="00711135">
        <w:rPr>
          <w:rFonts w:ascii="Arial" w:hAnsi="Arial" w:cs="Arial"/>
          <w:sz w:val="24"/>
          <w:szCs w:val="24"/>
        </w:rPr>
        <w:t xml:space="preserve">. We reserved judgment on this application. </w:t>
      </w:r>
      <w:r w:rsidR="00FD3FA0" w:rsidRPr="00711135">
        <w:rPr>
          <w:rFonts w:ascii="Arial" w:hAnsi="Arial" w:cs="Arial"/>
          <w:sz w:val="24"/>
          <w:szCs w:val="24"/>
        </w:rPr>
        <w:t xml:space="preserve">What follows is </w:t>
      </w:r>
      <w:r w:rsidR="00FA0388" w:rsidRPr="00711135">
        <w:rPr>
          <w:rFonts w:ascii="Arial" w:hAnsi="Arial" w:cs="Arial"/>
          <w:sz w:val="24"/>
          <w:szCs w:val="24"/>
        </w:rPr>
        <w:t>our</w:t>
      </w:r>
      <w:r w:rsidR="00FD3FA0" w:rsidRPr="00711135">
        <w:rPr>
          <w:rFonts w:ascii="Arial" w:hAnsi="Arial" w:cs="Arial"/>
          <w:sz w:val="24"/>
          <w:szCs w:val="24"/>
        </w:rPr>
        <w:t xml:space="preserve"> ruling. </w:t>
      </w:r>
      <w:r w:rsidR="00D1296D" w:rsidRPr="00711135">
        <w:rPr>
          <w:rFonts w:ascii="Arial" w:hAnsi="Arial" w:cs="Arial"/>
          <w:sz w:val="24"/>
          <w:szCs w:val="24"/>
        </w:rPr>
        <w:t xml:space="preserve">The application cannot be granted. First, </w:t>
      </w:r>
      <w:r w:rsidR="00D1296D" w:rsidRPr="00711135">
        <w:rPr>
          <w:rFonts w:ascii="Arial" w:hAnsi="Arial" w:cs="Arial"/>
          <w:i/>
          <w:sz w:val="24"/>
          <w:szCs w:val="24"/>
        </w:rPr>
        <w:t>Kamwi v Duvenhage</w:t>
      </w:r>
      <w:r w:rsidR="00D1296D" w:rsidRPr="00711135">
        <w:rPr>
          <w:rFonts w:ascii="Arial" w:hAnsi="Arial" w:cs="Arial"/>
          <w:sz w:val="24"/>
          <w:szCs w:val="24"/>
        </w:rPr>
        <w:t xml:space="preserve"> is no authority for the proposition the applicant contends for. Second, rule 14(2) requires that such an application </w:t>
      </w:r>
      <w:r w:rsidR="00F5362B" w:rsidRPr="00711135">
        <w:rPr>
          <w:rFonts w:ascii="Arial" w:hAnsi="Arial" w:cs="Arial"/>
          <w:sz w:val="24"/>
          <w:szCs w:val="24"/>
        </w:rPr>
        <w:t xml:space="preserve">is to be </w:t>
      </w:r>
      <w:r w:rsidR="00D1296D" w:rsidRPr="00711135">
        <w:rPr>
          <w:rFonts w:ascii="Arial" w:hAnsi="Arial" w:cs="Arial"/>
          <w:sz w:val="24"/>
          <w:szCs w:val="24"/>
        </w:rPr>
        <w:t>made in the court appealed from, upon application delivered within 15 days after delivery of the appellant’s notice of appeal</w:t>
      </w:r>
      <w:r w:rsidR="00F5362B" w:rsidRPr="00711135">
        <w:rPr>
          <w:rFonts w:ascii="Arial" w:hAnsi="Arial" w:cs="Arial"/>
          <w:sz w:val="24"/>
          <w:szCs w:val="24"/>
        </w:rPr>
        <w:t>.</w:t>
      </w:r>
      <w:r w:rsidR="00F5362B" w:rsidRPr="00711135">
        <w:rPr>
          <w:rFonts w:ascii="Arial" w:hAnsi="Arial"/>
          <w:sz w:val="24"/>
          <w:szCs w:val="24"/>
          <w:lang w:val="en-US"/>
        </w:rPr>
        <w:t xml:space="preserve"> It is not a type of application that can be made from the Bar, let alone in the Supreme Court. For these reasons the applicant’s application</w:t>
      </w:r>
      <w:r w:rsidR="006A2BC2" w:rsidRPr="00711135">
        <w:rPr>
          <w:rFonts w:ascii="Arial" w:hAnsi="Arial"/>
          <w:sz w:val="24"/>
          <w:szCs w:val="24"/>
          <w:lang w:val="en-US"/>
        </w:rPr>
        <w:t xml:space="preserve"> </w:t>
      </w:r>
      <w:r w:rsidR="00FA0388" w:rsidRPr="00711135">
        <w:rPr>
          <w:rFonts w:ascii="Arial" w:hAnsi="Arial"/>
          <w:sz w:val="24"/>
          <w:szCs w:val="24"/>
          <w:lang w:val="en-US"/>
        </w:rPr>
        <w:t>is refused</w:t>
      </w:r>
      <w:r w:rsidR="00F5362B" w:rsidRPr="00711135">
        <w:rPr>
          <w:rFonts w:ascii="Arial" w:hAnsi="Arial"/>
          <w:sz w:val="24"/>
          <w:szCs w:val="24"/>
          <w:lang w:val="en-US"/>
        </w:rPr>
        <w:t xml:space="preserve">. </w:t>
      </w:r>
    </w:p>
    <w:p w14:paraId="757CEB77" w14:textId="77777777" w:rsidR="00F5362B" w:rsidRPr="00711135" w:rsidRDefault="00F5362B" w:rsidP="00DD335B">
      <w:pPr>
        <w:pStyle w:val="ListParagraph"/>
        <w:spacing w:after="0"/>
        <w:rPr>
          <w:rFonts w:ascii="Arial" w:hAnsi="Arial"/>
          <w:sz w:val="24"/>
          <w:szCs w:val="24"/>
          <w:lang w:val="en-US"/>
        </w:rPr>
      </w:pPr>
    </w:p>
    <w:p w14:paraId="725B359B" w14:textId="06758C0A" w:rsidR="00AE0F18" w:rsidRPr="009C6979" w:rsidRDefault="008C3C27" w:rsidP="008C3C27">
      <w:pPr>
        <w:spacing w:after="0" w:line="480" w:lineRule="auto"/>
        <w:jc w:val="both"/>
        <w:rPr>
          <w:rFonts w:ascii="Arial" w:hAnsi="Arial" w:cs="Arial"/>
          <w:sz w:val="24"/>
          <w:szCs w:val="24"/>
        </w:rPr>
      </w:pPr>
      <w:r w:rsidRPr="009C6979">
        <w:rPr>
          <w:rFonts w:ascii="Arial" w:hAnsi="Arial" w:cs="Arial"/>
          <w:sz w:val="24"/>
          <w:szCs w:val="24"/>
        </w:rPr>
        <w:t>[33]</w:t>
      </w:r>
      <w:r w:rsidRPr="009C6979">
        <w:rPr>
          <w:rFonts w:ascii="Arial" w:hAnsi="Arial" w:cs="Arial"/>
          <w:sz w:val="24"/>
          <w:szCs w:val="24"/>
        </w:rPr>
        <w:tab/>
      </w:r>
      <w:r w:rsidR="00AE0F18" w:rsidRPr="00711135">
        <w:rPr>
          <w:rFonts w:ascii="Arial" w:hAnsi="Arial"/>
          <w:sz w:val="24"/>
          <w:szCs w:val="24"/>
          <w:lang w:val="en-US"/>
        </w:rPr>
        <w:t xml:space="preserve">The general rule is that costs follow the </w:t>
      </w:r>
      <w:r w:rsidR="00204588" w:rsidRPr="00711135">
        <w:rPr>
          <w:rFonts w:ascii="Arial" w:hAnsi="Arial"/>
          <w:sz w:val="24"/>
          <w:szCs w:val="24"/>
          <w:lang w:val="en-US"/>
        </w:rPr>
        <w:t>event</w:t>
      </w:r>
      <w:r w:rsidR="00AE0F18" w:rsidRPr="00711135">
        <w:rPr>
          <w:rFonts w:ascii="Arial" w:hAnsi="Arial"/>
          <w:sz w:val="24"/>
          <w:szCs w:val="24"/>
          <w:lang w:val="en-US"/>
        </w:rPr>
        <w:t xml:space="preserve">. </w:t>
      </w:r>
      <w:r w:rsidR="00204588" w:rsidRPr="00711135">
        <w:rPr>
          <w:rFonts w:ascii="Arial" w:hAnsi="Arial"/>
          <w:sz w:val="24"/>
          <w:szCs w:val="24"/>
          <w:lang w:val="en-US"/>
        </w:rPr>
        <w:t>The</w:t>
      </w:r>
      <w:r w:rsidR="00DD159F" w:rsidRPr="00711135">
        <w:rPr>
          <w:rFonts w:ascii="Arial" w:hAnsi="Arial"/>
          <w:sz w:val="24"/>
          <w:szCs w:val="24"/>
          <w:lang w:val="en-US"/>
        </w:rPr>
        <w:t xml:space="preserve"> app</w:t>
      </w:r>
      <w:r w:rsidR="00CD0741" w:rsidRPr="00711135">
        <w:rPr>
          <w:rFonts w:ascii="Arial" w:hAnsi="Arial"/>
          <w:sz w:val="24"/>
          <w:szCs w:val="24"/>
          <w:lang w:val="en-US"/>
        </w:rPr>
        <w:t>licant</w:t>
      </w:r>
      <w:r w:rsidR="00DD159F" w:rsidRPr="00711135">
        <w:rPr>
          <w:rFonts w:ascii="Arial" w:hAnsi="Arial"/>
          <w:sz w:val="24"/>
          <w:szCs w:val="24"/>
          <w:lang w:val="en-US"/>
        </w:rPr>
        <w:t xml:space="preserve"> carried on with the proceedings in this </w:t>
      </w:r>
      <w:r w:rsidR="00C27125">
        <w:rPr>
          <w:rFonts w:ascii="Arial" w:hAnsi="Arial"/>
          <w:sz w:val="24"/>
          <w:szCs w:val="24"/>
          <w:lang w:val="en-US"/>
        </w:rPr>
        <w:t>C</w:t>
      </w:r>
      <w:r w:rsidR="00DD159F" w:rsidRPr="00711135">
        <w:rPr>
          <w:rFonts w:ascii="Arial" w:hAnsi="Arial"/>
          <w:sz w:val="24"/>
          <w:szCs w:val="24"/>
          <w:lang w:val="en-US"/>
        </w:rPr>
        <w:t xml:space="preserve">ourt without </w:t>
      </w:r>
      <w:r w:rsidR="00CB0521" w:rsidRPr="00711135">
        <w:rPr>
          <w:rFonts w:ascii="Arial" w:hAnsi="Arial"/>
          <w:sz w:val="24"/>
          <w:szCs w:val="24"/>
          <w:lang w:val="en-US"/>
        </w:rPr>
        <w:t xml:space="preserve">paying </w:t>
      </w:r>
      <w:r w:rsidR="00DD159F" w:rsidRPr="00711135">
        <w:rPr>
          <w:rFonts w:ascii="Arial" w:hAnsi="Arial"/>
          <w:sz w:val="24"/>
          <w:szCs w:val="24"/>
          <w:lang w:val="en-US"/>
        </w:rPr>
        <w:t xml:space="preserve">due regard to the </w:t>
      </w:r>
      <w:r w:rsidR="00F5362B" w:rsidRPr="00711135">
        <w:rPr>
          <w:rFonts w:ascii="Arial" w:hAnsi="Arial"/>
          <w:sz w:val="24"/>
          <w:szCs w:val="24"/>
          <w:lang w:val="en-US"/>
        </w:rPr>
        <w:t xml:space="preserve">rule regulating the important issue of provision for </w:t>
      </w:r>
      <w:r w:rsidR="00CB0521" w:rsidRPr="00711135">
        <w:rPr>
          <w:rFonts w:ascii="Arial" w:hAnsi="Arial"/>
          <w:sz w:val="24"/>
          <w:szCs w:val="24"/>
          <w:lang w:val="en-US"/>
        </w:rPr>
        <w:t xml:space="preserve">the </w:t>
      </w:r>
      <w:r w:rsidR="00DD159F" w:rsidRPr="00711135">
        <w:rPr>
          <w:rFonts w:ascii="Arial" w:hAnsi="Arial"/>
          <w:sz w:val="24"/>
          <w:szCs w:val="24"/>
          <w:lang w:val="en-US"/>
        </w:rPr>
        <w:t>respondent</w:t>
      </w:r>
      <w:r w:rsidR="00F5362B" w:rsidRPr="00711135">
        <w:rPr>
          <w:rFonts w:ascii="Arial" w:hAnsi="Arial"/>
          <w:sz w:val="24"/>
          <w:szCs w:val="24"/>
          <w:lang w:val="en-US"/>
        </w:rPr>
        <w:t>s’</w:t>
      </w:r>
      <w:r w:rsidR="00DD159F" w:rsidRPr="00711135">
        <w:rPr>
          <w:rFonts w:ascii="Arial" w:hAnsi="Arial"/>
          <w:sz w:val="24"/>
          <w:szCs w:val="24"/>
          <w:lang w:val="en-US"/>
        </w:rPr>
        <w:t xml:space="preserve"> costs</w:t>
      </w:r>
      <w:r w:rsidR="00F5362B" w:rsidRPr="00711135">
        <w:rPr>
          <w:rFonts w:ascii="Arial" w:hAnsi="Arial"/>
          <w:sz w:val="24"/>
          <w:szCs w:val="24"/>
          <w:lang w:val="en-US"/>
        </w:rPr>
        <w:t xml:space="preserve"> on appeal, even in an instance where the application to be released from that obligation failed in the court below</w:t>
      </w:r>
      <w:r w:rsidR="00DD159F" w:rsidRPr="00711135">
        <w:rPr>
          <w:rFonts w:ascii="Arial" w:hAnsi="Arial"/>
          <w:sz w:val="24"/>
          <w:szCs w:val="24"/>
          <w:lang w:val="en-US"/>
        </w:rPr>
        <w:t xml:space="preserve">. </w:t>
      </w:r>
      <w:r w:rsidR="007D16F6" w:rsidRPr="00711135">
        <w:rPr>
          <w:rFonts w:ascii="Arial" w:hAnsi="Arial"/>
          <w:sz w:val="24"/>
          <w:szCs w:val="24"/>
          <w:lang w:val="en-US"/>
        </w:rPr>
        <w:t>In those circumstances, there</w:t>
      </w:r>
      <w:r w:rsidR="00204588" w:rsidRPr="00711135">
        <w:rPr>
          <w:rFonts w:ascii="Arial" w:hAnsi="Arial"/>
          <w:sz w:val="24"/>
          <w:szCs w:val="24"/>
          <w:lang w:val="en-US"/>
        </w:rPr>
        <w:t xml:space="preserve"> is no </w:t>
      </w:r>
      <w:r w:rsidR="007D16F6" w:rsidRPr="00711135">
        <w:rPr>
          <w:rFonts w:ascii="Arial" w:hAnsi="Arial"/>
          <w:sz w:val="24"/>
          <w:szCs w:val="24"/>
          <w:lang w:val="en-US"/>
        </w:rPr>
        <w:t xml:space="preserve">justification to depart from the </w:t>
      </w:r>
      <w:r w:rsidR="006A2BC2" w:rsidRPr="00711135">
        <w:rPr>
          <w:rFonts w:ascii="Arial" w:hAnsi="Arial"/>
          <w:sz w:val="24"/>
          <w:szCs w:val="24"/>
          <w:lang w:val="en-US"/>
        </w:rPr>
        <w:t xml:space="preserve">general rule that costs </w:t>
      </w:r>
      <w:r w:rsidR="00204588" w:rsidRPr="00711135">
        <w:rPr>
          <w:rFonts w:ascii="Arial" w:hAnsi="Arial"/>
          <w:sz w:val="24"/>
          <w:szCs w:val="24"/>
          <w:lang w:val="en-US"/>
        </w:rPr>
        <w:t xml:space="preserve">follow the </w:t>
      </w:r>
      <w:r w:rsidR="006A2BC2" w:rsidRPr="00711135">
        <w:rPr>
          <w:rFonts w:ascii="Arial" w:hAnsi="Arial"/>
          <w:sz w:val="24"/>
          <w:szCs w:val="24"/>
          <w:lang w:val="en-US"/>
        </w:rPr>
        <w:t>event.</w:t>
      </w:r>
    </w:p>
    <w:p w14:paraId="7042CCE2" w14:textId="77777777" w:rsidR="009C6979" w:rsidRDefault="009C6979" w:rsidP="009C6979">
      <w:pPr>
        <w:pStyle w:val="ListParagraph"/>
        <w:rPr>
          <w:rFonts w:ascii="Arial" w:hAnsi="Arial" w:cs="Arial"/>
          <w:sz w:val="24"/>
          <w:szCs w:val="24"/>
        </w:rPr>
      </w:pPr>
    </w:p>
    <w:p w14:paraId="2584BC91" w14:textId="77777777" w:rsidR="009C6979" w:rsidRPr="00711135" w:rsidRDefault="009C6979" w:rsidP="009C6979">
      <w:pPr>
        <w:spacing w:after="0" w:line="480" w:lineRule="auto"/>
        <w:jc w:val="both"/>
        <w:rPr>
          <w:rFonts w:ascii="Arial" w:hAnsi="Arial" w:cs="Arial"/>
          <w:sz w:val="24"/>
          <w:szCs w:val="24"/>
        </w:rPr>
      </w:pPr>
    </w:p>
    <w:p w14:paraId="30246A47" w14:textId="0D7B6A4A" w:rsidR="00AE0F18" w:rsidRPr="00711135" w:rsidRDefault="00AE0F18">
      <w:pPr>
        <w:spacing w:after="0" w:line="480" w:lineRule="auto"/>
        <w:jc w:val="both"/>
        <w:rPr>
          <w:rFonts w:ascii="Arial" w:hAnsi="Arial" w:cs="Arial"/>
          <w:sz w:val="24"/>
          <w:szCs w:val="24"/>
          <w:u w:val="single"/>
        </w:rPr>
      </w:pPr>
      <w:r w:rsidRPr="00711135">
        <w:rPr>
          <w:rFonts w:ascii="Arial" w:hAnsi="Arial" w:cs="Arial"/>
          <w:sz w:val="24"/>
          <w:szCs w:val="24"/>
          <w:u w:val="single"/>
        </w:rPr>
        <w:lastRenderedPageBreak/>
        <w:t>Order</w:t>
      </w:r>
    </w:p>
    <w:p w14:paraId="3D5951AB" w14:textId="1FCC94CF" w:rsidR="00F117C6" w:rsidRPr="00711135" w:rsidRDefault="008C3C27" w:rsidP="008C3C27">
      <w:pPr>
        <w:spacing w:after="0" w:line="480" w:lineRule="auto"/>
        <w:jc w:val="both"/>
        <w:rPr>
          <w:rFonts w:ascii="Arial" w:hAnsi="Arial" w:cs="Arial"/>
          <w:sz w:val="24"/>
          <w:szCs w:val="24"/>
        </w:rPr>
      </w:pPr>
      <w:r w:rsidRPr="00711135">
        <w:rPr>
          <w:rFonts w:ascii="Arial" w:hAnsi="Arial" w:cs="Arial"/>
          <w:sz w:val="24"/>
          <w:szCs w:val="24"/>
        </w:rPr>
        <w:t>[34]</w:t>
      </w:r>
      <w:r w:rsidRPr="00711135">
        <w:rPr>
          <w:rFonts w:ascii="Arial" w:hAnsi="Arial" w:cs="Arial"/>
          <w:sz w:val="24"/>
          <w:szCs w:val="24"/>
        </w:rPr>
        <w:tab/>
      </w:r>
      <w:r w:rsidR="006A2BC2" w:rsidRPr="00711135">
        <w:rPr>
          <w:rFonts w:ascii="Arial" w:hAnsi="Arial" w:cs="Arial"/>
          <w:sz w:val="24"/>
          <w:szCs w:val="24"/>
        </w:rPr>
        <w:t>In the result, t</w:t>
      </w:r>
      <w:r w:rsidR="00F117C6" w:rsidRPr="00711135">
        <w:rPr>
          <w:rFonts w:ascii="Arial" w:hAnsi="Arial" w:cs="Arial"/>
          <w:sz w:val="24"/>
          <w:szCs w:val="24"/>
        </w:rPr>
        <w:t>he following order is made:</w:t>
      </w:r>
    </w:p>
    <w:p w14:paraId="547BDBB8" w14:textId="77777777" w:rsidR="00A328C5" w:rsidRPr="00711135" w:rsidRDefault="00A328C5" w:rsidP="00DD335B">
      <w:pPr>
        <w:spacing w:after="0" w:line="480" w:lineRule="auto"/>
        <w:jc w:val="both"/>
        <w:rPr>
          <w:rFonts w:ascii="Arial" w:hAnsi="Arial" w:cs="Arial"/>
          <w:sz w:val="24"/>
          <w:szCs w:val="24"/>
        </w:rPr>
      </w:pPr>
    </w:p>
    <w:p w14:paraId="7444F2E2" w14:textId="196DAE83" w:rsidR="0050378F" w:rsidRPr="008C3C27" w:rsidRDefault="008C3C27" w:rsidP="008C3C27">
      <w:pPr>
        <w:spacing w:after="0" w:line="480" w:lineRule="auto"/>
        <w:ind w:left="1260" w:hanging="540"/>
        <w:jc w:val="both"/>
        <w:rPr>
          <w:rFonts w:ascii="Arial" w:hAnsi="Arial" w:cs="Arial"/>
          <w:sz w:val="24"/>
          <w:szCs w:val="24"/>
        </w:rPr>
      </w:pPr>
      <w:r w:rsidRPr="00711135">
        <w:rPr>
          <w:rFonts w:ascii="Arial" w:hAnsi="Arial" w:cs="Arial"/>
          <w:sz w:val="24"/>
          <w:szCs w:val="24"/>
        </w:rPr>
        <w:t>(a)</w:t>
      </w:r>
      <w:r w:rsidRPr="00711135">
        <w:rPr>
          <w:rFonts w:ascii="Arial" w:hAnsi="Arial" w:cs="Arial"/>
          <w:sz w:val="24"/>
          <w:szCs w:val="24"/>
        </w:rPr>
        <w:tab/>
      </w:r>
      <w:r w:rsidR="0050378F" w:rsidRPr="008C3C27">
        <w:rPr>
          <w:rFonts w:ascii="Arial" w:hAnsi="Arial" w:cs="Arial"/>
          <w:sz w:val="24"/>
          <w:szCs w:val="24"/>
        </w:rPr>
        <w:t>T</w:t>
      </w:r>
      <w:r w:rsidR="00AE0F18" w:rsidRPr="008C3C27">
        <w:rPr>
          <w:rFonts w:ascii="Arial" w:hAnsi="Arial" w:cs="Arial"/>
          <w:sz w:val="24"/>
          <w:szCs w:val="24"/>
        </w:rPr>
        <w:t xml:space="preserve">he applications for condonation for the late filing of the record of </w:t>
      </w:r>
      <w:r w:rsidR="00FD3FA0" w:rsidRPr="008C3C27">
        <w:rPr>
          <w:rFonts w:ascii="Arial" w:hAnsi="Arial" w:cs="Arial"/>
          <w:sz w:val="24"/>
          <w:szCs w:val="24"/>
        </w:rPr>
        <w:t xml:space="preserve">proceedings in the High Court in </w:t>
      </w:r>
      <w:r w:rsidR="00AE0F18" w:rsidRPr="008C3C27">
        <w:rPr>
          <w:rFonts w:ascii="Arial" w:hAnsi="Arial" w:cs="Arial"/>
          <w:sz w:val="24"/>
          <w:szCs w:val="24"/>
        </w:rPr>
        <w:t>the lapsed appeals under Case SA 56/2020, Case SA 43/2021 and Case SA 44/2021 are dismissed.</w:t>
      </w:r>
    </w:p>
    <w:p w14:paraId="013BA184" w14:textId="77777777" w:rsidR="00CD0741" w:rsidRPr="00711135" w:rsidRDefault="00CD0741" w:rsidP="00DD335B">
      <w:pPr>
        <w:pStyle w:val="ListParagraph"/>
        <w:spacing w:after="0" w:line="480" w:lineRule="auto"/>
        <w:ind w:left="1260" w:hanging="540"/>
        <w:jc w:val="both"/>
        <w:rPr>
          <w:rFonts w:ascii="Arial" w:hAnsi="Arial" w:cs="Arial"/>
          <w:sz w:val="24"/>
          <w:szCs w:val="24"/>
        </w:rPr>
      </w:pPr>
    </w:p>
    <w:p w14:paraId="3425FAC0" w14:textId="05103DC2" w:rsidR="00AE0F18" w:rsidRPr="00711135" w:rsidRDefault="008C3C27" w:rsidP="008C3C27">
      <w:pPr>
        <w:spacing w:after="0" w:line="480" w:lineRule="auto"/>
        <w:ind w:left="1260" w:hanging="540"/>
        <w:jc w:val="both"/>
        <w:rPr>
          <w:rFonts w:ascii="Arial" w:hAnsi="Arial" w:cs="Arial"/>
          <w:sz w:val="24"/>
          <w:szCs w:val="24"/>
        </w:rPr>
      </w:pPr>
      <w:r w:rsidRPr="00711135">
        <w:rPr>
          <w:rFonts w:ascii="Arial" w:hAnsi="Arial" w:cs="Arial"/>
          <w:sz w:val="24"/>
          <w:szCs w:val="24"/>
        </w:rPr>
        <w:t>(b)</w:t>
      </w:r>
      <w:r w:rsidRPr="00711135">
        <w:rPr>
          <w:rFonts w:ascii="Arial" w:hAnsi="Arial" w:cs="Arial"/>
          <w:sz w:val="24"/>
          <w:szCs w:val="24"/>
        </w:rPr>
        <w:tab/>
      </w:r>
      <w:r w:rsidR="0050378F" w:rsidRPr="00711135">
        <w:rPr>
          <w:rFonts w:ascii="Arial" w:hAnsi="Arial" w:cs="Arial"/>
          <w:sz w:val="24"/>
          <w:szCs w:val="24"/>
        </w:rPr>
        <w:t>The applications for the applicant</w:t>
      </w:r>
      <w:r w:rsidR="003813FA" w:rsidRPr="00711135">
        <w:rPr>
          <w:rFonts w:ascii="Arial" w:hAnsi="Arial" w:cs="Arial"/>
          <w:sz w:val="24"/>
          <w:szCs w:val="24"/>
        </w:rPr>
        <w:t xml:space="preserve">’s release </w:t>
      </w:r>
      <w:r w:rsidR="0050378F" w:rsidRPr="00711135">
        <w:rPr>
          <w:rFonts w:ascii="Arial" w:hAnsi="Arial" w:cs="Arial"/>
          <w:sz w:val="24"/>
          <w:szCs w:val="24"/>
        </w:rPr>
        <w:t xml:space="preserve">from the obligation to </w:t>
      </w:r>
      <w:proofErr w:type="gramStart"/>
      <w:r w:rsidR="0050378F" w:rsidRPr="00711135">
        <w:rPr>
          <w:rFonts w:ascii="Arial" w:hAnsi="Arial" w:cs="Arial"/>
          <w:sz w:val="24"/>
          <w:szCs w:val="24"/>
        </w:rPr>
        <w:t>enter into</w:t>
      </w:r>
      <w:proofErr w:type="gramEnd"/>
      <w:r w:rsidR="0050378F" w:rsidRPr="00711135">
        <w:rPr>
          <w:rFonts w:ascii="Arial" w:hAnsi="Arial" w:cs="Arial"/>
          <w:sz w:val="24"/>
          <w:szCs w:val="24"/>
        </w:rPr>
        <w:t xml:space="preserve"> good and sufficient security for the respondents’ costs of appeal in Case </w:t>
      </w:r>
      <w:r w:rsidR="00F117C6" w:rsidRPr="00711135">
        <w:rPr>
          <w:rFonts w:ascii="Arial" w:hAnsi="Arial" w:cs="Arial"/>
          <w:sz w:val="24"/>
          <w:szCs w:val="24"/>
        </w:rPr>
        <w:t xml:space="preserve">SA </w:t>
      </w:r>
      <w:r w:rsidR="0050378F" w:rsidRPr="00711135">
        <w:rPr>
          <w:rFonts w:ascii="Arial" w:hAnsi="Arial" w:cs="Arial"/>
          <w:sz w:val="24"/>
          <w:szCs w:val="24"/>
        </w:rPr>
        <w:t xml:space="preserve">56/2020 and Case </w:t>
      </w:r>
      <w:r w:rsidR="00F117C6" w:rsidRPr="00711135">
        <w:rPr>
          <w:rFonts w:ascii="Arial" w:hAnsi="Arial" w:cs="Arial"/>
          <w:sz w:val="24"/>
          <w:szCs w:val="24"/>
        </w:rPr>
        <w:t xml:space="preserve">SA </w:t>
      </w:r>
      <w:r w:rsidR="0050378F" w:rsidRPr="00711135">
        <w:rPr>
          <w:rFonts w:ascii="Arial" w:hAnsi="Arial" w:cs="Arial"/>
          <w:sz w:val="24"/>
          <w:szCs w:val="24"/>
        </w:rPr>
        <w:t xml:space="preserve">44/2021 is </w:t>
      </w:r>
      <w:r w:rsidR="00FD3FA0" w:rsidRPr="00711135">
        <w:rPr>
          <w:rFonts w:ascii="Arial" w:hAnsi="Arial" w:cs="Arial"/>
          <w:sz w:val="24"/>
          <w:szCs w:val="24"/>
        </w:rPr>
        <w:t>refused</w:t>
      </w:r>
      <w:r w:rsidR="0050378F" w:rsidRPr="00711135">
        <w:rPr>
          <w:rFonts w:ascii="Arial" w:hAnsi="Arial" w:cs="Arial"/>
          <w:sz w:val="24"/>
          <w:szCs w:val="24"/>
        </w:rPr>
        <w:t xml:space="preserve">. </w:t>
      </w:r>
      <w:r w:rsidR="00AE0F18" w:rsidRPr="00711135">
        <w:rPr>
          <w:rFonts w:ascii="Arial" w:hAnsi="Arial" w:cs="Arial"/>
          <w:sz w:val="24"/>
          <w:szCs w:val="24"/>
        </w:rPr>
        <w:t xml:space="preserve"> </w:t>
      </w:r>
    </w:p>
    <w:p w14:paraId="64CC0647" w14:textId="77777777" w:rsidR="00CD0741" w:rsidRPr="00711135" w:rsidRDefault="00CD0741" w:rsidP="00DD335B">
      <w:pPr>
        <w:pStyle w:val="ListParagraph"/>
        <w:spacing w:after="0"/>
        <w:ind w:left="1260" w:hanging="540"/>
        <w:rPr>
          <w:rFonts w:ascii="Arial" w:hAnsi="Arial" w:cs="Arial"/>
          <w:sz w:val="24"/>
          <w:szCs w:val="24"/>
        </w:rPr>
      </w:pPr>
    </w:p>
    <w:p w14:paraId="2479B89F" w14:textId="4C30BEB0" w:rsidR="00AE0F18" w:rsidRPr="00711135" w:rsidRDefault="008C3C27" w:rsidP="008C3C27">
      <w:pPr>
        <w:spacing w:after="0" w:line="480" w:lineRule="auto"/>
        <w:ind w:left="1260" w:hanging="540"/>
        <w:jc w:val="both"/>
        <w:rPr>
          <w:rFonts w:ascii="Arial" w:hAnsi="Arial" w:cs="Arial"/>
          <w:sz w:val="24"/>
          <w:szCs w:val="24"/>
        </w:rPr>
      </w:pPr>
      <w:r w:rsidRPr="00711135">
        <w:rPr>
          <w:rFonts w:ascii="Arial" w:hAnsi="Arial" w:cs="Arial"/>
          <w:sz w:val="24"/>
          <w:szCs w:val="24"/>
        </w:rPr>
        <w:t>(c)</w:t>
      </w:r>
      <w:r w:rsidRPr="00711135">
        <w:rPr>
          <w:rFonts w:ascii="Arial" w:hAnsi="Arial" w:cs="Arial"/>
          <w:sz w:val="24"/>
          <w:szCs w:val="24"/>
        </w:rPr>
        <w:tab/>
      </w:r>
      <w:r w:rsidR="00AE0F18" w:rsidRPr="00711135">
        <w:rPr>
          <w:rFonts w:ascii="Arial" w:hAnsi="Arial" w:cs="Arial"/>
          <w:sz w:val="24"/>
          <w:szCs w:val="24"/>
        </w:rPr>
        <w:t xml:space="preserve">No order as to costs under Case SA 56/2020 </w:t>
      </w:r>
      <w:r w:rsidR="0050378F" w:rsidRPr="00711135">
        <w:rPr>
          <w:rFonts w:ascii="Arial" w:hAnsi="Arial" w:cs="Arial"/>
          <w:sz w:val="24"/>
          <w:szCs w:val="24"/>
        </w:rPr>
        <w:t xml:space="preserve">is made. </w:t>
      </w:r>
    </w:p>
    <w:p w14:paraId="329740F3" w14:textId="77777777" w:rsidR="00CD0741" w:rsidRPr="00711135" w:rsidRDefault="00CD0741" w:rsidP="00DD335B">
      <w:pPr>
        <w:spacing w:after="0" w:line="480" w:lineRule="auto"/>
        <w:ind w:left="1260" w:hanging="540"/>
        <w:jc w:val="both"/>
        <w:rPr>
          <w:rFonts w:ascii="Arial" w:hAnsi="Arial" w:cs="Arial"/>
          <w:sz w:val="24"/>
          <w:szCs w:val="24"/>
        </w:rPr>
      </w:pPr>
    </w:p>
    <w:p w14:paraId="6605C53B" w14:textId="45118539" w:rsidR="008B6DD2" w:rsidRPr="00711135" w:rsidRDefault="008C3C27" w:rsidP="008C3C27">
      <w:pPr>
        <w:spacing w:after="0" w:line="480" w:lineRule="auto"/>
        <w:ind w:left="1260" w:hanging="540"/>
        <w:jc w:val="both"/>
        <w:rPr>
          <w:rFonts w:ascii="Arial" w:hAnsi="Arial" w:cs="Arial"/>
          <w:sz w:val="24"/>
          <w:szCs w:val="24"/>
        </w:rPr>
      </w:pPr>
      <w:r w:rsidRPr="00711135">
        <w:rPr>
          <w:rFonts w:ascii="Arial" w:hAnsi="Arial" w:cs="Arial"/>
          <w:sz w:val="24"/>
          <w:szCs w:val="24"/>
        </w:rPr>
        <w:t>(d)</w:t>
      </w:r>
      <w:r w:rsidRPr="00711135">
        <w:rPr>
          <w:rFonts w:ascii="Arial" w:hAnsi="Arial" w:cs="Arial"/>
          <w:sz w:val="24"/>
          <w:szCs w:val="24"/>
        </w:rPr>
        <w:tab/>
      </w:r>
      <w:r w:rsidR="00AE0F18" w:rsidRPr="00711135">
        <w:rPr>
          <w:rFonts w:ascii="Arial" w:hAnsi="Arial" w:cs="Arial"/>
          <w:sz w:val="24"/>
          <w:szCs w:val="24"/>
        </w:rPr>
        <w:t>The applicant is ordered to pay the respondents’ costs under Case SA</w:t>
      </w:r>
      <w:r w:rsidR="0050378F" w:rsidRPr="00711135">
        <w:rPr>
          <w:rFonts w:ascii="Arial" w:hAnsi="Arial" w:cs="Arial"/>
          <w:sz w:val="24"/>
          <w:szCs w:val="24"/>
        </w:rPr>
        <w:t xml:space="preserve"> 43/2021 and </w:t>
      </w:r>
      <w:r w:rsidR="00CD0741" w:rsidRPr="00711135">
        <w:rPr>
          <w:rFonts w:ascii="Arial" w:hAnsi="Arial" w:cs="Arial"/>
          <w:sz w:val="24"/>
          <w:szCs w:val="24"/>
        </w:rPr>
        <w:t>Case SA</w:t>
      </w:r>
      <w:r w:rsidR="0050378F" w:rsidRPr="00711135">
        <w:rPr>
          <w:rFonts w:ascii="Arial" w:hAnsi="Arial" w:cs="Arial"/>
          <w:sz w:val="24"/>
          <w:szCs w:val="24"/>
        </w:rPr>
        <w:t xml:space="preserve"> </w:t>
      </w:r>
      <w:r w:rsidR="00AE0F18" w:rsidRPr="00711135">
        <w:rPr>
          <w:rFonts w:ascii="Arial" w:hAnsi="Arial" w:cs="Arial"/>
          <w:sz w:val="24"/>
          <w:szCs w:val="24"/>
        </w:rPr>
        <w:t xml:space="preserve">44/2021.  </w:t>
      </w:r>
      <w:r w:rsidR="00C27125">
        <w:rPr>
          <w:rFonts w:ascii="Arial" w:hAnsi="Arial" w:cs="Arial"/>
          <w:sz w:val="24"/>
          <w:szCs w:val="24"/>
        </w:rPr>
        <w:t>In respect of Case 44/2021, s</w:t>
      </w:r>
      <w:r w:rsidR="00164BDC">
        <w:rPr>
          <w:rFonts w:ascii="Arial" w:hAnsi="Arial" w:cs="Arial"/>
          <w:sz w:val="24"/>
          <w:szCs w:val="24"/>
        </w:rPr>
        <w:t>uch co</w:t>
      </w:r>
      <w:r w:rsidR="00787B79">
        <w:rPr>
          <w:rFonts w:ascii="Arial" w:hAnsi="Arial" w:cs="Arial"/>
          <w:sz w:val="24"/>
          <w:szCs w:val="24"/>
        </w:rPr>
        <w:t>s</w:t>
      </w:r>
      <w:r w:rsidR="00164BDC">
        <w:rPr>
          <w:rFonts w:ascii="Arial" w:hAnsi="Arial" w:cs="Arial"/>
          <w:sz w:val="24"/>
          <w:szCs w:val="24"/>
        </w:rPr>
        <w:t>ts to include the costs of one instructed and one instructing legal practitioner.</w:t>
      </w:r>
    </w:p>
    <w:p w14:paraId="78759B79" w14:textId="77777777" w:rsidR="00F117C6" w:rsidRPr="00711135" w:rsidRDefault="00F117C6">
      <w:pPr>
        <w:spacing w:after="0" w:line="240" w:lineRule="auto"/>
        <w:rPr>
          <w:rFonts w:ascii="Arial" w:hAnsi="Arial" w:cs="Arial"/>
          <w:b/>
          <w:sz w:val="24"/>
          <w:szCs w:val="24"/>
        </w:rPr>
      </w:pPr>
    </w:p>
    <w:p w14:paraId="38BBD9D6" w14:textId="77777777" w:rsidR="008B6DD2" w:rsidRPr="00711135" w:rsidRDefault="008B6DD2">
      <w:pPr>
        <w:spacing w:after="0" w:line="240" w:lineRule="auto"/>
        <w:rPr>
          <w:rFonts w:ascii="Arial" w:hAnsi="Arial" w:cs="Arial"/>
          <w:b/>
          <w:sz w:val="24"/>
          <w:szCs w:val="24"/>
        </w:rPr>
      </w:pPr>
    </w:p>
    <w:p w14:paraId="19A0BFFC" w14:textId="77777777" w:rsidR="008B6DD2" w:rsidRPr="00711135" w:rsidRDefault="008B6DD2">
      <w:pPr>
        <w:spacing w:after="0" w:line="276" w:lineRule="auto"/>
        <w:jc w:val="both"/>
        <w:rPr>
          <w:rFonts w:ascii="Arial" w:hAnsi="Arial" w:cs="Arial"/>
          <w:b/>
          <w:sz w:val="24"/>
          <w:szCs w:val="24"/>
        </w:rPr>
      </w:pPr>
      <w:r w:rsidRPr="00711135">
        <w:rPr>
          <w:rFonts w:ascii="Arial" w:hAnsi="Arial" w:cs="Arial"/>
          <w:b/>
          <w:sz w:val="24"/>
          <w:szCs w:val="24"/>
        </w:rPr>
        <w:t>__________________</w:t>
      </w:r>
    </w:p>
    <w:p w14:paraId="46F1E6D6" w14:textId="77777777" w:rsidR="008B6DD2" w:rsidRPr="00711135" w:rsidRDefault="007A15D6">
      <w:pPr>
        <w:spacing w:after="0" w:line="240" w:lineRule="auto"/>
        <w:jc w:val="both"/>
        <w:rPr>
          <w:rFonts w:ascii="Arial" w:hAnsi="Arial" w:cs="Arial"/>
          <w:b/>
          <w:sz w:val="24"/>
          <w:szCs w:val="24"/>
        </w:rPr>
      </w:pPr>
      <w:r w:rsidRPr="00711135">
        <w:rPr>
          <w:rFonts w:ascii="Arial" w:hAnsi="Arial" w:cs="Arial"/>
          <w:b/>
          <w:sz w:val="24"/>
          <w:szCs w:val="24"/>
        </w:rPr>
        <w:t>SHIVUTE CJ</w:t>
      </w:r>
    </w:p>
    <w:p w14:paraId="493173BD" w14:textId="77777777" w:rsidR="008B6DD2" w:rsidRDefault="008B6DD2">
      <w:pPr>
        <w:spacing w:after="0" w:line="240" w:lineRule="auto"/>
        <w:jc w:val="both"/>
        <w:rPr>
          <w:rFonts w:ascii="Arial" w:hAnsi="Arial" w:cs="Arial"/>
          <w:b/>
          <w:sz w:val="24"/>
          <w:szCs w:val="24"/>
        </w:rPr>
      </w:pPr>
    </w:p>
    <w:p w14:paraId="1F345AAA" w14:textId="77777777" w:rsidR="00F117C6" w:rsidRPr="00711135" w:rsidRDefault="00F117C6">
      <w:pPr>
        <w:spacing w:after="0" w:line="240" w:lineRule="auto"/>
        <w:jc w:val="both"/>
        <w:rPr>
          <w:rFonts w:ascii="Arial" w:hAnsi="Arial" w:cs="Arial"/>
          <w:b/>
          <w:sz w:val="24"/>
          <w:szCs w:val="24"/>
        </w:rPr>
      </w:pPr>
    </w:p>
    <w:p w14:paraId="6A876BBF" w14:textId="52DA63D2" w:rsidR="008B6DD2" w:rsidRPr="00711135" w:rsidRDefault="008B6DD2">
      <w:pPr>
        <w:spacing w:after="0" w:line="240" w:lineRule="auto"/>
        <w:jc w:val="both"/>
        <w:rPr>
          <w:rFonts w:ascii="Arial" w:hAnsi="Arial" w:cs="Arial"/>
          <w:b/>
          <w:sz w:val="24"/>
          <w:szCs w:val="24"/>
        </w:rPr>
      </w:pPr>
      <w:r w:rsidRPr="00711135">
        <w:rPr>
          <w:rFonts w:ascii="Arial" w:hAnsi="Arial" w:cs="Arial"/>
          <w:b/>
          <w:sz w:val="24"/>
          <w:szCs w:val="24"/>
        </w:rPr>
        <w:t>__________________</w:t>
      </w:r>
    </w:p>
    <w:p w14:paraId="683D71A0" w14:textId="4F090234" w:rsidR="007A15D6" w:rsidRPr="00711135" w:rsidRDefault="007A15D6">
      <w:pPr>
        <w:spacing w:after="0" w:line="240" w:lineRule="auto"/>
        <w:jc w:val="both"/>
        <w:rPr>
          <w:rFonts w:ascii="Arial" w:hAnsi="Arial" w:cs="Arial"/>
          <w:b/>
          <w:sz w:val="24"/>
          <w:szCs w:val="24"/>
        </w:rPr>
      </w:pPr>
      <w:r w:rsidRPr="00711135">
        <w:rPr>
          <w:rFonts w:ascii="Arial" w:hAnsi="Arial" w:cs="Arial"/>
          <w:b/>
          <w:sz w:val="24"/>
          <w:szCs w:val="24"/>
        </w:rPr>
        <w:t>SMUTS JA</w:t>
      </w:r>
    </w:p>
    <w:p w14:paraId="15F616A8" w14:textId="3623F494" w:rsidR="00B13F46" w:rsidRDefault="00B13F46">
      <w:pPr>
        <w:spacing w:after="0" w:line="240" w:lineRule="auto"/>
        <w:jc w:val="both"/>
        <w:rPr>
          <w:noProof/>
          <w:lang w:eastAsia="en-ZA"/>
        </w:rPr>
      </w:pPr>
    </w:p>
    <w:p w14:paraId="1C6AB2F3" w14:textId="77777777" w:rsidR="00173FC5" w:rsidRDefault="00173FC5">
      <w:pPr>
        <w:spacing w:after="0" w:line="240" w:lineRule="auto"/>
        <w:jc w:val="both"/>
        <w:rPr>
          <w:noProof/>
          <w:lang w:eastAsia="en-ZA"/>
        </w:rPr>
      </w:pPr>
    </w:p>
    <w:p w14:paraId="324B6180" w14:textId="77777777" w:rsidR="00173FC5" w:rsidRDefault="00173FC5">
      <w:pPr>
        <w:spacing w:after="0" w:line="240" w:lineRule="auto"/>
        <w:jc w:val="both"/>
        <w:rPr>
          <w:rFonts w:ascii="Arial" w:hAnsi="Arial" w:cs="Arial"/>
          <w:b/>
          <w:sz w:val="24"/>
          <w:szCs w:val="24"/>
        </w:rPr>
      </w:pPr>
    </w:p>
    <w:p w14:paraId="25409D60" w14:textId="1CCFEC4C" w:rsidR="008B6DD2" w:rsidRPr="00711135" w:rsidRDefault="008B6DD2">
      <w:pPr>
        <w:spacing w:after="0" w:line="240" w:lineRule="auto"/>
        <w:jc w:val="both"/>
        <w:rPr>
          <w:rFonts w:ascii="Arial" w:hAnsi="Arial" w:cs="Arial"/>
          <w:b/>
          <w:sz w:val="24"/>
          <w:szCs w:val="24"/>
        </w:rPr>
      </w:pPr>
      <w:r w:rsidRPr="00711135">
        <w:rPr>
          <w:rFonts w:ascii="Arial" w:hAnsi="Arial" w:cs="Arial"/>
          <w:b/>
          <w:sz w:val="24"/>
          <w:szCs w:val="24"/>
        </w:rPr>
        <w:t>__________________</w:t>
      </w:r>
    </w:p>
    <w:p w14:paraId="4B723DCA" w14:textId="2C8D707C" w:rsidR="00286AA4" w:rsidRPr="00711135" w:rsidRDefault="007A15D6" w:rsidP="00DD335B">
      <w:pPr>
        <w:spacing w:after="0" w:line="240" w:lineRule="auto"/>
        <w:jc w:val="both"/>
        <w:rPr>
          <w:rFonts w:ascii="Arial" w:hAnsi="Arial" w:cs="Arial"/>
          <w:sz w:val="24"/>
          <w:szCs w:val="24"/>
        </w:rPr>
      </w:pPr>
      <w:r w:rsidRPr="00711135">
        <w:rPr>
          <w:rFonts w:ascii="Arial" w:hAnsi="Arial" w:cs="Arial"/>
          <w:b/>
          <w:sz w:val="24"/>
          <w:szCs w:val="24"/>
        </w:rPr>
        <w:t>FRANK AJA</w:t>
      </w:r>
    </w:p>
    <w:p w14:paraId="79E0442C" w14:textId="77777777" w:rsidR="00286AA4" w:rsidRPr="00711135" w:rsidRDefault="00286AA4">
      <w:pPr>
        <w:spacing w:after="0" w:line="240" w:lineRule="auto"/>
        <w:jc w:val="right"/>
        <w:rPr>
          <w:rFonts w:ascii="Arial" w:hAnsi="Arial" w:cs="Arial"/>
          <w:sz w:val="24"/>
          <w:szCs w:val="24"/>
        </w:rPr>
      </w:pPr>
    </w:p>
    <w:p w14:paraId="6FB59E3F" w14:textId="0AFB9A4F" w:rsidR="009C6979" w:rsidRDefault="009C6979">
      <w:pPr>
        <w:rPr>
          <w:rFonts w:ascii="Arial" w:eastAsia="Times New Roman" w:hAnsi="Arial" w:cs="Arial"/>
          <w:sz w:val="24"/>
          <w:szCs w:val="24"/>
          <w:lang w:val="en-GB"/>
        </w:rPr>
      </w:pPr>
    </w:p>
    <w:p w14:paraId="0757AB58" w14:textId="3B3808C7" w:rsidR="001E6BE8" w:rsidRPr="00711135" w:rsidRDefault="001E6BE8">
      <w:pPr>
        <w:autoSpaceDE w:val="0"/>
        <w:autoSpaceDN w:val="0"/>
        <w:adjustRightInd w:val="0"/>
        <w:spacing w:after="0" w:line="480" w:lineRule="auto"/>
        <w:jc w:val="both"/>
        <w:rPr>
          <w:rFonts w:ascii="Arial" w:eastAsia="Times New Roman" w:hAnsi="Arial" w:cs="Arial"/>
          <w:sz w:val="24"/>
          <w:szCs w:val="24"/>
          <w:lang w:val="en-GB"/>
        </w:rPr>
      </w:pPr>
      <w:r w:rsidRPr="00711135">
        <w:rPr>
          <w:rFonts w:ascii="Arial" w:eastAsia="Times New Roman" w:hAnsi="Arial" w:cs="Arial"/>
          <w:sz w:val="24"/>
          <w:szCs w:val="24"/>
          <w:lang w:val="en-GB"/>
        </w:rPr>
        <w:lastRenderedPageBreak/>
        <w:t>APPEARANCES</w:t>
      </w:r>
      <w:r w:rsidR="00487F14" w:rsidRPr="00711135">
        <w:rPr>
          <w:rFonts w:ascii="Arial" w:eastAsia="Times New Roman" w:hAnsi="Arial" w:cs="Arial"/>
          <w:sz w:val="24"/>
          <w:szCs w:val="24"/>
          <w:lang w:val="en-GB"/>
        </w:rPr>
        <w:t>:</w:t>
      </w:r>
    </w:p>
    <w:p w14:paraId="76EF267D" w14:textId="77777777" w:rsidR="008E5E22" w:rsidRPr="00711135" w:rsidRDefault="008E5E22">
      <w:pPr>
        <w:autoSpaceDE w:val="0"/>
        <w:autoSpaceDN w:val="0"/>
        <w:adjustRightInd w:val="0"/>
        <w:spacing w:after="0" w:line="480" w:lineRule="auto"/>
        <w:jc w:val="both"/>
        <w:rPr>
          <w:rFonts w:ascii="Arial" w:eastAsia="Times New Roman" w:hAnsi="Arial" w:cs="Arial"/>
          <w:sz w:val="24"/>
          <w:szCs w:val="24"/>
          <w:u w:val="single"/>
          <w:lang w:val="en-GB"/>
        </w:rPr>
      </w:pPr>
    </w:p>
    <w:p w14:paraId="49550BE3" w14:textId="4ACD467B" w:rsidR="001E6BE8" w:rsidRPr="00711135" w:rsidRDefault="00487F14">
      <w:pPr>
        <w:autoSpaceDE w:val="0"/>
        <w:autoSpaceDN w:val="0"/>
        <w:adjustRightInd w:val="0"/>
        <w:spacing w:after="0" w:line="480" w:lineRule="auto"/>
        <w:jc w:val="both"/>
        <w:rPr>
          <w:rFonts w:ascii="Arial" w:eastAsia="Times New Roman" w:hAnsi="Arial" w:cs="Arial"/>
          <w:sz w:val="24"/>
          <w:szCs w:val="24"/>
          <w:u w:val="single"/>
          <w:lang w:val="en-GB"/>
        </w:rPr>
      </w:pPr>
      <w:r w:rsidRPr="00711135">
        <w:rPr>
          <w:rFonts w:ascii="Arial" w:eastAsia="Times New Roman" w:hAnsi="Arial" w:cs="Arial"/>
          <w:sz w:val="24"/>
          <w:szCs w:val="24"/>
          <w:u w:val="single"/>
          <w:lang w:val="en-GB"/>
        </w:rPr>
        <w:t>In Case SA 56/2020</w:t>
      </w:r>
    </w:p>
    <w:tbl>
      <w:tblPr>
        <w:tblStyle w:val="TableGrid"/>
        <w:tblW w:w="9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85"/>
      </w:tblGrid>
      <w:tr w:rsidR="00711135" w:rsidRPr="00711135" w14:paraId="2A44D160" w14:textId="77777777" w:rsidTr="00711135">
        <w:tc>
          <w:tcPr>
            <w:tcW w:w="4536" w:type="dxa"/>
          </w:tcPr>
          <w:p w14:paraId="5EB5D0CA" w14:textId="77777777" w:rsidR="00711135" w:rsidRPr="00711135" w:rsidRDefault="00711135">
            <w:pPr>
              <w:autoSpaceDE w:val="0"/>
              <w:autoSpaceDN w:val="0"/>
              <w:adjustRightInd w:val="0"/>
              <w:spacing w:line="480" w:lineRule="auto"/>
              <w:ind w:left="-108"/>
              <w:jc w:val="both"/>
              <w:rPr>
                <w:rFonts w:ascii="Arial" w:eastAsia="Times New Roman" w:hAnsi="Arial" w:cs="Arial"/>
                <w:sz w:val="24"/>
                <w:szCs w:val="24"/>
                <w:lang w:val="en-GB"/>
              </w:rPr>
            </w:pPr>
            <w:r w:rsidRPr="00711135">
              <w:rPr>
                <w:rFonts w:ascii="Arial" w:eastAsia="Times New Roman" w:hAnsi="Arial" w:cs="Arial"/>
                <w:sz w:val="24"/>
                <w:szCs w:val="24"/>
                <w:lang w:val="en-GB"/>
              </w:rPr>
              <w:t>APPLICANT:</w:t>
            </w:r>
          </w:p>
        </w:tc>
        <w:tc>
          <w:tcPr>
            <w:tcW w:w="4585" w:type="dxa"/>
          </w:tcPr>
          <w:p w14:paraId="0017C09C" w14:textId="77777777" w:rsidR="00711135" w:rsidRPr="00711135" w:rsidRDefault="00711135">
            <w:pPr>
              <w:autoSpaceDE w:val="0"/>
              <w:autoSpaceDN w:val="0"/>
              <w:adjustRightInd w:val="0"/>
              <w:spacing w:line="480" w:lineRule="auto"/>
              <w:jc w:val="both"/>
              <w:rPr>
                <w:rFonts w:ascii="Arial" w:eastAsia="Times New Roman" w:hAnsi="Arial" w:cs="Arial"/>
                <w:sz w:val="24"/>
                <w:szCs w:val="24"/>
                <w:lang w:val="en-GB"/>
              </w:rPr>
            </w:pPr>
            <w:r w:rsidRPr="00711135">
              <w:rPr>
                <w:rFonts w:ascii="Arial" w:eastAsia="Times New Roman" w:hAnsi="Arial" w:cs="Arial"/>
                <w:sz w:val="24"/>
                <w:szCs w:val="24"/>
                <w:lang w:val="en-GB"/>
              </w:rPr>
              <w:t>In Person</w:t>
            </w:r>
          </w:p>
        </w:tc>
      </w:tr>
      <w:tr w:rsidR="00711135" w:rsidRPr="00711135" w14:paraId="1348614B" w14:textId="77777777" w:rsidTr="00711135">
        <w:tc>
          <w:tcPr>
            <w:tcW w:w="4536" w:type="dxa"/>
          </w:tcPr>
          <w:p w14:paraId="6C70F33E" w14:textId="77777777" w:rsidR="00711135" w:rsidRPr="00711135" w:rsidRDefault="00711135" w:rsidP="00CD0741">
            <w:pPr>
              <w:autoSpaceDE w:val="0"/>
              <w:autoSpaceDN w:val="0"/>
              <w:adjustRightInd w:val="0"/>
              <w:spacing w:line="480" w:lineRule="auto"/>
              <w:jc w:val="both"/>
              <w:rPr>
                <w:rFonts w:ascii="Arial" w:eastAsia="Times New Roman" w:hAnsi="Arial" w:cs="Arial"/>
                <w:sz w:val="24"/>
                <w:szCs w:val="24"/>
                <w:lang w:val="en-GB"/>
              </w:rPr>
            </w:pPr>
          </w:p>
        </w:tc>
        <w:tc>
          <w:tcPr>
            <w:tcW w:w="4585" w:type="dxa"/>
          </w:tcPr>
          <w:p w14:paraId="44307D6C" w14:textId="77777777" w:rsidR="00711135" w:rsidRPr="00711135" w:rsidRDefault="00711135">
            <w:pPr>
              <w:autoSpaceDE w:val="0"/>
              <w:autoSpaceDN w:val="0"/>
              <w:adjustRightInd w:val="0"/>
              <w:spacing w:line="480" w:lineRule="auto"/>
              <w:jc w:val="both"/>
              <w:rPr>
                <w:rFonts w:ascii="Arial" w:eastAsia="Times New Roman" w:hAnsi="Arial" w:cs="Arial"/>
                <w:sz w:val="24"/>
                <w:szCs w:val="24"/>
                <w:lang w:val="en-GB"/>
              </w:rPr>
            </w:pPr>
          </w:p>
        </w:tc>
      </w:tr>
      <w:tr w:rsidR="00711135" w:rsidRPr="00711135" w14:paraId="5699208D" w14:textId="77777777" w:rsidTr="00711135">
        <w:tc>
          <w:tcPr>
            <w:tcW w:w="4536" w:type="dxa"/>
          </w:tcPr>
          <w:p w14:paraId="5AC9318B" w14:textId="77777777" w:rsidR="00711135" w:rsidRPr="00711135" w:rsidRDefault="00711135" w:rsidP="00CD0741">
            <w:pPr>
              <w:autoSpaceDE w:val="0"/>
              <w:autoSpaceDN w:val="0"/>
              <w:adjustRightInd w:val="0"/>
              <w:spacing w:line="480" w:lineRule="auto"/>
              <w:ind w:left="-108"/>
              <w:jc w:val="both"/>
              <w:rPr>
                <w:rFonts w:ascii="Arial" w:eastAsia="Times New Roman" w:hAnsi="Arial" w:cs="Arial"/>
                <w:sz w:val="24"/>
                <w:szCs w:val="24"/>
                <w:lang w:val="en-GB"/>
              </w:rPr>
            </w:pPr>
            <w:r w:rsidRPr="00711135">
              <w:rPr>
                <w:rFonts w:ascii="Arial" w:eastAsia="Times New Roman" w:hAnsi="Arial" w:cs="Arial"/>
                <w:sz w:val="24"/>
                <w:szCs w:val="24"/>
                <w:lang w:val="en-GB"/>
              </w:rPr>
              <w:t>RESPONDENT:</w:t>
            </w:r>
          </w:p>
        </w:tc>
        <w:tc>
          <w:tcPr>
            <w:tcW w:w="4585" w:type="dxa"/>
          </w:tcPr>
          <w:p w14:paraId="737E7D48" w14:textId="3A23FB63" w:rsidR="00711135" w:rsidRPr="00711135" w:rsidRDefault="00711135">
            <w:pPr>
              <w:autoSpaceDE w:val="0"/>
              <w:autoSpaceDN w:val="0"/>
              <w:adjustRightInd w:val="0"/>
              <w:spacing w:line="480" w:lineRule="auto"/>
              <w:jc w:val="both"/>
              <w:rPr>
                <w:rFonts w:ascii="Arial" w:eastAsia="Times New Roman" w:hAnsi="Arial" w:cs="Arial"/>
                <w:sz w:val="24"/>
                <w:szCs w:val="24"/>
                <w:lang w:val="en-GB"/>
              </w:rPr>
            </w:pPr>
            <w:r w:rsidRPr="00711135">
              <w:rPr>
                <w:rFonts w:ascii="Arial" w:eastAsia="Times New Roman" w:hAnsi="Arial" w:cs="Arial"/>
                <w:sz w:val="24"/>
                <w:szCs w:val="24"/>
                <w:lang w:val="en-GB"/>
              </w:rPr>
              <w:t>Unopposed</w:t>
            </w:r>
          </w:p>
        </w:tc>
      </w:tr>
    </w:tbl>
    <w:p w14:paraId="1A1B38EF" w14:textId="77777777" w:rsidR="00711135" w:rsidRDefault="00711135" w:rsidP="00CD0741">
      <w:pPr>
        <w:spacing w:after="0" w:line="240" w:lineRule="auto"/>
        <w:rPr>
          <w:rFonts w:ascii="Arial" w:hAnsi="Arial" w:cs="Arial"/>
          <w:sz w:val="24"/>
          <w:szCs w:val="24"/>
          <w:u w:val="single"/>
        </w:rPr>
      </w:pPr>
    </w:p>
    <w:p w14:paraId="2163F9E6" w14:textId="77777777" w:rsidR="00711135" w:rsidRDefault="00711135" w:rsidP="00CD0741">
      <w:pPr>
        <w:spacing w:after="0" w:line="240" w:lineRule="auto"/>
        <w:rPr>
          <w:rFonts w:ascii="Arial" w:hAnsi="Arial" w:cs="Arial"/>
          <w:sz w:val="24"/>
          <w:szCs w:val="24"/>
          <w:u w:val="single"/>
        </w:rPr>
      </w:pPr>
    </w:p>
    <w:p w14:paraId="7A7A4C99" w14:textId="77777777" w:rsidR="00487F14" w:rsidRPr="00711135" w:rsidRDefault="00487F14" w:rsidP="00CD0741">
      <w:pPr>
        <w:spacing w:after="0" w:line="240" w:lineRule="auto"/>
        <w:rPr>
          <w:rFonts w:ascii="Arial" w:hAnsi="Arial" w:cs="Arial"/>
          <w:sz w:val="24"/>
          <w:szCs w:val="24"/>
          <w:u w:val="single"/>
        </w:rPr>
      </w:pPr>
      <w:r w:rsidRPr="00711135">
        <w:rPr>
          <w:rFonts w:ascii="Arial" w:hAnsi="Arial" w:cs="Arial"/>
          <w:sz w:val="24"/>
          <w:szCs w:val="24"/>
          <w:u w:val="single"/>
        </w:rPr>
        <w:t>In Case SA 43/2021</w:t>
      </w:r>
    </w:p>
    <w:p w14:paraId="4A92511A" w14:textId="77777777" w:rsidR="008B6DD2" w:rsidRPr="00711135" w:rsidRDefault="008B6DD2">
      <w:pPr>
        <w:autoSpaceDE w:val="0"/>
        <w:autoSpaceDN w:val="0"/>
        <w:adjustRightInd w:val="0"/>
        <w:spacing w:after="0" w:line="480" w:lineRule="auto"/>
        <w:jc w:val="both"/>
        <w:rPr>
          <w:rFonts w:ascii="Arial" w:eastAsia="Times New Roman" w:hAnsi="Arial"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8B6DD2" w:rsidRPr="00711135" w14:paraId="5D7D6DD6" w14:textId="77777777" w:rsidTr="00EB7C6F">
        <w:tc>
          <w:tcPr>
            <w:tcW w:w="4555" w:type="dxa"/>
          </w:tcPr>
          <w:p w14:paraId="6A3E398B" w14:textId="77777777" w:rsidR="008B6DD2" w:rsidRPr="00711135" w:rsidRDefault="008B6DD2">
            <w:pPr>
              <w:autoSpaceDE w:val="0"/>
              <w:autoSpaceDN w:val="0"/>
              <w:adjustRightInd w:val="0"/>
              <w:spacing w:line="480" w:lineRule="auto"/>
              <w:ind w:left="-108"/>
              <w:jc w:val="both"/>
              <w:rPr>
                <w:rFonts w:ascii="Arial" w:eastAsia="Times New Roman" w:hAnsi="Arial" w:cs="Arial"/>
                <w:sz w:val="24"/>
                <w:szCs w:val="24"/>
                <w:lang w:val="en-GB"/>
              </w:rPr>
            </w:pPr>
            <w:r w:rsidRPr="00711135">
              <w:rPr>
                <w:rFonts w:ascii="Arial" w:eastAsia="Times New Roman" w:hAnsi="Arial" w:cs="Arial"/>
                <w:sz w:val="24"/>
                <w:szCs w:val="24"/>
                <w:lang w:val="en-GB"/>
              </w:rPr>
              <w:t>APP</w:t>
            </w:r>
            <w:r w:rsidR="007A15D6" w:rsidRPr="00711135">
              <w:rPr>
                <w:rFonts w:ascii="Arial" w:eastAsia="Times New Roman" w:hAnsi="Arial" w:cs="Arial"/>
                <w:sz w:val="24"/>
                <w:szCs w:val="24"/>
                <w:lang w:val="en-GB"/>
              </w:rPr>
              <w:t>LICANT</w:t>
            </w:r>
            <w:r w:rsidRPr="00711135">
              <w:rPr>
                <w:rFonts w:ascii="Arial" w:eastAsia="Times New Roman" w:hAnsi="Arial" w:cs="Arial"/>
                <w:sz w:val="24"/>
                <w:szCs w:val="24"/>
                <w:lang w:val="en-GB"/>
              </w:rPr>
              <w:t>:</w:t>
            </w:r>
          </w:p>
        </w:tc>
        <w:tc>
          <w:tcPr>
            <w:tcW w:w="4556" w:type="dxa"/>
          </w:tcPr>
          <w:p w14:paraId="7032874C" w14:textId="77777777" w:rsidR="008B6DD2" w:rsidRPr="00711135" w:rsidRDefault="008B6DD2">
            <w:pPr>
              <w:autoSpaceDE w:val="0"/>
              <w:autoSpaceDN w:val="0"/>
              <w:adjustRightInd w:val="0"/>
              <w:spacing w:line="480" w:lineRule="auto"/>
              <w:jc w:val="both"/>
              <w:rPr>
                <w:rFonts w:ascii="Arial" w:eastAsia="Times New Roman" w:hAnsi="Arial" w:cs="Arial"/>
                <w:sz w:val="24"/>
                <w:szCs w:val="24"/>
                <w:lang w:val="en-GB"/>
              </w:rPr>
            </w:pPr>
            <w:r w:rsidRPr="00711135">
              <w:rPr>
                <w:rFonts w:ascii="Arial" w:eastAsia="Times New Roman" w:hAnsi="Arial" w:cs="Arial"/>
                <w:sz w:val="24"/>
                <w:szCs w:val="24"/>
                <w:lang w:val="en-GB"/>
              </w:rPr>
              <w:t>In Person</w:t>
            </w:r>
          </w:p>
        </w:tc>
      </w:tr>
      <w:tr w:rsidR="008B6DD2" w:rsidRPr="00711135" w14:paraId="4833E820" w14:textId="77777777" w:rsidTr="00EB7C6F">
        <w:tc>
          <w:tcPr>
            <w:tcW w:w="4555" w:type="dxa"/>
          </w:tcPr>
          <w:p w14:paraId="5DBF2731" w14:textId="77777777" w:rsidR="008B6DD2" w:rsidRPr="00711135" w:rsidRDefault="008B6DD2" w:rsidP="00CD0741">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094F7478" w14:textId="77777777" w:rsidR="008B6DD2" w:rsidRPr="00711135" w:rsidRDefault="008B6DD2" w:rsidP="008E5E22">
            <w:pPr>
              <w:autoSpaceDE w:val="0"/>
              <w:autoSpaceDN w:val="0"/>
              <w:adjustRightInd w:val="0"/>
              <w:spacing w:line="480" w:lineRule="auto"/>
              <w:jc w:val="both"/>
              <w:rPr>
                <w:rFonts w:ascii="Arial" w:eastAsia="Times New Roman" w:hAnsi="Arial" w:cs="Arial"/>
                <w:sz w:val="24"/>
                <w:szCs w:val="24"/>
                <w:lang w:val="en-GB"/>
              </w:rPr>
            </w:pPr>
          </w:p>
        </w:tc>
      </w:tr>
      <w:tr w:rsidR="008B6DD2" w:rsidRPr="00711135" w14:paraId="2AB073EE" w14:textId="77777777" w:rsidTr="00EB7C6F">
        <w:tc>
          <w:tcPr>
            <w:tcW w:w="4555" w:type="dxa"/>
          </w:tcPr>
          <w:p w14:paraId="0A5CE6E0" w14:textId="77777777" w:rsidR="008B6DD2" w:rsidRPr="00711135" w:rsidRDefault="008B6DD2" w:rsidP="00CD0741">
            <w:pPr>
              <w:autoSpaceDE w:val="0"/>
              <w:autoSpaceDN w:val="0"/>
              <w:adjustRightInd w:val="0"/>
              <w:spacing w:line="480" w:lineRule="auto"/>
              <w:ind w:left="-108"/>
              <w:jc w:val="both"/>
              <w:rPr>
                <w:rFonts w:ascii="Arial" w:eastAsia="Times New Roman" w:hAnsi="Arial" w:cs="Arial"/>
                <w:sz w:val="24"/>
                <w:szCs w:val="24"/>
                <w:lang w:val="en-GB"/>
              </w:rPr>
            </w:pPr>
            <w:r w:rsidRPr="00711135">
              <w:rPr>
                <w:rFonts w:ascii="Arial" w:eastAsia="Times New Roman" w:hAnsi="Arial" w:cs="Arial"/>
                <w:sz w:val="24"/>
                <w:szCs w:val="24"/>
                <w:lang w:val="en-GB"/>
              </w:rPr>
              <w:t>RESPONDENT</w:t>
            </w:r>
            <w:r w:rsidR="007A15D6" w:rsidRPr="00711135">
              <w:rPr>
                <w:rFonts w:ascii="Arial" w:eastAsia="Times New Roman" w:hAnsi="Arial" w:cs="Arial"/>
                <w:sz w:val="24"/>
                <w:szCs w:val="24"/>
                <w:lang w:val="en-GB"/>
              </w:rPr>
              <w:t>S</w:t>
            </w:r>
            <w:r w:rsidRPr="00711135">
              <w:rPr>
                <w:rFonts w:ascii="Arial" w:eastAsia="Times New Roman" w:hAnsi="Arial" w:cs="Arial"/>
                <w:sz w:val="24"/>
                <w:szCs w:val="24"/>
                <w:lang w:val="en-GB"/>
              </w:rPr>
              <w:t>:</w:t>
            </w:r>
          </w:p>
        </w:tc>
        <w:tc>
          <w:tcPr>
            <w:tcW w:w="4556" w:type="dxa"/>
          </w:tcPr>
          <w:p w14:paraId="2911CB49" w14:textId="47737132" w:rsidR="008B6DD2" w:rsidRPr="00711135" w:rsidRDefault="00C374F7" w:rsidP="00711135">
            <w:pPr>
              <w:autoSpaceDE w:val="0"/>
              <w:autoSpaceDN w:val="0"/>
              <w:adjustRightInd w:val="0"/>
              <w:spacing w:line="480" w:lineRule="auto"/>
              <w:jc w:val="both"/>
              <w:rPr>
                <w:rFonts w:ascii="Arial" w:eastAsia="Times New Roman" w:hAnsi="Arial" w:cs="Arial"/>
                <w:sz w:val="24"/>
                <w:szCs w:val="24"/>
                <w:lang w:val="en-GB"/>
              </w:rPr>
            </w:pPr>
            <w:r w:rsidRPr="00711135">
              <w:rPr>
                <w:rFonts w:ascii="Arial" w:eastAsia="Times New Roman" w:hAnsi="Arial" w:cs="Arial"/>
                <w:sz w:val="24"/>
                <w:szCs w:val="24"/>
                <w:lang w:val="en-GB"/>
              </w:rPr>
              <w:t>J Ncube</w:t>
            </w:r>
            <w:r w:rsidR="00012B06" w:rsidRPr="00711135">
              <w:rPr>
                <w:rFonts w:ascii="Arial" w:eastAsia="Times New Roman" w:hAnsi="Arial" w:cs="Arial"/>
                <w:sz w:val="24"/>
                <w:szCs w:val="24"/>
                <w:lang w:val="en-GB"/>
              </w:rPr>
              <w:t xml:space="preserve"> </w:t>
            </w:r>
          </w:p>
        </w:tc>
      </w:tr>
      <w:tr w:rsidR="008B6DD2" w:rsidRPr="00711135" w14:paraId="6E823067" w14:textId="77777777" w:rsidTr="00EB7C6F">
        <w:tc>
          <w:tcPr>
            <w:tcW w:w="4555" w:type="dxa"/>
          </w:tcPr>
          <w:p w14:paraId="4E5C4515" w14:textId="77777777" w:rsidR="008B6DD2" w:rsidRPr="00711135" w:rsidRDefault="008B6DD2" w:rsidP="00CD0741">
            <w:pPr>
              <w:autoSpaceDE w:val="0"/>
              <w:autoSpaceDN w:val="0"/>
              <w:adjustRightInd w:val="0"/>
              <w:spacing w:line="480" w:lineRule="auto"/>
              <w:ind w:left="-108"/>
              <w:jc w:val="both"/>
              <w:rPr>
                <w:rFonts w:ascii="Arial" w:eastAsia="Times New Roman" w:hAnsi="Arial" w:cs="Arial"/>
                <w:sz w:val="24"/>
                <w:szCs w:val="24"/>
                <w:lang w:val="en-GB"/>
              </w:rPr>
            </w:pPr>
          </w:p>
        </w:tc>
        <w:tc>
          <w:tcPr>
            <w:tcW w:w="4556" w:type="dxa"/>
          </w:tcPr>
          <w:p w14:paraId="44D30561" w14:textId="34CCD359" w:rsidR="008B6DD2" w:rsidRPr="00711135" w:rsidRDefault="00711135" w:rsidP="00CD0741">
            <w:pPr>
              <w:autoSpaceDE w:val="0"/>
              <w:autoSpaceDN w:val="0"/>
              <w:adjustRightInd w:val="0"/>
              <w:spacing w:line="480" w:lineRule="auto"/>
              <w:jc w:val="both"/>
              <w:rPr>
                <w:rFonts w:ascii="Arial" w:eastAsia="Times New Roman" w:hAnsi="Arial" w:cs="Arial"/>
                <w:sz w:val="24"/>
                <w:szCs w:val="24"/>
                <w:lang w:val="en-GB"/>
              </w:rPr>
            </w:pPr>
            <w:r>
              <w:rPr>
                <w:rFonts w:ascii="Arial" w:eastAsia="Times New Roman" w:hAnsi="Arial" w:cs="Arial"/>
                <w:sz w:val="24"/>
                <w:szCs w:val="24"/>
                <w:lang w:val="en-GB"/>
              </w:rPr>
              <w:t xml:space="preserve">The </w:t>
            </w:r>
            <w:r w:rsidR="00C374F7" w:rsidRPr="00711135">
              <w:rPr>
                <w:rFonts w:ascii="Arial" w:eastAsia="Times New Roman" w:hAnsi="Arial" w:cs="Arial"/>
                <w:sz w:val="24"/>
                <w:szCs w:val="24"/>
                <w:lang w:val="en-GB"/>
              </w:rPr>
              <w:t>Government Attorney</w:t>
            </w:r>
          </w:p>
        </w:tc>
      </w:tr>
    </w:tbl>
    <w:p w14:paraId="205266E4" w14:textId="77777777" w:rsidR="00AC2164" w:rsidRPr="00711135" w:rsidRDefault="00AC2164" w:rsidP="00CD0741">
      <w:pPr>
        <w:autoSpaceDE w:val="0"/>
        <w:autoSpaceDN w:val="0"/>
        <w:adjustRightInd w:val="0"/>
        <w:spacing w:after="0" w:line="480" w:lineRule="auto"/>
        <w:jc w:val="both"/>
        <w:rPr>
          <w:rFonts w:ascii="Arial" w:eastAsia="Times New Roman" w:hAnsi="Arial" w:cs="Arial"/>
          <w:sz w:val="24"/>
          <w:szCs w:val="24"/>
          <w:lang w:val="en-GB"/>
        </w:rPr>
      </w:pPr>
    </w:p>
    <w:p w14:paraId="144200B0" w14:textId="00F9C3EA" w:rsidR="00AC2164" w:rsidRPr="00711135" w:rsidRDefault="007D16F6" w:rsidP="00CD0741">
      <w:pPr>
        <w:autoSpaceDE w:val="0"/>
        <w:autoSpaceDN w:val="0"/>
        <w:adjustRightInd w:val="0"/>
        <w:spacing w:after="0" w:line="480" w:lineRule="auto"/>
        <w:jc w:val="both"/>
        <w:rPr>
          <w:rFonts w:ascii="Arial" w:eastAsia="Times New Roman" w:hAnsi="Arial" w:cs="Arial"/>
          <w:sz w:val="24"/>
          <w:szCs w:val="24"/>
          <w:u w:val="single"/>
          <w:lang w:val="en-GB"/>
        </w:rPr>
      </w:pPr>
      <w:r w:rsidRPr="00711135">
        <w:rPr>
          <w:rFonts w:ascii="Arial" w:eastAsia="Times New Roman" w:hAnsi="Arial" w:cs="Arial"/>
          <w:sz w:val="24"/>
          <w:szCs w:val="24"/>
          <w:u w:val="single"/>
          <w:lang w:val="en-GB"/>
        </w:rPr>
        <w:t>In Case SA 44/2021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56163A" w:rsidRPr="00711135" w14:paraId="7344ADD6" w14:textId="77777777" w:rsidTr="009F5B65">
        <w:tc>
          <w:tcPr>
            <w:tcW w:w="4555" w:type="dxa"/>
          </w:tcPr>
          <w:p w14:paraId="0AEAC0C8" w14:textId="77777777" w:rsidR="0056163A" w:rsidRPr="00711135" w:rsidRDefault="0056163A" w:rsidP="0056163A">
            <w:pPr>
              <w:spacing w:line="480" w:lineRule="auto"/>
              <w:jc w:val="both"/>
              <w:rPr>
                <w:rFonts w:ascii="Arial" w:hAnsi="Arial" w:cs="Arial"/>
                <w:sz w:val="24"/>
                <w:szCs w:val="24"/>
                <w:lang w:val="en-GB"/>
              </w:rPr>
            </w:pPr>
            <w:r w:rsidRPr="00711135">
              <w:rPr>
                <w:rFonts w:ascii="Arial" w:hAnsi="Arial" w:cs="Arial"/>
                <w:sz w:val="24"/>
                <w:szCs w:val="24"/>
                <w:lang w:val="en-GB"/>
              </w:rPr>
              <w:t>APPLICANT:</w:t>
            </w:r>
          </w:p>
        </w:tc>
        <w:tc>
          <w:tcPr>
            <w:tcW w:w="4556" w:type="dxa"/>
          </w:tcPr>
          <w:p w14:paraId="6AF27A24" w14:textId="77777777" w:rsidR="0056163A" w:rsidRPr="00711135" w:rsidRDefault="0056163A" w:rsidP="0056163A">
            <w:pPr>
              <w:spacing w:line="480" w:lineRule="auto"/>
              <w:jc w:val="both"/>
              <w:rPr>
                <w:rFonts w:ascii="Arial" w:hAnsi="Arial" w:cs="Arial"/>
                <w:sz w:val="24"/>
                <w:szCs w:val="24"/>
                <w:lang w:val="en-GB"/>
              </w:rPr>
            </w:pPr>
            <w:r w:rsidRPr="00711135">
              <w:rPr>
                <w:rFonts w:ascii="Arial" w:hAnsi="Arial" w:cs="Arial"/>
                <w:sz w:val="24"/>
                <w:szCs w:val="24"/>
                <w:lang w:val="en-GB"/>
              </w:rPr>
              <w:t>In Person</w:t>
            </w:r>
          </w:p>
        </w:tc>
      </w:tr>
      <w:tr w:rsidR="0056163A" w:rsidRPr="00711135" w14:paraId="15ABF518" w14:textId="77777777" w:rsidTr="009F5B65">
        <w:tc>
          <w:tcPr>
            <w:tcW w:w="4555" w:type="dxa"/>
          </w:tcPr>
          <w:p w14:paraId="5C94A214" w14:textId="77777777" w:rsidR="0056163A" w:rsidRPr="00711135" w:rsidRDefault="0056163A" w:rsidP="0056163A">
            <w:pPr>
              <w:spacing w:line="480" w:lineRule="auto"/>
              <w:jc w:val="both"/>
              <w:rPr>
                <w:rFonts w:ascii="Arial" w:hAnsi="Arial" w:cs="Arial"/>
                <w:sz w:val="24"/>
                <w:szCs w:val="24"/>
                <w:lang w:val="en-GB"/>
              </w:rPr>
            </w:pPr>
          </w:p>
        </w:tc>
        <w:tc>
          <w:tcPr>
            <w:tcW w:w="4556" w:type="dxa"/>
          </w:tcPr>
          <w:p w14:paraId="4D1ABC05" w14:textId="77777777" w:rsidR="0056163A" w:rsidRPr="00711135" w:rsidRDefault="0056163A" w:rsidP="0056163A">
            <w:pPr>
              <w:spacing w:line="480" w:lineRule="auto"/>
              <w:jc w:val="both"/>
              <w:rPr>
                <w:rFonts w:ascii="Arial" w:hAnsi="Arial" w:cs="Arial"/>
                <w:sz w:val="24"/>
                <w:szCs w:val="24"/>
                <w:lang w:val="en-GB"/>
              </w:rPr>
            </w:pPr>
          </w:p>
        </w:tc>
      </w:tr>
      <w:tr w:rsidR="0056163A" w:rsidRPr="00711135" w14:paraId="5ED481A7" w14:textId="77777777" w:rsidTr="009F5B65">
        <w:tc>
          <w:tcPr>
            <w:tcW w:w="4555" w:type="dxa"/>
          </w:tcPr>
          <w:p w14:paraId="00E65511" w14:textId="77777777" w:rsidR="0056163A" w:rsidRPr="00711135" w:rsidRDefault="0056163A" w:rsidP="0056163A">
            <w:pPr>
              <w:spacing w:line="480" w:lineRule="auto"/>
              <w:jc w:val="both"/>
              <w:rPr>
                <w:rFonts w:ascii="Arial" w:hAnsi="Arial" w:cs="Arial"/>
                <w:sz w:val="24"/>
                <w:szCs w:val="24"/>
                <w:lang w:val="en-GB"/>
              </w:rPr>
            </w:pPr>
            <w:r w:rsidRPr="00711135">
              <w:rPr>
                <w:rFonts w:ascii="Arial" w:hAnsi="Arial" w:cs="Arial"/>
                <w:sz w:val="24"/>
                <w:szCs w:val="24"/>
                <w:lang w:val="en-GB"/>
              </w:rPr>
              <w:t>RESPONDENTS:</w:t>
            </w:r>
          </w:p>
        </w:tc>
        <w:tc>
          <w:tcPr>
            <w:tcW w:w="4556" w:type="dxa"/>
          </w:tcPr>
          <w:p w14:paraId="1F5A1B42" w14:textId="4BF9C124" w:rsidR="0056163A" w:rsidRPr="00711135" w:rsidRDefault="00711135" w:rsidP="0056163A">
            <w:pPr>
              <w:spacing w:line="480" w:lineRule="auto"/>
              <w:jc w:val="both"/>
              <w:rPr>
                <w:rFonts w:ascii="Arial" w:hAnsi="Arial" w:cs="Arial"/>
                <w:sz w:val="24"/>
                <w:szCs w:val="24"/>
                <w:lang w:val="en-GB"/>
              </w:rPr>
            </w:pPr>
            <w:r>
              <w:rPr>
                <w:rFonts w:ascii="Arial" w:hAnsi="Arial" w:cs="Arial"/>
                <w:sz w:val="24"/>
                <w:szCs w:val="24"/>
                <w:lang w:val="en-GB"/>
              </w:rPr>
              <w:t>H</w:t>
            </w:r>
            <w:r w:rsidR="0056163A" w:rsidRPr="00711135">
              <w:rPr>
                <w:rFonts w:ascii="Arial" w:hAnsi="Arial" w:cs="Arial"/>
                <w:sz w:val="24"/>
                <w:szCs w:val="24"/>
                <w:lang w:val="en-GB"/>
              </w:rPr>
              <w:t xml:space="preserve"> Garbers-Kirsten </w:t>
            </w:r>
          </w:p>
        </w:tc>
      </w:tr>
      <w:tr w:rsidR="0056163A" w:rsidRPr="0056163A" w14:paraId="4E69839F" w14:textId="77777777" w:rsidTr="009F5B65">
        <w:tc>
          <w:tcPr>
            <w:tcW w:w="4555" w:type="dxa"/>
          </w:tcPr>
          <w:p w14:paraId="197EBE5F" w14:textId="77777777" w:rsidR="0056163A" w:rsidRPr="00711135" w:rsidRDefault="0056163A" w:rsidP="0056163A">
            <w:pPr>
              <w:spacing w:line="480" w:lineRule="auto"/>
              <w:jc w:val="both"/>
              <w:rPr>
                <w:rFonts w:ascii="Arial" w:hAnsi="Arial" w:cs="Arial"/>
                <w:sz w:val="24"/>
                <w:szCs w:val="24"/>
                <w:lang w:val="en-GB"/>
              </w:rPr>
            </w:pPr>
          </w:p>
        </w:tc>
        <w:tc>
          <w:tcPr>
            <w:tcW w:w="4556" w:type="dxa"/>
          </w:tcPr>
          <w:p w14:paraId="2E5A0473" w14:textId="5629E58C" w:rsidR="0056163A" w:rsidRPr="0056163A" w:rsidRDefault="0056163A" w:rsidP="0056163A">
            <w:pPr>
              <w:spacing w:line="480" w:lineRule="auto"/>
              <w:jc w:val="both"/>
              <w:rPr>
                <w:rFonts w:ascii="Arial" w:hAnsi="Arial" w:cs="Arial"/>
                <w:sz w:val="24"/>
                <w:szCs w:val="24"/>
                <w:lang w:val="en-GB"/>
              </w:rPr>
            </w:pPr>
            <w:r w:rsidRPr="00711135">
              <w:rPr>
                <w:rFonts w:ascii="Arial" w:hAnsi="Arial" w:cs="Arial"/>
                <w:sz w:val="24"/>
                <w:szCs w:val="24"/>
                <w:lang w:val="en-GB"/>
              </w:rPr>
              <w:t>Instructed by K</w:t>
            </w:r>
            <w:r w:rsidRPr="00711135">
              <w:rPr>
                <w:rFonts w:ascii="Arial" w:hAnsi="Arial" w:cs="Arial"/>
                <w:sz w:val="24"/>
                <w:szCs w:val="24"/>
              </w:rPr>
              <w:t>ö</w:t>
            </w:r>
            <w:proofErr w:type="spellStart"/>
            <w:r w:rsidRPr="00711135">
              <w:rPr>
                <w:rFonts w:ascii="Arial" w:hAnsi="Arial" w:cs="Arial"/>
                <w:sz w:val="24"/>
                <w:szCs w:val="24"/>
                <w:lang w:val="en-GB"/>
              </w:rPr>
              <w:t>pplinger</w:t>
            </w:r>
            <w:proofErr w:type="spellEnd"/>
            <w:r w:rsidRPr="00711135">
              <w:rPr>
                <w:rFonts w:ascii="Arial" w:hAnsi="Arial" w:cs="Arial"/>
                <w:sz w:val="24"/>
                <w:szCs w:val="24"/>
                <w:lang w:val="en-GB"/>
              </w:rPr>
              <w:t xml:space="preserve"> </w:t>
            </w:r>
            <w:proofErr w:type="spellStart"/>
            <w:r w:rsidRPr="00711135">
              <w:rPr>
                <w:rFonts w:ascii="Arial" w:hAnsi="Arial" w:cs="Arial"/>
                <w:sz w:val="24"/>
                <w:szCs w:val="24"/>
                <w:lang w:val="en-GB"/>
              </w:rPr>
              <w:t>Boltman</w:t>
            </w:r>
            <w:proofErr w:type="spellEnd"/>
            <w:r w:rsidRPr="00711135">
              <w:rPr>
                <w:rFonts w:ascii="Arial" w:hAnsi="Arial" w:cs="Arial"/>
                <w:sz w:val="24"/>
                <w:szCs w:val="24"/>
                <w:lang w:val="en-GB"/>
              </w:rPr>
              <w:t xml:space="preserve"> Legal Practitioners</w:t>
            </w:r>
          </w:p>
        </w:tc>
      </w:tr>
    </w:tbl>
    <w:p w14:paraId="4891E661" w14:textId="1129C802" w:rsidR="007D16F6" w:rsidRPr="007D16F6" w:rsidRDefault="007D16F6">
      <w:pPr>
        <w:spacing w:after="0" w:line="480" w:lineRule="auto"/>
        <w:jc w:val="both"/>
        <w:rPr>
          <w:rFonts w:ascii="Arial" w:hAnsi="Arial" w:cs="Arial"/>
          <w:sz w:val="24"/>
          <w:szCs w:val="24"/>
        </w:rPr>
      </w:pPr>
    </w:p>
    <w:sectPr w:rsidR="007D16F6" w:rsidRPr="007D16F6" w:rsidSect="00DD335B">
      <w:headerReference w:type="even" r:id="rId12"/>
      <w:headerReference w:type="default" r:id="rId13"/>
      <w:pgSz w:w="12240" w:h="15840" w:code="1"/>
      <w:pgMar w:top="1701" w:right="1418" w:bottom="1276"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294" w14:textId="77777777" w:rsidR="001F332E" w:rsidRDefault="001F332E" w:rsidP="008B6DD2">
      <w:pPr>
        <w:spacing w:after="0" w:line="240" w:lineRule="auto"/>
      </w:pPr>
      <w:r>
        <w:separator/>
      </w:r>
    </w:p>
  </w:endnote>
  <w:endnote w:type="continuationSeparator" w:id="0">
    <w:p w14:paraId="704D6929" w14:textId="77777777" w:rsidR="001F332E" w:rsidRDefault="001F332E" w:rsidP="008B6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03D96" w14:textId="77777777" w:rsidR="001F332E" w:rsidRDefault="001F332E" w:rsidP="008B6DD2">
      <w:pPr>
        <w:spacing w:after="0" w:line="240" w:lineRule="auto"/>
      </w:pPr>
      <w:r>
        <w:separator/>
      </w:r>
    </w:p>
  </w:footnote>
  <w:footnote w:type="continuationSeparator" w:id="0">
    <w:p w14:paraId="4DE60E50" w14:textId="77777777" w:rsidR="001F332E" w:rsidRDefault="001F332E" w:rsidP="008B6DD2">
      <w:pPr>
        <w:spacing w:after="0" w:line="240" w:lineRule="auto"/>
      </w:pPr>
      <w:r>
        <w:continuationSeparator/>
      </w:r>
    </w:p>
  </w:footnote>
  <w:footnote w:id="1">
    <w:p w14:paraId="78127D9A" w14:textId="23E64B5F" w:rsidR="00A2315E" w:rsidRPr="00A2315E" w:rsidRDefault="00A2315E">
      <w:pPr>
        <w:pStyle w:val="FootnoteText"/>
        <w:rPr>
          <w:rFonts w:ascii="Arial" w:hAnsi="Arial" w:cs="Arial"/>
          <w:lang w:val="en-US"/>
        </w:rPr>
      </w:pPr>
      <w:r w:rsidRPr="00A2315E">
        <w:rPr>
          <w:rStyle w:val="FootnoteReference"/>
          <w:rFonts w:ascii="Arial" w:hAnsi="Arial" w:cs="Arial"/>
        </w:rPr>
        <w:footnoteRef/>
      </w:r>
      <w:r w:rsidRPr="00A2315E">
        <w:rPr>
          <w:rFonts w:ascii="Arial" w:hAnsi="Arial" w:cs="Arial"/>
        </w:rPr>
        <w:t xml:space="preserve"> </w:t>
      </w:r>
      <w:r w:rsidRPr="00A2315E">
        <w:rPr>
          <w:rFonts w:ascii="Arial" w:hAnsi="Arial" w:cs="Arial"/>
          <w:i/>
          <w:lang w:val="en-US"/>
        </w:rPr>
        <w:t>Shikongo &amp; another v Lee’s Investment (Pty) Ltd</w:t>
      </w:r>
      <w:r w:rsidRPr="00A2315E">
        <w:rPr>
          <w:rFonts w:ascii="Arial" w:hAnsi="Arial" w:cs="Arial"/>
          <w:lang w:val="en-US"/>
        </w:rPr>
        <w:t xml:space="preserve"> 2022 (4) NR 1171 (SC).</w:t>
      </w:r>
    </w:p>
  </w:footnote>
  <w:footnote w:id="2">
    <w:p w14:paraId="40F1E8DF" w14:textId="50CFF4C3" w:rsidR="00E132C8" w:rsidRPr="00E132C8" w:rsidRDefault="00E132C8" w:rsidP="00DD335B">
      <w:pPr>
        <w:pStyle w:val="FootnoteText"/>
        <w:jc w:val="both"/>
      </w:pPr>
      <w:r>
        <w:rPr>
          <w:rStyle w:val="FootnoteReference"/>
        </w:rPr>
        <w:footnoteRef/>
      </w:r>
      <w:r>
        <w:t xml:space="preserve"> </w:t>
      </w:r>
      <w:r w:rsidRPr="008A5B7E">
        <w:rPr>
          <w:rFonts w:ascii="Arial" w:hAnsi="Arial" w:cs="Arial"/>
        </w:rPr>
        <w:t>Such as</w:t>
      </w:r>
      <w:r>
        <w:t xml:space="preserve"> </w:t>
      </w:r>
      <w:r w:rsidRPr="009337EB">
        <w:rPr>
          <w:rFonts w:ascii="Arial" w:hAnsi="Arial" w:cs="Arial"/>
          <w:i/>
        </w:rPr>
        <w:t>Road Fund Administration v S</w:t>
      </w:r>
      <w:r w:rsidR="00164BDC">
        <w:rPr>
          <w:rFonts w:ascii="Arial" w:hAnsi="Arial" w:cs="Arial"/>
          <w:i/>
        </w:rPr>
        <w:t>k</w:t>
      </w:r>
      <w:r w:rsidRPr="009337EB">
        <w:rPr>
          <w:rFonts w:ascii="Arial" w:hAnsi="Arial" w:cs="Arial"/>
          <w:i/>
        </w:rPr>
        <w:t>orpion Mining Company</w:t>
      </w:r>
      <w:r>
        <w:rPr>
          <w:rFonts w:ascii="Arial" w:hAnsi="Arial" w:cs="Arial"/>
          <w:i/>
        </w:rPr>
        <w:t xml:space="preserve"> (Pty) Ltd</w:t>
      </w:r>
      <w:r w:rsidRPr="009337EB">
        <w:rPr>
          <w:rFonts w:ascii="Arial" w:hAnsi="Arial" w:cs="Arial"/>
          <w:i/>
        </w:rPr>
        <w:t xml:space="preserve"> </w:t>
      </w:r>
      <w:r>
        <w:rPr>
          <w:rFonts w:ascii="Arial" w:hAnsi="Arial" w:cs="Arial"/>
        </w:rPr>
        <w:t xml:space="preserve">2018 (3) NR 829 (SC) paras 2-3 and more recently </w:t>
      </w:r>
      <w:r w:rsidRPr="00E132C8">
        <w:rPr>
          <w:rFonts w:ascii="Arial" w:hAnsi="Arial" w:cs="Arial"/>
        </w:rPr>
        <w:t>in</w:t>
      </w:r>
      <w:r w:rsidRPr="00425165">
        <w:rPr>
          <w:rFonts w:ascii="Arial" w:hAnsi="Arial" w:cs="Arial"/>
          <w:i/>
        </w:rPr>
        <w:t xml:space="preserve"> Namrights Inc v Government of Namibia </w:t>
      </w:r>
      <w:r w:rsidR="008A5B7E">
        <w:rPr>
          <w:rFonts w:ascii="Arial" w:hAnsi="Arial" w:cs="Arial"/>
          <w:i/>
        </w:rPr>
        <w:t>&amp;</w:t>
      </w:r>
      <w:r w:rsidRPr="00425165">
        <w:rPr>
          <w:rFonts w:ascii="Arial" w:hAnsi="Arial" w:cs="Arial"/>
          <w:i/>
        </w:rPr>
        <w:t xml:space="preserve"> 18 others</w:t>
      </w:r>
      <w:r w:rsidRPr="00425165">
        <w:rPr>
          <w:rFonts w:ascii="Arial" w:hAnsi="Arial" w:cs="Arial"/>
        </w:rPr>
        <w:t xml:space="preserve"> (SA 87-2019) [2023</w:t>
      </w:r>
      <w:r w:rsidR="00A34DC9">
        <w:rPr>
          <w:rFonts w:ascii="Arial" w:hAnsi="Arial" w:cs="Arial"/>
        </w:rPr>
        <w:t>]</w:t>
      </w:r>
      <w:r w:rsidRPr="00425165">
        <w:rPr>
          <w:rFonts w:ascii="Arial" w:hAnsi="Arial" w:cs="Arial"/>
        </w:rPr>
        <w:t xml:space="preserve"> NASC (28 April 2023)</w:t>
      </w:r>
      <w:r>
        <w:rPr>
          <w:rFonts w:ascii="Arial" w:hAnsi="Arial" w:cs="Arial"/>
        </w:rPr>
        <w:t xml:space="preserve">. </w:t>
      </w:r>
    </w:p>
  </w:footnote>
  <w:footnote w:id="3">
    <w:p w14:paraId="2DD2C10E" w14:textId="4B841845" w:rsidR="00F117C6" w:rsidRPr="009337EB" w:rsidRDefault="00F117C6" w:rsidP="00C70BB6">
      <w:pPr>
        <w:pStyle w:val="FootnoteText"/>
        <w:jc w:val="both"/>
        <w:rPr>
          <w:rFonts w:ascii="Arial" w:hAnsi="Arial" w:cs="Arial"/>
          <w:i/>
        </w:rPr>
      </w:pPr>
      <w:r w:rsidRPr="009337EB">
        <w:rPr>
          <w:rStyle w:val="FootnoteReference"/>
          <w:rFonts w:ascii="Arial" w:hAnsi="Arial" w:cs="Arial"/>
        </w:rPr>
        <w:footnoteRef/>
      </w:r>
      <w:r w:rsidRPr="009337EB">
        <w:rPr>
          <w:rFonts w:ascii="Arial" w:hAnsi="Arial" w:cs="Arial"/>
        </w:rPr>
        <w:t xml:space="preserve"> </w:t>
      </w:r>
      <w:r w:rsidRPr="009337EB">
        <w:rPr>
          <w:rFonts w:ascii="Arial" w:hAnsi="Arial" w:cs="Arial"/>
          <w:i/>
        </w:rPr>
        <w:t xml:space="preserve">Katjaimo v Katjaimo &amp; others </w:t>
      </w:r>
      <w:r w:rsidRPr="009337EB">
        <w:rPr>
          <w:rFonts w:ascii="Arial" w:hAnsi="Arial" w:cs="Arial"/>
        </w:rPr>
        <w:t xml:space="preserve">2015 (2) NR 340 (SC) para 34 and as applied in </w:t>
      </w:r>
      <w:r w:rsidRPr="009337EB">
        <w:rPr>
          <w:rFonts w:ascii="Arial" w:hAnsi="Arial" w:cs="Arial"/>
          <w:i/>
        </w:rPr>
        <w:t xml:space="preserve">Tweya &amp; others v Herbert &amp; others </w:t>
      </w:r>
      <w:r w:rsidRPr="009337EB">
        <w:rPr>
          <w:rFonts w:ascii="Arial" w:hAnsi="Arial" w:cs="Arial"/>
        </w:rPr>
        <w:t>(SA 76</w:t>
      </w:r>
      <w:r w:rsidR="004D40EE">
        <w:rPr>
          <w:rFonts w:ascii="Arial" w:hAnsi="Arial" w:cs="Arial"/>
        </w:rPr>
        <w:t>-</w:t>
      </w:r>
      <w:r w:rsidRPr="009337EB">
        <w:rPr>
          <w:rFonts w:ascii="Arial" w:hAnsi="Arial" w:cs="Arial"/>
        </w:rPr>
        <w:t>2014) [2016] NASC (6 July 2016)</w:t>
      </w:r>
      <w:r w:rsidR="008A5B7E">
        <w:rPr>
          <w:rFonts w:ascii="Arial" w:hAnsi="Arial" w:cs="Arial"/>
        </w:rPr>
        <w:t xml:space="preserve"> and more recently in </w:t>
      </w:r>
      <w:r w:rsidR="008A5B7E" w:rsidRPr="008A5B7E">
        <w:rPr>
          <w:rFonts w:ascii="Arial" w:hAnsi="Arial" w:cs="Arial"/>
          <w:i/>
        </w:rPr>
        <w:t>De Klerk v Pende</w:t>
      </w:r>
      <w:r w:rsidR="00A34DC9">
        <w:rPr>
          <w:rFonts w:ascii="Arial" w:hAnsi="Arial" w:cs="Arial"/>
          <w:i/>
        </w:rPr>
        <w:t>r</w:t>
      </w:r>
      <w:r w:rsidR="008A5B7E" w:rsidRPr="008A5B7E">
        <w:rPr>
          <w:rFonts w:ascii="Arial" w:hAnsi="Arial" w:cs="Arial"/>
          <w:i/>
        </w:rPr>
        <w:t>is</w:t>
      </w:r>
      <w:r w:rsidR="00A34DC9">
        <w:rPr>
          <w:rFonts w:ascii="Arial" w:hAnsi="Arial" w:cs="Arial"/>
          <w:i/>
        </w:rPr>
        <w:t xml:space="preserve"> </w:t>
      </w:r>
      <w:r w:rsidR="004D40EE">
        <w:rPr>
          <w:rFonts w:ascii="Arial" w:hAnsi="Arial" w:cs="Arial"/>
          <w:i/>
        </w:rPr>
        <w:t xml:space="preserve">NO </w:t>
      </w:r>
      <w:r w:rsidR="004D40EE" w:rsidRPr="004D40EE">
        <w:rPr>
          <w:rFonts w:ascii="Arial" w:hAnsi="Arial" w:cs="Arial"/>
        </w:rPr>
        <w:t>(SA</w:t>
      </w:r>
      <w:r w:rsidR="004D40EE">
        <w:rPr>
          <w:rFonts w:ascii="Arial" w:hAnsi="Arial" w:cs="Arial"/>
        </w:rPr>
        <w:t xml:space="preserve"> </w:t>
      </w:r>
      <w:r w:rsidR="004D40EE" w:rsidRPr="004D40EE">
        <w:rPr>
          <w:rFonts w:ascii="Arial" w:hAnsi="Arial" w:cs="Arial"/>
        </w:rPr>
        <w:t>76-2020</w:t>
      </w:r>
      <w:r w:rsidR="00FF3ABA">
        <w:rPr>
          <w:rFonts w:ascii="Arial" w:hAnsi="Arial" w:cs="Arial"/>
        </w:rPr>
        <w:t>)</w:t>
      </w:r>
      <w:r w:rsidR="004D40EE" w:rsidRPr="004D40EE">
        <w:rPr>
          <w:rFonts w:ascii="Arial" w:hAnsi="Arial" w:cs="Arial"/>
        </w:rPr>
        <w:t xml:space="preserve"> [2023] NASC (1 March 2023)</w:t>
      </w:r>
      <w:r w:rsidR="00FF3ABA">
        <w:rPr>
          <w:rFonts w:ascii="Arial" w:hAnsi="Arial" w:cs="Arial"/>
        </w:rPr>
        <w:t>.</w:t>
      </w:r>
    </w:p>
  </w:footnote>
  <w:footnote w:id="4">
    <w:p w14:paraId="65C8851D" w14:textId="702E0564" w:rsidR="00FD3FA0" w:rsidRPr="00FD3FA0" w:rsidRDefault="00FD3FA0">
      <w:pPr>
        <w:pStyle w:val="FootnoteText"/>
        <w:rPr>
          <w:rFonts w:ascii="Arial" w:hAnsi="Arial" w:cs="Arial"/>
          <w:lang w:val="en-US"/>
        </w:rPr>
      </w:pPr>
      <w:r w:rsidRPr="00FD3FA0">
        <w:rPr>
          <w:rStyle w:val="FootnoteReference"/>
          <w:rFonts w:ascii="Arial" w:hAnsi="Arial" w:cs="Arial"/>
        </w:rPr>
        <w:footnoteRef/>
      </w:r>
      <w:r w:rsidRPr="00FD3FA0">
        <w:rPr>
          <w:rFonts w:ascii="Arial" w:hAnsi="Arial" w:cs="Arial"/>
        </w:rPr>
        <w:t xml:space="preserve"> </w:t>
      </w:r>
      <w:r w:rsidRPr="00FD3FA0">
        <w:rPr>
          <w:rFonts w:ascii="Arial" w:hAnsi="Arial" w:cs="Arial"/>
          <w:i/>
          <w:lang w:val="en-US"/>
        </w:rPr>
        <w:t>Metropolitan Bank of Zimbabwe Ltd &amp; another v Bank of Namibia</w:t>
      </w:r>
      <w:r w:rsidRPr="00FD3FA0">
        <w:rPr>
          <w:rFonts w:ascii="Arial" w:hAnsi="Arial" w:cs="Arial"/>
          <w:lang w:val="en-US"/>
        </w:rPr>
        <w:t xml:space="preserve"> 2018 (4) NR 1115 (SC).</w:t>
      </w:r>
    </w:p>
  </w:footnote>
  <w:footnote w:id="5">
    <w:p w14:paraId="0DE25306" w14:textId="2D9FE119" w:rsidR="00FD3FA0" w:rsidRPr="00CB0521" w:rsidRDefault="00FD3FA0">
      <w:pPr>
        <w:pStyle w:val="FootnoteText"/>
        <w:rPr>
          <w:rFonts w:ascii="Arial" w:hAnsi="Arial" w:cs="Arial"/>
          <w:lang w:val="en-US"/>
        </w:rPr>
      </w:pPr>
      <w:r w:rsidRPr="00CB0521">
        <w:rPr>
          <w:rStyle w:val="FootnoteReference"/>
          <w:rFonts w:ascii="Arial" w:hAnsi="Arial" w:cs="Arial"/>
        </w:rPr>
        <w:footnoteRef/>
      </w:r>
      <w:r w:rsidRPr="00CB0521">
        <w:rPr>
          <w:rFonts w:ascii="Arial" w:hAnsi="Arial" w:cs="Arial"/>
        </w:rPr>
        <w:t xml:space="preserve"> </w:t>
      </w:r>
      <w:r w:rsidRPr="00CB0521">
        <w:rPr>
          <w:rFonts w:ascii="Arial" w:hAnsi="Arial" w:cs="Arial"/>
          <w:i/>
          <w:lang w:val="en-US"/>
        </w:rPr>
        <w:t xml:space="preserve">Kamwi v Duvenhage </w:t>
      </w:r>
      <w:r w:rsidRPr="00CB0521">
        <w:rPr>
          <w:rFonts w:ascii="Arial" w:hAnsi="Arial" w:cs="Arial"/>
          <w:lang w:val="en-US"/>
        </w:rPr>
        <w:t>2008 (2) NR 656 (SC).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510850"/>
      <w:docPartObj>
        <w:docPartGallery w:val="Page Numbers (Top of Page)"/>
        <w:docPartUnique/>
      </w:docPartObj>
    </w:sdtPr>
    <w:sdtEndPr>
      <w:rPr>
        <w:noProof/>
      </w:rPr>
    </w:sdtEndPr>
    <w:sdtContent>
      <w:p w14:paraId="40721BAD" w14:textId="77777777" w:rsidR="00F117C6" w:rsidRDefault="00F117C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49C8DAB" w14:textId="77777777" w:rsidR="00F117C6" w:rsidRDefault="00F11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9456203"/>
      <w:docPartObj>
        <w:docPartGallery w:val="Page Numbers (Top of Page)"/>
        <w:docPartUnique/>
      </w:docPartObj>
    </w:sdtPr>
    <w:sdtEndPr>
      <w:rPr>
        <w:noProof/>
      </w:rPr>
    </w:sdtEndPr>
    <w:sdtContent>
      <w:p w14:paraId="062AC1D7" w14:textId="77777777" w:rsidR="00F117C6" w:rsidRPr="00240C67" w:rsidRDefault="00F117C6">
        <w:pPr>
          <w:pStyle w:val="Header"/>
          <w:jc w:val="right"/>
          <w:rPr>
            <w:rFonts w:ascii="Arial" w:hAnsi="Arial" w:cs="Arial"/>
            <w:sz w:val="24"/>
            <w:szCs w:val="24"/>
          </w:rPr>
        </w:pPr>
        <w:r w:rsidRPr="00240C67">
          <w:rPr>
            <w:rFonts w:ascii="Arial" w:hAnsi="Arial" w:cs="Arial"/>
            <w:sz w:val="24"/>
            <w:szCs w:val="24"/>
          </w:rPr>
          <w:fldChar w:fldCharType="begin"/>
        </w:r>
        <w:r w:rsidRPr="00240C67">
          <w:rPr>
            <w:rFonts w:ascii="Arial" w:hAnsi="Arial" w:cs="Arial"/>
            <w:sz w:val="24"/>
            <w:szCs w:val="24"/>
          </w:rPr>
          <w:instrText xml:space="preserve"> PAGE   \* MERGEFORMAT </w:instrText>
        </w:r>
        <w:r w:rsidRPr="00240C67">
          <w:rPr>
            <w:rFonts w:ascii="Arial" w:hAnsi="Arial" w:cs="Arial"/>
            <w:sz w:val="24"/>
            <w:szCs w:val="24"/>
          </w:rPr>
          <w:fldChar w:fldCharType="separate"/>
        </w:r>
        <w:r w:rsidR="008317B7">
          <w:rPr>
            <w:rFonts w:ascii="Arial" w:hAnsi="Arial" w:cs="Arial"/>
            <w:noProof/>
            <w:sz w:val="24"/>
            <w:szCs w:val="24"/>
          </w:rPr>
          <w:t>15</w:t>
        </w:r>
        <w:r w:rsidRPr="00240C67">
          <w:rPr>
            <w:rFonts w:ascii="Arial" w:hAnsi="Arial" w:cs="Arial"/>
            <w:noProof/>
            <w:sz w:val="24"/>
            <w:szCs w:val="24"/>
          </w:rPr>
          <w:fldChar w:fldCharType="end"/>
        </w:r>
      </w:p>
    </w:sdtContent>
  </w:sdt>
  <w:p w14:paraId="315B0237" w14:textId="77777777" w:rsidR="00F117C6" w:rsidRPr="00240C67" w:rsidRDefault="00F117C6">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79A6"/>
    <w:multiLevelType w:val="hybridMultilevel"/>
    <w:tmpl w:val="63C8558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0EF74B4"/>
    <w:multiLevelType w:val="hybridMultilevel"/>
    <w:tmpl w:val="D64A61EC"/>
    <w:lvl w:ilvl="0" w:tplc="60BEAD8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581D3E"/>
    <w:multiLevelType w:val="hybridMultilevel"/>
    <w:tmpl w:val="AF2260DC"/>
    <w:lvl w:ilvl="0" w:tplc="C08651C8">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15:restartNumberingAfterBreak="0">
    <w:nsid w:val="3EE80D0C"/>
    <w:multiLevelType w:val="hybridMultilevel"/>
    <w:tmpl w:val="6074C1A4"/>
    <w:lvl w:ilvl="0" w:tplc="3508F53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45B134E"/>
    <w:multiLevelType w:val="hybridMultilevel"/>
    <w:tmpl w:val="78247D9E"/>
    <w:lvl w:ilvl="0" w:tplc="710C72B6">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A0C71C1"/>
    <w:multiLevelType w:val="hybridMultilevel"/>
    <w:tmpl w:val="8A94BB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757288632">
    <w:abstractNumId w:val="2"/>
  </w:num>
  <w:num w:numId="2" w16cid:durableId="1365983498">
    <w:abstractNumId w:val="4"/>
  </w:num>
  <w:num w:numId="3" w16cid:durableId="383678212">
    <w:abstractNumId w:val="1"/>
  </w:num>
  <w:num w:numId="4" w16cid:durableId="7175136">
    <w:abstractNumId w:val="5"/>
  </w:num>
  <w:num w:numId="5" w16cid:durableId="1201472791">
    <w:abstractNumId w:val="0"/>
  </w:num>
  <w:num w:numId="6" w16cid:durableId="5032826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DD2"/>
    <w:rsid w:val="000020F7"/>
    <w:rsid w:val="0000283C"/>
    <w:rsid w:val="00002A97"/>
    <w:rsid w:val="00002FC5"/>
    <w:rsid w:val="000031AC"/>
    <w:rsid w:val="000065D0"/>
    <w:rsid w:val="00012B06"/>
    <w:rsid w:val="000161F8"/>
    <w:rsid w:val="00021983"/>
    <w:rsid w:val="0002366F"/>
    <w:rsid w:val="00023DDF"/>
    <w:rsid w:val="000315CE"/>
    <w:rsid w:val="00034125"/>
    <w:rsid w:val="00034404"/>
    <w:rsid w:val="000356B7"/>
    <w:rsid w:val="00037436"/>
    <w:rsid w:val="00044575"/>
    <w:rsid w:val="00044F8B"/>
    <w:rsid w:val="00055555"/>
    <w:rsid w:val="00055BBF"/>
    <w:rsid w:val="00064EDD"/>
    <w:rsid w:val="00070256"/>
    <w:rsid w:val="00074A42"/>
    <w:rsid w:val="00080055"/>
    <w:rsid w:val="00085A5C"/>
    <w:rsid w:val="0009171F"/>
    <w:rsid w:val="000918E4"/>
    <w:rsid w:val="00092D64"/>
    <w:rsid w:val="000947CC"/>
    <w:rsid w:val="00097B9F"/>
    <w:rsid w:val="000A51D4"/>
    <w:rsid w:val="000A6687"/>
    <w:rsid w:val="000B089C"/>
    <w:rsid w:val="000C217B"/>
    <w:rsid w:val="000C5C98"/>
    <w:rsid w:val="000D0E63"/>
    <w:rsid w:val="000D2415"/>
    <w:rsid w:val="000D5A30"/>
    <w:rsid w:val="000E7A4F"/>
    <w:rsid w:val="000F0792"/>
    <w:rsid w:val="000F3DE0"/>
    <w:rsid w:val="00111E11"/>
    <w:rsid w:val="001129AA"/>
    <w:rsid w:val="00116D57"/>
    <w:rsid w:val="00121396"/>
    <w:rsid w:val="001217A5"/>
    <w:rsid w:val="00121C89"/>
    <w:rsid w:val="00122F8C"/>
    <w:rsid w:val="00130F72"/>
    <w:rsid w:val="00141CDE"/>
    <w:rsid w:val="00141D86"/>
    <w:rsid w:val="00144FE5"/>
    <w:rsid w:val="00150EF9"/>
    <w:rsid w:val="00154972"/>
    <w:rsid w:val="0016032B"/>
    <w:rsid w:val="00164BDC"/>
    <w:rsid w:val="00173FC5"/>
    <w:rsid w:val="00174832"/>
    <w:rsid w:val="0018223E"/>
    <w:rsid w:val="0018289F"/>
    <w:rsid w:val="00184A4D"/>
    <w:rsid w:val="00195D54"/>
    <w:rsid w:val="001A01D0"/>
    <w:rsid w:val="001A0856"/>
    <w:rsid w:val="001A2AEE"/>
    <w:rsid w:val="001A4C84"/>
    <w:rsid w:val="001A5FBF"/>
    <w:rsid w:val="001A6565"/>
    <w:rsid w:val="001B515C"/>
    <w:rsid w:val="001B5CBA"/>
    <w:rsid w:val="001C394A"/>
    <w:rsid w:val="001C48D7"/>
    <w:rsid w:val="001C4F5D"/>
    <w:rsid w:val="001C5A9B"/>
    <w:rsid w:val="001C5DFD"/>
    <w:rsid w:val="001D4275"/>
    <w:rsid w:val="001D479F"/>
    <w:rsid w:val="001D4B37"/>
    <w:rsid w:val="001E60AB"/>
    <w:rsid w:val="001E6BE8"/>
    <w:rsid w:val="001F332E"/>
    <w:rsid w:val="00204588"/>
    <w:rsid w:val="00205159"/>
    <w:rsid w:val="002067B2"/>
    <w:rsid w:val="0021476B"/>
    <w:rsid w:val="00216E56"/>
    <w:rsid w:val="002212FB"/>
    <w:rsid w:val="00224B80"/>
    <w:rsid w:val="00224E65"/>
    <w:rsid w:val="00241AA0"/>
    <w:rsid w:val="0025709B"/>
    <w:rsid w:val="00261693"/>
    <w:rsid w:val="002632A1"/>
    <w:rsid w:val="00263EB8"/>
    <w:rsid w:val="002758CE"/>
    <w:rsid w:val="00281515"/>
    <w:rsid w:val="002829A3"/>
    <w:rsid w:val="00286AA4"/>
    <w:rsid w:val="00290358"/>
    <w:rsid w:val="0029448B"/>
    <w:rsid w:val="002A1977"/>
    <w:rsid w:val="002B6A3C"/>
    <w:rsid w:val="002C0C09"/>
    <w:rsid w:val="002C3783"/>
    <w:rsid w:val="002D6CCC"/>
    <w:rsid w:val="002E678E"/>
    <w:rsid w:val="002F6B97"/>
    <w:rsid w:val="002F7DAF"/>
    <w:rsid w:val="00301236"/>
    <w:rsid w:val="003120B6"/>
    <w:rsid w:val="003122F2"/>
    <w:rsid w:val="00313ACE"/>
    <w:rsid w:val="00322564"/>
    <w:rsid w:val="00327964"/>
    <w:rsid w:val="00332ABA"/>
    <w:rsid w:val="00343E6F"/>
    <w:rsid w:val="003455B2"/>
    <w:rsid w:val="00350675"/>
    <w:rsid w:val="00351DBC"/>
    <w:rsid w:val="0035240A"/>
    <w:rsid w:val="00374722"/>
    <w:rsid w:val="003813FA"/>
    <w:rsid w:val="003848EF"/>
    <w:rsid w:val="003934C5"/>
    <w:rsid w:val="003A1CDA"/>
    <w:rsid w:val="003A28BC"/>
    <w:rsid w:val="003A500A"/>
    <w:rsid w:val="003B0D19"/>
    <w:rsid w:val="003D472A"/>
    <w:rsid w:val="003D6650"/>
    <w:rsid w:val="003E6DB6"/>
    <w:rsid w:val="00413253"/>
    <w:rsid w:val="00420102"/>
    <w:rsid w:val="00425165"/>
    <w:rsid w:val="004255CD"/>
    <w:rsid w:val="004449E3"/>
    <w:rsid w:val="0044575C"/>
    <w:rsid w:val="0045670C"/>
    <w:rsid w:val="004570A6"/>
    <w:rsid w:val="00461E8C"/>
    <w:rsid w:val="00487F14"/>
    <w:rsid w:val="004908A1"/>
    <w:rsid w:val="00494796"/>
    <w:rsid w:val="00497CF4"/>
    <w:rsid w:val="004A0704"/>
    <w:rsid w:val="004A2AEF"/>
    <w:rsid w:val="004B1385"/>
    <w:rsid w:val="004B1F4F"/>
    <w:rsid w:val="004B2FB4"/>
    <w:rsid w:val="004C1593"/>
    <w:rsid w:val="004C18D5"/>
    <w:rsid w:val="004C56C9"/>
    <w:rsid w:val="004C6B2B"/>
    <w:rsid w:val="004C6DEC"/>
    <w:rsid w:val="004C7C9B"/>
    <w:rsid w:val="004D02CA"/>
    <w:rsid w:val="004D40EE"/>
    <w:rsid w:val="004D5054"/>
    <w:rsid w:val="004D5A23"/>
    <w:rsid w:val="004D697C"/>
    <w:rsid w:val="004F06E3"/>
    <w:rsid w:val="00500330"/>
    <w:rsid w:val="005005D0"/>
    <w:rsid w:val="00500C98"/>
    <w:rsid w:val="0050378F"/>
    <w:rsid w:val="00510D09"/>
    <w:rsid w:val="005135DE"/>
    <w:rsid w:val="00515EB9"/>
    <w:rsid w:val="00524EF1"/>
    <w:rsid w:val="005354EE"/>
    <w:rsid w:val="0054005B"/>
    <w:rsid w:val="005407F1"/>
    <w:rsid w:val="00541DF8"/>
    <w:rsid w:val="005442C8"/>
    <w:rsid w:val="005446B8"/>
    <w:rsid w:val="00544BAA"/>
    <w:rsid w:val="0054622E"/>
    <w:rsid w:val="00552C8F"/>
    <w:rsid w:val="005531B4"/>
    <w:rsid w:val="0056163A"/>
    <w:rsid w:val="005632B4"/>
    <w:rsid w:val="00564950"/>
    <w:rsid w:val="00570D57"/>
    <w:rsid w:val="0058158A"/>
    <w:rsid w:val="0058641A"/>
    <w:rsid w:val="00590805"/>
    <w:rsid w:val="005A2EFE"/>
    <w:rsid w:val="005A490F"/>
    <w:rsid w:val="005B128E"/>
    <w:rsid w:val="005B61E4"/>
    <w:rsid w:val="005C056F"/>
    <w:rsid w:val="005E3525"/>
    <w:rsid w:val="005E3FDC"/>
    <w:rsid w:val="005E67CA"/>
    <w:rsid w:val="005E699D"/>
    <w:rsid w:val="005F01FF"/>
    <w:rsid w:val="005F058E"/>
    <w:rsid w:val="005F0FF9"/>
    <w:rsid w:val="005F6253"/>
    <w:rsid w:val="005F7BE2"/>
    <w:rsid w:val="006018EC"/>
    <w:rsid w:val="00602DA2"/>
    <w:rsid w:val="00604092"/>
    <w:rsid w:val="00605487"/>
    <w:rsid w:val="0061038A"/>
    <w:rsid w:val="006136F6"/>
    <w:rsid w:val="00614995"/>
    <w:rsid w:val="00622A5B"/>
    <w:rsid w:val="006277BE"/>
    <w:rsid w:val="0063073A"/>
    <w:rsid w:val="00644150"/>
    <w:rsid w:val="006525B2"/>
    <w:rsid w:val="00654F97"/>
    <w:rsid w:val="0066032A"/>
    <w:rsid w:val="00662E16"/>
    <w:rsid w:val="006709B7"/>
    <w:rsid w:val="00674332"/>
    <w:rsid w:val="00676D73"/>
    <w:rsid w:val="00697B7A"/>
    <w:rsid w:val="006A2BC2"/>
    <w:rsid w:val="006A468A"/>
    <w:rsid w:val="006B1C89"/>
    <w:rsid w:val="006B1F84"/>
    <w:rsid w:val="006C7000"/>
    <w:rsid w:val="006D1FEB"/>
    <w:rsid w:val="006D3289"/>
    <w:rsid w:val="006D70D7"/>
    <w:rsid w:val="006F3AE7"/>
    <w:rsid w:val="006F4030"/>
    <w:rsid w:val="00710B90"/>
    <w:rsid w:val="00711135"/>
    <w:rsid w:val="00711F61"/>
    <w:rsid w:val="007266A2"/>
    <w:rsid w:val="00732916"/>
    <w:rsid w:val="0073490D"/>
    <w:rsid w:val="00737E0F"/>
    <w:rsid w:val="00741556"/>
    <w:rsid w:val="0074300D"/>
    <w:rsid w:val="00744FBC"/>
    <w:rsid w:val="00745244"/>
    <w:rsid w:val="00746DB9"/>
    <w:rsid w:val="00754155"/>
    <w:rsid w:val="0075416C"/>
    <w:rsid w:val="00756A77"/>
    <w:rsid w:val="0076328D"/>
    <w:rsid w:val="007655E0"/>
    <w:rsid w:val="00771402"/>
    <w:rsid w:val="00787B79"/>
    <w:rsid w:val="00790BF4"/>
    <w:rsid w:val="00792C83"/>
    <w:rsid w:val="007955E9"/>
    <w:rsid w:val="00796A1F"/>
    <w:rsid w:val="007A15D6"/>
    <w:rsid w:val="007A2A0C"/>
    <w:rsid w:val="007B1D93"/>
    <w:rsid w:val="007B271E"/>
    <w:rsid w:val="007B3CAB"/>
    <w:rsid w:val="007C6508"/>
    <w:rsid w:val="007D16F6"/>
    <w:rsid w:val="0080079E"/>
    <w:rsid w:val="00803DFB"/>
    <w:rsid w:val="00810667"/>
    <w:rsid w:val="008141AD"/>
    <w:rsid w:val="00821D19"/>
    <w:rsid w:val="00825878"/>
    <w:rsid w:val="008263B0"/>
    <w:rsid w:val="008317B7"/>
    <w:rsid w:val="00834501"/>
    <w:rsid w:val="00835B30"/>
    <w:rsid w:val="008410A7"/>
    <w:rsid w:val="008434FB"/>
    <w:rsid w:val="008450C7"/>
    <w:rsid w:val="008476C9"/>
    <w:rsid w:val="00850CD0"/>
    <w:rsid w:val="008522A0"/>
    <w:rsid w:val="00860284"/>
    <w:rsid w:val="0086068E"/>
    <w:rsid w:val="00866657"/>
    <w:rsid w:val="00867727"/>
    <w:rsid w:val="0088481E"/>
    <w:rsid w:val="008856BB"/>
    <w:rsid w:val="00887D82"/>
    <w:rsid w:val="00893B17"/>
    <w:rsid w:val="00896127"/>
    <w:rsid w:val="008963A8"/>
    <w:rsid w:val="008974AF"/>
    <w:rsid w:val="008A01C0"/>
    <w:rsid w:val="008A5B7E"/>
    <w:rsid w:val="008A7044"/>
    <w:rsid w:val="008B1BD4"/>
    <w:rsid w:val="008B1E72"/>
    <w:rsid w:val="008B6DD2"/>
    <w:rsid w:val="008C0EA9"/>
    <w:rsid w:val="008C2163"/>
    <w:rsid w:val="008C3C27"/>
    <w:rsid w:val="008C3DF3"/>
    <w:rsid w:val="008C62B4"/>
    <w:rsid w:val="008E091D"/>
    <w:rsid w:val="008E533D"/>
    <w:rsid w:val="008E5E22"/>
    <w:rsid w:val="008E7F6F"/>
    <w:rsid w:val="008F1885"/>
    <w:rsid w:val="008F3DD0"/>
    <w:rsid w:val="008F4145"/>
    <w:rsid w:val="008F5DBA"/>
    <w:rsid w:val="00903B13"/>
    <w:rsid w:val="00904500"/>
    <w:rsid w:val="009049CA"/>
    <w:rsid w:val="0090623B"/>
    <w:rsid w:val="009241FF"/>
    <w:rsid w:val="00926101"/>
    <w:rsid w:val="00936633"/>
    <w:rsid w:val="009430D0"/>
    <w:rsid w:val="0094444A"/>
    <w:rsid w:val="00945EE7"/>
    <w:rsid w:val="00954555"/>
    <w:rsid w:val="00954B0D"/>
    <w:rsid w:val="00955489"/>
    <w:rsid w:val="00964BA3"/>
    <w:rsid w:val="00966572"/>
    <w:rsid w:val="009666C8"/>
    <w:rsid w:val="009712D7"/>
    <w:rsid w:val="00971DA2"/>
    <w:rsid w:val="009768D3"/>
    <w:rsid w:val="009844E3"/>
    <w:rsid w:val="00995F8D"/>
    <w:rsid w:val="00995FCE"/>
    <w:rsid w:val="009968C2"/>
    <w:rsid w:val="009975A0"/>
    <w:rsid w:val="00997A9D"/>
    <w:rsid w:val="009A42A7"/>
    <w:rsid w:val="009B2A72"/>
    <w:rsid w:val="009B7083"/>
    <w:rsid w:val="009C6979"/>
    <w:rsid w:val="009D1D49"/>
    <w:rsid w:val="009D3160"/>
    <w:rsid w:val="009E3033"/>
    <w:rsid w:val="009F370E"/>
    <w:rsid w:val="00A04869"/>
    <w:rsid w:val="00A10CDC"/>
    <w:rsid w:val="00A11952"/>
    <w:rsid w:val="00A1283D"/>
    <w:rsid w:val="00A17010"/>
    <w:rsid w:val="00A2315E"/>
    <w:rsid w:val="00A23DA7"/>
    <w:rsid w:val="00A30120"/>
    <w:rsid w:val="00A328C5"/>
    <w:rsid w:val="00A34DC9"/>
    <w:rsid w:val="00A61245"/>
    <w:rsid w:val="00A62E8F"/>
    <w:rsid w:val="00A65DBD"/>
    <w:rsid w:val="00A733C4"/>
    <w:rsid w:val="00A7532D"/>
    <w:rsid w:val="00A76D29"/>
    <w:rsid w:val="00A82016"/>
    <w:rsid w:val="00A82E5F"/>
    <w:rsid w:val="00A872F6"/>
    <w:rsid w:val="00A92D5F"/>
    <w:rsid w:val="00A956C4"/>
    <w:rsid w:val="00AA6043"/>
    <w:rsid w:val="00AA7F01"/>
    <w:rsid w:val="00AB2B36"/>
    <w:rsid w:val="00AB3AB8"/>
    <w:rsid w:val="00AC05AF"/>
    <w:rsid w:val="00AC2164"/>
    <w:rsid w:val="00AC3F35"/>
    <w:rsid w:val="00AC4170"/>
    <w:rsid w:val="00AC7923"/>
    <w:rsid w:val="00AD0727"/>
    <w:rsid w:val="00AD6C9C"/>
    <w:rsid w:val="00AE0F18"/>
    <w:rsid w:val="00AF3646"/>
    <w:rsid w:val="00AF4A3D"/>
    <w:rsid w:val="00AF7A19"/>
    <w:rsid w:val="00B03884"/>
    <w:rsid w:val="00B06E16"/>
    <w:rsid w:val="00B13536"/>
    <w:rsid w:val="00B136F7"/>
    <w:rsid w:val="00B13F46"/>
    <w:rsid w:val="00B22231"/>
    <w:rsid w:val="00B23083"/>
    <w:rsid w:val="00B26EF5"/>
    <w:rsid w:val="00B34562"/>
    <w:rsid w:val="00B43559"/>
    <w:rsid w:val="00B45516"/>
    <w:rsid w:val="00B45D3F"/>
    <w:rsid w:val="00B57622"/>
    <w:rsid w:val="00B57D38"/>
    <w:rsid w:val="00B64B8C"/>
    <w:rsid w:val="00B659F6"/>
    <w:rsid w:val="00B672BA"/>
    <w:rsid w:val="00B714DF"/>
    <w:rsid w:val="00B73294"/>
    <w:rsid w:val="00B7778D"/>
    <w:rsid w:val="00B800CB"/>
    <w:rsid w:val="00B81AA1"/>
    <w:rsid w:val="00B841CD"/>
    <w:rsid w:val="00B878F2"/>
    <w:rsid w:val="00B906AB"/>
    <w:rsid w:val="00B9315E"/>
    <w:rsid w:val="00B935B8"/>
    <w:rsid w:val="00B9687A"/>
    <w:rsid w:val="00BA019D"/>
    <w:rsid w:val="00BA29FD"/>
    <w:rsid w:val="00BA39D5"/>
    <w:rsid w:val="00BA535B"/>
    <w:rsid w:val="00BC151D"/>
    <w:rsid w:val="00BC3171"/>
    <w:rsid w:val="00BC3226"/>
    <w:rsid w:val="00BD2E7E"/>
    <w:rsid w:val="00BD7B46"/>
    <w:rsid w:val="00BF5A3A"/>
    <w:rsid w:val="00C027B3"/>
    <w:rsid w:val="00C056B7"/>
    <w:rsid w:val="00C1166B"/>
    <w:rsid w:val="00C14E99"/>
    <w:rsid w:val="00C16B5D"/>
    <w:rsid w:val="00C20338"/>
    <w:rsid w:val="00C20FB9"/>
    <w:rsid w:val="00C254BE"/>
    <w:rsid w:val="00C2647F"/>
    <w:rsid w:val="00C27125"/>
    <w:rsid w:val="00C3408C"/>
    <w:rsid w:val="00C356AF"/>
    <w:rsid w:val="00C374F7"/>
    <w:rsid w:val="00C46BCA"/>
    <w:rsid w:val="00C535B2"/>
    <w:rsid w:val="00C55243"/>
    <w:rsid w:val="00C57DAE"/>
    <w:rsid w:val="00C607EF"/>
    <w:rsid w:val="00C66DB0"/>
    <w:rsid w:val="00C70BB6"/>
    <w:rsid w:val="00C74E1D"/>
    <w:rsid w:val="00C81854"/>
    <w:rsid w:val="00C94CD2"/>
    <w:rsid w:val="00C9720D"/>
    <w:rsid w:val="00CA2887"/>
    <w:rsid w:val="00CA3CB5"/>
    <w:rsid w:val="00CB0521"/>
    <w:rsid w:val="00CB1805"/>
    <w:rsid w:val="00CB1CB5"/>
    <w:rsid w:val="00CC1C8E"/>
    <w:rsid w:val="00CD0741"/>
    <w:rsid w:val="00D03B67"/>
    <w:rsid w:val="00D06FB0"/>
    <w:rsid w:val="00D10810"/>
    <w:rsid w:val="00D1296D"/>
    <w:rsid w:val="00D278ED"/>
    <w:rsid w:val="00D31BAA"/>
    <w:rsid w:val="00D3267C"/>
    <w:rsid w:val="00D3331E"/>
    <w:rsid w:val="00D45B9D"/>
    <w:rsid w:val="00D62486"/>
    <w:rsid w:val="00D80159"/>
    <w:rsid w:val="00D82275"/>
    <w:rsid w:val="00D95484"/>
    <w:rsid w:val="00D966A7"/>
    <w:rsid w:val="00DA29E3"/>
    <w:rsid w:val="00DA3F5A"/>
    <w:rsid w:val="00DB6934"/>
    <w:rsid w:val="00DC18F0"/>
    <w:rsid w:val="00DD159F"/>
    <w:rsid w:val="00DD335B"/>
    <w:rsid w:val="00DD3AC0"/>
    <w:rsid w:val="00DD3C3D"/>
    <w:rsid w:val="00DD4DC6"/>
    <w:rsid w:val="00DD5CBC"/>
    <w:rsid w:val="00DE2F6A"/>
    <w:rsid w:val="00DE7DE5"/>
    <w:rsid w:val="00E0690E"/>
    <w:rsid w:val="00E10407"/>
    <w:rsid w:val="00E12256"/>
    <w:rsid w:val="00E12DE6"/>
    <w:rsid w:val="00E132C8"/>
    <w:rsid w:val="00E160B8"/>
    <w:rsid w:val="00E22D24"/>
    <w:rsid w:val="00E24E44"/>
    <w:rsid w:val="00E264FE"/>
    <w:rsid w:val="00E3134D"/>
    <w:rsid w:val="00E31F2A"/>
    <w:rsid w:val="00E33C81"/>
    <w:rsid w:val="00E417A7"/>
    <w:rsid w:val="00E44830"/>
    <w:rsid w:val="00E52C01"/>
    <w:rsid w:val="00E57A6B"/>
    <w:rsid w:val="00E57B71"/>
    <w:rsid w:val="00E64171"/>
    <w:rsid w:val="00E6497F"/>
    <w:rsid w:val="00E85CDC"/>
    <w:rsid w:val="00E8775C"/>
    <w:rsid w:val="00E91049"/>
    <w:rsid w:val="00EA6103"/>
    <w:rsid w:val="00EB385D"/>
    <w:rsid w:val="00EB52D2"/>
    <w:rsid w:val="00EB7C6F"/>
    <w:rsid w:val="00EC04A1"/>
    <w:rsid w:val="00EC0B43"/>
    <w:rsid w:val="00EC0E34"/>
    <w:rsid w:val="00EC126C"/>
    <w:rsid w:val="00EC67E2"/>
    <w:rsid w:val="00ED130B"/>
    <w:rsid w:val="00ED78F3"/>
    <w:rsid w:val="00EE15D8"/>
    <w:rsid w:val="00EE27E3"/>
    <w:rsid w:val="00EE2D15"/>
    <w:rsid w:val="00EE3E44"/>
    <w:rsid w:val="00EF0D04"/>
    <w:rsid w:val="00EF7F33"/>
    <w:rsid w:val="00F0313C"/>
    <w:rsid w:val="00F04A55"/>
    <w:rsid w:val="00F10BA7"/>
    <w:rsid w:val="00F117C6"/>
    <w:rsid w:val="00F23CD4"/>
    <w:rsid w:val="00F24641"/>
    <w:rsid w:val="00F30F32"/>
    <w:rsid w:val="00F31DD5"/>
    <w:rsid w:val="00F37875"/>
    <w:rsid w:val="00F5362B"/>
    <w:rsid w:val="00F6153A"/>
    <w:rsid w:val="00F61E7C"/>
    <w:rsid w:val="00F8019E"/>
    <w:rsid w:val="00F813B3"/>
    <w:rsid w:val="00F85EC5"/>
    <w:rsid w:val="00F94324"/>
    <w:rsid w:val="00FA0150"/>
    <w:rsid w:val="00FA0388"/>
    <w:rsid w:val="00FA47F5"/>
    <w:rsid w:val="00FB1282"/>
    <w:rsid w:val="00FB174E"/>
    <w:rsid w:val="00FC0D5E"/>
    <w:rsid w:val="00FC1812"/>
    <w:rsid w:val="00FC7CDB"/>
    <w:rsid w:val="00FD18F7"/>
    <w:rsid w:val="00FD3FA0"/>
    <w:rsid w:val="00FE1DE6"/>
    <w:rsid w:val="00FE3969"/>
    <w:rsid w:val="00FF1DC9"/>
    <w:rsid w:val="00FF2616"/>
    <w:rsid w:val="00FF3ABA"/>
    <w:rsid w:val="00FF7B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5C25E"/>
  <w15:chartTrackingRefBased/>
  <w15:docId w15:val="{C76DAB8E-02F8-4689-B96F-9267A155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6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6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6DD2"/>
  </w:style>
  <w:style w:type="paragraph" w:styleId="FootnoteText">
    <w:name w:val="footnote text"/>
    <w:basedOn w:val="Normal"/>
    <w:link w:val="FootnoteTextChar"/>
    <w:uiPriority w:val="99"/>
    <w:unhideWhenUsed/>
    <w:rsid w:val="008B6DD2"/>
    <w:pPr>
      <w:spacing w:after="0" w:line="240" w:lineRule="auto"/>
    </w:pPr>
    <w:rPr>
      <w:sz w:val="20"/>
      <w:szCs w:val="20"/>
    </w:rPr>
  </w:style>
  <w:style w:type="character" w:customStyle="1" w:styleId="FootnoteTextChar">
    <w:name w:val="Footnote Text Char"/>
    <w:basedOn w:val="DefaultParagraphFont"/>
    <w:link w:val="FootnoteText"/>
    <w:uiPriority w:val="99"/>
    <w:rsid w:val="008B6DD2"/>
    <w:rPr>
      <w:sz w:val="20"/>
      <w:szCs w:val="20"/>
    </w:rPr>
  </w:style>
  <w:style w:type="character" w:styleId="FootnoteReference">
    <w:name w:val="footnote reference"/>
    <w:basedOn w:val="DefaultParagraphFont"/>
    <w:uiPriority w:val="99"/>
    <w:unhideWhenUsed/>
    <w:rsid w:val="008B6DD2"/>
    <w:rPr>
      <w:vertAlign w:val="superscript"/>
    </w:rPr>
  </w:style>
  <w:style w:type="character" w:styleId="Hyperlink">
    <w:name w:val="Hyperlink"/>
    <w:basedOn w:val="DefaultParagraphFont"/>
    <w:uiPriority w:val="99"/>
    <w:unhideWhenUsed/>
    <w:rsid w:val="008B6DD2"/>
    <w:rPr>
      <w:color w:val="0563C1" w:themeColor="hyperlink"/>
      <w:u w:val="single"/>
    </w:rPr>
  </w:style>
  <w:style w:type="paragraph" w:styleId="ListParagraph">
    <w:name w:val="List Paragraph"/>
    <w:basedOn w:val="Normal"/>
    <w:uiPriority w:val="34"/>
    <w:qFormat/>
    <w:rsid w:val="0058158A"/>
    <w:pPr>
      <w:ind w:left="720"/>
      <w:contextualSpacing/>
    </w:pPr>
  </w:style>
  <w:style w:type="paragraph" w:styleId="NoSpacing">
    <w:name w:val="No Spacing"/>
    <w:uiPriority w:val="1"/>
    <w:qFormat/>
    <w:rsid w:val="0018223E"/>
    <w:pPr>
      <w:spacing w:after="0" w:line="240" w:lineRule="auto"/>
    </w:pPr>
  </w:style>
  <w:style w:type="paragraph" w:customStyle="1" w:styleId="ColorfulList-Accent11">
    <w:name w:val="Colorful List - Accent 11"/>
    <w:basedOn w:val="Normal"/>
    <w:uiPriority w:val="34"/>
    <w:qFormat/>
    <w:rsid w:val="00C3408C"/>
    <w:pPr>
      <w:spacing w:after="200" w:line="276" w:lineRule="auto"/>
      <w:ind w:left="720"/>
      <w:contextualSpacing/>
    </w:pPr>
    <w:rPr>
      <w:rFonts w:ascii="Calibri" w:eastAsia="Calibri" w:hAnsi="Calibri" w:cs="Times New Roman"/>
    </w:rPr>
  </w:style>
  <w:style w:type="paragraph" w:styleId="Revision">
    <w:name w:val="Revision"/>
    <w:hidden/>
    <w:uiPriority w:val="99"/>
    <w:semiHidden/>
    <w:rsid w:val="00622A5B"/>
    <w:pPr>
      <w:spacing w:after="0" w:line="240" w:lineRule="auto"/>
    </w:pPr>
  </w:style>
  <w:style w:type="paragraph" w:styleId="BalloonText">
    <w:name w:val="Balloon Text"/>
    <w:basedOn w:val="Normal"/>
    <w:link w:val="BalloonTextChar"/>
    <w:uiPriority w:val="99"/>
    <w:semiHidden/>
    <w:unhideWhenUsed/>
    <w:rsid w:val="00AC2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2023-10-09T18:30:00+00:00</Judgment_x0020_Date>
    <Year xmlns="63bdd487-88aa-4c54-b893-ddaa81ed2e7c">2023</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B4D42-C1EB-4FF7-9F86-B40ED5D17ED2}">
  <ds:schemaRefs>
    <ds:schemaRef ds:uri="http://schemas.openxmlformats.org/officeDocument/2006/bibliography"/>
  </ds:schemaRefs>
</ds:datastoreItem>
</file>

<file path=customXml/itemProps2.xml><?xml version="1.0" encoding="utf-8"?>
<ds:datastoreItem xmlns:ds="http://schemas.openxmlformats.org/officeDocument/2006/customXml" ds:itemID="{B172B6B6-BD8C-4BFA-933C-DED0D2366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FFAAB8-A8B5-4987-A7AF-27B429E09298}">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4.xml><?xml version="1.0" encoding="utf-8"?>
<ds:datastoreItem xmlns:ds="http://schemas.openxmlformats.org/officeDocument/2006/customXml" ds:itemID="{A4117271-24D7-4291-B2E3-3A0F0D4806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3319</Words>
  <Characters>18288</Characters>
  <Application>Microsoft Office Word</Application>
  <DocSecurity>0</DocSecurity>
  <Lines>281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Kamwi v LSN v The PG v LSN and Steinmann (SA 56-2020 SA 43-2021 SA 44-2021) NASC [2023] (10 October 2023)</dc:title>
  <dc:subject/>
  <dc:creator>Sebastiaan S. Kandunda</dc:creator>
  <cp:keywords/>
  <dc:description/>
  <cp:lastModifiedBy>Mariana Anguelov</cp:lastModifiedBy>
  <cp:revision>3</cp:revision>
  <cp:lastPrinted>2023-10-10T07:29:00Z</cp:lastPrinted>
  <dcterms:created xsi:type="dcterms:W3CDTF">2023-10-10T16:12:00Z</dcterms:created>
  <dcterms:modified xsi:type="dcterms:W3CDTF">2023-10-14T18:58:00Z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