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B3C1" w14:textId="0574CD5B" w:rsidR="004D38A9" w:rsidRPr="0017295B" w:rsidRDefault="002878F7" w:rsidP="002878F7">
      <w:pPr>
        <w:spacing w:after="0" w:line="480" w:lineRule="auto"/>
        <w:jc w:val="center"/>
        <w:rPr>
          <w:rFonts w:cs="Arial"/>
          <w:b/>
        </w:rPr>
      </w:pPr>
      <w:r>
        <w:rPr>
          <w:rFonts w:cs="Arial"/>
          <w:b/>
          <w:noProof/>
          <w:lang w:val="en-ZA" w:eastAsia="en-ZA"/>
        </w:rPr>
        <w:drawing>
          <wp:inline distT="0" distB="0" distL="0" distR="0" wp14:anchorId="5D81EB11" wp14:editId="5D05441F">
            <wp:extent cx="1432560" cy="1329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329055"/>
                    </a:xfrm>
                    <a:prstGeom prst="rect">
                      <a:avLst/>
                    </a:prstGeom>
                    <a:noFill/>
                  </pic:spPr>
                </pic:pic>
              </a:graphicData>
            </a:graphic>
          </wp:inline>
        </w:drawing>
      </w:r>
    </w:p>
    <w:p w14:paraId="2F34735A" w14:textId="77777777" w:rsidR="002878F7" w:rsidRDefault="002878F7" w:rsidP="002878F7">
      <w:pPr>
        <w:spacing w:after="0" w:line="480" w:lineRule="auto"/>
        <w:rPr>
          <w:rFonts w:ascii="Arial" w:hAnsi="Arial" w:cs="Arial"/>
          <w:b/>
          <w:sz w:val="24"/>
          <w:szCs w:val="24"/>
        </w:rPr>
      </w:pPr>
    </w:p>
    <w:p w14:paraId="5F9FD603" w14:textId="0763C49D" w:rsidR="004D38A9" w:rsidRPr="0010407D" w:rsidRDefault="0073669A" w:rsidP="004D38A9">
      <w:pPr>
        <w:spacing w:after="0" w:line="480" w:lineRule="auto"/>
        <w:jc w:val="right"/>
        <w:rPr>
          <w:rFonts w:ascii="Arial" w:hAnsi="Arial" w:cs="Arial"/>
          <w:b/>
          <w:sz w:val="24"/>
          <w:szCs w:val="24"/>
        </w:rPr>
      </w:pPr>
      <w:r>
        <w:rPr>
          <w:rFonts w:ascii="Arial" w:hAnsi="Arial" w:cs="Arial"/>
          <w:b/>
          <w:sz w:val="24"/>
          <w:szCs w:val="24"/>
        </w:rPr>
        <w:t xml:space="preserve"> </w:t>
      </w:r>
      <w:r w:rsidR="004D38A9" w:rsidRPr="0010407D">
        <w:rPr>
          <w:rFonts w:ascii="Arial" w:hAnsi="Arial" w:cs="Arial"/>
          <w:b/>
          <w:sz w:val="24"/>
          <w:szCs w:val="24"/>
        </w:rPr>
        <w:t>REPORTABLE</w:t>
      </w:r>
    </w:p>
    <w:p w14:paraId="11E220D0" w14:textId="3E0BFC43" w:rsidR="004D38A9" w:rsidRPr="006263C1" w:rsidRDefault="004D38A9" w:rsidP="004D38A9">
      <w:pPr>
        <w:spacing w:after="0" w:line="480" w:lineRule="auto"/>
        <w:jc w:val="right"/>
        <w:rPr>
          <w:rFonts w:ascii="Arial" w:hAnsi="Arial" w:cs="Arial"/>
          <w:sz w:val="24"/>
          <w:szCs w:val="24"/>
        </w:rPr>
      </w:pPr>
      <w:r w:rsidRPr="006263C1">
        <w:rPr>
          <w:rFonts w:ascii="Arial" w:hAnsi="Arial" w:cs="Arial"/>
          <w:sz w:val="24"/>
          <w:szCs w:val="24"/>
        </w:rPr>
        <w:t xml:space="preserve">CASE NO.: SA </w:t>
      </w:r>
      <w:r>
        <w:rPr>
          <w:rFonts w:ascii="Arial" w:hAnsi="Arial" w:cs="Arial"/>
          <w:sz w:val="24"/>
          <w:szCs w:val="24"/>
        </w:rPr>
        <w:t>65/2021</w:t>
      </w:r>
    </w:p>
    <w:p w14:paraId="2B11785F" w14:textId="77777777" w:rsidR="004D38A9" w:rsidRPr="004C1A1C" w:rsidRDefault="004D38A9" w:rsidP="004D38A9">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58439FD0" w14:textId="77777777" w:rsidR="004D38A9" w:rsidRDefault="004D38A9" w:rsidP="004D38A9">
      <w:pPr>
        <w:spacing w:after="0" w:line="480" w:lineRule="auto"/>
        <w:jc w:val="both"/>
        <w:rPr>
          <w:rFonts w:ascii="Arial" w:hAnsi="Arial" w:cs="Arial"/>
          <w:sz w:val="24"/>
          <w:szCs w:val="24"/>
        </w:rPr>
      </w:pPr>
    </w:p>
    <w:p w14:paraId="3556DD75" w14:textId="77777777" w:rsidR="004D38A9" w:rsidRDefault="004D38A9" w:rsidP="004D38A9">
      <w:pPr>
        <w:spacing w:after="0" w:line="480" w:lineRule="auto"/>
        <w:jc w:val="both"/>
        <w:rPr>
          <w:rFonts w:ascii="Arial" w:hAnsi="Arial" w:cs="Arial"/>
          <w:sz w:val="24"/>
          <w:szCs w:val="24"/>
        </w:rPr>
      </w:pPr>
      <w:r>
        <w:rPr>
          <w:rFonts w:ascii="Arial" w:hAnsi="Arial" w:cs="Arial"/>
          <w:sz w:val="24"/>
          <w:szCs w:val="24"/>
        </w:rPr>
        <w:t>In the matter between:</w:t>
      </w:r>
    </w:p>
    <w:p w14:paraId="607AA4BF" w14:textId="77777777" w:rsidR="004D38A9" w:rsidRDefault="004D38A9" w:rsidP="004D38A9">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6087"/>
        <w:gridCol w:w="3034"/>
      </w:tblGrid>
      <w:tr w:rsidR="004D38A9" w:rsidRPr="00500CF6" w14:paraId="45BBC27A" w14:textId="77777777" w:rsidTr="001B1EBC">
        <w:tc>
          <w:tcPr>
            <w:tcW w:w="6087" w:type="dxa"/>
            <w:shd w:val="clear" w:color="auto" w:fill="auto"/>
          </w:tcPr>
          <w:p w14:paraId="5C0F2C05" w14:textId="4B6D311B" w:rsidR="004D38A9" w:rsidRPr="00500CF6" w:rsidRDefault="004D38A9" w:rsidP="001B1EBC">
            <w:pPr>
              <w:spacing w:after="0" w:line="480" w:lineRule="auto"/>
              <w:ind w:hanging="108"/>
              <w:jc w:val="both"/>
              <w:rPr>
                <w:rFonts w:ascii="Arial" w:hAnsi="Arial" w:cs="Arial"/>
                <w:b/>
                <w:sz w:val="24"/>
                <w:szCs w:val="24"/>
              </w:rPr>
            </w:pPr>
            <w:r>
              <w:rPr>
                <w:rFonts w:ascii="Arial" w:hAnsi="Arial" w:cs="Arial"/>
                <w:b/>
                <w:sz w:val="24"/>
                <w:szCs w:val="24"/>
              </w:rPr>
              <w:t>GERHARD DE WET</w:t>
            </w:r>
          </w:p>
        </w:tc>
        <w:tc>
          <w:tcPr>
            <w:tcW w:w="3034" w:type="dxa"/>
            <w:shd w:val="clear" w:color="auto" w:fill="auto"/>
          </w:tcPr>
          <w:p w14:paraId="4D18A697" w14:textId="05D410A8" w:rsidR="004D38A9" w:rsidRPr="00500CF6" w:rsidRDefault="00115406" w:rsidP="001B1EBC">
            <w:pPr>
              <w:spacing w:line="480" w:lineRule="auto"/>
              <w:ind w:left="-108"/>
              <w:jc w:val="right"/>
              <w:rPr>
                <w:rFonts w:ascii="Arial" w:hAnsi="Arial" w:cs="Arial"/>
                <w:b/>
                <w:sz w:val="24"/>
                <w:szCs w:val="24"/>
              </w:rPr>
            </w:pPr>
            <w:r>
              <w:rPr>
                <w:rFonts w:ascii="Arial" w:hAnsi="Arial" w:cs="Arial"/>
                <w:b/>
                <w:sz w:val="24"/>
                <w:szCs w:val="24"/>
              </w:rPr>
              <w:t>Applicant</w:t>
            </w:r>
          </w:p>
        </w:tc>
      </w:tr>
      <w:tr w:rsidR="004D38A9" w:rsidRPr="00500CF6" w14:paraId="189B3640" w14:textId="77777777" w:rsidTr="001B1EBC">
        <w:tc>
          <w:tcPr>
            <w:tcW w:w="6087" w:type="dxa"/>
            <w:shd w:val="clear" w:color="auto" w:fill="auto"/>
          </w:tcPr>
          <w:p w14:paraId="4F209112" w14:textId="6E44D230" w:rsidR="004D38A9" w:rsidRPr="00500CF6" w:rsidRDefault="009960B7" w:rsidP="001B1EBC">
            <w:pPr>
              <w:spacing w:line="480" w:lineRule="auto"/>
              <w:ind w:left="-108"/>
              <w:jc w:val="both"/>
              <w:rPr>
                <w:rFonts w:ascii="Arial" w:hAnsi="Arial" w:cs="Arial"/>
                <w:sz w:val="24"/>
                <w:szCs w:val="24"/>
              </w:rPr>
            </w:pPr>
            <w:r>
              <w:rPr>
                <w:rFonts w:ascii="Arial" w:hAnsi="Arial" w:cs="Arial"/>
                <w:sz w:val="24"/>
                <w:szCs w:val="24"/>
              </w:rPr>
              <w:t>a</w:t>
            </w:r>
            <w:r w:rsidR="004D38A9" w:rsidRPr="00500CF6">
              <w:rPr>
                <w:rFonts w:ascii="Arial" w:hAnsi="Arial" w:cs="Arial"/>
                <w:sz w:val="24"/>
                <w:szCs w:val="24"/>
              </w:rPr>
              <w:t>nd</w:t>
            </w:r>
          </w:p>
        </w:tc>
        <w:tc>
          <w:tcPr>
            <w:tcW w:w="3034" w:type="dxa"/>
            <w:shd w:val="clear" w:color="auto" w:fill="auto"/>
          </w:tcPr>
          <w:p w14:paraId="2F6A35B5" w14:textId="77777777" w:rsidR="004D38A9" w:rsidRPr="00500CF6" w:rsidRDefault="004D38A9" w:rsidP="001B1EBC">
            <w:pPr>
              <w:spacing w:line="480" w:lineRule="auto"/>
              <w:jc w:val="right"/>
              <w:rPr>
                <w:rFonts w:ascii="Arial" w:hAnsi="Arial" w:cs="Arial"/>
                <w:b/>
                <w:sz w:val="24"/>
                <w:szCs w:val="24"/>
              </w:rPr>
            </w:pPr>
          </w:p>
        </w:tc>
      </w:tr>
      <w:tr w:rsidR="004D38A9" w:rsidRPr="00146CC5" w14:paraId="42F9F4CF" w14:textId="77777777" w:rsidTr="001B1EBC">
        <w:tc>
          <w:tcPr>
            <w:tcW w:w="6087" w:type="dxa"/>
            <w:shd w:val="clear" w:color="auto" w:fill="auto"/>
          </w:tcPr>
          <w:p w14:paraId="157CF265" w14:textId="241C1DC0" w:rsidR="004D38A9" w:rsidRPr="00500CF6" w:rsidRDefault="004D38A9" w:rsidP="001B1EBC">
            <w:pPr>
              <w:spacing w:line="480" w:lineRule="auto"/>
              <w:ind w:hanging="108"/>
              <w:jc w:val="both"/>
              <w:rPr>
                <w:rFonts w:ascii="Arial" w:hAnsi="Arial" w:cs="Arial"/>
                <w:b/>
                <w:sz w:val="24"/>
                <w:szCs w:val="24"/>
              </w:rPr>
            </w:pPr>
            <w:r>
              <w:rPr>
                <w:rFonts w:ascii="Arial" w:hAnsi="Arial" w:cs="Arial"/>
                <w:b/>
                <w:sz w:val="24"/>
                <w:szCs w:val="24"/>
              </w:rPr>
              <w:t xml:space="preserve">ALEXANDER WERNER KLEIN </w:t>
            </w:r>
          </w:p>
        </w:tc>
        <w:tc>
          <w:tcPr>
            <w:tcW w:w="3034" w:type="dxa"/>
            <w:shd w:val="clear" w:color="auto" w:fill="auto"/>
          </w:tcPr>
          <w:p w14:paraId="756BC88E" w14:textId="340B0A60" w:rsidR="004D38A9" w:rsidRPr="00500CF6" w:rsidRDefault="004D38A9" w:rsidP="001B1EBC">
            <w:pPr>
              <w:spacing w:line="480" w:lineRule="auto"/>
              <w:jc w:val="right"/>
              <w:rPr>
                <w:rFonts w:ascii="Arial" w:hAnsi="Arial" w:cs="Arial"/>
                <w:b/>
                <w:sz w:val="24"/>
                <w:szCs w:val="24"/>
              </w:rPr>
            </w:pPr>
            <w:r w:rsidRPr="00500CF6">
              <w:rPr>
                <w:rFonts w:ascii="Arial" w:hAnsi="Arial" w:cs="Arial"/>
                <w:b/>
                <w:sz w:val="24"/>
                <w:szCs w:val="24"/>
              </w:rPr>
              <w:t>Respondent</w:t>
            </w:r>
          </w:p>
        </w:tc>
      </w:tr>
    </w:tbl>
    <w:p w14:paraId="58E44851" w14:textId="77777777" w:rsidR="004D38A9" w:rsidRDefault="004D38A9" w:rsidP="004D38A9">
      <w:pPr>
        <w:spacing w:after="0" w:line="480" w:lineRule="auto"/>
        <w:jc w:val="both"/>
        <w:rPr>
          <w:rFonts w:ascii="Arial" w:hAnsi="Arial" w:cs="Arial"/>
          <w:b/>
          <w:sz w:val="24"/>
          <w:szCs w:val="24"/>
        </w:rPr>
      </w:pPr>
    </w:p>
    <w:p w14:paraId="1C3C6336" w14:textId="36D720BF" w:rsidR="004D38A9" w:rsidRDefault="004D38A9" w:rsidP="004D38A9">
      <w:pPr>
        <w:spacing w:after="0" w:line="480" w:lineRule="auto"/>
        <w:jc w:val="both"/>
        <w:rPr>
          <w:rFonts w:ascii="Arial" w:hAnsi="Arial" w:cs="Arial"/>
          <w:sz w:val="24"/>
          <w:szCs w:val="24"/>
        </w:rPr>
      </w:pPr>
      <w:r w:rsidRPr="00594B41">
        <w:rPr>
          <w:rFonts w:ascii="Arial" w:hAnsi="Arial" w:cs="Arial"/>
          <w:b/>
          <w:sz w:val="24"/>
          <w:szCs w:val="24"/>
        </w:rPr>
        <w:t>Coram:</w:t>
      </w:r>
      <w:r>
        <w:rPr>
          <w:rFonts w:ascii="Arial" w:hAnsi="Arial" w:cs="Arial"/>
          <w:sz w:val="24"/>
          <w:szCs w:val="24"/>
        </w:rPr>
        <w:tab/>
        <w:t xml:space="preserve">MAINGA JA, ANGULA AJA </w:t>
      </w:r>
      <w:r w:rsidRPr="007D275A">
        <w:rPr>
          <w:rFonts w:ascii="Arial" w:hAnsi="Arial" w:cs="Arial"/>
          <w:sz w:val="24"/>
          <w:szCs w:val="24"/>
        </w:rPr>
        <w:t>and</w:t>
      </w:r>
      <w:r>
        <w:rPr>
          <w:rFonts w:ascii="Arial" w:hAnsi="Arial" w:cs="Arial"/>
          <w:sz w:val="24"/>
          <w:szCs w:val="24"/>
        </w:rPr>
        <w:t xml:space="preserve"> MAKARAU AJA </w:t>
      </w:r>
    </w:p>
    <w:p w14:paraId="53B6D101" w14:textId="41F952C8" w:rsidR="004D38A9" w:rsidRPr="00594B41" w:rsidRDefault="004D38A9" w:rsidP="004D38A9">
      <w:pPr>
        <w:spacing w:after="0" w:line="480" w:lineRule="auto"/>
        <w:jc w:val="both"/>
        <w:rPr>
          <w:rFonts w:ascii="Arial" w:hAnsi="Arial" w:cs="Arial"/>
          <w:b/>
          <w:sz w:val="24"/>
          <w:szCs w:val="24"/>
        </w:rPr>
      </w:pPr>
      <w:r w:rsidRPr="00594B41">
        <w:rPr>
          <w:rFonts w:ascii="Arial" w:hAnsi="Arial" w:cs="Arial"/>
          <w:b/>
          <w:sz w:val="24"/>
          <w:szCs w:val="24"/>
        </w:rPr>
        <w:t>Heard</w:t>
      </w:r>
      <w:r>
        <w:rPr>
          <w:rFonts w:ascii="Arial" w:hAnsi="Arial" w:cs="Arial"/>
          <w:b/>
          <w:sz w:val="24"/>
          <w:szCs w:val="24"/>
        </w:rPr>
        <w:t>:</w:t>
      </w:r>
      <w:r>
        <w:rPr>
          <w:rFonts w:ascii="Arial" w:hAnsi="Arial" w:cs="Arial"/>
          <w:b/>
          <w:sz w:val="24"/>
          <w:szCs w:val="24"/>
        </w:rPr>
        <w:tab/>
        <w:t>30 October</w:t>
      </w:r>
      <w:r w:rsidRPr="00594B41">
        <w:rPr>
          <w:rFonts w:ascii="Arial" w:hAnsi="Arial" w:cs="Arial"/>
          <w:b/>
          <w:sz w:val="24"/>
          <w:szCs w:val="24"/>
        </w:rPr>
        <w:t xml:space="preserve"> 20</w:t>
      </w:r>
      <w:r>
        <w:rPr>
          <w:rFonts w:ascii="Arial" w:hAnsi="Arial" w:cs="Arial"/>
          <w:b/>
          <w:sz w:val="24"/>
          <w:szCs w:val="24"/>
        </w:rPr>
        <w:t>23</w:t>
      </w:r>
    </w:p>
    <w:p w14:paraId="277CEAA8" w14:textId="00EF1FE0" w:rsidR="004D38A9" w:rsidRDefault="004D38A9" w:rsidP="004D38A9">
      <w:pPr>
        <w:spacing w:after="0" w:line="480" w:lineRule="auto"/>
        <w:jc w:val="both"/>
        <w:rPr>
          <w:rFonts w:ascii="Arial" w:hAnsi="Arial" w:cs="Arial"/>
          <w:b/>
          <w:sz w:val="24"/>
          <w:szCs w:val="24"/>
        </w:rPr>
      </w:pPr>
      <w:r w:rsidRPr="00594B41">
        <w:rPr>
          <w:rFonts w:ascii="Arial" w:hAnsi="Arial" w:cs="Arial"/>
          <w:b/>
          <w:sz w:val="24"/>
          <w:szCs w:val="24"/>
        </w:rPr>
        <w:t>Delivered:</w:t>
      </w:r>
      <w:r>
        <w:rPr>
          <w:rFonts w:ascii="Arial" w:hAnsi="Arial" w:cs="Arial"/>
          <w:b/>
          <w:sz w:val="24"/>
          <w:szCs w:val="24"/>
        </w:rPr>
        <w:tab/>
      </w:r>
      <w:r w:rsidR="004E46B6">
        <w:rPr>
          <w:rFonts w:ascii="Arial" w:hAnsi="Arial" w:cs="Arial"/>
          <w:b/>
          <w:sz w:val="24"/>
          <w:szCs w:val="24"/>
        </w:rPr>
        <w:t>30</w:t>
      </w:r>
      <w:r w:rsidR="000A1038">
        <w:rPr>
          <w:rFonts w:ascii="Arial" w:hAnsi="Arial" w:cs="Arial"/>
          <w:b/>
          <w:sz w:val="24"/>
          <w:szCs w:val="24"/>
        </w:rPr>
        <w:t xml:space="preserve"> November 2023</w:t>
      </w:r>
      <w:r>
        <w:rPr>
          <w:rFonts w:ascii="Arial" w:hAnsi="Arial" w:cs="Arial"/>
          <w:b/>
          <w:sz w:val="24"/>
          <w:szCs w:val="24"/>
        </w:rPr>
        <w:t xml:space="preserve"> </w:t>
      </w:r>
    </w:p>
    <w:p w14:paraId="7E42F9F5" w14:textId="77777777" w:rsidR="004D38A9" w:rsidRDefault="004D38A9" w:rsidP="004D38A9">
      <w:pPr>
        <w:spacing w:after="0" w:line="480" w:lineRule="auto"/>
        <w:jc w:val="both"/>
        <w:rPr>
          <w:rFonts w:ascii="Arial" w:hAnsi="Arial" w:cs="Arial"/>
          <w:b/>
          <w:sz w:val="24"/>
          <w:szCs w:val="24"/>
        </w:rPr>
      </w:pPr>
    </w:p>
    <w:p w14:paraId="0D078C7F" w14:textId="05527E7D" w:rsidR="00645567" w:rsidRDefault="004D38A9" w:rsidP="002878F7">
      <w:pPr>
        <w:spacing w:after="0" w:line="360" w:lineRule="auto"/>
        <w:jc w:val="both"/>
        <w:rPr>
          <w:rFonts w:ascii="Arial" w:hAnsi="Arial" w:cs="Arial"/>
          <w:sz w:val="24"/>
          <w:szCs w:val="24"/>
        </w:rPr>
      </w:pPr>
      <w:r>
        <w:rPr>
          <w:rFonts w:ascii="Arial" w:hAnsi="Arial" w:cs="Arial"/>
          <w:b/>
          <w:sz w:val="24"/>
          <w:szCs w:val="24"/>
        </w:rPr>
        <w:t xml:space="preserve">Summary: </w:t>
      </w:r>
      <w:r>
        <w:rPr>
          <w:rFonts w:ascii="Arial" w:hAnsi="Arial" w:cs="Arial"/>
          <w:b/>
          <w:sz w:val="24"/>
          <w:szCs w:val="24"/>
        </w:rPr>
        <w:tab/>
      </w:r>
      <w:r w:rsidR="0056467B">
        <w:rPr>
          <w:rFonts w:ascii="Arial" w:hAnsi="Arial" w:cs="Arial"/>
          <w:sz w:val="24"/>
          <w:szCs w:val="24"/>
        </w:rPr>
        <w:t>This is</w:t>
      </w:r>
      <w:r w:rsidR="00645567">
        <w:rPr>
          <w:rFonts w:ascii="Arial" w:hAnsi="Arial" w:cs="Arial"/>
          <w:sz w:val="24"/>
          <w:szCs w:val="24"/>
        </w:rPr>
        <w:t xml:space="preserve"> an application for condonation for the late filing of the</w:t>
      </w:r>
      <w:r w:rsidR="0056467B">
        <w:rPr>
          <w:rFonts w:ascii="Arial" w:hAnsi="Arial" w:cs="Arial"/>
          <w:sz w:val="24"/>
          <w:szCs w:val="24"/>
        </w:rPr>
        <w:t xml:space="preserve"> applicant’s notice of appeal. T</w:t>
      </w:r>
      <w:r w:rsidR="00645567">
        <w:rPr>
          <w:rFonts w:ascii="Arial" w:hAnsi="Arial" w:cs="Arial"/>
          <w:sz w:val="24"/>
          <w:szCs w:val="24"/>
        </w:rPr>
        <w:t xml:space="preserve">he applicant intends to appeal against a judgment/order of the court </w:t>
      </w:r>
      <w:r w:rsidR="00645567" w:rsidRPr="000A1038">
        <w:rPr>
          <w:rFonts w:ascii="Arial" w:hAnsi="Arial" w:cs="Arial"/>
          <w:i/>
          <w:sz w:val="24"/>
          <w:szCs w:val="24"/>
        </w:rPr>
        <w:t>a quo</w:t>
      </w:r>
      <w:r w:rsidR="00645567">
        <w:rPr>
          <w:rFonts w:ascii="Arial" w:hAnsi="Arial" w:cs="Arial"/>
          <w:sz w:val="24"/>
          <w:szCs w:val="24"/>
        </w:rPr>
        <w:t xml:space="preserve"> granting absolution in an action where he was the plaintiff </w:t>
      </w:r>
      <w:r w:rsidR="00645567" w:rsidRPr="00C54985">
        <w:rPr>
          <w:rFonts w:ascii="Arial" w:hAnsi="Arial" w:cs="Arial"/>
          <w:i/>
          <w:sz w:val="24"/>
          <w:szCs w:val="24"/>
        </w:rPr>
        <w:t>a quo</w:t>
      </w:r>
      <w:r w:rsidR="00645567">
        <w:rPr>
          <w:rFonts w:ascii="Arial" w:hAnsi="Arial" w:cs="Arial"/>
          <w:sz w:val="24"/>
          <w:szCs w:val="24"/>
        </w:rPr>
        <w:t xml:space="preserve">. The </w:t>
      </w:r>
      <w:r w:rsidR="00645567">
        <w:rPr>
          <w:rFonts w:ascii="Arial" w:hAnsi="Arial" w:cs="Arial"/>
          <w:sz w:val="24"/>
          <w:szCs w:val="24"/>
        </w:rPr>
        <w:lastRenderedPageBreak/>
        <w:t>judgment/order granting absolution w</w:t>
      </w:r>
      <w:r w:rsidR="004C1E18">
        <w:rPr>
          <w:rFonts w:ascii="Arial" w:hAnsi="Arial" w:cs="Arial"/>
          <w:sz w:val="24"/>
          <w:szCs w:val="24"/>
        </w:rPr>
        <w:t>as delivered on 25 February 2021</w:t>
      </w:r>
      <w:r w:rsidR="00645567">
        <w:rPr>
          <w:rFonts w:ascii="Arial" w:hAnsi="Arial" w:cs="Arial"/>
          <w:sz w:val="24"/>
          <w:szCs w:val="24"/>
        </w:rPr>
        <w:t>. The applicant however only filed the notice of appeal on 29 July 2021, which was more than 21 days from the date of the judgment/order sought to be appealed against. The applicant’s counsel submitted that the delay was on account of the applicant’s legal team’s wrong understanding of the law as regards</w:t>
      </w:r>
      <w:r w:rsidR="00C54985">
        <w:rPr>
          <w:rFonts w:ascii="Arial" w:hAnsi="Arial" w:cs="Arial"/>
          <w:sz w:val="24"/>
          <w:szCs w:val="24"/>
        </w:rPr>
        <w:t xml:space="preserve"> to</w:t>
      </w:r>
      <w:r w:rsidR="00645567">
        <w:rPr>
          <w:rFonts w:ascii="Arial" w:hAnsi="Arial" w:cs="Arial"/>
          <w:sz w:val="24"/>
          <w:szCs w:val="24"/>
        </w:rPr>
        <w:t xml:space="preserve"> appeals against orders/judgments granting absolution. </w:t>
      </w:r>
      <w:r w:rsidR="004C1E18" w:rsidRPr="00C54985">
        <w:rPr>
          <w:rFonts w:ascii="Arial" w:hAnsi="Arial" w:cs="Arial"/>
          <w:i/>
          <w:sz w:val="24"/>
          <w:szCs w:val="24"/>
        </w:rPr>
        <w:t>Per contra</w:t>
      </w:r>
      <w:r w:rsidR="004C1E18">
        <w:rPr>
          <w:rFonts w:ascii="Arial" w:hAnsi="Arial" w:cs="Arial"/>
          <w:sz w:val="24"/>
          <w:szCs w:val="24"/>
        </w:rPr>
        <w:t xml:space="preserve">, the respondent </w:t>
      </w:r>
      <w:r w:rsidR="00645567">
        <w:rPr>
          <w:rFonts w:ascii="Arial" w:hAnsi="Arial" w:cs="Arial"/>
          <w:sz w:val="24"/>
          <w:szCs w:val="24"/>
        </w:rPr>
        <w:t>submitted that, had t</w:t>
      </w:r>
      <w:r w:rsidR="004C1E18">
        <w:rPr>
          <w:rFonts w:ascii="Arial" w:hAnsi="Arial" w:cs="Arial"/>
          <w:sz w:val="24"/>
          <w:szCs w:val="24"/>
        </w:rPr>
        <w:t xml:space="preserve">he applicant’s counsel </w:t>
      </w:r>
      <w:r w:rsidR="00645567">
        <w:rPr>
          <w:rFonts w:ascii="Arial" w:hAnsi="Arial" w:cs="Arial"/>
          <w:sz w:val="24"/>
          <w:szCs w:val="24"/>
        </w:rPr>
        <w:t>research</w:t>
      </w:r>
      <w:r w:rsidR="004C1E18">
        <w:rPr>
          <w:rFonts w:ascii="Arial" w:hAnsi="Arial" w:cs="Arial"/>
          <w:sz w:val="24"/>
          <w:szCs w:val="24"/>
        </w:rPr>
        <w:t>ed on the issue,</w:t>
      </w:r>
      <w:r w:rsidR="0028420C">
        <w:rPr>
          <w:rFonts w:ascii="Arial" w:hAnsi="Arial" w:cs="Arial"/>
          <w:sz w:val="24"/>
          <w:szCs w:val="24"/>
        </w:rPr>
        <w:t xml:space="preserve"> they would have established </w:t>
      </w:r>
      <w:r w:rsidR="00645567">
        <w:rPr>
          <w:rFonts w:ascii="Arial" w:hAnsi="Arial" w:cs="Arial"/>
          <w:sz w:val="24"/>
          <w:szCs w:val="24"/>
        </w:rPr>
        <w:t xml:space="preserve">that an order granting absolution can </w:t>
      </w:r>
      <w:r w:rsidR="004C1E18">
        <w:rPr>
          <w:rFonts w:ascii="Arial" w:hAnsi="Arial" w:cs="Arial"/>
          <w:sz w:val="24"/>
          <w:szCs w:val="24"/>
        </w:rPr>
        <w:t>be appealed against as of right and that this is the settled position of the law.</w:t>
      </w:r>
    </w:p>
    <w:p w14:paraId="347EC4D3" w14:textId="77777777" w:rsidR="009E4D2A" w:rsidRDefault="009E4D2A" w:rsidP="00B21341">
      <w:pPr>
        <w:spacing w:after="0" w:line="360" w:lineRule="auto"/>
        <w:jc w:val="both"/>
        <w:rPr>
          <w:rFonts w:ascii="Arial" w:hAnsi="Arial" w:cs="Arial"/>
          <w:sz w:val="24"/>
          <w:szCs w:val="24"/>
        </w:rPr>
      </w:pPr>
    </w:p>
    <w:p w14:paraId="640BE710" w14:textId="369EDB4D" w:rsidR="0028420C" w:rsidRDefault="0028420C" w:rsidP="00B21341">
      <w:pPr>
        <w:spacing w:after="0" w:line="360" w:lineRule="auto"/>
        <w:jc w:val="both"/>
        <w:rPr>
          <w:rFonts w:ascii="Arial" w:hAnsi="Arial" w:cs="Arial"/>
          <w:sz w:val="24"/>
          <w:szCs w:val="24"/>
        </w:rPr>
      </w:pPr>
      <w:r>
        <w:rPr>
          <w:rFonts w:ascii="Arial" w:hAnsi="Arial" w:cs="Arial"/>
          <w:sz w:val="24"/>
          <w:szCs w:val="24"/>
        </w:rPr>
        <w:t xml:space="preserve">The applicant had instead sought to impugn the order granting absolution by way of a review under </w:t>
      </w:r>
      <w:r w:rsidR="0056467B">
        <w:rPr>
          <w:rFonts w:ascii="Arial" w:hAnsi="Arial" w:cs="Arial"/>
          <w:sz w:val="24"/>
          <w:szCs w:val="24"/>
        </w:rPr>
        <w:t>s</w:t>
      </w:r>
      <w:r>
        <w:rPr>
          <w:rFonts w:ascii="Arial" w:hAnsi="Arial" w:cs="Arial"/>
          <w:sz w:val="24"/>
          <w:szCs w:val="24"/>
        </w:rPr>
        <w:t xml:space="preserve"> 16 of the Supreme Court Act</w:t>
      </w:r>
      <w:r w:rsidR="00C54985">
        <w:rPr>
          <w:rFonts w:ascii="Arial" w:hAnsi="Arial" w:cs="Arial"/>
          <w:sz w:val="24"/>
          <w:szCs w:val="24"/>
        </w:rPr>
        <w:t xml:space="preserve"> 15 of</w:t>
      </w:r>
      <w:r w:rsidR="003B3B03">
        <w:rPr>
          <w:rFonts w:ascii="Arial" w:hAnsi="Arial" w:cs="Arial"/>
          <w:sz w:val="24"/>
          <w:szCs w:val="24"/>
        </w:rPr>
        <w:t xml:space="preserve"> 1990</w:t>
      </w:r>
      <w:r>
        <w:rPr>
          <w:rFonts w:ascii="Arial" w:hAnsi="Arial" w:cs="Arial"/>
          <w:sz w:val="24"/>
          <w:szCs w:val="24"/>
        </w:rPr>
        <w:t>. He was not successful.</w:t>
      </w:r>
    </w:p>
    <w:p w14:paraId="2BD062E1" w14:textId="77777777" w:rsidR="00B21341" w:rsidRDefault="00B21341" w:rsidP="00B21341">
      <w:pPr>
        <w:spacing w:after="0" w:line="360" w:lineRule="auto"/>
        <w:jc w:val="both"/>
        <w:rPr>
          <w:rFonts w:ascii="Arial" w:hAnsi="Arial" w:cs="Arial"/>
          <w:sz w:val="24"/>
          <w:szCs w:val="24"/>
        </w:rPr>
      </w:pPr>
    </w:p>
    <w:p w14:paraId="75A596EF" w14:textId="77777777" w:rsidR="00645567" w:rsidRDefault="00645567" w:rsidP="00B21341">
      <w:pPr>
        <w:spacing w:after="0" w:line="360" w:lineRule="auto"/>
        <w:jc w:val="both"/>
        <w:rPr>
          <w:rFonts w:ascii="Arial" w:hAnsi="Arial" w:cs="Arial"/>
          <w:sz w:val="24"/>
          <w:szCs w:val="24"/>
        </w:rPr>
      </w:pPr>
      <w:r w:rsidRPr="000A3D2C">
        <w:rPr>
          <w:rFonts w:ascii="Arial" w:hAnsi="Arial" w:cs="Arial"/>
          <w:i/>
          <w:iCs/>
          <w:sz w:val="24"/>
          <w:szCs w:val="24"/>
        </w:rPr>
        <w:t>Held that</w:t>
      </w:r>
      <w:r w:rsidRPr="00C54985">
        <w:rPr>
          <w:rFonts w:ascii="Arial" w:hAnsi="Arial" w:cs="Arial"/>
          <w:iCs/>
          <w:sz w:val="24"/>
          <w:szCs w:val="24"/>
        </w:rPr>
        <w:t>;</w:t>
      </w:r>
      <w:r w:rsidRPr="00C54985">
        <w:rPr>
          <w:rFonts w:ascii="Arial" w:hAnsi="Arial" w:cs="Arial"/>
          <w:sz w:val="24"/>
          <w:szCs w:val="24"/>
        </w:rPr>
        <w:t xml:space="preserve"> </w:t>
      </w:r>
      <w:r>
        <w:rPr>
          <w:rFonts w:ascii="Arial" w:hAnsi="Arial" w:cs="Arial"/>
          <w:sz w:val="24"/>
          <w:szCs w:val="24"/>
        </w:rPr>
        <w:t xml:space="preserve">orders granting absolution are appealable. </w:t>
      </w:r>
    </w:p>
    <w:p w14:paraId="313D8D58" w14:textId="77777777" w:rsidR="00B21341" w:rsidRDefault="00B21341" w:rsidP="00B21341">
      <w:pPr>
        <w:spacing w:after="0" w:line="360" w:lineRule="auto"/>
        <w:jc w:val="both"/>
        <w:rPr>
          <w:rFonts w:ascii="Arial" w:hAnsi="Arial" w:cs="Arial"/>
          <w:sz w:val="24"/>
          <w:szCs w:val="24"/>
        </w:rPr>
      </w:pPr>
    </w:p>
    <w:p w14:paraId="6C9C54DE" w14:textId="0B6557FA" w:rsidR="00645567" w:rsidRDefault="00645567" w:rsidP="00B21341">
      <w:pPr>
        <w:spacing w:after="0" w:line="360" w:lineRule="auto"/>
        <w:jc w:val="both"/>
        <w:rPr>
          <w:rFonts w:ascii="Arial" w:hAnsi="Arial" w:cs="Arial"/>
          <w:sz w:val="24"/>
          <w:szCs w:val="24"/>
        </w:rPr>
      </w:pPr>
      <w:r w:rsidRPr="000A3D2C">
        <w:rPr>
          <w:rFonts w:ascii="Arial" w:hAnsi="Arial" w:cs="Arial"/>
          <w:i/>
          <w:iCs/>
          <w:sz w:val="24"/>
          <w:szCs w:val="24"/>
        </w:rPr>
        <w:t>Held that</w:t>
      </w:r>
      <w:r w:rsidRPr="00C54985">
        <w:rPr>
          <w:rFonts w:ascii="Arial" w:hAnsi="Arial" w:cs="Arial"/>
          <w:i/>
          <w:sz w:val="24"/>
          <w:szCs w:val="24"/>
        </w:rPr>
        <w:t>;</w:t>
      </w:r>
      <w:r>
        <w:rPr>
          <w:rFonts w:ascii="Arial" w:hAnsi="Arial" w:cs="Arial"/>
          <w:sz w:val="24"/>
          <w:szCs w:val="24"/>
        </w:rPr>
        <w:t xml:space="preserve"> the applicant’s explanation for the non-complia</w:t>
      </w:r>
      <w:r w:rsidR="0081568F">
        <w:rPr>
          <w:rFonts w:ascii="Arial" w:hAnsi="Arial" w:cs="Arial"/>
          <w:sz w:val="24"/>
          <w:szCs w:val="24"/>
        </w:rPr>
        <w:t xml:space="preserve">nce with the rules is inexcusable </w:t>
      </w:r>
      <w:r>
        <w:rPr>
          <w:rFonts w:ascii="Arial" w:hAnsi="Arial" w:cs="Arial"/>
          <w:sz w:val="24"/>
          <w:szCs w:val="24"/>
        </w:rPr>
        <w:t>and rejected.</w:t>
      </w:r>
    </w:p>
    <w:p w14:paraId="131F17E8" w14:textId="77777777" w:rsidR="00B21341" w:rsidRDefault="00B21341" w:rsidP="00B21341">
      <w:pPr>
        <w:spacing w:after="0" w:line="360" w:lineRule="auto"/>
        <w:jc w:val="both"/>
        <w:rPr>
          <w:rFonts w:ascii="Arial" w:hAnsi="Arial" w:cs="Arial"/>
          <w:sz w:val="24"/>
          <w:szCs w:val="24"/>
        </w:rPr>
      </w:pPr>
    </w:p>
    <w:p w14:paraId="7AE38FE8" w14:textId="7BEA154A" w:rsidR="004D38A9" w:rsidRPr="00961779" w:rsidRDefault="00645567" w:rsidP="00B21341">
      <w:pPr>
        <w:spacing w:after="0" w:line="360" w:lineRule="auto"/>
        <w:jc w:val="both"/>
        <w:rPr>
          <w:rFonts w:ascii="Arial" w:hAnsi="Arial" w:cs="Arial"/>
          <w:sz w:val="24"/>
          <w:szCs w:val="24"/>
        </w:rPr>
      </w:pPr>
      <w:r>
        <w:rPr>
          <w:rFonts w:ascii="Arial" w:hAnsi="Arial" w:cs="Arial"/>
          <w:sz w:val="24"/>
          <w:szCs w:val="24"/>
        </w:rPr>
        <w:t>The application is dismissed with costs.</w:t>
      </w:r>
    </w:p>
    <w:p w14:paraId="07149F10" w14:textId="579702EB" w:rsidR="004D38A9" w:rsidRPr="00BD7C87" w:rsidRDefault="004D38A9" w:rsidP="004D38A9">
      <w:pPr>
        <w:spacing w:after="0" w:line="360" w:lineRule="auto"/>
        <w:jc w:val="both"/>
        <w:rPr>
          <w:rFonts w:ascii="Arial" w:hAnsi="Arial" w:cs="Arial"/>
          <w:i/>
          <w:sz w:val="24"/>
          <w:szCs w:val="24"/>
        </w:rPr>
      </w:pPr>
      <w:r>
        <w:rPr>
          <w:rFonts w:ascii="Arial" w:hAnsi="Arial" w:cs="Arial"/>
          <w:sz w:val="24"/>
          <w:szCs w:val="24"/>
        </w:rPr>
        <w:t>_____________________________________________________________</w:t>
      </w:r>
      <w:r w:rsidR="00F52D8C">
        <w:rPr>
          <w:rFonts w:ascii="Arial" w:hAnsi="Arial" w:cs="Arial"/>
          <w:sz w:val="24"/>
          <w:szCs w:val="24"/>
        </w:rPr>
        <w:t>__</w:t>
      </w:r>
      <w:r>
        <w:rPr>
          <w:rFonts w:ascii="Arial" w:hAnsi="Arial" w:cs="Arial"/>
          <w:sz w:val="24"/>
          <w:szCs w:val="24"/>
        </w:rPr>
        <w:t>_____</w:t>
      </w:r>
    </w:p>
    <w:p w14:paraId="3D26CBF4" w14:textId="77777777" w:rsidR="004D38A9" w:rsidRPr="00A9489D" w:rsidRDefault="004D38A9" w:rsidP="00C54985">
      <w:pPr>
        <w:spacing w:after="0" w:line="240" w:lineRule="auto"/>
        <w:jc w:val="center"/>
        <w:rPr>
          <w:rFonts w:ascii="Arial" w:hAnsi="Arial" w:cs="Arial"/>
          <w:b/>
          <w:sz w:val="24"/>
          <w:szCs w:val="24"/>
        </w:rPr>
      </w:pPr>
      <w:r w:rsidRPr="00A9489D">
        <w:rPr>
          <w:rFonts w:ascii="Arial" w:hAnsi="Arial" w:cs="Arial"/>
          <w:b/>
          <w:sz w:val="24"/>
          <w:szCs w:val="24"/>
        </w:rPr>
        <w:t>APPEAL JUDGMENT</w:t>
      </w:r>
    </w:p>
    <w:p w14:paraId="146B30C0" w14:textId="77777777" w:rsidR="004D38A9" w:rsidRPr="00B35813" w:rsidRDefault="004D38A9" w:rsidP="004D38A9">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w:t>
      </w:r>
    </w:p>
    <w:p w14:paraId="6F39F8CF" w14:textId="497DE6C6" w:rsidR="004D38A9" w:rsidRDefault="004D38A9" w:rsidP="004D38A9">
      <w:pPr>
        <w:spacing w:after="0" w:line="480" w:lineRule="auto"/>
        <w:jc w:val="both"/>
        <w:rPr>
          <w:rFonts w:ascii="Arial" w:hAnsi="Arial" w:cs="Arial"/>
          <w:sz w:val="24"/>
          <w:szCs w:val="24"/>
        </w:rPr>
      </w:pPr>
      <w:r w:rsidRPr="00861369">
        <w:rPr>
          <w:rFonts w:ascii="Arial" w:hAnsi="Arial" w:cs="Arial"/>
          <w:sz w:val="24"/>
          <w:szCs w:val="24"/>
        </w:rPr>
        <w:t>MA</w:t>
      </w:r>
      <w:r>
        <w:rPr>
          <w:rFonts w:ascii="Arial" w:hAnsi="Arial" w:cs="Arial"/>
          <w:sz w:val="24"/>
          <w:szCs w:val="24"/>
        </w:rPr>
        <w:t>KARAU</w:t>
      </w:r>
      <w:r w:rsidRPr="00861369">
        <w:rPr>
          <w:rFonts w:ascii="Arial" w:hAnsi="Arial" w:cs="Arial"/>
          <w:sz w:val="24"/>
          <w:szCs w:val="24"/>
        </w:rPr>
        <w:t xml:space="preserve"> </w:t>
      </w:r>
      <w:r>
        <w:rPr>
          <w:rFonts w:ascii="Arial" w:hAnsi="Arial" w:cs="Arial"/>
          <w:sz w:val="24"/>
          <w:szCs w:val="24"/>
        </w:rPr>
        <w:t>A</w:t>
      </w:r>
      <w:r w:rsidRPr="00861369">
        <w:rPr>
          <w:rFonts w:ascii="Arial" w:hAnsi="Arial" w:cs="Arial"/>
          <w:sz w:val="24"/>
          <w:szCs w:val="24"/>
        </w:rPr>
        <w:t>JA (</w:t>
      </w:r>
      <w:r>
        <w:rPr>
          <w:rFonts w:ascii="Arial" w:hAnsi="Arial" w:cs="Arial"/>
          <w:sz w:val="24"/>
          <w:szCs w:val="24"/>
        </w:rPr>
        <w:t>MAINGA JA</w:t>
      </w:r>
      <w:r w:rsidRPr="00861369">
        <w:rPr>
          <w:rFonts w:ascii="Arial" w:hAnsi="Arial" w:cs="Arial"/>
          <w:sz w:val="24"/>
          <w:szCs w:val="24"/>
        </w:rPr>
        <w:t xml:space="preserve"> and </w:t>
      </w:r>
      <w:r>
        <w:rPr>
          <w:rFonts w:ascii="Arial" w:hAnsi="Arial" w:cs="Arial"/>
          <w:sz w:val="24"/>
          <w:szCs w:val="24"/>
        </w:rPr>
        <w:t>ANGULA AJ</w:t>
      </w:r>
      <w:r w:rsidRPr="00861369">
        <w:rPr>
          <w:rFonts w:ascii="Arial" w:hAnsi="Arial" w:cs="Arial"/>
          <w:sz w:val="24"/>
          <w:szCs w:val="24"/>
        </w:rPr>
        <w:t>A concurring)</w:t>
      </w:r>
      <w:r>
        <w:rPr>
          <w:rFonts w:ascii="Arial" w:hAnsi="Arial" w:cs="Arial"/>
          <w:sz w:val="24"/>
          <w:szCs w:val="24"/>
        </w:rPr>
        <w:t>:</w:t>
      </w:r>
    </w:p>
    <w:p w14:paraId="1E0B0CD8" w14:textId="77777777" w:rsidR="004D38A9" w:rsidRPr="005807E4" w:rsidRDefault="004D38A9" w:rsidP="004D38A9">
      <w:pPr>
        <w:spacing w:after="0" w:line="480" w:lineRule="auto"/>
        <w:jc w:val="both"/>
        <w:rPr>
          <w:rFonts w:ascii="Arial" w:hAnsi="Arial" w:cs="Arial"/>
          <w:sz w:val="24"/>
          <w:szCs w:val="24"/>
          <w:u w:val="single"/>
        </w:rPr>
      </w:pPr>
      <w:r w:rsidRPr="005807E4">
        <w:rPr>
          <w:rFonts w:ascii="Arial" w:hAnsi="Arial" w:cs="Arial"/>
          <w:sz w:val="24"/>
          <w:szCs w:val="24"/>
          <w:u w:val="single"/>
        </w:rPr>
        <w:t>Introduction</w:t>
      </w:r>
    </w:p>
    <w:p w14:paraId="488A9D73" w14:textId="5034F169" w:rsidR="005C6264" w:rsidRPr="00EB70F8" w:rsidRDefault="0024405E" w:rsidP="0024405E">
      <w:pPr>
        <w:tabs>
          <w:tab w:val="left" w:pos="0"/>
        </w:tabs>
        <w:spacing w:after="0" w:line="480" w:lineRule="auto"/>
        <w:jc w:val="both"/>
        <w:rPr>
          <w:rFonts w:ascii="Arial" w:hAnsi="Arial" w:cs="Arial"/>
          <w:sz w:val="24"/>
          <w:szCs w:val="24"/>
        </w:rPr>
      </w:pPr>
      <w:r w:rsidRPr="00EB70F8">
        <w:rPr>
          <w:rFonts w:ascii="Arial" w:hAnsi="Arial" w:cs="Arial"/>
          <w:sz w:val="24"/>
          <w:szCs w:val="24"/>
        </w:rPr>
        <w:t>[1]</w:t>
      </w:r>
      <w:r w:rsidRPr="00EB70F8">
        <w:rPr>
          <w:rFonts w:ascii="Arial" w:hAnsi="Arial" w:cs="Arial"/>
          <w:sz w:val="24"/>
          <w:szCs w:val="24"/>
        </w:rPr>
        <w:tab/>
      </w:r>
      <w:r w:rsidR="004D38A9" w:rsidRPr="00F52D8C">
        <w:rPr>
          <w:rFonts w:ascii="Arial" w:hAnsi="Arial" w:cs="Arial"/>
          <w:sz w:val="24"/>
          <w:szCs w:val="24"/>
        </w:rPr>
        <w:t xml:space="preserve">This </w:t>
      </w:r>
      <w:r w:rsidR="00E50718">
        <w:rPr>
          <w:rFonts w:ascii="Arial" w:hAnsi="Arial" w:cs="Arial"/>
          <w:sz w:val="24"/>
          <w:szCs w:val="24"/>
        </w:rPr>
        <w:t xml:space="preserve">is an application for condonation </w:t>
      </w:r>
      <w:r w:rsidR="00EE5ED3">
        <w:rPr>
          <w:rFonts w:ascii="Arial" w:hAnsi="Arial" w:cs="Arial"/>
          <w:sz w:val="24"/>
          <w:szCs w:val="24"/>
        </w:rPr>
        <w:t xml:space="preserve">for the late noting of an appeal. If successful, the </w:t>
      </w:r>
      <w:r w:rsidR="00115406">
        <w:rPr>
          <w:rFonts w:ascii="Arial" w:hAnsi="Arial" w:cs="Arial"/>
          <w:sz w:val="24"/>
          <w:szCs w:val="24"/>
        </w:rPr>
        <w:t>applicant</w:t>
      </w:r>
      <w:r w:rsidR="00E50718">
        <w:rPr>
          <w:rFonts w:ascii="Arial" w:hAnsi="Arial" w:cs="Arial"/>
          <w:sz w:val="24"/>
          <w:szCs w:val="24"/>
        </w:rPr>
        <w:t xml:space="preserve"> intends to appeal against the entire judgment and order</w:t>
      </w:r>
      <w:r w:rsidR="00484D71">
        <w:rPr>
          <w:rFonts w:ascii="Arial" w:hAnsi="Arial" w:cs="Arial"/>
          <w:sz w:val="24"/>
          <w:szCs w:val="24"/>
        </w:rPr>
        <w:t>s</w:t>
      </w:r>
      <w:r w:rsidR="00E50718">
        <w:rPr>
          <w:rFonts w:ascii="Arial" w:hAnsi="Arial" w:cs="Arial"/>
          <w:sz w:val="24"/>
          <w:szCs w:val="24"/>
        </w:rPr>
        <w:t xml:space="preserve"> </w:t>
      </w:r>
      <w:r w:rsidR="00EE5ED3">
        <w:rPr>
          <w:rFonts w:ascii="Arial" w:hAnsi="Arial" w:cs="Arial"/>
          <w:sz w:val="24"/>
          <w:szCs w:val="24"/>
        </w:rPr>
        <w:t xml:space="preserve">of the High Court (court </w:t>
      </w:r>
      <w:r w:rsidR="00EE5ED3" w:rsidRPr="00C54985">
        <w:rPr>
          <w:rFonts w:ascii="Arial" w:hAnsi="Arial" w:cs="Arial"/>
          <w:i/>
          <w:sz w:val="24"/>
          <w:szCs w:val="24"/>
        </w:rPr>
        <w:t>a quo</w:t>
      </w:r>
      <w:r w:rsidR="00EE5ED3">
        <w:rPr>
          <w:rFonts w:ascii="Arial" w:hAnsi="Arial" w:cs="Arial"/>
          <w:sz w:val="24"/>
          <w:szCs w:val="24"/>
        </w:rPr>
        <w:t>),</w:t>
      </w:r>
      <w:r w:rsidR="00317F2F">
        <w:rPr>
          <w:rFonts w:ascii="Arial" w:hAnsi="Arial" w:cs="Arial"/>
          <w:sz w:val="24"/>
          <w:szCs w:val="24"/>
        </w:rPr>
        <w:t xml:space="preserve"> delivered on 25 February 2021, absolving the respondent from the instance in a suit brought by the applicant</w:t>
      </w:r>
      <w:r w:rsidR="00360B6D">
        <w:rPr>
          <w:rFonts w:ascii="Arial" w:hAnsi="Arial" w:cs="Arial"/>
          <w:sz w:val="24"/>
          <w:szCs w:val="24"/>
        </w:rPr>
        <w:t xml:space="preserve"> as detailed below</w:t>
      </w:r>
      <w:r w:rsidR="00317F2F">
        <w:rPr>
          <w:rFonts w:ascii="Arial" w:hAnsi="Arial" w:cs="Arial"/>
          <w:sz w:val="24"/>
          <w:szCs w:val="24"/>
        </w:rPr>
        <w:t xml:space="preserve">. The </w:t>
      </w:r>
      <w:r w:rsidR="00115406">
        <w:rPr>
          <w:rFonts w:ascii="Arial" w:hAnsi="Arial" w:cs="Arial"/>
          <w:sz w:val="24"/>
          <w:szCs w:val="24"/>
        </w:rPr>
        <w:t>applicant</w:t>
      </w:r>
      <w:r w:rsidR="00D4654B">
        <w:rPr>
          <w:rFonts w:ascii="Arial" w:hAnsi="Arial" w:cs="Arial"/>
          <w:sz w:val="24"/>
          <w:szCs w:val="24"/>
        </w:rPr>
        <w:t xml:space="preserve"> purported to</w:t>
      </w:r>
      <w:r w:rsidR="00D4654B" w:rsidRPr="00EB70F8">
        <w:rPr>
          <w:rFonts w:ascii="Arial" w:hAnsi="Arial" w:cs="Arial"/>
          <w:sz w:val="24"/>
          <w:szCs w:val="24"/>
        </w:rPr>
        <w:t xml:space="preserve"> file a </w:t>
      </w:r>
      <w:r w:rsidR="00E50718" w:rsidRPr="00EB70F8">
        <w:rPr>
          <w:rFonts w:ascii="Arial" w:hAnsi="Arial" w:cs="Arial"/>
          <w:sz w:val="24"/>
          <w:szCs w:val="24"/>
        </w:rPr>
        <w:t xml:space="preserve">notice of appeal on 29 July 2021. In terms of rule 7(1) of the </w:t>
      </w:r>
      <w:r w:rsidR="00C54985">
        <w:rPr>
          <w:rFonts w:ascii="Arial" w:hAnsi="Arial" w:cs="Arial"/>
          <w:sz w:val="24"/>
          <w:szCs w:val="24"/>
        </w:rPr>
        <w:t>R</w:t>
      </w:r>
      <w:r w:rsidR="00E50718" w:rsidRPr="00EB70F8">
        <w:rPr>
          <w:rFonts w:ascii="Arial" w:hAnsi="Arial" w:cs="Arial"/>
          <w:sz w:val="24"/>
          <w:szCs w:val="24"/>
        </w:rPr>
        <w:t xml:space="preserve">ules </w:t>
      </w:r>
      <w:r w:rsidR="00E50718" w:rsidRPr="00EB70F8">
        <w:rPr>
          <w:rFonts w:ascii="Arial" w:hAnsi="Arial" w:cs="Arial"/>
          <w:sz w:val="24"/>
          <w:szCs w:val="24"/>
        </w:rPr>
        <w:lastRenderedPageBreak/>
        <w:t xml:space="preserve">of this </w:t>
      </w:r>
      <w:r w:rsidR="00C54985">
        <w:rPr>
          <w:rFonts w:ascii="Arial" w:hAnsi="Arial" w:cs="Arial"/>
          <w:sz w:val="24"/>
          <w:szCs w:val="24"/>
        </w:rPr>
        <w:t>C</w:t>
      </w:r>
      <w:r w:rsidR="00E50718" w:rsidRPr="00EB70F8">
        <w:rPr>
          <w:rFonts w:ascii="Arial" w:hAnsi="Arial" w:cs="Arial"/>
          <w:sz w:val="24"/>
          <w:szCs w:val="24"/>
        </w:rPr>
        <w:t xml:space="preserve">ourt, an </w:t>
      </w:r>
      <w:r w:rsidR="00115406" w:rsidRPr="00EB70F8">
        <w:rPr>
          <w:rFonts w:ascii="Arial" w:hAnsi="Arial" w:cs="Arial"/>
          <w:sz w:val="24"/>
          <w:szCs w:val="24"/>
        </w:rPr>
        <w:t>applicant</w:t>
      </w:r>
      <w:r w:rsidR="00E50718" w:rsidRPr="00EB70F8">
        <w:rPr>
          <w:rFonts w:ascii="Arial" w:hAnsi="Arial" w:cs="Arial"/>
          <w:sz w:val="24"/>
          <w:szCs w:val="24"/>
        </w:rPr>
        <w:t xml:space="preserve"> must file a noti</w:t>
      </w:r>
      <w:r w:rsidR="006B10B3" w:rsidRPr="00EB70F8">
        <w:rPr>
          <w:rFonts w:ascii="Arial" w:hAnsi="Arial" w:cs="Arial"/>
          <w:sz w:val="24"/>
          <w:szCs w:val="24"/>
        </w:rPr>
        <w:t xml:space="preserve">ce of </w:t>
      </w:r>
      <w:r w:rsidR="005C6264" w:rsidRPr="00EB70F8">
        <w:rPr>
          <w:rFonts w:ascii="Arial" w:hAnsi="Arial" w:cs="Arial"/>
          <w:sz w:val="24"/>
          <w:szCs w:val="24"/>
        </w:rPr>
        <w:t xml:space="preserve">appeal within 21 days </w:t>
      </w:r>
      <w:r w:rsidR="00C54985">
        <w:rPr>
          <w:rFonts w:ascii="Arial" w:hAnsi="Arial" w:cs="Arial"/>
          <w:sz w:val="24"/>
          <w:szCs w:val="24"/>
        </w:rPr>
        <w:t>from</w:t>
      </w:r>
      <w:r w:rsidR="00E50718" w:rsidRPr="00EB70F8">
        <w:rPr>
          <w:rFonts w:ascii="Arial" w:hAnsi="Arial" w:cs="Arial"/>
          <w:sz w:val="24"/>
          <w:szCs w:val="24"/>
        </w:rPr>
        <w:t xml:space="preserve"> the date of judgment and order</w:t>
      </w:r>
      <w:r w:rsidR="00CD2C2D" w:rsidRPr="00EB70F8">
        <w:rPr>
          <w:rFonts w:ascii="Arial" w:hAnsi="Arial" w:cs="Arial"/>
          <w:sz w:val="24"/>
          <w:szCs w:val="24"/>
        </w:rPr>
        <w:t>(</w:t>
      </w:r>
      <w:r w:rsidR="00E50718" w:rsidRPr="00EB70F8">
        <w:rPr>
          <w:rFonts w:ascii="Arial" w:hAnsi="Arial" w:cs="Arial"/>
          <w:sz w:val="24"/>
          <w:szCs w:val="24"/>
        </w:rPr>
        <w:t>s</w:t>
      </w:r>
      <w:r w:rsidR="00CD2C2D" w:rsidRPr="00EB70F8">
        <w:rPr>
          <w:rFonts w:ascii="Arial" w:hAnsi="Arial" w:cs="Arial"/>
          <w:sz w:val="24"/>
          <w:szCs w:val="24"/>
        </w:rPr>
        <w:t>)</w:t>
      </w:r>
      <w:r w:rsidR="00E50718" w:rsidRPr="00EB70F8">
        <w:rPr>
          <w:rFonts w:ascii="Arial" w:hAnsi="Arial" w:cs="Arial"/>
          <w:sz w:val="24"/>
          <w:szCs w:val="24"/>
        </w:rPr>
        <w:t xml:space="preserve"> appealed against. The </w:t>
      </w:r>
      <w:r w:rsidR="00115406" w:rsidRPr="00EB70F8">
        <w:rPr>
          <w:rFonts w:ascii="Arial" w:hAnsi="Arial" w:cs="Arial"/>
          <w:sz w:val="24"/>
          <w:szCs w:val="24"/>
        </w:rPr>
        <w:t>applicant</w:t>
      </w:r>
      <w:r w:rsidR="00CD2C2D" w:rsidRPr="00EB70F8">
        <w:rPr>
          <w:rFonts w:ascii="Arial" w:hAnsi="Arial" w:cs="Arial"/>
          <w:sz w:val="24"/>
          <w:szCs w:val="24"/>
        </w:rPr>
        <w:t>,</w:t>
      </w:r>
      <w:r w:rsidR="00E50718" w:rsidRPr="00EB70F8">
        <w:rPr>
          <w:rFonts w:ascii="Arial" w:hAnsi="Arial" w:cs="Arial"/>
          <w:sz w:val="24"/>
          <w:szCs w:val="24"/>
        </w:rPr>
        <w:t xml:space="preserve"> having filed </w:t>
      </w:r>
      <w:r w:rsidR="00AF0D3D" w:rsidRPr="00EB70F8">
        <w:rPr>
          <w:rFonts w:ascii="Arial" w:hAnsi="Arial" w:cs="Arial"/>
          <w:sz w:val="24"/>
          <w:szCs w:val="24"/>
        </w:rPr>
        <w:t>the</w:t>
      </w:r>
      <w:r w:rsidR="00E50718" w:rsidRPr="00EB70F8">
        <w:rPr>
          <w:rFonts w:ascii="Arial" w:hAnsi="Arial" w:cs="Arial"/>
          <w:sz w:val="24"/>
          <w:szCs w:val="24"/>
        </w:rPr>
        <w:t xml:space="preserve"> notice of appeal</w:t>
      </w:r>
      <w:r w:rsidR="005C6264" w:rsidRPr="00EB70F8">
        <w:rPr>
          <w:rFonts w:ascii="Arial" w:hAnsi="Arial" w:cs="Arial"/>
          <w:sz w:val="24"/>
          <w:szCs w:val="24"/>
        </w:rPr>
        <w:t xml:space="preserve"> out of the time prescribed by the rules, filed </w:t>
      </w:r>
      <w:r w:rsidR="00EB70F8">
        <w:rPr>
          <w:rFonts w:ascii="Arial" w:hAnsi="Arial" w:cs="Arial"/>
          <w:sz w:val="24"/>
          <w:szCs w:val="24"/>
        </w:rPr>
        <w:t xml:space="preserve">the application in </w:t>
      </w:r>
      <w:proofErr w:type="spellStart"/>
      <w:r w:rsidR="00EB70F8" w:rsidRPr="00B528B2">
        <w:rPr>
          <w:rFonts w:ascii="Arial" w:hAnsi="Arial" w:cs="Arial"/>
          <w:i/>
          <w:sz w:val="24"/>
          <w:szCs w:val="24"/>
        </w:rPr>
        <w:t>casu</w:t>
      </w:r>
      <w:proofErr w:type="spellEnd"/>
      <w:r w:rsidR="00EB70F8">
        <w:rPr>
          <w:rFonts w:ascii="Arial" w:hAnsi="Arial" w:cs="Arial"/>
          <w:sz w:val="24"/>
          <w:szCs w:val="24"/>
        </w:rPr>
        <w:t>,</w:t>
      </w:r>
      <w:r w:rsidR="00D4654B" w:rsidRPr="00EB70F8">
        <w:rPr>
          <w:rFonts w:ascii="Arial" w:hAnsi="Arial" w:cs="Arial"/>
          <w:sz w:val="24"/>
          <w:szCs w:val="24"/>
        </w:rPr>
        <w:t xml:space="preserve"> seeking the court’s indulgence</w:t>
      </w:r>
      <w:r w:rsidR="005C6264" w:rsidRPr="00EB70F8">
        <w:rPr>
          <w:rFonts w:ascii="Arial" w:hAnsi="Arial" w:cs="Arial"/>
          <w:sz w:val="24"/>
          <w:szCs w:val="24"/>
        </w:rPr>
        <w:t>.</w:t>
      </w:r>
    </w:p>
    <w:p w14:paraId="1E3B1DD9" w14:textId="77777777" w:rsidR="00BE1518" w:rsidRDefault="00BE1518" w:rsidP="00BE1518">
      <w:pPr>
        <w:tabs>
          <w:tab w:val="left" w:pos="0"/>
        </w:tabs>
        <w:spacing w:after="0" w:line="480" w:lineRule="auto"/>
        <w:jc w:val="both"/>
        <w:rPr>
          <w:rFonts w:ascii="Arial" w:hAnsi="Arial" w:cs="Arial"/>
          <w:sz w:val="24"/>
          <w:szCs w:val="24"/>
        </w:rPr>
      </w:pPr>
    </w:p>
    <w:p w14:paraId="0F0E2240" w14:textId="50E7304E" w:rsidR="002878F7" w:rsidRDefault="0024405E" w:rsidP="0024405E">
      <w:pPr>
        <w:tabs>
          <w:tab w:val="left" w:pos="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F0D3D" w:rsidRPr="00EB70F8">
        <w:rPr>
          <w:rFonts w:ascii="Arial" w:hAnsi="Arial" w:cs="Arial"/>
          <w:sz w:val="24"/>
          <w:szCs w:val="24"/>
        </w:rPr>
        <w:t xml:space="preserve">Due to the late filing </w:t>
      </w:r>
      <w:r w:rsidR="00BE1518" w:rsidRPr="00EB70F8">
        <w:rPr>
          <w:rFonts w:ascii="Arial" w:hAnsi="Arial" w:cs="Arial"/>
          <w:sz w:val="24"/>
          <w:szCs w:val="24"/>
        </w:rPr>
        <w:t xml:space="preserve">of the appeal, </w:t>
      </w:r>
      <w:r w:rsidR="00EB70F8" w:rsidRPr="00EB70F8">
        <w:rPr>
          <w:rFonts w:ascii="Arial" w:hAnsi="Arial" w:cs="Arial"/>
          <w:sz w:val="24"/>
          <w:szCs w:val="24"/>
        </w:rPr>
        <w:t>certain further consecutive steps were also not taken within the s</w:t>
      </w:r>
      <w:r w:rsidR="001237CC">
        <w:rPr>
          <w:rFonts w:ascii="Arial" w:hAnsi="Arial" w:cs="Arial"/>
          <w:sz w:val="24"/>
          <w:szCs w:val="24"/>
        </w:rPr>
        <w:t>tipulated timeframes. The</w:t>
      </w:r>
      <w:r w:rsidR="00BE1518" w:rsidRPr="00EB70F8">
        <w:rPr>
          <w:rFonts w:ascii="Arial" w:hAnsi="Arial" w:cs="Arial"/>
          <w:sz w:val="24"/>
          <w:szCs w:val="24"/>
        </w:rPr>
        <w:t xml:space="preserve"> record </w:t>
      </w:r>
      <w:r w:rsidR="005C6264" w:rsidRPr="00EB70F8">
        <w:rPr>
          <w:rFonts w:ascii="Arial" w:hAnsi="Arial" w:cs="Arial"/>
          <w:sz w:val="24"/>
          <w:szCs w:val="24"/>
        </w:rPr>
        <w:t xml:space="preserve">of proceedings in the court a quo </w:t>
      </w:r>
      <w:r w:rsidR="00BE1518" w:rsidRPr="00EB70F8">
        <w:rPr>
          <w:rFonts w:ascii="Arial" w:hAnsi="Arial" w:cs="Arial"/>
          <w:sz w:val="24"/>
          <w:szCs w:val="24"/>
        </w:rPr>
        <w:t>was not filed within three months from the date of judgment and orders appealed against</w:t>
      </w:r>
      <w:r w:rsidR="00EB70F8" w:rsidRPr="00EB70F8">
        <w:rPr>
          <w:rFonts w:ascii="Arial" w:hAnsi="Arial" w:cs="Arial"/>
          <w:sz w:val="24"/>
          <w:szCs w:val="24"/>
        </w:rPr>
        <w:t xml:space="preserve">, </w:t>
      </w:r>
      <w:r w:rsidR="00BE1518" w:rsidRPr="00EB70F8">
        <w:rPr>
          <w:rFonts w:ascii="Arial" w:hAnsi="Arial" w:cs="Arial"/>
          <w:sz w:val="24"/>
          <w:szCs w:val="24"/>
        </w:rPr>
        <w:t xml:space="preserve">the parties met late to discuss the record, </w:t>
      </w:r>
      <w:r w:rsidR="005C6264" w:rsidRPr="00EB70F8">
        <w:rPr>
          <w:rFonts w:ascii="Arial" w:hAnsi="Arial" w:cs="Arial"/>
          <w:sz w:val="24"/>
          <w:szCs w:val="24"/>
        </w:rPr>
        <w:t xml:space="preserve">there was late compliance with </w:t>
      </w:r>
      <w:r w:rsidR="00BE1518" w:rsidRPr="00EB70F8">
        <w:rPr>
          <w:rFonts w:ascii="Arial" w:hAnsi="Arial" w:cs="Arial"/>
          <w:sz w:val="24"/>
          <w:szCs w:val="24"/>
        </w:rPr>
        <w:t>the rule on security for co</w:t>
      </w:r>
      <w:r w:rsidR="005C6264" w:rsidRPr="00EB70F8">
        <w:rPr>
          <w:rFonts w:ascii="Arial" w:hAnsi="Arial" w:cs="Arial"/>
          <w:sz w:val="24"/>
          <w:szCs w:val="24"/>
        </w:rPr>
        <w:t>sts</w:t>
      </w:r>
      <w:r w:rsidR="00C54985">
        <w:rPr>
          <w:rFonts w:ascii="Arial" w:hAnsi="Arial" w:cs="Arial"/>
          <w:sz w:val="24"/>
          <w:szCs w:val="24"/>
        </w:rPr>
        <w:t>, and</w:t>
      </w:r>
      <w:r w:rsidR="00BE1518" w:rsidRPr="00EB70F8">
        <w:rPr>
          <w:rFonts w:ascii="Arial" w:hAnsi="Arial" w:cs="Arial"/>
          <w:sz w:val="24"/>
          <w:szCs w:val="24"/>
        </w:rPr>
        <w:t xml:space="preserve"> the power of attorney was </w:t>
      </w:r>
      <w:r w:rsidR="005C6264" w:rsidRPr="00EB70F8">
        <w:rPr>
          <w:rFonts w:ascii="Arial" w:hAnsi="Arial" w:cs="Arial"/>
          <w:sz w:val="24"/>
          <w:szCs w:val="24"/>
        </w:rPr>
        <w:t xml:space="preserve">also </w:t>
      </w:r>
      <w:r w:rsidR="00BE1518" w:rsidRPr="00EB70F8">
        <w:rPr>
          <w:rFonts w:ascii="Arial" w:hAnsi="Arial" w:cs="Arial"/>
          <w:sz w:val="24"/>
          <w:szCs w:val="24"/>
        </w:rPr>
        <w:t>filed</w:t>
      </w:r>
      <w:r w:rsidR="005C6264" w:rsidRPr="00EB70F8">
        <w:rPr>
          <w:rFonts w:ascii="Arial" w:hAnsi="Arial" w:cs="Arial"/>
          <w:sz w:val="24"/>
          <w:szCs w:val="24"/>
        </w:rPr>
        <w:t xml:space="preserve"> out of time.</w:t>
      </w:r>
      <w:r w:rsidR="00BE1518" w:rsidRPr="00EB70F8">
        <w:rPr>
          <w:rFonts w:ascii="Arial" w:hAnsi="Arial" w:cs="Arial"/>
          <w:sz w:val="24"/>
          <w:szCs w:val="24"/>
        </w:rPr>
        <w:t xml:space="preserve"> </w:t>
      </w:r>
      <w:r w:rsidR="005C6264" w:rsidRPr="00EB70F8">
        <w:rPr>
          <w:rFonts w:ascii="Arial" w:hAnsi="Arial" w:cs="Arial"/>
          <w:sz w:val="24"/>
          <w:szCs w:val="24"/>
        </w:rPr>
        <w:t xml:space="preserve">The </w:t>
      </w:r>
      <w:r w:rsidR="00B567A8" w:rsidRPr="00EB70F8">
        <w:rPr>
          <w:rFonts w:ascii="Arial" w:hAnsi="Arial" w:cs="Arial"/>
          <w:sz w:val="24"/>
          <w:szCs w:val="24"/>
        </w:rPr>
        <w:t>applicant</w:t>
      </w:r>
      <w:r w:rsidR="005C6264" w:rsidRPr="00EB70F8">
        <w:rPr>
          <w:rFonts w:ascii="Arial" w:hAnsi="Arial" w:cs="Arial"/>
          <w:sz w:val="24"/>
          <w:szCs w:val="24"/>
        </w:rPr>
        <w:t xml:space="preserve"> effectively did</w:t>
      </w:r>
      <w:r w:rsidR="00B567A8" w:rsidRPr="00EB70F8">
        <w:rPr>
          <w:rFonts w:ascii="Arial" w:hAnsi="Arial" w:cs="Arial"/>
          <w:sz w:val="24"/>
          <w:szCs w:val="24"/>
        </w:rPr>
        <w:t xml:space="preserve"> not comp</w:t>
      </w:r>
      <w:r w:rsidR="005C6264" w:rsidRPr="00EB70F8">
        <w:rPr>
          <w:rFonts w:ascii="Arial" w:hAnsi="Arial" w:cs="Arial"/>
          <w:sz w:val="24"/>
          <w:szCs w:val="24"/>
        </w:rPr>
        <w:t>ly</w:t>
      </w:r>
      <w:r w:rsidR="00B567A8" w:rsidRPr="00EB70F8">
        <w:rPr>
          <w:rFonts w:ascii="Arial" w:hAnsi="Arial" w:cs="Arial"/>
          <w:sz w:val="24"/>
          <w:szCs w:val="24"/>
        </w:rPr>
        <w:t xml:space="preserve"> with rule</w:t>
      </w:r>
      <w:r w:rsidR="00F752AE" w:rsidRPr="00EB70F8">
        <w:rPr>
          <w:rFonts w:ascii="Arial" w:hAnsi="Arial" w:cs="Arial"/>
          <w:sz w:val="24"/>
          <w:szCs w:val="24"/>
        </w:rPr>
        <w:t xml:space="preserve">s 7(1), </w:t>
      </w:r>
      <w:r w:rsidR="005C6264" w:rsidRPr="00EB70F8">
        <w:rPr>
          <w:rFonts w:ascii="Arial" w:hAnsi="Arial" w:cs="Arial"/>
          <w:sz w:val="24"/>
          <w:szCs w:val="24"/>
        </w:rPr>
        <w:t>7(6),</w:t>
      </w:r>
      <w:r w:rsidR="002878F7">
        <w:rPr>
          <w:rFonts w:ascii="Arial" w:hAnsi="Arial" w:cs="Arial"/>
          <w:sz w:val="24"/>
          <w:szCs w:val="24"/>
        </w:rPr>
        <w:t xml:space="preserve"> </w:t>
      </w:r>
      <w:r w:rsidR="00B567A8" w:rsidRPr="00EB70F8">
        <w:rPr>
          <w:rFonts w:ascii="Arial" w:hAnsi="Arial" w:cs="Arial"/>
          <w:sz w:val="24"/>
          <w:szCs w:val="24"/>
        </w:rPr>
        <w:t>11(10) and rule</w:t>
      </w:r>
      <w:r w:rsidR="00620F10">
        <w:rPr>
          <w:rFonts w:ascii="Arial" w:hAnsi="Arial" w:cs="Arial"/>
          <w:sz w:val="24"/>
          <w:szCs w:val="24"/>
        </w:rPr>
        <w:t>s</w:t>
      </w:r>
      <w:r w:rsidR="00B567A8" w:rsidRPr="00EB70F8">
        <w:rPr>
          <w:rFonts w:ascii="Arial" w:hAnsi="Arial" w:cs="Arial"/>
          <w:sz w:val="24"/>
          <w:szCs w:val="24"/>
        </w:rPr>
        <w:t xml:space="preserve"> 14(2) and (3</w:t>
      </w:r>
      <w:r w:rsidR="0028420C">
        <w:rPr>
          <w:rFonts w:ascii="Arial" w:hAnsi="Arial" w:cs="Arial"/>
          <w:sz w:val="24"/>
          <w:szCs w:val="24"/>
        </w:rPr>
        <w:t>) of the Supreme Court Rules.</w:t>
      </w:r>
    </w:p>
    <w:p w14:paraId="601FC8DD" w14:textId="77777777" w:rsidR="002878F7" w:rsidRDefault="002878F7" w:rsidP="009E4D2A">
      <w:pPr>
        <w:pStyle w:val="ListParagraph"/>
        <w:spacing w:after="0" w:line="480" w:lineRule="auto"/>
        <w:jc w:val="both"/>
        <w:rPr>
          <w:rFonts w:ascii="Arial" w:hAnsi="Arial" w:cs="Arial"/>
          <w:sz w:val="24"/>
          <w:szCs w:val="24"/>
        </w:rPr>
      </w:pPr>
    </w:p>
    <w:p w14:paraId="3185AD8E" w14:textId="00E0F36C" w:rsidR="002878F7" w:rsidRDefault="0024405E" w:rsidP="0024405E">
      <w:pPr>
        <w:tabs>
          <w:tab w:val="left" w:pos="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34381" w:rsidRPr="002878F7">
        <w:rPr>
          <w:rFonts w:ascii="Arial" w:hAnsi="Arial" w:cs="Arial"/>
          <w:sz w:val="24"/>
          <w:szCs w:val="24"/>
        </w:rPr>
        <w:t>Whilst it is not essential for</w:t>
      </w:r>
      <w:r w:rsidR="001237CC">
        <w:rPr>
          <w:rFonts w:ascii="Arial" w:hAnsi="Arial" w:cs="Arial"/>
          <w:sz w:val="24"/>
          <w:szCs w:val="24"/>
        </w:rPr>
        <w:t xml:space="preserve"> the determination</w:t>
      </w:r>
      <w:r w:rsidR="00EB70F8" w:rsidRPr="002878F7">
        <w:rPr>
          <w:rFonts w:ascii="Arial" w:hAnsi="Arial" w:cs="Arial"/>
          <w:sz w:val="24"/>
          <w:szCs w:val="24"/>
        </w:rPr>
        <w:t xml:space="preserve"> of the application for condonation, I set out below </w:t>
      </w:r>
      <w:proofErr w:type="gramStart"/>
      <w:r w:rsidR="00EB70F8" w:rsidRPr="002878F7">
        <w:rPr>
          <w:rFonts w:ascii="Arial" w:hAnsi="Arial" w:cs="Arial"/>
          <w:sz w:val="24"/>
          <w:szCs w:val="24"/>
        </w:rPr>
        <w:t>a brief summary</w:t>
      </w:r>
      <w:proofErr w:type="gramEnd"/>
      <w:r w:rsidR="00EB70F8" w:rsidRPr="002878F7">
        <w:rPr>
          <w:rFonts w:ascii="Arial" w:hAnsi="Arial" w:cs="Arial"/>
          <w:sz w:val="24"/>
          <w:szCs w:val="24"/>
        </w:rPr>
        <w:t xml:space="preserve"> of the litigation </w:t>
      </w:r>
      <w:r w:rsidR="00EB70F8" w:rsidRPr="00C54985">
        <w:rPr>
          <w:rFonts w:ascii="Arial" w:hAnsi="Arial" w:cs="Arial"/>
          <w:i/>
          <w:sz w:val="24"/>
          <w:szCs w:val="24"/>
        </w:rPr>
        <w:t>a quo</w:t>
      </w:r>
      <w:r w:rsidR="00EB70F8" w:rsidRPr="002878F7">
        <w:rPr>
          <w:rFonts w:ascii="Arial" w:hAnsi="Arial" w:cs="Arial"/>
          <w:sz w:val="24"/>
          <w:szCs w:val="24"/>
        </w:rPr>
        <w:t xml:space="preserve"> that gave rise to the need on the part of the applicant to appeal to this </w:t>
      </w:r>
      <w:r w:rsidR="006B66B7">
        <w:rPr>
          <w:rFonts w:ascii="Arial" w:hAnsi="Arial" w:cs="Arial"/>
          <w:sz w:val="24"/>
          <w:szCs w:val="24"/>
        </w:rPr>
        <w:t>C</w:t>
      </w:r>
      <w:r w:rsidR="00EB70F8" w:rsidRPr="002878F7">
        <w:rPr>
          <w:rFonts w:ascii="Arial" w:hAnsi="Arial" w:cs="Arial"/>
          <w:sz w:val="24"/>
          <w:szCs w:val="24"/>
        </w:rPr>
        <w:t>ourt.</w:t>
      </w:r>
      <w:r w:rsidR="002878F7" w:rsidRPr="002878F7">
        <w:rPr>
          <w:rFonts w:ascii="Arial" w:hAnsi="Arial" w:cs="Arial"/>
          <w:sz w:val="24"/>
          <w:szCs w:val="24"/>
        </w:rPr>
        <w:t xml:space="preserve"> </w:t>
      </w:r>
    </w:p>
    <w:p w14:paraId="2B81AB82" w14:textId="77777777" w:rsidR="002878F7" w:rsidRDefault="002878F7" w:rsidP="009E4D2A">
      <w:pPr>
        <w:pStyle w:val="ListParagraph"/>
        <w:spacing w:after="0" w:line="480" w:lineRule="auto"/>
        <w:jc w:val="both"/>
        <w:rPr>
          <w:rFonts w:ascii="Arial" w:hAnsi="Arial" w:cs="Arial"/>
          <w:sz w:val="24"/>
          <w:szCs w:val="24"/>
        </w:rPr>
      </w:pPr>
    </w:p>
    <w:p w14:paraId="0041678D" w14:textId="7141B59B" w:rsidR="002878F7" w:rsidRDefault="0024405E" w:rsidP="0024405E">
      <w:pPr>
        <w:tabs>
          <w:tab w:val="left" w:pos="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spellStart"/>
      <w:r w:rsidR="00333851" w:rsidRPr="002878F7">
        <w:rPr>
          <w:rFonts w:ascii="Arial" w:hAnsi="Arial" w:cs="Arial"/>
          <w:sz w:val="24"/>
          <w:szCs w:val="24"/>
        </w:rPr>
        <w:t>Omeya</w:t>
      </w:r>
      <w:proofErr w:type="spellEnd"/>
      <w:r w:rsidR="00333851" w:rsidRPr="002878F7">
        <w:rPr>
          <w:rFonts w:ascii="Arial" w:hAnsi="Arial" w:cs="Arial"/>
          <w:sz w:val="24"/>
          <w:szCs w:val="24"/>
        </w:rPr>
        <w:t xml:space="preserve"> H</w:t>
      </w:r>
      <w:r w:rsidR="009F098A" w:rsidRPr="002878F7">
        <w:rPr>
          <w:rFonts w:ascii="Arial" w:hAnsi="Arial" w:cs="Arial"/>
          <w:sz w:val="24"/>
          <w:szCs w:val="24"/>
        </w:rPr>
        <w:t xml:space="preserve">ome Ownership Association is a Section </w:t>
      </w:r>
      <w:r w:rsidR="00333851" w:rsidRPr="002878F7">
        <w:rPr>
          <w:rFonts w:ascii="Arial" w:hAnsi="Arial" w:cs="Arial"/>
          <w:sz w:val="24"/>
          <w:szCs w:val="24"/>
        </w:rPr>
        <w:t>21</w:t>
      </w:r>
      <w:r w:rsidR="006B66B7">
        <w:rPr>
          <w:rStyle w:val="FootnoteReference"/>
          <w:rFonts w:ascii="Arial" w:hAnsi="Arial" w:cs="Arial"/>
          <w:sz w:val="24"/>
          <w:szCs w:val="24"/>
        </w:rPr>
        <w:footnoteReference w:id="1"/>
      </w:r>
      <w:r w:rsidR="00333851" w:rsidRPr="002878F7">
        <w:rPr>
          <w:rFonts w:ascii="Arial" w:hAnsi="Arial" w:cs="Arial"/>
          <w:sz w:val="24"/>
          <w:szCs w:val="24"/>
        </w:rPr>
        <w:t xml:space="preserve"> company duly incorporated in accordance with the laws of Namibia. The parties at times refer to it as the </w:t>
      </w:r>
      <w:proofErr w:type="spellStart"/>
      <w:r w:rsidR="00333851" w:rsidRPr="002878F7">
        <w:rPr>
          <w:rFonts w:ascii="Arial" w:hAnsi="Arial" w:cs="Arial"/>
          <w:sz w:val="24"/>
          <w:szCs w:val="24"/>
        </w:rPr>
        <w:t>Omeya</w:t>
      </w:r>
      <w:proofErr w:type="spellEnd"/>
      <w:r w:rsidR="00333851" w:rsidRPr="002878F7">
        <w:rPr>
          <w:rFonts w:ascii="Arial" w:hAnsi="Arial" w:cs="Arial"/>
          <w:sz w:val="24"/>
          <w:szCs w:val="24"/>
        </w:rPr>
        <w:t xml:space="preserve"> Golf and Estate </w:t>
      </w:r>
      <w:r w:rsidR="001237CC">
        <w:rPr>
          <w:rFonts w:ascii="Arial" w:hAnsi="Arial" w:cs="Arial"/>
          <w:sz w:val="24"/>
          <w:szCs w:val="24"/>
        </w:rPr>
        <w:t xml:space="preserve">Oasis </w:t>
      </w:r>
      <w:proofErr w:type="gramStart"/>
      <w:r w:rsidR="001237CC">
        <w:rPr>
          <w:rFonts w:ascii="Arial" w:hAnsi="Arial" w:cs="Arial"/>
          <w:sz w:val="24"/>
          <w:szCs w:val="24"/>
        </w:rPr>
        <w:t>Home Owners</w:t>
      </w:r>
      <w:proofErr w:type="gramEnd"/>
      <w:r w:rsidR="001237CC">
        <w:rPr>
          <w:rFonts w:ascii="Arial" w:hAnsi="Arial" w:cs="Arial"/>
          <w:sz w:val="24"/>
          <w:szCs w:val="24"/>
        </w:rPr>
        <w:t xml:space="preserve"> Association. </w:t>
      </w:r>
      <w:r w:rsidR="00333851" w:rsidRPr="002878F7">
        <w:rPr>
          <w:rFonts w:ascii="Arial" w:hAnsi="Arial" w:cs="Arial"/>
          <w:sz w:val="24"/>
          <w:szCs w:val="24"/>
        </w:rPr>
        <w:t>The disparity is</w:t>
      </w:r>
      <w:r w:rsidR="001237CC">
        <w:rPr>
          <w:rFonts w:ascii="Arial" w:hAnsi="Arial" w:cs="Arial"/>
          <w:sz w:val="24"/>
          <w:szCs w:val="24"/>
        </w:rPr>
        <w:t xml:space="preserve"> not material. It is a not-for-</w:t>
      </w:r>
      <w:r w:rsidR="00333851" w:rsidRPr="002878F7">
        <w:rPr>
          <w:rFonts w:ascii="Arial" w:hAnsi="Arial" w:cs="Arial"/>
          <w:sz w:val="24"/>
          <w:szCs w:val="24"/>
        </w:rPr>
        <w:t xml:space="preserve">gain company. At all material times, the </w:t>
      </w:r>
      <w:r w:rsidR="00FE7093">
        <w:rPr>
          <w:rFonts w:ascii="Arial" w:hAnsi="Arial" w:cs="Arial"/>
          <w:sz w:val="24"/>
          <w:szCs w:val="24"/>
        </w:rPr>
        <w:t>applicant</w:t>
      </w:r>
      <w:r w:rsidR="00333851" w:rsidRPr="002878F7">
        <w:rPr>
          <w:rFonts w:ascii="Arial" w:hAnsi="Arial" w:cs="Arial"/>
          <w:sz w:val="24"/>
          <w:szCs w:val="24"/>
        </w:rPr>
        <w:t xml:space="preserve"> was </w:t>
      </w:r>
      <w:r w:rsidR="00333851" w:rsidRPr="002878F7">
        <w:rPr>
          <w:rFonts w:ascii="Arial" w:hAnsi="Arial" w:cs="Arial"/>
          <w:sz w:val="24"/>
          <w:szCs w:val="24"/>
        </w:rPr>
        <w:lastRenderedPageBreak/>
        <w:t>Chairperson of the Board of Directors of the company while the respondent was an elected Director.</w:t>
      </w:r>
      <w:r w:rsidR="002878F7">
        <w:rPr>
          <w:rFonts w:ascii="Arial" w:hAnsi="Arial" w:cs="Arial"/>
          <w:sz w:val="24"/>
          <w:szCs w:val="24"/>
        </w:rPr>
        <w:t xml:space="preserve"> </w:t>
      </w:r>
    </w:p>
    <w:p w14:paraId="537F0E7B" w14:textId="77777777" w:rsidR="002878F7" w:rsidRDefault="002878F7" w:rsidP="009E4D2A">
      <w:pPr>
        <w:pStyle w:val="ListParagraph"/>
        <w:spacing w:after="0" w:line="480" w:lineRule="auto"/>
        <w:jc w:val="both"/>
        <w:rPr>
          <w:rFonts w:ascii="Arial" w:hAnsi="Arial" w:cs="Arial"/>
          <w:sz w:val="24"/>
          <w:szCs w:val="24"/>
        </w:rPr>
      </w:pPr>
    </w:p>
    <w:p w14:paraId="672379A2" w14:textId="7E2875F2" w:rsidR="002878F7" w:rsidRDefault="0024405E" w:rsidP="0024405E">
      <w:pPr>
        <w:tabs>
          <w:tab w:val="left" w:pos="0"/>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878F7" w:rsidRPr="002878F7">
        <w:rPr>
          <w:rFonts w:ascii="Arial" w:hAnsi="Arial" w:cs="Arial"/>
          <w:sz w:val="24"/>
          <w:szCs w:val="24"/>
        </w:rPr>
        <w:t xml:space="preserve">The articles of </w:t>
      </w:r>
      <w:r w:rsidR="006B66B7">
        <w:rPr>
          <w:rFonts w:ascii="Arial" w:hAnsi="Arial" w:cs="Arial"/>
          <w:sz w:val="24"/>
          <w:szCs w:val="24"/>
        </w:rPr>
        <w:t>a</w:t>
      </w:r>
      <w:r w:rsidR="002878F7" w:rsidRPr="002878F7">
        <w:rPr>
          <w:rFonts w:ascii="Arial" w:hAnsi="Arial" w:cs="Arial"/>
          <w:sz w:val="24"/>
          <w:szCs w:val="24"/>
        </w:rPr>
        <w:t>ssociation of the company provided for the procedures to be adopted for the removal of a director</w:t>
      </w:r>
      <w:r w:rsidR="006B66B7">
        <w:rPr>
          <w:rFonts w:ascii="Arial" w:hAnsi="Arial" w:cs="Arial"/>
          <w:sz w:val="24"/>
          <w:szCs w:val="24"/>
        </w:rPr>
        <w:t xml:space="preserve"> from office</w:t>
      </w:r>
      <w:r w:rsidR="002878F7" w:rsidRPr="002878F7">
        <w:rPr>
          <w:rFonts w:ascii="Arial" w:hAnsi="Arial" w:cs="Arial"/>
          <w:sz w:val="24"/>
          <w:szCs w:val="24"/>
        </w:rPr>
        <w:t xml:space="preserve">. In particular, the </w:t>
      </w:r>
      <w:r w:rsidR="006B66B7">
        <w:rPr>
          <w:rFonts w:ascii="Arial" w:hAnsi="Arial" w:cs="Arial"/>
          <w:sz w:val="24"/>
          <w:szCs w:val="24"/>
        </w:rPr>
        <w:t>a</w:t>
      </w:r>
      <w:r w:rsidR="002878F7" w:rsidRPr="002878F7">
        <w:rPr>
          <w:rFonts w:ascii="Arial" w:hAnsi="Arial" w:cs="Arial"/>
          <w:sz w:val="24"/>
          <w:szCs w:val="24"/>
        </w:rPr>
        <w:t xml:space="preserve">rticles provide that a board member shall be deemed to have vacated office if he or she is removed from office in terms of </w:t>
      </w:r>
      <w:r w:rsidR="001237CC">
        <w:rPr>
          <w:rFonts w:ascii="Arial" w:hAnsi="Arial" w:cs="Arial"/>
          <w:sz w:val="24"/>
          <w:szCs w:val="24"/>
        </w:rPr>
        <w:t xml:space="preserve">s </w:t>
      </w:r>
      <w:r w:rsidR="002878F7" w:rsidRPr="002878F7">
        <w:rPr>
          <w:rFonts w:ascii="Arial" w:hAnsi="Arial" w:cs="Arial"/>
          <w:sz w:val="24"/>
          <w:szCs w:val="24"/>
        </w:rPr>
        <w:t>228 of the Companies Act</w:t>
      </w:r>
      <w:r w:rsidR="001237CC">
        <w:rPr>
          <w:rStyle w:val="FootnoteReference"/>
          <w:rFonts w:ascii="Arial" w:hAnsi="Arial" w:cs="Arial"/>
          <w:sz w:val="24"/>
          <w:szCs w:val="24"/>
        </w:rPr>
        <w:footnoteReference w:id="2"/>
      </w:r>
      <w:r w:rsidR="002878F7" w:rsidRPr="002878F7">
        <w:rPr>
          <w:rFonts w:ascii="Arial" w:hAnsi="Arial" w:cs="Arial"/>
          <w:sz w:val="24"/>
          <w:szCs w:val="24"/>
        </w:rPr>
        <w:t xml:space="preserve"> or upon being convicted of any offence involving dishonesty</w:t>
      </w:r>
      <w:r w:rsidR="002878F7" w:rsidRPr="002878F7">
        <w:rPr>
          <w:rFonts w:ascii="Arial" w:hAnsi="Arial" w:cs="Arial"/>
          <w:color w:val="FF0000"/>
          <w:sz w:val="24"/>
          <w:szCs w:val="24"/>
        </w:rPr>
        <w:t>.</w:t>
      </w:r>
    </w:p>
    <w:p w14:paraId="701F501A" w14:textId="77777777" w:rsidR="002878F7" w:rsidRDefault="002878F7" w:rsidP="009E4D2A">
      <w:pPr>
        <w:pStyle w:val="ListParagraph"/>
        <w:spacing w:after="0" w:line="480" w:lineRule="auto"/>
        <w:jc w:val="both"/>
        <w:rPr>
          <w:rFonts w:ascii="Arial" w:hAnsi="Arial" w:cs="Arial"/>
          <w:sz w:val="24"/>
          <w:szCs w:val="24"/>
        </w:rPr>
      </w:pPr>
    </w:p>
    <w:p w14:paraId="3313D348" w14:textId="114116AC" w:rsidR="002878F7" w:rsidRDefault="0024405E" w:rsidP="0024405E">
      <w:pPr>
        <w:tabs>
          <w:tab w:val="left" w:pos="0"/>
        </w:tabs>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333851" w:rsidRPr="002878F7">
        <w:rPr>
          <w:rFonts w:ascii="Arial" w:hAnsi="Arial" w:cs="Arial"/>
          <w:sz w:val="24"/>
          <w:szCs w:val="24"/>
        </w:rPr>
        <w:t xml:space="preserve">On or about 30 November 2019, the respondent sent out a written document to all </w:t>
      </w:r>
      <w:r w:rsidR="006B66B7">
        <w:rPr>
          <w:rFonts w:ascii="Arial" w:hAnsi="Arial" w:cs="Arial"/>
          <w:sz w:val="24"/>
          <w:szCs w:val="24"/>
        </w:rPr>
        <w:t>b</w:t>
      </w:r>
      <w:r w:rsidR="00333851" w:rsidRPr="002878F7">
        <w:rPr>
          <w:rFonts w:ascii="Arial" w:hAnsi="Arial" w:cs="Arial"/>
          <w:sz w:val="24"/>
          <w:szCs w:val="24"/>
        </w:rPr>
        <w:t xml:space="preserve">oard </w:t>
      </w:r>
      <w:r w:rsidR="006B66B7">
        <w:rPr>
          <w:rFonts w:ascii="Arial" w:hAnsi="Arial" w:cs="Arial"/>
          <w:sz w:val="24"/>
          <w:szCs w:val="24"/>
        </w:rPr>
        <w:t>m</w:t>
      </w:r>
      <w:r w:rsidR="00333851" w:rsidRPr="002878F7">
        <w:rPr>
          <w:rFonts w:ascii="Arial" w:hAnsi="Arial" w:cs="Arial"/>
          <w:sz w:val="24"/>
          <w:szCs w:val="24"/>
        </w:rPr>
        <w:t>embers of the company. The docume</w:t>
      </w:r>
      <w:r w:rsidR="00B57206">
        <w:rPr>
          <w:rFonts w:ascii="Arial" w:hAnsi="Arial" w:cs="Arial"/>
          <w:sz w:val="24"/>
          <w:szCs w:val="24"/>
        </w:rPr>
        <w:t>nt was under cover of a letter.</w:t>
      </w:r>
      <w:r w:rsidR="00333851" w:rsidRPr="002878F7">
        <w:rPr>
          <w:rFonts w:ascii="Arial" w:hAnsi="Arial" w:cs="Arial"/>
          <w:sz w:val="24"/>
          <w:szCs w:val="24"/>
        </w:rPr>
        <w:t xml:space="preserve"> In the letter, the respondent formally submitted a </w:t>
      </w:r>
      <w:r w:rsidR="006B66B7">
        <w:rPr>
          <w:rFonts w:ascii="Arial" w:hAnsi="Arial" w:cs="Arial"/>
          <w:sz w:val="24"/>
          <w:szCs w:val="24"/>
        </w:rPr>
        <w:t>‘motion of no</w:t>
      </w:r>
      <w:r w:rsidR="00333851" w:rsidRPr="002878F7">
        <w:rPr>
          <w:rFonts w:ascii="Arial" w:hAnsi="Arial" w:cs="Arial"/>
          <w:sz w:val="24"/>
          <w:szCs w:val="24"/>
        </w:rPr>
        <w:t xml:space="preserve"> confidence</w:t>
      </w:r>
      <w:r w:rsidR="006B66B7">
        <w:rPr>
          <w:rFonts w:ascii="Arial" w:hAnsi="Arial" w:cs="Arial"/>
          <w:sz w:val="24"/>
          <w:szCs w:val="24"/>
        </w:rPr>
        <w:t>’</w:t>
      </w:r>
      <w:r w:rsidR="00333851" w:rsidRPr="002878F7">
        <w:rPr>
          <w:rFonts w:ascii="Arial" w:hAnsi="Arial" w:cs="Arial"/>
          <w:sz w:val="24"/>
          <w:szCs w:val="24"/>
        </w:rPr>
        <w:t xml:space="preserve"> against the </w:t>
      </w:r>
      <w:r w:rsidR="00FE7093">
        <w:rPr>
          <w:rFonts w:ascii="Arial" w:hAnsi="Arial" w:cs="Arial"/>
          <w:sz w:val="24"/>
          <w:szCs w:val="24"/>
        </w:rPr>
        <w:t>applicant</w:t>
      </w:r>
      <w:r w:rsidR="00333851" w:rsidRPr="002878F7">
        <w:rPr>
          <w:rFonts w:ascii="Arial" w:hAnsi="Arial" w:cs="Arial"/>
          <w:sz w:val="24"/>
          <w:szCs w:val="24"/>
        </w:rPr>
        <w:t xml:space="preserve"> as </w:t>
      </w:r>
      <w:r w:rsidR="006B66B7">
        <w:rPr>
          <w:rFonts w:ascii="Arial" w:hAnsi="Arial" w:cs="Arial"/>
          <w:sz w:val="24"/>
          <w:szCs w:val="24"/>
        </w:rPr>
        <w:t>c</w:t>
      </w:r>
      <w:r w:rsidR="00333851" w:rsidRPr="002878F7">
        <w:rPr>
          <w:rFonts w:ascii="Arial" w:hAnsi="Arial" w:cs="Arial"/>
          <w:sz w:val="24"/>
          <w:szCs w:val="24"/>
        </w:rPr>
        <w:t xml:space="preserve">hairperson of the Board. He wanted the </w:t>
      </w:r>
      <w:r w:rsidR="00FE7093">
        <w:rPr>
          <w:rFonts w:ascii="Arial" w:hAnsi="Arial" w:cs="Arial"/>
          <w:sz w:val="24"/>
          <w:szCs w:val="24"/>
        </w:rPr>
        <w:t>applicant</w:t>
      </w:r>
      <w:r w:rsidR="00333851" w:rsidRPr="002878F7">
        <w:rPr>
          <w:rFonts w:ascii="Arial" w:hAnsi="Arial" w:cs="Arial"/>
          <w:sz w:val="24"/>
          <w:szCs w:val="24"/>
        </w:rPr>
        <w:t xml:space="preserve"> removed from off</w:t>
      </w:r>
      <w:r w:rsidR="00B57206">
        <w:rPr>
          <w:rFonts w:ascii="Arial" w:hAnsi="Arial" w:cs="Arial"/>
          <w:sz w:val="24"/>
          <w:szCs w:val="24"/>
        </w:rPr>
        <w:t xml:space="preserve">ice not only as </w:t>
      </w:r>
      <w:r w:rsidR="006B66B7">
        <w:rPr>
          <w:rFonts w:ascii="Arial" w:hAnsi="Arial" w:cs="Arial"/>
          <w:sz w:val="24"/>
          <w:szCs w:val="24"/>
        </w:rPr>
        <w:t>c</w:t>
      </w:r>
      <w:r w:rsidR="00B57206">
        <w:rPr>
          <w:rFonts w:ascii="Arial" w:hAnsi="Arial" w:cs="Arial"/>
          <w:sz w:val="24"/>
          <w:szCs w:val="24"/>
        </w:rPr>
        <w:t>hairperson, but</w:t>
      </w:r>
      <w:r w:rsidR="00333851" w:rsidRPr="002878F7">
        <w:rPr>
          <w:rFonts w:ascii="Arial" w:hAnsi="Arial" w:cs="Arial"/>
          <w:sz w:val="24"/>
          <w:szCs w:val="24"/>
        </w:rPr>
        <w:t xml:space="preserve"> as a director of the company as well, under the provisions of s 228 of the Companies Act. </w:t>
      </w:r>
    </w:p>
    <w:p w14:paraId="1CA9A8F6" w14:textId="77777777" w:rsidR="002878F7" w:rsidRDefault="002878F7" w:rsidP="009E4D2A">
      <w:pPr>
        <w:pStyle w:val="ListParagraph"/>
        <w:spacing w:after="0" w:line="480" w:lineRule="auto"/>
        <w:jc w:val="both"/>
        <w:rPr>
          <w:rFonts w:ascii="Arial" w:hAnsi="Arial" w:cs="Arial"/>
          <w:sz w:val="24"/>
          <w:szCs w:val="24"/>
        </w:rPr>
      </w:pPr>
    </w:p>
    <w:p w14:paraId="541AD3EB" w14:textId="4BD3A3D6" w:rsidR="00333851" w:rsidRDefault="0024405E" w:rsidP="0024405E">
      <w:pPr>
        <w:tabs>
          <w:tab w:val="left" w:pos="0"/>
        </w:tabs>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33851" w:rsidRPr="002878F7">
        <w:rPr>
          <w:rFonts w:ascii="Arial" w:hAnsi="Arial" w:cs="Arial"/>
          <w:sz w:val="24"/>
          <w:szCs w:val="24"/>
        </w:rPr>
        <w:t>The written submission submitted under cover of the letter was s</w:t>
      </w:r>
      <w:r w:rsidR="00B57206">
        <w:rPr>
          <w:rFonts w:ascii="Arial" w:hAnsi="Arial" w:cs="Arial"/>
          <w:sz w:val="24"/>
          <w:szCs w:val="24"/>
        </w:rPr>
        <w:t xml:space="preserve">ome two and a half pages long. </w:t>
      </w:r>
      <w:r w:rsidR="006B1BC5" w:rsidRPr="002878F7">
        <w:rPr>
          <w:rFonts w:ascii="Arial" w:hAnsi="Arial" w:cs="Arial"/>
          <w:sz w:val="24"/>
          <w:szCs w:val="24"/>
        </w:rPr>
        <w:t xml:space="preserve">The written submissions did not refer to any alleged or proven conviction of the applicant </w:t>
      </w:r>
      <w:r w:rsidR="006B66B7">
        <w:rPr>
          <w:rFonts w:ascii="Arial" w:hAnsi="Arial" w:cs="Arial"/>
          <w:sz w:val="24"/>
          <w:szCs w:val="24"/>
        </w:rPr>
        <w:t>for</w:t>
      </w:r>
      <w:r w:rsidR="006B1BC5" w:rsidRPr="002878F7">
        <w:rPr>
          <w:rFonts w:ascii="Arial" w:hAnsi="Arial" w:cs="Arial"/>
          <w:sz w:val="24"/>
          <w:szCs w:val="24"/>
        </w:rPr>
        <w:t xml:space="preserve"> an offence involving dishonesty. </w:t>
      </w:r>
      <w:r w:rsidR="00660818" w:rsidRPr="002878F7">
        <w:rPr>
          <w:rFonts w:ascii="Arial" w:hAnsi="Arial" w:cs="Arial"/>
          <w:sz w:val="24"/>
          <w:szCs w:val="24"/>
        </w:rPr>
        <w:t>It made</w:t>
      </w:r>
      <w:r w:rsidR="00333851" w:rsidRPr="002878F7">
        <w:rPr>
          <w:rFonts w:ascii="Arial" w:hAnsi="Arial" w:cs="Arial"/>
          <w:sz w:val="24"/>
          <w:szCs w:val="24"/>
        </w:rPr>
        <w:t xml:space="preserve"> four b</w:t>
      </w:r>
      <w:r w:rsidR="00660818" w:rsidRPr="002878F7">
        <w:rPr>
          <w:rFonts w:ascii="Arial" w:hAnsi="Arial" w:cs="Arial"/>
          <w:sz w:val="24"/>
          <w:szCs w:val="24"/>
        </w:rPr>
        <w:t xml:space="preserve">road submissions </w:t>
      </w:r>
      <w:r w:rsidR="00333851" w:rsidRPr="002878F7">
        <w:rPr>
          <w:rFonts w:ascii="Arial" w:hAnsi="Arial" w:cs="Arial"/>
          <w:sz w:val="24"/>
          <w:szCs w:val="24"/>
        </w:rPr>
        <w:t>under the following headings:</w:t>
      </w:r>
    </w:p>
    <w:p w14:paraId="310B049C" w14:textId="77777777" w:rsidR="00B57206" w:rsidRPr="002878F7" w:rsidRDefault="00B57206" w:rsidP="00B57206">
      <w:pPr>
        <w:tabs>
          <w:tab w:val="left" w:pos="0"/>
        </w:tabs>
        <w:spacing w:after="0" w:line="480" w:lineRule="auto"/>
        <w:jc w:val="both"/>
        <w:rPr>
          <w:rFonts w:ascii="Arial" w:hAnsi="Arial" w:cs="Arial"/>
          <w:sz w:val="24"/>
          <w:szCs w:val="24"/>
        </w:rPr>
      </w:pPr>
    </w:p>
    <w:p w14:paraId="2440BE35" w14:textId="228E655F" w:rsidR="00333851" w:rsidRPr="0024405E" w:rsidRDefault="0024405E" w:rsidP="0024405E">
      <w:pPr>
        <w:spacing w:after="160" w:line="480" w:lineRule="auto"/>
        <w:ind w:left="1418" w:hanging="567"/>
        <w:jc w:val="both"/>
        <w:rPr>
          <w:rFonts w:ascii="Arial" w:hAnsi="Arial" w:cs="Arial"/>
          <w:sz w:val="24"/>
          <w:szCs w:val="24"/>
        </w:rPr>
      </w:pPr>
      <w:r w:rsidRPr="006B66B7">
        <w:rPr>
          <w:rFonts w:ascii="Arial" w:hAnsi="Arial" w:cs="Arial"/>
          <w:sz w:val="24"/>
          <w:szCs w:val="24"/>
        </w:rPr>
        <w:lastRenderedPageBreak/>
        <w:t>(a)</w:t>
      </w:r>
      <w:r w:rsidRPr="006B66B7">
        <w:rPr>
          <w:rFonts w:ascii="Arial" w:hAnsi="Arial" w:cs="Arial"/>
          <w:sz w:val="24"/>
          <w:szCs w:val="24"/>
        </w:rPr>
        <w:tab/>
      </w:r>
      <w:r w:rsidR="00333851" w:rsidRPr="0024405E">
        <w:rPr>
          <w:rFonts w:ascii="Arial" w:hAnsi="Arial" w:cs="Arial"/>
          <w:sz w:val="24"/>
          <w:szCs w:val="24"/>
        </w:rPr>
        <w:t xml:space="preserve">Non-responsiveness to request for alternative consideration in respect of </w:t>
      </w:r>
      <w:r w:rsidR="00B57206" w:rsidRPr="0024405E">
        <w:rPr>
          <w:rFonts w:ascii="Arial" w:hAnsi="Arial" w:cs="Arial"/>
          <w:sz w:val="24"/>
          <w:szCs w:val="24"/>
        </w:rPr>
        <w:t xml:space="preserve">levy </w:t>
      </w:r>
      <w:proofErr w:type="gramStart"/>
      <w:r w:rsidR="00B57206" w:rsidRPr="0024405E">
        <w:rPr>
          <w:rFonts w:ascii="Arial" w:hAnsi="Arial" w:cs="Arial"/>
          <w:sz w:val="24"/>
          <w:szCs w:val="24"/>
        </w:rPr>
        <w:t>increase;</w:t>
      </w:r>
      <w:proofErr w:type="gramEnd"/>
    </w:p>
    <w:p w14:paraId="62CDB6F1" w14:textId="1A60C6BE" w:rsidR="00333851" w:rsidRPr="0024405E" w:rsidRDefault="0024405E" w:rsidP="0024405E">
      <w:pPr>
        <w:spacing w:after="160" w:line="480" w:lineRule="auto"/>
        <w:ind w:left="810"/>
        <w:jc w:val="both"/>
        <w:rPr>
          <w:rFonts w:ascii="Arial" w:hAnsi="Arial" w:cs="Arial"/>
          <w:sz w:val="24"/>
          <w:szCs w:val="24"/>
        </w:rPr>
      </w:pPr>
      <w:r w:rsidRPr="005A392D">
        <w:rPr>
          <w:rFonts w:ascii="Arial" w:hAnsi="Arial" w:cs="Arial"/>
          <w:sz w:val="24"/>
          <w:szCs w:val="24"/>
        </w:rPr>
        <w:t>(b)</w:t>
      </w:r>
      <w:r w:rsidRPr="005A392D">
        <w:rPr>
          <w:rFonts w:ascii="Arial" w:hAnsi="Arial" w:cs="Arial"/>
          <w:sz w:val="24"/>
          <w:szCs w:val="24"/>
        </w:rPr>
        <w:tab/>
      </w:r>
      <w:r w:rsidR="00333851" w:rsidRPr="0024405E">
        <w:rPr>
          <w:rFonts w:ascii="Arial" w:hAnsi="Arial" w:cs="Arial"/>
          <w:sz w:val="24"/>
          <w:szCs w:val="24"/>
        </w:rPr>
        <w:t xml:space="preserve">Deliberately withholding </w:t>
      </w:r>
      <w:r w:rsidR="006B66B7" w:rsidRPr="0024405E">
        <w:rPr>
          <w:rFonts w:ascii="Arial" w:hAnsi="Arial" w:cs="Arial"/>
          <w:sz w:val="24"/>
          <w:szCs w:val="24"/>
        </w:rPr>
        <w:t>information from</w:t>
      </w:r>
      <w:r w:rsidR="00333851" w:rsidRPr="0024405E">
        <w:rPr>
          <w:rFonts w:ascii="Arial" w:hAnsi="Arial" w:cs="Arial"/>
          <w:sz w:val="24"/>
          <w:szCs w:val="24"/>
        </w:rPr>
        <w:t xml:space="preserve"> Home </w:t>
      </w:r>
      <w:proofErr w:type="gramStart"/>
      <w:r w:rsidR="00333851" w:rsidRPr="0024405E">
        <w:rPr>
          <w:rFonts w:ascii="Arial" w:hAnsi="Arial" w:cs="Arial"/>
          <w:sz w:val="24"/>
          <w:szCs w:val="24"/>
        </w:rPr>
        <w:t>Owners</w:t>
      </w:r>
      <w:r w:rsidR="00B57206" w:rsidRPr="0024405E">
        <w:rPr>
          <w:rFonts w:ascii="Arial" w:hAnsi="Arial" w:cs="Arial"/>
          <w:sz w:val="24"/>
          <w:szCs w:val="24"/>
        </w:rPr>
        <w:t>;</w:t>
      </w:r>
      <w:proofErr w:type="gramEnd"/>
    </w:p>
    <w:p w14:paraId="08F02487" w14:textId="039FF85B" w:rsidR="00333851" w:rsidRPr="0024405E" w:rsidRDefault="0024405E" w:rsidP="0024405E">
      <w:pPr>
        <w:spacing w:after="160" w:line="480" w:lineRule="auto"/>
        <w:ind w:left="1440" w:hanging="630"/>
        <w:jc w:val="both"/>
        <w:rPr>
          <w:rFonts w:ascii="Arial" w:hAnsi="Arial" w:cs="Arial"/>
          <w:sz w:val="24"/>
          <w:szCs w:val="24"/>
        </w:rPr>
      </w:pPr>
      <w:r w:rsidRPr="005A392D">
        <w:rPr>
          <w:rFonts w:ascii="Arial" w:hAnsi="Arial" w:cs="Arial"/>
          <w:sz w:val="24"/>
          <w:szCs w:val="24"/>
        </w:rPr>
        <w:t>(c)</w:t>
      </w:r>
      <w:r w:rsidRPr="005A392D">
        <w:rPr>
          <w:rFonts w:ascii="Arial" w:hAnsi="Arial" w:cs="Arial"/>
          <w:sz w:val="24"/>
          <w:szCs w:val="24"/>
        </w:rPr>
        <w:tab/>
      </w:r>
      <w:r w:rsidR="00333851" w:rsidRPr="0024405E">
        <w:rPr>
          <w:rFonts w:ascii="Arial" w:hAnsi="Arial" w:cs="Arial"/>
          <w:sz w:val="24"/>
          <w:szCs w:val="24"/>
        </w:rPr>
        <w:t xml:space="preserve">Submission of written communication to </w:t>
      </w:r>
      <w:proofErr w:type="spellStart"/>
      <w:r w:rsidR="000A1038" w:rsidRPr="0024405E">
        <w:rPr>
          <w:rFonts w:ascii="Arial" w:hAnsi="Arial" w:cs="Arial"/>
          <w:sz w:val="24"/>
          <w:szCs w:val="24"/>
        </w:rPr>
        <w:t>Mr</w:t>
      </w:r>
      <w:proofErr w:type="spellEnd"/>
      <w:r w:rsidR="00333851" w:rsidRPr="0024405E">
        <w:rPr>
          <w:rFonts w:ascii="Arial" w:hAnsi="Arial" w:cs="Arial"/>
          <w:sz w:val="24"/>
          <w:szCs w:val="24"/>
        </w:rPr>
        <w:t xml:space="preserve"> P de Beer, representing the </w:t>
      </w:r>
      <w:r w:rsidR="006B66B7" w:rsidRPr="0024405E">
        <w:rPr>
          <w:rFonts w:ascii="Arial" w:hAnsi="Arial" w:cs="Arial"/>
          <w:sz w:val="24"/>
          <w:szCs w:val="24"/>
        </w:rPr>
        <w:t>c</w:t>
      </w:r>
      <w:r w:rsidR="00333851" w:rsidRPr="0024405E">
        <w:rPr>
          <w:rFonts w:ascii="Arial" w:hAnsi="Arial" w:cs="Arial"/>
          <w:sz w:val="24"/>
          <w:szCs w:val="24"/>
        </w:rPr>
        <w:t xml:space="preserve">oncerned </w:t>
      </w:r>
      <w:proofErr w:type="gramStart"/>
      <w:r w:rsidR="00333851" w:rsidRPr="0024405E">
        <w:rPr>
          <w:rFonts w:ascii="Arial" w:hAnsi="Arial" w:cs="Arial"/>
          <w:sz w:val="24"/>
          <w:szCs w:val="24"/>
        </w:rPr>
        <w:t xml:space="preserve">Home </w:t>
      </w:r>
      <w:r w:rsidR="00620F10" w:rsidRPr="0024405E">
        <w:rPr>
          <w:rFonts w:ascii="Arial" w:hAnsi="Arial" w:cs="Arial"/>
          <w:sz w:val="24"/>
          <w:szCs w:val="24"/>
        </w:rPr>
        <w:t>O</w:t>
      </w:r>
      <w:r w:rsidR="00333851" w:rsidRPr="0024405E">
        <w:rPr>
          <w:rFonts w:ascii="Arial" w:hAnsi="Arial" w:cs="Arial"/>
          <w:sz w:val="24"/>
          <w:szCs w:val="24"/>
        </w:rPr>
        <w:t>wners</w:t>
      </w:r>
      <w:proofErr w:type="gramEnd"/>
      <w:r w:rsidR="00333851" w:rsidRPr="0024405E">
        <w:rPr>
          <w:rFonts w:ascii="Arial" w:hAnsi="Arial" w:cs="Arial"/>
          <w:sz w:val="24"/>
          <w:szCs w:val="24"/>
        </w:rPr>
        <w:t xml:space="preserve"> of the </w:t>
      </w:r>
      <w:proofErr w:type="spellStart"/>
      <w:r w:rsidR="00333851" w:rsidRPr="0024405E">
        <w:rPr>
          <w:rFonts w:ascii="Arial" w:hAnsi="Arial" w:cs="Arial"/>
          <w:sz w:val="24"/>
          <w:szCs w:val="24"/>
        </w:rPr>
        <w:t>Omeya</w:t>
      </w:r>
      <w:proofErr w:type="spellEnd"/>
      <w:r w:rsidR="00333851" w:rsidRPr="0024405E">
        <w:rPr>
          <w:rFonts w:ascii="Arial" w:hAnsi="Arial" w:cs="Arial"/>
          <w:sz w:val="24"/>
          <w:szCs w:val="24"/>
        </w:rPr>
        <w:t xml:space="preserve"> Golf and Residential Oasis; and </w:t>
      </w:r>
    </w:p>
    <w:p w14:paraId="2092E0C0" w14:textId="06AA65CF" w:rsidR="009E4D2A" w:rsidRPr="0024405E" w:rsidRDefault="0024405E" w:rsidP="0024405E">
      <w:pPr>
        <w:spacing w:after="0" w:line="480" w:lineRule="auto"/>
        <w:ind w:left="1440" w:hanging="630"/>
        <w:jc w:val="both"/>
        <w:rPr>
          <w:rFonts w:ascii="Arial" w:hAnsi="Arial" w:cs="Arial"/>
          <w:sz w:val="24"/>
          <w:szCs w:val="24"/>
        </w:rPr>
      </w:pPr>
      <w:r>
        <w:rPr>
          <w:rFonts w:ascii="Arial" w:hAnsi="Arial" w:cs="Arial"/>
          <w:sz w:val="24"/>
          <w:szCs w:val="24"/>
        </w:rPr>
        <w:t>(d)</w:t>
      </w:r>
      <w:r>
        <w:rPr>
          <w:rFonts w:ascii="Arial" w:hAnsi="Arial" w:cs="Arial"/>
          <w:sz w:val="24"/>
          <w:szCs w:val="24"/>
        </w:rPr>
        <w:tab/>
      </w:r>
      <w:r w:rsidR="00333851" w:rsidRPr="0024405E">
        <w:rPr>
          <w:rFonts w:ascii="Arial" w:hAnsi="Arial" w:cs="Arial"/>
          <w:sz w:val="24"/>
          <w:szCs w:val="24"/>
        </w:rPr>
        <w:t xml:space="preserve">Instructing and approving the withdrawal of funds for unintended purposes. </w:t>
      </w:r>
    </w:p>
    <w:p w14:paraId="37222273" w14:textId="3DC4F4F3" w:rsidR="00867625" w:rsidRPr="006B1BC5" w:rsidRDefault="00333851" w:rsidP="009E4D2A">
      <w:pPr>
        <w:pStyle w:val="ListParagraph"/>
        <w:spacing w:after="0" w:line="480" w:lineRule="auto"/>
        <w:ind w:left="1440"/>
        <w:jc w:val="both"/>
        <w:rPr>
          <w:rFonts w:ascii="Arial" w:hAnsi="Arial" w:cs="Arial"/>
          <w:sz w:val="24"/>
          <w:szCs w:val="24"/>
        </w:rPr>
      </w:pPr>
      <w:r w:rsidRPr="005A392D">
        <w:rPr>
          <w:rFonts w:ascii="Arial" w:hAnsi="Arial" w:cs="Arial"/>
          <w:sz w:val="24"/>
          <w:szCs w:val="24"/>
        </w:rPr>
        <w:t xml:space="preserve"> </w:t>
      </w:r>
      <w:r w:rsidR="00867625" w:rsidRPr="006B1BC5">
        <w:rPr>
          <w:rFonts w:ascii="Arial" w:hAnsi="Arial" w:cs="Arial"/>
          <w:sz w:val="24"/>
          <w:szCs w:val="24"/>
        </w:rPr>
        <w:tab/>
      </w:r>
    </w:p>
    <w:p w14:paraId="074BBA4F" w14:textId="10E03A3E" w:rsidR="00333851" w:rsidRDefault="009F098A" w:rsidP="009E4D2A">
      <w:pPr>
        <w:spacing w:after="0" w:line="480" w:lineRule="auto"/>
        <w:jc w:val="both"/>
        <w:rPr>
          <w:rFonts w:ascii="Arial" w:hAnsi="Arial" w:cs="Arial"/>
          <w:sz w:val="24"/>
          <w:szCs w:val="24"/>
        </w:rPr>
      </w:pPr>
      <w:r>
        <w:rPr>
          <w:rFonts w:ascii="Arial" w:hAnsi="Arial" w:cs="Arial"/>
          <w:sz w:val="24"/>
          <w:szCs w:val="24"/>
        </w:rPr>
        <w:t>[</w:t>
      </w:r>
      <w:r w:rsidR="00867625">
        <w:rPr>
          <w:rFonts w:ascii="Arial" w:hAnsi="Arial" w:cs="Arial"/>
          <w:sz w:val="24"/>
          <w:szCs w:val="24"/>
        </w:rPr>
        <w:t>8</w:t>
      </w:r>
      <w:r w:rsidR="00EB70F8">
        <w:rPr>
          <w:rFonts w:ascii="Arial" w:hAnsi="Arial" w:cs="Arial"/>
          <w:sz w:val="24"/>
          <w:szCs w:val="24"/>
        </w:rPr>
        <w:t>]</w:t>
      </w:r>
      <w:r w:rsidR="00EB70F8">
        <w:rPr>
          <w:rFonts w:ascii="Arial" w:hAnsi="Arial" w:cs="Arial"/>
          <w:sz w:val="24"/>
          <w:szCs w:val="24"/>
        </w:rPr>
        <w:tab/>
        <w:t xml:space="preserve">The applicant </w:t>
      </w:r>
      <w:r w:rsidR="00333851" w:rsidRPr="005A392D">
        <w:rPr>
          <w:rFonts w:ascii="Arial" w:hAnsi="Arial" w:cs="Arial"/>
          <w:sz w:val="24"/>
          <w:szCs w:val="24"/>
        </w:rPr>
        <w:t xml:space="preserve">formed the view that the two documents read together, made it clear that the respondent sought his removal from office on </w:t>
      </w:r>
      <w:r w:rsidR="00EB70F8">
        <w:rPr>
          <w:rFonts w:ascii="Arial" w:hAnsi="Arial" w:cs="Arial"/>
          <w:sz w:val="24"/>
          <w:szCs w:val="24"/>
        </w:rPr>
        <w:t>the basis that he, the applicant</w:t>
      </w:r>
      <w:r w:rsidR="00333851" w:rsidRPr="005A392D">
        <w:rPr>
          <w:rFonts w:ascii="Arial" w:hAnsi="Arial" w:cs="Arial"/>
          <w:sz w:val="24"/>
          <w:szCs w:val="24"/>
        </w:rPr>
        <w:t xml:space="preserve">, had been convicted of an offence involving dishonesty. The allegations and the innuendo that he had been convicted </w:t>
      </w:r>
      <w:r w:rsidR="006B66B7">
        <w:rPr>
          <w:rFonts w:ascii="Arial" w:hAnsi="Arial" w:cs="Arial"/>
          <w:sz w:val="24"/>
          <w:szCs w:val="24"/>
        </w:rPr>
        <w:t>of</w:t>
      </w:r>
      <w:r w:rsidR="00333851" w:rsidRPr="005A392D">
        <w:rPr>
          <w:rFonts w:ascii="Arial" w:hAnsi="Arial" w:cs="Arial"/>
          <w:sz w:val="24"/>
          <w:szCs w:val="24"/>
        </w:rPr>
        <w:t xml:space="preserve"> an o</w:t>
      </w:r>
      <w:r w:rsidR="006E14F2">
        <w:rPr>
          <w:rFonts w:ascii="Arial" w:hAnsi="Arial" w:cs="Arial"/>
          <w:sz w:val="24"/>
          <w:szCs w:val="24"/>
        </w:rPr>
        <w:t xml:space="preserve">ffence involving dishonesty were </w:t>
      </w:r>
      <w:r w:rsidR="00333851" w:rsidRPr="005A392D">
        <w:rPr>
          <w:rFonts w:ascii="Arial" w:hAnsi="Arial" w:cs="Arial"/>
          <w:sz w:val="24"/>
          <w:szCs w:val="24"/>
        </w:rPr>
        <w:t>not only scandalous but defamatory of him, he contended. The allegations were also false and were made maliciously and in bad faith, the applicant further argued.</w:t>
      </w:r>
    </w:p>
    <w:p w14:paraId="1F585B16" w14:textId="77777777" w:rsidR="009E4D2A" w:rsidRDefault="009E4D2A" w:rsidP="009E4D2A">
      <w:pPr>
        <w:spacing w:after="0" w:line="480" w:lineRule="auto"/>
        <w:jc w:val="both"/>
        <w:rPr>
          <w:rFonts w:ascii="Arial" w:hAnsi="Arial" w:cs="Arial"/>
          <w:sz w:val="24"/>
          <w:szCs w:val="24"/>
        </w:rPr>
      </w:pPr>
    </w:p>
    <w:p w14:paraId="38FFC951" w14:textId="564A4BC9" w:rsidR="0096197D" w:rsidRDefault="002158C4" w:rsidP="009E4D2A">
      <w:pPr>
        <w:spacing w:after="0" w:line="480" w:lineRule="auto"/>
        <w:jc w:val="both"/>
        <w:rPr>
          <w:rFonts w:ascii="Arial" w:hAnsi="Arial" w:cs="Arial"/>
          <w:sz w:val="24"/>
          <w:szCs w:val="24"/>
        </w:rPr>
      </w:pPr>
      <w:r>
        <w:rPr>
          <w:rFonts w:ascii="Arial" w:hAnsi="Arial" w:cs="Arial"/>
          <w:sz w:val="24"/>
          <w:szCs w:val="24"/>
        </w:rPr>
        <w:t>[9</w:t>
      </w:r>
      <w:r w:rsidR="0096197D">
        <w:rPr>
          <w:rFonts w:ascii="Arial" w:hAnsi="Arial" w:cs="Arial"/>
          <w:sz w:val="24"/>
          <w:szCs w:val="24"/>
        </w:rPr>
        <w:t>]</w:t>
      </w:r>
      <w:r w:rsidR="0096197D">
        <w:rPr>
          <w:rFonts w:ascii="Arial" w:hAnsi="Arial" w:cs="Arial"/>
          <w:sz w:val="24"/>
          <w:szCs w:val="24"/>
        </w:rPr>
        <w:tab/>
      </w:r>
      <w:r w:rsidR="00AF0D3D">
        <w:rPr>
          <w:rFonts w:ascii="Arial" w:hAnsi="Arial" w:cs="Arial"/>
          <w:sz w:val="24"/>
          <w:szCs w:val="24"/>
        </w:rPr>
        <w:t>T</w:t>
      </w:r>
      <w:r w:rsidR="004F643D">
        <w:rPr>
          <w:rFonts w:ascii="Arial" w:hAnsi="Arial" w:cs="Arial"/>
          <w:sz w:val="24"/>
          <w:szCs w:val="24"/>
        </w:rPr>
        <w:t>he applicant</w:t>
      </w:r>
      <w:r w:rsidR="00333851" w:rsidRPr="0096197D">
        <w:rPr>
          <w:rFonts w:ascii="Arial" w:hAnsi="Arial" w:cs="Arial"/>
          <w:sz w:val="24"/>
          <w:szCs w:val="24"/>
        </w:rPr>
        <w:t xml:space="preserve"> issued summons against the respondent </w:t>
      </w:r>
      <w:r w:rsidR="009F098A" w:rsidRPr="0096197D">
        <w:rPr>
          <w:rFonts w:ascii="Arial" w:hAnsi="Arial" w:cs="Arial"/>
          <w:sz w:val="24"/>
          <w:szCs w:val="24"/>
        </w:rPr>
        <w:t xml:space="preserve">claiming </w:t>
      </w:r>
      <w:r w:rsidR="0096197D" w:rsidRPr="0096197D">
        <w:rPr>
          <w:rFonts w:ascii="Arial" w:hAnsi="Arial" w:cs="Arial"/>
          <w:sz w:val="24"/>
          <w:szCs w:val="24"/>
        </w:rPr>
        <w:t>with</w:t>
      </w:r>
      <w:r w:rsidR="006F5B88">
        <w:rPr>
          <w:rFonts w:ascii="Arial" w:hAnsi="Arial" w:cs="Arial"/>
          <w:sz w:val="24"/>
          <w:szCs w:val="24"/>
        </w:rPr>
        <w:t xml:space="preserve"> costs, the sums of N$500 000</w:t>
      </w:r>
      <w:r w:rsidR="0096197D" w:rsidRPr="0096197D">
        <w:rPr>
          <w:rFonts w:ascii="Arial" w:hAnsi="Arial" w:cs="Arial"/>
          <w:sz w:val="24"/>
          <w:szCs w:val="24"/>
        </w:rPr>
        <w:t xml:space="preserve"> as damages for an alleged injury to his good name and reputation</w:t>
      </w:r>
      <w:r w:rsidR="00856B4F">
        <w:rPr>
          <w:rFonts w:ascii="Arial" w:hAnsi="Arial" w:cs="Arial"/>
          <w:sz w:val="24"/>
          <w:szCs w:val="24"/>
        </w:rPr>
        <w:t xml:space="preserve"> and </w:t>
      </w:r>
      <w:r w:rsidR="006F5B88">
        <w:rPr>
          <w:rFonts w:ascii="Arial" w:hAnsi="Arial" w:cs="Arial"/>
          <w:sz w:val="24"/>
          <w:szCs w:val="24"/>
        </w:rPr>
        <w:t>an additional N$500 000</w:t>
      </w:r>
      <w:r w:rsidR="0096197D" w:rsidRPr="0096197D">
        <w:rPr>
          <w:rFonts w:ascii="Arial" w:hAnsi="Arial" w:cs="Arial"/>
          <w:sz w:val="24"/>
          <w:szCs w:val="24"/>
        </w:rPr>
        <w:t xml:space="preserve"> as patrimonial damages for the loss of business opportunities he suffered arising from the alleged defamation. The applicant also prayed </w:t>
      </w:r>
      <w:r w:rsidR="00AF0D3D">
        <w:rPr>
          <w:rFonts w:ascii="Arial" w:hAnsi="Arial" w:cs="Arial"/>
          <w:sz w:val="24"/>
          <w:szCs w:val="24"/>
        </w:rPr>
        <w:t xml:space="preserve">for such alternative relief as </w:t>
      </w:r>
      <w:r w:rsidR="0096197D" w:rsidRPr="0096197D">
        <w:rPr>
          <w:rFonts w:ascii="Arial" w:hAnsi="Arial" w:cs="Arial"/>
          <w:sz w:val="24"/>
          <w:szCs w:val="24"/>
        </w:rPr>
        <w:t>the court would deem fit.</w:t>
      </w:r>
      <w:r w:rsidR="00AF0D3D">
        <w:rPr>
          <w:rFonts w:ascii="Arial" w:hAnsi="Arial" w:cs="Arial"/>
          <w:sz w:val="24"/>
          <w:szCs w:val="24"/>
        </w:rPr>
        <w:t xml:space="preserve"> In issuing summons as he did, the applicant firmly believed that the </w:t>
      </w:r>
      <w:r w:rsidR="00AF0D3D" w:rsidRPr="0096197D">
        <w:rPr>
          <w:rFonts w:ascii="Arial" w:hAnsi="Arial" w:cs="Arial"/>
          <w:sz w:val="24"/>
          <w:szCs w:val="24"/>
        </w:rPr>
        <w:t xml:space="preserve">allegations </w:t>
      </w:r>
      <w:r w:rsidR="00587F13">
        <w:rPr>
          <w:rFonts w:ascii="Arial" w:hAnsi="Arial" w:cs="Arial"/>
          <w:sz w:val="24"/>
          <w:szCs w:val="24"/>
        </w:rPr>
        <w:t xml:space="preserve">against him </w:t>
      </w:r>
      <w:r w:rsidR="00AF0D3D" w:rsidRPr="0096197D">
        <w:rPr>
          <w:rFonts w:ascii="Arial" w:hAnsi="Arial" w:cs="Arial"/>
          <w:sz w:val="24"/>
          <w:szCs w:val="24"/>
        </w:rPr>
        <w:t xml:space="preserve">were made in </w:t>
      </w:r>
      <w:r w:rsidR="00AF0D3D" w:rsidRPr="0096197D">
        <w:rPr>
          <w:rFonts w:ascii="Arial" w:hAnsi="Arial" w:cs="Arial"/>
          <w:sz w:val="24"/>
          <w:szCs w:val="24"/>
        </w:rPr>
        <w:lastRenderedPageBreak/>
        <w:t xml:space="preserve">circumstances that precluded the respondent from relying on the </w:t>
      </w:r>
      <w:proofErr w:type="spellStart"/>
      <w:r w:rsidR="00AF0D3D" w:rsidRPr="0096197D">
        <w:rPr>
          <w:rFonts w:ascii="Arial" w:hAnsi="Arial" w:cs="Arial"/>
          <w:sz w:val="24"/>
          <w:szCs w:val="24"/>
        </w:rPr>
        <w:t>defence</w:t>
      </w:r>
      <w:proofErr w:type="spellEnd"/>
      <w:r w:rsidR="00AF0D3D" w:rsidRPr="0096197D">
        <w:rPr>
          <w:rFonts w:ascii="Arial" w:hAnsi="Arial" w:cs="Arial"/>
          <w:sz w:val="24"/>
          <w:szCs w:val="24"/>
        </w:rPr>
        <w:t xml:space="preserve"> of privilege that he might </w:t>
      </w:r>
      <w:r w:rsidR="006E14F2">
        <w:rPr>
          <w:rFonts w:ascii="Arial" w:hAnsi="Arial" w:cs="Arial"/>
          <w:sz w:val="24"/>
          <w:szCs w:val="24"/>
        </w:rPr>
        <w:t>otherwise have been entitled to.</w:t>
      </w:r>
    </w:p>
    <w:p w14:paraId="53FA77B1" w14:textId="77777777" w:rsidR="00856B4F" w:rsidRDefault="00856B4F" w:rsidP="009E4D2A">
      <w:pPr>
        <w:spacing w:after="0" w:line="480" w:lineRule="auto"/>
        <w:jc w:val="both"/>
        <w:rPr>
          <w:rFonts w:ascii="Arial" w:hAnsi="Arial" w:cs="Arial"/>
          <w:sz w:val="24"/>
          <w:szCs w:val="24"/>
        </w:rPr>
      </w:pPr>
    </w:p>
    <w:p w14:paraId="7E5DD1BE" w14:textId="32CC192A" w:rsidR="00333851" w:rsidRDefault="00767BAB" w:rsidP="009E4D2A">
      <w:pPr>
        <w:spacing w:after="0" w:line="480" w:lineRule="auto"/>
        <w:jc w:val="both"/>
        <w:rPr>
          <w:rFonts w:ascii="Arial" w:hAnsi="Arial" w:cs="Arial"/>
          <w:sz w:val="24"/>
          <w:szCs w:val="24"/>
        </w:rPr>
      </w:pPr>
      <w:r>
        <w:rPr>
          <w:rFonts w:ascii="Arial" w:hAnsi="Arial" w:cs="Arial"/>
          <w:sz w:val="24"/>
          <w:szCs w:val="24"/>
        </w:rPr>
        <w:t>[</w:t>
      </w:r>
      <w:r w:rsidR="002158C4">
        <w:rPr>
          <w:rFonts w:ascii="Arial" w:hAnsi="Arial" w:cs="Arial"/>
          <w:sz w:val="24"/>
          <w:szCs w:val="24"/>
        </w:rPr>
        <w:t>10</w:t>
      </w:r>
      <w:r w:rsidR="00333851" w:rsidRPr="005A392D">
        <w:rPr>
          <w:rFonts w:ascii="Arial" w:hAnsi="Arial" w:cs="Arial"/>
          <w:sz w:val="24"/>
          <w:szCs w:val="24"/>
        </w:rPr>
        <w:t>]</w:t>
      </w:r>
      <w:r w:rsidR="00333851" w:rsidRPr="005A392D">
        <w:rPr>
          <w:rFonts w:ascii="Arial" w:hAnsi="Arial" w:cs="Arial"/>
          <w:sz w:val="24"/>
          <w:szCs w:val="24"/>
        </w:rPr>
        <w:tab/>
        <w:t xml:space="preserve">Maintaining that the letter and accompanying document were submitted in the execution of the respondent’s duty to act in the best interests of the company, the respondent resisted the claim in its entirety and put the applicant to the proof of </w:t>
      </w:r>
      <w:proofErr w:type="gramStart"/>
      <w:r w:rsidR="00333851" w:rsidRPr="005A392D">
        <w:rPr>
          <w:rFonts w:ascii="Arial" w:hAnsi="Arial" w:cs="Arial"/>
          <w:sz w:val="24"/>
          <w:szCs w:val="24"/>
        </w:rPr>
        <w:t>each and every</w:t>
      </w:r>
      <w:proofErr w:type="gramEnd"/>
      <w:r w:rsidR="00333851" w:rsidRPr="005A392D">
        <w:rPr>
          <w:rFonts w:ascii="Arial" w:hAnsi="Arial" w:cs="Arial"/>
          <w:sz w:val="24"/>
          <w:szCs w:val="24"/>
        </w:rPr>
        <w:t xml:space="preserve"> material averment thereof.</w:t>
      </w:r>
    </w:p>
    <w:p w14:paraId="682E5186" w14:textId="77777777" w:rsidR="00856B4F" w:rsidRDefault="00856B4F" w:rsidP="009E4D2A">
      <w:pPr>
        <w:spacing w:after="0" w:line="480" w:lineRule="auto"/>
        <w:jc w:val="both"/>
        <w:rPr>
          <w:rFonts w:ascii="Arial" w:hAnsi="Arial" w:cs="Arial"/>
          <w:sz w:val="24"/>
          <w:szCs w:val="24"/>
        </w:rPr>
      </w:pPr>
    </w:p>
    <w:p w14:paraId="0B4C0E3C" w14:textId="09AA8571" w:rsidR="00333851" w:rsidRDefault="00333851" w:rsidP="009E4D2A">
      <w:pPr>
        <w:spacing w:after="0" w:line="480" w:lineRule="auto"/>
        <w:jc w:val="both"/>
        <w:rPr>
          <w:rFonts w:ascii="Arial" w:hAnsi="Arial" w:cs="Arial"/>
          <w:sz w:val="24"/>
          <w:szCs w:val="24"/>
        </w:rPr>
      </w:pPr>
      <w:r w:rsidRPr="005A392D">
        <w:rPr>
          <w:rFonts w:ascii="Arial" w:hAnsi="Arial" w:cs="Arial"/>
          <w:sz w:val="24"/>
          <w:szCs w:val="24"/>
        </w:rPr>
        <w:t>[1</w:t>
      </w:r>
      <w:r w:rsidR="002158C4">
        <w:rPr>
          <w:rFonts w:ascii="Arial" w:hAnsi="Arial" w:cs="Arial"/>
          <w:sz w:val="24"/>
          <w:szCs w:val="24"/>
        </w:rPr>
        <w:t>1</w:t>
      </w:r>
      <w:r w:rsidR="006B66B7">
        <w:rPr>
          <w:rFonts w:ascii="Arial" w:hAnsi="Arial" w:cs="Arial"/>
          <w:sz w:val="24"/>
          <w:szCs w:val="24"/>
        </w:rPr>
        <w:t>]</w:t>
      </w:r>
      <w:r w:rsidR="006B66B7">
        <w:rPr>
          <w:rFonts w:ascii="Arial" w:hAnsi="Arial" w:cs="Arial"/>
          <w:sz w:val="24"/>
          <w:szCs w:val="24"/>
        </w:rPr>
        <w:tab/>
        <w:t xml:space="preserve">At </w:t>
      </w:r>
      <w:r w:rsidRPr="005A392D">
        <w:rPr>
          <w:rFonts w:ascii="Arial" w:hAnsi="Arial" w:cs="Arial"/>
          <w:sz w:val="24"/>
          <w:szCs w:val="24"/>
        </w:rPr>
        <w:t xml:space="preserve">trial the </w:t>
      </w:r>
      <w:r w:rsidR="00FE7093">
        <w:rPr>
          <w:rFonts w:ascii="Arial" w:hAnsi="Arial" w:cs="Arial"/>
          <w:sz w:val="24"/>
          <w:szCs w:val="24"/>
        </w:rPr>
        <w:t>applicant</w:t>
      </w:r>
      <w:r w:rsidRPr="005A392D">
        <w:rPr>
          <w:rFonts w:ascii="Arial" w:hAnsi="Arial" w:cs="Arial"/>
          <w:sz w:val="24"/>
          <w:szCs w:val="24"/>
        </w:rPr>
        <w:t xml:space="preserve"> gave evidence. </w:t>
      </w:r>
      <w:r w:rsidR="009F098A">
        <w:rPr>
          <w:rFonts w:ascii="Arial" w:hAnsi="Arial" w:cs="Arial"/>
          <w:sz w:val="24"/>
          <w:szCs w:val="24"/>
        </w:rPr>
        <w:t xml:space="preserve"> He </w:t>
      </w:r>
      <w:r w:rsidRPr="005A392D">
        <w:rPr>
          <w:rFonts w:ascii="Arial" w:hAnsi="Arial" w:cs="Arial"/>
          <w:sz w:val="24"/>
          <w:szCs w:val="24"/>
        </w:rPr>
        <w:t>was his only witness.</w:t>
      </w:r>
      <w:r w:rsidR="005D5BFA">
        <w:rPr>
          <w:rFonts w:ascii="Arial" w:hAnsi="Arial" w:cs="Arial"/>
          <w:sz w:val="24"/>
          <w:szCs w:val="24"/>
        </w:rPr>
        <w:t xml:space="preserve"> </w:t>
      </w:r>
      <w:r w:rsidR="00227486">
        <w:rPr>
          <w:rFonts w:ascii="Arial" w:hAnsi="Arial" w:cs="Arial"/>
          <w:sz w:val="24"/>
          <w:szCs w:val="24"/>
        </w:rPr>
        <w:t xml:space="preserve">Upon closing his case, </w:t>
      </w:r>
      <w:r w:rsidR="005D5BFA">
        <w:rPr>
          <w:rFonts w:ascii="Arial" w:hAnsi="Arial" w:cs="Arial"/>
          <w:sz w:val="24"/>
          <w:szCs w:val="24"/>
        </w:rPr>
        <w:t xml:space="preserve">the respondent applied for an </w:t>
      </w:r>
      <w:r w:rsidR="00495382">
        <w:rPr>
          <w:rFonts w:ascii="Arial" w:hAnsi="Arial" w:cs="Arial"/>
          <w:sz w:val="24"/>
          <w:szCs w:val="24"/>
        </w:rPr>
        <w:t>order granting absolution</w:t>
      </w:r>
      <w:r w:rsidR="005D5BFA">
        <w:rPr>
          <w:rFonts w:ascii="Arial" w:hAnsi="Arial" w:cs="Arial"/>
          <w:sz w:val="24"/>
          <w:szCs w:val="24"/>
        </w:rPr>
        <w:t xml:space="preserve"> from the inst</w:t>
      </w:r>
      <w:r w:rsidR="00FE7093">
        <w:rPr>
          <w:rFonts w:ascii="Arial" w:hAnsi="Arial" w:cs="Arial"/>
          <w:sz w:val="24"/>
          <w:szCs w:val="24"/>
        </w:rPr>
        <w:t xml:space="preserve">ance which the court granted </w:t>
      </w:r>
      <w:r w:rsidR="005D5BFA">
        <w:rPr>
          <w:rFonts w:ascii="Arial" w:hAnsi="Arial" w:cs="Arial"/>
          <w:sz w:val="24"/>
          <w:szCs w:val="24"/>
        </w:rPr>
        <w:t xml:space="preserve">on 25 February 2021 as stated above.  </w:t>
      </w:r>
      <w:r w:rsidR="004F643D">
        <w:rPr>
          <w:rFonts w:ascii="Arial" w:hAnsi="Arial" w:cs="Arial"/>
          <w:sz w:val="24"/>
          <w:szCs w:val="24"/>
        </w:rPr>
        <w:t xml:space="preserve">In granting the decree of absolution from the instance, the court </w:t>
      </w:r>
      <w:r w:rsidR="004F643D" w:rsidRPr="006B66B7">
        <w:rPr>
          <w:rFonts w:ascii="Arial" w:hAnsi="Arial" w:cs="Arial"/>
          <w:i/>
          <w:sz w:val="24"/>
          <w:szCs w:val="24"/>
        </w:rPr>
        <w:t>a quo</w:t>
      </w:r>
      <w:r w:rsidR="004F643D">
        <w:rPr>
          <w:rFonts w:ascii="Arial" w:hAnsi="Arial" w:cs="Arial"/>
          <w:sz w:val="24"/>
          <w:szCs w:val="24"/>
        </w:rPr>
        <w:t xml:space="preserve"> formed the view that the </w:t>
      </w:r>
      <w:r w:rsidR="00FE7093">
        <w:rPr>
          <w:rFonts w:ascii="Arial" w:hAnsi="Arial" w:cs="Arial"/>
          <w:sz w:val="24"/>
          <w:szCs w:val="24"/>
        </w:rPr>
        <w:t>applicant</w:t>
      </w:r>
      <w:r w:rsidR="004F643D">
        <w:rPr>
          <w:rFonts w:ascii="Arial" w:hAnsi="Arial" w:cs="Arial"/>
          <w:sz w:val="24"/>
          <w:szCs w:val="24"/>
        </w:rPr>
        <w:t xml:space="preserve"> has failed to adduce</w:t>
      </w:r>
      <w:r w:rsidR="00E839A6">
        <w:rPr>
          <w:rFonts w:ascii="Arial" w:hAnsi="Arial" w:cs="Arial"/>
          <w:sz w:val="24"/>
          <w:szCs w:val="24"/>
        </w:rPr>
        <w:t xml:space="preserve"> any </w:t>
      </w:r>
      <w:r w:rsidR="004F643D">
        <w:rPr>
          <w:rFonts w:ascii="Arial" w:hAnsi="Arial" w:cs="Arial"/>
          <w:sz w:val="24"/>
          <w:szCs w:val="24"/>
        </w:rPr>
        <w:t>evidence that the</w:t>
      </w:r>
      <w:r w:rsidR="003B3B03">
        <w:rPr>
          <w:rFonts w:ascii="Arial" w:hAnsi="Arial" w:cs="Arial"/>
          <w:sz w:val="24"/>
          <w:szCs w:val="24"/>
        </w:rPr>
        <w:t>re</w:t>
      </w:r>
      <w:r w:rsidR="004F643D">
        <w:rPr>
          <w:rFonts w:ascii="Arial" w:hAnsi="Arial" w:cs="Arial"/>
          <w:sz w:val="24"/>
          <w:szCs w:val="24"/>
        </w:rPr>
        <w:t xml:space="preserve"> was requisite publication of the material to persons outside the circle </w:t>
      </w:r>
      <w:r w:rsidR="00E839A6">
        <w:rPr>
          <w:rFonts w:ascii="Arial" w:hAnsi="Arial" w:cs="Arial"/>
          <w:sz w:val="24"/>
          <w:szCs w:val="24"/>
        </w:rPr>
        <w:t xml:space="preserve">of persons </w:t>
      </w:r>
      <w:r w:rsidR="004F643D">
        <w:rPr>
          <w:rFonts w:ascii="Arial" w:hAnsi="Arial" w:cs="Arial"/>
          <w:sz w:val="24"/>
          <w:szCs w:val="24"/>
        </w:rPr>
        <w:t>to which it was intended.</w:t>
      </w:r>
    </w:p>
    <w:p w14:paraId="739E2030" w14:textId="77777777" w:rsidR="00856B4F" w:rsidRDefault="00856B4F" w:rsidP="009E4D2A">
      <w:pPr>
        <w:spacing w:after="0" w:line="480" w:lineRule="auto"/>
        <w:jc w:val="both"/>
        <w:rPr>
          <w:rFonts w:ascii="Arial" w:hAnsi="Arial" w:cs="Arial"/>
          <w:sz w:val="24"/>
          <w:szCs w:val="24"/>
        </w:rPr>
      </w:pPr>
    </w:p>
    <w:p w14:paraId="34D670BD" w14:textId="60FB2723" w:rsidR="001834ED" w:rsidRDefault="00767BAB" w:rsidP="009E4D2A">
      <w:pPr>
        <w:spacing w:after="0" w:line="480" w:lineRule="auto"/>
        <w:jc w:val="both"/>
        <w:rPr>
          <w:rFonts w:ascii="Arial" w:hAnsi="Arial" w:cs="Arial"/>
          <w:sz w:val="24"/>
          <w:szCs w:val="24"/>
        </w:rPr>
      </w:pPr>
      <w:r>
        <w:rPr>
          <w:rFonts w:ascii="Arial" w:hAnsi="Arial" w:cs="Arial"/>
          <w:sz w:val="24"/>
          <w:szCs w:val="24"/>
        </w:rPr>
        <w:t>[1</w:t>
      </w:r>
      <w:r w:rsidR="002158C4">
        <w:rPr>
          <w:rFonts w:ascii="Arial" w:hAnsi="Arial" w:cs="Arial"/>
          <w:sz w:val="24"/>
          <w:szCs w:val="24"/>
        </w:rPr>
        <w:t>2</w:t>
      </w:r>
      <w:r w:rsidR="00EF412F">
        <w:rPr>
          <w:rFonts w:ascii="Arial" w:hAnsi="Arial" w:cs="Arial"/>
          <w:sz w:val="24"/>
          <w:szCs w:val="24"/>
        </w:rPr>
        <w:t>]</w:t>
      </w:r>
      <w:r w:rsidR="003B3B03">
        <w:rPr>
          <w:rFonts w:ascii="Arial" w:hAnsi="Arial" w:cs="Arial"/>
          <w:sz w:val="24"/>
          <w:szCs w:val="24"/>
        </w:rPr>
        <w:tab/>
        <w:t xml:space="preserve">The </w:t>
      </w:r>
      <w:r w:rsidR="001834ED" w:rsidRPr="00767BAB">
        <w:rPr>
          <w:rFonts w:ascii="Arial" w:hAnsi="Arial" w:cs="Arial"/>
          <w:sz w:val="24"/>
          <w:szCs w:val="24"/>
        </w:rPr>
        <w:t xml:space="preserve">applicant was dissatisfied with the judgment of the </w:t>
      </w:r>
      <w:proofErr w:type="gramStart"/>
      <w:r w:rsidR="001834ED" w:rsidRPr="00767BAB">
        <w:rPr>
          <w:rFonts w:ascii="Arial" w:hAnsi="Arial" w:cs="Arial"/>
          <w:sz w:val="24"/>
          <w:szCs w:val="24"/>
        </w:rPr>
        <w:t>court</w:t>
      </w:r>
      <w:proofErr w:type="gramEnd"/>
      <w:r w:rsidR="001834ED" w:rsidRPr="00767BAB">
        <w:rPr>
          <w:rFonts w:ascii="Arial" w:hAnsi="Arial" w:cs="Arial"/>
          <w:sz w:val="24"/>
          <w:szCs w:val="24"/>
        </w:rPr>
        <w:t xml:space="preserve"> </w:t>
      </w:r>
      <w:r w:rsidR="001834ED" w:rsidRPr="00767BAB">
        <w:rPr>
          <w:rFonts w:ascii="Arial" w:hAnsi="Arial" w:cs="Arial"/>
          <w:i/>
          <w:sz w:val="24"/>
          <w:szCs w:val="24"/>
        </w:rPr>
        <w:t>a quo</w:t>
      </w:r>
      <w:r w:rsidR="001834ED" w:rsidRPr="00767BAB">
        <w:rPr>
          <w:rFonts w:ascii="Arial" w:hAnsi="Arial" w:cs="Arial"/>
          <w:sz w:val="24"/>
          <w:szCs w:val="24"/>
        </w:rPr>
        <w:t xml:space="preserve"> which he thought was replete with irregularities and errors. He gave the necessary instructions to his legal practitioners to impugn the judgment. In this regard, he </w:t>
      </w:r>
      <w:proofErr w:type="gramStart"/>
      <w:r w:rsidR="00E839A6">
        <w:rPr>
          <w:rFonts w:ascii="Arial" w:hAnsi="Arial" w:cs="Arial"/>
          <w:sz w:val="24"/>
          <w:szCs w:val="24"/>
        </w:rPr>
        <w:t>firstly</w:t>
      </w:r>
      <w:proofErr w:type="gramEnd"/>
      <w:r w:rsidR="00E839A6">
        <w:rPr>
          <w:rFonts w:ascii="Arial" w:hAnsi="Arial" w:cs="Arial"/>
          <w:sz w:val="24"/>
          <w:szCs w:val="24"/>
        </w:rPr>
        <w:t xml:space="preserve"> </w:t>
      </w:r>
      <w:r w:rsidR="001834ED" w:rsidRPr="00767BAB">
        <w:rPr>
          <w:rFonts w:ascii="Arial" w:hAnsi="Arial" w:cs="Arial"/>
          <w:sz w:val="24"/>
          <w:szCs w:val="24"/>
        </w:rPr>
        <w:t xml:space="preserve">inquired </w:t>
      </w:r>
      <w:r w:rsidR="006B66B7">
        <w:rPr>
          <w:rFonts w:ascii="Arial" w:hAnsi="Arial" w:cs="Arial"/>
          <w:sz w:val="24"/>
          <w:szCs w:val="24"/>
        </w:rPr>
        <w:t>from</w:t>
      </w:r>
      <w:r w:rsidR="001834ED" w:rsidRPr="00767BAB">
        <w:rPr>
          <w:rFonts w:ascii="Arial" w:hAnsi="Arial" w:cs="Arial"/>
          <w:sz w:val="24"/>
          <w:szCs w:val="24"/>
        </w:rPr>
        <w:t xml:space="preserve"> his legal advis</w:t>
      </w:r>
      <w:r w:rsidR="006B66B7">
        <w:rPr>
          <w:rFonts w:ascii="Arial" w:hAnsi="Arial" w:cs="Arial"/>
          <w:sz w:val="24"/>
          <w:szCs w:val="24"/>
        </w:rPr>
        <w:t>o</w:t>
      </w:r>
      <w:r w:rsidR="001834ED" w:rsidRPr="00767BAB">
        <w:rPr>
          <w:rFonts w:ascii="Arial" w:hAnsi="Arial" w:cs="Arial"/>
          <w:sz w:val="24"/>
          <w:szCs w:val="24"/>
        </w:rPr>
        <w:t>rs whether it was possible to appeal against the judgment to w</w:t>
      </w:r>
      <w:r w:rsidR="002A3FFB">
        <w:rPr>
          <w:rFonts w:ascii="Arial" w:hAnsi="Arial" w:cs="Arial"/>
          <w:sz w:val="24"/>
          <w:szCs w:val="24"/>
        </w:rPr>
        <w:t>hich he was advised he could not as the judgment lacked the requisite feature of being a final judgment</w:t>
      </w:r>
      <w:r w:rsidR="001834ED" w:rsidRPr="00767BAB">
        <w:rPr>
          <w:rFonts w:ascii="Arial" w:hAnsi="Arial" w:cs="Arial"/>
          <w:sz w:val="24"/>
          <w:szCs w:val="24"/>
        </w:rPr>
        <w:t xml:space="preserve">. Instead, he was advised </w:t>
      </w:r>
      <w:r w:rsidR="002A3FFB">
        <w:rPr>
          <w:rFonts w:ascii="Arial" w:hAnsi="Arial" w:cs="Arial"/>
          <w:sz w:val="24"/>
          <w:szCs w:val="24"/>
        </w:rPr>
        <w:t>to have the judgment reviewed</w:t>
      </w:r>
      <w:r w:rsidR="001834ED" w:rsidRPr="00767BAB">
        <w:rPr>
          <w:rFonts w:ascii="Arial" w:hAnsi="Arial" w:cs="Arial"/>
          <w:sz w:val="24"/>
          <w:szCs w:val="24"/>
        </w:rPr>
        <w:t xml:space="preserve"> under the inherent power and jurisdiction of this Cou</w:t>
      </w:r>
      <w:r w:rsidR="00FE7093">
        <w:rPr>
          <w:rFonts w:ascii="Arial" w:hAnsi="Arial" w:cs="Arial"/>
          <w:sz w:val="24"/>
          <w:szCs w:val="24"/>
        </w:rPr>
        <w:t>rt as provided for under s</w:t>
      </w:r>
      <w:r w:rsidR="001834ED" w:rsidRPr="00767BAB">
        <w:rPr>
          <w:rFonts w:ascii="Arial" w:hAnsi="Arial" w:cs="Arial"/>
          <w:sz w:val="24"/>
          <w:szCs w:val="24"/>
        </w:rPr>
        <w:t xml:space="preserve"> 16</w:t>
      </w:r>
      <w:r w:rsidR="00FE7093">
        <w:rPr>
          <w:rFonts w:ascii="Arial" w:hAnsi="Arial" w:cs="Arial"/>
          <w:sz w:val="24"/>
          <w:szCs w:val="24"/>
        </w:rPr>
        <w:t xml:space="preserve"> of the Supreme Court </w:t>
      </w:r>
      <w:r w:rsidR="00FE7093">
        <w:rPr>
          <w:rFonts w:ascii="Arial" w:hAnsi="Arial" w:cs="Arial"/>
          <w:sz w:val="24"/>
          <w:szCs w:val="24"/>
        </w:rPr>
        <w:lastRenderedPageBreak/>
        <w:t>Act</w:t>
      </w:r>
      <w:r w:rsidR="006B66B7">
        <w:rPr>
          <w:rFonts w:ascii="Arial" w:hAnsi="Arial" w:cs="Arial"/>
          <w:sz w:val="24"/>
          <w:szCs w:val="24"/>
        </w:rPr>
        <w:t>.</w:t>
      </w:r>
      <w:r w:rsidR="00FE7093">
        <w:rPr>
          <w:rStyle w:val="FootnoteReference"/>
          <w:rFonts w:ascii="Arial" w:hAnsi="Arial" w:cs="Arial"/>
          <w:sz w:val="24"/>
          <w:szCs w:val="24"/>
        </w:rPr>
        <w:footnoteReference w:id="3"/>
      </w:r>
      <w:r w:rsidR="001834ED" w:rsidRPr="00767BAB">
        <w:rPr>
          <w:rFonts w:ascii="Arial" w:hAnsi="Arial" w:cs="Arial"/>
          <w:sz w:val="24"/>
          <w:szCs w:val="24"/>
        </w:rPr>
        <w:t xml:space="preserve"> He therea</w:t>
      </w:r>
      <w:r w:rsidR="002A3FFB">
        <w:rPr>
          <w:rFonts w:ascii="Arial" w:hAnsi="Arial" w:cs="Arial"/>
          <w:sz w:val="24"/>
          <w:szCs w:val="24"/>
        </w:rPr>
        <w:t>fter</w:t>
      </w:r>
      <w:r w:rsidR="00E839A6">
        <w:rPr>
          <w:rFonts w:ascii="Arial" w:hAnsi="Arial" w:cs="Arial"/>
          <w:sz w:val="24"/>
          <w:szCs w:val="24"/>
        </w:rPr>
        <w:t xml:space="preserve"> and in the second instance, </w:t>
      </w:r>
      <w:r w:rsidR="002A3FFB">
        <w:rPr>
          <w:rFonts w:ascii="Arial" w:hAnsi="Arial" w:cs="Arial"/>
          <w:sz w:val="24"/>
          <w:szCs w:val="24"/>
        </w:rPr>
        <w:t xml:space="preserve">gave instructions for </w:t>
      </w:r>
      <w:r w:rsidR="001834ED" w:rsidRPr="00767BAB">
        <w:rPr>
          <w:rFonts w:ascii="Arial" w:hAnsi="Arial" w:cs="Arial"/>
          <w:sz w:val="24"/>
          <w:szCs w:val="24"/>
        </w:rPr>
        <w:t xml:space="preserve">a request for </w:t>
      </w:r>
      <w:r w:rsidR="002A3FFB">
        <w:rPr>
          <w:rFonts w:ascii="Arial" w:hAnsi="Arial" w:cs="Arial"/>
          <w:sz w:val="24"/>
          <w:szCs w:val="24"/>
        </w:rPr>
        <w:t xml:space="preserve">such </w:t>
      </w:r>
      <w:r w:rsidR="00FE7093">
        <w:rPr>
          <w:rFonts w:ascii="Arial" w:hAnsi="Arial" w:cs="Arial"/>
          <w:sz w:val="24"/>
          <w:szCs w:val="24"/>
        </w:rPr>
        <w:t xml:space="preserve">a review to be filed. </w:t>
      </w:r>
      <w:r w:rsidR="001834ED" w:rsidRPr="00767BAB">
        <w:rPr>
          <w:rFonts w:ascii="Arial" w:hAnsi="Arial" w:cs="Arial"/>
          <w:sz w:val="24"/>
          <w:szCs w:val="24"/>
        </w:rPr>
        <w:t>This was duly done on 14 April 2021.</w:t>
      </w:r>
    </w:p>
    <w:p w14:paraId="1CB2BDD7" w14:textId="77777777" w:rsidR="00FE7093" w:rsidRPr="00767BAB" w:rsidRDefault="00FE7093" w:rsidP="009E4D2A">
      <w:pPr>
        <w:spacing w:after="0" w:line="480" w:lineRule="auto"/>
        <w:jc w:val="both"/>
        <w:rPr>
          <w:rFonts w:ascii="Arial" w:hAnsi="Arial" w:cs="Arial"/>
          <w:sz w:val="24"/>
          <w:szCs w:val="24"/>
        </w:rPr>
      </w:pPr>
    </w:p>
    <w:p w14:paraId="4ED08E87" w14:textId="4B3E3327" w:rsidR="00FE7093" w:rsidRDefault="00763C8C" w:rsidP="009E4D2A">
      <w:pPr>
        <w:spacing w:after="0" w:line="480" w:lineRule="auto"/>
        <w:jc w:val="both"/>
        <w:rPr>
          <w:rFonts w:ascii="Arial" w:hAnsi="Arial" w:cs="Arial"/>
          <w:sz w:val="24"/>
          <w:szCs w:val="24"/>
        </w:rPr>
      </w:pPr>
      <w:r>
        <w:rPr>
          <w:rFonts w:ascii="Arial" w:hAnsi="Arial" w:cs="Arial"/>
          <w:sz w:val="24"/>
          <w:szCs w:val="24"/>
        </w:rPr>
        <w:t>[13</w:t>
      </w:r>
      <w:r w:rsidR="00E839A6">
        <w:rPr>
          <w:rFonts w:ascii="Arial" w:hAnsi="Arial" w:cs="Arial"/>
          <w:sz w:val="24"/>
          <w:szCs w:val="24"/>
        </w:rPr>
        <w:t>]</w:t>
      </w:r>
      <w:r w:rsidR="00E839A6">
        <w:rPr>
          <w:rFonts w:ascii="Arial" w:hAnsi="Arial" w:cs="Arial"/>
          <w:sz w:val="24"/>
          <w:szCs w:val="24"/>
        </w:rPr>
        <w:tab/>
        <w:t xml:space="preserve">On 14 May 2021, </w:t>
      </w:r>
      <w:r w:rsidR="001834ED" w:rsidRPr="00767BAB">
        <w:rPr>
          <w:rFonts w:ascii="Arial" w:hAnsi="Arial" w:cs="Arial"/>
          <w:sz w:val="24"/>
          <w:szCs w:val="24"/>
        </w:rPr>
        <w:t>this</w:t>
      </w:r>
      <w:r w:rsidR="002A3FFB">
        <w:rPr>
          <w:rFonts w:ascii="Arial" w:hAnsi="Arial" w:cs="Arial"/>
          <w:sz w:val="24"/>
          <w:szCs w:val="24"/>
        </w:rPr>
        <w:t xml:space="preserve"> </w:t>
      </w:r>
      <w:r w:rsidR="006B66B7">
        <w:rPr>
          <w:rFonts w:ascii="Arial" w:hAnsi="Arial" w:cs="Arial"/>
          <w:sz w:val="24"/>
          <w:szCs w:val="24"/>
        </w:rPr>
        <w:t>C</w:t>
      </w:r>
      <w:r w:rsidR="001834ED" w:rsidRPr="00767BAB">
        <w:rPr>
          <w:rFonts w:ascii="Arial" w:hAnsi="Arial" w:cs="Arial"/>
          <w:sz w:val="24"/>
          <w:szCs w:val="24"/>
        </w:rPr>
        <w:t>ourt issued an order refusing the request to invoke its review jurisdicti</w:t>
      </w:r>
      <w:r w:rsidR="00FE7093">
        <w:rPr>
          <w:rFonts w:ascii="Arial" w:hAnsi="Arial" w:cs="Arial"/>
          <w:sz w:val="24"/>
          <w:szCs w:val="24"/>
        </w:rPr>
        <w:t>on as provided for under s</w:t>
      </w:r>
      <w:r w:rsidR="001834ED" w:rsidRPr="00767BAB">
        <w:rPr>
          <w:rFonts w:ascii="Arial" w:hAnsi="Arial" w:cs="Arial"/>
          <w:sz w:val="24"/>
          <w:szCs w:val="24"/>
        </w:rPr>
        <w:t xml:space="preserve"> 16 of the Supreme Court </w:t>
      </w:r>
      <w:r w:rsidR="006B66B7">
        <w:rPr>
          <w:rFonts w:ascii="Arial" w:hAnsi="Arial" w:cs="Arial"/>
          <w:sz w:val="24"/>
          <w:szCs w:val="24"/>
        </w:rPr>
        <w:t xml:space="preserve">Act </w:t>
      </w:r>
      <w:r w:rsidR="001834ED" w:rsidRPr="00767BAB">
        <w:rPr>
          <w:rFonts w:ascii="Arial" w:hAnsi="Arial" w:cs="Arial"/>
          <w:sz w:val="24"/>
          <w:szCs w:val="24"/>
        </w:rPr>
        <w:t xml:space="preserve">aforesaid.  The order, which was communicated to all the parties, was not accompanied by any reasons for the refusal of the request. It simply stated: </w:t>
      </w:r>
    </w:p>
    <w:p w14:paraId="3C151497" w14:textId="77777777" w:rsidR="009E4D2A" w:rsidRPr="00767BAB" w:rsidRDefault="009E4D2A" w:rsidP="009E4D2A">
      <w:pPr>
        <w:spacing w:after="0" w:line="480" w:lineRule="auto"/>
        <w:jc w:val="both"/>
        <w:rPr>
          <w:rFonts w:ascii="Arial" w:hAnsi="Arial" w:cs="Arial"/>
          <w:sz w:val="24"/>
          <w:szCs w:val="24"/>
        </w:rPr>
      </w:pPr>
    </w:p>
    <w:p w14:paraId="6EB159F3" w14:textId="7DC0558A" w:rsidR="001834ED" w:rsidRDefault="009E4D2A" w:rsidP="009E4D2A">
      <w:pPr>
        <w:spacing w:after="0" w:line="480" w:lineRule="auto"/>
        <w:ind w:left="720"/>
        <w:jc w:val="both"/>
        <w:rPr>
          <w:rFonts w:ascii="Arial" w:hAnsi="Arial" w:cs="Arial"/>
        </w:rPr>
      </w:pPr>
      <w:r>
        <w:rPr>
          <w:rFonts w:ascii="Arial" w:hAnsi="Arial" w:cs="Arial"/>
        </w:rPr>
        <w:t>‘</w:t>
      </w:r>
      <w:r w:rsidR="001834ED" w:rsidRPr="003020DE">
        <w:rPr>
          <w:rFonts w:ascii="Arial" w:hAnsi="Arial" w:cs="Arial"/>
        </w:rPr>
        <w:t>The request for the Supreme Court to invoke its review jurisdiction in terms of s 16 of the Supre</w:t>
      </w:r>
      <w:r>
        <w:rPr>
          <w:rFonts w:ascii="Arial" w:hAnsi="Arial" w:cs="Arial"/>
        </w:rPr>
        <w:t>me Court Act, 1990, is refused.’</w:t>
      </w:r>
    </w:p>
    <w:p w14:paraId="2F2D2B94" w14:textId="77777777" w:rsidR="00A23C4E" w:rsidRPr="003020DE" w:rsidRDefault="00A23C4E" w:rsidP="009E4D2A">
      <w:pPr>
        <w:spacing w:after="0" w:line="480" w:lineRule="auto"/>
        <w:ind w:firstLine="90"/>
        <w:jc w:val="both"/>
        <w:rPr>
          <w:rFonts w:ascii="Arial" w:hAnsi="Arial" w:cs="Arial"/>
        </w:rPr>
      </w:pPr>
    </w:p>
    <w:p w14:paraId="24D4C015" w14:textId="6393902B" w:rsidR="001834ED" w:rsidRDefault="00FE7093" w:rsidP="009E4D2A">
      <w:pPr>
        <w:spacing w:after="0" w:line="480" w:lineRule="auto"/>
        <w:jc w:val="both"/>
        <w:rPr>
          <w:rFonts w:ascii="Arial" w:hAnsi="Arial" w:cs="Arial"/>
          <w:sz w:val="24"/>
          <w:szCs w:val="24"/>
        </w:rPr>
      </w:pPr>
      <w:r w:rsidRPr="00FE7093">
        <w:rPr>
          <w:rFonts w:ascii="Arial" w:hAnsi="Arial" w:cs="Arial"/>
          <w:sz w:val="24"/>
          <w:szCs w:val="24"/>
        </w:rPr>
        <w:t>[</w:t>
      </w:r>
      <w:r w:rsidR="008D77A4" w:rsidRPr="00FE7093">
        <w:rPr>
          <w:rFonts w:ascii="Arial" w:hAnsi="Arial" w:cs="Arial"/>
          <w:sz w:val="24"/>
          <w:szCs w:val="24"/>
        </w:rPr>
        <w:t>14</w:t>
      </w:r>
      <w:r w:rsidR="00861739" w:rsidRPr="00FE7093">
        <w:rPr>
          <w:rFonts w:ascii="Arial" w:hAnsi="Arial" w:cs="Arial"/>
          <w:sz w:val="24"/>
          <w:szCs w:val="24"/>
        </w:rPr>
        <w:t>]</w:t>
      </w:r>
      <w:r w:rsidR="00861739" w:rsidRPr="00FE7093">
        <w:rPr>
          <w:rFonts w:ascii="Arial" w:hAnsi="Arial" w:cs="Arial"/>
          <w:sz w:val="24"/>
          <w:szCs w:val="24"/>
        </w:rPr>
        <w:tab/>
      </w:r>
      <w:r w:rsidR="00B107FD" w:rsidRPr="00FE7093">
        <w:rPr>
          <w:rFonts w:ascii="Arial" w:hAnsi="Arial" w:cs="Arial"/>
          <w:sz w:val="24"/>
          <w:szCs w:val="24"/>
        </w:rPr>
        <w:t>Whilst finding it difficult to accept that the doors of justice had been closed to him for all intents and purpose</w:t>
      </w:r>
      <w:r>
        <w:rPr>
          <w:rFonts w:ascii="Arial" w:hAnsi="Arial" w:cs="Arial"/>
          <w:sz w:val="24"/>
          <w:szCs w:val="24"/>
        </w:rPr>
        <w:t>s</w:t>
      </w:r>
      <w:r w:rsidR="00B107FD" w:rsidRPr="00FE7093">
        <w:rPr>
          <w:rFonts w:ascii="Arial" w:hAnsi="Arial" w:cs="Arial"/>
          <w:sz w:val="24"/>
          <w:szCs w:val="24"/>
        </w:rPr>
        <w:t>, the</w:t>
      </w:r>
      <w:r w:rsidR="0000020D" w:rsidRPr="00FE7093">
        <w:rPr>
          <w:rFonts w:ascii="Arial" w:hAnsi="Arial" w:cs="Arial"/>
          <w:sz w:val="24"/>
          <w:szCs w:val="24"/>
        </w:rPr>
        <w:t xml:space="preserve"> applicant </w:t>
      </w:r>
      <w:r w:rsidR="00B107FD" w:rsidRPr="00FE7093">
        <w:rPr>
          <w:rFonts w:ascii="Arial" w:hAnsi="Arial" w:cs="Arial"/>
          <w:sz w:val="24"/>
          <w:szCs w:val="24"/>
        </w:rPr>
        <w:t xml:space="preserve">nonetheless </w:t>
      </w:r>
      <w:r w:rsidR="0000020D" w:rsidRPr="00FE7093">
        <w:rPr>
          <w:rFonts w:ascii="Arial" w:hAnsi="Arial" w:cs="Arial"/>
          <w:sz w:val="24"/>
          <w:szCs w:val="24"/>
        </w:rPr>
        <w:t xml:space="preserve">accepted the finality of the </w:t>
      </w:r>
      <w:r w:rsidR="001834ED" w:rsidRPr="00FE7093">
        <w:rPr>
          <w:rFonts w:ascii="Arial" w:hAnsi="Arial" w:cs="Arial"/>
          <w:sz w:val="24"/>
          <w:szCs w:val="24"/>
        </w:rPr>
        <w:t>order of the Supreme Court of 14 May</w:t>
      </w:r>
      <w:r w:rsidR="0000020D" w:rsidRPr="00FE7093">
        <w:rPr>
          <w:rFonts w:ascii="Arial" w:hAnsi="Arial" w:cs="Arial"/>
          <w:sz w:val="24"/>
          <w:szCs w:val="24"/>
        </w:rPr>
        <w:t xml:space="preserve"> 2021. In this regard he</w:t>
      </w:r>
      <w:r w:rsidR="005D6640" w:rsidRPr="00FE7093">
        <w:rPr>
          <w:rFonts w:ascii="Arial" w:hAnsi="Arial" w:cs="Arial"/>
          <w:sz w:val="24"/>
          <w:szCs w:val="24"/>
        </w:rPr>
        <w:t>,</w:t>
      </w:r>
      <w:r w:rsidR="0000020D" w:rsidRPr="00FE7093">
        <w:rPr>
          <w:rFonts w:ascii="Arial" w:hAnsi="Arial" w:cs="Arial"/>
          <w:sz w:val="24"/>
          <w:szCs w:val="24"/>
        </w:rPr>
        <w:t xml:space="preserve"> </w:t>
      </w:r>
      <w:r w:rsidR="00B107FD" w:rsidRPr="00FE7093">
        <w:rPr>
          <w:rFonts w:ascii="Arial" w:hAnsi="Arial" w:cs="Arial"/>
          <w:sz w:val="24"/>
          <w:szCs w:val="24"/>
        </w:rPr>
        <w:t>correctly in my view</w:t>
      </w:r>
      <w:r w:rsidR="005D6640" w:rsidRPr="00FE7093">
        <w:rPr>
          <w:rFonts w:ascii="Arial" w:hAnsi="Arial" w:cs="Arial"/>
          <w:sz w:val="24"/>
          <w:szCs w:val="24"/>
        </w:rPr>
        <w:t>,</w:t>
      </w:r>
      <w:r w:rsidR="00B107FD" w:rsidRPr="00FE7093">
        <w:rPr>
          <w:rFonts w:ascii="Arial" w:hAnsi="Arial" w:cs="Arial"/>
          <w:sz w:val="24"/>
          <w:szCs w:val="24"/>
        </w:rPr>
        <w:t xml:space="preserve"> </w:t>
      </w:r>
      <w:r w:rsidR="0000020D" w:rsidRPr="00FE7093">
        <w:rPr>
          <w:rFonts w:ascii="Arial" w:hAnsi="Arial" w:cs="Arial"/>
          <w:sz w:val="24"/>
          <w:szCs w:val="24"/>
        </w:rPr>
        <w:t xml:space="preserve">accepted that it </w:t>
      </w:r>
      <w:r w:rsidR="001834ED" w:rsidRPr="00FE7093">
        <w:rPr>
          <w:rFonts w:ascii="Arial" w:hAnsi="Arial" w:cs="Arial"/>
          <w:sz w:val="24"/>
          <w:szCs w:val="24"/>
        </w:rPr>
        <w:t>could not</w:t>
      </w:r>
      <w:r w:rsidR="001834ED" w:rsidRPr="00227486">
        <w:rPr>
          <w:rFonts w:ascii="Arial" w:hAnsi="Arial" w:cs="Arial"/>
          <w:sz w:val="24"/>
          <w:szCs w:val="24"/>
        </w:rPr>
        <w:t xml:space="preserve"> be impugned or </w:t>
      </w:r>
      <w:r w:rsidR="00450245">
        <w:rPr>
          <w:rFonts w:ascii="Arial" w:hAnsi="Arial" w:cs="Arial"/>
          <w:sz w:val="24"/>
          <w:szCs w:val="24"/>
        </w:rPr>
        <w:t xml:space="preserve">further </w:t>
      </w:r>
      <w:r w:rsidR="001834ED" w:rsidRPr="00227486">
        <w:rPr>
          <w:rFonts w:ascii="Arial" w:hAnsi="Arial" w:cs="Arial"/>
          <w:sz w:val="24"/>
          <w:szCs w:val="24"/>
        </w:rPr>
        <w:t>disputed</w:t>
      </w:r>
      <w:r w:rsidR="00B107FD">
        <w:rPr>
          <w:rFonts w:ascii="Arial" w:hAnsi="Arial" w:cs="Arial"/>
          <w:sz w:val="24"/>
          <w:szCs w:val="24"/>
        </w:rPr>
        <w:t xml:space="preserve">. </w:t>
      </w:r>
    </w:p>
    <w:p w14:paraId="5F763429" w14:textId="77777777" w:rsidR="00FE7093" w:rsidRPr="00227486" w:rsidRDefault="00FE7093" w:rsidP="009E4D2A">
      <w:pPr>
        <w:spacing w:after="0" w:line="480" w:lineRule="auto"/>
        <w:ind w:firstLine="90"/>
        <w:jc w:val="both"/>
        <w:rPr>
          <w:rFonts w:ascii="Arial" w:hAnsi="Arial" w:cs="Arial"/>
          <w:sz w:val="24"/>
          <w:szCs w:val="24"/>
        </w:rPr>
      </w:pPr>
    </w:p>
    <w:p w14:paraId="4A0265AA" w14:textId="7410F9A6" w:rsidR="00333851" w:rsidRPr="005A392D" w:rsidRDefault="001834ED" w:rsidP="009E4D2A">
      <w:pPr>
        <w:spacing w:after="0" w:line="480" w:lineRule="auto"/>
        <w:jc w:val="both"/>
        <w:rPr>
          <w:rFonts w:ascii="Arial" w:hAnsi="Arial" w:cs="Arial"/>
          <w:sz w:val="24"/>
          <w:szCs w:val="24"/>
          <w:u w:val="single"/>
        </w:rPr>
      </w:pPr>
      <w:r w:rsidRPr="00227486">
        <w:rPr>
          <w:rFonts w:ascii="Arial" w:hAnsi="Arial" w:cs="Arial"/>
          <w:sz w:val="24"/>
          <w:szCs w:val="24"/>
        </w:rPr>
        <w:t>[</w:t>
      </w:r>
      <w:r w:rsidR="006204EA">
        <w:rPr>
          <w:rFonts w:ascii="Arial" w:hAnsi="Arial" w:cs="Arial"/>
          <w:sz w:val="24"/>
          <w:szCs w:val="24"/>
        </w:rPr>
        <w:t>1</w:t>
      </w:r>
      <w:r w:rsidR="000C7A1A">
        <w:rPr>
          <w:rFonts w:ascii="Arial" w:hAnsi="Arial" w:cs="Arial"/>
          <w:sz w:val="24"/>
          <w:szCs w:val="24"/>
        </w:rPr>
        <w:t>5]</w:t>
      </w:r>
      <w:r w:rsidRPr="00227486">
        <w:rPr>
          <w:rFonts w:ascii="Arial" w:hAnsi="Arial" w:cs="Arial"/>
          <w:sz w:val="24"/>
          <w:szCs w:val="24"/>
        </w:rPr>
        <w:tab/>
        <w:t>On 15 July 2021, the applicant received information that contrary to the advice that he had received earlier that the</w:t>
      </w:r>
      <w:r w:rsidR="000C7A1A">
        <w:rPr>
          <w:rFonts w:ascii="Arial" w:hAnsi="Arial" w:cs="Arial"/>
          <w:sz w:val="24"/>
          <w:szCs w:val="24"/>
        </w:rPr>
        <w:t xml:space="preserve"> </w:t>
      </w:r>
      <w:r w:rsidRPr="00227486">
        <w:rPr>
          <w:rFonts w:ascii="Arial" w:hAnsi="Arial" w:cs="Arial"/>
          <w:sz w:val="24"/>
          <w:szCs w:val="24"/>
        </w:rPr>
        <w:t xml:space="preserve">judgment </w:t>
      </w:r>
      <w:r w:rsidRPr="006B66B7">
        <w:rPr>
          <w:rFonts w:ascii="Arial" w:hAnsi="Arial" w:cs="Arial"/>
          <w:i/>
          <w:sz w:val="24"/>
          <w:szCs w:val="24"/>
        </w:rPr>
        <w:t>a quo</w:t>
      </w:r>
      <w:r w:rsidRPr="00227486">
        <w:rPr>
          <w:rFonts w:ascii="Arial" w:hAnsi="Arial" w:cs="Arial"/>
          <w:sz w:val="24"/>
          <w:szCs w:val="24"/>
        </w:rPr>
        <w:t xml:space="preserve"> was not appealable, a judgment materially impacting on his case had been delivered i</w:t>
      </w:r>
      <w:r w:rsidR="0000020D">
        <w:rPr>
          <w:rFonts w:ascii="Arial" w:hAnsi="Arial" w:cs="Arial"/>
          <w:sz w:val="24"/>
          <w:szCs w:val="24"/>
        </w:rPr>
        <w:t xml:space="preserve">n the Supreme Court. </w:t>
      </w:r>
      <w:r w:rsidRPr="00227486">
        <w:rPr>
          <w:rFonts w:ascii="Arial" w:hAnsi="Arial" w:cs="Arial"/>
          <w:sz w:val="24"/>
          <w:szCs w:val="24"/>
        </w:rPr>
        <w:t>The Supreme Court had</w:t>
      </w:r>
      <w:r w:rsidR="0000020D">
        <w:rPr>
          <w:rFonts w:ascii="Arial" w:hAnsi="Arial" w:cs="Arial"/>
          <w:sz w:val="24"/>
          <w:szCs w:val="24"/>
        </w:rPr>
        <w:t xml:space="preserve"> on that date </w:t>
      </w:r>
      <w:r w:rsidR="00352E9C">
        <w:rPr>
          <w:rFonts w:ascii="Arial" w:hAnsi="Arial" w:cs="Arial"/>
          <w:sz w:val="24"/>
          <w:szCs w:val="24"/>
        </w:rPr>
        <w:t xml:space="preserve">delivered </w:t>
      </w:r>
      <w:r w:rsidR="00C95993">
        <w:rPr>
          <w:rFonts w:ascii="Arial" w:hAnsi="Arial" w:cs="Arial"/>
          <w:sz w:val="24"/>
          <w:szCs w:val="24"/>
        </w:rPr>
        <w:t xml:space="preserve">judgment in </w:t>
      </w:r>
      <w:r w:rsidR="00E839A6" w:rsidRPr="000603BF">
        <w:rPr>
          <w:rFonts w:ascii="Arial" w:hAnsi="Arial" w:cs="Arial"/>
          <w:i/>
          <w:sz w:val="24"/>
          <w:szCs w:val="24"/>
        </w:rPr>
        <w:t xml:space="preserve">Huang v </w:t>
      </w:r>
      <w:proofErr w:type="spellStart"/>
      <w:r w:rsidR="00E839A6" w:rsidRPr="000603BF">
        <w:rPr>
          <w:rFonts w:ascii="Arial" w:hAnsi="Arial" w:cs="Arial"/>
          <w:i/>
          <w:sz w:val="24"/>
          <w:szCs w:val="24"/>
        </w:rPr>
        <w:t>Nevonga</w:t>
      </w:r>
      <w:proofErr w:type="spellEnd"/>
      <w:r w:rsidR="009406ED">
        <w:rPr>
          <w:rStyle w:val="FootnoteReference"/>
          <w:rFonts w:ascii="Arial" w:hAnsi="Arial" w:cs="Arial"/>
          <w:i/>
          <w:sz w:val="24"/>
          <w:szCs w:val="24"/>
        </w:rPr>
        <w:footnoteReference w:id="4"/>
      </w:r>
      <w:r w:rsidR="00620F10">
        <w:rPr>
          <w:rFonts w:ascii="Arial" w:hAnsi="Arial" w:cs="Arial"/>
          <w:sz w:val="24"/>
          <w:szCs w:val="24"/>
        </w:rPr>
        <w:t>,</w:t>
      </w:r>
      <w:r w:rsidR="00E839A6">
        <w:rPr>
          <w:rFonts w:ascii="Arial" w:hAnsi="Arial" w:cs="Arial"/>
          <w:sz w:val="24"/>
          <w:szCs w:val="24"/>
        </w:rPr>
        <w:t xml:space="preserve"> </w:t>
      </w:r>
      <w:r w:rsidRPr="00227486">
        <w:rPr>
          <w:rFonts w:ascii="Arial" w:hAnsi="Arial" w:cs="Arial"/>
          <w:sz w:val="24"/>
          <w:szCs w:val="24"/>
        </w:rPr>
        <w:t xml:space="preserve">a matter involving the granting of absolution by the High Court </w:t>
      </w:r>
      <w:r w:rsidR="00E839A6">
        <w:rPr>
          <w:rFonts w:ascii="Arial" w:hAnsi="Arial" w:cs="Arial"/>
          <w:sz w:val="24"/>
          <w:szCs w:val="24"/>
        </w:rPr>
        <w:t xml:space="preserve">which the </w:t>
      </w:r>
      <w:r w:rsidR="00FE7093">
        <w:rPr>
          <w:rFonts w:ascii="Arial" w:hAnsi="Arial" w:cs="Arial"/>
          <w:sz w:val="24"/>
          <w:szCs w:val="24"/>
        </w:rPr>
        <w:t>applicant</w:t>
      </w:r>
      <w:r w:rsidR="00E839A6">
        <w:rPr>
          <w:rFonts w:ascii="Arial" w:hAnsi="Arial" w:cs="Arial"/>
          <w:sz w:val="24"/>
          <w:szCs w:val="24"/>
        </w:rPr>
        <w:t xml:space="preserve"> in that matter </w:t>
      </w:r>
      <w:r w:rsidR="00E839A6">
        <w:rPr>
          <w:rFonts w:ascii="Arial" w:hAnsi="Arial" w:cs="Arial"/>
          <w:sz w:val="24"/>
          <w:szCs w:val="24"/>
        </w:rPr>
        <w:lastRenderedPageBreak/>
        <w:t xml:space="preserve">argued ought not to have been granted. </w:t>
      </w:r>
      <w:r w:rsidR="00D07D9D">
        <w:rPr>
          <w:rFonts w:ascii="Arial" w:hAnsi="Arial" w:cs="Arial"/>
          <w:sz w:val="24"/>
          <w:szCs w:val="24"/>
        </w:rPr>
        <w:t>Instructions were then given for the f</w:t>
      </w:r>
      <w:r w:rsidR="000E05B2">
        <w:rPr>
          <w:rFonts w:ascii="Arial" w:hAnsi="Arial" w:cs="Arial"/>
          <w:sz w:val="24"/>
          <w:szCs w:val="24"/>
        </w:rPr>
        <w:t>iling of this application as stat</w:t>
      </w:r>
      <w:r w:rsidR="00D07D9D">
        <w:rPr>
          <w:rFonts w:ascii="Arial" w:hAnsi="Arial" w:cs="Arial"/>
          <w:sz w:val="24"/>
          <w:szCs w:val="24"/>
        </w:rPr>
        <w:t>ed above, with the applicati</w:t>
      </w:r>
      <w:r w:rsidR="00724B56">
        <w:rPr>
          <w:rFonts w:ascii="Arial" w:hAnsi="Arial" w:cs="Arial"/>
          <w:sz w:val="24"/>
          <w:szCs w:val="24"/>
        </w:rPr>
        <w:t>on being filed</w:t>
      </w:r>
      <w:r w:rsidR="00D07D9D">
        <w:rPr>
          <w:rFonts w:ascii="Arial" w:hAnsi="Arial" w:cs="Arial"/>
          <w:sz w:val="24"/>
          <w:szCs w:val="24"/>
        </w:rPr>
        <w:t xml:space="preserve"> on 29 July 2021.</w:t>
      </w:r>
    </w:p>
    <w:p w14:paraId="5BD9E9F8" w14:textId="14C76AED" w:rsidR="00A65D2C" w:rsidRDefault="00023D8A" w:rsidP="00640FAE">
      <w:pPr>
        <w:tabs>
          <w:tab w:val="left" w:pos="0"/>
        </w:tabs>
        <w:spacing w:after="0" w:line="480" w:lineRule="auto"/>
        <w:jc w:val="both"/>
        <w:rPr>
          <w:rFonts w:ascii="Arial" w:hAnsi="Arial" w:cs="Arial"/>
          <w:sz w:val="24"/>
          <w:szCs w:val="24"/>
          <w:u w:val="single"/>
        </w:rPr>
      </w:pPr>
      <w:r>
        <w:rPr>
          <w:rFonts w:ascii="Arial" w:hAnsi="Arial" w:cs="Arial"/>
          <w:sz w:val="24"/>
          <w:szCs w:val="24"/>
          <w:u w:val="single"/>
        </w:rPr>
        <w:t xml:space="preserve">The </w:t>
      </w:r>
      <w:r w:rsidR="00495382">
        <w:rPr>
          <w:rFonts w:ascii="Arial" w:hAnsi="Arial" w:cs="Arial"/>
          <w:sz w:val="24"/>
          <w:szCs w:val="24"/>
          <w:u w:val="single"/>
        </w:rPr>
        <w:t xml:space="preserve">condonation </w:t>
      </w:r>
      <w:r w:rsidR="00484D71" w:rsidRPr="00484D71">
        <w:rPr>
          <w:rFonts w:ascii="Arial" w:hAnsi="Arial" w:cs="Arial"/>
          <w:sz w:val="24"/>
          <w:szCs w:val="24"/>
          <w:u w:val="single"/>
        </w:rPr>
        <w:t>application</w:t>
      </w:r>
    </w:p>
    <w:p w14:paraId="3A66F299" w14:textId="7ABEEF02" w:rsidR="00E87C8E" w:rsidRDefault="006204EA" w:rsidP="00640FAE">
      <w:pPr>
        <w:tabs>
          <w:tab w:val="left" w:pos="0"/>
        </w:tabs>
        <w:spacing w:after="0" w:line="480" w:lineRule="auto"/>
        <w:jc w:val="both"/>
        <w:rPr>
          <w:rFonts w:ascii="Arial" w:hAnsi="Arial" w:cs="Arial"/>
          <w:sz w:val="24"/>
          <w:szCs w:val="24"/>
        </w:rPr>
      </w:pPr>
      <w:r>
        <w:rPr>
          <w:rFonts w:ascii="Arial" w:hAnsi="Arial" w:cs="Arial"/>
          <w:sz w:val="24"/>
          <w:szCs w:val="24"/>
        </w:rPr>
        <w:t>[16</w:t>
      </w:r>
      <w:r w:rsidR="00A65D2C" w:rsidRPr="00A65D2C">
        <w:rPr>
          <w:rFonts w:ascii="Arial" w:hAnsi="Arial" w:cs="Arial"/>
          <w:sz w:val="24"/>
          <w:szCs w:val="24"/>
        </w:rPr>
        <w:t>]</w:t>
      </w:r>
      <w:r w:rsidR="00A65D2C" w:rsidRPr="00A65D2C">
        <w:rPr>
          <w:rFonts w:ascii="Arial" w:hAnsi="Arial" w:cs="Arial"/>
          <w:sz w:val="24"/>
          <w:szCs w:val="24"/>
        </w:rPr>
        <w:tab/>
      </w:r>
      <w:r w:rsidR="00796942" w:rsidRPr="00A65D2C">
        <w:rPr>
          <w:rFonts w:ascii="Arial" w:hAnsi="Arial" w:cs="Arial"/>
          <w:sz w:val="24"/>
          <w:szCs w:val="24"/>
        </w:rPr>
        <w:t>The</w:t>
      </w:r>
      <w:r w:rsidR="00796942">
        <w:rPr>
          <w:rFonts w:ascii="Arial" w:hAnsi="Arial" w:cs="Arial"/>
          <w:sz w:val="24"/>
          <w:szCs w:val="24"/>
        </w:rPr>
        <w:t xml:space="preserve"> </w:t>
      </w:r>
      <w:r w:rsidR="00115406">
        <w:rPr>
          <w:rFonts w:ascii="Arial" w:hAnsi="Arial" w:cs="Arial"/>
          <w:sz w:val="24"/>
          <w:szCs w:val="24"/>
        </w:rPr>
        <w:t>applicant</w:t>
      </w:r>
      <w:r w:rsidR="00907B91">
        <w:rPr>
          <w:rFonts w:ascii="Arial" w:hAnsi="Arial" w:cs="Arial"/>
          <w:sz w:val="24"/>
          <w:szCs w:val="24"/>
        </w:rPr>
        <w:t xml:space="preserve"> deposed to the founding affidavit</w:t>
      </w:r>
      <w:r w:rsidR="00796942">
        <w:rPr>
          <w:rFonts w:ascii="Arial" w:hAnsi="Arial" w:cs="Arial"/>
          <w:sz w:val="24"/>
          <w:szCs w:val="24"/>
        </w:rPr>
        <w:t xml:space="preserve"> filed in support of the application. In </w:t>
      </w:r>
      <w:r w:rsidR="00E87C8E">
        <w:rPr>
          <w:rFonts w:ascii="Arial" w:hAnsi="Arial" w:cs="Arial"/>
          <w:sz w:val="24"/>
          <w:szCs w:val="24"/>
        </w:rPr>
        <w:t>the founding affidavit, he,</w:t>
      </w:r>
      <w:r w:rsidR="00796942">
        <w:rPr>
          <w:rFonts w:ascii="Arial" w:hAnsi="Arial" w:cs="Arial"/>
          <w:sz w:val="24"/>
          <w:szCs w:val="24"/>
        </w:rPr>
        <w:t xml:space="preserve"> with much greater detail, </w:t>
      </w:r>
      <w:r w:rsidR="00E87C8E">
        <w:rPr>
          <w:rFonts w:ascii="Arial" w:hAnsi="Arial" w:cs="Arial"/>
          <w:sz w:val="24"/>
          <w:szCs w:val="24"/>
        </w:rPr>
        <w:t xml:space="preserve">narrates </w:t>
      </w:r>
      <w:r w:rsidR="00796942">
        <w:rPr>
          <w:rFonts w:ascii="Arial" w:hAnsi="Arial" w:cs="Arial"/>
          <w:sz w:val="24"/>
          <w:szCs w:val="24"/>
        </w:rPr>
        <w:t xml:space="preserve">the facts giving rise to the application as </w:t>
      </w:r>
      <w:proofErr w:type="spellStart"/>
      <w:r w:rsidR="00796942">
        <w:rPr>
          <w:rFonts w:ascii="Arial" w:hAnsi="Arial" w:cs="Arial"/>
          <w:sz w:val="24"/>
          <w:szCs w:val="24"/>
        </w:rPr>
        <w:t>summari</w:t>
      </w:r>
      <w:r w:rsidR="0090717B">
        <w:rPr>
          <w:rFonts w:ascii="Arial" w:hAnsi="Arial" w:cs="Arial"/>
          <w:sz w:val="24"/>
          <w:szCs w:val="24"/>
        </w:rPr>
        <w:t>s</w:t>
      </w:r>
      <w:r w:rsidR="00796942">
        <w:rPr>
          <w:rFonts w:ascii="Arial" w:hAnsi="Arial" w:cs="Arial"/>
          <w:sz w:val="24"/>
          <w:szCs w:val="24"/>
        </w:rPr>
        <w:t>ed</w:t>
      </w:r>
      <w:proofErr w:type="spellEnd"/>
      <w:r w:rsidR="00796942">
        <w:rPr>
          <w:rFonts w:ascii="Arial" w:hAnsi="Arial" w:cs="Arial"/>
          <w:sz w:val="24"/>
          <w:szCs w:val="24"/>
        </w:rPr>
        <w:t xml:space="preserve"> above. </w:t>
      </w:r>
      <w:r w:rsidR="00E87C8E">
        <w:rPr>
          <w:rFonts w:ascii="Arial" w:hAnsi="Arial" w:cs="Arial"/>
          <w:sz w:val="24"/>
          <w:szCs w:val="24"/>
        </w:rPr>
        <w:t>In addition to setting out the facts, the applicant further deposed</w:t>
      </w:r>
      <w:r w:rsidR="00D65BF0">
        <w:rPr>
          <w:rFonts w:ascii="Arial" w:hAnsi="Arial" w:cs="Arial"/>
          <w:sz w:val="24"/>
          <w:szCs w:val="24"/>
        </w:rPr>
        <w:t xml:space="preserve"> that </w:t>
      </w:r>
      <w:r w:rsidR="00551D9B">
        <w:rPr>
          <w:rFonts w:ascii="Arial" w:hAnsi="Arial" w:cs="Arial"/>
          <w:sz w:val="24"/>
          <w:szCs w:val="24"/>
        </w:rPr>
        <w:t xml:space="preserve">the </w:t>
      </w:r>
      <w:r w:rsidR="00E87C8E">
        <w:rPr>
          <w:rFonts w:ascii="Arial" w:hAnsi="Arial" w:cs="Arial"/>
          <w:sz w:val="24"/>
          <w:szCs w:val="24"/>
        </w:rPr>
        <w:t xml:space="preserve">initial advice </w:t>
      </w:r>
      <w:r w:rsidR="00551D9B">
        <w:rPr>
          <w:rFonts w:ascii="Arial" w:hAnsi="Arial" w:cs="Arial"/>
          <w:sz w:val="24"/>
          <w:szCs w:val="24"/>
        </w:rPr>
        <w:t xml:space="preserve">from his legal practitioners </w:t>
      </w:r>
      <w:r w:rsidR="00E87C8E">
        <w:rPr>
          <w:rFonts w:ascii="Arial" w:hAnsi="Arial" w:cs="Arial"/>
          <w:sz w:val="24"/>
          <w:szCs w:val="24"/>
        </w:rPr>
        <w:t xml:space="preserve">that the </w:t>
      </w:r>
      <w:r w:rsidR="00551D9B">
        <w:rPr>
          <w:rFonts w:ascii="Arial" w:hAnsi="Arial" w:cs="Arial"/>
          <w:sz w:val="24"/>
          <w:szCs w:val="24"/>
        </w:rPr>
        <w:t xml:space="preserve">order granting </w:t>
      </w:r>
      <w:r w:rsidR="00E87C8E">
        <w:rPr>
          <w:rFonts w:ascii="Arial" w:hAnsi="Arial" w:cs="Arial"/>
          <w:sz w:val="24"/>
          <w:szCs w:val="24"/>
        </w:rPr>
        <w:t>absolution</w:t>
      </w:r>
      <w:r w:rsidR="00551D9B">
        <w:rPr>
          <w:rFonts w:ascii="Arial" w:hAnsi="Arial" w:cs="Arial"/>
          <w:sz w:val="24"/>
          <w:szCs w:val="24"/>
        </w:rPr>
        <w:t xml:space="preserve"> from the instance </w:t>
      </w:r>
      <w:r w:rsidR="00D65BF0">
        <w:rPr>
          <w:rFonts w:ascii="Arial" w:hAnsi="Arial" w:cs="Arial"/>
          <w:sz w:val="24"/>
          <w:szCs w:val="24"/>
        </w:rPr>
        <w:t xml:space="preserve">is not appealable was </w:t>
      </w:r>
      <w:r w:rsidR="00551D9B">
        <w:rPr>
          <w:rFonts w:ascii="Arial" w:hAnsi="Arial" w:cs="Arial"/>
          <w:sz w:val="24"/>
          <w:szCs w:val="24"/>
        </w:rPr>
        <w:t xml:space="preserve">erroneous but </w:t>
      </w:r>
      <w:r w:rsidR="00551D9B" w:rsidRPr="0090717B">
        <w:rPr>
          <w:rFonts w:ascii="Arial" w:hAnsi="Arial" w:cs="Arial"/>
          <w:i/>
          <w:sz w:val="24"/>
          <w:szCs w:val="24"/>
        </w:rPr>
        <w:t>bona fide</w:t>
      </w:r>
      <w:r w:rsidR="00551D9B">
        <w:rPr>
          <w:rFonts w:ascii="Arial" w:hAnsi="Arial" w:cs="Arial"/>
          <w:sz w:val="24"/>
          <w:szCs w:val="24"/>
        </w:rPr>
        <w:t xml:space="preserve">. </w:t>
      </w:r>
      <w:r w:rsidR="00352E9C">
        <w:rPr>
          <w:rFonts w:ascii="Arial" w:hAnsi="Arial" w:cs="Arial"/>
          <w:sz w:val="24"/>
          <w:szCs w:val="24"/>
        </w:rPr>
        <w:t xml:space="preserve">Pointedly, it </w:t>
      </w:r>
      <w:r w:rsidR="00551D9B">
        <w:rPr>
          <w:rFonts w:ascii="Arial" w:hAnsi="Arial" w:cs="Arial"/>
          <w:sz w:val="24"/>
          <w:szCs w:val="24"/>
        </w:rPr>
        <w:t xml:space="preserve">was his legal practitioners’ </w:t>
      </w:r>
      <w:r w:rsidR="00D65BF0">
        <w:rPr>
          <w:rFonts w:ascii="Arial" w:hAnsi="Arial" w:cs="Arial"/>
          <w:sz w:val="24"/>
          <w:szCs w:val="24"/>
        </w:rPr>
        <w:t xml:space="preserve">belief that a judgment </w:t>
      </w:r>
      <w:r w:rsidR="00EA63FF">
        <w:rPr>
          <w:rFonts w:ascii="Arial" w:hAnsi="Arial" w:cs="Arial"/>
          <w:sz w:val="24"/>
          <w:szCs w:val="24"/>
        </w:rPr>
        <w:t xml:space="preserve">granting absolution </w:t>
      </w:r>
      <w:r w:rsidR="00D65BF0">
        <w:rPr>
          <w:rFonts w:ascii="Arial" w:hAnsi="Arial" w:cs="Arial"/>
          <w:sz w:val="24"/>
          <w:szCs w:val="24"/>
        </w:rPr>
        <w:t>is</w:t>
      </w:r>
      <w:r w:rsidR="00E87C8E">
        <w:rPr>
          <w:rFonts w:ascii="Arial" w:hAnsi="Arial" w:cs="Arial"/>
          <w:sz w:val="24"/>
          <w:szCs w:val="24"/>
        </w:rPr>
        <w:t xml:space="preserve"> not appealable with or without leave. </w:t>
      </w:r>
    </w:p>
    <w:p w14:paraId="36F9F421" w14:textId="77777777" w:rsidR="000E05B2" w:rsidRPr="00A65D2C" w:rsidRDefault="000E05B2" w:rsidP="002878F7">
      <w:pPr>
        <w:tabs>
          <w:tab w:val="left" w:pos="0"/>
        </w:tabs>
        <w:spacing w:after="0" w:line="480" w:lineRule="auto"/>
        <w:ind w:firstLine="90"/>
        <w:jc w:val="both"/>
        <w:rPr>
          <w:rFonts w:ascii="Arial" w:hAnsi="Arial" w:cs="Arial"/>
          <w:sz w:val="24"/>
          <w:szCs w:val="24"/>
          <w:u w:val="single"/>
        </w:rPr>
      </w:pPr>
    </w:p>
    <w:p w14:paraId="7049D6F8" w14:textId="77A9F257" w:rsidR="00115406" w:rsidRDefault="006204EA" w:rsidP="005E0493">
      <w:pPr>
        <w:tabs>
          <w:tab w:val="left" w:pos="0"/>
        </w:tabs>
        <w:spacing w:after="0" w:line="480" w:lineRule="auto"/>
        <w:jc w:val="both"/>
        <w:rPr>
          <w:rFonts w:ascii="Arial" w:hAnsi="Arial" w:cs="Arial"/>
          <w:sz w:val="24"/>
          <w:szCs w:val="24"/>
        </w:rPr>
      </w:pPr>
      <w:r>
        <w:rPr>
          <w:rFonts w:ascii="Arial" w:hAnsi="Arial" w:cs="Arial"/>
          <w:sz w:val="24"/>
          <w:szCs w:val="24"/>
        </w:rPr>
        <w:t>[17</w:t>
      </w:r>
      <w:r w:rsidR="00116478">
        <w:rPr>
          <w:rFonts w:ascii="Arial" w:hAnsi="Arial" w:cs="Arial"/>
          <w:sz w:val="24"/>
          <w:szCs w:val="24"/>
        </w:rPr>
        <w:t>]</w:t>
      </w:r>
      <w:r w:rsidR="00116478">
        <w:rPr>
          <w:rFonts w:ascii="Arial" w:hAnsi="Arial" w:cs="Arial"/>
          <w:sz w:val="24"/>
          <w:szCs w:val="24"/>
        </w:rPr>
        <w:tab/>
      </w:r>
      <w:r w:rsidR="0037250A">
        <w:rPr>
          <w:rFonts w:ascii="Arial" w:hAnsi="Arial" w:cs="Arial"/>
          <w:sz w:val="24"/>
          <w:szCs w:val="24"/>
        </w:rPr>
        <w:t xml:space="preserve">I pause here momentarily to note that none of the legal practitioners who formed the erroneous opinion that an order granting absolution from the instance </w:t>
      </w:r>
      <w:r w:rsidR="009C2FAE">
        <w:rPr>
          <w:rFonts w:ascii="Arial" w:hAnsi="Arial" w:cs="Arial"/>
          <w:sz w:val="24"/>
          <w:szCs w:val="24"/>
        </w:rPr>
        <w:t xml:space="preserve">is not appealable </w:t>
      </w:r>
      <w:r w:rsidR="0037250A">
        <w:rPr>
          <w:rFonts w:ascii="Arial" w:hAnsi="Arial" w:cs="Arial"/>
          <w:sz w:val="24"/>
          <w:szCs w:val="24"/>
        </w:rPr>
        <w:t>deposed to affidavits</w:t>
      </w:r>
      <w:r w:rsidR="00352E9C">
        <w:rPr>
          <w:rFonts w:ascii="Arial" w:hAnsi="Arial" w:cs="Arial"/>
          <w:sz w:val="24"/>
          <w:szCs w:val="24"/>
        </w:rPr>
        <w:t xml:space="preserve"> not only confirming the fact, </w:t>
      </w:r>
      <w:proofErr w:type="gramStart"/>
      <w:r w:rsidR="0037250A">
        <w:rPr>
          <w:rFonts w:ascii="Arial" w:hAnsi="Arial" w:cs="Arial"/>
          <w:sz w:val="24"/>
          <w:szCs w:val="24"/>
        </w:rPr>
        <w:t>but</w:t>
      </w:r>
      <w:r w:rsidR="002878F7">
        <w:rPr>
          <w:rFonts w:ascii="Arial" w:hAnsi="Arial" w:cs="Arial"/>
          <w:sz w:val="24"/>
          <w:szCs w:val="24"/>
        </w:rPr>
        <w:t>,</w:t>
      </w:r>
      <w:proofErr w:type="gramEnd"/>
      <w:r w:rsidR="0037250A">
        <w:rPr>
          <w:rFonts w:ascii="Arial" w:hAnsi="Arial" w:cs="Arial"/>
          <w:sz w:val="24"/>
          <w:szCs w:val="24"/>
        </w:rPr>
        <w:t xml:space="preserve"> also adducin</w:t>
      </w:r>
      <w:r w:rsidR="00352E9C">
        <w:rPr>
          <w:rFonts w:ascii="Arial" w:hAnsi="Arial" w:cs="Arial"/>
          <w:sz w:val="24"/>
          <w:szCs w:val="24"/>
        </w:rPr>
        <w:t xml:space="preserve">g evidence of the steps </w:t>
      </w:r>
      <w:r w:rsidR="0037250A">
        <w:rPr>
          <w:rFonts w:ascii="Arial" w:hAnsi="Arial" w:cs="Arial"/>
          <w:sz w:val="24"/>
          <w:szCs w:val="24"/>
        </w:rPr>
        <w:t>they took</w:t>
      </w:r>
      <w:r w:rsidR="0090717B">
        <w:rPr>
          <w:rFonts w:ascii="Arial" w:hAnsi="Arial" w:cs="Arial"/>
          <w:sz w:val="24"/>
          <w:szCs w:val="24"/>
        </w:rPr>
        <w:t>,</w:t>
      </w:r>
      <w:r w:rsidR="0037250A">
        <w:rPr>
          <w:rFonts w:ascii="Arial" w:hAnsi="Arial" w:cs="Arial"/>
          <w:sz w:val="24"/>
          <w:szCs w:val="24"/>
        </w:rPr>
        <w:t xml:space="preserve"> </w:t>
      </w:r>
      <w:r w:rsidR="00352E9C">
        <w:rPr>
          <w:rFonts w:ascii="Arial" w:hAnsi="Arial" w:cs="Arial"/>
          <w:sz w:val="24"/>
          <w:szCs w:val="24"/>
        </w:rPr>
        <w:t xml:space="preserve">if any, </w:t>
      </w:r>
      <w:r w:rsidR="0037250A">
        <w:rPr>
          <w:rFonts w:ascii="Arial" w:hAnsi="Arial" w:cs="Arial"/>
          <w:sz w:val="24"/>
          <w:szCs w:val="24"/>
        </w:rPr>
        <w:t xml:space="preserve">to ascertain the correct position of the law. Due to the </w:t>
      </w:r>
      <w:r w:rsidR="003E4ECD">
        <w:rPr>
          <w:rFonts w:ascii="Arial" w:hAnsi="Arial" w:cs="Arial"/>
          <w:sz w:val="24"/>
          <w:szCs w:val="24"/>
        </w:rPr>
        <w:t>absence of an affidavit</w:t>
      </w:r>
      <w:r w:rsidR="0037250A">
        <w:rPr>
          <w:rFonts w:ascii="Arial" w:hAnsi="Arial" w:cs="Arial"/>
          <w:sz w:val="24"/>
          <w:szCs w:val="24"/>
        </w:rPr>
        <w:t xml:space="preserve"> before the court, </w:t>
      </w:r>
      <w:r w:rsidR="0090717B">
        <w:rPr>
          <w:rFonts w:ascii="Arial" w:hAnsi="Arial" w:cs="Arial"/>
          <w:sz w:val="24"/>
          <w:szCs w:val="24"/>
        </w:rPr>
        <w:t>c</w:t>
      </w:r>
      <w:r w:rsidR="0037250A">
        <w:rPr>
          <w:rFonts w:ascii="Arial" w:hAnsi="Arial" w:cs="Arial"/>
          <w:sz w:val="24"/>
          <w:szCs w:val="24"/>
        </w:rPr>
        <w:t xml:space="preserve">ounsel for the applicant </w:t>
      </w:r>
      <w:r w:rsidR="003E4ECD">
        <w:rPr>
          <w:rFonts w:ascii="Arial" w:hAnsi="Arial" w:cs="Arial"/>
          <w:sz w:val="24"/>
          <w:szCs w:val="24"/>
        </w:rPr>
        <w:t xml:space="preserve">had to </w:t>
      </w:r>
      <w:r w:rsidR="0037250A">
        <w:rPr>
          <w:rFonts w:ascii="Arial" w:hAnsi="Arial" w:cs="Arial"/>
          <w:sz w:val="24"/>
          <w:szCs w:val="24"/>
        </w:rPr>
        <w:t xml:space="preserve">adduce such evidence </w:t>
      </w:r>
      <w:r w:rsidR="00724B56">
        <w:rPr>
          <w:rFonts w:ascii="Arial" w:hAnsi="Arial" w:cs="Arial"/>
          <w:sz w:val="24"/>
          <w:szCs w:val="24"/>
        </w:rPr>
        <w:t xml:space="preserve">in the heads of argument filed for the applicant and </w:t>
      </w:r>
      <w:r w:rsidR="0037250A">
        <w:rPr>
          <w:rFonts w:ascii="Arial" w:hAnsi="Arial" w:cs="Arial"/>
          <w:sz w:val="24"/>
          <w:szCs w:val="24"/>
        </w:rPr>
        <w:t xml:space="preserve">from the </w:t>
      </w:r>
      <w:r w:rsidR="003E4ECD">
        <w:rPr>
          <w:rFonts w:ascii="Arial" w:hAnsi="Arial" w:cs="Arial"/>
          <w:sz w:val="24"/>
          <w:szCs w:val="24"/>
        </w:rPr>
        <w:t>B</w:t>
      </w:r>
      <w:r w:rsidR="0037250A">
        <w:rPr>
          <w:rFonts w:ascii="Arial" w:hAnsi="Arial" w:cs="Arial"/>
          <w:sz w:val="24"/>
          <w:szCs w:val="24"/>
        </w:rPr>
        <w:t>ar</w:t>
      </w:r>
      <w:r w:rsidR="00B906F7">
        <w:rPr>
          <w:rFonts w:ascii="Arial" w:hAnsi="Arial" w:cs="Arial"/>
          <w:sz w:val="24"/>
          <w:szCs w:val="24"/>
        </w:rPr>
        <w:t>, much to the discomfort of the court</w:t>
      </w:r>
      <w:r w:rsidR="00DE079A">
        <w:rPr>
          <w:rFonts w:ascii="Arial" w:hAnsi="Arial" w:cs="Arial"/>
          <w:sz w:val="24"/>
          <w:szCs w:val="24"/>
        </w:rPr>
        <w:t xml:space="preserve">. To his credit, he </w:t>
      </w:r>
      <w:r w:rsidR="0037250A">
        <w:rPr>
          <w:rFonts w:ascii="Arial" w:hAnsi="Arial" w:cs="Arial"/>
          <w:sz w:val="24"/>
          <w:szCs w:val="24"/>
        </w:rPr>
        <w:t xml:space="preserve">commendably and </w:t>
      </w:r>
      <w:proofErr w:type="gramStart"/>
      <w:r w:rsidR="0037250A">
        <w:rPr>
          <w:rFonts w:ascii="Arial" w:hAnsi="Arial" w:cs="Arial"/>
          <w:sz w:val="24"/>
          <w:szCs w:val="24"/>
        </w:rPr>
        <w:t>appropriately,</w:t>
      </w:r>
      <w:proofErr w:type="gramEnd"/>
      <w:r w:rsidR="0037250A">
        <w:rPr>
          <w:rFonts w:ascii="Arial" w:hAnsi="Arial" w:cs="Arial"/>
          <w:sz w:val="24"/>
          <w:szCs w:val="24"/>
        </w:rPr>
        <w:t xml:space="preserve"> owned up to the error.  </w:t>
      </w:r>
      <w:proofErr w:type="gramStart"/>
      <w:r w:rsidR="0037250A">
        <w:rPr>
          <w:rFonts w:ascii="Arial" w:hAnsi="Arial" w:cs="Arial"/>
          <w:sz w:val="24"/>
          <w:szCs w:val="24"/>
        </w:rPr>
        <w:t>Ideally</w:t>
      </w:r>
      <w:proofErr w:type="gramEnd"/>
      <w:r w:rsidR="00352E9C">
        <w:rPr>
          <w:rFonts w:ascii="Arial" w:hAnsi="Arial" w:cs="Arial"/>
          <w:sz w:val="24"/>
          <w:szCs w:val="24"/>
        </w:rPr>
        <w:t xml:space="preserve"> however</w:t>
      </w:r>
      <w:r w:rsidR="0037250A">
        <w:rPr>
          <w:rFonts w:ascii="Arial" w:hAnsi="Arial" w:cs="Arial"/>
          <w:sz w:val="24"/>
          <w:szCs w:val="24"/>
        </w:rPr>
        <w:t xml:space="preserve">, the information </w:t>
      </w:r>
      <w:r w:rsidR="00724B56">
        <w:rPr>
          <w:rFonts w:ascii="Arial" w:hAnsi="Arial" w:cs="Arial"/>
          <w:sz w:val="24"/>
          <w:szCs w:val="24"/>
        </w:rPr>
        <w:t xml:space="preserve">that he submitted </w:t>
      </w:r>
      <w:r w:rsidR="0037250A">
        <w:rPr>
          <w:rFonts w:ascii="Arial" w:hAnsi="Arial" w:cs="Arial"/>
          <w:sz w:val="24"/>
          <w:szCs w:val="24"/>
        </w:rPr>
        <w:t>should have been placed before the court by way of an affidavit</w:t>
      </w:r>
      <w:r w:rsidR="00D018D4">
        <w:rPr>
          <w:rFonts w:ascii="Arial" w:hAnsi="Arial" w:cs="Arial"/>
          <w:sz w:val="24"/>
          <w:szCs w:val="24"/>
        </w:rPr>
        <w:t xml:space="preserve"> with </w:t>
      </w:r>
      <w:r w:rsidR="0090717B">
        <w:rPr>
          <w:rFonts w:ascii="Arial" w:hAnsi="Arial" w:cs="Arial"/>
          <w:sz w:val="24"/>
          <w:szCs w:val="24"/>
        </w:rPr>
        <w:t>c</w:t>
      </w:r>
      <w:r w:rsidR="00D018D4">
        <w:rPr>
          <w:rFonts w:ascii="Arial" w:hAnsi="Arial" w:cs="Arial"/>
          <w:sz w:val="24"/>
          <w:szCs w:val="24"/>
        </w:rPr>
        <w:t xml:space="preserve">ounsel rightfully being a witness in the matter. </w:t>
      </w:r>
    </w:p>
    <w:p w14:paraId="2E175CA6" w14:textId="77777777" w:rsidR="000E05B2" w:rsidRDefault="000E05B2" w:rsidP="005E0493">
      <w:pPr>
        <w:tabs>
          <w:tab w:val="left" w:pos="0"/>
        </w:tabs>
        <w:spacing w:after="0" w:line="480" w:lineRule="auto"/>
        <w:jc w:val="both"/>
        <w:rPr>
          <w:rFonts w:ascii="Arial" w:hAnsi="Arial" w:cs="Arial"/>
          <w:sz w:val="24"/>
          <w:szCs w:val="24"/>
        </w:rPr>
      </w:pPr>
    </w:p>
    <w:p w14:paraId="4DE7E1DD" w14:textId="4F129C7E" w:rsidR="00DB44DF" w:rsidRDefault="005E0493" w:rsidP="00DB44DF">
      <w:pPr>
        <w:tabs>
          <w:tab w:val="left" w:pos="0"/>
        </w:tabs>
        <w:spacing w:after="0" w:line="480" w:lineRule="auto"/>
        <w:jc w:val="both"/>
        <w:rPr>
          <w:rFonts w:ascii="Arial" w:hAnsi="Arial" w:cs="Arial"/>
          <w:sz w:val="24"/>
          <w:szCs w:val="24"/>
        </w:rPr>
      </w:pPr>
      <w:r>
        <w:rPr>
          <w:rFonts w:ascii="Arial" w:hAnsi="Arial" w:cs="Arial"/>
          <w:sz w:val="24"/>
          <w:szCs w:val="24"/>
        </w:rPr>
        <w:lastRenderedPageBreak/>
        <w:t>[1</w:t>
      </w:r>
      <w:r w:rsidR="006204EA">
        <w:rPr>
          <w:rFonts w:ascii="Arial" w:hAnsi="Arial" w:cs="Arial"/>
          <w:sz w:val="24"/>
          <w:szCs w:val="24"/>
        </w:rPr>
        <w:t>8</w:t>
      </w:r>
      <w:r>
        <w:rPr>
          <w:rFonts w:ascii="Arial" w:hAnsi="Arial" w:cs="Arial"/>
          <w:sz w:val="24"/>
          <w:szCs w:val="24"/>
        </w:rPr>
        <w:t>]</w:t>
      </w:r>
      <w:r>
        <w:rPr>
          <w:rFonts w:ascii="Arial" w:hAnsi="Arial" w:cs="Arial"/>
          <w:sz w:val="24"/>
          <w:szCs w:val="24"/>
        </w:rPr>
        <w:tab/>
        <w:t xml:space="preserve">The </w:t>
      </w:r>
      <w:r w:rsidR="00B906F7">
        <w:rPr>
          <w:rFonts w:ascii="Arial" w:hAnsi="Arial" w:cs="Arial"/>
          <w:sz w:val="24"/>
          <w:szCs w:val="24"/>
        </w:rPr>
        <w:t xml:space="preserve">applicant </w:t>
      </w:r>
      <w:r>
        <w:rPr>
          <w:rFonts w:ascii="Arial" w:hAnsi="Arial" w:cs="Arial"/>
          <w:sz w:val="24"/>
          <w:szCs w:val="24"/>
        </w:rPr>
        <w:t xml:space="preserve">also contended in his founding affidavit that </w:t>
      </w:r>
      <w:r w:rsidR="00115406">
        <w:rPr>
          <w:rFonts w:ascii="Arial" w:hAnsi="Arial" w:cs="Arial"/>
          <w:sz w:val="24"/>
          <w:szCs w:val="24"/>
        </w:rPr>
        <w:t>the respondent will not suffer prejudice if the late fil</w:t>
      </w:r>
      <w:r>
        <w:rPr>
          <w:rFonts w:ascii="Arial" w:hAnsi="Arial" w:cs="Arial"/>
          <w:sz w:val="24"/>
          <w:szCs w:val="24"/>
        </w:rPr>
        <w:t xml:space="preserve">ing of the notice of appeal is </w:t>
      </w:r>
      <w:proofErr w:type="gramStart"/>
      <w:r w:rsidR="00DE079A">
        <w:rPr>
          <w:rFonts w:ascii="Arial" w:hAnsi="Arial" w:cs="Arial"/>
          <w:sz w:val="24"/>
          <w:szCs w:val="24"/>
        </w:rPr>
        <w:t>condoned</w:t>
      </w:r>
      <w:proofErr w:type="gramEnd"/>
      <w:r w:rsidR="00DE079A">
        <w:rPr>
          <w:rFonts w:ascii="Arial" w:hAnsi="Arial" w:cs="Arial"/>
          <w:sz w:val="24"/>
          <w:szCs w:val="24"/>
        </w:rPr>
        <w:t xml:space="preserve"> </w:t>
      </w:r>
      <w:r w:rsidR="00115406">
        <w:rPr>
          <w:rFonts w:ascii="Arial" w:hAnsi="Arial" w:cs="Arial"/>
          <w:sz w:val="24"/>
          <w:szCs w:val="24"/>
        </w:rPr>
        <w:t xml:space="preserve">and the appeal </w:t>
      </w:r>
      <w:r w:rsidR="007E4963">
        <w:rPr>
          <w:rFonts w:ascii="Arial" w:hAnsi="Arial" w:cs="Arial"/>
          <w:sz w:val="24"/>
          <w:szCs w:val="24"/>
        </w:rPr>
        <w:t xml:space="preserve">is </w:t>
      </w:r>
      <w:r w:rsidR="00115406">
        <w:rPr>
          <w:rFonts w:ascii="Arial" w:hAnsi="Arial" w:cs="Arial"/>
          <w:sz w:val="24"/>
          <w:szCs w:val="24"/>
        </w:rPr>
        <w:t xml:space="preserve">reinstated. Further, </w:t>
      </w:r>
      <w:r>
        <w:rPr>
          <w:rFonts w:ascii="Arial" w:hAnsi="Arial" w:cs="Arial"/>
          <w:sz w:val="24"/>
          <w:szCs w:val="24"/>
        </w:rPr>
        <w:t xml:space="preserve">he also contended </w:t>
      </w:r>
      <w:r w:rsidR="00115406">
        <w:rPr>
          <w:rFonts w:ascii="Arial" w:hAnsi="Arial" w:cs="Arial"/>
          <w:sz w:val="24"/>
          <w:szCs w:val="24"/>
        </w:rPr>
        <w:t>that no substantive rights of the respon</w:t>
      </w:r>
      <w:r>
        <w:rPr>
          <w:rFonts w:ascii="Arial" w:hAnsi="Arial" w:cs="Arial"/>
          <w:sz w:val="24"/>
          <w:szCs w:val="24"/>
        </w:rPr>
        <w:t>dent will</w:t>
      </w:r>
      <w:r w:rsidR="00115406">
        <w:rPr>
          <w:rFonts w:ascii="Arial" w:hAnsi="Arial" w:cs="Arial"/>
          <w:sz w:val="24"/>
          <w:szCs w:val="24"/>
        </w:rPr>
        <w:t xml:space="preserve"> be suspended </w:t>
      </w:r>
      <w:r>
        <w:rPr>
          <w:rFonts w:ascii="Arial" w:hAnsi="Arial" w:cs="Arial"/>
          <w:sz w:val="24"/>
          <w:szCs w:val="24"/>
        </w:rPr>
        <w:t xml:space="preserve">pending </w:t>
      </w:r>
      <w:r w:rsidR="00115406">
        <w:rPr>
          <w:rFonts w:ascii="Arial" w:hAnsi="Arial" w:cs="Arial"/>
          <w:sz w:val="24"/>
          <w:szCs w:val="24"/>
        </w:rPr>
        <w:t>the hearing of the appeal.</w:t>
      </w:r>
      <w:r w:rsidR="00565E9C">
        <w:rPr>
          <w:rFonts w:ascii="Arial" w:hAnsi="Arial" w:cs="Arial"/>
          <w:sz w:val="24"/>
          <w:szCs w:val="24"/>
        </w:rPr>
        <w:t xml:space="preserve"> Regarding the </w:t>
      </w:r>
      <w:r w:rsidR="00115406">
        <w:rPr>
          <w:rFonts w:ascii="Arial" w:hAnsi="Arial" w:cs="Arial"/>
          <w:sz w:val="24"/>
          <w:szCs w:val="24"/>
        </w:rPr>
        <w:t>prospects o</w:t>
      </w:r>
      <w:r w:rsidR="00565E9C">
        <w:rPr>
          <w:rFonts w:ascii="Arial" w:hAnsi="Arial" w:cs="Arial"/>
          <w:sz w:val="24"/>
          <w:szCs w:val="24"/>
        </w:rPr>
        <w:t xml:space="preserve">f success, the applicant was of the view that it is </w:t>
      </w:r>
      <w:r w:rsidR="00115406">
        <w:rPr>
          <w:rFonts w:ascii="Arial" w:hAnsi="Arial" w:cs="Arial"/>
          <w:sz w:val="24"/>
          <w:szCs w:val="24"/>
        </w:rPr>
        <w:t xml:space="preserve">apparent from his notice of appeal that his case ‘enjoys strong prospects of success’. </w:t>
      </w:r>
      <w:r w:rsidR="00565E9C">
        <w:rPr>
          <w:rFonts w:ascii="Arial" w:hAnsi="Arial" w:cs="Arial"/>
          <w:sz w:val="24"/>
          <w:szCs w:val="24"/>
        </w:rPr>
        <w:t xml:space="preserve"> He did not see the need to highlight these </w:t>
      </w:r>
      <w:r w:rsidR="0090717B">
        <w:rPr>
          <w:rFonts w:ascii="Arial" w:hAnsi="Arial" w:cs="Arial"/>
          <w:sz w:val="24"/>
          <w:szCs w:val="24"/>
        </w:rPr>
        <w:t>‘strong’</w:t>
      </w:r>
      <w:r w:rsidR="00565E9C">
        <w:rPr>
          <w:rFonts w:ascii="Arial" w:hAnsi="Arial" w:cs="Arial"/>
          <w:sz w:val="24"/>
          <w:szCs w:val="24"/>
        </w:rPr>
        <w:t xml:space="preserve"> prospects of success in </w:t>
      </w:r>
      <w:r w:rsidR="00581558">
        <w:rPr>
          <w:rFonts w:ascii="Arial" w:hAnsi="Arial" w:cs="Arial"/>
          <w:sz w:val="24"/>
          <w:szCs w:val="24"/>
        </w:rPr>
        <w:t>h</w:t>
      </w:r>
      <w:r w:rsidR="00565E9C">
        <w:rPr>
          <w:rFonts w:ascii="Arial" w:hAnsi="Arial" w:cs="Arial"/>
          <w:sz w:val="24"/>
          <w:szCs w:val="24"/>
        </w:rPr>
        <w:t>is founding affidavit.</w:t>
      </w:r>
      <w:r w:rsidR="00896CB3">
        <w:rPr>
          <w:rFonts w:ascii="Arial" w:hAnsi="Arial" w:cs="Arial"/>
          <w:sz w:val="24"/>
          <w:szCs w:val="24"/>
        </w:rPr>
        <w:t xml:space="preserve"> Still maintaining </w:t>
      </w:r>
      <w:r w:rsidR="00352E9C">
        <w:rPr>
          <w:rFonts w:ascii="Arial" w:hAnsi="Arial" w:cs="Arial"/>
          <w:sz w:val="24"/>
          <w:szCs w:val="24"/>
        </w:rPr>
        <w:t xml:space="preserve">incongruously </w:t>
      </w:r>
      <w:r w:rsidR="00581558">
        <w:rPr>
          <w:rFonts w:ascii="Arial" w:hAnsi="Arial" w:cs="Arial"/>
          <w:sz w:val="24"/>
          <w:szCs w:val="24"/>
        </w:rPr>
        <w:t xml:space="preserve">that </w:t>
      </w:r>
      <w:r w:rsidR="00896CB3">
        <w:rPr>
          <w:rFonts w:ascii="Arial" w:hAnsi="Arial" w:cs="Arial"/>
          <w:sz w:val="24"/>
          <w:szCs w:val="24"/>
        </w:rPr>
        <w:t>the</w:t>
      </w:r>
      <w:r w:rsidR="006B5634">
        <w:rPr>
          <w:rFonts w:ascii="Arial" w:hAnsi="Arial" w:cs="Arial"/>
          <w:sz w:val="24"/>
          <w:szCs w:val="24"/>
        </w:rPr>
        <w:t xml:space="preserve"> order </w:t>
      </w:r>
      <w:r w:rsidR="00896CB3" w:rsidRPr="0090717B">
        <w:rPr>
          <w:rFonts w:ascii="Arial" w:hAnsi="Arial" w:cs="Arial"/>
          <w:i/>
          <w:sz w:val="24"/>
          <w:szCs w:val="24"/>
        </w:rPr>
        <w:t>a quo</w:t>
      </w:r>
      <w:r w:rsidR="00896CB3">
        <w:rPr>
          <w:rFonts w:ascii="Arial" w:hAnsi="Arial" w:cs="Arial"/>
          <w:sz w:val="24"/>
          <w:szCs w:val="24"/>
        </w:rPr>
        <w:t xml:space="preserve"> </w:t>
      </w:r>
      <w:r w:rsidR="006B5634">
        <w:rPr>
          <w:rFonts w:ascii="Arial" w:hAnsi="Arial" w:cs="Arial"/>
          <w:sz w:val="24"/>
          <w:szCs w:val="24"/>
        </w:rPr>
        <w:t xml:space="preserve">granting absolution was </w:t>
      </w:r>
      <w:r w:rsidR="00352E9C">
        <w:rPr>
          <w:rFonts w:ascii="Arial" w:hAnsi="Arial" w:cs="Arial"/>
          <w:sz w:val="24"/>
          <w:szCs w:val="24"/>
        </w:rPr>
        <w:t xml:space="preserve">purely </w:t>
      </w:r>
      <w:r w:rsidR="006B5634">
        <w:rPr>
          <w:rFonts w:ascii="Arial" w:hAnsi="Arial" w:cs="Arial"/>
          <w:sz w:val="24"/>
          <w:szCs w:val="24"/>
        </w:rPr>
        <w:t>interlocutory</w:t>
      </w:r>
      <w:r w:rsidR="000E05B2">
        <w:rPr>
          <w:rFonts w:ascii="Arial" w:hAnsi="Arial" w:cs="Arial"/>
          <w:sz w:val="24"/>
          <w:szCs w:val="24"/>
        </w:rPr>
        <w:t>, he deposed that the</w:t>
      </w:r>
      <w:r w:rsidR="006B5634">
        <w:rPr>
          <w:rFonts w:ascii="Arial" w:hAnsi="Arial" w:cs="Arial"/>
          <w:sz w:val="24"/>
          <w:szCs w:val="24"/>
        </w:rPr>
        <w:t xml:space="preserve"> costs the respondent would be entitled to would </w:t>
      </w:r>
      <w:r w:rsidR="00581558">
        <w:rPr>
          <w:rFonts w:ascii="Arial" w:hAnsi="Arial" w:cs="Arial"/>
          <w:sz w:val="24"/>
          <w:szCs w:val="24"/>
        </w:rPr>
        <w:t xml:space="preserve">in any event </w:t>
      </w:r>
      <w:r w:rsidR="006B5634">
        <w:rPr>
          <w:rFonts w:ascii="Arial" w:hAnsi="Arial" w:cs="Arial"/>
          <w:sz w:val="24"/>
          <w:szCs w:val="24"/>
        </w:rPr>
        <w:t xml:space="preserve">be capped in terms of rule </w:t>
      </w:r>
      <w:r w:rsidR="00B567A8">
        <w:rPr>
          <w:rFonts w:ascii="Arial" w:hAnsi="Arial" w:cs="Arial"/>
          <w:sz w:val="24"/>
          <w:szCs w:val="24"/>
        </w:rPr>
        <w:t>32</w:t>
      </w:r>
      <w:r w:rsidR="006B5634">
        <w:rPr>
          <w:rFonts w:ascii="Arial" w:hAnsi="Arial" w:cs="Arial"/>
          <w:sz w:val="24"/>
          <w:szCs w:val="24"/>
        </w:rPr>
        <w:t xml:space="preserve"> (11)</w:t>
      </w:r>
      <w:r w:rsidR="00F8258C">
        <w:rPr>
          <w:rFonts w:ascii="Arial" w:hAnsi="Arial" w:cs="Arial"/>
          <w:sz w:val="24"/>
          <w:szCs w:val="24"/>
        </w:rPr>
        <w:t xml:space="preserve"> of the Rule</w:t>
      </w:r>
      <w:r w:rsidR="00620F10">
        <w:rPr>
          <w:rFonts w:ascii="Arial" w:hAnsi="Arial" w:cs="Arial"/>
          <w:sz w:val="24"/>
          <w:szCs w:val="24"/>
        </w:rPr>
        <w:t>s</w:t>
      </w:r>
      <w:r w:rsidR="00F8258C">
        <w:rPr>
          <w:rFonts w:ascii="Arial" w:hAnsi="Arial" w:cs="Arial"/>
          <w:sz w:val="24"/>
          <w:szCs w:val="24"/>
        </w:rPr>
        <w:t xml:space="preserve"> of the High Court as the respondent has not yet obtained an order entitling him to the costs of trial </w:t>
      </w:r>
      <w:r w:rsidR="00F8258C" w:rsidRPr="0090717B">
        <w:rPr>
          <w:rFonts w:ascii="Arial" w:hAnsi="Arial" w:cs="Arial"/>
          <w:i/>
          <w:sz w:val="24"/>
          <w:szCs w:val="24"/>
        </w:rPr>
        <w:t>a quo</w:t>
      </w:r>
      <w:r w:rsidR="00F8258C">
        <w:rPr>
          <w:rFonts w:ascii="Arial" w:hAnsi="Arial" w:cs="Arial"/>
          <w:sz w:val="24"/>
          <w:szCs w:val="24"/>
        </w:rPr>
        <w:t>.</w:t>
      </w:r>
    </w:p>
    <w:p w14:paraId="514A0ACB" w14:textId="77777777" w:rsidR="000E05B2" w:rsidRDefault="000E05B2" w:rsidP="00DB44DF">
      <w:pPr>
        <w:tabs>
          <w:tab w:val="left" w:pos="0"/>
        </w:tabs>
        <w:spacing w:after="0" w:line="480" w:lineRule="auto"/>
        <w:jc w:val="both"/>
        <w:rPr>
          <w:rFonts w:ascii="Arial" w:hAnsi="Arial" w:cs="Arial"/>
          <w:sz w:val="24"/>
          <w:szCs w:val="24"/>
        </w:rPr>
      </w:pPr>
    </w:p>
    <w:p w14:paraId="165D42FE" w14:textId="180A6F8F" w:rsidR="006D7E5A" w:rsidRDefault="006204EA" w:rsidP="00DF3E0C">
      <w:pPr>
        <w:tabs>
          <w:tab w:val="left" w:pos="0"/>
        </w:tabs>
        <w:spacing w:after="0" w:line="480" w:lineRule="auto"/>
        <w:jc w:val="both"/>
        <w:rPr>
          <w:rFonts w:ascii="Arial" w:hAnsi="Arial" w:cs="Arial"/>
          <w:sz w:val="24"/>
          <w:szCs w:val="24"/>
        </w:rPr>
      </w:pPr>
      <w:r>
        <w:rPr>
          <w:rFonts w:ascii="Arial" w:hAnsi="Arial" w:cs="Arial"/>
          <w:sz w:val="24"/>
          <w:szCs w:val="24"/>
        </w:rPr>
        <w:t>[19</w:t>
      </w:r>
      <w:r w:rsidR="00DB44DF">
        <w:rPr>
          <w:rFonts w:ascii="Arial" w:hAnsi="Arial" w:cs="Arial"/>
          <w:sz w:val="24"/>
          <w:szCs w:val="24"/>
        </w:rPr>
        <w:t>]</w:t>
      </w:r>
      <w:r w:rsidR="00DB44DF">
        <w:rPr>
          <w:rFonts w:ascii="Arial" w:hAnsi="Arial" w:cs="Arial"/>
          <w:sz w:val="24"/>
          <w:szCs w:val="24"/>
        </w:rPr>
        <w:tab/>
      </w:r>
      <w:r w:rsidR="00115406">
        <w:rPr>
          <w:rFonts w:ascii="Arial" w:hAnsi="Arial" w:cs="Arial"/>
          <w:sz w:val="24"/>
          <w:szCs w:val="24"/>
        </w:rPr>
        <w:t xml:space="preserve">In </w:t>
      </w:r>
      <w:r w:rsidR="00DB44DF">
        <w:rPr>
          <w:rFonts w:ascii="Arial" w:hAnsi="Arial" w:cs="Arial"/>
          <w:sz w:val="24"/>
          <w:szCs w:val="24"/>
        </w:rPr>
        <w:t>opposing the application, the respondent deposed to an</w:t>
      </w:r>
      <w:r w:rsidR="00115406">
        <w:rPr>
          <w:rFonts w:ascii="Arial" w:hAnsi="Arial" w:cs="Arial"/>
          <w:sz w:val="24"/>
          <w:szCs w:val="24"/>
        </w:rPr>
        <w:t xml:space="preserve"> answering affidavit. </w:t>
      </w:r>
      <w:r w:rsidR="00DF3E0C">
        <w:rPr>
          <w:rFonts w:ascii="Arial" w:hAnsi="Arial" w:cs="Arial"/>
          <w:sz w:val="24"/>
          <w:szCs w:val="24"/>
        </w:rPr>
        <w:t>In the main, the</w:t>
      </w:r>
      <w:r w:rsidR="002B25E4">
        <w:rPr>
          <w:rFonts w:ascii="Arial" w:hAnsi="Arial" w:cs="Arial"/>
          <w:sz w:val="24"/>
          <w:szCs w:val="24"/>
        </w:rPr>
        <w:t xml:space="preserve"> respondent deposed that while he takes note of the wrong advice given to the applicant by h</w:t>
      </w:r>
      <w:r w:rsidR="00DB44DF">
        <w:rPr>
          <w:rFonts w:ascii="Arial" w:hAnsi="Arial" w:cs="Arial"/>
          <w:sz w:val="24"/>
          <w:szCs w:val="24"/>
        </w:rPr>
        <w:t xml:space="preserve">is legal representatives, it remained </w:t>
      </w:r>
      <w:r w:rsidR="00A95CE2">
        <w:rPr>
          <w:rFonts w:ascii="Arial" w:hAnsi="Arial" w:cs="Arial"/>
          <w:sz w:val="24"/>
          <w:szCs w:val="24"/>
        </w:rPr>
        <w:t>un</w:t>
      </w:r>
      <w:r w:rsidR="002B25E4">
        <w:rPr>
          <w:rFonts w:ascii="Arial" w:hAnsi="Arial" w:cs="Arial"/>
          <w:sz w:val="24"/>
          <w:szCs w:val="24"/>
        </w:rPr>
        <w:t xml:space="preserve">explained by the applicant </w:t>
      </w:r>
      <w:proofErr w:type="gramStart"/>
      <w:r w:rsidR="002B25E4">
        <w:rPr>
          <w:rFonts w:ascii="Arial" w:hAnsi="Arial" w:cs="Arial"/>
          <w:sz w:val="24"/>
          <w:szCs w:val="24"/>
        </w:rPr>
        <w:t>why</w:t>
      </w:r>
      <w:proofErr w:type="gramEnd"/>
      <w:r w:rsidR="002B25E4">
        <w:rPr>
          <w:rFonts w:ascii="Arial" w:hAnsi="Arial" w:cs="Arial"/>
          <w:sz w:val="24"/>
          <w:szCs w:val="24"/>
        </w:rPr>
        <w:t xml:space="preserve"> his legal representatives did not acquaint themselves with the correct posit</w:t>
      </w:r>
      <w:r w:rsidR="00E230EA">
        <w:rPr>
          <w:rFonts w:ascii="Arial" w:hAnsi="Arial" w:cs="Arial"/>
          <w:sz w:val="24"/>
          <w:szCs w:val="24"/>
        </w:rPr>
        <w:t>ion of the law</w:t>
      </w:r>
      <w:r w:rsidR="002B25E4">
        <w:rPr>
          <w:rFonts w:ascii="Arial" w:hAnsi="Arial" w:cs="Arial"/>
          <w:sz w:val="24"/>
          <w:szCs w:val="24"/>
        </w:rPr>
        <w:t>.</w:t>
      </w:r>
      <w:r w:rsidR="004D3E64">
        <w:rPr>
          <w:rFonts w:ascii="Arial" w:hAnsi="Arial" w:cs="Arial"/>
          <w:sz w:val="24"/>
          <w:szCs w:val="24"/>
        </w:rPr>
        <w:t xml:space="preserve"> He argued that the app</w:t>
      </w:r>
      <w:r w:rsidR="002B25E4">
        <w:rPr>
          <w:rFonts w:ascii="Arial" w:hAnsi="Arial" w:cs="Arial"/>
          <w:sz w:val="24"/>
          <w:szCs w:val="24"/>
        </w:rPr>
        <w:t>licant’s legal representatives did not conduct thorough research on the correct legal position</w:t>
      </w:r>
      <w:r w:rsidR="002C289E">
        <w:rPr>
          <w:rFonts w:ascii="Arial" w:hAnsi="Arial" w:cs="Arial"/>
          <w:sz w:val="24"/>
          <w:szCs w:val="24"/>
        </w:rPr>
        <w:t xml:space="preserve"> for had </w:t>
      </w:r>
      <w:proofErr w:type="gramStart"/>
      <w:r w:rsidR="002C289E">
        <w:rPr>
          <w:rFonts w:ascii="Arial" w:hAnsi="Arial" w:cs="Arial"/>
          <w:sz w:val="24"/>
          <w:szCs w:val="24"/>
        </w:rPr>
        <w:t>they</w:t>
      </w:r>
      <w:proofErr w:type="gramEnd"/>
      <w:r w:rsidR="002C289E">
        <w:rPr>
          <w:rFonts w:ascii="Arial" w:hAnsi="Arial" w:cs="Arial"/>
          <w:sz w:val="24"/>
          <w:szCs w:val="24"/>
        </w:rPr>
        <w:t xml:space="preserve"> done so, they would have found </w:t>
      </w:r>
      <w:r w:rsidR="0090717B">
        <w:rPr>
          <w:rFonts w:ascii="Arial" w:hAnsi="Arial" w:cs="Arial"/>
          <w:sz w:val="24"/>
          <w:szCs w:val="24"/>
        </w:rPr>
        <w:t>a</w:t>
      </w:r>
      <w:r w:rsidR="002C289E">
        <w:rPr>
          <w:rFonts w:ascii="Arial" w:hAnsi="Arial" w:cs="Arial"/>
          <w:sz w:val="24"/>
          <w:szCs w:val="24"/>
        </w:rPr>
        <w:t xml:space="preserve"> number of decided cases that make the position trite that an order for absolution from the instance is appealable</w:t>
      </w:r>
      <w:r w:rsidR="002B25E4">
        <w:rPr>
          <w:rFonts w:ascii="Arial" w:hAnsi="Arial" w:cs="Arial"/>
          <w:sz w:val="24"/>
          <w:szCs w:val="24"/>
        </w:rPr>
        <w:t>.</w:t>
      </w:r>
      <w:r w:rsidR="00B906F7">
        <w:rPr>
          <w:rFonts w:ascii="Arial" w:hAnsi="Arial" w:cs="Arial"/>
          <w:sz w:val="24"/>
          <w:szCs w:val="24"/>
        </w:rPr>
        <w:t xml:space="preserve"> It was the </w:t>
      </w:r>
      <w:r w:rsidR="002C289E">
        <w:rPr>
          <w:rFonts w:ascii="Arial" w:hAnsi="Arial" w:cs="Arial"/>
          <w:sz w:val="24"/>
          <w:szCs w:val="24"/>
        </w:rPr>
        <w:t xml:space="preserve">respondent’s </w:t>
      </w:r>
      <w:r w:rsidR="00B906F7">
        <w:rPr>
          <w:rFonts w:ascii="Arial" w:hAnsi="Arial" w:cs="Arial"/>
          <w:sz w:val="24"/>
          <w:szCs w:val="24"/>
        </w:rPr>
        <w:t>furth</w:t>
      </w:r>
      <w:r w:rsidR="002C289E">
        <w:rPr>
          <w:rFonts w:ascii="Arial" w:hAnsi="Arial" w:cs="Arial"/>
          <w:sz w:val="24"/>
          <w:szCs w:val="24"/>
        </w:rPr>
        <w:t xml:space="preserve">er contention </w:t>
      </w:r>
      <w:r w:rsidR="00B906F7">
        <w:rPr>
          <w:rFonts w:ascii="Arial" w:hAnsi="Arial" w:cs="Arial"/>
          <w:sz w:val="24"/>
          <w:szCs w:val="24"/>
        </w:rPr>
        <w:t xml:space="preserve">that this court </w:t>
      </w:r>
      <w:r w:rsidR="006D7E5A">
        <w:rPr>
          <w:rFonts w:ascii="Arial" w:hAnsi="Arial" w:cs="Arial"/>
          <w:sz w:val="24"/>
          <w:szCs w:val="24"/>
        </w:rPr>
        <w:t>did not es</w:t>
      </w:r>
      <w:r w:rsidR="00B906F7">
        <w:rPr>
          <w:rFonts w:ascii="Arial" w:hAnsi="Arial" w:cs="Arial"/>
          <w:sz w:val="24"/>
          <w:szCs w:val="24"/>
        </w:rPr>
        <w:t xml:space="preserve">tablish a new principle of law in </w:t>
      </w:r>
      <w:r w:rsidR="00B906F7" w:rsidRPr="000603BF">
        <w:rPr>
          <w:rFonts w:ascii="Arial" w:hAnsi="Arial" w:cs="Arial"/>
          <w:i/>
          <w:sz w:val="24"/>
          <w:szCs w:val="24"/>
        </w:rPr>
        <w:t xml:space="preserve">Huang v </w:t>
      </w:r>
      <w:proofErr w:type="spellStart"/>
      <w:r w:rsidR="00B906F7" w:rsidRPr="000603BF">
        <w:rPr>
          <w:rFonts w:ascii="Arial" w:hAnsi="Arial" w:cs="Arial"/>
          <w:i/>
          <w:sz w:val="24"/>
          <w:szCs w:val="24"/>
        </w:rPr>
        <w:t>Nevonga</w:t>
      </w:r>
      <w:proofErr w:type="spellEnd"/>
      <w:r w:rsidR="00B906F7" w:rsidRPr="000603BF">
        <w:rPr>
          <w:rFonts w:ascii="Arial" w:hAnsi="Arial" w:cs="Arial"/>
          <w:i/>
          <w:sz w:val="24"/>
          <w:szCs w:val="24"/>
        </w:rPr>
        <w:t xml:space="preserve"> </w:t>
      </w:r>
      <w:r w:rsidR="00B906F7">
        <w:rPr>
          <w:rFonts w:ascii="Arial" w:hAnsi="Arial" w:cs="Arial"/>
          <w:sz w:val="24"/>
          <w:szCs w:val="24"/>
        </w:rPr>
        <w:t>(</w:t>
      </w:r>
      <w:r w:rsidR="00B906F7" w:rsidRPr="0090717B">
        <w:rPr>
          <w:rFonts w:ascii="Arial" w:hAnsi="Arial" w:cs="Arial"/>
          <w:i/>
          <w:sz w:val="24"/>
          <w:szCs w:val="24"/>
        </w:rPr>
        <w:t>supra</w:t>
      </w:r>
      <w:r w:rsidR="00B906F7">
        <w:rPr>
          <w:rFonts w:ascii="Arial" w:hAnsi="Arial" w:cs="Arial"/>
          <w:sz w:val="24"/>
          <w:szCs w:val="24"/>
        </w:rPr>
        <w:t xml:space="preserve">). </w:t>
      </w:r>
      <w:r w:rsidR="0090717B">
        <w:rPr>
          <w:rFonts w:ascii="Arial" w:hAnsi="Arial" w:cs="Arial"/>
          <w:sz w:val="24"/>
          <w:szCs w:val="24"/>
        </w:rPr>
        <w:t>He further argued t</w:t>
      </w:r>
      <w:r w:rsidR="006D7E5A">
        <w:rPr>
          <w:rFonts w:ascii="Arial" w:hAnsi="Arial" w:cs="Arial"/>
          <w:sz w:val="24"/>
          <w:szCs w:val="24"/>
        </w:rPr>
        <w:t xml:space="preserve">hat </w:t>
      </w:r>
      <w:r w:rsidR="0090717B">
        <w:rPr>
          <w:rFonts w:ascii="Arial" w:hAnsi="Arial" w:cs="Arial"/>
          <w:sz w:val="24"/>
          <w:szCs w:val="24"/>
        </w:rPr>
        <w:t>it</w:t>
      </w:r>
      <w:r w:rsidR="006D7E5A">
        <w:rPr>
          <w:rFonts w:ascii="Arial" w:hAnsi="Arial" w:cs="Arial"/>
          <w:sz w:val="24"/>
          <w:szCs w:val="24"/>
        </w:rPr>
        <w:t xml:space="preserve"> has been an established principle of </w:t>
      </w:r>
      <w:r w:rsidR="008956B4">
        <w:rPr>
          <w:rFonts w:ascii="Arial" w:hAnsi="Arial" w:cs="Arial"/>
          <w:sz w:val="24"/>
          <w:szCs w:val="24"/>
        </w:rPr>
        <w:t xml:space="preserve">Namibian </w:t>
      </w:r>
      <w:r w:rsidR="006D7E5A">
        <w:rPr>
          <w:rFonts w:ascii="Arial" w:hAnsi="Arial" w:cs="Arial"/>
          <w:sz w:val="24"/>
          <w:szCs w:val="24"/>
        </w:rPr>
        <w:t xml:space="preserve">law for more than </w:t>
      </w:r>
      <w:r w:rsidR="00620F10">
        <w:rPr>
          <w:rFonts w:ascii="Arial" w:hAnsi="Arial" w:cs="Arial"/>
          <w:sz w:val="24"/>
          <w:szCs w:val="24"/>
        </w:rPr>
        <w:t xml:space="preserve">a </w:t>
      </w:r>
      <w:r w:rsidR="006D7E5A">
        <w:rPr>
          <w:rFonts w:ascii="Arial" w:hAnsi="Arial" w:cs="Arial"/>
          <w:sz w:val="24"/>
          <w:szCs w:val="24"/>
        </w:rPr>
        <w:t>hundred years</w:t>
      </w:r>
      <w:r w:rsidR="0090717B">
        <w:rPr>
          <w:rFonts w:ascii="Arial" w:hAnsi="Arial" w:cs="Arial"/>
          <w:sz w:val="24"/>
          <w:szCs w:val="24"/>
        </w:rPr>
        <w:t xml:space="preserve"> that an appeal lies against an order granting absolution</w:t>
      </w:r>
      <w:r w:rsidR="006D7E5A">
        <w:rPr>
          <w:rFonts w:ascii="Arial" w:hAnsi="Arial" w:cs="Arial"/>
          <w:sz w:val="24"/>
          <w:szCs w:val="24"/>
        </w:rPr>
        <w:t xml:space="preserve">. </w:t>
      </w:r>
    </w:p>
    <w:p w14:paraId="04A5A162" w14:textId="77777777" w:rsidR="000A1038" w:rsidRDefault="000A1038" w:rsidP="00DF3E0C">
      <w:pPr>
        <w:tabs>
          <w:tab w:val="left" w:pos="0"/>
        </w:tabs>
        <w:spacing w:after="0" w:line="480" w:lineRule="auto"/>
        <w:jc w:val="both"/>
        <w:rPr>
          <w:rFonts w:ascii="Arial" w:hAnsi="Arial" w:cs="Arial"/>
          <w:sz w:val="24"/>
          <w:szCs w:val="24"/>
        </w:rPr>
      </w:pPr>
    </w:p>
    <w:p w14:paraId="1B107808" w14:textId="153ECAEE" w:rsidR="004D38A9" w:rsidRDefault="006204EA" w:rsidP="00262B52">
      <w:pPr>
        <w:tabs>
          <w:tab w:val="left" w:pos="0"/>
        </w:tabs>
        <w:spacing w:after="0" w:line="480" w:lineRule="auto"/>
        <w:jc w:val="both"/>
        <w:rPr>
          <w:rFonts w:ascii="Arial" w:hAnsi="Arial" w:cs="Arial"/>
          <w:sz w:val="24"/>
          <w:szCs w:val="24"/>
        </w:rPr>
      </w:pPr>
      <w:r>
        <w:rPr>
          <w:rFonts w:ascii="Arial" w:hAnsi="Arial" w:cs="Arial"/>
          <w:sz w:val="24"/>
          <w:szCs w:val="24"/>
        </w:rPr>
        <w:t>[20</w:t>
      </w:r>
      <w:r w:rsidR="00DE079A">
        <w:rPr>
          <w:rFonts w:ascii="Arial" w:hAnsi="Arial" w:cs="Arial"/>
          <w:sz w:val="24"/>
          <w:szCs w:val="24"/>
        </w:rPr>
        <w:t>]</w:t>
      </w:r>
      <w:r w:rsidR="00DE079A">
        <w:rPr>
          <w:rFonts w:ascii="Arial" w:hAnsi="Arial" w:cs="Arial"/>
          <w:sz w:val="24"/>
          <w:szCs w:val="24"/>
        </w:rPr>
        <w:tab/>
      </w:r>
      <w:r w:rsidR="002E67CB">
        <w:rPr>
          <w:rFonts w:ascii="Arial" w:hAnsi="Arial" w:cs="Arial"/>
          <w:sz w:val="24"/>
          <w:szCs w:val="24"/>
        </w:rPr>
        <w:t xml:space="preserve">In </w:t>
      </w:r>
      <w:r w:rsidR="00DE079A">
        <w:rPr>
          <w:rFonts w:ascii="Arial" w:hAnsi="Arial" w:cs="Arial"/>
          <w:sz w:val="24"/>
          <w:szCs w:val="24"/>
        </w:rPr>
        <w:t xml:space="preserve">the replying affidavit, the applicant maintained that there was a reasonable explanation why his legal practitioners held the view that an order granting absolution from the instance is not appealable. In this regard, he sought reliance from the remarks of this </w:t>
      </w:r>
      <w:r w:rsidR="0090717B">
        <w:rPr>
          <w:rFonts w:ascii="Arial" w:hAnsi="Arial" w:cs="Arial"/>
          <w:sz w:val="24"/>
          <w:szCs w:val="24"/>
        </w:rPr>
        <w:t>C</w:t>
      </w:r>
      <w:r w:rsidR="00DE079A">
        <w:rPr>
          <w:rFonts w:ascii="Arial" w:hAnsi="Arial" w:cs="Arial"/>
          <w:sz w:val="24"/>
          <w:szCs w:val="24"/>
        </w:rPr>
        <w:t xml:space="preserve">ourt in </w:t>
      </w:r>
      <w:r w:rsidR="00DE079A" w:rsidRPr="002E67CB">
        <w:rPr>
          <w:rFonts w:ascii="Arial" w:hAnsi="Arial" w:cs="Arial"/>
          <w:i/>
          <w:sz w:val="24"/>
          <w:szCs w:val="24"/>
        </w:rPr>
        <w:t>Di Savino</w:t>
      </w:r>
      <w:r w:rsidR="002E67CB" w:rsidRPr="002E67CB">
        <w:rPr>
          <w:rFonts w:ascii="Arial" w:hAnsi="Arial" w:cs="Arial"/>
          <w:i/>
          <w:sz w:val="24"/>
          <w:szCs w:val="24"/>
        </w:rPr>
        <w:t xml:space="preserve"> v Nedbank Namibia Ltd</w:t>
      </w:r>
      <w:r w:rsidR="00640FAE">
        <w:rPr>
          <w:rStyle w:val="FootnoteReference"/>
          <w:rFonts w:ascii="Arial" w:hAnsi="Arial" w:cs="Arial"/>
          <w:i/>
          <w:sz w:val="24"/>
          <w:szCs w:val="24"/>
        </w:rPr>
        <w:footnoteReference w:id="5"/>
      </w:r>
      <w:r w:rsidR="003A5AF1">
        <w:rPr>
          <w:rFonts w:ascii="Arial" w:hAnsi="Arial" w:cs="Arial"/>
          <w:sz w:val="24"/>
          <w:szCs w:val="24"/>
        </w:rPr>
        <w:t xml:space="preserve"> as having formed the basis of the erroneous view.</w:t>
      </w:r>
    </w:p>
    <w:p w14:paraId="2F034439" w14:textId="77777777" w:rsidR="000E05B2" w:rsidRDefault="000E05B2" w:rsidP="00262B52">
      <w:pPr>
        <w:tabs>
          <w:tab w:val="left" w:pos="0"/>
        </w:tabs>
        <w:spacing w:after="0" w:line="480" w:lineRule="auto"/>
        <w:jc w:val="both"/>
        <w:rPr>
          <w:rFonts w:ascii="Arial" w:hAnsi="Arial" w:cs="Arial"/>
          <w:sz w:val="24"/>
          <w:szCs w:val="24"/>
        </w:rPr>
      </w:pPr>
    </w:p>
    <w:p w14:paraId="44F49484" w14:textId="2B28B0F4" w:rsidR="00262B52" w:rsidRDefault="006204EA" w:rsidP="00585220">
      <w:pPr>
        <w:tabs>
          <w:tab w:val="left" w:pos="0"/>
        </w:tabs>
        <w:spacing w:after="0" w:line="480" w:lineRule="auto"/>
        <w:jc w:val="both"/>
        <w:rPr>
          <w:rFonts w:ascii="Arial" w:hAnsi="Arial" w:cs="Arial"/>
          <w:sz w:val="24"/>
          <w:szCs w:val="24"/>
        </w:rPr>
      </w:pPr>
      <w:r>
        <w:rPr>
          <w:rFonts w:ascii="Arial" w:hAnsi="Arial" w:cs="Arial"/>
          <w:sz w:val="24"/>
          <w:szCs w:val="24"/>
        </w:rPr>
        <w:t>[21</w:t>
      </w:r>
      <w:r w:rsidR="00262B52">
        <w:rPr>
          <w:rFonts w:ascii="Arial" w:hAnsi="Arial" w:cs="Arial"/>
          <w:sz w:val="24"/>
          <w:szCs w:val="24"/>
        </w:rPr>
        <w:t>]</w:t>
      </w:r>
      <w:r w:rsidR="00262B52">
        <w:rPr>
          <w:rFonts w:ascii="Arial" w:hAnsi="Arial" w:cs="Arial"/>
          <w:sz w:val="24"/>
          <w:szCs w:val="24"/>
        </w:rPr>
        <w:tab/>
        <w:t xml:space="preserve">The </w:t>
      </w:r>
      <w:r w:rsidR="0040509E">
        <w:rPr>
          <w:rFonts w:ascii="Arial" w:hAnsi="Arial" w:cs="Arial"/>
          <w:sz w:val="24"/>
          <w:szCs w:val="24"/>
        </w:rPr>
        <w:t xml:space="preserve">oral </w:t>
      </w:r>
      <w:r w:rsidR="00262B52">
        <w:rPr>
          <w:rFonts w:ascii="Arial" w:hAnsi="Arial" w:cs="Arial"/>
          <w:sz w:val="24"/>
          <w:szCs w:val="24"/>
        </w:rPr>
        <w:t>submissions of both parties</w:t>
      </w:r>
      <w:r w:rsidR="0040509E">
        <w:rPr>
          <w:rFonts w:ascii="Arial" w:hAnsi="Arial" w:cs="Arial"/>
          <w:sz w:val="24"/>
          <w:szCs w:val="24"/>
        </w:rPr>
        <w:t xml:space="preserve"> before the court </w:t>
      </w:r>
      <w:r w:rsidR="00262B52">
        <w:rPr>
          <w:rFonts w:ascii="Arial" w:hAnsi="Arial" w:cs="Arial"/>
          <w:sz w:val="24"/>
          <w:szCs w:val="24"/>
        </w:rPr>
        <w:t>were in the main based on the written heads of argument filed of record. It is not necessary that I repeat these.</w:t>
      </w:r>
    </w:p>
    <w:p w14:paraId="744C26C8" w14:textId="77777777" w:rsidR="0040509E" w:rsidRDefault="0040509E" w:rsidP="00585220">
      <w:pPr>
        <w:tabs>
          <w:tab w:val="left" w:pos="0"/>
        </w:tabs>
        <w:spacing w:after="0" w:line="480" w:lineRule="auto"/>
        <w:jc w:val="both"/>
        <w:rPr>
          <w:rFonts w:ascii="Arial" w:hAnsi="Arial" w:cs="Arial"/>
          <w:sz w:val="24"/>
          <w:szCs w:val="24"/>
        </w:rPr>
      </w:pPr>
    </w:p>
    <w:p w14:paraId="2878CE0E" w14:textId="72A953F6" w:rsidR="0040509E" w:rsidRPr="0040509E" w:rsidRDefault="0040509E" w:rsidP="00585220">
      <w:pPr>
        <w:tabs>
          <w:tab w:val="left" w:pos="0"/>
        </w:tabs>
        <w:spacing w:after="0" w:line="480" w:lineRule="auto"/>
        <w:jc w:val="both"/>
        <w:rPr>
          <w:rFonts w:ascii="Arial" w:hAnsi="Arial" w:cs="Arial"/>
          <w:sz w:val="24"/>
          <w:szCs w:val="24"/>
          <w:u w:val="single"/>
        </w:rPr>
      </w:pPr>
      <w:r w:rsidRPr="0040509E">
        <w:rPr>
          <w:rFonts w:ascii="Arial" w:hAnsi="Arial" w:cs="Arial"/>
          <w:sz w:val="24"/>
          <w:szCs w:val="24"/>
          <w:u w:val="single"/>
        </w:rPr>
        <w:t>The law</w:t>
      </w:r>
    </w:p>
    <w:p w14:paraId="60A9CEAE" w14:textId="22D4C141" w:rsidR="00C14BE7" w:rsidRDefault="0040509E"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t>[2</w:t>
      </w:r>
      <w:r w:rsidR="00620F10">
        <w:rPr>
          <w:rFonts w:ascii="Arial" w:hAnsi="Arial" w:cs="Arial"/>
          <w:sz w:val="24"/>
          <w:szCs w:val="24"/>
        </w:rPr>
        <w:t>2</w:t>
      </w:r>
      <w:r>
        <w:rPr>
          <w:rFonts w:ascii="Arial" w:hAnsi="Arial" w:cs="Arial"/>
          <w:sz w:val="24"/>
          <w:szCs w:val="24"/>
        </w:rPr>
        <w:t>]</w:t>
      </w:r>
      <w:r>
        <w:rPr>
          <w:rFonts w:ascii="Arial" w:hAnsi="Arial" w:cs="Arial"/>
          <w:sz w:val="24"/>
          <w:szCs w:val="24"/>
        </w:rPr>
        <w:tab/>
        <w:t>T</w:t>
      </w:r>
      <w:r w:rsidR="006B5070">
        <w:rPr>
          <w:rFonts w:ascii="Arial" w:hAnsi="Arial" w:cs="Arial"/>
          <w:sz w:val="24"/>
          <w:szCs w:val="24"/>
        </w:rPr>
        <w:t>he law regarding a</w:t>
      </w:r>
      <w:r w:rsidR="00BE6EB0">
        <w:rPr>
          <w:rFonts w:ascii="Arial" w:hAnsi="Arial" w:cs="Arial"/>
          <w:sz w:val="24"/>
          <w:szCs w:val="24"/>
        </w:rPr>
        <w:t xml:space="preserve">pplications for condonation is trite. </w:t>
      </w:r>
      <w:r w:rsidR="005F50CF">
        <w:rPr>
          <w:rFonts w:ascii="Arial" w:hAnsi="Arial" w:cs="Arial"/>
          <w:sz w:val="24"/>
          <w:szCs w:val="24"/>
        </w:rPr>
        <w:t xml:space="preserve">Its content is not in dispute in this application. What is in contention is </w:t>
      </w:r>
      <w:proofErr w:type="gramStart"/>
      <w:r w:rsidR="005F50CF">
        <w:rPr>
          <w:rFonts w:ascii="Arial" w:hAnsi="Arial" w:cs="Arial"/>
          <w:sz w:val="24"/>
          <w:szCs w:val="24"/>
        </w:rPr>
        <w:t>whether or not</w:t>
      </w:r>
      <w:proofErr w:type="gramEnd"/>
      <w:r w:rsidR="005F50CF">
        <w:rPr>
          <w:rFonts w:ascii="Arial" w:hAnsi="Arial" w:cs="Arial"/>
          <w:sz w:val="24"/>
          <w:szCs w:val="24"/>
        </w:rPr>
        <w:t xml:space="preserve"> the applican</w:t>
      </w:r>
      <w:r w:rsidR="00620F10">
        <w:rPr>
          <w:rFonts w:ascii="Arial" w:hAnsi="Arial" w:cs="Arial"/>
          <w:sz w:val="24"/>
          <w:szCs w:val="24"/>
        </w:rPr>
        <w:t>t</w:t>
      </w:r>
      <w:r w:rsidR="005F50CF">
        <w:rPr>
          <w:rFonts w:ascii="Arial" w:hAnsi="Arial" w:cs="Arial"/>
          <w:sz w:val="24"/>
          <w:szCs w:val="24"/>
        </w:rPr>
        <w:t xml:space="preserve"> has made out a good case for the indulgence sought. However, for purposes of this application, it is necessary to re-enforce the position at law that condonation is an indulgence gra</w:t>
      </w:r>
      <w:r w:rsidR="0035214D">
        <w:rPr>
          <w:rFonts w:ascii="Arial" w:hAnsi="Arial" w:cs="Arial"/>
          <w:sz w:val="24"/>
          <w:szCs w:val="24"/>
        </w:rPr>
        <w:t>n</w:t>
      </w:r>
      <w:r w:rsidR="005F50CF">
        <w:rPr>
          <w:rFonts w:ascii="Arial" w:hAnsi="Arial" w:cs="Arial"/>
          <w:sz w:val="24"/>
          <w:szCs w:val="24"/>
        </w:rPr>
        <w:t xml:space="preserve">ted in the discretion of the court. It is neither had for the mere asking nor is it a </w:t>
      </w:r>
      <w:r w:rsidR="00620F10">
        <w:rPr>
          <w:rFonts w:ascii="Arial" w:hAnsi="Arial" w:cs="Arial"/>
          <w:sz w:val="24"/>
          <w:szCs w:val="24"/>
        </w:rPr>
        <w:t>mer</w:t>
      </w:r>
      <w:r w:rsidR="00620F10">
        <w:rPr>
          <w:rFonts w:ascii="Times New Roman" w:hAnsi="Times New Roman"/>
          <w:sz w:val="24"/>
          <w:szCs w:val="24"/>
        </w:rPr>
        <w:t>e</w:t>
      </w:r>
      <w:r w:rsidR="005F50CF">
        <w:rPr>
          <w:rFonts w:ascii="Arial" w:hAnsi="Arial" w:cs="Arial"/>
          <w:sz w:val="24"/>
          <w:szCs w:val="24"/>
        </w:rPr>
        <w:t xml:space="preserve"> formality</w:t>
      </w:r>
      <w:r w:rsidR="00620F10">
        <w:rPr>
          <w:rFonts w:ascii="Arial" w:hAnsi="Arial" w:cs="Arial"/>
          <w:sz w:val="24"/>
          <w:szCs w:val="24"/>
        </w:rPr>
        <w:t>.</w:t>
      </w:r>
      <w:r w:rsidR="00620F10">
        <w:rPr>
          <w:rStyle w:val="FootnoteReference"/>
          <w:rFonts w:ascii="Arial" w:hAnsi="Arial" w:cs="Arial"/>
          <w:sz w:val="24"/>
          <w:szCs w:val="24"/>
        </w:rPr>
        <w:footnoteReference w:id="6"/>
      </w:r>
      <w:r w:rsidR="005F50CF">
        <w:rPr>
          <w:rFonts w:ascii="Arial" w:hAnsi="Arial" w:cs="Arial"/>
          <w:sz w:val="24"/>
          <w:szCs w:val="24"/>
        </w:rPr>
        <w:t xml:space="preserve"> </w:t>
      </w:r>
      <w:r w:rsidR="0046619E">
        <w:rPr>
          <w:rFonts w:ascii="Arial" w:hAnsi="Arial" w:cs="Arial"/>
          <w:sz w:val="24"/>
          <w:szCs w:val="24"/>
        </w:rPr>
        <w:t>The applicant is always required to satisfy the court that there is sufficient cause for his or her non-compliance with the rules.</w:t>
      </w:r>
    </w:p>
    <w:p w14:paraId="26128965" w14:textId="77777777" w:rsidR="00C44C84" w:rsidRDefault="00C44C84"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p>
    <w:p w14:paraId="34AA9289" w14:textId="2C691268" w:rsidR="008A5731" w:rsidRDefault="008A5731"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t>[2</w:t>
      </w:r>
      <w:r w:rsidR="00620F10">
        <w:rPr>
          <w:rFonts w:ascii="Arial" w:hAnsi="Arial" w:cs="Arial"/>
          <w:sz w:val="24"/>
          <w:szCs w:val="24"/>
        </w:rPr>
        <w:t>3</w:t>
      </w:r>
      <w:r>
        <w:rPr>
          <w:rFonts w:ascii="Arial" w:hAnsi="Arial" w:cs="Arial"/>
          <w:sz w:val="24"/>
          <w:szCs w:val="24"/>
        </w:rPr>
        <w:t xml:space="preserve">] </w:t>
      </w:r>
      <w:r>
        <w:rPr>
          <w:rFonts w:ascii="Arial" w:hAnsi="Arial" w:cs="Arial"/>
          <w:sz w:val="24"/>
          <w:szCs w:val="24"/>
        </w:rPr>
        <w:tab/>
        <w:t xml:space="preserve">The rules and </w:t>
      </w:r>
      <w:r w:rsidR="005E0DC3">
        <w:rPr>
          <w:rFonts w:ascii="Arial" w:hAnsi="Arial" w:cs="Arial"/>
          <w:sz w:val="24"/>
          <w:szCs w:val="24"/>
        </w:rPr>
        <w:t xml:space="preserve">practice of this </w:t>
      </w:r>
      <w:r w:rsidR="003B77D3">
        <w:rPr>
          <w:rFonts w:ascii="Arial" w:hAnsi="Arial" w:cs="Arial"/>
          <w:sz w:val="24"/>
          <w:szCs w:val="24"/>
        </w:rPr>
        <w:t>C</w:t>
      </w:r>
      <w:r w:rsidR="005E0DC3">
        <w:rPr>
          <w:rFonts w:ascii="Arial" w:hAnsi="Arial" w:cs="Arial"/>
          <w:sz w:val="24"/>
          <w:szCs w:val="24"/>
        </w:rPr>
        <w:t xml:space="preserve">ourt </w:t>
      </w:r>
      <w:r>
        <w:rPr>
          <w:rFonts w:ascii="Arial" w:hAnsi="Arial" w:cs="Arial"/>
          <w:sz w:val="24"/>
          <w:szCs w:val="24"/>
        </w:rPr>
        <w:t>require the applicant</w:t>
      </w:r>
      <w:r w:rsidR="00E74FFB">
        <w:rPr>
          <w:rFonts w:ascii="Arial" w:hAnsi="Arial" w:cs="Arial"/>
          <w:sz w:val="24"/>
          <w:szCs w:val="24"/>
        </w:rPr>
        <w:t xml:space="preserve"> in the application for condonation, </w:t>
      </w:r>
      <w:r>
        <w:rPr>
          <w:rFonts w:ascii="Arial" w:hAnsi="Arial" w:cs="Arial"/>
          <w:sz w:val="24"/>
          <w:szCs w:val="24"/>
        </w:rPr>
        <w:t>not only to</w:t>
      </w:r>
      <w:r w:rsidR="005E0DC3">
        <w:rPr>
          <w:rFonts w:ascii="Arial" w:hAnsi="Arial" w:cs="Arial"/>
          <w:sz w:val="24"/>
          <w:szCs w:val="24"/>
        </w:rPr>
        <w:t xml:space="preserve"> fully </w:t>
      </w:r>
      <w:r>
        <w:rPr>
          <w:rFonts w:ascii="Arial" w:hAnsi="Arial" w:cs="Arial"/>
          <w:sz w:val="24"/>
          <w:szCs w:val="24"/>
        </w:rPr>
        <w:t xml:space="preserve">explain the non-compliance </w:t>
      </w:r>
      <w:r w:rsidR="00E74FFB">
        <w:rPr>
          <w:rFonts w:ascii="Arial" w:hAnsi="Arial" w:cs="Arial"/>
          <w:sz w:val="24"/>
          <w:szCs w:val="24"/>
        </w:rPr>
        <w:t xml:space="preserve">with the rules </w:t>
      </w:r>
      <w:r w:rsidR="005E0DC3">
        <w:rPr>
          <w:rFonts w:ascii="Arial" w:hAnsi="Arial" w:cs="Arial"/>
          <w:sz w:val="24"/>
          <w:szCs w:val="24"/>
        </w:rPr>
        <w:t>but a</w:t>
      </w:r>
      <w:r>
        <w:rPr>
          <w:rFonts w:ascii="Arial" w:hAnsi="Arial" w:cs="Arial"/>
          <w:sz w:val="24"/>
          <w:szCs w:val="24"/>
        </w:rPr>
        <w:t>lso</w:t>
      </w:r>
      <w:r w:rsidR="005E0DC3">
        <w:rPr>
          <w:rFonts w:ascii="Arial" w:hAnsi="Arial" w:cs="Arial"/>
          <w:sz w:val="24"/>
          <w:szCs w:val="24"/>
        </w:rPr>
        <w:t xml:space="preserve"> to </w:t>
      </w:r>
      <w:r>
        <w:rPr>
          <w:rFonts w:ascii="Arial" w:hAnsi="Arial" w:cs="Arial"/>
          <w:sz w:val="24"/>
          <w:szCs w:val="24"/>
        </w:rPr>
        <w:lastRenderedPageBreak/>
        <w:t xml:space="preserve">demonstrate that he or she enjoys prospects of success if the indulgence sought is granted. Whilst there is an interplay between the explanation tendered for the non-compliance with the rules and the prospects of success on appeal, there are instances where an application for condonation may be refused without adverting to the prospects of success. These are all trite positions at law </w:t>
      </w:r>
      <w:r w:rsidR="005E0DC3">
        <w:rPr>
          <w:rFonts w:ascii="Arial" w:hAnsi="Arial" w:cs="Arial"/>
          <w:sz w:val="24"/>
          <w:szCs w:val="24"/>
        </w:rPr>
        <w:t>which guided the parties in their submissions before the court</w:t>
      </w:r>
      <w:r w:rsidR="00352E9C">
        <w:rPr>
          <w:rFonts w:ascii="Arial" w:hAnsi="Arial" w:cs="Arial"/>
          <w:sz w:val="24"/>
          <w:szCs w:val="24"/>
        </w:rPr>
        <w:t xml:space="preserve"> and which in turn will guide this judgment</w:t>
      </w:r>
      <w:r w:rsidR="005E0DC3">
        <w:rPr>
          <w:rFonts w:ascii="Arial" w:hAnsi="Arial" w:cs="Arial"/>
          <w:sz w:val="24"/>
          <w:szCs w:val="24"/>
        </w:rPr>
        <w:t>.</w:t>
      </w:r>
    </w:p>
    <w:p w14:paraId="589D4E02" w14:textId="77777777" w:rsidR="00C44C84" w:rsidRDefault="00C44C84"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p>
    <w:p w14:paraId="2555EC8E" w14:textId="04AC6A43" w:rsidR="00BE6EB0" w:rsidRDefault="003B77D3"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u w:val="single"/>
        </w:rPr>
      </w:pPr>
      <w:r>
        <w:rPr>
          <w:rFonts w:ascii="Arial" w:hAnsi="Arial" w:cs="Arial"/>
          <w:sz w:val="24"/>
          <w:szCs w:val="24"/>
          <w:u w:val="single"/>
        </w:rPr>
        <w:t>Analysis</w:t>
      </w:r>
    </w:p>
    <w:p w14:paraId="6D1C7737" w14:textId="298DF581" w:rsidR="005E0DC3" w:rsidRDefault="005E0DC3"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t>[2</w:t>
      </w:r>
      <w:r w:rsidR="00620F10">
        <w:rPr>
          <w:rFonts w:ascii="Arial" w:hAnsi="Arial" w:cs="Arial"/>
          <w:sz w:val="24"/>
          <w:szCs w:val="24"/>
        </w:rPr>
        <w:t>4</w:t>
      </w:r>
      <w:r>
        <w:rPr>
          <w:rFonts w:ascii="Arial" w:hAnsi="Arial" w:cs="Arial"/>
          <w:sz w:val="24"/>
          <w:szCs w:val="24"/>
        </w:rPr>
        <w:t>]</w:t>
      </w:r>
      <w:r>
        <w:rPr>
          <w:rFonts w:ascii="Arial" w:hAnsi="Arial" w:cs="Arial"/>
          <w:sz w:val="24"/>
          <w:szCs w:val="24"/>
        </w:rPr>
        <w:tab/>
      </w:r>
      <w:r w:rsidR="00D06B82">
        <w:rPr>
          <w:rFonts w:ascii="Arial" w:hAnsi="Arial" w:cs="Arial"/>
          <w:sz w:val="24"/>
          <w:szCs w:val="24"/>
        </w:rPr>
        <w:t xml:space="preserve">An explanation for failure to comply with rule 7(1) of the </w:t>
      </w:r>
      <w:r w:rsidR="003B77D3">
        <w:rPr>
          <w:rFonts w:ascii="Arial" w:hAnsi="Arial" w:cs="Arial"/>
          <w:sz w:val="24"/>
          <w:szCs w:val="24"/>
        </w:rPr>
        <w:t>R</w:t>
      </w:r>
      <w:r w:rsidR="00D06B82">
        <w:rPr>
          <w:rFonts w:ascii="Arial" w:hAnsi="Arial" w:cs="Arial"/>
          <w:sz w:val="24"/>
          <w:szCs w:val="24"/>
        </w:rPr>
        <w:t xml:space="preserve">ules of Court </w:t>
      </w:r>
      <w:proofErr w:type="gramStart"/>
      <w:r w:rsidR="00D06B82">
        <w:rPr>
          <w:rFonts w:ascii="Arial" w:hAnsi="Arial" w:cs="Arial"/>
          <w:sz w:val="24"/>
          <w:szCs w:val="24"/>
        </w:rPr>
        <w:t>similar to</w:t>
      </w:r>
      <w:proofErr w:type="gramEnd"/>
      <w:r w:rsidR="00D06B82">
        <w:rPr>
          <w:rFonts w:ascii="Arial" w:hAnsi="Arial" w:cs="Arial"/>
          <w:sz w:val="24"/>
          <w:szCs w:val="24"/>
        </w:rPr>
        <w:t xml:space="preserve"> the one in this application was described by Hoff JA in </w:t>
      </w:r>
      <w:r w:rsidR="00D06B82" w:rsidRPr="00D06B82">
        <w:rPr>
          <w:rFonts w:ascii="Arial" w:hAnsi="Arial" w:cs="Arial"/>
          <w:i/>
          <w:sz w:val="24"/>
          <w:szCs w:val="24"/>
        </w:rPr>
        <w:t>Standard Bank</w:t>
      </w:r>
      <w:r w:rsidR="003B77D3">
        <w:rPr>
          <w:rFonts w:ascii="Arial" w:hAnsi="Arial" w:cs="Arial"/>
          <w:i/>
          <w:sz w:val="24"/>
          <w:szCs w:val="24"/>
        </w:rPr>
        <w:t xml:space="preserve"> Namibia Limited</w:t>
      </w:r>
      <w:r w:rsidR="00D06B82" w:rsidRPr="00D06B82">
        <w:rPr>
          <w:rFonts w:ascii="Arial" w:hAnsi="Arial" w:cs="Arial"/>
          <w:i/>
          <w:sz w:val="24"/>
          <w:szCs w:val="24"/>
        </w:rPr>
        <w:t xml:space="preserve"> v </w:t>
      </w:r>
      <w:proofErr w:type="spellStart"/>
      <w:r w:rsidR="00D06B82" w:rsidRPr="00D06B82">
        <w:rPr>
          <w:rFonts w:ascii="Arial" w:hAnsi="Arial" w:cs="Arial"/>
          <w:i/>
          <w:sz w:val="24"/>
          <w:szCs w:val="24"/>
        </w:rPr>
        <w:t>Nekwaya</w:t>
      </w:r>
      <w:proofErr w:type="spellEnd"/>
      <w:r w:rsidR="000A1038">
        <w:rPr>
          <w:rStyle w:val="FootnoteReference"/>
          <w:rFonts w:ascii="Arial" w:hAnsi="Arial" w:cs="Arial"/>
          <w:i/>
          <w:sz w:val="24"/>
          <w:szCs w:val="24"/>
        </w:rPr>
        <w:footnoteReference w:id="7"/>
      </w:r>
      <w:r w:rsidR="00D06B82">
        <w:rPr>
          <w:rFonts w:ascii="Arial" w:hAnsi="Arial" w:cs="Arial"/>
          <w:sz w:val="24"/>
          <w:szCs w:val="24"/>
        </w:rPr>
        <w:t xml:space="preserve"> as </w:t>
      </w:r>
      <w:r w:rsidR="003B77D3">
        <w:rPr>
          <w:rFonts w:ascii="Arial" w:hAnsi="Arial" w:cs="Arial"/>
          <w:sz w:val="24"/>
          <w:szCs w:val="24"/>
        </w:rPr>
        <w:t>‘</w:t>
      </w:r>
      <w:r w:rsidR="00D06B82">
        <w:rPr>
          <w:rFonts w:ascii="Arial" w:hAnsi="Arial" w:cs="Arial"/>
          <w:sz w:val="24"/>
          <w:szCs w:val="24"/>
        </w:rPr>
        <w:t>a weak and an unpalatable</w:t>
      </w:r>
      <w:r w:rsidR="003B77D3">
        <w:rPr>
          <w:rFonts w:ascii="Arial" w:hAnsi="Arial" w:cs="Arial"/>
          <w:sz w:val="24"/>
          <w:szCs w:val="24"/>
        </w:rPr>
        <w:t>’</w:t>
      </w:r>
      <w:r w:rsidR="00D06B82">
        <w:rPr>
          <w:rFonts w:ascii="Arial" w:hAnsi="Arial" w:cs="Arial"/>
          <w:sz w:val="24"/>
          <w:szCs w:val="24"/>
        </w:rPr>
        <w:t xml:space="preserve"> explanation. In that case, the </w:t>
      </w:r>
      <w:r w:rsidR="00FE7093">
        <w:rPr>
          <w:rFonts w:ascii="Arial" w:hAnsi="Arial" w:cs="Arial"/>
          <w:sz w:val="24"/>
          <w:szCs w:val="24"/>
        </w:rPr>
        <w:t>applicant</w:t>
      </w:r>
      <w:r w:rsidR="00D06B82">
        <w:rPr>
          <w:rFonts w:ascii="Arial" w:hAnsi="Arial" w:cs="Arial"/>
          <w:sz w:val="24"/>
          <w:szCs w:val="24"/>
        </w:rPr>
        <w:t xml:space="preserve"> had similarly failed to timeously note an appeal against an order absolving the respondent from the instance because it misunderstood the law. The misunderstanding was based on erroneous le</w:t>
      </w:r>
      <w:r w:rsidR="00EB2C3F">
        <w:rPr>
          <w:rFonts w:ascii="Arial" w:hAnsi="Arial" w:cs="Arial"/>
          <w:sz w:val="24"/>
          <w:szCs w:val="24"/>
        </w:rPr>
        <w:t xml:space="preserve">gal advice received, making the </w:t>
      </w:r>
      <w:r w:rsidR="00FE7093">
        <w:rPr>
          <w:rFonts w:ascii="Arial" w:hAnsi="Arial" w:cs="Arial"/>
          <w:sz w:val="24"/>
          <w:szCs w:val="24"/>
        </w:rPr>
        <w:t>applicant</w:t>
      </w:r>
      <w:r w:rsidR="00EB2C3F">
        <w:rPr>
          <w:rFonts w:ascii="Arial" w:hAnsi="Arial" w:cs="Arial"/>
          <w:sz w:val="24"/>
          <w:szCs w:val="24"/>
        </w:rPr>
        <w:t xml:space="preserve"> believe that the order granting absolution from the instance in the circumstances of that matter was not final and was therefore not appealable. </w:t>
      </w:r>
    </w:p>
    <w:p w14:paraId="01A49057" w14:textId="77777777" w:rsidR="00452E2B" w:rsidRDefault="00452E2B"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p>
    <w:p w14:paraId="495E9FA9" w14:textId="704806AC" w:rsidR="00CB58DE" w:rsidRDefault="00EB2C3F"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t>[2</w:t>
      </w:r>
      <w:r w:rsidR="00620F10">
        <w:rPr>
          <w:rFonts w:ascii="Arial" w:hAnsi="Arial" w:cs="Arial"/>
          <w:sz w:val="24"/>
          <w:szCs w:val="24"/>
        </w:rPr>
        <w:t>5</w:t>
      </w:r>
      <w:r>
        <w:rPr>
          <w:rFonts w:ascii="Arial" w:hAnsi="Arial" w:cs="Arial"/>
          <w:sz w:val="24"/>
          <w:szCs w:val="24"/>
        </w:rPr>
        <w:t>]</w:t>
      </w:r>
      <w:r>
        <w:rPr>
          <w:rFonts w:ascii="Arial" w:hAnsi="Arial" w:cs="Arial"/>
          <w:sz w:val="24"/>
          <w:szCs w:val="24"/>
        </w:rPr>
        <w:tab/>
        <w:t xml:space="preserve"> Whilst </w:t>
      </w:r>
      <w:r w:rsidRPr="00EB2C3F">
        <w:rPr>
          <w:rFonts w:ascii="Arial" w:hAnsi="Arial" w:cs="Arial"/>
          <w:i/>
          <w:sz w:val="24"/>
          <w:szCs w:val="24"/>
        </w:rPr>
        <w:t>Standard Bank</w:t>
      </w:r>
      <w:r w:rsidR="003B77D3">
        <w:rPr>
          <w:rFonts w:ascii="Arial" w:hAnsi="Arial" w:cs="Arial"/>
          <w:i/>
          <w:sz w:val="24"/>
          <w:szCs w:val="24"/>
        </w:rPr>
        <w:t xml:space="preserve"> Namibia Limited</w:t>
      </w:r>
      <w:r w:rsidRPr="00EB2C3F">
        <w:rPr>
          <w:rFonts w:ascii="Arial" w:hAnsi="Arial" w:cs="Arial"/>
          <w:i/>
          <w:sz w:val="24"/>
          <w:szCs w:val="24"/>
        </w:rPr>
        <w:t xml:space="preserve"> v </w:t>
      </w:r>
      <w:proofErr w:type="spellStart"/>
      <w:r w:rsidRPr="00EB2C3F">
        <w:rPr>
          <w:rFonts w:ascii="Arial" w:hAnsi="Arial" w:cs="Arial"/>
          <w:i/>
          <w:sz w:val="24"/>
          <w:szCs w:val="24"/>
        </w:rPr>
        <w:t>Nekwaya</w:t>
      </w:r>
      <w:proofErr w:type="spellEnd"/>
      <w:r>
        <w:rPr>
          <w:rFonts w:ascii="Arial" w:hAnsi="Arial" w:cs="Arial"/>
          <w:sz w:val="24"/>
          <w:szCs w:val="24"/>
        </w:rPr>
        <w:t xml:space="preserve"> (</w:t>
      </w:r>
      <w:r w:rsidRPr="003B77D3">
        <w:rPr>
          <w:rFonts w:ascii="Arial" w:hAnsi="Arial" w:cs="Arial"/>
          <w:i/>
          <w:sz w:val="24"/>
          <w:szCs w:val="24"/>
        </w:rPr>
        <w:t>supra</w:t>
      </w:r>
      <w:r>
        <w:rPr>
          <w:rFonts w:ascii="Arial" w:hAnsi="Arial" w:cs="Arial"/>
          <w:sz w:val="24"/>
          <w:szCs w:val="24"/>
        </w:rPr>
        <w:t>) turned on its own facts, it</w:t>
      </w:r>
      <w:r w:rsidR="002C289E">
        <w:rPr>
          <w:rFonts w:ascii="Arial" w:hAnsi="Arial" w:cs="Arial"/>
          <w:sz w:val="24"/>
          <w:szCs w:val="24"/>
        </w:rPr>
        <w:t xml:space="preserve"> has not been argued before this </w:t>
      </w:r>
      <w:r>
        <w:rPr>
          <w:rFonts w:ascii="Arial" w:hAnsi="Arial" w:cs="Arial"/>
          <w:sz w:val="24"/>
          <w:szCs w:val="24"/>
        </w:rPr>
        <w:t>court that the facts in that case are distinguishable from the facts of th</w:t>
      </w:r>
      <w:r w:rsidR="00604229">
        <w:rPr>
          <w:rFonts w:ascii="Arial" w:hAnsi="Arial" w:cs="Arial"/>
          <w:sz w:val="24"/>
          <w:szCs w:val="24"/>
        </w:rPr>
        <w:t xml:space="preserve">is </w:t>
      </w:r>
      <w:r>
        <w:rPr>
          <w:rFonts w:ascii="Arial" w:hAnsi="Arial" w:cs="Arial"/>
          <w:sz w:val="24"/>
          <w:szCs w:val="24"/>
        </w:rPr>
        <w:t>application</w:t>
      </w:r>
      <w:r w:rsidR="00604229">
        <w:rPr>
          <w:rFonts w:ascii="Arial" w:hAnsi="Arial" w:cs="Arial"/>
          <w:sz w:val="24"/>
          <w:szCs w:val="24"/>
        </w:rPr>
        <w:t>. They are not.</w:t>
      </w:r>
      <w:r>
        <w:rPr>
          <w:rFonts w:ascii="Arial" w:hAnsi="Arial" w:cs="Arial"/>
          <w:sz w:val="24"/>
          <w:szCs w:val="24"/>
        </w:rPr>
        <w:t xml:space="preserve">  Similarly, it has </w:t>
      </w:r>
      <w:r w:rsidR="00604229">
        <w:rPr>
          <w:rFonts w:ascii="Arial" w:hAnsi="Arial" w:cs="Arial"/>
          <w:sz w:val="24"/>
          <w:szCs w:val="24"/>
        </w:rPr>
        <w:t xml:space="preserve">not been argued </w:t>
      </w:r>
      <w:r>
        <w:rPr>
          <w:rFonts w:ascii="Arial" w:hAnsi="Arial" w:cs="Arial"/>
          <w:sz w:val="24"/>
          <w:szCs w:val="24"/>
        </w:rPr>
        <w:t xml:space="preserve">that there is a basis for viewing the explanation given by the applicant </w:t>
      </w:r>
      <w:r w:rsidR="008D6B94">
        <w:rPr>
          <w:rFonts w:ascii="Arial" w:hAnsi="Arial" w:cs="Arial"/>
          <w:sz w:val="24"/>
          <w:szCs w:val="24"/>
        </w:rPr>
        <w:t xml:space="preserve">differently from the view expressed by Hoff JA in </w:t>
      </w:r>
      <w:r w:rsidR="008D6B94" w:rsidRPr="008D0419">
        <w:rPr>
          <w:rFonts w:ascii="Arial" w:hAnsi="Arial" w:cs="Arial"/>
          <w:i/>
          <w:sz w:val="24"/>
          <w:szCs w:val="24"/>
        </w:rPr>
        <w:t>Standard Bank</w:t>
      </w:r>
      <w:r w:rsidR="003B77D3">
        <w:rPr>
          <w:rFonts w:ascii="Arial" w:hAnsi="Arial" w:cs="Arial"/>
          <w:i/>
          <w:sz w:val="24"/>
          <w:szCs w:val="24"/>
        </w:rPr>
        <w:t xml:space="preserve"> Namibia Limited</w:t>
      </w:r>
      <w:r w:rsidR="000A1038">
        <w:rPr>
          <w:rFonts w:ascii="Arial" w:hAnsi="Arial" w:cs="Arial"/>
          <w:i/>
          <w:sz w:val="24"/>
          <w:szCs w:val="24"/>
        </w:rPr>
        <w:t xml:space="preserve"> v </w:t>
      </w:r>
      <w:proofErr w:type="spellStart"/>
      <w:r w:rsidR="000A1038">
        <w:rPr>
          <w:rFonts w:ascii="Arial" w:hAnsi="Arial" w:cs="Arial"/>
          <w:i/>
          <w:sz w:val="24"/>
          <w:szCs w:val="24"/>
        </w:rPr>
        <w:t>Nekwaya</w:t>
      </w:r>
      <w:proofErr w:type="spellEnd"/>
      <w:r w:rsidR="003B77D3">
        <w:rPr>
          <w:rFonts w:ascii="Arial" w:hAnsi="Arial" w:cs="Arial"/>
          <w:sz w:val="24"/>
          <w:szCs w:val="24"/>
        </w:rPr>
        <w:t>.</w:t>
      </w:r>
      <w:r w:rsidR="008D6B94">
        <w:rPr>
          <w:rFonts w:ascii="Arial" w:hAnsi="Arial" w:cs="Arial"/>
          <w:sz w:val="24"/>
          <w:szCs w:val="24"/>
        </w:rPr>
        <w:t xml:space="preserve"> I </w:t>
      </w:r>
      <w:r w:rsidR="00604229">
        <w:rPr>
          <w:rFonts w:ascii="Arial" w:hAnsi="Arial" w:cs="Arial"/>
          <w:sz w:val="24"/>
          <w:szCs w:val="24"/>
        </w:rPr>
        <w:lastRenderedPageBreak/>
        <w:t>find</w:t>
      </w:r>
      <w:r w:rsidR="00942B8B">
        <w:rPr>
          <w:rFonts w:ascii="Arial" w:hAnsi="Arial" w:cs="Arial"/>
          <w:sz w:val="24"/>
          <w:szCs w:val="24"/>
        </w:rPr>
        <w:t xml:space="preserve"> no </w:t>
      </w:r>
      <w:r w:rsidR="00604229">
        <w:rPr>
          <w:rFonts w:ascii="Arial" w:hAnsi="Arial" w:cs="Arial"/>
          <w:sz w:val="24"/>
          <w:szCs w:val="24"/>
        </w:rPr>
        <w:t xml:space="preserve">such basis. I therefore </w:t>
      </w:r>
      <w:r w:rsidR="008D0419">
        <w:rPr>
          <w:rFonts w:ascii="Arial" w:hAnsi="Arial" w:cs="Arial"/>
          <w:sz w:val="24"/>
          <w:szCs w:val="24"/>
        </w:rPr>
        <w:t xml:space="preserve">do not hold a different view to that held </w:t>
      </w:r>
      <w:r w:rsidR="00452E2B">
        <w:rPr>
          <w:rFonts w:ascii="Arial" w:hAnsi="Arial" w:cs="Arial"/>
          <w:sz w:val="24"/>
          <w:szCs w:val="24"/>
        </w:rPr>
        <w:t xml:space="preserve">by this </w:t>
      </w:r>
      <w:r w:rsidR="003B77D3">
        <w:rPr>
          <w:rFonts w:ascii="Arial" w:hAnsi="Arial" w:cs="Arial"/>
          <w:sz w:val="24"/>
          <w:szCs w:val="24"/>
        </w:rPr>
        <w:t>C</w:t>
      </w:r>
      <w:r w:rsidR="00452E2B">
        <w:rPr>
          <w:rFonts w:ascii="Arial" w:hAnsi="Arial" w:cs="Arial"/>
          <w:sz w:val="24"/>
          <w:szCs w:val="24"/>
        </w:rPr>
        <w:t>ourt in</w:t>
      </w:r>
      <w:r w:rsidR="00CB58DE">
        <w:rPr>
          <w:rFonts w:ascii="Arial" w:hAnsi="Arial" w:cs="Arial"/>
          <w:sz w:val="24"/>
          <w:szCs w:val="24"/>
        </w:rPr>
        <w:t xml:space="preserve"> </w:t>
      </w:r>
      <w:r w:rsidR="00CB58DE" w:rsidRPr="00452E2B">
        <w:rPr>
          <w:rFonts w:ascii="Arial" w:hAnsi="Arial" w:cs="Arial"/>
          <w:i/>
          <w:sz w:val="24"/>
          <w:szCs w:val="24"/>
        </w:rPr>
        <w:t>Standard Bank</w:t>
      </w:r>
      <w:r w:rsidR="003B77D3">
        <w:rPr>
          <w:rFonts w:ascii="Arial" w:hAnsi="Arial" w:cs="Arial"/>
          <w:i/>
          <w:sz w:val="24"/>
          <w:szCs w:val="24"/>
        </w:rPr>
        <w:t xml:space="preserve"> Namibia Limited</w:t>
      </w:r>
      <w:r w:rsidR="000A1038">
        <w:rPr>
          <w:rFonts w:ascii="Arial" w:hAnsi="Arial" w:cs="Arial"/>
          <w:i/>
          <w:sz w:val="24"/>
          <w:szCs w:val="24"/>
        </w:rPr>
        <w:t xml:space="preserve"> v </w:t>
      </w:r>
      <w:proofErr w:type="spellStart"/>
      <w:r w:rsidR="000A1038">
        <w:rPr>
          <w:rFonts w:ascii="Arial" w:hAnsi="Arial" w:cs="Arial"/>
          <w:i/>
          <w:sz w:val="24"/>
          <w:szCs w:val="24"/>
        </w:rPr>
        <w:t>Nekwaya</w:t>
      </w:r>
      <w:proofErr w:type="spellEnd"/>
      <w:r w:rsidR="00452E2B">
        <w:rPr>
          <w:rFonts w:ascii="Arial" w:hAnsi="Arial" w:cs="Arial"/>
          <w:sz w:val="24"/>
          <w:szCs w:val="24"/>
        </w:rPr>
        <w:t>.</w:t>
      </w:r>
      <w:r w:rsidR="00CB58DE">
        <w:rPr>
          <w:rFonts w:ascii="Arial" w:hAnsi="Arial" w:cs="Arial"/>
          <w:sz w:val="24"/>
          <w:szCs w:val="24"/>
        </w:rPr>
        <w:t xml:space="preserve"> </w:t>
      </w:r>
    </w:p>
    <w:p w14:paraId="09E418F7" w14:textId="77777777" w:rsidR="00EA63FF" w:rsidRDefault="00EA63FF"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p>
    <w:p w14:paraId="65BD80B9" w14:textId="6E879CA6" w:rsidR="00EB2C3F" w:rsidRDefault="00604229"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t>[2</w:t>
      </w:r>
      <w:r w:rsidR="00620F10">
        <w:rPr>
          <w:rFonts w:ascii="Arial" w:hAnsi="Arial" w:cs="Arial"/>
          <w:sz w:val="24"/>
          <w:szCs w:val="24"/>
        </w:rPr>
        <w:t>6</w:t>
      </w:r>
      <w:r>
        <w:rPr>
          <w:rFonts w:ascii="Arial" w:hAnsi="Arial" w:cs="Arial"/>
          <w:sz w:val="24"/>
          <w:szCs w:val="24"/>
        </w:rPr>
        <w:t>]</w:t>
      </w:r>
      <w:r>
        <w:rPr>
          <w:rFonts w:ascii="Arial" w:hAnsi="Arial" w:cs="Arial"/>
          <w:sz w:val="24"/>
          <w:szCs w:val="24"/>
        </w:rPr>
        <w:tab/>
        <w:t>For the very cogent reasons given by Hoff JA, the explanation by the applicant</w:t>
      </w:r>
      <w:r w:rsidR="00EA63FF">
        <w:rPr>
          <w:rFonts w:ascii="Arial" w:hAnsi="Arial" w:cs="Arial"/>
          <w:sz w:val="24"/>
          <w:szCs w:val="24"/>
        </w:rPr>
        <w:t xml:space="preserve"> </w:t>
      </w:r>
      <w:r>
        <w:rPr>
          <w:rFonts w:ascii="Arial" w:hAnsi="Arial" w:cs="Arial"/>
          <w:sz w:val="24"/>
          <w:szCs w:val="24"/>
        </w:rPr>
        <w:t>is weak and unacceptable. It is expected that legal practitioners, simply</w:t>
      </w:r>
      <w:r w:rsidR="0003731E">
        <w:rPr>
          <w:rFonts w:ascii="Arial" w:hAnsi="Arial" w:cs="Arial"/>
          <w:sz w:val="24"/>
          <w:szCs w:val="24"/>
        </w:rPr>
        <w:t xml:space="preserve"> by</w:t>
      </w:r>
      <w:r>
        <w:rPr>
          <w:rFonts w:ascii="Arial" w:hAnsi="Arial" w:cs="Arial"/>
          <w:sz w:val="24"/>
          <w:szCs w:val="24"/>
        </w:rPr>
        <w:t xml:space="preserve"> researching, can establish the correct position of the law. </w:t>
      </w:r>
      <w:r w:rsidR="007F4AC3">
        <w:rPr>
          <w:rFonts w:ascii="Arial" w:hAnsi="Arial" w:cs="Arial"/>
          <w:sz w:val="24"/>
          <w:szCs w:val="24"/>
        </w:rPr>
        <w:t xml:space="preserve">In this instance, an assumption appears to have been made on the position of the law. No research was conducted. </w:t>
      </w:r>
      <w:r w:rsidR="00CB58DE">
        <w:rPr>
          <w:rFonts w:ascii="Arial" w:hAnsi="Arial" w:cs="Arial"/>
          <w:sz w:val="24"/>
          <w:szCs w:val="24"/>
        </w:rPr>
        <w:t>Legal practitioners are not only expected to apply themse</w:t>
      </w:r>
      <w:r w:rsidR="0013450B">
        <w:rPr>
          <w:rFonts w:ascii="Arial" w:hAnsi="Arial" w:cs="Arial"/>
          <w:sz w:val="24"/>
          <w:szCs w:val="24"/>
        </w:rPr>
        <w:t>lves with due diligence but to also</w:t>
      </w:r>
      <w:r w:rsidR="00CB58DE">
        <w:rPr>
          <w:rFonts w:ascii="Arial" w:hAnsi="Arial" w:cs="Arial"/>
          <w:sz w:val="24"/>
          <w:szCs w:val="24"/>
        </w:rPr>
        <w:t xml:space="preserve"> keep abreast </w:t>
      </w:r>
      <w:r w:rsidR="003B77D3">
        <w:rPr>
          <w:rFonts w:ascii="Arial" w:hAnsi="Arial" w:cs="Arial"/>
          <w:sz w:val="24"/>
          <w:szCs w:val="24"/>
        </w:rPr>
        <w:t>of</w:t>
      </w:r>
      <w:r w:rsidR="00CB58DE">
        <w:rPr>
          <w:rFonts w:ascii="Arial" w:hAnsi="Arial" w:cs="Arial"/>
          <w:sz w:val="24"/>
          <w:szCs w:val="24"/>
        </w:rPr>
        <w:t xml:space="preserve"> the law.</w:t>
      </w:r>
      <w:r w:rsidR="003B77D3">
        <w:rPr>
          <w:rFonts w:ascii="Arial" w:hAnsi="Arial" w:cs="Arial"/>
          <w:sz w:val="24"/>
          <w:szCs w:val="24"/>
        </w:rPr>
        <w:t xml:space="preserve"> From their </w:t>
      </w:r>
      <w:proofErr w:type="spellStart"/>
      <w:r w:rsidR="003B77D3">
        <w:rPr>
          <w:rFonts w:ascii="Arial" w:hAnsi="Arial" w:cs="Arial"/>
          <w:sz w:val="24"/>
          <w:szCs w:val="24"/>
        </w:rPr>
        <w:t>specialis</w:t>
      </w:r>
      <w:r w:rsidR="0003731E">
        <w:rPr>
          <w:rFonts w:ascii="Arial" w:hAnsi="Arial" w:cs="Arial"/>
          <w:sz w:val="24"/>
          <w:szCs w:val="24"/>
        </w:rPr>
        <w:t>ed</w:t>
      </w:r>
      <w:proofErr w:type="spellEnd"/>
      <w:r w:rsidR="0003731E">
        <w:rPr>
          <w:rFonts w:ascii="Arial" w:hAnsi="Arial" w:cs="Arial"/>
          <w:sz w:val="24"/>
          <w:szCs w:val="24"/>
        </w:rPr>
        <w:t xml:space="preserve"> </w:t>
      </w:r>
      <w:r w:rsidR="009C18A1">
        <w:rPr>
          <w:rFonts w:ascii="Arial" w:hAnsi="Arial" w:cs="Arial"/>
          <w:sz w:val="24"/>
          <w:szCs w:val="24"/>
        </w:rPr>
        <w:t>training</w:t>
      </w:r>
      <w:r w:rsidR="00032024">
        <w:rPr>
          <w:rFonts w:ascii="Arial" w:hAnsi="Arial" w:cs="Arial"/>
          <w:sz w:val="24"/>
          <w:szCs w:val="24"/>
        </w:rPr>
        <w:t xml:space="preserve"> and qualifications</w:t>
      </w:r>
      <w:r w:rsidR="009C18A1">
        <w:rPr>
          <w:rFonts w:ascii="Arial" w:hAnsi="Arial" w:cs="Arial"/>
          <w:sz w:val="24"/>
          <w:szCs w:val="24"/>
        </w:rPr>
        <w:t>, they</w:t>
      </w:r>
      <w:r w:rsidR="0003731E">
        <w:rPr>
          <w:rFonts w:ascii="Arial" w:hAnsi="Arial" w:cs="Arial"/>
          <w:sz w:val="24"/>
          <w:szCs w:val="24"/>
        </w:rPr>
        <w:t xml:space="preserve"> </w:t>
      </w:r>
      <w:r w:rsidR="0062088B">
        <w:rPr>
          <w:rFonts w:ascii="Arial" w:hAnsi="Arial" w:cs="Arial"/>
          <w:sz w:val="24"/>
          <w:szCs w:val="24"/>
        </w:rPr>
        <w:t xml:space="preserve">are expected by both the courts </w:t>
      </w:r>
      <w:r w:rsidR="0003731E">
        <w:rPr>
          <w:rFonts w:ascii="Arial" w:hAnsi="Arial" w:cs="Arial"/>
          <w:sz w:val="24"/>
          <w:szCs w:val="24"/>
        </w:rPr>
        <w:t>and the public which they serve, to know the law and where they do n</w:t>
      </w:r>
      <w:r w:rsidR="0062088B">
        <w:rPr>
          <w:rFonts w:ascii="Arial" w:hAnsi="Arial" w:cs="Arial"/>
          <w:sz w:val="24"/>
          <w:szCs w:val="24"/>
        </w:rPr>
        <w:t xml:space="preserve">ot, to </w:t>
      </w:r>
      <w:r w:rsidR="0003731E">
        <w:rPr>
          <w:rFonts w:ascii="Arial" w:hAnsi="Arial" w:cs="Arial"/>
          <w:sz w:val="24"/>
          <w:szCs w:val="24"/>
        </w:rPr>
        <w:t xml:space="preserve">at least </w:t>
      </w:r>
      <w:r w:rsidR="0062088B">
        <w:rPr>
          <w:rFonts w:ascii="Arial" w:hAnsi="Arial" w:cs="Arial"/>
          <w:sz w:val="24"/>
          <w:szCs w:val="24"/>
        </w:rPr>
        <w:t xml:space="preserve">know where and how to find the law. To hold otherwise </w:t>
      </w:r>
      <w:r w:rsidR="00032024">
        <w:rPr>
          <w:rFonts w:ascii="Arial" w:hAnsi="Arial" w:cs="Arial"/>
          <w:sz w:val="24"/>
          <w:szCs w:val="24"/>
        </w:rPr>
        <w:t>would</w:t>
      </w:r>
      <w:r w:rsidR="00501D58">
        <w:rPr>
          <w:rFonts w:ascii="Arial" w:hAnsi="Arial" w:cs="Arial"/>
          <w:sz w:val="24"/>
          <w:szCs w:val="24"/>
        </w:rPr>
        <w:t xml:space="preserve"> be to </w:t>
      </w:r>
      <w:r w:rsidR="0062088B">
        <w:rPr>
          <w:rFonts w:ascii="Arial" w:hAnsi="Arial" w:cs="Arial"/>
          <w:sz w:val="24"/>
          <w:szCs w:val="24"/>
        </w:rPr>
        <w:t xml:space="preserve">negate the </w:t>
      </w:r>
      <w:r w:rsidR="00032024">
        <w:rPr>
          <w:rFonts w:ascii="Arial" w:hAnsi="Arial" w:cs="Arial"/>
          <w:sz w:val="24"/>
          <w:szCs w:val="24"/>
        </w:rPr>
        <w:t>very</w:t>
      </w:r>
      <w:r w:rsidR="0062088B">
        <w:rPr>
          <w:rFonts w:ascii="Arial" w:hAnsi="Arial" w:cs="Arial"/>
          <w:sz w:val="24"/>
          <w:szCs w:val="24"/>
        </w:rPr>
        <w:t xml:space="preserve"> basis upon which the </w:t>
      </w:r>
      <w:r w:rsidR="00501D58">
        <w:rPr>
          <w:rFonts w:ascii="Arial" w:hAnsi="Arial" w:cs="Arial"/>
          <w:sz w:val="24"/>
          <w:szCs w:val="24"/>
        </w:rPr>
        <w:t xml:space="preserve">legal </w:t>
      </w:r>
      <w:r w:rsidR="0062088B">
        <w:rPr>
          <w:rFonts w:ascii="Arial" w:hAnsi="Arial" w:cs="Arial"/>
          <w:sz w:val="24"/>
          <w:szCs w:val="24"/>
        </w:rPr>
        <w:t xml:space="preserve">profession is founded. </w:t>
      </w:r>
      <w:r w:rsidR="00032024">
        <w:rPr>
          <w:rFonts w:ascii="Arial" w:hAnsi="Arial" w:cs="Arial"/>
          <w:sz w:val="24"/>
          <w:szCs w:val="24"/>
        </w:rPr>
        <w:t xml:space="preserve"> </w:t>
      </w:r>
      <w:r w:rsidR="00CB58DE">
        <w:rPr>
          <w:rFonts w:ascii="Arial" w:hAnsi="Arial" w:cs="Arial"/>
          <w:sz w:val="24"/>
          <w:szCs w:val="24"/>
        </w:rPr>
        <w:t xml:space="preserve">I make this observation notwithstanding the </w:t>
      </w:r>
      <w:r w:rsidR="000E3C0E">
        <w:rPr>
          <w:rFonts w:ascii="Arial" w:hAnsi="Arial" w:cs="Arial"/>
          <w:sz w:val="24"/>
          <w:szCs w:val="24"/>
        </w:rPr>
        <w:t xml:space="preserve">detailed </w:t>
      </w:r>
      <w:r w:rsidR="00CB58DE">
        <w:rPr>
          <w:rFonts w:ascii="Arial" w:hAnsi="Arial" w:cs="Arial"/>
          <w:sz w:val="24"/>
          <w:szCs w:val="24"/>
        </w:rPr>
        <w:t>explanation given by counsel</w:t>
      </w:r>
      <w:r w:rsidR="0062088B">
        <w:rPr>
          <w:rFonts w:ascii="Arial" w:hAnsi="Arial" w:cs="Arial"/>
          <w:sz w:val="24"/>
          <w:szCs w:val="24"/>
        </w:rPr>
        <w:t xml:space="preserve"> for the applicant </w:t>
      </w:r>
      <w:r w:rsidR="000E3C0E">
        <w:rPr>
          <w:rFonts w:ascii="Arial" w:hAnsi="Arial" w:cs="Arial"/>
          <w:sz w:val="24"/>
          <w:szCs w:val="24"/>
        </w:rPr>
        <w:t>as to how he came to entertain the wrong view of the law.</w:t>
      </w:r>
      <w:r w:rsidR="000B6524">
        <w:rPr>
          <w:rFonts w:ascii="Arial" w:hAnsi="Arial" w:cs="Arial"/>
          <w:sz w:val="24"/>
          <w:szCs w:val="24"/>
        </w:rPr>
        <w:t xml:space="preserve"> The detailed explanation may have held sway if there was some uncertainty </w:t>
      </w:r>
      <w:r w:rsidR="00E436D2">
        <w:rPr>
          <w:rFonts w:ascii="Arial" w:hAnsi="Arial" w:cs="Arial"/>
          <w:sz w:val="24"/>
          <w:szCs w:val="24"/>
        </w:rPr>
        <w:t>surrounding</w:t>
      </w:r>
      <w:r w:rsidR="000B6524">
        <w:rPr>
          <w:rFonts w:ascii="Arial" w:hAnsi="Arial" w:cs="Arial"/>
          <w:sz w:val="24"/>
          <w:szCs w:val="24"/>
        </w:rPr>
        <w:t xml:space="preserve"> the point of law</w:t>
      </w:r>
      <w:r w:rsidR="00E436D2">
        <w:rPr>
          <w:rFonts w:ascii="Arial" w:hAnsi="Arial" w:cs="Arial"/>
          <w:sz w:val="24"/>
          <w:szCs w:val="24"/>
        </w:rPr>
        <w:t xml:space="preserve"> in this jurisdiction</w:t>
      </w:r>
      <w:r w:rsidR="000B6524">
        <w:rPr>
          <w:rFonts w:ascii="Arial" w:hAnsi="Arial" w:cs="Arial"/>
          <w:sz w:val="24"/>
          <w:szCs w:val="24"/>
        </w:rPr>
        <w:t xml:space="preserve">. </w:t>
      </w:r>
      <w:r w:rsidR="008D6B94">
        <w:rPr>
          <w:rFonts w:ascii="Arial" w:hAnsi="Arial" w:cs="Arial"/>
          <w:sz w:val="24"/>
          <w:szCs w:val="24"/>
        </w:rPr>
        <w:t xml:space="preserve">As correctly submitted by the respondent, there is no </w:t>
      </w:r>
      <w:r w:rsidR="00E436D2">
        <w:rPr>
          <w:rFonts w:ascii="Arial" w:hAnsi="Arial" w:cs="Arial"/>
          <w:sz w:val="24"/>
          <w:szCs w:val="24"/>
        </w:rPr>
        <w:t xml:space="preserve">uncertainty </w:t>
      </w:r>
      <w:r w:rsidR="008D6B94">
        <w:rPr>
          <w:rFonts w:ascii="Arial" w:hAnsi="Arial" w:cs="Arial"/>
          <w:sz w:val="24"/>
          <w:szCs w:val="24"/>
        </w:rPr>
        <w:t xml:space="preserve">on the fact that an </w:t>
      </w:r>
      <w:r w:rsidR="00495382">
        <w:rPr>
          <w:rFonts w:ascii="Arial" w:hAnsi="Arial" w:cs="Arial"/>
          <w:sz w:val="24"/>
          <w:szCs w:val="24"/>
        </w:rPr>
        <w:t>order granting absolution</w:t>
      </w:r>
      <w:r w:rsidR="008D6B94">
        <w:rPr>
          <w:rFonts w:ascii="Arial" w:hAnsi="Arial" w:cs="Arial"/>
          <w:sz w:val="24"/>
          <w:szCs w:val="24"/>
        </w:rPr>
        <w:t xml:space="preserve"> is appealable </w:t>
      </w:r>
      <w:r w:rsidR="00942B8B">
        <w:rPr>
          <w:rFonts w:ascii="Arial" w:hAnsi="Arial" w:cs="Arial"/>
          <w:sz w:val="24"/>
          <w:szCs w:val="24"/>
        </w:rPr>
        <w:t xml:space="preserve">and there was no </w:t>
      </w:r>
      <w:r w:rsidR="00E436D2">
        <w:rPr>
          <w:rFonts w:ascii="Arial" w:hAnsi="Arial" w:cs="Arial"/>
          <w:sz w:val="24"/>
          <w:szCs w:val="24"/>
        </w:rPr>
        <w:t>such</w:t>
      </w:r>
      <w:r w:rsidR="003B77D3">
        <w:rPr>
          <w:rFonts w:ascii="Arial" w:hAnsi="Arial" w:cs="Arial"/>
          <w:sz w:val="24"/>
          <w:szCs w:val="24"/>
        </w:rPr>
        <w:t xml:space="preserve"> uncertainty</w:t>
      </w:r>
      <w:r w:rsidR="00E436D2">
        <w:rPr>
          <w:rFonts w:ascii="Arial" w:hAnsi="Arial" w:cs="Arial"/>
          <w:sz w:val="24"/>
          <w:szCs w:val="24"/>
        </w:rPr>
        <w:t xml:space="preserve"> </w:t>
      </w:r>
      <w:r w:rsidR="00942B8B">
        <w:rPr>
          <w:rFonts w:ascii="Arial" w:hAnsi="Arial" w:cs="Arial"/>
          <w:sz w:val="24"/>
          <w:szCs w:val="24"/>
        </w:rPr>
        <w:t>at the time that the applicant had to act</w:t>
      </w:r>
      <w:r w:rsidR="000B6524">
        <w:rPr>
          <w:rFonts w:ascii="Arial" w:hAnsi="Arial" w:cs="Arial"/>
          <w:sz w:val="24"/>
          <w:szCs w:val="24"/>
        </w:rPr>
        <w:t xml:space="preserve">. It is a settled position in </w:t>
      </w:r>
      <w:r w:rsidR="00942B8B">
        <w:rPr>
          <w:rFonts w:ascii="Arial" w:hAnsi="Arial" w:cs="Arial"/>
          <w:sz w:val="24"/>
          <w:szCs w:val="24"/>
        </w:rPr>
        <w:t xml:space="preserve">this </w:t>
      </w:r>
      <w:r w:rsidR="000B6524">
        <w:rPr>
          <w:rFonts w:ascii="Arial" w:hAnsi="Arial" w:cs="Arial"/>
          <w:sz w:val="24"/>
          <w:szCs w:val="24"/>
        </w:rPr>
        <w:t>jurisdiction that an appeal lies</w:t>
      </w:r>
      <w:r w:rsidR="00E436D2">
        <w:rPr>
          <w:rFonts w:ascii="Arial" w:hAnsi="Arial" w:cs="Arial"/>
          <w:sz w:val="24"/>
          <w:szCs w:val="24"/>
        </w:rPr>
        <w:t xml:space="preserve"> as</w:t>
      </w:r>
      <w:r w:rsidR="000B6524">
        <w:rPr>
          <w:rFonts w:ascii="Arial" w:hAnsi="Arial" w:cs="Arial"/>
          <w:sz w:val="24"/>
          <w:szCs w:val="24"/>
        </w:rPr>
        <w:t xml:space="preserve"> of right against an </w:t>
      </w:r>
      <w:r w:rsidR="00495382">
        <w:rPr>
          <w:rFonts w:ascii="Arial" w:hAnsi="Arial" w:cs="Arial"/>
          <w:sz w:val="24"/>
          <w:szCs w:val="24"/>
        </w:rPr>
        <w:t>order granting absolution</w:t>
      </w:r>
      <w:r w:rsidR="000B6524">
        <w:rPr>
          <w:rFonts w:ascii="Arial" w:hAnsi="Arial" w:cs="Arial"/>
          <w:sz w:val="24"/>
          <w:szCs w:val="24"/>
        </w:rPr>
        <w:t xml:space="preserve"> </w:t>
      </w:r>
      <w:r w:rsidR="00452E2B">
        <w:rPr>
          <w:rFonts w:ascii="Arial" w:hAnsi="Arial" w:cs="Arial"/>
          <w:sz w:val="24"/>
          <w:szCs w:val="24"/>
        </w:rPr>
        <w:t>fro</w:t>
      </w:r>
      <w:r w:rsidR="00E436D2">
        <w:rPr>
          <w:rFonts w:ascii="Arial" w:hAnsi="Arial" w:cs="Arial"/>
          <w:sz w:val="24"/>
          <w:szCs w:val="24"/>
        </w:rPr>
        <w:t xml:space="preserve">m the instance. This is so because </w:t>
      </w:r>
      <w:r w:rsidR="000B6524">
        <w:rPr>
          <w:rFonts w:ascii="Arial" w:hAnsi="Arial" w:cs="Arial"/>
          <w:sz w:val="24"/>
          <w:szCs w:val="24"/>
        </w:rPr>
        <w:t>such an order is final in effect and has the effect of disposing of the entire claim before the court.</w:t>
      </w:r>
      <w:r w:rsidR="007F4AC3">
        <w:rPr>
          <w:rFonts w:ascii="Arial" w:hAnsi="Arial" w:cs="Arial"/>
          <w:sz w:val="24"/>
          <w:szCs w:val="24"/>
        </w:rPr>
        <w:t xml:space="preserve"> </w:t>
      </w:r>
    </w:p>
    <w:p w14:paraId="08280ACE" w14:textId="77777777" w:rsidR="00C44C84" w:rsidRDefault="00C44C84"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p>
    <w:p w14:paraId="170CCC35" w14:textId="129A3A61" w:rsidR="008D6B94" w:rsidRDefault="00452E2B" w:rsidP="003B77D3">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lastRenderedPageBreak/>
        <w:t>[2</w:t>
      </w:r>
      <w:r w:rsidR="00620F10">
        <w:rPr>
          <w:rFonts w:ascii="Arial" w:hAnsi="Arial" w:cs="Arial"/>
          <w:sz w:val="24"/>
          <w:szCs w:val="24"/>
        </w:rPr>
        <w:t>7</w:t>
      </w:r>
      <w:r>
        <w:rPr>
          <w:rFonts w:ascii="Arial" w:hAnsi="Arial" w:cs="Arial"/>
          <w:sz w:val="24"/>
          <w:szCs w:val="24"/>
        </w:rPr>
        <w:t>]</w:t>
      </w:r>
      <w:r>
        <w:rPr>
          <w:rFonts w:ascii="Arial" w:hAnsi="Arial" w:cs="Arial"/>
          <w:sz w:val="24"/>
          <w:szCs w:val="24"/>
        </w:rPr>
        <w:tab/>
      </w:r>
      <w:r w:rsidR="002A7739">
        <w:rPr>
          <w:rFonts w:ascii="Arial" w:hAnsi="Arial" w:cs="Arial"/>
          <w:sz w:val="24"/>
          <w:szCs w:val="24"/>
        </w:rPr>
        <w:t>F</w:t>
      </w:r>
      <w:r w:rsidR="008D6B94">
        <w:rPr>
          <w:rFonts w:ascii="Arial" w:hAnsi="Arial" w:cs="Arial"/>
          <w:sz w:val="24"/>
          <w:szCs w:val="24"/>
        </w:rPr>
        <w:t>or th</w:t>
      </w:r>
      <w:r w:rsidR="002A7739">
        <w:rPr>
          <w:rFonts w:ascii="Arial" w:hAnsi="Arial" w:cs="Arial"/>
          <w:sz w:val="24"/>
          <w:szCs w:val="24"/>
        </w:rPr>
        <w:t>e avoidance</w:t>
      </w:r>
      <w:r w:rsidR="008D0419">
        <w:rPr>
          <w:rFonts w:ascii="Arial" w:hAnsi="Arial" w:cs="Arial"/>
          <w:sz w:val="24"/>
          <w:szCs w:val="24"/>
        </w:rPr>
        <w:t xml:space="preserve"> of doubt</w:t>
      </w:r>
      <w:r w:rsidR="002A7739">
        <w:rPr>
          <w:rFonts w:ascii="Arial" w:hAnsi="Arial" w:cs="Arial"/>
          <w:sz w:val="24"/>
          <w:szCs w:val="24"/>
        </w:rPr>
        <w:t>, an order granting absolution from the instance is appealable as of right.</w:t>
      </w:r>
      <w:r w:rsidR="00042A8D">
        <w:rPr>
          <w:rFonts w:ascii="Arial" w:hAnsi="Arial" w:cs="Arial"/>
          <w:sz w:val="24"/>
          <w:szCs w:val="24"/>
        </w:rPr>
        <w:t xml:space="preserve"> </w:t>
      </w:r>
      <w:r w:rsidR="008D0419">
        <w:rPr>
          <w:rFonts w:ascii="Arial" w:hAnsi="Arial" w:cs="Arial"/>
          <w:sz w:val="24"/>
          <w:szCs w:val="24"/>
        </w:rPr>
        <w:t xml:space="preserve">It has been so </w:t>
      </w:r>
      <w:proofErr w:type="gramStart"/>
      <w:r w:rsidR="008D0419">
        <w:rPr>
          <w:rFonts w:ascii="Arial" w:hAnsi="Arial" w:cs="Arial"/>
          <w:sz w:val="24"/>
          <w:szCs w:val="24"/>
        </w:rPr>
        <w:t>appealable</w:t>
      </w:r>
      <w:proofErr w:type="gramEnd"/>
      <w:r w:rsidR="008D0419">
        <w:rPr>
          <w:rFonts w:ascii="Arial" w:hAnsi="Arial" w:cs="Arial"/>
          <w:sz w:val="24"/>
          <w:szCs w:val="24"/>
        </w:rPr>
        <w:t xml:space="preserve"> for the past one hundred years as correctly submitted by counsel for the respondent. </w:t>
      </w:r>
      <w:r w:rsidR="00042A8D">
        <w:rPr>
          <w:rFonts w:ascii="Arial" w:hAnsi="Arial" w:cs="Arial"/>
          <w:sz w:val="24"/>
          <w:szCs w:val="24"/>
        </w:rPr>
        <w:t>Th</w:t>
      </w:r>
      <w:r w:rsidR="008D0419">
        <w:rPr>
          <w:rFonts w:ascii="Arial" w:hAnsi="Arial" w:cs="Arial"/>
          <w:sz w:val="24"/>
          <w:szCs w:val="24"/>
        </w:rPr>
        <w:t xml:space="preserve">e basis of the legal position was explained by </w:t>
      </w:r>
      <w:r w:rsidR="00E12058">
        <w:rPr>
          <w:rFonts w:ascii="Arial" w:hAnsi="Arial" w:cs="Arial"/>
          <w:sz w:val="24"/>
          <w:szCs w:val="24"/>
        </w:rPr>
        <w:t xml:space="preserve">Lord </w:t>
      </w:r>
      <w:r w:rsidR="008D0419">
        <w:rPr>
          <w:rFonts w:ascii="Arial" w:hAnsi="Arial" w:cs="Arial"/>
          <w:sz w:val="24"/>
          <w:szCs w:val="24"/>
        </w:rPr>
        <w:t xml:space="preserve">De Villiers CJ in </w:t>
      </w:r>
      <w:r w:rsidR="008D0419" w:rsidRPr="008D0419">
        <w:rPr>
          <w:rFonts w:ascii="Arial" w:hAnsi="Arial" w:cs="Arial"/>
          <w:i/>
          <w:sz w:val="24"/>
          <w:szCs w:val="24"/>
        </w:rPr>
        <w:t>Steytler NO v Fitzgerald</w:t>
      </w:r>
      <w:r w:rsidR="009406ED">
        <w:rPr>
          <w:rStyle w:val="FootnoteReference"/>
          <w:rFonts w:ascii="Arial" w:hAnsi="Arial" w:cs="Arial"/>
          <w:i/>
          <w:sz w:val="24"/>
          <w:szCs w:val="24"/>
        </w:rPr>
        <w:footnoteReference w:id="8"/>
      </w:r>
      <w:r w:rsidR="008D0419">
        <w:rPr>
          <w:rFonts w:ascii="Arial" w:hAnsi="Arial" w:cs="Arial"/>
          <w:sz w:val="24"/>
          <w:szCs w:val="24"/>
        </w:rPr>
        <w:t xml:space="preserve"> 1911 AD 295 at 304 as follows:</w:t>
      </w:r>
    </w:p>
    <w:p w14:paraId="2EF95990" w14:textId="77777777" w:rsidR="003B77D3" w:rsidRDefault="003B77D3" w:rsidP="003B77D3">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p>
    <w:p w14:paraId="682817D0" w14:textId="16E45B16" w:rsidR="00E12058" w:rsidRDefault="00C44C84" w:rsidP="00C939E7">
      <w:pPr>
        <w:tabs>
          <w:tab w:val="left" w:pos="720"/>
          <w:tab w:val="left" w:pos="1440"/>
          <w:tab w:val="left" w:pos="2160"/>
          <w:tab w:val="left" w:pos="2880"/>
          <w:tab w:val="left" w:pos="3600"/>
          <w:tab w:val="left" w:pos="4320"/>
          <w:tab w:val="left" w:pos="5040"/>
          <w:tab w:val="left" w:pos="5760"/>
          <w:tab w:val="left" w:pos="6480"/>
          <w:tab w:val="left" w:pos="8306"/>
        </w:tabs>
        <w:spacing w:after="0" w:line="360" w:lineRule="auto"/>
        <w:ind w:left="720"/>
        <w:jc w:val="both"/>
        <w:rPr>
          <w:rFonts w:ascii="Arial" w:hAnsi="Arial" w:cs="Arial"/>
        </w:rPr>
      </w:pPr>
      <w:r>
        <w:rPr>
          <w:rFonts w:ascii="Arial" w:hAnsi="Arial" w:cs="Arial"/>
        </w:rPr>
        <w:t>‘</w:t>
      </w:r>
      <w:r w:rsidR="003712DA" w:rsidRPr="00452E2B">
        <w:rPr>
          <w:rFonts w:ascii="Arial" w:hAnsi="Arial" w:cs="Arial"/>
        </w:rPr>
        <w:t xml:space="preserve">The test would be simplified and not be less sound if put in this way: Whether on the </w:t>
      </w:r>
      <w:proofErr w:type="gramStart"/>
      <w:r w:rsidR="003712DA" w:rsidRPr="00452E2B">
        <w:rPr>
          <w:rFonts w:ascii="Arial" w:hAnsi="Arial" w:cs="Arial"/>
        </w:rPr>
        <w:t>particular point</w:t>
      </w:r>
      <w:proofErr w:type="gramEnd"/>
      <w:r w:rsidR="003712DA" w:rsidRPr="00452E2B">
        <w:rPr>
          <w:rFonts w:ascii="Arial" w:hAnsi="Arial" w:cs="Arial"/>
        </w:rPr>
        <w:t xml:space="preserve"> in respect of which the order is made the final word has been spoken in the suit, or whether in the ordinary course of the same suit, the final</w:t>
      </w:r>
      <w:r w:rsidR="00232DF7">
        <w:rPr>
          <w:rFonts w:ascii="Arial" w:hAnsi="Arial" w:cs="Arial"/>
        </w:rPr>
        <w:t xml:space="preserve"> word</w:t>
      </w:r>
      <w:r w:rsidR="003712DA" w:rsidRPr="00452E2B">
        <w:rPr>
          <w:rFonts w:ascii="Arial" w:hAnsi="Arial" w:cs="Arial"/>
        </w:rPr>
        <w:t xml:space="preserve"> has still to be spoken.  T</w:t>
      </w:r>
      <w:r w:rsidR="008D0419" w:rsidRPr="00452E2B">
        <w:rPr>
          <w:rFonts w:ascii="Arial" w:hAnsi="Arial" w:cs="Arial"/>
        </w:rPr>
        <w:t>ake the case of absolution from the instance. It is classified by Voet (42</w:t>
      </w:r>
      <w:r w:rsidR="00232DF7">
        <w:rPr>
          <w:rFonts w:ascii="Arial" w:hAnsi="Arial" w:cs="Arial"/>
        </w:rPr>
        <w:t xml:space="preserve">, </w:t>
      </w:r>
      <w:r w:rsidR="008D0419" w:rsidRPr="00452E2B">
        <w:rPr>
          <w:rFonts w:ascii="Arial" w:hAnsi="Arial" w:cs="Arial"/>
        </w:rPr>
        <w:t>1</w:t>
      </w:r>
      <w:r w:rsidR="00232DF7">
        <w:rPr>
          <w:rFonts w:ascii="Arial" w:hAnsi="Arial" w:cs="Arial"/>
        </w:rPr>
        <w:t>,</w:t>
      </w:r>
      <w:r w:rsidR="008D0419" w:rsidRPr="00452E2B">
        <w:rPr>
          <w:rFonts w:ascii="Arial" w:hAnsi="Arial" w:cs="Arial"/>
        </w:rPr>
        <w:t>5</w:t>
      </w:r>
      <w:r w:rsidR="00232DF7">
        <w:rPr>
          <w:rFonts w:ascii="Arial" w:hAnsi="Arial" w:cs="Arial"/>
        </w:rPr>
        <w:t>)</w:t>
      </w:r>
      <w:r w:rsidR="008D0419" w:rsidRPr="00452E2B">
        <w:rPr>
          <w:rFonts w:ascii="Arial" w:hAnsi="Arial" w:cs="Arial"/>
        </w:rPr>
        <w:t xml:space="preserve"> among interlocutory sentences, but </w:t>
      </w:r>
      <w:r w:rsidR="00F328F8" w:rsidRPr="00452E2B">
        <w:rPr>
          <w:rFonts w:ascii="Arial" w:hAnsi="Arial" w:cs="Arial"/>
        </w:rPr>
        <w:t xml:space="preserve">has the force of a definitive sentence in as </w:t>
      </w:r>
      <w:proofErr w:type="gramStart"/>
      <w:r w:rsidR="00F328F8" w:rsidRPr="00452E2B">
        <w:rPr>
          <w:rFonts w:ascii="Arial" w:hAnsi="Arial" w:cs="Arial"/>
        </w:rPr>
        <w:t>much  as</w:t>
      </w:r>
      <w:proofErr w:type="gramEnd"/>
      <w:r w:rsidR="00F328F8" w:rsidRPr="00452E2B">
        <w:rPr>
          <w:rFonts w:ascii="Arial" w:hAnsi="Arial" w:cs="Arial"/>
        </w:rPr>
        <w:t xml:space="preserve"> by our practice the particular suit in which it has been pronounced is ended, and a fresh suit is necessary to enable the plaintiff again to proceed against the same defendant. It has accordingly been frequently held in our courts that a judgment of absolution from the instance may be appealed against</w:t>
      </w:r>
      <w:r>
        <w:rPr>
          <w:rFonts w:ascii="Arial" w:hAnsi="Arial" w:cs="Arial"/>
        </w:rPr>
        <w:t xml:space="preserve"> . . . i</w:t>
      </w:r>
      <w:r w:rsidR="003712DA" w:rsidRPr="00452E2B">
        <w:rPr>
          <w:rFonts w:ascii="Arial" w:hAnsi="Arial" w:cs="Arial"/>
        </w:rPr>
        <w:t xml:space="preserve">t would be different, however, where a Court refuses to grant absolution from the instance on the application of the defendant. Such a refusal is purely interlocutory and has not the effect of a definitive sentence </w:t>
      </w:r>
      <w:proofErr w:type="gramStart"/>
      <w:r w:rsidR="003712DA" w:rsidRPr="00452E2B">
        <w:rPr>
          <w:rFonts w:ascii="Arial" w:hAnsi="Arial" w:cs="Arial"/>
        </w:rPr>
        <w:t>inasmuch as</w:t>
      </w:r>
      <w:proofErr w:type="gramEnd"/>
      <w:r w:rsidR="003712DA" w:rsidRPr="00452E2B">
        <w:rPr>
          <w:rFonts w:ascii="Arial" w:hAnsi="Arial" w:cs="Arial"/>
        </w:rPr>
        <w:t xml:space="preserve"> the final word in that suit has still to be spoken. The court, having decided that the suit should take its ordinary course and not be put to an end by absolution the questions at issue remain open until final judgment.</w:t>
      </w:r>
      <w:r w:rsidR="00C939E7">
        <w:rPr>
          <w:rFonts w:ascii="Arial" w:hAnsi="Arial" w:cs="Arial"/>
        </w:rPr>
        <w:t>’</w:t>
      </w:r>
      <w:r w:rsidR="00F328F8" w:rsidRPr="00452E2B">
        <w:rPr>
          <w:rFonts w:ascii="Arial" w:hAnsi="Arial" w:cs="Arial"/>
        </w:rPr>
        <w:t xml:space="preserve"> </w:t>
      </w:r>
    </w:p>
    <w:p w14:paraId="729A78F5" w14:textId="77777777" w:rsidR="00452E2B" w:rsidRPr="00C44C84" w:rsidRDefault="00452E2B" w:rsidP="00C939E7">
      <w:pPr>
        <w:tabs>
          <w:tab w:val="left" w:pos="720"/>
          <w:tab w:val="left" w:pos="1440"/>
          <w:tab w:val="left" w:pos="2160"/>
          <w:tab w:val="left" w:pos="2880"/>
          <w:tab w:val="left" w:pos="3600"/>
          <w:tab w:val="left" w:pos="4320"/>
          <w:tab w:val="left" w:pos="5040"/>
          <w:tab w:val="left" w:pos="5760"/>
          <w:tab w:val="left" w:pos="6480"/>
          <w:tab w:val="left" w:pos="8306"/>
        </w:tabs>
        <w:spacing w:line="480" w:lineRule="auto"/>
        <w:ind w:left="720"/>
        <w:jc w:val="both"/>
        <w:rPr>
          <w:rFonts w:ascii="Arial" w:hAnsi="Arial" w:cs="Arial"/>
          <w:sz w:val="24"/>
          <w:szCs w:val="24"/>
        </w:rPr>
      </w:pPr>
    </w:p>
    <w:p w14:paraId="3FE34A6D" w14:textId="3E5FC2D3" w:rsidR="00C44C84" w:rsidRDefault="00D6381C"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t>[2</w:t>
      </w:r>
      <w:r w:rsidR="00620F10">
        <w:rPr>
          <w:rFonts w:ascii="Arial" w:hAnsi="Arial" w:cs="Arial"/>
          <w:sz w:val="24"/>
          <w:szCs w:val="24"/>
        </w:rPr>
        <w:t>8</w:t>
      </w:r>
      <w:r w:rsidR="00363A31">
        <w:rPr>
          <w:rFonts w:ascii="Arial" w:hAnsi="Arial" w:cs="Arial"/>
          <w:sz w:val="24"/>
          <w:szCs w:val="24"/>
        </w:rPr>
        <w:t>]</w:t>
      </w:r>
      <w:r w:rsidR="00363A31">
        <w:rPr>
          <w:rFonts w:ascii="Arial" w:hAnsi="Arial" w:cs="Arial"/>
          <w:sz w:val="24"/>
          <w:szCs w:val="24"/>
        </w:rPr>
        <w:tab/>
        <w:t xml:space="preserve"> T</w:t>
      </w:r>
      <w:r w:rsidR="000D2D1F">
        <w:rPr>
          <w:rFonts w:ascii="Arial" w:hAnsi="Arial" w:cs="Arial"/>
          <w:sz w:val="24"/>
          <w:szCs w:val="24"/>
        </w:rPr>
        <w:t xml:space="preserve">he position of the law as pronounced above has been followed in this jurisdiction </w:t>
      </w:r>
      <w:r w:rsidR="00363A31">
        <w:rPr>
          <w:rFonts w:ascii="Arial" w:hAnsi="Arial" w:cs="Arial"/>
          <w:sz w:val="24"/>
          <w:szCs w:val="24"/>
        </w:rPr>
        <w:t>in the cases of</w:t>
      </w:r>
      <w:r w:rsidR="003B77D3">
        <w:rPr>
          <w:rFonts w:ascii="Arial" w:hAnsi="Arial" w:cs="Arial"/>
          <w:sz w:val="24"/>
          <w:szCs w:val="24"/>
        </w:rPr>
        <w:t xml:space="preserve"> </w:t>
      </w:r>
      <w:r w:rsidR="00452E2B">
        <w:rPr>
          <w:rFonts w:ascii="Arial" w:hAnsi="Arial" w:cs="Arial"/>
          <w:i/>
          <w:sz w:val="24"/>
          <w:szCs w:val="24"/>
        </w:rPr>
        <w:t>Kaese v Schacht &amp; another</w:t>
      </w:r>
      <w:r w:rsidR="00640FAE" w:rsidRPr="00640FAE">
        <w:rPr>
          <w:rStyle w:val="FootnoteReference"/>
          <w:rFonts w:ascii="Arial" w:hAnsi="Arial" w:cs="Arial"/>
          <w:sz w:val="24"/>
          <w:szCs w:val="24"/>
        </w:rPr>
        <w:footnoteReference w:id="9"/>
      </w:r>
      <w:r w:rsidR="00363A31">
        <w:rPr>
          <w:rFonts w:ascii="Arial" w:hAnsi="Arial" w:cs="Arial"/>
          <w:sz w:val="24"/>
          <w:szCs w:val="24"/>
        </w:rPr>
        <w:t xml:space="preserve"> and </w:t>
      </w:r>
      <w:r w:rsidR="00452E2B">
        <w:rPr>
          <w:rFonts w:ascii="Arial" w:hAnsi="Arial" w:cs="Arial"/>
          <w:i/>
          <w:sz w:val="24"/>
          <w:szCs w:val="24"/>
        </w:rPr>
        <w:t>Stier &amp; a</w:t>
      </w:r>
      <w:r w:rsidR="00363A31" w:rsidRPr="00363A31">
        <w:rPr>
          <w:rFonts w:ascii="Arial" w:hAnsi="Arial" w:cs="Arial"/>
          <w:i/>
          <w:sz w:val="24"/>
          <w:szCs w:val="24"/>
        </w:rPr>
        <w:t>nother v Henke</w:t>
      </w:r>
      <w:r w:rsidR="00640FAE" w:rsidRPr="00640FAE">
        <w:rPr>
          <w:rStyle w:val="FootnoteReference"/>
          <w:rFonts w:ascii="Arial" w:hAnsi="Arial" w:cs="Arial"/>
          <w:sz w:val="24"/>
          <w:szCs w:val="24"/>
        </w:rPr>
        <w:footnoteReference w:id="10"/>
      </w:r>
      <w:r w:rsidR="00363A31" w:rsidRPr="00640FAE">
        <w:rPr>
          <w:rFonts w:ascii="Arial" w:hAnsi="Arial" w:cs="Arial"/>
          <w:sz w:val="24"/>
          <w:szCs w:val="24"/>
        </w:rPr>
        <w:t xml:space="preserve"> </w:t>
      </w:r>
      <w:r w:rsidR="00363A31">
        <w:rPr>
          <w:rFonts w:ascii="Arial" w:hAnsi="Arial" w:cs="Arial"/>
          <w:sz w:val="24"/>
          <w:szCs w:val="24"/>
        </w:rPr>
        <w:t>to mention but two of the reported authorities</w:t>
      </w:r>
      <w:r w:rsidR="007E2F6D">
        <w:rPr>
          <w:rFonts w:ascii="Arial" w:hAnsi="Arial" w:cs="Arial"/>
          <w:sz w:val="24"/>
          <w:szCs w:val="24"/>
        </w:rPr>
        <w:t>, which would have come to the aid of the applicant’s legal team had some effort been made to research on the matter</w:t>
      </w:r>
      <w:r w:rsidR="00363A31">
        <w:rPr>
          <w:rFonts w:ascii="Arial" w:hAnsi="Arial" w:cs="Arial"/>
          <w:sz w:val="24"/>
          <w:szCs w:val="24"/>
        </w:rPr>
        <w:t>.</w:t>
      </w:r>
    </w:p>
    <w:p w14:paraId="797DD919" w14:textId="0DAB1689" w:rsidR="00D6381C" w:rsidRDefault="00363A31"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lastRenderedPageBreak/>
        <w:t xml:space="preserve"> </w:t>
      </w:r>
    </w:p>
    <w:p w14:paraId="1245A8BE" w14:textId="7B2AB857" w:rsidR="00D6381C" w:rsidRDefault="00D6381C"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t>[2</w:t>
      </w:r>
      <w:r w:rsidR="00620F10">
        <w:rPr>
          <w:rFonts w:ascii="Arial" w:hAnsi="Arial" w:cs="Arial"/>
          <w:sz w:val="24"/>
          <w:szCs w:val="24"/>
        </w:rPr>
        <w:t>9</w:t>
      </w:r>
      <w:r w:rsidR="0058396C">
        <w:rPr>
          <w:rFonts w:ascii="Arial" w:hAnsi="Arial" w:cs="Arial"/>
          <w:sz w:val="24"/>
          <w:szCs w:val="24"/>
        </w:rPr>
        <w:t>]</w:t>
      </w:r>
      <w:r w:rsidR="0058396C">
        <w:rPr>
          <w:rFonts w:ascii="Arial" w:hAnsi="Arial" w:cs="Arial"/>
          <w:sz w:val="24"/>
          <w:szCs w:val="24"/>
        </w:rPr>
        <w:tab/>
      </w:r>
      <w:r w:rsidR="00F42EA8">
        <w:rPr>
          <w:rFonts w:ascii="Arial" w:hAnsi="Arial" w:cs="Arial"/>
          <w:sz w:val="24"/>
          <w:szCs w:val="24"/>
        </w:rPr>
        <w:t xml:space="preserve">Even assuming for argument’s sake that the applicant was correct in believing that an </w:t>
      </w:r>
      <w:r w:rsidR="00495382">
        <w:rPr>
          <w:rFonts w:ascii="Arial" w:hAnsi="Arial" w:cs="Arial"/>
          <w:sz w:val="24"/>
          <w:szCs w:val="24"/>
        </w:rPr>
        <w:t>order granting absolution</w:t>
      </w:r>
      <w:r w:rsidR="00F42EA8">
        <w:rPr>
          <w:rFonts w:ascii="Arial" w:hAnsi="Arial" w:cs="Arial"/>
          <w:sz w:val="24"/>
          <w:szCs w:val="24"/>
        </w:rPr>
        <w:t xml:space="preserve"> from the ins</w:t>
      </w:r>
      <w:r w:rsidR="00007B3A">
        <w:rPr>
          <w:rFonts w:ascii="Arial" w:hAnsi="Arial" w:cs="Arial"/>
          <w:sz w:val="24"/>
          <w:szCs w:val="24"/>
        </w:rPr>
        <w:t>tance is not final in effect as stated by Lord De Villiers CJ</w:t>
      </w:r>
      <w:r w:rsidR="00452E2B">
        <w:rPr>
          <w:rFonts w:ascii="Arial" w:hAnsi="Arial" w:cs="Arial"/>
          <w:sz w:val="24"/>
          <w:szCs w:val="24"/>
        </w:rPr>
        <w:t xml:space="preserve"> in </w:t>
      </w:r>
      <w:r w:rsidR="00C36FE3" w:rsidRPr="00C36FE3">
        <w:rPr>
          <w:rFonts w:ascii="Arial" w:hAnsi="Arial" w:cs="Arial"/>
          <w:i/>
          <w:sz w:val="24"/>
          <w:szCs w:val="24"/>
        </w:rPr>
        <w:t>Steytler NO</w:t>
      </w:r>
      <w:r w:rsidR="00C36FE3">
        <w:rPr>
          <w:rFonts w:ascii="Arial" w:hAnsi="Arial" w:cs="Arial"/>
          <w:sz w:val="24"/>
          <w:szCs w:val="24"/>
        </w:rPr>
        <w:t xml:space="preserve"> </w:t>
      </w:r>
      <w:r w:rsidR="000A1038" w:rsidRPr="000A1038">
        <w:rPr>
          <w:rFonts w:ascii="Arial" w:hAnsi="Arial" w:cs="Arial"/>
          <w:i/>
          <w:sz w:val="24"/>
          <w:szCs w:val="24"/>
        </w:rPr>
        <w:t>v Fitzgerald</w:t>
      </w:r>
      <w:r w:rsidR="000A1038">
        <w:rPr>
          <w:rFonts w:ascii="Arial" w:hAnsi="Arial" w:cs="Arial"/>
          <w:sz w:val="24"/>
          <w:szCs w:val="24"/>
        </w:rPr>
        <w:t xml:space="preserve"> </w:t>
      </w:r>
      <w:r w:rsidR="00C36FE3">
        <w:rPr>
          <w:rFonts w:ascii="Arial" w:hAnsi="Arial" w:cs="Arial"/>
          <w:sz w:val="24"/>
          <w:szCs w:val="24"/>
        </w:rPr>
        <w:t>cited above</w:t>
      </w:r>
      <w:r w:rsidR="00007B3A">
        <w:rPr>
          <w:rFonts w:ascii="Arial" w:hAnsi="Arial" w:cs="Arial"/>
          <w:sz w:val="24"/>
          <w:szCs w:val="24"/>
        </w:rPr>
        <w:t xml:space="preserve">, </w:t>
      </w:r>
      <w:r w:rsidR="00F42EA8">
        <w:rPr>
          <w:rFonts w:ascii="Arial" w:hAnsi="Arial" w:cs="Arial"/>
          <w:sz w:val="24"/>
          <w:szCs w:val="24"/>
        </w:rPr>
        <w:t>the applicant did not follow through his belief by applying for leave to appeal against w</w:t>
      </w:r>
      <w:r w:rsidR="003F7554">
        <w:rPr>
          <w:rFonts w:ascii="Arial" w:hAnsi="Arial" w:cs="Arial"/>
          <w:sz w:val="24"/>
          <w:szCs w:val="24"/>
        </w:rPr>
        <w:t xml:space="preserve">hat he genuinely believed was a purely </w:t>
      </w:r>
      <w:r w:rsidR="00F42EA8">
        <w:rPr>
          <w:rFonts w:ascii="Arial" w:hAnsi="Arial" w:cs="Arial"/>
          <w:sz w:val="24"/>
          <w:szCs w:val="24"/>
        </w:rPr>
        <w:t xml:space="preserve">interlocutory order. When the question why this was not done was put to counsel during an engagement with the court, </w:t>
      </w:r>
      <w:r w:rsidR="00505614">
        <w:rPr>
          <w:rFonts w:ascii="Arial" w:hAnsi="Arial" w:cs="Arial"/>
          <w:sz w:val="24"/>
          <w:szCs w:val="24"/>
        </w:rPr>
        <w:t>the recor</w:t>
      </w:r>
      <w:r w:rsidR="00452E2B">
        <w:rPr>
          <w:rFonts w:ascii="Arial" w:hAnsi="Arial" w:cs="Arial"/>
          <w:sz w:val="24"/>
          <w:szCs w:val="24"/>
        </w:rPr>
        <w:t>d does not show that an</w:t>
      </w:r>
      <w:r w:rsidR="00F42EA8">
        <w:rPr>
          <w:rFonts w:ascii="Arial" w:hAnsi="Arial" w:cs="Arial"/>
          <w:sz w:val="24"/>
          <w:szCs w:val="24"/>
        </w:rPr>
        <w:t xml:space="preserve"> appropriate answer was forthcoming.</w:t>
      </w:r>
    </w:p>
    <w:p w14:paraId="226FAF7C" w14:textId="77777777" w:rsidR="00452E2B" w:rsidRDefault="00452E2B"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p>
    <w:p w14:paraId="6D2382AD" w14:textId="626AA968" w:rsidR="00F42EA8" w:rsidRDefault="00620F10"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t>[30</w:t>
      </w:r>
      <w:r w:rsidR="00F42EA8">
        <w:rPr>
          <w:rFonts w:ascii="Arial" w:hAnsi="Arial" w:cs="Arial"/>
          <w:sz w:val="24"/>
          <w:szCs w:val="24"/>
        </w:rPr>
        <w:t>]</w:t>
      </w:r>
      <w:r w:rsidR="00F42EA8">
        <w:rPr>
          <w:rFonts w:ascii="Arial" w:hAnsi="Arial" w:cs="Arial"/>
          <w:sz w:val="24"/>
          <w:szCs w:val="24"/>
        </w:rPr>
        <w:tab/>
        <w:t xml:space="preserve">It is common cause that instead of applying for leave to appeal against the judgment and orders, the applicant took an alternative but erroneous route to have the judgment and orders </w:t>
      </w:r>
      <w:r w:rsidR="00F42EA8" w:rsidRPr="00C939E7">
        <w:rPr>
          <w:rFonts w:ascii="Arial" w:hAnsi="Arial" w:cs="Arial"/>
          <w:i/>
          <w:sz w:val="24"/>
          <w:szCs w:val="24"/>
        </w:rPr>
        <w:t>a quo</w:t>
      </w:r>
      <w:r w:rsidR="00F42EA8">
        <w:rPr>
          <w:rFonts w:ascii="Arial" w:hAnsi="Arial" w:cs="Arial"/>
          <w:sz w:val="24"/>
          <w:szCs w:val="24"/>
        </w:rPr>
        <w:t xml:space="preserve"> set aside. He requested for the proceedings to</w:t>
      </w:r>
      <w:r w:rsidR="00452E2B">
        <w:rPr>
          <w:rFonts w:ascii="Arial" w:hAnsi="Arial" w:cs="Arial"/>
          <w:sz w:val="24"/>
          <w:szCs w:val="24"/>
        </w:rPr>
        <w:t xml:space="preserve"> be reviewed in terms of s</w:t>
      </w:r>
      <w:r w:rsidR="00F42EA8">
        <w:rPr>
          <w:rFonts w:ascii="Arial" w:hAnsi="Arial" w:cs="Arial"/>
          <w:sz w:val="24"/>
          <w:szCs w:val="24"/>
        </w:rPr>
        <w:t xml:space="preserve"> 16 of the Supreme Court Act. </w:t>
      </w:r>
      <w:r w:rsidR="00BD1C83">
        <w:rPr>
          <w:rFonts w:ascii="Arial" w:hAnsi="Arial" w:cs="Arial"/>
          <w:sz w:val="24"/>
          <w:szCs w:val="24"/>
        </w:rPr>
        <w:t>In this regard</w:t>
      </w:r>
      <w:r w:rsidR="00C939E7">
        <w:rPr>
          <w:rFonts w:ascii="Arial" w:hAnsi="Arial" w:cs="Arial"/>
          <w:sz w:val="24"/>
          <w:szCs w:val="24"/>
        </w:rPr>
        <w:t>,</w:t>
      </w:r>
      <w:r w:rsidR="00BD1C83">
        <w:rPr>
          <w:rFonts w:ascii="Arial" w:hAnsi="Arial" w:cs="Arial"/>
          <w:sz w:val="24"/>
          <w:szCs w:val="24"/>
        </w:rPr>
        <w:t xml:space="preserve"> he raised </w:t>
      </w:r>
      <w:proofErr w:type="gramStart"/>
      <w:r w:rsidR="00BD1C83">
        <w:rPr>
          <w:rFonts w:ascii="Arial" w:hAnsi="Arial" w:cs="Arial"/>
          <w:sz w:val="24"/>
          <w:szCs w:val="24"/>
        </w:rPr>
        <w:t>a number of</w:t>
      </w:r>
      <w:proofErr w:type="gramEnd"/>
      <w:r w:rsidR="00BD1C83">
        <w:rPr>
          <w:rFonts w:ascii="Arial" w:hAnsi="Arial" w:cs="Arial"/>
          <w:sz w:val="24"/>
          <w:szCs w:val="24"/>
        </w:rPr>
        <w:t xml:space="preserve"> alleged irregularities as having been attendant upon the hearing of the matter before the trial court. At the hearing of this application, he abandoned the alleged irregularities which he no longer wishes to pursue, even if he is granted leave to file his notice of appeal out of time.</w:t>
      </w:r>
    </w:p>
    <w:p w14:paraId="529F4217" w14:textId="77777777" w:rsidR="00452E2B" w:rsidRDefault="00452E2B"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p>
    <w:p w14:paraId="7C22B6FA" w14:textId="4D5ED0EB" w:rsidR="00506152" w:rsidRDefault="00D6381C" w:rsidP="00C44C84">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t>[3</w:t>
      </w:r>
      <w:r w:rsidR="00620F10">
        <w:rPr>
          <w:rFonts w:ascii="Arial" w:hAnsi="Arial" w:cs="Arial"/>
          <w:sz w:val="24"/>
          <w:szCs w:val="24"/>
        </w:rPr>
        <w:t>1</w:t>
      </w:r>
      <w:r w:rsidR="001237CC">
        <w:rPr>
          <w:rFonts w:ascii="Arial" w:hAnsi="Arial" w:cs="Arial"/>
          <w:sz w:val="24"/>
          <w:szCs w:val="24"/>
        </w:rPr>
        <w:t>]</w:t>
      </w:r>
      <w:r w:rsidR="001237CC">
        <w:rPr>
          <w:rFonts w:ascii="Arial" w:hAnsi="Arial" w:cs="Arial"/>
          <w:sz w:val="24"/>
          <w:szCs w:val="24"/>
        </w:rPr>
        <w:tab/>
      </w:r>
      <w:r w:rsidR="00CB72E4">
        <w:rPr>
          <w:rFonts w:ascii="Arial" w:hAnsi="Arial" w:cs="Arial"/>
          <w:sz w:val="24"/>
          <w:szCs w:val="24"/>
        </w:rPr>
        <w:t xml:space="preserve">Not only did the </w:t>
      </w:r>
      <w:r w:rsidR="001237CC">
        <w:rPr>
          <w:rFonts w:ascii="Arial" w:hAnsi="Arial" w:cs="Arial"/>
          <w:sz w:val="24"/>
          <w:szCs w:val="24"/>
        </w:rPr>
        <w:t>applicant beco</w:t>
      </w:r>
      <w:r w:rsidR="0058396C">
        <w:rPr>
          <w:rFonts w:ascii="Arial" w:hAnsi="Arial" w:cs="Arial"/>
          <w:sz w:val="24"/>
          <w:szCs w:val="24"/>
        </w:rPr>
        <w:t>me aware of the correct position of the law by sheer chance and not through the industr</w:t>
      </w:r>
      <w:r w:rsidR="00CB72E4">
        <w:rPr>
          <w:rFonts w:ascii="Arial" w:hAnsi="Arial" w:cs="Arial"/>
          <w:sz w:val="24"/>
          <w:szCs w:val="24"/>
        </w:rPr>
        <w:t xml:space="preserve">y or diligence of his advisors, but stripped to its </w:t>
      </w:r>
      <w:proofErr w:type="gramStart"/>
      <w:r w:rsidR="00CB72E4">
        <w:rPr>
          <w:rFonts w:ascii="Arial" w:hAnsi="Arial" w:cs="Arial"/>
          <w:sz w:val="24"/>
          <w:szCs w:val="24"/>
        </w:rPr>
        <w:t>bare essentials</w:t>
      </w:r>
      <w:proofErr w:type="gramEnd"/>
      <w:r w:rsidR="00CB72E4">
        <w:rPr>
          <w:rFonts w:ascii="Arial" w:hAnsi="Arial" w:cs="Arial"/>
          <w:sz w:val="24"/>
          <w:szCs w:val="24"/>
        </w:rPr>
        <w:t xml:space="preserve">, the application for condonation is nothing other than a plea for the applicant to be allowed to impugn the judgment and orders </w:t>
      </w:r>
      <w:r w:rsidR="00CB72E4" w:rsidRPr="00C939E7">
        <w:rPr>
          <w:rFonts w:ascii="Arial" w:hAnsi="Arial" w:cs="Arial"/>
          <w:i/>
          <w:sz w:val="24"/>
          <w:szCs w:val="24"/>
        </w:rPr>
        <w:t>a quo</w:t>
      </w:r>
      <w:r w:rsidR="00CB72E4">
        <w:rPr>
          <w:rFonts w:ascii="Arial" w:hAnsi="Arial" w:cs="Arial"/>
          <w:sz w:val="24"/>
          <w:szCs w:val="24"/>
        </w:rPr>
        <w:t xml:space="preserve"> once again after the application for review w</w:t>
      </w:r>
      <w:r w:rsidR="001237CC">
        <w:rPr>
          <w:rFonts w:ascii="Arial" w:hAnsi="Arial" w:cs="Arial"/>
          <w:sz w:val="24"/>
          <w:szCs w:val="24"/>
        </w:rPr>
        <w:t>as abortive. Put differently,</w:t>
      </w:r>
      <w:r w:rsidR="00CB72E4">
        <w:rPr>
          <w:rFonts w:ascii="Arial" w:hAnsi="Arial" w:cs="Arial"/>
          <w:sz w:val="24"/>
          <w:szCs w:val="24"/>
        </w:rPr>
        <w:t xml:space="preserve"> </w:t>
      </w:r>
      <w:r w:rsidR="0013450B">
        <w:rPr>
          <w:rFonts w:ascii="Arial" w:hAnsi="Arial" w:cs="Arial"/>
          <w:sz w:val="24"/>
          <w:szCs w:val="24"/>
        </w:rPr>
        <w:t xml:space="preserve">the application for condonation </w:t>
      </w:r>
      <w:r w:rsidR="00CB72E4">
        <w:rPr>
          <w:rFonts w:ascii="Arial" w:hAnsi="Arial" w:cs="Arial"/>
          <w:sz w:val="24"/>
          <w:szCs w:val="24"/>
        </w:rPr>
        <w:t xml:space="preserve">is </w:t>
      </w:r>
      <w:r w:rsidR="00CB72E4">
        <w:rPr>
          <w:rFonts w:ascii="Arial" w:hAnsi="Arial" w:cs="Arial"/>
          <w:sz w:val="24"/>
          <w:szCs w:val="24"/>
        </w:rPr>
        <w:lastRenderedPageBreak/>
        <w:t xml:space="preserve">essentially an application for leave to have a second chance. </w:t>
      </w:r>
      <w:r w:rsidR="00B8712F">
        <w:rPr>
          <w:rFonts w:ascii="Arial" w:hAnsi="Arial" w:cs="Arial"/>
          <w:sz w:val="24"/>
          <w:szCs w:val="24"/>
        </w:rPr>
        <w:t xml:space="preserve">Viewed in this light, it becomes unnecessary to </w:t>
      </w:r>
      <w:proofErr w:type="gramStart"/>
      <w:r w:rsidR="00B8712F">
        <w:rPr>
          <w:rFonts w:ascii="Arial" w:hAnsi="Arial" w:cs="Arial"/>
          <w:sz w:val="24"/>
          <w:szCs w:val="24"/>
        </w:rPr>
        <w:t>advert to</w:t>
      </w:r>
      <w:proofErr w:type="gramEnd"/>
      <w:r w:rsidR="00B8712F">
        <w:rPr>
          <w:rFonts w:ascii="Arial" w:hAnsi="Arial" w:cs="Arial"/>
          <w:sz w:val="24"/>
          <w:szCs w:val="24"/>
        </w:rPr>
        <w:t xml:space="preserve"> the prospects of success. The application fails at the first rung. The applicant cannot be allowed to </w:t>
      </w:r>
      <w:proofErr w:type="gramStart"/>
      <w:r w:rsidR="00B8712F">
        <w:rPr>
          <w:rFonts w:ascii="Arial" w:hAnsi="Arial" w:cs="Arial"/>
          <w:sz w:val="24"/>
          <w:szCs w:val="24"/>
        </w:rPr>
        <w:t>once again attempt</w:t>
      </w:r>
      <w:proofErr w:type="gramEnd"/>
      <w:r w:rsidR="00B8712F">
        <w:rPr>
          <w:rFonts w:ascii="Arial" w:hAnsi="Arial" w:cs="Arial"/>
          <w:sz w:val="24"/>
          <w:szCs w:val="24"/>
        </w:rPr>
        <w:t xml:space="preserve"> to impugn th</w:t>
      </w:r>
      <w:r w:rsidR="000C4959">
        <w:rPr>
          <w:rFonts w:ascii="Arial" w:hAnsi="Arial" w:cs="Arial"/>
          <w:sz w:val="24"/>
          <w:szCs w:val="24"/>
        </w:rPr>
        <w:t xml:space="preserve">e </w:t>
      </w:r>
      <w:r w:rsidR="00DC1237">
        <w:rPr>
          <w:rFonts w:ascii="Arial" w:hAnsi="Arial" w:cs="Arial"/>
          <w:sz w:val="24"/>
          <w:szCs w:val="24"/>
        </w:rPr>
        <w:t xml:space="preserve">judgment and orders </w:t>
      </w:r>
      <w:r w:rsidR="00DC1237" w:rsidRPr="00C939E7">
        <w:rPr>
          <w:rFonts w:ascii="Arial" w:hAnsi="Arial" w:cs="Arial"/>
          <w:i/>
          <w:sz w:val="24"/>
          <w:szCs w:val="24"/>
        </w:rPr>
        <w:t>a quo</w:t>
      </w:r>
      <w:r w:rsidR="00DC1237">
        <w:rPr>
          <w:rFonts w:ascii="Arial" w:hAnsi="Arial" w:cs="Arial"/>
          <w:sz w:val="24"/>
          <w:szCs w:val="24"/>
        </w:rPr>
        <w:t xml:space="preserve"> after</w:t>
      </w:r>
      <w:r w:rsidR="007B04FA">
        <w:rPr>
          <w:rFonts w:ascii="Arial" w:hAnsi="Arial" w:cs="Arial"/>
          <w:sz w:val="24"/>
          <w:szCs w:val="24"/>
        </w:rPr>
        <w:t xml:space="preserve"> he failed to </w:t>
      </w:r>
      <w:r w:rsidR="0081568F">
        <w:rPr>
          <w:rFonts w:ascii="Arial" w:hAnsi="Arial" w:cs="Arial"/>
          <w:sz w:val="24"/>
          <w:szCs w:val="24"/>
        </w:rPr>
        <w:t xml:space="preserve">do so using an alternative procedure </w:t>
      </w:r>
      <w:r w:rsidR="0013450B">
        <w:rPr>
          <w:rFonts w:ascii="Arial" w:hAnsi="Arial" w:cs="Arial"/>
          <w:sz w:val="24"/>
          <w:szCs w:val="24"/>
        </w:rPr>
        <w:t>which he took</w:t>
      </w:r>
      <w:r w:rsidR="0081568F">
        <w:rPr>
          <w:rFonts w:ascii="Arial" w:hAnsi="Arial" w:cs="Arial"/>
          <w:sz w:val="24"/>
          <w:szCs w:val="24"/>
        </w:rPr>
        <w:t xml:space="preserve"> in </w:t>
      </w:r>
      <w:r w:rsidR="0081568F" w:rsidRPr="00452E2B">
        <w:rPr>
          <w:rFonts w:ascii="Arial" w:hAnsi="Arial" w:cs="Arial"/>
          <w:i/>
          <w:sz w:val="24"/>
          <w:szCs w:val="24"/>
        </w:rPr>
        <w:t>lieu</w:t>
      </w:r>
      <w:r w:rsidR="0081568F">
        <w:rPr>
          <w:rFonts w:ascii="Arial" w:hAnsi="Arial" w:cs="Arial"/>
          <w:sz w:val="24"/>
          <w:szCs w:val="24"/>
        </w:rPr>
        <w:t xml:space="preserve"> of an appeal</w:t>
      </w:r>
      <w:r w:rsidR="00B8712F">
        <w:rPr>
          <w:rFonts w:ascii="Arial" w:hAnsi="Arial" w:cs="Arial"/>
          <w:sz w:val="24"/>
          <w:szCs w:val="24"/>
        </w:rPr>
        <w:t>.</w:t>
      </w:r>
      <w:r w:rsidR="0081568F">
        <w:rPr>
          <w:rFonts w:ascii="Arial" w:hAnsi="Arial" w:cs="Arial"/>
          <w:sz w:val="24"/>
          <w:szCs w:val="24"/>
        </w:rPr>
        <w:t xml:space="preserve"> As was held by this </w:t>
      </w:r>
      <w:r w:rsidR="00C939E7">
        <w:rPr>
          <w:rFonts w:ascii="Arial" w:hAnsi="Arial" w:cs="Arial"/>
          <w:sz w:val="24"/>
          <w:szCs w:val="24"/>
        </w:rPr>
        <w:t>C</w:t>
      </w:r>
      <w:r w:rsidR="0081568F">
        <w:rPr>
          <w:rFonts w:ascii="Arial" w:hAnsi="Arial" w:cs="Arial"/>
          <w:sz w:val="24"/>
          <w:szCs w:val="24"/>
        </w:rPr>
        <w:t xml:space="preserve">ourt in </w:t>
      </w:r>
      <w:proofErr w:type="spellStart"/>
      <w:r w:rsidR="000D3B4F">
        <w:rPr>
          <w:rFonts w:ascii="Arial" w:hAnsi="Arial" w:cs="Arial"/>
          <w:i/>
          <w:sz w:val="24"/>
          <w:szCs w:val="24"/>
        </w:rPr>
        <w:t>Arangies</w:t>
      </w:r>
      <w:proofErr w:type="spellEnd"/>
      <w:r w:rsidR="000D3B4F">
        <w:rPr>
          <w:rFonts w:ascii="Arial" w:hAnsi="Arial" w:cs="Arial"/>
          <w:i/>
          <w:sz w:val="24"/>
          <w:szCs w:val="24"/>
        </w:rPr>
        <w:t xml:space="preserve"> t/a</w:t>
      </w:r>
      <w:r w:rsidR="0081568F" w:rsidRPr="0013450B">
        <w:rPr>
          <w:rFonts w:ascii="Arial" w:hAnsi="Arial" w:cs="Arial"/>
          <w:i/>
          <w:sz w:val="24"/>
          <w:szCs w:val="24"/>
        </w:rPr>
        <w:t xml:space="preserve"> Auto</w:t>
      </w:r>
      <w:r w:rsidR="001237CC">
        <w:rPr>
          <w:rFonts w:ascii="Arial" w:hAnsi="Arial" w:cs="Arial"/>
          <w:i/>
          <w:sz w:val="24"/>
          <w:szCs w:val="24"/>
        </w:rPr>
        <w:t xml:space="preserve"> T</w:t>
      </w:r>
      <w:r w:rsidR="0081568F" w:rsidRPr="0013450B">
        <w:rPr>
          <w:rFonts w:ascii="Arial" w:hAnsi="Arial" w:cs="Arial"/>
          <w:i/>
          <w:sz w:val="24"/>
          <w:szCs w:val="24"/>
        </w:rPr>
        <w:t>ech v Quick Build</w:t>
      </w:r>
      <w:r w:rsidRPr="00C939E7">
        <w:rPr>
          <w:rStyle w:val="FootnoteReference"/>
          <w:rFonts w:ascii="Arial" w:hAnsi="Arial" w:cs="Arial"/>
          <w:sz w:val="24"/>
          <w:szCs w:val="24"/>
        </w:rPr>
        <w:footnoteReference w:id="11"/>
      </w:r>
      <w:r w:rsidR="0081568F">
        <w:rPr>
          <w:rFonts w:ascii="Arial" w:hAnsi="Arial" w:cs="Arial"/>
          <w:sz w:val="24"/>
          <w:szCs w:val="24"/>
        </w:rPr>
        <w:t xml:space="preserve"> </w:t>
      </w:r>
      <w:r>
        <w:rPr>
          <w:rFonts w:ascii="Arial" w:hAnsi="Arial" w:cs="Arial"/>
          <w:sz w:val="24"/>
          <w:szCs w:val="24"/>
        </w:rPr>
        <w:t xml:space="preserve">– </w:t>
      </w:r>
    </w:p>
    <w:p w14:paraId="37AA1123" w14:textId="77777777" w:rsidR="00C44C84" w:rsidRDefault="00C44C84" w:rsidP="00233C7C">
      <w:pPr>
        <w:tabs>
          <w:tab w:val="left" w:pos="720"/>
          <w:tab w:val="left" w:pos="1440"/>
          <w:tab w:val="left" w:pos="2160"/>
          <w:tab w:val="left" w:pos="2880"/>
          <w:tab w:val="left" w:pos="3600"/>
          <w:tab w:val="left" w:pos="4320"/>
          <w:tab w:val="left" w:pos="5040"/>
          <w:tab w:val="left" w:pos="5760"/>
          <w:tab w:val="left" w:pos="6480"/>
          <w:tab w:val="left" w:pos="8306"/>
        </w:tabs>
        <w:spacing w:after="0" w:line="360" w:lineRule="auto"/>
        <w:jc w:val="both"/>
        <w:rPr>
          <w:rFonts w:ascii="Arial" w:hAnsi="Arial" w:cs="Arial"/>
          <w:sz w:val="24"/>
          <w:szCs w:val="24"/>
        </w:rPr>
      </w:pPr>
    </w:p>
    <w:p w14:paraId="08673701" w14:textId="044614CF" w:rsidR="00D6381C" w:rsidRDefault="001237CC" w:rsidP="00233C7C">
      <w:pPr>
        <w:tabs>
          <w:tab w:val="left" w:pos="720"/>
          <w:tab w:val="left" w:pos="1440"/>
          <w:tab w:val="left" w:pos="2160"/>
          <w:tab w:val="left" w:pos="2880"/>
          <w:tab w:val="left" w:pos="3600"/>
          <w:tab w:val="left" w:pos="4320"/>
          <w:tab w:val="left" w:pos="5040"/>
          <w:tab w:val="left" w:pos="5760"/>
          <w:tab w:val="left" w:pos="6480"/>
          <w:tab w:val="left" w:pos="8306"/>
        </w:tabs>
        <w:spacing w:after="0" w:line="360" w:lineRule="auto"/>
        <w:ind w:left="810"/>
        <w:jc w:val="both"/>
        <w:rPr>
          <w:rFonts w:ascii="Arial" w:hAnsi="Arial" w:cs="Arial"/>
          <w:sz w:val="24"/>
          <w:szCs w:val="24"/>
        </w:rPr>
      </w:pPr>
      <w:r>
        <w:rPr>
          <w:rFonts w:ascii="Arial" w:hAnsi="Arial" w:cs="Arial"/>
          <w:sz w:val="24"/>
          <w:szCs w:val="24"/>
        </w:rPr>
        <w:t>‘</w:t>
      </w:r>
      <w:r w:rsidR="0081568F" w:rsidRPr="00D6381C">
        <w:rPr>
          <w:rFonts w:ascii="Arial" w:hAnsi="Arial" w:cs="Arial"/>
        </w:rPr>
        <w:t>There are times</w:t>
      </w:r>
      <w:r w:rsidR="00C463F2" w:rsidRPr="00D6381C">
        <w:rPr>
          <w:rFonts w:ascii="Arial" w:hAnsi="Arial" w:cs="Arial"/>
        </w:rPr>
        <w:t xml:space="preserve"> for example, </w:t>
      </w:r>
      <w:r w:rsidR="0081568F" w:rsidRPr="00D6381C">
        <w:rPr>
          <w:rFonts w:ascii="Arial" w:hAnsi="Arial" w:cs="Arial"/>
        </w:rPr>
        <w:t>when this court</w:t>
      </w:r>
      <w:r w:rsidR="00C463F2" w:rsidRPr="00D6381C">
        <w:rPr>
          <w:rFonts w:ascii="Arial" w:hAnsi="Arial" w:cs="Arial"/>
        </w:rPr>
        <w:t xml:space="preserve"> has held that it w</w:t>
      </w:r>
      <w:r w:rsidR="0081568F" w:rsidRPr="00D6381C">
        <w:rPr>
          <w:rFonts w:ascii="Arial" w:hAnsi="Arial" w:cs="Arial"/>
        </w:rPr>
        <w:t>ill not consider the prospects of success in determining the application because the non-com</w:t>
      </w:r>
      <w:r w:rsidR="00E62074" w:rsidRPr="00D6381C">
        <w:rPr>
          <w:rFonts w:ascii="Arial" w:hAnsi="Arial" w:cs="Arial"/>
        </w:rPr>
        <w:t>pliance</w:t>
      </w:r>
      <w:r>
        <w:rPr>
          <w:rFonts w:ascii="Arial" w:hAnsi="Arial" w:cs="Arial"/>
        </w:rPr>
        <w:t xml:space="preserve"> with the rules has been “</w:t>
      </w:r>
      <w:r w:rsidR="00C463F2" w:rsidRPr="00D6381C">
        <w:rPr>
          <w:rFonts w:ascii="Arial" w:hAnsi="Arial" w:cs="Arial"/>
        </w:rPr>
        <w:t>glaring”, “flagrant” and “inexplicable</w:t>
      </w:r>
      <w:r w:rsidR="00232DF7">
        <w:rPr>
          <w:rFonts w:ascii="Arial" w:hAnsi="Arial" w:cs="Arial"/>
        </w:rPr>
        <w:t>”</w:t>
      </w:r>
      <w:r w:rsidR="00C939E7">
        <w:rPr>
          <w:rFonts w:ascii="Arial" w:hAnsi="Arial" w:cs="Arial"/>
        </w:rPr>
        <w:t>.</w:t>
      </w:r>
      <w:r w:rsidR="000E24D0">
        <w:rPr>
          <w:rFonts w:ascii="Arial" w:hAnsi="Arial" w:cs="Arial"/>
        </w:rPr>
        <w:t>’</w:t>
      </w:r>
    </w:p>
    <w:p w14:paraId="2A5A48CF" w14:textId="77777777" w:rsidR="00D6381C" w:rsidRDefault="00D6381C" w:rsidP="000E24D0">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p>
    <w:p w14:paraId="3C71BA67" w14:textId="0D548351" w:rsidR="00506152" w:rsidRDefault="00D6381C" w:rsidP="000E24D0">
      <w:pPr>
        <w:tabs>
          <w:tab w:val="left" w:pos="720"/>
          <w:tab w:val="left" w:pos="1440"/>
          <w:tab w:val="left" w:pos="2160"/>
          <w:tab w:val="left" w:pos="2880"/>
          <w:tab w:val="left" w:pos="3600"/>
          <w:tab w:val="left" w:pos="4320"/>
          <w:tab w:val="left" w:pos="5040"/>
          <w:tab w:val="left" w:pos="5760"/>
          <w:tab w:val="left" w:pos="6480"/>
          <w:tab w:val="left" w:pos="8306"/>
        </w:tabs>
        <w:spacing w:after="0" w:line="480" w:lineRule="auto"/>
        <w:jc w:val="both"/>
        <w:rPr>
          <w:rFonts w:ascii="Arial" w:hAnsi="Arial" w:cs="Arial"/>
          <w:sz w:val="24"/>
          <w:szCs w:val="24"/>
        </w:rPr>
      </w:pPr>
      <w:r>
        <w:rPr>
          <w:rFonts w:ascii="Arial" w:hAnsi="Arial" w:cs="Arial"/>
          <w:sz w:val="24"/>
          <w:szCs w:val="24"/>
        </w:rPr>
        <w:t>[3</w:t>
      </w:r>
      <w:r w:rsidR="00620F10">
        <w:rPr>
          <w:rFonts w:ascii="Arial" w:hAnsi="Arial" w:cs="Arial"/>
          <w:sz w:val="24"/>
          <w:szCs w:val="24"/>
        </w:rPr>
        <w:t>2</w:t>
      </w:r>
      <w:r w:rsidR="0073522D">
        <w:rPr>
          <w:rFonts w:ascii="Arial" w:hAnsi="Arial" w:cs="Arial"/>
          <w:sz w:val="24"/>
          <w:szCs w:val="24"/>
        </w:rPr>
        <w:t>]</w:t>
      </w:r>
      <w:r w:rsidR="0073522D">
        <w:rPr>
          <w:rFonts w:ascii="Arial" w:hAnsi="Arial" w:cs="Arial"/>
          <w:sz w:val="24"/>
          <w:szCs w:val="24"/>
        </w:rPr>
        <w:tab/>
        <w:t>Th</w:t>
      </w:r>
      <w:r w:rsidR="00BC7FD8">
        <w:rPr>
          <w:rFonts w:ascii="Arial" w:hAnsi="Arial" w:cs="Arial"/>
          <w:sz w:val="24"/>
          <w:szCs w:val="24"/>
        </w:rPr>
        <w:t xml:space="preserve">is application marks </w:t>
      </w:r>
      <w:r w:rsidR="0073522D">
        <w:rPr>
          <w:rFonts w:ascii="Arial" w:hAnsi="Arial" w:cs="Arial"/>
          <w:sz w:val="24"/>
          <w:szCs w:val="24"/>
        </w:rPr>
        <w:t>one of those times.</w:t>
      </w:r>
      <w:r w:rsidR="00C463F2">
        <w:rPr>
          <w:rFonts w:ascii="Arial" w:hAnsi="Arial" w:cs="Arial"/>
          <w:sz w:val="24"/>
          <w:szCs w:val="24"/>
        </w:rPr>
        <w:t xml:space="preserve"> The reason for the non-compliance with the rules is inexcusable</w:t>
      </w:r>
      <w:r w:rsidR="0069469E">
        <w:rPr>
          <w:rFonts w:ascii="Arial" w:hAnsi="Arial" w:cs="Arial"/>
          <w:sz w:val="24"/>
          <w:szCs w:val="24"/>
        </w:rPr>
        <w:t xml:space="preserve">. </w:t>
      </w:r>
      <w:r w:rsidR="001237CC">
        <w:rPr>
          <w:rFonts w:ascii="Arial" w:hAnsi="Arial" w:cs="Arial"/>
          <w:sz w:val="24"/>
          <w:szCs w:val="24"/>
        </w:rPr>
        <w:t>The applicant took a different</w:t>
      </w:r>
      <w:r w:rsidR="0069469E">
        <w:rPr>
          <w:rFonts w:ascii="Arial" w:hAnsi="Arial" w:cs="Arial"/>
          <w:sz w:val="24"/>
          <w:szCs w:val="24"/>
        </w:rPr>
        <w:t xml:space="preserve"> route to an appeal without success. He is </w:t>
      </w:r>
      <w:r>
        <w:rPr>
          <w:rFonts w:ascii="Arial" w:hAnsi="Arial" w:cs="Arial"/>
          <w:sz w:val="24"/>
          <w:szCs w:val="24"/>
        </w:rPr>
        <w:t>now pleading</w:t>
      </w:r>
      <w:r w:rsidR="00266C9E">
        <w:rPr>
          <w:rFonts w:ascii="Arial" w:hAnsi="Arial" w:cs="Arial"/>
          <w:sz w:val="24"/>
          <w:szCs w:val="24"/>
        </w:rPr>
        <w:t xml:space="preserve"> for an indulgence </w:t>
      </w:r>
      <w:r w:rsidR="0069469E">
        <w:rPr>
          <w:rFonts w:ascii="Arial" w:hAnsi="Arial" w:cs="Arial"/>
          <w:sz w:val="24"/>
          <w:szCs w:val="24"/>
        </w:rPr>
        <w:t>to have a second bite at the proverbial cherry.</w:t>
      </w:r>
    </w:p>
    <w:p w14:paraId="01E9D356" w14:textId="77777777" w:rsidR="002D6E35" w:rsidRDefault="002D6E35" w:rsidP="000E24D0">
      <w:pPr>
        <w:pStyle w:val="ListParagraph"/>
        <w:spacing w:after="0" w:line="480" w:lineRule="auto"/>
        <w:jc w:val="both"/>
        <w:rPr>
          <w:rFonts w:ascii="Arial" w:hAnsi="Arial" w:cs="Arial"/>
          <w:sz w:val="24"/>
          <w:szCs w:val="24"/>
        </w:rPr>
      </w:pPr>
    </w:p>
    <w:p w14:paraId="4545B61B" w14:textId="3F04C652" w:rsidR="00D6381C" w:rsidRDefault="00D6381C" w:rsidP="00F127DF">
      <w:pPr>
        <w:tabs>
          <w:tab w:val="left" w:pos="0"/>
        </w:tabs>
        <w:spacing w:after="0" w:line="480" w:lineRule="auto"/>
        <w:jc w:val="both"/>
        <w:rPr>
          <w:rFonts w:ascii="Arial" w:hAnsi="Arial" w:cs="Arial"/>
          <w:sz w:val="24"/>
          <w:szCs w:val="24"/>
        </w:rPr>
      </w:pPr>
      <w:r>
        <w:rPr>
          <w:rFonts w:ascii="Arial" w:hAnsi="Arial" w:cs="Arial"/>
          <w:sz w:val="24"/>
          <w:szCs w:val="24"/>
        </w:rPr>
        <w:t>[3</w:t>
      </w:r>
      <w:r w:rsidR="00620F10">
        <w:rPr>
          <w:rFonts w:ascii="Arial" w:hAnsi="Arial" w:cs="Arial"/>
          <w:sz w:val="24"/>
          <w:szCs w:val="24"/>
        </w:rPr>
        <w:t>3</w:t>
      </w:r>
      <w:r w:rsidR="00F127DF">
        <w:rPr>
          <w:rFonts w:ascii="Arial" w:hAnsi="Arial" w:cs="Arial"/>
          <w:sz w:val="24"/>
          <w:szCs w:val="24"/>
        </w:rPr>
        <w:t>]</w:t>
      </w:r>
      <w:r w:rsidR="00F127DF">
        <w:rPr>
          <w:rFonts w:ascii="Arial" w:hAnsi="Arial" w:cs="Arial"/>
          <w:sz w:val="24"/>
          <w:szCs w:val="24"/>
        </w:rPr>
        <w:tab/>
        <w:t xml:space="preserve">Regarding costs, I see no reason why these </w:t>
      </w:r>
      <w:r w:rsidR="002D6E35">
        <w:rPr>
          <w:rFonts w:ascii="Arial" w:hAnsi="Arial" w:cs="Arial"/>
          <w:sz w:val="24"/>
          <w:szCs w:val="24"/>
        </w:rPr>
        <w:t xml:space="preserve">should not follow the event. </w:t>
      </w:r>
    </w:p>
    <w:p w14:paraId="198E6FE4" w14:textId="77777777" w:rsidR="00D6381C" w:rsidRDefault="00D6381C" w:rsidP="00F127DF">
      <w:pPr>
        <w:tabs>
          <w:tab w:val="left" w:pos="0"/>
        </w:tabs>
        <w:spacing w:after="0" w:line="480" w:lineRule="auto"/>
        <w:jc w:val="both"/>
        <w:rPr>
          <w:rFonts w:ascii="Arial" w:hAnsi="Arial" w:cs="Arial"/>
          <w:sz w:val="24"/>
          <w:szCs w:val="24"/>
        </w:rPr>
      </w:pPr>
    </w:p>
    <w:p w14:paraId="3E7A2D02" w14:textId="66A8BEB7" w:rsidR="004D38A9" w:rsidRPr="00F127DF" w:rsidRDefault="00D6381C" w:rsidP="00F127DF">
      <w:pPr>
        <w:tabs>
          <w:tab w:val="left" w:pos="0"/>
        </w:tabs>
        <w:spacing w:after="0" w:line="480" w:lineRule="auto"/>
        <w:jc w:val="both"/>
        <w:rPr>
          <w:rFonts w:ascii="Arial" w:hAnsi="Arial" w:cs="Arial"/>
          <w:sz w:val="24"/>
          <w:szCs w:val="24"/>
        </w:rPr>
      </w:pPr>
      <w:r>
        <w:rPr>
          <w:rFonts w:ascii="Arial" w:hAnsi="Arial" w:cs="Arial"/>
          <w:sz w:val="24"/>
          <w:szCs w:val="24"/>
        </w:rPr>
        <w:t>[3</w:t>
      </w:r>
      <w:r w:rsidR="00620F10">
        <w:rPr>
          <w:rFonts w:ascii="Arial" w:hAnsi="Arial" w:cs="Arial"/>
          <w:sz w:val="24"/>
          <w:szCs w:val="24"/>
        </w:rPr>
        <w:t>4</w:t>
      </w:r>
      <w:r w:rsidR="00F127DF">
        <w:rPr>
          <w:rFonts w:ascii="Arial" w:hAnsi="Arial" w:cs="Arial"/>
          <w:sz w:val="24"/>
          <w:szCs w:val="24"/>
        </w:rPr>
        <w:t>]</w:t>
      </w:r>
      <w:r w:rsidR="00F127DF">
        <w:rPr>
          <w:rFonts w:ascii="Arial" w:hAnsi="Arial" w:cs="Arial"/>
          <w:sz w:val="24"/>
          <w:szCs w:val="24"/>
        </w:rPr>
        <w:tab/>
      </w:r>
      <w:r w:rsidR="004D38A9" w:rsidRPr="00F127DF">
        <w:rPr>
          <w:rFonts w:ascii="Arial" w:hAnsi="Arial" w:cs="Arial"/>
          <w:sz w:val="24"/>
          <w:szCs w:val="24"/>
        </w:rPr>
        <w:t>I therefore make the following order:</w:t>
      </w:r>
    </w:p>
    <w:p w14:paraId="701D7705" w14:textId="77777777" w:rsidR="004D38A9" w:rsidRPr="00027252" w:rsidRDefault="004D38A9" w:rsidP="004D38A9">
      <w:pPr>
        <w:pStyle w:val="ListParagraph"/>
        <w:spacing w:after="0" w:line="480" w:lineRule="auto"/>
        <w:jc w:val="both"/>
        <w:rPr>
          <w:rFonts w:ascii="Arial" w:hAnsi="Arial" w:cs="Arial"/>
          <w:sz w:val="24"/>
          <w:szCs w:val="24"/>
        </w:rPr>
      </w:pPr>
    </w:p>
    <w:p w14:paraId="356BFE17" w14:textId="443C66A4" w:rsidR="004D38A9" w:rsidRPr="00D53E68" w:rsidRDefault="004D38A9" w:rsidP="00C939E7">
      <w:pPr>
        <w:pStyle w:val="ListParagraph"/>
        <w:tabs>
          <w:tab w:val="left" w:pos="0"/>
        </w:tabs>
        <w:spacing w:after="0" w:line="480" w:lineRule="auto"/>
        <w:ind w:left="1080"/>
        <w:jc w:val="both"/>
        <w:rPr>
          <w:rFonts w:ascii="Arial" w:hAnsi="Arial" w:cs="Arial"/>
          <w:i/>
          <w:iCs/>
          <w:sz w:val="24"/>
          <w:szCs w:val="24"/>
        </w:rPr>
      </w:pPr>
      <w:r w:rsidRPr="00D53E68">
        <w:rPr>
          <w:rFonts w:ascii="Arial" w:hAnsi="Arial" w:cs="Arial"/>
          <w:sz w:val="24"/>
          <w:szCs w:val="24"/>
        </w:rPr>
        <w:t xml:space="preserve">The </w:t>
      </w:r>
      <w:r w:rsidR="00517C31" w:rsidRPr="00D53E68">
        <w:rPr>
          <w:rFonts w:ascii="Arial" w:hAnsi="Arial" w:cs="Arial"/>
          <w:sz w:val="24"/>
          <w:szCs w:val="24"/>
        </w:rPr>
        <w:t>application</w:t>
      </w:r>
      <w:r w:rsidR="002D6E35" w:rsidRPr="00D53E68">
        <w:rPr>
          <w:rFonts w:ascii="Arial" w:hAnsi="Arial" w:cs="Arial"/>
          <w:sz w:val="24"/>
          <w:szCs w:val="24"/>
        </w:rPr>
        <w:t xml:space="preserve"> </w:t>
      </w:r>
      <w:r w:rsidR="00C939E7">
        <w:rPr>
          <w:rFonts w:ascii="Arial" w:hAnsi="Arial" w:cs="Arial"/>
          <w:sz w:val="24"/>
          <w:szCs w:val="24"/>
        </w:rPr>
        <w:t xml:space="preserve">for condonation </w:t>
      </w:r>
      <w:r w:rsidR="002D6E35" w:rsidRPr="00D53E68">
        <w:rPr>
          <w:rFonts w:ascii="Arial" w:hAnsi="Arial" w:cs="Arial"/>
          <w:sz w:val="24"/>
          <w:szCs w:val="24"/>
        </w:rPr>
        <w:t>is dismissed</w:t>
      </w:r>
      <w:r w:rsidR="00F127DF" w:rsidRPr="00D53E68">
        <w:rPr>
          <w:rFonts w:ascii="Arial" w:hAnsi="Arial" w:cs="Arial"/>
          <w:sz w:val="24"/>
          <w:szCs w:val="24"/>
        </w:rPr>
        <w:t xml:space="preserve"> with costs</w:t>
      </w:r>
      <w:r w:rsidR="00495382">
        <w:rPr>
          <w:rFonts w:ascii="Arial" w:hAnsi="Arial" w:cs="Arial"/>
          <w:sz w:val="24"/>
          <w:szCs w:val="24"/>
        </w:rPr>
        <w:t>, such costs to include the costs for one instructing and one instructed legal practitioner.</w:t>
      </w:r>
    </w:p>
    <w:p w14:paraId="0AFF9B30" w14:textId="77777777" w:rsidR="004D38A9" w:rsidRDefault="004D38A9" w:rsidP="004D38A9">
      <w:pPr>
        <w:pStyle w:val="ListParagraph"/>
        <w:tabs>
          <w:tab w:val="left" w:pos="0"/>
        </w:tabs>
        <w:spacing w:after="0" w:line="480" w:lineRule="auto"/>
        <w:ind w:left="1440"/>
        <w:jc w:val="both"/>
        <w:rPr>
          <w:rFonts w:ascii="Arial" w:hAnsi="Arial" w:cs="Arial"/>
          <w:sz w:val="24"/>
          <w:szCs w:val="24"/>
        </w:rPr>
      </w:pPr>
    </w:p>
    <w:p w14:paraId="336FCC09" w14:textId="7040FB2A" w:rsidR="004D38A9" w:rsidRDefault="004D38A9" w:rsidP="006E00B2">
      <w:pPr>
        <w:pStyle w:val="ListParagraph"/>
        <w:tabs>
          <w:tab w:val="left" w:pos="0"/>
        </w:tabs>
        <w:spacing w:after="0" w:line="480" w:lineRule="auto"/>
        <w:ind w:left="1440"/>
        <w:jc w:val="both"/>
        <w:rPr>
          <w:rFonts w:ascii="Arial" w:hAnsi="Arial" w:cs="Arial"/>
          <w:sz w:val="24"/>
          <w:szCs w:val="24"/>
        </w:rPr>
      </w:pPr>
    </w:p>
    <w:p w14:paraId="62F3460A" w14:textId="77777777" w:rsidR="004D38A9" w:rsidRPr="00B35813" w:rsidRDefault="004D38A9" w:rsidP="004D38A9">
      <w:pPr>
        <w:spacing w:after="0" w:line="240" w:lineRule="auto"/>
        <w:jc w:val="both"/>
        <w:rPr>
          <w:rFonts w:ascii="Arial" w:hAnsi="Arial" w:cs="Arial"/>
          <w:sz w:val="24"/>
          <w:szCs w:val="24"/>
        </w:rPr>
      </w:pPr>
      <w:r>
        <w:rPr>
          <w:rFonts w:ascii="Arial" w:hAnsi="Arial" w:cs="Arial"/>
          <w:sz w:val="24"/>
          <w:szCs w:val="24"/>
        </w:rPr>
        <w:t>___________________</w:t>
      </w:r>
    </w:p>
    <w:p w14:paraId="29D2E67E" w14:textId="53CE0747" w:rsidR="004D38A9" w:rsidRDefault="004D38A9" w:rsidP="004D38A9">
      <w:pPr>
        <w:spacing w:after="0" w:line="240" w:lineRule="auto"/>
        <w:jc w:val="both"/>
        <w:rPr>
          <w:rFonts w:ascii="Arial" w:hAnsi="Arial" w:cs="Arial"/>
          <w:b/>
          <w:sz w:val="24"/>
          <w:szCs w:val="24"/>
        </w:rPr>
      </w:pPr>
      <w:r>
        <w:rPr>
          <w:rFonts w:ascii="Arial" w:hAnsi="Arial" w:cs="Arial"/>
          <w:b/>
          <w:sz w:val="24"/>
          <w:szCs w:val="24"/>
        </w:rPr>
        <w:t>MA</w:t>
      </w:r>
      <w:r w:rsidR="00F52D8C">
        <w:rPr>
          <w:rFonts w:ascii="Arial" w:hAnsi="Arial" w:cs="Arial"/>
          <w:b/>
          <w:sz w:val="24"/>
          <w:szCs w:val="24"/>
        </w:rPr>
        <w:t>KARAU A</w:t>
      </w:r>
      <w:r>
        <w:rPr>
          <w:rFonts w:ascii="Arial" w:hAnsi="Arial" w:cs="Arial"/>
          <w:b/>
          <w:sz w:val="24"/>
          <w:szCs w:val="24"/>
        </w:rPr>
        <w:t>JA</w:t>
      </w:r>
    </w:p>
    <w:p w14:paraId="1AE14917" w14:textId="77777777" w:rsidR="004D38A9" w:rsidRDefault="004D38A9" w:rsidP="004D38A9">
      <w:pPr>
        <w:spacing w:after="0" w:line="240" w:lineRule="auto"/>
        <w:jc w:val="both"/>
        <w:rPr>
          <w:rFonts w:ascii="Arial" w:hAnsi="Arial" w:cs="Arial"/>
          <w:b/>
          <w:sz w:val="24"/>
          <w:szCs w:val="24"/>
        </w:rPr>
      </w:pPr>
    </w:p>
    <w:p w14:paraId="4FBDBE9D" w14:textId="77777777" w:rsidR="004D38A9" w:rsidRDefault="004D38A9" w:rsidP="004D38A9">
      <w:pPr>
        <w:spacing w:after="0" w:line="240" w:lineRule="auto"/>
        <w:jc w:val="both"/>
        <w:rPr>
          <w:rFonts w:ascii="Arial" w:hAnsi="Arial" w:cs="Arial"/>
          <w:sz w:val="24"/>
          <w:szCs w:val="24"/>
        </w:rPr>
      </w:pPr>
    </w:p>
    <w:p w14:paraId="4723BC40" w14:textId="77777777" w:rsidR="00D6381C" w:rsidRDefault="00D6381C" w:rsidP="004D38A9">
      <w:pPr>
        <w:spacing w:after="0" w:line="240" w:lineRule="auto"/>
        <w:jc w:val="both"/>
        <w:rPr>
          <w:rFonts w:ascii="Arial" w:hAnsi="Arial" w:cs="Arial"/>
          <w:sz w:val="24"/>
          <w:szCs w:val="24"/>
        </w:rPr>
      </w:pPr>
    </w:p>
    <w:p w14:paraId="73ED4005" w14:textId="77777777" w:rsidR="000E24D0" w:rsidRDefault="000E24D0" w:rsidP="004D38A9">
      <w:pPr>
        <w:spacing w:after="0" w:line="240" w:lineRule="auto"/>
        <w:jc w:val="both"/>
        <w:rPr>
          <w:rFonts w:ascii="Arial" w:hAnsi="Arial" w:cs="Arial"/>
          <w:sz w:val="24"/>
          <w:szCs w:val="24"/>
        </w:rPr>
      </w:pPr>
    </w:p>
    <w:p w14:paraId="6FBDF228" w14:textId="77777777" w:rsidR="000E24D0" w:rsidRDefault="000E24D0" w:rsidP="004D38A9">
      <w:pPr>
        <w:spacing w:after="0" w:line="240" w:lineRule="auto"/>
        <w:jc w:val="both"/>
        <w:rPr>
          <w:rFonts w:ascii="Arial" w:hAnsi="Arial" w:cs="Arial"/>
          <w:sz w:val="24"/>
          <w:szCs w:val="24"/>
        </w:rPr>
      </w:pPr>
    </w:p>
    <w:p w14:paraId="64FFC990" w14:textId="77777777" w:rsidR="000E24D0" w:rsidRDefault="000E24D0" w:rsidP="004D38A9">
      <w:pPr>
        <w:spacing w:after="0" w:line="240" w:lineRule="auto"/>
        <w:jc w:val="both"/>
        <w:rPr>
          <w:rFonts w:ascii="Arial" w:hAnsi="Arial" w:cs="Arial"/>
          <w:sz w:val="24"/>
          <w:szCs w:val="24"/>
        </w:rPr>
      </w:pPr>
    </w:p>
    <w:p w14:paraId="4299AF4A" w14:textId="77777777" w:rsidR="004D38A9" w:rsidRPr="00B53471" w:rsidRDefault="004D38A9" w:rsidP="004D38A9">
      <w:pPr>
        <w:spacing w:after="0" w:line="240" w:lineRule="auto"/>
        <w:jc w:val="both"/>
        <w:rPr>
          <w:rFonts w:ascii="Arial" w:hAnsi="Arial" w:cs="Arial"/>
          <w:sz w:val="24"/>
          <w:szCs w:val="24"/>
        </w:rPr>
      </w:pPr>
      <w:r>
        <w:rPr>
          <w:rFonts w:ascii="Arial" w:hAnsi="Arial" w:cs="Arial"/>
          <w:sz w:val="24"/>
          <w:szCs w:val="24"/>
        </w:rPr>
        <w:t>___________________</w:t>
      </w:r>
    </w:p>
    <w:p w14:paraId="1CE69302" w14:textId="5FC7DAF2" w:rsidR="004D38A9" w:rsidRDefault="00F52D8C" w:rsidP="004D38A9">
      <w:pPr>
        <w:spacing w:after="0" w:line="240" w:lineRule="auto"/>
        <w:jc w:val="both"/>
        <w:rPr>
          <w:rFonts w:ascii="Arial" w:hAnsi="Arial" w:cs="Arial"/>
          <w:b/>
          <w:sz w:val="24"/>
          <w:szCs w:val="24"/>
        </w:rPr>
      </w:pPr>
      <w:r>
        <w:rPr>
          <w:rFonts w:ascii="Arial" w:hAnsi="Arial" w:cs="Arial"/>
          <w:b/>
          <w:sz w:val="24"/>
          <w:szCs w:val="24"/>
        </w:rPr>
        <w:t>MAINGA JA</w:t>
      </w:r>
    </w:p>
    <w:p w14:paraId="54A2877F" w14:textId="77777777" w:rsidR="004D38A9" w:rsidRDefault="004D38A9" w:rsidP="004D38A9">
      <w:pPr>
        <w:spacing w:after="0" w:line="240" w:lineRule="auto"/>
        <w:jc w:val="both"/>
        <w:rPr>
          <w:rFonts w:ascii="Arial" w:hAnsi="Arial" w:cs="Arial"/>
          <w:b/>
          <w:sz w:val="24"/>
          <w:szCs w:val="24"/>
        </w:rPr>
      </w:pPr>
    </w:p>
    <w:p w14:paraId="7A34EFD2" w14:textId="77777777" w:rsidR="004D38A9" w:rsidRDefault="004D38A9" w:rsidP="004D38A9">
      <w:pPr>
        <w:spacing w:after="0" w:line="240" w:lineRule="auto"/>
        <w:jc w:val="both"/>
        <w:rPr>
          <w:rFonts w:ascii="Arial" w:hAnsi="Arial" w:cs="Arial"/>
          <w:b/>
          <w:sz w:val="24"/>
          <w:szCs w:val="24"/>
        </w:rPr>
      </w:pPr>
    </w:p>
    <w:p w14:paraId="40F9ABEF" w14:textId="77777777" w:rsidR="00D6381C" w:rsidRDefault="00D6381C" w:rsidP="004D38A9">
      <w:pPr>
        <w:spacing w:after="0" w:line="240" w:lineRule="auto"/>
        <w:jc w:val="both"/>
        <w:rPr>
          <w:rFonts w:ascii="Arial" w:hAnsi="Arial" w:cs="Arial"/>
          <w:b/>
          <w:sz w:val="24"/>
          <w:szCs w:val="24"/>
        </w:rPr>
      </w:pPr>
    </w:p>
    <w:p w14:paraId="6B50E701" w14:textId="77777777" w:rsidR="004D38A9" w:rsidRDefault="004D38A9" w:rsidP="004D38A9">
      <w:pPr>
        <w:spacing w:after="0" w:line="240" w:lineRule="auto"/>
        <w:jc w:val="both"/>
        <w:rPr>
          <w:rFonts w:ascii="Arial" w:hAnsi="Arial" w:cs="Arial"/>
          <w:b/>
          <w:sz w:val="24"/>
          <w:szCs w:val="24"/>
        </w:rPr>
      </w:pPr>
    </w:p>
    <w:p w14:paraId="43E47BD8" w14:textId="77777777" w:rsidR="000E24D0" w:rsidRDefault="000E24D0" w:rsidP="004D38A9">
      <w:pPr>
        <w:spacing w:after="0" w:line="240" w:lineRule="auto"/>
        <w:jc w:val="both"/>
        <w:rPr>
          <w:rFonts w:ascii="Arial" w:hAnsi="Arial" w:cs="Arial"/>
          <w:b/>
          <w:sz w:val="24"/>
          <w:szCs w:val="24"/>
        </w:rPr>
      </w:pPr>
    </w:p>
    <w:p w14:paraId="19BB1431" w14:textId="77777777" w:rsidR="004D38A9" w:rsidRDefault="004D38A9" w:rsidP="004D38A9">
      <w:pPr>
        <w:spacing w:after="0" w:line="240" w:lineRule="auto"/>
        <w:jc w:val="both"/>
        <w:rPr>
          <w:rFonts w:ascii="Arial" w:hAnsi="Arial" w:cs="Arial"/>
          <w:sz w:val="24"/>
          <w:szCs w:val="24"/>
        </w:rPr>
      </w:pPr>
      <w:r>
        <w:rPr>
          <w:rFonts w:ascii="Arial" w:hAnsi="Arial" w:cs="Arial"/>
          <w:sz w:val="24"/>
          <w:szCs w:val="24"/>
        </w:rPr>
        <w:t>___________________</w:t>
      </w:r>
    </w:p>
    <w:p w14:paraId="390254F9" w14:textId="3A81283D" w:rsidR="004D38A9" w:rsidRDefault="00F52D8C" w:rsidP="004D38A9">
      <w:pPr>
        <w:spacing w:after="0" w:line="240" w:lineRule="auto"/>
        <w:jc w:val="both"/>
        <w:rPr>
          <w:rFonts w:ascii="Arial" w:hAnsi="Arial" w:cs="Arial"/>
          <w:b/>
          <w:sz w:val="24"/>
          <w:szCs w:val="24"/>
        </w:rPr>
      </w:pPr>
      <w:r>
        <w:rPr>
          <w:rFonts w:ascii="Arial" w:hAnsi="Arial" w:cs="Arial"/>
          <w:b/>
          <w:sz w:val="24"/>
          <w:szCs w:val="24"/>
        </w:rPr>
        <w:t>ANGULA</w:t>
      </w:r>
      <w:r w:rsidR="004D38A9">
        <w:rPr>
          <w:rFonts w:ascii="Arial" w:hAnsi="Arial" w:cs="Arial"/>
          <w:b/>
          <w:sz w:val="24"/>
          <w:szCs w:val="24"/>
        </w:rPr>
        <w:t xml:space="preserve"> AJA</w:t>
      </w:r>
    </w:p>
    <w:p w14:paraId="58359998" w14:textId="77777777" w:rsidR="00F52D8C" w:rsidRDefault="00F52D8C" w:rsidP="004D38A9">
      <w:pPr>
        <w:spacing w:after="0" w:line="240" w:lineRule="auto"/>
        <w:jc w:val="both"/>
        <w:rPr>
          <w:rFonts w:ascii="Arial" w:hAnsi="Arial" w:cs="Arial"/>
          <w:b/>
          <w:sz w:val="24"/>
          <w:szCs w:val="24"/>
        </w:rPr>
      </w:pPr>
    </w:p>
    <w:p w14:paraId="3E86B0B3" w14:textId="77777777" w:rsidR="00F52D8C" w:rsidRDefault="00F52D8C" w:rsidP="004D38A9">
      <w:pPr>
        <w:spacing w:after="0" w:line="240" w:lineRule="auto"/>
        <w:jc w:val="both"/>
        <w:rPr>
          <w:rFonts w:ascii="Arial" w:hAnsi="Arial" w:cs="Arial"/>
          <w:b/>
          <w:sz w:val="24"/>
          <w:szCs w:val="24"/>
        </w:rPr>
      </w:pPr>
    </w:p>
    <w:p w14:paraId="0C9E150C" w14:textId="63FF7057" w:rsidR="00F52D8C" w:rsidRDefault="00F52D8C">
      <w:pPr>
        <w:spacing w:after="160" w:line="259" w:lineRule="auto"/>
        <w:rPr>
          <w:rFonts w:ascii="Arial" w:hAnsi="Arial" w:cs="Arial"/>
          <w:b/>
          <w:sz w:val="24"/>
          <w:szCs w:val="24"/>
        </w:rPr>
      </w:pPr>
      <w:r>
        <w:rPr>
          <w:rFonts w:ascii="Arial" w:hAnsi="Arial" w:cs="Arial"/>
          <w:b/>
          <w:sz w:val="24"/>
          <w:szCs w:val="24"/>
        </w:rPr>
        <w:br w:type="page"/>
      </w:r>
    </w:p>
    <w:tbl>
      <w:tblPr>
        <w:tblW w:w="0" w:type="auto"/>
        <w:tblLook w:val="04A0" w:firstRow="1" w:lastRow="0" w:firstColumn="1" w:lastColumn="0" w:noHBand="0" w:noVBand="1"/>
      </w:tblPr>
      <w:tblGrid>
        <w:gridCol w:w="4867"/>
        <w:gridCol w:w="4254"/>
      </w:tblGrid>
      <w:tr w:rsidR="004D38A9" w:rsidRPr="00500CF6" w14:paraId="08BEED64" w14:textId="77777777" w:rsidTr="001B1EBC">
        <w:tc>
          <w:tcPr>
            <w:tcW w:w="4867" w:type="dxa"/>
            <w:shd w:val="clear" w:color="auto" w:fill="auto"/>
          </w:tcPr>
          <w:p w14:paraId="29829EA3" w14:textId="77777777" w:rsidR="004D38A9" w:rsidRDefault="004D38A9" w:rsidP="001B1EBC">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14:paraId="130CA650" w14:textId="77777777" w:rsidR="004D38A9" w:rsidRPr="00500CF6" w:rsidRDefault="004D38A9" w:rsidP="001B1EBC">
            <w:pPr>
              <w:spacing w:after="0" w:line="480" w:lineRule="auto"/>
              <w:ind w:right="-146"/>
              <w:rPr>
                <w:rFonts w:ascii="Arial" w:hAnsi="Arial" w:cs="Arial"/>
                <w:sz w:val="24"/>
                <w:szCs w:val="24"/>
              </w:rPr>
            </w:pPr>
          </w:p>
          <w:p w14:paraId="67550F65" w14:textId="1EB1AFD6" w:rsidR="004D38A9" w:rsidRPr="00500CF6" w:rsidRDefault="00115406" w:rsidP="001B1EBC">
            <w:pPr>
              <w:spacing w:after="0" w:line="480" w:lineRule="auto"/>
              <w:ind w:right="-146"/>
              <w:rPr>
                <w:rFonts w:ascii="Arial" w:hAnsi="Arial" w:cs="Arial"/>
                <w:sz w:val="24"/>
                <w:szCs w:val="24"/>
              </w:rPr>
            </w:pPr>
            <w:r>
              <w:rPr>
                <w:rFonts w:ascii="Arial" w:hAnsi="Arial" w:cs="Arial"/>
                <w:sz w:val="24"/>
                <w:szCs w:val="24"/>
              </w:rPr>
              <w:t>Applicant</w:t>
            </w:r>
            <w:r w:rsidR="004D38A9" w:rsidRPr="00500CF6">
              <w:rPr>
                <w:rFonts w:ascii="Arial" w:hAnsi="Arial" w:cs="Arial"/>
                <w:sz w:val="24"/>
                <w:szCs w:val="24"/>
              </w:rPr>
              <w:t>:</w:t>
            </w:r>
          </w:p>
        </w:tc>
        <w:tc>
          <w:tcPr>
            <w:tcW w:w="4254" w:type="dxa"/>
            <w:shd w:val="clear" w:color="auto" w:fill="auto"/>
          </w:tcPr>
          <w:p w14:paraId="453C88B5" w14:textId="77777777" w:rsidR="004D38A9" w:rsidRDefault="004D38A9" w:rsidP="001B1EBC">
            <w:pPr>
              <w:spacing w:after="0" w:line="480" w:lineRule="auto"/>
              <w:rPr>
                <w:rFonts w:ascii="Arial" w:hAnsi="Arial" w:cs="Arial"/>
                <w:sz w:val="24"/>
                <w:szCs w:val="24"/>
              </w:rPr>
            </w:pPr>
          </w:p>
          <w:p w14:paraId="3E555AA0" w14:textId="77777777" w:rsidR="004D38A9" w:rsidRDefault="004D38A9" w:rsidP="001B1EBC">
            <w:pPr>
              <w:spacing w:after="0" w:line="480" w:lineRule="auto"/>
              <w:rPr>
                <w:rFonts w:ascii="Arial" w:hAnsi="Arial" w:cs="Arial"/>
                <w:sz w:val="24"/>
                <w:szCs w:val="24"/>
              </w:rPr>
            </w:pPr>
          </w:p>
          <w:p w14:paraId="6B8281EA" w14:textId="1298A71F" w:rsidR="004D38A9" w:rsidRPr="00500CF6" w:rsidRDefault="0026413D" w:rsidP="001B1EBC">
            <w:pPr>
              <w:spacing w:after="0" w:line="480" w:lineRule="auto"/>
              <w:rPr>
                <w:rFonts w:ascii="Arial" w:hAnsi="Arial" w:cs="Arial"/>
                <w:sz w:val="24"/>
                <w:szCs w:val="24"/>
              </w:rPr>
            </w:pPr>
            <w:r>
              <w:rPr>
                <w:rFonts w:ascii="Arial" w:hAnsi="Arial" w:cs="Arial"/>
                <w:sz w:val="24"/>
                <w:szCs w:val="24"/>
              </w:rPr>
              <w:t>TA Barnard</w:t>
            </w:r>
          </w:p>
        </w:tc>
      </w:tr>
      <w:tr w:rsidR="004D38A9" w:rsidRPr="00500CF6" w14:paraId="663CA06C" w14:textId="77777777" w:rsidTr="001B1EBC">
        <w:tc>
          <w:tcPr>
            <w:tcW w:w="4867" w:type="dxa"/>
            <w:shd w:val="clear" w:color="auto" w:fill="auto"/>
          </w:tcPr>
          <w:p w14:paraId="1FA5C0B7" w14:textId="77777777" w:rsidR="004D38A9" w:rsidRPr="00500CF6" w:rsidRDefault="004D38A9" w:rsidP="001B1EBC">
            <w:pPr>
              <w:spacing w:after="0" w:line="480" w:lineRule="auto"/>
              <w:rPr>
                <w:rFonts w:ascii="Arial" w:hAnsi="Arial" w:cs="Arial"/>
                <w:sz w:val="24"/>
                <w:szCs w:val="24"/>
              </w:rPr>
            </w:pPr>
          </w:p>
        </w:tc>
        <w:tc>
          <w:tcPr>
            <w:tcW w:w="4254" w:type="dxa"/>
            <w:shd w:val="clear" w:color="auto" w:fill="auto"/>
          </w:tcPr>
          <w:p w14:paraId="34DEE67A" w14:textId="24BE0E05" w:rsidR="004D38A9" w:rsidRPr="00500CF6" w:rsidRDefault="0026413D" w:rsidP="001B1EBC">
            <w:pPr>
              <w:spacing w:after="0" w:line="480" w:lineRule="auto"/>
              <w:rPr>
                <w:rFonts w:ascii="Arial" w:hAnsi="Arial" w:cs="Arial"/>
                <w:sz w:val="24"/>
                <w:szCs w:val="24"/>
              </w:rPr>
            </w:pPr>
            <w:r>
              <w:rPr>
                <w:rFonts w:ascii="Arial" w:hAnsi="Arial" w:cs="Arial"/>
                <w:sz w:val="24"/>
                <w:szCs w:val="24"/>
              </w:rPr>
              <w:t>Instructed by Theunissen, Louw &amp; Partners</w:t>
            </w:r>
          </w:p>
        </w:tc>
      </w:tr>
      <w:tr w:rsidR="004D38A9" w:rsidRPr="00500CF6" w14:paraId="55E4449C" w14:textId="77777777" w:rsidTr="001B1EBC">
        <w:tc>
          <w:tcPr>
            <w:tcW w:w="4867" w:type="dxa"/>
            <w:shd w:val="clear" w:color="auto" w:fill="auto"/>
          </w:tcPr>
          <w:p w14:paraId="3EE341BA" w14:textId="77777777" w:rsidR="004D38A9" w:rsidRPr="00500CF6" w:rsidRDefault="004D38A9" w:rsidP="001B1EBC">
            <w:pPr>
              <w:spacing w:after="0" w:line="480" w:lineRule="auto"/>
              <w:rPr>
                <w:rFonts w:ascii="Arial" w:hAnsi="Arial" w:cs="Arial"/>
                <w:sz w:val="24"/>
                <w:szCs w:val="24"/>
              </w:rPr>
            </w:pPr>
          </w:p>
          <w:p w14:paraId="2F5D4507" w14:textId="77777777" w:rsidR="004D38A9" w:rsidRPr="00500CF6" w:rsidRDefault="004D38A9" w:rsidP="001B1EBC">
            <w:pPr>
              <w:spacing w:after="0" w:line="480" w:lineRule="auto"/>
              <w:rPr>
                <w:rFonts w:ascii="Arial" w:hAnsi="Arial" w:cs="Arial"/>
                <w:sz w:val="24"/>
                <w:szCs w:val="24"/>
              </w:rPr>
            </w:pPr>
            <w:r w:rsidRPr="00500CF6">
              <w:rPr>
                <w:rFonts w:ascii="Arial" w:hAnsi="Arial" w:cs="Arial"/>
                <w:sz w:val="24"/>
                <w:szCs w:val="24"/>
              </w:rPr>
              <w:t>Respondent:</w:t>
            </w:r>
          </w:p>
        </w:tc>
        <w:tc>
          <w:tcPr>
            <w:tcW w:w="4254" w:type="dxa"/>
            <w:shd w:val="clear" w:color="auto" w:fill="auto"/>
          </w:tcPr>
          <w:p w14:paraId="282DE9D2" w14:textId="77777777" w:rsidR="004D38A9" w:rsidRPr="00500CF6" w:rsidRDefault="004D38A9" w:rsidP="001B1EBC">
            <w:pPr>
              <w:spacing w:after="0" w:line="480" w:lineRule="auto"/>
              <w:rPr>
                <w:rFonts w:ascii="Arial" w:hAnsi="Arial" w:cs="Arial"/>
                <w:sz w:val="24"/>
                <w:szCs w:val="24"/>
              </w:rPr>
            </w:pPr>
          </w:p>
          <w:p w14:paraId="6C08746C" w14:textId="77777777" w:rsidR="004D38A9" w:rsidRDefault="0026413D" w:rsidP="001B1EBC">
            <w:pPr>
              <w:spacing w:after="0" w:line="480" w:lineRule="auto"/>
              <w:rPr>
                <w:rFonts w:ascii="Arial" w:hAnsi="Arial" w:cs="Arial"/>
                <w:sz w:val="24"/>
                <w:szCs w:val="24"/>
              </w:rPr>
            </w:pPr>
            <w:r>
              <w:rPr>
                <w:rFonts w:ascii="Arial" w:hAnsi="Arial" w:cs="Arial"/>
                <w:sz w:val="24"/>
                <w:szCs w:val="24"/>
              </w:rPr>
              <w:t xml:space="preserve">P Barnard </w:t>
            </w:r>
          </w:p>
          <w:p w14:paraId="046FF3AF" w14:textId="1E40D44E" w:rsidR="0026413D" w:rsidRPr="00500CF6" w:rsidRDefault="0026413D" w:rsidP="001B1EBC">
            <w:pPr>
              <w:spacing w:after="0" w:line="480" w:lineRule="auto"/>
              <w:rPr>
                <w:rFonts w:ascii="Arial" w:hAnsi="Arial" w:cs="Arial"/>
                <w:sz w:val="24"/>
                <w:szCs w:val="24"/>
              </w:rPr>
            </w:pPr>
            <w:r>
              <w:rPr>
                <w:rFonts w:ascii="Arial" w:hAnsi="Arial" w:cs="Arial"/>
                <w:sz w:val="24"/>
                <w:szCs w:val="24"/>
              </w:rPr>
              <w:t>Instructed by De Beer Law Chambers</w:t>
            </w:r>
          </w:p>
        </w:tc>
      </w:tr>
      <w:tr w:rsidR="004D38A9" w:rsidRPr="00500CF6" w14:paraId="27E4A4AB" w14:textId="77777777" w:rsidTr="001B1EBC">
        <w:trPr>
          <w:trHeight w:val="328"/>
        </w:trPr>
        <w:tc>
          <w:tcPr>
            <w:tcW w:w="4867" w:type="dxa"/>
            <w:shd w:val="clear" w:color="auto" w:fill="auto"/>
          </w:tcPr>
          <w:p w14:paraId="3128EBD1" w14:textId="77777777" w:rsidR="004D38A9" w:rsidRPr="00500CF6" w:rsidRDefault="004D38A9" w:rsidP="001B1EBC">
            <w:pPr>
              <w:spacing w:after="0" w:line="480" w:lineRule="auto"/>
              <w:rPr>
                <w:rFonts w:ascii="Arial" w:hAnsi="Arial" w:cs="Arial"/>
                <w:sz w:val="24"/>
                <w:szCs w:val="24"/>
              </w:rPr>
            </w:pPr>
          </w:p>
        </w:tc>
        <w:tc>
          <w:tcPr>
            <w:tcW w:w="4254" w:type="dxa"/>
            <w:shd w:val="clear" w:color="auto" w:fill="auto"/>
          </w:tcPr>
          <w:p w14:paraId="09EB6DEC" w14:textId="77777777" w:rsidR="004D38A9" w:rsidRPr="00500CF6" w:rsidRDefault="004D38A9" w:rsidP="001B1EBC">
            <w:pPr>
              <w:spacing w:after="0" w:line="480" w:lineRule="auto"/>
              <w:rPr>
                <w:rFonts w:ascii="Arial" w:hAnsi="Arial" w:cs="Arial"/>
                <w:sz w:val="24"/>
                <w:szCs w:val="24"/>
              </w:rPr>
            </w:pPr>
          </w:p>
        </w:tc>
      </w:tr>
    </w:tbl>
    <w:p w14:paraId="098DF4DD" w14:textId="77777777" w:rsidR="004D38A9" w:rsidRDefault="004D38A9" w:rsidP="004D38A9">
      <w:pPr>
        <w:spacing w:after="0" w:line="480" w:lineRule="auto"/>
        <w:jc w:val="both"/>
      </w:pPr>
    </w:p>
    <w:p w14:paraId="354C9704" w14:textId="77777777" w:rsidR="004D38A9" w:rsidRDefault="004D38A9"/>
    <w:sectPr w:rsidR="004D38A9" w:rsidSect="00BB1B5D">
      <w:headerReference w:type="default" r:id="rId12"/>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0ABB" w14:textId="77777777" w:rsidR="0096244D" w:rsidRDefault="0096244D" w:rsidP="004D38A9">
      <w:pPr>
        <w:spacing w:after="0" w:line="240" w:lineRule="auto"/>
      </w:pPr>
      <w:r>
        <w:separator/>
      </w:r>
    </w:p>
  </w:endnote>
  <w:endnote w:type="continuationSeparator" w:id="0">
    <w:p w14:paraId="1852CB8C" w14:textId="77777777" w:rsidR="0096244D" w:rsidRDefault="0096244D" w:rsidP="004D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DF18" w14:textId="77777777" w:rsidR="0096244D" w:rsidRDefault="0096244D" w:rsidP="004D38A9">
      <w:pPr>
        <w:spacing w:after="0" w:line="240" w:lineRule="auto"/>
      </w:pPr>
      <w:r>
        <w:separator/>
      </w:r>
    </w:p>
  </w:footnote>
  <w:footnote w:type="continuationSeparator" w:id="0">
    <w:p w14:paraId="582BA398" w14:textId="77777777" w:rsidR="0096244D" w:rsidRDefault="0096244D" w:rsidP="004D38A9">
      <w:pPr>
        <w:spacing w:after="0" w:line="240" w:lineRule="auto"/>
      </w:pPr>
      <w:r>
        <w:continuationSeparator/>
      </w:r>
    </w:p>
  </w:footnote>
  <w:footnote w:id="1">
    <w:p w14:paraId="403C961B" w14:textId="221F2601" w:rsidR="006B66B7" w:rsidRPr="000A1038" w:rsidRDefault="006B66B7" w:rsidP="000A1038">
      <w:pPr>
        <w:pStyle w:val="FootnoteText"/>
        <w:jc w:val="both"/>
        <w:rPr>
          <w:rFonts w:ascii="Arial" w:hAnsi="Arial" w:cs="Arial"/>
          <w:lang w:val="en-ZA"/>
        </w:rPr>
      </w:pPr>
      <w:r w:rsidRPr="000A1038">
        <w:rPr>
          <w:rStyle w:val="FootnoteReference"/>
          <w:rFonts w:ascii="Arial" w:hAnsi="Arial" w:cs="Arial"/>
        </w:rPr>
        <w:footnoteRef/>
      </w:r>
      <w:r w:rsidRPr="000A1038">
        <w:rPr>
          <w:rFonts w:ascii="Arial" w:hAnsi="Arial" w:cs="Arial"/>
        </w:rPr>
        <w:t xml:space="preserve"> </w:t>
      </w:r>
      <w:r w:rsidR="000A1038" w:rsidRPr="000A1038">
        <w:rPr>
          <w:rFonts w:ascii="Arial" w:hAnsi="Arial" w:cs="Arial"/>
        </w:rPr>
        <w:t>Companies Act 28 of 2004.</w:t>
      </w:r>
    </w:p>
  </w:footnote>
  <w:footnote w:id="2">
    <w:p w14:paraId="57E22BF4" w14:textId="77D39470" w:rsidR="001237CC" w:rsidRDefault="001237CC" w:rsidP="001237CC">
      <w:pPr>
        <w:pStyle w:val="FootnoteText"/>
        <w:jc w:val="both"/>
      </w:pPr>
      <w:r w:rsidRPr="00214FAD">
        <w:rPr>
          <w:rStyle w:val="FootnoteReference"/>
          <w:rFonts w:ascii="Arial" w:hAnsi="Arial" w:cs="Arial"/>
        </w:rPr>
        <w:footnoteRef/>
      </w:r>
      <w:r>
        <w:t xml:space="preserve"> </w:t>
      </w:r>
      <w:r w:rsidRPr="001237CC">
        <w:rPr>
          <w:rFonts w:ascii="Arial" w:hAnsi="Arial" w:cs="Arial"/>
        </w:rPr>
        <w:t>Companies Act 28 of 2004.</w:t>
      </w:r>
    </w:p>
  </w:footnote>
  <w:footnote w:id="3">
    <w:p w14:paraId="3AA60417" w14:textId="517ADCA4" w:rsidR="00FE7093" w:rsidRDefault="00FE7093" w:rsidP="00FE7093">
      <w:pPr>
        <w:pStyle w:val="FootnoteText"/>
        <w:jc w:val="both"/>
      </w:pPr>
      <w:r w:rsidRPr="00640FAE">
        <w:rPr>
          <w:rStyle w:val="FootnoteReference"/>
          <w:rFonts w:ascii="Arial" w:hAnsi="Arial" w:cs="Arial"/>
        </w:rPr>
        <w:footnoteRef/>
      </w:r>
      <w:r>
        <w:t xml:space="preserve"> </w:t>
      </w:r>
      <w:r w:rsidRPr="00FE7093">
        <w:rPr>
          <w:rFonts w:ascii="Arial" w:hAnsi="Arial" w:cs="Arial"/>
        </w:rPr>
        <w:t>Supreme Court Act 15 of 1990.</w:t>
      </w:r>
    </w:p>
  </w:footnote>
  <w:footnote w:id="4">
    <w:p w14:paraId="0E13DD1C" w14:textId="048DCD88" w:rsidR="009406ED" w:rsidRPr="000A1038" w:rsidRDefault="009406ED" w:rsidP="009406ED">
      <w:pPr>
        <w:pStyle w:val="FootnoteText"/>
        <w:jc w:val="both"/>
        <w:rPr>
          <w:rFonts w:ascii="Arial" w:hAnsi="Arial" w:cs="Arial"/>
          <w:lang w:val="en-ZA"/>
        </w:rPr>
      </w:pPr>
      <w:r w:rsidRPr="009406ED">
        <w:rPr>
          <w:rStyle w:val="FootnoteReference"/>
          <w:rFonts w:ascii="Arial" w:hAnsi="Arial" w:cs="Arial"/>
        </w:rPr>
        <w:footnoteRef/>
      </w:r>
      <w:r w:rsidRPr="009406ED">
        <w:rPr>
          <w:rFonts w:ascii="Arial" w:hAnsi="Arial" w:cs="Arial"/>
        </w:rPr>
        <w:t xml:space="preserve"> </w:t>
      </w:r>
      <w:r w:rsidRPr="000A1038">
        <w:rPr>
          <w:rFonts w:ascii="Arial" w:hAnsi="Arial" w:cs="Arial"/>
          <w:i/>
        </w:rPr>
        <w:t xml:space="preserve">Huang v </w:t>
      </w:r>
      <w:proofErr w:type="spellStart"/>
      <w:r w:rsidRPr="000A1038">
        <w:rPr>
          <w:rFonts w:ascii="Arial" w:hAnsi="Arial" w:cs="Arial"/>
          <w:i/>
        </w:rPr>
        <w:t>Nevonga</w:t>
      </w:r>
      <w:proofErr w:type="spellEnd"/>
      <w:r w:rsidRPr="000A1038">
        <w:rPr>
          <w:rFonts w:ascii="Arial" w:hAnsi="Arial" w:cs="Arial"/>
          <w:i/>
        </w:rPr>
        <w:t xml:space="preserve"> </w:t>
      </w:r>
      <w:r w:rsidRPr="000A1038">
        <w:rPr>
          <w:rFonts w:ascii="Arial" w:hAnsi="Arial" w:cs="Arial"/>
        </w:rPr>
        <w:t>(SA 6</w:t>
      </w:r>
      <w:r w:rsidR="00620F10">
        <w:rPr>
          <w:rFonts w:ascii="Arial" w:hAnsi="Arial" w:cs="Arial"/>
        </w:rPr>
        <w:t>0</w:t>
      </w:r>
      <w:r w:rsidRPr="000A1038">
        <w:rPr>
          <w:rFonts w:ascii="Arial" w:hAnsi="Arial" w:cs="Arial"/>
        </w:rPr>
        <w:t>-2019) [2021] NASC (15 July 2021)</w:t>
      </w:r>
      <w:r w:rsidR="000A1038">
        <w:rPr>
          <w:rFonts w:ascii="Arial" w:hAnsi="Arial" w:cs="Arial"/>
        </w:rPr>
        <w:t>.</w:t>
      </w:r>
    </w:p>
  </w:footnote>
  <w:footnote w:id="5">
    <w:p w14:paraId="721933FA" w14:textId="339FA44A" w:rsidR="00640FAE" w:rsidRPr="00640FAE" w:rsidRDefault="00640FAE" w:rsidP="00640FAE">
      <w:pPr>
        <w:pStyle w:val="FootnoteText"/>
        <w:jc w:val="both"/>
        <w:rPr>
          <w:lang w:val="en-ZA"/>
        </w:rPr>
      </w:pPr>
      <w:r w:rsidRPr="00640FAE">
        <w:rPr>
          <w:rStyle w:val="FootnoteReference"/>
          <w:rFonts w:ascii="Arial" w:hAnsi="Arial" w:cs="Arial"/>
        </w:rPr>
        <w:footnoteRef/>
      </w:r>
      <w:r w:rsidRPr="00640FAE">
        <w:rPr>
          <w:rFonts w:ascii="Arial" w:hAnsi="Arial" w:cs="Arial"/>
        </w:rPr>
        <w:t xml:space="preserve"> </w:t>
      </w:r>
      <w:r w:rsidRPr="00640FAE">
        <w:rPr>
          <w:rFonts w:ascii="Arial" w:hAnsi="Arial" w:cs="Arial"/>
          <w:i/>
        </w:rPr>
        <w:t xml:space="preserve">Di Savino v Nedbank Namibia Ltd </w:t>
      </w:r>
      <w:r w:rsidRPr="00640FAE">
        <w:rPr>
          <w:rFonts w:ascii="Arial" w:hAnsi="Arial" w:cs="Arial"/>
        </w:rPr>
        <w:t>2017 (3) NR 880 (SC).</w:t>
      </w:r>
    </w:p>
  </w:footnote>
  <w:footnote w:id="6">
    <w:p w14:paraId="3FA6E708" w14:textId="0E116210" w:rsidR="00620F10" w:rsidRPr="00620F10" w:rsidRDefault="00620F10" w:rsidP="00620F10">
      <w:pPr>
        <w:pStyle w:val="FootnoteText"/>
        <w:jc w:val="both"/>
        <w:rPr>
          <w:rFonts w:ascii="Arial" w:hAnsi="Arial" w:cs="Arial"/>
          <w:lang w:val="en-ZA"/>
        </w:rPr>
      </w:pPr>
      <w:r>
        <w:rPr>
          <w:rStyle w:val="FootnoteReference"/>
        </w:rPr>
        <w:footnoteRef/>
      </w:r>
      <w:r>
        <w:t xml:space="preserve"> </w:t>
      </w:r>
      <w:r w:rsidRPr="00620F10">
        <w:rPr>
          <w:rFonts w:ascii="Arial" w:hAnsi="Arial" w:cs="Arial"/>
        </w:rPr>
        <w:t xml:space="preserve">See </w:t>
      </w:r>
      <w:r w:rsidRPr="00620F10">
        <w:rPr>
          <w:rFonts w:ascii="Arial" w:hAnsi="Arial" w:cs="Arial"/>
          <w:i/>
        </w:rPr>
        <w:t xml:space="preserve">Beukes and another v </w:t>
      </w:r>
      <w:proofErr w:type="gramStart"/>
      <w:r w:rsidRPr="00620F10">
        <w:rPr>
          <w:rFonts w:ascii="Arial" w:hAnsi="Arial" w:cs="Arial"/>
          <w:i/>
        </w:rPr>
        <w:t>South West</w:t>
      </w:r>
      <w:proofErr w:type="gramEnd"/>
      <w:r w:rsidRPr="00620F10">
        <w:rPr>
          <w:rFonts w:ascii="Arial" w:hAnsi="Arial" w:cs="Arial"/>
          <w:i/>
        </w:rPr>
        <w:t xml:space="preserve"> Africa Building Society and others</w:t>
      </w:r>
      <w:r w:rsidRPr="00620F10">
        <w:rPr>
          <w:rFonts w:ascii="Arial" w:hAnsi="Arial" w:cs="Arial"/>
        </w:rPr>
        <w:t xml:space="preserve"> (SA 10-2006) [2010</w:t>
      </w:r>
      <w:r w:rsidR="00A32C51">
        <w:rPr>
          <w:rFonts w:ascii="Arial" w:hAnsi="Arial" w:cs="Arial"/>
        </w:rPr>
        <w:t>] NASC 14 (5 November 2010).</w:t>
      </w:r>
    </w:p>
  </w:footnote>
  <w:footnote w:id="7">
    <w:p w14:paraId="3453591E" w14:textId="2FE35B29" w:rsidR="000A1038" w:rsidRPr="000A1038" w:rsidRDefault="000A1038" w:rsidP="000A1038">
      <w:pPr>
        <w:pStyle w:val="FootnoteText"/>
        <w:jc w:val="both"/>
        <w:rPr>
          <w:rFonts w:ascii="Arial" w:hAnsi="Arial" w:cs="Arial"/>
          <w:lang w:val="en-ZA"/>
        </w:rPr>
      </w:pPr>
      <w:r w:rsidRPr="000A1038">
        <w:rPr>
          <w:rStyle w:val="FootnoteReference"/>
          <w:rFonts w:ascii="Arial" w:hAnsi="Arial" w:cs="Arial"/>
        </w:rPr>
        <w:footnoteRef/>
      </w:r>
      <w:r w:rsidR="00233C7C">
        <w:rPr>
          <w:rFonts w:ascii="Arial" w:hAnsi="Arial" w:cs="Arial"/>
          <w:i/>
        </w:rPr>
        <w:t xml:space="preserve"> </w:t>
      </w:r>
      <w:r w:rsidRPr="000A1038">
        <w:rPr>
          <w:rFonts w:ascii="Arial" w:hAnsi="Arial" w:cs="Arial"/>
          <w:i/>
        </w:rPr>
        <w:t xml:space="preserve">Standard Bank Namibia Limited v </w:t>
      </w:r>
      <w:proofErr w:type="spellStart"/>
      <w:r w:rsidRPr="000A1038">
        <w:rPr>
          <w:rFonts w:ascii="Arial" w:hAnsi="Arial" w:cs="Arial"/>
          <w:i/>
        </w:rPr>
        <w:t>Nekwaya</w:t>
      </w:r>
      <w:proofErr w:type="spellEnd"/>
      <w:r w:rsidRPr="000A1038">
        <w:rPr>
          <w:rFonts w:ascii="Arial" w:hAnsi="Arial" w:cs="Arial"/>
        </w:rPr>
        <w:t xml:space="preserve"> (SA 95-2020) [2022] NASC (1 December 2022)</w:t>
      </w:r>
      <w:r>
        <w:rPr>
          <w:rFonts w:ascii="Arial" w:hAnsi="Arial" w:cs="Arial"/>
        </w:rPr>
        <w:t>.</w:t>
      </w:r>
      <w:r w:rsidRPr="000A1038">
        <w:rPr>
          <w:rFonts w:ascii="Arial" w:hAnsi="Arial" w:cs="Arial"/>
          <w:lang w:val="en-ZA"/>
        </w:rPr>
        <w:t xml:space="preserve">  </w:t>
      </w:r>
    </w:p>
  </w:footnote>
  <w:footnote w:id="8">
    <w:p w14:paraId="5CE28A7E" w14:textId="5364A40F" w:rsidR="009406ED" w:rsidRPr="009406ED" w:rsidRDefault="009406ED" w:rsidP="009406ED">
      <w:pPr>
        <w:pStyle w:val="FootnoteText"/>
        <w:jc w:val="both"/>
        <w:rPr>
          <w:lang w:val="en-ZA"/>
        </w:rPr>
      </w:pPr>
      <w:r w:rsidRPr="009406ED">
        <w:rPr>
          <w:rStyle w:val="FootnoteReference"/>
          <w:rFonts w:ascii="Arial" w:hAnsi="Arial" w:cs="Arial"/>
        </w:rPr>
        <w:footnoteRef/>
      </w:r>
      <w:r>
        <w:t xml:space="preserve"> </w:t>
      </w:r>
      <w:r w:rsidRPr="009406ED">
        <w:rPr>
          <w:rFonts w:ascii="Arial" w:hAnsi="Arial" w:cs="Arial"/>
          <w:i/>
        </w:rPr>
        <w:t>Steytler NO v Fitzgerald</w:t>
      </w:r>
      <w:r w:rsidRPr="009406ED">
        <w:rPr>
          <w:rFonts w:ascii="Arial" w:hAnsi="Arial" w:cs="Arial"/>
        </w:rPr>
        <w:t xml:space="preserve"> 1911 AD 295 at 304</w:t>
      </w:r>
      <w:r>
        <w:rPr>
          <w:rFonts w:ascii="Arial" w:hAnsi="Arial" w:cs="Arial"/>
        </w:rPr>
        <w:t>.</w:t>
      </w:r>
    </w:p>
  </w:footnote>
  <w:footnote w:id="9">
    <w:p w14:paraId="507DEAA3" w14:textId="0584F4E7" w:rsidR="00640FAE" w:rsidRPr="00640FAE" w:rsidRDefault="00640FAE" w:rsidP="00640FAE">
      <w:pPr>
        <w:pStyle w:val="FootnoteText"/>
        <w:jc w:val="both"/>
        <w:rPr>
          <w:rFonts w:ascii="Arial" w:hAnsi="Arial" w:cs="Arial"/>
          <w:lang w:val="en-ZA"/>
        </w:rPr>
      </w:pPr>
      <w:r w:rsidRPr="00640FAE">
        <w:rPr>
          <w:rStyle w:val="FootnoteReference"/>
          <w:rFonts w:ascii="Arial" w:hAnsi="Arial" w:cs="Arial"/>
        </w:rPr>
        <w:footnoteRef/>
      </w:r>
      <w:r w:rsidRPr="00640FAE">
        <w:rPr>
          <w:rFonts w:ascii="Arial" w:hAnsi="Arial" w:cs="Arial"/>
        </w:rPr>
        <w:t xml:space="preserve"> </w:t>
      </w:r>
      <w:r w:rsidRPr="00640FAE">
        <w:rPr>
          <w:rFonts w:ascii="Arial" w:hAnsi="Arial" w:cs="Arial"/>
          <w:i/>
        </w:rPr>
        <w:t>Kaese v Schacht &amp; another</w:t>
      </w:r>
      <w:r w:rsidRPr="00640FAE">
        <w:rPr>
          <w:rFonts w:ascii="Arial" w:hAnsi="Arial" w:cs="Arial"/>
        </w:rPr>
        <w:t xml:space="preserve"> 2010 (1) NR 199 (SC).</w:t>
      </w:r>
    </w:p>
  </w:footnote>
  <w:footnote w:id="10">
    <w:p w14:paraId="78AF1B29" w14:textId="40AA7DD4" w:rsidR="00640FAE" w:rsidRPr="00640FAE" w:rsidRDefault="00640FAE" w:rsidP="00640FAE">
      <w:pPr>
        <w:pStyle w:val="FootnoteText"/>
        <w:jc w:val="both"/>
        <w:rPr>
          <w:rFonts w:ascii="Arial" w:hAnsi="Arial" w:cs="Arial"/>
          <w:lang w:val="en-ZA"/>
        </w:rPr>
      </w:pPr>
      <w:r w:rsidRPr="00640FAE">
        <w:rPr>
          <w:rStyle w:val="FootnoteReference"/>
          <w:rFonts w:ascii="Arial" w:hAnsi="Arial" w:cs="Arial"/>
        </w:rPr>
        <w:footnoteRef/>
      </w:r>
      <w:r w:rsidRPr="00640FAE">
        <w:rPr>
          <w:rFonts w:ascii="Arial" w:hAnsi="Arial" w:cs="Arial"/>
        </w:rPr>
        <w:t xml:space="preserve"> </w:t>
      </w:r>
      <w:r w:rsidRPr="00640FAE">
        <w:rPr>
          <w:rFonts w:ascii="Arial" w:hAnsi="Arial" w:cs="Arial"/>
          <w:i/>
        </w:rPr>
        <w:t>Stier &amp; another v Henke</w:t>
      </w:r>
      <w:r w:rsidRPr="00640FAE">
        <w:rPr>
          <w:rFonts w:ascii="Arial" w:hAnsi="Arial" w:cs="Arial"/>
        </w:rPr>
        <w:t xml:space="preserve"> 2012 (1) NR 370 (SC).</w:t>
      </w:r>
    </w:p>
  </w:footnote>
  <w:footnote w:id="11">
    <w:p w14:paraId="659E19E3" w14:textId="497296FE" w:rsidR="00D6381C" w:rsidRDefault="00D6381C" w:rsidP="00D6381C">
      <w:pPr>
        <w:pStyle w:val="FootnoteText"/>
        <w:jc w:val="both"/>
      </w:pPr>
      <w:r w:rsidRPr="00233C7C">
        <w:rPr>
          <w:rStyle w:val="FootnoteReference"/>
          <w:rFonts w:ascii="Arial" w:hAnsi="Arial" w:cs="Arial"/>
        </w:rPr>
        <w:footnoteRef/>
      </w:r>
      <w:r w:rsidRPr="00233C7C">
        <w:rPr>
          <w:rFonts w:ascii="Arial" w:hAnsi="Arial" w:cs="Arial"/>
        </w:rPr>
        <w:t xml:space="preserve"> </w:t>
      </w:r>
      <w:proofErr w:type="spellStart"/>
      <w:r w:rsidRPr="00D6381C">
        <w:rPr>
          <w:rFonts w:ascii="Arial" w:hAnsi="Arial" w:cs="Arial"/>
          <w:i/>
        </w:rPr>
        <w:t>Arangies</w:t>
      </w:r>
      <w:proofErr w:type="spellEnd"/>
      <w:r w:rsidRPr="00D6381C">
        <w:rPr>
          <w:rFonts w:ascii="Arial" w:hAnsi="Arial" w:cs="Arial"/>
          <w:i/>
        </w:rPr>
        <w:t xml:space="preserve"> t/a Auto</w:t>
      </w:r>
      <w:r>
        <w:rPr>
          <w:rFonts w:ascii="Arial" w:hAnsi="Arial" w:cs="Arial"/>
          <w:i/>
        </w:rPr>
        <w:t xml:space="preserve"> T</w:t>
      </w:r>
      <w:r w:rsidRPr="00D6381C">
        <w:rPr>
          <w:rFonts w:ascii="Arial" w:hAnsi="Arial" w:cs="Arial"/>
          <w:i/>
        </w:rPr>
        <w:t>ech v Quick Build</w:t>
      </w:r>
      <w:r w:rsidRPr="00D6381C">
        <w:rPr>
          <w:rFonts w:ascii="Arial" w:hAnsi="Arial" w:cs="Arial"/>
        </w:rPr>
        <w:t xml:space="preserve"> 2014 (1) NR 187 (SC)</w:t>
      </w:r>
      <w:r w:rsidR="001237CC">
        <w:rPr>
          <w:rFonts w:ascii="Arial" w:hAnsi="Arial" w:cs="Arial"/>
        </w:rPr>
        <w:t xml:space="preserve"> para</w:t>
      </w:r>
      <w:r w:rsidR="00C939E7">
        <w:rPr>
          <w:rFonts w:ascii="Arial" w:hAnsi="Arial" w:cs="Arial"/>
        </w:rPr>
        <w:t xml:space="preserve"> </w:t>
      </w:r>
      <w:r w:rsidR="001237CC">
        <w:rPr>
          <w:rFonts w:ascii="Arial" w:hAnsi="Arial" w:cs="Arial"/>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D9EC" w14:textId="77777777" w:rsidR="009617B5" w:rsidRPr="007D275A" w:rsidRDefault="00301113">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4E46B6">
      <w:rPr>
        <w:rFonts w:ascii="Arial" w:hAnsi="Arial" w:cs="Arial"/>
        <w:noProof/>
        <w:sz w:val="24"/>
        <w:szCs w:val="24"/>
      </w:rPr>
      <w:t>2</w:t>
    </w:r>
    <w:r w:rsidRPr="007D275A">
      <w:rPr>
        <w:rFonts w:ascii="Arial" w:hAnsi="Arial" w:cs="Arial"/>
        <w:noProof/>
        <w:sz w:val="24"/>
        <w:szCs w:val="24"/>
      </w:rPr>
      <w:fldChar w:fldCharType="end"/>
    </w:r>
  </w:p>
  <w:p w14:paraId="3D81FC17" w14:textId="77777777" w:rsidR="009617B5" w:rsidRDefault="0096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4E2B"/>
    <w:multiLevelType w:val="hybridMultilevel"/>
    <w:tmpl w:val="3370B664"/>
    <w:lvl w:ilvl="0" w:tplc="03D67906">
      <w:start w:val="1"/>
      <w:numFmt w:val="decimal"/>
      <w:lvlText w:val="[%1]"/>
      <w:lvlJc w:val="left"/>
      <w:pPr>
        <w:ind w:left="1800" w:hanging="360"/>
      </w:pPr>
      <w:rPr>
        <w:rFonts w:hint="default"/>
        <w:i w:val="0"/>
      </w:rPr>
    </w:lvl>
    <w:lvl w:ilvl="1" w:tplc="1C090019" w:tentative="1">
      <w:start w:val="1"/>
      <w:numFmt w:val="lowerLetter"/>
      <w:lvlText w:val="%2."/>
      <w:lvlJc w:val="left"/>
      <w:pPr>
        <w:ind w:left="2913" w:hanging="360"/>
      </w:pPr>
    </w:lvl>
    <w:lvl w:ilvl="2" w:tplc="1C09001B" w:tentative="1">
      <w:start w:val="1"/>
      <w:numFmt w:val="lowerRoman"/>
      <w:lvlText w:val="%3."/>
      <w:lvlJc w:val="right"/>
      <w:pPr>
        <w:ind w:left="3633" w:hanging="180"/>
      </w:pPr>
    </w:lvl>
    <w:lvl w:ilvl="3" w:tplc="1C09000F" w:tentative="1">
      <w:start w:val="1"/>
      <w:numFmt w:val="decimal"/>
      <w:lvlText w:val="%4."/>
      <w:lvlJc w:val="left"/>
      <w:pPr>
        <w:ind w:left="4353" w:hanging="360"/>
      </w:pPr>
    </w:lvl>
    <w:lvl w:ilvl="4" w:tplc="1C090019" w:tentative="1">
      <w:start w:val="1"/>
      <w:numFmt w:val="lowerLetter"/>
      <w:lvlText w:val="%5."/>
      <w:lvlJc w:val="left"/>
      <w:pPr>
        <w:ind w:left="5073" w:hanging="360"/>
      </w:pPr>
    </w:lvl>
    <w:lvl w:ilvl="5" w:tplc="1C09001B" w:tentative="1">
      <w:start w:val="1"/>
      <w:numFmt w:val="lowerRoman"/>
      <w:lvlText w:val="%6."/>
      <w:lvlJc w:val="right"/>
      <w:pPr>
        <w:ind w:left="5793" w:hanging="180"/>
      </w:pPr>
    </w:lvl>
    <w:lvl w:ilvl="6" w:tplc="1C09000F" w:tentative="1">
      <w:start w:val="1"/>
      <w:numFmt w:val="decimal"/>
      <w:lvlText w:val="%7."/>
      <w:lvlJc w:val="left"/>
      <w:pPr>
        <w:ind w:left="6513" w:hanging="360"/>
      </w:pPr>
    </w:lvl>
    <w:lvl w:ilvl="7" w:tplc="1C090019" w:tentative="1">
      <w:start w:val="1"/>
      <w:numFmt w:val="lowerLetter"/>
      <w:lvlText w:val="%8."/>
      <w:lvlJc w:val="left"/>
      <w:pPr>
        <w:ind w:left="7233" w:hanging="360"/>
      </w:pPr>
    </w:lvl>
    <w:lvl w:ilvl="8" w:tplc="1C09001B" w:tentative="1">
      <w:start w:val="1"/>
      <w:numFmt w:val="lowerRoman"/>
      <w:lvlText w:val="%9."/>
      <w:lvlJc w:val="right"/>
      <w:pPr>
        <w:ind w:left="7953" w:hanging="180"/>
      </w:pPr>
    </w:lvl>
  </w:abstractNum>
  <w:abstractNum w:abstractNumId="1" w15:restartNumberingAfterBreak="0">
    <w:nsid w:val="3E615225"/>
    <w:multiLevelType w:val="hybridMultilevel"/>
    <w:tmpl w:val="2F6EECC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5294632"/>
    <w:multiLevelType w:val="multilevel"/>
    <w:tmpl w:val="C6506FAA"/>
    <w:lvl w:ilvl="0">
      <w:start w:val="1"/>
      <w:numFmt w:val="decimal"/>
      <w:lvlText w:val="%1."/>
      <w:lvlJc w:val="left"/>
      <w:pPr>
        <w:ind w:left="928" w:hanging="360"/>
      </w:pPr>
      <w:rPr>
        <w:rFonts w:hint="default"/>
      </w:rPr>
    </w:lvl>
    <w:lvl w:ilvl="1">
      <w:start w:val="1"/>
      <w:numFmt w:val="decimal"/>
      <w:isLgl/>
      <w:lvlText w:val="%1.%2"/>
      <w:lvlJc w:val="left"/>
      <w:pPr>
        <w:ind w:left="1348" w:hanging="4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3" w15:restartNumberingAfterBreak="0">
    <w:nsid w:val="5F6335F0"/>
    <w:multiLevelType w:val="hybridMultilevel"/>
    <w:tmpl w:val="55389736"/>
    <w:lvl w:ilvl="0" w:tplc="57E6AD56">
      <w:start w:val="1"/>
      <w:numFmt w:val="lowerLetter"/>
      <w:lvlText w:val="(%1)"/>
      <w:lvlJc w:val="left"/>
      <w:pPr>
        <w:ind w:left="1288" w:hanging="360"/>
      </w:pPr>
      <w:rPr>
        <w:rFonts w:hint="default"/>
        <w:i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15:restartNumberingAfterBreak="0">
    <w:nsid w:val="7671194F"/>
    <w:multiLevelType w:val="hybridMultilevel"/>
    <w:tmpl w:val="38B8341A"/>
    <w:lvl w:ilvl="0" w:tplc="5808BF80">
      <w:start w:val="1"/>
      <w:numFmt w:val="lowerLetter"/>
      <w:lvlText w:val="(%1)"/>
      <w:lvlJc w:val="left"/>
      <w:pPr>
        <w:ind w:left="1710" w:hanging="360"/>
      </w:pPr>
      <w:rPr>
        <w:rFonts w:ascii="Arial" w:eastAsia="Calibri" w:hAnsi="Arial"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787D1E31"/>
    <w:multiLevelType w:val="hybridMultilevel"/>
    <w:tmpl w:val="3E4434E8"/>
    <w:lvl w:ilvl="0" w:tplc="7E6ED9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2659867">
    <w:abstractNumId w:val="0"/>
  </w:num>
  <w:num w:numId="2" w16cid:durableId="624625210">
    <w:abstractNumId w:val="2"/>
  </w:num>
  <w:num w:numId="3" w16cid:durableId="638343306">
    <w:abstractNumId w:val="4"/>
  </w:num>
  <w:num w:numId="4" w16cid:durableId="1615333051">
    <w:abstractNumId w:val="1"/>
  </w:num>
  <w:num w:numId="5" w16cid:durableId="651183601">
    <w:abstractNumId w:val="3"/>
  </w:num>
  <w:num w:numId="6" w16cid:durableId="149635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A9"/>
    <w:rsid w:val="0000020D"/>
    <w:rsid w:val="00007B3A"/>
    <w:rsid w:val="00015F1F"/>
    <w:rsid w:val="00023D8A"/>
    <w:rsid w:val="00032024"/>
    <w:rsid w:val="0003731E"/>
    <w:rsid w:val="00042A8D"/>
    <w:rsid w:val="000603BF"/>
    <w:rsid w:val="000A1038"/>
    <w:rsid w:val="000B3C62"/>
    <w:rsid w:val="000B6524"/>
    <w:rsid w:val="000C340E"/>
    <w:rsid w:val="000C4959"/>
    <w:rsid w:val="000C7A1A"/>
    <w:rsid w:val="000D2D1F"/>
    <w:rsid w:val="000D3B4F"/>
    <w:rsid w:val="000E05B2"/>
    <w:rsid w:val="000E24D0"/>
    <w:rsid w:val="000E3C0E"/>
    <w:rsid w:val="000E7EA0"/>
    <w:rsid w:val="00115406"/>
    <w:rsid w:val="00116478"/>
    <w:rsid w:val="001237CC"/>
    <w:rsid w:val="00134381"/>
    <w:rsid w:val="0013450B"/>
    <w:rsid w:val="001834ED"/>
    <w:rsid w:val="001861BC"/>
    <w:rsid w:val="001C334B"/>
    <w:rsid w:val="001F2E6A"/>
    <w:rsid w:val="002053EE"/>
    <w:rsid w:val="00214FAD"/>
    <w:rsid w:val="002158C4"/>
    <w:rsid w:val="00227486"/>
    <w:rsid w:val="00232DF7"/>
    <w:rsid w:val="00233C7C"/>
    <w:rsid w:val="0024405E"/>
    <w:rsid w:val="00262B52"/>
    <w:rsid w:val="0026413D"/>
    <w:rsid w:val="00266C9E"/>
    <w:rsid w:val="0028420C"/>
    <w:rsid w:val="002878F7"/>
    <w:rsid w:val="002A3FFB"/>
    <w:rsid w:val="002A7739"/>
    <w:rsid w:val="002B25E4"/>
    <w:rsid w:val="002C289E"/>
    <w:rsid w:val="002C65F3"/>
    <w:rsid w:val="002D6E35"/>
    <w:rsid w:val="002E67CB"/>
    <w:rsid w:val="002F32C6"/>
    <w:rsid w:val="00301113"/>
    <w:rsid w:val="003020DE"/>
    <w:rsid w:val="00317F2F"/>
    <w:rsid w:val="003249FD"/>
    <w:rsid w:val="00326497"/>
    <w:rsid w:val="00333851"/>
    <w:rsid w:val="0035214D"/>
    <w:rsid w:val="00352E9C"/>
    <w:rsid w:val="00360B6D"/>
    <w:rsid w:val="00363A31"/>
    <w:rsid w:val="003712DA"/>
    <w:rsid w:val="0037250A"/>
    <w:rsid w:val="00373DD3"/>
    <w:rsid w:val="003822C8"/>
    <w:rsid w:val="003A36E0"/>
    <w:rsid w:val="003A45F4"/>
    <w:rsid w:val="003A5AF1"/>
    <w:rsid w:val="003B3B03"/>
    <w:rsid w:val="003B77D3"/>
    <w:rsid w:val="003C1F04"/>
    <w:rsid w:val="003E4ECD"/>
    <w:rsid w:val="003F7554"/>
    <w:rsid w:val="0040509E"/>
    <w:rsid w:val="00450245"/>
    <w:rsid w:val="00452CC5"/>
    <w:rsid w:val="00452E2B"/>
    <w:rsid w:val="0046619E"/>
    <w:rsid w:val="00470686"/>
    <w:rsid w:val="00484D71"/>
    <w:rsid w:val="00495382"/>
    <w:rsid w:val="004955E4"/>
    <w:rsid w:val="00497F6A"/>
    <w:rsid w:val="004B2B4C"/>
    <w:rsid w:val="004B322D"/>
    <w:rsid w:val="004C1E18"/>
    <w:rsid w:val="004D2147"/>
    <w:rsid w:val="004D38A9"/>
    <w:rsid w:val="004D3E64"/>
    <w:rsid w:val="004D76F2"/>
    <w:rsid w:val="004E46B6"/>
    <w:rsid w:val="004F643D"/>
    <w:rsid w:val="00501D58"/>
    <w:rsid w:val="00505614"/>
    <w:rsid w:val="00506152"/>
    <w:rsid w:val="00517C31"/>
    <w:rsid w:val="00551D9B"/>
    <w:rsid w:val="0056467B"/>
    <w:rsid w:val="00565E9C"/>
    <w:rsid w:val="0057148C"/>
    <w:rsid w:val="00581558"/>
    <w:rsid w:val="00582B84"/>
    <w:rsid w:val="0058396C"/>
    <w:rsid w:val="00585220"/>
    <w:rsid w:val="00587F13"/>
    <w:rsid w:val="005A392D"/>
    <w:rsid w:val="005B5D6B"/>
    <w:rsid w:val="005C6264"/>
    <w:rsid w:val="005D5BFA"/>
    <w:rsid w:val="005D6640"/>
    <w:rsid w:val="005E0493"/>
    <w:rsid w:val="005E0DC3"/>
    <w:rsid w:val="005F50CF"/>
    <w:rsid w:val="00603D11"/>
    <w:rsid w:val="00604229"/>
    <w:rsid w:val="006204EA"/>
    <w:rsid w:val="0062088B"/>
    <w:rsid w:val="00620F10"/>
    <w:rsid w:val="00635657"/>
    <w:rsid w:val="00640FAE"/>
    <w:rsid w:val="00641012"/>
    <w:rsid w:val="00645567"/>
    <w:rsid w:val="006555CC"/>
    <w:rsid w:val="00660818"/>
    <w:rsid w:val="00690000"/>
    <w:rsid w:val="0069469E"/>
    <w:rsid w:val="006B10B3"/>
    <w:rsid w:val="006B1BC5"/>
    <w:rsid w:val="006B5070"/>
    <w:rsid w:val="006B5634"/>
    <w:rsid w:val="006B66B7"/>
    <w:rsid w:val="006C57AF"/>
    <w:rsid w:val="006D7E5A"/>
    <w:rsid w:val="006E00B2"/>
    <w:rsid w:val="006E14F2"/>
    <w:rsid w:val="006E79A0"/>
    <w:rsid w:val="006F5B88"/>
    <w:rsid w:val="00717DA8"/>
    <w:rsid w:val="00724B56"/>
    <w:rsid w:val="007302B3"/>
    <w:rsid w:val="0073042D"/>
    <w:rsid w:val="0073522D"/>
    <w:rsid w:val="0073669A"/>
    <w:rsid w:val="007379D1"/>
    <w:rsid w:val="00763C8C"/>
    <w:rsid w:val="00767BAB"/>
    <w:rsid w:val="00780E5B"/>
    <w:rsid w:val="00796942"/>
    <w:rsid w:val="00797283"/>
    <w:rsid w:val="007B04FA"/>
    <w:rsid w:val="007C1BC9"/>
    <w:rsid w:val="007E2F6D"/>
    <w:rsid w:val="007E4963"/>
    <w:rsid w:val="007F4AC3"/>
    <w:rsid w:val="0081568F"/>
    <w:rsid w:val="00821501"/>
    <w:rsid w:val="00835916"/>
    <w:rsid w:val="00856B4F"/>
    <w:rsid w:val="00861739"/>
    <w:rsid w:val="00863FC2"/>
    <w:rsid w:val="00867625"/>
    <w:rsid w:val="008756B7"/>
    <w:rsid w:val="008956B4"/>
    <w:rsid w:val="00896CB3"/>
    <w:rsid w:val="008A5731"/>
    <w:rsid w:val="008A6200"/>
    <w:rsid w:val="008D0419"/>
    <w:rsid w:val="008D58FE"/>
    <w:rsid w:val="008D6B94"/>
    <w:rsid w:val="008D77A4"/>
    <w:rsid w:val="0090717B"/>
    <w:rsid w:val="00907B91"/>
    <w:rsid w:val="0092284E"/>
    <w:rsid w:val="00927EFA"/>
    <w:rsid w:val="009406ED"/>
    <w:rsid w:val="00942B8B"/>
    <w:rsid w:val="00956675"/>
    <w:rsid w:val="009617B5"/>
    <w:rsid w:val="0096197D"/>
    <w:rsid w:val="0096244D"/>
    <w:rsid w:val="00967D55"/>
    <w:rsid w:val="009960B7"/>
    <w:rsid w:val="00997D2C"/>
    <w:rsid w:val="009A2EA0"/>
    <w:rsid w:val="009B58E4"/>
    <w:rsid w:val="009C18A1"/>
    <w:rsid w:val="009C2FAE"/>
    <w:rsid w:val="009D550E"/>
    <w:rsid w:val="009E4D2A"/>
    <w:rsid w:val="009F098A"/>
    <w:rsid w:val="00A00745"/>
    <w:rsid w:val="00A15E32"/>
    <w:rsid w:val="00A23C4E"/>
    <w:rsid w:val="00A32C51"/>
    <w:rsid w:val="00A65D2C"/>
    <w:rsid w:val="00A95CE2"/>
    <w:rsid w:val="00AB682D"/>
    <w:rsid w:val="00AB71C6"/>
    <w:rsid w:val="00AB7C92"/>
    <w:rsid w:val="00AF0D3D"/>
    <w:rsid w:val="00B052B2"/>
    <w:rsid w:val="00B0608B"/>
    <w:rsid w:val="00B107FD"/>
    <w:rsid w:val="00B10B88"/>
    <w:rsid w:val="00B2064E"/>
    <w:rsid w:val="00B20C03"/>
    <w:rsid w:val="00B21341"/>
    <w:rsid w:val="00B528B2"/>
    <w:rsid w:val="00B567A8"/>
    <w:rsid w:val="00B57206"/>
    <w:rsid w:val="00B7015B"/>
    <w:rsid w:val="00B8712F"/>
    <w:rsid w:val="00B906F7"/>
    <w:rsid w:val="00BC7FD8"/>
    <w:rsid w:val="00BD1C83"/>
    <w:rsid w:val="00BE1518"/>
    <w:rsid w:val="00BE43B5"/>
    <w:rsid w:val="00BE6EB0"/>
    <w:rsid w:val="00C14BE7"/>
    <w:rsid w:val="00C36FE3"/>
    <w:rsid w:val="00C44C84"/>
    <w:rsid w:val="00C463F2"/>
    <w:rsid w:val="00C54985"/>
    <w:rsid w:val="00C939E7"/>
    <w:rsid w:val="00C95993"/>
    <w:rsid w:val="00CB20FF"/>
    <w:rsid w:val="00CB58DE"/>
    <w:rsid w:val="00CB6293"/>
    <w:rsid w:val="00CB72E4"/>
    <w:rsid w:val="00CD1A70"/>
    <w:rsid w:val="00CD2C2D"/>
    <w:rsid w:val="00CD6879"/>
    <w:rsid w:val="00CD70B2"/>
    <w:rsid w:val="00CD7515"/>
    <w:rsid w:val="00D018D4"/>
    <w:rsid w:val="00D06B82"/>
    <w:rsid w:val="00D07D9D"/>
    <w:rsid w:val="00D23984"/>
    <w:rsid w:val="00D4654B"/>
    <w:rsid w:val="00D538E8"/>
    <w:rsid w:val="00D53E68"/>
    <w:rsid w:val="00D6381C"/>
    <w:rsid w:val="00D65BF0"/>
    <w:rsid w:val="00D9504C"/>
    <w:rsid w:val="00DA72D9"/>
    <w:rsid w:val="00DB44DF"/>
    <w:rsid w:val="00DC1237"/>
    <w:rsid w:val="00DE079A"/>
    <w:rsid w:val="00DE7099"/>
    <w:rsid w:val="00DF17BC"/>
    <w:rsid w:val="00DF3E0C"/>
    <w:rsid w:val="00E04D83"/>
    <w:rsid w:val="00E12058"/>
    <w:rsid w:val="00E230EA"/>
    <w:rsid w:val="00E339A6"/>
    <w:rsid w:val="00E409F6"/>
    <w:rsid w:val="00E436D2"/>
    <w:rsid w:val="00E43EE6"/>
    <w:rsid w:val="00E45156"/>
    <w:rsid w:val="00E50718"/>
    <w:rsid w:val="00E517D8"/>
    <w:rsid w:val="00E62074"/>
    <w:rsid w:val="00E74FFB"/>
    <w:rsid w:val="00E839A6"/>
    <w:rsid w:val="00E87C8E"/>
    <w:rsid w:val="00E94B9B"/>
    <w:rsid w:val="00E9766F"/>
    <w:rsid w:val="00EA63FF"/>
    <w:rsid w:val="00EB2C3F"/>
    <w:rsid w:val="00EB70F8"/>
    <w:rsid w:val="00EC233C"/>
    <w:rsid w:val="00EC4B03"/>
    <w:rsid w:val="00EE5ED3"/>
    <w:rsid w:val="00EF412F"/>
    <w:rsid w:val="00EF6790"/>
    <w:rsid w:val="00F01835"/>
    <w:rsid w:val="00F1034C"/>
    <w:rsid w:val="00F123B5"/>
    <w:rsid w:val="00F127DF"/>
    <w:rsid w:val="00F328F8"/>
    <w:rsid w:val="00F42EA8"/>
    <w:rsid w:val="00F52D8C"/>
    <w:rsid w:val="00F752AE"/>
    <w:rsid w:val="00F8258C"/>
    <w:rsid w:val="00F83921"/>
    <w:rsid w:val="00F850F9"/>
    <w:rsid w:val="00FE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80E8"/>
  <w15:chartTrackingRefBased/>
  <w15:docId w15:val="{3ADC34A3-CA53-44AC-BC41-454AA3CA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8A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A9"/>
    <w:pPr>
      <w:ind w:left="720"/>
      <w:contextualSpacing/>
    </w:pPr>
  </w:style>
  <w:style w:type="paragraph" w:styleId="Header">
    <w:name w:val="header"/>
    <w:basedOn w:val="Normal"/>
    <w:link w:val="HeaderChar"/>
    <w:uiPriority w:val="99"/>
    <w:unhideWhenUsed/>
    <w:rsid w:val="004D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A9"/>
    <w:rPr>
      <w:rFonts w:ascii="Calibri" w:eastAsia="Calibri" w:hAnsi="Calibri" w:cs="Times New Roman"/>
      <w:kern w:val="0"/>
      <w:lang w:val="en-US"/>
      <w14:ligatures w14:val="none"/>
    </w:rPr>
  </w:style>
  <w:style w:type="paragraph" w:styleId="FootnoteText">
    <w:name w:val="footnote text"/>
    <w:basedOn w:val="Normal"/>
    <w:link w:val="FootnoteTextChar"/>
    <w:uiPriority w:val="99"/>
    <w:semiHidden/>
    <w:unhideWhenUsed/>
    <w:rsid w:val="004D3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8A9"/>
    <w:rPr>
      <w:rFonts w:ascii="Calibri" w:eastAsia="Calibri" w:hAnsi="Calibri" w:cs="Times New Roman"/>
      <w:kern w:val="0"/>
      <w:sz w:val="20"/>
      <w:szCs w:val="20"/>
      <w:lang w:val="en-US"/>
      <w14:ligatures w14:val="none"/>
    </w:rPr>
  </w:style>
  <w:style w:type="character" w:styleId="FootnoteReference">
    <w:name w:val="footnote reference"/>
    <w:uiPriority w:val="99"/>
    <w:semiHidden/>
    <w:unhideWhenUsed/>
    <w:rsid w:val="004D38A9"/>
    <w:rPr>
      <w:vertAlign w:val="superscript"/>
    </w:rPr>
  </w:style>
  <w:style w:type="paragraph" w:styleId="NormalWeb">
    <w:name w:val="Normal (Web)"/>
    <w:basedOn w:val="Normal"/>
    <w:uiPriority w:val="99"/>
    <w:unhideWhenUsed/>
    <w:rsid w:val="00B0608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B0608B"/>
    <w:rPr>
      <w:color w:val="0000FF"/>
      <w:u w:val="single"/>
    </w:rPr>
  </w:style>
  <w:style w:type="paragraph" w:customStyle="1" w:styleId="western">
    <w:name w:val="western"/>
    <w:basedOn w:val="Normal"/>
    <w:rsid w:val="0047068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9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00"/>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2644">
      <w:bodyDiv w:val="1"/>
      <w:marLeft w:val="0"/>
      <w:marRight w:val="0"/>
      <w:marTop w:val="0"/>
      <w:marBottom w:val="0"/>
      <w:divBdr>
        <w:top w:val="none" w:sz="0" w:space="0" w:color="auto"/>
        <w:left w:val="none" w:sz="0" w:space="0" w:color="auto"/>
        <w:bottom w:val="none" w:sz="0" w:space="0" w:color="auto"/>
        <w:right w:val="none" w:sz="0" w:space="0" w:color="auto"/>
      </w:divBdr>
    </w:div>
    <w:div w:id="1135756210">
      <w:bodyDiv w:val="1"/>
      <w:marLeft w:val="0"/>
      <w:marRight w:val="0"/>
      <w:marTop w:val="0"/>
      <w:marBottom w:val="0"/>
      <w:divBdr>
        <w:top w:val="none" w:sz="0" w:space="0" w:color="auto"/>
        <w:left w:val="none" w:sz="0" w:space="0" w:color="auto"/>
        <w:bottom w:val="none" w:sz="0" w:space="0" w:color="auto"/>
        <w:right w:val="none" w:sz="0" w:space="0" w:color="auto"/>
      </w:divBdr>
    </w:div>
    <w:div w:id="12187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2023-11-29T18:30:00+00:00</Judgment_x0020_Date>
    <Year xmlns="63bdd487-88aa-4c54-b893-ddaa81ed2e7c">2023</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DA23D-CDC6-462E-9562-66440E464C38}">
  <ds:schemaRefs>
    <ds:schemaRef ds:uri="http://schemas.microsoft.com/sharepoint/v3/contenttype/forms"/>
  </ds:schemaRefs>
</ds:datastoreItem>
</file>

<file path=customXml/itemProps2.xml><?xml version="1.0" encoding="utf-8"?>
<ds:datastoreItem xmlns:ds="http://schemas.openxmlformats.org/officeDocument/2006/customXml" ds:itemID="{9476D7AB-13E9-41D2-9733-41F36BFCB9B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7B7AAB42-75CA-4129-BFCE-362CBBA9226C}">
  <ds:schemaRefs>
    <ds:schemaRef ds:uri="http://schemas.openxmlformats.org/officeDocument/2006/bibliography"/>
  </ds:schemaRefs>
</ds:datastoreItem>
</file>

<file path=customXml/itemProps4.xml><?xml version="1.0" encoding="utf-8"?>
<ds:datastoreItem xmlns:ds="http://schemas.openxmlformats.org/officeDocument/2006/customXml" ds:itemID="{E311AE3E-8701-4FDD-B923-6673139C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Wet v Klein (SA 65-2021) [2023] NASC (30 November 2023)</dc:title>
  <dc:subject/>
  <dc:creator>Mark Madaba</dc:creator>
  <cp:keywords/>
  <dc:description/>
  <cp:lastModifiedBy>Mariana Anguelov</cp:lastModifiedBy>
  <cp:revision>13</cp:revision>
  <cp:lastPrinted>2023-11-23T10:19:00Z</cp:lastPrinted>
  <dcterms:created xsi:type="dcterms:W3CDTF">2023-11-13T12:19:00Z</dcterms:created>
  <dcterms:modified xsi:type="dcterms:W3CDTF">2023-11-30T16:41:00Z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