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B23" w:rsidRPr="00387909" w:rsidRDefault="004F5B23" w:rsidP="00751172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75117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75117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751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751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751172">
      <w:pPr>
        <w:tabs>
          <w:tab w:val="right" w:pos="9000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 xml:space="preserve">Case no:  </w:t>
      </w:r>
      <w:r w:rsidR="00807B66">
        <w:rPr>
          <w:rFonts w:ascii="Arial" w:hAnsi="Arial" w:cs="Arial"/>
          <w:sz w:val="24"/>
          <w:szCs w:val="24"/>
        </w:rPr>
        <w:t xml:space="preserve"> </w:t>
      </w:r>
      <w:r w:rsidR="00946225" w:rsidRPr="0038790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807B66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9022BD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 53</w:t>
      </w:r>
      <w:r w:rsidR="008D0CC5">
        <w:rPr>
          <w:rFonts w:ascii="Arial" w:eastAsia="Calibri" w:hAnsi="Arial" w:cs="Arial"/>
          <w:spacing w:val="-3"/>
          <w:sz w:val="24"/>
          <w:szCs w:val="24"/>
          <w:lang w:val="en-GB"/>
        </w:rPr>
        <w:t>/2017</w:t>
      </w:r>
    </w:p>
    <w:p w:rsidR="004F5B23" w:rsidRPr="00387909" w:rsidRDefault="004F5B23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7B419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7B419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056329" w:rsidP="007B41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1B3B89" w:rsidRPr="00387909">
        <w:rPr>
          <w:rFonts w:ascii="Arial" w:eastAsia="Times New Roman" w:hAnsi="Arial" w:cs="Arial"/>
          <w:sz w:val="24"/>
          <w:szCs w:val="24"/>
          <w:lang w:val="en-GB"/>
        </w:rPr>
        <w:t>nd</w:t>
      </w:r>
    </w:p>
    <w:p w:rsidR="004F5B23" w:rsidRPr="00387909" w:rsidRDefault="004F5B23" w:rsidP="007B419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7B66" w:rsidRDefault="008D18F3" w:rsidP="007B4190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PAUL BRANDT</w:t>
      </w:r>
      <w:r w:rsidR="004662DD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="007950FB"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07B66">
        <w:rPr>
          <w:rFonts w:ascii="Arial" w:hAnsi="Arial" w:cs="Arial"/>
          <w:b/>
          <w:sz w:val="24"/>
          <w:szCs w:val="24"/>
        </w:rPr>
        <w:t>ACCUSED</w:t>
      </w:r>
    </w:p>
    <w:p w:rsidR="00807B66" w:rsidRDefault="00807B66" w:rsidP="00751172">
      <w:pPr>
        <w:tabs>
          <w:tab w:val="left" w:pos="1741"/>
        </w:tabs>
        <w:spacing w:after="0" w:line="48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:rsidR="00807B66" w:rsidRDefault="00807B66" w:rsidP="00751172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8D18F3">
        <w:rPr>
          <w:rFonts w:ascii="Arial" w:hAnsi="Arial" w:cs="Arial"/>
          <w:sz w:val="24"/>
          <w:szCs w:val="24"/>
        </w:rPr>
        <w:t>MAIN DIVISION REVIEW REF NO.  663</w:t>
      </w:r>
      <w:r>
        <w:rPr>
          <w:rFonts w:ascii="Arial" w:hAnsi="Arial" w:cs="Arial"/>
          <w:sz w:val="24"/>
          <w:szCs w:val="24"/>
        </w:rPr>
        <w:t>/2017</w:t>
      </w:r>
      <w:r w:rsidR="000310BC">
        <w:rPr>
          <w:rFonts w:ascii="Arial" w:hAnsi="Arial" w:cs="Arial"/>
          <w:sz w:val="24"/>
          <w:szCs w:val="24"/>
        </w:rPr>
        <w:t>)</w:t>
      </w:r>
    </w:p>
    <w:p w:rsidR="002E0815" w:rsidRPr="004854F9" w:rsidRDefault="002E0815" w:rsidP="007B419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F6698" w:rsidRPr="00387909" w:rsidRDefault="009F6698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9F6698" w:rsidRDefault="009F6698" w:rsidP="007B419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F56F9" w:rsidRPr="00387909" w:rsidRDefault="00AF56F9" w:rsidP="007B419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AF56F9" w:rsidRPr="00387909" w:rsidRDefault="00AF56F9" w:rsidP="007B419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F56F9" w:rsidRPr="00387909" w:rsidRDefault="00056329" w:rsidP="007B41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AF56F9" w:rsidRPr="00387909">
        <w:rPr>
          <w:rFonts w:ascii="Arial" w:eastAsia="Times New Roman" w:hAnsi="Arial" w:cs="Arial"/>
          <w:sz w:val="24"/>
          <w:szCs w:val="24"/>
          <w:lang w:val="en-GB"/>
        </w:rPr>
        <w:t>nd</w:t>
      </w:r>
    </w:p>
    <w:p w:rsidR="00AF56F9" w:rsidRPr="00387909" w:rsidRDefault="00AF56F9" w:rsidP="007B419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F56F9" w:rsidRDefault="00AF56F9" w:rsidP="007B4190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STEPHANUS CHRISTIAANS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ACCUSED</w:t>
      </w:r>
    </w:p>
    <w:p w:rsidR="00AF56F9" w:rsidRDefault="00AF56F9" w:rsidP="00751172">
      <w:pPr>
        <w:tabs>
          <w:tab w:val="left" w:pos="1741"/>
        </w:tabs>
        <w:spacing w:after="0" w:line="48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</w:p>
    <w:p w:rsidR="00AF56F9" w:rsidRPr="004854F9" w:rsidRDefault="00AF56F9" w:rsidP="00751172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 MAIN DIVISION REVIEW REF NO.  665/2017)</w:t>
      </w:r>
    </w:p>
    <w:p w:rsidR="007950FB" w:rsidRPr="00387909" w:rsidRDefault="007950FB" w:rsidP="007B41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F5B23" w:rsidRDefault="004F5B23" w:rsidP="007B419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B42EF4">
        <w:rPr>
          <w:rFonts w:ascii="Arial" w:hAnsi="Arial" w:cs="Arial"/>
          <w:i/>
          <w:sz w:val="24"/>
          <w:szCs w:val="24"/>
        </w:rPr>
        <w:t xml:space="preserve"> v</w:t>
      </w:r>
      <w:r w:rsidR="00F913EC" w:rsidRPr="00387909">
        <w:rPr>
          <w:rFonts w:ascii="Arial" w:hAnsi="Arial" w:cs="Arial"/>
          <w:i/>
          <w:sz w:val="24"/>
          <w:szCs w:val="24"/>
        </w:rPr>
        <w:t xml:space="preserve"> </w:t>
      </w:r>
      <w:r w:rsidR="008D18F3">
        <w:rPr>
          <w:rFonts w:ascii="Arial" w:hAnsi="Arial" w:cs="Arial"/>
          <w:i/>
          <w:sz w:val="24"/>
          <w:szCs w:val="24"/>
        </w:rPr>
        <w:t>Brandt</w:t>
      </w:r>
      <w:r w:rsidR="003F06A2">
        <w:rPr>
          <w:rFonts w:ascii="Arial" w:hAnsi="Arial" w:cs="Arial"/>
          <w:sz w:val="24"/>
          <w:szCs w:val="24"/>
        </w:rPr>
        <w:t xml:space="preserve"> </w:t>
      </w:r>
      <w:r w:rsidR="008D0CC5">
        <w:rPr>
          <w:rFonts w:ascii="Arial" w:hAnsi="Arial" w:cs="Arial"/>
          <w:sz w:val="24"/>
          <w:szCs w:val="24"/>
        </w:rPr>
        <w:t xml:space="preserve">(CR </w:t>
      </w:r>
      <w:r w:rsidR="00EC2915">
        <w:rPr>
          <w:rFonts w:ascii="Arial" w:hAnsi="Arial" w:cs="Arial"/>
          <w:sz w:val="24"/>
          <w:szCs w:val="24"/>
        </w:rPr>
        <w:t>53</w:t>
      </w:r>
      <w:r w:rsidR="008D0CC5">
        <w:rPr>
          <w:rFonts w:ascii="Arial" w:hAnsi="Arial" w:cs="Arial"/>
          <w:sz w:val="24"/>
          <w:szCs w:val="24"/>
        </w:rPr>
        <w:t>/2017</w:t>
      </w:r>
      <w:r w:rsidR="00C2786B">
        <w:rPr>
          <w:rFonts w:ascii="Arial" w:hAnsi="Arial" w:cs="Arial"/>
          <w:sz w:val="24"/>
          <w:szCs w:val="24"/>
        </w:rPr>
        <w:t>;</w:t>
      </w:r>
      <w:r w:rsidR="00C2786B" w:rsidRPr="00C2786B">
        <w:rPr>
          <w:rFonts w:ascii="Arial" w:hAnsi="Arial" w:cs="Arial"/>
          <w:sz w:val="24"/>
          <w:szCs w:val="24"/>
        </w:rPr>
        <w:t xml:space="preserve"> </w:t>
      </w:r>
      <w:r w:rsidR="00C2786B">
        <w:rPr>
          <w:rFonts w:ascii="Arial" w:hAnsi="Arial" w:cs="Arial"/>
          <w:sz w:val="24"/>
          <w:szCs w:val="24"/>
        </w:rPr>
        <w:t xml:space="preserve">CR 53/2017 </w:t>
      </w:r>
      <w:r w:rsidR="008D0CC5">
        <w:rPr>
          <w:rFonts w:ascii="Arial" w:hAnsi="Arial" w:cs="Arial"/>
          <w:sz w:val="24"/>
          <w:szCs w:val="24"/>
        </w:rPr>
        <w:t>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6058C0" w:rsidRPr="00387909">
        <w:rPr>
          <w:rFonts w:ascii="Arial" w:hAnsi="Arial" w:cs="Arial"/>
          <w:sz w:val="24"/>
          <w:szCs w:val="24"/>
        </w:rPr>
        <w:t>7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2C3D59">
        <w:rPr>
          <w:rFonts w:ascii="Arial" w:hAnsi="Arial" w:cs="Arial"/>
          <w:sz w:val="24"/>
          <w:szCs w:val="24"/>
        </w:rPr>
        <w:t>MD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2C3D59">
        <w:rPr>
          <w:rFonts w:ascii="Arial" w:hAnsi="Arial" w:cs="Arial"/>
          <w:sz w:val="24"/>
          <w:szCs w:val="24"/>
        </w:rPr>
        <w:t>230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B2154E">
        <w:rPr>
          <w:rFonts w:ascii="Arial" w:hAnsi="Arial" w:cs="Arial"/>
          <w:sz w:val="24"/>
          <w:szCs w:val="24"/>
        </w:rPr>
        <w:t>(</w:t>
      </w:r>
      <w:r w:rsidR="00BB4DA5">
        <w:rPr>
          <w:rFonts w:ascii="Arial" w:hAnsi="Arial" w:cs="Arial"/>
          <w:sz w:val="24"/>
          <w:szCs w:val="24"/>
        </w:rPr>
        <w:t>17</w:t>
      </w:r>
      <w:r w:rsidR="004662DD">
        <w:rPr>
          <w:rFonts w:ascii="Arial" w:hAnsi="Arial" w:cs="Arial"/>
          <w:sz w:val="24"/>
          <w:szCs w:val="24"/>
        </w:rPr>
        <w:t xml:space="preserve"> August</w:t>
      </w:r>
      <w:r w:rsidRPr="00387909">
        <w:rPr>
          <w:rFonts w:ascii="Arial" w:hAnsi="Arial" w:cs="Arial"/>
          <w:sz w:val="24"/>
          <w:szCs w:val="24"/>
        </w:rPr>
        <w:t xml:space="preserve"> 2017)</w:t>
      </w:r>
    </w:p>
    <w:p w:rsidR="00AE496D" w:rsidRPr="00387909" w:rsidRDefault="00AE496D" w:rsidP="007B419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051C93" w:rsidP="007B419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lastRenderedPageBreak/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751172">
        <w:rPr>
          <w:rFonts w:ascii="Arial" w:hAnsi="Arial" w:cs="Arial"/>
          <w:sz w:val="24"/>
          <w:szCs w:val="24"/>
        </w:rPr>
        <w:t>USIKU,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051C93" w:rsidRPr="00387909" w:rsidRDefault="00051C93" w:rsidP="007B41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BB4DA5">
        <w:rPr>
          <w:rFonts w:ascii="Arial" w:hAnsi="Arial" w:cs="Arial"/>
          <w:sz w:val="24"/>
          <w:szCs w:val="24"/>
        </w:rPr>
        <w:t>17</w:t>
      </w:r>
      <w:r w:rsidR="004662DD">
        <w:rPr>
          <w:rFonts w:ascii="Arial" w:hAnsi="Arial" w:cs="Arial"/>
          <w:sz w:val="24"/>
          <w:szCs w:val="24"/>
        </w:rPr>
        <w:t xml:space="preserve"> August</w:t>
      </w:r>
      <w:r w:rsidR="00552E1D">
        <w:rPr>
          <w:rFonts w:ascii="Arial" w:hAnsi="Arial" w:cs="Arial"/>
          <w:sz w:val="24"/>
          <w:szCs w:val="24"/>
        </w:rPr>
        <w:t xml:space="preserve"> 2017</w:t>
      </w:r>
    </w:p>
    <w:p w:rsidR="00AF082D" w:rsidRPr="00387909" w:rsidRDefault="00AF082D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0023" w:rsidRPr="009C2524" w:rsidRDefault="00051C9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Flynote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2B0AC9">
        <w:rPr>
          <w:rFonts w:ascii="Arial" w:hAnsi="Arial" w:cs="Arial"/>
          <w:sz w:val="24"/>
          <w:szCs w:val="24"/>
        </w:rPr>
        <w:t>Criminal Procedure –</w:t>
      </w:r>
      <w:r w:rsidR="00DF79DB">
        <w:rPr>
          <w:rFonts w:ascii="Arial" w:hAnsi="Arial" w:cs="Arial"/>
          <w:sz w:val="24"/>
          <w:szCs w:val="24"/>
        </w:rPr>
        <w:t xml:space="preserve"> A</w:t>
      </w:r>
      <w:r w:rsidR="002B0AC9">
        <w:rPr>
          <w:rFonts w:ascii="Arial" w:hAnsi="Arial" w:cs="Arial"/>
          <w:sz w:val="24"/>
          <w:szCs w:val="24"/>
        </w:rPr>
        <w:t>utomatic review – Question</w:t>
      </w:r>
      <w:r w:rsidR="00646D96">
        <w:rPr>
          <w:rFonts w:ascii="Arial" w:hAnsi="Arial" w:cs="Arial"/>
          <w:sz w:val="24"/>
          <w:szCs w:val="24"/>
        </w:rPr>
        <w:t>ing</w:t>
      </w:r>
      <w:r w:rsidR="002B0AC9">
        <w:rPr>
          <w:rFonts w:ascii="Arial" w:hAnsi="Arial" w:cs="Arial"/>
          <w:sz w:val="24"/>
          <w:szCs w:val="24"/>
        </w:rPr>
        <w:t xml:space="preserve"> in terms of s 112(1)</w:t>
      </w:r>
      <w:r w:rsidR="00751172">
        <w:rPr>
          <w:rFonts w:ascii="Arial" w:hAnsi="Arial" w:cs="Arial"/>
          <w:sz w:val="24"/>
          <w:szCs w:val="24"/>
        </w:rPr>
        <w:t xml:space="preserve"> </w:t>
      </w:r>
      <w:r w:rsidR="002B0AC9" w:rsidRPr="00751172">
        <w:rPr>
          <w:rFonts w:ascii="Arial" w:hAnsi="Arial" w:cs="Arial"/>
          <w:i/>
          <w:sz w:val="24"/>
          <w:szCs w:val="24"/>
        </w:rPr>
        <w:t>(b)</w:t>
      </w:r>
      <w:r w:rsidR="002B0AC9">
        <w:rPr>
          <w:rFonts w:ascii="Arial" w:hAnsi="Arial" w:cs="Arial"/>
          <w:sz w:val="24"/>
          <w:szCs w:val="24"/>
        </w:rPr>
        <w:t xml:space="preserve"> of the Criminal Procedure Act, 51 of 1977 – Failure by magistrate to ask whether mandrax tablets found </w:t>
      </w:r>
      <w:r w:rsidR="00646D96">
        <w:rPr>
          <w:rFonts w:ascii="Arial" w:hAnsi="Arial" w:cs="Arial"/>
          <w:sz w:val="24"/>
          <w:szCs w:val="24"/>
        </w:rPr>
        <w:t>in</w:t>
      </w:r>
      <w:r w:rsidR="002B0AC9">
        <w:rPr>
          <w:rFonts w:ascii="Arial" w:hAnsi="Arial" w:cs="Arial"/>
          <w:sz w:val="24"/>
          <w:szCs w:val="24"/>
        </w:rPr>
        <w:t xml:space="preserve"> possession </w:t>
      </w:r>
      <w:r w:rsidR="00646D96">
        <w:rPr>
          <w:rFonts w:ascii="Arial" w:hAnsi="Arial" w:cs="Arial"/>
          <w:sz w:val="24"/>
          <w:szCs w:val="24"/>
        </w:rPr>
        <w:t xml:space="preserve">of the accused </w:t>
      </w:r>
      <w:r w:rsidR="002B0AC9">
        <w:rPr>
          <w:rFonts w:ascii="Arial" w:hAnsi="Arial" w:cs="Arial"/>
          <w:sz w:val="24"/>
          <w:szCs w:val="24"/>
        </w:rPr>
        <w:t xml:space="preserve">contained </w:t>
      </w:r>
      <w:r w:rsidR="002B0AC9" w:rsidRPr="00751172">
        <w:rPr>
          <w:rFonts w:ascii="Arial" w:hAnsi="Arial" w:cs="Arial"/>
          <w:sz w:val="24"/>
          <w:szCs w:val="24"/>
        </w:rPr>
        <w:t xml:space="preserve">methaqualone </w:t>
      </w:r>
      <w:r w:rsidR="002B0AC9">
        <w:rPr>
          <w:rFonts w:ascii="Arial" w:hAnsi="Arial" w:cs="Arial"/>
          <w:sz w:val="24"/>
          <w:szCs w:val="24"/>
        </w:rPr>
        <w:t>– Scientific certificate not handed in to prove methaqualone – Court set aside the conviction and sentence of cases and remitted</w:t>
      </w:r>
      <w:r w:rsidR="00646D96">
        <w:rPr>
          <w:rFonts w:ascii="Arial" w:hAnsi="Arial" w:cs="Arial"/>
          <w:sz w:val="24"/>
          <w:szCs w:val="24"/>
        </w:rPr>
        <w:t xml:space="preserve"> the cases</w:t>
      </w:r>
      <w:r w:rsidR="002B0AC9">
        <w:rPr>
          <w:rFonts w:ascii="Arial" w:hAnsi="Arial" w:cs="Arial"/>
          <w:sz w:val="24"/>
          <w:szCs w:val="24"/>
        </w:rPr>
        <w:t xml:space="preserve"> to the magistrate for proper questioning.</w:t>
      </w:r>
    </w:p>
    <w:p w:rsidR="00730023" w:rsidRDefault="0073002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023" w:rsidRPr="002B0AC9" w:rsidRDefault="00051C9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Summary</w:t>
      </w:r>
      <w:r w:rsidR="002B0AC9">
        <w:rPr>
          <w:rFonts w:ascii="Arial" w:hAnsi="Arial" w:cs="Arial"/>
          <w:sz w:val="24"/>
          <w:szCs w:val="24"/>
        </w:rPr>
        <w:t>:</w:t>
      </w:r>
      <w:r w:rsidR="002B0AC9">
        <w:rPr>
          <w:rFonts w:ascii="Arial" w:hAnsi="Arial" w:cs="Arial"/>
          <w:sz w:val="24"/>
          <w:szCs w:val="24"/>
        </w:rPr>
        <w:tab/>
        <w:t>The two accused, Paul Brandt and Stephanus Christiaans pleaded g</w:t>
      </w:r>
      <w:r w:rsidR="00F968F5">
        <w:rPr>
          <w:rFonts w:ascii="Arial" w:hAnsi="Arial" w:cs="Arial"/>
          <w:sz w:val="24"/>
          <w:szCs w:val="24"/>
        </w:rPr>
        <w:t xml:space="preserve">uilty </w:t>
      </w:r>
      <w:r w:rsidR="00646D96">
        <w:rPr>
          <w:rFonts w:ascii="Arial" w:hAnsi="Arial" w:cs="Arial"/>
          <w:sz w:val="24"/>
          <w:szCs w:val="24"/>
        </w:rPr>
        <w:t xml:space="preserve">to </w:t>
      </w:r>
      <w:r w:rsidR="002B0AC9">
        <w:rPr>
          <w:rFonts w:ascii="Arial" w:hAnsi="Arial" w:cs="Arial"/>
          <w:sz w:val="24"/>
          <w:szCs w:val="24"/>
        </w:rPr>
        <w:t xml:space="preserve">charges of possession of mandrax tablets containing </w:t>
      </w:r>
      <w:r w:rsidR="002B0AC9" w:rsidRPr="00751172">
        <w:rPr>
          <w:rFonts w:ascii="Arial" w:hAnsi="Arial" w:cs="Arial"/>
          <w:i/>
          <w:sz w:val="24"/>
          <w:szCs w:val="24"/>
        </w:rPr>
        <w:t>methaqualone.</w:t>
      </w:r>
      <w:r w:rsidR="002B0AC9">
        <w:rPr>
          <w:rFonts w:ascii="Arial" w:hAnsi="Arial" w:cs="Arial"/>
          <w:sz w:val="24"/>
          <w:szCs w:val="24"/>
        </w:rPr>
        <w:t xml:space="preserve">  </w:t>
      </w:r>
      <w:r w:rsidR="003519A3">
        <w:rPr>
          <w:rFonts w:ascii="Arial" w:hAnsi="Arial" w:cs="Arial"/>
          <w:sz w:val="24"/>
          <w:szCs w:val="24"/>
        </w:rPr>
        <w:t>They were questioned by the magistrate in terms of s 1</w:t>
      </w:r>
      <w:r w:rsidR="00646D96">
        <w:rPr>
          <w:rFonts w:ascii="Arial" w:hAnsi="Arial" w:cs="Arial"/>
          <w:sz w:val="24"/>
          <w:szCs w:val="24"/>
        </w:rPr>
        <w:t>1</w:t>
      </w:r>
      <w:r w:rsidR="003519A3">
        <w:rPr>
          <w:rFonts w:ascii="Arial" w:hAnsi="Arial" w:cs="Arial"/>
          <w:sz w:val="24"/>
          <w:szCs w:val="24"/>
        </w:rPr>
        <w:t>2(1)</w:t>
      </w:r>
      <w:r w:rsidR="00FC5331">
        <w:rPr>
          <w:rFonts w:ascii="Arial" w:hAnsi="Arial" w:cs="Arial"/>
          <w:sz w:val="24"/>
          <w:szCs w:val="24"/>
        </w:rPr>
        <w:t xml:space="preserve"> </w:t>
      </w:r>
      <w:r w:rsidR="003519A3" w:rsidRPr="00FC5331">
        <w:rPr>
          <w:rFonts w:ascii="Arial" w:hAnsi="Arial" w:cs="Arial"/>
          <w:i/>
          <w:sz w:val="24"/>
          <w:szCs w:val="24"/>
        </w:rPr>
        <w:t>(b)</w:t>
      </w:r>
      <w:r w:rsidR="003519A3">
        <w:rPr>
          <w:rFonts w:ascii="Arial" w:hAnsi="Arial" w:cs="Arial"/>
          <w:sz w:val="24"/>
          <w:szCs w:val="24"/>
        </w:rPr>
        <w:t xml:space="preserve"> of the Criminal Procedure Act, 51 of 1997</w:t>
      </w:r>
      <w:r w:rsidR="00AD671B">
        <w:rPr>
          <w:rFonts w:ascii="Arial" w:hAnsi="Arial" w:cs="Arial"/>
          <w:sz w:val="24"/>
          <w:szCs w:val="24"/>
        </w:rPr>
        <w:t>, whereafter they were</w:t>
      </w:r>
      <w:r w:rsidR="003519A3">
        <w:rPr>
          <w:rFonts w:ascii="Arial" w:hAnsi="Arial" w:cs="Arial"/>
          <w:sz w:val="24"/>
          <w:szCs w:val="24"/>
        </w:rPr>
        <w:t xml:space="preserve"> convicted and sentenced to 12 months imprisonment each.  On review, the court set aside the convictions and sentences imposed due to failure by the magistrate</w:t>
      </w:r>
      <w:r w:rsidR="00646D96">
        <w:rPr>
          <w:rFonts w:ascii="Arial" w:hAnsi="Arial" w:cs="Arial"/>
          <w:sz w:val="24"/>
          <w:szCs w:val="24"/>
        </w:rPr>
        <w:t xml:space="preserve"> to</w:t>
      </w:r>
      <w:r w:rsidR="003519A3">
        <w:rPr>
          <w:rFonts w:ascii="Arial" w:hAnsi="Arial" w:cs="Arial"/>
          <w:sz w:val="24"/>
          <w:szCs w:val="24"/>
        </w:rPr>
        <w:t xml:space="preserve"> ask whether th</w:t>
      </w:r>
      <w:r w:rsidR="00646D96">
        <w:rPr>
          <w:rFonts w:ascii="Arial" w:hAnsi="Arial" w:cs="Arial"/>
          <w:sz w:val="24"/>
          <w:szCs w:val="24"/>
        </w:rPr>
        <w:t>e tablets the accused possessed</w:t>
      </w:r>
      <w:r w:rsidR="003519A3">
        <w:rPr>
          <w:rFonts w:ascii="Arial" w:hAnsi="Arial" w:cs="Arial"/>
          <w:sz w:val="24"/>
          <w:szCs w:val="24"/>
        </w:rPr>
        <w:t xml:space="preserve"> contained </w:t>
      </w:r>
      <w:r w:rsidR="003519A3" w:rsidRPr="00751172">
        <w:rPr>
          <w:rFonts w:ascii="Arial" w:hAnsi="Arial" w:cs="Arial"/>
          <w:i/>
          <w:sz w:val="24"/>
          <w:szCs w:val="24"/>
        </w:rPr>
        <w:t>methaqualone</w:t>
      </w:r>
      <w:r w:rsidR="003519A3">
        <w:rPr>
          <w:rFonts w:ascii="Arial" w:hAnsi="Arial" w:cs="Arial"/>
          <w:sz w:val="24"/>
          <w:szCs w:val="24"/>
        </w:rPr>
        <w:t xml:space="preserve"> or not.  As a result, the cases were remitted to the court below to question the accused properly and prove </w:t>
      </w:r>
      <w:r w:rsidR="003519A3" w:rsidRPr="00751172">
        <w:rPr>
          <w:rFonts w:ascii="Arial" w:hAnsi="Arial" w:cs="Arial"/>
          <w:i/>
          <w:sz w:val="24"/>
          <w:szCs w:val="24"/>
        </w:rPr>
        <w:t>methaqualone</w:t>
      </w:r>
      <w:r w:rsidR="003519A3">
        <w:rPr>
          <w:rFonts w:ascii="Arial" w:hAnsi="Arial" w:cs="Arial"/>
          <w:sz w:val="24"/>
          <w:szCs w:val="24"/>
        </w:rPr>
        <w:t xml:space="preserve"> by means of a scientific certificate.</w:t>
      </w:r>
    </w:p>
    <w:p w:rsidR="00051C93" w:rsidRPr="00387909" w:rsidRDefault="001C760F" w:rsidP="007B419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1C93" w:rsidRPr="00387909" w:rsidRDefault="00051C93" w:rsidP="00AA19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1C760F" w:rsidP="007B419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E40AB" w:rsidRDefault="00EE40AB" w:rsidP="007B4190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The conviction and sentence in each</w:t>
      </w:r>
      <w:r w:rsidR="00AD671B">
        <w:rPr>
          <w:rFonts w:ascii="Arial" w:hAnsi="Arial" w:cs="Arial"/>
          <w:sz w:val="24"/>
          <w:szCs w:val="24"/>
        </w:rPr>
        <w:t xml:space="preserve"> case</w:t>
      </w:r>
      <w:r>
        <w:rPr>
          <w:rFonts w:ascii="Arial" w:hAnsi="Arial" w:cs="Arial"/>
          <w:sz w:val="24"/>
          <w:szCs w:val="24"/>
        </w:rPr>
        <w:t xml:space="preserve"> cited above are hereby set aside and both cases remitted to the magistrate’s court Keetmanshoop before the learned magistrate Shikongo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to question the two accused properly in terms of s 112(1)</w:t>
      </w:r>
      <w:r w:rsidR="008B5292">
        <w:rPr>
          <w:rFonts w:ascii="Arial" w:hAnsi="Arial" w:cs="Arial"/>
          <w:sz w:val="24"/>
          <w:szCs w:val="24"/>
        </w:rPr>
        <w:t xml:space="preserve"> </w:t>
      </w:r>
      <w:r w:rsidRPr="008B5292">
        <w:rPr>
          <w:rFonts w:ascii="Arial" w:hAnsi="Arial" w:cs="Arial"/>
          <w:i/>
          <w:sz w:val="24"/>
          <w:szCs w:val="24"/>
        </w:rPr>
        <w:t>(b).</w:t>
      </w:r>
    </w:p>
    <w:p w:rsidR="008B5292" w:rsidRDefault="00EE40AB" w:rsidP="008B5292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The learned magistrate is directed to resubmit the cases if the accused are convicted and reviewable sentences have been imposed.</w:t>
      </w:r>
    </w:p>
    <w:p w:rsidR="008B5292" w:rsidRPr="008B5292" w:rsidRDefault="008B5292" w:rsidP="008B5292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1C760F" w:rsidP="007B419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pict>
          <v:rect id="_x0000_i1027" style="width:0;height:1.5pt" o:hralign="center" o:hrstd="t" o:hr="t" fillcolor="#a0a0a0" stroked="f"/>
        </w:pict>
      </w:r>
    </w:p>
    <w:p w:rsidR="00051C93" w:rsidRPr="00387909" w:rsidRDefault="009E5790" w:rsidP="008B52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1C760F" w:rsidP="007B41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C8528D" w:rsidRDefault="00C8528D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879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State v Paul Brandt:  Review Case No. 663/2017 and</w:t>
      </w:r>
    </w:p>
    <w:p w:rsidR="00C8528D" w:rsidRDefault="00C8528D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879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State v Stephanus Christiaans:  Review Case No. 665/2017</w:t>
      </w:r>
    </w:p>
    <w:p w:rsidR="00494407" w:rsidRDefault="00494407" w:rsidP="007B4190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494407" w:rsidRPr="00431E1E" w:rsidRDefault="00494407" w:rsidP="007B4190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 w:rsidRPr="00431E1E">
        <w:rPr>
          <w:rFonts w:ascii="Arial" w:hAnsi="Arial" w:cs="Arial"/>
          <w:b/>
          <w:sz w:val="24"/>
          <w:szCs w:val="24"/>
        </w:rPr>
        <w:t>UNENGU, AJ (US</w:t>
      </w:r>
      <w:r w:rsidR="00AD671B">
        <w:rPr>
          <w:rFonts w:ascii="Arial" w:hAnsi="Arial" w:cs="Arial"/>
          <w:b/>
          <w:sz w:val="24"/>
          <w:szCs w:val="24"/>
        </w:rPr>
        <w:t>I</w:t>
      </w:r>
      <w:r w:rsidRPr="00431E1E">
        <w:rPr>
          <w:rFonts w:ascii="Arial" w:hAnsi="Arial" w:cs="Arial"/>
          <w:b/>
          <w:sz w:val="24"/>
          <w:szCs w:val="24"/>
        </w:rPr>
        <w:t>KU, J concurring):</w:t>
      </w:r>
    </w:p>
    <w:p w:rsidR="00025C12" w:rsidRDefault="00025C12" w:rsidP="007B4190">
      <w:pPr>
        <w:jc w:val="both"/>
        <w:rPr>
          <w:rFonts w:ascii="Arial" w:hAnsi="Arial" w:cs="Arial"/>
          <w:sz w:val="24"/>
          <w:szCs w:val="24"/>
        </w:rPr>
      </w:pPr>
    </w:p>
    <w:p w:rsidR="00025C12" w:rsidRDefault="00025C12" w:rsidP="007B4190">
      <w:pPr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C8528D">
        <w:rPr>
          <w:rFonts w:ascii="Arial" w:hAnsi="Arial" w:cs="Arial"/>
          <w:sz w:val="24"/>
          <w:szCs w:val="24"/>
        </w:rPr>
        <w:t xml:space="preserve">Both these matters were submitted for automatic review in terms of s 302 of the </w:t>
      </w:r>
      <w:r w:rsidR="008B1606">
        <w:rPr>
          <w:rFonts w:ascii="Arial" w:hAnsi="Arial" w:cs="Arial"/>
          <w:sz w:val="24"/>
          <w:szCs w:val="24"/>
        </w:rPr>
        <w:t>C</w:t>
      </w:r>
      <w:r w:rsidR="00C8528D">
        <w:rPr>
          <w:rFonts w:ascii="Arial" w:hAnsi="Arial" w:cs="Arial"/>
          <w:sz w:val="24"/>
          <w:szCs w:val="24"/>
        </w:rPr>
        <w:t>riminal Procedure Act</w:t>
      </w:r>
      <w:r w:rsidR="00C8528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8B1606">
        <w:rPr>
          <w:rFonts w:ascii="Arial" w:hAnsi="Arial" w:cs="Arial"/>
          <w:sz w:val="24"/>
          <w:szCs w:val="24"/>
        </w:rPr>
        <w:t>, (the CPA).</w:t>
      </w:r>
    </w:p>
    <w:p w:rsidR="00DC03D4" w:rsidRDefault="00DC03D4" w:rsidP="007B4190">
      <w:pPr>
        <w:jc w:val="both"/>
      </w:pPr>
    </w:p>
    <w:p w:rsidR="00025C12" w:rsidRDefault="00025C12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8B1606">
        <w:rPr>
          <w:rFonts w:ascii="Arial" w:hAnsi="Arial" w:cs="Arial"/>
          <w:sz w:val="24"/>
          <w:szCs w:val="24"/>
        </w:rPr>
        <w:t>In the matter of the State v Brand</w:t>
      </w:r>
      <w:r w:rsidR="00377FE3">
        <w:rPr>
          <w:rFonts w:ascii="Arial" w:hAnsi="Arial" w:cs="Arial"/>
          <w:sz w:val="24"/>
          <w:szCs w:val="24"/>
        </w:rPr>
        <w:t>t</w:t>
      </w:r>
      <w:r w:rsidR="008B1606">
        <w:rPr>
          <w:rFonts w:ascii="Arial" w:hAnsi="Arial" w:cs="Arial"/>
          <w:sz w:val="24"/>
          <w:szCs w:val="24"/>
        </w:rPr>
        <w:t xml:space="preserve">, the accused was charged with possession of potentially dangerous dependence – producing drugs namely 1/2 and 2/4 </w:t>
      </w:r>
      <w:r w:rsidR="00765ADC">
        <w:rPr>
          <w:rFonts w:ascii="Arial" w:hAnsi="Arial" w:cs="Arial"/>
          <w:sz w:val="24"/>
          <w:szCs w:val="24"/>
        </w:rPr>
        <w:t>mandrax tablets containing methaqualone which is</w:t>
      </w:r>
      <w:r w:rsidR="007B4190">
        <w:rPr>
          <w:rFonts w:ascii="Arial" w:hAnsi="Arial" w:cs="Arial"/>
          <w:sz w:val="24"/>
          <w:szCs w:val="24"/>
        </w:rPr>
        <w:t xml:space="preserve"> a</w:t>
      </w:r>
      <w:r w:rsidR="00765ADC">
        <w:rPr>
          <w:rFonts w:ascii="Arial" w:hAnsi="Arial" w:cs="Arial"/>
          <w:sz w:val="24"/>
          <w:szCs w:val="24"/>
        </w:rPr>
        <w:t xml:space="preserve"> </w:t>
      </w:r>
      <w:r w:rsidR="004B53B5">
        <w:rPr>
          <w:rFonts w:ascii="Arial" w:hAnsi="Arial" w:cs="Arial"/>
          <w:sz w:val="24"/>
          <w:szCs w:val="24"/>
        </w:rPr>
        <w:t>contravention of s 3(b) read with sections 1, 3(ii), 7, 8, 10, 14 and part 111</w:t>
      </w:r>
      <w:r w:rsidR="00C95E41">
        <w:rPr>
          <w:rFonts w:ascii="Arial" w:hAnsi="Arial" w:cs="Arial"/>
          <w:sz w:val="24"/>
          <w:szCs w:val="24"/>
        </w:rPr>
        <w:t xml:space="preserve"> of the schedule of A</w:t>
      </w:r>
      <w:r w:rsidR="004B53B5">
        <w:rPr>
          <w:rFonts w:ascii="Arial" w:hAnsi="Arial" w:cs="Arial"/>
          <w:sz w:val="24"/>
          <w:szCs w:val="24"/>
        </w:rPr>
        <w:t>ct 41 of 1971 as amended.</w:t>
      </w:r>
    </w:p>
    <w:p w:rsidR="0052364A" w:rsidRDefault="0052364A" w:rsidP="007B4190">
      <w:pPr>
        <w:spacing w:line="360" w:lineRule="auto"/>
        <w:jc w:val="both"/>
      </w:pPr>
    </w:p>
    <w:p w:rsidR="00E03152" w:rsidRDefault="00051C9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4E549F">
        <w:rPr>
          <w:rFonts w:ascii="Arial" w:hAnsi="Arial" w:cs="Arial"/>
          <w:sz w:val="24"/>
          <w:szCs w:val="24"/>
        </w:rPr>
        <w:t>The accused pleaded guilty.  He was</w:t>
      </w:r>
      <w:r w:rsidR="00377FE3">
        <w:rPr>
          <w:rFonts w:ascii="Arial" w:hAnsi="Arial" w:cs="Arial"/>
          <w:sz w:val="24"/>
          <w:szCs w:val="24"/>
        </w:rPr>
        <w:t xml:space="preserve"> questioned in terms of s 112(1</w:t>
      </w:r>
      <w:r w:rsidR="00706124">
        <w:rPr>
          <w:rFonts w:ascii="Arial" w:hAnsi="Arial" w:cs="Arial"/>
          <w:sz w:val="24"/>
          <w:szCs w:val="24"/>
        </w:rPr>
        <w:t>)(b) of the CPA, convict</w:t>
      </w:r>
      <w:r w:rsidR="0052364A">
        <w:rPr>
          <w:rFonts w:ascii="Arial" w:hAnsi="Arial" w:cs="Arial"/>
          <w:sz w:val="24"/>
          <w:szCs w:val="24"/>
        </w:rPr>
        <w:t xml:space="preserve">ed and sentenced to 12 </w:t>
      </w:r>
      <w:r w:rsidR="00706124">
        <w:rPr>
          <w:rFonts w:ascii="Arial" w:hAnsi="Arial" w:cs="Arial"/>
          <w:sz w:val="24"/>
          <w:szCs w:val="24"/>
        </w:rPr>
        <w:t>months imprisonment.</w:t>
      </w:r>
    </w:p>
    <w:p w:rsidR="0052364A" w:rsidRPr="00E03152" w:rsidRDefault="0052364A" w:rsidP="007B4190">
      <w:pPr>
        <w:spacing w:line="360" w:lineRule="auto"/>
        <w:jc w:val="both"/>
        <w:rPr>
          <w:rFonts w:ascii="Arial" w:hAnsi="Arial" w:cs="Arial"/>
        </w:rPr>
      </w:pPr>
    </w:p>
    <w:p w:rsidR="00051B03" w:rsidRDefault="00C47BFE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706124">
        <w:rPr>
          <w:rFonts w:ascii="Arial" w:hAnsi="Arial" w:cs="Arial"/>
          <w:sz w:val="24"/>
          <w:szCs w:val="24"/>
        </w:rPr>
        <w:t xml:space="preserve">Stephanus Christiaans, the accused in </w:t>
      </w:r>
      <w:r w:rsidR="00836454">
        <w:rPr>
          <w:rFonts w:ascii="Arial" w:hAnsi="Arial" w:cs="Arial"/>
          <w:sz w:val="24"/>
          <w:szCs w:val="24"/>
        </w:rPr>
        <w:t xml:space="preserve">the </w:t>
      </w:r>
      <w:r w:rsidR="00706124">
        <w:rPr>
          <w:rFonts w:ascii="Arial" w:hAnsi="Arial" w:cs="Arial"/>
          <w:sz w:val="24"/>
          <w:szCs w:val="24"/>
        </w:rPr>
        <w:t>second review matter, was also cha</w:t>
      </w:r>
      <w:r w:rsidR="00836454">
        <w:rPr>
          <w:rFonts w:ascii="Arial" w:hAnsi="Arial" w:cs="Arial"/>
          <w:sz w:val="24"/>
          <w:szCs w:val="24"/>
        </w:rPr>
        <w:t>rged with the same offence but for</w:t>
      </w:r>
      <w:r w:rsidR="0052364A">
        <w:rPr>
          <w:rFonts w:ascii="Arial" w:hAnsi="Arial" w:cs="Arial"/>
          <w:sz w:val="24"/>
          <w:szCs w:val="24"/>
        </w:rPr>
        <w:t xml:space="preserve"> possession of four </w:t>
      </w:r>
      <w:r w:rsidR="00706124">
        <w:rPr>
          <w:rFonts w:ascii="Arial" w:hAnsi="Arial" w:cs="Arial"/>
          <w:sz w:val="24"/>
          <w:szCs w:val="24"/>
        </w:rPr>
        <w:t>full tablets containing methaqualone.</w:t>
      </w:r>
    </w:p>
    <w:p w:rsidR="0052364A" w:rsidRPr="00C43FCA" w:rsidRDefault="0052364A" w:rsidP="007B4190">
      <w:pPr>
        <w:spacing w:line="360" w:lineRule="auto"/>
        <w:jc w:val="both"/>
        <w:rPr>
          <w:rFonts w:ascii="Arial" w:hAnsi="Arial" w:cs="Arial"/>
        </w:rPr>
      </w:pPr>
    </w:p>
    <w:p w:rsidR="00224C90" w:rsidRPr="00DC089E" w:rsidRDefault="003C6BF4" w:rsidP="007B41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[5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706124">
        <w:rPr>
          <w:rFonts w:ascii="Arial" w:hAnsi="Arial" w:cs="Arial"/>
          <w:sz w:val="24"/>
          <w:szCs w:val="24"/>
        </w:rPr>
        <w:t xml:space="preserve">The accused </w:t>
      </w:r>
      <w:r w:rsidR="004E549F">
        <w:rPr>
          <w:rFonts w:ascii="Arial" w:hAnsi="Arial" w:cs="Arial"/>
          <w:sz w:val="24"/>
          <w:szCs w:val="24"/>
        </w:rPr>
        <w:t>also pleaded guilty.  He was</w:t>
      </w:r>
      <w:r w:rsidR="00706124">
        <w:rPr>
          <w:rFonts w:ascii="Arial" w:hAnsi="Arial" w:cs="Arial"/>
          <w:sz w:val="24"/>
          <w:szCs w:val="24"/>
        </w:rPr>
        <w:t xml:space="preserve"> questioned in terms of s 112(1)</w:t>
      </w:r>
      <w:r w:rsidR="0052364A">
        <w:rPr>
          <w:rFonts w:ascii="Arial" w:hAnsi="Arial" w:cs="Arial"/>
          <w:sz w:val="24"/>
          <w:szCs w:val="24"/>
        </w:rPr>
        <w:t xml:space="preserve"> </w:t>
      </w:r>
      <w:r w:rsidR="00706124" w:rsidRPr="0052364A">
        <w:rPr>
          <w:rFonts w:ascii="Arial" w:hAnsi="Arial" w:cs="Arial"/>
          <w:i/>
          <w:sz w:val="24"/>
          <w:szCs w:val="24"/>
        </w:rPr>
        <w:t>(b)</w:t>
      </w:r>
      <w:r w:rsidR="00706124">
        <w:rPr>
          <w:rFonts w:ascii="Arial" w:hAnsi="Arial" w:cs="Arial"/>
          <w:sz w:val="24"/>
          <w:szCs w:val="24"/>
        </w:rPr>
        <w:t xml:space="preserve"> of the CPA, convicted and was sentenced to </w:t>
      </w:r>
      <w:r w:rsidR="00836454">
        <w:rPr>
          <w:rFonts w:ascii="Arial" w:hAnsi="Arial" w:cs="Arial"/>
          <w:sz w:val="24"/>
          <w:szCs w:val="24"/>
        </w:rPr>
        <w:t xml:space="preserve">an </w:t>
      </w:r>
      <w:r w:rsidR="0052364A">
        <w:rPr>
          <w:rFonts w:ascii="Arial" w:hAnsi="Arial" w:cs="Arial"/>
          <w:sz w:val="24"/>
          <w:szCs w:val="24"/>
        </w:rPr>
        <w:t>effective 12</w:t>
      </w:r>
      <w:r w:rsidR="00706124">
        <w:rPr>
          <w:rFonts w:ascii="Arial" w:hAnsi="Arial" w:cs="Arial"/>
          <w:sz w:val="24"/>
          <w:szCs w:val="24"/>
        </w:rPr>
        <w:t xml:space="preserve"> months imprisonment.</w:t>
      </w:r>
    </w:p>
    <w:p w:rsidR="00706124" w:rsidRDefault="008D18F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[6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706124">
        <w:rPr>
          <w:rFonts w:ascii="Arial" w:hAnsi="Arial" w:cs="Arial"/>
          <w:sz w:val="24"/>
          <w:szCs w:val="24"/>
        </w:rPr>
        <w:t>On review, I was not satisfied</w:t>
      </w:r>
      <w:r w:rsidR="00836454">
        <w:rPr>
          <w:rFonts w:ascii="Arial" w:hAnsi="Arial" w:cs="Arial"/>
          <w:sz w:val="24"/>
          <w:szCs w:val="24"/>
        </w:rPr>
        <w:t xml:space="preserve"> that</w:t>
      </w:r>
      <w:r w:rsidR="00706124">
        <w:rPr>
          <w:rFonts w:ascii="Arial" w:hAnsi="Arial" w:cs="Arial"/>
          <w:sz w:val="24"/>
          <w:szCs w:val="24"/>
        </w:rPr>
        <w:t xml:space="preserve"> the learned magistrate during questioning the accused persons, covered the element that the mandrax tablets they possessed contained the substance known as methaqualone.</w:t>
      </w:r>
    </w:p>
    <w:p w:rsidR="001E36D5" w:rsidRDefault="001E36D5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18F3" w:rsidRDefault="008D18F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7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706124">
        <w:rPr>
          <w:rFonts w:ascii="Arial" w:hAnsi="Arial" w:cs="Arial"/>
          <w:sz w:val="24"/>
          <w:szCs w:val="24"/>
        </w:rPr>
        <w:t>I queried the learned magistrate to explain whether the accused in the cases could admit during questioning in terms of s</w:t>
      </w:r>
      <w:r w:rsidR="00991B35">
        <w:rPr>
          <w:rFonts w:ascii="Arial" w:hAnsi="Arial" w:cs="Arial"/>
          <w:sz w:val="24"/>
          <w:szCs w:val="24"/>
        </w:rPr>
        <w:t xml:space="preserve"> 112(1)</w:t>
      </w:r>
      <w:r w:rsidR="00992676">
        <w:rPr>
          <w:rFonts w:ascii="Arial" w:hAnsi="Arial" w:cs="Arial"/>
          <w:sz w:val="24"/>
          <w:szCs w:val="24"/>
        </w:rPr>
        <w:t xml:space="preserve"> </w:t>
      </w:r>
      <w:r w:rsidR="00991B35" w:rsidRPr="00992676">
        <w:rPr>
          <w:rFonts w:ascii="Arial" w:hAnsi="Arial" w:cs="Arial"/>
          <w:i/>
          <w:sz w:val="24"/>
          <w:szCs w:val="24"/>
        </w:rPr>
        <w:t xml:space="preserve">(b) </w:t>
      </w:r>
      <w:r w:rsidR="00991B35">
        <w:rPr>
          <w:rFonts w:ascii="Arial" w:hAnsi="Arial" w:cs="Arial"/>
          <w:sz w:val="24"/>
          <w:szCs w:val="24"/>
        </w:rPr>
        <w:t>of the CPA that the tablets found in their possession contain</w:t>
      </w:r>
      <w:r w:rsidR="00836454">
        <w:rPr>
          <w:rFonts w:ascii="Arial" w:hAnsi="Arial" w:cs="Arial"/>
          <w:sz w:val="24"/>
          <w:szCs w:val="24"/>
        </w:rPr>
        <w:t>ed</w:t>
      </w:r>
      <w:r w:rsidR="00991B35">
        <w:rPr>
          <w:rFonts w:ascii="Arial" w:hAnsi="Arial" w:cs="Arial"/>
          <w:sz w:val="24"/>
          <w:szCs w:val="24"/>
        </w:rPr>
        <w:t xml:space="preserve"> methaqualone in absence of a repo</w:t>
      </w:r>
      <w:r w:rsidR="001E36D5">
        <w:rPr>
          <w:rFonts w:ascii="Arial" w:hAnsi="Arial" w:cs="Arial"/>
          <w:sz w:val="24"/>
          <w:szCs w:val="24"/>
        </w:rPr>
        <w:t>rt (certificate) to that effect.</w:t>
      </w:r>
    </w:p>
    <w:p w:rsidR="001E36D5" w:rsidRDefault="001E36D5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18F3" w:rsidRDefault="008D18F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8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991B35">
        <w:rPr>
          <w:rFonts w:ascii="Arial" w:hAnsi="Arial" w:cs="Arial"/>
          <w:sz w:val="24"/>
          <w:szCs w:val="24"/>
        </w:rPr>
        <w:t>The learned magistrate did not answer the</w:t>
      </w:r>
      <w:r w:rsidR="00304CD7">
        <w:rPr>
          <w:rFonts w:ascii="Arial" w:hAnsi="Arial" w:cs="Arial"/>
          <w:sz w:val="24"/>
          <w:szCs w:val="24"/>
        </w:rPr>
        <w:t xml:space="preserve"> query but replied that the cou</w:t>
      </w:r>
      <w:r w:rsidR="00991B35">
        <w:rPr>
          <w:rFonts w:ascii="Arial" w:hAnsi="Arial" w:cs="Arial"/>
          <w:sz w:val="24"/>
          <w:szCs w:val="24"/>
        </w:rPr>
        <w:t xml:space="preserve">rt asked the accused in each case to </w:t>
      </w:r>
      <w:r w:rsidR="00304CD7">
        <w:rPr>
          <w:rFonts w:ascii="Arial" w:hAnsi="Arial" w:cs="Arial"/>
          <w:sz w:val="24"/>
          <w:szCs w:val="24"/>
        </w:rPr>
        <w:t xml:space="preserve">admit or dispute the allegation made by the State against them in the charge annexure that they had in their possession or used a </w:t>
      </w:r>
      <w:r w:rsidR="002052C2">
        <w:rPr>
          <w:rFonts w:ascii="Arial" w:hAnsi="Arial" w:cs="Arial"/>
          <w:sz w:val="24"/>
          <w:szCs w:val="24"/>
        </w:rPr>
        <w:t xml:space="preserve">potentially </w:t>
      </w:r>
      <w:r w:rsidR="003E2901">
        <w:rPr>
          <w:rFonts w:ascii="Arial" w:hAnsi="Arial" w:cs="Arial"/>
          <w:sz w:val="24"/>
          <w:szCs w:val="24"/>
        </w:rPr>
        <w:t>dangerous dependence – producing, methaqualone tablets and they</w:t>
      </w:r>
      <w:r w:rsidR="00836454">
        <w:rPr>
          <w:rFonts w:ascii="Arial" w:hAnsi="Arial" w:cs="Arial"/>
          <w:sz w:val="24"/>
          <w:szCs w:val="24"/>
        </w:rPr>
        <w:t xml:space="preserve"> agreed.  Based on that admission</w:t>
      </w:r>
      <w:r w:rsidR="003E2901">
        <w:rPr>
          <w:rFonts w:ascii="Arial" w:hAnsi="Arial" w:cs="Arial"/>
          <w:sz w:val="24"/>
          <w:szCs w:val="24"/>
        </w:rPr>
        <w:t xml:space="preserve"> the magistrate convicted them without a certificate showing whether the tablets found in their possession contained the substance called methaqualone.</w:t>
      </w:r>
    </w:p>
    <w:p w:rsidR="001E36D5" w:rsidRPr="00E03152" w:rsidRDefault="001E36D5" w:rsidP="007B4190">
      <w:pPr>
        <w:spacing w:line="360" w:lineRule="auto"/>
        <w:jc w:val="both"/>
        <w:rPr>
          <w:rFonts w:ascii="Arial" w:hAnsi="Arial" w:cs="Arial"/>
        </w:rPr>
      </w:pPr>
    </w:p>
    <w:p w:rsidR="008D18F3" w:rsidRDefault="008D18F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3E2901">
        <w:rPr>
          <w:rFonts w:ascii="Arial" w:hAnsi="Arial" w:cs="Arial"/>
          <w:sz w:val="24"/>
          <w:szCs w:val="24"/>
        </w:rPr>
        <w:t xml:space="preserve">The court must satisfy itself </w:t>
      </w:r>
      <w:r w:rsidR="001F2D31">
        <w:rPr>
          <w:rFonts w:ascii="Arial" w:hAnsi="Arial" w:cs="Arial"/>
          <w:sz w:val="24"/>
          <w:szCs w:val="24"/>
        </w:rPr>
        <w:t>abou</w:t>
      </w:r>
      <w:r w:rsidR="003E2901">
        <w:rPr>
          <w:rFonts w:ascii="Arial" w:hAnsi="Arial" w:cs="Arial"/>
          <w:sz w:val="24"/>
          <w:szCs w:val="24"/>
        </w:rPr>
        <w:t xml:space="preserve">t the substance in mandrax by means of scientific evidence in the certificate.  This is important in cases where an accused person is unrepresented.  See </w:t>
      </w:r>
      <w:r w:rsidR="003E2901">
        <w:rPr>
          <w:rFonts w:ascii="Arial" w:hAnsi="Arial" w:cs="Arial"/>
          <w:i/>
          <w:sz w:val="24"/>
          <w:szCs w:val="24"/>
        </w:rPr>
        <w:t>S v Maniping and S v Twala</w:t>
      </w:r>
      <w:r w:rsidR="003E2901">
        <w:rPr>
          <w:rStyle w:val="FootnoteReference"/>
          <w:rFonts w:ascii="Arial" w:hAnsi="Arial" w:cs="Arial"/>
          <w:i/>
          <w:sz w:val="24"/>
          <w:szCs w:val="24"/>
        </w:rPr>
        <w:footnoteReference w:id="3"/>
      </w:r>
      <w:r w:rsidR="004F03D1">
        <w:rPr>
          <w:rFonts w:ascii="Arial" w:hAnsi="Arial" w:cs="Arial"/>
          <w:sz w:val="24"/>
          <w:szCs w:val="24"/>
        </w:rPr>
        <w:t>.</w:t>
      </w:r>
    </w:p>
    <w:p w:rsidR="001E36D5" w:rsidRPr="004F03D1" w:rsidRDefault="001E36D5" w:rsidP="007B4190">
      <w:pPr>
        <w:spacing w:line="360" w:lineRule="auto"/>
        <w:jc w:val="both"/>
        <w:rPr>
          <w:rFonts w:ascii="Arial" w:hAnsi="Arial" w:cs="Arial"/>
        </w:rPr>
      </w:pPr>
    </w:p>
    <w:p w:rsidR="008D18F3" w:rsidRDefault="008D18F3" w:rsidP="007B419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5125B5">
        <w:rPr>
          <w:rFonts w:ascii="Arial" w:hAnsi="Arial" w:cs="Arial"/>
          <w:sz w:val="24"/>
          <w:szCs w:val="24"/>
        </w:rPr>
        <w:t>Questioning in terms of s 112</w:t>
      </w:r>
      <w:r w:rsidR="001E36D5">
        <w:rPr>
          <w:rFonts w:ascii="Arial" w:hAnsi="Arial" w:cs="Arial"/>
          <w:sz w:val="24"/>
          <w:szCs w:val="24"/>
        </w:rPr>
        <w:t xml:space="preserve"> (</w:t>
      </w:r>
      <w:r w:rsidR="005125B5">
        <w:rPr>
          <w:rFonts w:ascii="Arial" w:hAnsi="Arial" w:cs="Arial"/>
          <w:sz w:val="24"/>
          <w:szCs w:val="24"/>
        </w:rPr>
        <w:t>1)</w:t>
      </w:r>
      <w:r w:rsidR="001E36D5">
        <w:rPr>
          <w:rFonts w:ascii="Arial" w:hAnsi="Arial" w:cs="Arial"/>
          <w:sz w:val="24"/>
          <w:szCs w:val="24"/>
        </w:rPr>
        <w:t xml:space="preserve"> </w:t>
      </w:r>
      <w:r w:rsidR="005125B5" w:rsidRPr="001E36D5">
        <w:rPr>
          <w:rFonts w:ascii="Arial" w:hAnsi="Arial" w:cs="Arial"/>
          <w:i/>
          <w:sz w:val="24"/>
          <w:szCs w:val="24"/>
        </w:rPr>
        <w:t>(b)</w:t>
      </w:r>
      <w:r w:rsidR="005125B5">
        <w:rPr>
          <w:rFonts w:ascii="Arial" w:hAnsi="Arial" w:cs="Arial"/>
          <w:sz w:val="24"/>
          <w:szCs w:val="24"/>
        </w:rPr>
        <w:t xml:space="preserve"> of the CPA should cover all the elements of the offence by asking adequate questions to cover all aspects not drawing inferences for insufficient explanation of the accused.</w:t>
      </w:r>
      <w:r w:rsidR="00480D58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5125B5">
        <w:rPr>
          <w:rFonts w:ascii="Arial" w:hAnsi="Arial" w:cs="Arial"/>
          <w:sz w:val="24"/>
          <w:szCs w:val="24"/>
        </w:rPr>
        <w:t xml:space="preserve">  </w:t>
      </w:r>
    </w:p>
    <w:p w:rsidR="00601C5B" w:rsidRPr="003F70DD" w:rsidRDefault="00601C5B" w:rsidP="007B4190">
      <w:pPr>
        <w:spacing w:before="240" w:line="360" w:lineRule="auto"/>
        <w:jc w:val="both"/>
        <w:rPr>
          <w:rFonts w:ascii="Arial" w:hAnsi="Arial" w:cs="Arial"/>
        </w:rPr>
      </w:pPr>
    </w:p>
    <w:p w:rsidR="003F70DD" w:rsidRDefault="008D18F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</w:t>
      </w:r>
      <w:r w:rsidRPr="00387909">
        <w:rPr>
          <w:rFonts w:ascii="Arial" w:hAnsi="Arial" w:cs="Arial"/>
          <w:sz w:val="24"/>
          <w:szCs w:val="24"/>
        </w:rPr>
        <w:t>1]</w:t>
      </w:r>
      <w:r w:rsidRPr="00387909">
        <w:rPr>
          <w:rFonts w:ascii="Arial" w:hAnsi="Arial" w:cs="Arial"/>
          <w:sz w:val="24"/>
          <w:szCs w:val="24"/>
        </w:rPr>
        <w:tab/>
      </w:r>
      <w:r w:rsidR="003F70DD">
        <w:rPr>
          <w:rFonts w:ascii="Arial" w:hAnsi="Arial" w:cs="Arial"/>
          <w:sz w:val="24"/>
          <w:szCs w:val="24"/>
        </w:rPr>
        <w:t xml:space="preserve">In view of the above mentioned, it is prudent </w:t>
      </w:r>
      <w:r w:rsidR="007F6D5E">
        <w:rPr>
          <w:rFonts w:ascii="Arial" w:hAnsi="Arial" w:cs="Arial"/>
          <w:sz w:val="24"/>
          <w:szCs w:val="24"/>
        </w:rPr>
        <w:t xml:space="preserve">and fair for the interest of justice to refer the matter back to the magistrate to question the accused properly in terms of </w:t>
      </w:r>
      <w:r w:rsidR="007F6D5E">
        <w:rPr>
          <w:rFonts w:ascii="Arial" w:hAnsi="Arial" w:cs="Arial"/>
          <w:sz w:val="24"/>
          <w:szCs w:val="24"/>
        </w:rPr>
        <w:lastRenderedPageBreak/>
        <w:t>s 112(1)</w:t>
      </w:r>
      <w:r w:rsidR="00601C5B">
        <w:rPr>
          <w:rFonts w:ascii="Arial" w:hAnsi="Arial" w:cs="Arial"/>
          <w:sz w:val="24"/>
          <w:szCs w:val="24"/>
        </w:rPr>
        <w:t xml:space="preserve"> </w:t>
      </w:r>
      <w:r w:rsidR="007F6D5E" w:rsidRPr="00601C5B">
        <w:rPr>
          <w:rFonts w:ascii="Arial" w:hAnsi="Arial" w:cs="Arial"/>
          <w:i/>
          <w:sz w:val="24"/>
          <w:szCs w:val="24"/>
        </w:rPr>
        <w:t>(b)</w:t>
      </w:r>
      <w:r w:rsidR="007F6D5E">
        <w:rPr>
          <w:rFonts w:ascii="Arial" w:hAnsi="Arial" w:cs="Arial"/>
          <w:sz w:val="24"/>
          <w:szCs w:val="24"/>
        </w:rPr>
        <w:t xml:space="preserve"> </w:t>
      </w:r>
      <w:r w:rsidR="004E549F">
        <w:rPr>
          <w:rFonts w:ascii="Arial" w:hAnsi="Arial" w:cs="Arial"/>
          <w:sz w:val="24"/>
          <w:szCs w:val="24"/>
        </w:rPr>
        <w:t xml:space="preserve">in order </w:t>
      </w:r>
      <w:r w:rsidR="007F6D5E">
        <w:rPr>
          <w:rFonts w:ascii="Arial" w:hAnsi="Arial" w:cs="Arial"/>
          <w:sz w:val="24"/>
          <w:szCs w:val="24"/>
        </w:rPr>
        <w:t>to cover the element of whether the tablets found in possession of the accused persons in both matters contained the prohibited substance methaqualone by means of certificates from</w:t>
      </w:r>
      <w:r w:rsidR="004E549F">
        <w:rPr>
          <w:rFonts w:ascii="Arial" w:hAnsi="Arial" w:cs="Arial"/>
          <w:sz w:val="24"/>
          <w:szCs w:val="24"/>
        </w:rPr>
        <w:t xml:space="preserve"> the National Forensic Institute</w:t>
      </w:r>
      <w:r w:rsidR="007F6D5E">
        <w:rPr>
          <w:rFonts w:ascii="Arial" w:hAnsi="Arial" w:cs="Arial"/>
          <w:sz w:val="24"/>
          <w:szCs w:val="24"/>
        </w:rPr>
        <w:t xml:space="preserve"> which a</w:t>
      </w:r>
      <w:r w:rsidR="00B06A78">
        <w:rPr>
          <w:rFonts w:ascii="Arial" w:hAnsi="Arial" w:cs="Arial"/>
          <w:sz w:val="24"/>
          <w:szCs w:val="24"/>
        </w:rPr>
        <w:t>nalys</w:t>
      </w:r>
      <w:r w:rsidR="007F6D5E">
        <w:rPr>
          <w:rFonts w:ascii="Arial" w:hAnsi="Arial" w:cs="Arial"/>
          <w:sz w:val="24"/>
          <w:szCs w:val="24"/>
        </w:rPr>
        <w:t>ed the tablets.</w:t>
      </w:r>
    </w:p>
    <w:p w:rsidR="00601C5B" w:rsidRDefault="00601C5B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023" w:rsidRDefault="008D18F3" w:rsidP="007B4190">
      <w:pPr>
        <w:spacing w:line="360" w:lineRule="auto"/>
        <w:jc w:val="both"/>
        <w:rPr>
          <w:rFonts w:ascii="Arial" w:hAnsi="Arial" w:cs="Arial"/>
        </w:rPr>
      </w:pPr>
      <w:r w:rsidRPr="0038790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7F6D5E">
        <w:rPr>
          <w:rFonts w:ascii="Arial" w:hAnsi="Arial" w:cs="Arial"/>
          <w:sz w:val="24"/>
          <w:szCs w:val="24"/>
        </w:rPr>
        <w:t>In the results, I make the following order:</w:t>
      </w:r>
    </w:p>
    <w:p w:rsidR="00DD4310" w:rsidRPr="00CF6C1D" w:rsidRDefault="00DD4310" w:rsidP="007B4190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341BAE">
        <w:rPr>
          <w:rFonts w:ascii="Arial" w:hAnsi="Arial" w:cs="Arial"/>
          <w:sz w:val="24"/>
          <w:szCs w:val="24"/>
        </w:rPr>
        <w:t xml:space="preserve">The conviction and </w:t>
      </w:r>
      <w:r w:rsidR="00601C5B">
        <w:rPr>
          <w:rFonts w:ascii="Arial" w:hAnsi="Arial" w:cs="Arial"/>
          <w:sz w:val="24"/>
          <w:szCs w:val="24"/>
        </w:rPr>
        <w:t>sentence in each</w:t>
      </w:r>
      <w:r w:rsidR="00341BAE">
        <w:rPr>
          <w:rFonts w:ascii="Arial" w:hAnsi="Arial" w:cs="Arial"/>
          <w:sz w:val="24"/>
          <w:szCs w:val="24"/>
        </w:rPr>
        <w:t xml:space="preserve"> case cited above are hereby set aside and both cases remitted to the magistrate’s court Keetmanshoop before the learned magistrate Shikongo</w:t>
      </w:r>
      <w:r w:rsidR="00341BAE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F87E1C">
        <w:rPr>
          <w:rFonts w:ascii="Arial" w:hAnsi="Arial" w:cs="Arial"/>
          <w:sz w:val="24"/>
          <w:szCs w:val="24"/>
        </w:rPr>
        <w:t xml:space="preserve"> to question the two accused properly in terms of s 112(1)</w:t>
      </w:r>
      <w:r w:rsidR="00601C5B">
        <w:rPr>
          <w:rFonts w:ascii="Arial" w:hAnsi="Arial" w:cs="Arial"/>
          <w:sz w:val="24"/>
          <w:szCs w:val="24"/>
        </w:rPr>
        <w:t xml:space="preserve"> </w:t>
      </w:r>
      <w:r w:rsidR="00F87E1C" w:rsidRPr="00601C5B">
        <w:rPr>
          <w:rFonts w:ascii="Arial" w:hAnsi="Arial" w:cs="Arial"/>
          <w:i/>
          <w:sz w:val="24"/>
          <w:szCs w:val="24"/>
        </w:rPr>
        <w:t>(b).</w:t>
      </w:r>
      <w:r w:rsidR="004E549F">
        <w:rPr>
          <w:rFonts w:ascii="Arial" w:hAnsi="Arial" w:cs="Arial"/>
          <w:i/>
          <w:sz w:val="24"/>
          <w:szCs w:val="24"/>
        </w:rPr>
        <w:t xml:space="preserve"> </w:t>
      </w:r>
      <w:r w:rsidR="00CF6C1D">
        <w:rPr>
          <w:rFonts w:ascii="Arial" w:hAnsi="Arial" w:cs="Arial"/>
          <w:sz w:val="24"/>
          <w:szCs w:val="24"/>
        </w:rPr>
        <w:t xml:space="preserve"> In order to determine whether the substances contained the prohibited substance methaqualone.</w:t>
      </w:r>
    </w:p>
    <w:p w:rsidR="00DD4310" w:rsidRDefault="00DD4310" w:rsidP="007B4190">
      <w:pPr>
        <w:spacing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AC652B">
        <w:rPr>
          <w:rFonts w:ascii="Arial" w:hAnsi="Arial" w:cs="Arial"/>
          <w:sz w:val="24"/>
          <w:szCs w:val="24"/>
        </w:rPr>
        <w:t>The learned magistrate is directed to resubmit the case</w:t>
      </w:r>
      <w:r w:rsidR="00A95AD8">
        <w:rPr>
          <w:rFonts w:ascii="Arial" w:hAnsi="Arial" w:cs="Arial"/>
          <w:sz w:val="24"/>
          <w:szCs w:val="24"/>
        </w:rPr>
        <w:t>s</w:t>
      </w:r>
      <w:r w:rsidR="00AC652B">
        <w:rPr>
          <w:rFonts w:ascii="Arial" w:hAnsi="Arial" w:cs="Arial"/>
          <w:sz w:val="24"/>
          <w:szCs w:val="24"/>
        </w:rPr>
        <w:t xml:space="preserve"> </w:t>
      </w:r>
      <w:r w:rsidR="00954EAA">
        <w:rPr>
          <w:rFonts w:ascii="Arial" w:hAnsi="Arial" w:cs="Arial"/>
          <w:sz w:val="24"/>
          <w:szCs w:val="24"/>
        </w:rPr>
        <w:t>if the accused are convicted and</w:t>
      </w:r>
      <w:r w:rsidR="00AC652B">
        <w:rPr>
          <w:rFonts w:ascii="Arial" w:hAnsi="Arial" w:cs="Arial"/>
          <w:sz w:val="24"/>
          <w:szCs w:val="24"/>
        </w:rPr>
        <w:t xml:space="preserve"> reviewable sentences </w:t>
      </w:r>
      <w:r w:rsidR="00954EAA">
        <w:rPr>
          <w:rFonts w:ascii="Arial" w:hAnsi="Arial" w:cs="Arial"/>
          <w:sz w:val="24"/>
          <w:szCs w:val="24"/>
        </w:rPr>
        <w:t>have been</w:t>
      </w:r>
      <w:r w:rsidR="00AC652B">
        <w:rPr>
          <w:rFonts w:ascii="Arial" w:hAnsi="Arial" w:cs="Arial"/>
          <w:sz w:val="24"/>
          <w:szCs w:val="24"/>
        </w:rPr>
        <w:t xml:space="preserve"> imposed.</w:t>
      </w:r>
    </w:p>
    <w:p w:rsidR="00730023" w:rsidRDefault="00730023" w:rsidP="007B41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7B41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E  UNENGU</w:t>
      </w: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9B6734" w:rsidRDefault="009B6734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0709A9" w:rsidRDefault="000709A9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8C07CE">
      <w:pPr>
        <w:spacing w:after="0" w:line="360" w:lineRule="auto"/>
        <w:ind w:firstLine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 USIKU</w:t>
      </w:r>
    </w:p>
    <w:p w:rsidR="007260FB" w:rsidRPr="00387909" w:rsidRDefault="0005710F" w:rsidP="008C07CE">
      <w:pPr>
        <w:spacing w:line="360" w:lineRule="auto"/>
        <w:ind w:firstLine="5812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F447A6">
      <w:headerReference w:type="default" r:id="rId12"/>
      <w:pgSz w:w="11906" w:h="16838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68" w:rsidRDefault="00B75068" w:rsidP="001B7253">
      <w:pPr>
        <w:spacing w:after="0" w:line="240" w:lineRule="auto"/>
      </w:pPr>
      <w:r>
        <w:separator/>
      </w:r>
    </w:p>
  </w:endnote>
  <w:endnote w:type="continuationSeparator" w:id="0">
    <w:p w:rsidR="00B75068" w:rsidRDefault="00B75068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68" w:rsidRDefault="00B75068" w:rsidP="001B7253">
      <w:pPr>
        <w:spacing w:after="0" w:line="240" w:lineRule="auto"/>
      </w:pPr>
      <w:r>
        <w:separator/>
      </w:r>
    </w:p>
  </w:footnote>
  <w:footnote w:type="continuationSeparator" w:id="0">
    <w:p w:rsidR="00B75068" w:rsidRDefault="00B75068" w:rsidP="001B7253">
      <w:pPr>
        <w:spacing w:after="0" w:line="240" w:lineRule="auto"/>
      </w:pPr>
      <w:r>
        <w:continuationSeparator/>
      </w:r>
    </w:p>
  </w:footnote>
  <w:footnote w:id="1">
    <w:p w:rsidR="00EE40AB" w:rsidRPr="00341BAE" w:rsidRDefault="00EE40AB" w:rsidP="00EE40A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s 304(2)(v) of the CPA.</w:t>
      </w:r>
    </w:p>
  </w:footnote>
  <w:footnote w:id="2">
    <w:p w:rsidR="00C8528D" w:rsidRDefault="00C852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28D">
        <w:rPr>
          <w:rFonts w:ascii="Arial" w:hAnsi="Arial" w:cs="Arial"/>
        </w:rPr>
        <w:t>Act 51 of 1977 (the CPA).</w:t>
      </w:r>
    </w:p>
  </w:footnote>
  <w:footnote w:id="3">
    <w:p w:rsidR="003E2901" w:rsidRPr="00480D58" w:rsidRDefault="003E2901">
      <w:pPr>
        <w:pStyle w:val="FootnoteText"/>
        <w:rPr>
          <w:rFonts w:ascii="Arial" w:hAnsi="Arial" w:cs="Arial"/>
        </w:rPr>
      </w:pPr>
      <w:r w:rsidRPr="00480D58">
        <w:rPr>
          <w:rStyle w:val="FootnoteReference"/>
          <w:rFonts w:ascii="Arial" w:hAnsi="Arial" w:cs="Arial"/>
        </w:rPr>
        <w:footnoteRef/>
      </w:r>
      <w:r w:rsidRPr="00480D58">
        <w:rPr>
          <w:rFonts w:ascii="Arial" w:hAnsi="Arial" w:cs="Arial"/>
        </w:rPr>
        <w:t xml:space="preserve"> 1994 NR 69 (HC)</w:t>
      </w:r>
      <w:r w:rsidR="001E36D5" w:rsidRPr="00480D58">
        <w:rPr>
          <w:rFonts w:ascii="Arial" w:hAnsi="Arial" w:cs="Arial"/>
        </w:rPr>
        <w:t>.</w:t>
      </w:r>
    </w:p>
  </w:footnote>
  <w:footnote w:id="4">
    <w:p w:rsidR="00480D58" w:rsidRPr="00480D58" w:rsidRDefault="00480D58">
      <w:pPr>
        <w:pStyle w:val="FootnoteText"/>
        <w:rPr>
          <w:lang w:val="en-US"/>
        </w:rPr>
      </w:pPr>
      <w:r w:rsidRPr="00480D58">
        <w:rPr>
          <w:rStyle w:val="FootnoteReference"/>
          <w:rFonts w:ascii="Arial" w:hAnsi="Arial" w:cs="Arial"/>
        </w:rPr>
        <w:footnoteRef/>
      </w:r>
      <w:r w:rsidRPr="00480D58">
        <w:rPr>
          <w:rFonts w:ascii="Arial" w:hAnsi="Arial" w:cs="Arial"/>
        </w:rPr>
        <w:t xml:space="preserve"> See S v Nashapi 2009 (2) NR 803 (HC); S v Thomas 2006 (1) NR 83 (HC).</w:t>
      </w:r>
    </w:p>
  </w:footnote>
  <w:footnote w:id="5">
    <w:p w:rsidR="00341BAE" w:rsidRPr="00341BAE" w:rsidRDefault="00341BAE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s 304(2</w:t>
      </w:r>
      <w:r w:rsidRPr="000E6AE8">
        <w:rPr>
          <w:rFonts w:ascii="Arial" w:hAnsi="Arial" w:cs="Arial"/>
          <w:i/>
        </w:rPr>
        <w:t>)(v)</w:t>
      </w:r>
      <w:r>
        <w:rPr>
          <w:rFonts w:ascii="Arial" w:hAnsi="Arial" w:cs="Arial"/>
        </w:rPr>
        <w:t xml:space="preserve"> of the CPA.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809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6113"/>
    <w:rsid w:val="000106B4"/>
    <w:rsid w:val="000113E9"/>
    <w:rsid w:val="00012FA7"/>
    <w:rsid w:val="00017359"/>
    <w:rsid w:val="00025C12"/>
    <w:rsid w:val="00027B2C"/>
    <w:rsid w:val="00027C8A"/>
    <w:rsid w:val="000310BC"/>
    <w:rsid w:val="00033528"/>
    <w:rsid w:val="00034E0E"/>
    <w:rsid w:val="00035653"/>
    <w:rsid w:val="00037117"/>
    <w:rsid w:val="00042EA7"/>
    <w:rsid w:val="00042F22"/>
    <w:rsid w:val="00043118"/>
    <w:rsid w:val="00046828"/>
    <w:rsid w:val="00046C2D"/>
    <w:rsid w:val="0005057A"/>
    <w:rsid w:val="00050870"/>
    <w:rsid w:val="00051B03"/>
    <w:rsid w:val="00051C93"/>
    <w:rsid w:val="000550BD"/>
    <w:rsid w:val="000552F2"/>
    <w:rsid w:val="00056329"/>
    <w:rsid w:val="00056483"/>
    <w:rsid w:val="0005710F"/>
    <w:rsid w:val="00063100"/>
    <w:rsid w:val="000709A9"/>
    <w:rsid w:val="000800AC"/>
    <w:rsid w:val="00084943"/>
    <w:rsid w:val="00085ABE"/>
    <w:rsid w:val="00092610"/>
    <w:rsid w:val="00096C84"/>
    <w:rsid w:val="000A5BBF"/>
    <w:rsid w:val="000A745C"/>
    <w:rsid w:val="000B0270"/>
    <w:rsid w:val="000B1146"/>
    <w:rsid w:val="000B3303"/>
    <w:rsid w:val="000B3A5A"/>
    <w:rsid w:val="000C422B"/>
    <w:rsid w:val="000D64A5"/>
    <w:rsid w:val="000E2D0E"/>
    <w:rsid w:val="000E6026"/>
    <w:rsid w:val="000E6412"/>
    <w:rsid w:val="000E6AE8"/>
    <w:rsid w:val="000F048D"/>
    <w:rsid w:val="000F4F91"/>
    <w:rsid w:val="001000A0"/>
    <w:rsid w:val="00102AFF"/>
    <w:rsid w:val="00102CCD"/>
    <w:rsid w:val="00105B0E"/>
    <w:rsid w:val="00105B20"/>
    <w:rsid w:val="0011237C"/>
    <w:rsid w:val="001149A9"/>
    <w:rsid w:val="00114A44"/>
    <w:rsid w:val="00124AFB"/>
    <w:rsid w:val="00127D2C"/>
    <w:rsid w:val="0013113C"/>
    <w:rsid w:val="001317F8"/>
    <w:rsid w:val="0013204A"/>
    <w:rsid w:val="00132F96"/>
    <w:rsid w:val="00140142"/>
    <w:rsid w:val="00141CC7"/>
    <w:rsid w:val="00144A1D"/>
    <w:rsid w:val="001456F7"/>
    <w:rsid w:val="001469FD"/>
    <w:rsid w:val="00147D6E"/>
    <w:rsid w:val="00151E19"/>
    <w:rsid w:val="001542BB"/>
    <w:rsid w:val="00154CF4"/>
    <w:rsid w:val="00155C0D"/>
    <w:rsid w:val="00157F2E"/>
    <w:rsid w:val="0016170C"/>
    <w:rsid w:val="0016361E"/>
    <w:rsid w:val="001644B9"/>
    <w:rsid w:val="001703B1"/>
    <w:rsid w:val="00177B90"/>
    <w:rsid w:val="0018255E"/>
    <w:rsid w:val="001852DD"/>
    <w:rsid w:val="00186830"/>
    <w:rsid w:val="00186D1D"/>
    <w:rsid w:val="001945B5"/>
    <w:rsid w:val="00197A53"/>
    <w:rsid w:val="001A115C"/>
    <w:rsid w:val="001A638B"/>
    <w:rsid w:val="001A7126"/>
    <w:rsid w:val="001B3B89"/>
    <w:rsid w:val="001B7253"/>
    <w:rsid w:val="001C011E"/>
    <w:rsid w:val="001C4267"/>
    <w:rsid w:val="001C760F"/>
    <w:rsid w:val="001D4627"/>
    <w:rsid w:val="001E04AB"/>
    <w:rsid w:val="001E24DE"/>
    <w:rsid w:val="001E36D5"/>
    <w:rsid w:val="001E5854"/>
    <w:rsid w:val="001E787D"/>
    <w:rsid w:val="001F0622"/>
    <w:rsid w:val="001F150A"/>
    <w:rsid w:val="001F1BAF"/>
    <w:rsid w:val="001F2D31"/>
    <w:rsid w:val="001F7F7F"/>
    <w:rsid w:val="002003C3"/>
    <w:rsid w:val="00201AD1"/>
    <w:rsid w:val="002052C2"/>
    <w:rsid w:val="00211364"/>
    <w:rsid w:val="00214BC6"/>
    <w:rsid w:val="002162B5"/>
    <w:rsid w:val="002176E3"/>
    <w:rsid w:val="0022061C"/>
    <w:rsid w:val="00221819"/>
    <w:rsid w:val="00222602"/>
    <w:rsid w:val="00222F76"/>
    <w:rsid w:val="002246DA"/>
    <w:rsid w:val="00224741"/>
    <w:rsid w:val="00224C90"/>
    <w:rsid w:val="00224D2B"/>
    <w:rsid w:val="00232D86"/>
    <w:rsid w:val="00236313"/>
    <w:rsid w:val="00242CCD"/>
    <w:rsid w:val="00243F4F"/>
    <w:rsid w:val="00245751"/>
    <w:rsid w:val="002470BA"/>
    <w:rsid w:val="00247D93"/>
    <w:rsid w:val="00250ECF"/>
    <w:rsid w:val="00251B3C"/>
    <w:rsid w:val="00252F02"/>
    <w:rsid w:val="00255107"/>
    <w:rsid w:val="002603E6"/>
    <w:rsid w:val="002616D1"/>
    <w:rsid w:val="00284CCD"/>
    <w:rsid w:val="0028572E"/>
    <w:rsid w:val="002860B4"/>
    <w:rsid w:val="002874E1"/>
    <w:rsid w:val="002904E9"/>
    <w:rsid w:val="00291FE1"/>
    <w:rsid w:val="002944C1"/>
    <w:rsid w:val="00296B44"/>
    <w:rsid w:val="0029761B"/>
    <w:rsid w:val="002A6ECF"/>
    <w:rsid w:val="002B0AC9"/>
    <w:rsid w:val="002B3711"/>
    <w:rsid w:val="002B5112"/>
    <w:rsid w:val="002B5480"/>
    <w:rsid w:val="002C3D59"/>
    <w:rsid w:val="002C438D"/>
    <w:rsid w:val="002D48B0"/>
    <w:rsid w:val="002E00BC"/>
    <w:rsid w:val="002E0815"/>
    <w:rsid w:val="002E26EB"/>
    <w:rsid w:val="002E3FF2"/>
    <w:rsid w:val="002F0A08"/>
    <w:rsid w:val="002F3497"/>
    <w:rsid w:val="00302CA5"/>
    <w:rsid w:val="00304CD7"/>
    <w:rsid w:val="0031435F"/>
    <w:rsid w:val="00315D1F"/>
    <w:rsid w:val="00315F23"/>
    <w:rsid w:val="00317783"/>
    <w:rsid w:val="00324950"/>
    <w:rsid w:val="003253E9"/>
    <w:rsid w:val="00325FEA"/>
    <w:rsid w:val="00341BAE"/>
    <w:rsid w:val="003519A3"/>
    <w:rsid w:val="00360410"/>
    <w:rsid w:val="00361E37"/>
    <w:rsid w:val="00362A4A"/>
    <w:rsid w:val="00363112"/>
    <w:rsid w:val="003646CA"/>
    <w:rsid w:val="003671BB"/>
    <w:rsid w:val="003708D1"/>
    <w:rsid w:val="00371A91"/>
    <w:rsid w:val="003774C9"/>
    <w:rsid w:val="00377FE3"/>
    <w:rsid w:val="00380E20"/>
    <w:rsid w:val="00384FE2"/>
    <w:rsid w:val="00387909"/>
    <w:rsid w:val="00387EBC"/>
    <w:rsid w:val="00396184"/>
    <w:rsid w:val="00396EF0"/>
    <w:rsid w:val="003A5CEA"/>
    <w:rsid w:val="003A6D95"/>
    <w:rsid w:val="003C2346"/>
    <w:rsid w:val="003C4330"/>
    <w:rsid w:val="003C6699"/>
    <w:rsid w:val="003C6BF4"/>
    <w:rsid w:val="003D0F40"/>
    <w:rsid w:val="003D46DC"/>
    <w:rsid w:val="003E2901"/>
    <w:rsid w:val="003F006C"/>
    <w:rsid w:val="003F06A2"/>
    <w:rsid w:val="003F49A2"/>
    <w:rsid w:val="003F70DD"/>
    <w:rsid w:val="00403208"/>
    <w:rsid w:val="00405186"/>
    <w:rsid w:val="00406504"/>
    <w:rsid w:val="00411533"/>
    <w:rsid w:val="0041163F"/>
    <w:rsid w:val="004126D4"/>
    <w:rsid w:val="00412AFF"/>
    <w:rsid w:val="004131CE"/>
    <w:rsid w:val="0041501E"/>
    <w:rsid w:val="00416BE7"/>
    <w:rsid w:val="004211C2"/>
    <w:rsid w:val="00422698"/>
    <w:rsid w:val="00422B8D"/>
    <w:rsid w:val="00422F45"/>
    <w:rsid w:val="00431E1E"/>
    <w:rsid w:val="00433017"/>
    <w:rsid w:val="00436639"/>
    <w:rsid w:val="0043697F"/>
    <w:rsid w:val="00436A99"/>
    <w:rsid w:val="00440959"/>
    <w:rsid w:val="00443793"/>
    <w:rsid w:val="00444F75"/>
    <w:rsid w:val="00446568"/>
    <w:rsid w:val="00451752"/>
    <w:rsid w:val="00460E3F"/>
    <w:rsid w:val="0046254D"/>
    <w:rsid w:val="0046593E"/>
    <w:rsid w:val="004662DD"/>
    <w:rsid w:val="0046784A"/>
    <w:rsid w:val="004739B2"/>
    <w:rsid w:val="00474491"/>
    <w:rsid w:val="004752FD"/>
    <w:rsid w:val="00475E44"/>
    <w:rsid w:val="00480D58"/>
    <w:rsid w:val="00491176"/>
    <w:rsid w:val="00491B09"/>
    <w:rsid w:val="00493E44"/>
    <w:rsid w:val="00494407"/>
    <w:rsid w:val="00494B38"/>
    <w:rsid w:val="0049512C"/>
    <w:rsid w:val="00495166"/>
    <w:rsid w:val="0049610C"/>
    <w:rsid w:val="00496688"/>
    <w:rsid w:val="004A0DC2"/>
    <w:rsid w:val="004A1E73"/>
    <w:rsid w:val="004A28AE"/>
    <w:rsid w:val="004B2B7D"/>
    <w:rsid w:val="004B53B5"/>
    <w:rsid w:val="004B57F0"/>
    <w:rsid w:val="004B5880"/>
    <w:rsid w:val="004C0688"/>
    <w:rsid w:val="004C62D9"/>
    <w:rsid w:val="004C7606"/>
    <w:rsid w:val="004D01F2"/>
    <w:rsid w:val="004D0EC3"/>
    <w:rsid w:val="004D299A"/>
    <w:rsid w:val="004D2AC6"/>
    <w:rsid w:val="004D7610"/>
    <w:rsid w:val="004E1878"/>
    <w:rsid w:val="004E39A5"/>
    <w:rsid w:val="004E46E2"/>
    <w:rsid w:val="004E549F"/>
    <w:rsid w:val="004E7C33"/>
    <w:rsid w:val="004F03D1"/>
    <w:rsid w:val="004F33BE"/>
    <w:rsid w:val="004F435C"/>
    <w:rsid w:val="004F4456"/>
    <w:rsid w:val="004F4BBA"/>
    <w:rsid w:val="004F50B6"/>
    <w:rsid w:val="004F559D"/>
    <w:rsid w:val="004F5816"/>
    <w:rsid w:val="004F5B23"/>
    <w:rsid w:val="005026E8"/>
    <w:rsid w:val="0050356E"/>
    <w:rsid w:val="00503E02"/>
    <w:rsid w:val="00505003"/>
    <w:rsid w:val="005125B5"/>
    <w:rsid w:val="005150F1"/>
    <w:rsid w:val="00522BF4"/>
    <w:rsid w:val="0052364A"/>
    <w:rsid w:val="00527891"/>
    <w:rsid w:val="005332F8"/>
    <w:rsid w:val="00537787"/>
    <w:rsid w:val="00542EED"/>
    <w:rsid w:val="00547CA0"/>
    <w:rsid w:val="005522FA"/>
    <w:rsid w:val="00552E1D"/>
    <w:rsid w:val="00553153"/>
    <w:rsid w:val="00553AD2"/>
    <w:rsid w:val="00556581"/>
    <w:rsid w:val="00557568"/>
    <w:rsid w:val="00562186"/>
    <w:rsid w:val="0056591F"/>
    <w:rsid w:val="00575606"/>
    <w:rsid w:val="00581D8D"/>
    <w:rsid w:val="0058201B"/>
    <w:rsid w:val="00590ACA"/>
    <w:rsid w:val="005916A4"/>
    <w:rsid w:val="00591D51"/>
    <w:rsid w:val="005952AB"/>
    <w:rsid w:val="005A2AAE"/>
    <w:rsid w:val="005A4BC8"/>
    <w:rsid w:val="005A5672"/>
    <w:rsid w:val="005B3533"/>
    <w:rsid w:val="005C0F0D"/>
    <w:rsid w:val="005C5755"/>
    <w:rsid w:val="005C7CFC"/>
    <w:rsid w:val="005D10BA"/>
    <w:rsid w:val="005D395F"/>
    <w:rsid w:val="005D3A09"/>
    <w:rsid w:val="005D73A9"/>
    <w:rsid w:val="005D74E1"/>
    <w:rsid w:val="005E0674"/>
    <w:rsid w:val="005E5DD2"/>
    <w:rsid w:val="005E6510"/>
    <w:rsid w:val="005E7EFE"/>
    <w:rsid w:val="00601C5B"/>
    <w:rsid w:val="006054C0"/>
    <w:rsid w:val="006058C0"/>
    <w:rsid w:val="00605C83"/>
    <w:rsid w:val="00610BB2"/>
    <w:rsid w:val="00614FE3"/>
    <w:rsid w:val="00617B38"/>
    <w:rsid w:val="00617CA9"/>
    <w:rsid w:val="006235F1"/>
    <w:rsid w:val="00623983"/>
    <w:rsid w:val="00626307"/>
    <w:rsid w:val="0063091F"/>
    <w:rsid w:val="00633CEC"/>
    <w:rsid w:val="0063582D"/>
    <w:rsid w:val="0063665B"/>
    <w:rsid w:val="00642A84"/>
    <w:rsid w:val="00646D96"/>
    <w:rsid w:val="00655AF5"/>
    <w:rsid w:val="00662B23"/>
    <w:rsid w:val="00664D4A"/>
    <w:rsid w:val="0066678C"/>
    <w:rsid w:val="00666E4E"/>
    <w:rsid w:val="00670306"/>
    <w:rsid w:val="00670657"/>
    <w:rsid w:val="006727C1"/>
    <w:rsid w:val="00675E7A"/>
    <w:rsid w:val="00681145"/>
    <w:rsid w:val="0068753A"/>
    <w:rsid w:val="006905A1"/>
    <w:rsid w:val="00692EA8"/>
    <w:rsid w:val="00693008"/>
    <w:rsid w:val="00694CD1"/>
    <w:rsid w:val="00695DAD"/>
    <w:rsid w:val="006A01D1"/>
    <w:rsid w:val="006A2075"/>
    <w:rsid w:val="006A3B1B"/>
    <w:rsid w:val="006B204B"/>
    <w:rsid w:val="006B2F90"/>
    <w:rsid w:val="006B317C"/>
    <w:rsid w:val="006B4A1B"/>
    <w:rsid w:val="006C09F1"/>
    <w:rsid w:val="006C31B7"/>
    <w:rsid w:val="006C4361"/>
    <w:rsid w:val="006C6ECD"/>
    <w:rsid w:val="006D318A"/>
    <w:rsid w:val="006E3AD8"/>
    <w:rsid w:val="006E5055"/>
    <w:rsid w:val="006F2D4F"/>
    <w:rsid w:val="007038E3"/>
    <w:rsid w:val="00706124"/>
    <w:rsid w:val="00712648"/>
    <w:rsid w:val="0071364B"/>
    <w:rsid w:val="00715D73"/>
    <w:rsid w:val="007260CC"/>
    <w:rsid w:val="007260FB"/>
    <w:rsid w:val="00730023"/>
    <w:rsid w:val="0073017C"/>
    <w:rsid w:val="007325BB"/>
    <w:rsid w:val="00733837"/>
    <w:rsid w:val="00734386"/>
    <w:rsid w:val="007366C3"/>
    <w:rsid w:val="00743DB6"/>
    <w:rsid w:val="007455D2"/>
    <w:rsid w:val="00746F4A"/>
    <w:rsid w:val="00751172"/>
    <w:rsid w:val="00760EB6"/>
    <w:rsid w:val="00760FE2"/>
    <w:rsid w:val="007619DB"/>
    <w:rsid w:val="00765ADC"/>
    <w:rsid w:val="007674BC"/>
    <w:rsid w:val="007738CC"/>
    <w:rsid w:val="00773FC6"/>
    <w:rsid w:val="00775AD9"/>
    <w:rsid w:val="0077795E"/>
    <w:rsid w:val="0078068F"/>
    <w:rsid w:val="00780E7F"/>
    <w:rsid w:val="007900F9"/>
    <w:rsid w:val="007904F0"/>
    <w:rsid w:val="0079174B"/>
    <w:rsid w:val="00794453"/>
    <w:rsid w:val="007950FB"/>
    <w:rsid w:val="0079521D"/>
    <w:rsid w:val="00795781"/>
    <w:rsid w:val="007A1489"/>
    <w:rsid w:val="007A3A0E"/>
    <w:rsid w:val="007A401F"/>
    <w:rsid w:val="007B4190"/>
    <w:rsid w:val="007C2554"/>
    <w:rsid w:val="007C491F"/>
    <w:rsid w:val="007D33C9"/>
    <w:rsid w:val="007D4161"/>
    <w:rsid w:val="007D4D53"/>
    <w:rsid w:val="007F3F31"/>
    <w:rsid w:val="007F6D5E"/>
    <w:rsid w:val="0080522E"/>
    <w:rsid w:val="00806299"/>
    <w:rsid w:val="00807B66"/>
    <w:rsid w:val="00813DB7"/>
    <w:rsid w:val="00817811"/>
    <w:rsid w:val="0082534E"/>
    <w:rsid w:val="00825B9B"/>
    <w:rsid w:val="00834BE7"/>
    <w:rsid w:val="00836371"/>
    <w:rsid w:val="00836454"/>
    <w:rsid w:val="0084593F"/>
    <w:rsid w:val="00847DB5"/>
    <w:rsid w:val="00850C59"/>
    <w:rsid w:val="00857323"/>
    <w:rsid w:val="00857CD0"/>
    <w:rsid w:val="00862582"/>
    <w:rsid w:val="00865AF2"/>
    <w:rsid w:val="00866216"/>
    <w:rsid w:val="00870D3E"/>
    <w:rsid w:val="00876CC4"/>
    <w:rsid w:val="0087712D"/>
    <w:rsid w:val="00880A6C"/>
    <w:rsid w:val="008813C5"/>
    <w:rsid w:val="00883114"/>
    <w:rsid w:val="008836C4"/>
    <w:rsid w:val="00884BC8"/>
    <w:rsid w:val="00890522"/>
    <w:rsid w:val="00891167"/>
    <w:rsid w:val="0089165D"/>
    <w:rsid w:val="008936A4"/>
    <w:rsid w:val="008A2447"/>
    <w:rsid w:val="008A4180"/>
    <w:rsid w:val="008A639D"/>
    <w:rsid w:val="008B1606"/>
    <w:rsid w:val="008B5292"/>
    <w:rsid w:val="008B5768"/>
    <w:rsid w:val="008C07CE"/>
    <w:rsid w:val="008C134F"/>
    <w:rsid w:val="008C1729"/>
    <w:rsid w:val="008C2F32"/>
    <w:rsid w:val="008D0CC5"/>
    <w:rsid w:val="008D18F3"/>
    <w:rsid w:val="008D5975"/>
    <w:rsid w:val="008D7D69"/>
    <w:rsid w:val="008E452B"/>
    <w:rsid w:val="008F27AF"/>
    <w:rsid w:val="008F40BE"/>
    <w:rsid w:val="008F5418"/>
    <w:rsid w:val="009022BD"/>
    <w:rsid w:val="009067E4"/>
    <w:rsid w:val="009079DD"/>
    <w:rsid w:val="0091154A"/>
    <w:rsid w:val="00911EB8"/>
    <w:rsid w:val="009128F7"/>
    <w:rsid w:val="00912AE2"/>
    <w:rsid w:val="0092076A"/>
    <w:rsid w:val="00923E56"/>
    <w:rsid w:val="0092610E"/>
    <w:rsid w:val="00930335"/>
    <w:rsid w:val="009325DB"/>
    <w:rsid w:val="0093796A"/>
    <w:rsid w:val="009438D1"/>
    <w:rsid w:val="00946225"/>
    <w:rsid w:val="00954EAA"/>
    <w:rsid w:val="00956BB5"/>
    <w:rsid w:val="00957166"/>
    <w:rsid w:val="00965204"/>
    <w:rsid w:val="009660A2"/>
    <w:rsid w:val="009723E7"/>
    <w:rsid w:val="009746A5"/>
    <w:rsid w:val="00977732"/>
    <w:rsid w:val="00980F67"/>
    <w:rsid w:val="00981F50"/>
    <w:rsid w:val="0098219E"/>
    <w:rsid w:val="00984D91"/>
    <w:rsid w:val="009871D1"/>
    <w:rsid w:val="00990AF9"/>
    <w:rsid w:val="00991034"/>
    <w:rsid w:val="00991B35"/>
    <w:rsid w:val="00992676"/>
    <w:rsid w:val="0099455B"/>
    <w:rsid w:val="009970D3"/>
    <w:rsid w:val="009A2A1A"/>
    <w:rsid w:val="009A2CED"/>
    <w:rsid w:val="009A416E"/>
    <w:rsid w:val="009A5E48"/>
    <w:rsid w:val="009A7CEF"/>
    <w:rsid w:val="009B1DED"/>
    <w:rsid w:val="009B43B5"/>
    <w:rsid w:val="009B6734"/>
    <w:rsid w:val="009B764D"/>
    <w:rsid w:val="009C2524"/>
    <w:rsid w:val="009C2DCF"/>
    <w:rsid w:val="009C665C"/>
    <w:rsid w:val="009D4551"/>
    <w:rsid w:val="009D6B46"/>
    <w:rsid w:val="009E5273"/>
    <w:rsid w:val="009E5790"/>
    <w:rsid w:val="009F5EA0"/>
    <w:rsid w:val="009F6698"/>
    <w:rsid w:val="00A225FB"/>
    <w:rsid w:val="00A27892"/>
    <w:rsid w:val="00A30208"/>
    <w:rsid w:val="00A3450E"/>
    <w:rsid w:val="00A34746"/>
    <w:rsid w:val="00A36FE8"/>
    <w:rsid w:val="00A45AD6"/>
    <w:rsid w:val="00A52077"/>
    <w:rsid w:val="00A53340"/>
    <w:rsid w:val="00A62B93"/>
    <w:rsid w:val="00A63D84"/>
    <w:rsid w:val="00A64160"/>
    <w:rsid w:val="00A64DD5"/>
    <w:rsid w:val="00A6643B"/>
    <w:rsid w:val="00A6724A"/>
    <w:rsid w:val="00A70437"/>
    <w:rsid w:val="00A74408"/>
    <w:rsid w:val="00A94C4C"/>
    <w:rsid w:val="00A95AD8"/>
    <w:rsid w:val="00A97BC1"/>
    <w:rsid w:val="00AA19A4"/>
    <w:rsid w:val="00AB1805"/>
    <w:rsid w:val="00AB5EE8"/>
    <w:rsid w:val="00AB6BD6"/>
    <w:rsid w:val="00AC3DC4"/>
    <w:rsid w:val="00AC652B"/>
    <w:rsid w:val="00AD000E"/>
    <w:rsid w:val="00AD138E"/>
    <w:rsid w:val="00AD2A77"/>
    <w:rsid w:val="00AD2DC7"/>
    <w:rsid w:val="00AD671B"/>
    <w:rsid w:val="00AD7E82"/>
    <w:rsid w:val="00AE12C1"/>
    <w:rsid w:val="00AE2B10"/>
    <w:rsid w:val="00AE496D"/>
    <w:rsid w:val="00AE61B3"/>
    <w:rsid w:val="00AE78F6"/>
    <w:rsid w:val="00AF082D"/>
    <w:rsid w:val="00AF1E50"/>
    <w:rsid w:val="00AF56F9"/>
    <w:rsid w:val="00AF7178"/>
    <w:rsid w:val="00B00419"/>
    <w:rsid w:val="00B00845"/>
    <w:rsid w:val="00B0111F"/>
    <w:rsid w:val="00B06A78"/>
    <w:rsid w:val="00B07792"/>
    <w:rsid w:val="00B10A25"/>
    <w:rsid w:val="00B11166"/>
    <w:rsid w:val="00B2154E"/>
    <w:rsid w:val="00B231F6"/>
    <w:rsid w:val="00B23BB0"/>
    <w:rsid w:val="00B26525"/>
    <w:rsid w:val="00B26AD4"/>
    <w:rsid w:val="00B26F3D"/>
    <w:rsid w:val="00B3086A"/>
    <w:rsid w:val="00B42D81"/>
    <w:rsid w:val="00B42EF4"/>
    <w:rsid w:val="00B4407A"/>
    <w:rsid w:val="00B4602C"/>
    <w:rsid w:val="00B56629"/>
    <w:rsid w:val="00B6051B"/>
    <w:rsid w:val="00B6279B"/>
    <w:rsid w:val="00B668D0"/>
    <w:rsid w:val="00B6778E"/>
    <w:rsid w:val="00B67C00"/>
    <w:rsid w:val="00B75068"/>
    <w:rsid w:val="00B91387"/>
    <w:rsid w:val="00B91D09"/>
    <w:rsid w:val="00B9385F"/>
    <w:rsid w:val="00B94111"/>
    <w:rsid w:val="00B95B40"/>
    <w:rsid w:val="00B96387"/>
    <w:rsid w:val="00B9707F"/>
    <w:rsid w:val="00BA1815"/>
    <w:rsid w:val="00BA71C9"/>
    <w:rsid w:val="00BB187E"/>
    <w:rsid w:val="00BB47CE"/>
    <w:rsid w:val="00BB4DA5"/>
    <w:rsid w:val="00BB5F9C"/>
    <w:rsid w:val="00BC1AB7"/>
    <w:rsid w:val="00BC5731"/>
    <w:rsid w:val="00BC6CAE"/>
    <w:rsid w:val="00BC6F62"/>
    <w:rsid w:val="00BD0913"/>
    <w:rsid w:val="00BD2513"/>
    <w:rsid w:val="00BD4C24"/>
    <w:rsid w:val="00BD7425"/>
    <w:rsid w:val="00BE0F80"/>
    <w:rsid w:val="00BE160A"/>
    <w:rsid w:val="00BF7039"/>
    <w:rsid w:val="00C0073A"/>
    <w:rsid w:val="00C026C7"/>
    <w:rsid w:val="00C044D1"/>
    <w:rsid w:val="00C0526F"/>
    <w:rsid w:val="00C149CF"/>
    <w:rsid w:val="00C2088D"/>
    <w:rsid w:val="00C20A0D"/>
    <w:rsid w:val="00C20D3C"/>
    <w:rsid w:val="00C21447"/>
    <w:rsid w:val="00C244A5"/>
    <w:rsid w:val="00C24C7A"/>
    <w:rsid w:val="00C2786B"/>
    <w:rsid w:val="00C30F55"/>
    <w:rsid w:val="00C32139"/>
    <w:rsid w:val="00C328D2"/>
    <w:rsid w:val="00C33B32"/>
    <w:rsid w:val="00C34C76"/>
    <w:rsid w:val="00C35FF0"/>
    <w:rsid w:val="00C40044"/>
    <w:rsid w:val="00C42301"/>
    <w:rsid w:val="00C43FCA"/>
    <w:rsid w:val="00C47BFE"/>
    <w:rsid w:val="00C5161B"/>
    <w:rsid w:val="00C54B4E"/>
    <w:rsid w:val="00C56385"/>
    <w:rsid w:val="00C56AE0"/>
    <w:rsid w:val="00C62B39"/>
    <w:rsid w:val="00C70976"/>
    <w:rsid w:val="00C72A72"/>
    <w:rsid w:val="00C74328"/>
    <w:rsid w:val="00C76597"/>
    <w:rsid w:val="00C834A5"/>
    <w:rsid w:val="00C84E7C"/>
    <w:rsid w:val="00C8528D"/>
    <w:rsid w:val="00C85CAF"/>
    <w:rsid w:val="00C85F51"/>
    <w:rsid w:val="00C85FB0"/>
    <w:rsid w:val="00C91F12"/>
    <w:rsid w:val="00C94FA1"/>
    <w:rsid w:val="00C95E41"/>
    <w:rsid w:val="00C96BA1"/>
    <w:rsid w:val="00CA2B5D"/>
    <w:rsid w:val="00CA32A3"/>
    <w:rsid w:val="00CA4E1F"/>
    <w:rsid w:val="00CA5D19"/>
    <w:rsid w:val="00CB3374"/>
    <w:rsid w:val="00CB3DAC"/>
    <w:rsid w:val="00CB4AA1"/>
    <w:rsid w:val="00CB5855"/>
    <w:rsid w:val="00CB784C"/>
    <w:rsid w:val="00CB794E"/>
    <w:rsid w:val="00CC067B"/>
    <w:rsid w:val="00CC2072"/>
    <w:rsid w:val="00CC3252"/>
    <w:rsid w:val="00CC6231"/>
    <w:rsid w:val="00CD5B7A"/>
    <w:rsid w:val="00CD7BF7"/>
    <w:rsid w:val="00CE1D49"/>
    <w:rsid w:val="00CE3C59"/>
    <w:rsid w:val="00CF12CF"/>
    <w:rsid w:val="00CF1ABC"/>
    <w:rsid w:val="00CF60F4"/>
    <w:rsid w:val="00CF6C1D"/>
    <w:rsid w:val="00CF738A"/>
    <w:rsid w:val="00D01A31"/>
    <w:rsid w:val="00D033CC"/>
    <w:rsid w:val="00D14B49"/>
    <w:rsid w:val="00D15B02"/>
    <w:rsid w:val="00D17AF0"/>
    <w:rsid w:val="00D21526"/>
    <w:rsid w:val="00D2249A"/>
    <w:rsid w:val="00D24A8B"/>
    <w:rsid w:val="00D32712"/>
    <w:rsid w:val="00D36AEB"/>
    <w:rsid w:val="00D37DD8"/>
    <w:rsid w:val="00D422E5"/>
    <w:rsid w:val="00D43CC4"/>
    <w:rsid w:val="00D4478A"/>
    <w:rsid w:val="00D45881"/>
    <w:rsid w:val="00D46A1D"/>
    <w:rsid w:val="00D54169"/>
    <w:rsid w:val="00D5463C"/>
    <w:rsid w:val="00D55B61"/>
    <w:rsid w:val="00D63721"/>
    <w:rsid w:val="00D64769"/>
    <w:rsid w:val="00D74DCB"/>
    <w:rsid w:val="00D761D6"/>
    <w:rsid w:val="00D80956"/>
    <w:rsid w:val="00D81A5A"/>
    <w:rsid w:val="00D90F2F"/>
    <w:rsid w:val="00D934A2"/>
    <w:rsid w:val="00D944DE"/>
    <w:rsid w:val="00D9461A"/>
    <w:rsid w:val="00D94B1C"/>
    <w:rsid w:val="00D979B8"/>
    <w:rsid w:val="00DA0AAD"/>
    <w:rsid w:val="00DA0BF5"/>
    <w:rsid w:val="00DA22B7"/>
    <w:rsid w:val="00DA498D"/>
    <w:rsid w:val="00DB2A74"/>
    <w:rsid w:val="00DB4A56"/>
    <w:rsid w:val="00DB5DC1"/>
    <w:rsid w:val="00DC03D4"/>
    <w:rsid w:val="00DC089E"/>
    <w:rsid w:val="00DC5338"/>
    <w:rsid w:val="00DC59E1"/>
    <w:rsid w:val="00DD3EF0"/>
    <w:rsid w:val="00DD4310"/>
    <w:rsid w:val="00DD47B6"/>
    <w:rsid w:val="00DD528E"/>
    <w:rsid w:val="00DD7596"/>
    <w:rsid w:val="00DE2B4C"/>
    <w:rsid w:val="00DE3D5F"/>
    <w:rsid w:val="00DE5C10"/>
    <w:rsid w:val="00DE6475"/>
    <w:rsid w:val="00DE6B11"/>
    <w:rsid w:val="00DF0AFE"/>
    <w:rsid w:val="00DF11A1"/>
    <w:rsid w:val="00DF1731"/>
    <w:rsid w:val="00DF327C"/>
    <w:rsid w:val="00DF79DB"/>
    <w:rsid w:val="00E00DBE"/>
    <w:rsid w:val="00E01305"/>
    <w:rsid w:val="00E023CB"/>
    <w:rsid w:val="00E03152"/>
    <w:rsid w:val="00E03BB0"/>
    <w:rsid w:val="00E05503"/>
    <w:rsid w:val="00E05713"/>
    <w:rsid w:val="00E32796"/>
    <w:rsid w:val="00E32F2C"/>
    <w:rsid w:val="00E33119"/>
    <w:rsid w:val="00E34EE8"/>
    <w:rsid w:val="00E36505"/>
    <w:rsid w:val="00E37AEB"/>
    <w:rsid w:val="00E42208"/>
    <w:rsid w:val="00E43550"/>
    <w:rsid w:val="00E46DC3"/>
    <w:rsid w:val="00E54244"/>
    <w:rsid w:val="00E652B1"/>
    <w:rsid w:val="00E65441"/>
    <w:rsid w:val="00E65FD7"/>
    <w:rsid w:val="00E70B01"/>
    <w:rsid w:val="00E70E40"/>
    <w:rsid w:val="00E75DD2"/>
    <w:rsid w:val="00E774D1"/>
    <w:rsid w:val="00E81A9A"/>
    <w:rsid w:val="00E830A3"/>
    <w:rsid w:val="00E848C3"/>
    <w:rsid w:val="00E873B2"/>
    <w:rsid w:val="00E91EDD"/>
    <w:rsid w:val="00E92819"/>
    <w:rsid w:val="00E94DBF"/>
    <w:rsid w:val="00E96E32"/>
    <w:rsid w:val="00EA1F7E"/>
    <w:rsid w:val="00EA3001"/>
    <w:rsid w:val="00EA314D"/>
    <w:rsid w:val="00EA3D8C"/>
    <w:rsid w:val="00EA3E9D"/>
    <w:rsid w:val="00EA6406"/>
    <w:rsid w:val="00EB0510"/>
    <w:rsid w:val="00EB2668"/>
    <w:rsid w:val="00EB2D33"/>
    <w:rsid w:val="00EB3C93"/>
    <w:rsid w:val="00EC04FA"/>
    <w:rsid w:val="00EC2097"/>
    <w:rsid w:val="00EC2915"/>
    <w:rsid w:val="00EC57FA"/>
    <w:rsid w:val="00EC6C1E"/>
    <w:rsid w:val="00ED0F1E"/>
    <w:rsid w:val="00ED215B"/>
    <w:rsid w:val="00ED3307"/>
    <w:rsid w:val="00EE004D"/>
    <w:rsid w:val="00EE1BC3"/>
    <w:rsid w:val="00EE40AB"/>
    <w:rsid w:val="00EE425C"/>
    <w:rsid w:val="00EE54D7"/>
    <w:rsid w:val="00EE6D47"/>
    <w:rsid w:val="00EF1201"/>
    <w:rsid w:val="00EF2934"/>
    <w:rsid w:val="00EF2EA5"/>
    <w:rsid w:val="00EF43B4"/>
    <w:rsid w:val="00F01554"/>
    <w:rsid w:val="00F02531"/>
    <w:rsid w:val="00F116D4"/>
    <w:rsid w:val="00F12C2F"/>
    <w:rsid w:val="00F14063"/>
    <w:rsid w:val="00F237D6"/>
    <w:rsid w:val="00F24048"/>
    <w:rsid w:val="00F262B6"/>
    <w:rsid w:val="00F263F9"/>
    <w:rsid w:val="00F42414"/>
    <w:rsid w:val="00F44004"/>
    <w:rsid w:val="00F447A6"/>
    <w:rsid w:val="00F45202"/>
    <w:rsid w:val="00F51D62"/>
    <w:rsid w:val="00F51F0F"/>
    <w:rsid w:val="00F52455"/>
    <w:rsid w:val="00F53C86"/>
    <w:rsid w:val="00F61722"/>
    <w:rsid w:val="00F6193C"/>
    <w:rsid w:val="00F62FF5"/>
    <w:rsid w:val="00F71B92"/>
    <w:rsid w:val="00F7245F"/>
    <w:rsid w:val="00F72B44"/>
    <w:rsid w:val="00F763D4"/>
    <w:rsid w:val="00F76A23"/>
    <w:rsid w:val="00F810B9"/>
    <w:rsid w:val="00F8206B"/>
    <w:rsid w:val="00F84529"/>
    <w:rsid w:val="00F87E1C"/>
    <w:rsid w:val="00F9126C"/>
    <w:rsid w:val="00F913EC"/>
    <w:rsid w:val="00F91688"/>
    <w:rsid w:val="00F91AFB"/>
    <w:rsid w:val="00F93FDC"/>
    <w:rsid w:val="00F968F5"/>
    <w:rsid w:val="00FA74FC"/>
    <w:rsid w:val="00FB4C2B"/>
    <w:rsid w:val="00FB7C3C"/>
    <w:rsid w:val="00FC054D"/>
    <w:rsid w:val="00FC1B33"/>
    <w:rsid w:val="00FC1EB7"/>
    <w:rsid w:val="00FC22CE"/>
    <w:rsid w:val="00FC3B37"/>
    <w:rsid w:val="00FC5331"/>
    <w:rsid w:val="00FC6036"/>
    <w:rsid w:val="00FC7171"/>
    <w:rsid w:val="00FC764C"/>
    <w:rsid w:val="00FD033E"/>
    <w:rsid w:val="00FD0A35"/>
    <w:rsid w:val="00FD1958"/>
    <w:rsid w:val="00FD4F3E"/>
    <w:rsid w:val="00FE3019"/>
    <w:rsid w:val="00FF0F52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AB1614E-6923-436B-B329-59E8DEF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2017-08-16T18:30:00+00:00</Judg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4D46-7D11-4A7D-AADB-07642A840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A01A6-262A-4D1F-9CCE-3FBC7085C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0F7C3-9EBB-4D61-92BF-AB2F9963BA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7a0f4bd-1162-49ac-b85f-dfe96a90bc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36617c-f1b0-4353-ab0a-456b3885ee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AEDE95-83D0-44A2-AEEB-AB88034B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Nambahu</dc:creator>
  <cp:keywords/>
  <dc:description/>
  <cp:lastModifiedBy>W P. Oosthuizen</cp:lastModifiedBy>
  <cp:revision>2</cp:revision>
  <cp:lastPrinted>2017-08-16T07:13:00Z</cp:lastPrinted>
  <dcterms:created xsi:type="dcterms:W3CDTF">2017-09-05T07:17:00Z</dcterms:created>
  <dcterms:modified xsi:type="dcterms:W3CDTF">2017-09-05T07:17:00Z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