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05A04" w14:textId="417C0BE8" w:rsidR="00E525AC" w:rsidRDefault="00170268" w:rsidP="00D42697">
      <w:pPr>
        <w:jc w:val="center"/>
        <w:rPr>
          <w:rFonts w:ascii="Arial" w:hAnsi="Arial" w:cs="Arial"/>
          <w:b/>
          <w:sz w:val="24"/>
          <w:szCs w:val="24"/>
        </w:rPr>
      </w:pPr>
      <w:bookmarkStart w:id="0" w:name="_GoBack"/>
      <w:bookmarkEnd w:id="0"/>
      <w:r w:rsidRPr="00470E7C">
        <w:rPr>
          <w:rFonts w:ascii="Arial" w:hAnsi="Arial" w:cs="Arial"/>
          <w:b/>
          <w:sz w:val="24"/>
          <w:szCs w:val="24"/>
        </w:rPr>
        <w:t>REPUBLIC OF NAMIBIA</w:t>
      </w:r>
    </w:p>
    <w:p w14:paraId="4EE1A237" w14:textId="5E718711" w:rsidR="00D42697" w:rsidRPr="00D42697" w:rsidRDefault="00D42697" w:rsidP="00D42697">
      <w:pPr>
        <w:jc w:val="right"/>
        <w:rPr>
          <w:rFonts w:ascii="Arial" w:hAnsi="Arial" w:cs="Arial"/>
          <w:sz w:val="24"/>
          <w:szCs w:val="24"/>
        </w:rPr>
      </w:pPr>
      <w:r w:rsidRPr="00D42697">
        <w:rPr>
          <w:rFonts w:ascii="Arial" w:hAnsi="Arial" w:cs="Arial"/>
          <w:sz w:val="24"/>
          <w:szCs w:val="24"/>
        </w:rPr>
        <w:t>REPORTABLE</w:t>
      </w:r>
    </w:p>
    <w:p w14:paraId="5D7A2FEE" w14:textId="77777777" w:rsidR="00170268" w:rsidRPr="00470E7C" w:rsidRDefault="00170268" w:rsidP="00170268">
      <w:pPr>
        <w:jc w:val="center"/>
        <w:rPr>
          <w:rFonts w:ascii="Arial" w:hAnsi="Arial" w:cs="Arial"/>
          <w:sz w:val="24"/>
          <w:szCs w:val="24"/>
        </w:rPr>
      </w:pPr>
      <w:r w:rsidRPr="00470E7C">
        <w:rPr>
          <w:rFonts w:ascii="Arial" w:hAnsi="Arial" w:cs="Arial"/>
          <w:noProof/>
          <w:sz w:val="24"/>
          <w:szCs w:val="24"/>
          <w:lang w:val="en-US"/>
        </w:rPr>
        <w:drawing>
          <wp:inline distT="0" distB="0" distL="0" distR="0" wp14:anchorId="4DA31671" wp14:editId="04A0CF5C">
            <wp:extent cx="92392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14:paraId="338DAD8E" w14:textId="77777777"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HIGH COURT OF NAMIBIA, MAIN DIVISION</w:t>
      </w:r>
    </w:p>
    <w:p w14:paraId="5D47F03C" w14:textId="77777777" w:rsidR="00170268" w:rsidRPr="00470E7C" w:rsidRDefault="00170268" w:rsidP="00170268">
      <w:pPr>
        <w:spacing w:after="0" w:line="360" w:lineRule="auto"/>
        <w:jc w:val="center"/>
        <w:rPr>
          <w:rFonts w:ascii="Arial" w:hAnsi="Arial" w:cs="Arial"/>
          <w:b/>
          <w:sz w:val="24"/>
          <w:szCs w:val="24"/>
        </w:rPr>
      </w:pPr>
      <w:r w:rsidRPr="00470E7C">
        <w:rPr>
          <w:rFonts w:ascii="Arial" w:hAnsi="Arial" w:cs="Arial"/>
          <w:b/>
          <w:sz w:val="24"/>
          <w:szCs w:val="24"/>
        </w:rPr>
        <w:t>JUDGMENT</w:t>
      </w:r>
    </w:p>
    <w:p w14:paraId="2BD80ADC" w14:textId="77777777" w:rsidR="00170268" w:rsidRPr="00470E7C" w:rsidRDefault="00170268" w:rsidP="00170268">
      <w:pPr>
        <w:spacing w:after="0" w:line="360" w:lineRule="auto"/>
        <w:rPr>
          <w:rFonts w:ascii="Arial" w:hAnsi="Arial" w:cs="Arial"/>
          <w:sz w:val="24"/>
          <w:szCs w:val="24"/>
        </w:rPr>
      </w:pPr>
    </w:p>
    <w:p w14:paraId="1A256454" w14:textId="1DD9E517"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CD6B31">
        <w:rPr>
          <w:rFonts w:ascii="Arial" w:hAnsi="Arial" w:cs="Arial"/>
          <w:b/>
          <w:sz w:val="24"/>
          <w:szCs w:val="24"/>
        </w:rPr>
        <w:t xml:space="preserve"> CR 58/2017</w:t>
      </w:r>
      <w:r w:rsidR="00937834">
        <w:rPr>
          <w:rFonts w:ascii="Arial" w:hAnsi="Arial" w:cs="Arial"/>
          <w:b/>
          <w:sz w:val="24"/>
          <w:szCs w:val="24"/>
        </w:rPr>
        <w:t xml:space="preserve"> </w:t>
      </w:r>
    </w:p>
    <w:p w14:paraId="2786AC28" w14:textId="77777777" w:rsidR="00170268" w:rsidRPr="00470E7C" w:rsidRDefault="00170268">
      <w:pPr>
        <w:rPr>
          <w:rFonts w:ascii="Arial" w:hAnsi="Arial" w:cs="Arial"/>
          <w:sz w:val="24"/>
          <w:szCs w:val="24"/>
        </w:rPr>
      </w:pPr>
    </w:p>
    <w:p w14:paraId="74873280" w14:textId="77777777"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38363F">
        <w:rPr>
          <w:rFonts w:ascii="Arial" w:hAnsi="Arial" w:cs="Arial"/>
          <w:sz w:val="24"/>
          <w:szCs w:val="24"/>
        </w:rPr>
        <w:t>:</w:t>
      </w:r>
      <w:r w:rsidR="009D25EC" w:rsidRPr="00470E7C">
        <w:rPr>
          <w:rFonts w:ascii="Arial" w:hAnsi="Arial" w:cs="Arial"/>
          <w:sz w:val="24"/>
          <w:szCs w:val="24"/>
        </w:rPr>
        <w:tab/>
      </w:r>
    </w:p>
    <w:p w14:paraId="01A94CA5" w14:textId="77777777" w:rsidR="00170268" w:rsidRPr="00470E7C" w:rsidRDefault="00170268" w:rsidP="00D52600">
      <w:pPr>
        <w:spacing w:line="360" w:lineRule="auto"/>
        <w:rPr>
          <w:rFonts w:ascii="Arial" w:hAnsi="Arial" w:cs="Arial"/>
          <w:sz w:val="24"/>
          <w:szCs w:val="24"/>
        </w:rPr>
      </w:pPr>
    </w:p>
    <w:p w14:paraId="56EDF808" w14:textId="77777777" w:rsidR="00170268" w:rsidRPr="00470E7C"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14:paraId="02513D8D" w14:textId="77777777" w:rsidR="00170268" w:rsidRPr="00470E7C" w:rsidRDefault="00170268" w:rsidP="00D52600">
      <w:pPr>
        <w:spacing w:line="360" w:lineRule="auto"/>
        <w:rPr>
          <w:rFonts w:ascii="Arial" w:hAnsi="Arial" w:cs="Arial"/>
          <w:sz w:val="24"/>
          <w:szCs w:val="24"/>
        </w:rPr>
      </w:pPr>
    </w:p>
    <w:p w14:paraId="01B305B8" w14:textId="77777777"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and</w:t>
      </w:r>
    </w:p>
    <w:p w14:paraId="71A6297B" w14:textId="77777777" w:rsidR="00270D59" w:rsidRDefault="00270D59" w:rsidP="00270D59">
      <w:pPr>
        <w:pStyle w:val="ListParagraph"/>
        <w:spacing w:line="360" w:lineRule="auto"/>
        <w:ind w:left="0"/>
        <w:rPr>
          <w:rFonts w:ascii="Arial" w:hAnsi="Arial" w:cs="Arial"/>
          <w:sz w:val="24"/>
          <w:szCs w:val="24"/>
        </w:rPr>
      </w:pPr>
    </w:p>
    <w:p w14:paraId="2FA63EB8" w14:textId="4F956631" w:rsidR="0038363F" w:rsidRDefault="00270D59" w:rsidP="00270D59">
      <w:pPr>
        <w:pStyle w:val="ListParagraph"/>
        <w:spacing w:line="360" w:lineRule="auto"/>
        <w:ind w:left="0"/>
        <w:rPr>
          <w:rFonts w:ascii="Arial" w:hAnsi="Arial" w:cs="Arial"/>
          <w:b/>
          <w:sz w:val="24"/>
          <w:szCs w:val="24"/>
        </w:rPr>
      </w:pPr>
      <w:r>
        <w:rPr>
          <w:rFonts w:ascii="Arial" w:hAnsi="Arial" w:cs="Arial"/>
          <w:b/>
          <w:sz w:val="24"/>
          <w:szCs w:val="24"/>
        </w:rPr>
        <w:t xml:space="preserve">JONAS MWALYOMBU </w:t>
      </w:r>
    </w:p>
    <w:p w14:paraId="095B3D1B" w14:textId="77777777" w:rsidR="00170268" w:rsidRPr="00470E7C" w:rsidRDefault="00170268" w:rsidP="00D52600">
      <w:pPr>
        <w:spacing w:line="360" w:lineRule="auto"/>
        <w:rPr>
          <w:rFonts w:ascii="Arial" w:hAnsi="Arial" w:cs="Arial"/>
          <w:sz w:val="24"/>
          <w:szCs w:val="24"/>
        </w:rPr>
      </w:pPr>
    </w:p>
    <w:p w14:paraId="0C43DE66" w14:textId="77777777" w:rsidR="00BC526D" w:rsidRDefault="00BC526D" w:rsidP="00D52600">
      <w:pPr>
        <w:spacing w:line="360" w:lineRule="auto"/>
        <w:rPr>
          <w:rFonts w:ascii="Arial" w:hAnsi="Arial" w:cs="Arial"/>
          <w:sz w:val="24"/>
          <w:szCs w:val="24"/>
        </w:rPr>
      </w:pPr>
    </w:p>
    <w:p w14:paraId="22B79B44" w14:textId="07E1E6B5" w:rsidR="00170268" w:rsidRPr="00470E7C" w:rsidRDefault="00170268" w:rsidP="00D52600">
      <w:pPr>
        <w:spacing w:line="360" w:lineRule="auto"/>
        <w:rPr>
          <w:rFonts w:ascii="Arial" w:hAnsi="Arial" w:cs="Arial"/>
          <w:sz w:val="24"/>
          <w:szCs w:val="24"/>
        </w:rPr>
      </w:pPr>
      <w:r w:rsidRPr="00CD6B31">
        <w:rPr>
          <w:rFonts w:ascii="Arial" w:hAnsi="Arial" w:cs="Arial"/>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r w:rsidR="00E525AC">
        <w:rPr>
          <w:rFonts w:ascii="Arial" w:hAnsi="Arial" w:cs="Arial"/>
          <w:i/>
          <w:sz w:val="24"/>
          <w:szCs w:val="24"/>
        </w:rPr>
        <w:t>S</w:t>
      </w:r>
      <w:r w:rsidR="0038363F">
        <w:rPr>
          <w:rFonts w:ascii="Arial" w:hAnsi="Arial" w:cs="Arial"/>
          <w:i/>
          <w:sz w:val="24"/>
          <w:szCs w:val="24"/>
        </w:rPr>
        <w:t xml:space="preserve"> v </w:t>
      </w:r>
      <w:r w:rsidR="00270D59">
        <w:rPr>
          <w:rFonts w:ascii="Arial" w:hAnsi="Arial" w:cs="Arial"/>
          <w:i/>
          <w:sz w:val="24"/>
          <w:szCs w:val="24"/>
        </w:rPr>
        <w:t xml:space="preserve">Mwalyombu </w:t>
      </w:r>
      <w:r w:rsidR="00937834">
        <w:rPr>
          <w:rFonts w:ascii="Arial" w:hAnsi="Arial" w:cs="Arial"/>
          <w:sz w:val="24"/>
          <w:szCs w:val="24"/>
        </w:rPr>
        <w:t>(</w:t>
      </w:r>
      <w:r w:rsidR="00CD6B31">
        <w:rPr>
          <w:rFonts w:ascii="Arial" w:hAnsi="Arial" w:cs="Arial"/>
          <w:b/>
          <w:sz w:val="24"/>
          <w:szCs w:val="24"/>
        </w:rPr>
        <w:t xml:space="preserve">CR 58/2017) </w:t>
      </w:r>
      <w:r w:rsidR="00CC6F73">
        <w:rPr>
          <w:rFonts w:ascii="Arial" w:hAnsi="Arial" w:cs="Arial"/>
          <w:sz w:val="24"/>
          <w:szCs w:val="24"/>
        </w:rPr>
        <w:t xml:space="preserve">[2017] </w:t>
      </w:r>
      <w:r w:rsidR="0038363F">
        <w:rPr>
          <w:rFonts w:ascii="Arial" w:hAnsi="Arial" w:cs="Arial"/>
          <w:sz w:val="24"/>
          <w:szCs w:val="24"/>
        </w:rPr>
        <w:t xml:space="preserve">NAHCMD </w:t>
      </w:r>
      <w:r w:rsidR="00CD6B31">
        <w:rPr>
          <w:rFonts w:ascii="Arial" w:hAnsi="Arial" w:cs="Arial"/>
          <w:sz w:val="24"/>
          <w:szCs w:val="24"/>
        </w:rPr>
        <w:t>271 (25</w:t>
      </w:r>
      <w:r w:rsidR="0038363F">
        <w:rPr>
          <w:rFonts w:ascii="Arial" w:hAnsi="Arial" w:cs="Arial"/>
          <w:sz w:val="24"/>
          <w:szCs w:val="24"/>
        </w:rPr>
        <w:t xml:space="preserve"> September </w:t>
      </w:r>
      <w:r w:rsidR="00B86B40">
        <w:rPr>
          <w:rFonts w:ascii="Arial" w:hAnsi="Arial" w:cs="Arial"/>
          <w:sz w:val="24"/>
          <w:szCs w:val="24"/>
        </w:rPr>
        <w:t>2017</w:t>
      </w:r>
      <w:r w:rsidRPr="00470E7C">
        <w:rPr>
          <w:rFonts w:ascii="Arial" w:hAnsi="Arial" w:cs="Arial"/>
          <w:sz w:val="24"/>
          <w:szCs w:val="24"/>
        </w:rPr>
        <w:t>)</w:t>
      </w:r>
    </w:p>
    <w:p w14:paraId="78CC399F" w14:textId="77777777" w:rsidR="00170268" w:rsidRPr="00470E7C" w:rsidRDefault="00170268" w:rsidP="00D52600">
      <w:pPr>
        <w:spacing w:line="360" w:lineRule="auto"/>
        <w:rPr>
          <w:rFonts w:ascii="Arial" w:hAnsi="Arial" w:cs="Arial"/>
          <w:sz w:val="24"/>
          <w:szCs w:val="24"/>
        </w:rPr>
      </w:pPr>
    </w:p>
    <w:p w14:paraId="4DCB7243" w14:textId="0FB7704B" w:rsidR="00170268" w:rsidRPr="00470E7C" w:rsidRDefault="0038363F" w:rsidP="00D52600">
      <w:pPr>
        <w:spacing w:line="360" w:lineRule="auto"/>
        <w:ind w:left="1710" w:hanging="1710"/>
        <w:rPr>
          <w:rFonts w:ascii="Arial" w:hAnsi="Arial" w:cs="Arial"/>
          <w:b/>
          <w:sz w:val="24"/>
          <w:szCs w:val="24"/>
        </w:rPr>
      </w:pPr>
      <w:r>
        <w:rPr>
          <w:rFonts w:ascii="Arial" w:hAnsi="Arial" w:cs="Arial"/>
          <w:b/>
          <w:sz w:val="24"/>
          <w:szCs w:val="24"/>
        </w:rPr>
        <w:t>CORAM:</w:t>
      </w:r>
      <w:r>
        <w:rPr>
          <w:rFonts w:ascii="Arial" w:hAnsi="Arial" w:cs="Arial"/>
          <w:b/>
          <w:sz w:val="24"/>
          <w:szCs w:val="24"/>
        </w:rPr>
        <w:tab/>
      </w:r>
      <w:r w:rsidR="00D42697">
        <w:rPr>
          <w:rFonts w:ascii="Arial" w:hAnsi="Arial" w:cs="Arial"/>
          <w:b/>
          <w:sz w:val="24"/>
          <w:szCs w:val="24"/>
        </w:rPr>
        <w:t xml:space="preserve">DAMASEB JP et </w:t>
      </w:r>
      <w:r w:rsidR="00270D59">
        <w:rPr>
          <w:rFonts w:ascii="Arial" w:hAnsi="Arial" w:cs="Arial"/>
          <w:b/>
          <w:sz w:val="24"/>
          <w:szCs w:val="24"/>
        </w:rPr>
        <w:t>LIEBENBERG</w:t>
      </w:r>
      <w:r w:rsidR="0021043C">
        <w:rPr>
          <w:rFonts w:ascii="Arial" w:hAnsi="Arial" w:cs="Arial"/>
          <w:b/>
          <w:sz w:val="24"/>
          <w:szCs w:val="24"/>
        </w:rPr>
        <w:t xml:space="preserve"> J</w:t>
      </w:r>
      <w:r w:rsidR="00D42697">
        <w:rPr>
          <w:rFonts w:ascii="Arial" w:hAnsi="Arial" w:cs="Arial"/>
          <w:b/>
          <w:sz w:val="24"/>
          <w:szCs w:val="24"/>
        </w:rPr>
        <w:t xml:space="preserve"> </w:t>
      </w:r>
      <w:r w:rsidR="00270D59">
        <w:rPr>
          <w:rFonts w:ascii="Arial" w:hAnsi="Arial" w:cs="Arial"/>
          <w:b/>
          <w:sz w:val="24"/>
          <w:szCs w:val="24"/>
        </w:rPr>
        <w:t xml:space="preserve"> </w:t>
      </w:r>
    </w:p>
    <w:p w14:paraId="10EB4497" w14:textId="70B50101" w:rsidR="00170268" w:rsidRDefault="00937834"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CD6B31" w:rsidRPr="00CD6B31">
        <w:rPr>
          <w:rFonts w:ascii="Arial" w:hAnsi="Arial" w:cs="Arial"/>
          <w:b/>
          <w:sz w:val="24"/>
          <w:szCs w:val="24"/>
        </w:rPr>
        <w:t>25</w:t>
      </w:r>
      <w:r w:rsidR="0038363F" w:rsidRPr="00CD6B31">
        <w:rPr>
          <w:rFonts w:ascii="Arial" w:hAnsi="Arial" w:cs="Arial"/>
          <w:b/>
          <w:sz w:val="24"/>
          <w:szCs w:val="24"/>
        </w:rPr>
        <w:t xml:space="preserve"> </w:t>
      </w:r>
      <w:r w:rsidR="0038363F">
        <w:rPr>
          <w:rFonts w:ascii="Arial" w:hAnsi="Arial" w:cs="Arial"/>
          <w:b/>
          <w:sz w:val="24"/>
          <w:szCs w:val="24"/>
        </w:rPr>
        <w:t xml:space="preserve">September 2017 </w:t>
      </w:r>
    </w:p>
    <w:p w14:paraId="7F876562" w14:textId="77777777" w:rsidR="006B6643" w:rsidRDefault="006B6643" w:rsidP="00D52600">
      <w:pPr>
        <w:spacing w:line="360" w:lineRule="auto"/>
        <w:ind w:left="1710" w:hanging="1710"/>
        <w:rPr>
          <w:rFonts w:ascii="Arial" w:hAnsi="Arial" w:cs="Arial"/>
          <w:b/>
          <w:sz w:val="24"/>
          <w:szCs w:val="24"/>
        </w:rPr>
      </w:pPr>
    </w:p>
    <w:p w14:paraId="08495678" w14:textId="77777777" w:rsidR="006B6643" w:rsidRDefault="006B6643" w:rsidP="00D52600">
      <w:pPr>
        <w:spacing w:line="360" w:lineRule="auto"/>
        <w:ind w:left="1710" w:hanging="1710"/>
        <w:rPr>
          <w:rFonts w:ascii="Arial" w:hAnsi="Arial" w:cs="Arial"/>
          <w:b/>
          <w:sz w:val="24"/>
          <w:szCs w:val="24"/>
        </w:rPr>
      </w:pPr>
    </w:p>
    <w:p w14:paraId="37FC9E70" w14:textId="26329A27" w:rsidR="006B6643" w:rsidRPr="006B6643" w:rsidRDefault="006B6643" w:rsidP="006B6643">
      <w:pPr>
        <w:spacing w:line="360" w:lineRule="auto"/>
        <w:jc w:val="both"/>
        <w:rPr>
          <w:rFonts w:ascii="Arial" w:hAnsi="Arial" w:cs="Arial"/>
          <w:sz w:val="24"/>
          <w:szCs w:val="24"/>
        </w:rPr>
      </w:pPr>
      <w:r w:rsidRPr="006B6643">
        <w:rPr>
          <w:rFonts w:ascii="Arial" w:hAnsi="Arial" w:cs="Arial"/>
          <w:b/>
          <w:sz w:val="24"/>
          <w:szCs w:val="24"/>
        </w:rPr>
        <w:t>Flynote:</w:t>
      </w:r>
      <w:r w:rsidRPr="006B6643">
        <w:rPr>
          <w:rFonts w:ascii="Arial" w:hAnsi="Arial" w:cs="Arial"/>
          <w:b/>
          <w:sz w:val="24"/>
          <w:szCs w:val="24"/>
        </w:rPr>
        <w:tab/>
        <w:t xml:space="preserve">Criminal Procedure </w:t>
      </w:r>
      <w:r w:rsidR="00C62691">
        <w:rPr>
          <w:rFonts w:ascii="Arial" w:hAnsi="Arial" w:cs="Arial"/>
          <w:sz w:val="24"/>
          <w:szCs w:val="24"/>
        </w:rPr>
        <w:softHyphen/>
        <w:t>– Trial –</w:t>
      </w:r>
      <w:r w:rsidRPr="006B6643">
        <w:rPr>
          <w:rFonts w:ascii="Arial" w:hAnsi="Arial" w:cs="Arial"/>
          <w:sz w:val="24"/>
          <w:szCs w:val="24"/>
        </w:rPr>
        <w:t xml:space="preserve"> Unavailability of</w:t>
      </w:r>
      <w:r w:rsidR="00C62691">
        <w:rPr>
          <w:rFonts w:ascii="Arial" w:hAnsi="Arial" w:cs="Arial"/>
          <w:sz w:val="24"/>
          <w:szCs w:val="24"/>
        </w:rPr>
        <w:t xml:space="preserve"> presiding officer</w:t>
      </w:r>
      <w:r w:rsidRPr="006B6643">
        <w:rPr>
          <w:rFonts w:ascii="Arial" w:hAnsi="Arial" w:cs="Arial"/>
          <w:sz w:val="24"/>
          <w:szCs w:val="24"/>
        </w:rPr>
        <w:t xml:space="preserve"> to continue with trial – Irregular to proceed with trial before magistrate other than one who </w:t>
      </w:r>
      <w:r w:rsidR="00D42697">
        <w:rPr>
          <w:rFonts w:ascii="Arial" w:hAnsi="Arial" w:cs="Arial"/>
          <w:sz w:val="24"/>
          <w:szCs w:val="24"/>
        </w:rPr>
        <w:t xml:space="preserve">noted a  plea of not guilty </w:t>
      </w:r>
      <w:r>
        <w:rPr>
          <w:rFonts w:ascii="Arial" w:hAnsi="Arial" w:cs="Arial"/>
          <w:sz w:val="24"/>
          <w:szCs w:val="24"/>
        </w:rPr>
        <w:t>without explanation regarding unavailability of initial</w:t>
      </w:r>
      <w:r w:rsidRPr="006B6643">
        <w:rPr>
          <w:rFonts w:ascii="Arial" w:hAnsi="Arial" w:cs="Arial"/>
          <w:sz w:val="24"/>
          <w:szCs w:val="24"/>
        </w:rPr>
        <w:t xml:space="preserve"> magistrate</w:t>
      </w:r>
      <w:r>
        <w:rPr>
          <w:rFonts w:ascii="Arial" w:hAnsi="Arial" w:cs="Arial"/>
          <w:sz w:val="24"/>
          <w:szCs w:val="24"/>
        </w:rPr>
        <w:t xml:space="preserve"> </w:t>
      </w:r>
      <w:r w:rsidRPr="006B6643">
        <w:rPr>
          <w:rFonts w:ascii="Arial" w:hAnsi="Arial" w:cs="Arial"/>
          <w:sz w:val="24"/>
          <w:szCs w:val="24"/>
        </w:rPr>
        <w:t>– Such procedure san</w:t>
      </w:r>
      <w:r>
        <w:rPr>
          <w:rFonts w:ascii="Arial" w:hAnsi="Arial" w:cs="Arial"/>
          <w:sz w:val="24"/>
          <w:szCs w:val="24"/>
        </w:rPr>
        <w:t>ctioned by s</w:t>
      </w:r>
      <w:r w:rsidR="005A1588">
        <w:rPr>
          <w:rFonts w:ascii="Arial" w:hAnsi="Arial" w:cs="Arial"/>
          <w:sz w:val="24"/>
          <w:szCs w:val="24"/>
        </w:rPr>
        <w:t>ection</w:t>
      </w:r>
      <w:r>
        <w:rPr>
          <w:rFonts w:ascii="Arial" w:hAnsi="Arial" w:cs="Arial"/>
          <w:sz w:val="24"/>
          <w:szCs w:val="24"/>
        </w:rPr>
        <w:t xml:space="preserve"> 118 of </w:t>
      </w:r>
      <w:r w:rsidR="00D42697">
        <w:rPr>
          <w:rFonts w:ascii="Arial" w:hAnsi="Arial" w:cs="Arial"/>
          <w:sz w:val="24"/>
          <w:szCs w:val="24"/>
        </w:rPr>
        <w:t xml:space="preserve">the Criminal Procedure </w:t>
      </w:r>
      <w:r>
        <w:rPr>
          <w:rFonts w:ascii="Arial" w:hAnsi="Arial" w:cs="Arial"/>
          <w:sz w:val="24"/>
          <w:szCs w:val="24"/>
        </w:rPr>
        <w:t>Act</w:t>
      </w:r>
      <w:r w:rsidR="00D42697">
        <w:rPr>
          <w:rFonts w:ascii="Arial" w:hAnsi="Arial" w:cs="Arial"/>
          <w:sz w:val="24"/>
          <w:szCs w:val="24"/>
        </w:rPr>
        <w:t>, 51 of 1977</w:t>
      </w:r>
      <w:r>
        <w:rPr>
          <w:rFonts w:ascii="Arial" w:hAnsi="Arial" w:cs="Arial"/>
          <w:sz w:val="24"/>
          <w:szCs w:val="24"/>
        </w:rPr>
        <w:t xml:space="preserve"> only in instances when initial </w:t>
      </w:r>
      <w:r w:rsidRPr="006B6643">
        <w:rPr>
          <w:rFonts w:ascii="Arial" w:hAnsi="Arial" w:cs="Arial"/>
          <w:sz w:val="24"/>
          <w:szCs w:val="24"/>
        </w:rPr>
        <w:t xml:space="preserve">magistrate </w:t>
      </w:r>
      <w:r w:rsidR="00057A3E">
        <w:rPr>
          <w:rFonts w:ascii="Arial" w:hAnsi="Arial" w:cs="Arial"/>
          <w:sz w:val="24"/>
          <w:szCs w:val="24"/>
        </w:rPr>
        <w:t xml:space="preserve">unavailable – </w:t>
      </w:r>
      <w:r w:rsidRPr="003166F2">
        <w:rPr>
          <w:rFonts w:ascii="Arial" w:hAnsi="Arial" w:cs="Arial"/>
          <w:sz w:val="24"/>
          <w:szCs w:val="24"/>
        </w:rPr>
        <w:t xml:space="preserve">The </w:t>
      </w:r>
      <w:r w:rsidR="003166F2" w:rsidRPr="003166F2">
        <w:rPr>
          <w:rFonts w:ascii="Arial" w:hAnsi="Arial" w:cs="Arial"/>
          <w:sz w:val="24"/>
          <w:szCs w:val="24"/>
        </w:rPr>
        <w:t xml:space="preserve">State has a duty to </w:t>
      </w:r>
      <w:r w:rsidR="00275976">
        <w:rPr>
          <w:rFonts w:ascii="Arial" w:hAnsi="Arial" w:cs="Arial"/>
          <w:sz w:val="24"/>
          <w:szCs w:val="24"/>
        </w:rPr>
        <w:t xml:space="preserve">place </w:t>
      </w:r>
      <w:r w:rsidR="00D42697" w:rsidRPr="003166F2">
        <w:rPr>
          <w:rFonts w:ascii="Arial" w:hAnsi="Arial" w:cs="Arial"/>
          <w:sz w:val="24"/>
          <w:szCs w:val="24"/>
        </w:rPr>
        <w:t>unavailability of the initial magistrate on the record</w:t>
      </w:r>
      <w:r w:rsidR="003166F2" w:rsidRPr="003166F2">
        <w:rPr>
          <w:rFonts w:ascii="Arial" w:hAnsi="Arial" w:cs="Arial"/>
          <w:i/>
        </w:rPr>
        <w:t xml:space="preserve"> </w:t>
      </w:r>
      <w:r w:rsidRPr="006B6643">
        <w:rPr>
          <w:rFonts w:ascii="Arial" w:hAnsi="Arial" w:cs="Arial"/>
          <w:sz w:val="24"/>
          <w:szCs w:val="24"/>
        </w:rPr>
        <w:t xml:space="preserve">– </w:t>
      </w:r>
      <w:r>
        <w:rPr>
          <w:rFonts w:ascii="Arial" w:hAnsi="Arial" w:cs="Arial"/>
          <w:sz w:val="24"/>
          <w:szCs w:val="24"/>
        </w:rPr>
        <w:t xml:space="preserve">Failure in the latter regard renders </w:t>
      </w:r>
      <w:r w:rsidRPr="006B6643">
        <w:rPr>
          <w:rFonts w:ascii="Arial" w:hAnsi="Arial" w:cs="Arial"/>
          <w:sz w:val="24"/>
          <w:szCs w:val="24"/>
        </w:rPr>
        <w:t>continuation of the trial before another magistrate irregular.</w:t>
      </w:r>
    </w:p>
    <w:p w14:paraId="31D82143" w14:textId="17419FAE" w:rsidR="006B6643" w:rsidRDefault="006B6643" w:rsidP="006B6643">
      <w:pPr>
        <w:spacing w:line="360" w:lineRule="auto"/>
        <w:jc w:val="both"/>
        <w:rPr>
          <w:rFonts w:ascii="Arial" w:hAnsi="Arial" w:cs="Arial"/>
          <w:sz w:val="24"/>
          <w:szCs w:val="24"/>
        </w:rPr>
      </w:pPr>
      <w:r w:rsidRPr="006B6643">
        <w:rPr>
          <w:rFonts w:ascii="Arial" w:hAnsi="Arial" w:cs="Arial"/>
          <w:sz w:val="24"/>
          <w:szCs w:val="24"/>
        </w:rPr>
        <w:t>Irregular proceedings – Whether irregularity vitiates the proceedings depends on the circumstances of particular case.</w:t>
      </w:r>
    </w:p>
    <w:p w14:paraId="0E1EB9B4" w14:textId="77777777" w:rsidR="00721EA7" w:rsidRPr="006B6643" w:rsidRDefault="00721EA7" w:rsidP="006B6643">
      <w:pPr>
        <w:spacing w:line="360" w:lineRule="auto"/>
        <w:jc w:val="both"/>
        <w:rPr>
          <w:rFonts w:ascii="Arial" w:hAnsi="Arial" w:cs="Arial"/>
          <w:sz w:val="24"/>
          <w:szCs w:val="24"/>
        </w:rPr>
      </w:pPr>
    </w:p>
    <w:p w14:paraId="5F6D18A4" w14:textId="5883AC34" w:rsidR="006B6643" w:rsidRDefault="006B6643" w:rsidP="006B6643">
      <w:pPr>
        <w:spacing w:line="360" w:lineRule="auto"/>
        <w:jc w:val="both"/>
        <w:rPr>
          <w:rFonts w:ascii="Arial" w:hAnsi="Arial" w:cs="Arial"/>
          <w:sz w:val="24"/>
          <w:szCs w:val="24"/>
        </w:rPr>
      </w:pPr>
      <w:r w:rsidRPr="006B6643">
        <w:rPr>
          <w:rFonts w:ascii="Arial" w:hAnsi="Arial" w:cs="Arial"/>
          <w:b/>
          <w:sz w:val="24"/>
          <w:szCs w:val="24"/>
        </w:rPr>
        <w:t>Summary:</w:t>
      </w:r>
      <w:r w:rsidRPr="006B6643">
        <w:rPr>
          <w:rFonts w:ascii="Arial" w:hAnsi="Arial" w:cs="Arial"/>
          <w:sz w:val="24"/>
          <w:szCs w:val="24"/>
        </w:rPr>
        <w:tab/>
      </w:r>
      <w:r w:rsidRPr="00374ED7">
        <w:rPr>
          <w:rFonts w:ascii="Arial" w:hAnsi="Arial" w:cs="Arial"/>
          <w:sz w:val="24"/>
          <w:szCs w:val="24"/>
        </w:rPr>
        <w:t xml:space="preserve">Trial proceedings continued and were concluded before one magistrate while the accused had pleaded not guilty before a different magistrate. The </w:t>
      </w:r>
      <w:r w:rsidR="00C62691" w:rsidRPr="00374ED7">
        <w:rPr>
          <w:rFonts w:ascii="Arial" w:hAnsi="Arial" w:cs="Arial"/>
          <w:sz w:val="24"/>
          <w:szCs w:val="24"/>
        </w:rPr>
        <w:t>record is absent a recordal of the initial magistrate’s unavailability,</w:t>
      </w:r>
      <w:r w:rsidR="00374ED7" w:rsidRPr="00374ED7">
        <w:rPr>
          <w:rFonts w:ascii="Arial" w:hAnsi="Arial" w:cs="Arial"/>
          <w:sz w:val="24"/>
          <w:szCs w:val="24"/>
        </w:rPr>
        <w:t xml:space="preserve"> thereby</w:t>
      </w:r>
      <w:r w:rsidR="00C62691" w:rsidRPr="00374ED7">
        <w:rPr>
          <w:rFonts w:ascii="Arial" w:hAnsi="Arial" w:cs="Arial"/>
          <w:sz w:val="24"/>
          <w:szCs w:val="24"/>
        </w:rPr>
        <w:t xml:space="preserve"> rendering the trial proceedings </w:t>
      </w:r>
      <w:r w:rsidRPr="00374ED7">
        <w:rPr>
          <w:rFonts w:ascii="Arial" w:hAnsi="Arial" w:cs="Arial"/>
          <w:sz w:val="24"/>
          <w:szCs w:val="24"/>
        </w:rPr>
        <w:t>irregular. Court satisfied that the irregularity does not vitiate the entire proceedings</w:t>
      </w:r>
      <w:r w:rsidR="005A1588">
        <w:rPr>
          <w:rFonts w:ascii="Arial" w:hAnsi="Arial" w:cs="Arial"/>
          <w:sz w:val="24"/>
          <w:szCs w:val="24"/>
        </w:rPr>
        <w:t xml:space="preserve">. </w:t>
      </w:r>
    </w:p>
    <w:p w14:paraId="234FFCAA" w14:textId="77777777" w:rsidR="00D42697" w:rsidRPr="00470E7C" w:rsidRDefault="00D42697" w:rsidP="006B6643">
      <w:pPr>
        <w:spacing w:line="360" w:lineRule="auto"/>
        <w:jc w:val="both"/>
        <w:rPr>
          <w:rFonts w:ascii="Arial" w:hAnsi="Arial" w:cs="Arial"/>
          <w:sz w:val="24"/>
          <w:szCs w:val="24"/>
        </w:rPr>
      </w:pPr>
    </w:p>
    <w:p w14:paraId="6E69F2FC" w14:textId="77777777"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14:paraId="719B988B" w14:textId="77777777"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14:paraId="7937F505" w14:textId="77777777"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14:paraId="19EBDE16" w14:textId="77777777" w:rsidR="00721EA7" w:rsidRDefault="00721EA7" w:rsidP="00721EA7">
      <w:pPr>
        <w:spacing w:line="360" w:lineRule="auto"/>
        <w:jc w:val="both"/>
        <w:rPr>
          <w:rFonts w:ascii="Arial" w:hAnsi="Arial" w:cs="Arial"/>
          <w:sz w:val="24"/>
          <w:szCs w:val="24"/>
        </w:rPr>
      </w:pPr>
    </w:p>
    <w:p w14:paraId="08B3C0E5" w14:textId="77777777" w:rsidR="00721EA7" w:rsidRDefault="00721EA7" w:rsidP="00721EA7">
      <w:pPr>
        <w:pStyle w:val="ListParagraph"/>
        <w:numPr>
          <w:ilvl w:val="0"/>
          <w:numId w:val="5"/>
        </w:numPr>
        <w:spacing w:line="360" w:lineRule="auto"/>
        <w:ind w:left="709" w:firstLine="0"/>
        <w:jc w:val="both"/>
        <w:rPr>
          <w:rFonts w:ascii="Arial" w:hAnsi="Arial" w:cs="Arial"/>
          <w:sz w:val="24"/>
          <w:szCs w:val="24"/>
        </w:rPr>
      </w:pPr>
      <w:r w:rsidRPr="00721EA7">
        <w:rPr>
          <w:rFonts w:ascii="Arial" w:hAnsi="Arial" w:cs="Arial"/>
          <w:sz w:val="24"/>
          <w:szCs w:val="24"/>
        </w:rPr>
        <w:t xml:space="preserve">The conviction and sentence are confirmed. </w:t>
      </w:r>
    </w:p>
    <w:p w14:paraId="254EA65F" w14:textId="77777777" w:rsidR="00057A3E" w:rsidRDefault="00057A3E" w:rsidP="00057A3E">
      <w:pPr>
        <w:pStyle w:val="ListParagraph"/>
        <w:spacing w:line="360" w:lineRule="auto"/>
        <w:ind w:left="709"/>
        <w:jc w:val="both"/>
        <w:rPr>
          <w:rFonts w:ascii="Arial" w:hAnsi="Arial" w:cs="Arial"/>
          <w:sz w:val="24"/>
          <w:szCs w:val="24"/>
        </w:rPr>
      </w:pPr>
    </w:p>
    <w:p w14:paraId="5093CF72" w14:textId="5F21FA28" w:rsidR="00057A3E" w:rsidRPr="00057A3E" w:rsidRDefault="00721EA7" w:rsidP="00057A3E">
      <w:pPr>
        <w:pStyle w:val="ListParagraph"/>
        <w:numPr>
          <w:ilvl w:val="0"/>
          <w:numId w:val="5"/>
        </w:numPr>
        <w:spacing w:line="360" w:lineRule="auto"/>
        <w:ind w:left="709" w:firstLine="0"/>
        <w:jc w:val="both"/>
        <w:rPr>
          <w:rFonts w:ascii="Arial" w:hAnsi="Arial" w:cs="Arial"/>
          <w:sz w:val="24"/>
          <w:szCs w:val="24"/>
        </w:rPr>
      </w:pPr>
      <w:r w:rsidRPr="00057A3E">
        <w:rPr>
          <w:rFonts w:ascii="Arial" w:hAnsi="Arial" w:cs="Arial"/>
          <w:sz w:val="24"/>
          <w:szCs w:val="24"/>
        </w:rPr>
        <w:t xml:space="preserve">The registrar is directed to bring this judgment to the attention of the Chief </w:t>
      </w:r>
    </w:p>
    <w:p w14:paraId="413E7413" w14:textId="2A6A7193" w:rsidR="00721EA7" w:rsidRPr="00057A3E" w:rsidRDefault="00721EA7" w:rsidP="00057A3E">
      <w:pPr>
        <w:spacing w:line="360" w:lineRule="auto"/>
        <w:ind w:left="1418"/>
        <w:jc w:val="both"/>
        <w:rPr>
          <w:rFonts w:ascii="Arial" w:hAnsi="Arial" w:cs="Arial"/>
          <w:sz w:val="24"/>
          <w:szCs w:val="24"/>
        </w:rPr>
      </w:pPr>
      <w:r w:rsidRPr="00057A3E">
        <w:rPr>
          <w:rFonts w:ascii="Arial" w:hAnsi="Arial" w:cs="Arial"/>
          <w:sz w:val="24"/>
          <w:szCs w:val="24"/>
        </w:rPr>
        <w:t>Magistrate.</w:t>
      </w:r>
    </w:p>
    <w:p w14:paraId="72BFA9A3" w14:textId="77777777" w:rsidR="00170268" w:rsidRDefault="00170268" w:rsidP="00D52600">
      <w:pPr>
        <w:spacing w:line="360" w:lineRule="auto"/>
        <w:rPr>
          <w:rFonts w:ascii="Arial" w:hAnsi="Arial" w:cs="Arial"/>
          <w:sz w:val="24"/>
          <w:szCs w:val="24"/>
        </w:rPr>
      </w:pPr>
    </w:p>
    <w:p w14:paraId="3EB6DBD2" w14:textId="77777777" w:rsidR="00170268" w:rsidRDefault="00170268" w:rsidP="00D52600">
      <w:pPr>
        <w:spacing w:line="360" w:lineRule="auto"/>
        <w:rPr>
          <w:rFonts w:ascii="Arial" w:hAnsi="Arial" w:cs="Arial"/>
          <w:sz w:val="24"/>
          <w:szCs w:val="24"/>
        </w:rPr>
      </w:pPr>
    </w:p>
    <w:p w14:paraId="4F2FD1DF" w14:textId="77777777" w:rsidR="0007147A" w:rsidRPr="00470E7C" w:rsidRDefault="0007147A" w:rsidP="00D52600">
      <w:pPr>
        <w:spacing w:line="360" w:lineRule="auto"/>
        <w:rPr>
          <w:rFonts w:ascii="Arial" w:hAnsi="Arial" w:cs="Arial"/>
          <w:sz w:val="24"/>
          <w:szCs w:val="24"/>
        </w:rPr>
      </w:pPr>
    </w:p>
    <w:p w14:paraId="081BD0DF" w14:textId="77777777"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14:paraId="2E28BCBA" w14:textId="77777777" w:rsidR="00170268" w:rsidRPr="00470E7C" w:rsidRDefault="0038363F" w:rsidP="00D52600">
      <w:pPr>
        <w:pBdr>
          <w:top w:val="single" w:sz="12" w:space="1" w:color="auto"/>
          <w:bottom w:val="single" w:sz="12" w:space="1" w:color="auto"/>
        </w:pBdr>
        <w:spacing w:line="360" w:lineRule="auto"/>
        <w:jc w:val="center"/>
        <w:rPr>
          <w:rFonts w:ascii="Arial" w:hAnsi="Arial" w:cs="Arial"/>
          <w:b/>
          <w:sz w:val="24"/>
          <w:szCs w:val="24"/>
        </w:rPr>
      </w:pPr>
      <w:r>
        <w:rPr>
          <w:rFonts w:ascii="Arial" w:hAnsi="Arial" w:cs="Arial"/>
          <w:b/>
          <w:sz w:val="24"/>
          <w:szCs w:val="24"/>
        </w:rPr>
        <w:t xml:space="preserve">REVIEW </w:t>
      </w:r>
      <w:r w:rsidR="00170268" w:rsidRPr="00470E7C">
        <w:rPr>
          <w:rFonts w:ascii="Arial" w:hAnsi="Arial" w:cs="Arial"/>
          <w:b/>
          <w:sz w:val="24"/>
          <w:szCs w:val="24"/>
        </w:rPr>
        <w:t>JUDGMENT</w:t>
      </w:r>
    </w:p>
    <w:p w14:paraId="6BDCEA82" w14:textId="77777777"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14:paraId="151D6D3F" w14:textId="77777777" w:rsidR="00170268" w:rsidRPr="00470E7C" w:rsidRDefault="00170268" w:rsidP="00D52600">
      <w:pPr>
        <w:spacing w:line="360" w:lineRule="auto"/>
        <w:rPr>
          <w:rFonts w:ascii="Arial" w:hAnsi="Arial" w:cs="Arial"/>
          <w:sz w:val="24"/>
          <w:szCs w:val="24"/>
        </w:rPr>
      </w:pPr>
    </w:p>
    <w:p w14:paraId="24F4D2A5" w14:textId="622B857B" w:rsidR="00170268" w:rsidRDefault="006B6643" w:rsidP="00D52600">
      <w:pPr>
        <w:spacing w:line="360" w:lineRule="auto"/>
        <w:rPr>
          <w:rFonts w:ascii="Arial" w:hAnsi="Arial" w:cs="Arial"/>
          <w:sz w:val="24"/>
          <w:szCs w:val="24"/>
        </w:rPr>
      </w:pPr>
      <w:r>
        <w:rPr>
          <w:rFonts w:ascii="Arial" w:hAnsi="Arial" w:cs="Arial"/>
          <w:sz w:val="24"/>
          <w:szCs w:val="24"/>
        </w:rPr>
        <w:t>LIEBENBERG J (DAMASEB JP concurring)</w:t>
      </w:r>
      <w:r w:rsidR="0021043C">
        <w:rPr>
          <w:rFonts w:ascii="Arial" w:hAnsi="Arial" w:cs="Arial"/>
          <w:sz w:val="24"/>
          <w:szCs w:val="24"/>
        </w:rPr>
        <w:t>:</w:t>
      </w:r>
    </w:p>
    <w:p w14:paraId="3AAC9973" w14:textId="77777777" w:rsidR="006B6643" w:rsidRPr="00470E7C" w:rsidRDefault="006B6643" w:rsidP="00D52600">
      <w:pPr>
        <w:spacing w:line="360" w:lineRule="auto"/>
        <w:rPr>
          <w:rFonts w:ascii="Arial" w:hAnsi="Arial" w:cs="Arial"/>
          <w:sz w:val="24"/>
          <w:szCs w:val="24"/>
        </w:rPr>
      </w:pPr>
    </w:p>
    <w:p w14:paraId="13A375CC" w14:textId="55A863CA" w:rsidR="006B6643" w:rsidRDefault="006B6643" w:rsidP="006B6643">
      <w:pPr>
        <w:spacing w:line="360" w:lineRule="auto"/>
        <w:jc w:val="both"/>
        <w:rPr>
          <w:rFonts w:ascii="Arial" w:hAnsi="Arial" w:cs="Arial"/>
          <w:sz w:val="24"/>
          <w:szCs w:val="24"/>
        </w:rPr>
      </w:pPr>
      <w:r w:rsidRPr="006B6643">
        <w:rPr>
          <w:rFonts w:ascii="Arial" w:hAnsi="Arial" w:cs="Arial"/>
          <w:sz w:val="24"/>
          <w:szCs w:val="24"/>
        </w:rPr>
        <w:t xml:space="preserve">[1]  </w:t>
      </w:r>
      <w:r w:rsidR="00374ED7">
        <w:rPr>
          <w:rFonts w:ascii="Arial" w:hAnsi="Arial" w:cs="Arial"/>
          <w:sz w:val="24"/>
          <w:szCs w:val="24"/>
        </w:rPr>
        <w:t xml:space="preserve"> The accused was arraigned, c</w:t>
      </w:r>
      <w:r w:rsidRPr="006B6643">
        <w:rPr>
          <w:rFonts w:ascii="Arial" w:hAnsi="Arial" w:cs="Arial"/>
          <w:sz w:val="24"/>
          <w:szCs w:val="24"/>
        </w:rPr>
        <w:t xml:space="preserve">onvicted </w:t>
      </w:r>
      <w:r w:rsidR="00374ED7">
        <w:rPr>
          <w:rFonts w:ascii="Arial" w:hAnsi="Arial" w:cs="Arial"/>
          <w:sz w:val="24"/>
          <w:szCs w:val="24"/>
        </w:rPr>
        <w:t xml:space="preserve">and sentenced </w:t>
      </w:r>
      <w:r w:rsidRPr="006B6643">
        <w:rPr>
          <w:rFonts w:ascii="Arial" w:hAnsi="Arial" w:cs="Arial"/>
          <w:sz w:val="24"/>
          <w:szCs w:val="24"/>
        </w:rPr>
        <w:t xml:space="preserve">in the magistrate’s court, </w:t>
      </w:r>
      <w:r w:rsidR="00D42697">
        <w:rPr>
          <w:rFonts w:ascii="Arial" w:hAnsi="Arial" w:cs="Arial"/>
          <w:sz w:val="24"/>
          <w:szCs w:val="24"/>
        </w:rPr>
        <w:t>Windhoek</w:t>
      </w:r>
      <w:r w:rsidR="00F21BB4">
        <w:rPr>
          <w:rFonts w:ascii="Arial" w:hAnsi="Arial" w:cs="Arial"/>
          <w:sz w:val="24"/>
          <w:szCs w:val="24"/>
        </w:rPr>
        <w:t>,</w:t>
      </w:r>
      <w:r w:rsidR="005669E2">
        <w:rPr>
          <w:rFonts w:ascii="Arial" w:hAnsi="Arial" w:cs="Arial"/>
          <w:sz w:val="24"/>
          <w:szCs w:val="24"/>
        </w:rPr>
        <w:t xml:space="preserve"> </w:t>
      </w:r>
      <w:r w:rsidRPr="006B6643">
        <w:rPr>
          <w:rFonts w:ascii="Arial" w:hAnsi="Arial" w:cs="Arial"/>
          <w:sz w:val="24"/>
          <w:szCs w:val="24"/>
        </w:rPr>
        <w:t xml:space="preserve">on a charge of theft </w:t>
      </w:r>
      <w:r w:rsidR="005669E2">
        <w:rPr>
          <w:rFonts w:ascii="Arial" w:hAnsi="Arial" w:cs="Arial"/>
          <w:sz w:val="24"/>
          <w:szCs w:val="24"/>
        </w:rPr>
        <w:t>by false pretense</w:t>
      </w:r>
      <w:r w:rsidR="00374ED7">
        <w:rPr>
          <w:rFonts w:ascii="Arial" w:hAnsi="Arial" w:cs="Arial"/>
          <w:sz w:val="24"/>
          <w:szCs w:val="24"/>
        </w:rPr>
        <w:t xml:space="preserve">, the particulars whereof </w:t>
      </w:r>
      <w:r w:rsidR="00D42697">
        <w:rPr>
          <w:rFonts w:ascii="Arial" w:hAnsi="Arial" w:cs="Arial"/>
          <w:sz w:val="24"/>
          <w:szCs w:val="24"/>
        </w:rPr>
        <w:t xml:space="preserve">are </w:t>
      </w:r>
      <w:r w:rsidR="00F21BB4">
        <w:rPr>
          <w:rFonts w:ascii="Arial" w:hAnsi="Arial" w:cs="Arial"/>
          <w:sz w:val="24"/>
          <w:szCs w:val="24"/>
        </w:rPr>
        <w:t xml:space="preserve">of no moment. </w:t>
      </w:r>
      <w:r w:rsidR="00C52D80">
        <w:rPr>
          <w:rFonts w:ascii="Arial" w:hAnsi="Arial" w:cs="Arial"/>
          <w:sz w:val="24"/>
          <w:szCs w:val="24"/>
        </w:rPr>
        <w:t>O</w:t>
      </w:r>
      <w:r w:rsidR="00F21BB4">
        <w:rPr>
          <w:rFonts w:ascii="Arial" w:hAnsi="Arial" w:cs="Arial"/>
          <w:sz w:val="24"/>
          <w:szCs w:val="24"/>
        </w:rPr>
        <w:t xml:space="preserve">n 07 June 2017, </w:t>
      </w:r>
      <w:r w:rsidR="00AB5CD9">
        <w:rPr>
          <w:rFonts w:ascii="Arial" w:hAnsi="Arial" w:cs="Arial"/>
          <w:sz w:val="24"/>
          <w:szCs w:val="24"/>
        </w:rPr>
        <w:t>the accused person appeared before magistrate Shapumba</w:t>
      </w:r>
      <w:r w:rsidR="005669E2">
        <w:rPr>
          <w:rFonts w:ascii="Arial" w:hAnsi="Arial" w:cs="Arial"/>
          <w:sz w:val="24"/>
          <w:szCs w:val="24"/>
        </w:rPr>
        <w:t xml:space="preserve"> </w:t>
      </w:r>
      <w:r w:rsidR="00F21BB4">
        <w:rPr>
          <w:rFonts w:ascii="Arial" w:hAnsi="Arial" w:cs="Arial"/>
          <w:sz w:val="24"/>
          <w:szCs w:val="24"/>
        </w:rPr>
        <w:t>for plea and trial</w:t>
      </w:r>
      <w:r w:rsidR="00D42697">
        <w:rPr>
          <w:rFonts w:ascii="Arial" w:hAnsi="Arial" w:cs="Arial"/>
          <w:sz w:val="24"/>
          <w:szCs w:val="24"/>
        </w:rPr>
        <w:t>,</w:t>
      </w:r>
      <w:r w:rsidR="00F21BB4">
        <w:rPr>
          <w:rFonts w:ascii="Arial" w:hAnsi="Arial" w:cs="Arial"/>
          <w:sz w:val="24"/>
          <w:szCs w:val="24"/>
        </w:rPr>
        <w:t xml:space="preserve"> whereupon</w:t>
      </w:r>
      <w:r w:rsidR="00AB5CD9">
        <w:rPr>
          <w:rFonts w:ascii="Arial" w:hAnsi="Arial" w:cs="Arial"/>
          <w:sz w:val="24"/>
          <w:szCs w:val="24"/>
        </w:rPr>
        <w:t xml:space="preserve"> he pleaded not guilty</w:t>
      </w:r>
      <w:r w:rsidR="00C52D80">
        <w:rPr>
          <w:rFonts w:ascii="Arial" w:hAnsi="Arial" w:cs="Arial"/>
          <w:sz w:val="24"/>
          <w:szCs w:val="24"/>
        </w:rPr>
        <w:t xml:space="preserve">. </w:t>
      </w:r>
      <w:r w:rsidR="00AB5CD9">
        <w:rPr>
          <w:rFonts w:ascii="Arial" w:hAnsi="Arial" w:cs="Arial"/>
          <w:sz w:val="24"/>
          <w:szCs w:val="24"/>
        </w:rPr>
        <w:t>Thereafter, the matter was postpo</w:t>
      </w:r>
      <w:r w:rsidR="00374ED7">
        <w:rPr>
          <w:rFonts w:ascii="Arial" w:hAnsi="Arial" w:cs="Arial"/>
          <w:sz w:val="24"/>
          <w:szCs w:val="24"/>
        </w:rPr>
        <w:t>ned for continuation of trial to</w:t>
      </w:r>
      <w:r w:rsidR="00AB5CD9">
        <w:rPr>
          <w:rFonts w:ascii="Arial" w:hAnsi="Arial" w:cs="Arial"/>
          <w:sz w:val="24"/>
          <w:szCs w:val="24"/>
        </w:rPr>
        <w:t xml:space="preserve"> 03 August 2017</w:t>
      </w:r>
      <w:r w:rsidR="00F21BB4">
        <w:rPr>
          <w:rFonts w:ascii="Arial" w:hAnsi="Arial" w:cs="Arial"/>
          <w:sz w:val="24"/>
          <w:szCs w:val="24"/>
        </w:rPr>
        <w:t>. When the matter was called on the aforesaid date, magistrate Savage presided over the trial</w:t>
      </w:r>
      <w:r w:rsidR="00D3282F">
        <w:rPr>
          <w:rFonts w:ascii="Arial" w:hAnsi="Arial" w:cs="Arial"/>
          <w:sz w:val="24"/>
          <w:szCs w:val="24"/>
        </w:rPr>
        <w:t>,</w:t>
      </w:r>
      <w:r w:rsidR="00374ED7">
        <w:rPr>
          <w:rFonts w:ascii="Arial" w:hAnsi="Arial" w:cs="Arial"/>
          <w:sz w:val="24"/>
          <w:szCs w:val="24"/>
        </w:rPr>
        <w:t xml:space="preserve"> </w:t>
      </w:r>
      <w:r w:rsidR="00C52D80">
        <w:rPr>
          <w:rFonts w:ascii="Arial" w:hAnsi="Arial" w:cs="Arial"/>
          <w:sz w:val="24"/>
          <w:szCs w:val="24"/>
        </w:rPr>
        <w:t xml:space="preserve">applied section 115 of the Criminal Procedure Act 51 of 1977 (“Act”) in respect of the accused person’s plea, found the accused person guilty and </w:t>
      </w:r>
      <w:r w:rsidR="00F21BB4">
        <w:rPr>
          <w:rFonts w:ascii="Arial" w:hAnsi="Arial" w:cs="Arial"/>
          <w:sz w:val="24"/>
          <w:szCs w:val="24"/>
        </w:rPr>
        <w:t xml:space="preserve">convicted and sentenced </w:t>
      </w:r>
      <w:r w:rsidR="00C52D80">
        <w:rPr>
          <w:rFonts w:ascii="Arial" w:hAnsi="Arial" w:cs="Arial"/>
          <w:sz w:val="24"/>
          <w:szCs w:val="24"/>
        </w:rPr>
        <w:t>him</w:t>
      </w:r>
      <w:r w:rsidR="00F21BB4">
        <w:rPr>
          <w:rFonts w:ascii="Arial" w:hAnsi="Arial" w:cs="Arial"/>
          <w:sz w:val="24"/>
          <w:szCs w:val="24"/>
        </w:rPr>
        <w:t xml:space="preserve">. </w:t>
      </w:r>
    </w:p>
    <w:p w14:paraId="24FC06B7" w14:textId="77777777" w:rsidR="00AB5CD9" w:rsidRPr="006B6643" w:rsidRDefault="00AB5CD9" w:rsidP="006B6643">
      <w:pPr>
        <w:spacing w:line="360" w:lineRule="auto"/>
        <w:jc w:val="both"/>
        <w:rPr>
          <w:rFonts w:ascii="Arial" w:hAnsi="Arial" w:cs="Arial"/>
          <w:sz w:val="24"/>
          <w:szCs w:val="24"/>
        </w:rPr>
      </w:pPr>
    </w:p>
    <w:p w14:paraId="7F92DC3E" w14:textId="6B8CE1F5" w:rsidR="00AB5CD9" w:rsidRDefault="00AB5CD9" w:rsidP="006B6643">
      <w:pPr>
        <w:spacing w:line="360" w:lineRule="auto"/>
        <w:jc w:val="both"/>
        <w:rPr>
          <w:rFonts w:ascii="Arial" w:hAnsi="Arial" w:cs="Arial"/>
          <w:sz w:val="24"/>
          <w:szCs w:val="24"/>
        </w:rPr>
      </w:pPr>
      <w:r>
        <w:rPr>
          <w:rFonts w:ascii="Arial" w:hAnsi="Arial" w:cs="Arial"/>
          <w:sz w:val="24"/>
          <w:szCs w:val="24"/>
        </w:rPr>
        <w:t>[2</w:t>
      </w:r>
      <w:r w:rsidR="00177FA8">
        <w:rPr>
          <w:rFonts w:ascii="Arial" w:hAnsi="Arial" w:cs="Arial"/>
          <w:sz w:val="24"/>
          <w:szCs w:val="24"/>
        </w:rPr>
        <w:t xml:space="preserve">] </w:t>
      </w:r>
      <w:r w:rsidR="00177FA8">
        <w:rPr>
          <w:rFonts w:ascii="Arial" w:hAnsi="Arial" w:cs="Arial"/>
          <w:sz w:val="24"/>
          <w:szCs w:val="24"/>
        </w:rPr>
        <w:tab/>
      </w:r>
      <w:r w:rsidR="006B6643" w:rsidRPr="006B6643">
        <w:rPr>
          <w:rFonts w:ascii="Arial" w:hAnsi="Arial" w:cs="Arial"/>
          <w:sz w:val="24"/>
          <w:szCs w:val="24"/>
        </w:rPr>
        <w:t>When the matt</w:t>
      </w:r>
      <w:r w:rsidR="00374ED7">
        <w:rPr>
          <w:rFonts w:ascii="Arial" w:hAnsi="Arial" w:cs="Arial"/>
          <w:sz w:val="24"/>
          <w:szCs w:val="24"/>
        </w:rPr>
        <w:t>er came on review I</w:t>
      </w:r>
      <w:r w:rsidR="00D3282F">
        <w:rPr>
          <w:rFonts w:ascii="Arial" w:hAnsi="Arial" w:cs="Arial"/>
          <w:sz w:val="24"/>
          <w:szCs w:val="24"/>
        </w:rPr>
        <w:t xml:space="preserve"> </w:t>
      </w:r>
      <w:r>
        <w:rPr>
          <w:rFonts w:ascii="Arial" w:hAnsi="Arial" w:cs="Arial"/>
          <w:sz w:val="24"/>
          <w:szCs w:val="24"/>
        </w:rPr>
        <w:t>enquired from magistrate Savage as follows:</w:t>
      </w:r>
    </w:p>
    <w:p w14:paraId="72AD1DF9" w14:textId="53039E3D" w:rsidR="00AB5CD9" w:rsidRPr="00226267" w:rsidRDefault="00CD6B31" w:rsidP="00CD6B31">
      <w:pPr>
        <w:spacing w:line="276" w:lineRule="auto"/>
        <w:ind w:left="720" w:firstLine="720"/>
        <w:jc w:val="both"/>
        <w:rPr>
          <w:rFonts w:ascii="Arial" w:hAnsi="Arial" w:cs="Arial"/>
        </w:rPr>
      </w:pPr>
      <w:r>
        <w:rPr>
          <w:rFonts w:ascii="Arial" w:hAnsi="Arial" w:cs="Arial"/>
        </w:rPr>
        <w:t>‘</w:t>
      </w:r>
      <w:r w:rsidR="00AB5CD9" w:rsidRPr="00226267">
        <w:rPr>
          <w:rFonts w:ascii="Arial" w:hAnsi="Arial" w:cs="Arial"/>
        </w:rPr>
        <w:t>… On what authority did ma</w:t>
      </w:r>
      <w:r w:rsidR="00721EA7" w:rsidRPr="00226267">
        <w:rPr>
          <w:rFonts w:ascii="Arial" w:hAnsi="Arial" w:cs="Arial"/>
        </w:rPr>
        <w:t xml:space="preserve">gistrate Savage act to commence </w:t>
      </w:r>
      <w:r w:rsidR="00D42697">
        <w:rPr>
          <w:rFonts w:ascii="Arial" w:hAnsi="Arial" w:cs="Arial"/>
        </w:rPr>
        <w:t>trial proceedings</w:t>
      </w:r>
      <w:r w:rsidR="00AB5CD9" w:rsidRPr="00226267">
        <w:rPr>
          <w:rFonts w:ascii="Arial" w:hAnsi="Arial" w:cs="Arial"/>
        </w:rPr>
        <w:t xml:space="preserve"> if there is nothing on reco</w:t>
      </w:r>
      <w:r w:rsidR="00D42697">
        <w:rPr>
          <w:rFonts w:ascii="Arial" w:hAnsi="Arial" w:cs="Arial"/>
        </w:rPr>
        <w:t>rd explaining the unavailability</w:t>
      </w:r>
      <w:r w:rsidR="00AB5CD9" w:rsidRPr="00226267">
        <w:rPr>
          <w:rFonts w:ascii="Arial" w:hAnsi="Arial" w:cs="Arial"/>
        </w:rPr>
        <w:t xml:space="preserve"> of the magistrate be</w:t>
      </w:r>
      <w:r>
        <w:rPr>
          <w:rFonts w:ascii="Arial" w:hAnsi="Arial" w:cs="Arial"/>
        </w:rPr>
        <w:t>fore whom the accused pleaded?’</w:t>
      </w:r>
    </w:p>
    <w:p w14:paraId="6EA855BE" w14:textId="77777777" w:rsidR="00D3282F" w:rsidRDefault="00D3282F" w:rsidP="00AB5CD9">
      <w:pPr>
        <w:spacing w:line="360" w:lineRule="auto"/>
        <w:jc w:val="both"/>
        <w:rPr>
          <w:rFonts w:ascii="Arial" w:hAnsi="Arial" w:cs="Arial"/>
          <w:sz w:val="24"/>
          <w:szCs w:val="24"/>
        </w:rPr>
      </w:pPr>
    </w:p>
    <w:p w14:paraId="00EAD919" w14:textId="152F9906" w:rsidR="006B6643" w:rsidRDefault="00AB5CD9" w:rsidP="00AB5CD9">
      <w:pPr>
        <w:spacing w:line="360" w:lineRule="auto"/>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D42697">
        <w:rPr>
          <w:rFonts w:ascii="Arial" w:hAnsi="Arial" w:cs="Arial"/>
          <w:sz w:val="24"/>
          <w:szCs w:val="24"/>
        </w:rPr>
        <w:t xml:space="preserve">The magistrate responded </w:t>
      </w:r>
      <w:r>
        <w:rPr>
          <w:rFonts w:ascii="Arial" w:hAnsi="Arial" w:cs="Arial"/>
          <w:sz w:val="24"/>
          <w:szCs w:val="24"/>
        </w:rPr>
        <w:t xml:space="preserve">as follows: </w:t>
      </w:r>
    </w:p>
    <w:p w14:paraId="0C853C22" w14:textId="0FA2B99B" w:rsidR="00F935F5" w:rsidRPr="00226267" w:rsidRDefault="00CD6B31" w:rsidP="00CD6B31">
      <w:pPr>
        <w:spacing w:line="360" w:lineRule="auto"/>
        <w:ind w:left="720" w:firstLine="720"/>
        <w:jc w:val="both"/>
        <w:rPr>
          <w:rFonts w:ascii="Arial" w:hAnsi="Arial" w:cs="Arial"/>
        </w:rPr>
      </w:pPr>
      <w:r>
        <w:rPr>
          <w:rFonts w:ascii="Arial" w:hAnsi="Arial" w:cs="Arial"/>
        </w:rPr>
        <w:t>‘</w:t>
      </w:r>
      <w:r w:rsidR="00F935F5" w:rsidRPr="00226267">
        <w:rPr>
          <w:rFonts w:ascii="Arial" w:hAnsi="Arial" w:cs="Arial"/>
        </w:rPr>
        <w:t>The plea taken by Magistrate Shapumba was a plea in accordance with Section 115 of the Criminal Procedure Act. When the matter appeared on 3/08/17 Magistrate Shapumba was and still is on vacation leave. The accused wanted his trial to proceed and I acted within the ambit of section 118 of the Criminal Procedure Act. No evidence was adduced before Mr Shapumba and the accused was not prejudiced.</w:t>
      </w:r>
    </w:p>
    <w:p w14:paraId="3527A409" w14:textId="77777777" w:rsidR="00F935F5" w:rsidRPr="00226267" w:rsidRDefault="00F935F5" w:rsidP="00F935F5">
      <w:pPr>
        <w:spacing w:line="276" w:lineRule="auto"/>
        <w:ind w:left="720"/>
        <w:jc w:val="both"/>
        <w:rPr>
          <w:rFonts w:ascii="Arial" w:hAnsi="Arial" w:cs="Arial"/>
        </w:rPr>
      </w:pPr>
    </w:p>
    <w:p w14:paraId="63FCF491" w14:textId="025A8DA9" w:rsidR="006B6643" w:rsidRPr="00226267" w:rsidRDefault="00F935F5" w:rsidP="00F935F5">
      <w:pPr>
        <w:spacing w:line="360" w:lineRule="auto"/>
        <w:ind w:left="720"/>
        <w:jc w:val="both"/>
        <w:rPr>
          <w:rFonts w:ascii="Arial" w:hAnsi="Arial" w:cs="Arial"/>
        </w:rPr>
      </w:pPr>
      <w:r w:rsidRPr="00226267">
        <w:rPr>
          <w:rFonts w:ascii="Arial" w:hAnsi="Arial" w:cs="Arial"/>
        </w:rPr>
        <w:lastRenderedPageBreak/>
        <w:t>That magistrate Shapumba’s absence was not reflected on record is an oversight on my part</w:t>
      </w:r>
      <w:r w:rsidR="00AB5CD9" w:rsidRPr="00226267">
        <w:rPr>
          <w:rFonts w:ascii="Arial" w:hAnsi="Arial" w:cs="Arial"/>
        </w:rPr>
        <w:t>.</w:t>
      </w:r>
      <w:r w:rsidR="00CD6B31">
        <w:rPr>
          <w:rFonts w:ascii="Arial" w:hAnsi="Arial" w:cs="Arial"/>
        </w:rPr>
        <w:t>’</w:t>
      </w:r>
    </w:p>
    <w:p w14:paraId="62B6A949" w14:textId="77777777" w:rsidR="00F935F5" w:rsidRPr="006B6643" w:rsidRDefault="00F935F5" w:rsidP="00F935F5">
      <w:pPr>
        <w:spacing w:line="360" w:lineRule="auto"/>
        <w:ind w:left="720"/>
        <w:jc w:val="both"/>
        <w:rPr>
          <w:rFonts w:ascii="Arial" w:hAnsi="Arial" w:cs="Arial"/>
          <w:sz w:val="24"/>
          <w:szCs w:val="24"/>
        </w:rPr>
      </w:pPr>
    </w:p>
    <w:p w14:paraId="5A7146C1" w14:textId="259C0990" w:rsidR="00D3282F" w:rsidRPr="00923DD2" w:rsidRDefault="00F935F5" w:rsidP="00923DD2">
      <w:pPr>
        <w:spacing w:line="360" w:lineRule="auto"/>
        <w:jc w:val="both"/>
        <w:rPr>
          <w:rFonts w:ascii="Arial" w:hAnsi="Arial" w:cs="Arial"/>
          <w:sz w:val="24"/>
          <w:szCs w:val="24"/>
        </w:rPr>
      </w:pPr>
      <w:r>
        <w:rPr>
          <w:rFonts w:ascii="Arial" w:hAnsi="Arial" w:cs="Arial"/>
          <w:sz w:val="24"/>
          <w:szCs w:val="24"/>
        </w:rPr>
        <w:t>[4</w:t>
      </w:r>
      <w:r w:rsidR="006B6643" w:rsidRPr="006B6643">
        <w:rPr>
          <w:rFonts w:ascii="Arial" w:hAnsi="Arial" w:cs="Arial"/>
          <w:sz w:val="24"/>
          <w:szCs w:val="24"/>
        </w:rPr>
        <w:t xml:space="preserve">]   </w:t>
      </w:r>
      <w:r w:rsidR="00D3282F" w:rsidRPr="00923DD2">
        <w:rPr>
          <w:rFonts w:ascii="Arial" w:hAnsi="Arial" w:cs="Arial"/>
          <w:sz w:val="24"/>
          <w:szCs w:val="24"/>
        </w:rPr>
        <w:t xml:space="preserve">The application of section 118 of the </w:t>
      </w:r>
      <w:r w:rsidR="008F6CC8">
        <w:rPr>
          <w:rFonts w:ascii="Arial" w:hAnsi="Arial" w:cs="Arial"/>
          <w:sz w:val="24"/>
          <w:szCs w:val="24"/>
        </w:rPr>
        <w:t xml:space="preserve">Act is not novel and </w:t>
      </w:r>
      <w:r w:rsidR="00D3282F" w:rsidRPr="00923DD2">
        <w:rPr>
          <w:rFonts w:ascii="Arial" w:hAnsi="Arial" w:cs="Arial"/>
          <w:sz w:val="24"/>
          <w:szCs w:val="24"/>
        </w:rPr>
        <w:t xml:space="preserve">has previously received attention from this Court. In </w:t>
      </w:r>
      <w:r w:rsidR="00D3282F" w:rsidRPr="00923DD2">
        <w:rPr>
          <w:rFonts w:ascii="Arial" w:hAnsi="Arial" w:cs="Arial"/>
          <w:i/>
          <w:sz w:val="24"/>
          <w:szCs w:val="24"/>
        </w:rPr>
        <w:t>The State v Lucas</w:t>
      </w:r>
      <w:r w:rsidR="00D3282F" w:rsidRPr="00923DD2">
        <w:rPr>
          <w:rStyle w:val="FootnoteReference"/>
          <w:rFonts w:ascii="Arial" w:hAnsi="Arial" w:cs="Arial"/>
          <w:sz w:val="24"/>
          <w:szCs w:val="24"/>
        </w:rPr>
        <w:footnoteReference w:id="1"/>
      </w:r>
      <w:r w:rsidR="00D3282F" w:rsidRPr="00923DD2">
        <w:rPr>
          <w:rFonts w:ascii="Arial" w:hAnsi="Arial" w:cs="Arial"/>
          <w:i/>
          <w:sz w:val="24"/>
          <w:szCs w:val="24"/>
        </w:rPr>
        <w:t>,</w:t>
      </w:r>
      <w:r w:rsidR="00D3282F" w:rsidRPr="00923DD2">
        <w:rPr>
          <w:rFonts w:ascii="Arial" w:hAnsi="Arial" w:cs="Arial"/>
          <w:sz w:val="24"/>
          <w:szCs w:val="24"/>
        </w:rPr>
        <w:t xml:space="preserve"> similar to the facts of this matter, the following</w:t>
      </w:r>
      <w:r w:rsidR="00923DD2">
        <w:rPr>
          <w:rFonts w:ascii="Arial" w:hAnsi="Arial" w:cs="Arial"/>
          <w:sz w:val="24"/>
          <w:szCs w:val="24"/>
        </w:rPr>
        <w:t xml:space="preserve"> </w:t>
      </w:r>
      <w:r w:rsidR="008F6CC8">
        <w:rPr>
          <w:rFonts w:ascii="Arial" w:hAnsi="Arial" w:cs="Arial"/>
          <w:sz w:val="24"/>
          <w:szCs w:val="24"/>
        </w:rPr>
        <w:t xml:space="preserve">(to be read with the necessary modicfications) </w:t>
      </w:r>
      <w:r w:rsidR="00D3282F" w:rsidRPr="00923DD2">
        <w:rPr>
          <w:rFonts w:ascii="Arial" w:hAnsi="Arial" w:cs="Arial"/>
          <w:sz w:val="24"/>
          <w:szCs w:val="24"/>
        </w:rPr>
        <w:t xml:space="preserve">was stated: </w:t>
      </w:r>
    </w:p>
    <w:p w14:paraId="385F2183" w14:textId="77777777" w:rsidR="00D3282F" w:rsidRPr="00D3282F" w:rsidRDefault="00D3282F" w:rsidP="00D3282F">
      <w:pPr>
        <w:jc w:val="both"/>
        <w:rPr>
          <w:rFonts w:ascii="Arial" w:hAnsi="Arial" w:cs="Arial"/>
        </w:rPr>
      </w:pPr>
    </w:p>
    <w:p w14:paraId="7A3F3EA8" w14:textId="7487F6A4" w:rsidR="006B6643" w:rsidRPr="005A1588" w:rsidRDefault="00923DD2" w:rsidP="00CD6B31">
      <w:pPr>
        <w:spacing w:line="276" w:lineRule="auto"/>
        <w:ind w:firstLine="709"/>
        <w:jc w:val="both"/>
        <w:rPr>
          <w:rFonts w:ascii="Arial" w:hAnsi="Arial" w:cs="Arial"/>
        </w:rPr>
      </w:pPr>
      <w:r w:rsidRPr="005A1588">
        <w:rPr>
          <w:rFonts w:ascii="Arial" w:hAnsi="Arial" w:cs="Arial"/>
        </w:rPr>
        <w:t xml:space="preserve">[5] </w:t>
      </w:r>
      <w:r w:rsidRPr="005A1588">
        <w:rPr>
          <w:rFonts w:ascii="Arial" w:hAnsi="Arial" w:cs="Arial"/>
        </w:rPr>
        <w:tab/>
        <w:t>“</w:t>
      </w:r>
      <w:r w:rsidR="006B6643" w:rsidRPr="005A1588">
        <w:rPr>
          <w:rFonts w:ascii="Arial" w:hAnsi="Arial" w:cs="Arial"/>
        </w:rPr>
        <w:t xml:space="preserve">The magistrate is correct in </w:t>
      </w:r>
      <w:r w:rsidR="00F935F5" w:rsidRPr="005A1588">
        <w:rPr>
          <w:rFonts w:ascii="Arial" w:hAnsi="Arial" w:cs="Arial"/>
        </w:rPr>
        <w:t xml:space="preserve">pointing out that </w:t>
      </w:r>
      <w:r w:rsidR="006B6643" w:rsidRPr="005A1588">
        <w:rPr>
          <w:rFonts w:ascii="Arial" w:hAnsi="Arial" w:cs="Arial"/>
        </w:rPr>
        <w:t xml:space="preserve">when </w:t>
      </w:r>
      <w:r w:rsidR="00F935F5" w:rsidRPr="005A1588">
        <w:rPr>
          <w:rFonts w:ascii="Arial" w:hAnsi="Arial" w:cs="Arial"/>
        </w:rPr>
        <w:t xml:space="preserve">she presided over the matter </w:t>
      </w:r>
      <w:r w:rsidR="006B6643" w:rsidRPr="005A1588">
        <w:rPr>
          <w:rFonts w:ascii="Arial" w:hAnsi="Arial" w:cs="Arial"/>
        </w:rPr>
        <w:t xml:space="preserve">no evidence had been adduced. However, she would </w:t>
      </w:r>
      <w:r w:rsidR="006B6643" w:rsidRPr="005A1588">
        <w:rPr>
          <w:rFonts w:ascii="Arial" w:hAnsi="Arial" w:cs="Arial"/>
          <w:i/>
        </w:rPr>
        <w:t>only</w:t>
      </w:r>
      <w:r w:rsidR="006B6643" w:rsidRPr="005A1588">
        <w:rPr>
          <w:rFonts w:ascii="Arial" w:hAnsi="Arial" w:cs="Arial"/>
        </w:rPr>
        <w:t xml:space="preserve"> have been entitled to proc</w:t>
      </w:r>
      <w:r w:rsidR="00CC04C0">
        <w:rPr>
          <w:rFonts w:ascii="Arial" w:hAnsi="Arial" w:cs="Arial"/>
        </w:rPr>
        <w:t>eed with the matter ‘If the …</w:t>
      </w:r>
      <w:r w:rsidR="006B6643" w:rsidRPr="005A1588">
        <w:rPr>
          <w:rFonts w:ascii="Arial" w:hAnsi="Arial" w:cs="Arial"/>
        </w:rPr>
        <w:t xml:space="preserve"> magistrate before whom [the] accused at a summary trial has pleade</w:t>
      </w:r>
      <w:r w:rsidR="00F935F5" w:rsidRPr="005A1588">
        <w:rPr>
          <w:rFonts w:ascii="Arial" w:hAnsi="Arial" w:cs="Arial"/>
        </w:rPr>
        <w:t xml:space="preserve">d not guilty </w:t>
      </w:r>
      <w:r w:rsidR="00CC04C0">
        <w:rPr>
          <w:rFonts w:ascii="Arial" w:hAnsi="Arial" w:cs="Arial"/>
        </w:rPr>
        <w:t>…</w:t>
      </w:r>
      <w:r w:rsidR="006B6643" w:rsidRPr="005A1588">
        <w:rPr>
          <w:rFonts w:ascii="Arial" w:hAnsi="Arial" w:cs="Arial"/>
        </w:rPr>
        <w:t xml:space="preserve"> [was] for any reason </w:t>
      </w:r>
      <w:r w:rsidR="006B6643" w:rsidRPr="005A1588">
        <w:rPr>
          <w:rFonts w:ascii="Arial" w:hAnsi="Arial" w:cs="Arial"/>
          <w:u w:val="single"/>
        </w:rPr>
        <w:t>not available to continue with the trial</w:t>
      </w:r>
      <w:r w:rsidR="006B6643" w:rsidRPr="005A1588">
        <w:rPr>
          <w:rFonts w:ascii="Arial" w:hAnsi="Arial" w:cs="Arial"/>
        </w:rPr>
        <w:t xml:space="preserve"> …’. </w:t>
      </w:r>
      <w:r w:rsidR="006B6643" w:rsidRPr="005A1588">
        <w:rPr>
          <w:rFonts w:ascii="Arial" w:hAnsi="Arial" w:cs="Arial"/>
          <w:b/>
        </w:rPr>
        <w:t xml:space="preserve"> </w:t>
      </w:r>
      <w:r w:rsidR="006B6643" w:rsidRPr="005A1588">
        <w:rPr>
          <w:rFonts w:ascii="Arial" w:hAnsi="Arial" w:cs="Arial"/>
        </w:rPr>
        <w:t>The record of the proceedings do</w:t>
      </w:r>
      <w:r w:rsidR="00D3282F" w:rsidRPr="005A1588">
        <w:rPr>
          <w:rFonts w:ascii="Arial" w:hAnsi="Arial" w:cs="Arial"/>
        </w:rPr>
        <w:t xml:space="preserve">es not reflect that </w:t>
      </w:r>
      <w:r w:rsidR="00CC04C0">
        <w:rPr>
          <w:rFonts w:ascii="Arial" w:hAnsi="Arial" w:cs="Arial"/>
        </w:rPr>
        <w:t xml:space="preserve">[the] </w:t>
      </w:r>
      <w:r w:rsidR="00D3282F" w:rsidRPr="005A1588">
        <w:rPr>
          <w:rFonts w:ascii="Arial" w:hAnsi="Arial" w:cs="Arial"/>
        </w:rPr>
        <w:t xml:space="preserve">magistrate </w:t>
      </w:r>
      <w:r w:rsidR="00CC04C0">
        <w:rPr>
          <w:rFonts w:ascii="Arial" w:hAnsi="Arial" w:cs="Arial"/>
        </w:rPr>
        <w:t xml:space="preserve">… </w:t>
      </w:r>
      <w:r w:rsidR="006B6643" w:rsidRPr="005A1588">
        <w:rPr>
          <w:rFonts w:ascii="Arial" w:hAnsi="Arial" w:cs="Arial"/>
        </w:rPr>
        <w:t xml:space="preserve">was </w:t>
      </w:r>
      <w:r w:rsidR="006B6643" w:rsidRPr="005A1588">
        <w:rPr>
          <w:rFonts w:ascii="Arial" w:hAnsi="Arial" w:cs="Arial"/>
          <w:i/>
        </w:rPr>
        <w:t>unavailable</w:t>
      </w:r>
      <w:r w:rsidR="006B6643" w:rsidRPr="005A1588">
        <w:rPr>
          <w:rFonts w:ascii="Arial" w:hAnsi="Arial" w:cs="Arial"/>
        </w:rPr>
        <w:t xml:space="preserve"> and it is not clear how this fact came to the attention of the magistrate when she decided to continue in terms of s 118, as this was not addressed by the prosecutor</w:t>
      </w:r>
      <w:r w:rsidR="006B6643" w:rsidRPr="005A1588">
        <w:rPr>
          <w:rFonts w:ascii="Arial" w:hAnsi="Arial" w:cs="Arial"/>
          <w:b/>
        </w:rPr>
        <w:t>.</w:t>
      </w:r>
      <w:r w:rsidR="006B6643" w:rsidRPr="005A1588">
        <w:rPr>
          <w:rFonts w:ascii="Arial" w:hAnsi="Arial" w:cs="Arial"/>
        </w:rPr>
        <w:t xml:space="preserve"> In </w:t>
      </w:r>
      <w:r w:rsidR="006B6643" w:rsidRPr="005A1588">
        <w:rPr>
          <w:rFonts w:ascii="Arial" w:hAnsi="Arial" w:cs="Arial"/>
          <w:i/>
        </w:rPr>
        <w:t xml:space="preserve">S v Mkhuzangewe </w:t>
      </w:r>
      <w:r w:rsidR="006B6643" w:rsidRPr="005A1588">
        <w:rPr>
          <w:rFonts w:ascii="Arial" w:hAnsi="Arial" w:cs="Arial"/>
        </w:rPr>
        <w:t xml:space="preserve">the court said that it was for the State to establish the fact of the unavailability of the magistrate and where this has not been done, then the continuation of the trial before another magistrate would be </w:t>
      </w:r>
      <w:r w:rsidR="006B6643" w:rsidRPr="005A1588">
        <w:rPr>
          <w:rFonts w:ascii="Arial" w:hAnsi="Arial" w:cs="Arial"/>
          <w:i/>
        </w:rPr>
        <w:t>irregular</w:t>
      </w:r>
      <w:r w:rsidR="006B6643" w:rsidRPr="005A1588">
        <w:rPr>
          <w:rFonts w:ascii="Arial" w:hAnsi="Arial" w:cs="Arial"/>
        </w:rPr>
        <w:t xml:space="preserve">. In </w:t>
      </w:r>
      <w:r w:rsidR="006B6643" w:rsidRPr="005A1588">
        <w:rPr>
          <w:rFonts w:ascii="Arial" w:hAnsi="Arial" w:cs="Arial"/>
          <w:i/>
        </w:rPr>
        <w:t>S v Wellington,</w:t>
      </w:r>
      <w:r w:rsidR="006B6643" w:rsidRPr="005A1588">
        <w:rPr>
          <w:rFonts w:ascii="Arial" w:hAnsi="Arial" w:cs="Arial"/>
        </w:rPr>
        <w:t xml:space="preserve"> 1990 NR 20 (HC) at 24F-G Frank AJ, (as he then was), dealt with the identical situation and stated the following:</w:t>
      </w:r>
    </w:p>
    <w:p w14:paraId="6753A705" w14:textId="77777777" w:rsidR="006B6643" w:rsidRPr="005A1588" w:rsidRDefault="006B6643" w:rsidP="005A1588">
      <w:pPr>
        <w:spacing w:line="276" w:lineRule="auto"/>
        <w:ind w:left="709"/>
        <w:jc w:val="both"/>
        <w:rPr>
          <w:rFonts w:ascii="Arial" w:hAnsi="Arial" w:cs="Arial"/>
        </w:rPr>
      </w:pPr>
    </w:p>
    <w:p w14:paraId="70CE26CD" w14:textId="69B339A0" w:rsidR="006B6643" w:rsidRPr="005A1588" w:rsidRDefault="006B6643" w:rsidP="005A1588">
      <w:pPr>
        <w:spacing w:line="276" w:lineRule="auto"/>
        <w:ind w:left="1418"/>
        <w:jc w:val="both"/>
        <w:rPr>
          <w:rFonts w:ascii="Arial" w:hAnsi="Arial" w:cs="Arial"/>
        </w:rPr>
      </w:pPr>
      <w:r w:rsidRPr="005A1588">
        <w:rPr>
          <w:rFonts w:ascii="Arial" w:hAnsi="Arial" w:cs="Arial"/>
        </w:rPr>
        <w:tab/>
      </w:r>
      <w:r w:rsidRPr="005A1588">
        <w:rPr>
          <w:rFonts w:ascii="Arial" w:hAnsi="Arial" w:cs="Arial"/>
          <w:i/>
        </w:rPr>
        <w:t xml:space="preserve">‘Section 118 of the Criminal Procedure Act only sanctions this procedure where the original presiding officer is “not available” and does not entitle the prosecution to proceed before another presiding officer for any other reason. I agree with M T Steyn J, (as he then was) that to continue with a trial in front of another magistrate where the original magistrate is still available constitutes an irregularity.  </w:t>
      </w:r>
      <w:r w:rsidRPr="005A1588">
        <w:rPr>
          <w:rFonts w:ascii="Arial" w:hAnsi="Arial" w:cs="Arial"/>
          <w:i/>
          <w:u w:val="single"/>
        </w:rPr>
        <w:t>If the original magistrate is not available it is the duty of the State to place this fact on record.</w:t>
      </w:r>
      <w:r w:rsidRPr="005A1588">
        <w:rPr>
          <w:rFonts w:ascii="Arial" w:hAnsi="Arial" w:cs="Arial"/>
          <w:i/>
        </w:rPr>
        <w:t xml:space="preserve">  See: </w:t>
      </w:r>
      <w:r w:rsidRPr="005A1588">
        <w:rPr>
          <w:rFonts w:ascii="Arial" w:hAnsi="Arial" w:cs="Arial"/>
          <w:b/>
          <w:i/>
        </w:rPr>
        <w:t>S v Mkhuzangewe</w:t>
      </w:r>
      <w:r w:rsidRPr="005A1588">
        <w:rPr>
          <w:rFonts w:ascii="Arial" w:hAnsi="Arial" w:cs="Arial"/>
          <w:i/>
        </w:rPr>
        <w:t xml:space="preserve">, 1987 (3) SA 248 (O) at 266F-267A.’ </w:t>
      </w:r>
      <w:r w:rsidRPr="005A1588">
        <w:rPr>
          <w:rFonts w:ascii="Arial" w:hAnsi="Arial" w:cs="Arial"/>
        </w:rPr>
        <w:t xml:space="preserve"> (My emphasis)</w:t>
      </w:r>
    </w:p>
    <w:p w14:paraId="1BB6A810" w14:textId="77777777" w:rsidR="00923DD2" w:rsidRPr="005A1588" w:rsidRDefault="00923DD2" w:rsidP="005A1588">
      <w:pPr>
        <w:spacing w:line="276" w:lineRule="auto"/>
        <w:ind w:left="709"/>
        <w:jc w:val="both"/>
        <w:rPr>
          <w:rFonts w:ascii="Arial" w:hAnsi="Arial" w:cs="Arial"/>
        </w:rPr>
      </w:pPr>
    </w:p>
    <w:p w14:paraId="15DDA59D" w14:textId="5D18F862" w:rsidR="006B6643" w:rsidRPr="005A1588" w:rsidRDefault="006B6643" w:rsidP="00CD6B31">
      <w:pPr>
        <w:spacing w:line="276" w:lineRule="auto"/>
        <w:jc w:val="both"/>
        <w:rPr>
          <w:rFonts w:ascii="Arial" w:hAnsi="Arial" w:cs="Arial"/>
        </w:rPr>
      </w:pPr>
      <w:r w:rsidRPr="005A1588">
        <w:rPr>
          <w:rFonts w:ascii="Arial" w:hAnsi="Arial" w:cs="Arial"/>
        </w:rPr>
        <w:t xml:space="preserve">[6]   In a different matter but on the same point, this court in </w:t>
      </w:r>
      <w:r w:rsidRPr="005A1588">
        <w:rPr>
          <w:rFonts w:ascii="Arial" w:hAnsi="Arial" w:cs="Arial"/>
          <w:i/>
        </w:rPr>
        <w:t xml:space="preserve">The State v Sakaria Ekandjo and Another </w:t>
      </w:r>
      <w:r w:rsidRPr="005A1588">
        <w:rPr>
          <w:rFonts w:ascii="Arial" w:hAnsi="Arial" w:cs="Arial"/>
        </w:rPr>
        <w:t xml:space="preserve">as </w:t>
      </w:r>
      <w:r w:rsidRPr="005A1588">
        <w:rPr>
          <w:rFonts w:ascii="Arial" w:hAnsi="Arial" w:cs="Arial"/>
          <w:i/>
        </w:rPr>
        <w:t xml:space="preserve">per </w:t>
      </w:r>
      <w:r w:rsidRPr="005A1588">
        <w:rPr>
          <w:rFonts w:ascii="Arial" w:hAnsi="Arial" w:cs="Arial"/>
        </w:rPr>
        <w:t>Maritz J (as he then was) at 4-5 said:</w:t>
      </w:r>
    </w:p>
    <w:p w14:paraId="42DC59D2" w14:textId="7E55BE24" w:rsidR="006B6643" w:rsidRPr="005A1588" w:rsidRDefault="006B6643" w:rsidP="005A1588">
      <w:pPr>
        <w:spacing w:line="276" w:lineRule="auto"/>
        <w:ind w:left="709"/>
        <w:jc w:val="both"/>
        <w:rPr>
          <w:rFonts w:ascii="Arial" w:hAnsi="Arial" w:cs="Arial"/>
        </w:rPr>
      </w:pPr>
      <w:r w:rsidRPr="005A1588">
        <w:rPr>
          <w:rFonts w:ascii="Arial" w:hAnsi="Arial" w:cs="Arial"/>
        </w:rPr>
        <w:tab/>
        <w:t xml:space="preserve">‘There is </w:t>
      </w:r>
      <w:r w:rsidRPr="005A1588">
        <w:rPr>
          <w:rFonts w:ascii="Arial" w:hAnsi="Arial" w:cs="Arial"/>
          <w:u w:val="single"/>
        </w:rPr>
        <w:t>no indication on the record</w:t>
      </w:r>
      <w:r w:rsidRPr="005A1588">
        <w:rPr>
          <w:rFonts w:ascii="Arial" w:hAnsi="Arial" w:cs="Arial"/>
        </w:rPr>
        <w:t xml:space="preserve"> that magistrate …. before whom the accused had pleaded, was no longer available to continue with the trial. </w:t>
      </w:r>
      <w:r w:rsidRPr="005A1588">
        <w:rPr>
          <w:rFonts w:ascii="Arial" w:hAnsi="Arial" w:cs="Arial"/>
          <w:u w:val="single"/>
        </w:rPr>
        <w:t xml:space="preserve">In the absence of such </w:t>
      </w:r>
      <w:r w:rsidRPr="005A1588">
        <w:rPr>
          <w:rFonts w:ascii="Arial" w:hAnsi="Arial" w:cs="Arial"/>
          <w:u w:val="single"/>
        </w:rPr>
        <w:lastRenderedPageBreak/>
        <w:t>indication by the Prosecution, it was irregular for magistrate … to continue with the trial and sit in judgment of the accused</w:t>
      </w:r>
      <w:r w:rsidRPr="005A1588">
        <w:rPr>
          <w:rFonts w:ascii="Arial" w:hAnsi="Arial" w:cs="Arial"/>
        </w:rPr>
        <w:t>.’ (My emphasis)</w:t>
      </w:r>
    </w:p>
    <w:p w14:paraId="3A6C5986" w14:textId="77777777" w:rsidR="00923DD2" w:rsidRPr="005A1588" w:rsidRDefault="00923DD2" w:rsidP="005A1588">
      <w:pPr>
        <w:spacing w:line="276" w:lineRule="auto"/>
        <w:ind w:left="709"/>
        <w:jc w:val="both"/>
        <w:rPr>
          <w:rFonts w:ascii="Arial" w:hAnsi="Arial" w:cs="Arial"/>
        </w:rPr>
      </w:pPr>
    </w:p>
    <w:p w14:paraId="2042835B" w14:textId="4AB74C8E" w:rsidR="006B6643" w:rsidRPr="005A1588" w:rsidRDefault="006B6643" w:rsidP="005A1588">
      <w:pPr>
        <w:spacing w:line="276" w:lineRule="auto"/>
        <w:ind w:left="709"/>
        <w:jc w:val="both"/>
        <w:rPr>
          <w:rFonts w:ascii="Arial" w:hAnsi="Arial" w:cs="Arial"/>
        </w:rPr>
      </w:pPr>
      <w:r w:rsidRPr="005A1588">
        <w:rPr>
          <w:rFonts w:ascii="Arial" w:hAnsi="Arial" w:cs="Arial"/>
        </w:rPr>
        <w:t>[7]   It must be clear in the present case that where the trial continued before a different magistrate without the prosecution informing the court about the unavailability of the magistrate before whom the accused had pleaded, that those proceedings are irregular.</w:t>
      </w:r>
      <w:r w:rsidR="00CD6B31">
        <w:rPr>
          <w:rFonts w:ascii="Arial" w:hAnsi="Arial" w:cs="Arial"/>
        </w:rPr>
        <w:t>’</w:t>
      </w:r>
    </w:p>
    <w:p w14:paraId="3D426D65" w14:textId="77777777" w:rsidR="00923DD2" w:rsidRPr="006B6643" w:rsidRDefault="00923DD2" w:rsidP="00923DD2">
      <w:pPr>
        <w:spacing w:line="360" w:lineRule="auto"/>
        <w:ind w:left="709"/>
        <w:jc w:val="both"/>
        <w:rPr>
          <w:rFonts w:ascii="Arial" w:hAnsi="Arial" w:cs="Arial"/>
          <w:sz w:val="24"/>
          <w:szCs w:val="24"/>
        </w:rPr>
      </w:pPr>
    </w:p>
    <w:p w14:paraId="64DED5DC" w14:textId="4870981B" w:rsidR="00923DD2" w:rsidRDefault="0009303A" w:rsidP="006B6643">
      <w:pPr>
        <w:spacing w:line="360" w:lineRule="auto"/>
        <w:jc w:val="both"/>
        <w:rPr>
          <w:rFonts w:ascii="Arial" w:hAnsi="Arial" w:cs="Arial"/>
          <w:sz w:val="24"/>
          <w:szCs w:val="24"/>
        </w:rPr>
      </w:pPr>
      <w:r>
        <w:rPr>
          <w:rFonts w:ascii="Arial" w:hAnsi="Arial" w:cs="Arial"/>
          <w:sz w:val="24"/>
          <w:szCs w:val="24"/>
        </w:rPr>
        <w:t>[5</w:t>
      </w:r>
      <w:r w:rsidR="006B6643" w:rsidRPr="006B6643">
        <w:rPr>
          <w:rFonts w:ascii="Arial" w:hAnsi="Arial" w:cs="Arial"/>
          <w:sz w:val="24"/>
          <w:szCs w:val="24"/>
        </w:rPr>
        <w:t xml:space="preserve">]   </w:t>
      </w:r>
      <w:r w:rsidR="008F6CC8">
        <w:rPr>
          <w:rFonts w:ascii="Arial" w:hAnsi="Arial" w:cs="Arial"/>
          <w:sz w:val="24"/>
          <w:szCs w:val="24"/>
        </w:rPr>
        <w:tab/>
        <w:t>As can be gleaned from</w:t>
      </w:r>
      <w:r w:rsidR="00923DD2">
        <w:rPr>
          <w:rFonts w:ascii="Arial" w:hAnsi="Arial" w:cs="Arial"/>
          <w:sz w:val="24"/>
          <w:szCs w:val="24"/>
        </w:rPr>
        <w:t xml:space="preserve"> magistrate Savage’s reply, similarly in this matter, </w:t>
      </w:r>
      <w:r w:rsidR="006921C2">
        <w:rPr>
          <w:rFonts w:ascii="Arial" w:hAnsi="Arial" w:cs="Arial"/>
          <w:sz w:val="24"/>
          <w:szCs w:val="24"/>
        </w:rPr>
        <w:t xml:space="preserve">on </w:t>
      </w:r>
      <w:r w:rsidR="00923DD2">
        <w:rPr>
          <w:rFonts w:ascii="Arial" w:hAnsi="Arial" w:cs="Arial"/>
          <w:sz w:val="24"/>
          <w:szCs w:val="24"/>
        </w:rPr>
        <w:t xml:space="preserve">the record is impermissibly </w:t>
      </w:r>
      <w:r w:rsidR="00CC04C0">
        <w:rPr>
          <w:rFonts w:ascii="Arial" w:hAnsi="Arial" w:cs="Arial"/>
          <w:sz w:val="24"/>
          <w:szCs w:val="24"/>
        </w:rPr>
        <w:t xml:space="preserve">absent a recordal regarding </w:t>
      </w:r>
      <w:r w:rsidR="00923DD2">
        <w:rPr>
          <w:rFonts w:ascii="Arial" w:hAnsi="Arial" w:cs="Arial"/>
          <w:sz w:val="24"/>
          <w:szCs w:val="24"/>
        </w:rPr>
        <w:t>magistrate Shapumba’s unavailability</w:t>
      </w:r>
      <w:r w:rsidR="008F6CC8">
        <w:rPr>
          <w:rFonts w:ascii="Arial" w:hAnsi="Arial" w:cs="Arial"/>
          <w:sz w:val="24"/>
          <w:szCs w:val="24"/>
        </w:rPr>
        <w:t>. This renders the trial procee</w:t>
      </w:r>
      <w:r w:rsidR="00CC04C0">
        <w:rPr>
          <w:rFonts w:ascii="Arial" w:hAnsi="Arial" w:cs="Arial"/>
          <w:sz w:val="24"/>
          <w:szCs w:val="24"/>
        </w:rPr>
        <w:t>d</w:t>
      </w:r>
      <w:r w:rsidR="008F6CC8">
        <w:rPr>
          <w:rFonts w:ascii="Arial" w:hAnsi="Arial" w:cs="Arial"/>
          <w:sz w:val="24"/>
          <w:szCs w:val="24"/>
        </w:rPr>
        <w:t>ings irregular</w:t>
      </w:r>
      <w:r w:rsidR="00923DD2">
        <w:rPr>
          <w:rFonts w:ascii="Arial" w:hAnsi="Arial" w:cs="Arial"/>
          <w:sz w:val="24"/>
          <w:szCs w:val="24"/>
        </w:rPr>
        <w:t xml:space="preserve">. </w:t>
      </w:r>
    </w:p>
    <w:p w14:paraId="2387566A" w14:textId="77777777" w:rsidR="00C62691" w:rsidRDefault="00C62691" w:rsidP="006B6643">
      <w:pPr>
        <w:spacing w:line="360" w:lineRule="auto"/>
        <w:jc w:val="both"/>
        <w:rPr>
          <w:rFonts w:ascii="Arial" w:hAnsi="Arial" w:cs="Arial"/>
          <w:sz w:val="24"/>
          <w:szCs w:val="24"/>
        </w:rPr>
      </w:pPr>
    </w:p>
    <w:p w14:paraId="096926CE" w14:textId="228824C5" w:rsidR="006B6643" w:rsidRDefault="0009303A" w:rsidP="006B6643">
      <w:pPr>
        <w:spacing w:line="360" w:lineRule="auto"/>
        <w:jc w:val="both"/>
        <w:rPr>
          <w:rFonts w:ascii="Arial" w:hAnsi="Arial" w:cs="Arial"/>
          <w:sz w:val="24"/>
          <w:szCs w:val="24"/>
        </w:rPr>
      </w:pPr>
      <w:r>
        <w:rPr>
          <w:rFonts w:ascii="Arial" w:hAnsi="Arial" w:cs="Arial"/>
          <w:sz w:val="24"/>
          <w:szCs w:val="24"/>
        </w:rPr>
        <w:t>[6</w:t>
      </w:r>
      <w:r w:rsidR="00923DD2">
        <w:rPr>
          <w:rFonts w:ascii="Arial" w:hAnsi="Arial" w:cs="Arial"/>
          <w:sz w:val="24"/>
          <w:szCs w:val="24"/>
        </w:rPr>
        <w:t xml:space="preserve">] </w:t>
      </w:r>
      <w:r w:rsidR="00923DD2">
        <w:rPr>
          <w:rFonts w:ascii="Arial" w:hAnsi="Arial" w:cs="Arial"/>
          <w:sz w:val="24"/>
          <w:szCs w:val="24"/>
        </w:rPr>
        <w:tab/>
        <w:t xml:space="preserve">It then remains to consider whether the irregularity alluded to above is so grave as to vitiate the </w:t>
      </w:r>
      <w:r>
        <w:rPr>
          <w:rFonts w:ascii="Arial" w:hAnsi="Arial" w:cs="Arial"/>
          <w:sz w:val="24"/>
          <w:szCs w:val="24"/>
        </w:rPr>
        <w:t xml:space="preserve">trial </w:t>
      </w:r>
      <w:r w:rsidR="00923DD2">
        <w:rPr>
          <w:rFonts w:ascii="Arial" w:hAnsi="Arial" w:cs="Arial"/>
          <w:sz w:val="24"/>
          <w:szCs w:val="24"/>
        </w:rPr>
        <w:t xml:space="preserve">proceedings before magistrate Savage. </w:t>
      </w:r>
      <w:r w:rsidR="00721EA7">
        <w:rPr>
          <w:rFonts w:ascii="Arial" w:hAnsi="Arial" w:cs="Arial"/>
          <w:sz w:val="24"/>
          <w:szCs w:val="24"/>
        </w:rPr>
        <w:t xml:space="preserve">It will be recalled magistrate Savage asserted that the accused person suffered no prejudice on account </w:t>
      </w:r>
      <w:r>
        <w:rPr>
          <w:rFonts w:ascii="Arial" w:hAnsi="Arial" w:cs="Arial"/>
          <w:sz w:val="24"/>
          <w:szCs w:val="24"/>
        </w:rPr>
        <w:t xml:space="preserve">of the </w:t>
      </w:r>
      <w:r w:rsidR="00721EA7">
        <w:rPr>
          <w:rFonts w:ascii="Arial" w:hAnsi="Arial" w:cs="Arial"/>
          <w:sz w:val="24"/>
          <w:szCs w:val="24"/>
        </w:rPr>
        <w:t xml:space="preserve">impermissible procedure adopted, </w:t>
      </w:r>
      <w:r>
        <w:rPr>
          <w:rFonts w:ascii="Arial" w:hAnsi="Arial" w:cs="Arial"/>
          <w:sz w:val="24"/>
          <w:szCs w:val="24"/>
        </w:rPr>
        <w:t xml:space="preserve">and </w:t>
      </w:r>
      <w:r w:rsidR="00721EA7">
        <w:rPr>
          <w:rFonts w:ascii="Arial" w:hAnsi="Arial" w:cs="Arial"/>
          <w:sz w:val="24"/>
          <w:szCs w:val="24"/>
        </w:rPr>
        <w:t>moreover, t</w:t>
      </w:r>
      <w:r w:rsidR="00C62691">
        <w:rPr>
          <w:rFonts w:ascii="Arial" w:hAnsi="Arial" w:cs="Arial"/>
          <w:sz w:val="24"/>
          <w:szCs w:val="24"/>
        </w:rPr>
        <w:t xml:space="preserve">hat the accused </w:t>
      </w:r>
      <w:r>
        <w:rPr>
          <w:rFonts w:ascii="Arial" w:hAnsi="Arial" w:cs="Arial"/>
          <w:sz w:val="24"/>
          <w:szCs w:val="24"/>
        </w:rPr>
        <w:t xml:space="preserve">person </w:t>
      </w:r>
      <w:r w:rsidR="00C62691">
        <w:rPr>
          <w:rFonts w:ascii="Arial" w:hAnsi="Arial" w:cs="Arial"/>
          <w:sz w:val="24"/>
          <w:szCs w:val="24"/>
        </w:rPr>
        <w:t>de</w:t>
      </w:r>
      <w:r>
        <w:rPr>
          <w:rFonts w:ascii="Arial" w:hAnsi="Arial" w:cs="Arial"/>
          <w:sz w:val="24"/>
          <w:szCs w:val="24"/>
        </w:rPr>
        <w:t>sired a</w:t>
      </w:r>
      <w:r w:rsidR="00721EA7">
        <w:rPr>
          <w:rFonts w:ascii="Arial" w:hAnsi="Arial" w:cs="Arial"/>
          <w:sz w:val="24"/>
          <w:szCs w:val="24"/>
        </w:rPr>
        <w:t xml:space="preserve"> speedy disposal of the trial. As stated earlier, </w:t>
      </w:r>
      <w:r w:rsidR="006921C2">
        <w:rPr>
          <w:rFonts w:ascii="Arial" w:hAnsi="Arial" w:cs="Arial"/>
          <w:sz w:val="24"/>
          <w:szCs w:val="24"/>
        </w:rPr>
        <w:t xml:space="preserve">since </w:t>
      </w:r>
      <w:r w:rsidR="00721EA7">
        <w:rPr>
          <w:rFonts w:ascii="Arial" w:hAnsi="Arial" w:cs="Arial"/>
          <w:sz w:val="24"/>
          <w:szCs w:val="24"/>
        </w:rPr>
        <w:t>the record containing no recordal of magistrate Shapumba’s unavailability, this Court is unable to ascertain the explanation proferred</w:t>
      </w:r>
      <w:r w:rsidR="00CC04C0">
        <w:rPr>
          <w:rFonts w:ascii="Arial" w:hAnsi="Arial" w:cs="Arial"/>
          <w:sz w:val="24"/>
          <w:szCs w:val="24"/>
        </w:rPr>
        <w:t>, if at all,</w:t>
      </w:r>
      <w:r w:rsidR="00721EA7">
        <w:rPr>
          <w:rFonts w:ascii="Arial" w:hAnsi="Arial" w:cs="Arial"/>
          <w:sz w:val="24"/>
          <w:szCs w:val="24"/>
        </w:rPr>
        <w:t xml:space="preserve"> to the accused person in this respect.</w:t>
      </w:r>
    </w:p>
    <w:p w14:paraId="03AC1EFB" w14:textId="77777777" w:rsidR="00177FA8" w:rsidRPr="006B6643" w:rsidRDefault="00177FA8" w:rsidP="006B6643">
      <w:pPr>
        <w:spacing w:line="360" w:lineRule="auto"/>
        <w:jc w:val="both"/>
        <w:rPr>
          <w:rFonts w:ascii="Arial" w:hAnsi="Arial" w:cs="Arial"/>
          <w:sz w:val="24"/>
          <w:szCs w:val="24"/>
        </w:rPr>
      </w:pPr>
    </w:p>
    <w:p w14:paraId="76C93A24" w14:textId="741201B7" w:rsidR="009B0AA3" w:rsidRDefault="0009303A" w:rsidP="005B3572">
      <w:pPr>
        <w:spacing w:line="360" w:lineRule="auto"/>
        <w:jc w:val="both"/>
        <w:rPr>
          <w:rFonts w:ascii="Arial" w:hAnsi="Arial" w:cs="Arial"/>
          <w:sz w:val="24"/>
          <w:szCs w:val="24"/>
        </w:rPr>
      </w:pPr>
      <w:r>
        <w:rPr>
          <w:rFonts w:ascii="Arial" w:hAnsi="Arial" w:cs="Arial"/>
          <w:sz w:val="24"/>
          <w:szCs w:val="24"/>
        </w:rPr>
        <w:t>[7</w:t>
      </w:r>
      <w:r w:rsidR="00B82D15">
        <w:rPr>
          <w:rFonts w:ascii="Arial" w:hAnsi="Arial" w:cs="Arial"/>
          <w:sz w:val="24"/>
          <w:szCs w:val="24"/>
        </w:rPr>
        <w:t xml:space="preserve">] </w:t>
      </w:r>
      <w:r w:rsidR="00B82D15">
        <w:rPr>
          <w:rFonts w:ascii="Arial" w:hAnsi="Arial" w:cs="Arial"/>
          <w:sz w:val="24"/>
          <w:szCs w:val="24"/>
        </w:rPr>
        <w:tab/>
        <w:t xml:space="preserve">In </w:t>
      </w:r>
      <w:r w:rsidR="00B82D15" w:rsidRPr="00B82D15">
        <w:rPr>
          <w:rFonts w:ascii="Arial" w:hAnsi="Arial" w:cs="Arial"/>
          <w:i/>
          <w:sz w:val="24"/>
          <w:szCs w:val="24"/>
        </w:rPr>
        <w:t>The State v Judas Simon Immanuel</w:t>
      </w:r>
      <w:r w:rsidR="00B82D15">
        <w:rPr>
          <w:rFonts w:ascii="Arial" w:hAnsi="Arial" w:cs="Arial"/>
          <w:sz w:val="24"/>
          <w:szCs w:val="24"/>
        </w:rPr>
        <w:t>, this Court set aside the conviction and sentence of the accused person on account of the impermissible application of section 118 of the Act</w:t>
      </w:r>
      <w:r w:rsidR="009B0AA3">
        <w:rPr>
          <w:rFonts w:ascii="Arial" w:hAnsi="Arial" w:cs="Arial"/>
          <w:sz w:val="24"/>
          <w:szCs w:val="24"/>
        </w:rPr>
        <w:t>, holding, without furnishing reasons</w:t>
      </w:r>
      <w:r w:rsidR="006921C2">
        <w:rPr>
          <w:rFonts w:ascii="Arial" w:hAnsi="Arial" w:cs="Arial"/>
          <w:sz w:val="24"/>
          <w:szCs w:val="24"/>
        </w:rPr>
        <w:t>,</w:t>
      </w:r>
      <w:r w:rsidR="009B0AA3">
        <w:rPr>
          <w:rFonts w:ascii="Arial" w:hAnsi="Arial" w:cs="Arial"/>
          <w:sz w:val="24"/>
          <w:szCs w:val="24"/>
        </w:rPr>
        <w:t xml:space="preserve"> that the irregularity vitiated the proceedings</w:t>
      </w:r>
      <w:r w:rsidR="00B82D15">
        <w:rPr>
          <w:rFonts w:ascii="Arial" w:hAnsi="Arial" w:cs="Arial"/>
          <w:sz w:val="24"/>
          <w:szCs w:val="24"/>
        </w:rPr>
        <w:t xml:space="preserve">. In </w:t>
      </w:r>
      <w:r w:rsidR="00B82D15" w:rsidRPr="00B82D15">
        <w:rPr>
          <w:rFonts w:ascii="Arial" w:hAnsi="Arial" w:cs="Arial"/>
          <w:i/>
          <w:sz w:val="24"/>
          <w:szCs w:val="24"/>
        </w:rPr>
        <w:t>The State v Lucas Wilhelm</w:t>
      </w:r>
      <w:r w:rsidR="00177FA8">
        <w:rPr>
          <w:rFonts w:ascii="Arial" w:hAnsi="Arial" w:cs="Arial"/>
          <w:sz w:val="24"/>
          <w:szCs w:val="24"/>
        </w:rPr>
        <w:t>, this</w:t>
      </w:r>
      <w:r w:rsidR="00B82D15">
        <w:rPr>
          <w:rFonts w:ascii="Arial" w:hAnsi="Arial" w:cs="Arial"/>
          <w:sz w:val="24"/>
          <w:szCs w:val="24"/>
        </w:rPr>
        <w:t xml:space="preserve"> Court</w:t>
      </w:r>
      <w:r w:rsidR="00177FA8">
        <w:rPr>
          <w:rFonts w:ascii="Arial" w:hAnsi="Arial" w:cs="Arial"/>
          <w:sz w:val="24"/>
          <w:szCs w:val="24"/>
        </w:rPr>
        <w:t xml:space="preserve">, </w:t>
      </w:r>
      <w:r w:rsidR="00202923">
        <w:rPr>
          <w:rFonts w:ascii="Arial" w:hAnsi="Arial" w:cs="Arial"/>
          <w:sz w:val="24"/>
          <w:szCs w:val="24"/>
        </w:rPr>
        <w:t>upon the impermissible</w:t>
      </w:r>
      <w:r w:rsidR="009B0AA3">
        <w:rPr>
          <w:rFonts w:ascii="Arial" w:hAnsi="Arial" w:cs="Arial"/>
          <w:sz w:val="24"/>
          <w:szCs w:val="24"/>
        </w:rPr>
        <w:t xml:space="preserve"> application of </w:t>
      </w:r>
      <w:r w:rsidR="00177FA8">
        <w:rPr>
          <w:rFonts w:ascii="Arial" w:hAnsi="Arial" w:cs="Arial"/>
          <w:sz w:val="24"/>
          <w:szCs w:val="24"/>
        </w:rPr>
        <w:t>section 118 of the Act</w:t>
      </w:r>
      <w:r w:rsidR="006921C2">
        <w:rPr>
          <w:rFonts w:ascii="Arial" w:hAnsi="Arial" w:cs="Arial"/>
          <w:sz w:val="24"/>
          <w:szCs w:val="24"/>
        </w:rPr>
        <w:t>,</w:t>
      </w:r>
      <w:r w:rsidR="00177FA8">
        <w:rPr>
          <w:rFonts w:ascii="Arial" w:hAnsi="Arial" w:cs="Arial"/>
          <w:sz w:val="24"/>
          <w:szCs w:val="24"/>
        </w:rPr>
        <w:t xml:space="preserve"> did not find the irregularity to have vitiated the proceedings and accordingly confirmed the sentence and conviction on review. </w:t>
      </w:r>
      <w:r w:rsidR="009B0AA3">
        <w:rPr>
          <w:rFonts w:ascii="Arial" w:hAnsi="Arial" w:cs="Arial"/>
          <w:sz w:val="24"/>
          <w:szCs w:val="24"/>
        </w:rPr>
        <w:t xml:space="preserve">Similarly in this matter, </w:t>
      </w:r>
      <w:r w:rsidR="00721EA7">
        <w:rPr>
          <w:rFonts w:ascii="Arial" w:hAnsi="Arial" w:cs="Arial"/>
          <w:sz w:val="24"/>
          <w:szCs w:val="24"/>
        </w:rPr>
        <w:t xml:space="preserve">the perusal of the </w:t>
      </w:r>
      <w:r w:rsidR="006B6643" w:rsidRPr="006B6643">
        <w:rPr>
          <w:rFonts w:ascii="Arial" w:hAnsi="Arial" w:cs="Arial"/>
          <w:sz w:val="24"/>
          <w:szCs w:val="24"/>
        </w:rPr>
        <w:t>record</w:t>
      </w:r>
      <w:r w:rsidR="006921C2">
        <w:rPr>
          <w:rFonts w:ascii="Arial" w:hAnsi="Arial" w:cs="Arial"/>
          <w:sz w:val="24"/>
          <w:szCs w:val="24"/>
        </w:rPr>
        <w:t xml:space="preserve"> shows that </w:t>
      </w:r>
      <w:r w:rsidR="009B0AA3">
        <w:rPr>
          <w:rFonts w:ascii="Arial" w:hAnsi="Arial" w:cs="Arial"/>
          <w:sz w:val="24"/>
          <w:szCs w:val="24"/>
        </w:rPr>
        <w:t xml:space="preserve">the trial proceedings </w:t>
      </w:r>
      <w:r w:rsidR="006921C2">
        <w:rPr>
          <w:rFonts w:ascii="Arial" w:hAnsi="Arial" w:cs="Arial"/>
          <w:sz w:val="24"/>
          <w:szCs w:val="24"/>
        </w:rPr>
        <w:t xml:space="preserve">were </w:t>
      </w:r>
      <w:r w:rsidR="00CC04C0">
        <w:rPr>
          <w:rFonts w:ascii="Arial" w:hAnsi="Arial" w:cs="Arial"/>
          <w:sz w:val="24"/>
          <w:szCs w:val="24"/>
        </w:rPr>
        <w:t>in accordance with justice and the accused suffered no</w:t>
      </w:r>
      <w:r w:rsidR="00202923">
        <w:rPr>
          <w:rFonts w:ascii="Arial" w:hAnsi="Arial" w:cs="Arial"/>
          <w:sz w:val="24"/>
          <w:szCs w:val="24"/>
        </w:rPr>
        <w:t xml:space="preserve"> prejudice.</w:t>
      </w:r>
      <w:r w:rsidR="00721EA7">
        <w:rPr>
          <w:rFonts w:ascii="Arial" w:hAnsi="Arial" w:cs="Arial"/>
          <w:sz w:val="24"/>
          <w:szCs w:val="24"/>
        </w:rPr>
        <w:t xml:space="preserve"> The accused pers</w:t>
      </w:r>
      <w:r w:rsidR="00CC04C0">
        <w:rPr>
          <w:rFonts w:ascii="Arial" w:hAnsi="Arial" w:cs="Arial"/>
          <w:sz w:val="24"/>
          <w:szCs w:val="24"/>
        </w:rPr>
        <w:t xml:space="preserve">on’s conviction and sentence will therefore be </w:t>
      </w:r>
      <w:r w:rsidR="006B6643" w:rsidRPr="006B6643">
        <w:rPr>
          <w:rFonts w:ascii="Arial" w:hAnsi="Arial" w:cs="Arial"/>
          <w:sz w:val="24"/>
          <w:szCs w:val="24"/>
        </w:rPr>
        <w:t>confirmed.</w:t>
      </w:r>
      <w:r w:rsidR="00177FA8">
        <w:rPr>
          <w:rFonts w:ascii="Arial" w:hAnsi="Arial" w:cs="Arial"/>
          <w:sz w:val="24"/>
          <w:szCs w:val="24"/>
        </w:rPr>
        <w:t xml:space="preserve"> </w:t>
      </w:r>
    </w:p>
    <w:p w14:paraId="10CA77A2" w14:textId="77777777" w:rsidR="00202923" w:rsidRDefault="00202923" w:rsidP="005B3572">
      <w:pPr>
        <w:spacing w:line="360" w:lineRule="auto"/>
        <w:jc w:val="both"/>
        <w:rPr>
          <w:rFonts w:ascii="Arial" w:hAnsi="Arial" w:cs="Arial"/>
          <w:sz w:val="24"/>
          <w:szCs w:val="24"/>
        </w:rPr>
      </w:pPr>
    </w:p>
    <w:p w14:paraId="4D66D3BF" w14:textId="204903CA" w:rsidR="009F0865" w:rsidRDefault="009B0AA3" w:rsidP="005B3572">
      <w:pPr>
        <w:spacing w:line="360" w:lineRule="auto"/>
        <w:jc w:val="both"/>
        <w:rPr>
          <w:rFonts w:ascii="Arial" w:hAnsi="Arial" w:cs="Arial"/>
          <w:sz w:val="24"/>
          <w:szCs w:val="24"/>
        </w:rPr>
      </w:pPr>
      <w:r>
        <w:rPr>
          <w:rFonts w:ascii="Arial" w:hAnsi="Arial" w:cs="Arial"/>
          <w:sz w:val="24"/>
          <w:szCs w:val="24"/>
        </w:rPr>
        <w:t xml:space="preserve">[8] </w:t>
      </w:r>
      <w:r>
        <w:rPr>
          <w:rFonts w:ascii="Arial" w:hAnsi="Arial" w:cs="Arial"/>
          <w:sz w:val="24"/>
          <w:szCs w:val="24"/>
        </w:rPr>
        <w:tab/>
        <w:t>I hasten to caution that the above</w:t>
      </w:r>
      <w:r w:rsidR="00177FA8">
        <w:rPr>
          <w:rFonts w:ascii="Arial" w:hAnsi="Arial" w:cs="Arial"/>
          <w:sz w:val="24"/>
          <w:szCs w:val="24"/>
        </w:rPr>
        <w:t xml:space="preserve"> approach must not be con</w:t>
      </w:r>
      <w:r w:rsidR="00C52D80">
        <w:rPr>
          <w:rFonts w:ascii="Arial" w:hAnsi="Arial" w:cs="Arial"/>
          <w:sz w:val="24"/>
          <w:szCs w:val="24"/>
        </w:rPr>
        <w:t>s</w:t>
      </w:r>
      <w:r w:rsidR="00177FA8">
        <w:rPr>
          <w:rFonts w:ascii="Arial" w:hAnsi="Arial" w:cs="Arial"/>
          <w:sz w:val="24"/>
          <w:szCs w:val="24"/>
        </w:rPr>
        <w:t>trued as an invitation</w:t>
      </w:r>
      <w:r w:rsidR="00C52D80">
        <w:rPr>
          <w:rFonts w:ascii="Arial" w:hAnsi="Arial" w:cs="Arial"/>
          <w:sz w:val="24"/>
          <w:szCs w:val="24"/>
        </w:rPr>
        <w:t xml:space="preserve"> by magistrates</w:t>
      </w:r>
      <w:r w:rsidR="00177FA8">
        <w:rPr>
          <w:rFonts w:ascii="Arial" w:hAnsi="Arial" w:cs="Arial"/>
          <w:sz w:val="24"/>
          <w:szCs w:val="24"/>
        </w:rPr>
        <w:t xml:space="preserve"> to conduct proceedings contrary to the </w:t>
      </w:r>
      <w:r w:rsidR="00C52D80">
        <w:rPr>
          <w:rFonts w:ascii="Arial" w:hAnsi="Arial" w:cs="Arial"/>
          <w:sz w:val="24"/>
          <w:szCs w:val="24"/>
        </w:rPr>
        <w:t xml:space="preserve">ambit and </w:t>
      </w:r>
      <w:r w:rsidR="005A1588">
        <w:rPr>
          <w:rFonts w:ascii="Arial" w:hAnsi="Arial" w:cs="Arial"/>
          <w:sz w:val="24"/>
          <w:szCs w:val="24"/>
        </w:rPr>
        <w:t>import</w:t>
      </w:r>
      <w:r w:rsidR="00177FA8">
        <w:rPr>
          <w:rFonts w:ascii="Arial" w:hAnsi="Arial" w:cs="Arial"/>
          <w:sz w:val="24"/>
          <w:szCs w:val="24"/>
        </w:rPr>
        <w:t xml:space="preserve"> of section 118 of the Act</w:t>
      </w:r>
      <w:r w:rsidR="00C52D80">
        <w:rPr>
          <w:rFonts w:ascii="Arial" w:hAnsi="Arial" w:cs="Arial"/>
          <w:sz w:val="24"/>
          <w:szCs w:val="24"/>
        </w:rPr>
        <w:t xml:space="preserve"> as articulated in the above authorities</w:t>
      </w:r>
      <w:r w:rsidR="00177FA8">
        <w:rPr>
          <w:rFonts w:ascii="Arial" w:hAnsi="Arial" w:cs="Arial"/>
          <w:sz w:val="24"/>
          <w:szCs w:val="24"/>
        </w:rPr>
        <w:t xml:space="preserve">. </w:t>
      </w:r>
    </w:p>
    <w:p w14:paraId="7C3BB570" w14:textId="77777777" w:rsidR="00374ED7" w:rsidRDefault="00374ED7" w:rsidP="005B3572">
      <w:pPr>
        <w:spacing w:line="360" w:lineRule="auto"/>
        <w:jc w:val="both"/>
        <w:rPr>
          <w:rFonts w:ascii="Arial" w:hAnsi="Arial" w:cs="Arial"/>
          <w:sz w:val="24"/>
          <w:szCs w:val="24"/>
        </w:rPr>
      </w:pPr>
    </w:p>
    <w:p w14:paraId="7CD62C96" w14:textId="5922A88C" w:rsidR="009F0865" w:rsidRDefault="003D25A2" w:rsidP="005B3572">
      <w:pPr>
        <w:spacing w:line="360" w:lineRule="auto"/>
        <w:jc w:val="both"/>
        <w:rPr>
          <w:rFonts w:ascii="Arial" w:hAnsi="Arial" w:cs="Arial"/>
          <w:sz w:val="24"/>
          <w:szCs w:val="24"/>
        </w:rPr>
      </w:pPr>
      <w:r>
        <w:rPr>
          <w:rFonts w:ascii="Arial" w:hAnsi="Arial" w:cs="Arial"/>
          <w:sz w:val="24"/>
          <w:szCs w:val="24"/>
        </w:rPr>
        <w:t>[</w:t>
      </w:r>
      <w:r w:rsidR="009B0AA3">
        <w:rPr>
          <w:rFonts w:ascii="Arial" w:hAnsi="Arial" w:cs="Arial"/>
          <w:sz w:val="24"/>
          <w:szCs w:val="24"/>
        </w:rPr>
        <w:t>9</w:t>
      </w:r>
      <w:r w:rsidR="00721EA7">
        <w:rPr>
          <w:rFonts w:ascii="Arial" w:hAnsi="Arial" w:cs="Arial"/>
          <w:sz w:val="24"/>
          <w:szCs w:val="24"/>
        </w:rPr>
        <w:t>]</w:t>
      </w:r>
      <w:r w:rsidR="00606DF5">
        <w:rPr>
          <w:rFonts w:ascii="Arial" w:hAnsi="Arial" w:cs="Arial"/>
          <w:sz w:val="24"/>
          <w:szCs w:val="24"/>
        </w:rPr>
        <w:t xml:space="preserve"> </w:t>
      </w:r>
      <w:r w:rsidR="00606DF5">
        <w:rPr>
          <w:rFonts w:ascii="Arial" w:hAnsi="Arial" w:cs="Arial"/>
          <w:sz w:val="24"/>
          <w:szCs w:val="24"/>
        </w:rPr>
        <w:tab/>
      </w:r>
      <w:r>
        <w:rPr>
          <w:rFonts w:ascii="Arial" w:hAnsi="Arial" w:cs="Arial"/>
          <w:sz w:val="24"/>
          <w:szCs w:val="24"/>
        </w:rPr>
        <w:t>In the result, it is ordered:</w:t>
      </w:r>
    </w:p>
    <w:p w14:paraId="5C79D1F9" w14:textId="77777777" w:rsidR="003A5C12" w:rsidRDefault="003A5C12" w:rsidP="005B3572">
      <w:pPr>
        <w:spacing w:line="360" w:lineRule="auto"/>
        <w:jc w:val="both"/>
        <w:rPr>
          <w:rFonts w:ascii="Arial" w:hAnsi="Arial" w:cs="Arial"/>
          <w:sz w:val="24"/>
          <w:szCs w:val="24"/>
        </w:rPr>
      </w:pPr>
    </w:p>
    <w:p w14:paraId="5E685AC8" w14:textId="3D132669" w:rsidR="003A5C12" w:rsidRDefault="003A5C12" w:rsidP="00177FA8">
      <w:pPr>
        <w:pStyle w:val="ListParagraph"/>
        <w:numPr>
          <w:ilvl w:val="0"/>
          <w:numId w:val="9"/>
        </w:numPr>
        <w:spacing w:line="360" w:lineRule="auto"/>
        <w:ind w:left="709" w:firstLine="0"/>
        <w:jc w:val="both"/>
        <w:rPr>
          <w:rFonts w:ascii="Arial" w:hAnsi="Arial" w:cs="Arial"/>
          <w:sz w:val="24"/>
          <w:szCs w:val="24"/>
        </w:rPr>
      </w:pPr>
      <w:r w:rsidRPr="00177FA8">
        <w:rPr>
          <w:rFonts w:ascii="Arial" w:hAnsi="Arial" w:cs="Arial"/>
          <w:sz w:val="24"/>
          <w:szCs w:val="24"/>
        </w:rPr>
        <w:t xml:space="preserve">The conviction and sentence are confirmed. </w:t>
      </w:r>
    </w:p>
    <w:p w14:paraId="4220CC07" w14:textId="77777777" w:rsidR="00177FA8" w:rsidRDefault="00177FA8" w:rsidP="00177FA8">
      <w:pPr>
        <w:pStyle w:val="ListParagraph"/>
        <w:spacing w:line="360" w:lineRule="auto"/>
        <w:ind w:left="709"/>
        <w:jc w:val="both"/>
        <w:rPr>
          <w:rFonts w:ascii="Arial" w:hAnsi="Arial" w:cs="Arial"/>
          <w:sz w:val="24"/>
          <w:szCs w:val="24"/>
        </w:rPr>
      </w:pPr>
    </w:p>
    <w:p w14:paraId="6567FE01" w14:textId="679D6494" w:rsidR="003A5C12" w:rsidRPr="00177FA8" w:rsidRDefault="00CD6B31" w:rsidP="00CD6B31">
      <w:pPr>
        <w:pStyle w:val="ListParagraph"/>
        <w:numPr>
          <w:ilvl w:val="1"/>
          <w:numId w:val="9"/>
        </w:numPr>
        <w:spacing w:line="360" w:lineRule="auto"/>
        <w:jc w:val="both"/>
        <w:rPr>
          <w:rFonts w:ascii="Arial" w:hAnsi="Arial" w:cs="Arial"/>
          <w:sz w:val="24"/>
          <w:szCs w:val="24"/>
        </w:rPr>
      </w:pPr>
      <w:r>
        <w:rPr>
          <w:rFonts w:ascii="Arial" w:hAnsi="Arial" w:cs="Arial"/>
          <w:sz w:val="24"/>
          <w:szCs w:val="24"/>
        </w:rPr>
        <w:t>The R</w:t>
      </w:r>
      <w:r w:rsidR="003A5C12" w:rsidRPr="00177FA8">
        <w:rPr>
          <w:rFonts w:ascii="Arial" w:hAnsi="Arial" w:cs="Arial"/>
          <w:sz w:val="24"/>
          <w:szCs w:val="24"/>
        </w:rPr>
        <w:t>egistrar is directed to bring this judgment to the attention of the Chief Magistrate.</w:t>
      </w:r>
    </w:p>
    <w:p w14:paraId="043158B6" w14:textId="77777777" w:rsidR="00721EA7" w:rsidRDefault="00721EA7" w:rsidP="00D52600">
      <w:pPr>
        <w:spacing w:line="360" w:lineRule="auto"/>
        <w:rPr>
          <w:rFonts w:ascii="Arial" w:hAnsi="Arial" w:cs="Arial"/>
          <w:sz w:val="24"/>
          <w:szCs w:val="24"/>
        </w:rPr>
      </w:pPr>
    </w:p>
    <w:p w14:paraId="76795605" w14:textId="7F3FEF32" w:rsidR="005669E2" w:rsidRDefault="00177FA8" w:rsidP="00D52600">
      <w:pPr>
        <w:spacing w:line="360" w:lineRule="auto"/>
        <w:rPr>
          <w:rFonts w:ascii="Arial" w:hAnsi="Arial" w:cs="Arial"/>
          <w:sz w:val="24"/>
          <w:szCs w:val="24"/>
        </w:rPr>
      </w:pPr>
      <w:r>
        <w:rPr>
          <w:rFonts w:ascii="Arial" w:hAnsi="Arial" w:cs="Arial"/>
          <w:sz w:val="24"/>
          <w:szCs w:val="24"/>
        </w:rPr>
        <w:br w:type="column"/>
      </w:r>
    </w:p>
    <w:p w14:paraId="39C5603A" w14:textId="77777777" w:rsidR="005669E2" w:rsidRDefault="005669E2" w:rsidP="005669E2">
      <w:pPr>
        <w:spacing w:line="360" w:lineRule="auto"/>
        <w:jc w:val="right"/>
        <w:rPr>
          <w:rFonts w:ascii="Arial" w:hAnsi="Arial" w:cs="Arial"/>
          <w:b/>
          <w:sz w:val="24"/>
          <w:szCs w:val="24"/>
        </w:rPr>
      </w:pPr>
      <w:r>
        <w:rPr>
          <w:rFonts w:ascii="Arial" w:hAnsi="Arial" w:cs="Arial"/>
          <w:b/>
          <w:sz w:val="24"/>
          <w:szCs w:val="24"/>
        </w:rPr>
        <w:t>_________________</w:t>
      </w:r>
    </w:p>
    <w:p w14:paraId="6409643D" w14:textId="77777777" w:rsidR="005669E2" w:rsidRDefault="005669E2" w:rsidP="005669E2">
      <w:pPr>
        <w:spacing w:line="360" w:lineRule="auto"/>
        <w:jc w:val="right"/>
        <w:rPr>
          <w:rFonts w:ascii="Arial" w:hAnsi="Arial" w:cs="Arial"/>
          <w:b/>
          <w:sz w:val="24"/>
          <w:szCs w:val="24"/>
        </w:rPr>
      </w:pPr>
      <w:r>
        <w:rPr>
          <w:rFonts w:ascii="Arial" w:hAnsi="Arial" w:cs="Arial"/>
          <w:b/>
          <w:sz w:val="24"/>
          <w:szCs w:val="24"/>
        </w:rPr>
        <w:t>J C LIEBENBERG</w:t>
      </w:r>
    </w:p>
    <w:p w14:paraId="575769D3" w14:textId="77777777" w:rsidR="005669E2" w:rsidRPr="00B43A2A" w:rsidRDefault="005669E2" w:rsidP="005669E2">
      <w:pPr>
        <w:spacing w:line="360" w:lineRule="auto"/>
        <w:jc w:val="right"/>
        <w:rPr>
          <w:rFonts w:ascii="Arial" w:hAnsi="Arial" w:cs="Arial"/>
          <w:b/>
          <w:sz w:val="24"/>
          <w:szCs w:val="24"/>
        </w:rPr>
      </w:pPr>
      <w:r>
        <w:rPr>
          <w:rFonts w:ascii="Arial" w:hAnsi="Arial" w:cs="Arial"/>
          <w:b/>
          <w:sz w:val="24"/>
          <w:szCs w:val="24"/>
        </w:rPr>
        <w:t>JUDGE</w:t>
      </w:r>
    </w:p>
    <w:p w14:paraId="27E5E66B" w14:textId="77777777" w:rsidR="005669E2" w:rsidRDefault="005669E2" w:rsidP="00D52600">
      <w:pPr>
        <w:spacing w:line="360" w:lineRule="auto"/>
        <w:rPr>
          <w:rFonts w:ascii="Arial" w:hAnsi="Arial" w:cs="Arial"/>
          <w:sz w:val="24"/>
          <w:szCs w:val="24"/>
        </w:rPr>
      </w:pPr>
    </w:p>
    <w:p w14:paraId="0A65781C" w14:textId="71BD7614" w:rsidR="005669E2" w:rsidRDefault="005669E2" w:rsidP="005669E2">
      <w:pPr>
        <w:spacing w:line="360" w:lineRule="auto"/>
        <w:ind w:left="7920"/>
        <w:rPr>
          <w:rFonts w:ascii="Arial" w:hAnsi="Arial" w:cs="Arial"/>
          <w:sz w:val="24"/>
          <w:szCs w:val="24"/>
        </w:rPr>
      </w:pPr>
      <w:r>
        <w:rPr>
          <w:rFonts w:ascii="Arial" w:hAnsi="Arial" w:cs="Arial"/>
          <w:sz w:val="24"/>
          <w:szCs w:val="24"/>
        </w:rPr>
        <w:t xml:space="preserve">       </w:t>
      </w:r>
      <w:r w:rsidRPr="003A5C12">
        <w:rPr>
          <w:rFonts w:ascii="Arial" w:hAnsi="Arial" w:cs="Arial"/>
          <w:sz w:val="24"/>
          <w:szCs w:val="24"/>
        </w:rPr>
        <w:t>I concur</w:t>
      </w:r>
      <w:r>
        <w:rPr>
          <w:rFonts w:ascii="Arial" w:hAnsi="Arial" w:cs="Arial"/>
          <w:sz w:val="24"/>
          <w:szCs w:val="24"/>
        </w:rPr>
        <w:t>.</w:t>
      </w:r>
    </w:p>
    <w:p w14:paraId="409101E0" w14:textId="77777777" w:rsidR="003A5C12" w:rsidRPr="00470E7C" w:rsidRDefault="003A5C12" w:rsidP="00D52600">
      <w:pPr>
        <w:spacing w:line="360" w:lineRule="auto"/>
        <w:rPr>
          <w:rFonts w:ascii="Arial" w:hAnsi="Arial" w:cs="Arial"/>
          <w:sz w:val="24"/>
          <w:szCs w:val="24"/>
        </w:rPr>
      </w:pPr>
    </w:p>
    <w:p w14:paraId="0867231F" w14:textId="77777777"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_________________</w:t>
      </w:r>
    </w:p>
    <w:p w14:paraId="77BB07F1" w14:textId="77777777" w:rsidR="00170268" w:rsidRPr="00470E7C" w:rsidRDefault="009F0865" w:rsidP="00D52600">
      <w:pPr>
        <w:spacing w:line="360" w:lineRule="auto"/>
        <w:jc w:val="right"/>
        <w:rPr>
          <w:rFonts w:ascii="Arial" w:hAnsi="Arial" w:cs="Arial"/>
          <w:b/>
          <w:sz w:val="24"/>
          <w:szCs w:val="24"/>
        </w:rPr>
      </w:pPr>
      <w:r>
        <w:rPr>
          <w:rFonts w:ascii="Arial" w:hAnsi="Arial" w:cs="Arial"/>
          <w:b/>
          <w:sz w:val="24"/>
          <w:szCs w:val="24"/>
        </w:rPr>
        <w:t>P T DAMASEB</w:t>
      </w:r>
    </w:p>
    <w:p w14:paraId="5D2CA4C8" w14:textId="77777777" w:rsidR="00170268" w:rsidRDefault="00170268" w:rsidP="00D52600">
      <w:pPr>
        <w:spacing w:line="360" w:lineRule="auto"/>
        <w:jc w:val="right"/>
        <w:rPr>
          <w:rFonts w:ascii="Arial" w:hAnsi="Arial" w:cs="Arial"/>
          <w:b/>
          <w:sz w:val="24"/>
          <w:szCs w:val="24"/>
        </w:rPr>
      </w:pPr>
      <w:r w:rsidRPr="00470E7C">
        <w:rPr>
          <w:rFonts w:ascii="Arial" w:hAnsi="Arial" w:cs="Arial"/>
          <w:b/>
          <w:sz w:val="24"/>
          <w:szCs w:val="24"/>
        </w:rPr>
        <w:t>JUDGE</w:t>
      </w:r>
      <w:r w:rsidR="009F0865">
        <w:rPr>
          <w:rFonts w:ascii="Arial" w:hAnsi="Arial" w:cs="Arial"/>
          <w:b/>
          <w:sz w:val="24"/>
          <w:szCs w:val="24"/>
        </w:rPr>
        <w:t>-PRESIDENT</w:t>
      </w:r>
    </w:p>
    <w:p w14:paraId="5F05C528" w14:textId="77777777" w:rsidR="003A5C12" w:rsidRDefault="003A5C12" w:rsidP="00D52600">
      <w:pPr>
        <w:spacing w:line="360" w:lineRule="auto"/>
        <w:jc w:val="right"/>
        <w:rPr>
          <w:rFonts w:ascii="Arial" w:hAnsi="Arial" w:cs="Arial"/>
          <w:b/>
          <w:sz w:val="24"/>
          <w:szCs w:val="24"/>
        </w:rPr>
      </w:pPr>
    </w:p>
    <w:p w14:paraId="7B69816B" w14:textId="77777777" w:rsidR="003A5C12" w:rsidRDefault="003A5C12" w:rsidP="00D52600">
      <w:pPr>
        <w:spacing w:line="360" w:lineRule="auto"/>
        <w:jc w:val="right"/>
        <w:rPr>
          <w:rFonts w:ascii="Arial" w:hAnsi="Arial" w:cs="Arial"/>
          <w:b/>
          <w:sz w:val="24"/>
          <w:szCs w:val="24"/>
        </w:rPr>
      </w:pPr>
    </w:p>
    <w:p w14:paraId="4D8F3271" w14:textId="77777777" w:rsidR="003A5C12" w:rsidRPr="003A5C12" w:rsidRDefault="003A5C12" w:rsidP="003A5C12">
      <w:pPr>
        <w:spacing w:line="360" w:lineRule="auto"/>
        <w:ind w:left="6480" w:firstLine="720"/>
        <w:jc w:val="center"/>
        <w:rPr>
          <w:rFonts w:ascii="Arial" w:hAnsi="Arial" w:cs="Arial"/>
          <w:sz w:val="24"/>
          <w:szCs w:val="24"/>
        </w:rPr>
      </w:pPr>
    </w:p>
    <w:p w14:paraId="619BC51C" w14:textId="77777777" w:rsidR="00170268" w:rsidRPr="00470E7C" w:rsidRDefault="00170268">
      <w:pPr>
        <w:rPr>
          <w:rFonts w:ascii="Arial" w:hAnsi="Arial" w:cs="Arial"/>
          <w:sz w:val="24"/>
          <w:szCs w:val="24"/>
        </w:rPr>
      </w:pPr>
    </w:p>
    <w:p w14:paraId="2FE5C061" w14:textId="77777777" w:rsidR="00170268" w:rsidRPr="00470E7C" w:rsidRDefault="00170268">
      <w:pPr>
        <w:rPr>
          <w:rFonts w:ascii="Arial" w:hAnsi="Arial" w:cs="Arial"/>
          <w:sz w:val="24"/>
          <w:szCs w:val="24"/>
        </w:rPr>
      </w:pPr>
    </w:p>
    <w:p w14:paraId="4BD1E09F" w14:textId="77777777" w:rsidR="00170268" w:rsidRPr="00170268" w:rsidRDefault="00170268">
      <w:pPr>
        <w:rPr>
          <w:rFonts w:ascii="Arial" w:hAnsi="Arial" w:cs="Arial"/>
          <w:sz w:val="24"/>
          <w:szCs w:val="24"/>
        </w:rPr>
      </w:pPr>
    </w:p>
    <w:sectPr w:rsidR="00170268" w:rsidRPr="00170268" w:rsidSect="009D25EC">
      <w:headerReference w:type="default" r:id="rId11"/>
      <w:head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308A" w14:textId="77777777" w:rsidR="00E3275D" w:rsidRDefault="00E3275D" w:rsidP="0048420C">
      <w:pPr>
        <w:spacing w:after="0" w:line="240" w:lineRule="auto"/>
      </w:pPr>
      <w:r>
        <w:separator/>
      </w:r>
    </w:p>
  </w:endnote>
  <w:endnote w:type="continuationSeparator" w:id="0">
    <w:p w14:paraId="05C9BCE4" w14:textId="77777777" w:rsidR="00E3275D" w:rsidRDefault="00E3275D"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424F" w14:textId="77777777" w:rsidR="00E3275D" w:rsidRDefault="00E3275D" w:rsidP="0048420C">
      <w:pPr>
        <w:spacing w:after="0" w:line="240" w:lineRule="auto"/>
      </w:pPr>
      <w:r>
        <w:separator/>
      </w:r>
    </w:p>
  </w:footnote>
  <w:footnote w:type="continuationSeparator" w:id="0">
    <w:p w14:paraId="05374D3F" w14:textId="77777777" w:rsidR="00E3275D" w:rsidRDefault="00E3275D" w:rsidP="0048420C">
      <w:pPr>
        <w:spacing w:after="0" w:line="240" w:lineRule="auto"/>
      </w:pPr>
      <w:r>
        <w:continuationSeparator/>
      </w:r>
    </w:p>
  </w:footnote>
  <w:footnote w:id="1">
    <w:p w14:paraId="6DBD2500" w14:textId="0C4172B4" w:rsidR="003166F2" w:rsidRPr="005A1588" w:rsidRDefault="003166F2" w:rsidP="005A1588">
      <w:pPr>
        <w:pStyle w:val="FootnoteText"/>
        <w:spacing w:line="276" w:lineRule="auto"/>
        <w:jc w:val="both"/>
        <w:rPr>
          <w:rFonts w:ascii="Arial" w:hAnsi="Arial" w:cs="Arial"/>
          <w:lang w:val="en-US"/>
        </w:rPr>
      </w:pPr>
      <w:r w:rsidRPr="005A1588">
        <w:rPr>
          <w:rStyle w:val="FootnoteReference"/>
          <w:rFonts w:ascii="Arial" w:hAnsi="Arial" w:cs="Arial"/>
        </w:rPr>
        <w:footnoteRef/>
      </w:r>
      <w:r w:rsidRPr="005A1588">
        <w:rPr>
          <w:rFonts w:ascii="Arial" w:hAnsi="Arial" w:cs="Arial"/>
        </w:rPr>
        <w:t xml:space="preserve"> CR 02/2013) [2013] NAHCNLD 10 (04 March 2013), preceding </w:t>
      </w:r>
      <w:r w:rsidRPr="005A1588">
        <w:rPr>
          <w:rFonts w:ascii="Arial" w:hAnsi="Arial" w:cs="Arial"/>
          <w:i/>
        </w:rPr>
        <w:t>The State v Judas Simon Immanuel</w:t>
      </w:r>
      <w:r w:rsidRPr="005A1588">
        <w:rPr>
          <w:rFonts w:ascii="Arial" w:hAnsi="Arial" w:cs="Arial"/>
          <w:lang w:val="en-US"/>
        </w:rPr>
        <w:t xml:space="preserve"> Case No.: CR 23/2010 ((unreported) delivered on 29 September 2010.</w:t>
      </w:r>
    </w:p>
    <w:p w14:paraId="07B7C00A" w14:textId="29B639AA" w:rsidR="003166F2" w:rsidRPr="005A1588" w:rsidRDefault="003166F2" w:rsidP="005A1588">
      <w:pPr>
        <w:pStyle w:val="FootnoteText"/>
        <w:spacing w:line="276" w:lineRule="auto"/>
        <w:jc w:val="both"/>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14:paraId="358813BA" w14:textId="77777777" w:rsidR="003166F2" w:rsidRDefault="003166F2">
        <w:pPr>
          <w:pStyle w:val="Header"/>
          <w:jc w:val="right"/>
        </w:pPr>
        <w:r>
          <w:fldChar w:fldCharType="begin"/>
        </w:r>
        <w:r>
          <w:instrText xml:space="preserve"> PAGE   \* MERGEFORMAT </w:instrText>
        </w:r>
        <w:r>
          <w:fldChar w:fldCharType="separate"/>
        </w:r>
        <w:r w:rsidR="009457DD">
          <w:rPr>
            <w:noProof/>
          </w:rPr>
          <w:t>2</w:t>
        </w:r>
        <w:r>
          <w:rPr>
            <w:noProof/>
          </w:rPr>
          <w:fldChar w:fldCharType="end"/>
        </w:r>
      </w:p>
    </w:sdtContent>
  </w:sdt>
  <w:p w14:paraId="4069940C" w14:textId="77777777" w:rsidR="003166F2" w:rsidRDefault="0031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9093" w14:textId="77777777" w:rsidR="003166F2" w:rsidRDefault="003166F2">
    <w:pPr>
      <w:pStyle w:val="Header"/>
      <w:jc w:val="right"/>
    </w:pPr>
  </w:p>
  <w:p w14:paraId="07FFFD78" w14:textId="77777777" w:rsidR="003166F2" w:rsidRDefault="0031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7CB"/>
    <w:multiLevelType w:val="hybridMultilevel"/>
    <w:tmpl w:val="4ABEEDC4"/>
    <w:lvl w:ilvl="0" w:tplc="8F26348C">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AC7982"/>
    <w:multiLevelType w:val="hybridMultilevel"/>
    <w:tmpl w:val="7FB4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D73E7"/>
    <w:multiLevelType w:val="hybridMultilevel"/>
    <w:tmpl w:val="15AA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20"/>
    <w:multiLevelType w:val="hybridMultilevel"/>
    <w:tmpl w:val="32D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21C1"/>
    <w:multiLevelType w:val="hybridMultilevel"/>
    <w:tmpl w:val="BED8E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6713C"/>
    <w:multiLevelType w:val="multilevel"/>
    <w:tmpl w:val="56BE0E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FC18D7"/>
    <w:multiLevelType w:val="hybridMultilevel"/>
    <w:tmpl w:val="DE80849E"/>
    <w:lvl w:ilvl="0" w:tplc="0D44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6D6A93"/>
    <w:multiLevelType w:val="hybridMultilevel"/>
    <w:tmpl w:val="56BE0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3158B"/>
    <w:multiLevelType w:val="multilevel"/>
    <w:tmpl w:val="3848AE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B752F4"/>
    <w:multiLevelType w:val="multilevel"/>
    <w:tmpl w:val="54BAE7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
  </w:num>
  <w:num w:numId="3">
    <w:abstractNumId w:val="3"/>
  </w:num>
  <w:num w:numId="4">
    <w:abstractNumId w:val="2"/>
  </w:num>
  <w:num w:numId="5">
    <w:abstractNumId w:val="8"/>
  </w:num>
  <w:num w:numId="6">
    <w:abstractNumId w:val="10"/>
  </w:num>
  <w:num w:numId="7">
    <w:abstractNumId w:val="6"/>
  </w:num>
  <w:num w:numId="8">
    <w:abstractNumId w:val="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0479C"/>
    <w:rsid w:val="00051F6F"/>
    <w:rsid w:val="00054DFB"/>
    <w:rsid w:val="00057A3E"/>
    <w:rsid w:val="0007147A"/>
    <w:rsid w:val="0009303A"/>
    <w:rsid w:val="000C2811"/>
    <w:rsid w:val="000C4FD4"/>
    <w:rsid w:val="001634E9"/>
    <w:rsid w:val="00170268"/>
    <w:rsid w:val="00177FA8"/>
    <w:rsid w:val="00202923"/>
    <w:rsid w:val="0021043C"/>
    <w:rsid w:val="00226267"/>
    <w:rsid w:val="00270D59"/>
    <w:rsid w:val="00275976"/>
    <w:rsid w:val="00280856"/>
    <w:rsid w:val="00281128"/>
    <w:rsid w:val="003166F2"/>
    <w:rsid w:val="00374ED7"/>
    <w:rsid w:val="0038363F"/>
    <w:rsid w:val="003A5C12"/>
    <w:rsid w:val="003B39C3"/>
    <w:rsid w:val="003D25A2"/>
    <w:rsid w:val="00417BCD"/>
    <w:rsid w:val="00470E7C"/>
    <w:rsid w:val="0048420C"/>
    <w:rsid w:val="004F6205"/>
    <w:rsid w:val="005669E2"/>
    <w:rsid w:val="00581E8A"/>
    <w:rsid w:val="005A1588"/>
    <w:rsid w:val="005B3572"/>
    <w:rsid w:val="00606DF5"/>
    <w:rsid w:val="006921C2"/>
    <w:rsid w:val="006B6643"/>
    <w:rsid w:val="006B7C1C"/>
    <w:rsid w:val="007214EB"/>
    <w:rsid w:val="00721EA7"/>
    <w:rsid w:val="00737B41"/>
    <w:rsid w:val="007478BC"/>
    <w:rsid w:val="00760DE4"/>
    <w:rsid w:val="00784C17"/>
    <w:rsid w:val="007D5ABE"/>
    <w:rsid w:val="008549BA"/>
    <w:rsid w:val="00884BA1"/>
    <w:rsid w:val="008D1610"/>
    <w:rsid w:val="008F1AC9"/>
    <w:rsid w:val="008F6CC8"/>
    <w:rsid w:val="00921C19"/>
    <w:rsid w:val="00923DD2"/>
    <w:rsid w:val="00937834"/>
    <w:rsid w:val="00937E7E"/>
    <w:rsid w:val="009457DD"/>
    <w:rsid w:val="009B0AA3"/>
    <w:rsid w:val="009D25EC"/>
    <w:rsid w:val="009F0865"/>
    <w:rsid w:val="00A053DF"/>
    <w:rsid w:val="00A34327"/>
    <w:rsid w:val="00A44EE8"/>
    <w:rsid w:val="00AB5CD9"/>
    <w:rsid w:val="00AE2289"/>
    <w:rsid w:val="00B3348B"/>
    <w:rsid w:val="00B34697"/>
    <w:rsid w:val="00B43A2A"/>
    <w:rsid w:val="00B47716"/>
    <w:rsid w:val="00B7175E"/>
    <w:rsid w:val="00B82D15"/>
    <w:rsid w:val="00B86B40"/>
    <w:rsid w:val="00B94D2D"/>
    <w:rsid w:val="00BC526D"/>
    <w:rsid w:val="00C52D80"/>
    <w:rsid w:val="00C539E1"/>
    <w:rsid w:val="00C62691"/>
    <w:rsid w:val="00C7420C"/>
    <w:rsid w:val="00CB0D30"/>
    <w:rsid w:val="00CC04C0"/>
    <w:rsid w:val="00CC6F73"/>
    <w:rsid w:val="00CD6B31"/>
    <w:rsid w:val="00CF38B1"/>
    <w:rsid w:val="00D3282F"/>
    <w:rsid w:val="00D42697"/>
    <w:rsid w:val="00D46569"/>
    <w:rsid w:val="00D52600"/>
    <w:rsid w:val="00D741DA"/>
    <w:rsid w:val="00D804EC"/>
    <w:rsid w:val="00DE36AA"/>
    <w:rsid w:val="00DF2379"/>
    <w:rsid w:val="00E0385C"/>
    <w:rsid w:val="00E23B50"/>
    <w:rsid w:val="00E3275D"/>
    <w:rsid w:val="00E401CB"/>
    <w:rsid w:val="00E525AC"/>
    <w:rsid w:val="00EE0D6A"/>
    <w:rsid w:val="00F21BB4"/>
    <w:rsid w:val="00F935F5"/>
    <w:rsid w:val="00FA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73757"/>
  <w15:docId w15:val="{1C247C04-0E42-42E1-A357-6625C18F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nhideWhenUsed/>
    <w:rsid w:val="003B39C3"/>
    <w:pPr>
      <w:spacing w:after="0" w:line="240" w:lineRule="auto"/>
    </w:pPr>
    <w:rPr>
      <w:sz w:val="20"/>
      <w:szCs w:val="20"/>
    </w:rPr>
  </w:style>
  <w:style w:type="character" w:customStyle="1" w:styleId="FootnoteTextChar">
    <w:name w:val="Footnote Text Char"/>
    <w:basedOn w:val="DefaultParagraphFont"/>
    <w:link w:val="FootnoteText"/>
    <w:rsid w:val="003B39C3"/>
    <w:rPr>
      <w:sz w:val="20"/>
      <w:szCs w:val="20"/>
      <w:lang w:val="en-ZA"/>
    </w:rPr>
  </w:style>
  <w:style w:type="character" w:styleId="FootnoteReference">
    <w:name w:val="footnote reference"/>
    <w:basedOn w:val="DefaultParagraphFont"/>
    <w:unhideWhenUsed/>
    <w:rsid w:val="003B39C3"/>
    <w:rPr>
      <w:vertAlign w:val="superscript"/>
    </w:rPr>
  </w:style>
  <w:style w:type="paragraph" w:styleId="ListParagraph">
    <w:name w:val="List Paragraph"/>
    <w:basedOn w:val="Normal"/>
    <w:uiPriority w:val="34"/>
    <w:qFormat/>
    <w:rsid w:val="003D25A2"/>
    <w:pPr>
      <w:ind w:left="720"/>
      <w:contextualSpacing/>
    </w:pPr>
  </w:style>
  <w:style w:type="paragraph" w:styleId="BalloonText">
    <w:name w:val="Balloon Text"/>
    <w:basedOn w:val="Normal"/>
    <w:link w:val="BalloonTextChar"/>
    <w:uiPriority w:val="99"/>
    <w:semiHidden/>
    <w:unhideWhenUsed/>
    <w:rsid w:val="0093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3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2017-09-24T18:30:00+00:00</Judgment_x0020_Date>
  </documentManagement>
</p:properties>
</file>

<file path=customXml/itemProps1.xml><?xml version="1.0" encoding="utf-8"?>
<ds:datastoreItem xmlns:ds="http://schemas.openxmlformats.org/officeDocument/2006/customXml" ds:itemID="{561AF94F-BB33-40F3-8328-9717FC93269E}">
  <ds:schemaRefs>
    <ds:schemaRef ds:uri="http://schemas.microsoft.com/sharepoint/v3/contenttype/forms"/>
  </ds:schemaRefs>
</ds:datastoreItem>
</file>

<file path=customXml/itemProps2.xml><?xml version="1.0" encoding="utf-8"?>
<ds:datastoreItem xmlns:ds="http://schemas.openxmlformats.org/officeDocument/2006/customXml" ds:itemID="{893251B6-4B10-412D-B2E9-324728F4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63B68-9E08-49BA-A314-4130D8FD8667}">
  <ds:schemaRefs>
    <ds:schemaRef ds:uri="http://purl.org/dc/elements/1.1/"/>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NamibLII</cp:lastModifiedBy>
  <cp:revision>2</cp:revision>
  <cp:lastPrinted>2017-08-07T06:40:00Z</cp:lastPrinted>
  <dcterms:created xsi:type="dcterms:W3CDTF">2017-10-06T06:11:00Z</dcterms:created>
  <dcterms:modified xsi:type="dcterms:W3CDTF">2017-10-06T06:11:00Z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