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945885">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A273B" w:rsidRPr="00CA6CB2" w:rsidRDefault="00B328FD" w:rsidP="00483760">
                            <w:pPr>
                              <w:jc w:val="center"/>
                              <w:rPr>
                                <w:rFonts w:ascii="Arial" w:hAnsi="Arial" w:cs="Arial"/>
                              </w:rPr>
                            </w:pPr>
                            <w:r w:rsidRPr="00CA6CB2">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A273B" w:rsidRPr="00CA6CB2" w:rsidRDefault="00B328FD" w:rsidP="00483760">
                      <w:pPr>
                        <w:jc w:val="center"/>
                        <w:rPr>
                          <w:rFonts w:ascii="Arial" w:hAnsi="Arial" w:cs="Arial"/>
                        </w:rPr>
                      </w:pPr>
                      <w:r w:rsidRPr="00CA6CB2">
                        <w:rPr>
                          <w:rFonts w:ascii="Arial" w:hAnsi="Arial" w:cs="Arial"/>
                        </w:rPr>
                        <w:t>REPORTABLE</w:t>
                      </w:r>
                    </w:p>
                  </w:txbxContent>
                </v:textbox>
              </v:shape>
            </w:pict>
          </mc:Fallback>
        </mc:AlternateContent>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bookmarkStart w:id="0" w:name="_GoBack"/>
      <w:bookmarkEnd w:id="0"/>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B00D37" w:rsidP="001B7E1F">
      <w:pPr>
        <w:spacing w:after="0" w:line="360" w:lineRule="auto"/>
        <w:jc w:val="center"/>
        <w:rPr>
          <w:rFonts w:ascii="Arial" w:hAnsi="Arial" w:cs="Arial"/>
          <w:b/>
          <w:sz w:val="24"/>
          <w:szCs w:val="24"/>
        </w:rPr>
      </w:pPr>
      <w:r w:rsidRPr="00B00D37">
        <w:rPr>
          <w:rFonts w:ascii="Arial" w:hAnsi="Arial" w:cs="Arial"/>
          <w:b/>
          <w:i/>
          <w:sz w:val="24"/>
          <w:szCs w:val="24"/>
        </w:rPr>
        <w:t>EX TEMPORE</w:t>
      </w:r>
      <w:r>
        <w:rPr>
          <w:rFonts w:ascii="Arial" w:hAnsi="Arial" w:cs="Arial"/>
          <w:b/>
          <w:sz w:val="24"/>
          <w:szCs w:val="24"/>
        </w:rPr>
        <w:t xml:space="preserve"> </w:t>
      </w:r>
      <w:r w:rsidR="00C87AE7">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r w:rsidR="009232E2">
        <w:rPr>
          <w:rFonts w:ascii="Arial" w:hAnsi="Arial" w:cs="Arial"/>
          <w:sz w:val="24"/>
          <w:szCs w:val="24"/>
        </w:rPr>
        <w:tab/>
      </w:r>
      <w:r w:rsidR="009232E2">
        <w:rPr>
          <w:rFonts w:ascii="Arial" w:hAnsi="Arial" w:cs="Arial"/>
          <w:sz w:val="24"/>
          <w:szCs w:val="24"/>
        </w:rPr>
        <w:tab/>
      </w:r>
      <w:r w:rsidR="009232E2">
        <w:rPr>
          <w:rFonts w:ascii="Arial" w:hAnsi="Arial" w:cs="Arial"/>
          <w:sz w:val="24"/>
          <w:szCs w:val="24"/>
        </w:rPr>
        <w:tab/>
      </w:r>
      <w:r w:rsidR="009232E2">
        <w:rPr>
          <w:rFonts w:ascii="Arial" w:hAnsi="Arial" w:cs="Arial"/>
          <w:sz w:val="24"/>
          <w:szCs w:val="24"/>
        </w:rPr>
        <w:tab/>
        <w:t xml:space="preserve">               </w:t>
      </w:r>
      <w:r w:rsidR="001409AA">
        <w:rPr>
          <w:rFonts w:ascii="Arial" w:hAnsi="Arial" w:cs="Arial"/>
          <w:sz w:val="24"/>
          <w:szCs w:val="24"/>
        </w:rPr>
        <w:t xml:space="preserve">          </w:t>
      </w:r>
      <w:r w:rsidR="005234BE" w:rsidRPr="006E026B">
        <w:rPr>
          <w:rFonts w:ascii="Arial" w:hAnsi="Arial" w:cs="Arial"/>
          <w:sz w:val="24"/>
          <w:szCs w:val="24"/>
        </w:rPr>
        <w:t>Case no</w:t>
      </w:r>
      <w:r w:rsidR="005234BE">
        <w:rPr>
          <w:rFonts w:ascii="Arial" w:hAnsi="Arial" w:cs="Arial"/>
          <w:sz w:val="24"/>
          <w:szCs w:val="24"/>
        </w:rPr>
        <w:t xml:space="preserve">: </w:t>
      </w:r>
      <w:r w:rsidR="006A00F9">
        <w:rPr>
          <w:rFonts w:ascii="Arial" w:hAnsi="Arial" w:cs="Arial"/>
          <w:sz w:val="24"/>
          <w:szCs w:val="24"/>
        </w:rPr>
        <w:t>I</w:t>
      </w:r>
      <w:r w:rsidR="005234BE">
        <w:rPr>
          <w:rFonts w:ascii="Arial" w:hAnsi="Arial" w:cs="Arial"/>
          <w:sz w:val="24"/>
          <w:szCs w:val="24"/>
        </w:rPr>
        <w:t xml:space="preserve"> </w:t>
      </w:r>
      <w:r w:rsidR="00E2185E">
        <w:rPr>
          <w:rFonts w:ascii="Arial" w:hAnsi="Arial" w:cs="Arial"/>
          <w:sz w:val="24"/>
          <w:szCs w:val="24"/>
        </w:rPr>
        <w:t>25</w:t>
      </w:r>
      <w:r w:rsidR="005234BE">
        <w:rPr>
          <w:rFonts w:ascii="Arial" w:hAnsi="Arial" w:cs="Arial"/>
          <w:sz w:val="24"/>
          <w:szCs w:val="24"/>
        </w:rPr>
        <w:t>/20</w:t>
      </w:r>
      <w:r w:rsidR="009232E2">
        <w:rPr>
          <w:rFonts w:ascii="Arial" w:hAnsi="Arial" w:cs="Arial"/>
          <w:sz w:val="24"/>
          <w:szCs w:val="24"/>
        </w:rPr>
        <w:t>1</w:t>
      </w:r>
      <w:r w:rsidR="003F7013">
        <w:rPr>
          <w:rFonts w:ascii="Arial" w:hAnsi="Arial" w:cs="Arial"/>
          <w:sz w:val="24"/>
          <w:szCs w:val="24"/>
        </w:rPr>
        <w:t>6</w:t>
      </w:r>
    </w:p>
    <w:p w:rsidR="001B7E1F" w:rsidRDefault="001B7E1F" w:rsidP="001B7E1F">
      <w:pPr>
        <w:spacing w:after="0" w:line="360" w:lineRule="auto"/>
        <w:rPr>
          <w:rFonts w:ascii="Arial" w:hAnsi="Arial" w:cs="Arial"/>
          <w:sz w:val="24"/>
          <w:szCs w:val="24"/>
        </w:rPr>
      </w:pPr>
    </w:p>
    <w:p w:rsidR="00890D23" w:rsidRPr="006E026B" w:rsidRDefault="00890D23" w:rsidP="001B7E1F">
      <w:pPr>
        <w:spacing w:after="0" w:line="360" w:lineRule="auto"/>
        <w:rPr>
          <w:rFonts w:ascii="Arial" w:hAnsi="Arial" w:cs="Arial"/>
          <w:sz w:val="24"/>
          <w:szCs w:val="24"/>
        </w:rPr>
      </w:pPr>
    </w:p>
    <w:p w:rsidR="006A6211" w:rsidRDefault="00C03B25"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MARTIN KEHRMANN</w:t>
      </w:r>
      <w:r w:rsidR="00A00A41">
        <w:rPr>
          <w:rFonts w:ascii="Arial" w:hAnsi="Arial" w:cs="Arial"/>
          <w:b/>
          <w:sz w:val="24"/>
          <w:szCs w:val="24"/>
          <w:lang w:val="en-GB" w:eastAsia="x-none"/>
        </w:rPr>
        <w:tab/>
      </w:r>
      <w:r w:rsidR="00516F95">
        <w:rPr>
          <w:rFonts w:ascii="Arial" w:hAnsi="Arial" w:cs="Arial"/>
          <w:b/>
          <w:sz w:val="24"/>
          <w:szCs w:val="24"/>
          <w:lang w:val="en-GB" w:eastAsia="x-none"/>
        </w:rPr>
        <w:t>PLAINTIFF</w:t>
      </w:r>
    </w:p>
    <w:p w:rsidR="00516F95" w:rsidRDefault="00516F95" w:rsidP="00516F95">
      <w:pPr>
        <w:tabs>
          <w:tab w:val="right" w:pos="9000"/>
        </w:tabs>
        <w:spacing w:after="0" w:line="360" w:lineRule="auto"/>
        <w:rPr>
          <w:rFonts w:ascii="Arial" w:hAnsi="Arial" w:cs="Arial"/>
          <w:b/>
          <w:sz w:val="24"/>
          <w:szCs w:val="24"/>
          <w:lang w:val="en-GB" w:eastAsia="x-none"/>
        </w:rPr>
      </w:pPr>
    </w:p>
    <w:p w:rsidR="001B7E1F" w:rsidRDefault="003337F1" w:rsidP="00516F95">
      <w:pPr>
        <w:spacing w:after="0" w:line="360" w:lineRule="auto"/>
        <w:jc w:val="both"/>
        <w:rPr>
          <w:rFonts w:ascii="Arial" w:hAnsi="Arial" w:cs="Arial"/>
          <w:sz w:val="24"/>
          <w:szCs w:val="24"/>
        </w:rPr>
      </w:pPr>
      <w:proofErr w:type="gramStart"/>
      <w:r>
        <w:rPr>
          <w:rFonts w:ascii="Arial" w:hAnsi="Arial" w:cs="Arial"/>
          <w:sz w:val="24"/>
          <w:szCs w:val="24"/>
        </w:rPr>
        <w:t>a</w:t>
      </w:r>
      <w:r w:rsidR="001B7E1F" w:rsidRPr="006E026B">
        <w:rPr>
          <w:rFonts w:ascii="Arial" w:hAnsi="Arial" w:cs="Arial"/>
          <w:sz w:val="24"/>
          <w:szCs w:val="24"/>
        </w:rPr>
        <w:t>nd</w:t>
      </w:r>
      <w:proofErr w:type="gramEnd"/>
    </w:p>
    <w:p w:rsidR="003337F1" w:rsidRPr="00516F95" w:rsidRDefault="003337F1" w:rsidP="00516F95">
      <w:pPr>
        <w:spacing w:after="0" w:line="360" w:lineRule="auto"/>
        <w:jc w:val="both"/>
        <w:rPr>
          <w:rFonts w:ascii="Arial" w:hAnsi="Arial" w:cs="Arial"/>
          <w:sz w:val="24"/>
          <w:szCs w:val="24"/>
        </w:rPr>
      </w:pPr>
    </w:p>
    <w:p w:rsidR="00CC2BD2" w:rsidRDefault="00C03B25" w:rsidP="00516F95">
      <w:pPr>
        <w:tabs>
          <w:tab w:val="right" w:pos="9000"/>
        </w:tabs>
        <w:spacing w:after="0" w:line="360" w:lineRule="auto"/>
        <w:jc w:val="both"/>
        <w:rPr>
          <w:rFonts w:ascii="Arial" w:hAnsi="Arial" w:cs="Arial"/>
          <w:b/>
          <w:sz w:val="24"/>
          <w:szCs w:val="24"/>
        </w:rPr>
      </w:pPr>
      <w:r>
        <w:rPr>
          <w:rFonts w:ascii="Arial" w:hAnsi="Arial" w:cs="Arial"/>
          <w:b/>
          <w:sz w:val="24"/>
          <w:szCs w:val="24"/>
        </w:rPr>
        <w:t>STEPHAN GRADTKE</w:t>
      </w:r>
      <w:r w:rsidR="009232E2">
        <w:rPr>
          <w:rFonts w:ascii="Arial" w:hAnsi="Arial" w:cs="Arial"/>
          <w:b/>
          <w:sz w:val="24"/>
          <w:szCs w:val="24"/>
        </w:rPr>
        <w:tab/>
      </w:r>
      <w:r w:rsidR="00516F95">
        <w:rPr>
          <w:rFonts w:ascii="Arial" w:hAnsi="Arial" w:cs="Arial"/>
          <w:b/>
          <w:sz w:val="24"/>
          <w:szCs w:val="24"/>
        </w:rPr>
        <w:t>DEFENDANT</w:t>
      </w:r>
    </w:p>
    <w:p w:rsidR="00890D23" w:rsidRDefault="00890D23" w:rsidP="001B7E1F">
      <w:pPr>
        <w:spacing w:after="0" w:line="360" w:lineRule="auto"/>
        <w:rPr>
          <w:rFonts w:ascii="Arial" w:hAnsi="Arial" w:cs="Arial"/>
          <w:b/>
          <w:sz w:val="24"/>
          <w:szCs w:val="24"/>
          <w:u w:val="single"/>
        </w:rPr>
      </w:pPr>
    </w:p>
    <w:p w:rsidR="008A3C98" w:rsidRPr="006E026B" w:rsidRDefault="008A3C98" w:rsidP="001B7E1F">
      <w:pPr>
        <w:spacing w:after="0" w:line="360" w:lineRule="auto"/>
        <w:rPr>
          <w:rFonts w:ascii="Arial" w:hAnsi="Arial" w:cs="Arial"/>
          <w:b/>
          <w:sz w:val="24"/>
          <w:szCs w:val="24"/>
          <w:u w:val="single"/>
        </w:rPr>
      </w:pPr>
    </w:p>
    <w:p w:rsidR="001B7E1F" w:rsidRPr="005D6C92" w:rsidRDefault="00D709F4" w:rsidP="00CA6CB2">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C03B25">
        <w:rPr>
          <w:rFonts w:ascii="Arial" w:hAnsi="Arial" w:cs="Arial"/>
          <w:i/>
          <w:sz w:val="24"/>
          <w:szCs w:val="24"/>
        </w:rPr>
        <w:t>Kehrmann</w:t>
      </w:r>
      <w:proofErr w:type="spellEnd"/>
      <w:r w:rsidR="00652CB8">
        <w:rPr>
          <w:rFonts w:ascii="Arial" w:hAnsi="Arial" w:cs="Arial"/>
          <w:i/>
          <w:sz w:val="24"/>
          <w:szCs w:val="24"/>
        </w:rPr>
        <w:t xml:space="preserve"> </w:t>
      </w:r>
      <w:r w:rsidR="00D87766">
        <w:rPr>
          <w:rFonts w:ascii="Arial" w:hAnsi="Arial" w:cs="Arial"/>
          <w:i/>
          <w:sz w:val="24"/>
          <w:szCs w:val="24"/>
        </w:rPr>
        <w:t xml:space="preserve">v </w:t>
      </w:r>
      <w:proofErr w:type="spellStart"/>
      <w:r w:rsidR="00C03B25">
        <w:rPr>
          <w:rFonts w:ascii="Arial" w:hAnsi="Arial" w:cs="Arial"/>
          <w:i/>
          <w:sz w:val="24"/>
          <w:szCs w:val="24"/>
        </w:rPr>
        <w:t>Gradtke</w:t>
      </w:r>
      <w:proofErr w:type="spellEnd"/>
      <w:r w:rsidR="00A30618">
        <w:rPr>
          <w:rFonts w:ascii="Arial" w:hAnsi="Arial" w:cs="Arial"/>
          <w:i/>
          <w:sz w:val="24"/>
          <w:szCs w:val="24"/>
        </w:rPr>
        <w:t xml:space="preserve"> </w:t>
      </w:r>
      <w:r w:rsidR="001B7E1F" w:rsidRPr="005D6C92">
        <w:rPr>
          <w:rFonts w:ascii="Arial" w:hAnsi="Arial" w:cs="Arial"/>
          <w:sz w:val="24"/>
          <w:szCs w:val="24"/>
        </w:rPr>
        <w:t>(</w:t>
      </w:r>
      <w:r w:rsidR="00516F95">
        <w:rPr>
          <w:rFonts w:ascii="Arial" w:hAnsi="Arial" w:cs="Arial"/>
          <w:sz w:val="24"/>
          <w:szCs w:val="24"/>
        </w:rPr>
        <w:t>I</w:t>
      </w:r>
      <w:r w:rsidR="001B7E1F">
        <w:rPr>
          <w:rFonts w:ascii="Arial" w:hAnsi="Arial" w:cs="Arial"/>
          <w:sz w:val="24"/>
          <w:szCs w:val="24"/>
        </w:rPr>
        <w:t xml:space="preserve"> </w:t>
      </w:r>
      <w:r w:rsidR="00C03B25">
        <w:rPr>
          <w:rFonts w:ascii="Arial" w:hAnsi="Arial" w:cs="Arial"/>
          <w:sz w:val="24"/>
          <w:szCs w:val="24"/>
        </w:rPr>
        <w:t>25</w:t>
      </w:r>
      <w:r w:rsidR="001B7E1F">
        <w:rPr>
          <w:rFonts w:ascii="Arial" w:hAnsi="Arial" w:cs="Arial"/>
          <w:sz w:val="24"/>
          <w:szCs w:val="24"/>
        </w:rPr>
        <w:t>/20</w:t>
      </w:r>
      <w:r w:rsidR="00652CB8">
        <w:rPr>
          <w:rFonts w:ascii="Arial" w:hAnsi="Arial" w:cs="Arial"/>
          <w:sz w:val="24"/>
          <w:szCs w:val="24"/>
        </w:rPr>
        <w:t>1</w:t>
      </w:r>
      <w:r w:rsidR="00C405D2">
        <w:rPr>
          <w:rFonts w:ascii="Arial" w:hAnsi="Arial" w:cs="Arial"/>
          <w:sz w:val="24"/>
          <w:szCs w:val="24"/>
        </w:rPr>
        <w:t>6</w:t>
      </w:r>
      <w:r w:rsidR="001B7E1F" w:rsidRPr="005D6C92">
        <w:rPr>
          <w:rFonts w:ascii="Arial" w:hAnsi="Arial" w:cs="Arial"/>
          <w:sz w:val="24"/>
          <w:szCs w:val="24"/>
        </w:rPr>
        <w:t>) [20</w:t>
      </w:r>
      <w:r w:rsidR="00E11C67">
        <w:rPr>
          <w:rFonts w:ascii="Arial" w:hAnsi="Arial" w:cs="Arial"/>
          <w:sz w:val="24"/>
          <w:szCs w:val="24"/>
        </w:rPr>
        <w:t>1</w:t>
      </w:r>
      <w:r w:rsidR="00C03B25">
        <w:rPr>
          <w:rFonts w:ascii="Arial" w:hAnsi="Arial" w:cs="Arial"/>
          <w:sz w:val="24"/>
          <w:szCs w:val="24"/>
        </w:rPr>
        <w:t>8</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0E0CAF">
        <w:rPr>
          <w:rFonts w:ascii="Arial" w:hAnsi="Arial" w:cs="Arial"/>
          <w:sz w:val="24"/>
          <w:szCs w:val="24"/>
        </w:rPr>
        <w:t>141</w:t>
      </w:r>
      <w:r w:rsidR="001B7E1F" w:rsidRPr="005D6C92">
        <w:rPr>
          <w:rFonts w:ascii="Arial" w:hAnsi="Arial" w:cs="Arial"/>
          <w:sz w:val="24"/>
          <w:szCs w:val="24"/>
        </w:rPr>
        <w:t xml:space="preserve"> (</w:t>
      </w:r>
      <w:r w:rsidR="00C03B25">
        <w:rPr>
          <w:rFonts w:ascii="Arial" w:hAnsi="Arial" w:cs="Arial"/>
          <w:sz w:val="24"/>
          <w:szCs w:val="24"/>
        </w:rPr>
        <w:t>01</w:t>
      </w:r>
      <w:r w:rsidR="008B76F1">
        <w:rPr>
          <w:rFonts w:ascii="Arial" w:hAnsi="Arial" w:cs="Arial"/>
          <w:sz w:val="24"/>
          <w:szCs w:val="24"/>
        </w:rPr>
        <w:t xml:space="preserve"> </w:t>
      </w:r>
      <w:r w:rsidR="00C03B25">
        <w:rPr>
          <w:rFonts w:ascii="Arial" w:hAnsi="Arial" w:cs="Arial"/>
          <w:sz w:val="24"/>
          <w:szCs w:val="24"/>
        </w:rPr>
        <w:t>February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C03B25">
        <w:rPr>
          <w:rFonts w:ascii="Arial" w:hAnsi="Arial" w:cs="Arial"/>
          <w:sz w:val="24"/>
          <w:szCs w:val="24"/>
        </w:rPr>
        <w:t>8</w:t>
      </w:r>
      <w:r w:rsidR="001B7E1F" w:rsidRPr="005D6C92">
        <w:rPr>
          <w:rFonts w:ascii="Arial" w:hAnsi="Arial" w:cs="Arial"/>
          <w:sz w:val="24"/>
          <w:szCs w:val="24"/>
        </w:rPr>
        <w:t>)</w:t>
      </w:r>
    </w:p>
    <w:p w:rsidR="008B76F1" w:rsidRDefault="008B76F1" w:rsidP="001B7E1F">
      <w:pPr>
        <w:spacing w:after="0" w:line="360" w:lineRule="auto"/>
        <w:ind w:left="1440" w:hanging="1440"/>
        <w:jc w:val="both"/>
        <w:rPr>
          <w:rFonts w:ascii="Arial" w:hAnsi="Arial" w:cs="Arial"/>
          <w:b/>
          <w:sz w:val="24"/>
          <w:szCs w:val="24"/>
        </w:rPr>
      </w:pPr>
    </w:p>
    <w:p w:rsidR="00890D23" w:rsidRDefault="00890D23" w:rsidP="001B7E1F">
      <w:pPr>
        <w:spacing w:after="0" w:line="360" w:lineRule="auto"/>
        <w:ind w:left="1440" w:hanging="1440"/>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245B96">
        <w:rPr>
          <w:rFonts w:ascii="Arial" w:hAnsi="Arial" w:cs="Arial"/>
          <w:b/>
          <w:sz w:val="24"/>
          <w:szCs w:val="24"/>
        </w:rPr>
        <w:t>30</w:t>
      </w:r>
      <w:r w:rsidRPr="001B7E1F">
        <w:rPr>
          <w:rFonts w:ascii="Arial" w:hAnsi="Arial" w:cs="Arial"/>
          <w:b/>
          <w:sz w:val="24"/>
          <w:szCs w:val="24"/>
        </w:rPr>
        <w:t xml:space="preserve"> </w:t>
      </w:r>
      <w:r w:rsidR="00245B96">
        <w:rPr>
          <w:rFonts w:ascii="Arial" w:hAnsi="Arial" w:cs="Arial"/>
          <w:b/>
          <w:sz w:val="24"/>
          <w:szCs w:val="24"/>
        </w:rPr>
        <w:t>January</w:t>
      </w:r>
      <w:r w:rsidRPr="001B7E1F">
        <w:rPr>
          <w:rFonts w:ascii="Arial" w:hAnsi="Arial" w:cs="Arial"/>
          <w:b/>
          <w:sz w:val="24"/>
          <w:szCs w:val="24"/>
        </w:rPr>
        <w:t xml:space="preserve"> 20</w:t>
      </w:r>
      <w:r w:rsidR="00E11C67">
        <w:rPr>
          <w:rFonts w:ascii="Arial" w:hAnsi="Arial" w:cs="Arial"/>
          <w:b/>
          <w:sz w:val="24"/>
          <w:szCs w:val="24"/>
        </w:rPr>
        <w:t>1</w:t>
      </w:r>
      <w:r w:rsidR="00245B96">
        <w:rPr>
          <w:rFonts w:ascii="Arial" w:hAnsi="Arial" w:cs="Arial"/>
          <w:b/>
          <w:sz w:val="24"/>
          <w:szCs w:val="24"/>
        </w:rPr>
        <w:t>8</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245B96">
        <w:rPr>
          <w:rFonts w:ascii="Arial" w:hAnsi="Arial" w:cs="Arial"/>
          <w:b/>
          <w:sz w:val="24"/>
          <w:szCs w:val="24"/>
        </w:rPr>
        <w:t>01</w:t>
      </w:r>
      <w:r w:rsidRPr="001B7E1F">
        <w:rPr>
          <w:rFonts w:ascii="Arial" w:hAnsi="Arial" w:cs="Arial"/>
          <w:b/>
          <w:sz w:val="24"/>
          <w:szCs w:val="24"/>
        </w:rPr>
        <w:t xml:space="preserve"> </w:t>
      </w:r>
      <w:r w:rsidR="00245B96">
        <w:rPr>
          <w:rFonts w:ascii="Arial" w:hAnsi="Arial" w:cs="Arial"/>
          <w:b/>
          <w:sz w:val="24"/>
          <w:szCs w:val="24"/>
        </w:rPr>
        <w:t>February</w:t>
      </w:r>
      <w:r w:rsidRPr="001B7E1F">
        <w:rPr>
          <w:rFonts w:ascii="Arial" w:hAnsi="Arial" w:cs="Arial"/>
          <w:b/>
          <w:sz w:val="24"/>
          <w:szCs w:val="24"/>
        </w:rPr>
        <w:t xml:space="preserve"> 20</w:t>
      </w:r>
      <w:r w:rsidR="00E11C67">
        <w:rPr>
          <w:rFonts w:ascii="Arial" w:hAnsi="Arial" w:cs="Arial"/>
          <w:b/>
          <w:sz w:val="24"/>
          <w:szCs w:val="24"/>
        </w:rPr>
        <w:t>1</w:t>
      </w:r>
      <w:r w:rsidR="00245B96">
        <w:rPr>
          <w:rFonts w:ascii="Arial" w:hAnsi="Arial" w:cs="Arial"/>
          <w:b/>
          <w:sz w:val="24"/>
          <w:szCs w:val="24"/>
        </w:rPr>
        <w:t>8</w:t>
      </w:r>
    </w:p>
    <w:p w:rsidR="008A1EB5" w:rsidRPr="006E026B" w:rsidRDefault="00D9380C" w:rsidP="001B7E1F">
      <w:pPr>
        <w:spacing w:after="0" w:line="360" w:lineRule="auto"/>
        <w:rPr>
          <w:rFonts w:ascii="Arial" w:hAnsi="Arial" w:cs="Arial"/>
          <w:b/>
          <w:sz w:val="24"/>
          <w:szCs w:val="24"/>
        </w:rPr>
      </w:pPr>
      <w:r>
        <w:rPr>
          <w:rFonts w:ascii="Arial" w:hAnsi="Arial" w:cs="Arial"/>
          <w:b/>
          <w:sz w:val="24"/>
          <w:szCs w:val="24"/>
        </w:rPr>
        <w:t>Released:</w:t>
      </w:r>
      <w:r>
        <w:rPr>
          <w:rFonts w:ascii="Arial" w:hAnsi="Arial" w:cs="Arial"/>
          <w:b/>
          <w:sz w:val="24"/>
          <w:szCs w:val="24"/>
        </w:rPr>
        <w:tab/>
      </w:r>
      <w:r w:rsidR="00FE6190">
        <w:rPr>
          <w:rFonts w:ascii="Arial" w:hAnsi="Arial" w:cs="Arial"/>
          <w:b/>
          <w:sz w:val="24"/>
          <w:szCs w:val="24"/>
        </w:rPr>
        <w:t>23</w:t>
      </w:r>
      <w:r>
        <w:rPr>
          <w:rFonts w:ascii="Arial" w:hAnsi="Arial" w:cs="Arial"/>
          <w:b/>
          <w:sz w:val="24"/>
          <w:szCs w:val="24"/>
        </w:rPr>
        <w:t xml:space="preserve"> </w:t>
      </w:r>
      <w:r w:rsidR="00FE7F03">
        <w:rPr>
          <w:rFonts w:ascii="Arial" w:hAnsi="Arial" w:cs="Arial"/>
          <w:b/>
          <w:sz w:val="24"/>
          <w:szCs w:val="24"/>
        </w:rPr>
        <w:t>May</w:t>
      </w:r>
      <w:r w:rsidR="008A1EB5">
        <w:rPr>
          <w:rFonts w:ascii="Arial" w:hAnsi="Arial" w:cs="Arial"/>
          <w:b/>
          <w:sz w:val="24"/>
          <w:szCs w:val="24"/>
        </w:rPr>
        <w:t xml:space="preserve"> 201</w:t>
      </w:r>
      <w:r w:rsidR="00AF3D87">
        <w:rPr>
          <w:rFonts w:ascii="Arial" w:hAnsi="Arial" w:cs="Arial"/>
          <w:b/>
          <w:sz w:val="24"/>
          <w:szCs w:val="24"/>
        </w:rPr>
        <w:t>8</w:t>
      </w:r>
    </w:p>
    <w:p w:rsidR="001B7E1F" w:rsidRDefault="001B7E1F" w:rsidP="001B7E1F">
      <w:pPr>
        <w:spacing w:after="0" w:line="360" w:lineRule="auto"/>
        <w:jc w:val="both"/>
        <w:rPr>
          <w:rFonts w:ascii="Arial" w:hAnsi="Arial" w:cs="Arial"/>
          <w:b/>
          <w:sz w:val="24"/>
          <w:szCs w:val="24"/>
        </w:rPr>
      </w:pPr>
    </w:p>
    <w:p w:rsidR="00893EB4" w:rsidRDefault="00893EB4" w:rsidP="001B7E1F">
      <w:pPr>
        <w:spacing w:after="0" w:line="360" w:lineRule="auto"/>
        <w:jc w:val="both"/>
        <w:rPr>
          <w:rFonts w:ascii="Arial" w:hAnsi="Arial" w:cs="Arial"/>
          <w:b/>
          <w:sz w:val="24"/>
          <w:szCs w:val="24"/>
        </w:rPr>
      </w:pPr>
    </w:p>
    <w:p w:rsidR="004073C6" w:rsidRPr="00893EB4" w:rsidRDefault="00822E88" w:rsidP="0084501A">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w:t>
      </w:r>
      <w:r w:rsidR="00F85508" w:rsidRPr="00F85508">
        <w:t xml:space="preserve"> </w:t>
      </w:r>
      <w:r w:rsidR="00F85508" w:rsidRPr="00F85508">
        <w:rPr>
          <w:rFonts w:ascii="Arial" w:hAnsi="Arial" w:cs="Arial"/>
          <w:sz w:val="24"/>
          <w:szCs w:val="24"/>
        </w:rPr>
        <w:t>Prescription - Extinctive prescription - Interruption of - By service of summons - Act 68 of 1969 s 15 (1) - Lapsi</w:t>
      </w:r>
      <w:r w:rsidR="00F85508">
        <w:rPr>
          <w:rFonts w:ascii="Arial" w:hAnsi="Arial" w:cs="Arial"/>
          <w:sz w:val="24"/>
          <w:szCs w:val="24"/>
        </w:rPr>
        <w:t xml:space="preserve">ng of such interruption in </w:t>
      </w:r>
      <w:r w:rsidR="00F85508" w:rsidRPr="00F85508">
        <w:rPr>
          <w:rFonts w:ascii="Arial" w:hAnsi="Arial" w:cs="Arial"/>
          <w:sz w:val="24"/>
          <w:szCs w:val="24"/>
        </w:rPr>
        <w:t xml:space="preserve">terms of s 15 (2) - Failure by </w:t>
      </w:r>
      <w:r w:rsidR="00F85508" w:rsidRPr="00F85508">
        <w:rPr>
          <w:rFonts w:ascii="Arial" w:hAnsi="Arial" w:cs="Arial"/>
          <w:sz w:val="24"/>
          <w:szCs w:val="24"/>
        </w:rPr>
        <w:lastRenderedPageBreak/>
        <w:t>plaintiff to 'successfully prosecute his claim under the process in question to final judg</w:t>
      </w:r>
      <w:r w:rsidR="00496FE6">
        <w:rPr>
          <w:rFonts w:ascii="Arial" w:hAnsi="Arial" w:cs="Arial"/>
          <w:sz w:val="24"/>
          <w:szCs w:val="24"/>
        </w:rPr>
        <w:t xml:space="preserve">ment' </w:t>
      </w:r>
      <w:r w:rsidR="00F85508" w:rsidRPr="00F85508">
        <w:rPr>
          <w:rFonts w:ascii="Arial" w:hAnsi="Arial" w:cs="Arial"/>
          <w:sz w:val="24"/>
          <w:szCs w:val="24"/>
        </w:rPr>
        <w:t xml:space="preserve"> -</w:t>
      </w:r>
      <w:r w:rsidR="0078146B">
        <w:rPr>
          <w:rFonts w:ascii="Arial" w:hAnsi="Arial" w:cs="Arial"/>
          <w:sz w:val="24"/>
          <w:szCs w:val="24"/>
        </w:rPr>
        <w:t xml:space="preserve"> </w:t>
      </w:r>
    </w:p>
    <w:p w:rsidR="00780E76" w:rsidRDefault="00780E76" w:rsidP="00CD39BE">
      <w:pPr>
        <w:spacing w:after="0" w:line="360" w:lineRule="auto"/>
        <w:jc w:val="both"/>
        <w:rPr>
          <w:rFonts w:ascii="Arial" w:hAnsi="Arial" w:cs="Arial"/>
          <w:b/>
          <w:sz w:val="24"/>
          <w:szCs w:val="24"/>
        </w:rPr>
      </w:pPr>
    </w:p>
    <w:p w:rsidR="00496FE6" w:rsidRDefault="00B66966" w:rsidP="00496FE6">
      <w:pPr>
        <w:spacing w:after="0" w:line="360" w:lineRule="auto"/>
        <w:jc w:val="both"/>
        <w:rPr>
          <w:rFonts w:ascii="Arial" w:hAnsi="Arial" w:cs="Arial"/>
          <w:sz w:val="24"/>
          <w:szCs w:val="24"/>
        </w:rPr>
      </w:pPr>
      <w:r w:rsidRPr="00D43E68">
        <w:rPr>
          <w:rFonts w:ascii="Arial" w:hAnsi="Arial" w:cs="Arial"/>
          <w:b/>
          <w:sz w:val="24"/>
          <w:szCs w:val="24"/>
        </w:rPr>
        <w:t>Summary</w:t>
      </w:r>
      <w:r w:rsidRPr="008F578C">
        <w:rPr>
          <w:rFonts w:ascii="Arial" w:hAnsi="Arial" w:cs="Arial"/>
          <w:sz w:val="24"/>
          <w:szCs w:val="24"/>
        </w:rPr>
        <w:t xml:space="preserve">: </w:t>
      </w:r>
      <w:r w:rsidR="00F85508" w:rsidRPr="00F85508">
        <w:rPr>
          <w:rFonts w:ascii="Arial" w:hAnsi="Arial" w:cs="Arial"/>
          <w:sz w:val="24"/>
          <w:szCs w:val="24"/>
        </w:rPr>
        <w:t>Section 15(1) of the Prescription Act 68 of 1969 provides that prescription will be interrupted by the service on the debtor of any process whereby the creditor</w:t>
      </w:r>
      <w:r w:rsidR="00496FE6">
        <w:rPr>
          <w:rFonts w:ascii="Arial" w:hAnsi="Arial" w:cs="Arial"/>
          <w:sz w:val="24"/>
          <w:szCs w:val="24"/>
        </w:rPr>
        <w:t xml:space="preserve"> claims payment of the debt -</w:t>
      </w:r>
      <w:r w:rsidR="00496FE6" w:rsidRPr="00496FE6">
        <w:t xml:space="preserve"> </w:t>
      </w:r>
      <w:r w:rsidR="00496FE6" w:rsidRPr="00496FE6">
        <w:rPr>
          <w:rFonts w:ascii="Arial" w:hAnsi="Arial" w:cs="Arial"/>
          <w:sz w:val="24"/>
          <w:szCs w:val="24"/>
        </w:rPr>
        <w:t xml:space="preserve">if a creditor fails in his claim, </w:t>
      </w:r>
      <w:proofErr w:type="spellStart"/>
      <w:r w:rsidR="00496FE6" w:rsidRPr="00496FE6">
        <w:rPr>
          <w:rFonts w:ascii="Arial" w:hAnsi="Arial" w:cs="Arial"/>
          <w:sz w:val="24"/>
          <w:szCs w:val="24"/>
        </w:rPr>
        <w:t>ie</w:t>
      </w:r>
      <w:proofErr w:type="spellEnd"/>
      <w:r w:rsidR="00496FE6" w:rsidRPr="00496FE6">
        <w:rPr>
          <w:rFonts w:ascii="Arial" w:hAnsi="Arial" w:cs="Arial"/>
          <w:sz w:val="24"/>
          <w:szCs w:val="24"/>
        </w:rPr>
        <w:t xml:space="preserve"> if he does not successfully prosecute his claim under the process in question to final judgment or the judgment is aband</w:t>
      </w:r>
      <w:r w:rsidR="00496FE6">
        <w:rPr>
          <w:rFonts w:ascii="Arial" w:hAnsi="Arial" w:cs="Arial"/>
          <w:sz w:val="24"/>
          <w:szCs w:val="24"/>
        </w:rPr>
        <w:t xml:space="preserve">oned or set aside, </w:t>
      </w:r>
      <w:r w:rsidR="00496FE6" w:rsidRPr="00496FE6">
        <w:rPr>
          <w:rFonts w:ascii="Arial" w:hAnsi="Arial" w:cs="Arial"/>
          <w:sz w:val="24"/>
          <w:szCs w:val="24"/>
        </w:rPr>
        <w:t>the provisions of s 15 (2) come</w:t>
      </w:r>
      <w:r w:rsidR="00496FE6">
        <w:rPr>
          <w:rFonts w:ascii="Arial" w:hAnsi="Arial" w:cs="Arial"/>
          <w:sz w:val="24"/>
          <w:szCs w:val="24"/>
        </w:rPr>
        <w:t xml:space="preserve"> into play</w:t>
      </w:r>
      <w:r w:rsidR="00496FE6" w:rsidRPr="00496FE6">
        <w:t xml:space="preserve"> </w:t>
      </w:r>
      <w:r w:rsidR="00496FE6" w:rsidRPr="00496FE6">
        <w:rPr>
          <w:rFonts w:ascii="Arial" w:hAnsi="Arial" w:cs="Arial"/>
          <w:sz w:val="24"/>
          <w:szCs w:val="24"/>
        </w:rPr>
        <w:t>in that</w:t>
      </w:r>
      <w:r w:rsidR="00496FE6">
        <w:t xml:space="preserve"> </w:t>
      </w:r>
      <w:r w:rsidR="00496FE6" w:rsidRPr="00496FE6">
        <w:rPr>
          <w:rFonts w:ascii="Arial" w:hAnsi="Arial" w:cs="Arial"/>
          <w:sz w:val="24"/>
          <w:szCs w:val="24"/>
        </w:rPr>
        <w:t>the interruption of prescription</w:t>
      </w:r>
      <w:r w:rsidR="00496FE6">
        <w:rPr>
          <w:rFonts w:ascii="Arial" w:hAnsi="Arial" w:cs="Arial"/>
          <w:sz w:val="24"/>
          <w:szCs w:val="24"/>
        </w:rPr>
        <w:t xml:space="preserve"> which has occurred</w:t>
      </w:r>
      <w:r w:rsidR="00496FE6" w:rsidRPr="00496FE6">
        <w:rPr>
          <w:rFonts w:ascii="Arial" w:hAnsi="Arial" w:cs="Arial"/>
          <w:sz w:val="24"/>
          <w:szCs w:val="24"/>
        </w:rPr>
        <w:t xml:space="preserve"> in terms of subsection (1) shall lapse, and the running of prescription shall not be </w:t>
      </w:r>
      <w:r w:rsidR="00496FE6">
        <w:rPr>
          <w:rFonts w:ascii="Arial" w:hAnsi="Arial" w:cs="Arial"/>
          <w:sz w:val="24"/>
          <w:szCs w:val="24"/>
        </w:rPr>
        <w:t>deemed to have been interrupted.</w:t>
      </w:r>
    </w:p>
    <w:p w:rsidR="00496FE6" w:rsidRDefault="00496FE6" w:rsidP="00496FE6">
      <w:pPr>
        <w:spacing w:after="0" w:line="360" w:lineRule="auto"/>
        <w:jc w:val="both"/>
        <w:rPr>
          <w:rFonts w:ascii="Arial" w:hAnsi="Arial" w:cs="Arial"/>
          <w:sz w:val="24"/>
          <w:szCs w:val="24"/>
        </w:rPr>
      </w:pPr>
    </w:p>
    <w:p w:rsidR="00496FE6" w:rsidRDefault="00496FE6" w:rsidP="00496FE6">
      <w:pPr>
        <w:pStyle w:val="ListParagraph"/>
        <w:spacing w:line="360" w:lineRule="auto"/>
        <w:ind w:left="0"/>
        <w:jc w:val="both"/>
        <w:rPr>
          <w:rFonts w:cs="Arial"/>
        </w:rPr>
      </w:pPr>
      <w:r>
        <w:rPr>
          <w:rFonts w:cs="Arial"/>
        </w:rPr>
        <w:t xml:space="preserve">In </w:t>
      </w:r>
      <w:proofErr w:type="spellStart"/>
      <w:r>
        <w:rPr>
          <w:rFonts w:cs="Arial"/>
        </w:rPr>
        <w:t>casu</w:t>
      </w:r>
      <w:proofErr w:type="spellEnd"/>
      <w:r w:rsidRPr="00496FE6">
        <w:rPr>
          <w:rFonts w:cs="Arial"/>
        </w:rPr>
        <w:t xml:space="preserve"> </w:t>
      </w:r>
      <w:r>
        <w:rPr>
          <w:rFonts w:cs="Arial"/>
        </w:rPr>
        <w:t>the Plaintiff had</w:t>
      </w:r>
      <w:r w:rsidRPr="005E070B">
        <w:rPr>
          <w:rFonts w:cs="Arial"/>
        </w:rPr>
        <w:t xml:space="preserve"> instituted two actions for the enforcement of the same debt against the </w:t>
      </w:r>
      <w:r>
        <w:rPr>
          <w:rFonts w:cs="Arial"/>
        </w:rPr>
        <w:t>defendant. T</w:t>
      </w:r>
      <w:r w:rsidRPr="005E070B">
        <w:rPr>
          <w:rFonts w:cs="Arial"/>
        </w:rPr>
        <w:t>he</w:t>
      </w:r>
      <w:r>
        <w:rPr>
          <w:rFonts w:cs="Arial"/>
        </w:rPr>
        <w:t xml:space="preserve"> first</w:t>
      </w:r>
      <w:r w:rsidRPr="005E070B">
        <w:rPr>
          <w:rFonts w:cs="Arial"/>
        </w:rPr>
        <w:t xml:space="preserve"> action instituted in 2004 under High Court case </w:t>
      </w:r>
      <w:r>
        <w:rPr>
          <w:rFonts w:cs="Arial"/>
        </w:rPr>
        <w:t>(</w:t>
      </w:r>
      <w:r w:rsidRPr="005E070B">
        <w:rPr>
          <w:rFonts w:cs="Arial"/>
        </w:rPr>
        <w:t>T</w:t>
      </w:r>
      <w:r>
        <w:rPr>
          <w:rFonts w:cs="Arial"/>
        </w:rPr>
        <w:t xml:space="preserve">) </w:t>
      </w:r>
      <w:r w:rsidRPr="005E070B">
        <w:rPr>
          <w:rFonts w:cs="Arial"/>
        </w:rPr>
        <w:t>I</w:t>
      </w:r>
      <w:r>
        <w:rPr>
          <w:rFonts w:cs="Arial"/>
        </w:rPr>
        <w:t xml:space="preserve"> </w:t>
      </w:r>
      <w:r w:rsidRPr="005E070B">
        <w:rPr>
          <w:rFonts w:cs="Arial"/>
        </w:rPr>
        <w:t xml:space="preserve">1632/2004 ended in </w:t>
      </w:r>
      <w:r>
        <w:rPr>
          <w:rFonts w:cs="Arial"/>
        </w:rPr>
        <w:t>a</w:t>
      </w:r>
      <w:r w:rsidRPr="005E070B">
        <w:rPr>
          <w:rFonts w:cs="Arial"/>
        </w:rPr>
        <w:t>bsolution from the instan</w:t>
      </w:r>
      <w:r>
        <w:rPr>
          <w:rFonts w:cs="Arial"/>
        </w:rPr>
        <w:t>ce being granted on 18 May 2015.</w:t>
      </w:r>
      <w:r w:rsidRPr="005E070B">
        <w:rPr>
          <w:rFonts w:cs="Arial"/>
        </w:rPr>
        <w:t xml:space="preserve"> The </w:t>
      </w:r>
      <w:r>
        <w:rPr>
          <w:rFonts w:cs="Arial"/>
        </w:rPr>
        <w:t>order for</w:t>
      </w:r>
      <w:r w:rsidRPr="005E070B">
        <w:rPr>
          <w:rFonts w:cs="Arial"/>
        </w:rPr>
        <w:t xml:space="preserve"> </w:t>
      </w:r>
      <w:r>
        <w:rPr>
          <w:rFonts w:cs="Arial"/>
        </w:rPr>
        <w:t>a</w:t>
      </w:r>
      <w:r w:rsidRPr="005E070B">
        <w:rPr>
          <w:rFonts w:cs="Arial"/>
        </w:rPr>
        <w:t xml:space="preserve">bsolution </w:t>
      </w:r>
      <w:r>
        <w:rPr>
          <w:rFonts w:cs="Arial"/>
        </w:rPr>
        <w:t xml:space="preserve">was </w:t>
      </w:r>
      <w:r w:rsidRPr="005E070B">
        <w:rPr>
          <w:rFonts w:cs="Arial"/>
        </w:rPr>
        <w:t xml:space="preserve">also never taken on appeal and thus became final; </w:t>
      </w:r>
    </w:p>
    <w:p w:rsidR="00496FE6" w:rsidRPr="000B0228" w:rsidRDefault="00496FE6" w:rsidP="00496FE6">
      <w:pPr>
        <w:pStyle w:val="ListParagraph"/>
        <w:rPr>
          <w:rFonts w:cs="Arial"/>
        </w:rPr>
      </w:pPr>
    </w:p>
    <w:p w:rsidR="00431039" w:rsidRDefault="00496FE6" w:rsidP="00431039">
      <w:pPr>
        <w:pStyle w:val="ListParagraph"/>
        <w:spacing w:line="360" w:lineRule="auto"/>
        <w:ind w:left="0"/>
        <w:jc w:val="both"/>
        <w:rPr>
          <w:rFonts w:cs="Arial"/>
        </w:rPr>
      </w:pPr>
      <w:r>
        <w:rPr>
          <w:rFonts w:cs="Arial"/>
        </w:rPr>
        <w:t>T</w:t>
      </w:r>
      <w:r w:rsidRPr="005E070B">
        <w:rPr>
          <w:rFonts w:cs="Arial"/>
        </w:rPr>
        <w:t>he second case</w:t>
      </w:r>
      <w:r w:rsidR="00821CF1">
        <w:rPr>
          <w:rFonts w:cs="Arial"/>
        </w:rPr>
        <w:t>,</w:t>
      </w:r>
      <w:r w:rsidR="00431039">
        <w:rPr>
          <w:rFonts w:cs="Arial"/>
        </w:rPr>
        <w:t xml:space="preserve"> which was</w:t>
      </w:r>
      <w:r w:rsidRPr="005E070B">
        <w:rPr>
          <w:rFonts w:cs="Arial"/>
        </w:rPr>
        <w:t xml:space="preserve"> instituted in</w:t>
      </w:r>
      <w:r w:rsidR="00431039">
        <w:rPr>
          <w:rFonts w:cs="Arial"/>
        </w:rPr>
        <w:t xml:space="preserve"> May</w:t>
      </w:r>
      <w:r w:rsidRPr="005E070B">
        <w:rPr>
          <w:rFonts w:cs="Arial"/>
        </w:rPr>
        <w:t xml:space="preserve"> 201</w:t>
      </w:r>
      <w:r w:rsidR="00431039">
        <w:rPr>
          <w:rFonts w:cs="Arial"/>
        </w:rPr>
        <w:t>6 in the High Court</w:t>
      </w:r>
      <w:r w:rsidR="00821CF1">
        <w:rPr>
          <w:rFonts w:cs="Arial"/>
        </w:rPr>
        <w:t>,</w:t>
      </w:r>
      <w:r w:rsidRPr="005E070B">
        <w:rPr>
          <w:rFonts w:cs="Arial"/>
        </w:rPr>
        <w:t xml:space="preserve"> was institu</w:t>
      </w:r>
      <w:r>
        <w:rPr>
          <w:rFonts w:cs="Arial"/>
        </w:rPr>
        <w:t>ted on essentially the same cau</w:t>
      </w:r>
      <w:r w:rsidRPr="005E070B">
        <w:rPr>
          <w:rFonts w:cs="Arial"/>
        </w:rPr>
        <w:t>se of action</w:t>
      </w:r>
      <w:r>
        <w:rPr>
          <w:rFonts w:cs="Arial"/>
        </w:rPr>
        <w:t xml:space="preserve"> -</w:t>
      </w:r>
      <w:r w:rsidRPr="005E070B">
        <w:rPr>
          <w:rFonts w:cs="Arial"/>
        </w:rPr>
        <w:t xml:space="preserve"> and </w:t>
      </w:r>
      <w:r>
        <w:rPr>
          <w:rFonts w:cs="Arial"/>
        </w:rPr>
        <w:t xml:space="preserve">on </w:t>
      </w:r>
      <w:r w:rsidRPr="005E070B">
        <w:rPr>
          <w:rFonts w:cs="Arial"/>
        </w:rPr>
        <w:t>substantially similar facts</w:t>
      </w:r>
      <w:r>
        <w:rPr>
          <w:rFonts w:cs="Arial"/>
        </w:rPr>
        <w:t xml:space="preserve"> -</w:t>
      </w:r>
      <w:r w:rsidRPr="005E070B">
        <w:rPr>
          <w:rFonts w:cs="Arial"/>
        </w:rPr>
        <w:t xml:space="preserve"> and for the same rel</w:t>
      </w:r>
      <w:r w:rsidR="00431039">
        <w:rPr>
          <w:rFonts w:cs="Arial"/>
        </w:rPr>
        <w:t>ief as the first action.  This was also the case which the parties agreed to have determined by way of a</w:t>
      </w:r>
      <w:r w:rsidRPr="005E070B">
        <w:rPr>
          <w:rFonts w:cs="Arial"/>
        </w:rPr>
        <w:t xml:space="preserve"> stated case; </w:t>
      </w:r>
    </w:p>
    <w:p w:rsidR="00431039" w:rsidRDefault="00431039" w:rsidP="00431039">
      <w:pPr>
        <w:pStyle w:val="ListParagraph"/>
        <w:spacing w:line="360" w:lineRule="auto"/>
        <w:ind w:left="0"/>
        <w:jc w:val="both"/>
        <w:rPr>
          <w:rFonts w:cs="Arial"/>
        </w:rPr>
      </w:pPr>
    </w:p>
    <w:p w:rsidR="00496FE6" w:rsidRDefault="00431039" w:rsidP="00431039">
      <w:pPr>
        <w:pStyle w:val="ListParagraph"/>
        <w:spacing w:line="360" w:lineRule="auto"/>
        <w:ind w:left="0"/>
        <w:jc w:val="both"/>
        <w:rPr>
          <w:rFonts w:cs="Arial"/>
        </w:rPr>
      </w:pPr>
      <w:r>
        <w:rPr>
          <w:rFonts w:cs="Arial"/>
        </w:rPr>
        <w:t>T</w:t>
      </w:r>
      <w:r w:rsidR="00496FE6" w:rsidRPr="005E070B">
        <w:rPr>
          <w:rFonts w:cs="Arial"/>
        </w:rPr>
        <w:t xml:space="preserve">he </w:t>
      </w:r>
      <w:r w:rsidR="00496FE6">
        <w:rPr>
          <w:rFonts w:cs="Arial"/>
        </w:rPr>
        <w:t>p</w:t>
      </w:r>
      <w:r>
        <w:rPr>
          <w:rFonts w:cs="Arial"/>
        </w:rPr>
        <w:t>laintiff was thus</w:t>
      </w:r>
      <w:r w:rsidR="00496FE6" w:rsidRPr="005E070B">
        <w:rPr>
          <w:rFonts w:cs="Arial"/>
        </w:rPr>
        <w:t xml:space="preserve"> attempting to claim payment of the original</w:t>
      </w:r>
      <w:r w:rsidR="00496FE6">
        <w:rPr>
          <w:rFonts w:cs="Arial"/>
        </w:rPr>
        <w:t>-</w:t>
      </w:r>
      <w:r w:rsidR="00496FE6" w:rsidRPr="005E070B">
        <w:rPr>
          <w:rFonts w:cs="Arial"/>
        </w:rPr>
        <w:t xml:space="preserve"> and substa</w:t>
      </w:r>
      <w:r w:rsidR="00496FE6">
        <w:rPr>
          <w:rFonts w:cs="Arial"/>
        </w:rPr>
        <w:t>ntially</w:t>
      </w:r>
      <w:r w:rsidR="00496FE6" w:rsidRPr="005E070B">
        <w:rPr>
          <w:rFonts w:cs="Arial"/>
        </w:rPr>
        <w:t xml:space="preserve"> the same debt</w:t>
      </w:r>
      <w:r w:rsidR="00496FE6">
        <w:rPr>
          <w:rFonts w:cs="Arial"/>
        </w:rPr>
        <w:t xml:space="preserve"> -</w:t>
      </w:r>
      <w:r w:rsidR="00496FE6" w:rsidRPr="005E070B">
        <w:rPr>
          <w:rFonts w:cs="Arial"/>
        </w:rPr>
        <w:t xml:space="preserve"> through the institution of </w:t>
      </w:r>
      <w:r>
        <w:rPr>
          <w:rFonts w:cs="Arial"/>
        </w:rPr>
        <w:t xml:space="preserve">the said </w:t>
      </w:r>
      <w:r w:rsidR="00496FE6" w:rsidRPr="005E070B">
        <w:rPr>
          <w:rFonts w:cs="Arial"/>
        </w:rPr>
        <w:t>tw</w:t>
      </w:r>
      <w:r>
        <w:rPr>
          <w:rFonts w:cs="Arial"/>
        </w:rPr>
        <w:t>o actions.</w:t>
      </w:r>
    </w:p>
    <w:p w:rsidR="00496FE6" w:rsidRPr="00496FE6" w:rsidRDefault="00496FE6" w:rsidP="00496FE6">
      <w:pPr>
        <w:spacing w:after="0" w:line="360" w:lineRule="auto"/>
        <w:jc w:val="both"/>
        <w:rPr>
          <w:rFonts w:ascii="Arial" w:hAnsi="Arial" w:cs="Arial"/>
          <w:sz w:val="24"/>
          <w:szCs w:val="24"/>
        </w:rPr>
      </w:pPr>
    </w:p>
    <w:p w:rsidR="00431039" w:rsidRDefault="00431039" w:rsidP="00431039">
      <w:pPr>
        <w:pStyle w:val="ListParagraph"/>
        <w:spacing w:line="360" w:lineRule="auto"/>
        <w:ind w:left="0"/>
        <w:jc w:val="both"/>
        <w:rPr>
          <w:rFonts w:cs="Arial"/>
        </w:rPr>
      </w:pPr>
      <w:r>
        <w:rPr>
          <w:rFonts w:cs="Arial"/>
        </w:rPr>
        <w:t>Hel</w:t>
      </w:r>
      <w:r w:rsidR="008A3C98">
        <w:rPr>
          <w:rFonts w:cs="Arial"/>
        </w:rPr>
        <w:t xml:space="preserve">d </w:t>
      </w:r>
      <w:r w:rsidRPr="005E070B">
        <w:rPr>
          <w:rFonts w:cs="Arial"/>
        </w:rPr>
        <w:t xml:space="preserve">that the </w:t>
      </w:r>
      <w:r>
        <w:rPr>
          <w:rFonts w:cs="Arial"/>
        </w:rPr>
        <w:t xml:space="preserve">relevant </w:t>
      </w:r>
      <w:r w:rsidRPr="005E070B">
        <w:rPr>
          <w:rFonts w:cs="Arial"/>
        </w:rPr>
        <w:t>process in question</w:t>
      </w:r>
      <w:r>
        <w:rPr>
          <w:rFonts w:cs="Arial"/>
        </w:rPr>
        <w:t>,</w:t>
      </w:r>
      <w:r w:rsidRPr="005E070B">
        <w:rPr>
          <w:rFonts w:cs="Arial"/>
        </w:rPr>
        <w:t xml:space="preserve"> </w:t>
      </w:r>
      <w:r>
        <w:rPr>
          <w:rFonts w:cs="Arial"/>
        </w:rPr>
        <w:t>i.e. the first</w:t>
      </w:r>
      <w:r w:rsidRPr="005E070B">
        <w:rPr>
          <w:rFonts w:cs="Arial"/>
        </w:rPr>
        <w:t xml:space="preserve"> legal proceedings instituted under case </w:t>
      </w:r>
      <w:r>
        <w:rPr>
          <w:rFonts w:cs="Arial"/>
        </w:rPr>
        <w:t>(</w:t>
      </w:r>
      <w:r w:rsidRPr="005E070B">
        <w:rPr>
          <w:rFonts w:cs="Arial"/>
        </w:rPr>
        <w:t>T</w:t>
      </w:r>
      <w:proofErr w:type="gramStart"/>
      <w:r>
        <w:rPr>
          <w:rFonts w:cs="Arial"/>
        </w:rPr>
        <w:t>)</w:t>
      </w:r>
      <w:r w:rsidRPr="005E070B">
        <w:rPr>
          <w:rFonts w:cs="Arial"/>
        </w:rPr>
        <w:t>I</w:t>
      </w:r>
      <w:proofErr w:type="gramEnd"/>
      <w:r>
        <w:rPr>
          <w:rFonts w:cs="Arial"/>
        </w:rPr>
        <w:t xml:space="preserve"> </w:t>
      </w:r>
      <w:r w:rsidRPr="005E070B">
        <w:rPr>
          <w:rFonts w:cs="Arial"/>
        </w:rPr>
        <w:t>1632/2004</w:t>
      </w:r>
      <w:r>
        <w:rPr>
          <w:rFonts w:cs="Arial"/>
        </w:rPr>
        <w:t>,</w:t>
      </w:r>
      <w:r w:rsidRPr="005E070B">
        <w:rPr>
          <w:rFonts w:cs="Arial"/>
        </w:rPr>
        <w:t xml:space="preserve"> had a final outcome i.e. that reflected in the </w:t>
      </w:r>
      <w:r>
        <w:rPr>
          <w:rFonts w:cs="Arial"/>
        </w:rPr>
        <w:t>c</w:t>
      </w:r>
      <w:r w:rsidRPr="005E070B">
        <w:rPr>
          <w:rFonts w:cs="Arial"/>
        </w:rPr>
        <w:t xml:space="preserve">ourt </w:t>
      </w:r>
      <w:r>
        <w:rPr>
          <w:rFonts w:cs="Arial"/>
        </w:rPr>
        <w:t>o</w:t>
      </w:r>
      <w:r w:rsidRPr="005E070B">
        <w:rPr>
          <w:rFonts w:cs="Arial"/>
        </w:rPr>
        <w:t>rder on 18 May 2015</w:t>
      </w:r>
      <w:r w:rsidR="008A3C98">
        <w:rPr>
          <w:rFonts w:cs="Arial"/>
        </w:rPr>
        <w:t>, which was one for absolution from the instance</w:t>
      </w:r>
      <w:r w:rsidRPr="005E070B">
        <w:rPr>
          <w:rFonts w:cs="Arial"/>
        </w:rPr>
        <w:t xml:space="preserve">.  </w:t>
      </w:r>
    </w:p>
    <w:p w:rsidR="00431039" w:rsidRDefault="00431039" w:rsidP="00431039">
      <w:pPr>
        <w:pStyle w:val="ListParagraph"/>
        <w:spacing w:line="360" w:lineRule="auto"/>
        <w:ind w:left="0"/>
        <w:jc w:val="both"/>
        <w:rPr>
          <w:rFonts w:cs="Arial"/>
        </w:rPr>
      </w:pPr>
    </w:p>
    <w:p w:rsidR="00431039" w:rsidRDefault="00431039" w:rsidP="00431039">
      <w:pPr>
        <w:pStyle w:val="ListParagraph"/>
        <w:spacing w:line="360" w:lineRule="auto"/>
        <w:ind w:left="0"/>
        <w:jc w:val="both"/>
        <w:rPr>
          <w:rFonts w:cs="Arial"/>
        </w:rPr>
      </w:pPr>
      <w:r>
        <w:rPr>
          <w:rFonts w:cs="Arial"/>
        </w:rPr>
        <w:t xml:space="preserve">Held further that </w:t>
      </w:r>
      <w:r w:rsidRPr="005E070B">
        <w:rPr>
          <w:rFonts w:cs="Arial"/>
        </w:rPr>
        <w:t>thi</w:t>
      </w:r>
      <w:r>
        <w:rPr>
          <w:rFonts w:cs="Arial"/>
        </w:rPr>
        <w:t>s result</w:t>
      </w:r>
      <w:r w:rsidRPr="005E070B">
        <w:rPr>
          <w:rFonts w:cs="Arial"/>
        </w:rPr>
        <w:t xml:space="preserve"> determine</w:t>
      </w:r>
      <w:r>
        <w:rPr>
          <w:rFonts w:cs="Arial"/>
        </w:rPr>
        <w:t>d</w:t>
      </w:r>
      <w:r w:rsidRPr="005E070B">
        <w:rPr>
          <w:rFonts w:cs="Arial"/>
        </w:rPr>
        <w:t xml:space="preserve"> the question whether or not the </w:t>
      </w:r>
      <w:r>
        <w:rPr>
          <w:rFonts w:cs="Arial"/>
        </w:rPr>
        <w:t>p</w:t>
      </w:r>
      <w:r w:rsidRPr="005E070B">
        <w:rPr>
          <w:rFonts w:cs="Arial"/>
        </w:rPr>
        <w:t>laintiff was able to prosecute his c</w:t>
      </w:r>
      <w:r>
        <w:rPr>
          <w:rFonts w:cs="Arial"/>
        </w:rPr>
        <w:t>laim successfully to final judg</w:t>
      </w:r>
      <w:r w:rsidRPr="005E070B">
        <w:rPr>
          <w:rFonts w:cs="Arial"/>
        </w:rPr>
        <w:t>ment</w:t>
      </w:r>
      <w:r>
        <w:rPr>
          <w:rFonts w:cs="Arial"/>
        </w:rPr>
        <w:t>,</w:t>
      </w:r>
      <w:r w:rsidRPr="005E070B">
        <w:rPr>
          <w:rFonts w:cs="Arial"/>
        </w:rPr>
        <w:t xml:space="preserve"> as requ</w:t>
      </w:r>
      <w:r w:rsidR="008A3C98">
        <w:rPr>
          <w:rFonts w:cs="Arial"/>
        </w:rPr>
        <w:t>ired by Section 15(2)</w:t>
      </w:r>
      <w:r w:rsidRPr="005E070B">
        <w:rPr>
          <w:rFonts w:cs="Arial"/>
        </w:rPr>
        <w:t xml:space="preserve">. </w:t>
      </w:r>
    </w:p>
    <w:p w:rsidR="00431039" w:rsidRDefault="00431039" w:rsidP="00431039">
      <w:pPr>
        <w:pStyle w:val="ListParagraph"/>
        <w:spacing w:line="360" w:lineRule="auto"/>
        <w:ind w:left="0"/>
        <w:jc w:val="both"/>
        <w:rPr>
          <w:rFonts w:cs="Arial"/>
        </w:rPr>
      </w:pPr>
    </w:p>
    <w:p w:rsidR="00431039" w:rsidRDefault="008A3C98" w:rsidP="00431039">
      <w:pPr>
        <w:pStyle w:val="ListParagraph"/>
        <w:spacing w:line="360" w:lineRule="auto"/>
        <w:ind w:left="0"/>
        <w:jc w:val="both"/>
        <w:rPr>
          <w:rFonts w:cs="Arial"/>
        </w:rPr>
      </w:pPr>
      <w:r>
        <w:rPr>
          <w:rFonts w:cs="Arial"/>
        </w:rPr>
        <w:t>Held that this outcome</w:t>
      </w:r>
      <w:r w:rsidR="00431039" w:rsidRPr="005E070B">
        <w:rPr>
          <w:rFonts w:cs="Arial"/>
        </w:rPr>
        <w:t xml:space="preserve"> was c</w:t>
      </w:r>
      <w:r>
        <w:rPr>
          <w:rFonts w:cs="Arial"/>
        </w:rPr>
        <w:t>learly not successful, so much wa</w:t>
      </w:r>
      <w:r w:rsidR="00431039" w:rsidRPr="005E070B">
        <w:rPr>
          <w:rFonts w:cs="Arial"/>
        </w:rPr>
        <w:t xml:space="preserve">s signified by the granting of </w:t>
      </w:r>
      <w:r w:rsidR="00431039">
        <w:rPr>
          <w:rFonts w:cs="Arial"/>
        </w:rPr>
        <w:t>a</w:t>
      </w:r>
      <w:r w:rsidR="00431039" w:rsidRPr="005E070B">
        <w:rPr>
          <w:rFonts w:cs="Arial"/>
        </w:rPr>
        <w:t>bsolution</w:t>
      </w:r>
      <w:r w:rsidR="00431039">
        <w:rPr>
          <w:rFonts w:cs="Arial"/>
        </w:rPr>
        <w:t xml:space="preserve"> from the instance.</w:t>
      </w:r>
      <w:r w:rsidR="00431039" w:rsidRPr="005E070B">
        <w:rPr>
          <w:rFonts w:cs="Arial"/>
        </w:rPr>
        <w:t xml:space="preserve"> </w:t>
      </w:r>
    </w:p>
    <w:p w:rsidR="008A3C98" w:rsidRDefault="008A3C98" w:rsidP="00431039">
      <w:pPr>
        <w:pStyle w:val="ListParagraph"/>
        <w:spacing w:line="360" w:lineRule="auto"/>
        <w:ind w:left="0"/>
        <w:jc w:val="both"/>
        <w:rPr>
          <w:rFonts w:cs="Arial"/>
        </w:rPr>
      </w:pPr>
    </w:p>
    <w:p w:rsidR="008A3C98" w:rsidRDefault="008A3C98" w:rsidP="00431039">
      <w:pPr>
        <w:pStyle w:val="ListParagraph"/>
        <w:spacing w:line="360" w:lineRule="auto"/>
        <w:ind w:left="0"/>
        <w:jc w:val="both"/>
        <w:rPr>
          <w:rFonts w:cs="Arial"/>
        </w:rPr>
      </w:pPr>
      <w:r>
        <w:rPr>
          <w:rFonts w:cs="Arial"/>
        </w:rPr>
        <w:lastRenderedPageBreak/>
        <w:t>Held that it had to follow</w:t>
      </w:r>
      <w:r w:rsidR="00431039">
        <w:rPr>
          <w:rFonts w:cs="Arial"/>
        </w:rPr>
        <w:t xml:space="preserve"> in such circumstances </w:t>
      </w:r>
      <w:r>
        <w:rPr>
          <w:rFonts w:cs="Arial"/>
        </w:rPr>
        <w:t>–</w:t>
      </w:r>
      <w:r w:rsidR="00431039" w:rsidRPr="005E070B">
        <w:rPr>
          <w:rFonts w:cs="Arial"/>
        </w:rPr>
        <w:t xml:space="preserve"> </w:t>
      </w:r>
      <w:r>
        <w:rPr>
          <w:rFonts w:cs="Arial"/>
        </w:rPr>
        <w:t xml:space="preserve">that </w:t>
      </w:r>
      <w:r w:rsidR="00431039" w:rsidRPr="005E070B">
        <w:rPr>
          <w:rFonts w:cs="Arial"/>
        </w:rPr>
        <w:t>the interruption of prescription</w:t>
      </w:r>
      <w:r w:rsidR="00431039">
        <w:rPr>
          <w:rFonts w:cs="Arial"/>
        </w:rPr>
        <w:t xml:space="preserve"> -</w:t>
      </w:r>
      <w:r w:rsidR="00431039" w:rsidRPr="005E070B">
        <w:rPr>
          <w:rFonts w:cs="Arial"/>
        </w:rPr>
        <w:t xml:space="preserve"> achieved through the service of the first summons under case </w:t>
      </w:r>
      <w:r w:rsidR="00431039">
        <w:rPr>
          <w:rFonts w:cs="Arial"/>
        </w:rPr>
        <w:t>(</w:t>
      </w:r>
      <w:r w:rsidR="00431039" w:rsidRPr="005E070B">
        <w:rPr>
          <w:rFonts w:cs="Arial"/>
        </w:rPr>
        <w:t>T</w:t>
      </w:r>
      <w:r w:rsidR="00431039">
        <w:rPr>
          <w:rFonts w:cs="Arial"/>
        </w:rPr>
        <w:t xml:space="preserve">) </w:t>
      </w:r>
      <w:r w:rsidR="00431039" w:rsidRPr="005E070B">
        <w:rPr>
          <w:rFonts w:cs="Arial"/>
        </w:rPr>
        <w:t>I</w:t>
      </w:r>
      <w:r w:rsidR="00431039">
        <w:rPr>
          <w:rFonts w:cs="Arial"/>
        </w:rPr>
        <w:t xml:space="preserve"> </w:t>
      </w:r>
      <w:r w:rsidR="00431039" w:rsidRPr="005E070B">
        <w:rPr>
          <w:rFonts w:cs="Arial"/>
        </w:rPr>
        <w:t>1632/2004 on 23 July 2004</w:t>
      </w:r>
      <w:r w:rsidR="00431039">
        <w:rPr>
          <w:rFonts w:cs="Arial"/>
        </w:rPr>
        <w:t xml:space="preserve"> -</w:t>
      </w:r>
      <w:r w:rsidR="00431039" w:rsidRPr="005E070B">
        <w:rPr>
          <w:rFonts w:cs="Arial"/>
        </w:rPr>
        <w:t xml:space="preserve"> lapsed once the </w:t>
      </w:r>
      <w:r w:rsidR="00431039">
        <w:rPr>
          <w:rFonts w:cs="Arial"/>
        </w:rPr>
        <w:t>o</w:t>
      </w:r>
      <w:r w:rsidR="00431039" w:rsidRPr="005E070B">
        <w:rPr>
          <w:rFonts w:cs="Arial"/>
        </w:rPr>
        <w:t xml:space="preserve">rder for </w:t>
      </w:r>
      <w:r w:rsidR="00431039">
        <w:rPr>
          <w:rFonts w:cs="Arial"/>
        </w:rPr>
        <w:t>a</w:t>
      </w:r>
      <w:r w:rsidR="00431039" w:rsidRPr="005E070B">
        <w:rPr>
          <w:rFonts w:cs="Arial"/>
        </w:rPr>
        <w:t>bsolution from the instance</w:t>
      </w:r>
      <w:r w:rsidR="00431039">
        <w:rPr>
          <w:rFonts w:cs="Arial"/>
        </w:rPr>
        <w:t xml:space="preserve"> -</w:t>
      </w:r>
      <w:r w:rsidR="00431039" w:rsidRPr="005E070B">
        <w:rPr>
          <w:rFonts w:cs="Arial"/>
        </w:rPr>
        <w:t xml:space="preserve"> (signifying an unsuccessful prosecution of the </w:t>
      </w:r>
      <w:r w:rsidR="00431039">
        <w:rPr>
          <w:rFonts w:cs="Arial"/>
        </w:rPr>
        <w:t>p</w:t>
      </w:r>
      <w:r w:rsidR="00431039" w:rsidRPr="005E070B">
        <w:rPr>
          <w:rFonts w:cs="Arial"/>
        </w:rPr>
        <w:t>laintiff’s claim)</w:t>
      </w:r>
      <w:r w:rsidR="00431039">
        <w:rPr>
          <w:rFonts w:cs="Arial"/>
        </w:rPr>
        <w:t xml:space="preserve"> -</w:t>
      </w:r>
      <w:r w:rsidR="00431039" w:rsidRPr="005E070B">
        <w:rPr>
          <w:rFonts w:cs="Arial"/>
        </w:rPr>
        <w:t xml:space="preserve"> </w:t>
      </w:r>
      <w:r w:rsidR="00431039">
        <w:rPr>
          <w:rFonts w:cs="Arial"/>
        </w:rPr>
        <w:t xml:space="preserve">was granted on 18 May. </w:t>
      </w:r>
    </w:p>
    <w:p w:rsidR="008A3C98" w:rsidRDefault="008A3C98" w:rsidP="00431039">
      <w:pPr>
        <w:pStyle w:val="ListParagraph"/>
        <w:spacing w:line="360" w:lineRule="auto"/>
        <w:ind w:left="0"/>
        <w:jc w:val="both"/>
        <w:rPr>
          <w:rFonts w:cs="Arial"/>
        </w:rPr>
      </w:pPr>
    </w:p>
    <w:p w:rsidR="00431039" w:rsidRDefault="008A3C98" w:rsidP="00431039">
      <w:pPr>
        <w:pStyle w:val="ListParagraph"/>
        <w:spacing w:line="360" w:lineRule="auto"/>
        <w:ind w:left="0"/>
        <w:jc w:val="both"/>
        <w:rPr>
          <w:rFonts w:cs="Arial"/>
        </w:rPr>
      </w:pPr>
      <w:r>
        <w:rPr>
          <w:rFonts w:cs="Arial"/>
        </w:rPr>
        <w:t>Held further that this conclusion was</w:t>
      </w:r>
      <w:r w:rsidR="00431039" w:rsidRPr="005E070B">
        <w:rPr>
          <w:rFonts w:cs="Arial"/>
        </w:rPr>
        <w:t xml:space="preserve"> re-enforced</w:t>
      </w:r>
      <w:r w:rsidR="00431039">
        <w:rPr>
          <w:rFonts w:cs="Arial"/>
        </w:rPr>
        <w:t xml:space="preserve"> by the ancillary factors that the order granting absolution</w:t>
      </w:r>
      <w:r>
        <w:rPr>
          <w:rFonts w:cs="Arial"/>
        </w:rPr>
        <w:t xml:space="preserve"> had</w:t>
      </w:r>
      <w:r w:rsidR="00431039">
        <w:rPr>
          <w:rFonts w:cs="Arial"/>
        </w:rPr>
        <w:t xml:space="preserve"> since become final, as it was never taken on appeal and through the</w:t>
      </w:r>
      <w:r>
        <w:rPr>
          <w:rFonts w:cs="Arial"/>
        </w:rPr>
        <w:t xml:space="preserve"> circumstances where the first</w:t>
      </w:r>
      <w:r w:rsidR="00431039">
        <w:rPr>
          <w:rFonts w:cs="Arial"/>
        </w:rPr>
        <w:t xml:space="preserve"> case was, in any event, never re-enrolled, (if that was at all possible), after the payment of costs.</w:t>
      </w:r>
      <w:r w:rsidR="00431039" w:rsidRPr="005E070B">
        <w:rPr>
          <w:rFonts w:cs="Arial"/>
        </w:rPr>
        <w:t xml:space="preserve">  </w:t>
      </w:r>
    </w:p>
    <w:p w:rsidR="00431039" w:rsidRDefault="00431039" w:rsidP="00431039">
      <w:pPr>
        <w:pStyle w:val="ListParagraph"/>
        <w:spacing w:line="360" w:lineRule="auto"/>
        <w:ind w:left="0"/>
        <w:jc w:val="both"/>
        <w:rPr>
          <w:rFonts w:cs="Arial"/>
        </w:rPr>
      </w:pPr>
    </w:p>
    <w:p w:rsidR="00431039" w:rsidRDefault="00431039" w:rsidP="00431039">
      <w:pPr>
        <w:pStyle w:val="ListParagraph"/>
        <w:spacing w:line="360" w:lineRule="auto"/>
        <w:ind w:left="0"/>
        <w:jc w:val="both"/>
        <w:rPr>
          <w:rFonts w:cs="Arial"/>
        </w:rPr>
      </w:pPr>
      <w:r w:rsidRPr="005E070B">
        <w:rPr>
          <w:rFonts w:cs="Arial"/>
        </w:rPr>
        <w:t>In such circumstances the deeming provisions contained in Section 15(2) of the</w:t>
      </w:r>
      <w:r>
        <w:rPr>
          <w:rFonts w:cs="Arial"/>
        </w:rPr>
        <w:t xml:space="preserve"> Prescription</w:t>
      </w:r>
      <w:r w:rsidRPr="005E070B">
        <w:rPr>
          <w:rFonts w:cs="Arial"/>
        </w:rPr>
        <w:t xml:space="preserve"> Act</w:t>
      </w:r>
      <w:r>
        <w:rPr>
          <w:rFonts w:cs="Arial"/>
        </w:rPr>
        <w:t xml:space="preserve"> 1969</w:t>
      </w:r>
      <w:r w:rsidRPr="005E070B">
        <w:rPr>
          <w:rFonts w:cs="Arial"/>
        </w:rPr>
        <w:t xml:space="preserve"> came into play</w:t>
      </w:r>
      <w:r>
        <w:rPr>
          <w:rFonts w:cs="Arial"/>
        </w:rPr>
        <w:t>, with the</w:t>
      </w:r>
      <w:r w:rsidRPr="005E070B">
        <w:rPr>
          <w:rFonts w:cs="Arial"/>
        </w:rPr>
        <w:t xml:space="preserve"> result that the interruption of prescription</w:t>
      </w:r>
      <w:r>
        <w:rPr>
          <w:rFonts w:cs="Arial"/>
        </w:rPr>
        <w:t>,</w:t>
      </w:r>
      <w:r w:rsidRPr="005E070B">
        <w:rPr>
          <w:rFonts w:cs="Arial"/>
        </w:rPr>
        <w:t xml:space="preserve"> which</w:t>
      </w:r>
      <w:r>
        <w:rPr>
          <w:rFonts w:cs="Arial"/>
        </w:rPr>
        <w:t xml:space="preserve"> had</w:t>
      </w:r>
      <w:r w:rsidRPr="005E070B">
        <w:rPr>
          <w:rFonts w:cs="Arial"/>
        </w:rPr>
        <w:t xml:space="preserve"> occurred on 23 July 2004 was deemed not to have occurred</w:t>
      </w:r>
      <w:r>
        <w:rPr>
          <w:rFonts w:cs="Arial"/>
        </w:rPr>
        <w:t>, thus resulting in the</w:t>
      </w:r>
      <w:r w:rsidRPr="005E070B">
        <w:rPr>
          <w:rFonts w:cs="Arial"/>
        </w:rPr>
        <w:t xml:space="preserve"> situation that the </w:t>
      </w:r>
      <w:r>
        <w:rPr>
          <w:rFonts w:cs="Arial"/>
        </w:rPr>
        <w:t>p</w:t>
      </w:r>
      <w:r w:rsidRPr="005E070B">
        <w:rPr>
          <w:rFonts w:cs="Arial"/>
        </w:rPr>
        <w:t>laintiff’s claim</w:t>
      </w:r>
      <w:r>
        <w:rPr>
          <w:rFonts w:cs="Arial"/>
        </w:rPr>
        <w:t>,</w:t>
      </w:r>
      <w:r w:rsidRPr="005E070B">
        <w:rPr>
          <w:rFonts w:cs="Arial"/>
        </w:rPr>
        <w:t xml:space="preserve"> against the </w:t>
      </w:r>
      <w:r>
        <w:rPr>
          <w:rFonts w:cs="Arial"/>
        </w:rPr>
        <w:t>d</w:t>
      </w:r>
      <w:r w:rsidRPr="005E070B">
        <w:rPr>
          <w:rFonts w:cs="Arial"/>
        </w:rPr>
        <w:t>efendant</w:t>
      </w:r>
      <w:r w:rsidR="008A3C98">
        <w:rPr>
          <w:rFonts w:cs="Arial"/>
        </w:rPr>
        <w:t xml:space="preserve"> had </w:t>
      </w:r>
      <w:r w:rsidR="00821CF1">
        <w:rPr>
          <w:rFonts w:cs="Arial"/>
        </w:rPr>
        <w:t xml:space="preserve">already </w:t>
      </w:r>
      <w:r w:rsidR="008A3C98">
        <w:rPr>
          <w:rFonts w:cs="Arial"/>
        </w:rPr>
        <w:t>beco</w:t>
      </w:r>
      <w:r w:rsidRPr="005E070B">
        <w:rPr>
          <w:rFonts w:cs="Arial"/>
        </w:rPr>
        <w:t xml:space="preserve">me </w:t>
      </w:r>
      <w:r>
        <w:rPr>
          <w:rFonts w:cs="Arial"/>
        </w:rPr>
        <w:t>prescribed</w:t>
      </w:r>
      <w:r w:rsidRPr="005E070B">
        <w:rPr>
          <w:rFonts w:cs="Arial"/>
        </w:rPr>
        <w:t xml:space="preserve"> during or about October 2005.  </w:t>
      </w:r>
    </w:p>
    <w:p w:rsidR="00496FE6" w:rsidRDefault="00496FE6" w:rsidP="00516F95">
      <w:pPr>
        <w:spacing w:after="0" w:line="360" w:lineRule="auto"/>
        <w:jc w:val="both"/>
        <w:rPr>
          <w:rFonts w:ascii="Arial" w:hAnsi="Arial" w:cs="Arial"/>
          <w:sz w:val="24"/>
          <w:szCs w:val="24"/>
        </w:rPr>
      </w:pPr>
    </w:p>
    <w:p w:rsidR="008A3C98" w:rsidRDefault="008A3C98" w:rsidP="00516F95">
      <w:pPr>
        <w:spacing w:after="0" w:line="360" w:lineRule="auto"/>
        <w:jc w:val="both"/>
        <w:rPr>
          <w:rFonts w:ascii="Arial" w:hAnsi="Arial" w:cs="Arial"/>
          <w:sz w:val="24"/>
          <w:szCs w:val="24"/>
        </w:rPr>
      </w:pPr>
      <w:r>
        <w:rPr>
          <w:rFonts w:ascii="Arial" w:hAnsi="Arial" w:cs="Arial"/>
          <w:sz w:val="24"/>
          <w:szCs w:val="24"/>
        </w:rPr>
        <w:t>In the result the special plea of prescription was upheld with costs.</w:t>
      </w:r>
    </w:p>
    <w:p w:rsidR="00496FE6" w:rsidRDefault="00496FE6" w:rsidP="008A1EB5">
      <w:pPr>
        <w:spacing w:after="0" w:line="360" w:lineRule="auto"/>
        <w:jc w:val="both"/>
        <w:rPr>
          <w:rFonts w:ascii="Arial" w:hAnsi="Arial" w:cs="Arial"/>
          <w:bCs/>
          <w:sz w:val="24"/>
          <w:szCs w:val="24"/>
        </w:rPr>
      </w:pPr>
    </w:p>
    <w:p w:rsidR="001B7E1F" w:rsidRPr="006E026B" w:rsidRDefault="009E7F12"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9E7F12"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7AE7" w:rsidRDefault="00C87AE7" w:rsidP="00BC7729">
      <w:pPr>
        <w:spacing w:after="0" w:line="360" w:lineRule="auto"/>
        <w:jc w:val="both"/>
        <w:rPr>
          <w:rFonts w:ascii="Arial" w:eastAsia="Times New Roman" w:hAnsi="Arial" w:cs="Arial"/>
          <w:bCs/>
          <w:sz w:val="24"/>
          <w:szCs w:val="24"/>
          <w:lang w:val="en-GB"/>
        </w:rPr>
      </w:pPr>
    </w:p>
    <w:p w:rsidR="001241B1" w:rsidRPr="001241B1" w:rsidRDefault="001241B1" w:rsidP="001241B1">
      <w:pPr>
        <w:widowControl w:val="0"/>
        <w:numPr>
          <w:ilvl w:val="0"/>
          <w:numId w:val="39"/>
        </w:numPr>
        <w:spacing w:after="0" w:line="360" w:lineRule="auto"/>
        <w:ind w:left="567" w:hanging="567"/>
        <w:jc w:val="both"/>
        <w:rPr>
          <w:rFonts w:ascii="Arial" w:hAnsi="Arial" w:cs="Arial"/>
          <w:sz w:val="24"/>
          <w:szCs w:val="24"/>
        </w:rPr>
      </w:pPr>
      <w:r w:rsidRPr="001241B1">
        <w:rPr>
          <w:rFonts w:ascii="Arial" w:hAnsi="Arial" w:cs="Arial"/>
          <w:sz w:val="24"/>
          <w:szCs w:val="24"/>
        </w:rPr>
        <w:t>The defendant’s special plea of prescription is upheld with costs, such costs to include the costs of one instructed- and one instructing counsel.</w:t>
      </w:r>
    </w:p>
    <w:p w:rsidR="001241B1" w:rsidRPr="001241B1" w:rsidRDefault="001241B1" w:rsidP="001241B1">
      <w:pPr>
        <w:spacing w:after="0" w:line="360" w:lineRule="auto"/>
        <w:ind w:left="567"/>
        <w:jc w:val="both"/>
        <w:rPr>
          <w:rFonts w:ascii="Arial" w:hAnsi="Arial" w:cs="Arial"/>
          <w:sz w:val="24"/>
          <w:szCs w:val="24"/>
        </w:rPr>
      </w:pPr>
    </w:p>
    <w:p w:rsidR="001241B1" w:rsidRPr="001241B1" w:rsidRDefault="001241B1" w:rsidP="001241B1">
      <w:pPr>
        <w:widowControl w:val="0"/>
        <w:numPr>
          <w:ilvl w:val="0"/>
          <w:numId w:val="39"/>
        </w:numPr>
        <w:spacing w:after="0" w:line="360" w:lineRule="auto"/>
        <w:ind w:left="567" w:hanging="567"/>
        <w:jc w:val="both"/>
        <w:rPr>
          <w:rFonts w:ascii="Arial" w:hAnsi="Arial" w:cs="Arial"/>
          <w:sz w:val="24"/>
          <w:szCs w:val="24"/>
        </w:rPr>
      </w:pPr>
      <w:r w:rsidRPr="001241B1">
        <w:rPr>
          <w:rFonts w:ascii="Arial" w:hAnsi="Arial" w:cs="Arial"/>
          <w:sz w:val="24"/>
          <w:szCs w:val="24"/>
        </w:rPr>
        <w:t xml:space="preserve">The case is accordingly regarded as </w:t>
      </w:r>
      <w:proofErr w:type="spellStart"/>
      <w:r w:rsidRPr="001241B1">
        <w:rPr>
          <w:rFonts w:ascii="Arial" w:hAnsi="Arial" w:cs="Arial"/>
          <w:sz w:val="24"/>
          <w:szCs w:val="24"/>
        </w:rPr>
        <w:t>finalised</w:t>
      </w:r>
      <w:proofErr w:type="spellEnd"/>
      <w:r w:rsidRPr="001241B1">
        <w:rPr>
          <w:rFonts w:ascii="Arial" w:hAnsi="Arial" w:cs="Arial"/>
          <w:sz w:val="24"/>
          <w:szCs w:val="24"/>
        </w:rPr>
        <w:t>.</w:t>
      </w:r>
    </w:p>
    <w:p w:rsidR="005C3987" w:rsidRDefault="005C3987" w:rsidP="008B271A">
      <w:pPr>
        <w:spacing w:after="0" w:line="360" w:lineRule="auto"/>
        <w:jc w:val="both"/>
        <w:rPr>
          <w:rFonts w:ascii="Arial" w:hAnsi="Arial" w:cs="Arial"/>
          <w:sz w:val="24"/>
          <w:szCs w:val="24"/>
        </w:rPr>
      </w:pPr>
    </w:p>
    <w:p w:rsidR="001B7E1F" w:rsidRPr="006E026B" w:rsidRDefault="009E7F12"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5E070B" w:rsidRPr="008B6354" w:rsidRDefault="009E7F12" w:rsidP="008B6354">
      <w:pPr>
        <w:spacing w:after="0" w:line="360" w:lineRule="auto"/>
        <w:jc w:val="both"/>
        <w:rPr>
          <w:rFonts w:ascii="Arial" w:hAnsi="Arial" w:cs="Arial"/>
          <w:b/>
          <w:sz w:val="24"/>
          <w:szCs w:val="24"/>
        </w:rPr>
      </w:pPr>
      <w:r>
        <w:rPr>
          <w:rFonts w:ascii="Arial" w:hAnsi="Arial" w:cs="Arial"/>
          <w:bCs/>
          <w:sz w:val="24"/>
          <w:szCs w:val="24"/>
        </w:rPr>
        <w:pict>
          <v:rect id="_x0000_i1028" style="width:0;height:1.5pt" o:hrstd="t" o:hr="t" fillcolor="#a0a0a0" stroked="f"/>
        </w:pict>
      </w:r>
      <w:r w:rsidR="008B76F1">
        <w:rPr>
          <w:rFonts w:ascii="Arial" w:hAnsi="Arial" w:cs="Arial"/>
          <w:sz w:val="24"/>
          <w:szCs w:val="24"/>
        </w:rPr>
        <w:t>GEIER</w:t>
      </w:r>
      <w:r w:rsidR="00261313">
        <w:rPr>
          <w:rFonts w:ascii="Arial" w:hAnsi="Arial" w:cs="Arial"/>
          <w:sz w:val="24"/>
          <w:szCs w:val="24"/>
        </w:rPr>
        <w:t>J</w:t>
      </w:r>
      <w:r w:rsidR="00484780" w:rsidRPr="006E026B">
        <w:rPr>
          <w:rFonts w:ascii="Arial" w:hAnsi="Arial" w:cs="Arial"/>
          <w:sz w:val="24"/>
          <w:szCs w:val="24"/>
        </w:rPr>
        <w:t>:</w:t>
      </w:r>
      <w:r w:rsidR="001241B1" w:rsidRPr="001241B1">
        <w:rPr>
          <w:rFonts w:ascii="Arial" w:hAnsi="Arial" w:cs="Arial"/>
          <w:sz w:val="24"/>
          <w:szCs w:val="24"/>
        </w:rPr>
        <w:t xml:space="preserve"> </w:t>
      </w:r>
    </w:p>
    <w:p w:rsidR="005E070B" w:rsidRDefault="005E070B" w:rsidP="001241B1">
      <w:pPr>
        <w:spacing w:after="0" w:line="360" w:lineRule="auto"/>
        <w:jc w:val="both"/>
        <w:rPr>
          <w:rFonts w:ascii="Arial" w:hAnsi="Arial" w:cs="Arial"/>
          <w:sz w:val="24"/>
          <w:szCs w:val="24"/>
        </w:rPr>
      </w:pPr>
    </w:p>
    <w:p w:rsidR="00FE7F03" w:rsidRDefault="005E070B" w:rsidP="001241B1">
      <w:pPr>
        <w:spacing w:after="0" w:line="360" w:lineRule="auto"/>
        <w:jc w:val="both"/>
        <w:rPr>
          <w:rFonts w:ascii="Arial" w:hAnsi="Arial" w:cs="Arial"/>
          <w:sz w:val="24"/>
          <w:szCs w:val="24"/>
        </w:rPr>
      </w:pPr>
      <w:r>
        <w:rPr>
          <w:rFonts w:ascii="Arial" w:hAnsi="Arial" w:cs="Arial"/>
          <w:sz w:val="24"/>
          <w:szCs w:val="24"/>
        </w:rPr>
        <w:t>[1]</w:t>
      </w:r>
      <w:r w:rsidR="00FE7F03">
        <w:rPr>
          <w:rFonts w:ascii="Arial" w:hAnsi="Arial" w:cs="Arial"/>
          <w:sz w:val="24"/>
          <w:szCs w:val="24"/>
        </w:rPr>
        <w:tab/>
        <w:t>The parties have brought their dispute to the court for its determination by way of a stated case.</w:t>
      </w:r>
    </w:p>
    <w:p w:rsidR="00FE7F03" w:rsidRDefault="00FE7F03" w:rsidP="001241B1">
      <w:pPr>
        <w:spacing w:after="0" w:line="360" w:lineRule="auto"/>
        <w:jc w:val="both"/>
        <w:rPr>
          <w:rFonts w:ascii="Arial" w:hAnsi="Arial" w:cs="Arial"/>
          <w:sz w:val="24"/>
          <w:szCs w:val="24"/>
        </w:rPr>
      </w:pPr>
    </w:p>
    <w:p w:rsidR="00287D1C" w:rsidRPr="00287D1C" w:rsidRDefault="00287D1C" w:rsidP="001241B1">
      <w:pPr>
        <w:spacing w:after="0" w:line="360" w:lineRule="auto"/>
        <w:jc w:val="both"/>
        <w:rPr>
          <w:rFonts w:ascii="Arial" w:hAnsi="Arial" w:cs="Arial"/>
          <w:sz w:val="24"/>
          <w:szCs w:val="24"/>
          <w:u w:val="single"/>
        </w:rPr>
      </w:pPr>
      <w:r w:rsidRPr="00287D1C">
        <w:rPr>
          <w:rFonts w:ascii="Arial" w:hAnsi="Arial" w:cs="Arial"/>
          <w:sz w:val="24"/>
          <w:szCs w:val="24"/>
          <w:u w:val="single"/>
        </w:rPr>
        <w:lastRenderedPageBreak/>
        <w:t>The agreed facts</w:t>
      </w:r>
    </w:p>
    <w:p w:rsidR="00287D1C" w:rsidRDefault="00287D1C" w:rsidP="001241B1">
      <w:pPr>
        <w:spacing w:after="0" w:line="360" w:lineRule="auto"/>
        <w:jc w:val="both"/>
        <w:rPr>
          <w:rFonts w:ascii="Arial" w:hAnsi="Arial" w:cs="Arial"/>
          <w:sz w:val="24"/>
          <w:szCs w:val="24"/>
        </w:rPr>
      </w:pPr>
    </w:p>
    <w:p w:rsidR="00FE7F03" w:rsidRDefault="00FE7F03" w:rsidP="001241B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amended statement of agreed facts</w:t>
      </w:r>
      <w:r w:rsidR="00D67610">
        <w:rPr>
          <w:rFonts w:ascii="Arial" w:hAnsi="Arial" w:cs="Arial"/>
          <w:sz w:val="24"/>
          <w:szCs w:val="24"/>
        </w:rPr>
        <w:t>,</w:t>
      </w:r>
      <w:r>
        <w:rPr>
          <w:rFonts w:ascii="Arial" w:hAnsi="Arial" w:cs="Arial"/>
          <w:sz w:val="24"/>
          <w:szCs w:val="24"/>
        </w:rPr>
        <w:t xml:space="preserve"> on which this determination is to be made</w:t>
      </w:r>
      <w:r w:rsidR="00D67610">
        <w:rPr>
          <w:rFonts w:ascii="Arial" w:hAnsi="Arial" w:cs="Arial"/>
          <w:sz w:val="24"/>
          <w:szCs w:val="24"/>
        </w:rPr>
        <w:t>,</w:t>
      </w:r>
      <w:r>
        <w:rPr>
          <w:rFonts w:ascii="Arial" w:hAnsi="Arial" w:cs="Arial"/>
          <w:sz w:val="24"/>
          <w:szCs w:val="24"/>
        </w:rPr>
        <w:t xml:space="preserve"> was summed up by </w:t>
      </w:r>
      <w:r w:rsidR="00D67610">
        <w:rPr>
          <w:rFonts w:ascii="Arial" w:hAnsi="Arial" w:cs="Arial"/>
          <w:sz w:val="24"/>
          <w:szCs w:val="24"/>
        </w:rPr>
        <w:t>the parties as follows</w:t>
      </w:r>
      <w:r>
        <w:rPr>
          <w:rFonts w:ascii="Arial" w:hAnsi="Arial" w:cs="Arial"/>
          <w:sz w:val="24"/>
          <w:szCs w:val="24"/>
        </w:rPr>
        <w:t>:</w:t>
      </w:r>
    </w:p>
    <w:p w:rsidR="00FE7F03" w:rsidRDefault="00FE7F03" w:rsidP="001241B1">
      <w:pPr>
        <w:spacing w:after="0" w:line="360" w:lineRule="auto"/>
        <w:jc w:val="both"/>
        <w:rPr>
          <w:rFonts w:ascii="Arial" w:hAnsi="Arial" w:cs="Arial"/>
          <w:sz w:val="24"/>
          <w:szCs w:val="24"/>
        </w:rPr>
      </w:pPr>
    </w:p>
    <w:p w:rsidR="00FE7F03" w:rsidRPr="002A4B27" w:rsidRDefault="00FE7F03" w:rsidP="00743DF5">
      <w:pPr>
        <w:spacing w:after="0" w:line="360" w:lineRule="auto"/>
        <w:jc w:val="both"/>
        <w:rPr>
          <w:rFonts w:ascii="Arial" w:hAnsi="Arial" w:cs="Arial"/>
        </w:rPr>
      </w:pPr>
      <w:r>
        <w:rPr>
          <w:rFonts w:ascii="Arial" w:hAnsi="Arial" w:cs="Arial"/>
          <w:sz w:val="24"/>
          <w:szCs w:val="24"/>
        </w:rPr>
        <w:t>‘</w:t>
      </w:r>
      <w:r w:rsidRPr="002A4B27">
        <w:rPr>
          <w:rFonts w:ascii="Arial" w:hAnsi="Arial" w:cs="Arial"/>
        </w:rPr>
        <w:t>3.1</w:t>
      </w:r>
      <w:r w:rsidRPr="002A4B27">
        <w:rPr>
          <w:rFonts w:ascii="Arial" w:hAnsi="Arial" w:cs="Arial"/>
        </w:rPr>
        <w:tab/>
        <w:t>The parties entered into a building contract during 2001.  The plaintiff was the contractor and the defendant the employer.</w:t>
      </w:r>
    </w:p>
    <w:p w:rsidR="00FE7F03" w:rsidRPr="002A4B27" w:rsidRDefault="00FE7F03" w:rsidP="00743DF5">
      <w:pPr>
        <w:spacing w:after="0" w:line="360" w:lineRule="auto"/>
        <w:jc w:val="both"/>
        <w:rPr>
          <w:rFonts w:ascii="Arial" w:hAnsi="Arial" w:cs="Arial"/>
        </w:rPr>
      </w:pPr>
    </w:p>
    <w:p w:rsidR="00FE7F03" w:rsidRPr="002A4B27" w:rsidRDefault="00FE7F03" w:rsidP="00743DF5">
      <w:pPr>
        <w:spacing w:after="0" w:line="360" w:lineRule="auto"/>
        <w:jc w:val="both"/>
        <w:rPr>
          <w:rFonts w:ascii="Arial" w:hAnsi="Arial" w:cs="Arial"/>
        </w:rPr>
      </w:pPr>
      <w:r w:rsidRPr="002A4B27">
        <w:rPr>
          <w:rFonts w:ascii="Arial" w:hAnsi="Arial" w:cs="Arial"/>
        </w:rPr>
        <w:t>3.2</w:t>
      </w:r>
      <w:r w:rsidRPr="002A4B27">
        <w:rPr>
          <w:rFonts w:ascii="Arial" w:hAnsi="Arial" w:cs="Arial"/>
        </w:rPr>
        <w:tab/>
        <w:t>A dispute regarding payment arose between the parties during 2002.</w:t>
      </w:r>
    </w:p>
    <w:p w:rsidR="00FE7F03" w:rsidRPr="002A4B27" w:rsidRDefault="00FE7F03" w:rsidP="00743DF5">
      <w:pPr>
        <w:spacing w:after="0" w:line="360" w:lineRule="auto"/>
        <w:jc w:val="both"/>
        <w:rPr>
          <w:rFonts w:ascii="Arial" w:hAnsi="Arial" w:cs="Arial"/>
        </w:rPr>
      </w:pPr>
    </w:p>
    <w:p w:rsidR="00FE7F03" w:rsidRPr="002A4B27" w:rsidRDefault="00FE7F03" w:rsidP="00743DF5">
      <w:pPr>
        <w:spacing w:after="0" w:line="360" w:lineRule="auto"/>
        <w:jc w:val="both"/>
        <w:rPr>
          <w:rFonts w:ascii="Arial" w:hAnsi="Arial" w:cs="Arial"/>
        </w:rPr>
      </w:pPr>
      <w:r w:rsidRPr="002A4B27">
        <w:rPr>
          <w:rFonts w:ascii="Arial" w:hAnsi="Arial" w:cs="Arial"/>
        </w:rPr>
        <w:t>3.3</w:t>
      </w:r>
      <w:r w:rsidRPr="002A4B27">
        <w:rPr>
          <w:rFonts w:ascii="Arial" w:hAnsi="Arial" w:cs="Arial"/>
        </w:rPr>
        <w:tab/>
        <w:t>Plaintiff instituted the First Action against defendant with respect to the dispute during July 2004 for the following relief:</w:t>
      </w:r>
    </w:p>
    <w:p w:rsidR="00FE7F03" w:rsidRPr="002A4B27" w:rsidRDefault="00FE7F03" w:rsidP="00743DF5">
      <w:pPr>
        <w:spacing w:after="0" w:line="360" w:lineRule="auto"/>
        <w:jc w:val="both"/>
        <w:rPr>
          <w:rFonts w:ascii="Arial" w:hAnsi="Arial" w:cs="Arial"/>
        </w:rPr>
      </w:pPr>
    </w:p>
    <w:p w:rsidR="00FE7F03" w:rsidRPr="002A4B27" w:rsidRDefault="00FE7F03"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Payment of the amount of N$101, 331.04;</w:t>
      </w:r>
    </w:p>
    <w:p w:rsidR="00366D6A" w:rsidRPr="002A4B27" w:rsidRDefault="00366D6A" w:rsidP="008B6354">
      <w:pPr>
        <w:pStyle w:val="ListParagraph"/>
        <w:spacing w:line="360" w:lineRule="auto"/>
        <w:ind w:left="567" w:hanging="567"/>
        <w:jc w:val="both"/>
        <w:rPr>
          <w:rFonts w:cs="Arial"/>
          <w:sz w:val="22"/>
          <w:szCs w:val="22"/>
        </w:rPr>
      </w:pPr>
    </w:p>
    <w:p w:rsidR="00FE7F03" w:rsidRPr="002A4B27" w:rsidRDefault="00FE7F03"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Interest on the aforesaid amount of N$101, 331.04 calculated at the rate of 20% per annum from date of issue of certificate no. 10 until date of payment;</w:t>
      </w:r>
    </w:p>
    <w:p w:rsidR="00366D6A" w:rsidRPr="002A4B27" w:rsidRDefault="00366D6A" w:rsidP="008B6354">
      <w:pPr>
        <w:pStyle w:val="ListParagraph"/>
        <w:spacing w:line="360" w:lineRule="auto"/>
        <w:ind w:left="567" w:hanging="567"/>
        <w:rPr>
          <w:rFonts w:cs="Arial"/>
          <w:sz w:val="22"/>
          <w:szCs w:val="22"/>
        </w:rPr>
      </w:pPr>
    </w:p>
    <w:p w:rsidR="00366D6A" w:rsidRPr="002A4B27" w:rsidRDefault="00366D6A" w:rsidP="008B6354">
      <w:pPr>
        <w:pStyle w:val="ListParagraph"/>
        <w:spacing w:line="360" w:lineRule="auto"/>
        <w:ind w:left="567" w:hanging="567"/>
        <w:jc w:val="both"/>
        <w:rPr>
          <w:rFonts w:cs="Arial"/>
          <w:sz w:val="22"/>
          <w:szCs w:val="22"/>
        </w:rPr>
      </w:pPr>
    </w:p>
    <w:p w:rsidR="00FE7F03" w:rsidRPr="002A4B27" w:rsidRDefault="00FE7F03"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Payment of the amount of N$132, 082.88;</w:t>
      </w:r>
    </w:p>
    <w:p w:rsidR="00366D6A" w:rsidRPr="002A4B27" w:rsidRDefault="00366D6A" w:rsidP="008B6354">
      <w:pPr>
        <w:pStyle w:val="ListParagraph"/>
        <w:spacing w:line="360" w:lineRule="auto"/>
        <w:ind w:left="567" w:hanging="567"/>
        <w:jc w:val="both"/>
        <w:rPr>
          <w:rFonts w:cs="Arial"/>
          <w:sz w:val="22"/>
          <w:szCs w:val="22"/>
        </w:rPr>
      </w:pPr>
    </w:p>
    <w:p w:rsidR="00FE7F03" w:rsidRPr="002A4B27" w:rsidRDefault="00FE7F03"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Interest on the aforesaid amount of N$132, 082.88 calculated at the rate of 20% per annum from date of issue of certificate no. 1</w:t>
      </w:r>
      <w:r w:rsidR="00E71C3D" w:rsidRPr="002A4B27">
        <w:rPr>
          <w:rFonts w:cs="Arial"/>
          <w:sz w:val="22"/>
          <w:szCs w:val="22"/>
        </w:rPr>
        <w:t>1</w:t>
      </w:r>
      <w:r w:rsidRPr="002A4B27">
        <w:rPr>
          <w:rFonts w:cs="Arial"/>
          <w:sz w:val="22"/>
          <w:szCs w:val="22"/>
        </w:rPr>
        <w:t xml:space="preserve"> until date of payment;</w:t>
      </w:r>
    </w:p>
    <w:p w:rsidR="00366D6A" w:rsidRPr="002A4B27" w:rsidRDefault="00366D6A" w:rsidP="008B6354">
      <w:pPr>
        <w:pStyle w:val="ListParagraph"/>
        <w:spacing w:line="360" w:lineRule="auto"/>
        <w:ind w:left="567" w:hanging="567"/>
        <w:jc w:val="both"/>
        <w:rPr>
          <w:rFonts w:cs="Arial"/>
          <w:sz w:val="22"/>
          <w:szCs w:val="22"/>
        </w:rPr>
      </w:pPr>
    </w:p>
    <w:p w:rsidR="00E71C3D" w:rsidRPr="002A4B27" w:rsidRDefault="00E71C3D"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Payment of the amount of N$6, 165.04;</w:t>
      </w:r>
    </w:p>
    <w:p w:rsidR="00366D6A" w:rsidRPr="002A4B27" w:rsidRDefault="00366D6A" w:rsidP="008B6354">
      <w:pPr>
        <w:pStyle w:val="ListParagraph"/>
        <w:spacing w:line="360" w:lineRule="auto"/>
        <w:ind w:left="567" w:hanging="567"/>
        <w:jc w:val="both"/>
        <w:rPr>
          <w:rFonts w:cs="Arial"/>
          <w:sz w:val="22"/>
          <w:szCs w:val="22"/>
        </w:rPr>
      </w:pPr>
    </w:p>
    <w:p w:rsidR="00E71C3D" w:rsidRPr="002A4B27" w:rsidRDefault="00E71C3D"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Interest on the amount of N$ N$6, 165.04 calculated at the rate of 20% per annum a tempore morae;</w:t>
      </w:r>
    </w:p>
    <w:p w:rsidR="00366D6A" w:rsidRPr="002A4B27" w:rsidRDefault="00366D6A" w:rsidP="008B6354">
      <w:pPr>
        <w:pStyle w:val="ListParagraph"/>
        <w:spacing w:line="360" w:lineRule="auto"/>
        <w:ind w:left="567" w:hanging="567"/>
        <w:jc w:val="both"/>
        <w:rPr>
          <w:rFonts w:cs="Arial"/>
          <w:sz w:val="22"/>
          <w:szCs w:val="22"/>
        </w:rPr>
      </w:pPr>
    </w:p>
    <w:p w:rsidR="00E71C3D" w:rsidRPr="002A4B27" w:rsidRDefault="00E71C3D"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Payment of the amount of N$52, 881.25 calculated at the rate of 20% per annum a tempore morae</w:t>
      </w:r>
      <w:r w:rsidR="00366D6A" w:rsidRPr="002A4B27">
        <w:rPr>
          <w:rFonts w:cs="Arial"/>
          <w:sz w:val="22"/>
          <w:szCs w:val="22"/>
        </w:rPr>
        <w:t xml:space="preserve"> until date of payment.</w:t>
      </w:r>
    </w:p>
    <w:p w:rsidR="00366D6A" w:rsidRPr="002A4B27" w:rsidRDefault="00366D6A" w:rsidP="008B6354">
      <w:pPr>
        <w:pStyle w:val="ListParagraph"/>
        <w:spacing w:line="360" w:lineRule="auto"/>
        <w:ind w:left="567" w:hanging="567"/>
        <w:jc w:val="both"/>
        <w:rPr>
          <w:rFonts w:cs="Arial"/>
          <w:sz w:val="22"/>
          <w:szCs w:val="22"/>
        </w:rPr>
      </w:pPr>
    </w:p>
    <w:p w:rsidR="00E71C3D" w:rsidRPr="002A4B27" w:rsidRDefault="00E71C3D"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Payment of the amount of N$52, 881.25 calculated at the rate of 20% per annum a tempore morae</w:t>
      </w:r>
      <w:r w:rsidR="00366D6A" w:rsidRPr="002A4B27">
        <w:rPr>
          <w:rFonts w:cs="Arial"/>
          <w:sz w:val="22"/>
          <w:szCs w:val="22"/>
        </w:rPr>
        <w:t xml:space="preserve"> until date of payment.</w:t>
      </w:r>
    </w:p>
    <w:p w:rsidR="00366D6A" w:rsidRPr="002A4B27" w:rsidRDefault="00366D6A" w:rsidP="008B6354">
      <w:pPr>
        <w:pStyle w:val="ListParagraph"/>
        <w:spacing w:line="360" w:lineRule="auto"/>
        <w:ind w:left="567" w:hanging="567"/>
        <w:jc w:val="both"/>
        <w:rPr>
          <w:rFonts w:cs="Arial"/>
          <w:sz w:val="22"/>
          <w:szCs w:val="22"/>
        </w:rPr>
      </w:pPr>
    </w:p>
    <w:p w:rsidR="00FE7F03" w:rsidRPr="002A4B27" w:rsidRDefault="00E71C3D"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Costs of suit.</w:t>
      </w:r>
    </w:p>
    <w:p w:rsidR="00366D6A" w:rsidRPr="002A4B27" w:rsidRDefault="00366D6A" w:rsidP="008B6354">
      <w:pPr>
        <w:pStyle w:val="ListParagraph"/>
        <w:spacing w:line="360" w:lineRule="auto"/>
        <w:ind w:left="567" w:hanging="567"/>
        <w:jc w:val="both"/>
        <w:rPr>
          <w:rFonts w:cs="Arial"/>
          <w:sz w:val="22"/>
          <w:szCs w:val="22"/>
        </w:rPr>
      </w:pPr>
    </w:p>
    <w:p w:rsidR="00E71C3D" w:rsidRPr="002A4B27" w:rsidRDefault="00E71C3D" w:rsidP="008B6354">
      <w:pPr>
        <w:pStyle w:val="ListParagraph"/>
        <w:numPr>
          <w:ilvl w:val="0"/>
          <w:numId w:val="43"/>
        </w:numPr>
        <w:spacing w:line="360" w:lineRule="auto"/>
        <w:ind w:left="567" w:hanging="567"/>
        <w:jc w:val="both"/>
        <w:rPr>
          <w:rFonts w:cs="Arial"/>
          <w:sz w:val="22"/>
          <w:szCs w:val="22"/>
        </w:rPr>
      </w:pPr>
      <w:r w:rsidRPr="002A4B27">
        <w:rPr>
          <w:rFonts w:cs="Arial"/>
          <w:sz w:val="22"/>
          <w:szCs w:val="22"/>
        </w:rPr>
        <w:t>Further and/or alternative relief.</w:t>
      </w:r>
    </w:p>
    <w:p w:rsidR="00366D6A" w:rsidRPr="002A4B27" w:rsidRDefault="00366D6A" w:rsidP="00743DF5">
      <w:pPr>
        <w:pStyle w:val="ListParagraph"/>
        <w:spacing w:line="360" w:lineRule="auto"/>
        <w:ind w:left="1276"/>
        <w:jc w:val="both"/>
        <w:rPr>
          <w:rFonts w:cs="Arial"/>
          <w:sz w:val="22"/>
          <w:szCs w:val="22"/>
        </w:rPr>
      </w:pPr>
    </w:p>
    <w:p w:rsidR="00E71C3D" w:rsidRDefault="00E71C3D" w:rsidP="00743DF5">
      <w:pPr>
        <w:spacing w:after="0" w:line="360" w:lineRule="auto"/>
        <w:jc w:val="both"/>
        <w:rPr>
          <w:rFonts w:ascii="Arial" w:hAnsi="Arial" w:cs="Arial"/>
        </w:rPr>
      </w:pPr>
      <w:r w:rsidRPr="002A4B27">
        <w:rPr>
          <w:rFonts w:ascii="Arial" w:hAnsi="Arial" w:cs="Arial"/>
        </w:rPr>
        <w:t>3.4</w:t>
      </w:r>
      <w:r w:rsidRPr="002A4B27">
        <w:rPr>
          <w:rFonts w:ascii="Arial" w:hAnsi="Arial" w:cs="Arial"/>
        </w:rPr>
        <w:tab/>
      </w:r>
      <w:r w:rsidR="007335EE" w:rsidRPr="002A4B27">
        <w:rPr>
          <w:rFonts w:ascii="Arial" w:hAnsi="Arial" w:cs="Arial"/>
        </w:rPr>
        <w:t>A copy of the combined summons and annexures in the First Action is attached hereto as annexure “</w:t>
      </w:r>
      <w:r w:rsidR="007335EE" w:rsidRPr="002A4B27">
        <w:rPr>
          <w:rFonts w:ascii="Arial" w:hAnsi="Arial" w:cs="Arial"/>
          <w:b/>
        </w:rPr>
        <w:t>SG1</w:t>
      </w:r>
      <w:r w:rsidR="007335EE" w:rsidRPr="002A4B27">
        <w:rPr>
          <w:rFonts w:ascii="Arial" w:hAnsi="Arial" w:cs="Arial"/>
        </w:rPr>
        <w:t>”.</w:t>
      </w:r>
    </w:p>
    <w:p w:rsidR="008A3C98" w:rsidRPr="002A4B27" w:rsidRDefault="008A3C98" w:rsidP="00743DF5">
      <w:pPr>
        <w:spacing w:after="0" w:line="360" w:lineRule="auto"/>
        <w:jc w:val="both"/>
        <w:rPr>
          <w:rFonts w:ascii="Arial" w:hAnsi="Arial" w:cs="Arial"/>
        </w:rPr>
      </w:pPr>
    </w:p>
    <w:p w:rsidR="009C7A1A" w:rsidRPr="002A4B27" w:rsidRDefault="007335EE" w:rsidP="00743DF5">
      <w:pPr>
        <w:spacing w:after="0" w:line="360" w:lineRule="auto"/>
        <w:jc w:val="both"/>
        <w:rPr>
          <w:rFonts w:ascii="Arial" w:hAnsi="Arial" w:cs="Arial"/>
        </w:rPr>
      </w:pPr>
      <w:r w:rsidRPr="002A4B27">
        <w:rPr>
          <w:rFonts w:ascii="Arial" w:hAnsi="Arial" w:cs="Arial"/>
        </w:rPr>
        <w:t>3.5</w:t>
      </w:r>
      <w:r w:rsidRPr="002A4B27">
        <w:rPr>
          <w:rFonts w:ascii="Arial" w:hAnsi="Arial" w:cs="Arial"/>
        </w:rPr>
        <w:tab/>
        <w:t xml:space="preserve">On or about </w:t>
      </w:r>
      <w:r w:rsidRPr="002A4B27">
        <w:rPr>
          <w:rFonts w:ascii="Arial" w:hAnsi="Arial" w:cs="Arial"/>
          <w:b/>
        </w:rPr>
        <w:t>24 April 2006</w:t>
      </w:r>
      <w:r w:rsidRPr="002A4B27">
        <w:rPr>
          <w:rFonts w:ascii="Arial" w:hAnsi="Arial" w:cs="Arial"/>
        </w:rPr>
        <w:t>, the plaintiff delivered a “Notice of Amendment”. A copy of this “Notice of Amendment” is attached hereto marked as annexure “</w:t>
      </w:r>
      <w:r w:rsidRPr="002A4B27">
        <w:rPr>
          <w:rFonts w:ascii="Arial" w:hAnsi="Arial" w:cs="Arial"/>
          <w:b/>
        </w:rPr>
        <w:t>SG3</w:t>
      </w:r>
      <w:r w:rsidRPr="002A4B27">
        <w:rPr>
          <w:rFonts w:ascii="Arial" w:hAnsi="Arial" w:cs="Arial"/>
        </w:rPr>
        <w:t>”.</w:t>
      </w:r>
    </w:p>
    <w:p w:rsidR="009C7A1A" w:rsidRPr="002A4B27" w:rsidRDefault="009C7A1A" w:rsidP="00743DF5">
      <w:pPr>
        <w:spacing w:after="0" w:line="360" w:lineRule="auto"/>
        <w:jc w:val="both"/>
        <w:rPr>
          <w:rFonts w:ascii="Arial" w:hAnsi="Arial" w:cs="Arial"/>
        </w:rPr>
      </w:pPr>
    </w:p>
    <w:p w:rsidR="007335EE" w:rsidRPr="002A4B27" w:rsidRDefault="007335EE" w:rsidP="00743DF5">
      <w:pPr>
        <w:spacing w:after="0" w:line="360" w:lineRule="auto"/>
        <w:jc w:val="both"/>
        <w:rPr>
          <w:rFonts w:ascii="Arial" w:hAnsi="Arial" w:cs="Arial"/>
        </w:rPr>
      </w:pPr>
      <w:r w:rsidRPr="002A4B27">
        <w:rPr>
          <w:rFonts w:ascii="Arial" w:hAnsi="Arial" w:cs="Arial"/>
        </w:rPr>
        <w:t>3.6</w:t>
      </w:r>
      <w:r w:rsidRPr="002A4B27">
        <w:rPr>
          <w:rFonts w:ascii="Arial" w:hAnsi="Arial" w:cs="Arial"/>
        </w:rPr>
        <w:tab/>
        <w:t xml:space="preserve">On or about </w:t>
      </w:r>
      <w:r w:rsidRPr="002A4B27">
        <w:rPr>
          <w:rFonts w:ascii="Arial" w:hAnsi="Arial" w:cs="Arial"/>
          <w:b/>
        </w:rPr>
        <w:t>10 May 2006</w:t>
      </w:r>
      <w:r w:rsidRPr="002A4B27">
        <w:rPr>
          <w:rFonts w:ascii="Arial" w:hAnsi="Arial" w:cs="Arial"/>
        </w:rPr>
        <w:t xml:space="preserve">, the defendant delivered a “Notice of Objection”. </w:t>
      </w:r>
      <w:proofErr w:type="gramStart"/>
      <w:r w:rsidRPr="002A4B27">
        <w:rPr>
          <w:rFonts w:ascii="Arial" w:hAnsi="Arial" w:cs="Arial"/>
        </w:rPr>
        <w:t>a</w:t>
      </w:r>
      <w:proofErr w:type="gramEnd"/>
      <w:r w:rsidRPr="002A4B27">
        <w:rPr>
          <w:rFonts w:ascii="Arial" w:hAnsi="Arial" w:cs="Arial"/>
        </w:rPr>
        <w:t xml:space="preserve"> copy of which is attached hereto marked as annexure “</w:t>
      </w:r>
      <w:r w:rsidRPr="002A4B27">
        <w:rPr>
          <w:rFonts w:ascii="Arial" w:hAnsi="Arial" w:cs="Arial"/>
          <w:b/>
        </w:rPr>
        <w:t>SG4</w:t>
      </w:r>
      <w:r w:rsidRPr="002A4B27">
        <w:rPr>
          <w:rFonts w:ascii="Arial" w:hAnsi="Arial" w:cs="Arial"/>
        </w:rPr>
        <w:t>”.</w:t>
      </w:r>
    </w:p>
    <w:p w:rsidR="009C7A1A" w:rsidRPr="002A4B27" w:rsidRDefault="009C7A1A" w:rsidP="00743DF5">
      <w:pPr>
        <w:spacing w:after="0" w:line="360" w:lineRule="auto"/>
        <w:jc w:val="both"/>
        <w:rPr>
          <w:rFonts w:ascii="Arial" w:hAnsi="Arial" w:cs="Arial"/>
        </w:rPr>
      </w:pPr>
    </w:p>
    <w:p w:rsidR="007335EE" w:rsidRPr="002A4B27" w:rsidRDefault="00A71BA1" w:rsidP="00743DF5">
      <w:pPr>
        <w:spacing w:after="0" w:line="360" w:lineRule="auto"/>
        <w:jc w:val="both"/>
        <w:rPr>
          <w:rFonts w:ascii="Arial" w:hAnsi="Arial" w:cs="Arial"/>
        </w:rPr>
      </w:pPr>
      <w:r w:rsidRPr="002A4B27">
        <w:rPr>
          <w:rFonts w:ascii="Arial" w:hAnsi="Arial" w:cs="Arial"/>
        </w:rPr>
        <w:t>3.7</w:t>
      </w:r>
      <w:r w:rsidRPr="002A4B27">
        <w:rPr>
          <w:rFonts w:ascii="Arial" w:hAnsi="Arial" w:cs="Arial"/>
        </w:rPr>
        <w:tab/>
        <w:t xml:space="preserve">The defendant on or about </w:t>
      </w:r>
      <w:r w:rsidRPr="002A4B27">
        <w:rPr>
          <w:rFonts w:ascii="Arial" w:hAnsi="Arial" w:cs="Arial"/>
          <w:b/>
        </w:rPr>
        <w:t>28 June 2007</w:t>
      </w:r>
      <w:r w:rsidRPr="002A4B27">
        <w:rPr>
          <w:rFonts w:ascii="Arial" w:hAnsi="Arial" w:cs="Arial"/>
        </w:rPr>
        <w:t>, delivered his Plea. A copy of which is attached hereto marked as annexure “</w:t>
      </w:r>
      <w:r w:rsidRPr="002A4B27">
        <w:rPr>
          <w:rFonts w:ascii="Arial" w:hAnsi="Arial" w:cs="Arial"/>
          <w:b/>
        </w:rPr>
        <w:t>SG5</w:t>
      </w:r>
      <w:r w:rsidRPr="002A4B27">
        <w:rPr>
          <w:rFonts w:ascii="Arial" w:hAnsi="Arial" w:cs="Arial"/>
        </w:rPr>
        <w:t>”.</w:t>
      </w:r>
    </w:p>
    <w:p w:rsidR="009C7A1A" w:rsidRPr="002A4B27" w:rsidRDefault="009C7A1A" w:rsidP="00743DF5">
      <w:pPr>
        <w:spacing w:after="0" w:line="360" w:lineRule="auto"/>
        <w:jc w:val="both"/>
        <w:rPr>
          <w:rFonts w:ascii="Arial" w:hAnsi="Arial" w:cs="Arial"/>
        </w:rPr>
      </w:pPr>
    </w:p>
    <w:p w:rsidR="00A71BA1" w:rsidRDefault="00A71BA1" w:rsidP="00743DF5">
      <w:pPr>
        <w:spacing w:after="0" w:line="360" w:lineRule="auto"/>
        <w:jc w:val="both"/>
        <w:rPr>
          <w:rFonts w:ascii="Arial" w:hAnsi="Arial" w:cs="Arial"/>
        </w:rPr>
      </w:pPr>
      <w:r w:rsidRPr="002A4B27">
        <w:rPr>
          <w:rFonts w:ascii="Arial" w:hAnsi="Arial" w:cs="Arial"/>
        </w:rPr>
        <w:t>3.8</w:t>
      </w:r>
      <w:r w:rsidRPr="002A4B27">
        <w:rPr>
          <w:rFonts w:ascii="Arial" w:hAnsi="Arial" w:cs="Arial"/>
        </w:rPr>
        <w:tab/>
        <w:t xml:space="preserve">On or about </w:t>
      </w:r>
      <w:r w:rsidRPr="002A4B27">
        <w:rPr>
          <w:rFonts w:ascii="Arial" w:hAnsi="Arial" w:cs="Arial"/>
          <w:b/>
        </w:rPr>
        <w:t>March 2014</w:t>
      </w:r>
      <w:r w:rsidRPr="002A4B27">
        <w:rPr>
          <w:rFonts w:ascii="Arial" w:hAnsi="Arial" w:cs="Arial"/>
        </w:rPr>
        <w:t>, the plaintiff again delivered a “Notice of Amendment” which was similar in nature to annexure “SG3”.  A copy of this second “Notice of Amendment” is attached hereto marked as annexure “</w:t>
      </w:r>
      <w:r w:rsidRPr="002A4B27">
        <w:rPr>
          <w:rFonts w:ascii="Arial" w:hAnsi="Arial" w:cs="Arial"/>
          <w:b/>
        </w:rPr>
        <w:t>SG6</w:t>
      </w:r>
      <w:r w:rsidRPr="002A4B27">
        <w:rPr>
          <w:rFonts w:ascii="Arial" w:hAnsi="Arial" w:cs="Arial"/>
        </w:rPr>
        <w:t>”.</w:t>
      </w:r>
    </w:p>
    <w:p w:rsidR="008A3C98" w:rsidRPr="002A4B27" w:rsidRDefault="008A3C98" w:rsidP="00743DF5">
      <w:pPr>
        <w:spacing w:after="0" w:line="360" w:lineRule="auto"/>
        <w:jc w:val="both"/>
        <w:rPr>
          <w:rFonts w:ascii="Arial" w:hAnsi="Arial" w:cs="Arial"/>
        </w:rPr>
      </w:pPr>
    </w:p>
    <w:p w:rsidR="002E1A4B" w:rsidRDefault="00A71BA1" w:rsidP="00743DF5">
      <w:pPr>
        <w:spacing w:after="0" w:line="360" w:lineRule="auto"/>
        <w:jc w:val="both"/>
        <w:rPr>
          <w:rFonts w:ascii="Arial" w:hAnsi="Arial" w:cs="Arial"/>
        </w:rPr>
      </w:pPr>
      <w:r w:rsidRPr="002A4B27">
        <w:rPr>
          <w:rFonts w:ascii="Arial" w:hAnsi="Arial" w:cs="Arial"/>
        </w:rPr>
        <w:t>3.9</w:t>
      </w:r>
      <w:r w:rsidRPr="002A4B27">
        <w:rPr>
          <w:rFonts w:ascii="Arial" w:hAnsi="Arial" w:cs="Arial"/>
        </w:rPr>
        <w:tab/>
        <w:t xml:space="preserve">On or about </w:t>
      </w:r>
      <w:r w:rsidR="002E1A4B" w:rsidRPr="002A4B27">
        <w:rPr>
          <w:rFonts w:ascii="Arial" w:hAnsi="Arial" w:cs="Arial"/>
          <w:b/>
        </w:rPr>
        <w:t>12</w:t>
      </w:r>
      <w:r w:rsidRPr="002A4B27">
        <w:rPr>
          <w:rFonts w:ascii="Arial" w:hAnsi="Arial" w:cs="Arial"/>
          <w:b/>
        </w:rPr>
        <w:t xml:space="preserve"> </w:t>
      </w:r>
      <w:r w:rsidR="002E1A4B" w:rsidRPr="002A4B27">
        <w:rPr>
          <w:rFonts w:ascii="Arial" w:hAnsi="Arial" w:cs="Arial"/>
          <w:b/>
        </w:rPr>
        <w:t>March</w:t>
      </w:r>
      <w:r w:rsidRPr="002A4B27">
        <w:rPr>
          <w:rFonts w:ascii="Arial" w:hAnsi="Arial" w:cs="Arial"/>
          <w:b/>
        </w:rPr>
        <w:t xml:space="preserve"> 20</w:t>
      </w:r>
      <w:r w:rsidR="002E1A4B" w:rsidRPr="002A4B27">
        <w:rPr>
          <w:rFonts w:ascii="Arial" w:hAnsi="Arial" w:cs="Arial"/>
          <w:b/>
        </w:rPr>
        <w:t>14</w:t>
      </w:r>
      <w:r w:rsidRPr="002A4B27">
        <w:rPr>
          <w:rFonts w:ascii="Arial" w:hAnsi="Arial" w:cs="Arial"/>
        </w:rPr>
        <w:t xml:space="preserve"> the </w:t>
      </w:r>
      <w:r w:rsidR="002E1A4B" w:rsidRPr="002A4B27">
        <w:rPr>
          <w:rFonts w:ascii="Arial" w:hAnsi="Arial" w:cs="Arial"/>
        </w:rPr>
        <w:t>defendant again</w:t>
      </w:r>
      <w:r w:rsidRPr="002A4B27">
        <w:rPr>
          <w:rFonts w:ascii="Arial" w:hAnsi="Arial" w:cs="Arial"/>
        </w:rPr>
        <w:t xml:space="preserve"> delivered a “Notice of </w:t>
      </w:r>
      <w:r w:rsidR="002E1A4B" w:rsidRPr="002A4B27">
        <w:rPr>
          <w:rFonts w:ascii="Arial" w:hAnsi="Arial" w:cs="Arial"/>
        </w:rPr>
        <w:t>Objection</w:t>
      </w:r>
      <w:r w:rsidRPr="002A4B27">
        <w:rPr>
          <w:rFonts w:ascii="Arial" w:hAnsi="Arial" w:cs="Arial"/>
        </w:rPr>
        <w:t>”</w:t>
      </w:r>
      <w:r w:rsidR="002E1A4B" w:rsidRPr="002A4B27">
        <w:rPr>
          <w:rFonts w:ascii="Arial" w:hAnsi="Arial" w:cs="Arial"/>
        </w:rPr>
        <w:t xml:space="preserve"> to annexure “SG6”</w:t>
      </w:r>
      <w:r w:rsidRPr="002A4B27">
        <w:rPr>
          <w:rFonts w:ascii="Arial" w:hAnsi="Arial" w:cs="Arial"/>
        </w:rPr>
        <w:t xml:space="preserve">. </w:t>
      </w:r>
      <w:r w:rsidR="002E1A4B" w:rsidRPr="002A4B27">
        <w:rPr>
          <w:rFonts w:ascii="Arial" w:hAnsi="Arial" w:cs="Arial"/>
        </w:rPr>
        <w:t xml:space="preserve"> A copy of which is attached hereto marked as annexure “</w:t>
      </w:r>
      <w:r w:rsidR="002E1A4B" w:rsidRPr="002A4B27">
        <w:rPr>
          <w:rFonts w:ascii="Arial" w:hAnsi="Arial" w:cs="Arial"/>
          <w:b/>
        </w:rPr>
        <w:t>SG7</w:t>
      </w:r>
      <w:r w:rsidR="002E1A4B" w:rsidRPr="002A4B27">
        <w:rPr>
          <w:rFonts w:ascii="Arial" w:hAnsi="Arial" w:cs="Arial"/>
        </w:rPr>
        <w:t>”.</w:t>
      </w:r>
    </w:p>
    <w:p w:rsidR="008A3C98" w:rsidRPr="002A4B27" w:rsidRDefault="008A3C98" w:rsidP="00743DF5">
      <w:pPr>
        <w:spacing w:after="0" w:line="360" w:lineRule="auto"/>
        <w:jc w:val="both"/>
        <w:rPr>
          <w:rFonts w:ascii="Arial" w:hAnsi="Arial" w:cs="Arial"/>
        </w:rPr>
      </w:pPr>
    </w:p>
    <w:p w:rsidR="0015345D" w:rsidRPr="002A4B27" w:rsidRDefault="0015345D" w:rsidP="00743DF5">
      <w:pPr>
        <w:spacing w:after="0" w:line="360" w:lineRule="auto"/>
        <w:jc w:val="both"/>
        <w:rPr>
          <w:rFonts w:ascii="Arial" w:hAnsi="Arial" w:cs="Arial"/>
        </w:rPr>
      </w:pPr>
      <w:r w:rsidRPr="002A4B27">
        <w:rPr>
          <w:rFonts w:ascii="Arial" w:hAnsi="Arial" w:cs="Arial"/>
        </w:rPr>
        <w:t>3.10</w:t>
      </w:r>
      <w:r w:rsidRPr="002A4B27">
        <w:rPr>
          <w:rFonts w:ascii="Arial" w:hAnsi="Arial" w:cs="Arial"/>
        </w:rPr>
        <w:tab/>
        <w:t xml:space="preserve">On or about </w:t>
      </w:r>
      <w:r w:rsidR="00EB272B" w:rsidRPr="002A4B27">
        <w:rPr>
          <w:rFonts w:ascii="Arial" w:hAnsi="Arial" w:cs="Arial"/>
          <w:b/>
        </w:rPr>
        <w:t>14 April</w:t>
      </w:r>
      <w:r w:rsidRPr="002A4B27">
        <w:rPr>
          <w:rFonts w:ascii="Arial" w:hAnsi="Arial" w:cs="Arial"/>
          <w:b/>
        </w:rPr>
        <w:t xml:space="preserve"> 2014</w:t>
      </w:r>
      <w:r w:rsidRPr="002A4B27">
        <w:rPr>
          <w:rFonts w:ascii="Arial" w:hAnsi="Arial" w:cs="Arial"/>
        </w:rPr>
        <w:t xml:space="preserve">, </w:t>
      </w:r>
      <w:r w:rsidR="00EB272B" w:rsidRPr="002A4B27">
        <w:rPr>
          <w:rFonts w:ascii="Arial" w:hAnsi="Arial" w:cs="Arial"/>
        </w:rPr>
        <w:t xml:space="preserve">and by virtue of the “Notice of Objection “SG7”, </w:t>
      </w:r>
      <w:r w:rsidRPr="002A4B27">
        <w:rPr>
          <w:rFonts w:ascii="Arial" w:hAnsi="Arial" w:cs="Arial"/>
        </w:rPr>
        <w:t xml:space="preserve">the plaintiff </w:t>
      </w:r>
      <w:r w:rsidR="00EB272B" w:rsidRPr="002A4B27">
        <w:rPr>
          <w:rFonts w:ascii="Arial" w:hAnsi="Arial" w:cs="Arial"/>
        </w:rPr>
        <w:t xml:space="preserve">launched an </w:t>
      </w:r>
      <w:r w:rsidRPr="002A4B27">
        <w:rPr>
          <w:rFonts w:ascii="Arial" w:hAnsi="Arial" w:cs="Arial"/>
        </w:rPr>
        <w:t>“</w:t>
      </w:r>
      <w:r w:rsidR="00EB272B" w:rsidRPr="002A4B27">
        <w:rPr>
          <w:rFonts w:ascii="Arial" w:hAnsi="Arial" w:cs="Arial"/>
        </w:rPr>
        <w:t>Application to Amend</w:t>
      </w:r>
      <w:r w:rsidRPr="002A4B27">
        <w:rPr>
          <w:rFonts w:ascii="Arial" w:hAnsi="Arial" w:cs="Arial"/>
        </w:rPr>
        <w:t>”</w:t>
      </w:r>
      <w:r w:rsidR="00EB272B" w:rsidRPr="002A4B27">
        <w:rPr>
          <w:rFonts w:ascii="Arial" w:hAnsi="Arial" w:cs="Arial"/>
        </w:rPr>
        <w:t>.</w:t>
      </w:r>
      <w:r w:rsidRPr="002A4B27">
        <w:rPr>
          <w:rFonts w:ascii="Arial" w:hAnsi="Arial" w:cs="Arial"/>
        </w:rPr>
        <w:t xml:space="preserve"> A copy of this “</w:t>
      </w:r>
      <w:r w:rsidR="00EB272B" w:rsidRPr="002A4B27">
        <w:rPr>
          <w:rFonts w:ascii="Arial" w:hAnsi="Arial" w:cs="Arial"/>
        </w:rPr>
        <w:t>Application to Amend</w:t>
      </w:r>
      <w:r w:rsidRPr="002A4B27">
        <w:rPr>
          <w:rFonts w:ascii="Arial" w:hAnsi="Arial" w:cs="Arial"/>
        </w:rPr>
        <w:t>” is attached hereto marked as annexure “</w:t>
      </w:r>
      <w:r w:rsidRPr="002A4B27">
        <w:rPr>
          <w:rFonts w:ascii="Arial" w:hAnsi="Arial" w:cs="Arial"/>
          <w:b/>
        </w:rPr>
        <w:t>SG</w:t>
      </w:r>
      <w:r w:rsidR="00EB272B" w:rsidRPr="002A4B27">
        <w:rPr>
          <w:rFonts w:ascii="Arial" w:hAnsi="Arial" w:cs="Arial"/>
          <w:b/>
        </w:rPr>
        <w:t>8</w:t>
      </w:r>
      <w:r w:rsidRPr="002A4B27">
        <w:rPr>
          <w:rFonts w:ascii="Arial" w:hAnsi="Arial" w:cs="Arial"/>
        </w:rPr>
        <w:t>”</w:t>
      </w:r>
      <w:r w:rsidR="00EB272B" w:rsidRPr="002A4B27">
        <w:rPr>
          <w:rFonts w:ascii="Arial" w:hAnsi="Arial" w:cs="Arial"/>
        </w:rPr>
        <w:t>.</w:t>
      </w:r>
    </w:p>
    <w:p w:rsidR="009C7A1A" w:rsidRPr="002A4B27" w:rsidRDefault="009C7A1A" w:rsidP="00743DF5">
      <w:pPr>
        <w:spacing w:after="0" w:line="360" w:lineRule="auto"/>
        <w:jc w:val="both"/>
        <w:rPr>
          <w:rFonts w:ascii="Arial" w:hAnsi="Arial" w:cs="Arial"/>
        </w:rPr>
      </w:pPr>
    </w:p>
    <w:p w:rsidR="00EB272B" w:rsidRPr="002A4B27" w:rsidRDefault="00EB272B" w:rsidP="00743DF5">
      <w:pPr>
        <w:spacing w:after="0" w:line="360" w:lineRule="auto"/>
        <w:jc w:val="both"/>
        <w:rPr>
          <w:rFonts w:ascii="Arial" w:hAnsi="Arial" w:cs="Arial"/>
        </w:rPr>
      </w:pPr>
      <w:r w:rsidRPr="002A4B27">
        <w:rPr>
          <w:rFonts w:ascii="Arial" w:hAnsi="Arial" w:cs="Arial"/>
        </w:rPr>
        <w:t>3.11</w:t>
      </w:r>
      <w:r w:rsidRPr="002A4B27">
        <w:rPr>
          <w:rFonts w:ascii="Arial" w:hAnsi="Arial" w:cs="Arial"/>
        </w:rPr>
        <w:tab/>
        <w:t xml:space="preserve">On 3 December 2014, this </w:t>
      </w:r>
      <w:proofErr w:type="spellStart"/>
      <w:r w:rsidRPr="002A4B27">
        <w:rPr>
          <w:rFonts w:ascii="Arial" w:hAnsi="Arial" w:cs="Arial"/>
        </w:rPr>
        <w:t>Honourable</w:t>
      </w:r>
      <w:proofErr w:type="spellEnd"/>
      <w:r w:rsidRPr="002A4B27">
        <w:rPr>
          <w:rFonts w:ascii="Arial" w:hAnsi="Arial" w:cs="Arial"/>
        </w:rPr>
        <w:t xml:space="preserve"> Court referred the “Application for Amendment”, to be decided “at the trial together with the merits if still persisted with”. A copy of the court order dated 3 December 2014 is attached hereto marked as annexure “</w:t>
      </w:r>
      <w:r w:rsidRPr="002A4B27">
        <w:rPr>
          <w:rFonts w:ascii="Arial" w:hAnsi="Arial" w:cs="Arial"/>
          <w:b/>
        </w:rPr>
        <w:t>SG</w:t>
      </w:r>
      <w:r w:rsidR="00500A6F" w:rsidRPr="002A4B27">
        <w:rPr>
          <w:rFonts w:ascii="Arial" w:hAnsi="Arial" w:cs="Arial"/>
          <w:b/>
        </w:rPr>
        <w:t>9</w:t>
      </w:r>
      <w:r w:rsidRPr="002A4B27">
        <w:rPr>
          <w:rFonts w:ascii="Arial" w:hAnsi="Arial" w:cs="Arial"/>
        </w:rPr>
        <w:t>”.</w:t>
      </w:r>
    </w:p>
    <w:p w:rsidR="009C7A1A" w:rsidRPr="002A4B27" w:rsidRDefault="009C7A1A" w:rsidP="00743DF5">
      <w:pPr>
        <w:spacing w:after="0" w:line="360" w:lineRule="auto"/>
        <w:jc w:val="both"/>
        <w:rPr>
          <w:rFonts w:ascii="Arial" w:hAnsi="Arial" w:cs="Arial"/>
        </w:rPr>
      </w:pPr>
    </w:p>
    <w:p w:rsidR="00D85801" w:rsidRPr="002A4B27" w:rsidRDefault="00D85801" w:rsidP="00743DF5">
      <w:pPr>
        <w:spacing w:after="0" w:line="360" w:lineRule="auto"/>
        <w:jc w:val="both"/>
        <w:rPr>
          <w:rFonts w:ascii="Arial" w:hAnsi="Arial" w:cs="Arial"/>
        </w:rPr>
      </w:pPr>
      <w:r w:rsidRPr="002A4B27">
        <w:rPr>
          <w:rFonts w:ascii="Arial" w:hAnsi="Arial" w:cs="Arial"/>
        </w:rPr>
        <w:t>3.12</w:t>
      </w:r>
      <w:r w:rsidRPr="002A4B27">
        <w:rPr>
          <w:rFonts w:ascii="Arial" w:hAnsi="Arial" w:cs="Arial"/>
        </w:rPr>
        <w:tab/>
        <w:t xml:space="preserve">On the </w:t>
      </w:r>
      <w:r w:rsidRPr="002A4B27">
        <w:rPr>
          <w:rFonts w:ascii="Arial" w:hAnsi="Arial" w:cs="Arial"/>
          <w:b/>
        </w:rPr>
        <w:t>8 of April 2015</w:t>
      </w:r>
      <w:r w:rsidRPr="002A4B27">
        <w:rPr>
          <w:rFonts w:ascii="Arial" w:hAnsi="Arial" w:cs="Arial"/>
        </w:rPr>
        <w:t xml:space="preserve">, this </w:t>
      </w:r>
      <w:proofErr w:type="spellStart"/>
      <w:r w:rsidRPr="002A4B27">
        <w:rPr>
          <w:rFonts w:ascii="Arial" w:hAnsi="Arial" w:cs="Arial"/>
        </w:rPr>
        <w:t>Honourable</w:t>
      </w:r>
      <w:proofErr w:type="spellEnd"/>
      <w:r w:rsidRPr="002A4B27">
        <w:rPr>
          <w:rFonts w:ascii="Arial" w:hAnsi="Arial" w:cs="Arial"/>
        </w:rPr>
        <w:t xml:space="preserve"> Court ordered the trial dates to be 18 to 22 May 2015 and furthermore, that the plaintiff be barred from filing witness statements and the filing of discovery affidavits.  A copy of the court order dated 8 April 2015 is attached hereto marked as annexure “</w:t>
      </w:r>
      <w:r w:rsidRPr="002A4B27">
        <w:rPr>
          <w:rFonts w:ascii="Arial" w:hAnsi="Arial" w:cs="Arial"/>
          <w:b/>
        </w:rPr>
        <w:t>SG10</w:t>
      </w:r>
      <w:r w:rsidRPr="002A4B27">
        <w:rPr>
          <w:rFonts w:ascii="Arial" w:hAnsi="Arial" w:cs="Arial"/>
        </w:rPr>
        <w:t>”.</w:t>
      </w:r>
    </w:p>
    <w:p w:rsidR="009C7A1A" w:rsidRPr="002A4B27" w:rsidRDefault="009C7A1A" w:rsidP="00743DF5">
      <w:pPr>
        <w:spacing w:after="0" w:line="360" w:lineRule="auto"/>
        <w:jc w:val="both"/>
        <w:rPr>
          <w:rFonts w:ascii="Arial" w:hAnsi="Arial" w:cs="Arial"/>
        </w:rPr>
      </w:pPr>
    </w:p>
    <w:p w:rsidR="00D85801" w:rsidRPr="002A4B27" w:rsidRDefault="00D85801" w:rsidP="00743DF5">
      <w:pPr>
        <w:spacing w:after="0" w:line="360" w:lineRule="auto"/>
        <w:jc w:val="both"/>
        <w:rPr>
          <w:rFonts w:ascii="Arial" w:hAnsi="Arial" w:cs="Arial"/>
        </w:rPr>
      </w:pPr>
      <w:r w:rsidRPr="002A4B27">
        <w:rPr>
          <w:rFonts w:ascii="Arial" w:hAnsi="Arial" w:cs="Arial"/>
        </w:rPr>
        <w:t>3.13</w:t>
      </w:r>
      <w:r w:rsidRPr="002A4B27">
        <w:rPr>
          <w:rFonts w:ascii="Arial" w:hAnsi="Arial" w:cs="Arial"/>
        </w:rPr>
        <w:tab/>
        <w:t xml:space="preserve">On the trial date i.e. 18 of May 2015, this </w:t>
      </w:r>
      <w:proofErr w:type="spellStart"/>
      <w:r w:rsidRPr="002A4B27">
        <w:rPr>
          <w:rFonts w:ascii="Arial" w:hAnsi="Arial" w:cs="Arial"/>
        </w:rPr>
        <w:t>Honourable</w:t>
      </w:r>
      <w:proofErr w:type="spellEnd"/>
      <w:r w:rsidRPr="002A4B27">
        <w:rPr>
          <w:rFonts w:ascii="Arial" w:hAnsi="Arial" w:cs="Arial"/>
        </w:rPr>
        <w:t xml:space="preserve"> Court, without having dealt with the “Application to Amend”, ordered the plaintiff to proceed to trial.</w:t>
      </w:r>
    </w:p>
    <w:p w:rsidR="009C7A1A" w:rsidRPr="002A4B27" w:rsidRDefault="009C7A1A" w:rsidP="00743DF5">
      <w:pPr>
        <w:spacing w:after="0" w:line="360" w:lineRule="auto"/>
        <w:jc w:val="both"/>
        <w:rPr>
          <w:rFonts w:ascii="Arial" w:hAnsi="Arial" w:cs="Arial"/>
        </w:rPr>
      </w:pPr>
    </w:p>
    <w:p w:rsidR="001C473E" w:rsidRPr="002A4B27" w:rsidRDefault="00003C87" w:rsidP="00743DF5">
      <w:pPr>
        <w:spacing w:after="0" w:line="360" w:lineRule="auto"/>
        <w:jc w:val="both"/>
        <w:rPr>
          <w:rFonts w:ascii="Arial" w:hAnsi="Arial" w:cs="Arial"/>
        </w:rPr>
      </w:pPr>
      <w:r w:rsidRPr="002A4B27">
        <w:rPr>
          <w:rFonts w:ascii="Arial" w:hAnsi="Arial" w:cs="Arial"/>
        </w:rPr>
        <w:t>3.14</w:t>
      </w:r>
      <w:r w:rsidRPr="002A4B27">
        <w:rPr>
          <w:rFonts w:ascii="Arial" w:hAnsi="Arial" w:cs="Arial"/>
        </w:rPr>
        <w:tab/>
        <w:t xml:space="preserve">The plaintiff was unable to proceed to trial on 18 May 2015 because no Witness Statement on behalf of plaintiff had been delivered and no discovery affidavit (on behalf of the </w:t>
      </w:r>
      <w:r w:rsidRPr="002A4B27">
        <w:rPr>
          <w:rFonts w:ascii="Arial" w:hAnsi="Arial" w:cs="Arial"/>
        </w:rPr>
        <w:lastRenderedPageBreak/>
        <w:t xml:space="preserve">plaintiff) had been filed as per the court order dated 8 April 2015.  On the preceding Friday, 15 May 2015, the plaintiff applied for a postponement of the trial which the court refused after hearing submissions from both parties on 18 May 2015.  The court then ordered that the trial should proceed.  </w:t>
      </w:r>
      <w:proofErr w:type="spellStart"/>
      <w:r w:rsidRPr="002A4B27">
        <w:rPr>
          <w:rFonts w:ascii="Arial" w:hAnsi="Arial" w:cs="Arial"/>
        </w:rPr>
        <w:t>Mr</w:t>
      </w:r>
      <w:proofErr w:type="spellEnd"/>
      <w:r w:rsidRPr="002A4B27">
        <w:rPr>
          <w:rFonts w:ascii="Arial" w:hAnsi="Arial" w:cs="Arial"/>
        </w:rPr>
        <w:t xml:space="preserve"> Mouton then withdrew as practitioner of record, but when the court enquired as to the rule regarding withdrawal of legal practitioners, </w:t>
      </w:r>
      <w:proofErr w:type="spellStart"/>
      <w:r w:rsidR="001C473E" w:rsidRPr="002A4B27">
        <w:rPr>
          <w:rFonts w:ascii="Arial" w:hAnsi="Arial" w:cs="Arial"/>
        </w:rPr>
        <w:t>Mr</w:t>
      </w:r>
      <w:proofErr w:type="spellEnd"/>
      <w:r w:rsidR="001C473E" w:rsidRPr="002A4B27">
        <w:rPr>
          <w:rFonts w:ascii="Arial" w:hAnsi="Arial" w:cs="Arial"/>
        </w:rPr>
        <w:t xml:space="preserve"> Mout</w:t>
      </w:r>
      <w:r w:rsidR="009C7A1A" w:rsidRPr="002A4B27">
        <w:rPr>
          <w:rFonts w:ascii="Arial" w:hAnsi="Arial" w:cs="Arial"/>
        </w:rPr>
        <w:t>o</w:t>
      </w:r>
      <w:r w:rsidR="001C473E" w:rsidRPr="002A4B27">
        <w:rPr>
          <w:rFonts w:ascii="Arial" w:hAnsi="Arial" w:cs="Arial"/>
        </w:rPr>
        <w:t xml:space="preserve">n retracted his withdrawal.  The plaintiff was not present at court.  This </w:t>
      </w:r>
      <w:proofErr w:type="spellStart"/>
      <w:r w:rsidR="001C473E" w:rsidRPr="002A4B27">
        <w:rPr>
          <w:rFonts w:ascii="Arial" w:hAnsi="Arial" w:cs="Arial"/>
        </w:rPr>
        <w:t>Honourable</w:t>
      </w:r>
      <w:proofErr w:type="spellEnd"/>
      <w:r w:rsidR="001C473E" w:rsidRPr="002A4B27">
        <w:rPr>
          <w:rFonts w:ascii="Arial" w:hAnsi="Arial" w:cs="Arial"/>
        </w:rPr>
        <w:t xml:space="preserve"> Court proceeded to grant absolution from the instance.  A copy of the transcribed proceedings of 18 May 2015 is annexed hereto marked “</w:t>
      </w:r>
      <w:r w:rsidR="001C473E" w:rsidRPr="002A4B27">
        <w:rPr>
          <w:rFonts w:ascii="Arial" w:hAnsi="Arial" w:cs="Arial"/>
          <w:b/>
        </w:rPr>
        <w:t>SG15</w:t>
      </w:r>
      <w:r w:rsidR="001C473E" w:rsidRPr="002A4B27">
        <w:rPr>
          <w:rFonts w:ascii="Arial" w:hAnsi="Arial" w:cs="Arial"/>
        </w:rPr>
        <w:t>”. A copy of the court order dated 18 May 2015 is attached hereto marked as annexure “</w:t>
      </w:r>
      <w:r w:rsidR="001C473E" w:rsidRPr="002A4B27">
        <w:rPr>
          <w:rFonts w:ascii="Arial" w:hAnsi="Arial" w:cs="Arial"/>
          <w:b/>
        </w:rPr>
        <w:t>SG11</w:t>
      </w:r>
      <w:r w:rsidR="001C473E" w:rsidRPr="002A4B27">
        <w:rPr>
          <w:rFonts w:ascii="Arial" w:hAnsi="Arial" w:cs="Arial"/>
        </w:rPr>
        <w:t>”.</w:t>
      </w:r>
    </w:p>
    <w:p w:rsidR="002A4B27" w:rsidRPr="002A4B27" w:rsidRDefault="002A4B27" w:rsidP="00743DF5">
      <w:pPr>
        <w:spacing w:after="0" w:line="360" w:lineRule="auto"/>
        <w:jc w:val="both"/>
        <w:rPr>
          <w:rFonts w:ascii="Arial" w:hAnsi="Arial" w:cs="Arial"/>
        </w:rPr>
      </w:pPr>
    </w:p>
    <w:p w:rsidR="001C473E" w:rsidRPr="002A4B27" w:rsidRDefault="001C473E" w:rsidP="00743DF5">
      <w:pPr>
        <w:spacing w:after="0" w:line="360" w:lineRule="auto"/>
        <w:jc w:val="both"/>
        <w:rPr>
          <w:rFonts w:ascii="Arial" w:hAnsi="Arial" w:cs="Arial"/>
        </w:rPr>
      </w:pPr>
      <w:r w:rsidRPr="002A4B27">
        <w:rPr>
          <w:rFonts w:ascii="Arial" w:hAnsi="Arial" w:cs="Arial"/>
        </w:rPr>
        <w:t>3.15</w:t>
      </w:r>
      <w:r w:rsidRPr="002A4B27">
        <w:rPr>
          <w:rFonts w:ascii="Arial" w:hAnsi="Arial" w:cs="Arial"/>
        </w:rPr>
        <w:tab/>
      </w:r>
      <w:r w:rsidR="00D65EDB" w:rsidRPr="002A4B27">
        <w:rPr>
          <w:rFonts w:ascii="Arial" w:hAnsi="Arial" w:cs="Arial"/>
        </w:rPr>
        <w:t>During May 2016, plaintiff instituted the Current Action against defendant on only slightly different but substantially similar facts, i.e. in line with the proposed amendment as per annexures “SG3” and “SG6”.  The “new” summons and particulars of claim, is based on the same and/or substantially similar causes of action and for the same or substantially similar relief as the First Action.  The relief sought under the Current Action being:</w:t>
      </w:r>
    </w:p>
    <w:p w:rsidR="002A4B27" w:rsidRPr="002A4B27" w:rsidRDefault="002A4B27" w:rsidP="00743DF5">
      <w:pPr>
        <w:spacing w:after="0" w:line="360" w:lineRule="auto"/>
        <w:jc w:val="both"/>
        <w:rPr>
          <w:rFonts w:ascii="Arial" w:hAnsi="Arial" w:cs="Arial"/>
        </w:rPr>
      </w:pPr>
    </w:p>
    <w:p w:rsidR="00D65EDB"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Payment of the amount of N$101, 331.04;</w:t>
      </w:r>
    </w:p>
    <w:p w:rsidR="002A4B27" w:rsidRPr="002A4B27" w:rsidRDefault="002A4B27" w:rsidP="008B6354">
      <w:pPr>
        <w:pStyle w:val="ListParagraph"/>
        <w:spacing w:line="360" w:lineRule="auto"/>
        <w:ind w:left="567" w:hanging="567"/>
        <w:jc w:val="both"/>
        <w:rPr>
          <w:rFonts w:cs="Arial"/>
          <w:sz w:val="22"/>
          <w:szCs w:val="22"/>
        </w:rPr>
      </w:pPr>
    </w:p>
    <w:p w:rsidR="00D65EDB"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Interest on the aforesaid amount of N$101, 331.04 calculated at the rate of 20% per annum from date of issue of certificate no. 11 until date of payment;</w:t>
      </w:r>
    </w:p>
    <w:p w:rsidR="002A4B27" w:rsidRPr="002A4B27" w:rsidRDefault="002A4B27" w:rsidP="008B6354">
      <w:pPr>
        <w:pStyle w:val="ListParagraph"/>
        <w:spacing w:line="360" w:lineRule="auto"/>
        <w:ind w:left="567" w:hanging="567"/>
        <w:jc w:val="both"/>
        <w:rPr>
          <w:rFonts w:cs="Arial"/>
          <w:sz w:val="22"/>
          <w:szCs w:val="22"/>
        </w:rPr>
      </w:pPr>
    </w:p>
    <w:p w:rsidR="00D65EDB"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Payment of the amount of N$132, 082.88;</w:t>
      </w:r>
    </w:p>
    <w:p w:rsidR="002A4B27" w:rsidRPr="002A4B27" w:rsidRDefault="002A4B27" w:rsidP="008B6354">
      <w:pPr>
        <w:pStyle w:val="ListParagraph"/>
        <w:spacing w:line="360" w:lineRule="auto"/>
        <w:ind w:left="567" w:hanging="567"/>
        <w:jc w:val="both"/>
        <w:rPr>
          <w:rFonts w:cs="Arial"/>
          <w:sz w:val="22"/>
          <w:szCs w:val="22"/>
        </w:rPr>
      </w:pPr>
    </w:p>
    <w:p w:rsidR="00D65EDB"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Interest on the aforesaid amount of N$132, 082.88 calculated at the rate of 20% per annum from date of issue of certificate no. 11 until date of payment;</w:t>
      </w:r>
    </w:p>
    <w:p w:rsidR="002A4B27" w:rsidRPr="002A4B27" w:rsidRDefault="002A4B27" w:rsidP="008B6354">
      <w:pPr>
        <w:pStyle w:val="ListParagraph"/>
        <w:spacing w:line="360" w:lineRule="auto"/>
        <w:ind w:left="567" w:hanging="567"/>
        <w:jc w:val="both"/>
        <w:rPr>
          <w:rFonts w:cs="Arial"/>
          <w:sz w:val="22"/>
          <w:szCs w:val="22"/>
        </w:rPr>
      </w:pPr>
    </w:p>
    <w:p w:rsidR="00D65EDB"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Payment of the amount of N$6, 165.04;</w:t>
      </w:r>
    </w:p>
    <w:p w:rsidR="002A4B27" w:rsidRPr="002A4B27" w:rsidRDefault="002A4B27" w:rsidP="008B6354">
      <w:pPr>
        <w:pStyle w:val="ListParagraph"/>
        <w:spacing w:line="360" w:lineRule="auto"/>
        <w:ind w:left="567" w:hanging="567"/>
        <w:jc w:val="both"/>
        <w:rPr>
          <w:rFonts w:cs="Arial"/>
          <w:sz w:val="22"/>
          <w:szCs w:val="22"/>
        </w:rPr>
      </w:pPr>
    </w:p>
    <w:p w:rsidR="00D65EDB"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Interest on the amount of N$ N$6, 165.04 calculated at the rate of 20% per annum a tempore morae;</w:t>
      </w:r>
    </w:p>
    <w:p w:rsidR="002A4B27" w:rsidRPr="002A4B27" w:rsidRDefault="002A4B27" w:rsidP="008B6354">
      <w:pPr>
        <w:pStyle w:val="ListParagraph"/>
        <w:spacing w:line="360" w:lineRule="auto"/>
        <w:ind w:left="567" w:hanging="567"/>
        <w:jc w:val="both"/>
        <w:rPr>
          <w:rFonts w:cs="Arial"/>
          <w:sz w:val="22"/>
          <w:szCs w:val="22"/>
        </w:rPr>
      </w:pPr>
    </w:p>
    <w:p w:rsidR="002A4B27"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Payment of the amount of N$52, 881.25</w:t>
      </w:r>
      <w:r w:rsidR="002A4B27" w:rsidRPr="002A4B27">
        <w:rPr>
          <w:rFonts w:cs="Arial"/>
          <w:sz w:val="22"/>
          <w:szCs w:val="22"/>
        </w:rPr>
        <w:t>.</w:t>
      </w:r>
      <w:r w:rsidRPr="002A4B27">
        <w:rPr>
          <w:rFonts w:cs="Arial"/>
          <w:sz w:val="22"/>
          <w:szCs w:val="22"/>
        </w:rPr>
        <w:t xml:space="preserve"> </w:t>
      </w:r>
    </w:p>
    <w:p w:rsidR="002A4B27" w:rsidRPr="002A4B27" w:rsidRDefault="002A4B27" w:rsidP="008B6354">
      <w:pPr>
        <w:pStyle w:val="ListParagraph"/>
        <w:spacing w:line="360" w:lineRule="auto"/>
        <w:ind w:left="567" w:hanging="567"/>
        <w:rPr>
          <w:rFonts w:cs="Arial"/>
          <w:sz w:val="22"/>
          <w:szCs w:val="22"/>
        </w:rPr>
      </w:pPr>
    </w:p>
    <w:p w:rsidR="00D65EDB" w:rsidRPr="002A4B27" w:rsidRDefault="002A4B27"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Interest on the</w:t>
      </w:r>
      <w:r w:rsidR="00D65EDB" w:rsidRPr="002A4B27">
        <w:rPr>
          <w:rFonts w:cs="Arial"/>
          <w:sz w:val="22"/>
          <w:szCs w:val="22"/>
        </w:rPr>
        <w:t xml:space="preserve"> amount of N$52, 881.25 calculated at the rate of 20% per annum a tempore morae</w:t>
      </w:r>
      <w:r w:rsidRPr="002A4B27">
        <w:rPr>
          <w:rFonts w:cs="Arial"/>
          <w:sz w:val="22"/>
          <w:szCs w:val="22"/>
        </w:rPr>
        <w:t xml:space="preserve"> until date of payment.</w:t>
      </w:r>
    </w:p>
    <w:p w:rsidR="002A4B27" w:rsidRPr="002A4B27" w:rsidRDefault="002A4B27" w:rsidP="008B6354">
      <w:pPr>
        <w:pStyle w:val="ListParagraph"/>
        <w:spacing w:line="360" w:lineRule="auto"/>
        <w:ind w:left="567" w:hanging="567"/>
        <w:jc w:val="both"/>
        <w:rPr>
          <w:rFonts w:cs="Arial"/>
          <w:sz w:val="22"/>
          <w:szCs w:val="22"/>
        </w:rPr>
      </w:pPr>
    </w:p>
    <w:p w:rsidR="00D65EDB"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t>Costs of suit.</w:t>
      </w:r>
    </w:p>
    <w:p w:rsidR="002A4B27" w:rsidRPr="002A4B27" w:rsidRDefault="002A4B27" w:rsidP="008B6354">
      <w:pPr>
        <w:pStyle w:val="ListParagraph"/>
        <w:spacing w:line="360" w:lineRule="auto"/>
        <w:ind w:left="567" w:hanging="567"/>
        <w:jc w:val="both"/>
        <w:rPr>
          <w:rFonts w:cs="Arial"/>
          <w:sz w:val="22"/>
          <w:szCs w:val="22"/>
        </w:rPr>
      </w:pPr>
    </w:p>
    <w:p w:rsidR="00D65EDB" w:rsidRPr="002A4B27" w:rsidRDefault="00D65EDB" w:rsidP="008B6354">
      <w:pPr>
        <w:pStyle w:val="ListParagraph"/>
        <w:numPr>
          <w:ilvl w:val="0"/>
          <w:numId w:val="44"/>
        </w:numPr>
        <w:spacing w:line="360" w:lineRule="auto"/>
        <w:ind w:left="567" w:hanging="567"/>
        <w:jc w:val="both"/>
        <w:rPr>
          <w:rFonts w:cs="Arial"/>
          <w:sz w:val="22"/>
          <w:szCs w:val="22"/>
        </w:rPr>
      </w:pPr>
      <w:r w:rsidRPr="002A4B27">
        <w:rPr>
          <w:rFonts w:cs="Arial"/>
          <w:sz w:val="22"/>
          <w:szCs w:val="22"/>
        </w:rPr>
        <w:lastRenderedPageBreak/>
        <w:t>Further and/or alternative relief.</w:t>
      </w:r>
    </w:p>
    <w:p w:rsidR="002A4B27" w:rsidRDefault="002A4B27" w:rsidP="00743DF5">
      <w:pPr>
        <w:pStyle w:val="ListParagraph"/>
        <w:spacing w:line="360" w:lineRule="auto"/>
        <w:ind w:left="1276"/>
        <w:jc w:val="both"/>
        <w:rPr>
          <w:rFonts w:cs="Arial"/>
          <w:sz w:val="22"/>
          <w:szCs w:val="22"/>
        </w:rPr>
      </w:pPr>
    </w:p>
    <w:p w:rsidR="008A3C98" w:rsidRPr="002A4B27" w:rsidRDefault="008A3C98" w:rsidP="00743DF5">
      <w:pPr>
        <w:pStyle w:val="ListParagraph"/>
        <w:spacing w:line="360" w:lineRule="auto"/>
        <w:ind w:left="1276"/>
        <w:jc w:val="both"/>
        <w:rPr>
          <w:rFonts w:cs="Arial"/>
          <w:sz w:val="22"/>
          <w:szCs w:val="22"/>
        </w:rPr>
      </w:pPr>
    </w:p>
    <w:p w:rsidR="00D65EDB" w:rsidRPr="002A4B27" w:rsidRDefault="00D65EDB" w:rsidP="00743DF5">
      <w:pPr>
        <w:spacing w:after="0" w:line="360" w:lineRule="auto"/>
        <w:jc w:val="both"/>
        <w:rPr>
          <w:rFonts w:ascii="Arial" w:hAnsi="Arial" w:cs="Arial"/>
        </w:rPr>
      </w:pPr>
      <w:r w:rsidRPr="002A4B27">
        <w:rPr>
          <w:rFonts w:ascii="Arial" w:hAnsi="Arial" w:cs="Arial"/>
        </w:rPr>
        <w:t>3.16</w:t>
      </w:r>
      <w:r w:rsidRPr="002A4B27">
        <w:rPr>
          <w:rFonts w:ascii="Arial" w:hAnsi="Arial" w:cs="Arial"/>
        </w:rPr>
        <w:tab/>
        <w:t>During October 2016, plaintiff paid defendant the taxed costs to which he was entitled by virtue of annexure “SG11”.</w:t>
      </w:r>
    </w:p>
    <w:p w:rsidR="002A4B27" w:rsidRPr="002A4B27" w:rsidRDefault="002A4B27" w:rsidP="00743DF5">
      <w:pPr>
        <w:spacing w:after="0" w:line="360" w:lineRule="auto"/>
        <w:jc w:val="both"/>
        <w:rPr>
          <w:rFonts w:ascii="Arial" w:hAnsi="Arial" w:cs="Arial"/>
        </w:rPr>
      </w:pPr>
    </w:p>
    <w:p w:rsidR="00D65EDB" w:rsidRPr="002A4B27" w:rsidRDefault="00D65EDB" w:rsidP="00743DF5">
      <w:pPr>
        <w:spacing w:after="0" w:line="360" w:lineRule="auto"/>
        <w:jc w:val="both"/>
        <w:rPr>
          <w:rFonts w:ascii="Arial" w:hAnsi="Arial" w:cs="Arial"/>
        </w:rPr>
      </w:pPr>
      <w:r w:rsidRPr="002A4B27">
        <w:rPr>
          <w:rFonts w:ascii="Arial" w:hAnsi="Arial" w:cs="Arial"/>
        </w:rPr>
        <w:t>3.17</w:t>
      </w:r>
      <w:r w:rsidRPr="002A4B27">
        <w:rPr>
          <w:rFonts w:ascii="Arial" w:hAnsi="Arial" w:cs="Arial"/>
        </w:rPr>
        <w:tab/>
        <w:t>A copy of the combined summons and annexures in the Current Action is attached hereto marked as annexure “</w:t>
      </w:r>
      <w:r w:rsidRPr="002A4B27">
        <w:rPr>
          <w:rFonts w:ascii="Arial" w:hAnsi="Arial" w:cs="Arial"/>
          <w:b/>
        </w:rPr>
        <w:t>SG12</w:t>
      </w:r>
      <w:r w:rsidRPr="002A4B27">
        <w:rPr>
          <w:rFonts w:ascii="Arial" w:hAnsi="Arial" w:cs="Arial"/>
        </w:rPr>
        <w:t>”. A copy of the return of service is annexed hereto marked “</w:t>
      </w:r>
      <w:r w:rsidRPr="002A4B27">
        <w:rPr>
          <w:rFonts w:ascii="Arial" w:hAnsi="Arial" w:cs="Arial"/>
          <w:b/>
        </w:rPr>
        <w:t>SG13</w:t>
      </w:r>
      <w:r w:rsidRPr="002A4B27">
        <w:rPr>
          <w:rFonts w:ascii="Arial" w:hAnsi="Arial" w:cs="Arial"/>
        </w:rPr>
        <w:t>”.</w:t>
      </w:r>
    </w:p>
    <w:p w:rsidR="002A4B27" w:rsidRPr="002A4B27" w:rsidRDefault="002A4B27" w:rsidP="00743DF5">
      <w:pPr>
        <w:spacing w:after="0" w:line="360" w:lineRule="auto"/>
        <w:jc w:val="both"/>
        <w:rPr>
          <w:rFonts w:ascii="Arial" w:hAnsi="Arial" w:cs="Arial"/>
        </w:rPr>
      </w:pPr>
    </w:p>
    <w:p w:rsidR="00D65EDB" w:rsidRDefault="00D65EDB" w:rsidP="005075AC">
      <w:pPr>
        <w:spacing w:after="0" w:line="360" w:lineRule="auto"/>
        <w:jc w:val="both"/>
        <w:rPr>
          <w:rFonts w:ascii="Arial" w:hAnsi="Arial" w:cs="Arial"/>
          <w:sz w:val="24"/>
          <w:szCs w:val="24"/>
        </w:rPr>
      </w:pPr>
      <w:r w:rsidRPr="002A4B27">
        <w:rPr>
          <w:rFonts w:ascii="Arial" w:hAnsi="Arial" w:cs="Arial"/>
        </w:rPr>
        <w:t>3.18</w:t>
      </w:r>
      <w:r w:rsidRPr="002A4B27">
        <w:rPr>
          <w:rFonts w:ascii="Arial" w:hAnsi="Arial" w:cs="Arial"/>
        </w:rPr>
        <w:tab/>
        <w:t>The running of prescription was interrupted by service on the defendant of the summons in the First Action on 23 July 2004.</w:t>
      </w:r>
      <w:r>
        <w:rPr>
          <w:rFonts w:ascii="Arial" w:hAnsi="Arial" w:cs="Arial"/>
          <w:sz w:val="24"/>
          <w:szCs w:val="24"/>
        </w:rPr>
        <w:t>’</w:t>
      </w:r>
    </w:p>
    <w:p w:rsidR="00D65EDB" w:rsidRDefault="00D65EDB" w:rsidP="005075AC">
      <w:pPr>
        <w:spacing w:after="0" w:line="360" w:lineRule="auto"/>
        <w:jc w:val="both"/>
        <w:rPr>
          <w:rFonts w:ascii="Arial" w:hAnsi="Arial" w:cs="Arial"/>
          <w:sz w:val="24"/>
          <w:szCs w:val="24"/>
        </w:rPr>
      </w:pPr>
    </w:p>
    <w:p w:rsidR="00287D1C" w:rsidRPr="00287D1C" w:rsidRDefault="00287D1C" w:rsidP="005075AC">
      <w:pPr>
        <w:spacing w:after="0" w:line="360" w:lineRule="auto"/>
        <w:jc w:val="both"/>
        <w:rPr>
          <w:rFonts w:ascii="Arial" w:hAnsi="Arial" w:cs="Arial"/>
          <w:sz w:val="24"/>
          <w:szCs w:val="24"/>
          <w:u w:val="single"/>
        </w:rPr>
      </w:pPr>
      <w:r w:rsidRPr="00287D1C">
        <w:rPr>
          <w:rFonts w:ascii="Arial" w:hAnsi="Arial" w:cs="Arial"/>
          <w:sz w:val="24"/>
          <w:szCs w:val="24"/>
          <w:u w:val="single"/>
        </w:rPr>
        <w:t>The issues</w:t>
      </w:r>
    </w:p>
    <w:p w:rsidR="00287D1C" w:rsidRDefault="00287D1C" w:rsidP="005075AC">
      <w:pPr>
        <w:spacing w:after="0" w:line="360" w:lineRule="auto"/>
        <w:jc w:val="both"/>
        <w:rPr>
          <w:rFonts w:ascii="Arial" w:hAnsi="Arial" w:cs="Arial"/>
          <w:sz w:val="24"/>
          <w:szCs w:val="24"/>
        </w:rPr>
      </w:pPr>
    </w:p>
    <w:p w:rsidR="00743DF5" w:rsidRDefault="00743DF5" w:rsidP="005075A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Against this background they then formulated five main issues for</w:t>
      </w:r>
      <w:r w:rsidR="00D67610">
        <w:rPr>
          <w:rFonts w:ascii="Arial" w:hAnsi="Arial" w:cs="Arial"/>
          <w:sz w:val="24"/>
          <w:szCs w:val="24"/>
        </w:rPr>
        <w:t xml:space="preserve"> the determination by</w:t>
      </w:r>
      <w:r>
        <w:rPr>
          <w:rFonts w:ascii="Arial" w:hAnsi="Arial" w:cs="Arial"/>
          <w:sz w:val="24"/>
          <w:szCs w:val="24"/>
        </w:rPr>
        <w:t xml:space="preserve"> the court.  These where the following:</w:t>
      </w:r>
    </w:p>
    <w:p w:rsidR="008A3C98" w:rsidRDefault="008A3C98" w:rsidP="005075AC">
      <w:pPr>
        <w:spacing w:after="0" w:line="360" w:lineRule="auto"/>
        <w:jc w:val="both"/>
        <w:rPr>
          <w:rFonts w:ascii="Arial" w:hAnsi="Arial" w:cs="Arial"/>
          <w:sz w:val="24"/>
          <w:szCs w:val="24"/>
        </w:rPr>
      </w:pPr>
    </w:p>
    <w:p w:rsidR="00743DF5" w:rsidRPr="00124718" w:rsidRDefault="00743DF5" w:rsidP="008A3C98">
      <w:pPr>
        <w:spacing w:after="0" w:line="360" w:lineRule="auto"/>
        <w:jc w:val="both"/>
        <w:rPr>
          <w:rFonts w:ascii="Arial" w:hAnsi="Arial" w:cs="Arial"/>
        </w:rPr>
      </w:pPr>
      <w:r w:rsidRPr="00124718">
        <w:rPr>
          <w:rFonts w:ascii="Arial" w:hAnsi="Arial" w:cs="Arial"/>
        </w:rPr>
        <w:t>‘2.1.1</w:t>
      </w:r>
      <w:r w:rsidRPr="00124718">
        <w:rPr>
          <w:rFonts w:ascii="Arial" w:hAnsi="Arial" w:cs="Arial"/>
        </w:rPr>
        <w:tab/>
        <w:t>Whether the delivery of the summons and particulars of claim on or about 23 July 2004 under case number I 632/2004 (“the First Action”), interrupted the running of prescription until 18 May 2015 when absolution from the instance was granted.</w:t>
      </w:r>
    </w:p>
    <w:p w:rsidR="00124718" w:rsidRPr="00124718" w:rsidRDefault="00124718" w:rsidP="00124718">
      <w:pPr>
        <w:spacing w:after="0" w:line="360" w:lineRule="auto"/>
        <w:jc w:val="both"/>
        <w:rPr>
          <w:rFonts w:ascii="Arial" w:hAnsi="Arial" w:cs="Arial"/>
        </w:rPr>
      </w:pPr>
    </w:p>
    <w:p w:rsidR="00743DF5" w:rsidRPr="00124718" w:rsidRDefault="00743DF5" w:rsidP="00124718">
      <w:pPr>
        <w:spacing w:after="0" w:line="360" w:lineRule="auto"/>
        <w:jc w:val="both"/>
        <w:rPr>
          <w:rFonts w:ascii="Arial" w:hAnsi="Arial" w:cs="Arial"/>
        </w:rPr>
      </w:pPr>
      <w:r w:rsidRPr="00124718">
        <w:rPr>
          <w:rFonts w:ascii="Arial" w:hAnsi="Arial" w:cs="Arial"/>
        </w:rPr>
        <w:t>2.1.2</w:t>
      </w:r>
      <w:r w:rsidRPr="00124718">
        <w:rPr>
          <w:rFonts w:ascii="Arial" w:hAnsi="Arial" w:cs="Arial"/>
        </w:rPr>
        <w:tab/>
        <w:t>Whether absolution was granted as a result of plaintiff having closed his case at the trial proceedings of 18 May 2015.</w:t>
      </w:r>
    </w:p>
    <w:p w:rsidR="00124718" w:rsidRPr="00124718" w:rsidRDefault="00124718" w:rsidP="00124718">
      <w:pPr>
        <w:spacing w:after="0" w:line="360" w:lineRule="auto"/>
        <w:jc w:val="both"/>
        <w:rPr>
          <w:rFonts w:ascii="Arial" w:hAnsi="Arial" w:cs="Arial"/>
        </w:rPr>
      </w:pPr>
    </w:p>
    <w:p w:rsidR="00743DF5" w:rsidRPr="00124718" w:rsidRDefault="00743DF5" w:rsidP="005075AC">
      <w:pPr>
        <w:pStyle w:val="ListParagraph"/>
        <w:numPr>
          <w:ilvl w:val="2"/>
          <w:numId w:val="39"/>
        </w:numPr>
        <w:spacing w:line="360" w:lineRule="auto"/>
        <w:ind w:left="0" w:firstLine="0"/>
        <w:jc w:val="both"/>
        <w:rPr>
          <w:rFonts w:cs="Arial"/>
          <w:sz w:val="22"/>
          <w:szCs w:val="22"/>
        </w:rPr>
      </w:pPr>
      <w:r w:rsidRPr="00124718">
        <w:rPr>
          <w:rFonts w:cs="Arial"/>
          <w:sz w:val="22"/>
          <w:szCs w:val="22"/>
        </w:rPr>
        <w:t>Whether plaintiff’s claim as set out in the summons and particulars of claim so delivered during May 2016 under case number I 25/2016 (“the Current Action”), had become prescribed by virtue of the provisions of sections 15(1) and 15(2) as read with section 11 of the Prescription Act 68 of 1969 (“the Act”).</w:t>
      </w:r>
    </w:p>
    <w:p w:rsidR="00124718" w:rsidRPr="00124718" w:rsidRDefault="00124718" w:rsidP="00124718">
      <w:pPr>
        <w:pStyle w:val="ListParagraph"/>
        <w:spacing w:line="360" w:lineRule="auto"/>
        <w:ind w:left="1080"/>
        <w:jc w:val="both"/>
        <w:rPr>
          <w:rFonts w:cs="Arial"/>
          <w:sz w:val="22"/>
          <w:szCs w:val="22"/>
        </w:rPr>
      </w:pPr>
    </w:p>
    <w:p w:rsidR="00944508" w:rsidRPr="00124718" w:rsidRDefault="00944508" w:rsidP="00124718">
      <w:pPr>
        <w:spacing w:after="0" w:line="360" w:lineRule="auto"/>
        <w:jc w:val="both"/>
        <w:rPr>
          <w:rFonts w:ascii="Arial" w:hAnsi="Arial" w:cs="Arial"/>
        </w:rPr>
      </w:pPr>
      <w:r w:rsidRPr="00124718">
        <w:rPr>
          <w:rFonts w:ascii="Arial" w:hAnsi="Arial" w:cs="Arial"/>
        </w:rPr>
        <w:t>2.2.1</w:t>
      </w:r>
      <w:r w:rsidRPr="00124718">
        <w:rPr>
          <w:rFonts w:ascii="Arial" w:hAnsi="Arial" w:cs="Arial"/>
        </w:rPr>
        <w:tab/>
        <w:t>Whether section 15(2) of the Act finds any application especially since absolution from the instance was not granted at the end of plaintiff’s case but rather under the process as envisaged in section 15(2) of the Act.</w:t>
      </w:r>
    </w:p>
    <w:p w:rsidR="00124718" w:rsidRPr="00124718" w:rsidRDefault="00124718" w:rsidP="00124718">
      <w:pPr>
        <w:spacing w:after="0" w:line="360" w:lineRule="auto"/>
        <w:jc w:val="both"/>
        <w:rPr>
          <w:rFonts w:ascii="Arial" w:hAnsi="Arial" w:cs="Arial"/>
        </w:rPr>
      </w:pPr>
    </w:p>
    <w:p w:rsidR="008A3C98" w:rsidRDefault="00944508" w:rsidP="00287D1C">
      <w:pPr>
        <w:spacing w:after="0" w:line="360" w:lineRule="auto"/>
        <w:jc w:val="both"/>
        <w:rPr>
          <w:rFonts w:ascii="Arial" w:hAnsi="Arial" w:cs="Arial"/>
        </w:rPr>
      </w:pPr>
      <w:r w:rsidRPr="00124718">
        <w:rPr>
          <w:rFonts w:ascii="Arial" w:hAnsi="Arial" w:cs="Arial"/>
        </w:rPr>
        <w:t>2.2.2</w:t>
      </w:r>
      <w:r w:rsidRPr="00124718">
        <w:rPr>
          <w:rFonts w:ascii="Arial" w:hAnsi="Arial" w:cs="Arial"/>
        </w:rPr>
        <w:tab/>
        <w:t>Whether absolution was granted as a result of plaintiff having been unable to proceed with his case.’</w:t>
      </w:r>
    </w:p>
    <w:p w:rsidR="00287D1C" w:rsidRDefault="00287D1C" w:rsidP="00287D1C">
      <w:pPr>
        <w:spacing w:after="0" w:line="360" w:lineRule="auto"/>
        <w:jc w:val="both"/>
        <w:rPr>
          <w:rFonts w:ascii="Arial" w:hAnsi="Arial" w:cs="Arial"/>
        </w:rPr>
      </w:pPr>
    </w:p>
    <w:p w:rsidR="008B6354" w:rsidRDefault="008B6354" w:rsidP="00287D1C">
      <w:pPr>
        <w:spacing w:after="0" w:line="360" w:lineRule="auto"/>
        <w:jc w:val="both"/>
        <w:rPr>
          <w:rFonts w:ascii="Arial" w:hAnsi="Arial" w:cs="Arial"/>
          <w:sz w:val="24"/>
          <w:szCs w:val="24"/>
          <w:u w:val="single"/>
        </w:rPr>
      </w:pPr>
    </w:p>
    <w:p w:rsidR="00287D1C" w:rsidRPr="00287D1C" w:rsidRDefault="00287D1C" w:rsidP="00287D1C">
      <w:pPr>
        <w:spacing w:after="0" w:line="360" w:lineRule="auto"/>
        <w:jc w:val="both"/>
        <w:rPr>
          <w:rFonts w:ascii="Arial" w:hAnsi="Arial" w:cs="Arial"/>
          <w:sz w:val="24"/>
          <w:szCs w:val="24"/>
          <w:u w:val="single"/>
        </w:rPr>
      </w:pPr>
      <w:r w:rsidRPr="00287D1C">
        <w:rPr>
          <w:rFonts w:ascii="Arial" w:hAnsi="Arial" w:cs="Arial"/>
          <w:sz w:val="24"/>
          <w:szCs w:val="24"/>
          <w:u w:val="single"/>
        </w:rPr>
        <w:lastRenderedPageBreak/>
        <w:t>The contentions</w:t>
      </w:r>
    </w:p>
    <w:p w:rsidR="00287D1C" w:rsidRPr="00287D1C" w:rsidRDefault="00287D1C" w:rsidP="00287D1C">
      <w:pPr>
        <w:spacing w:after="0" w:line="360" w:lineRule="auto"/>
        <w:jc w:val="both"/>
        <w:rPr>
          <w:rFonts w:ascii="Arial" w:hAnsi="Arial" w:cs="Arial"/>
        </w:rPr>
      </w:pPr>
    </w:p>
    <w:p w:rsidR="00003C87" w:rsidRDefault="00124718" w:rsidP="00FE619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21CF1">
        <w:rPr>
          <w:rFonts w:ascii="Arial" w:hAnsi="Arial" w:cs="Arial"/>
          <w:sz w:val="24"/>
          <w:szCs w:val="24"/>
        </w:rPr>
        <w:t>As wa</w:t>
      </w:r>
      <w:r w:rsidR="00E72113">
        <w:rPr>
          <w:rFonts w:ascii="Arial" w:hAnsi="Arial" w:cs="Arial"/>
          <w:sz w:val="24"/>
          <w:szCs w:val="24"/>
        </w:rPr>
        <w:t>s required by rule 63 they also recorded their respective contentions</w:t>
      </w:r>
      <w:r w:rsidR="00D67610">
        <w:rPr>
          <w:rFonts w:ascii="Arial" w:hAnsi="Arial" w:cs="Arial"/>
          <w:sz w:val="24"/>
          <w:szCs w:val="24"/>
        </w:rPr>
        <w:t>,</w:t>
      </w:r>
      <w:r w:rsidR="00E72113">
        <w:rPr>
          <w:rFonts w:ascii="Arial" w:hAnsi="Arial" w:cs="Arial"/>
          <w:sz w:val="24"/>
          <w:szCs w:val="24"/>
        </w:rPr>
        <w:t xml:space="preserve"> in regard to the aforeme</w:t>
      </w:r>
      <w:r w:rsidR="00D67610">
        <w:rPr>
          <w:rFonts w:ascii="Arial" w:hAnsi="Arial" w:cs="Arial"/>
          <w:sz w:val="24"/>
          <w:szCs w:val="24"/>
        </w:rPr>
        <w:t>ntioned issues,</w:t>
      </w:r>
      <w:r w:rsidR="00E72113">
        <w:rPr>
          <w:rFonts w:ascii="Arial" w:hAnsi="Arial" w:cs="Arial"/>
          <w:sz w:val="24"/>
          <w:szCs w:val="24"/>
        </w:rPr>
        <w:t xml:space="preserve"> in respect of which they also formulated</w:t>
      </w:r>
      <w:r w:rsidR="00D67610">
        <w:rPr>
          <w:rFonts w:ascii="Arial" w:hAnsi="Arial" w:cs="Arial"/>
          <w:sz w:val="24"/>
          <w:szCs w:val="24"/>
        </w:rPr>
        <w:t xml:space="preserve"> the</w:t>
      </w:r>
      <w:r w:rsidR="00E72113">
        <w:rPr>
          <w:rFonts w:ascii="Arial" w:hAnsi="Arial" w:cs="Arial"/>
          <w:sz w:val="24"/>
          <w:szCs w:val="24"/>
        </w:rPr>
        <w:t xml:space="preserve"> questions of law</w:t>
      </w:r>
      <w:r w:rsidR="00D67610">
        <w:rPr>
          <w:rFonts w:ascii="Arial" w:hAnsi="Arial" w:cs="Arial"/>
          <w:sz w:val="24"/>
          <w:szCs w:val="24"/>
        </w:rPr>
        <w:t xml:space="preserve"> which flowed from these issues,</w:t>
      </w:r>
      <w:r w:rsidR="00E72113">
        <w:rPr>
          <w:rFonts w:ascii="Arial" w:hAnsi="Arial" w:cs="Arial"/>
          <w:sz w:val="24"/>
          <w:szCs w:val="24"/>
        </w:rPr>
        <w:t xml:space="preserve"> namely:</w:t>
      </w:r>
    </w:p>
    <w:p w:rsidR="008A3C98" w:rsidRDefault="008A3C98" w:rsidP="00FE6190">
      <w:pPr>
        <w:spacing w:after="0" w:line="360" w:lineRule="auto"/>
        <w:jc w:val="both"/>
        <w:rPr>
          <w:rFonts w:ascii="Arial" w:hAnsi="Arial" w:cs="Arial"/>
          <w:sz w:val="24"/>
          <w:szCs w:val="24"/>
        </w:rPr>
      </w:pPr>
    </w:p>
    <w:p w:rsidR="00E72113" w:rsidRPr="00255476" w:rsidRDefault="00E72113" w:rsidP="00FE6190">
      <w:pPr>
        <w:spacing w:after="0" w:line="360" w:lineRule="auto"/>
        <w:jc w:val="both"/>
        <w:rPr>
          <w:rFonts w:ascii="Arial" w:hAnsi="Arial" w:cs="Arial"/>
        </w:rPr>
      </w:pPr>
      <w:r w:rsidRPr="00255476">
        <w:rPr>
          <w:rFonts w:ascii="Arial" w:hAnsi="Arial" w:cs="Arial"/>
        </w:rPr>
        <w:t>‘4.1</w:t>
      </w:r>
      <w:r w:rsidRPr="00255476">
        <w:rPr>
          <w:rFonts w:ascii="Arial" w:hAnsi="Arial" w:cs="Arial"/>
        </w:rPr>
        <w:tab/>
        <w:t>Does section 15(2) of the Act find any application and, if so, did the plaintiff successfully prosecute his First Action under the process in question to final judgment, considering that the defendant was absolved from the instance on 18 May 2015?</w:t>
      </w:r>
    </w:p>
    <w:p w:rsidR="00255476" w:rsidRPr="00255476" w:rsidRDefault="00255476" w:rsidP="00255476">
      <w:pPr>
        <w:spacing w:after="0" w:line="360" w:lineRule="auto"/>
        <w:jc w:val="both"/>
        <w:rPr>
          <w:rFonts w:ascii="Arial" w:hAnsi="Arial" w:cs="Arial"/>
        </w:rPr>
      </w:pPr>
    </w:p>
    <w:p w:rsidR="00E72113" w:rsidRPr="00255476" w:rsidRDefault="00E72113" w:rsidP="00255476">
      <w:pPr>
        <w:spacing w:after="0" w:line="360" w:lineRule="auto"/>
        <w:jc w:val="both"/>
        <w:rPr>
          <w:rFonts w:ascii="Arial" w:hAnsi="Arial" w:cs="Arial"/>
        </w:rPr>
      </w:pPr>
      <w:r w:rsidRPr="00255476">
        <w:rPr>
          <w:rFonts w:ascii="Arial" w:hAnsi="Arial" w:cs="Arial"/>
        </w:rPr>
        <w:t>4.2</w:t>
      </w:r>
      <w:r w:rsidRPr="00255476">
        <w:rPr>
          <w:rFonts w:ascii="Arial" w:hAnsi="Arial" w:cs="Arial"/>
        </w:rPr>
        <w:tab/>
        <w:t>If the running of prescription has lapsed and/or is not deemed to have been interrupted in terms of section 15(1) as read with section 15(2) of the Act, have the plaintiff’s claims prescribed?’</w:t>
      </w:r>
    </w:p>
    <w:p w:rsidR="00500A6F" w:rsidRPr="00D65EDB" w:rsidRDefault="00500A6F" w:rsidP="001072BD">
      <w:pPr>
        <w:spacing w:after="0" w:line="360" w:lineRule="auto"/>
        <w:jc w:val="both"/>
        <w:rPr>
          <w:rFonts w:ascii="Arial" w:hAnsi="Arial" w:cs="Arial"/>
          <w:sz w:val="24"/>
          <w:szCs w:val="24"/>
        </w:rPr>
      </w:pPr>
    </w:p>
    <w:p w:rsidR="00EB272B" w:rsidRDefault="00FA6928" w:rsidP="001072B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It does not take much to </w:t>
      </w:r>
      <w:r w:rsidR="008853BB">
        <w:rPr>
          <w:rFonts w:ascii="Arial" w:hAnsi="Arial" w:cs="Arial"/>
          <w:sz w:val="24"/>
          <w:szCs w:val="24"/>
        </w:rPr>
        <w:t>fathom</w:t>
      </w:r>
      <w:r>
        <w:rPr>
          <w:rFonts w:ascii="Arial" w:hAnsi="Arial" w:cs="Arial"/>
          <w:sz w:val="24"/>
          <w:szCs w:val="24"/>
        </w:rPr>
        <w:t xml:space="preserve"> that the outcome of this case will hinge on the provisions of section 15 of the Prescription Act, Act 68 of 1969</w:t>
      </w:r>
      <w:r w:rsidR="00821CF1">
        <w:rPr>
          <w:rFonts w:ascii="Arial" w:hAnsi="Arial" w:cs="Arial"/>
          <w:sz w:val="24"/>
          <w:szCs w:val="24"/>
        </w:rPr>
        <w:t>,</w:t>
      </w:r>
      <w:r>
        <w:rPr>
          <w:rFonts w:ascii="Arial" w:hAnsi="Arial" w:cs="Arial"/>
          <w:sz w:val="24"/>
          <w:szCs w:val="24"/>
        </w:rPr>
        <w:t xml:space="preserve"> and it is this section that will then also form the </w:t>
      </w:r>
      <w:r w:rsidR="008853BB">
        <w:rPr>
          <w:rFonts w:ascii="Arial" w:hAnsi="Arial" w:cs="Arial"/>
          <w:sz w:val="24"/>
          <w:szCs w:val="24"/>
        </w:rPr>
        <w:t>backdrop</w:t>
      </w:r>
      <w:r w:rsidR="001072BD">
        <w:rPr>
          <w:rFonts w:ascii="Arial" w:hAnsi="Arial" w:cs="Arial"/>
          <w:sz w:val="24"/>
          <w:szCs w:val="24"/>
        </w:rPr>
        <w:t xml:space="preserve"> against which this decision will be made.  It will thus be apposite to quote the </w:t>
      </w:r>
      <w:r w:rsidR="002D14CA">
        <w:rPr>
          <w:rFonts w:ascii="Arial" w:hAnsi="Arial" w:cs="Arial"/>
          <w:sz w:val="24"/>
          <w:szCs w:val="24"/>
        </w:rPr>
        <w:t xml:space="preserve">relevant parts of the </w:t>
      </w:r>
      <w:r w:rsidR="001072BD">
        <w:rPr>
          <w:rFonts w:ascii="Arial" w:hAnsi="Arial" w:cs="Arial"/>
          <w:sz w:val="24"/>
          <w:szCs w:val="24"/>
        </w:rPr>
        <w:t>section in</w:t>
      </w:r>
      <w:r w:rsidR="002D14CA">
        <w:rPr>
          <w:rFonts w:ascii="Arial" w:hAnsi="Arial" w:cs="Arial"/>
          <w:sz w:val="24"/>
          <w:szCs w:val="24"/>
        </w:rPr>
        <w:t xml:space="preserve"> </w:t>
      </w:r>
      <w:r w:rsidR="00FE6190">
        <w:rPr>
          <w:rFonts w:ascii="Arial" w:hAnsi="Arial" w:cs="Arial"/>
          <w:sz w:val="24"/>
          <w:szCs w:val="24"/>
        </w:rPr>
        <w:t>full:</w:t>
      </w:r>
    </w:p>
    <w:p w:rsidR="001072BD" w:rsidRPr="00D65EDB" w:rsidRDefault="001072BD" w:rsidP="001072BD">
      <w:pPr>
        <w:spacing w:after="0" w:line="360" w:lineRule="auto"/>
        <w:jc w:val="both"/>
        <w:rPr>
          <w:rFonts w:ascii="Arial" w:hAnsi="Arial" w:cs="Arial"/>
          <w:sz w:val="24"/>
          <w:szCs w:val="24"/>
        </w:rPr>
      </w:pPr>
    </w:p>
    <w:p w:rsidR="002D14CA" w:rsidRDefault="002D14CA" w:rsidP="008B6354">
      <w:pPr>
        <w:spacing w:after="0" w:line="360" w:lineRule="auto"/>
        <w:jc w:val="both"/>
        <w:rPr>
          <w:rFonts w:ascii="Arial" w:hAnsi="Arial" w:cs="Arial"/>
        </w:rPr>
      </w:pPr>
      <w:r w:rsidRPr="002D14CA">
        <w:rPr>
          <w:rFonts w:ascii="Arial" w:hAnsi="Arial" w:cs="Arial"/>
        </w:rPr>
        <w:t>‘15</w:t>
      </w:r>
      <w:r w:rsidRPr="002D14CA">
        <w:rPr>
          <w:rFonts w:ascii="Arial" w:hAnsi="Arial" w:cs="Arial"/>
        </w:rPr>
        <w:tab/>
      </w:r>
      <w:proofErr w:type="gramStart"/>
      <w:r w:rsidRPr="002D14CA">
        <w:rPr>
          <w:rFonts w:ascii="Arial" w:hAnsi="Arial" w:cs="Arial"/>
        </w:rPr>
        <w:t>Judicial</w:t>
      </w:r>
      <w:proofErr w:type="gramEnd"/>
      <w:r w:rsidRPr="002D14CA">
        <w:rPr>
          <w:rFonts w:ascii="Arial" w:hAnsi="Arial" w:cs="Arial"/>
        </w:rPr>
        <w:t xml:space="preserve"> interruption of prescription</w:t>
      </w:r>
    </w:p>
    <w:p w:rsidR="008B6354" w:rsidRPr="002D14CA" w:rsidRDefault="008B6354" w:rsidP="008B6354">
      <w:pPr>
        <w:spacing w:after="0" w:line="360" w:lineRule="auto"/>
        <w:jc w:val="both"/>
        <w:rPr>
          <w:rFonts w:ascii="Arial" w:hAnsi="Arial" w:cs="Arial"/>
        </w:rPr>
      </w:pPr>
    </w:p>
    <w:p w:rsidR="002D14CA" w:rsidRPr="008B6354" w:rsidRDefault="008B6354" w:rsidP="008B6354">
      <w:pPr>
        <w:spacing w:after="0" w:line="360" w:lineRule="auto"/>
        <w:jc w:val="both"/>
        <w:rPr>
          <w:rFonts w:cs="Arial"/>
        </w:rPr>
      </w:pPr>
      <w:r w:rsidRPr="008B6354">
        <w:rPr>
          <w:rFonts w:ascii="Arial" w:hAnsi="Arial" w:cs="Arial"/>
        </w:rPr>
        <w:t>(1</w:t>
      </w:r>
      <w:r>
        <w:rPr>
          <w:rFonts w:cs="Arial"/>
        </w:rPr>
        <w:t xml:space="preserve">) </w:t>
      </w:r>
      <w:r w:rsidR="002D14CA" w:rsidRPr="008B6354">
        <w:rPr>
          <w:rFonts w:cs="Arial"/>
        </w:rPr>
        <w:t>The running of prescription shall, subject to the provisions of subsection (2), be interrupted by the service on the debtor of any process whereby the creditor claims payment of the debt.</w:t>
      </w:r>
    </w:p>
    <w:p w:rsidR="008B6354" w:rsidRPr="008B6354" w:rsidRDefault="008B6354" w:rsidP="008B6354">
      <w:pPr>
        <w:spacing w:after="0" w:line="360" w:lineRule="auto"/>
      </w:pPr>
    </w:p>
    <w:p w:rsidR="00A71BA1" w:rsidRPr="002D14CA" w:rsidRDefault="002D14CA" w:rsidP="008B6354">
      <w:pPr>
        <w:spacing w:after="0" w:line="360" w:lineRule="auto"/>
        <w:jc w:val="both"/>
        <w:rPr>
          <w:rFonts w:ascii="Arial" w:hAnsi="Arial" w:cs="Arial"/>
        </w:rPr>
      </w:pPr>
      <w:r w:rsidRPr="002D14CA">
        <w:rPr>
          <w:rFonts w:ascii="Arial" w:hAnsi="Arial" w:cs="Arial"/>
        </w:rPr>
        <w:t>(2) Unless the debtor acknowledges liability, the interruption of prescription in terms of subsection (1) shall lapse, and the running of prescription shall not be deemed to have been interrupted, if the creditor does not successfully prosecute his claim under the process in question to final judgment or if he does so prosecute his claim but abandons the judgment or the judgment is set aside.’</w:t>
      </w:r>
    </w:p>
    <w:p w:rsidR="00A71BA1" w:rsidRPr="00D65EDB" w:rsidRDefault="00A71BA1" w:rsidP="001072BD">
      <w:pPr>
        <w:spacing w:after="0" w:line="360" w:lineRule="auto"/>
        <w:jc w:val="both"/>
        <w:rPr>
          <w:rFonts w:ascii="Arial" w:hAnsi="Arial" w:cs="Arial"/>
          <w:sz w:val="24"/>
          <w:szCs w:val="24"/>
        </w:rPr>
      </w:pPr>
    </w:p>
    <w:p w:rsidR="001072BD" w:rsidRDefault="001072BD" w:rsidP="001072BD">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provisions of </w:t>
      </w:r>
      <w:r w:rsidR="002D14CA">
        <w:rPr>
          <w:rFonts w:ascii="Arial" w:hAnsi="Arial" w:cs="Arial"/>
          <w:sz w:val="24"/>
          <w:szCs w:val="24"/>
        </w:rPr>
        <w:t>section 15(1) in my view conveniently dispose</w:t>
      </w:r>
      <w:r>
        <w:rPr>
          <w:rFonts w:ascii="Arial" w:hAnsi="Arial" w:cs="Arial"/>
          <w:sz w:val="24"/>
          <w:szCs w:val="24"/>
        </w:rPr>
        <w:t xml:space="preserve"> of the first issue formulated for determination namely whether</w:t>
      </w:r>
      <w:r w:rsidR="002D14CA">
        <w:rPr>
          <w:rFonts w:ascii="Arial" w:hAnsi="Arial" w:cs="Arial"/>
          <w:sz w:val="24"/>
          <w:szCs w:val="24"/>
        </w:rPr>
        <w:t xml:space="preserve"> or not</w:t>
      </w:r>
      <w:r>
        <w:rPr>
          <w:rFonts w:ascii="Arial" w:hAnsi="Arial" w:cs="Arial"/>
          <w:sz w:val="24"/>
          <w:szCs w:val="24"/>
        </w:rPr>
        <w:t xml:space="preserve"> the “delivery” of the</w:t>
      </w:r>
      <w:r w:rsidR="002D14CA">
        <w:rPr>
          <w:rFonts w:ascii="Arial" w:hAnsi="Arial" w:cs="Arial"/>
          <w:sz w:val="24"/>
          <w:szCs w:val="24"/>
        </w:rPr>
        <w:t xml:space="preserve"> summons and of particulars of c</w:t>
      </w:r>
      <w:r>
        <w:rPr>
          <w:rFonts w:ascii="Arial" w:hAnsi="Arial" w:cs="Arial"/>
          <w:sz w:val="24"/>
          <w:szCs w:val="24"/>
        </w:rPr>
        <w:t>laim on or about 23 July 2004</w:t>
      </w:r>
      <w:r w:rsidR="002D14CA">
        <w:rPr>
          <w:rFonts w:ascii="Arial" w:hAnsi="Arial" w:cs="Arial"/>
          <w:sz w:val="24"/>
          <w:szCs w:val="24"/>
        </w:rPr>
        <w:t xml:space="preserve"> in the</w:t>
      </w:r>
      <w:r>
        <w:rPr>
          <w:rFonts w:ascii="Arial" w:hAnsi="Arial" w:cs="Arial"/>
          <w:sz w:val="24"/>
          <w:szCs w:val="24"/>
        </w:rPr>
        <w:t xml:space="preserve"> </w:t>
      </w:r>
      <w:r w:rsidR="008853BB">
        <w:rPr>
          <w:rFonts w:ascii="Arial" w:hAnsi="Arial" w:cs="Arial"/>
          <w:sz w:val="24"/>
          <w:szCs w:val="24"/>
        </w:rPr>
        <w:t>first case</w:t>
      </w:r>
      <w:r>
        <w:rPr>
          <w:rFonts w:ascii="Arial" w:hAnsi="Arial" w:cs="Arial"/>
          <w:sz w:val="24"/>
          <w:szCs w:val="24"/>
        </w:rPr>
        <w:t xml:space="preserve"> </w:t>
      </w:r>
      <w:r w:rsidR="008853BB">
        <w:rPr>
          <w:rFonts w:ascii="Arial" w:hAnsi="Arial" w:cs="Arial"/>
          <w:sz w:val="24"/>
          <w:szCs w:val="24"/>
        </w:rPr>
        <w:t>interrupted</w:t>
      </w:r>
      <w:r>
        <w:rPr>
          <w:rFonts w:ascii="Arial" w:hAnsi="Arial" w:cs="Arial"/>
          <w:sz w:val="24"/>
          <w:szCs w:val="24"/>
        </w:rPr>
        <w:t xml:space="preserve"> </w:t>
      </w:r>
      <w:r w:rsidR="008853BB">
        <w:rPr>
          <w:rFonts w:ascii="Arial" w:hAnsi="Arial" w:cs="Arial"/>
          <w:sz w:val="24"/>
          <w:szCs w:val="24"/>
        </w:rPr>
        <w:t>prescription</w:t>
      </w:r>
      <w:r>
        <w:rPr>
          <w:rFonts w:ascii="Arial" w:hAnsi="Arial" w:cs="Arial"/>
          <w:sz w:val="24"/>
          <w:szCs w:val="24"/>
        </w:rPr>
        <w:t xml:space="preserve"> until 18 July 2015.</w:t>
      </w:r>
    </w:p>
    <w:p w:rsidR="001072BD" w:rsidRDefault="001072BD" w:rsidP="001072BD">
      <w:pPr>
        <w:spacing w:after="0" w:line="360" w:lineRule="auto"/>
        <w:jc w:val="both"/>
        <w:rPr>
          <w:rFonts w:ascii="Arial" w:hAnsi="Arial" w:cs="Arial"/>
          <w:sz w:val="24"/>
          <w:szCs w:val="24"/>
        </w:rPr>
      </w:pPr>
    </w:p>
    <w:p w:rsidR="00E57FF9" w:rsidRDefault="001072BD" w:rsidP="001072BD">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 xml:space="preserve">I believe that the use of the term </w:t>
      </w:r>
      <w:r w:rsidR="00E57FF9">
        <w:rPr>
          <w:rFonts w:ascii="Arial" w:hAnsi="Arial" w:cs="Arial"/>
          <w:sz w:val="24"/>
          <w:szCs w:val="24"/>
        </w:rPr>
        <w:t>“</w:t>
      </w:r>
      <w:r w:rsidR="008853BB">
        <w:rPr>
          <w:rFonts w:ascii="Arial" w:hAnsi="Arial" w:cs="Arial"/>
          <w:sz w:val="24"/>
          <w:szCs w:val="24"/>
        </w:rPr>
        <w:t>delivery</w:t>
      </w:r>
      <w:r w:rsidR="00E57FF9">
        <w:rPr>
          <w:rFonts w:ascii="Arial" w:hAnsi="Arial" w:cs="Arial"/>
          <w:sz w:val="24"/>
          <w:szCs w:val="24"/>
        </w:rPr>
        <w:t>”</w:t>
      </w:r>
      <w:r w:rsidR="00821CF1">
        <w:rPr>
          <w:rFonts w:ascii="Arial" w:hAnsi="Arial" w:cs="Arial"/>
          <w:sz w:val="24"/>
          <w:szCs w:val="24"/>
        </w:rPr>
        <w:t>,</w:t>
      </w:r>
      <w:r>
        <w:rPr>
          <w:rFonts w:ascii="Arial" w:hAnsi="Arial" w:cs="Arial"/>
          <w:sz w:val="24"/>
          <w:szCs w:val="24"/>
        </w:rPr>
        <w:t xml:space="preserve"> as employed by the part</w:t>
      </w:r>
      <w:r w:rsidR="002D14CA">
        <w:rPr>
          <w:rFonts w:ascii="Arial" w:hAnsi="Arial" w:cs="Arial"/>
          <w:sz w:val="24"/>
          <w:szCs w:val="24"/>
        </w:rPr>
        <w:t>ies legal practitioners</w:t>
      </w:r>
      <w:r w:rsidR="00821CF1">
        <w:rPr>
          <w:rFonts w:ascii="Arial" w:hAnsi="Arial" w:cs="Arial"/>
          <w:sz w:val="24"/>
          <w:szCs w:val="24"/>
        </w:rPr>
        <w:t>,</w:t>
      </w:r>
      <w:r w:rsidR="002D14CA">
        <w:rPr>
          <w:rFonts w:ascii="Arial" w:hAnsi="Arial" w:cs="Arial"/>
          <w:sz w:val="24"/>
          <w:szCs w:val="24"/>
        </w:rPr>
        <w:t xml:space="preserve"> is some</w:t>
      </w:r>
      <w:r>
        <w:rPr>
          <w:rFonts w:ascii="Arial" w:hAnsi="Arial" w:cs="Arial"/>
          <w:sz w:val="24"/>
          <w:szCs w:val="24"/>
        </w:rPr>
        <w:t xml:space="preserve">what </w:t>
      </w:r>
      <w:r w:rsidR="00615351">
        <w:rPr>
          <w:rFonts w:ascii="Arial" w:hAnsi="Arial" w:cs="Arial"/>
          <w:sz w:val="24"/>
          <w:szCs w:val="24"/>
        </w:rPr>
        <w:t>unfortunate</w:t>
      </w:r>
      <w:r>
        <w:rPr>
          <w:rFonts w:ascii="Arial" w:hAnsi="Arial" w:cs="Arial"/>
          <w:sz w:val="24"/>
          <w:szCs w:val="24"/>
        </w:rPr>
        <w:t>,</w:t>
      </w:r>
      <w:r w:rsidR="00973C2B">
        <w:rPr>
          <w:rStyle w:val="FootnoteReference"/>
          <w:rFonts w:ascii="Arial" w:hAnsi="Arial"/>
          <w:sz w:val="24"/>
          <w:szCs w:val="24"/>
        </w:rPr>
        <w:footnoteReference w:id="1"/>
      </w:r>
      <w:r>
        <w:rPr>
          <w:rFonts w:ascii="Arial" w:hAnsi="Arial" w:cs="Arial"/>
          <w:sz w:val="24"/>
          <w:szCs w:val="24"/>
        </w:rPr>
        <w:t xml:space="preserve"> as what is of </w:t>
      </w:r>
      <w:r w:rsidR="00E57FF9">
        <w:rPr>
          <w:rFonts w:ascii="Arial" w:hAnsi="Arial" w:cs="Arial"/>
          <w:sz w:val="24"/>
          <w:szCs w:val="24"/>
        </w:rPr>
        <w:t>relevance</w:t>
      </w:r>
      <w:r w:rsidR="002D14CA">
        <w:rPr>
          <w:rFonts w:ascii="Arial" w:hAnsi="Arial" w:cs="Arial"/>
          <w:sz w:val="24"/>
          <w:szCs w:val="24"/>
        </w:rPr>
        <w:t>, to</w:t>
      </w:r>
      <w:r w:rsidR="00E57FF9">
        <w:rPr>
          <w:rFonts w:ascii="Arial" w:hAnsi="Arial" w:cs="Arial"/>
          <w:sz w:val="24"/>
          <w:szCs w:val="24"/>
        </w:rPr>
        <w:t xml:space="preserve"> the </w:t>
      </w:r>
      <w:r w:rsidR="00615351">
        <w:rPr>
          <w:rFonts w:ascii="Arial" w:hAnsi="Arial" w:cs="Arial"/>
          <w:sz w:val="24"/>
          <w:szCs w:val="24"/>
        </w:rPr>
        <w:t>interruption</w:t>
      </w:r>
      <w:r w:rsidR="00E57FF9">
        <w:rPr>
          <w:rFonts w:ascii="Arial" w:hAnsi="Arial" w:cs="Arial"/>
          <w:sz w:val="24"/>
          <w:szCs w:val="24"/>
        </w:rPr>
        <w:t xml:space="preserve"> of the running of the applicable periods of prescription</w:t>
      </w:r>
      <w:r w:rsidR="002D14CA">
        <w:rPr>
          <w:rFonts w:ascii="Arial" w:hAnsi="Arial" w:cs="Arial"/>
          <w:sz w:val="24"/>
          <w:szCs w:val="24"/>
        </w:rPr>
        <w:t>,</w:t>
      </w:r>
      <w:r w:rsidR="00E57FF9">
        <w:rPr>
          <w:rFonts w:ascii="Arial" w:hAnsi="Arial" w:cs="Arial"/>
          <w:sz w:val="24"/>
          <w:szCs w:val="24"/>
        </w:rPr>
        <w:t xml:space="preserve"> is the “service of any process” on the </w:t>
      </w:r>
      <w:r w:rsidR="00615351">
        <w:rPr>
          <w:rFonts w:ascii="Arial" w:hAnsi="Arial" w:cs="Arial"/>
          <w:sz w:val="24"/>
          <w:szCs w:val="24"/>
        </w:rPr>
        <w:t>debtor</w:t>
      </w:r>
      <w:r w:rsidR="002D14CA">
        <w:rPr>
          <w:rFonts w:ascii="Arial" w:hAnsi="Arial" w:cs="Arial"/>
          <w:sz w:val="24"/>
          <w:szCs w:val="24"/>
        </w:rPr>
        <w:t>,</w:t>
      </w:r>
      <w:r w:rsidR="00E57FF9">
        <w:rPr>
          <w:rFonts w:ascii="Arial" w:hAnsi="Arial" w:cs="Arial"/>
          <w:sz w:val="24"/>
          <w:szCs w:val="24"/>
        </w:rPr>
        <w:t xml:space="preserve"> as defined in section 15(6)</w:t>
      </w:r>
      <w:r w:rsidR="002D14CA">
        <w:rPr>
          <w:rFonts w:ascii="Arial" w:hAnsi="Arial" w:cs="Arial"/>
          <w:sz w:val="24"/>
          <w:szCs w:val="24"/>
        </w:rPr>
        <w:t>,</w:t>
      </w:r>
      <w:r w:rsidR="00E57FF9">
        <w:rPr>
          <w:rFonts w:ascii="Arial" w:hAnsi="Arial" w:cs="Arial"/>
          <w:sz w:val="24"/>
          <w:szCs w:val="24"/>
        </w:rPr>
        <w:t xml:space="preserve"> which obviously includes the “service” of a combined summons on the debtor – as </w:t>
      </w:r>
      <w:r w:rsidR="00615351">
        <w:rPr>
          <w:rFonts w:ascii="Arial" w:hAnsi="Arial" w:cs="Arial"/>
          <w:sz w:val="24"/>
          <w:szCs w:val="24"/>
        </w:rPr>
        <w:t>occurred</w:t>
      </w:r>
      <w:r w:rsidR="00E57FF9">
        <w:rPr>
          <w:rFonts w:ascii="Arial" w:hAnsi="Arial" w:cs="Arial"/>
          <w:sz w:val="24"/>
          <w:szCs w:val="24"/>
        </w:rPr>
        <w:t xml:space="preserve"> in this case.</w:t>
      </w:r>
      <w:r w:rsidR="002D14CA">
        <w:rPr>
          <w:rStyle w:val="FootnoteReference"/>
          <w:rFonts w:ascii="Arial" w:hAnsi="Arial"/>
          <w:sz w:val="24"/>
          <w:szCs w:val="24"/>
        </w:rPr>
        <w:footnoteReference w:id="2"/>
      </w:r>
    </w:p>
    <w:p w:rsidR="00E57FF9" w:rsidRDefault="00E57FF9" w:rsidP="001072BD">
      <w:pPr>
        <w:spacing w:after="0" w:line="360" w:lineRule="auto"/>
        <w:jc w:val="both"/>
        <w:rPr>
          <w:rFonts w:ascii="Arial" w:hAnsi="Arial" w:cs="Arial"/>
          <w:sz w:val="24"/>
          <w:szCs w:val="24"/>
        </w:rPr>
      </w:pPr>
    </w:p>
    <w:p w:rsidR="00B87578" w:rsidRPr="00F04EBE" w:rsidRDefault="00E57FF9" w:rsidP="001072BD">
      <w:pPr>
        <w:spacing w:after="0" w:line="360" w:lineRule="auto"/>
        <w:jc w:val="both"/>
        <w:rPr>
          <w:rFonts w:ascii="Arial" w:hAnsi="Arial" w:cs="Arial"/>
          <w:i/>
          <w:sz w:val="24"/>
          <w:szCs w:val="24"/>
        </w:rPr>
      </w:pPr>
      <w:r>
        <w:rPr>
          <w:rFonts w:ascii="Arial" w:hAnsi="Arial" w:cs="Arial"/>
          <w:sz w:val="24"/>
          <w:szCs w:val="24"/>
        </w:rPr>
        <w:t>[8]</w:t>
      </w:r>
      <w:r>
        <w:rPr>
          <w:rFonts w:ascii="Arial" w:hAnsi="Arial" w:cs="Arial"/>
          <w:sz w:val="24"/>
          <w:szCs w:val="24"/>
        </w:rPr>
        <w:tab/>
        <w:t xml:space="preserve">It would </w:t>
      </w:r>
      <w:r w:rsidR="00167BB1">
        <w:rPr>
          <w:rFonts w:ascii="Arial" w:hAnsi="Arial" w:cs="Arial"/>
          <w:sz w:val="24"/>
          <w:szCs w:val="24"/>
        </w:rPr>
        <w:t>however</w:t>
      </w:r>
      <w:r w:rsidR="00F04EBE">
        <w:rPr>
          <w:rFonts w:ascii="Arial" w:hAnsi="Arial" w:cs="Arial"/>
          <w:sz w:val="24"/>
          <w:szCs w:val="24"/>
        </w:rPr>
        <w:t xml:space="preserve"> seem -</w:t>
      </w:r>
      <w:r w:rsidR="00615351">
        <w:rPr>
          <w:rFonts w:ascii="Arial" w:hAnsi="Arial" w:cs="Arial"/>
          <w:sz w:val="24"/>
          <w:szCs w:val="24"/>
        </w:rPr>
        <w:t xml:space="preserve"> although this aspect was formulated </w:t>
      </w:r>
      <w:r>
        <w:rPr>
          <w:rFonts w:ascii="Arial" w:hAnsi="Arial" w:cs="Arial"/>
          <w:sz w:val="24"/>
          <w:szCs w:val="24"/>
        </w:rPr>
        <w:t>as an issue for the determination of the court</w:t>
      </w:r>
      <w:r w:rsidR="00F04EBE">
        <w:rPr>
          <w:rFonts w:ascii="Arial" w:hAnsi="Arial" w:cs="Arial"/>
          <w:sz w:val="24"/>
          <w:szCs w:val="24"/>
        </w:rPr>
        <w:t xml:space="preserve"> -</w:t>
      </w:r>
      <w:r>
        <w:rPr>
          <w:rFonts w:ascii="Arial" w:hAnsi="Arial" w:cs="Arial"/>
          <w:sz w:val="24"/>
          <w:szCs w:val="24"/>
        </w:rPr>
        <w:t xml:space="preserve"> </w:t>
      </w:r>
      <w:r w:rsidR="00F04EBE">
        <w:rPr>
          <w:rFonts w:ascii="Arial" w:hAnsi="Arial" w:cs="Arial"/>
          <w:sz w:val="24"/>
          <w:szCs w:val="24"/>
        </w:rPr>
        <w:t xml:space="preserve">that </w:t>
      </w:r>
      <w:r>
        <w:rPr>
          <w:rFonts w:ascii="Arial" w:hAnsi="Arial" w:cs="Arial"/>
          <w:sz w:val="24"/>
          <w:szCs w:val="24"/>
        </w:rPr>
        <w:t>this aspect</w:t>
      </w:r>
      <w:r w:rsidR="00F04EBE">
        <w:rPr>
          <w:rFonts w:ascii="Arial" w:hAnsi="Arial" w:cs="Arial"/>
          <w:sz w:val="24"/>
          <w:szCs w:val="24"/>
        </w:rPr>
        <w:t xml:space="preserve"> was nevertheless</w:t>
      </w:r>
      <w:r>
        <w:rPr>
          <w:rFonts w:ascii="Arial" w:hAnsi="Arial" w:cs="Arial"/>
          <w:sz w:val="24"/>
          <w:szCs w:val="24"/>
        </w:rPr>
        <w:t xml:space="preserve"> common cause</w:t>
      </w:r>
      <w:r w:rsidR="00F04EBE">
        <w:rPr>
          <w:rFonts w:ascii="Arial" w:hAnsi="Arial" w:cs="Arial"/>
          <w:sz w:val="24"/>
          <w:szCs w:val="24"/>
        </w:rPr>
        <w:t>,</w:t>
      </w:r>
      <w:r>
        <w:rPr>
          <w:rFonts w:ascii="Arial" w:hAnsi="Arial" w:cs="Arial"/>
          <w:sz w:val="24"/>
          <w:szCs w:val="24"/>
        </w:rPr>
        <w:t xml:space="preserve"> as in paragraph 3.18 of the parties’ statement of agreed facts</w:t>
      </w:r>
      <w:r w:rsidR="00F04EBE">
        <w:rPr>
          <w:rFonts w:ascii="Arial" w:hAnsi="Arial" w:cs="Arial"/>
          <w:sz w:val="24"/>
          <w:szCs w:val="24"/>
        </w:rPr>
        <w:t>,</w:t>
      </w:r>
      <w:r>
        <w:rPr>
          <w:rFonts w:ascii="Arial" w:hAnsi="Arial" w:cs="Arial"/>
          <w:sz w:val="24"/>
          <w:szCs w:val="24"/>
        </w:rPr>
        <w:t xml:space="preserve"> it is recorded that </w:t>
      </w:r>
      <w:r w:rsidRPr="00F04EBE">
        <w:rPr>
          <w:rFonts w:ascii="Arial" w:hAnsi="Arial" w:cs="Arial"/>
          <w:i/>
          <w:sz w:val="24"/>
          <w:szCs w:val="24"/>
        </w:rPr>
        <w:t>“The running of prescription was interrupted by service on the defendant of the summons in the first action on 23 July 2004.”</w:t>
      </w:r>
    </w:p>
    <w:p w:rsidR="00B87578" w:rsidRDefault="00B87578" w:rsidP="001072BD">
      <w:pPr>
        <w:spacing w:after="0" w:line="360" w:lineRule="auto"/>
        <w:jc w:val="both"/>
        <w:rPr>
          <w:rFonts w:ascii="Arial" w:hAnsi="Arial" w:cs="Arial"/>
          <w:sz w:val="24"/>
          <w:szCs w:val="24"/>
        </w:rPr>
      </w:pPr>
    </w:p>
    <w:p w:rsidR="00BE738F" w:rsidRDefault="00F04EBE" w:rsidP="001072B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This </w:t>
      </w:r>
      <w:r w:rsidR="00B87578">
        <w:rPr>
          <w:rFonts w:ascii="Arial" w:hAnsi="Arial" w:cs="Arial"/>
          <w:sz w:val="24"/>
          <w:szCs w:val="24"/>
        </w:rPr>
        <w:t>statement, which is in</w:t>
      </w:r>
      <w:r>
        <w:rPr>
          <w:rFonts w:ascii="Arial" w:hAnsi="Arial" w:cs="Arial"/>
          <w:sz w:val="24"/>
          <w:szCs w:val="24"/>
        </w:rPr>
        <w:t xml:space="preserve"> clearly in</w:t>
      </w:r>
      <w:r w:rsidR="00B87578">
        <w:rPr>
          <w:rFonts w:ascii="Arial" w:hAnsi="Arial" w:cs="Arial"/>
          <w:sz w:val="24"/>
          <w:szCs w:val="24"/>
        </w:rPr>
        <w:t xml:space="preserve"> accord with section 15(1) of the Act</w:t>
      </w:r>
      <w:r>
        <w:rPr>
          <w:rFonts w:ascii="Arial" w:hAnsi="Arial" w:cs="Arial"/>
          <w:sz w:val="24"/>
          <w:szCs w:val="24"/>
        </w:rPr>
        <w:t>,</w:t>
      </w:r>
      <w:r w:rsidR="00B87578">
        <w:rPr>
          <w:rFonts w:ascii="Arial" w:hAnsi="Arial" w:cs="Arial"/>
          <w:sz w:val="24"/>
          <w:szCs w:val="24"/>
        </w:rPr>
        <w:t xml:space="preserve"> </w:t>
      </w:r>
      <w:r w:rsidR="00973C2B">
        <w:rPr>
          <w:rFonts w:ascii="Arial" w:hAnsi="Arial" w:cs="Arial"/>
          <w:sz w:val="24"/>
          <w:szCs w:val="24"/>
        </w:rPr>
        <w:t xml:space="preserve">then </w:t>
      </w:r>
      <w:r w:rsidR="00B87578">
        <w:rPr>
          <w:rFonts w:ascii="Arial" w:hAnsi="Arial" w:cs="Arial"/>
          <w:sz w:val="24"/>
          <w:szCs w:val="24"/>
        </w:rPr>
        <w:t>correctly records</w:t>
      </w:r>
      <w:r w:rsidR="00973C2B">
        <w:rPr>
          <w:rFonts w:ascii="Arial" w:hAnsi="Arial" w:cs="Arial"/>
          <w:sz w:val="24"/>
          <w:szCs w:val="24"/>
        </w:rPr>
        <w:t xml:space="preserve"> when</w:t>
      </w:r>
      <w:r w:rsidR="00B87578">
        <w:rPr>
          <w:rFonts w:ascii="Arial" w:hAnsi="Arial" w:cs="Arial"/>
          <w:sz w:val="24"/>
          <w:szCs w:val="24"/>
        </w:rPr>
        <w:t xml:space="preserve"> the </w:t>
      </w:r>
      <w:r w:rsidR="00615351">
        <w:rPr>
          <w:rFonts w:ascii="Arial" w:hAnsi="Arial" w:cs="Arial"/>
          <w:sz w:val="24"/>
          <w:szCs w:val="24"/>
        </w:rPr>
        <w:t>initial</w:t>
      </w:r>
      <w:r w:rsidR="00B87578">
        <w:rPr>
          <w:rFonts w:ascii="Arial" w:hAnsi="Arial" w:cs="Arial"/>
          <w:sz w:val="24"/>
          <w:szCs w:val="24"/>
        </w:rPr>
        <w:t xml:space="preserve"> </w:t>
      </w:r>
      <w:r w:rsidR="00615351">
        <w:rPr>
          <w:rFonts w:ascii="Arial" w:hAnsi="Arial" w:cs="Arial"/>
          <w:sz w:val="24"/>
          <w:szCs w:val="24"/>
        </w:rPr>
        <w:t>interruption</w:t>
      </w:r>
      <w:r w:rsidR="00BE738F">
        <w:rPr>
          <w:rFonts w:ascii="Arial" w:hAnsi="Arial" w:cs="Arial"/>
          <w:sz w:val="24"/>
          <w:szCs w:val="24"/>
        </w:rPr>
        <w:t xml:space="preserve"> of the </w:t>
      </w:r>
      <w:r w:rsidR="00615351">
        <w:rPr>
          <w:rFonts w:ascii="Arial" w:hAnsi="Arial" w:cs="Arial"/>
          <w:sz w:val="24"/>
          <w:szCs w:val="24"/>
        </w:rPr>
        <w:t>applicable</w:t>
      </w:r>
      <w:r>
        <w:rPr>
          <w:rFonts w:ascii="Arial" w:hAnsi="Arial" w:cs="Arial"/>
          <w:sz w:val="24"/>
          <w:szCs w:val="24"/>
        </w:rPr>
        <w:t xml:space="preserve"> first prescriptive period</w:t>
      </w:r>
      <w:r w:rsidR="00BE738F">
        <w:rPr>
          <w:rFonts w:ascii="Arial" w:hAnsi="Arial" w:cs="Arial"/>
          <w:sz w:val="24"/>
          <w:szCs w:val="24"/>
        </w:rPr>
        <w:t xml:space="preserve"> to this matter</w:t>
      </w:r>
      <w:r w:rsidR="00973C2B">
        <w:rPr>
          <w:rFonts w:ascii="Arial" w:hAnsi="Arial" w:cs="Arial"/>
          <w:sz w:val="24"/>
          <w:szCs w:val="24"/>
        </w:rPr>
        <w:t xml:space="preserve"> occurred</w:t>
      </w:r>
      <w:r w:rsidR="00BE738F">
        <w:rPr>
          <w:rFonts w:ascii="Arial" w:hAnsi="Arial" w:cs="Arial"/>
          <w:sz w:val="24"/>
          <w:szCs w:val="24"/>
        </w:rPr>
        <w:t xml:space="preserve">.  </w:t>
      </w:r>
    </w:p>
    <w:p w:rsidR="00BE738F" w:rsidRDefault="00BE738F" w:rsidP="001072BD">
      <w:pPr>
        <w:spacing w:after="0" w:line="360" w:lineRule="auto"/>
        <w:jc w:val="both"/>
        <w:rPr>
          <w:rFonts w:ascii="Arial" w:hAnsi="Arial" w:cs="Arial"/>
          <w:sz w:val="24"/>
          <w:szCs w:val="24"/>
        </w:rPr>
      </w:pPr>
    </w:p>
    <w:p w:rsidR="00BE738F" w:rsidRDefault="00BE738F" w:rsidP="001072B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It also appears not to be in dispute t</w:t>
      </w:r>
      <w:r w:rsidR="00F04EBE">
        <w:rPr>
          <w:rFonts w:ascii="Arial" w:hAnsi="Arial" w:cs="Arial"/>
          <w:sz w:val="24"/>
          <w:szCs w:val="24"/>
        </w:rPr>
        <w:t>hat this period of interruption,</w:t>
      </w:r>
      <w:r>
        <w:rPr>
          <w:rFonts w:ascii="Arial" w:hAnsi="Arial" w:cs="Arial"/>
          <w:sz w:val="24"/>
          <w:szCs w:val="24"/>
        </w:rPr>
        <w:t xml:space="preserve"> at the very least</w:t>
      </w:r>
      <w:r w:rsidR="00F04EBE">
        <w:rPr>
          <w:rFonts w:ascii="Arial" w:hAnsi="Arial" w:cs="Arial"/>
          <w:sz w:val="24"/>
          <w:szCs w:val="24"/>
        </w:rPr>
        <w:t>,</w:t>
      </w:r>
      <w:r>
        <w:rPr>
          <w:rFonts w:ascii="Arial" w:hAnsi="Arial" w:cs="Arial"/>
          <w:sz w:val="24"/>
          <w:szCs w:val="24"/>
        </w:rPr>
        <w:t xml:space="preserve"> ran until 18 May 2015, when absolution from the instance was granted.</w:t>
      </w:r>
    </w:p>
    <w:p w:rsidR="00BE738F" w:rsidRDefault="00BE738F" w:rsidP="001072BD">
      <w:pPr>
        <w:spacing w:after="0" w:line="360" w:lineRule="auto"/>
        <w:jc w:val="both"/>
        <w:rPr>
          <w:rFonts w:ascii="Arial" w:hAnsi="Arial" w:cs="Arial"/>
          <w:sz w:val="24"/>
          <w:szCs w:val="24"/>
        </w:rPr>
      </w:pPr>
    </w:p>
    <w:p w:rsidR="00B716B7" w:rsidRDefault="00BE738F" w:rsidP="001072BD">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This must be so as the first action – in</w:t>
      </w:r>
      <w:r w:rsidR="00B716B7">
        <w:rPr>
          <w:rFonts w:ascii="Arial" w:hAnsi="Arial" w:cs="Arial"/>
          <w:sz w:val="24"/>
          <w:szCs w:val="24"/>
        </w:rPr>
        <w:t xml:space="preserve">stituted by the plaintiff then - </w:t>
      </w:r>
      <w:r>
        <w:rPr>
          <w:rFonts w:ascii="Arial" w:hAnsi="Arial" w:cs="Arial"/>
          <w:sz w:val="24"/>
          <w:szCs w:val="24"/>
        </w:rPr>
        <w:t>under case no T</w:t>
      </w:r>
      <w:r w:rsidR="00B716B7">
        <w:rPr>
          <w:rFonts w:ascii="Arial" w:hAnsi="Arial" w:cs="Arial"/>
          <w:sz w:val="24"/>
          <w:szCs w:val="24"/>
        </w:rPr>
        <w:t xml:space="preserve"> </w:t>
      </w:r>
      <w:r>
        <w:rPr>
          <w:rFonts w:ascii="Arial" w:hAnsi="Arial" w:cs="Arial"/>
          <w:sz w:val="24"/>
          <w:szCs w:val="24"/>
        </w:rPr>
        <w:t>(I) 1632/2004</w:t>
      </w:r>
      <w:r w:rsidR="00B716B7">
        <w:rPr>
          <w:rFonts w:ascii="Arial" w:hAnsi="Arial" w:cs="Arial"/>
          <w:sz w:val="24"/>
          <w:szCs w:val="24"/>
        </w:rPr>
        <w:t xml:space="preserve"> -</w:t>
      </w:r>
      <w:r w:rsidR="008D469C">
        <w:rPr>
          <w:rFonts w:ascii="Arial" w:hAnsi="Arial" w:cs="Arial"/>
          <w:sz w:val="24"/>
          <w:szCs w:val="24"/>
        </w:rPr>
        <w:t xml:space="preserve"> dragged on until 18 May 2015 </w:t>
      </w:r>
      <w:r w:rsidR="00B716B7">
        <w:rPr>
          <w:rFonts w:ascii="Arial" w:hAnsi="Arial" w:cs="Arial"/>
          <w:sz w:val="24"/>
          <w:szCs w:val="24"/>
        </w:rPr>
        <w:t xml:space="preserve">- </w:t>
      </w:r>
      <w:r w:rsidR="008D469C">
        <w:rPr>
          <w:rFonts w:ascii="Arial" w:hAnsi="Arial" w:cs="Arial"/>
          <w:sz w:val="24"/>
          <w:szCs w:val="24"/>
        </w:rPr>
        <w:t>when its fate was determined by the court’s order granted on that date</w:t>
      </w:r>
      <w:r w:rsidR="00B716B7">
        <w:rPr>
          <w:rFonts w:ascii="Arial" w:hAnsi="Arial" w:cs="Arial"/>
          <w:sz w:val="24"/>
          <w:szCs w:val="24"/>
        </w:rPr>
        <w:t>.</w:t>
      </w:r>
    </w:p>
    <w:p w:rsidR="00B716B7" w:rsidRDefault="00B716B7" w:rsidP="001072BD">
      <w:pPr>
        <w:spacing w:after="0" w:line="360" w:lineRule="auto"/>
        <w:jc w:val="both"/>
        <w:rPr>
          <w:rFonts w:ascii="Arial" w:hAnsi="Arial" w:cs="Arial"/>
          <w:sz w:val="24"/>
          <w:szCs w:val="24"/>
        </w:rPr>
      </w:pPr>
    </w:p>
    <w:p w:rsidR="00A65FCD" w:rsidRDefault="00B716B7" w:rsidP="001072BD">
      <w:pPr>
        <w:spacing w:after="0" w:line="360" w:lineRule="auto"/>
        <w:jc w:val="both"/>
        <w:rPr>
          <w:rFonts w:ascii="Arial" w:hAnsi="Arial" w:cs="Arial"/>
          <w:sz w:val="24"/>
          <w:szCs w:val="24"/>
        </w:rPr>
      </w:pPr>
      <w:r>
        <w:rPr>
          <w:rFonts w:ascii="Arial" w:hAnsi="Arial" w:cs="Arial"/>
          <w:sz w:val="24"/>
          <w:szCs w:val="24"/>
        </w:rPr>
        <w:t>[</w:t>
      </w:r>
      <w:r w:rsidR="00FE6190">
        <w:rPr>
          <w:rFonts w:ascii="Arial" w:hAnsi="Arial" w:cs="Arial"/>
          <w:sz w:val="24"/>
          <w:szCs w:val="24"/>
        </w:rPr>
        <w:t>12</w:t>
      </w:r>
      <w:r>
        <w:rPr>
          <w:rFonts w:ascii="Arial" w:hAnsi="Arial" w:cs="Arial"/>
          <w:sz w:val="24"/>
          <w:szCs w:val="24"/>
        </w:rPr>
        <w:t>]</w:t>
      </w:r>
      <w:r>
        <w:rPr>
          <w:rFonts w:ascii="Arial" w:hAnsi="Arial" w:cs="Arial"/>
          <w:sz w:val="24"/>
          <w:szCs w:val="24"/>
        </w:rPr>
        <w:tab/>
      </w:r>
      <w:r w:rsidR="008D469C">
        <w:rPr>
          <w:rFonts w:ascii="Arial" w:hAnsi="Arial" w:cs="Arial"/>
          <w:sz w:val="24"/>
          <w:szCs w:val="24"/>
        </w:rPr>
        <w:t xml:space="preserve">In other words the </w:t>
      </w:r>
      <w:r>
        <w:rPr>
          <w:rFonts w:ascii="Arial" w:hAnsi="Arial" w:cs="Arial"/>
          <w:sz w:val="24"/>
          <w:szCs w:val="24"/>
        </w:rPr>
        <w:t>‘</w:t>
      </w:r>
      <w:r w:rsidR="008D469C">
        <w:rPr>
          <w:rFonts w:ascii="Arial" w:hAnsi="Arial" w:cs="Arial"/>
          <w:sz w:val="24"/>
          <w:szCs w:val="24"/>
        </w:rPr>
        <w:t>process</w:t>
      </w:r>
      <w:r>
        <w:rPr>
          <w:rFonts w:ascii="Arial" w:hAnsi="Arial" w:cs="Arial"/>
          <w:sz w:val="24"/>
          <w:szCs w:val="24"/>
        </w:rPr>
        <w:t>’</w:t>
      </w:r>
      <w:r>
        <w:rPr>
          <w:rStyle w:val="FootnoteReference"/>
          <w:rFonts w:ascii="Arial" w:hAnsi="Arial"/>
          <w:sz w:val="24"/>
          <w:szCs w:val="24"/>
        </w:rPr>
        <w:footnoteReference w:id="3"/>
      </w:r>
      <w:r>
        <w:rPr>
          <w:rFonts w:ascii="Arial" w:hAnsi="Arial" w:cs="Arial"/>
          <w:sz w:val="24"/>
          <w:szCs w:val="24"/>
        </w:rPr>
        <w:t xml:space="preserve">, </w:t>
      </w:r>
      <w:r w:rsidR="008D469C">
        <w:rPr>
          <w:rFonts w:ascii="Arial" w:hAnsi="Arial" w:cs="Arial"/>
          <w:sz w:val="24"/>
          <w:szCs w:val="24"/>
        </w:rPr>
        <w:t>which judicially interrupted the runn</w:t>
      </w:r>
      <w:r w:rsidR="007F257F">
        <w:rPr>
          <w:rFonts w:ascii="Arial" w:hAnsi="Arial" w:cs="Arial"/>
          <w:sz w:val="24"/>
          <w:szCs w:val="24"/>
        </w:rPr>
        <w:t xml:space="preserve">ing of prescription </w:t>
      </w:r>
      <w:r>
        <w:rPr>
          <w:rFonts w:ascii="Arial" w:hAnsi="Arial" w:cs="Arial"/>
          <w:sz w:val="24"/>
          <w:szCs w:val="24"/>
        </w:rPr>
        <w:t>of the caus</w:t>
      </w:r>
      <w:r w:rsidR="008D469C">
        <w:rPr>
          <w:rFonts w:ascii="Arial" w:hAnsi="Arial" w:cs="Arial"/>
          <w:sz w:val="24"/>
          <w:szCs w:val="24"/>
        </w:rPr>
        <w:t>e of action</w:t>
      </w:r>
      <w:r>
        <w:rPr>
          <w:rFonts w:ascii="Arial" w:hAnsi="Arial" w:cs="Arial"/>
          <w:sz w:val="24"/>
          <w:szCs w:val="24"/>
        </w:rPr>
        <w:t>,</w:t>
      </w:r>
      <w:r w:rsidR="008D469C">
        <w:rPr>
          <w:rFonts w:ascii="Arial" w:hAnsi="Arial" w:cs="Arial"/>
          <w:sz w:val="24"/>
          <w:szCs w:val="24"/>
        </w:rPr>
        <w:t xml:space="preserve"> which arose in 2002</w:t>
      </w:r>
      <w:r>
        <w:rPr>
          <w:rFonts w:ascii="Arial" w:hAnsi="Arial" w:cs="Arial"/>
          <w:sz w:val="24"/>
          <w:szCs w:val="24"/>
        </w:rPr>
        <w:t>, was at the very least</w:t>
      </w:r>
      <w:r w:rsidR="008D469C">
        <w:rPr>
          <w:rFonts w:ascii="Arial" w:hAnsi="Arial" w:cs="Arial"/>
          <w:sz w:val="24"/>
          <w:szCs w:val="24"/>
        </w:rPr>
        <w:t xml:space="preserve"> so</w:t>
      </w:r>
      <w:r>
        <w:rPr>
          <w:rFonts w:ascii="Arial" w:hAnsi="Arial" w:cs="Arial"/>
          <w:sz w:val="24"/>
          <w:szCs w:val="24"/>
        </w:rPr>
        <w:t xml:space="preserve"> interrupted</w:t>
      </w:r>
      <w:r w:rsidR="008D469C">
        <w:rPr>
          <w:rFonts w:ascii="Arial" w:hAnsi="Arial" w:cs="Arial"/>
          <w:sz w:val="24"/>
          <w:szCs w:val="24"/>
        </w:rPr>
        <w:t xml:space="preserve"> until the 18</w:t>
      </w:r>
      <w:r w:rsidR="008D469C" w:rsidRPr="008D469C">
        <w:rPr>
          <w:rFonts w:ascii="Arial" w:hAnsi="Arial" w:cs="Arial"/>
          <w:sz w:val="24"/>
          <w:szCs w:val="24"/>
          <w:vertAlign w:val="superscript"/>
        </w:rPr>
        <w:t>th</w:t>
      </w:r>
      <w:r w:rsidR="008D469C">
        <w:rPr>
          <w:rFonts w:ascii="Arial" w:hAnsi="Arial" w:cs="Arial"/>
          <w:sz w:val="24"/>
          <w:szCs w:val="24"/>
        </w:rPr>
        <w:t xml:space="preserve"> of May 2015, as this was the period of time that it took to obtain </w:t>
      </w:r>
      <w:r>
        <w:rPr>
          <w:rFonts w:ascii="Arial" w:hAnsi="Arial" w:cs="Arial"/>
          <w:sz w:val="24"/>
          <w:szCs w:val="24"/>
        </w:rPr>
        <w:t>a decision, by the court, in case</w:t>
      </w:r>
      <w:r w:rsidR="008D469C">
        <w:rPr>
          <w:rFonts w:ascii="Arial" w:hAnsi="Arial" w:cs="Arial"/>
          <w:sz w:val="24"/>
          <w:szCs w:val="24"/>
        </w:rPr>
        <w:t xml:space="preserve"> T</w:t>
      </w:r>
      <w:r>
        <w:rPr>
          <w:rFonts w:ascii="Arial" w:hAnsi="Arial" w:cs="Arial"/>
          <w:sz w:val="24"/>
          <w:szCs w:val="24"/>
        </w:rPr>
        <w:t xml:space="preserve"> </w:t>
      </w:r>
      <w:r w:rsidR="008D469C">
        <w:rPr>
          <w:rFonts w:ascii="Arial" w:hAnsi="Arial" w:cs="Arial"/>
          <w:sz w:val="24"/>
          <w:szCs w:val="24"/>
        </w:rPr>
        <w:t>(I) 1632/2004</w:t>
      </w:r>
      <w:r>
        <w:rPr>
          <w:rFonts w:ascii="Arial" w:hAnsi="Arial" w:cs="Arial"/>
          <w:sz w:val="24"/>
          <w:szCs w:val="24"/>
        </w:rPr>
        <w:t>,</w:t>
      </w:r>
      <w:r w:rsidR="008D469C">
        <w:rPr>
          <w:rFonts w:ascii="Arial" w:hAnsi="Arial" w:cs="Arial"/>
          <w:sz w:val="24"/>
          <w:szCs w:val="24"/>
        </w:rPr>
        <w:t xml:space="preserve"> in which</w:t>
      </w:r>
      <w:r w:rsidR="007F257F">
        <w:rPr>
          <w:rFonts w:ascii="Arial" w:hAnsi="Arial" w:cs="Arial"/>
          <w:sz w:val="24"/>
          <w:szCs w:val="24"/>
        </w:rPr>
        <w:t xml:space="preserve"> scenario</w:t>
      </w:r>
      <w:r w:rsidR="008D469C">
        <w:rPr>
          <w:rFonts w:ascii="Arial" w:hAnsi="Arial" w:cs="Arial"/>
          <w:sz w:val="24"/>
          <w:szCs w:val="24"/>
        </w:rPr>
        <w:t xml:space="preserve"> the plaintiff</w:t>
      </w:r>
      <w:r>
        <w:rPr>
          <w:rFonts w:ascii="Arial" w:hAnsi="Arial" w:cs="Arial"/>
          <w:sz w:val="24"/>
          <w:szCs w:val="24"/>
        </w:rPr>
        <w:t xml:space="preserve"> is to be regarded as the</w:t>
      </w:r>
      <w:r w:rsidR="008D469C">
        <w:rPr>
          <w:rFonts w:ascii="Arial" w:hAnsi="Arial" w:cs="Arial"/>
          <w:sz w:val="24"/>
          <w:szCs w:val="24"/>
        </w:rPr>
        <w:t xml:space="preserve"> </w:t>
      </w:r>
      <w:r w:rsidR="007F257F">
        <w:rPr>
          <w:rFonts w:ascii="Arial" w:hAnsi="Arial" w:cs="Arial"/>
          <w:sz w:val="24"/>
          <w:szCs w:val="24"/>
        </w:rPr>
        <w:t>‘</w:t>
      </w:r>
      <w:r w:rsidR="00615351">
        <w:rPr>
          <w:rFonts w:ascii="Arial" w:hAnsi="Arial" w:cs="Arial"/>
          <w:sz w:val="24"/>
          <w:szCs w:val="24"/>
        </w:rPr>
        <w:t>creditor</w:t>
      </w:r>
      <w:r w:rsidR="007F257F">
        <w:rPr>
          <w:rFonts w:ascii="Arial" w:hAnsi="Arial" w:cs="Arial"/>
          <w:sz w:val="24"/>
          <w:szCs w:val="24"/>
        </w:rPr>
        <w:t>’ -</w:t>
      </w:r>
      <w:r w:rsidR="008D469C">
        <w:rPr>
          <w:rFonts w:ascii="Arial" w:hAnsi="Arial" w:cs="Arial"/>
          <w:sz w:val="24"/>
          <w:szCs w:val="24"/>
        </w:rPr>
        <w:t xml:space="preserve"> who claimed payment from the</w:t>
      </w:r>
      <w:r w:rsidR="007F257F">
        <w:rPr>
          <w:rFonts w:ascii="Arial" w:hAnsi="Arial" w:cs="Arial"/>
          <w:sz w:val="24"/>
          <w:szCs w:val="24"/>
        </w:rPr>
        <w:t xml:space="preserve"> defendant -</w:t>
      </w:r>
      <w:r w:rsidR="008D469C">
        <w:rPr>
          <w:rFonts w:ascii="Arial" w:hAnsi="Arial" w:cs="Arial"/>
          <w:sz w:val="24"/>
          <w:szCs w:val="24"/>
        </w:rPr>
        <w:t xml:space="preserve"> the </w:t>
      </w:r>
      <w:r w:rsidR="007F257F">
        <w:rPr>
          <w:rFonts w:ascii="Arial" w:hAnsi="Arial" w:cs="Arial"/>
          <w:sz w:val="24"/>
          <w:szCs w:val="24"/>
        </w:rPr>
        <w:t>‘</w:t>
      </w:r>
      <w:r w:rsidR="008D469C">
        <w:rPr>
          <w:rFonts w:ascii="Arial" w:hAnsi="Arial" w:cs="Arial"/>
          <w:sz w:val="24"/>
          <w:szCs w:val="24"/>
        </w:rPr>
        <w:t>debtor</w:t>
      </w:r>
      <w:r w:rsidR="007F257F">
        <w:rPr>
          <w:rFonts w:ascii="Arial" w:hAnsi="Arial" w:cs="Arial"/>
          <w:sz w:val="24"/>
          <w:szCs w:val="24"/>
        </w:rPr>
        <w:t>’ -</w:t>
      </w:r>
      <w:r w:rsidR="008D469C">
        <w:rPr>
          <w:rFonts w:ascii="Arial" w:hAnsi="Arial" w:cs="Arial"/>
          <w:sz w:val="24"/>
          <w:szCs w:val="24"/>
        </w:rPr>
        <w:t xml:space="preserve"> for payment</w:t>
      </w:r>
      <w:r w:rsidR="007F257F">
        <w:rPr>
          <w:rFonts w:ascii="Arial" w:hAnsi="Arial" w:cs="Arial"/>
          <w:sz w:val="24"/>
          <w:szCs w:val="24"/>
        </w:rPr>
        <w:t xml:space="preserve"> of the</w:t>
      </w:r>
      <w:r w:rsidR="008D469C">
        <w:rPr>
          <w:rFonts w:ascii="Arial" w:hAnsi="Arial" w:cs="Arial"/>
          <w:sz w:val="24"/>
          <w:szCs w:val="24"/>
        </w:rPr>
        <w:t xml:space="preserve"> </w:t>
      </w:r>
      <w:r w:rsidR="007F257F">
        <w:rPr>
          <w:rFonts w:ascii="Arial" w:hAnsi="Arial" w:cs="Arial"/>
          <w:sz w:val="24"/>
          <w:szCs w:val="24"/>
        </w:rPr>
        <w:t>‘debt’ -</w:t>
      </w:r>
      <w:r w:rsidR="00A65FCD">
        <w:rPr>
          <w:rFonts w:ascii="Arial" w:hAnsi="Arial" w:cs="Arial"/>
          <w:sz w:val="24"/>
          <w:szCs w:val="24"/>
        </w:rPr>
        <w:t xml:space="preserve"> claimed in respect of</w:t>
      </w:r>
      <w:r w:rsidR="007F257F">
        <w:rPr>
          <w:rFonts w:ascii="Arial" w:hAnsi="Arial" w:cs="Arial"/>
          <w:sz w:val="24"/>
          <w:szCs w:val="24"/>
        </w:rPr>
        <w:t xml:space="preserve"> the</w:t>
      </w:r>
      <w:r w:rsidR="00A65FCD">
        <w:rPr>
          <w:rFonts w:ascii="Arial" w:hAnsi="Arial" w:cs="Arial"/>
          <w:sz w:val="24"/>
          <w:szCs w:val="24"/>
        </w:rPr>
        <w:t xml:space="preserve"> </w:t>
      </w:r>
      <w:r w:rsidR="00615351">
        <w:rPr>
          <w:rFonts w:ascii="Arial" w:hAnsi="Arial" w:cs="Arial"/>
          <w:sz w:val="24"/>
          <w:szCs w:val="24"/>
        </w:rPr>
        <w:t>building</w:t>
      </w:r>
      <w:r w:rsidR="00A65FCD">
        <w:rPr>
          <w:rFonts w:ascii="Arial" w:hAnsi="Arial" w:cs="Arial"/>
          <w:sz w:val="24"/>
          <w:szCs w:val="24"/>
        </w:rPr>
        <w:t xml:space="preserve"> contract concluded between the parties during 2001.</w:t>
      </w:r>
    </w:p>
    <w:p w:rsidR="00A65FCD" w:rsidRDefault="00A65FCD" w:rsidP="001072BD">
      <w:pPr>
        <w:spacing w:after="0" w:line="360" w:lineRule="auto"/>
        <w:jc w:val="both"/>
        <w:rPr>
          <w:rFonts w:ascii="Arial" w:hAnsi="Arial" w:cs="Arial"/>
          <w:sz w:val="24"/>
          <w:szCs w:val="24"/>
        </w:rPr>
      </w:pPr>
    </w:p>
    <w:p w:rsidR="009D7DF3" w:rsidRPr="009D7DF3" w:rsidRDefault="009D7DF3" w:rsidP="001072BD">
      <w:pPr>
        <w:spacing w:after="0" w:line="360" w:lineRule="auto"/>
        <w:jc w:val="both"/>
        <w:rPr>
          <w:rFonts w:ascii="Arial" w:hAnsi="Arial" w:cs="Arial"/>
          <w:sz w:val="24"/>
          <w:szCs w:val="24"/>
          <w:u w:val="single"/>
        </w:rPr>
      </w:pPr>
      <w:r w:rsidRPr="009D7DF3">
        <w:rPr>
          <w:rFonts w:ascii="Arial" w:hAnsi="Arial" w:cs="Arial"/>
          <w:sz w:val="24"/>
          <w:szCs w:val="24"/>
          <w:u w:val="single"/>
        </w:rPr>
        <w:t>The circumstances under which absolution from the instance was granted</w:t>
      </w:r>
    </w:p>
    <w:p w:rsidR="009D7DF3" w:rsidRDefault="009D7DF3" w:rsidP="001072BD">
      <w:pPr>
        <w:spacing w:after="0" w:line="360" w:lineRule="auto"/>
        <w:jc w:val="both"/>
        <w:rPr>
          <w:rFonts w:ascii="Arial" w:hAnsi="Arial" w:cs="Arial"/>
          <w:sz w:val="24"/>
          <w:szCs w:val="24"/>
        </w:rPr>
      </w:pPr>
    </w:p>
    <w:p w:rsidR="00C042F7" w:rsidRDefault="00A65FCD" w:rsidP="001072BD">
      <w:pPr>
        <w:spacing w:after="0" w:line="360" w:lineRule="auto"/>
        <w:jc w:val="both"/>
        <w:rPr>
          <w:rFonts w:ascii="Arial" w:hAnsi="Arial" w:cs="Arial"/>
          <w:sz w:val="24"/>
          <w:szCs w:val="24"/>
        </w:rPr>
      </w:pPr>
      <w:r>
        <w:rPr>
          <w:rFonts w:ascii="Arial" w:hAnsi="Arial" w:cs="Arial"/>
          <w:sz w:val="24"/>
          <w:szCs w:val="24"/>
        </w:rPr>
        <w:t>[1</w:t>
      </w:r>
      <w:r w:rsidR="00FE6190">
        <w:rPr>
          <w:rFonts w:ascii="Arial" w:hAnsi="Arial" w:cs="Arial"/>
          <w:sz w:val="24"/>
          <w:szCs w:val="24"/>
        </w:rPr>
        <w:t>3</w:t>
      </w:r>
      <w:r>
        <w:rPr>
          <w:rFonts w:ascii="Arial" w:hAnsi="Arial" w:cs="Arial"/>
          <w:sz w:val="24"/>
          <w:szCs w:val="24"/>
        </w:rPr>
        <w:t>]</w:t>
      </w:r>
      <w:r>
        <w:rPr>
          <w:rFonts w:ascii="Arial" w:hAnsi="Arial" w:cs="Arial"/>
          <w:sz w:val="24"/>
          <w:szCs w:val="24"/>
        </w:rPr>
        <w:tab/>
        <w:t>It is clear from the orders granted on 8 April 2015 and 18 May 2015 that the plaintiff in the first case was</w:t>
      </w:r>
      <w:r w:rsidR="007F257F">
        <w:rPr>
          <w:rFonts w:ascii="Arial" w:hAnsi="Arial" w:cs="Arial"/>
          <w:sz w:val="24"/>
          <w:szCs w:val="24"/>
        </w:rPr>
        <w:t xml:space="preserve"> first</w:t>
      </w:r>
      <w:r>
        <w:rPr>
          <w:rFonts w:ascii="Arial" w:hAnsi="Arial" w:cs="Arial"/>
          <w:sz w:val="24"/>
          <w:szCs w:val="24"/>
        </w:rPr>
        <w:t xml:space="preserve"> barred from filing his witness state</w:t>
      </w:r>
      <w:r w:rsidR="007F257F">
        <w:rPr>
          <w:rFonts w:ascii="Arial" w:hAnsi="Arial" w:cs="Arial"/>
          <w:sz w:val="24"/>
          <w:szCs w:val="24"/>
        </w:rPr>
        <w:t>ments and from making discovery</w:t>
      </w:r>
      <w:r w:rsidR="00973C2B">
        <w:rPr>
          <w:rFonts w:ascii="Arial" w:hAnsi="Arial" w:cs="Arial"/>
          <w:sz w:val="24"/>
          <w:szCs w:val="24"/>
        </w:rPr>
        <w:t xml:space="preserve"> on 8 April 2015</w:t>
      </w:r>
      <w:r w:rsidR="007F257F">
        <w:rPr>
          <w:rFonts w:ascii="Arial" w:hAnsi="Arial" w:cs="Arial"/>
          <w:sz w:val="24"/>
          <w:szCs w:val="24"/>
        </w:rPr>
        <w:t xml:space="preserve"> and that h</w:t>
      </w:r>
      <w:r>
        <w:rPr>
          <w:rFonts w:ascii="Arial" w:hAnsi="Arial" w:cs="Arial"/>
          <w:sz w:val="24"/>
          <w:szCs w:val="24"/>
        </w:rPr>
        <w:t xml:space="preserve">e was thus </w:t>
      </w:r>
      <w:r w:rsidR="00096DA8">
        <w:rPr>
          <w:rFonts w:ascii="Arial" w:hAnsi="Arial" w:cs="Arial"/>
          <w:sz w:val="24"/>
          <w:szCs w:val="24"/>
        </w:rPr>
        <w:t>deprived</w:t>
      </w:r>
      <w:r>
        <w:rPr>
          <w:rFonts w:ascii="Arial" w:hAnsi="Arial" w:cs="Arial"/>
          <w:sz w:val="24"/>
          <w:szCs w:val="24"/>
        </w:rPr>
        <w:t xml:space="preserve"> of the benefit of</w:t>
      </w:r>
      <w:r w:rsidR="00C200DB">
        <w:rPr>
          <w:rFonts w:ascii="Arial" w:hAnsi="Arial" w:cs="Arial"/>
          <w:sz w:val="24"/>
          <w:szCs w:val="24"/>
        </w:rPr>
        <w:t xml:space="preserve"> duly</w:t>
      </w:r>
      <w:r>
        <w:rPr>
          <w:rFonts w:ascii="Arial" w:hAnsi="Arial" w:cs="Arial"/>
          <w:sz w:val="24"/>
          <w:szCs w:val="24"/>
        </w:rPr>
        <w:t xml:space="preserve"> present</w:t>
      </w:r>
      <w:r w:rsidR="00C200DB">
        <w:rPr>
          <w:rFonts w:ascii="Arial" w:hAnsi="Arial" w:cs="Arial"/>
          <w:sz w:val="24"/>
          <w:szCs w:val="24"/>
        </w:rPr>
        <w:t>ing</w:t>
      </w:r>
      <w:r>
        <w:rPr>
          <w:rFonts w:ascii="Arial" w:hAnsi="Arial" w:cs="Arial"/>
          <w:sz w:val="24"/>
          <w:szCs w:val="24"/>
        </w:rPr>
        <w:t xml:space="preserve"> his case effectively</w:t>
      </w:r>
      <w:r w:rsidR="007F257F">
        <w:rPr>
          <w:rFonts w:ascii="Arial" w:hAnsi="Arial" w:cs="Arial"/>
          <w:sz w:val="24"/>
          <w:szCs w:val="24"/>
        </w:rPr>
        <w:t xml:space="preserve"> and fully</w:t>
      </w:r>
      <w:r>
        <w:rPr>
          <w:rFonts w:ascii="Arial" w:hAnsi="Arial" w:cs="Arial"/>
          <w:sz w:val="24"/>
          <w:szCs w:val="24"/>
        </w:rPr>
        <w:t xml:space="preserve"> at</w:t>
      </w:r>
      <w:r w:rsidR="007F257F">
        <w:rPr>
          <w:rFonts w:ascii="Arial" w:hAnsi="Arial" w:cs="Arial"/>
          <w:sz w:val="24"/>
          <w:szCs w:val="24"/>
        </w:rPr>
        <w:t xml:space="preserve"> the</w:t>
      </w:r>
      <w:r>
        <w:rPr>
          <w:rFonts w:ascii="Arial" w:hAnsi="Arial" w:cs="Arial"/>
          <w:sz w:val="24"/>
          <w:szCs w:val="24"/>
        </w:rPr>
        <w:t xml:space="preserve"> trial</w:t>
      </w:r>
      <w:r w:rsidR="00973C2B">
        <w:rPr>
          <w:rFonts w:ascii="Arial" w:hAnsi="Arial" w:cs="Arial"/>
          <w:sz w:val="24"/>
          <w:szCs w:val="24"/>
        </w:rPr>
        <w:t xml:space="preserve"> set for 18 May 2015</w:t>
      </w:r>
      <w:r>
        <w:rPr>
          <w:rFonts w:ascii="Arial" w:hAnsi="Arial" w:cs="Arial"/>
          <w:sz w:val="24"/>
          <w:szCs w:val="24"/>
        </w:rPr>
        <w:t>, which scenario then resulted in a situation where absolution from the instance was granted</w:t>
      </w:r>
      <w:r w:rsidR="00685365">
        <w:rPr>
          <w:rFonts w:ascii="Arial" w:hAnsi="Arial" w:cs="Arial"/>
          <w:sz w:val="24"/>
          <w:szCs w:val="24"/>
        </w:rPr>
        <w:t xml:space="preserve"> at the subsequent hearing of 18 May</w:t>
      </w:r>
      <w:r>
        <w:rPr>
          <w:rFonts w:ascii="Arial" w:hAnsi="Arial" w:cs="Arial"/>
          <w:sz w:val="24"/>
          <w:szCs w:val="24"/>
        </w:rPr>
        <w:t xml:space="preserve">.  </w:t>
      </w:r>
      <w:r w:rsidR="00C200DB">
        <w:rPr>
          <w:rFonts w:ascii="Arial" w:hAnsi="Arial" w:cs="Arial"/>
          <w:sz w:val="24"/>
          <w:szCs w:val="24"/>
        </w:rPr>
        <w:t>The record</w:t>
      </w:r>
      <w:r w:rsidR="00685365">
        <w:rPr>
          <w:rFonts w:ascii="Arial" w:hAnsi="Arial" w:cs="Arial"/>
          <w:sz w:val="24"/>
          <w:szCs w:val="24"/>
        </w:rPr>
        <w:t xml:space="preserve"> of that date</w:t>
      </w:r>
      <w:r w:rsidR="00C200DB">
        <w:rPr>
          <w:rFonts w:ascii="Arial" w:hAnsi="Arial" w:cs="Arial"/>
          <w:sz w:val="24"/>
          <w:szCs w:val="24"/>
        </w:rPr>
        <w:t xml:space="preserve"> reflects that </w:t>
      </w:r>
      <w:proofErr w:type="spellStart"/>
      <w:r w:rsidR="00C200DB">
        <w:rPr>
          <w:rFonts w:ascii="Arial" w:hAnsi="Arial" w:cs="Arial"/>
          <w:sz w:val="24"/>
          <w:szCs w:val="24"/>
        </w:rPr>
        <w:t>Mr</w:t>
      </w:r>
      <w:proofErr w:type="spellEnd"/>
      <w:r w:rsidR="00C200DB">
        <w:rPr>
          <w:rFonts w:ascii="Arial" w:hAnsi="Arial" w:cs="Arial"/>
          <w:sz w:val="24"/>
          <w:szCs w:val="24"/>
        </w:rPr>
        <w:t xml:space="preserve"> Mouton, counsel for the plaintiff</w:t>
      </w:r>
      <w:r w:rsidR="00685365">
        <w:rPr>
          <w:rFonts w:ascii="Arial" w:hAnsi="Arial" w:cs="Arial"/>
          <w:sz w:val="24"/>
          <w:szCs w:val="24"/>
        </w:rPr>
        <w:t>, after initially wanting to withdraw,</w:t>
      </w:r>
      <w:r w:rsidR="00C200DB">
        <w:rPr>
          <w:rFonts w:ascii="Arial" w:hAnsi="Arial" w:cs="Arial"/>
          <w:sz w:val="24"/>
          <w:szCs w:val="24"/>
        </w:rPr>
        <w:t xml:space="preserve"> </w:t>
      </w:r>
      <w:r w:rsidR="00685365">
        <w:rPr>
          <w:rFonts w:ascii="Arial" w:hAnsi="Arial" w:cs="Arial"/>
          <w:sz w:val="24"/>
          <w:szCs w:val="24"/>
        </w:rPr>
        <w:t>after an application for postponement had been refused, had also placed on record that he had no instructions to proceed and that the plaintiff was also not able to proceed.</w:t>
      </w:r>
      <w:r w:rsidR="00C200DB">
        <w:rPr>
          <w:rFonts w:ascii="Arial" w:hAnsi="Arial" w:cs="Arial"/>
          <w:sz w:val="24"/>
          <w:szCs w:val="24"/>
        </w:rPr>
        <w:t xml:space="preserve"> </w:t>
      </w:r>
      <w:r w:rsidR="00685365">
        <w:rPr>
          <w:rFonts w:ascii="Arial" w:hAnsi="Arial" w:cs="Arial"/>
          <w:sz w:val="24"/>
          <w:szCs w:val="24"/>
        </w:rPr>
        <w:t>I</w:t>
      </w:r>
      <w:r>
        <w:rPr>
          <w:rFonts w:ascii="Arial" w:hAnsi="Arial" w:cs="Arial"/>
          <w:sz w:val="24"/>
          <w:szCs w:val="24"/>
        </w:rPr>
        <w:t>t so appears</w:t>
      </w:r>
      <w:r w:rsidR="007F257F">
        <w:rPr>
          <w:rFonts w:ascii="Arial" w:hAnsi="Arial" w:cs="Arial"/>
          <w:sz w:val="24"/>
          <w:szCs w:val="24"/>
        </w:rPr>
        <w:t xml:space="preserve"> that</w:t>
      </w:r>
      <w:r>
        <w:rPr>
          <w:rFonts w:ascii="Arial" w:hAnsi="Arial" w:cs="Arial"/>
          <w:sz w:val="24"/>
          <w:szCs w:val="24"/>
        </w:rPr>
        <w:t xml:space="preserve"> it was indeed so that absolution was not granted after the plaintiff had presented its case, i.e. after</w:t>
      </w:r>
      <w:r w:rsidR="007F257F">
        <w:rPr>
          <w:rFonts w:ascii="Arial" w:hAnsi="Arial" w:cs="Arial"/>
          <w:sz w:val="24"/>
          <w:szCs w:val="24"/>
        </w:rPr>
        <w:t xml:space="preserve"> the hearing of</w:t>
      </w:r>
      <w:r>
        <w:rPr>
          <w:rFonts w:ascii="Arial" w:hAnsi="Arial" w:cs="Arial"/>
          <w:sz w:val="24"/>
          <w:szCs w:val="24"/>
        </w:rPr>
        <w:t xml:space="preserve"> evidence adduced on behalf of the plaintiff</w:t>
      </w:r>
      <w:r w:rsidR="00B93278">
        <w:rPr>
          <w:rFonts w:ascii="Arial" w:hAnsi="Arial" w:cs="Arial"/>
          <w:sz w:val="24"/>
          <w:szCs w:val="24"/>
        </w:rPr>
        <w:t>. In this instance - where the plaintiff was thus not able to proceed to present his case,</w:t>
      </w:r>
      <w:r>
        <w:rPr>
          <w:rFonts w:ascii="Arial" w:hAnsi="Arial" w:cs="Arial"/>
          <w:sz w:val="24"/>
          <w:szCs w:val="24"/>
        </w:rPr>
        <w:t xml:space="preserve"> </w:t>
      </w:r>
      <w:r w:rsidR="00B93278">
        <w:rPr>
          <w:rFonts w:ascii="Arial" w:hAnsi="Arial" w:cs="Arial"/>
          <w:sz w:val="24"/>
          <w:szCs w:val="24"/>
        </w:rPr>
        <w:t>because of the bar imposed by court order on his client</w:t>
      </w:r>
      <w:r w:rsidR="007F257F">
        <w:rPr>
          <w:rFonts w:ascii="Arial" w:hAnsi="Arial" w:cs="Arial"/>
          <w:sz w:val="24"/>
          <w:szCs w:val="24"/>
        </w:rPr>
        <w:t xml:space="preserve"> -</w:t>
      </w:r>
      <w:r w:rsidR="00C042F7">
        <w:rPr>
          <w:rFonts w:ascii="Arial" w:hAnsi="Arial" w:cs="Arial"/>
          <w:sz w:val="24"/>
          <w:szCs w:val="24"/>
        </w:rPr>
        <w:t xml:space="preserve"> defendant’s counsel asked for</w:t>
      </w:r>
      <w:r w:rsidR="007F257F">
        <w:rPr>
          <w:rFonts w:ascii="Arial" w:hAnsi="Arial" w:cs="Arial"/>
          <w:sz w:val="24"/>
          <w:szCs w:val="24"/>
        </w:rPr>
        <w:t>- and was granted absolution</w:t>
      </w:r>
      <w:r w:rsidR="00C042F7">
        <w:rPr>
          <w:rFonts w:ascii="Arial" w:hAnsi="Arial" w:cs="Arial"/>
          <w:sz w:val="24"/>
          <w:szCs w:val="24"/>
        </w:rPr>
        <w:t>, which</w:t>
      </w:r>
      <w:r w:rsidR="007F257F">
        <w:rPr>
          <w:rFonts w:ascii="Arial" w:hAnsi="Arial" w:cs="Arial"/>
          <w:sz w:val="24"/>
          <w:szCs w:val="24"/>
        </w:rPr>
        <w:t xml:space="preserve"> was</w:t>
      </w:r>
      <w:r w:rsidR="00C042F7">
        <w:rPr>
          <w:rFonts w:ascii="Arial" w:hAnsi="Arial" w:cs="Arial"/>
          <w:sz w:val="24"/>
          <w:szCs w:val="24"/>
        </w:rPr>
        <w:t xml:space="preserve"> </w:t>
      </w:r>
      <w:r w:rsidR="00096DA8">
        <w:rPr>
          <w:rFonts w:ascii="Arial" w:hAnsi="Arial" w:cs="Arial"/>
          <w:sz w:val="24"/>
          <w:szCs w:val="24"/>
        </w:rPr>
        <w:t>akin</w:t>
      </w:r>
      <w:r w:rsidR="00C042F7">
        <w:rPr>
          <w:rFonts w:ascii="Arial" w:hAnsi="Arial" w:cs="Arial"/>
          <w:sz w:val="24"/>
          <w:szCs w:val="24"/>
        </w:rPr>
        <w:t xml:space="preserve"> to granting absolution</w:t>
      </w:r>
      <w:r w:rsidR="00B93278">
        <w:rPr>
          <w:rFonts w:ascii="Arial" w:hAnsi="Arial" w:cs="Arial"/>
          <w:sz w:val="24"/>
          <w:szCs w:val="24"/>
        </w:rPr>
        <w:t>,</w:t>
      </w:r>
      <w:r w:rsidR="00C042F7">
        <w:rPr>
          <w:rFonts w:ascii="Arial" w:hAnsi="Arial" w:cs="Arial"/>
          <w:sz w:val="24"/>
          <w:szCs w:val="24"/>
        </w:rPr>
        <w:t xml:space="preserve"> in </w:t>
      </w:r>
      <w:proofErr w:type="spellStart"/>
      <w:r w:rsidR="00C042F7">
        <w:rPr>
          <w:rFonts w:ascii="Arial" w:hAnsi="Arial" w:cs="Arial"/>
          <w:sz w:val="24"/>
          <w:szCs w:val="24"/>
        </w:rPr>
        <w:t>favour</w:t>
      </w:r>
      <w:proofErr w:type="spellEnd"/>
      <w:r w:rsidR="00C042F7">
        <w:rPr>
          <w:rFonts w:ascii="Arial" w:hAnsi="Arial" w:cs="Arial"/>
          <w:sz w:val="24"/>
          <w:szCs w:val="24"/>
        </w:rPr>
        <w:t xml:space="preserve"> of a defendant</w:t>
      </w:r>
      <w:r w:rsidR="00B93278">
        <w:rPr>
          <w:rFonts w:ascii="Arial" w:hAnsi="Arial" w:cs="Arial"/>
          <w:sz w:val="24"/>
          <w:szCs w:val="24"/>
        </w:rPr>
        <w:t>,</w:t>
      </w:r>
      <w:r w:rsidR="00C042F7">
        <w:rPr>
          <w:rFonts w:ascii="Arial" w:hAnsi="Arial" w:cs="Arial"/>
          <w:sz w:val="24"/>
          <w:szCs w:val="24"/>
        </w:rPr>
        <w:t xml:space="preserve"> at a trial</w:t>
      </w:r>
      <w:r w:rsidR="007F257F">
        <w:rPr>
          <w:rFonts w:ascii="Arial" w:hAnsi="Arial" w:cs="Arial"/>
          <w:sz w:val="24"/>
          <w:szCs w:val="24"/>
        </w:rPr>
        <w:t>,</w:t>
      </w:r>
      <w:r w:rsidR="00C042F7">
        <w:rPr>
          <w:rFonts w:ascii="Arial" w:hAnsi="Arial" w:cs="Arial"/>
          <w:sz w:val="24"/>
          <w:szCs w:val="24"/>
        </w:rPr>
        <w:t xml:space="preserve"> where a plaintiff </w:t>
      </w:r>
      <w:r w:rsidR="007F257F">
        <w:rPr>
          <w:rFonts w:ascii="Arial" w:hAnsi="Arial" w:cs="Arial"/>
          <w:sz w:val="24"/>
          <w:szCs w:val="24"/>
        </w:rPr>
        <w:t>has failed</w:t>
      </w:r>
      <w:r w:rsidR="00C042F7">
        <w:rPr>
          <w:rFonts w:ascii="Arial" w:hAnsi="Arial" w:cs="Arial"/>
          <w:sz w:val="24"/>
          <w:szCs w:val="24"/>
        </w:rPr>
        <w:t xml:space="preserve"> to appear – a scenario contemplated in Rule 98(2).</w:t>
      </w:r>
    </w:p>
    <w:p w:rsidR="00C042F7" w:rsidRDefault="00C042F7" w:rsidP="001072BD">
      <w:pPr>
        <w:spacing w:after="0" w:line="360" w:lineRule="auto"/>
        <w:jc w:val="both"/>
        <w:rPr>
          <w:rFonts w:ascii="Arial" w:hAnsi="Arial" w:cs="Arial"/>
          <w:sz w:val="24"/>
          <w:szCs w:val="24"/>
        </w:rPr>
      </w:pPr>
    </w:p>
    <w:p w:rsidR="007F257F" w:rsidRDefault="00C042F7" w:rsidP="001072BD">
      <w:pPr>
        <w:spacing w:after="0" w:line="360" w:lineRule="auto"/>
        <w:jc w:val="both"/>
        <w:rPr>
          <w:rFonts w:ascii="Arial" w:hAnsi="Arial" w:cs="Arial"/>
          <w:sz w:val="24"/>
          <w:szCs w:val="24"/>
        </w:rPr>
      </w:pPr>
      <w:r>
        <w:rPr>
          <w:rFonts w:ascii="Arial" w:hAnsi="Arial" w:cs="Arial"/>
          <w:sz w:val="24"/>
          <w:szCs w:val="24"/>
        </w:rPr>
        <w:t>[1</w:t>
      </w:r>
      <w:r w:rsidR="00FE6190">
        <w:rPr>
          <w:rFonts w:ascii="Arial" w:hAnsi="Arial" w:cs="Arial"/>
          <w:sz w:val="24"/>
          <w:szCs w:val="24"/>
        </w:rPr>
        <w:t>4</w:t>
      </w:r>
      <w:r>
        <w:rPr>
          <w:rFonts w:ascii="Arial" w:hAnsi="Arial" w:cs="Arial"/>
          <w:sz w:val="24"/>
          <w:szCs w:val="24"/>
        </w:rPr>
        <w:t>]</w:t>
      </w:r>
      <w:r>
        <w:rPr>
          <w:rFonts w:ascii="Arial" w:hAnsi="Arial" w:cs="Arial"/>
          <w:sz w:val="24"/>
          <w:szCs w:val="24"/>
        </w:rPr>
        <w:tab/>
        <w:t xml:space="preserve">In any event it is to be noted that the order for absolution granted by </w:t>
      </w:r>
      <w:proofErr w:type="spellStart"/>
      <w:r>
        <w:rPr>
          <w:rFonts w:ascii="Arial" w:hAnsi="Arial" w:cs="Arial"/>
          <w:sz w:val="24"/>
          <w:szCs w:val="24"/>
        </w:rPr>
        <w:t>Ueitele</w:t>
      </w:r>
      <w:proofErr w:type="spellEnd"/>
      <w:r>
        <w:rPr>
          <w:rFonts w:ascii="Arial" w:hAnsi="Arial" w:cs="Arial"/>
          <w:sz w:val="24"/>
          <w:szCs w:val="24"/>
        </w:rPr>
        <w:t xml:space="preserve"> </w:t>
      </w:r>
      <w:r w:rsidR="00C417ED">
        <w:rPr>
          <w:rFonts w:ascii="Arial" w:hAnsi="Arial" w:cs="Arial"/>
          <w:sz w:val="24"/>
          <w:szCs w:val="24"/>
        </w:rPr>
        <w:t xml:space="preserve">J </w:t>
      </w:r>
      <w:r>
        <w:rPr>
          <w:rFonts w:ascii="Arial" w:hAnsi="Arial" w:cs="Arial"/>
          <w:sz w:val="24"/>
          <w:szCs w:val="24"/>
        </w:rPr>
        <w:t>on 18 May 201</w:t>
      </w:r>
      <w:r w:rsidR="007F257F">
        <w:rPr>
          <w:rFonts w:ascii="Arial" w:hAnsi="Arial" w:cs="Arial"/>
          <w:sz w:val="24"/>
          <w:szCs w:val="24"/>
        </w:rPr>
        <w:t>5 was never taken on appeal, w</w:t>
      </w:r>
      <w:r w:rsidR="00C417ED">
        <w:rPr>
          <w:rFonts w:ascii="Arial" w:hAnsi="Arial" w:cs="Arial"/>
          <w:sz w:val="24"/>
          <w:szCs w:val="24"/>
        </w:rPr>
        <w:t xml:space="preserve">hich </w:t>
      </w:r>
      <w:r w:rsidR="00096DA8">
        <w:rPr>
          <w:rFonts w:ascii="Arial" w:hAnsi="Arial" w:cs="Arial"/>
          <w:sz w:val="24"/>
          <w:szCs w:val="24"/>
        </w:rPr>
        <w:t>ruling</w:t>
      </w:r>
      <w:r w:rsidR="00C417ED">
        <w:rPr>
          <w:rFonts w:ascii="Arial" w:hAnsi="Arial" w:cs="Arial"/>
          <w:sz w:val="24"/>
          <w:szCs w:val="24"/>
        </w:rPr>
        <w:t xml:space="preserve"> so</w:t>
      </w:r>
      <w:r w:rsidR="007F257F">
        <w:rPr>
          <w:rFonts w:ascii="Arial" w:hAnsi="Arial" w:cs="Arial"/>
          <w:sz w:val="24"/>
          <w:szCs w:val="24"/>
        </w:rPr>
        <w:t>,</w:t>
      </w:r>
      <w:r w:rsidR="00B93278">
        <w:rPr>
          <w:rFonts w:ascii="Arial" w:hAnsi="Arial" w:cs="Arial"/>
          <w:sz w:val="24"/>
          <w:szCs w:val="24"/>
        </w:rPr>
        <w:t xml:space="preserve"> so</w:t>
      </w:r>
      <w:r w:rsidR="00C417ED">
        <w:rPr>
          <w:rFonts w:ascii="Arial" w:hAnsi="Arial" w:cs="Arial"/>
          <w:sz w:val="24"/>
          <w:szCs w:val="24"/>
        </w:rPr>
        <w:t xml:space="preserve"> become final</w:t>
      </w:r>
      <w:r w:rsidR="007F257F">
        <w:rPr>
          <w:rFonts w:ascii="Arial" w:hAnsi="Arial" w:cs="Arial"/>
          <w:sz w:val="24"/>
          <w:szCs w:val="24"/>
        </w:rPr>
        <w:t xml:space="preserve">. </w:t>
      </w:r>
    </w:p>
    <w:p w:rsidR="007F257F" w:rsidRDefault="007F257F" w:rsidP="001072BD">
      <w:pPr>
        <w:spacing w:after="0" w:line="360" w:lineRule="auto"/>
        <w:jc w:val="both"/>
        <w:rPr>
          <w:rFonts w:ascii="Arial" w:hAnsi="Arial" w:cs="Arial"/>
          <w:sz w:val="24"/>
          <w:szCs w:val="24"/>
        </w:rPr>
      </w:pPr>
    </w:p>
    <w:p w:rsidR="00C200DB" w:rsidRDefault="007F257F" w:rsidP="001072BD">
      <w:pPr>
        <w:spacing w:after="0" w:line="360" w:lineRule="auto"/>
        <w:jc w:val="both"/>
        <w:rPr>
          <w:rFonts w:ascii="Arial" w:hAnsi="Arial" w:cs="Arial"/>
          <w:sz w:val="24"/>
          <w:szCs w:val="24"/>
        </w:rPr>
      </w:pPr>
      <w:r>
        <w:rPr>
          <w:rFonts w:ascii="Arial" w:hAnsi="Arial" w:cs="Arial"/>
          <w:sz w:val="24"/>
          <w:szCs w:val="24"/>
        </w:rPr>
        <w:t>[</w:t>
      </w:r>
      <w:r w:rsidR="00FE6190">
        <w:rPr>
          <w:rFonts w:ascii="Arial" w:hAnsi="Arial" w:cs="Arial"/>
          <w:sz w:val="24"/>
          <w:szCs w:val="24"/>
        </w:rPr>
        <w:t>15</w:t>
      </w:r>
      <w:r>
        <w:rPr>
          <w:rFonts w:ascii="Arial" w:hAnsi="Arial" w:cs="Arial"/>
          <w:sz w:val="24"/>
          <w:szCs w:val="24"/>
        </w:rPr>
        <w:t>]</w:t>
      </w:r>
      <w:r>
        <w:rPr>
          <w:rFonts w:ascii="Arial" w:hAnsi="Arial" w:cs="Arial"/>
          <w:sz w:val="24"/>
          <w:szCs w:val="24"/>
        </w:rPr>
        <w:tab/>
      </w:r>
      <w:r w:rsidR="00C417ED">
        <w:rPr>
          <w:rFonts w:ascii="Arial" w:hAnsi="Arial" w:cs="Arial"/>
          <w:sz w:val="24"/>
          <w:szCs w:val="24"/>
        </w:rPr>
        <w:t>It is also to be noted that</w:t>
      </w:r>
      <w:r w:rsidR="00C200DB">
        <w:rPr>
          <w:rFonts w:ascii="Arial" w:hAnsi="Arial" w:cs="Arial"/>
          <w:sz w:val="24"/>
          <w:szCs w:val="24"/>
        </w:rPr>
        <w:t xml:space="preserve"> the court also ordered on 18 May 2015:</w:t>
      </w:r>
      <w:r w:rsidR="00C417ED">
        <w:rPr>
          <w:rFonts w:ascii="Arial" w:hAnsi="Arial" w:cs="Arial"/>
          <w:sz w:val="24"/>
          <w:szCs w:val="24"/>
        </w:rPr>
        <w:t xml:space="preserve"> </w:t>
      </w:r>
      <w:r w:rsidR="00C200DB" w:rsidRPr="00C200DB">
        <w:rPr>
          <w:rFonts w:ascii="Arial" w:hAnsi="Arial" w:cs="Arial"/>
          <w:i/>
          <w:sz w:val="24"/>
          <w:szCs w:val="24"/>
        </w:rPr>
        <w:t>‘</w:t>
      </w:r>
      <w:r w:rsidR="00C200DB">
        <w:rPr>
          <w:rFonts w:ascii="Arial" w:hAnsi="Arial" w:cs="Arial"/>
          <w:i/>
          <w:sz w:val="24"/>
          <w:szCs w:val="24"/>
        </w:rPr>
        <w:t>that</w:t>
      </w:r>
      <w:r w:rsidR="00C200DB" w:rsidRPr="00C200DB">
        <w:rPr>
          <w:rFonts w:ascii="Arial" w:hAnsi="Arial" w:cs="Arial"/>
          <w:i/>
          <w:sz w:val="24"/>
          <w:szCs w:val="24"/>
        </w:rPr>
        <w:t xml:space="preserve"> </w:t>
      </w:r>
      <w:r w:rsidR="00C417ED" w:rsidRPr="00C200DB">
        <w:rPr>
          <w:rFonts w:ascii="Arial" w:hAnsi="Arial" w:cs="Arial"/>
          <w:i/>
          <w:sz w:val="24"/>
          <w:szCs w:val="24"/>
        </w:rPr>
        <w:t>the plaintiff</w:t>
      </w:r>
      <w:r w:rsidR="00C200DB" w:rsidRPr="00C200DB">
        <w:rPr>
          <w:rFonts w:ascii="Arial" w:hAnsi="Arial" w:cs="Arial"/>
          <w:i/>
          <w:sz w:val="24"/>
          <w:szCs w:val="24"/>
        </w:rPr>
        <w:t xml:space="preserve"> may</w:t>
      </w:r>
      <w:r w:rsidR="00C417ED" w:rsidRPr="00C200DB">
        <w:rPr>
          <w:rFonts w:ascii="Arial" w:hAnsi="Arial" w:cs="Arial"/>
          <w:i/>
          <w:sz w:val="24"/>
          <w:szCs w:val="24"/>
        </w:rPr>
        <w:t xml:space="preserve"> not re-enroll</w:t>
      </w:r>
      <w:r w:rsidR="00C200DB" w:rsidRPr="00C200DB">
        <w:rPr>
          <w:rFonts w:ascii="Arial" w:hAnsi="Arial" w:cs="Arial"/>
          <w:i/>
          <w:sz w:val="24"/>
          <w:szCs w:val="24"/>
        </w:rPr>
        <w:t xml:space="preserve"> the matter without leave of court, except where</w:t>
      </w:r>
      <w:r w:rsidR="00C417ED" w:rsidRPr="00C200DB">
        <w:rPr>
          <w:rFonts w:ascii="Arial" w:hAnsi="Arial" w:cs="Arial"/>
          <w:i/>
          <w:sz w:val="24"/>
          <w:szCs w:val="24"/>
        </w:rPr>
        <w:t xml:space="preserve"> it has paid the defendant’s costs set out in paragraph 2 of the order</w:t>
      </w:r>
      <w:r w:rsidR="00C200DB" w:rsidRPr="00C200DB">
        <w:rPr>
          <w:rFonts w:ascii="Arial" w:hAnsi="Arial" w:cs="Arial"/>
          <w:i/>
          <w:sz w:val="24"/>
          <w:szCs w:val="24"/>
        </w:rPr>
        <w:t>’</w:t>
      </w:r>
      <w:r w:rsidR="00C417ED">
        <w:rPr>
          <w:rFonts w:ascii="Arial" w:hAnsi="Arial" w:cs="Arial"/>
          <w:sz w:val="24"/>
          <w:szCs w:val="24"/>
        </w:rPr>
        <w:t>. The</w:t>
      </w:r>
      <w:r w:rsidR="00C200DB">
        <w:rPr>
          <w:rFonts w:ascii="Arial" w:hAnsi="Arial" w:cs="Arial"/>
          <w:sz w:val="24"/>
          <w:szCs w:val="24"/>
        </w:rPr>
        <w:t>se</w:t>
      </w:r>
      <w:r w:rsidR="00C417ED">
        <w:rPr>
          <w:rFonts w:ascii="Arial" w:hAnsi="Arial" w:cs="Arial"/>
          <w:sz w:val="24"/>
          <w:szCs w:val="24"/>
        </w:rPr>
        <w:t xml:space="preserve"> costs where only paid during October 2016</w:t>
      </w:r>
      <w:r w:rsidR="00C200DB">
        <w:rPr>
          <w:rFonts w:ascii="Arial" w:hAnsi="Arial" w:cs="Arial"/>
          <w:sz w:val="24"/>
          <w:szCs w:val="24"/>
        </w:rPr>
        <w:t>,</w:t>
      </w:r>
      <w:r w:rsidR="00C417ED">
        <w:rPr>
          <w:rFonts w:ascii="Arial" w:hAnsi="Arial" w:cs="Arial"/>
          <w:sz w:val="24"/>
          <w:szCs w:val="24"/>
        </w:rPr>
        <w:t xml:space="preserve"> after the second acti</w:t>
      </w:r>
      <w:r w:rsidR="00C200DB">
        <w:rPr>
          <w:rFonts w:ascii="Arial" w:hAnsi="Arial" w:cs="Arial"/>
          <w:sz w:val="24"/>
          <w:szCs w:val="24"/>
        </w:rPr>
        <w:t>on had already been instituted.</w:t>
      </w:r>
      <w:r w:rsidR="00C417ED">
        <w:rPr>
          <w:rFonts w:ascii="Arial" w:hAnsi="Arial" w:cs="Arial"/>
          <w:sz w:val="24"/>
          <w:szCs w:val="24"/>
        </w:rPr>
        <w:t xml:space="preserve"> The plaintiff however never re-enroll</w:t>
      </w:r>
      <w:r w:rsidR="00C200DB">
        <w:rPr>
          <w:rFonts w:ascii="Arial" w:hAnsi="Arial" w:cs="Arial"/>
          <w:sz w:val="24"/>
          <w:szCs w:val="24"/>
        </w:rPr>
        <w:t>ed</w:t>
      </w:r>
      <w:r w:rsidR="00941A2F">
        <w:rPr>
          <w:rFonts w:ascii="Arial" w:hAnsi="Arial" w:cs="Arial"/>
          <w:sz w:val="24"/>
          <w:szCs w:val="24"/>
        </w:rPr>
        <w:t xml:space="preserve"> the first action.  </w:t>
      </w:r>
    </w:p>
    <w:p w:rsidR="00C200DB" w:rsidRDefault="00C200DB" w:rsidP="001072BD">
      <w:pPr>
        <w:spacing w:after="0" w:line="360" w:lineRule="auto"/>
        <w:jc w:val="both"/>
        <w:rPr>
          <w:rFonts w:ascii="Arial" w:hAnsi="Arial" w:cs="Arial"/>
          <w:sz w:val="24"/>
          <w:szCs w:val="24"/>
        </w:rPr>
      </w:pPr>
    </w:p>
    <w:p w:rsidR="00941A2F" w:rsidRDefault="00C200DB" w:rsidP="001072BD">
      <w:pPr>
        <w:spacing w:after="0" w:line="360" w:lineRule="auto"/>
        <w:jc w:val="both"/>
        <w:rPr>
          <w:rFonts w:ascii="Arial" w:hAnsi="Arial" w:cs="Arial"/>
          <w:sz w:val="24"/>
          <w:szCs w:val="24"/>
        </w:rPr>
      </w:pPr>
      <w:r>
        <w:rPr>
          <w:rFonts w:ascii="Arial" w:hAnsi="Arial" w:cs="Arial"/>
          <w:sz w:val="24"/>
          <w:szCs w:val="24"/>
        </w:rPr>
        <w:t>[</w:t>
      </w:r>
      <w:r w:rsidR="00FE6190">
        <w:rPr>
          <w:rFonts w:ascii="Arial" w:hAnsi="Arial" w:cs="Arial"/>
          <w:sz w:val="24"/>
          <w:szCs w:val="24"/>
        </w:rPr>
        <w:t>16</w:t>
      </w:r>
      <w:r>
        <w:rPr>
          <w:rFonts w:ascii="Arial" w:hAnsi="Arial" w:cs="Arial"/>
          <w:sz w:val="24"/>
          <w:szCs w:val="24"/>
        </w:rPr>
        <w:t>]</w:t>
      </w:r>
      <w:r>
        <w:rPr>
          <w:rFonts w:ascii="Arial" w:hAnsi="Arial" w:cs="Arial"/>
          <w:sz w:val="24"/>
          <w:szCs w:val="24"/>
        </w:rPr>
        <w:tab/>
        <w:t>In these premises I</w:t>
      </w:r>
      <w:r w:rsidR="00941A2F">
        <w:rPr>
          <w:rFonts w:ascii="Arial" w:hAnsi="Arial" w:cs="Arial"/>
          <w:sz w:val="24"/>
          <w:szCs w:val="24"/>
        </w:rPr>
        <w:t xml:space="preserve"> fail to understand the</w:t>
      </w:r>
      <w:r>
        <w:rPr>
          <w:rFonts w:ascii="Arial" w:hAnsi="Arial" w:cs="Arial"/>
          <w:sz w:val="24"/>
          <w:szCs w:val="24"/>
        </w:rPr>
        <w:t xml:space="preserve"> plaintiff’s</w:t>
      </w:r>
      <w:r w:rsidR="00941A2F">
        <w:rPr>
          <w:rFonts w:ascii="Arial" w:hAnsi="Arial" w:cs="Arial"/>
          <w:sz w:val="24"/>
          <w:szCs w:val="24"/>
        </w:rPr>
        <w:t xml:space="preserve"> </w:t>
      </w:r>
      <w:r w:rsidR="00096DA8">
        <w:rPr>
          <w:rFonts w:ascii="Arial" w:hAnsi="Arial" w:cs="Arial"/>
          <w:sz w:val="24"/>
          <w:szCs w:val="24"/>
        </w:rPr>
        <w:t>qualification</w:t>
      </w:r>
      <w:r w:rsidR="00941A2F">
        <w:rPr>
          <w:rFonts w:ascii="Arial" w:hAnsi="Arial" w:cs="Arial"/>
          <w:sz w:val="24"/>
          <w:szCs w:val="24"/>
        </w:rPr>
        <w:t xml:space="preserve"> – </w:t>
      </w:r>
      <w:r w:rsidR="00685365">
        <w:rPr>
          <w:rFonts w:ascii="Arial" w:hAnsi="Arial" w:cs="Arial"/>
          <w:sz w:val="24"/>
          <w:szCs w:val="24"/>
        </w:rPr>
        <w:t>‘</w:t>
      </w:r>
      <w:r w:rsidR="00941A2F">
        <w:rPr>
          <w:rFonts w:ascii="Arial" w:hAnsi="Arial" w:cs="Arial"/>
          <w:sz w:val="24"/>
          <w:szCs w:val="24"/>
        </w:rPr>
        <w:t>that absolution was not granted at the end of the plaintiff’s case</w:t>
      </w:r>
      <w:r>
        <w:rPr>
          <w:rFonts w:ascii="Arial" w:hAnsi="Arial" w:cs="Arial"/>
          <w:sz w:val="24"/>
          <w:szCs w:val="24"/>
        </w:rPr>
        <w:t xml:space="preserve"> -</w:t>
      </w:r>
      <w:r w:rsidR="00941A2F">
        <w:rPr>
          <w:rFonts w:ascii="Arial" w:hAnsi="Arial" w:cs="Arial"/>
          <w:sz w:val="24"/>
          <w:szCs w:val="24"/>
        </w:rPr>
        <w:t xml:space="preserve"> but rather under the process as envisa</w:t>
      </w:r>
      <w:r>
        <w:rPr>
          <w:rFonts w:ascii="Arial" w:hAnsi="Arial" w:cs="Arial"/>
          <w:sz w:val="24"/>
          <w:szCs w:val="24"/>
        </w:rPr>
        <w:t>ged in Section 15(2) of the Act</w:t>
      </w:r>
      <w:r w:rsidR="00685365">
        <w:rPr>
          <w:rFonts w:ascii="Arial" w:hAnsi="Arial" w:cs="Arial"/>
          <w:sz w:val="24"/>
          <w:szCs w:val="24"/>
        </w:rPr>
        <w:t>’</w:t>
      </w:r>
      <w:r>
        <w:rPr>
          <w:rFonts w:ascii="Arial" w:hAnsi="Arial" w:cs="Arial"/>
          <w:sz w:val="24"/>
          <w:szCs w:val="24"/>
        </w:rPr>
        <w:t>?</w:t>
      </w:r>
    </w:p>
    <w:p w:rsidR="00941A2F" w:rsidRDefault="00941A2F" w:rsidP="001072BD">
      <w:pPr>
        <w:spacing w:after="0" w:line="360" w:lineRule="auto"/>
        <w:jc w:val="both"/>
        <w:rPr>
          <w:rFonts w:ascii="Arial" w:hAnsi="Arial" w:cs="Arial"/>
          <w:sz w:val="24"/>
          <w:szCs w:val="24"/>
        </w:rPr>
      </w:pPr>
    </w:p>
    <w:p w:rsidR="00E920CC" w:rsidRDefault="00941A2F" w:rsidP="001241B1">
      <w:pPr>
        <w:spacing w:after="0" w:line="360" w:lineRule="auto"/>
        <w:jc w:val="both"/>
        <w:rPr>
          <w:rFonts w:ascii="Arial" w:hAnsi="Arial" w:cs="Arial"/>
          <w:sz w:val="24"/>
          <w:szCs w:val="24"/>
        </w:rPr>
      </w:pPr>
      <w:r>
        <w:rPr>
          <w:rFonts w:ascii="Arial" w:hAnsi="Arial" w:cs="Arial"/>
          <w:sz w:val="24"/>
          <w:szCs w:val="24"/>
        </w:rPr>
        <w:t>[1</w:t>
      </w:r>
      <w:r w:rsidR="00FE6190">
        <w:rPr>
          <w:rFonts w:ascii="Arial" w:hAnsi="Arial" w:cs="Arial"/>
          <w:sz w:val="24"/>
          <w:szCs w:val="24"/>
        </w:rPr>
        <w:t>7</w:t>
      </w:r>
      <w:r>
        <w:rPr>
          <w:rFonts w:ascii="Arial" w:hAnsi="Arial" w:cs="Arial"/>
          <w:sz w:val="24"/>
          <w:szCs w:val="24"/>
        </w:rPr>
        <w:t>]</w:t>
      </w:r>
      <w:r>
        <w:rPr>
          <w:rFonts w:ascii="Arial" w:hAnsi="Arial" w:cs="Arial"/>
          <w:sz w:val="24"/>
          <w:szCs w:val="24"/>
        </w:rPr>
        <w:tab/>
        <w:t xml:space="preserve">If this </w:t>
      </w:r>
      <w:r w:rsidR="00096DA8">
        <w:rPr>
          <w:rFonts w:ascii="Arial" w:hAnsi="Arial" w:cs="Arial"/>
          <w:sz w:val="24"/>
          <w:szCs w:val="24"/>
        </w:rPr>
        <w:t>qualification</w:t>
      </w:r>
      <w:r>
        <w:rPr>
          <w:rFonts w:ascii="Arial" w:hAnsi="Arial" w:cs="Arial"/>
          <w:sz w:val="24"/>
          <w:szCs w:val="24"/>
        </w:rPr>
        <w:t xml:space="preserve"> was meant to </w:t>
      </w:r>
      <w:r w:rsidR="00096DA8">
        <w:rPr>
          <w:rFonts w:ascii="Arial" w:hAnsi="Arial" w:cs="Arial"/>
          <w:sz w:val="24"/>
          <w:szCs w:val="24"/>
        </w:rPr>
        <w:t>signify</w:t>
      </w:r>
      <w:r>
        <w:rPr>
          <w:rFonts w:ascii="Arial" w:hAnsi="Arial" w:cs="Arial"/>
          <w:sz w:val="24"/>
          <w:szCs w:val="24"/>
        </w:rPr>
        <w:t xml:space="preserve"> that absolution was granted in the legal process</w:t>
      </w:r>
      <w:r w:rsidR="00685365">
        <w:rPr>
          <w:rFonts w:ascii="Arial" w:hAnsi="Arial" w:cs="Arial"/>
          <w:sz w:val="24"/>
          <w:szCs w:val="24"/>
        </w:rPr>
        <w:t>,</w:t>
      </w:r>
      <w:r>
        <w:rPr>
          <w:rFonts w:ascii="Arial" w:hAnsi="Arial" w:cs="Arial"/>
          <w:sz w:val="24"/>
          <w:szCs w:val="24"/>
        </w:rPr>
        <w:t xml:space="preserve"> that is</w:t>
      </w:r>
      <w:r w:rsidR="00B93278">
        <w:rPr>
          <w:rFonts w:ascii="Arial" w:hAnsi="Arial" w:cs="Arial"/>
          <w:sz w:val="24"/>
          <w:szCs w:val="24"/>
        </w:rPr>
        <w:t xml:space="preserve"> in</w:t>
      </w:r>
      <w:r>
        <w:rPr>
          <w:rFonts w:ascii="Arial" w:hAnsi="Arial" w:cs="Arial"/>
          <w:sz w:val="24"/>
          <w:szCs w:val="24"/>
        </w:rPr>
        <w:t xml:space="preserve"> the action</w:t>
      </w:r>
      <w:r w:rsidR="00B93278">
        <w:rPr>
          <w:rFonts w:ascii="Arial" w:hAnsi="Arial" w:cs="Arial"/>
          <w:sz w:val="24"/>
          <w:szCs w:val="24"/>
        </w:rPr>
        <w:t>,</w:t>
      </w:r>
      <w:r>
        <w:rPr>
          <w:rFonts w:ascii="Arial" w:hAnsi="Arial" w:cs="Arial"/>
          <w:sz w:val="24"/>
          <w:szCs w:val="24"/>
        </w:rPr>
        <w:t xml:space="preserve"> </w:t>
      </w:r>
      <w:r w:rsidR="00096DA8">
        <w:rPr>
          <w:rFonts w:ascii="Arial" w:hAnsi="Arial" w:cs="Arial"/>
          <w:sz w:val="24"/>
          <w:szCs w:val="24"/>
        </w:rPr>
        <w:t>initiated</w:t>
      </w:r>
      <w:r>
        <w:rPr>
          <w:rFonts w:ascii="Arial" w:hAnsi="Arial" w:cs="Arial"/>
          <w:sz w:val="24"/>
          <w:szCs w:val="24"/>
        </w:rPr>
        <w:t xml:space="preserve"> by plaintiff</w:t>
      </w:r>
      <w:r w:rsidR="00E920CC">
        <w:rPr>
          <w:rFonts w:ascii="Arial" w:hAnsi="Arial" w:cs="Arial"/>
          <w:sz w:val="24"/>
          <w:szCs w:val="24"/>
        </w:rPr>
        <w:t xml:space="preserve"> </w:t>
      </w:r>
      <w:r w:rsidR="001241B1" w:rsidRPr="001241B1">
        <w:rPr>
          <w:rFonts w:ascii="Arial" w:hAnsi="Arial" w:cs="Arial"/>
          <w:sz w:val="24"/>
          <w:szCs w:val="24"/>
        </w:rPr>
        <w:t xml:space="preserve">against </w:t>
      </w:r>
      <w:r w:rsidR="001241B1">
        <w:rPr>
          <w:rFonts w:ascii="Arial" w:hAnsi="Arial" w:cs="Arial"/>
          <w:sz w:val="24"/>
          <w:szCs w:val="24"/>
        </w:rPr>
        <w:t>d</w:t>
      </w:r>
      <w:r w:rsidR="001241B1" w:rsidRPr="001241B1">
        <w:rPr>
          <w:rFonts w:ascii="Arial" w:hAnsi="Arial" w:cs="Arial"/>
          <w:sz w:val="24"/>
          <w:szCs w:val="24"/>
        </w:rPr>
        <w:t>efendant</w:t>
      </w:r>
      <w:r w:rsidR="00B93278">
        <w:rPr>
          <w:rFonts w:ascii="Arial" w:hAnsi="Arial" w:cs="Arial"/>
          <w:sz w:val="24"/>
          <w:szCs w:val="24"/>
        </w:rPr>
        <w:t>,</w:t>
      </w:r>
      <w:r w:rsidR="001241B1" w:rsidRPr="001241B1">
        <w:rPr>
          <w:rFonts w:ascii="Arial" w:hAnsi="Arial" w:cs="Arial"/>
          <w:sz w:val="24"/>
          <w:szCs w:val="24"/>
        </w:rPr>
        <w:t xml:space="preserve"> under case </w:t>
      </w:r>
      <w:r w:rsidR="001241B1">
        <w:rPr>
          <w:rFonts w:ascii="Arial" w:hAnsi="Arial" w:cs="Arial"/>
          <w:sz w:val="24"/>
          <w:szCs w:val="24"/>
        </w:rPr>
        <w:t>T</w:t>
      </w:r>
      <w:r w:rsidR="00685365">
        <w:rPr>
          <w:rFonts w:ascii="Arial" w:hAnsi="Arial" w:cs="Arial"/>
          <w:sz w:val="24"/>
          <w:szCs w:val="24"/>
        </w:rPr>
        <w:t xml:space="preserve"> (</w:t>
      </w:r>
      <w:r w:rsidR="001241B1" w:rsidRPr="001241B1">
        <w:rPr>
          <w:rFonts w:ascii="Arial" w:hAnsi="Arial" w:cs="Arial"/>
          <w:sz w:val="24"/>
          <w:szCs w:val="24"/>
        </w:rPr>
        <w:t>I</w:t>
      </w:r>
      <w:r w:rsidR="00685365">
        <w:rPr>
          <w:rFonts w:ascii="Arial" w:hAnsi="Arial" w:cs="Arial"/>
          <w:sz w:val="24"/>
          <w:szCs w:val="24"/>
        </w:rPr>
        <w:t xml:space="preserve">) </w:t>
      </w:r>
      <w:r w:rsidR="001241B1" w:rsidRPr="001241B1">
        <w:rPr>
          <w:rFonts w:ascii="Arial" w:hAnsi="Arial" w:cs="Arial"/>
          <w:sz w:val="24"/>
          <w:szCs w:val="24"/>
        </w:rPr>
        <w:lastRenderedPageBreak/>
        <w:t>1632/2004</w:t>
      </w:r>
      <w:r w:rsidR="00685365">
        <w:rPr>
          <w:rFonts w:ascii="Arial" w:hAnsi="Arial" w:cs="Arial"/>
          <w:sz w:val="24"/>
          <w:szCs w:val="24"/>
        </w:rPr>
        <w:t>,</w:t>
      </w:r>
      <w:r w:rsidR="001241B1" w:rsidRPr="001241B1">
        <w:rPr>
          <w:rFonts w:ascii="Arial" w:hAnsi="Arial" w:cs="Arial"/>
          <w:sz w:val="24"/>
          <w:szCs w:val="24"/>
        </w:rPr>
        <w:t xml:space="preserve"> then it would appear</w:t>
      </w:r>
      <w:r w:rsidR="00B93278">
        <w:rPr>
          <w:rFonts w:ascii="Arial" w:hAnsi="Arial" w:cs="Arial"/>
          <w:sz w:val="24"/>
          <w:szCs w:val="24"/>
        </w:rPr>
        <w:t>,</w:t>
      </w:r>
      <w:r w:rsidR="001241B1" w:rsidRPr="001241B1">
        <w:rPr>
          <w:rFonts w:ascii="Arial" w:hAnsi="Arial" w:cs="Arial"/>
          <w:sz w:val="24"/>
          <w:szCs w:val="24"/>
        </w:rPr>
        <w:t xml:space="preserve"> on the basis of the statement of agreed facts</w:t>
      </w:r>
      <w:r w:rsidR="00B93278">
        <w:rPr>
          <w:rFonts w:ascii="Arial" w:hAnsi="Arial" w:cs="Arial"/>
          <w:sz w:val="24"/>
          <w:szCs w:val="24"/>
        </w:rPr>
        <w:t>,</w:t>
      </w:r>
      <w:r w:rsidR="001241B1" w:rsidRPr="001241B1">
        <w:rPr>
          <w:rFonts w:ascii="Arial" w:hAnsi="Arial" w:cs="Arial"/>
          <w:sz w:val="24"/>
          <w:szCs w:val="24"/>
        </w:rPr>
        <w:t xml:space="preserve"> paragraph</w:t>
      </w:r>
      <w:r w:rsidR="00685365">
        <w:rPr>
          <w:rFonts w:ascii="Arial" w:hAnsi="Arial" w:cs="Arial"/>
          <w:sz w:val="24"/>
          <w:szCs w:val="24"/>
        </w:rPr>
        <w:t>s</w:t>
      </w:r>
      <w:r w:rsidR="001241B1" w:rsidRPr="001241B1">
        <w:rPr>
          <w:rFonts w:ascii="Arial" w:hAnsi="Arial" w:cs="Arial"/>
          <w:sz w:val="24"/>
          <w:szCs w:val="24"/>
        </w:rPr>
        <w:t xml:space="preserve"> 3.12 to 3.14</w:t>
      </w:r>
      <w:r w:rsidR="00B93278">
        <w:rPr>
          <w:rFonts w:ascii="Arial" w:hAnsi="Arial" w:cs="Arial"/>
          <w:sz w:val="24"/>
          <w:szCs w:val="24"/>
        </w:rPr>
        <w:t>, that this wa</w:t>
      </w:r>
      <w:r w:rsidR="001241B1" w:rsidRPr="001241B1">
        <w:rPr>
          <w:rFonts w:ascii="Arial" w:hAnsi="Arial" w:cs="Arial"/>
          <w:sz w:val="24"/>
          <w:szCs w:val="24"/>
        </w:rPr>
        <w:t xml:space="preserve">s indeed the case.  </w:t>
      </w:r>
    </w:p>
    <w:p w:rsidR="00E920CC" w:rsidRDefault="00E920CC" w:rsidP="001241B1">
      <w:pPr>
        <w:spacing w:after="0" w:line="360" w:lineRule="auto"/>
        <w:jc w:val="both"/>
        <w:rPr>
          <w:rFonts w:ascii="Arial" w:hAnsi="Arial" w:cs="Arial"/>
          <w:sz w:val="24"/>
          <w:szCs w:val="24"/>
        </w:rPr>
      </w:pPr>
    </w:p>
    <w:p w:rsidR="00E920CC" w:rsidRDefault="00E920CC" w:rsidP="001241B1">
      <w:pPr>
        <w:spacing w:after="0" w:line="360" w:lineRule="auto"/>
        <w:jc w:val="both"/>
        <w:rPr>
          <w:rFonts w:ascii="Arial" w:hAnsi="Arial" w:cs="Arial"/>
          <w:sz w:val="24"/>
          <w:szCs w:val="24"/>
        </w:rPr>
      </w:pPr>
      <w:r>
        <w:rPr>
          <w:rFonts w:ascii="Arial" w:hAnsi="Arial" w:cs="Arial"/>
          <w:sz w:val="24"/>
          <w:szCs w:val="24"/>
        </w:rPr>
        <w:t>[1</w:t>
      </w:r>
      <w:r w:rsidR="00FE6190">
        <w:rPr>
          <w:rFonts w:ascii="Arial" w:hAnsi="Arial" w:cs="Arial"/>
          <w:sz w:val="24"/>
          <w:szCs w:val="24"/>
        </w:rPr>
        <w:t>8</w:t>
      </w:r>
      <w:r>
        <w:rPr>
          <w:rFonts w:ascii="Arial" w:hAnsi="Arial" w:cs="Arial"/>
          <w:sz w:val="24"/>
          <w:szCs w:val="24"/>
        </w:rPr>
        <w:t>]</w:t>
      </w:r>
      <w:r>
        <w:rPr>
          <w:rFonts w:ascii="Arial" w:hAnsi="Arial" w:cs="Arial"/>
          <w:sz w:val="24"/>
          <w:szCs w:val="24"/>
        </w:rPr>
        <w:tab/>
      </w:r>
      <w:r w:rsidR="001241B1" w:rsidRPr="001241B1">
        <w:rPr>
          <w:rFonts w:ascii="Arial" w:hAnsi="Arial" w:cs="Arial"/>
          <w:sz w:val="24"/>
          <w:szCs w:val="24"/>
        </w:rPr>
        <w:t xml:space="preserve">This aspect is of significance, I will revert to this below.  </w:t>
      </w:r>
    </w:p>
    <w:p w:rsidR="00E920CC" w:rsidRDefault="00E920CC" w:rsidP="001241B1">
      <w:pPr>
        <w:spacing w:after="0" w:line="360" w:lineRule="auto"/>
        <w:jc w:val="both"/>
        <w:rPr>
          <w:rFonts w:ascii="Arial" w:hAnsi="Arial" w:cs="Arial"/>
          <w:sz w:val="24"/>
          <w:szCs w:val="24"/>
        </w:rPr>
      </w:pPr>
    </w:p>
    <w:p w:rsidR="009D7DF3" w:rsidRPr="009D7DF3" w:rsidRDefault="00287D1C" w:rsidP="001241B1">
      <w:pPr>
        <w:spacing w:after="0" w:line="360" w:lineRule="auto"/>
        <w:jc w:val="both"/>
        <w:rPr>
          <w:rFonts w:ascii="Arial" w:hAnsi="Arial" w:cs="Arial"/>
          <w:sz w:val="24"/>
          <w:szCs w:val="24"/>
          <w:u w:val="single"/>
        </w:rPr>
      </w:pPr>
      <w:r>
        <w:rPr>
          <w:rFonts w:ascii="Arial" w:hAnsi="Arial" w:cs="Arial"/>
          <w:sz w:val="24"/>
          <w:szCs w:val="24"/>
          <w:u w:val="single"/>
        </w:rPr>
        <w:t>The scheme created by section 15(1) and 15(2) of the Prescription Act</w:t>
      </w:r>
    </w:p>
    <w:p w:rsidR="009D7DF3" w:rsidRDefault="009D7DF3" w:rsidP="001241B1">
      <w:pPr>
        <w:spacing w:after="0" w:line="360" w:lineRule="auto"/>
        <w:jc w:val="both"/>
        <w:rPr>
          <w:rFonts w:ascii="Arial" w:hAnsi="Arial" w:cs="Arial"/>
          <w:sz w:val="24"/>
          <w:szCs w:val="24"/>
        </w:rPr>
      </w:pPr>
    </w:p>
    <w:p w:rsidR="005E070B" w:rsidRDefault="00E920CC" w:rsidP="001241B1">
      <w:pPr>
        <w:spacing w:after="0" w:line="360" w:lineRule="auto"/>
        <w:jc w:val="both"/>
        <w:rPr>
          <w:rFonts w:ascii="Arial" w:hAnsi="Arial" w:cs="Arial"/>
          <w:sz w:val="24"/>
          <w:szCs w:val="24"/>
        </w:rPr>
      </w:pPr>
      <w:r>
        <w:rPr>
          <w:rFonts w:ascii="Arial" w:hAnsi="Arial" w:cs="Arial"/>
          <w:sz w:val="24"/>
          <w:szCs w:val="24"/>
        </w:rPr>
        <w:t>[1</w:t>
      </w:r>
      <w:r w:rsidR="00FE6190">
        <w:rPr>
          <w:rFonts w:ascii="Arial" w:hAnsi="Arial" w:cs="Arial"/>
          <w:sz w:val="24"/>
          <w:szCs w:val="24"/>
        </w:rPr>
        <w:t>9</w:t>
      </w:r>
      <w:r>
        <w:rPr>
          <w:rFonts w:ascii="Arial" w:hAnsi="Arial" w:cs="Arial"/>
          <w:sz w:val="24"/>
          <w:szCs w:val="24"/>
        </w:rPr>
        <w:t>]</w:t>
      </w:r>
      <w:r>
        <w:rPr>
          <w:rFonts w:ascii="Arial" w:hAnsi="Arial" w:cs="Arial"/>
          <w:sz w:val="24"/>
          <w:szCs w:val="24"/>
        </w:rPr>
        <w:tab/>
      </w:r>
      <w:r w:rsidR="001241B1" w:rsidRPr="001241B1">
        <w:rPr>
          <w:rFonts w:ascii="Arial" w:hAnsi="Arial" w:cs="Arial"/>
          <w:sz w:val="24"/>
          <w:szCs w:val="24"/>
        </w:rPr>
        <w:t xml:space="preserve">It now becomes </w:t>
      </w:r>
      <w:r w:rsidR="003D5794">
        <w:rPr>
          <w:rFonts w:ascii="Arial" w:hAnsi="Arial" w:cs="Arial"/>
          <w:sz w:val="24"/>
          <w:szCs w:val="24"/>
        </w:rPr>
        <w:t>apposite</w:t>
      </w:r>
      <w:r w:rsidR="001241B1" w:rsidRPr="001241B1">
        <w:rPr>
          <w:rFonts w:ascii="Arial" w:hAnsi="Arial" w:cs="Arial"/>
          <w:sz w:val="24"/>
          <w:szCs w:val="24"/>
        </w:rPr>
        <w:t xml:space="preserve"> to call to mind the provisions of Section 15</w:t>
      </w:r>
      <w:r w:rsidR="003D5794">
        <w:rPr>
          <w:rFonts w:ascii="Arial" w:hAnsi="Arial" w:cs="Arial"/>
          <w:sz w:val="24"/>
          <w:szCs w:val="24"/>
        </w:rPr>
        <w:t>(</w:t>
      </w:r>
      <w:r w:rsidR="001241B1" w:rsidRPr="001241B1">
        <w:rPr>
          <w:rFonts w:ascii="Arial" w:hAnsi="Arial" w:cs="Arial"/>
          <w:sz w:val="24"/>
          <w:szCs w:val="24"/>
        </w:rPr>
        <w:t>2</w:t>
      </w:r>
      <w:r w:rsidR="003D5794">
        <w:rPr>
          <w:rFonts w:ascii="Arial" w:hAnsi="Arial" w:cs="Arial"/>
          <w:sz w:val="24"/>
          <w:szCs w:val="24"/>
        </w:rPr>
        <w:t>)</w:t>
      </w:r>
      <w:r w:rsidR="001241B1" w:rsidRPr="001241B1">
        <w:rPr>
          <w:rFonts w:ascii="Arial" w:hAnsi="Arial" w:cs="Arial"/>
          <w:sz w:val="24"/>
          <w:szCs w:val="24"/>
        </w:rPr>
        <w:t>. The salient components set by the section</w:t>
      </w:r>
      <w:r w:rsidR="00703B4F">
        <w:rPr>
          <w:rFonts w:ascii="Arial" w:hAnsi="Arial" w:cs="Arial"/>
          <w:sz w:val="24"/>
          <w:szCs w:val="24"/>
        </w:rPr>
        <w:t>,</w:t>
      </w:r>
      <w:r w:rsidR="001241B1" w:rsidRPr="001241B1">
        <w:rPr>
          <w:rFonts w:ascii="Arial" w:hAnsi="Arial" w:cs="Arial"/>
          <w:sz w:val="24"/>
          <w:szCs w:val="24"/>
        </w:rPr>
        <w:t xml:space="preserve"> as relevant to this case</w:t>
      </w:r>
      <w:r w:rsidR="00703B4F">
        <w:rPr>
          <w:rFonts w:ascii="Arial" w:hAnsi="Arial" w:cs="Arial"/>
          <w:sz w:val="24"/>
          <w:szCs w:val="24"/>
        </w:rPr>
        <w:t>,</w:t>
      </w:r>
      <w:r w:rsidR="001241B1" w:rsidRPr="001241B1">
        <w:rPr>
          <w:rFonts w:ascii="Arial" w:hAnsi="Arial" w:cs="Arial"/>
          <w:sz w:val="24"/>
          <w:szCs w:val="24"/>
        </w:rPr>
        <w:t xml:space="preserve"> in which </w:t>
      </w:r>
      <w:r w:rsidR="009356A1">
        <w:rPr>
          <w:rFonts w:ascii="Arial" w:hAnsi="Arial" w:cs="Arial"/>
          <w:sz w:val="24"/>
          <w:szCs w:val="24"/>
        </w:rPr>
        <w:t>there</w:t>
      </w:r>
      <w:r w:rsidR="00703B4F">
        <w:rPr>
          <w:rFonts w:ascii="Arial" w:hAnsi="Arial" w:cs="Arial"/>
          <w:sz w:val="24"/>
          <w:szCs w:val="24"/>
        </w:rPr>
        <w:t xml:space="preserve"> is no</w:t>
      </w:r>
      <w:r w:rsidR="001241B1" w:rsidRPr="001241B1">
        <w:rPr>
          <w:rFonts w:ascii="Arial" w:hAnsi="Arial" w:cs="Arial"/>
          <w:sz w:val="24"/>
          <w:szCs w:val="24"/>
        </w:rPr>
        <w:t xml:space="preserve"> acknowledgment of liability by the debtor</w:t>
      </w:r>
      <w:r w:rsidR="00703B4F">
        <w:rPr>
          <w:rFonts w:ascii="Arial" w:hAnsi="Arial" w:cs="Arial"/>
          <w:sz w:val="24"/>
          <w:szCs w:val="24"/>
        </w:rPr>
        <w:t>,</w:t>
      </w:r>
      <w:r w:rsidR="001241B1" w:rsidRPr="001241B1">
        <w:rPr>
          <w:rFonts w:ascii="Arial" w:hAnsi="Arial" w:cs="Arial"/>
          <w:sz w:val="24"/>
          <w:szCs w:val="24"/>
        </w:rPr>
        <w:t xml:space="preserve"> which aspect can thus be ignored for present purposes, are the following: </w:t>
      </w:r>
    </w:p>
    <w:p w:rsidR="005E070B" w:rsidRDefault="005E070B" w:rsidP="001241B1">
      <w:pPr>
        <w:spacing w:after="0" w:line="360" w:lineRule="auto"/>
        <w:jc w:val="both"/>
        <w:rPr>
          <w:rFonts w:ascii="Arial" w:hAnsi="Arial" w:cs="Arial"/>
          <w:sz w:val="24"/>
          <w:szCs w:val="24"/>
        </w:rPr>
      </w:pPr>
    </w:p>
    <w:p w:rsidR="005E070B" w:rsidRPr="005E070B" w:rsidRDefault="00703B4F" w:rsidP="005E070B">
      <w:pPr>
        <w:pStyle w:val="ListParagraph"/>
        <w:numPr>
          <w:ilvl w:val="0"/>
          <w:numId w:val="40"/>
        </w:numPr>
        <w:spacing w:line="360" w:lineRule="auto"/>
        <w:ind w:left="0" w:firstLine="0"/>
        <w:jc w:val="both"/>
        <w:rPr>
          <w:rFonts w:cs="Arial"/>
          <w:b/>
          <w:i/>
        </w:rPr>
      </w:pPr>
      <w:r>
        <w:rPr>
          <w:rFonts w:cs="Arial"/>
        </w:rPr>
        <w:t>the judicial</w:t>
      </w:r>
      <w:r w:rsidR="001241B1" w:rsidRPr="005E070B">
        <w:rPr>
          <w:rFonts w:cs="Arial"/>
        </w:rPr>
        <w:t xml:space="preserve"> interruption of any </w:t>
      </w:r>
      <w:r w:rsidR="00B93278">
        <w:rPr>
          <w:rFonts w:cs="Arial"/>
        </w:rPr>
        <w:t>prescriptive</w:t>
      </w:r>
      <w:r>
        <w:rPr>
          <w:rFonts w:cs="Arial"/>
        </w:rPr>
        <w:t xml:space="preserve"> period shall lapse -</w:t>
      </w:r>
      <w:r w:rsidR="001241B1" w:rsidRPr="005E070B">
        <w:rPr>
          <w:rFonts w:cs="Arial"/>
        </w:rPr>
        <w:t xml:space="preserve"> that is the interruption b</w:t>
      </w:r>
      <w:r w:rsidR="00177F01">
        <w:rPr>
          <w:rFonts w:cs="Arial"/>
        </w:rPr>
        <w:t>r</w:t>
      </w:r>
      <w:r w:rsidR="001241B1" w:rsidRPr="005E070B">
        <w:rPr>
          <w:rFonts w:cs="Arial"/>
        </w:rPr>
        <w:t xml:space="preserve">ought about by the service of </w:t>
      </w:r>
      <w:r w:rsidR="005E070B" w:rsidRPr="005E070B">
        <w:rPr>
          <w:rFonts w:cs="Arial"/>
        </w:rPr>
        <w:t>s</w:t>
      </w:r>
      <w:r w:rsidR="001241B1" w:rsidRPr="005E070B">
        <w:rPr>
          <w:rFonts w:cs="Arial"/>
        </w:rPr>
        <w:t xml:space="preserve">ummons, i.e. by the service of any </w:t>
      </w:r>
      <w:r>
        <w:rPr>
          <w:rFonts w:cs="Arial"/>
        </w:rPr>
        <w:t>‘</w:t>
      </w:r>
      <w:r w:rsidR="001241B1" w:rsidRPr="005E070B">
        <w:rPr>
          <w:rFonts w:cs="Arial"/>
        </w:rPr>
        <w:t>process</w:t>
      </w:r>
      <w:r>
        <w:rPr>
          <w:rFonts w:cs="Arial"/>
        </w:rPr>
        <w:t>’</w:t>
      </w:r>
      <w:r w:rsidR="001241B1" w:rsidRPr="005E070B">
        <w:rPr>
          <w:rFonts w:cs="Arial"/>
        </w:rPr>
        <w:t xml:space="preserve"> in which</w:t>
      </w:r>
      <w:r w:rsidR="00B93278">
        <w:rPr>
          <w:rFonts w:cs="Arial"/>
        </w:rPr>
        <w:t xml:space="preserve"> a</w:t>
      </w:r>
      <w:r w:rsidR="001241B1" w:rsidRPr="005E070B">
        <w:rPr>
          <w:rFonts w:cs="Arial"/>
        </w:rPr>
        <w:t xml:space="preserve"> </w:t>
      </w:r>
      <w:r>
        <w:rPr>
          <w:rFonts w:cs="Arial"/>
        </w:rPr>
        <w:t>‘</w:t>
      </w:r>
      <w:r w:rsidR="009356A1">
        <w:rPr>
          <w:rFonts w:cs="Arial"/>
        </w:rPr>
        <w:t>creditor</w:t>
      </w:r>
      <w:r w:rsidR="001241B1" w:rsidRPr="005E070B">
        <w:rPr>
          <w:rFonts w:cs="Arial"/>
        </w:rPr>
        <w:t xml:space="preserve"> claims payment of a debt</w:t>
      </w:r>
      <w:r>
        <w:rPr>
          <w:rFonts w:cs="Arial"/>
        </w:rPr>
        <w:t>’ -</w:t>
      </w:r>
      <w:r w:rsidR="001241B1" w:rsidRPr="005E070B">
        <w:rPr>
          <w:rFonts w:cs="Arial"/>
        </w:rPr>
        <w:t xml:space="preserve"> if the creditor does not successfully prosecute his </w:t>
      </w:r>
      <w:r w:rsidR="00B93278">
        <w:rPr>
          <w:rFonts w:cs="Arial"/>
        </w:rPr>
        <w:t>claim under that</w:t>
      </w:r>
      <w:r w:rsidR="001241B1" w:rsidRPr="005E070B">
        <w:rPr>
          <w:rFonts w:cs="Arial"/>
        </w:rPr>
        <w:t xml:space="preserve"> process in question to final judgment</w:t>
      </w:r>
      <w:r w:rsidR="009356A1">
        <w:rPr>
          <w:rFonts w:cs="Arial"/>
        </w:rPr>
        <w:t>,</w:t>
      </w:r>
      <w:r>
        <w:rPr>
          <w:rFonts w:cs="Arial"/>
        </w:rPr>
        <w:t xml:space="preserve"> which is a final</w:t>
      </w:r>
      <w:r w:rsidR="00B93278">
        <w:rPr>
          <w:rFonts w:cs="Arial"/>
        </w:rPr>
        <w:t xml:space="preserve"> and</w:t>
      </w:r>
      <w:r>
        <w:rPr>
          <w:rFonts w:cs="Arial"/>
        </w:rPr>
        <w:t xml:space="preserve"> executable judgment,</w:t>
      </w:r>
      <w:r w:rsidR="001241B1" w:rsidRPr="005E070B">
        <w:rPr>
          <w:rFonts w:cs="Arial"/>
        </w:rPr>
        <w:t xml:space="preserve"> or if he does so prosecute his claim</w:t>
      </w:r>
      <w:r>
        <w:rPr>
          <w:rFonts w:cs="Arial"/>
        </w:rPr>
        <w:t>,</w:t>
      </w:r>
      <w:r w:rsidR="001241B1" w:rsidRPr="005E070B">
        <w:rPr>
          <w:rFonts w:cs="Arial"/>
        </w:rPr>
        <w:t xml:space="preserve"> that is</w:t>
      </w:r>
      <w:r w:rsidR="009356A1">
        <w:rPr>
          <w:rFonts w:cs="Arial"/>
        </w:rPr>
        <w:t xml:space="preserve"> successfully</w:t>
      </w:r>
      <w:r>
        <w:rPr>
          <w:rFonts w:cs="Arial"/>
        </w:rPr>
        <w:t>,</w:t>
      </w:r>
      <w:r w:rsidR="009356A1">
        <w:rPr>
          <w:rFonts w:cs="Arial"/>
        </w:rPr>
        <w:t xml:space="preserve"> but then abandons</w:t>
      </w:r>
      <w:r w:rsidR="001241B1" w:rsidRPr="005E070B">
        <w:rPr>
          <w:rFonts w:cs="Arial"/>
        </w:rPr>
        <w:t xml:space="preserve"> the judgme</w:t>
      </w:r>
      <w:r>
        <w:rPr>
          <w:rFonts w:cs="Arial"/>
        </w:rPr>
        <w:t>nt or the judgment is set aside;</w:t>
      </w:r>
    </w:p>
    <w:p w:rsidR="005E070B" w:rsidRPr="005E070B" w:rsidRDefault="001241B1" w:rsidP="005E070B">
      <w:pPr>
        <w:pStyle w:val="ListParagraph"/>
        <w:spacing w:line="360" w:lineRule="auto"/>
        <w:ind w:left="0"/>
        <w:jc w:val="both"/>
        <w:rPr>
          <w:rFonts w:cs="Arial"/>
          <w:b/>
          <w:i/>
        </w:rPr>
      </w:pPr>
      <w:r w:rsidRPr="005E070B">
        <w:rPr>
          <w:rFonts w:cs="Arial"/>
        </w:rPr>
        <w:t xml:space="preserve"> </w:t>
      </w:r>
    </w:p>
    <w:p w:rsidR="00703B4F" w:rsidRPr="00703B4F" w:rsidRDefault="00B93278" w:rsidP="005E070B">
      <w:pPr>
        <w:pStyle w:val="ListParagraph"/>
        <w:numPr>
          <w:ilvl w:val="0"/>
          <w:numId w:val="40"/>
        </w:numPr>
        <w:spacing w:line="360" w:lineRule="auto"/>
        <w:ind w:left="0" w:firstLine="0"/>
        <w:jc w:val="both"/>
        <w:rPr>
          <w:rFonts w:cs="Arial"/>
          <w:b/>
          <w:i/>
        </w:rPr>
      </w:pPr>
      <w:r>
        <w:rPr>
          <w:rFonts w:cs="Arial"/>
        </w:rPr>
        <w:t>i</w:t>
      </w:r>
      <w:r w:rsidR="001241B1" w:rsidRPr="005E070B">
        <w:rPr>
          <w:rFonts w:cs="Arial"/>
        </w:rPr>
        <w:t>n such circumstances</w:t>
      </w:r>
      <w:r w:rsidR="00703B4F">
        <w:rPr>
          <w:rFonts w:cs="Arial"/>
        </w:rPr>
        <w:t xml:space="preserve"> -</w:t>
      </w:r>
      <w:r w:rsidR="001241B1" w:rsidRPr="005E070B">
        <w:rPr>
          <w:rFonts w:cs="Arial"/>
        </w:rPr>
        <w:t xml:space="preserve"> it shall be deemed</w:t>
      </w:r>
      <w:r w:rsidR="00703B4F">
        <w:rPr>
          <w:rFonts w:cs="Arial"/>
        </w:rPr>
        <w:t xml:space="preserve"> -</w:t>
      </w:r>
      <w:r w:rsidR="001241B1" w:rsidRPr="005E070B">
        <w:rPr>
          <w:rFonts w:cs="Arial"/>
        </w:rPr>
        <w:t xml:space="preserve"> that the service of </w:t>
      </w:r>
      <w:r w:rsidR="005E070B">
        <w:rPr>
          <w:rFonts w:cs="Arial"/>
        </w:rPr>
        <w:t>s</w:t>
      </w:r>
      <w:r w:rsidR="001241B1" w:rsidRPr="005E070B">
        <w:rPr>
          <w:rFonts w:cs="Arial"/>
        </w:rPr>
        <w:t>ummons</w:t>
      </w:r>
      <w:r w:rsidR="00703B4F">
        <w:rPr>
          <w:rFonts w:cs="Arial"/>
        </w:rPr>
        <w:t>,</w:t>
      </w:r>
      <w:r w:rsidR="001241B1" w:rsidRPr="005E070B">
        <w:rPr>
          <w:rFonts w:cs="Arial"/>
        </w:rPr>
        <w:t xml:space="preserve"> which</w:t>
      </w:r>
      <w:r w:rsidR="00703B4F">
        <w:rPr>
          <w:rFonts w:cs="Arial"/>
        </w:rPr>
        <w:t>,</w:t>
      </w:r>
      <w:r w:rsidR="001241B1" w:rsidRPr="005E070B">
        <w:rPr>
          <w:rFonts w:cs="Arial"/>
        </w:rPr>
        <w:t xml:space="preserve"> until the listed outcomes</w:t>
      </w:r>
      <w:r w:rsidR="00703B4F">
        <w:rPr>
          <w:rFonts w:cs="Arial"/>
        </w:rPr>
        <w:t>,</w:t>
      </w:r>
      <w:r w:rsidR="001241B1" w:rsidRPr="005E070B">
        <w:rPr>
          <w:rFonts w:cs="Arial"/>
        </w:rPr>
        <w:t xml:space="preserve"> has interrupted the running of</w:t>
      </w:r>
      <w:r w:rsidR="00703B4F">
        <w:rPr>
          <w:rFonts w:cs="Arial"/>
        </w:rPr>
        <w:t xml:space="preserve"> the applicable prescriptive period - shall lapse;</w:t>
      </w:r>
      <w:r w:rsidR="001241B1" w:rsidRPr="005E070B">
        <w:rPr>
          <w:rFonts w:cs="Arial"/>
        </w:rPr>
        <w:t xml:space="preserve"> </w:t>
      </w:r>
    </w:p>
    <w:p w:rsidR="00703B4F" w:rsidRPr="00703B4F" w:rsidRDefault="00703B4F" w:rsidP="00703B4F">
      <w:pPr>
        <w:pStyle w:val="ListParagraph"/>
        <w:rPr>
          <w:rFonts w:cs="Arial"/>
        </w:rPr>
      </w:pPr>
    </w:p>
    <w:p w:rsidR="00703B4F" w:rsidRPr="00703B4F" w:rsidRDefault="009356A1" w:rsidP="005E070B">
      <w:pPr>
        <w:pStyle w:val="ListParagraph"/>
        <w:numPr>
          <w:ilvl w:val="0"/>
          <w:numId w:val="40"/>
        </w:numPr>
        <w:spacing w:line="360" w:lineRule="auto"/>
        <w:ind w:left="0" w:firstLine="0"/>
        <w:jc w:val="both"/>
        <w:rPr>
          <w:rFonts w:cs="Arial"/>
          <w:b/>
          <w:i/>
        </w:rPr>
      </w:pPr>
      <w:r>
        <w:rPr>
          <w:rFonts w:cs="Arial"/>
        </w:rPr>
        <w:t>that</w:t>
      </w:r>
      <w:r w:rsidR="001241B1" w:rsidRPr="005E070B">
        <w:rPr>
          <w:rFonts w:cs="Arial"/>
        </w:rPr>
        <w:t xml:space="preserve"> all this must have occurred under the </w:t>
      </w:r>
      <w:r w:rsidR="00B93278">
        <w:rPr>
          <w:rFonts w:cs="Arial"/>
        </w:rPr>
        <w:t>‘</w:t>
      </w:r>
      <w:r w:rsidR="001241B1" w:rsidRPr="005E070B">
        <w:rPr>
          <w:rFonts w:cs="Arial"/>
        </w:rPr>
        <w:t>process</w:t>
      </w:r>
      <w:r w:rsidR="00B93278">
        <w:rPr>
          <w:rFonts w:cs="Arial"/>
        </w:rPr>
        <w:t>’</w:t>
      </w:r>
      <w:r w:rsidR="001241B1" w:rsidRPr="005E070B">
        <w:rPr>
          <w:rFonts w:cs="Arial"/>
        </w:rPr>
        <w:t xml:space="preserve"> in question, i.e. that is the action</w:t>
      </w:r>
      <w:r w:rsidR="00703B4F">
        <w:rPr>
          <w:rFonts w:cs="Arial"/>
        </w:rPr>
        <w:t>,</w:t>
      </w:r>
      <w:r w:rsidR="001241B1" w:rsidRPr="005E070B">
        <w:rPr>
          <w:rFonts w:cs="Arial"/>
        </w:rPr>
        <w:t xml:space="preserve"> as in this case</w:t>
      </w:r>
      <w:r w:rsidR="00703B4F">
        <w:rPr>
          <w:rFonts w:cs="Arial"/>
        </w:rPr>
        <w:t>,</w:t>
      </w:r>
      <w:r w:rsidR="001241B1" w:rsidRPr="005E070B">
        <w:rPr>
          <w:rFonts w:cs="Arial"/>
        </w:rPr>
        <w:t xml:space="preserve"> or</w:t>
      </w:r>
      <w:r w:rsidR="00703B4F">
        <w:rPr>
          <w:rFonts w:cs="Arial"/>
        </w:rPr>
        <w:t xml:space="preserve"> as</w:t>
      </w:r>
      <w:r w:rsidR="001241B1" w:rsidRPr="005E070B">
        <w:rPr>
          <w:rFonts w:cs="Arial"/>
        </w:rPr>
        <w:t xml:space="preserve"> in the other types of proceedings</w:t>
      </w:r>
      <w:r w:rsidR="00703B4F">
        <w:rPr>
          <w:rFonts w:cs="Arial"/>
        </w:rPr>
        <w:t>,</w:t>
      </w:r>
      <w:r w:rsidR="001241B1" w:rsidRPr="005E070B">
        <w:rPr>
          <w:rFonts w:cs="Arial"/>
        </w:rPr>
        <w:t xml:space="preserve"> as defined in Section </w:t>
      </w:r>
      <w:r w:rsidR="00FE6190">
        <w:rPr>
          <w:rFonts w:cs="Arial"/>
        </w:rPr>
        <w:t>15(6) of the Act.</w:t>
      </w:r>
    </w:p>
    <w:p w:rsidR="00703B4F" w:rsidRDefault="00703B4F" w:rsidP="00703B4F">
      <w:pPr>
        <w:pStyle w:val="ListParagraph"/>
        <w:spacing w:line="360" w:lineRule="auto"/>
        <w:ind w:left="0"/>
        <w:jc w:val="both"/>
        <w:rPr>
          <w:rFonts w:cs="Arial"/>
        </w:rPr>
      </w:pPr>
    </w:p>
    <w:p w:rsidR="00166CFB" w:rsidRDefault="00703B4F" w:rsidP="00703B4F">
      <w:pPr>
        <w:pStyle w:val="ListParagraph"/>
        <w:spacing w:line="360" w:lineRule="auto"/>
        <w:ind w:left="0"/>
        <w:jc w:val="both"/>
        <w:rPr>
          <w:rFonts w:cs="Arial"/>
        </w:rPr>
      </w:pPr>
      <w:r>
        <w:rPr>
          <w:rFonts w:cs="Arial"/>
        </w:rPr>
        <w:t>[</w:t>
      </w:r>
      <w:r w:rsidR="00FE6190">
        <w:rPr>
          <w:rFonts w:cs="Arial"/>
        </w:rPr>
        <w:t>20</w:t>
      </w:r>
      <w:r>
        <w:rPr>
          <w:rFonts w:cs="Arial"/>
        </w:rPr>
        <w:t>]</w:t>
      </w:r>
      <w:r>
        <w:rPr>
          <w:rFonts w:cs="Arial"/>
        </w:rPr>
        <w:tab/>
      </w:r>
      <w:r w:rsidR="001241B1" w:rsidRPr="005E070B">
        <w:rPr>
          <w:rFonts w:cs="Arial"/>
        </w:rPr>
        <w:t>It is against</w:t>
      </w:r>
      <w:r w:rsidR="00691BD5">
        <w:rPr>
          <w:rFonts w:cs="Arial"/>
        </w:rPr>
        <w:t xml:space="preserve"> the backdrop of</w:t>
      </w:r>
      <w:r w:rsidR="001241B1" w:rsidRPr="005E070B">
        <w:rPr>
          <w:rFonts w:cs="Arial"/>
        </w:rPr>
        <w:t xml:space="preserve"> this analysis that it must then be determined whether the section finds any application in this case.  </w:t>
      </w:r>
    </w:p>
    <w:p w:rsidR="00166CFB" w:rsidRDefault="00166CFB" w:rsidP="00703B4F">
      <w:pPr>
        <w:pStyle w:val="ListParagraph"/>
        <w:spacing w:line="360" w:lineRule="auto"/>
        <w:ind w:left="0"/>
        <w:jc w:val="both"/>
        <w:rPr>
          <w:rFonts w:cs="Arial"/>
        </w:rPr>
      </w:pPr>
    </w:p>
    <w:p w:rsidR="009D7DF3" w:rsidRPr="009D7DF3" w:rsidRDefault="009D7DF3" w:rsidP="00703B4F">
      <w:pPr>
        <w:pStyle w:val="ListParagraph"/>
        <w:spacing w:line="360" w:lineRule="auto"/>
        <w:ind w:left="0"/>
        <w:jc w:val="both"/>
        <w:rPr>
          <w:rFonts w:cs="Arial"/>
          <w:u w:val="single"/>
        </w:rPr>
      </w:pPr>
      <w:r w:rsidRPr="009D7DF3">
        <w:rPr>
          <w:rFonts w:cs="Arial"/>
          <w:u w:val="single"/>
        </w:rPr>
        <w:t>The arguments</w:t>
      </w:r>
    </w:p>
    <w:p w:rsidR="009D7DF3" w:rsidRDefault="009D7DF3" w:rsidP="00703B4F">
      <w:pPr>
        <w:pStyle w:val="ListParagraph"/>
        <w:spacing w:line="360" w:lineRule="auto"/>
        <w:ind w:left="0"/>
        <w:jc w:val="both"/>
        <w:rPr>
          <w:rFonts w:cs="Arial"/>
        </w:rPr>
      </w:pPr>
    </w:p>
    <w:p w:rsidR="00166CFB" w:rsidRDefault="00166CFB" w:rsidP="002E528B">
      <w:pPr>
        <w:pStyle w:val="ListParagraph"/>
        <w:spacing w:line="360" w:lineRule="auto"/>
        <w:ind w:left="0"/>
        <w:jc w:val="both"/>
        <w:rPr>
          <w:rFonts w:cs="Arial"/>
        </w:rPr>
      </w:pPr>
      <w:r>
        <w:rPr>
          <w:rFonts w:cs="Arial"/>
        </w:rPr>
        <w:t>[</w:t>
      </w:r>
      <w:r w:rsidR="00FE6190">
        <w:rPr>
          <w:rFonts w:cs="Arial"/>
        </w:rPr>
        <w:t>21</w:t>
      </w:r>
      <w:r>
        <w:rPr>
          <w:rFonts w:cs="Arial"/>
        </w:rPr>
        <w:t>]</w:t>
      </w:r>
      <w:r>
        <w:rPr>
          <w:rFonts w:cs="Arial"/>
        </w:rPr>
        <w:tab/>
        <w:t>Here</w:t>
      </w:r>
      <w:r w:rsidR="00B93278">
        <w:rPr>
          <w:rFonts w:cs="Arial"/>
        </w:rPr>
        <w:t xml:space="preserve"> </w:t>
      </w:r>
      <w:proofErr w:type="spellStart"/>
      <w:r w:rsidR="00B93278">
        <w:rPr>
          <w:rFonts w:cs="Arial"/>
        </w:rPr>
        <w:t>Mr</w:t>
      </w:r>
      <w:proofErr w:type="spellEnd"/>
      <w:r w:rsidR="00B93278">
        <w:rPr>
          <w:rFonts w:cs="Arial"/>
        </w:rPr>
        <w:t xml:space="preserve"> Mouton’s</w:t>
      </w:r>
      <w:r>
        <w:rPr>
          <w:rFonts w:cs="Arial"/>
        </w:rPr>
        <w:t xml:space="preserve"> the </w:t>
      </w:r>
      <w:r w:rsidR="001241B1" w:rsidRPr="005E070B">
        <w:rPr>
          <w:rFonts w:cs="Arial"/>
        </w:rPr>
        <w:t>contention</w:t>
      </w:r>
      <w:r>
        <w:rPr>
          <w:rFonts w:cs="Arial"/>
        </w:rPr>
        <w:t xml:space="preserve"> on behalf of</w:t>
      </w:r>
      <w:r w:rsidRPr="00166CFB">
        <w:rPr>
          <w:rFonts w:cs="Arial"/>
        </w:rPr>
        <w:t xml:space="preserve"> </w:t>
      </w:r>
      <w:r>
        <w:rPr>
          <w:rFonts w:cs="Arial"/>
        </w:rPr>
        <w:t>the</w:t>
      </w:r>
      <w:r w:rsidRPr="005E070B">
        <w:rPr>
          <w:rFonts w:cs="Arial"/>
        </w:rPr>
        <w:t xml:space="preserve"> </w:t>
      </w:r>
      <w:r>
        <w:rPr>
          <w:rFonts w:cs="Arial"/>
        </w:rPr>
        <w:t>plaintiff</w:t>
      </w:r>
      <w:r w:rsidR="00837542">
        <w:rPr>
          <w:rFonts w:cs="Arial"/>
        </w:rPr>
        <w:t xml:space="preserve"> wa</w:t>
      </w:r>
      <w:r w:rsidR="001241B1" w:rsidRPr="005E070B">
        <w:rPr>
          <w:rFonts w:cs="Arial"/>
        </w:rPr>
        <w:t xml:space="preserve">s that prescription began to run </w:t>
      </w:r>
      <w:proofErr w:type="spellStart"/>
      <w:r w:rsidR="001241B1" w:rsidRPr="005E070B">
        <w:rPr>
          <w:rFonts w:cs="Arial"/>
        </w:rPr>
        <w:t>afresh</w:t>
      </w:r>
      <w:proofErr w:type="spellEnd"/>
      <w:r w:rsidR="001241B1" w:rsidRPr="005E070B">
        <w:rPr>
          <w:rFonts w:cs="Arial"/>
        </w:rPr>
        <w:t xml:space="preserve"> from the date of </w:t>
      </w:r>
      <w:r w:rsidR="002E528B">
        <w:rPr>
          <w:rFonts w:cs="Arial"/>
        </w:rPr>
        <w:t>a</w:t>
      </w:r>
      <w:r w:rsidR="001241B1" w:rsidRPr="005E070B">
        <w:rPr>
          <w:rFonts w:cs="Arial"/>
        </w:rPr>
        <w:t>bsolution</w:t>
      </w:r>
      <w:r w:rsidR="00837542">
        <w:rPr>
          <w:rFonts w:cs="Arial"/>
        </w:rPr>
        <w:t xml:space="preserve">, </w:t>
      </w:r>
      <w:proofErr w:type="spellStart"/>
      <w:r w:rsidR="00837542">
        <w:rPr>
          <w:rFonts w:cs="Arial"/>
        </w:rPr>
        <w:t>ie</w:t>
      </w:r>
      <w:proofErr w:type="spellEnd"/>
      <w:r w:rsidR="00837542">
        <w:rPr>
          <w:rFonts w:cs="Arial"/>
        </w:rPr>
        <w:t xml:space="preserve">. </w:t>
      </w:r>
      <w:proofErr w:type="gramStart"/>
      <w:r w:rsidR="00837542">
        <w:rPr>
          <w:rFonts w:cs="Arial"/>
        </w:rPr>
        <w:t>from</w:t>
      </w:r>
      <w:proofErr w:type="gramEnd"/>
      <w:r w:rsidR="00837542">
        <w:rPr>
          <w:rFonts w:cs="Arial"/>
        </w:rPr>
        <w:t xml:space="preserve"> 18 May 2015</w:t>
      </w:r>
      <w:r w:rsidR="001241B1" w:rsidRPr="005E070B">
        <w:rPr>
          <w:rFonts w:cs="Arial"/>
        </w:rPr>
        <w:t xml:space="preserve">.  On the </w:t>
      </w:r>
      <w:r w:rsidR="002E528B">
        <w:rPr>
          <w:rFonts w:cs="Arial"/>
        </w:rPr>
        <w:t>p</w:t>
      </w:r>
      <w:r w:rsidR="001241B1" w:rsidRPr="005E070B">
        <w:rPr>
          <w:rFonts w:cs="Arial"/>
        </w:rPr>
        <w:t>laintiff’s calc</w:t>
      </w:r>
      <w:r>
        <w:rPr>
          <w:rFonts w:cs="Arial"/>
        </w:rPr>
        <w:t xml:space="preserve">ulation, a remaining period </w:t>
      </w:r>
      <w:r w:rsidR="00837542">
        <w:rPr>
          <w:rFonts w:cs="Arial"/>
        </w:rPr>
        <w:t xml:space="preserve">of some 15 months remained available </w:t>
      </w:r>
      <w:r>
        <w:rPr>
          <w:rFonts w:cs="Arial"/>
        </w:rPr>
        <w:t xml:space="preserve">- </w:t>
      </w:r>
      <w:r w:rsidR="001241B1" w:rsidRPr="005E070B">
        <w:rPr>
          <w:rFonts w:cs="Arial"/>
        </w:rPr>
        <w:t xml:space="preserve">given that a </w:t>
      </w:r>
      <w:r w:rsidR="001241B1" w:rsidRPr="005E070B">
        <w:rPr>
          <w:rFonts w:cs="Arial"/>
        </w:rPr>
        <w:lastRenderedPageBreak/>
        <w:t>3 year period</w:t>
      </w:r>
      <w:r>
        <w:rPr>
          <w:rFonts w:cs="Arial"/>
        </w:rPr>
        <w:t xml:space="preserve"> of prescription was applicable</w:t>
      </w:r>
      <w:r w:rsidR="00837542">
        <w:rPr>
          <w:rFonts w:cs="Arial"/>
        </w:rPr>
        <w:t>. If one would calculate a</w:t>
      </w:r>
      <w:r>
        <w:rPr>
          <w:rFonts w:cs="Arial"/>
        </w:rPr>
        <w:t xml:space="preserve"> further </w:t>
      </w:r>
      <w:r w:rsidR="00837542">
        <w:rPr>
          <w:rFonts w:cs="Arial"/>
        </w:rPr>
        <w:t>period of 15 months</w:t>
      </w:r>
      <w:r w:rsidR="001241B1" w:rsidRPr="005E070B">
        <w:rPr>
          <w:rFonts w:cs="Arial"/>
        </w:rPr>
        <w:t xml:space="preserve"> from the date</w:t>
      </w:r>
      <w:r w:rsidR="00837542">
        <w:rPr>
          <w:rFonts w:cs="Arial"/>
        </w:rPr>
        <w:t xml:space="preserve"> of absolution it would appear that</w:t>
      </w:r>
      <w:r w:rsidR="001241B1" w:rsidRPr="005E070B">
        <w:rPr>
          <w:rFonts w:cs="Arial"/>
        </w:rPr>
        <w:t xml:space="preserve"> </w:t>
      </w:r>
      <w:r w:rsidR="00837542">
        <w:rPr>
          <w:rFonts w:cs="Arial"/>
        </w:rPr>
        <w:t>t</w:t>
      </w:r>
      <w:r w:rsidR="001241B1" w:rsidRPr="005E070B">
        <w:rPr>
          <w:rFonts w:cs="Arial"/>
        </w:rPr>
        <w:t>he second action under case I</w:t>
      </w:r>
      <w:r w:rsidR="00B93278">
        <w:rPr>
          <w:rFonts w:cs="Arial"/>
        </w:rPr>
        <w:t xml:space="preserve"> </w:t>
      </w:r>
      <w:r w:rsidR="001241B1" w:rsidRPr="005E070B">
        <w:rPr>
          <w:rFonts w:cs="Arial"/>
        </w:rPr>
        <w:t>25/2016</w:t>
      </w:r>
      <w:r w:rsidR="00837542">
        <w:rPr>
          <w:rFonts w:cs="Arial"/>
        </w:rPr>
        <w:t xml:space="preserve"> -</w:t>
      </w:r>
      <w:r w:rsidR="001241B1" w:rsidRPr="005E070B">
        <w:rPr>
          <w:rFonts w:cs="Arial"/>
        </w:rPr>
        <w:t xml:space="preserve"> </w:t>
      </w:r>
      <w:r w:rsidR="00837542">
        <w:rPr>
          <w:rFonts w:cs="Arial"/>
        </w:rPr>
        <w:t xml:space="preserve">which was served during May 2016 - </w:t>
      </w:r>
      <w:r w:rsidR="001241B1" w:rsidRPr="005E070B">
        <w:rPr>
          <w:rFonts w:cs="Arial"/>
        </w:rPr>
        <w:t>was then institute</w:t>
      </w:r>
      <w:r w:rsidR="00837542">
        <w:rPr>
          <w:rFonts w:cs="Arial"/>
        </w:rPr>
        <w:t>d</w:t>
      </w:r>
      <w:r w:rsidR="001241B1" w:rsidRPr="005E070B">
        <w:rPr>
          <w:rFonts w:cs="Arial"/>
        </w:rPr>
        <w:t xml:space="preserve"> well within the remaining period.  </w:t>
      </w:r>
    </w:p>
    <w:p w:rsidR="00166CFB" w:rsidRDefault="00166CFB" w:rsidP="002E528B">
      <w:pPr>
        <w:pStyle w:val="ListParagraph"/>
        <w:spacing w:line="360" w:lineRule="auto"/>
        <w:ind w:left="0"/>
        <w:jc w:val="both"/>
        <w:rPr>
          <w:rFonts w:cs="Arial"/>
        </w:rPr>
      </w:pPr>
    </w:p>
    <w:p w:rsidR="00837542" w:rsidRDefault="00166CFB" w:rsidP="002E528B">
      <w:pPr>
        <w:pStyle w:val="ListParagraph"/>
        <w:spacing w:line="360" w:lineRule="auto"/>
        <w:ind w:left="0"/>
        <w:jc w:val="both"/>
        <w:rPr>
          <w:rFonts w:cs="Arial"/>
        </w:rPr>
      </w:pPr>
      <w:r>
        <w:rPr>
          <w:rFonts w:cs="Arial"/>
        </w:rPr>
        <w:t>[</w:t>
      </w:r>
      <w:r w:rsidR="00FE6190">
        <w:rPr>
          <w:rFonts w:cs="Arial"/>
        </w:rPr>
        <w:t>22</w:t>
      </w:r>
      <w:r>
        <w:rPr>
          <w:rFonts w:cs="Arial"/>
        </w:rPr>
        <w:t>]</w:t>
      </w:r>
      <w:r>
        <w:rPr>
          <w:rFonts w:cs="Arial"/>
        </w:rPr>
        <w:tab/>
      </w:r>
      <w:r w:rsidR="00837542">
        <w:rPr>
          <w:rFonts w:cs="Arial"/>
        </w:rPr>
        <w:t>I</w:t>
      </w:r>
      <w:r w:rsidR="001241B1" w:rsidRPr="005E070B">
        <w:rPr>
          <w:rFonts w:cs="Arial"/>
        </w:rPr>
        <w:t xml:space="preserve">t was contended further that when </w:t>
      </w:r>
      <w:r w:rsidR="002E528B">
        <w:rPr>
          <w:rFonts w:cs="Arial"/>
        </w:rPr>
        <w:t>a</w:t>
      </w:r>
      <w:r w:rsidR="00837542">
        <w:rPr>
          <w:rFonts w:cs="Arial"/>
        </w:rPr>
        <w:t>bsolution was granted, the plaintiff</w:t>
      </w:r>
      <w:r w:rsidR="001241B1" w:rsidRPr="005E070B">
        <w:rPr>
          <w:rFonts w:cs="Arial"/>
        </w:rPr>
        <w:t xml:space="preserve"> was still in the process of successfully prosecuting his claim to final judgment.  In other words, it was submitted that</w:t>
      </w:r>
      <w:r w:rsidR="00837542">
        <w:rPr>
          <w:rFonts w:cs="Arial"/>
        </w:rPr>
        <w:t>,</w:t>
      </w:r>
      <w:r w:rsidR="001241B1" w:rsidRPr="005E070B">
        <w:rPr>
          <w:rFonts w:cs="Arial"/>
        </w:rPr>
        <w:t xml:space="preserve"> when </w:t>
      </w:r>
      <w:r w:rsidR="002E528B">
        <w:rPr>
          <w:rFonts w:cs="Arial"/>
        </w:rPr>
        <w:t>a</w:t>
      </w:r>
      <w:r w:rsidR="001241B1" w:rsidRPr="005E070B">
        <w:rPr>
          <w:rFonts w:cs="Arial"/>
        </w:rPr>
        <w:t>bsolution was granted</w:t>
      </w:r>
      <w:r w:rsidR="00837542">
        <w:rPr>
          <w:rFonts w:cs="Arial"/>
        </w:rPr>
        <w:t>,</w:t>
      </w:r>
      <w:r w:rsidR="001241B1" w:rsidRPr="005E070B">
        <w:rPr>
          <w:rFonts w:cs="Arial"/>
        </w:rPr>
        <w:t xml:space="preserve"> it could not be said that the </w:t>
      </w:r>
      <w:r w:rsidR="002E528B">
        <w:rPr>
          <w:rFonts w:cs="Arial"/>
        </w:rPr>
        <w:t>p</w:t>
      </w:r>
      <w:r w:rsidR="001241B1" w:rsidRPr="005E070B">
        <w:rPr>
          <w:rFonts w:cs="Arial"/>
        </w:rPr>
        <w:t>laintiff had not</w:t>
      </w:r>
      <w:r w:rsidR="00183641">
        <w:rPr>
          <w:rFonts w:cs="Arial"/>
        </w:rPr>
        <w:t xml:space="preserve"> yet</w:t>
      </w:r>
      <w:r w:rsidR="001241B1" w:rsidRPr="005E070B">
        <w:rPr>
          <w:rFonts w:cs="Arial"/>
        </w:rPr>
        <w:t xml:space="preserve"> successfully prosecuted his claim to final judgment.  </w:t>
      </w:r>
    </w:p>
    <w:p w:rsidR="00837542" w:rsidRDefault="00837542" w:rsidP="002E528B">
      <w:pPr>
        <w:pStyle w:val="ListParagraph"/>
        <w:spacing w:line="360" w:lineRule="auto"/>
        <w:ind w:left="0"/>
        <w:jc w:val="both"/>
        <w:rPr>
          <w:rFonts w:cs="Arial"/>
        </w:rPr>
      </w:pPr>
    </w:p>
    <w:p w:rsidR="001126DF" w:rsidRPr="00166CFB" w:rsidRDefault="00837542" w:rsidP="002E528B">
      <w:pPr>
        <w:pStyle w:val="ListParagraph"/>
        <w:spacing w:line="360" w:lineRule="auto"/>
        <w:ind w:left="0"/>
        <w:jc w:val="both"/>
        <w:rPr>
          <w:rFonts w:cs="Arial"/>
          <w:b/>
          <w:i/>
        </w:rPr>
      </w:pPr>
      <w:r>
        <w:rPr>
          <w:rFonts w:cs="Arial"/>
        </w:rPr>
        <w:t>[</w:t>
      </w:r>
      <w:r w:rsidR="00FE6190">
        <w:rPr>
          <w:rFonts w:cs="Arial"/>
        </w:rPr>
        <w:t>23</w:t>
      </w:r>
      <w:r>
        <w:rPr>
          <w:rFonts w:cs="Arial"/>
        </w:rPr>
        <w:t>]</w:t>
      </w:r>
      <w:r>
        <w:rPr>
          <w:rFonts w:cs="Arial"/>
        </w:rPr>
        <w:tab/>
      </w:r>
      <w:r w:rsidR="001241B1" w:rsidRPr="005E070B">
        <w:rPr>
          <w:rFonts w:cs="Arial"/>
        </w:rPr>
        <w:t xml:space="preserve">This submission was </w:t>
      </w:r>
      <w:r>
        <w:rPr>
          <w:rFonts w:cs="Arial"/>
        </w:rPr>
        <w:t>bol</w:t>
      </w:r>
      <w:r w:rsidR="009356A1">
        <w:rPr>
          <w:rFonts w:cs="Arial"/>
        </w:rPr>
        <w:t>ste</w:t>
      </w:r>
      <w:r>
        <w:rPr>
          <w:rFonts w:cs="Arial"/>
        </w:rPr>
        <w:t>re</w:t>
      </w:r>
      <w:r w:rsidR="009356A1">
        <w:rPr>
          <w:rFonts w:cs="Arial"/>
        </w:rPr>
        <w:t>d</w:t>
      </w:r>
      <w:r w:rsidR="001241B1" w:rsidRPr="005E070B">
        <w:rPr>
          <w:rFonts w:cs="Arial"/>
        </w:rPr>
        <w:t xml:space="preserve"> by the</w:t>
      </w:r>
      <w:r>
        <w:rPr>
          <w:rFonts w:cs="Arial"/>
        </w:rPr>
        <w:t xml:space="preserve"> further argument that the event</w:t>
      </w:r>
      <w:r w:rsidR="007C6B80">
        <w:rPr>
          <w:rFonts w:cs="Arial"/>
        </w:rPr>
        <w:t>,</w:t>
      </w:r>
      <w:r>
        <w:rPr>
          <w:rFonts w:cs="Arial"/>
        </w:rPr>
        <w:t xml:space="preserve"> at</w:t>
      </w:r>
      <w:r w:rsidR="001241B1" w:rsidRPr="005E070B">
        <w:rPr>
          <w:rFonts w:cs="Arial"/>
        </w:rPr>
        <w:t xml:space="preserve"> which </w:t>
      </w:r>
      <w:r w:rsidR="002E528B">
        <w:rPr>
          <w:rFonts w:cs="Arial"/>
        </w:rPr>
        <w:t>a</w:t>
      </w:r>
      <w:r>
        <w:rPr>
          <w:rFonts w:cs="Arial"/>
        </w:rPr>
        <w:t>bsolution wa</w:t>
      </w:r>
      <w:r w:rsidR="001241B1" w:rsidRPr="005E070B">
        <w:rPr>
          <w:rFonts w:cs="Arial"/>
        </w:rPr>
        <w:t>s granted</w:t>
      </w:r>
      <w:r>
        <w:rPr>
          <w:rFonts w:cs="Arial"/>
        </w:rPr>
        <w:t>, did</w:t>
      </w:r>
      <w:r w:rsidR="001241B1" w:rsidRPr="005E070B">
        <w:rPr>
          <w:rFonts w:cs="Arial"/>
        </w:rPr>
        <w:t xml:space="preserve"> not result in a situation of </w:t>
      </w:r>
      <w:r w:rsidR="001241B1" w:rsidRPr="005E070B">
        <w:rPr>
          <w:rFonts w:cs="Arial"/>
          <w:i/>
        </w:rPr>
        <w:t>res judicata</w:t>
      </w:r>
      <w:r>
        <w:rPr>
          <w:rFonts w:cs="Arial"/>
        </w:rPr>
        <w:t xml:space="preserve"> as</w:t>
      </w:r>
      <w:r w:rsidR="001241B1" w:rsidRPr="005E070B">
        <w:rPr>
          <w:rFonts w:cs="Arial"/>
        </w:rPr>
        <w:t xml:space="preserve"> the </w:t>
      </w:r>
      <w:r w:rsidR="001126DF">
        <w:rPr>
          <w:rFonts w:cs="Arial"/>
        </w:rPr>
        <w:t>p</w:t>
      </w:r>
      <w:r>
        <w:rPr>
          <w:rFonts w:cs="Arial"/>
        </w:rPr>
        <w:t>laintiff may and could still</w:t>
      </w:r>
      <w:r w:rsidR="001241B1" w:rsidRPr="005E070B">
        <w:rPr>
          <w:rFonts w:cs="Arial"/>
        </w:rPr>
        <w:t xml:space="preserve"> initiate fresh proceedings</w:t>
      </w:r>
      <w:r>
        <w:rPr>
          <w:rFonts w:cs="Arial"/>
        </w:rPr>
        <w:t>,</w:t>
      </w:r>
      <w:r w:rsidR="001241B1" w:rsidRPr="005E070B">
        <w:rPr>
          <w:rFonts w:cs="Arial"/>
        </w:rPr>
        <w:t xml:space="preserve"> which was done.  </w:t>
      </w:r>
    </w:p>
    <w:p w:rsidR="001126DF" w:rsidRDefault="001126DF" w:rsidP="002E528B">
      <w:pPr>
        <w:pStyle w:val="ListParagraph"/>
        <w:spacing w:line="360" w:lineRule="auto"/>
        <w:ind w:left="0"/>
        <w:jc w:val="both"/>
        <w:rPr>
          <w:rFonts w:cs="Arial"/>
        </w:rPr>
      </w:pPr>
    </w:p>
    <w:p w:rsidR="001126DF" w:rsidRDefault="001126DF" w:rsidP="002E528B">
      <w:pPr>
        <w:pStyle w:val="ListParagraph"/>
        <w:spacing w:line="360" w:lineRule="auto"/>
        <w:ind w:left="0"/>
        <w:jc w:val="both"/>
        <w:rPr>
          <w:rFonts w:cs="Arial"/>
        </w:rPr>
      </w:pPr>
      <w:r>
        <w:rPr>
          <w:rFonts w:cs="Arial"/>
        </w:rPr>
        <w:t>[</w:t>
      </w:r>
      <w:r w:rsidR="00FE6190">
        <w:rPr>
          <w:rFonts w:cs="Arial"/>
        </w:rPr>
        <w:t>24</w:t>
      </w:r>
      <w:r>
        <w:rPr>
          <w:rFonts w:cs="Arial"/>
        </w:rPr>
        <w:t>]</w:t>
      </w:r>
      <w:r>
        <w:rPr>
          <w:rFonts w:cs="Arial"/>
        </w:rPr>
        <w:tab/>
      </w:r>
      <w:r w:rsidR="007C6B80">
        <w:rPr>
          <w:rFonts w:cs="Arial"/>
        </w:rPr>
        <w:t>It was</w:t>
      </w:r>
      <w:r w:rsidR="001241B1" w:rsidRPr="005E070B">
        <w:rPr>
          <w:rFonts w:cs="Arial"/>
        </w:rPr>
        <w:t xml:space="preserve"> pointed out</w:t>
      </w:r>
      <w:r w:rsidR="007C6B80">
        <w:rPr>
          <w:rFonts w:cs="Arial"/>
        </w:rPr>
        <w:t xml:space="preserve"> further</w:t>
      </w:r>
      <w:r w:rsidR="001241B1" w:rsidRPr="005E070B">
        <w:rPr>
          <w:rFonts w:cs="Arial"/>
        </w:rPr>
        <w:t xml:space="preserve"> that the </w:t>
      </w:r>
      <w:r>
        <w:rPr>
          <w:rFonts w:cs="Arial"/>
        </w:rPr>
        <w:t>c</w:t>
      </w:r>
      <w:r w:rsidR="001241B1" w:rsidRPr="005E070B">
        <w:rPr>
          <w:rFonts w:cs="Arial"/>
        </w:rPr>
        <w:t>ourt</w:t>
      </w:r>
      <w:r w:rsidR="007C6B80">
        <w:rPr>
          <w:rFonts w:cs="Arial"/>
        </w:rPr>
        <w:t>,</w:t>
      </w:r>
      <w:r w:rsidR="001241B1" w:rsidRPr="005E070B">
        <w:rPr>
          <w:rFonts w:cs="Arial"/>
        </w:rPr>
        <w:t xml:space="preserve"> in its </w:t>
      </w:r>
      <w:r>
        <w:rPr>
          <w:rFonts w:cs="Arial"/>
        </w:rPr>
        <w:t>o</w:t>
      </w:r>
      <w:r w:rsidR="001241B1" w:rsidRPr="005E070B">
        <w:rPr>
          <w:rFonts w:cs="Arial"/>
        </w:rPr>
        <w:t>rder of 18 May 2015</w:t>
      </w:r>
      <w:r w:rsidR="007C6B80">
        <w:rPr>
          <w:rFonts w:cs="Arial"/>
        </w:rPr>
        <w:t>,</w:t>
      </w:r>
      <w:r w:rsidR="001241B1" w:rsidRPr="005E070B">
        <w:rPr>
          <w:rFonts w:cs="Arial"/>
        </w:rPr>
        <w:t xml:space="preserve"> </w:t>
      </w:r>
      <w:r w:rsidR="007C6B80">
        <w:rPr>
          <w:rFonts w:cs="Arial"/>
        </w:rPr>
        <w:t xml:space="preserve">had </w:t>
      </w:r>
      <w:r w:rsidR="001241B1" w:rsidRPr="005E070B">
        <w:rPr>
          <w:rFonts w:cs="Arial"/>
        </w:rPr>
        <w:t xml:space="preserve">also ordered that the </w:t>
      </w:r>
      <w:r>
        <w:rPr>
          <w:rFonts w:cs="Arial"/>
        </w:rPr>
        <w:t>p</w:t>
      </w:r>
      <w:r w:rsidR="001241B1" w:rsidRPr="005E070B">
        <w:rPr>
          <w:rFonts w:cs="Arial"/>
        </w:rPr>
        <w:t>laintiff may not re-enrol</w:t>
      </w:r>
      <w:r>
        <w:rPr>
          <w:rFonts w:cs="Arial"/>
        </w:rPr>
        <w:t>l</w:t>
      </w:r>
      <w:r w:rsidR="007C6B80">
        <w:rPr>
          <w:rFonts w:cs="Arial"/>
        </w:rPr>
        <w:t xml:space="preserve"> this matter without leave of</w:t>
      </w:r>
      <w:r w:rsidR="001241B1" w:rsidRPr="005E070B">
        <w:rPr>
          <w:rFonts w:cs="Arial"/>
        </w:rPr>
        <w:t xml:space="preserve"> the court</w:t>
      </w:r>
      <w:r>
        <w:rPr>
          <w:rFonts w:cs="Arial"/>
        </w:rPr>
        <w:t>,</w:t>
      </w:r>
      <w:r w:rsidR="001241B1" w:rsidRPr="005E070B">
        <w:rPr>
          <w:rFonts w:cs="Arial"/>
        </w:rPr>
        <w:t xml:space="preserve"> except when it has paid the </w:t>
      </w:r>
      <w:r>
        <w:rPr>
          <w:rFonts w:cs="Arial"/>
        </w:rPr>
        <w:t>d</w:t>
      </w:r>
      <w:r w:rsidR="001241B1" w:rsidRPr="005E070B">
        <w:rPr>
          <w:rFonts w:cs="Arial"/>
        </w:rPr>
        <w:t>efendant’s cost</w:t>
      </w:r>
      <w:r>
        <w:rPr>
          <w:rFonts w:cs="Arial"/>
        </w:rPr>
        <w:t>s</w:t>
      </w:r>
      <w:r w:rsidR="001241B1" w:rsidRPr="005E070B">
        <w:rPr>
          <w:rFonts w:cs="Arial"/>
        </w:rPr>
        <w:t xml:space="preserve"> as set out in paragraph 2 of this </w:t>
      </w:r>
      <w:r>
        <w:rPr>
          <w:rFonts w:cs="Arial"/>
        </w:rPr>
        <w:t>o</w:t>
      </w:r>
      <w:r w:rsidR="001241B1" w:rsidRPr="005E070B">
        <w:rPr>
          <w:rFonts w:cs="Arial"/>
        </w:rPr>
        <w:t>rder.  The</w:t>
      </w:r>
      <w:r w:rsidR="007C6B80">
        <w:rPr>
          <w:rFonts w:cs="Arial"/>
        </w:rPr>
        <w:t>se</w:t>
      </w:r>
      <w:r w:rsidR="001241B1" w:rsidRPr="005E070B">
        <w:rPr>
          <w:rFonts w:cs="Arial"/>
        </w:rPr>
        <w:t xml:space="preserve"> costs were paid and accordingly the process in question was still ongoing.  Accordingly, it was submitted that the </w:t>
      </w:r>
      <w:r>
        <w:rPr>
          <w:rFonts w:cs="Arial"/>
        </w:rPr>
        <w:t>p</w:t>
      </w:r>
      <w:r w:rsidR="001241B1" w:rsidRPr="005E070B">
        <w:rPr>
          <w:rFonts w:cs="Arial"/>
        </w:rPr>
        <w:t xml:space="preserve">laintiff was still in the process of prosecuting his claim to </w:t>
      </w:r>
      <w:r w:rsidR="009356A1">
        <w:rPr>
          <w:rFonts w:cs="Arial"/>
        </w:rPr>
        <w:t>the</w:t>
      </w:r>
      <w:r w:rsidR="001241B1" w:rsidRPr="005E070B">
        <w:rPr>
          <w:rFonts w:cs="Arial"/>
        </w:rPr>
        <w:t xml:space="preserve"> stage of f</w:t>
      </w:r>
      <w:r w:rsidR="00183641">
        <w:rPr>
          <w:rFonts w:cs="Arial"/>
        </w:rPr>
        <w:t>inal judgment, which process had</w:t>
      </w:r>
      <w:r w:rsidR="001241B1" w:rsidRPr="005E070B">
        <w:rPr>
          <w:rFonts w:cs="Arial"/>
        </w:rPr>
        <w:t xml:space="preserve"> not yet been concluded and that accordingly Section 15(2) finds no </w:t>
      </w:r>
      <w:r>
        <w:rPr>
          <w:rFonts w:cs="Arial"/>
        </w:rPr>
        <w:t>a</w:t>
      </w:r>
      <w:r w:rsidR="001241B1" w:rsidRPr="005E070B">
        <w:rPr>
          <w:rFonts w:cs="Arial"/>
        </w:rPr>
        <w:t xml:space="preserve">pplication. </w:t>
      </w:r>
    </w:p>
    <w:p w:rsidR="001126DF" w:rsidRDefault="001126DF" w:rsidP="002E528B">
      <w:pPr>
        <w:pStyle w:val="ListParagraph"/>
        <w:spacing w:line="360" w:lineRule="auto"/>
        <w:ind w:left="0"/>
        <w:jc w:val="both"/>
        <w:rPr>
          <w:rFonts w:cs="Arial"/>
        </w:rPr>
      </w:pPr>
    </w:p>
    <w:p w:rsidR="00553535" w:rsidRDefault="001126DF" w:rsidP="002E528B">
      <w:pPr>
        <w:pStyle w:val="ListParagraph"/>
        <w:spacing w:line="360" w:lineRule="auto"/>
        <w:ind w:left="0"/>
        <w:jc w:val="both"/>
        <w:rPr>
          <w:rFonts w:cs="Arial"/>
        </w:rPr>
      </w:pPr>
      <w:r>
        <w:rPr>
          <w:rFonts w:cs="Arial"/>
        </w:rPr>
        <w:t>[</w:t>
      </w:r>
      <w:r w:rsidR="00FE6190">
        <w:rPr>
          <w:rFonts w:cs="Arial"/>
        </w:rPr>
        <w:t>25</w:t>
      </w:r>
      <w:r>
        <w:rPr>
          <w:rFonts w:cs="Arial"/>
        </w:rPr>
        <w:t>]</w:t>
      </w:r>
      <w:r>
        <w:rPr>
          <w:rFonts w:cs="Arial"/>
        </w:rPr>
        <w:tab/>
      </w:r>
      <w:proofErr w:type="spellStart"/>
      <w:r w:rsidR="001241B1" w:rsidRPr="005E070B">
        <w:rPr>
          <w:rFonts w:cs="Arial"/>
        </w:rPr>
        <w:t>Mr</w:t>
      </w:r>
      <w:proofErr w:type="spellEnd"/>
      <w:r w:rsidR="001241B1" w:rsidRPr="005E070B">
        <w:rPr>
          <w:rFonts w:cs="Arial"/>
        </w:rPr>
        <w:t xml:space="preserve"> Mouton</w:t>
      </w:r>
      <w:r w:rsidR="00183641">
        <w:rPr>
          <w:rFonts w:cs="Arial"/>
        </w:rPr>
        <w:t xml:space="preserve"> </w:t>
      </w:r>
      <w:r w:rsidR="001241B1" w:rsidRPr="005E070B">
        <w:rPr>
          <w:rFonts w:cs="Arial"/>
        </w:rPr>
        <w:t>submitted</w:t>
      </w:r>
      <w:r w:rsidR="00183641">
        <w:rPr>
          <w:rFonts w:cs="Arial"/>
        </w:rPr>
        <w:t xml:space="preserve"> further</w:t>
      </w:r>
      <w:r w:rsidR="001241B1" w:rsidRPr="005E070B">
        <w:rPr>
          <w:rFonts w:cs="Arial"/>
        </w:rPr>
        <w:t xml:space="preserve"> that the </w:t>
      </w:r>
      <w:r w:rsidR="00553535">
        <w:rPr>
          <w:rFonts w:cs="Arial"/>
        </w:rPr>
        <w:t>o</w:t>
      </w:r>
      <w:r w:rsidR="001241B1" w:rsidRPr="005E070B">
        <w:rPr>
          <w:rFonts w:cs="Arial"/>
        </w:rPr>
        <w:t xml:space="preserve">rder for </w:t>
      </w:r>
      <w:r w:rsidR="00553535">
        <w:rPr>
          <w:rFonts w:cs="Arial"/>
        </w:rPr>
        <w:t>a</w:t>
      </w:r>
      <w:r w:rsidR="001241B1" w:rsidRPr="005E070B">
        <w:rPr>
          <w:rFonts w:cs="Arial"/>
        </w:rPr>
        <w:t>bsolution could still</w:t>
      </w:r>
      <w:r w:rsidR="007C6B80">
        <w:rPr>
          <w:rFonts w:cs="Arial"/>
        </w:rPr>
        <w:t xml:space="preserve"> be</w:t>
      </w:r>
      <w:r w:rsidR="001241B1" w:rsidRPr="005E070B">
        <w:rPr>
          <w:rFonts w:cs="Arial"/>
        </w:rPr>
        <w:t xml:space="preserve"> appealed against</w:t>
      </w:r>
      <w:r w:rsidR="007C6B80">
        <w:rPr>
          <w:rFonts w:cs="Arial"/>
        </w:rPr>
        <w:t>,</w:t>
      </w:r>
      <w:r w:rsidR="001241B1" w:rsidRPr="005E070B">
        <w:rPr>
          <w:rFonts w:cs="Arial"/>
        </w:rPr>
        <w:t xml:space="preserve"> with leave.  He reiterated that no evidence had been led and that no case could be made out as to the finality of the </w:t>
      </w:r>
      <w:r w:rsidR="00553535">
        <w:rPr>
          <w:rFonts w:cs="Arial"/>
        </w:rPr>
        <w:t>p</w:t>
      </w:r>
      <w:r w:rsidR="001241B1" w:rsidRPr="005E070B">
        <w:rPr>
          <w:rFonts w:cs="Arial"/>
        </w:rPr>
        <w:t>laintiff’s case,</w:t>
      </w:r>
      <w:r w:rsidR="00553535">
        <w:rPr>
          <w:rFonts w:cs="Arial"/>
        </w:rPr>
        <w:t xml:space="preserve"> as no final judg</w:t>
      </w:r>
      <w:r w:rsidR="001241B1" w:rsidRPr="005E070B">
        <w:rPr>
          <w:rFonts w:cs="Arial"/>
        </w:rPr>
        <w:t>ment had been granted in the process i</w:t>
      </w:r>
      <w:r w:rsidR="007C6B80">
        <w:rPr>
          <w:rFonts w:cs="Arial"/>
        </w:rPr>
        <w:t>nstituted</w:t>
      </w:r>
      <w:r w:rsidR="001241B1" w:rsidRPr="005E070B">
        <w:rPr>
          <w:rFonts w:cs="Arial"/>
        </w:rPr>
        <w:t xml:space="preserve"> by way of the first action</w:t>
      </w:r>
      <w:r w:rsidR="004001FD">
        <w:rPr>
          <w:rFonts w:cs="Arial"/>
        </w:rPr>
        <w:t>. As</w:t>
      </w:r>
      <w:r w:rsidR="001241B1" w:rsidRPr="005E070B">
        <w:rPr>
          <w:rFonts w:cs="Arial"/>
        </w:rPr>
        <w:t xml:space="preserve"> no final</w:t>
      </w:r>
      <w:r w:rsidR="004001FD">
        <w:rPr>
          <w:rFonts w:cs="Arial"/>
        </w:rPr>
        <w:t xml:space="preserve"> judgment had been obtained </w:t>
      </w:r>
      <w:r w:rsidR="007C6B80">
        <w:rPr>
          <w:rFonts w:cs="Arial"/>
        </w:rPr>
        <w:t>Section 15(2) found</w:t>
      </w:r>
      <w:r w:rsidR="001241B1" w:rsidRPr="005E070B">
        <w:rPr>
          <w:rFonts w:cs="Arial"/>
        </w:rPr>
        <w:t xml:space="preserve"> no </w:t>
      </w:r>
      <w:r w:rsidR="00553535">
        <w:rPr>
          <w:rFonts w:cs="Arial"/>
        </w:rPr>
        <w:t>a</w:t>
      </w:r>
      <w:r w:rsidR="001241B1" w:rsidRPr="005E070B">
        <w:rPr>
          <w:rFonts w:cs="Arial"/>
        </w:rPr>
        <w:t xml:space="preserve">pplication.  Also because </w:t>
      </w:r>
      <w:r w:rsidR="00553535">
        <w:rPr>
          <w:rFonts w:cs="Arial"/>
        </w:rPr>
        <w:t>p</w:t>
      </w:r>
      <w:r w:rsidR="001241B1" w:rsidRPr="005E070B">
        <w:rPr>
          <w:rFonts w:cs="Arial"/>
        </w:rPr>
        <w:t>laintiff, as creditor</w:t>
      </w:r>
      <w:r w:rsidR="004001FD">
        <w:rPr>
          <w:rFonts w:cs="Arial"/>
        </w:rPr>
        <w:t>,</w:t>
      </w:r>
      <w:r w:rsidR="001241B1" w:rsidRPr="005E070B">
        <w:rPr>
          <w:rFonts w:cs="Arial"/>
        </w:rPr>
        <w:t xml:space="preserve"> </w:t>
      </w:r>
      <w:r w:rsidR="004001FD">
        <w:rPr>
          <w:rFonts w:cs="Arial"/>
        </w:rPr>
        <w:t>had</w:t>
      </w:r>
      <w:r w:rsidR="001241B1" w:rsidRPr="005E070B">
        <w:rPr>
          <w:rFonts w:cs="Arial"/>
        </w:rPr>
        <w:t xml:space="preserve"> not as yet failed in his claim.  </w:t>
      </w:r>
      <w:r w:rsidR="004001FD">
        <w:rPr>
          <w:rFonts w:cs="Arial"/>
        </w:rPr>
        <w:t>In such circumstances t</w:t>
      </w:r>
      <w:r w:rsidR="001241B1" w:rsidRPr="005E070B">
        <w:rPr>
          <w:rFonts w:cs="Arial"/>
        </w:rPr>
        <w:t xml:space="preserve">he </w:t>
      </w:r>
      <w:r w:rsidR="00553535">
        <w:rPr>
          <w:rFonts w:cs="Arial"/>
        </w:rPr>
        <w:t>p</w:t>
      </w:r>
      <w:r w:rsidR="001241B1" w:rsidRPr="005E070B">
        <w:rPr>
          <w:rFonts w:cs="Arial"/>
        </w:rPr>
        <w:t>laintiff had two options as to how to proceed, either in the court before which the first action was</w:t>
      </w:r>
      <w:r w:rsidR="00183641">
        <w:rPr>
          <w:rFonts w:cs="Arial"/>
        </w:rPr>
        <w:t xml:space="preserve"> still</w:t>
      </w:r>
      <w:r w:rsidR="001241B1" w:rsidRPr="005E070B">
        <w:rPr>
          <w:rFonts w:cs="Arial"/>
        </w:rPr>
        <w:t xml:space="preserve"> pending or to start new proceedings afresh.  The election was made to </w:t>
      </w:r>
      <w:r w:rsidR="00553535" w:rsidRPr="005E070B">
        <w:rPr>
          <w:rFonts w:cs="Arial"/>
        </w:rPr>
        <w:t>pursue</w:t>
      </w:r>
      <w:r w:rsidR="001241B1" w:rsidRPr="005E070B">
        <w:rPr>
          <w:rFonts w:cs="Arial"/>
        </w:rPr>
        <w:t xml:space="preserve"> the </w:t>
      </w:r>
      <w:r w:rsidR="00553535">
        <w:rPr>
          <w:rFonts w:cs="Arial"/>
        </w:rPr>
        <w:t>p</w:t>
      </w:r>
      <w:r w:rsidR="001241B1" w:rsidRPr="005E070B">
        <w:rPr>
          <w:rFonts w:cs="Arial"/>
        </w:rPr>
        <w:t xml:space="preserve">laintiff’s claim through the second action launched in 2016 and thus the </w:t>
      </w:r>
      <w:r w:rsidR="00553535">
        <w:rPr>
          <w:rFonts w:cs="Arial"/>
        </w:rPr>
        <w:t>p</w:t>
      </w:r>
      <w:r w:rsidR="001241B1" w:rsidRPr="005E070B">
        <w:rPr>
          <w:rFonts w:cs="Arial"/>
        </w:rPr>
        <w:t xml:space="preserve">laintiff was still in the process of prosecuting his claim.  </w:t>
      </w:r>
    </w:p>
    <w:p w:rsidR="00553535" w:rsidRDefault="00553535" w:rsidP="002E528B">
      <w:pPr>
        <w:pStyle w:val="ListParagraph"/>
        <w:spacing w:line="360" w:lineRule="auto"/>
        <w:ind w:left="0"/>
        <w:jc w:val="both"/>
        <w:rPr>
          <w:rFonts w:cs="Arial"/>
        </w:rPr>
      </w:pPr>
    </w:p>
    <w:p w:rsidR="004001FD" w:rsidRDefault="00553535" w:rsidP="002E528B">
      <w:pPr>
        <w:pStyle w:val="ListParagraph"/>
        <w:spacing w:line="360" w:lineRule="auto"/>
        <w:ind w:left="0"/>
        <w:jc w:val="both"/>
        <w:rPr>
          <w:rFonts w:cs="Arial"/>
        </w:rPr>
      </w:pPr>
      <w:r>
        <w:rPr>
          <w:rFonts w:cs="Arial"/>
        </w:rPr>
        <w:t>[</w:t>
      </w:r>
      <w:r w:rsidR="00FE6190">
        <w:rPr>
          <w:rFonts w:cs="Arial"/>
        </w:rPr>
        <w:t>26</w:t>
      </w:r>
      <w:r>
        <w:rPr>
          <w:rFonts w:cs="Arial"/>
        </w:rPr>
        <w:t>]</w:t>
      </w:r>
      <w:r>
        <w:rPr>
          <w:rFonts w:cs="Arial"/>
        </w:rPr>
        <w:tab/>
      </w:r>
      <w:r w:rsidR="001241B1" w:rsidRPr="005E070B">
        <w:rPr>
          <w:rFonts w:cs="Arial"/>
        </w:rPr>
        <w:t xml:space="preserve">The </w:t>
      </w:r>
      <w:r>
        <w:rPr>
          <w:rFonts w:cs="Arial"/>
        </w:rPr>
        <w:t>d</w:t>
      </w:r>
      <w:r w:rsidR="001241B1" w:rsidRPr="005E070B">
        <w:rPr>
          <w:rFonts w:cs="Arial"/>
        </w:rPr>
        <w:t xml:space="preserve">efendant’s case on the other hand was simply stated in </w:t>
      </w:r>
      <w:r w:rsidR="004001FD">
        <w:rPr>
          <w:rFonts w:cs="Arial"/>
        </w:rPr>
        <w:t xml:space="preserve">3 </w:t>
      </w:r>
      <w:r w:rsidR="001241B1" w:rsidRPr="005E070B">
        <w:rPr>
          <w:rFonts w:cs="Arial"/>
        </w:rPr>
        <w:t>paragraphs</w:t>
      </w:r>
      <w:r w:rsidR="004001FD">
        <w:rPr>
          <w:rFonts w:cs="Arial"/>
        </w:rPr>
        <w:t>:</w:t>
      </w:r>
    </w:p>
    <w:p w:rsidR="004001FD" w:rsidRDefault="004001FD" w:rsidP="002E528B">
      <w:pPr>
        <w:pStyle w:val="ListParagraph"/>
        <w:spacing w:line="360" w:lineRule="auto"/>
        <w:ind w:left="0"/>
        <w:jc w:val="both"/>
        <w:rPr>
          <w:rFonts w:cs="Arial"/>
        </w:rPr>
      </w:pPr>
    </w:p>
    <w:p w:rsidR="003E1671" w:rsidRPr="009F1910" w:rsidRDefault="003E1671" w:rsidP="008B6354">
      <w:pPr>
        <w:pStyle w:val="ListParagraph"/>
        <w:spacing w:line="360" w:lineRule="auto"/>
        <w:ind w:left="0"/>
        <w:jc w:val="both"/>
        <w:rPr>
          <w:rFonts w:cs="Arial"/>
          <w:sz w:val="22"/>
          <w:szCs w:val="22"/>
        </w:rPr>
      </w:pPr>
      <w:r w:rsidRPr="009F1910">
        <w:rPr>
          <w:rFonts w:cs="Arial"/>
          <w:sz w:val="22"/>
          <w:szCs w:val="22"/>
        </w:rPr>
        <w:lastRenderedPageBreak/>
        <w:t>‘5.6</w:t>
      </w:r>
      <w:r w:rsidRPr="009F1910">
        <w:rPr>
          <w:rFonts w:cs="Arial"/>
          <w:sz w:val="22"/>
          <w:szCs w:val="22"/>
        </w:rPr>
        <w:tab/>
      </w:r>
      <w:r w:rsidR="009F1910" w:rsidRPr="009F1910">
        <w:rPr>
          <w:rFonts w:cs="Arial"/>
          <w:sz w:val="22"/>
          <w:szCs w:val="22"/>
        </w:rPr>
        <w:t>. . .</w:t>
      </w:r>
      <w:r w:rsidRPr="009F1910">
        <w:rPr>
          <w:rFonts w:cs="Arial"/>
          <w:sz w:val="22"/>
          <w:szCs w:val="22"/>
        </w:rPr>
        <w:t xml:space="preserve"> that plaintiff did not </w:t>
      </w:r>
      <w:r w:rsidR="009F1910" w:rsidRPr="009F1910">
        <w:rPr>
          <w:rFonts w:cs="Arial"/>
          <w:sz w:val="22"/>
          <w:szCs w:val="22"/>
        </w:rPr>
        <w:t>successfully</w:t>
      </w:r>
      <w:r w:rsidRPr="009F1910">
        <w:rPr>
          <w:rFonts w:cs="Arial"/>
          <w:sz w:val="22"/>
          <w:szCs w:val="22"/>
        </w:rPr>
        <w:t xml:space="preserve"> prosecute his claim under the First Action because the court absolved defendant from the instance in May 2015.</w:t>
      </w:r>
    </w:p>
    <w:p w:rsidR="003E1671" w:rsidRPr="009F1910" w:rsidRDefault="003E1671" w:rsidP="003E1671">
      <w:pPr>
        <w:spacing w:after="0" w:line="360" w:lineRule="auto"/>
        <w:jc w:val="both"/>
        <w:rPr>
          <w:rFonts w:ascii="Arial" w:hAnsi="Arial" w:cs="Arial"/>
          <w:color w:val="FF0000"/>
        </w:rPr>
      </w:pPr>
    </w:p>
    <w:p w:rsidR="003E1671" w:rsidRPr="009F1910" w:rsidRDefault="003E1671" w:rsidP="003E1671">
      <w:pPr>
        <w:spacing w:after="0" w:line="360" w:lineRule="auto"/>
        <w:jc w:val="both"/>
        <w:rPr>
          <w:rFonts w:ascii="Arial" w:hAnsi="Arial" w:cs="Arial"/>
        </w:rPr>
      </w:pPr>
      <w:r w:rsidRPr="009F1910">
        <w:rPr>
          <w:rFonts w:ascii="Arial" w:hAnsi="Arial" w:cs="Arial"/>
        </w:rPr>
        <w:t>5.7</w:t>
      </w:r>
      <w:r w:rsidRPr="009F1910">
        <w:rPr>
          <w:rFonts w:ascii="Arial" w:hAnsi="Arial" w:cs="Arial"/>
        </w:rPr>
        <w:tab/>
        <w:t>Defendant contends that when the defendant was absolved from the instance, the interruption of prescription lapsed since plaintiff did not succe</w:t>
      </w:r>
      <w:r w:rsidR="009F1910" w:rsidRPr="009F1910">
        <w:rPr>
          <w:rFonts w:ascii="Arial" w:hAnsi="Arial" w:cs="Arial"/>
        </w:rPr>
        <w:t>ss</w:t>
      </w:r>
      <w:r w:rsidRPr="009F1910">
        <w:rPr>
          <w:rFonts w:ascii="Arial" w:hAnsi="Arial" w:cs="Arial"/>
        </w:rPr>
        <w:t>fu</w:t>
      </w:r>
      <w:r w:rsidR="009F1910" w:rsidRPr="009F1910">
        <w:rPr>
          <w:rFonts w:ascii="Arial" w:hAnsi="Arial" w:cs="Arial"/>
        </w:rPr>
        <w:t>l</w:t>
      </w:r>
      <w:r w:rsidRPr="009F1910">
        <w:rPr>
          <w:rFonts w:ascii="Arial" w:hAnsi="Arial" w:cs="Arial"/>
        </w:rPr>
        <w:t>ly prosecute his claim to final judgment as envisaged by section 15(2) of the Act.  The effect of this was that prescription was never interrupted.  The fact that plaintiff was “in the process of successfully prosecuting his claim to final judgment” when absolution was granted, is of no relevance and cannot assist the plaintiff.</w:t>
      </w:r>
    </w:p>
    <w:p w:rsidR="003E1671" w:rsidRPr="009F1910" w:rsidRDefault="003E1671" w:rsidP="003E1671">
      <w:pPr>
        <w:spacing w:after="0" w:line="360" w:lineRule="auto"/>
        <w:jc w:val="both"/>
        <w:rPr>
          <w:rFonts w:ascii="Arial" w:hAnsi="Arial" w:cs="Arial"/>
        </w:rPr>
      </w:pPr>
    </w:p>
    <w:p w:rsidR="004001FD" w:rsidRPr="003E1671" w:rsidRDefault="003E1671" w:rsidP="003E1671">
      <w:pPr>
        <w:spacing w:after="0" w:line="360" w:lineRule="auto"/>
        <w:jc w:val="both"/>
        <w:rPr>
          <w:rFonts w:cs="Arial"/>
        </w:rPr>
      </w:pPr>
      <w:r w:rsidRPr="009F1910">
        <w:rPr>
          <w:rFonts w:ascii="Arial" w:hAnsi="Arial" w:cs="Arial"/>
        </w:rPr>
        <w:t>5.8</w:t>
      </w:r>
      <w:r w:rsidRPr="009F1910">
        <w:rPr>
          <w:rFonts w:ascii="Arial" w:hAnsi="Arial" w:cs="Arial"/>
        </w:rPr>
        <w:tab/>
      </w:r>
      <w:r w:rsidR="009F1910" w:rsidRPr="009F1910">
        <w:rPr>
          <w:rFonts w:ascii="Arial" w:hAnsi="Arial" w:cs="Arial"/>
        </w:rPr>
        <w:t>Defendant contends that by virtue of section 15(2) of the Act read with section 11(d) of the Act and the fact that the court granted absolution from the instance in May 2015, plaintiff’s claim under the Current Action prescribed during 2005 already.’</w:t>
      </w:r>
      <w:r w:rsidR="001241B1" w:rsidRPr="009F1910">
        <w:rPr>
          <w:rFonts w:cs="Arial"/>
        </w:rPr>
        <w:t xml:space="preserve"> </w:t>
      </w:r>
      <w:r w:rsidR="001241B1" w:rsidRPr="003E1671">
        <w:rPr>
          <w:rFonts w:cs="Arial"/>
        </w:rPr>
        <w:t xml:space="preserve"> </w:t>
      </w:r>
    </w:p>
    <w:p w:rsidR="004001FD" w:rsidRDefault="004001FD" w:rsidP="002E528B">
      <w:pPr>
        <w:pStyle w:val="ListParagraph"/>
        <w:spacing w:line="360" w:lineRule="auto"/>
        <w:ind w:left="0"/>
        <w:jc w:val="both"/>
        <w:rPr>
          <w:rFonts w:cs="Arial"/>
        </w:rPr>
      </w:pPr>
    </w:p>
    <w:p w:rsidR="00E92D27" w:rsidRDefault="004001FD" w:rsidP="002E528B">
      <w:pPr>
        <w:pStyle w:val="ListParagraph"/>
        <w:spacing w:line="360" w:lineRule="auto"/>
        <w:ind w:left="0"/>
        <w:jc w:val="both"/>
        <w:rPr>
          <w:rFonts w:cs="Arial"/>
        </w:rPr>
      </w:pPr>
      <w:r>
        <w:rPr>
          <w:rFonts w:cs="Arial"/>
        </w:rPr>
        <w:t>[</w:t>
      </w:r>
      <w:r w:rsidR="009F1910">
        <w:rPr>
          <w:rFonts w:cs="Arial"/>
        </w:rPr>
        <w:t>27</w:t>
      </w:r>
      <w:r>
        <w:rPr>
          <w:rFonts w:cs="Arial"/>
        </w:rPr>
        <w:t>]</w:t>
      </w:r>
      <w:r>
        <w:rPr>
          <w:rFonts w:cs="Arial"/>
        </w:rPr>
        <w:tab/>
      </w:r>
      <w:r w:rsidR="001241B1" w:rsidRPr="005E070B">
        <w:rPr>
          <w:rFonts w:cs="Arial"/>
        </w:rPr>
        <w:t>These</w:t>
      </w:r>
      <w:r>
        <w:rPr>
          <w:rFonts w:cs="Arial"/>
        </w:rPr>
        <w:t xml:space="preserve"> contentions were underscored</w:t>
      </w:r>
      <w:r w:rsidR="00566F22">
        <w:rPr>
          <w:rFonts w:cs="Arial"/>
        </w:rPr>
        <w:t xml:space="preserve"> in written heads of argument</w:t>
      </w:r>
      <w:r>
        <w:rPr>
          <w:rFonts w:cs="Arial"/>
        </w:rPr>
        <w:t xml:space="preserve"> as follows:</w:t>
      </w:r>
    </w:p>
    <w:p w:rsidR="00E92D27" w:rsidRDefault="00E92D27" w:rsidP="002E528B">
      <w:pPr>
        <w:pStyle w:val="ListParagraph"/>
        <w:spacing w:line="360" w:lineRule="auto"/>
        <w:ind w:left="0"/>
        <w:jc w:val="both"/>
        <w:rPr>
          <w:rFonts w:cs="Arial"/>
        </w:rPr>
      </w:pPr>
    </w:p>
    <w:p w:rsidR="00E92D27" w:rsidRPr="009E554B" w:rsidRDefault="00E92D27" w:rsidP="002E528B">
      <w:pPr>
        <w:pStyle w:val="ListParagraph"/>
        <w:spacing w:line="360" w:lineRule="auto"/>
        <w:ind w:left="0"/>
        <w:jc w:val="both"/>
        <w:rPr>
          <w:rFonts w:cs="Arial"/>
          <w:sz w:val="22"/>
          <w:szCs w:val="22"/>
        </w:rPr>
      </w:pPr>
      <w:r w:rsidRPr="009E554B">
        <w:rPr>
          <w:rFonts w:cs="Arial"/>
          <w:sz w:val="22"/>
          <w:szCs w:val="22"/>
        </w:rPr>
        <w:t>‘6.</w:t>
      </w:r>
      <w:r w:rsidRPr="009E554B">
        <w:rPr>
          <w:rFonts w:cs="Arial"/>
          <w:sz w:val="22"/>
          <w:szCs w:val="22"/>
        </w:rPr>
        <w:tab/>
        <w:t>The purpose and effect of section 15(2) has been held to be the following:</w:t>
      </w:r>
    </w:p>
    <w:p w:rsidR="004001FD" w:rsidRDefault="004001FD" w:rsidP="002E528B">
      <w:pPr>
        <w:pStyle w:val="ListParagraph"/>
        <w:spacing w:line="360" w:lineRule="auto"/>
        <w:ind w:left="0"/>
        <w:jc w:val="both"/>
        <w:rPr>
          <w:rFonts w:cs="Arial"/>
          <w:sz w:val="22"/>
          <w:szCs w:val="22"/>
        </w:rPr>
      </w:pPr>
    </w:p>
    <w:p w:rsidR="00E92D27" w:rsidRPr="009E554B" w:rsidRDefault="009F1910" w:rsidP="008B6354">
      <w:pPr>
        <w:pStyle w:val="ListParagraph"/>
        <w:spacing w:line="360" w:lineRule="auto"/>
        <w:ind w:left="0" w:firstLine="720"/>
        <w:jc w:val="both"/>
        <w:rPr>
          <w:rFonts w:cs="Arial"/>
          <w:sz w:val="22"/>
          <w:szCs w:val="22"/>
        </w:rPr>
      </w:pPr>
      <w:r>
        <w:rPr>
          <w:rFonts w:cs="Arial"/>
          <w:sz w:val="22"/>
          <w:szCs w:val="22"/>
        </w:rPr>
        <w:t>“</w:t>
      </w:r>
      <w:r w:rsidR="00E92D27" w:rsidRPr="009E554B">
        <w:rPr>
          <w:rFonts w:cs="Arial"/>
          <w:sz w:val="22"/>
          <w:szCs w:val="22"/>
        </w:rPr>
        <w:t xml:space="preserve">…the whole purpose of s 15(2) was that, if a creditor fails in his claim, in other words if he does not successfully prosecute his claim under the process in question to final judgment, then the provisions come into force concerning the interruption of prescription lapsing and the running of prescription not being deemed to have been interrupted.  The practical </w:t>
      </w:r>
      <w:r w:rsidR="00243EFB" w:rsidRPr="009E554B">
        <w:rPr>
          <w:rFonts w:cs="Arial"/>
          <w:sz w:val="22"/>
          <w:szCs w:val="22"/>
        </w:rPr>
        <w:t xml:space="preserve">effect of this is that should a plaintiff, </w:t>
      </w:r>
      <w:proofErr w:type="spellStart"/>
      <w:r w:rsidR="00243EFB" w:rsidRPr="009E554B">
        <w:rPr>
          <w:rFonts w:cs="Arial"/>
          <w:sz w:val="22"/>
          <w:szCs w:val="22"/>
        </w:rPr>
        <w:t>eg</w:t>
      </w:r>
      <w:proofErr w:type="spellEnd"/>
      <w:r w:rsidR="00243EFB" w:rsidRPr="009E554B">
        <w:rPr>
          <w:rFonts w:cs="Arial"/>
          <w:sz w:val="22"/>
          <w:szCs w:val="22"/>
        </w:rPr>
        <w:t xml:space="preserve">, have absolution granted against him at the end of his case, then he cannot be said to have successfully prosecuted his claim to final judgment or, if an exception is taken to his claim and he cannot amend but has to issue fresh summons or a fresh declaration, then the process by which he commenced the </w:t>
      </w:r>
      <w:r w:rsidR="003F67B3" w:rsidRPr="009E554B">
        <w:rPr>
          <w:rFonts w:cs="Arial"/>
          <w:sz w:val="22"/>
          <w:szCs w:val="22"/>
        </w:rPr>
        <w:t>proceedings is deemed not to have interrupted prescription and the running of prescription is deemed not to have been interrupted thereby.  In other words…he is not allowed to have two bites at the cherry.  It is not unreasonable to assume that what the legislator had in mind was the following:  It is necessary that there should be finality in litigation.  The plaintiff is given reasonable time within which to institute his action, thereafter he is in the hands of the administration of the Courts.”</w:t>
      </w:r>
    </w:p>
    <w:p w:rsidR="003F67B3" w:rsidRPr="009E554B" w:rsidRDefault="003F67B3" w:rsidP="002E528B">
      <w:pPr>
        <w:pStyle w:val="ListParagraph"/>
        <w:spacing w:line="360" w:lineRule="auto"/>
        <w:ind w:left="0"/>
        <w:jc w:val="both"/>
        <w:rPr>
          <w:rFonts w:cs="Arial"/>
          <w:sz w:val="22"/>
          <w:szCs w:val="22"/>
        </w:rPr>
      </w:pPr>
    </w:p>
    <w:p w:rsidR="003F67B3" w:rsidRPr="009E554B" w:rsidRDefault="003F67B3" w:rsidP="002E528B">
      <w:pPr>
        <w:pStyle w:val="ListParagraph"/>
        <w:spacing w:line="360" w:lineRule="auto"/>
        <w:ind w:left="0"/>
        <w:jc w:val="both"/>
        <w:rPr>
          <w:rFonts w:cs="Arial"/>
          <w:sz w:val="22"/>
          <w:szCs w:val="22"/>
        </w:rPr>
      </w:pPr>
      <w:r w:rsidRPr="009E554B">
        <w:rPr>
          <w:rFonts w:cs="Arial"/>
          <w:sz w:val="22"/>
          <w:szCs w:val="22"/>
        </w:rPr>
        <w:t>7.</w:t>
      </w:r>
      <w:r w:rsidRPr="009E554B">
        <w:rPr>
          <w:rFonts w:cs="Arial"/>
          <w:sz w:val="22"/>
          <w:szCs w:val="22"/>
        </w:rPr>
        <w:tab/>
        <w:t xml:space="preserve">In the matter of </w:t>
      </w:r>
      <w:r w:rsidRPr="004001FD">
        <w:rPr>
          <w:rFonts w:cs="Arial"/>
          <w:i/>
          <w:sz w:val="22"/>
          <w:szCs w:val="22"/>
        </w:rPr>
        <w:t xml:space="preserve">Van der Merwe v </w:t>
      </w:r>
      <w:proofErr w:type="spellStart"/>
      <w:r w:rsidRPr="004001FD">
        <w:rPr>
          <w:rFonts w:cs="Arial"/>
          <w:i/>
          <w:sz w:val="22"/>
          <w:szCs w:val="22"/>
        </w:rPr>
        <w:t>Protea</w:t>
      </w:r>
      <w:proofErr w:type="spellEnd"/>
      <w:r w:rsidRPr="004001FD">
        <w:rPr>
          <w:rFonts w:cs="Arial"/>
          <w:i/>
          <w:sz w:val="22"/>
          <w:szCs w:val="22"/>
        </w:rPr>
        <w:t xml:space="preserve"> Insurance Co Ltd</w:t>
      </w:r>
      <w:r w:rsidRPr="004001FD">
        <w:rPr>
          <w:rFonts w:cs="Arial"/>
          <w:sz w:val="22"/>
          <w:szCs w:val="22"/>
        </w:rPr>
        <w:t xml:space="preserve"> 1982 (1) SA 770 (E)</w:t>
      </w:r>
      <w:r w:rsidRPr="009E554B">
        <w:rPr>
          <w:rFonts w:cs="Arial"/>
          <w:sz w:val="22"/>
          <w:szCs w:val="22"/>
        </w:rPr>
        <w:t xml:space="preserve">, </w:t>
      </w:r>
      <w:proofErr w:type="spellStart"/>
      <w:r w:rsidRPr="009E554B">
        <w:rPr>
          <w:rFonts w:cs="Arial"/>
          <w:sz w:val="22"/>
          <w:szCs w:val="22"/>
        </w:rPr>
        <w:t>Smallberger</w:t>
      </w:r>
      <w:proofErr w:type="spellEnd"/>
      <w:r w:rsidRPr="009E554B">
        <w:rPr>
          <w:rFonts w:cs="Arial"/>
          <w:sz w:val="22"/>
          <w:szCs w:val="22"/>
        </w:rPr>
        <w:t xml:space="preserve"> J stated that:</w:t>
      </w:r>
    </w:p>
    <w:p w:rsidR="003F67B3" w:rsidRPr="009E554B" w:rsidRDefault="003F67B3" w:rsidP="002E528B">
      <w:pPr>
        <w:pStyle w:val="ListParagraph"/>
        <w:spacing w:line="360" w:lineRule="auto"/>
        <w:ind w:left="0"/>
        <w:jc w:val="both"/>
        <w:rPr>
          <w:rFonts w:cs="Arial"/>
          <w:sz w:val="22"/>
          <w:szCs w:val="22"/>
        </w:rPr>
      </w:pPr>
    </w:p>
    <w:p w:rsidR="003F67B3" w:rsidRPr="009E554B" w:rsidRDefault="003F67B3" w:rsidP="002E528B">
      <w:pPr>
        <w:pStyle w:val="ListParagraph"/>
        <w:spacing w:line="360" w:lineRule="auto"/>
        <w:ind w:left="0"/>
        <w:jc w:val="both"/>
        <w:rPr>
          <w:rFonts w:cs="Arial"/>
          <w:sz w:val="22"/>
          <w:szCs w:val="22"/>
        </w:rPr>
      </w:pPr>
      <w:r w:rsidRPr="009E554B">
        <w:rPr>
          <w:rFonts w:cs="Arial"/>
          <w:sz w:val="22"/>
          <w:szCs w:val="22"/>
        </w:rPr>
        <w:tab/>
        <w:t xml:space="preserve">“…the whole purpose of s 15(2) is that, if a creditor fails to prosecute successfully his claim under the process which interrupts prescription, either in the court in which such process commences legal proceedings, or on appeal to a higher tribunal, or, having been successful </w:t>
      </w:r>
      <w:r w:rsidRPr="009E554B">
        <w:rPr>
          <w:rFonts w:cs="Arial"/>
          <w:sz w:val="22"/>
          <w:szCs w:val="22"/>
        </w:rPr>
        <w:lastRenderedPageBreak/>
        <w:t xml:space="preserve">in the initial prosecution of his claim, abandons the judgment in his </w:t>
      </w:r>
      <w:proofErr w:type="spellStart"/>
      <w:r w:rsidRPr="009E554B">
        <w:rPr>
          <w:rFonts w:cs="Arial"/>
          <w:sz w:val="22"/>
          <w:szCs w:val="22"/>
        </w:rPr>
        <w:t>favour</w:t>
      </w:r>
      <w:proofErr w:type="spellEnd"/>
      <w:r w:rsidRPr="009E554B">
        <w:rPr>
          <w:rFonts w:cs="Arial"/>
          <w:sz w:val="22"/>
          <w:szCs w:val="22"/>
        </w:rPr>
        <w:t>, or it is set aside on appeal at the instance</w:t>
      </w:r>
      <w:r w:rsidR="00EA0969" w:rsidRPr="009E554B">
        <w:rPr>
          <w:rFonts w:cs="Arial"/>
          <w:sz w:val="22"/>
          <w:szCs w:val="22"/>
        </w:rPr>
        <w:t xml:space="preserve"> of the debtor, the running of prescription is deemed not to have been interrupted.”</w:t>
      </w:r>
    </w:p>
    <w:p w:rsidR="009E554B" w:rsidRPr="003F67B3" w:rsidRDefault="009E554B" w:rsidP="002E528B">
      <w:pPr>
        <w:pStyle w:val="ListParagraph"/>
        <w:spacing w:line="360" w:lineRule="auto"/>
        <w:ind w:left="0"/>
        <w:jc w:val="both"/>
        <w:rPr>
          <w:rFonts w:cs="Arial"/>
        </w:rPr>
      </w:pPr>
    </w:p>
    <w:p w:rsidR="004001FD" w:rsidRDefault="009E554B" w:rsidP="002E528B">
      <w:pPr>
        <w:pStyle w:val="ListParagraph"/>
        <w:spacing w:line="360" w:lineRule="auto"/>
        <w:ind w:left="0"/>
        <w:jc w:val="both"/>
        <w:rPr>
          <w:rFonts w:cs="Arial"/>
        </w:rPr>
      </w:pPr>
      <w:r>
        <w:rPr>
          <w:rFonts w:cs="Arial"/>
        </w:rPr>
        <w:t>[</w:t>
      </w:r>
      <w:r w:rsidR="003D5794">
        <w:rPr>
          <w:rFonts w:cs="Arial"/>
        </w:rPr>
        <w:t>2</w:t>
      </w:r>
      <w:r w:rsidR="009F1910">
        <w:rPr>
          <w:rFonts w:cs="Arial"/>
        </w:rPr>
        <w:t>8</w:t>
      </w:r>
      <w:r>
        <w:rPr>
          <w:rFonts w:cs="Arial"/>
        </w:rPr>
        <w:t>]</w:t>
      </w:r>
      <w:r>
        <w:rPr>
          <w:rFonts w:cs="Arial"/>
        </w:rPr>
        <w:tab/>
      </w:r>
      <w:r w:rsidR="001241B1" w:rsidRPr="005E070B">
        <w:rPr>
          <w:rFonts w:cs="Arial"/>
        </w:rPr>
        <w:t>On this basis it was further submitted that</w:t>
      </w:r>
      <w:r w:rsidR="004001FD">
        <w:rPr>
          <w:rFonts w:cs="Arial"/>
        </w:rPr>
        <w:t>:</w:t>
      </w:r>
    </w:p>
    <w:p w:rsidR="004001FD" w:rsidRDefault="004001FD" w:rsidP="002E528B">
      <w:pPr>
        <w:pStyle w:val="ListParagraph"/>
        <w:spacing w:line="360" w:lineRule="auto"/>
        <w:ind w:left="0"/>
        <w:jc w:val="both"/>
        <w:rPr>
          <w:rFonts w:cs="Arial"/>
        </w:rPr>
      </w:pPr>
    </w:p>
    <w:p w:rsidR="00474442" w:rsidRPr="00474442" w:rsidRDefault="00474442" w:rsidP="008B6354">
      <w:pPr>
        <w:widowControl w:val="0"/>
        <w:spacing w:after="0" w:line="360" w:lineRule="auto"/>
        <w:jc w:val="both"/>
        <w:rPr>
          <w:rFonts w:ascii="Arial" w:hAnsi="Arial" w:cs="Arial"/>
        </w:rPr>
      </w:pPr>
      <w:r>
        <w:rPr>
          <w:rFonts w:ascii="Arial" w:hAnsi="Arial" w:cs="Arial"/>
        </w:rPr>
        <w:t>‘1.</w:t>
      </w:r>
      <w:r>
        <w:rPr>
          <w:rFonts w:ascii="Arial" w:hAnsi="Arial" w:cs="Arial"/>
        </w:rPr>
        <w:tab/>
      </w:r>
      <w:r w:rsidRPr="00474442">
        <w:rPr>
          <w:rFonts w:ascii="Arial" w:hAnsi="Arial" w:cs="Arial"/>
        </w:rPr>
        <w:t>The issues for determination by this court are limited</w:t>
      </w:r>
      <w:r w:rsidRPr="00474442">
        <w:rPr>
          <w:rStyle w:val="FootnoteReference"/>
          <w:rFonts w:ascii="Arial" w:hAnsi="Arial" w:cs="Arial"/>
        </w:rPr>
        <w:footnoteReference w:id="4"/>
      </w:r>
      <w:r w:rsidRPr="00474442">
        <w:rPr>
          <w:rFonts w:ascii="Arial" w:hAnsi="Arial" w:cs="Arial"/>
        </w:rPr>
        <w:t xml:space="preserve">. </w:t>
      </w:r>
    </w:p>
    <w:p w:rsidR="00474442" w:rsidRPr="00A2321A" w:rsidRDefault="00474442" w:rsidP="00474442">
      <w:pPr>
        <w:spacing w:after="0" w:line="360" w:lineRule="auto"/>
        <w:ind w:left="720"/>
        <w:jc w:val="both"/>
        <w:rPr>
          <w:rFonts w:ascii="Arial" w:hAnsi="Arial" w:cs="Arial"/>
        </w:rPr>
      </w:pPr>
    </w:p>
    <w:p w:rsidR="00474442" w:rsidRPr="00A2321A" w:rsidRDefault="00A2321A" w:rsidP="00A2321A">
      <w:pPr>
        <w:spacing w:after="0" w:line="360" w:lineRule="auto"/>
        <w:jc w:val="both"/>
        <w:rPr>
          <w:rFonts w:ascii="Arial" w:hAnsi="Arial" w:cs="Arial"/>
        </w:rPr>
      </w:pPr>
      <w:r w:rsidRPr="00A2321A">
        <w:rPr>
          <w:rFonts w:ascii="Arial" w:hAnsi="Arial" w:cs="Arial"/>
        </w:rPr>
        <w:t>2.</w:t>
      </w:r>
      <w:r w:rsidRPr="00A2321A">
        <w:rPr>
          <w:rFonts w:ascii="Arial" w:hAnsi="Arial" w:cs="Arial"/>
        </w:rPr>
        <w:tab/>
      </w:r>
      <w:r w:rsidR="00474442" w:rsidRPr="00A2321A">
        <w:rPr>
          <w:rFonts w:ascii="Arial" w:hAnsi="Arial" w:cs="Arial"/>
        </w:rPr>
        <w:t>The primary issue is whether plaintiff’s claim against defendant has become prescribed by virtue of section 15(2) of the Prescription Act 68 of 1969 (“Act”) as read with sections 15(1) and 11 of the Act. Defendant’s case is that plaintiff’s claim prescribed during 2005 already.</w:t>
      </w:r>
    </w:p>
    <w:p w:rsidR="00474442" w:rsidRPr="00A2321A" w:rsidRDefault="00474442" w:rsidP="00A2321A">
      <w:pPr>
        <w:pStyle w:val="ListParagraph"/>
        <w:spacing w:line="360" w:lineRule="auto"/>
        <w:jc w:val="both"/>
        <w:rPr>
          <w:rFonts w:cs="Arial"/>
          <w:sz w:val="22"/>
          <w:szCs w:val="22"/>
        </w:rPr>
      </w:pPr>
    </w:p>
    <w:p w:rsidR="006D4598" w:rsidRDefault="00474442" w:rsidP="00A2321A">
      <w:pPr>
        <w:widowControl w:val="0"/>
        <w:numPr>
          <w:ilvl w:val="0"/>
          <w:numId w:val="39"/>
        </w:numPr>
        <w:spacing w:after="0" w:line="360" w:lineRule="auto"/>
        <w:ind w:left="0" w:firstLine="0"/>
        <w:jc w:val="both"/>
        <w:rPr>
          <w:rFonts w:ascii="Arial" w:hAnsi="Arial" w:cs="Arial"/>
        </w:rPr>
      </w:pPr>
      <w:r w:rsidRPr="00474442">
        <w:rPr>
          <w:rFonts w:ascii="Arial" w:hAnsi="Arial" w:cs="Arial"/>
        </w:rPr>
        <w:t>The context in which this court must determine the primary issue is embodied in the amended statement of agreed facts</w:t>
      </w:r>
      <w:r w:rsidRPr="00474442">
        <w:rPr>
          <w:rStyle w:val="FootnoteReference"/>
          <w:rFonts w:ascii="Arial" w:hAnsi="Arial" w:cs="Arial"/>
        </w:rPr>
        <w:footnoteReference w:id="5"/>
      </w:r>
      <w:r w:rsidRPr="00474442">
        <w:rPr>
          <w:rFonts w:ascii="Arial" w:hAnsi="Arial" w:cs="Arial"/>
        </w:rPr>
        <w:t xml:space="preserve">, which facts, for the sake of brevity, will not be repeated in these heads of argument. </w:t>
      </w:r>
    </w:p>
    <w:p w:rsidR="006D4598" w:rsidRDefault="006D4598" w:rsidP="006D4598">
      <w:pPr>
        <w:pStyle w:val="ListParagraph"/>
        <w:rPr>
          <w:rFonts w:cs="Arial"/>
        </w:rPr>
      </w:pPr>
    </w:p>
    <w:p w:rsidR="00474442" w:rsidRPr="00474442" w:rsidRDefault="00474442" w:rsidP="006D4598">
      <w:pPr>
        <w:widowControl w:val="0"/>
        <w:spacing w:after="0" w:line="360" w:lineRule="auto"/>
        <w:jc w:val="both"/>
        <w:rPr>
          <w:rFonts w:ascii="Arial" w:hAnsi="Arial" w:cs="Arial"/>
        </w:rPr>
      </w:pPr>
      <w:r w:rsidRPr="00474442">
        <w:rPr>
          <w:rFonts w:ascii="Arial" w:hAnsi="Arial" w:cs="Arial"/>
        </w:rPr>
        <w:t xml:space="preserve"> </w:t>
      </w:r>
    </w:p>
    <w:p w:rsidR="00474442" w:rsidRPr="00474442" w:rsidRDefault="00474442" w:rsidP="00474442">
      <w:pPr>
        <w:widowControl w:val="0"/>
        <w:numPr>
          <w:ilvl w:val="0"/>
          <w:numId w:val="46"/>
        </w:numPr>
        <w:spacing w:after="0" w:line="360" w:lineRule="auto"/>
        <w:ind w:hanging="720"/>
        <w:jc w:val="both"/>
        <w:rPr>
          <w:rFonts w:ascii="Arial" w:hAnsi="Arial" w:cs="Arial"/>
          <w:b/>
        </w:rPr>
      </w:pPr>
      <w:r w:rsidRPr="00474442">
        <w:rPr>
          <w:rFonts w:ascii="Arial" w:hAnsi="Arial" w:cs="Arial"/>
          <w:b/>
        </w:rPr>
        <w:t>THE AUTHORITIES</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It should be noted that the Prescription Act has remain unchanged in all relevant respects in both Namibia and South Africa since the date of Namibian Independence. The jurisprudence of the South African courts on the Act is therefore helpful in interpreting its provisions.</w:t>
      </w:r>
      <w:r w:rsidRPr="00474442">
        <w:rPr>
          <w:rStyle w:val="FootnoteReference"/>
          <w:rFonts w:ascii="Arial" w:hAnsi="Arial" w:cs="Arial"/>
        </w:rPr>
        <w:footnoteReference w:id="6"/>
      </w:r>
    </w:p>
    <w:p w:rsidR="00474442" w:rsidRPr="00474442" w:rsidRDefault="00474442" w:rsidP="00474442">
      <w:pPr>
        <w:spacing w:after="0" w:line="360" w:lineRule="auto"/>
        <w:ind w:left="720"/>
        <w:jc w:val="both"/>
        <w:rPr>
          <w:rFonts w:ascii="Arial" w:hAnsi="Arial" w:cs="Arial"/>
        </w:rPr>
      </w:pPr>
    </w:p>
    <w:p w:rsidR="00474442" w:rsidRPr="00474442" w:rsidRDefault="00474442" w:rsidP="00474442">
      <w:pPr>
        <w:pStyle w:val="ListParagraph"/>
        <w:spacing w:line="360" w:lineRule="auto"/>
        <w:ind w:left="0"/>
        <w:jc w:val="both"/>
        <w:rPr>
          <w:rFonts w:cs="Arial"/>
          <w:sz w:val="22"/>
          <w:szCs w:val="22"/>
          <w:u w:val="single"/>
        </w:rPr>
      </w:pPr>
      <w:r w:rsidRPr="00474442">
        <w:rPr>
          <w:rFonts w:cs="Arial"/>
          <w:sz w:val="22"/>
          <w:szCs w:val="22"/>
          <w:u w:val="single"/>
        </w:rPr>
        <w:t>Section 15 of the Act</w:t>
      </w:r>
    </w:p>
    <w:p w:rsidR="00474442" w:rsidRPr="00474442" w:rsidRDefault="00474442" w:rsidP="00474442">
      <w:pPr>
        <w:spacing w:after="0" w:line="360" w:lineRule="auto"/>
        <w:ind w:left="720"/>
        <w:jc w:val="both"/>
        <w:rPr>
          <w:rFonts w:ascii="Arial" w:hAnsi="Arial" w:cs="Arial"/>
        </w:rPr>
      </w:pPr>
    </w:p>
    <w:p w:rsidR="00474442" w:rsidRPr="00474442" w:rsidRDefault="00474442" w:rsidP="006D4598">
      <w:pPr>
        <w:widowControl w:val="0"/>
        <w:numPr>
          <w:ilvl w:val="0"/>
          <w:numId w:val="39"/>
        </w:numPr>
        <w:spacing w:after="0" w:line="360" w:lineRule="auto"/>
        <w:ind w:hanging="720"/>
        <w:jc w:val="both"/>
        <w:rPr>
          <w:rFonts w:ascii="Arial" w:hAnsi="Arial" w:cs="Arial"/>
        </w:rPr>
      </w:pPr>
      <w:r w:rsidRPr="00474442">
        <w:rPr>
          <w:rFonts w:ascii="Arial" w:hAnsi="Arial" w:cs="Arial"/>
        </w:rPr>
        <w:t>The relevant provisions of section 15 of the Act read as follows:</w:t>
      </w:r>
    </w:p>
    <w:p w:rsidR="00474442" w:rsidRPr="00474442" w:rsidRDefault="00474442" w:rsidP="00474442">
      <w:pPr>
        <w:spacing w:after="0" w:line="360" w:lineRule="auto"/>
        <w:ind w:left="720"/>
        <w:jc w:val="both"/>
        <w:rPr>
          <w:rFonts w:ascii="Arial" w:hAnsi="Arial" w:cs="Arial"/>
        </w:rPr>
      </w:pPr>
    </w:p>
    <w:p w:rsidR="00474442" w:rsidRPr="00474442" w:rsidRDefault="00474442" w:rsidP="00474442">
      <w:pPr>
        <w:spacing w:after="0" w:line="360" w:lineRule="auto"/>
        <w:ind w:left="720"/>
        <w:jc w:val="both"/>
        <w:rPr>
          <w:rFonts w:ascii="Arial" w:hAnsi="Arial" w:cs="Arial"/>
        </w:rPr>
      </w:pPr>
      <w:r w:rsidRPr="00474442">
        <w:rPr>
          <w:rFonts w:ascii="Arial" w:hAnsi="Arial" w:cs="Arial"/>
        </w:rPr>
        <w:t>“15</w:t>
      </w:r>
      <w:r w:rsidRPr="00474442">
        <w:rPr>
          <w:rFonts w:ascii="Arial" w:hAnsi="Arial" w:cs="Arial"/>
        </w:rPr>
        <w:tab/>
        <w:t xml:space="preserve"> Judicial interruption of prescription</w:t>
      </w:r>
    </w:p>
    <w:p w:rsidR="00474442" w:rsidRPr="00474442" w:rsidRDefault="00474442" w:rsidP="00474442">
      <w:pPr>
        <w:spacing w:after="0" w:line="360" w:lineRule="auto"/>
        <w:ind w:left="720"/>
        <w:jc w:val="both"/>
        <w:rPr>
          <w:rFonts w:ascii="Arial" w:hAnsi="Arial" w:cs="Arial"/>
        </w:rPr>
      </w:pPr>
    </w:p>
    <w:p w:rsidR="00474442" w:rsidRPr="00474442" w:rsidRDefault="00474442" w:rsidP="008B6354">
      <w:pPr>
        <w:widowControl w:val="0"/>
        <w:numPr>
          <w:ilvl w:val="0"/>
          <w:numId w:val="47"/>
        </w:numPr>
        <w:spacing w:after="0" w:line="360" w:lineRule="auto"/>
        <w:ind w:left="567" w:hanging="567"/>
        <w:jc w:val="both"/>
        <w:rPr>
          <w:rFonts w:ascii="Arial" w:hAnsi="Arial" w:cs="Arial"/>
        </w:rPr>
      </w:pPr>
      <w:r w:rsidRPr="00474442">
        <w:rPr>
          <w:rFonts w:ascii="Arial" w:hAnsi="Arial" w:cs="Arial"/>
        </w:rPr>
        <w:t>The running of prescription shall, subject to the provisions of subsection (2), be interrupted by the service on the debtor of any process whereby the creditor claims payment of the debt.</w:t>
      </w:r>
    </w:p>
    <w:p w:rsidR="00474442" w:rsidRPr="00474442" w:rsidRDefault="00474442" w:rsidP="008B6354">
      <w:pPr>
        <w:spacing w:after="0" w:line="360" w:lineRule="auto"/>
        <w:ind w:left="567" w:hanging="567"/>
        <w:jc w:val="both"/>
        <w:rPr>
          <w:rFonts w:ascii="Arial" w:hAnsi="Arial" w:cs="Arial"/>
        </w:rPr>
      </w:pPr>
    </w:p>
    <w:p w:rsidR="00474442" w:rsidRPr="00474442" w:rsidRDefault="00474442" w:rsidP="008B6354">
      <w:pPr>
        <w:widowControl w:val="0"/>
        <w:numPr>
          <w:ilvl w:val="0"/>
          <w:numId w:val="47"/>
        </w:numPr>
        <w:spacing w:after="0" w:line="360" w:lineRule="auto"/>
        <w:ind w:left="567" w:hanging="567"/>
        <w:jc w:val="both"/>
        <w:rPr>
          <w:rFonts w:ascii="Arial" w:hAnsi="Arial" w:cs="Arial"/>
        </w:rPr>
      </w:pPr>
      <w:r w:rsidRPr="00474442">
        <w:rPr>
          <w:rFonts w:ascii="Arial" w:hAnsi="Arial" w:cs="Arial"/>
        </w:rPr>
        <w:t xml:space="preserve">Unless the debtor acknowledges liability, the interruption of prescription in terms of </w:t>
      </w:r>
      <w:r w:rsidRPr="00474442">
        <w:rPr>
          <w:rFonts w:ascii="Arial" w:hAnsi="Arial" w:cs="Arial"/>
        </w:rPr>
        <w:lastRenderedPageBreak/>
        <w:t xml:space="preserve">subsection (1) shall lapse, and the running of prescription shall not be deemed to have been interrupted, if the creditor does not successfully prosecute his claim under the process in question to final judgment or if he does so prosecute his claim but abandons the judgment or the judgment is set aside. </w:t>
      </w:r>
    </w:p>
    <w:p w:rsidR="00474442" w:rsidRPr="00474442" w:rsidRDefault="00474442" w:rsidP="008B6354">
      <w:pPr>
        <w:pStyle w:val="ListParagraph"/>
        <w:spacing w:line="360" w:lineRule="auto"/>
        <w:ind w:left="567" w:hanging="567"/>
        <w:jc w:val="both"/>
        <w:rPr>
          <w:rFonts w:cs="Arial"/>
          <w:sz w:val="22"/>
          <w:szCs w:val="22"/>
        </w:rPr>
      </w:pPr>
    </w:p>
    <w:p w:rsidR="00474442" w:rsidRPr="00474442" w:rsidRDefault="00474442" w:rsidP="008B6354">
      <w:pPr>
        <w:spacing w:after="0" w:line="360" w:lineRule="auto"/>
        <w:ind w:left="567" w:hanging="567"/>
        <w:jc w:val="both"/>
        <w:rPr>
          <w:rFonts w:ascii="Arial" w:hAnsi="Arial" w:cs="Arial"/>
        </w:rPr>
      </w:pPr>
      <w:r w:rsidRPr="00474442">
        <w:rPr>
          <w:rFonts w:ascii="Arial" w:hAnsi="Arial" w:cs="Arial"/>
        </w:rPr>
        <w:t>…</w:t>
      </w:r>
    </w:p>
    <w:p w:rsidR="00474442" w:rsidRPr="00474442" w:rsidRDefault="00474442" w:rsidP="008B6354">
      <w:pPr>
        <w:spacing w:after="0" w:line="360" w:lineRule="auto"/>
        <w:ind w:left="567" w:hanging="567"/>
        <w:jc w:val="both"/>
        <w:rPr>
          <w:rFonts w:ascii="Arial" w:hAnsi="Arial" w:cs="Arial"/>
        </w:rPr>
      </w:pPr>
    </w:p>
    <w:p w:rsidR="00474442" w:rsidRPr="00474442" w:rsidRDefault="00474442" w:rsidP="008B6354">
      <w:pPr>
        <w:spacing w:after="0" w:line="360" w:lineRule="auto"/>
        <w:ind w:left="567" w:hanging="567"/>
        <w:jc w:val="both"/>
        <w:rPr>
          <w:rFonts w:ascii="Arial" w:hAnsi="Arial" w:cs="Arial"/>
        </w:rPr>
      </w:pPr>
      <w:r w:rsidRPr="00474442">
        <w:rPr>
          <w:rFonts w:ascii="Arial" w:hAnsi="Arial" w:cs="Arial"/>
        </w:rPr>
        <w:t>(6)</w:t>
      </w:r>
      <w:r w:rsidRPr="00474442">
        <w:rPr>
          <w:rFonts w:ascii="Arial" w:hAnsi="Arial" w:cs="Arial"/>
        </w:rPr>
        <w:tab/>
        <w:t xml:space="preserve">For purposes of this section, “process” includes a petition, a notice of motion, a rule </w:t>
      </w:r>
      <w:r w:rsidRPr="00474442">
        <w:rPr>
          <w:rFonts w:ascii="Arial" w:hAnsi="Arial" w:cs="Arial"/>
          <w:i/>
        </w:rPr>
        <w:t>nisi</w:t>
      </w:r>
      <w:r w:rsidRPr="00474442">
        <w:rPr>
          <w:rFonts w:ascii="Arial" w:hAnsi="Arial" w:cs="Arial"/>
        </w:rPr>
        <w:t xml:space="preserve">, a pleading in convention, a third party notice referred to in any rule of court, and any document whereby legal proceedings are commenced.” </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hanging="720"/>
        <w:jc w:val="both"/>
        <w:rPr>
          <w:rFonts w:ascii="Arial" w:hAnsi="Arial" w:cs="Arial"/>
        </w:rPr>
      </w:pPr>
      <w:r w:rsidRPr="00474442">
        <w:rPr>
          <w:rFonts w:ascii="Arial" w:hAnsi="Arial" w:cs="Arial"/>
        </w:rPr>
        <w:t>The purpose and effect of section 15(2) has been held to be the following:</w:t>
      </w:r>
    </w:p>
    <w:p w:rsidR="00474442" w:rsidRPr="00474442" w:rsidRDefault="00474442" w:rsidP="00474442">
      <w:pPr>
        <w:spacing w:after="0" w:line="360" w:lineRule="auto"/>
        <w:ind w:left="720"/>
        <w:jc w:val="both"/>
        <w:rPr>
          <w:rFonts w:ascii="Arial" w:hAnsi="Arial" w:cs="Arial"/>
        </w:rPr>
      </w:pPr>
    </w:p>
    <w:p w:rsidR="00474442" w:rsidRPr="00474442" w:rsidRDefault="00474442" w:rsidP="008B6354">
      <w:pPr>
        <w:spacing w:after="0" w:line="360" w:lineRule="auto"/>
        <w:ind w:firstLine="720"/>
        <w:jc w:val="both"/>
        <w:rPr>
          <w:rFonts w:ascii="Arial" w:hAnsi="Arial" w:cs="Arial"/>
        </w:rPr>
      </w:pPr>
      <w:r w:rsidRPr="00474442">
        <w:rPr>
          <w:rFonts w:ascii="Arial" w:hAnsi="Arial" w:cs="Arial"/>
        </w:rPr>
        <w:t xml:space="preserve">“…the whole purpose of s 15(2) was that, if a creditor fails in his claim, in other words if he does not successfully prosecute his claim under the process in question to final judgment, then the provisions come into force concerning the interruption of prescription lapsing and the running of prescription not being deemed to have been interrupted. The practical effect of this is that should a plaintiff, </w:t>
      </w:r>
      <w:proofErr w:type="spellStart"/>
      <w:r w:rsidRPr="00474442">
        <w:rPr>
          <w:rFonts w:ascii="Arial" w:hAnsi="Arial" w:cs="Arial"/>
        </w:rPr>
        <w:t>eg</w:t>
      </w:r>
      <w:proofErr w:type="spellEnd"/>
      <w:r w:rsidRPr="00474442">
        <w:rPr>
          <w:rFonts w:ascii="Arial" w:hAnsi="Arial" w:cs="Arial"/>
        </w:rPr>
        <w:t>, have absolution granted against him at the end of his case, then he cannot be said to have successfully prosecuted his claim to final judgment or, if an exception is taken to his claim and he cannot amend but has to issue fresh summons or a fresh declaration, then the process by which he commenced the proceedings is deemed not to have interrupted prescription and the running of prescription is deemed not to have been interrupted thereby. In other words…he is not allowed to have two bites at the cherry. It is not unreasonable to assume that what the legislator had in mind was the following: It is necessary that there should be finality in litigation. The plaintiff is given reasonable time within which to institute his action, thereafter he is in the hands of the administration of the Courts.”</w:t>
      </w:r>
      <w:r w:rsidRPr="00474442">
        <w:rPr>
          <w:rStyle w:val="FootnoteReference"/>
          <w:rFonts w:ascii="Arial" w:hAnsi="Arial" w:cs="Arial"/>
        </w:rPr>
        <w:footnoteReference w:id="7"/>
      </w:r>
      <w:r w:rsidRPr="00474442">
        <w:rPr>
          <w:rFonts w:ascii="Arial" w:hAnsi="Arial" w:cs="Arial"/>
        </w:rPr>
        <w:t xml:space="preserve">  </w:t>
      </w:r>
    </w:p>
    <w:p w:rsidR="00474442" w:rsidRPr="00474442" w:rsidRDefault="00474442" w:rsidP="00474442">
      <w:pPr>
        <w:spacing w:after="0" w:line="360" w:lineRule="auto"/>
        <w:ind w:left="720"/>
        <w:jc w:val="both"/>
        <w:rPr>
          <w:rFonts w:ascii="Arial" w:hAnsi="Arial" w:cs="Arial"/>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 xml:space="preserve">In the matter of </w:t>
      </w:r>
      <w:r w:rsidRPr="00474442">
        <w:rPr>
          <w:rFonts w:ascii="Arial" w:hAnsi="Arial" w:cs="Arial"/>
          <w:u w:val="single"/>
        </w:rPr>
        <w:t xml:space="preserve">Van der Merwe v </w:t>
      </w:r>
      <w:proofErr w:type="spellStart"/>
      <w:r w:rsidRPr="00474442">
        <w:rPr>
          <w:rFonts w:ascii="Arial" w:hAnsi="Arial" w:cs="Arial"/>
          <w:u w:val="single"/>
        </w:rPr>
        <w:t>Protea</w:t>
      </w:r>
      <w:proofErr w:type="spellEnd"/>
      <w:r w:rsidRPr="00474442">
        <w:rPr>
          <w:rFonts w:ascii="Arial" w:hAnsi="Arial" w:cs="Arial"/>
          <w:u w:val="single"/>
        </w:rPr>
        <w:t xml:space="preserve"> Insurance Co Ltd 1982 (1) SA 770 (E)</w:t>
      </w:r>
      <w:r w:rsidRPr="00474442">
        <w:rPr>
          <w:rFonts w:ascii="Arial" w:hAnsi="Arial" w:cs="Arial"/>
        </w:rPr>
        <w:t xml:space="preserve">, </w:t>
      </w:r>
      <w:proofErr w:type="spellStart"/>
      <w:r w:rsidRPr="00474442">
        <w:rPr>
          <w:rFonts w:ascii="Arial" w:hAnsi="Arial" w:cs="Arial"/>
        </w:rPr>
        <w:t>Smallberger</w:t>
      </w:r>
      <w:proofErr w:type="spellEnd"/>
      <w:r w:rsidRPr="00474442">
        <w:rPr>
          <w:rFonts w:ascii="Arial" w:hAnsi="Arial" w:cs="Arial"/>
        </w:rPr>
        <w:t xml:space="preserve"> J stated that:</w:t>
      </w:r>
    </w:p>
    <w:p w:rsidR="00474442" w:rsidRPr="00474442" w:rsidRDefault="00474442" w:rsidP="00474442">
      <w:pPr>
        <w:spacing w:after="0" w:line="360" w:lineRule="auto"/>
        <w:ind w:left="720"/>
        <w:jc w:val="both"/>
        <w:rPr>
          <w:rFonts w:ascii="Arial" w:hAnsi="Arial" w:cs="Arial"/>
        </w:rPr>
      </w:pPr>
    </w:p>
    <w:p w:rsidR="00474442" w:rsidRPr="00474442" w:rsidRDefault="00474442" w:rsidP="008B6354">
      <w:pPr>
        <w:spacing w:after="0" w:line="360" w:lineRule="auto"/>
        <w:ind w:firstLine="720"/>
        <w:jc w:val="both"/>
        <w:rPr>
          <w:rFonts w:ascii="Arial" w:hAnsi="Arial" w:cs="Arial"/>
        </w:rPr>
      </w:pPr>
      <w:r w:rsidRPr="00474442">
        <w:rPr>
          <w:rFonts w:ascii="Arial" w:hAnsi="Arial" w:cs="Arial"/>
        </w:rPr>
        <w:t xml:space="preserve">“…the whole purpose of s 15(2) is that, if a creditor fails to prosecute successfully his claim under the process which interrupts prescription, either in the court in which such process commences legal proceedings, or on appeal to a higher tribunal, or, having been successful in the initial prosecution of his claim, abandons the judgement in his </w:t>
      </w:r>
      <w:proofErr w:type="spellStart"/>
      <w:r w:rsidRPr="00474442">
        <w:rPr>
          <w:rFonts w:ascii="Arial" w:hAnsi="Arial" w:cs="Arial"/>
        </w:rPr>
        <w:t>favour</w:t>
      </w:r>
      <w:proofErr w:type="spellEnd"/>
      <w:r w:rsidRPr="00474442">
        <w:rPr>
          <w:rFonts w:ascii="Arial" w:hAnsi="Arial" w:cs="Arial"/>
        </w:rPr>
        <w:t>, or it is set aside on appeal at the instance of the debtor, the running of prescription is deemed not to have been interrupted.”</w:t>
      </w:r>
      <w:r w:rsidRPr="00474442">
        <w:rPr>
          <w:rStyle w:val="FootnoteReference"/>
          <w:rFonts w:ascii="Arial" w:hAnsi="Arial" w:cs="Arial"/>
        </w:rPr>
        <w:footnoteReference w:id="8"/>
      </w:r>
    </w:p>
    <w:p w:rsidR="00474442" w:rsidRPr="00474442" w:rsidRDefault="00474442" w:rsidP="00474442">
      <w:pPr>
        <w:spacing w:after="0" w:line="360" w:lineRule="auto"/>
        <w:jc w:val="both"/>
        <w:rPr>
          <w:rFonts w:ascii="Arial" w:hAnsi="Arial" w:cs="Arial"/>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 xml:space="preserve">Regarding the interpretation of the expression ‘process in question’ as contained in sections 15(1) and 15(2), </w:t>
      </w:r>
      <w:proofErr w:type="spellStart"/>
      <w:r w:rsidRPr="00474442">
        <w:rPr>
          <w:rFonts w:ascii="Arial" w:hAnsi="Arial" w:cs="Arial"/>
        </w:rPr>
        <w:t>Smallberger</w:t>
      </w:r>
      <w:proofErr w:type="spellEnd"/>
      <w:r w:rsidRPr="00474442">
        <w:rPr>
          <w:rFonts w:ascii="Arial" w:hAnsi="Arial" w:cs="Arial"/>
        </w:rPr>
        <w:t xml:space="preserve"> J also stated that:</w:t>
      </w:r>
    </w:p>
    <w:p w:rsidR="00474442" w:rsidRPr="00474442" w:rsidRDefault="00474442" w:rsidP="00474442">
      <w:pPr>
        <w:spacing w:after="0" w:line="360" w:lineRule="auto"/>
        <w:ind w:left="720"/>
        <w:jc w:val="both"/>
        <w:rPr>
          <w:rFonts w:ascii="Arial" w:hAnsi="Arial" w:cs="Arial"/>
        </w:rPr>
      </w:pPr>
    </w:p>
    <w:p w:rsidR="00474442" w:rsidRPr="00474442" w:rsidRDefault="00474442" w:rsidP="008B6354">
      <w:pPr>
        <w:spacing w:after="0" w:line="360" w:lineRule="auto"/>
        <w:ind w:firstLine="720"/>
        <w:jc w:val="both"/>
        <w:rPr>
          <w:rFonts w:ascii="Arial" w:hAnsi="Arial" w:cs="Arial"/>
        </w:rPr>
      </w:pPr>
      <w:r w:rsidRPr="00474442">
        <w:rPr>
          <w:rFonts w:ascii="Arial" w:hAnsi="Arial" w:cs="Arial"/>
        </w:rPr>
        <w:t xml:space="preserve">“Section 15(1) provides for the interruption of prescription by the service on the debtor ‘of any process whereby the creditor claims payment of the debt’. In terms of section 15(6) ‘process’ is the document whereby legal proceedings are commenced, in the present instance, the summons in the magistrate’s court. The provisions of section 15(1) are, however, subject to those of </w:t>
      </w:r>
      <w:proofErr w:type="spellStart"/>
      <w:proofErr w:type="gramStart"/>
      <w:r w:rsidRPr="00474442">
        <w:rPr>
          <w:rFonts w:ascii="Arial" w:hAnsi="Arial" w:cs="Arial"/>
        </w:rPr>
        <w:t>ss</w:t>
      </w:r>
      <w:proofErr w:type="spellEnd"/>
      <w:r w:rsidRPr="00474442">
        <w:rPr>
          <w:rFonts w:ascii="Arial" w:hAnsi="Arial" w:cs="Arial"/>
        </w:rPr>
        <w:t>(</w:t>
      </w:r>
      <w:proofErr w:type="gramEnd"/>
      <w:r w:rsidRPr="00474442">
        <w:rPr>
          <w:rFonts w:ascii="Arial" w:hAnsi="Arial" w:cs="Arial"/>
        </w:rPr>
        <w:t>2). The ‘process in question’ is clearly that by which prescription was originally interrupted. It is that process which must be successfully prosecuted to final judgment by the creditor, and not any other. The reference to ‘final judgment’, in the context, contemplates judgment in the court in which process is instituted or, if the creditor is unsuccessful in such court, any higher tribunal in which the creditor is ultimately successful on appeal in relation to the ‘process in question.’ ”</w:t>
      </w:r>
      <w:r w:rsidRPr="00474442">
        <w:rPr>
          <w:rStyle w:val="FootnoteReference"/>
          <w:rFonts w:ascii="Arial" w:hAnsi="Arial" w:cs="Arial"/>
        </w:rPr>
        <w:footnoteReference w:id="9"/>
      </w:r>
      <w:r w:rsidRPr="00474442">
        <w:rPr>
          <w:rFonts w:ascii="Arial" w:hAnsi="Arial" w:cs="Arial"/>
        </w:rPr>
        <w:t xml:space="preserve"> </w:t>
      </w:r>
    </w:p>
    <w:p w:rsidR="00474442" w:rsidRPr="00474442" w:rsidRDefault="00474442" w:rsidP="00474442">
      <w:pPr>
        <w:spacing w:after="0" w:line="360" w:lineRule="auto"/>
        <w:jc w:val="both"/>
        <w:rPr>
          <w:rFonts w:ascii="Arial" w:hAnsi="Arial" w:cs="Arial"/>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 xml:space="preserve">The expression was also briefly considered in </w:t>
      </w:r>
      <w:r w:rsidRPr="00474442">
        <w:rPr>
          <w:rFonts w:ascii="Arial" w:hAnsi="Arial" w:cs="Arial"/>
          <w:u w:val="single"/>
        </w:rPr>
        <w:t>Cape Town Municipality and Another v Allianz Insurance Co Ltd 1990 (1) SA 311 (C)</w:t>
      </w:r>
      <w:r w:rsidRPr="00474442">
        <w:rPr>
          <w:rFonts w:ascii="Arial" w:hAnsi="Arial" w:cs="Arial"/>
        </w:rPr>
        <w:t xml:space="preserve"> by Howie J who, with reference to section 15(2) of the Act, stated that:</w:t>
      </w:r>
    </w:p>
    <w:p w:rsidR="00474442" w:rsidRPr="00474442" w:rsidRDefault="00474442" w:rsidP="00474442">
      <w:pPr>
        <w:spacing w:after="0" w:line="360" w:lineRule="auto"/>
        <w:ind w:left="720"/>
        <w:jc w:val="both"/>
        <w:rPr>
          <w:rFonts w:ascii="Arial" w:hAnsi="Arial" w:cs="Arial"/>
        </w:rPr>
      </w:pPr>
    </w:p>
    <w:p w:rsidR="00474442" w:rsidRPr="00474442" w:rsidRDefault="00474442" w:rsidP="008B6354">
      <w:pPr>
        <w:spacing w:after="0" w:line="360" w:lineRule="auto"/>
        <w:ind w:firstLine="720"/>
        <w:jc w:val="both"/>
        <w:rPr>
          <w:rFonts w:ascii="Arial" w:hAnsi="Arial" w:cs="Arial"/>
        </w:rPr>
      </w:pPr>
      <w:r w:rsidRPr="00474442">
        <w:rPr>
          <w:rFonts w:ascii="Arial" w:hAnsi="Arial" w:cs="Arial"/>
        </w:rPr>
        <w:t>“To return to the expression ‘under the process in question’, clearly a final executable judgment will be obtained ‘under’ a process where process and judgement constitute the beginning and end of one and the same action.”</w:t>
      </w:r>
      <w:r w:rsidRPr="00474442">
        <w:rPr>
          <w:rStyle w:val="FootnoteReference"/>
          <w:rFonts w:ascii="Arial" w:hAnsi="Arial" w:cs="Arial"/>
        </w:rPr>
        <w:footnoteReference w:id="10"/>
      </w:r>
      <w:r w:rsidRPr="00474442">
        <w:rPr>
          <w:rFonts w:ascii="Arial" w:hAnsi="Arial" w:cs="Arial"/>
        </w:rPr>
        <w:t xml:space="preserve"> </w:t>
      </w:r>
    </w:p>
    <w:p w:rsidR="00474442" w:rsidRPr="00474442" w:rsidRDefault="00474442" w:rsidP="00474442">
      <w:pPr>
        <w:spacing w:after="0" w:line="360" w:lineRule="auto"/>
        <w:jc w:val="both"/>
        <w:rPr>
          <w:rFonts w:ascii="Arial" w:hAnsi="Arial" w:cs="Arial"/>
        </w:rPr>
      </w:pPr>
    </w:p>
    <w:p w:rsidR="00474442" w:rsidRPr="00474442" w:rsidRDefault="00474442" w:rsidP="00474442">
      <w:pPr>
        <w:spacing w:after="0" w:line="360" w:lineRule="auto"/>
        <w:jc w:val="both"/>
        <w:rPr>
          <w:rFonts w:ascii="Arial" w:hAnsi="Arial" w:cs="Arial"/>
          <w:u w:val="single"/>
        </w:rPr>
      </w:pPr>
      <w:r w:rsidRPr="00474442">
        <w:rPr>
          <w:rFonts w:ascii="Arial" w:hAnsi="Arial" w:cs="Arial"/>
          <w:u w:val="single"/>
        </w:rPr>
        <w:t>Policy considerations underlying extinctive prescription</w:t>
      </w:r>
    </w:p>
    <w:p w:rsidR="00474442" w:rsidRPr="00474442" w:rsidRDefault="00474442" w:rsidP="00474442">
      <w:pPr>
        <w:spacing w:after="0" w:line="360" w:lineRule="auto"/>
        <w:jc w:val="both"/>
        <w:rPr>
          <w:rFonts w:ascii="Arial" w:hAnsi="Arial" w:cs="Arial"/>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The main object of extinctive prescription is to create legal certainty and finality in the relationship between creditor and debtor after the lapse of a period of time, and the emphasis is on protection of the debtor against a stale claim that has existed for such a long time that it becomes unfair to require the debtor to defend himself against it. The primary consideration is therefore one of fairness to the debtor.</w:t>
      </w:r>
      <w:r w:rsidRPr="00474442">
        <w:rPr>
          <w:rStyle w:val="FootnoteReference"/>
          <w:rFonts w:ascii="Arial" w:hAnsi="Arial" w:cs="Arial"/>
        </w:rPr>
        <w:footnoteReference w:id="11"/>
      </w:r>
      <w:r w:rsidRPr="00474442">
        <w:rPr>
          <w:rFonts w:ascii="Arial" w:hAnsi="Arial" w:cs="Arial"/>
        </w:rPr>
        <w:t xml:space="preserve"> </w:t>
      </w:r>
    </w:p>
    <w:p w:rsidR="00474442" w:rsidRPr="00474442" w:rsidRDefault="00474442" w:rsidP="00474442">
      <w:pPr>
        <w:spacing w:after="0" w:line="360" w:lineRule="auto"/>
        <w:ind w:left="720"/>
        <w:jc w:val="both"/>
        <w:rPr>
          <w:rFonts w:ascii="Arial" w:hAnsi="Arial" w:cs="Arial"/>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The emphasis is on the protection of the debtor because the debtor with the passage of time ought to become secure in his reasonable expectation that the slate has been wiped clean of obligations towards his creditor.</w:t>
      </w:r>
      <w:r w:rsidRPr="00474442">
        <w:rPr>
          <w:rStyle w:val="FootnoteReference"/>
          <w:rFonts w:ascii="Arial" w:hAnsi="Arial" w:cs="Arial"/>
        </w:rPr>
        <w:footnoteReference w:id="12"/>
      </w:r>
      <w:r w:rsidRPr="00474442">
        <w:rPr>
          <w:rFonts w:ascii="Arial" w:hAnsi="Arial" w:cs="Arial"/>
        </w:rPr>
        <w:t xml:space="preserve"> </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Other policy considerations underlying extinctive prescription are that delayed enforcement of a debt causes evidence to disappear and witnesses to forget; that certainty in dealings between persons requires a fixed time after which old disputes will be forgotten; and that judicial economy and the smooth functioning of the legal system is best served when the parties are obliged to bring their disputes to the courts promptly, so that they can be swiftly resolved while evidence is available and fresh in the memory of the witnesses.</w:t>
      </w:r>
      <w:r w:rsidRPr="00474442">
        <w:rPr>
          <w:rStyle w:val="FootnoteReference"/>
          <w:rFonts w:ascii="Arial" w:hAnsi="Arial" w:cs="Arial"/>
        </w:rPr>
        <w:footnoteReference w:id="13"/>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Extinctive prescription ensures that there comes a time between a creditor and debtor when the books are closed.</w:t>
      </w:r>
      <w:r w:rsidRPr="00474442">
        <w:rPr>
          <w:rStyle w:val="FootnoteReference"/>
          <w:rFonts w:ascii="Arial" w:hAnsi="Arial" w:cs="Arial"/>
        </w:rPr>
        <w:footnoteReference w:id="14"/>
      </w:r>
    </w:p>
    <w:p w:rsidR="00474442" w:rsidRPr="00474442" w:rsidRDefault="00474442" w:rsidP="00474442">
      <w:pPr>
        <w:spacing w:after="0" w:line="360" w:lineRule="auto"/>
        <w:jc w:val="both"/>
        <w:rPr>
          <w:rFonts w:ascii="Arial" w:hAnsi="Arial" w:cs="Arial"/>
        </w:rPr>
      </w:pPr>
    </w:p>
    <w:p w:rsidR="00474442" w:rsidRPr="00474442" w:rsidRDefault="00474442" w:rsidP="00474442">
      <w:pPr>
        <w:widowControl w:val="0"/>
        <w:numPr>
          <w:ilvl w:val="0"/>
          <w:numId w:val="46"/>
        </w:numPr>
        <w:spacing w:after="0" w:line="360" w:lineRule="auto"/>
        <w:ind w:hanging="720"/>
        <w:jc w:val="both"/>
        <w:rPr>
          <w:rFonts w:ascii="Arial" w:hAnsi="Arial" w:cs="Arial"/>
          <w:b/>
        </w:rPr>
      </w:pPr>
      <w:r w:rsidRPr="00474442">
        <w:rPr>
          <w:rFonts w:ascii="Arial" w:hAnsi="Arial" w:cs="Arial"/>
          <w:b/>
        </w:rPr>
        <w:t>THE ARGUMENTS</w:t>
      </w:r>
    </w:p>
    <w:p w:rsidR="00474442" w:rsidRPr="00474442" w:rsidRDefault="00474442" w:rsidP="00474442">
      <w:pPr>
        <w:spacing w:after="0" w:line="360" w:lineRule="auto"/>
        <w:jc w:val="both"/>
        <w:rPr>
          <w:rFonts w:ascii="Arial" w:hAnsi="Arial" w:cs="Arial"/>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The amended stated case on prescription records the contentions of the parties with reference to their respective cases.</w:t>
      </w:r>
      <w:r w:rsidRPr="00474442">
        <w:rPr>
          <w:rStyle w:val="FootnoteReference"/>
          <w:rFonts w:ascii="Arial" w:hAnsi="Arial" w:cs="Arial"/>
        </w:rPr>
        <w:footnoteReference w:id="15"/>
      </w:r>
      <w:r w:rsidRPr="00474442">
        <w:rPr>
          <w:rFonts w:ascii="Arial" w:hAnsi="Arial" w:cs="Arial"/>
        </w:rPr>
        <w:t xml:space="preserve"> Plaintiff argues that prescription started to run afresh on or about 18 May 2015 when defendant was absolved from the instance, and defendant argues that the interruption of prescription of plaintiff’s claim lapsed on 18 May 2015 (when plaintiff closed his case and absolution was granted</w:t>
      </w:r>
      <w:r w:rsidRPr="00474442">
        <w:rPr>
          <w:rStyle w:val="FootnoteReference"/>
          <w:rFonts w:ascii="Arial" w:hAnsi="Arial" w:cs="Arial"/>
        </w:rPr>
        <w:footnoteReference w:id="16"/>
      </w:r>
      <w:r w:rsidRPr="00474442">
        <w:rPr>
          <w:rFonts w:ascii="Arial" w:hAnsi="Arial" w:cs="Arial"/>
        </w:rPr>
        <w:t>) with the effect, firstly, that prescription was never interrupted and, secondly, that plaintiff’s claim prescribed on or about October 2005.</w:t>
      </w:r>
    </w:p>
    <w:p w:rsidR="00474442" w:rsidRPr="00474442" w:rsidRDefault="00474442" w:rsidP="00474442">
      <w:pPr>
        <w:spacing w:after="0" w:line="360" w:lineRule="auto"/>
        <w:ind w:left="720"/>
        <w:jc w:val="both"/>
        <w:rPr>
          <w:rFonts w:ascii="Arial" w:hAnsi="Arial" w:cs="Arial"/>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To prevent his claim from prescribing, we submit that plaintiff (as creditor) carried the onus to do two things: 1) interrupt prescription by timeously serving summons/process on defendant for payment of the debt</w:t>
      </w:r>
      <w:r w:rsidRPr="00474442">
        <w:rPr>
          <w:rStyle w:val="FootnoteReference"/>
          <w:rFonts w:ascii="Arial" w:hAnsi="Arial" w:cs="Arial"/>
        </w:rPr>
        <w:footnoteReference w:id="17"/>
      </w:r>
      <w:r w:rsidRPr="00474442">
        <w:rPr>
          <w:rFonts w:ascii="Arial" w:hAnsi="Arial" w:cs="Arial"/>
        </w:rPr>
        <w:t>, and 2) successfully prosecute his claim to final judgment under the process instituted against defendant</w:t>
      </w:r>
      <w:r w:rsidRPr="00474442">
        <w:rPr>
          <w:rStyle w:val="FootnoteReference"/>
          <w:rFonts w:ascii="Arial" w:hAnsi="Arial" w:cs="Arial"/>
        </w:rPr>
        <w:footnoteReference w:id="18"/>
      </w:r>
      <w:r w:rsidRPr="00474442">
        <w:rPr>
          <w:rFonts w:ascii="Arial" w:hAnsi="Arial" w:cs="Arial"/>
        </w:rPr>
        <w:t>. Although plaintiff timeously served summons on defendant during July 2004</w:t>
      </w:r>
      <w:r w:rsidRPr="00474442">
        <w:rPr>
          <w:rStyle w:val="FootnoteReference"/>
          <w:rFonts w:ascii="Arial" w:hAnsi="Arial" w:cs="Arial"/>
        </w:rPr>
        <w:footnoteReference w:id="19"/>
      </w:r>
      <w:r w:rsidRPr="00474442">
        <w:rPr>
          <w:rFonts w:ascii="Arial" w:hAnsi="Arial" w:cs="Arial"/>
        </w:rPr>
        <w:t>, thereby interrupting prescription</w:t>
      </w:r>
      <w:r w:rsidRPr="00474442">
        <w:rPr>
          <w:rStyle w:val="FootnoteReference"/>
          <w:rFonts w:ascii="Arial" w:hAnsi="Arial" w:cs="Arial"/>
        </w:rPr>
        <w:footnoteReference w:id="20"/>
      </w:r>
      <w:r w:rsidRPr="00474442">
        <w:rPr>
          <w:rFonts w:ascii="Arial" w:hAnsi="Arial" w:cs="Arial"/>
        </w:rPr>
        <w:t>, he failed to successfully prosecute his claim under that process, with the result that prescription was never interrupted. We submit therefore that plaintiff’s claim prescribed on or about October 2005, some three years after his cause of action arose.</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 xml:space="preserve">Plaintiff argues that prescription started to run </w:t>
      </w:r>
      <w:proofErr w:type="spellStart"/>
      <w:r w:rsidRPr="00474442">
        <w:rPr>
          <w:rFonts w:ascii="Arial" w:hAnsi="Arial" w:cs="Arial"/>
        </w:rPr>
        <w:t>afresh</w:t>
      </w:r>
      <w:proofErr w:type="spellEnd"/>
      <w:r w:rsidRPr="00474442">
        <w:rPr>
          <w:rFonts w:ascii="Arial" w:hAnsi="Arial" w:cs="Arial"/>
        </w:rPr>
        <w:t xml:space="preserve"> from date of absolution (18 May 2015)</w:t>
      </w:r>
      <w:r w:rsidRPr="00474442">
        <w:rPr>
          <w:rStyle w:val="FootnoteReference"/>
          <w:rFonts w:ascii="Arial" w:hAnsi="Arial" w:cs="Arial"/>
        </w:rPr>
        <w:footnoteReference w:id="21"/>
      </w:r>
      <w:r w:rsidRPr="00474442">
        <w:rPr>
          <w:rFonts w:ascii="Arial" w:hAnsi="Arial" w:cs="Arial"/>
        </w:rPr>
        <w:t xml:space="preserve">. Plaintiff also argues that he had a further 15 months from 18 May 2015 within which </w:t>
      </w:r>
      <w:r w:rsidRPr="00474442">
        <w:rPr>
          <w:rFonts w:ascii="Arial" w:hAnsi="Arial" w:cs="Arial"/>
        </w:rPr>
        <w:lastRenderedPageBreak/>
        <w:t>to commence proceedings against defendant afresh.</w:t>
      </w:r>
      <w:r w:rsidRPr="00474442">
        <w:rPr>
          <w:rStyle w:val="FootnoteReference"/>
          <w:rFonts w:ascii="Arial" w:hAnsi="Arial" w:cs="Arial"/>
        </w:rPr>
        <w:footnoteReference w:id="22"/>
      </w:r>
      <w:r w:rsidRPr="00474442">
        <w:rPr>
          <w:rFonts w:ascii="Arial" w:hAnsi="Arial" w:cs="Arial"/>
        </w:rPr>
        <w:t xml:space="preserve"> These two arguments contradict each other: on the one hand plaintiff claims that he had another full 3 years from 18 May 2015 within which to institute a fresh action against defendant, and on the other hand plaintiff claims that he had 15 months from 18 May 2015 to institute a fresh action against defendant. Notwithstanding the apparent contradiction, both arguments are bad in law.</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 xml:space="preserve">On the first argument, plaintiff in effect claims a perpetual and reoccurring prescriptive period of three years. There is no basis in law or on the facts to support such a claim.  </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hanging="720"/>
        <w:jc w:val="both"/>
        <w:rPr>
          <w:rFonts w:ascii="Arial" w:hAnsi="Arial" w:cs="Arial"/>
        </w:rPr>
      </w:pPr>
      <w:r w:rsidRPr="00474442">
        <w:rPr>
          <w:rFonts w:ascii="Arial" w:hAnsi="Arial" w:cs="Arial"/>
        </w:rPr>
        <w:t>Plaintiff’s second argument is essentially this:</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1"/>
          <w:numId w:val="39"/>
        </w:numPr>
        <w:spacing w:after="0" w:line="360" w:lineRule="auto"/>
        <w:ind w:left="1418" w:hanging="709"/>
        <w:jc w:val="both"/>
        <w:rPr>
          <w:rFonts w:ascii="Arial" w:hAnsi="Arial" w:cs="Arial"/>
        </w:rPr>
      </w:pPr>
      <w:r w:rsidRPr="00474442">
        <w:rPr>
          <w:rFonts w:ascii="Arial" w:hAnsi="Arial" w:cs="Arial"/>
        </w:rPr>
        <w:t xml:space="preserve">Plaintiff’s cause of action arose during October 2002; </w:t>
      </w:r>
    </w:p>
    <w:p w:rsidR="00474442" w:rsidRPr="00474442" w:rsidRDefault="00474442" w:rsidP="00474442">
      <w:pPr>
        <w:spacing w:after="0" w:line="360" w:lineRule="auto"/>
        <w:ind w:left="1440"/>
        <w:jc w:val="both"/>
        <w:rPr>
          <w:rFonts w:ascii="Arial" w:hAnsi="Arial" w:cs="Arial"/>
        </w:rPr>
      </w:pPr>
    </w:p>
    <w:p w:rsidR="00474442" w:rsidRPr="00474442" w:rsidRDefault="00474442" w:rsidP="006D4598">
      <w:pPr>
        <w:widowControl w:val="0"/>
        <w:numPr>
          <w:ilvl w:val="1"/>
          <w:numId w:val="39"/>
        </w:numPr>
        <w:spacing w:after="0" w:line="360" w:lineRule="auto"/>
        <w:ind w:left="709" w:firstLine="0"/>
        <w:jc w:val="both"/>
        <w:rPr>
          <w:rFonts w:ascii="Arial" w:hAnsi="Arial" w:cs="Arial"/>
        </w:rPr>
      </w:pPr>
      <w:r w:rsidRPr="00474442">
        <w:rPr>
          <w:rFonts w:ascii="Arial" w:hAnsi="Arial" w:cs="Arial"/>
        </w:rPr>
        <w:t>Plaintiff had 36 months (from October 2002) within which to enforce his right against defendant for payment of the alleged debt;</w:t>
      </w:r>
    </w:p>
    <w:p w:rsidR="00474442" w:rsidRPr="00474442" w:rsidRDefault="00474442" w:rsidP="00474442">
      <w:pPr>
        <w:spacing w:after="0" w:line="360" w:lineRule="auto"/>
        <w:ind w:left="1440"/>
        <w:jc w:val="both"/>
        <w:rPr>
          <w:rFonts w:ascii="Arial" w:hAnsi="Arial" w:cs="Arial"/>
        </w:rPr>
      </w:pPr>
    </w:p>
    <w:p w:rsidR="00474442" w:rsidRPr="00474442" w:rsidRDefault="00474442" w:rsidP="006D4598">
      <w:pPr>
        <w:widowControl w:val="0"/>
        <w:numPr>
          <w:ilvl w:val="1"/>
          <w:numId w:val="39"/>
        </w:numPr>
        <w:spacing w:after="0" w:line="360" w:lineRule="auto"/>
        <w:ind w:left="709" w:firstLine="0"/>
        <w:jc w:val="both"/>
        <w:rPr>
          <w:rFonts w:ascii="Arial" w:hAnsi="Arial" w:cs="Arial"/>
        </w:rPr>
      </w:pPr>
      <w:r w:rsidRPr="00474442">
        <w:rPr>
          <w:rFonts w:ascii="Arial" w:hAnsi="Arial" w:cs="Arial"/>
        </w:rPr>
        <w:t xml:space="preserve">Plaintiff interrupted prescription during July 2004, when he caused summons to be served on defendant for payment of the alleged debt (the First Action). As at July 2004, a period of 21 months of plaintiff’s 36 month prescriptive period had already lapsed;  </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1"/>
          <w:numId w:val="39"/>
        </w:numPr>
        <w:spacing w:after="0" w:line="360" w:lineRule="auto"/>
        <w:ind w:left="709" w:firstLine="0"/>
        <w:jc w:val="both"/>
        <w:rPr>
          <w:rFonts w:ascii="Arial" w:hAnsi="Arial" w:cs="Arial"/>
        </w:rPr>
      </w:pPr>
      <w:r w:rsidRPr="00474442">
        <w:rPr>
          <w:rFonts w:ascii="Arial" w:hAnsi="Arial" w:cs="Arial"/>
        </w:rPr>
        <w:t>Plaintiff ‘banked’ the remaining period of 15 months for use at a later stage;</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1"/>
          <w:numId w:val="39"/>
        </w:numPr>
        <w:spacing w:after="0" w:line="360" w:lineRule="auto"/>
        <w:ind w:left="709" w:firstLine="0"/>
        <w:jc w:val="both"/>
        <w:rPr>
          <w:rFonts w:ascii="Arial" w:hAnsi="Arial" w:cs="Arial"/>
        </w:rPr>
      </w:pPr>
      <w:r w:rsidRPr="00474442">
        <w:rPr>
          <w:rFonts w:ascii="Arial" w:hAnsi="Arial" w:cs="Arial"/>
        </w:rPr>
        <w:t>When absolution was granted on 18 May 2015, 11 years after the First Action was instituted, plaintiff still had ‘a balance’ of 15 months on the initial prescriptive period of 36 months within which to cause a fresh action for the same/similar claim to be served on defendant;</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1"/>
          <w:numId w:val="39"/>
        </w:numPr>
        <w:spacing w:after="0" w:line="360" w:lineRule="auto"/>
        <w:ind w:left="709" w:firstLine="0"/>
        <w:jc w:val="both"/>
        <w:rPr>
          <w:rFonts w:ascii="Arial" w:hAnsi="Arial" w:cs="Arial"/>
        </w:rPr>
      </w:pPr>
      <w:r w:rsidRPr="00474442">
        <w:rPr>
          <w:rFonts w:ascii="Arial" w:hAnsi="Arial" w:cs="Arial"/>
        </w:rPr>
        <w:t>Plaintiff caused a fresh action to be served on defendant during May 2016 (the Current Action</w:t>
      </w:r>
      <w:r w:rsidRPr="00474442">
        <w:rPr>
          <w:rStyle w:val="FootnoteReference"/>
          <w:rFonts w:ascii="Arial" w:hAnsi="Arial" w:cs="Arial"/>
        </w:rPr>
        <w:footnoteReference w:id="23"/>
      </w:r>
      <w:r w:rsidRPr="00474442">
        <w:rPr>
          <w:rFonts w:ascii="Arial" w:hAnsi="Arial" w:cs="Arial"/>
        </w:rPr>
        <w:t xml:space="preserve">), leaving ‘a balance’ of three months on the initial prescriptive period, for use, yet again, at a later stage.  </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 xml:space="preserve">The practical effect of plaintiff’s argument in this regard is that should plaintiff fail to successfully prosecute his claim to final judgment under the Current Action, plaintiff still has another 3 months on the initial prescriptive period within which to institute another action against defendant, irrespective of the additional months or years which the parties may spend </w:t>
      </w:r>
      <w:r w:rsidRPr="00474442">
        <w:rPr>
          <w:rFonts w:ascii="Arial" w:hAnsi="Arial" w:cs="Arial"/>
        </w:rPr>
        <w:lastRenderedPageBreak/>
        <w:t>in court to prosecute and defend respectively, the Current Action. On this reasoning, plaintiff’s failures to successfully prosecute his claim against defendant to final judgment is no bar to the running of prescription, and he can, as a result, have as many bites of the cherry as he sees fit.</w:t>
      </w:r>
    </w:p>
    <w:p w:rsidR="00474442" w:rsidRPr="00474442" w:rsidRDefault="00474442" w:rsidP="00474442">
      <w:pPr>
        <w:spacing w:after="0" w:line="360" w:lineRule="auto"/>
        <w:ind w:left="720"/>
        <w:jc w:val="both"/>
        <w:rPr>
          <w:rFonts w:ascii="Arial" w:hAnsi="Arial" w:cs="Arial"/>
        </w:rPr>
      </w:pPr>
      <w:r w:rsidRPr="00474442">
        <w:rPr>
          <w:rFonts w:ascii="Arial" w:hAnsi="Arial" w:cs="Arial"/>
        </w:rPr>
        <w:t xml:space="preserve"> </w:t>
      </w: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 xml:space="preserve">Plaintiff’s argument, in all material respects, is untenable and contradicted by the authorities on prescription. To hold that plaintiff’s contention is right in the present case would lead to a result </w:t>
      </w:r>
      <w:proofErr w:type="gramStart"/>
      <w:r w:rsidRPr="00474442">
        <w:rPr>
          <w:rFonts w:ascii="Arial" w:hAnsi="Arial" w:cs="Arial"/>
        </w:rPr>
        <w:t>so</w:t>
      </w:r>
      <w:proofErr w:type="gramEnd"/>
      <w:r w:rsidRPr="00474442">
        <w:rPr>
          <w:rFonts w:ascii="Arial" w:hAnsi="Arial" w:cs="Arial"/>
        </w:rPr>
        <w:t xml:space="preserve"> inconsistent with the purpose behind prescription as a legal institution, so contrary to relevant case law and so out of keeping with the aim of and scope of the Prescription Act, that the Legislature could not have intended it.</w:t>
      </w:r>
      <w:r w:rsidRPr="00474442">
        <w:rPr>
          <w:rStyle w:val="FootnoteReference"/>
          <w:rFonts w:ascii="Arial" w:hAnsi="Arial" w:cs="Arial"/>
        </w:rPr>
        <w:footnoteReference w:id="24"/>
      </w:r>
      <w:r w:rsidRPr="00474442">
        <w:rPr>
          <w:rFonts w:ascii="Arial" w:hAnsi="Arial" w:cs="Arial"/>
        </w:rPr>
        <w:t xml:space="preserve">   </w:t>
      </w:r>
    </w:p>
    <w:p w:rsidR="00474442" w:rsidRPr="00474442" w:rsidRDefault="00474442" w:rsidP="00474442">
      <w:pPr>
        <w:pStyle w:val="ListParagraph"/>
        <w:spacing w:line="360" w:lineRule="auto"/>
        <w:jc w:val="both"/>
        <w:rPr>
          <w:rFonts w:cs="Arial"/>
          <w:sz w:val="22"/>
          <w:szCs w:val="22"/>
        </w:rPr>
      </w:pPr>
    </w:p>
    <w:p w:rsidR="00474442" w:rsidRPr="00474442" w:rsidRDefault="00474442" w:rsidP="006D4598">
      <w:pPr>
        <w:widowControl w:val="0"/>
        <w:numPr>
          <w:ilvl w:val="0"/>
          <w:numId w:val="39"/>
        </w:numPr>
        <w:spacing w:after="0" w:line="360" w:lineRule="auto"/>
        <w:ind w:left="0" w:firstLine="0"/>
        <w:jc w:val="both"/>
        <w:rPr>
          <w:rFonts w:ascii="Arial" w:hAnsi="Arial" w:cs="Arial"/>
        </w:rPr>
      </w:pPr>
      <w:r w:rsidRPr="00474442">
        <w:rPr>
          <w:rFonts w:ascii="Arial" w:hAnsi="Arial" w:cs="Arial"/>
        </w:rPr>
        <w:t>The policy considerations on extinctive prescription should be interpreted not only with reference to the prescriptive period in which creditors are required to enforce their rights, but also with reference to protection and fairness towards the debtor/defendant, and with reference to the effectiveness and efficiency of the courts as envisaged in the overriding objective of the rules of this court.</w:t>
      </w:r>
    </w:p>
    <w:p w:rsidR="00474442" w:rsidRPr="00474442" w:rsidRDefault="00474442" w:rsidP="00474442">
      <w:pPr>
        <w:pStyle w:val="ListParagraph"/>
        <w:spacing w:line="360" w:lineRule="auto"/>
        <w:ind w:left="0"/>
        <w:jc w:val="both"/>
        <w:rPr>
          <w:rFonts w:cs="Arial"/>
          <w:sz w:val="22"/>
          <w:szCs w:val="22"/>
        </w:rPr>
      </w:pPr>
    </w:p>
    <w:p w:rsidR="00474442" w:rsidRPr="00474442" w:rsidRDefault="00474442" w:rsidP="00474442">
      <w:pPr>
        <w:pStyle w:val="ListParagraph"/>
        <w:numPr>
          <w:ilvl w:val="0"/>
          <w:numId w:val="46"/>
        </w:numPr>
        <w:autoSpaceDE/>
        <w:autoSpaceDN/>
        <w:adjustRightInd/>
        <w:spacing w:line="360" w:lineRule="auto"/>
        <w:ind w:hanging="720"/>
        <w:jc w:val="both"/>
        <w:rPr>
          <w:rFonts w:cs="Arial"/>
          <w:b/>
          <w:sz w:val="22"/>
          <w:szCs w:val="22"/>
        </w:rPr>
      </w:pPr>
      <w:r w:rsidRPr="00474442">
        <w:rPr>
          <w:rFonts w:cs="Arial"/>
          <w:b/>
          <w:sz w:val="22"/>
          <w:szCs w:val="22"/>
        </w:rPr>
        <w:t>CONCLUSION</w:t>
      </w:r>
    </w:p>
    <w:p w:rsidR="00474442" w:rsidRPr="00474442" w:rsidRDefault="00474442" w:rsidP="00474442">
      <w:pPr>
        <w:pStyle w:val="ListParagraph"/>
        <w:spacing w:line="360" w:lineRule="auto"/>
        <w:jc w:val="both"/>
        <w:rPr>
          <w:rFonts w:cs="Arial"/>
          <w:b/>
          <w:sz w:val="22"/>
          <w:szCs w:val="22"/>
        </w:rPr>
      </w:pPr>
    </w:p>
    <w:p w:rsidR="00330DD3" w:rsidRDefault="00474442" w:rsidP="002E528B">
      <w:pPr>
        <w:widowControl w:val="0"/>
        <w:numPr>
          <w:ilvl w:val="0"/>
          <w:numId w:val="39"/>
        </w:numPr>
        <w:spacing w:after="0" w:line="360" w:lineRule="auto"/>
        <w:ind w:left="0" w:firstLine="0"/>
        <w:jc w:val="both"/>
        <w:rPr>
          <w:rFonts w:ascii="Arial" w:hAnsi="Arial" w:cs="Arial"/>
        </w:rPr>
      </w:pPr>
      <w:r w:rsidRPr="00474442">
        <w:rPr>
          <w:rFonts w:ascii="Arial" w:hAnsi="Arial" w:cs="Arial"/>
        </w:rPr>
        <w:t>Plaintiff failed to successfully prosecute the First Action after 11 years in court. As a result, his claim prescribed in October 2005. In fairness to defendant, and based on principles of extinctive prescription, defendant should not have to defend a claim that is 15 years old.</w:t>
      </w:r>
    </w:p>
    <w:p w:rsidR="00330DD3" w:rsidRDefault="00330DD3" w:rsidP="00330DD3">
      <w:pPr>
        <w:widowControl w:val="0"/>
        <w:spacing w:after="0" w:line="360" w:lineRule="auto"/>
        <w:jc w:val="both"/>
        <w:rPr>
          <w:rFonts w:ascii="Arial" w:hAnsi="Arial" w:cs="Arial"/>
        </w:rPr>
      </w:pPr>
    </w:p>
    <w:p w:rsidR="00330DD3" w:rsidRPr="00330DD3" w:rsidRDefault="00330DD3" w:rsidP="00330DD3">
      <w:pPr>
        <w:pStyle w:val="ListParagraph"/>
        <w:numPr>
          <w:ilvl w:val="0"/>
          <w:numId w:val="39"/>
        </w:numPr>
        <w:spacing w:line="360" w:lineRule="auto"/>
        <w:ind w:left="0" w:firstLine="0"/>
        <w:jc w:val="both"/>
        <w:rPr>
          <w:rFonts w:cs="Arial"/>
          <w:sz w:val="22"/>
          <w:szCs w:val="22"/>
        </w:rPr>
      </w:pPr>
      <w:r w:rsidRPr="00330DD3">
        <w:rPr>
          <w:rFonts w:cs="Arial"/>
          <w:sz w:val="22"/>
          <w:szCs w:val="22"/>
        </w:rPr>
        <w:t>We submit that the special plea of prescription should be upheld and that costs be awarded to defendant, including the costs of one instructed and one instructing counsel.</w:t>
      </w:r>
      <w:r>
        <w:rPr>
          <w:rFonts w:cs="Arial"/>
          <w:sz w:val="22"/>
          <w:szCs w:val="22"/>
        </w:rPr>
        <w:t>’</w:t>
      </w:r>
    </w:p>
    <w:p w:rsidR="004001FD" w:rsidRPr="00330DD3" w:rsidRDefault="004001FD" w:rsidP="00330DD3">
      <w:pPr>
        <w:spacing w:line="360" w:lineRule="auto"/>
        <w:jc w:val="both"/>
        <w:rPr>
          <w:rFonts w:cs="Arial"/>
        </w:rPr>
      </w:pPr>
    </w:p>
    <w:p w:rsidR="009356A1" w:rsidRDefault="00034E6E" w:rsidP="002E528B">
      <w:pPr>
        <w:pStyle w:val="ListParagraph"/>
        <w:spacing w:line="360" w:lineRule="auto"/>
        <w:ind w:left="0"/>
        <w:jc w:val="both"/>
        <w:rPr>
          <w:rFonts w:cs="Arial"/>
        </w:rPr>
      </w:pPr>
      <w:r>
        <w:rPr>
          <w:rFonts w:cs="Arial"/>
        </w:rPr>
        <w:t>[</w:t>
      </w:r>
      <w:r w:rsidR="00B43F46">
        <w:rPr>
          <w:rFonts w:cs="Arial"/>
        </w:rPr>
        <w:t>29</w:t>
      </w:r>
      <w:r>
        <w:rPr>
          <w:rFonts w:cs="Arial"/>
        </w:rPr>
        <w:t>]</w:t>
      </w:r>
      <w:r>
        <w:rPr>
          <w:rFonts w:cs="Arial"/>
        </w:rPr>
        <w:tab/>
        <w:t>D</w:t>
      </w:r>
      <w:r w:rsidR="009E554B">
        <w:rPr>
          <w:rFonts w:cs="Arial"/>
        </w:rPr>
        <w:t>uring</w:t>
      </w:r>
      <w:r w:rsidR="001241B1" w:rsidRPr="005E070B">
        <w:rPr>
          <w:rFonts w:cs="Arial"/>
        </w:rPr>
        <w:t xml:space="preserve"> </w:t>
      </w:r>
      <w:r w:rsidR="009356A1">
        <w:rPr>
          <w:rFonts w:cs="Arial"/>
        </w:rPr>
        <w:t xml:space="preserve">oral </w:t>
      </w:r>
      <w:r w:rsidR="001241B1" w:rsidRPr="005E070B">
        <w:rPr>
          <w:rFonts w:cs="Arial"/>
        </w:rPr>
        <w:t xml:space="preserve">argument </w:t>
      </w:r>
      <w:proofErr w:type="spellStart"/>
      <w:r w:rsidR="001241B1" w:rsidRPr="005E070B">
        <w:rPr>
          <w:rFonts w:cs="Arial"/>
        </w:rPr>
        <w:t>Mr</w:t>
      </w:r>
      <w:proofErr w:type="spellEnd"/>
      <w:r w:rsidR="001241B1" w:rsidRPr="005E070B">
        <w:rPr>
          <w:rFonts w:cs="Arial"/>
        </w:rPr>
        <w:t xml:space="preserve"> Dicks, who appeared on behalf of the </w:t>
      </w:r>
      <w:r w:rsidR="009E554B">
        <w:rPr>
          <w:rFonts w:cs="Arial"/>
        </w:rPr>
        <w:t>d</w:t>
      </w:r>
      <w:r w:rsidR="001241B1" w:rsidRPr="005E070B">
        <w:rPr>
          <w:rFonts w:cs="Arial"/>
        </w:rPr>
        <w:t>efendant</w:t>
      </w:r>
      <w:r>
        <w:rPr>
          <w:rFonts w:cs="Arial"/>
        </w:rPr>
        <w:t>,</w:t>
      </w:r>
      <w:r w:rsidR="001241B1" w:rsidRPr="005E070B">
        <w:rPr>
          <w:rFonts w:cs="Arial"/>
        </w:rPr>
        <w:t xml:space="preserve"> submitted that the important dates to the </w:t>
      </w:r>
      <w:r w:rsidR="009E554B">
        <w:rPr>
          <w:rFonts w:cs="Arial"/>
        </w:rPr>
        <w:t>s</w:t>
      </w:r>
      <w:r w:rsidR="001241B1" w:rsidRPr="005E070B">
        <w:rPr>
          <w:rFonts w:cs="Arial"/>
        </w:rPr>
        <w:t xml:space="preserve">pecial </w:t>
      </w:r>
      <w:r w:rsidR="009E554B">
        <w:rPr>
          <w:rFonts w:cs="Arial"/>
        </w:rPr>
        <w:t>p</w:t>
      </w:r>
      <w:r w:rsidR="001241B1" w:rsidRPr="005E070B">
        <w:rPr>
          <w:rFonts w:cs="Arial"/>
        </w:rPr>
        <w:t xml:space="preserve">lea of prescription raised were that </w:t>
      </w:r>
      <w:r>
        <w:rPr>
          <w:rFonts w:cs="Arial"/>
        </w:rPr>
        <w:t>the underlying</w:t>
      </w:r>
      <w:r w:rsidR="001241B1" w:rsidRPr="005E070B">
        <w:rPr>
          <w:rFonts w:cs="Arial"/>
        </w:rPr>
        <w:t xml:space="preserve"> contract was concluded during 2001 and that a dispute in this regard had </w:t>
      </w:r>
      <w:r>
        <w:rPr>
          <w:rFonts w:cs="Arial"/>
        </w:rPr>
        <w:t>a</w:t>
      </w:r>
      <w:r w:rsidR="001241B1" w:rsidRPr="005E070B">
        <w:rPr>
          <w:rFonts w:cs="Arial"/>
        </w:rPr>
        <w:t>risen during 2002,</w:t>
      </w:r>
      <w:r w:rsidR="009E554B">
        <w:rPr>
          <w:rFonts w:cs="Arial"/>
        </w:rPr>
        <w:t xml:space="preserve"> that</w:t>
      </w:r>
      <w:r w:rsidR="001241B1" w:rsidRPr="005E070B">
        <w:rPr>
          <w:rFonts w:cs="Arial"/>
        </w:rPr>
        <w:t xml:space="preserve"> </w:t>
      </w:r>
      <w:r w:rsidR="009E554B">
        <w:rPr>
          <w:rFonts w:cs="Arial"/>
        </w:rPr>
        <w:t>s</w:t>
      </w:r>
      <w:r w:rsidR="001241B1" w:rsidRPr="005E070B">
        <w:rPr>
          <w:rFonts w:cs="Arial"/>
        </w:rPr>
        <w:t>ummons which was issued as a result was served on 23 July 2004, that was before the claim could have prescribed during 2005.</w:t>
      </w:r>
      <w:r>
        <w:rPr>
          <w:rFonts w:cs="Arial"/>
        </w:rPr>
        <w:t xml:space="preserve"> </w:t>
      </w:r>
      <w:r w:rsidR="001241B1" w:rsidRPr="005E070B">
        <w:rPr>
          <w:rFonts w:cs="Arial"/>
        </w:rPr>
        <w:t>In May 2016, the second action was instituted</w:t>
      </w:r>
      <w:r>
        <w:rPr>
          <w:rFonts w:cs="Arial"/>
        </w:rPr>
        <w:t>. With reference to</w:t>
      </w:r>
      <w:r w:rsidRPr="00034E6E">
        <w:t xml:space="preserve"> </w:t>
      </w:r>
      <w:r w:rsidRPr="00034E6E">
        <w:rPr>
          <w:rFonts w:cs="Arial"/>
          <w:i/>
        </w:rPr>
        <w:t xml:space="preserve">Titus v Union &amp; SWA Ins Co </w:t>
      </w:r>
      <w:proofErr w:type="gramStart"/>
      <w:r w:rsidRPr="00034E6E">
        <w:rPr>
          <w:rFonts w:cs="Arial"/>
          <w:i/>
        </w:rPr>
        <w:t>Ltd </w:t>
      </w:r>
      <w:proofErr w:type="gramEnd"/>
      <w:r>
        <w:rPr>
          <w:rStyle w:val="FootnoteReference"/>
          <w:i/>
        </w:rPr>
        <w:footnoteReference w:id="25"/>
      </w:r>
      <w:r w:rsidR="001241B1" w:rsidRPr="005E070B">
        <w:rPr>
          <w:rFonts w:cs="Arial"/>
        </w:rPr>
        <w:t xml:space="preserve">, it was submitted that it could not be said that the </w:t>
      </w:r>
      <w:r w:rsidR="009E554B">
        <w:rPr>
          <w:rFonts w:cs="Arial"/>
        </w:rPr>
        <w:t>p</w:t>
      </w:r>
      <w:r w:rsidR="001241B1" w:rsidRPr="005E070B">
        <w:rPr>
          <w:rFonts w:cs="Arial"/>
        </w:rPr>
        <w:t xml:space="preserve">laintiff had prosecuted the </w:t>
      </w:r>
      <w:r w:rsidR="001241B1" w:rsidRPr="005E070B">
        <w:rPr>
          <w:rFonts w:cs="Arial"/>
        </w:rPr>
        <w:lastRenderedPageBreak/>
        <w:t>firs</w:t>
      </w:r>
      <w:r w:rsidR="00BA273B">
        <w:rPr>
          <w:rFonts w:cs="Arial"/>
        </w:rPr>
        <w:t>t action to final judgment, given</w:t>
      </w:r>
      <w:r w:rsidR="001241B1" w:rsidRPr="005E070B">
        <w:rPr>
          <w:rFonts w:cs="Arial"/>
        </w:rPr>
        <w:t xml:space="preserve"> that</w:t>
      </w:r>
      <w:r w:rsidR="00BA273B">
        <w:rPr>
          <w:rFonts w:cs="Arial"/>
        </w:rPr>
        <w:t xml:space="preserve"> the</w:t>
      </w:r>
      <w:r w:rsidR="001241B1" w:rsidRPr="005E070B">
        <w:rPr>
          <w:rFonts w:cs="Arial"/>
        </w:rPr>
        <w:t xml:space="preserve"> relevant process was that as instituted during 2004.  A final judgment</w:t>
      </w:r>
      <w:r w:rsidR="00BA273B">
        <w:rPr>
          <w:rFonts w:cs="Arial"/>
        </w:rPr>
        <w:t xml:space="preserve"> -</w:t>
      </w:r>
      <w:r w:rsidR="001241B1" w:rsidRPr="005E070B">
        <w:rPr>
          <w:rFonts w:cs="Arial"/>
        </w:rPr>
        <w:t xml:space="preserve"> that was an executable judgment</w:t>
      </w:r>
      <w:r w:rsidR="00BA273B">
        <w:rPr>
          <w:rFonts w:cs="Arial"/>
        </w:rPr>
        <w:t xml:space="preserve"> -</w:t>
      </w:r>
      <w:r w:rsidR="001241B1" w:rsidRPr="005E070B">
        <w:rPr>
          <w:rFonts w:cs="Arial"/>
        </w:rPr>
        <w:t xml:space="preserve"> was never obtained by the </w:t>
      </w:r>
      <w:r w:rsidR="009E554B">
        <w:rPr>
          <w:rFonts w:cs="Arial"/>
        </w:rPr>
        <w:t>p</w:t>
      </w:r>
      <w:r w:rsidR="001241B1" w:rsidRPr="005E070B">
        <w:rPr>
          <w:rFonts w:cs="Arial"/>
        </w:rPr>
        <w:t>laintiff in the first action</w:t>
      </w:r>
      <w:r w:rsidR="00BA273B">
        <w:rPr>
          <w:rFonts w:cs="Arial"/>
        </w:rPr>
        <w:t>. W</w:t>
      </w:r>
      <w:r w:rsidR="001241B1" w:rsidRPr="005E070B">
        <w:rPr>
          <w:rFonts w:cs="Arial"/>
        </w:rPr>
        <w:t>ith reference to the relevant passage</w:t>
      </w:r>
      <w:r w:rsidR="00BA273B">
        <w:rPr>
          <w:rFonts w:cs="Arial"/>
        </w:rPr>
        <w:t>s of the transcript from</w:t>
      </w:r>
      <w:r w:rsidR="001241B1" w:rsidRPr="005E070B">
        <w:rPr>
          <w:rFonts w:cs="Arial"/>
        </w:rPr>
        <w:t xml:space="preserve"> which it appeared that </w:t>
      </w:r>
      <w:r w:rsidR="009E554B">
        <w:rPr>
          <w:rFonts w:cs="Arial"/>
        </w:rPr>
        <w:t>a</w:t>
      </w:r>
      <w:r w:rsidR="001241B1" w:rsidRPr="005E070B">
        <w:rPr>
          <w:rFonts w:cs="Arial"/>
        </w:rPr>
        <w:t>bsolution was granted and how it came about, he submit</w:t>
      </w:r>
      <w:r w:rsidR="009356A1">
        <w:rPr>
          <w:rFonts w:cs="Arial"/>
        </w:rPr>
        <w:t>ted</w:t>
      </w:r>
      <w:r w:rsidR="00ED6923">
        <w:rPr>
          <w:rFonts w:cs="Arial"/>
        </w:rPr>
        <w:t xml:space="preserve"> that the recorded events</w:t>
      </w:r>
      <w:r w:rsidR="001241B1" w:rsidRPr="005E070B">
        <w:rPr>
          <w:rFonts w:cs="Arial"/>
        </w:rPr>
        <w:t xml:space="preserve"> underscored his submission that the </w:t>
      </w:r>
      <w:r w:rsidR="009E554B">
        <w:rPr>
          <w:rFonts w:cs="Arial"/>
        </w:rPr>
        <w:t>p</w:t>
      </w:r>
      <w:r w:rsidR="001241B1" w:rsidRPr="005E070B">
        <w:rPr>
          <w:rFonts w:cs="Arial"/>
        </w:rPr>
        <w:t xml:space="preserve">laintiff’s claim was never successfully prosecuted.  The effect of </w:t>
      </w:r>
      <w:r w:rsidR="00ED6923">
        <w:rPr>
          <w:rFonts w:cs="Arial"/>
        </w:rPr>
        <w:t xml:space="preserve">all </w:t>
      </w:r>
      <w:r w:rsidR="001241B1" w:rsidRPr="005E070B">
        <w:rPr>
          <w:rFonts w:cs="Arial"/>
        </w:rPr>
        <w:t xml:space="preserve">that was that the </w:t>
      </w:r>
      <w:r w:rsidR="009356A1">
        <w:rPr>
          <w:rFonts w:cs="Arial"/>
        </w:rPr>
        <w:t>interruption</w:t>
      </w:r>
      <w:r w:rsidR="001241B1" w:rsidRPr="005E070B">
        <w:rPr>
          <w:rFonts w:cs="Arial"/>
        </w:rPr>
        <w:t xml:space="preserve"> of the prescriptive period</w:t>
      </w:r>
      <w:r w:rsidR="00ED6923">
        <w:rPr>
          <w:rFonts w:cs="Arial"/>
        </w:rPr>
        <w:t>,</w:t>
      </w:r>
      <w:r w:rsidR="001241B1" w:rsidRPr="005E070B">
        <w:rPr>
          <w:rFonts w:cs="Arial"/>
        </w:rPr>
        <w:t xml:space="preserve"> which had occurred through the service of </w:t>
      </w:r>
      <w:r w:rsidR="009E554B">
        <w:rPr>
          <w:rFonts w:cs="Arial"/>
        </w:rPr>
        <w:t>s</w:t>
      </w:r>
      <w:r w:rsidR="001241B1" w:rsidRPr="005E070B">
        <w:rPr>
          <w:rFonts w:cs="Arial"/>
        </w:rPr>
        <w:t>ummons on 23 July 2004</w:t>
      </w:r>
      <w:r w:rsidR="009E554B">
        <w:rPr>
          <w:rFonts w:cs="Arial"/>
        </w:rPr>
        <w:t>,</w:t>
      </w:r>
      <w:r w:rsidR="001241B1" w:rsidRPr="005E070B">
        <w:rPr>
          <w:rFonts w:cs="Arial"/>
        </w:rPr>
        <w:t xml:space="preserve"> thus lapsed and that accordingly the </w:t>
      </w:r>
      <w:r w:rsidR="009356A1">
        <w:rPr>
          <w:rFonts w:cs="Arial"/>
        </w:rPr>
        <w:t>deeming</w:t>
      </w:r>
      <w:r w:rsidR="001241B1" w:rsidRPr="005E070B">
        <w:rPr>
          <w:rFonts w:cs="Arial"/>
        </w:rPr>
        <w:t xml:space="preserve"> provision contained in Section 15(2) </w:t>
      </w:r>
      <w:r w:rsidR="00ED6923">
        <w:rPr>
          <w:rFonts w:cs="Arial"/>
        </w:rPr>
        <w:t xml:space="preserve">had </w:t>
      </w:r>
      <w:r w:rsidR="001241B1" w:rsidRPr="005E070B">
        <w:rPr>
          <w:rFonts w:cs="Arial"/>
        </w:rPr>
        <w:t>kicked in, which meant that the prescriptive period of 3 years</w:t>
      </w:r>
      <w:r w:rsidR="00ED6923">
        <w:rPr>
          <w:rFonts w:cs="Arial"/>
        </w:rPr>
        <w:t>,</w:t>
      </w:r>
      <w:r w:rsidR="001241B1" w:rsidRPr="005E070B">
        <w:rPr>
          <w:rFonts w:cs="Arial"/>
        </w:rPr>
        <w:t xml:space="preserve"> which had commenced in 2002</w:t>
      </w:r>
      <w:r w:rsidR="00ED6923">
        <w:rPr>
          <w:rFonts w:cs="Arial"/>
        </w:rPr>
        <w:t>,</w:t>
      </w:r>
      <w:r w:rsidR="001241B1" w:rsidRPr="005E070B">
        <w:rPr>
          <w:rFonts w:cs="Arial"/>
        </w:rPr>
        <w:t xml:space="preserve"> would no longer have been interrupted resulting in a situation that the </w:t>
      </w:r>
      <w:r w:rsidR="009E554B">
        <w:rPr>
          <w:rFonts w:cs="Arial"/>
        </w:rPr>
        <w:t>p</w:t>
      </w:r>
      <w:r w:rsidR="001241B1" w:rsidRPr="005E070B">
        <w:rPr>
          <w:rFonts w:cs="Arial"/>
        </w:rPr>
        <w:t xml:space="preserve">laintiff’s claim had thus become prescribed in 2005. </w:t>
      </w:r>
      <w:r w:rsidR="009E554B">
        <w:rPr>
          <w:rFonts w:cs="Arial"/>
        </w:rPr>
        <w:t xml:space="preserve"> </w:t>
      </w:r>
      <w:r w:rsidR="001241B1" w:rsidRPr="005E070B">
        <w:rPr>
          <w:rFonts w:cs="Arial"/>
        </w:rPr>
        <w:t>The second action</w:t>
      </w:r>
      <w:r w:rsidR="00ED6923">
        <w:rPr>
          <w:rFonts w:cs="Arial"/>
        </w:rPr>
        <w:t xml:space="preserve"> -</w:t>
      </w:r>
      <w:r w:rsidR="001241B1" w:rsidRPr="005E070B">
        <w:rPr>
          <w:rFonts w:cs="Arial"/>
        </w:rPr>
        <w:t xml:space="preserve"> which was instituted some 11 y</w:t>
      </w:r>
      <w:r w:rsidR="004920D0">
        <w:rPr>
          <w:rFonts w:cs="Arial"/>
        </w:rPr>
        <w:t>ears</w:t>
      </w:r>
      <w:r w:rsidR="001241B1" w:rsidRPr="005E070B">
        <w:rPr>
          <w:rFonts w:cs="Arial"/>
        </w:rPr>
        <w:t xml:space="preserve"> later</w:t>
      </w:r>
      <w:r w:rsidR="00ED6923">
        <w:rPr>
          <w:rFonts w:cs="Arial"/>
        </w:rPr>
        <w:t xml:space="preserve"> -</w:t>
      </w:r>
      <w:r w:rsidR="001241B1" w:rsidRPr="005E070B">
        <w:rPr>
          <w:rFonts w:cs="Arial"/>
        </w:rPr>
        <w:t xml:space="preserve"> during May 2016</w:t>
      </w:r>
      <w:r w:rsidR="00ED6923">
        <w:rPr>
          <w:rFonts w:cs="Arial"/>
        </w:rPr>
        <w:t xml:space="preserve"> -</w:t>
      </w:r>
      <w:r w:rsidR="001241B1" w:rsidRPr="005E070B">
        <w:rPr>
          <w:rFonts w:cs="Arial"/>
        </w:rPr>
        <w:t xml:space="preserve"> thus had become prescribed.  </w:t>
      </w:r>
      <w:r w:rsidR="00ED6923">
        <w:rPr>
          <w:rFonts w:cs="Arial"/>
        </w:rPr>
        <w:t>The i</w:t>
      </w:r>
      <w:r w:rsidR="001241B1" w:rsidRPr="005E070B">
        <w:rPr>
          <w:rFonts w:cs="Arial"/>
        </w:rPr>
        <w:t>ssues</w:t>
      </w:r>
      <w:r w:rsidR="00ED6923">
        <w:rPr>
          <w:rFonts w:cs="Arial"/>
        </w:rPr>
        <w:t>,</w:t>
      </w:r>
      <w:r w:rsidR="001241B1" w:rsidRPr="005E070B">
        <w:rPr>
          <w:rFonts w:cs="Arial"/>
        </w:rPr>
        <w:t xml:space="preserve"> which had been formulated by the parties in the amended stated case</w:t>
      </w:r>
      <w:r w:rsidR="00ED6923">
        <w:rPr>
          <w:rFonts w:cs="Arial"/>
        </w:rPr>
        <w:t>,</w:t>
      </w:r>
      <w:r w:rsidR="001241B1" w:rsidRPr="005E070B">
        <w:rPr>
          <w:rFonts w:cs="Arial"/>
        </w:rPr>
        <w:t xml:space="preserve"> for the determination of the court</w:t>
      </w:r>
      <w:r w:rsidR="00ED6923">
        <w:rPr>
          <w:rFonts w:cs="Arial"/>
        </w:rPr>
        <w:t>, we</w:t>
      </w:r>
      <w:r w:rsidR="001241B1" w:rsidRPr="005E070B">
        <w:rPr>
          <w:rFonts w:cs="Arial"/>
        </w:rPr>
        <w:t xml:space="preserve">re thus to be answered as follows: 2.1 in the affirmative, 2.2 in the affirmative, 2.3 in the affirmative.  </w:t>
      </w:r>
    </w:p>
    <w:p w:rsidR="009356A1" w:rsidRDefault="009356A1" w:rsidP="002E528B">
      <w:pPr>
        <w:pStyle w:val="ListParagraph"/>
        <w:spacing w:line="360" w:lineRule="auto"/>
        <w:ind w:left="0"/>
        <w:jc w:val="both"/>
        <w:rPr>
          <w:rFonts w:cs="Arial"/>
        </w:rPr>
      </w:pPr>
    </w:p>
    <w:p w:rsidR="00183641" w:rsidRPr="00183641" w:rsidRDefault="00183641" w:rsidP="002E528B">
      <w:pPr>
        <w:pStyle w:val="ListParagraph"/>
        <w:spacing w:line="360" w:lineRule="auto"/>
        <w:ind w:left="0"/>
        <w:jc w:val="both"/>
        <w:rPr>
          <w:rFonts w:cs="Arial"/>
          <w:u w:val="single"/>
        </w:rPr>
      </w:pPr>
      <w:r w:rsidRPr="00183641">
        <w:rPr>
          <w:rFonts w:cs="Arial"/>
          <w:u w:val="single"/>
        </w:rPr>
        <w:t>Resolution</w:t>
      </w:r>
    </w:p>
    <w:p w:rsidR="00183641" w:rsidRDefault="00183641" w:rsidP="002E528B">
      <w:pPr>
        <w:pStyle w:val="ListParagraph"/>
        <w:spacing w:line="360" w:lineRule="auto"/>
        <w:ind w:left="0"/>
        <w:jc w:val="both"/>
        <w:rPr>
          <w:rFonts w:cs="Arial"/>
        </w:rPr>
      </w:pPr>
    </w:p>
    <w:p w:rsidR="00566F22" w:rsidRDefault="009356A1" w:rsidP="002E528B">
      <w:pPr>
        <w:pStyle w:val="ListParagraph"/>
        <w:spacing w:line="360" w:lineRule="auto"/>
        <w:ind w:left="0"/>
        <w:jc w:val="both"/>
        <w:rPr>
          <w:rFonts w:cs="Arial"/>
        </w:rPr>
      </w:pPr>
      <w:r>
        <w:rPr>
          <w:rFonts w:cs="Arial"/>
        </w:rPr>
        <w:t>[</w:t>
      </w:r>
      <w:r w:rsidR="00B43F46">
        <w:rPr>
          <w:rFonts w:cs="Arial"/>
        </w:rPr>
        <w:t>30</w:t>
      </w:r>
      <w:r>
        <w:rPr>
          <w:rFonts w:cs="Arial"/>
        </w:rPr>
        <w:t>]</w:t>
      </w:r>
      <w:r>
        <w:rPr>
          <w:rFonts w:cs="Arial"/>
        </w:rPr>
        <w:tab/>
      </w:r>
      <w:r w:rsidR="001241B1" w:rsidRPr="005E070B">
        <w:rPr>
          <w:rFonts w:cs="Arial"/>
        </w:rPr>
        <w:t>Given the contradictory arguments and stances adopted by the parties it would seem that they have to be determine</w:t>
      </w:r>
      <w:r>
        <w:rPr>
          <w:rFonts w:cs="Arial"/>
        </w:rPr>
        <w:t>d</w:t>
      </w:r>
      <w:r w:rsidR="00BB710C">
        <w:rPr>
          <w:rFonts w:cs="Arial"/>
        </w:rPr>
        <w:t>, in the first instance,</w:t>
      </w:r>
      <w:r>
        <w:rPr>
          <w:rFonts w:cs="Arial"/>
        </w:rPr>
        <w:t xml:space="preserve"> against the following factua</w:t>
      </w:r>
      <w:r w:rsidR="001241B1" w:rsidRPr="005E070B">
        <w:rPr>
          <w:rFonts w:cs="Arial"/>
        </w:rPr>
        <w:t xml:space="preserve">l matrix: </w:t>
      </w:r>
    </w:p>
    <w:p w:rsidR="000B0228" w:rsidRDefault="000B0228" w:rsidP="002E528B">
      <w:pPr>
        <w:pStyle w:val="ListParagraph"/>
        <w:spacing w:line="360" w:lineRule="auto"/>
        <w:ind w:left="0"/>
        <w:jc w:val="both"/>
        <w:rPr>
          <w:rFonts w:cs="Arial"/>
        </w:rPr>
      </w:pPr>
    </w:p>
    <w:p w:rsidR="000B0228" w:rsidRDefault="000B0228" w:rsidP="000B0228">
      <w:pPr>
        <w:pStyle w:val="ListParagraph"/>
        <w:numPr>
          <w:ilvl w:val="0"/>
          <w:numId w:val="41"/>
        </w:numPr>
        <w:spacing w:line="360" w:lineRule="auto"/>
        <w:ind w:left="0" w:firstLine="0"/>
        <w:jc w:val="both"/>
        <w:rPr>
          <w:rFonts w:cs="Arial"/>
        </w:rPr>
      </w:pPr>
      <w:r>
        <w:rPr>
          <w:rFonts w:cs="Arial"/>
        </w:rPr>
        <w:t>P</w:t>
      </w:r>
      <w:r w:rsidR="001241B1" w:rsidRPr="005E070B">
        <w:rPr>
          <w:rFonts w:cs="Arial"/>
        </w:rPr>
        <w:t xml:space="preserve">laintiff clearly instituted two actions for the enforcement of the same debt against the </w:t>
      </w:r>
      <w:r w:rsidR="004920D0">
        <w:rPr>
          <w:rFonts w:cs="Arial"/>
        </w:rPr>
        <w:t>d</w:t>
      </w:r>
      <w:r w:rsidR="001241B1" w:rsidRPr="005E070B">
        <w:rPr>
          <w:rFonts w:cs="Arial"/>
        </w:rPr>
        <w:t>efendant;</w:t>
      </w:r>
    </w:p>
    <w:p w:rsidR="000B0228" w:rsidRDefault="001241B1" w:rsidP="000B0228">
      <w:pPr>
        <w:pStyle w:val="ListParagraph"/>
        <w:spacing w:line="360" w:lineRule="auto"/>
        <w:ind w:left="0"/>
        <w:jc w:val="both"/>
        <w:rPr>
          <w:rFonts w:cs="Arial"/>
        </w:rPr>
      </w:pPr>
      <w:r w:rsidRPr="005E070B">
        <w:rPr>
          <w:rFonts w:cs="Arial"/>
        </w:rPr>
        <w:t xml:space="preserve"> </w:t>
      </w:r>
    </w:p>
    <w:p w:rsidR="000B0228" w:rsidRDefault="000B0228" w:rsidP="000B0228">
      <w:pPr>
        <w:pStyle w:val="ListParagraph"/>
        <w:numPr>
          <w:ilvl w:val="0"/>
          <w:numId w:val="41"/>
        </w:numPr>
        <w:spacing w:line="360" w:lineRule="auto"/>
        <w:ind w:left="0" w:firstLine="0"/>
        <w:jc w:val="both"/>
        <w:rPr>
          <w:rFonts w:cs="Arial"/>
        </w:rPr>
      </w:pPr>
      <w:r>
        <w:rPr>
          <w:rFonts w:cs="Arial"/>
        </w:rPr>
        <w:t>T</w:t>
      </w:r>
      <w:r w:rsidR="001241B1" w:rsidRPr="005E070B">
        <w:rPr>
          <w:rFonts w:cs="Arial"/>
        </w:rPr>
        <w:t xml:space="preserve">hose are the actions instituted under High Court cases </w:t>
      </w:r>
      <w:r w:rsidR="004920D0">
        <w:rPr>
          <w:rFonts w:cs="Arial"/>
        </w:rPr>
        <w:t>(</w:t>
      </w:r>
      <w:r w:rsidR="001241B1" w:rsidRPr="005E070B">
        <w:rPr>
          <w:rFonts w:cs="Arial"/>
        </w:rPr>
        <w:t>T</w:t>
      </w:r>
      <w:r w:rsidR="004920D0">
        <w:rPr>
          <w:rFonts w:cs="Arial"/>
        </w:rPr>
        <w:t xml:space="preserve">) </w:t>
      </w:r>
      <w:r w:rsidR="001241B1" w:rsidRPr="005E070B">
        <w:rPr>
          <w:rFonts w:cs="Arial"/>
        </w:rPr>
        <w:t>I</w:t>
      </w:r>
      <w:r w:rsidR="004920D0">
        <w:rPr>
          <w:rFonts w:cs="Arial"/>
        </w:rPr>
        <w:t xml:space="preserve"> </w:t>
      </w:r>
      <w:r w:rsidR="001241B1" w:rsidRPr="005E070B">
        <w:rPr>
          <w:rFonts w:cs="Arial"/>
        </w:rPr>
        <w:t>1632/2004 and I</w:t>
      </w:r>
      <w:r w:rsidR="004920D0">
        <w:rPr>
          <w:rFonts w:cs="Arial"/>
        </w:rPr>
        <w:t xml:space="preserve"> </w:t>
      </w:r>
      <w:r w:rsidR="001241B1" w:rsidRPr="005E070B">
        <w:rPr>
          <w:rFonts w:cs="Arial"/>
        </w:rPr>
        <w:t xml:space="preserve">25/2016; </w:t>
      </w:r>
    </w:p>
    <w:p w:rsidR="000B0228" w:rsidRPr="000B0228" w:rsidRDefault="000B0228" w:rsidP="000B0228">
      <w:pPr>
        <w:pStyle w:val="ListParagraph"/>
        <w:rPr>
          <w:rFonts w:cs="Arial"/>
        </w:rPr>
      </w:pPr>
    </w:p>
    <w:p w:rsidR="000B0228" w:rsidRDefault="000B0228" w:rsidP="000B0228">
      <w:pPr>
        <w:pStyle w:val="ListParagraph"/>
        <w:numPr>
          <w:ilvl w:val="0"/>
          <w:numId w:val="41"/>
        </w:numPr>
        <w:spacing w:line="360" w:lineRule="auto"/>
        <w:ind w:left="0" w:firstLine="0"/>
        <w:jc w:val="both"/>
        <w:rPr>
          <w:rFonts w:cs="Arial"/>
        </w:rPr>
      </w:pPr>
      <w:r>
        <w:rPr>
          <w:rFonts w:cs="Arial"/>
        </w:rPr>
        <w:lastRenderedPageBreak/>
        <w:t>T</w:t>
      </w:r>
      <w:r w:rsidR="001241B1" w:rsidRPr="005E070B">
        <w:rPr>
          <w:rFonts w:cs="Arial"/>
        </w:rPr>
        <w:t xml:space="preserve">he action instituted in 2004 under High Court case </w:t>
      </w:r>
      <w:r w:rsidR="004920D0">
        <w:rPr>
          <w:rFonts w:cs="Arial"/>
        </w:rPr>
        <w:t>(</w:t>
      </w:r>
      <w:r w:rsidR="001241B1" w:rsidRPr="005E070B">
        <w:rPr>
          <w:rFonts w:cs="Arial"/>
        </w:rPr>
        <w:t>T</w:t>
      </w:r>
      <w:r w:rsidR="004920D0">
        <w:rPr>
          <w:rFonts w:cs="Arial"/>
        </w:rPr>
        <w:t xml:space="preserve">) </w:t>
      </w:r>
      <w:r w:rsidR="001241B1" w:rsidRPr="005E070B">
        <w:rPr>
          <w:rFonts w:cs="Arial"/>
        </w:rPr>
        <w:t>I</w:t>
      </w:r>
      <w:r w:rsidR="004920D0">
        <w:rPr>
          <w:rFonts w:cs="Arial"/>
        </w:rPr>
        <w:t xml:space="preserve"> </w:t>
      </w:r>
      <w:r w:rsidR="001241B1" w:rsidRPr="005E070B">
        <w:rPr>
          <w:rFonts w:cs="Arial"/>
        </w:rPr>
        <w:t xml:space="preserve">1632/2004 ended in </w:t>
      </w:r>
      <w:r w:rsidR="004920D0">
        <w:rPr>
          <w:rFonts w:cs="Arial"/>
        </w:rPr>
        <w:t>a</w:t>
      </w:r>
      <w:r w:rsidR="001241B1" w:rsidRPr="005E070B">
        <w:rPr>
          <w:rFonts w:cs="Arial"/>
        </w:rPr>
        <w:t>bsolution from the instan</w:t>
      </w:r>
      <w:r w:rsidR="004920D0">
        <w:rPr>
          <w:rFonts w:cs="Arial"/>
        </w:rPr>
        <w:t>ce being granted on 18 May 2015.</w:t>
      </w:r>
      <w:r w:rsidR="001241B1" w:rsidRPr="005E070B">
        <w:rPr>
          <w:rFonts w:cs="Arial"/>
        </w:rPr>
        <w:t xml:space="preserve"> </w:t>
      </w:r>
      <w:r w:rsidR="004920D0">
        <w:rPr>
          <w:rFonts w:cs="Arial"/>
        </w:rPr>
        <w:t xml:space="preserve"> I</w:t>
      </w:r>
      <w:r w:rsidR="001241B1" w:rsidRPr="005E070B">
        <w:rPr>
          <w:rFonts w:cs="Arial"/>
        </w:rPr>
        <w:t>t was this case that could have been re-enrolled</w:t>
      </w:r>
      <w:r w:rsidR="00183641">
        <w:rPr>
          <w:rFonts w:cs="Arial"/>
        </w:rPr>
        <w:t xml:space="preserve">, as per </w:t>
      </w:r>
      <w:proofErr w:type="spellStart"/>
      <w:r w:rsidR="00183641">
        <w:rPr>
          <w:rFonts w:cs="Arial"/>
        </w:rPr>
        <w:t>Ueitele</w:t>
      </w:r>
      <w:proofErr w:type="spellEnd"/>
      <w:r w:rsidR="00183641">
        <w:rPr>
          <w:rFonts w:cs="Arial"/>
        </w:rPr>
        <w:t xml:space="preserve"> J’s order,</w:t>
      </w:r>
      <w:r w:rsidR="001241B1" w:rsidRPr="005E070B">
        <w:rPr>
          <w:rFonts w:cs="Arial"/>
        </w:rPr>
        <w:t xml:space="preserve"> upon payment of the costs</w:t>
      </w:r>
      <w:r w:rsidR="00BB710C">
        <w:rPr>
          <w:rFonts w:cs="Arial"/>
        </w:rPr>
        <w:t>,</w:t>
      </w:r>
      <w:r w:rsidR="001241B1" w:rsidRPr="005E070B">
        <w:rPr>
          <w:rFonts w:cs="Arial"/>
        </w:rPr>
        <w:t xml:space="preserve"> which was never done.  The </w:t>
      </w:r>
      <w:r>
        <w:rPr>
          <w:rFonts w:cs="Arial"/>
        </w:rPr>
        <w:t>o</w:t>
      </w:r>
      <w:r w:rsidR="00BB710C">
        <w:rPr>
          <w:rFonts w:cs="Arial"/>
        </w:rPr>
        <w:t>rder for</w:t>
      </w:r>
      <w:r w:rsidR="001241B1" w:rsidRPr="005E070B">
        <w:rPr>
          <w:rFonts w:cs="Arial"/>
        </w:rPr>
        <w:t xml:space="preserve"> </w:t>
      </w:r>
      <w:r>
        <w:rPr>
          <w:rFonts w:cs="Arial"/>
        </w:rPr>
        <w:t>a</w:t>
      </w:r>
      <w:r w:rsidR="001241B1" w:rsidRPr="005E070B">
        <w:rPr>
          <w:rFonts w:cs="Arial"/>
        </w:rPr>
        <w:t>bsolution</w:t>
      </w:r>
      <w:r w:rsidR="00BB710C">
        <w:rPr>
          <w:rFonts w:cs="Arial"/>
        </w:rPr>
        <w:t>, which was granted on 18 May 2015,</w:t>
      </w:r>
      <w:r w:rsidR="001241B1" w:rsidRPr="005E070B">
        <w:rPr>
          <w:rFonts w:cs="Arial"/>
        </w:rPr>
        <w:t xml:space="preserve"> </w:t>
      </w:r>
      <w:r w:rsidR="00BB710C">
        <w:rPr>
          <w:rFonts w:cs="Arial"/>
        </w:rPr>
        <w:t xml:space="preserve">was </w:t>
      </w:r>
      <w:r w:rsidR="001241B1" w:rsidRPr="005E070B">
        <w:rPr>
          <w:rFonts w:cs="Arial"/>
        </w:rPr>
        <w:t xml:space="preserve">also never taken on appeal and thus became final; </w:t>
      </w:r>
    </w:p>
    <w:p w:rsidR="000B0228" w:rsidRPr="000B0228" w:rsidRDefault="000B0228" w:rsidP="000B0228">
      <w:pPr>
        <w:pStyle w:val="ListParagraph"/>
        <w:rPr>
          <w:rFonts w:cs="Arial"/>
        </w:rPr>
      </w:pPr>
    </w:p>
    <w:p w:rsidR="000B0228" w:rsidRDefault="000B0228" w:rsidP="000B0228">
      <w:pPr>
        <w:pStyle w:val="ListParagraph"/>
        <w:numPr>
          <w:ilvl w:val="0"/>
          <w:numId w:val="41"/>
        </w:numPr>
        <w:spacing w:line="360" w:lineRule="auto"/>
        <w:ind w:left="0" w:firstLine="0"/>
        <w:jc w:val="both"/>
        <w:rPr>
          <w:rFonts w:cs="Arial"/>
        </w:rPr>
      </w:pPr>
      <w:r>
        <w:rPr>
          <w:rFonts w:cs="Arial"/>
        </w:rPr>
        <w:t>T</w:t>
      </w:r>
      <w:r w:rsidR="001241B1" w:rsidRPr="005E070B">
        <w:rPr>
          <w:rFonts w:cs="Arial"/>
        </w:rPr>
        <w:t>he second case instituted in 2016</w:t>
      </w:r>
      <w:r w:rsidR="00183641">
        <w:rPr>
          <w:rFonts w:cs="Arial"/>
        </w:rPr>
        <w:t>, in High Court</w:t>
      </w:r>
      <w:r w:rsidR="001241B1" w:rsidRPr="005E070B">
        <w:rPr>
          <w:rFonts w:cs="Arial"/>
        </w:rPr>
        <w:t xml:space="preserve"> case I</w:t>
      </w:r>
      <w:r>
        <w:rPr>
          <w:rFonts w:cs="Arial"/>
        </w:rPr>
        <w:t xml:space="preserve"> </w:t>
      </w:r>
      <w:r w:rsidR="001241B1" w:rsidRPr="005E070B">
        <w:rPr>
          <w:rFonts w:cs="Arial"/>
        </w:rPr>
        <w:t>25/2016</w:t>
      </w:r>
      <w:r w:rsidR="00183641">
        <w:rPr>
          <w:rFonts w:cs="Arial"/>
        </w:rPr>
        <w:t>,</w:t>
      </w:r>
      <w:r w:rsidR="001241B1" w:rsidRPr="005E070B">
        <w:rPr>
          <w:rFonts w:cs="Arial"/>
        </w:rPr>
        <w:t xml:space="preserve"> was institu</w:t>
      </w:r>
      <w:r w:rsidR="00BB710C">
        <w:rPr>
          <w:rFonts w:cs="Arial"/>
        </w:rPr>
        <w:t>ted on essentially the same cau</w:t>
      </w:r>
      <w:r w:rsidR="001241B1" w:rsidRPr="005E070B">
        <w:rPr>
          <w:rFonts w:cs="Arial"/>
        </w:rPr>
        <w:t>se of action</w:t>
      </w:r>
      <w:r w:rsidR="00BB710C">
        <w:rPr>
          <w:rFonts w:cs="Arial"/>
        </w:rPr>
        <w:t xml:space="preserve"> -</w:t>
      </w:r>
      <w:r w:rsidR="001241B1" w:rsidRPr="005E070B">
        <w:rPr>
          <w:rFonts w:cs="Arial"/>
        </w:rPr>
        <w:t xml:space="preserve"> and </w:t>
      </w:r>
      <w:r w:rsidR="00BB710C">
        <w:rPr>
          <w:rFonts w:cs="Arial"/>
        </w:rPr>
        <w:t xml:space="preserve">on </w:t>
      </w:r>
      <w:r w:rsidR="001241B1" w:rsidRPr="005E070B">
        <w:rPr>
          <w:rFonts w:cs="Arial"/>
        </w:rPr>
        <w:t>substantially similar facts</w:t>
      </w:r>
      <w:r w:rsidR="00BB710C">
        <w:rPr>
          <w:rFonts w:cs="Arial"/>
        </w:rPr>
        <w:t xml:space="preserve"> -</w:t>
      </w:r>
      <w:r w:rsidR="001241B1" w:rsidRPr="005E070B">
        <w:rPr>
          <w:rFonts w:cs="Arial"/>
        </w:rPr>
        <w:t xml:space="preserve"> and for the same relief as the first action.  This is also the case in which the parties have agreed to have their dispute determined by way of this stated case; </w:t>
      </w:r>
    </w:p>
    <w:p w:rsidR="000B0228" w:rsidRPr="000B0228" w:rsidRDefault="000B0228" w:rsidP="000B0228">
      <w:pPr>
        <w:pStyle w:val="ListParagraph"/>
        <w:rPr>
          <w:rFonts w:cs="Arial"/>
        </w:rPr>
      </w:pPr>
    </w:p>
    <w:p w:rsidR="000B0228" w:rsidRDefault="000B0228" w:rsidP="000B0228">
      <w:pPr>
        <w:pStyle w:val="ListParagraph"/>
        <w:numPr>
          <w:ilvl w:val="0"/>
          <w:numId w:val="41"/>
        </w:numPr>
        <w:spacing w:line="360" w:lineRule="auto"/>
        <w:ind w:left="0" w:firstLine="0"/>
        <w:jc w:val="both"/>
        <w:rPr>
          <w:rFonts w:cs="Arial"/>
        </w:rPr>
      </w:pPr>
      <w:r>
        <w:rPr>
          <w:rFonts w:cs="Arial"/>
        </w:rPr>
        <w:t>I</w:t>
      </w:r>
      <w:r w:rsidR="001241B1" w:rsidRPr="005E070B">
        <w:rPr>
          <w:rFonts w:cs="Arial"/>
        </w:rPr>
        <w:t xml:space="preserve">t so emerges that the </w:t>
      </w:r>
      <w:r>
        <w:rPr>
          <w:rFonts w:cs="Arial"/>
        </w:rPr>
        <w:t>p</w:t>
      </w:r>
      <w:r w:rsidR="001241B1" w:rsidRPr="005E070B">
        <w:rPr>
          <w:rFonts w:cs="Arial"/>
        </w:rPr>
        <w:t>laintiff has tried and is still attempting to claim payment of the original</w:t>
      </w:r>
      <w:r w:rsidR="00BB710C">
        <w:rPr>
          <w:rFonts w:cs="Arial"/>
        </w:rPr>
        <w:t>-</w:t>
      </w:r>
      <w:r w:rsidR="001241B1" w:rsidRPr="005E070B">
        <w:rPr>
          <w:rFonts w:cs="Arial"/>
        </w:rPr>
        <w:t xml:space="preserve"> and substa</w:t>
      </w:r>
      <w:r w:rsidR="00BB710C">
        <w:rPr>
          <w:rFonts w:cs="Arial"/>
        </w:rPr>
        <w:t>ntially</w:t>
      </w:r>
      <w:r w:rsidR="001241B1" w:rsidRPr="005E070B">
        <w:rPr>
          <w:rFonts w:cs="Arial"/>
        </w:rPr>
        <w:t xml:space="preserve"> the same debt</w:t>
      </w:r>
      <w:r w:rsidR="00BB710C">
        <w:rPr>
          <w:rFonts w:cs="Arial"/>
        </w:rPr>
        <w:t xml:space="preserve"> -</w:t>
      </w:r>
      <w:r w:rsidR="001241B1" w:rsidRPr="005E070B">
        <w:rPr>
          <w:rFonts w:cs="Arial"/>
        </w:rPr>
        <w:t xml:space="preserve"> through the institution of two actions, </w:t>
      </w:r>
      <w:proofErr w:type="spellStart"/>
      <w:r w:rsidR="001241B1" w:rsidRPr="005E070B">
        <w:rPr>
          <w:rFonts w:cs="Arial"/>
        </w:rPr>
        <w:t>i.e</w:t>
      </w:r>
      <w:proofErr w:type="spellEnd"/>
      <w:r w:rsidR="001241B1" w:rsidRPr="005E070B">
        <w:rPr>
          <w:rFonts w:cs="Arial"/>
        </w:rPr>
        <w:t xml:space="preserve"> by way of cases</w:t>
      </w:r>
      <w:r w:rsidR="00183641">
        <w:rPr>
          <w:rFonts w:cs="Arial"/>
        </w:rPr>
        <w:t xml:space="preserve"> </w:t>
      </w:r>
      <w:r w:rsidR="007C5ACB">
        <w:rPr>
          <w:rFonts w:cs="Arial"/>
        </w:rPr>
        <w:t>(</w:t>
      </w:r>
      <w:r w:rsidR="00183641">
        <w:rPr>
          <w:rFonts w:cs="Arial"/>
        </w:rPr>
        <w:t>T</w:t>
      </w:r>
      <w:r w:rsidR="007C5ACB">
        <w:rPr>
          <w:rFonts w:cs="Arial"/>
        </w:rPr>
        <w:t>)</w:t>
      </w:r>
      <w:r w:rsidR="001241B1" w:rsidRPr="005E070B">
        <w:rPr>
          <w:rFonts w:cs="Arial"/>
        </w:rPr>
        <w:t xml:space="preserve"> </w:t>
      </w:r>
      <w:r w:rsidR="00183641">
        <w:rPr>
          <w:rFonts w:cs="Arial"/>
        </w:rPr>
        <w:t xml:space="preserve"> </w:t>
      </w:r>
      <w:r w:rsidR="001241B1" w:rsidRPr="005E070B">
        <w:rPr>
          <w:rFonts w:cs="Arial"/>
        </w:rPr>
        <w:t>I</w:t>
      </w:r>
      <w:r w:rsidR="007C5ACB">
        <w:rPr>
          <w:rFonts w:cs="Arial"/>
        </w:rPr>
        <w:t xml:space="preserve"> </w:t>
      </w:r>
      <w:r>
        <w:rPr>
          <w:rFonts w:cs="Arial"/>
        </w:rPr>
        <w:t xml:space="preserve"> </w:t>
      </w:r>
      <w:r w:rsidR="001241B1" w:rsidRPr="005E070B">
        <w:rPr>
          <w:rFonts w:cs="Arial"/>
        </w:rPr>
        <w:t>1632/2004 and I</w:t>
      </w:r>
      <w:r>
        <w:rPr>
          <w:rFonts w:cs="Arial"/>
        </w:rPr>
        <w:t xml:space="preserve"> </w:t>
      </w:r>
      <w:r w:rsidR="001241B1" w:rsidRPr="005E070B">
        <w:rPr>
          <w:rFonts w:cs="Arial"/>
        </w:rPr>
        <w:t xml:space="preserve">25/2016; </w:t>
      </w:r>
    </w:p>
    <w:p w:rsidR="000B0228" w:rsidRPr="000B0228" w:rsidRDefault="000B0228" w:rsidP="000B0228">
      <w:pPr>
        <w:pStyle w:val="ListParagraph"/>
        <w:rPr>
          <w:rFonts w:cs="Arial"/>
        </w:rPr>
      </w:pPr>
    </w:p>
    <w:p w:rsidR="00BB710C" w:rsidRDefault="000B0228" w:rsidP="000B0228">
      <w:pPr>
        <w:pStyle w:val="ListParagraph"/>
        <w:numPr>
          <w:ilvl w:val="0"/>
          <w:numId w:val="41"/>
        </w:numPr>
        <w:spacing w:line="360" w:lineRule="auto"/>
        <w:ind w:left="0" w:firstLine="0"/>
        <w:jc w:val="both"/>
        <w:rPr>
          <w:rFonts w:cs="Arial"/>
        </w:rPr>
      </w:pPr>
      <w:r>
        <w:rPr>
          <w:rFonts w:cs="Arial"/>
        </w:rPr>
        <w:t>I</w:t>
      </w:r>
      <w:r w:rsidR="001241B1" w:rsidRPr="005E070B">
        <w:rPr>
          <w:rFonts w:cs="Arial"/>
        </w:rPr>
        <w:t xml:space="preserve">t appears from </w:t>
      </w:r>
      <w:r w:rsidR="00BB710C">
        <w:rPr>
          <w:rFonts w:cs="Arial"/>
        </w:rPr>
        <w:t xml:space="preserve">the dictum of </w:t>
      </w:r>
      <w:proofErr w:type="spellStart"/>
      <w:r w:rsidR="00BB710C">
        <w:rPr>
          <w:rFonts w:cs="Arial"/>
        </w:rPr>
        <w:t>Smalberger</w:t>
      </w:r>
      <w:proofErr w:type="spellEnd"/>
      <w:r w:rsidR="001241B1" w:rsidRPr="005E070B">
        <w:rPr>
          <w:rFonts w:cs="Arial"/>
        </w:rPr>
        <w:t xml:space="preserve"> J</w:t>
      </w:r>
      <w:r w:rsidR="00BB710C">
        <w:rPr>
          <w:rFonts w:cs="Arial"/>
        </w:rPr>
        <w:t>,</w:t>
      </w:r>
      <w:r w:rsidR="001241B1" w:rsidRPr="005E070B">
        <w:rPr>
          <w:rFonts w:cs="Arial"/>
        </w:rPr>
        <w:t xml:space="preserve"> </w:t>
      </w:r>
      <w:r w:rsidR="00BB710C">
        <w:rPr>
          <w:rFonts w:cs="Arial"/>
        </w:rPr>
        <w:t>(</w:t>
      </w:r>
      <w:r w:rsidR="001241B1" w:rsidRPr="005E070B">
        <w:rPr>
          <w:rFonts w:cs="Arial"/>
        </w:rPr>
        <w:t>as he then was</w:t>
      </w:r>
      <w:r w:rsidR="00BB710C">
        <w:rPr>
          <w:rFonts w:cs="Arial"/>
        </w:rPr>
        <w:t>), in</w:t>
      </w:r>
      <w:r w:rsidR="001241B1" w:rsidRPr="005E070B">
        <w:rPr>
          <w:rFonts w:cs="Arial"/>
        </w:rPr>
        <w:t xml:space="preserve"> </w:t>
      </w:r>
      <w:r w:rsidR="001241B1" w:rsidRPr="000B0228">
        <w:rPr>
          <w:rFonts w:cs="Arial"/>
          <w:i/>
        </w:rPr>
        <w:t xml:space="preserve">Van der Merwe vs </w:t>
      </w:r>
      <w:proofErr w:type="spellStart"/>
      <w:r w:rsidR="001241B1" w:rsidRPr="000B0228">
        <w:rPr>
          <w:rFonts w:cs="Arial"/>
          <w:i/>
        </w:rPr>
        <w:t>Protea</w:t>
      </w:r>
      <w:proofErr w:type="spellEnd"/>
      <w:r w:rsidR="001241B1" w:rsidRPr="000B0228">
        <w:rPr>
          <w:rFonts w:cs="Arial"/>
          <w:i/>
        </w:rPr>
        <w:t xml:space="preserve"> Insurance</w:t>
      </w:r>
      <w:r w:rsidR="00BB710C">
        <w:rPr>
          <w:rStyle w:val="FootnoteReference"/>
          <w:i/>
        </w:rPr>
        <w:footnoteReference w:id="26"/>
      </w:r>
      <w:r w:rsidR="009356A1">
        <w:rPr>
          <w:rFonts w:cs="Arial"/>
        </w:rPr>
        <w:t xml:space="preserve"> that “process”</w:t>
      </w:r>
      <w:r w:rsidR="001241B1" w:rsidRPr="005E070B">
        <w:rPr>
          <w:rFonts w:cs="Arial"/>
        </w:rPr>
        <w:t xml:space="preserve"> is deem</w:t>
      </w:r>
      <w:r w:rsidR="00BB710C">
        <w:rPr>
          <w:rFonts w:cs="Arial"/>
        </w:rPr>
        <w:t>ed as that</w:t>
      </w:r>
      <w:r w:rsidR="001241B1" w:rsidRPr="005E070B">
        <w:rPr>
          <w:rFonts w:cs="Arial"/>
        </w:rPr>
        <w:t xml:space="preserve"> document whereby legal proceedings are commenced.  </w:t>
      </w:r>
    </w:p>
    <w:p w:rsidR="00BB710C" w:rsidRPr="00BB710C" w:rsidRDefault="00BB710C" w:rsidP="00BB710C">
      <w:pPr>
        <w:pStyle w:val="ListParagraph"/>
        <w:rPr>
          <w:rFonts w:cs="Arial"/>
        </w:rPr>
      </w:pPr>
    </w:p>
    <w:p w:rsidR="00237DEE" w:rsidRDefault="001241B1" w:rsidP="00330DD3">
      <w:pPr>
        <w:pStyle w:val="ListParagraph"/>
        <w:numPr>
          <w:ilvl w:val="0"/>
          <w:numId w:val="41"/>
        </w:numPr>
        <w:spacing w:line="360" w:lineRule="auto"/>
        <w:ind w:left="0" w:firstLine="0"/>
        <w:jc w:val="both"/>
        <w:rPr>
          <w:rFonts w:cs="Arial"/>
        </w:rPr>
      </w:pPr>
      <w:r w:rsidRPr="005E070B">
        <w:rPr>
          <w:rFonts w:cs="Arial"/>
        </w:rPr>
        <w:t xml:space="preserve">In the current instance there are two such documents: the one, initiating legal proceedings under case </w:t>
      </w:r>
      <w:r w:rsidR="00237DEE">
        <w:rPr>
          <w:rFonts w:cs="Arial"/>
        </w:rPr>
        <w:t>(</w:t>
      </w:r>
      <w:r w:rsidRPr="005E070B">
        <w:rPr>
          <w:rFonts w:cs="Arial"/>
        </w:rPr>
        <w:t>T</w:t>
      </w:r>
      <w:r w:rsidR="00237DEE">
        <w:rPr>
          <w:rFonts w:cs="Arial"/>
        </w:rPr>
        <w:t>)</w:t>
      </w:r>
      <w:r w:rsidR="00183641">
        <w:rPr>
          <w:rFonts w:cs="Arial"/>
        </w:rPr>
        <w:t xml:space="preserve"> </w:t>
      </w:r>
      <w:r w:rsidRPr="005E070B">
        <w:rPr>
          <w:rFonts w:cs="Arial"/>
        </w:rPr>
        <w:t>I</w:t>
      </w:r>
      <w:r w:rsidR="00237DEE">
        <w:rPr>
          <w:rFonts w:cs="Arial"/>
        </w:rPr>
        <w:t xml:space="preserve"> </w:t>
      </w:r>
      <w:r w:rsidRPr="005E070B">
        <w:rPr>
          <w:rFonts w:cs="Arial"/>
        </w:rPr>
        <w:t>1632/2004 and the other instituting legal proceedings under case I</w:t>
      </w:r>
      <w:r w:rsidR="00237DEE">
        <w:rPr>
          <w:rFonts w:cs="Arial"/>
        </w:rPr>
        <w:t xml:space="preserve"> </w:t>
      </w:r>
      <w:r w:rsidRPr="005E070B">
        <w:rPr>
          <w:rFonts w:cs="Arial"/>
        </w:rPr>
        <w:t xml:space="preserve">25/2016.  </w:t>
      </w:r>
    </w:p>
    <w:p w:rsidR="00237DEE" w:rsidRPr="00237DEE" w:rsidRDefault="00237DEE" w:rsidP="00330DD3">
      <w:pPr>
        <w:pStyle w:val="ListParagraph"/>
        <w:spacing w:line="360" w:lineRule="auto"/>
        <w:rPr>
          <w:rFonts w:cs="Arial"/>
        </w:rPr>
      </w:pPr>
    </w:p>
    <w:p w:rsidR="00BA3B43" w:rsidRDefault="00237DEE" w:rsidP="00330DD3">
      <w:pPr>
        <w:pStyle w:val="ListParagraph"/>
        <w:spacing w:line="360" w:lineRule="auto"/>
        <w:ind w:left="0"/>
        <w:jc w:val="both"/>
        <w:rPr>
          <w:rFonts w:cs="Arial"/>
        </w:rPr>
      </w:pPr>
      <w:r>
        <w:rPr>
          <w:rFonts w:cs="Arial"/>
        </w:rPr>
        <w:t>[</w:t>
      </w:r>
      <w:r w:rsidR="00B43F46">
        <w:rPr>
          <w:rFonts w:cs="Arial"/>
        </w:rPr>
        <w:t>31</w:t>
      </w:r>
      <w:r>
        <w:rPr>
          <w:rFonts w:cs="Arial"/>
        </w:rPr>
        <w:t>]</w:t>
      </w:r>
      <w:r>
        <w:rPr>
          <w:rFonts w:cs="Arial"/>
        </w:rPr>
        <w:tab/>
      </w:r>
      <w:r w:rsidR="001241B1" w:rsidRPr="005E070B">
        <w:rPr>
          <w:rFonts w:cs="Arial"/>
        </w:rPr>
        <w:t>Section 15(2) is however subject to the provisions of Section 15(1)</w:t>
      </w:r>
      <w:r w:rsidR="00BB710C">
        <w:rPr>
          <w:rFonts w:cs="Arial"/>
        </w:rPr>
        <w:t>,</w:t>
      </w:r>
      <w:r w:rsidR="001241B1" w:rsidRPr="005E070B">
        <w:rPr>
          <w:rFonts w:cs="Arial"/>
        </w:rPr>
        <w:t xml:space="preserve"> in the sense that the process in question</w:t>
      </w:r>
      <w:r w:rsidR="00BB710C">
        <w:rPr>
          <w:rFonts w:cs="Arial"/>
        </w:rPr>
        <w:t>,</w:t>
      </w:r>
      <w:r w:rsidR="001241B1" w:rsidRPr="005E070B">
        <w:rPr>
          <w:rFonts w:cs="Arial"/>
        </w:rPr>
        <w:t xml:space="preserve"> through which prescription was originally interrupted </w:t>
      </w:r>
      <w:r w:rsidR="00BB710C">
        <w:rPr>
          <w:rFonts w:cs="Arial"/>
        </w:rPr>
        <w:t>in terms of Section 15(1)</w:t>
      </w:r>
      <w:r w:rsidR="001241B1" w:rsidRPr="005E070B">
        <w:rPr>
          <w:rFonts w:cs="Arial"/>
        </w:rPr>
        <w:t xml:space="preserve">, in this case by the institution of legal proceedings under case </w:t>
      </w:r>
      <w:r>
        <w:rPr>
          <w:rFonts w:cs="Arial"/>
        </w:rPr>
        <w:t>(</w:t>
      </w:r>
      <w:r w:rsidR="001241B1" w:rsidRPr="005E070B">
        <w:rPr>
          <w:rFonts w:cs="Arial"/>
        </w:rPr>
        <w:t>T</w:t>
      </w:r>
      <w:r>
        <w:rPr>
          <w:rFonts w:cs="Arial"/>
        </w:rPr>
        <w:t>)</w:t>
      </w:r>
      <w:r w:rsidR="007C5ACB">
        <w:rPr>
          <w:rFonts w:cs="Arial"/>
        </w:rPr>
        <w:t xml:space="preserve"> </w:t>
      </w:r>
      <w:r w:rsidR="001241B1" w:rsidRPr="005E070B">
        <w:rPr>
          <w:rFonts w:cs="Arial"/>
        </w:rPr>
        <w:t>I</w:t>
      </w:r>
      <w:r>
        <w:rPr>
          <w:rFonts w:cs="Arial"/>
        </w:rPr>
        <w:t xml:space="preserve"> </w:t>
      </w:r>
      <w:r w:rsidR="001241B1" w:rsidRPr="005E070B">
        <w:rPr>
          <w:rFonts w:cs="Arial"/>
        </w:rPr>
        <w:t>1632/2004</w:t>
      </w:r>
      <w:r w:rsidR="00BB710C">
        <w:rPr>
          <w:rFonts w:cs="Arial"/>
        </w:rPr>
        <w:t xml:space="preserve"> -</w:t>
      </w:r>
      <w:r w:rsidR="001241B1" w:rsidRPr="005E070B">
        <w:rPr>
          <w:rFonts w:cs="Arial"/>
        </w:rPr>
        <w:t xml:space="preserve"> was the action which had to be successfully prosecuted to final judgment and not the second action instituted under case I</w:t>
      </w:r>
      <w:r>
        <w:rPr>
          <w:rFonts w:cs="Arial"/>
        </w:rPr>
        <w:t xml:space="preserve"> </w:t>
      </w:r>
      <w:r w:rsidR="001241B1" w:rsidRPr="005E070B">
        <w:rPr>
          <w:rFonts w:cs="Arial"/>
        </w:rPr>
        <w:t xml:space="preserve">25/2016. </w:t>
      </w:r>
    </w:p>
    <w:p w:rsidR="00BA3B43" w:rsidRDefault="00BA3B43" w:rsidP="00237DEE">
      <w:pPr>
        <w:pStyle w:val="ListParagraph"/>
        <w:spacing w:line="360" w:lineRule="auto"/>
        <w:ind w:left="0"/>
        <w:jc w:val="both"/>
        <w:rPr>
          <w:rFonts w:cs="Arial"/>
        </w:rPr>
      </w:pPr>
    </w:p>
    <w:p w:rsidR="00476965" w:rsidRDefault="00BA3B43" w:rsidP="00237DEE">
      <w:pPr>
        <w:pStyle w:val="ListParagraph"/>
        <w:spacing w:line="360" w:lineRule="auto"/>
        <w:ind w:left="0"/>
        <w:jc w:val="both"/>
        <w:rPr>
          <w:rFonts w:cs="Arial"/>
        </w:rPr>
      </w:pPr>
      <w:r>
        <w:rPr>
          <w:rFonts w:cs="Arial"/>
        </w:rPr>
        <w:t>[</w:t>
      </w:r>
      <w:r w:rsidR="00B43F46">
        <w:rPr>
          <w:rFonts w:cs="Arial"/>
        </w:rPr>
        <w:t>32</w:t>
      </w:r>
      <w:r>
        <w:rPr>
          <w:rFonts w:cs="Arial"/>
        </w:rPr>
        <w:t>]</w:t>
      </w:r>
      <w:r>
        <w:rPr>
          <w:rFonts w:cs="Arial"/>
        </w:rPr>
        <w:tab/>
      </w:r>
      <w:r w:rsidR="001241B1" w:rsidRPr="005E070B">
        <w:rPr>
          <w:rFonts w:cs="Arial"/>
        </w:rPr>
        <w:t>The result achieved in the process</w:t>
      </w:r>
      <w:r w:rsidR="00BB710C">
        <w:rPr>
          <w:rFonts w:cs="Arial"/>
        </w:rPr>
        <w:t>,</w:t>
      </w:r>
      <w:r w:rsidR="001241B1" w:rsidRPr="005E070B">
        <w:rPr>
          <w:rFonts w:cs="Arial"/>
        </w:rPr>
        <w:t xml:space="preserve"> </w:t>
      </w:r>
      <w:r w:rsidR="009356A1">
        <w:rPr>
          <w:rFonts w:cs="Arial"/>
        </w:rPr>
        <w:t>set</w:t>
      </w:r>
      <w:r w:rsidR="001241B1" w:rsidRPr="005E070B">
        <w:rPr>
          <w:rFonts w:cs="Arial"/>
        </w:rPr>
        <w:t xml:space="preserve"> in motion under case </w:t>
      </w:r>
      <w:r>
        <w:rPr>
          <w:rFonts w:cs="Arial"/>
        </w:rPr>
        <w:t>(</w:t>
      </w:r>
      <w:r w:rsidR="001241B1" w:rsidRPr="005E070B">
        <w:rPr>
          <w:rFonts w:cs="Arial"/>
        </w:rPr>
        <w:t>T</w:t>
      </w:r>
      <w:r>
        <w:rPr>
          <w:rFonts w:cs="Arial"/>
        </w:rPr>
        <w:t>)</w:t>
      </w:r>
      <w:r w:rsidR="00BB710C">
        <w:rPr>
          <w:rFonts w:cs="Arial"/>
        </w:rPr>
        <w:t xml:space="preserve"> </w:t>
      </w:r>
      <w:proofErr w:type="gramStart"/>
      <w:r w:rsidR="001241B1" w:rsidRPr="005E070B">
        <w:rPr>
          <w:rFonts w:cs="Arial"/>
        </w:rPr>
        <w:t>I</w:t>
      </w:r>
      <w:proofErr w:type="gramEnd"/>
      <w:r>
        <w:rPr>
          <w:rFonts w:cs="Arial"/>
        </w:rPr>
        <w:t xml:space="preserve"> </w:t>
      </w:r>
      <w:r w:rsidR="001241B1" w:rsidRPr="005E070B">
        <w:rPr>
          <w:rFonts w:cs="Arial"/>
        </w:rPr>
        <w:t>1632/2004</w:t>
      </w:r>
      <w:r w:rsidR="00BB710C">
        <w:rPr>
          <w:rFonts w:cs="Arial"/>
        </w:rPr>
        <w:t>,</w:t>
      </w:r>
      <w:r w:rsidR="001241B1" w:rsidRPr="005E070B">
        <w:rPr>
          <w:rFonts w:cs="Arial"/>
        </w:rPr>
        <w:t xml:space="preserve"> was one of </w:t>
      </w:r>
      <w:r>
        <w:rPr>
          <w:rFonts w:cs="Arial"/>
        </w:rPr>
        <w:t>a</w:t>
      </w:r>
      <w:r w:rsidR="001241B1" w:rsidRPr="005E070B">
        <w:rPr>
          <w:rFonts w:cs="Arial"/>
        </w:rPr>
        <w:t>bsolution fr</w:t>
      </w:r>
      <w:r w:rsidR="00BB710C">
        <w:rPr>
          <w:rFonts w:cs="Arial"/>
        </w:rPr>
        <w:t>om the instance. N</w:t>
      </w:r>
      <w:r w:rsidR="001241B1" w:rsidRPr="005E070B">
        <w:rPr>
          <w:rFonts w:cs="Arial"/>
        </w:rPr>
        <w:t>o further steps were taken in this regard</w:t>
      </w:r>
      <w:r>
        <w:rPr>
          <w:rFonts w:cs="Arial"/>
        </w:rPr>
        <w:t>,</w:t>
      </w:r>
      <w:r w:rsidR="001241B1" w:rsidRPr="005E070B">
        <w:rPr>
          <w:rFonts w:cs="Arial"/>
        </w:rPr>
        <w:t xml:space="preserve"> save that the </w:t>
      </w:r>
      <w:r>
        <w:rPr>
          <w:rFonts w:cs="Arial"/>
        </w:rPr>
        <w:t>c</w:t>
      </w:r>
      <w:r w:rsidR="001241B1" w:rsidRPr="005E070B">
        <w:rPr>
          <w:rFonts w:cs="Arial"/>
        </w:rPr>
        <w:t>ost</w:t>
      </w:r>
      <w:r w:rsidR="00BB710C">
        <w:rPr>
          <w:rFonts w:cs="Arial"/>
        </w:rPr>
        <w:t>s,</w:t>
      </w:r>
      <w:r w:rsidR="001241B1" w:rsidRPr="005E070B">
        <w:rPr>
          <w:rFonts w:cs="Arial"/>
        </w:rPr>
        <w:t xml:space="preserve"> flowing from the result</w:t>
      </w:r>
      <w:r w:rsidR="00BB710C">
        <w:rPr>
          <w:rFonts w:cs="Arial"/>
        </w:rPr>
        <w:t>,</w:t>
      </w:r>
      <w:r w:rsidR="001241B1" w:rsidRPr="005E070B">
        <w:rPr>
          <w:rFonts w:cs="Arial"/>
        </w:rPr>
        <w:t xml:space="preserve"> </w:t>
      </w:r>
      <w:r w:rsidR="009356A1">
        <w:rPr>
          <w:rFonts w:cs="Arial"/>
        </w:rPr>
        <w:t xml:space="preserve">where paid in </w:t>
      </w:r>
      <w:r w:rsidR="001241B1" w:rsidRPr="005E070B">
        <w:rPr>
          <w:rFonts w:cs="Arial"/>
        </w:rPr>
        <w:t xml:space="preserve">October 2016.  Importantly, the </w:t>
      </w:r>
      <w:r>
        <w:rPr>
          <w:rFonts w:cs="Arial"/>
        </w:rPr>
        <w:t>o</w:t>
      </w:r>
      <w:r w:rsidR="001241B1" w:rsidRPr="005E070B">
        <w:rPr>
          <w:rFonts w:cs="Arial"/>
        </w:rPr>
        <w:t xml:space="preserve">rder granted on 18 May 2015 for </w:t>
      </w:r>
      <w:r>
        <w:rPr>
          <w:rFonts w:cs="Arial"/>
        </w:rPr>
        <w:t>a</w:t>
      </w:r>
      <w:r w:rsidR="001241B1" w:rsidRPr="005E070B">
        <w:rPr>
          <w:rFonts w:cs="Arial"/>
        </w:rPr>
        <w:t>bsolution w</w:t>
      </w:r>
      <w:r w:rsidR="00BB710C">
        <w:rPr>
          <w:rFonts w:cs="Arial"/>
        </w:rPr>
        <w:t>as never taken on appeal and that</w:t>
      </w:r>
      <w:r w:rsidR="001241B1" w:rsidRPr="005E070B">
        <w:rPr>
          <w:rFonts w:cs="Arial"/>
        </w:rPr>
        <w:t xml:space="preserve"> action was never re-enrolled.  The only conclusion that can be derived from this scenario is that the </w:t>
      </w:r>
      <w:r w:rsidR="00BB710C">
        <w:rPr>
          <w:rFonts w:cs="Arial"/>
        </w:rPr>
        <w:t xml:space="preserve">relevant </w:t>
      </w:r>
      <w:r w:rsidR="001241B1" w:rsidRPr="005E070B">
        <w:rPr>
          <w:rFonts w:cs="Arial"/>
        </w:rPr>
        <w:t>process in question</w:t>
      </w:r>
      <w:r w:rsidR="00BB710C">
        <w:rPr>
          <w:rFonts w:cs="Arial"/>
        </w:rPr>
        <w:t>,</w:t>
      </w:r>
      <w:r w:rsidR="001241B1" w:rsidRPr="005E070B">
        <w:rPr>
          <w:rFonts w:cs="Arial"/>
        </w:rPr>
        <w:t xml:space="preserve"> </w:t>
      </w:r>
      <w:r w:rsidR="009356A1">
        <w:rPr>
          <w:rFonts w:cs="Arial"/>
        </w:rPr>
        <w:t>i.e. the</w:t>
      </w:r>
      <w:r w:rsidR="001241B1" w:rsidRPr="005E070B">
        <w:rPr>
          <w:rFonts w:cs="Arial"/>
        </w:rPr>
        <w:t xml:space="preserve"> legal proceedings instituted </w:t>
      </w:r>
      <w:r w:rsidR="001241B1" w:rsidRPr="005E070B">
        <w:rPr>
          <w:rFonts w:cs="Arial"/>
        </w:rPr>
        <w:lastRenderedPageBreak/>
        <w:t xml:space="preserve">under case </w:t>
      </w:r>
      <w:r>
        <w:rPr>
          <w:rFonts w:cs="Arial"/>
        </w:rPr>
        <w:t>(</w:t>
      </w:r>
      <w:r w:rsidR="001241B1" w:rsidRPr="005E070B">
        <w:rPr>
          <w:rFonts w:cs="Arial"/>
        </w:rPr>
        <w:t>T</w:t>
      </w:r>
      <w:proofErr w:type="gramStart"/>
      <w:r>
        <w:rPr>
          <w:rFonts w:cs="Arial"/>
        </w:rPr>
        <w:t>)</w:t>
      </w:r>
      <w:r w:rsidR="001241B1" w:rsidRPr="005E070B">
        <w:rPr>
          <w:rFonts w:cs="Arial"/>
        </w:rPr>
        <w:t>I</w:t>
      </w:r>
      <w:proofErr w:type="gramEnd"/>
      <w:r>
        <w:rPr>
          <w:rFonts w:cs="Arial"/>
        </w:rPr>
        <w:t xml:space="preserve"> </w:t>
      </w:r>
      <w:r w:rsidR="001241B1" w:rsidRPr="005E070B">
        <w:rPr>
          <w:rFonts w:cs="Arial"/>
        </w:rPr>
        <w:t>1632/2004</w:t>
      </w:r>
      <w:r w:rsidR="00BB710C">
        <w:rPr>
          <w:rFonts w:cs="Arial"/>
        </w:rPr>
        <w:t>,</w:t>
      </w:r>
      <w:r w:rsidR="001241B1" w:rsidRPr="005E070B">
        <w:rPr>
          <w:rFonts w:cs="Arial"/>
        </w:rPr>
        <w:t xml:space="preserve"> had a final outcome i.e. that reflected in the </w:t>
      </w:r>
      <w:r w:rsidR="00476965">
        <w:rPr>
          <w:rFonts w:cs="Arial"/>
        </w:rPr>
        <w:t>c</w:t>
      </w:r>
      <w:r w:rsidR="001241B1" w:rsidRPr="005E070B">
        <w:rPr>
          <w:rFonts w:cs="Arial"/>
        </w:rPr>
        <w:t xml:space="preserve">ourt </w:t>
      </w:r>
      <w:r w:rsidR="00476965">
        <w:rPr>
          <w:rFonts w:cs="Arial"/>
        </w:rPr>
        <w:t>o</w:t>
      </w:r>
      <w:r w:rsidR="001241B1" w:rsidRPr="005E070B">
        <w:rPr>
          <w:rFonts w:cs="Arial"/>
        </w:rPr>
        <w:t xml:space="preserve">rder on 18 May 2015.  </w:t>
      </w:r>
    </w:p>
    <w:p w:rsidR="00476965" w:rsidRDefault="00476965" w:rsidP="00237DEE">
      <w:pPr>
        <w:pStyle w:val="ListParagraph"/>
        <w:spacing w:line="360" w:lineRule="auto"/>
        <w:ind w:left="0"/>
        <w:jc w:val="both"/>
        <w:rPr>
          <w:rFonts w:cs="Arial"/>
        </w:rPr>
      </w:pPr>
    </w:p>
    <w:p w:rsidR="00963263" w:rsidRDefault="00476965" w:rsidP="00237DEE">
      <w:pPr>
        <w:pStyle w:val="ListParagraph"/>
        <w:spacing w:line="360" w:lineRule="auto"/>
        <w:ind w:left="0"/>
        <w:jc w:val="both"/>
        <w:rPr>
          <w:rFonts w:cs="Arial"/>
        </w:rPr>
      </w:pPr>
      <w:r>
        <w:rPr>
          <w:rFonts w:cs="Arial"/>
        </w:rPr>
        <w:t>[</w:t>
      </w:r>
      <w:r w:rsidR="00B43F46">
        <w:rPr>
          <w:rFonts w:cs="Arial"/>
        </w:rPr>
        <w:t>33</w:t>
      </w:r>
      <w:r>
        <w:rPr>
          <w:rFonts w:cs="Arial"/>
        </w:rPr>
        <w:t>]</w:t>
      </w:r>
      <w:r>
        <w:rPr>
          <w:rFonts w:cs="Arial"/>
        </w:rPr>
        <w:tab/>
      </w:r>
      <w:r w:rsidR="001241B1" w:rsidRPr="005E070B">
        <w:rPr>
          <w:rFonts w:cs="Arial"/>
        </w:rPr>
        <w:t>It is this result that will</w:t>
      </w:r>
      <w:r w:rsidR="00963263">
        <w:rPr>
          <w:rFonts w:cs="Arial"/>
        </w:rPr>
        <w:t>,</w:t>
      </w:r>
      <w:r w:rsidR="001241B1" w:rsidRPr="005E070B">
        <w:rPr>
          <w:rFonts w:cs="Arial"/>
        </w:rPr>
        <w:t xml:space="preserve"> in my view</w:t>
      </w:r>
      <w:r w:rsidR="00963263">
        <w:rPr>
          <w:rFonts w:cs="Arial"/>
        </w:rPr>
        <w:t>,</w:t>
      </w:r>
      <w:r w:rsidR="001241B1" w:rsidRPr="005E070B">
        <w:rPr>
          <w:rFonts w:cs="Arial"/>
        </w:rPr>
        <w:t xml:space="preserve"> determine the question whether or not the </w:t>
      </w:r>
      <w:r>
        <w:rPr>
          <w:rFonts w:cs="Arial"/>
        </w:rPr>
        <w:t>p</w:t>
      </w:r>
      <w:r w:rsidR="001241B1" w:rsidRPr="005E070B">
        <w:rPr>
          <w:rFonts w:cs="Arial"/>
        </w:rPr>
        <w:t>laintiff was able to prosecute his c</w:t>
      </w:r>
      <w:r>
        <w:rPr>
          <w:rFonts w:cs="Arial"/>
        </w:rPr>
        <w:t>laim successfully to final judg</w:t>
      </w:r>
      <w:r w:rsidR="001241B1" w:rsidRPr="005E070B">
        <w:rPr>
          <w:rFonts w:cs="Arial"/>
        </w:rPr>
        <w:t>ment</w:t>
      </w:r>
      <w:r>
        <w:rPr>
          <w:rFonts w:cs="Arial"/>
        </w:rPr>
        <w:t>,</w:t>
      </w:r>
      <w:r w:rsidR="001241B1" w:rsidRPr="005E070B">
        <w:rPr>
          <w:rFonts w:cs="Arial"/>
        </w:rPr>
        <w:t xml:space="preserve"> as required by Section 15(2), i.e. that</w:t>
      </w:r>
      <w:r w:rsidR="00963263">
        <w:rPr>
          <w:rFonts w:cs="Arial"/>
        </w:rPr>
        <w:t xml:space="preserve"> is the</w:t>
      </w:r>
      <w:r w:rsidR="001241B1" w:rsidRPr="005E070B">
        <w:rPr>
          <w:rFonts w:cs="Arial"/>
        </w:rPr>
        <w:t xml:space="preserve"> process through which the running of prescription was interrupted in the first place. </w:t>
      </w:r>
    </w:p>
    <w:p w:rsidR="00963263" w:rsidRDefault="00963263" w:rsidP="00237DEE">
      <w:pPr>
        <w:pStyle w:val="ListParagraph"/>
        <w:spacing w:line="360" w:lineRule="auto"/>
        <w:ind w:left="0"/>
        <w:jc w:val="both"/>
        <w:rPr>
          <w:rFonts w:cs="Arial"/>
        </w:rPr>
      </w:pPr>
    </w:p>
    <w:p w:rsidR="00963263" w:rsidRDefault="00963263" w:rsidP="00237DEE">
      <w:pPr>
        <w:pStyle w:val="ListParagraph"/>
        <w:spacing w:line="360" w:lineRule="auto"/>
        <w:ind w:left="0"/>
        <w:jc w:val="both"/>
        <w:rPr>
          <w:rFonts w:cs="Arial"/>
        </w:rPr>
      </w:pPr>
      <w:r>
        <w:rPr>
          <w:rFonts w:cs="Arial"/>
        </w:rPr>
        <w:t>[</w:t>
      </w:r>
      <w:r w:rsidR="00B43F46">
        <w:rPr>
          <w:rFonts w:cs="Arial"/>
        </w:rPr>
        <w:t>34</w:t>
      </w:r>
      <w:r>
        <w:rPr>
          <w:rFonts w:cs="Arial"/>
        </w:rPr>
        <w:t>]</w:t>
      </w:r>
      <w:r>
        <w:rPr>
          <w:rFonts w:cs="Arial"/>
        </w:rPr>
        <w:tab/>
      </w:r>
      <w:r w:rsidR="001241B1" w:rsidRPr="005E070B">
        <w:rPr>
          <w:rFonts w:cs="Arial"/>
        </w:rPr>
        <w:t xml:space="preserve">This outcome of case </w:t>
      </w:r>
      <w:r w:rsidR="00476965">
        <w:rPr>
          <w:rFonts w:cs="Arial"/>
        </w:rPr>
        <w:t>(</w:t>
      </w:r>
      <w:r w:rsidR="001241B1" w:rsidRPr="005E070B">
        <w:rPr>
          <w:rFonts w:cs="Arial"/>
        </w:rPr>
        <w:t>T</w:t>
      </w:r>
      <w:r w:rsidR="00476965">
        <w:rPr>
          <w:rFonts w:cs="Arial"/>
        </w:rPr>
        <w:t>)</w:t>
      </w:r>
      <w:r w:rsidR="007C5ACB">
        <w:rPr>
          <w:rFonts w:cs="Arial"/>
        </w:rPr>
        <w:t xml:space="preserve"> </w:t>
      </w:r>
      <w:r w:rsidR="001241B1" w:rsidRPr="005E070B">
        <w:rPr>
          <w:rFonts w:cs="Arial"/>
        </w:rPr>
        <w:t>I</w:t>
      </w:r>
      <w:r w:rsidR="00476965">
        <w:rPr>
          <w:rFonts w:cs="Arial"/>
        </w:rPr>
        <w:t xml:space="preserve"> </w:t>
      </w:r>
      <w:r w:rsidR="001241B1" w:rsidRPr="005E070B">
        <w:rPr>
          <w:rFonts w:cs="Arial"/>
        </w:rPr>
        <w:t>1632/2004 was c</w:t>
      </w:r>
      <w:r>
        <w:rPr>
          <w:rFonts w:cs="Arial"/>
        </w:rPr>
        <w:t>learly not successful</w:t>
      </w:r>
      <w:r w:rsidR="001C19AC">
        <w:rPr>
          <w:rFonts w:cs="Arial"/>
        </w:rPr>
        <w:t xml:space="preserve"> or finally executable</w:t>
      </w:r>
      <w:r>
        <w:rPr>
          <w:rFonts w:cs="Arial"/>
        </w:rPr>
        <w:t>, so much i</w:t>
      </w:r>
      <w:r w:rsidR="001241B1" w:rsidRPr="005E070B">
        <w:rPr>
          <w:rFonts w:cs="Arial"/>
        </w:rPr>
        <w:t xml:space="preserve">s signified by the granting of </w:t>
      </w:r>
      <w:r w:rsidR="00476965">
        <w:rPr>
          <w:rFonts w:cs="Arial"/>
        </w:rPr>
        <w:t>a</w:t>
      </w:r>
      <w:r w:rsidR="001241B1" w:rsidRPr="005E070B">
        <w:rPr>
          <w:rFonts w:cs="Arial"/>
        </w:rPr>
        <w:t>bsolution</w:t>
      </w:r>
      <w:r w:rsidR="00476965">
        <w:rPr>
          <w:rFonts w:cs="Arial"/>
        </w:rPr>
        <w:t xml:space="preserve"> from the instance.</w:t>
      </w:r>
      <w:r w:rsidR="001241B1" w:rsidRPr="005E070B">
        <w:rPr>
          <w:rFonts w:cs="Arial"/>
        </w:rPr>
        <w:t xml:space="preserve"> </w:t>
      </w:r>
    </w:p>
    <w:p w:rsidR="00963263" w:rsidRDefault="00963263" w:rsidP="00237DEE">
      <w:pPr>
        <w:pStyle w:val="ListParagraph"/>
        <w:spacing w:line="360" w:lineRule="auto"/>
        <w:ind w:left="0"/>
        <w:jc w:val="both"/>
        <w:rPr>
          <w:rFonts w:cs="Arial"/>
        </w:rPr>
      </w:pPr>
    </w:p>
    <w:p w:rsidR="00963263" w:rsidRDefault="00963263" w:rsidP="00237DEE">
      <w:pPr>
        <w:pStyle w:val="ListParagraph"/>
        <w:spacing w:line="360" w:lineRule="auto"/>
        <w:ind w:left="0"/>
        <w:jc w:val="both"/>
        <w:rPr>
          <w:rFonts w:cs="Arial"/>
        </w:rPr>
      </w:pPr>
      <w:r>
        <w:rPr>
          <w:rFonts w:cs="Arial"/>
        </w:rPr>
        <w:t>[</w:t>
      </w:r>
      <w:r w:rsidR="00B43F46">
        <w:rPr>
          <w:rFonts w:cs="Arial"/>
        </w:rPr>
        <w:t>35</w:t>
      </w:r>
      <w:r>
        <w:rPr>
          <w:rFonts w:cs="Arial"/>
        </w:rPr>
        <w:t>]</w:t>
      </w:r>
      <w:r>
        <w:rPr>
          <w:rFonts w:cs="Arial"/>
        </w:rPr>
        <w:tab/>
        <w:t>I pause</w:t>
      </w:r>
      <w:r w:rsidR="001241B1" w:rsidRPr="005E070B">
        <w:rPr>
          <w:rFonts w:cs="Arial"/>
        </w:rPr>
        <w:t xml:space="preserve"> to mention that I consider it insignificant how </w:t>
      </w:r>
      <w:r w:rsidR="00476965">
        <w:rPr>
          <w:rFonts w:cs="Arial"/>
        </w:rPr>
        <w:t>a</w:t>
      </w:r>
      <w:r w:rsidR="001241B1" w:rsidRPr="005E070B">
        <w:rPr>
          <w:rFonts w:cs="Arial"/>
        </w:rPr>
        <w:t>bsolution came about and I find therefore that this aspect is irrelevant for determining the issues of this case</w:t>
      </w:r>
      <w:r>
        <w:rPr>
          <w:rFonts w:cs="Arial"/>
        </w:rPr>
        <w:t xml:space="preserve">. The argument that was raised on behalf of Plaintiff in this regard is thus not upheld. </w:t>
      </w:r>
      <w:r w:rsidR="001241B1" w:rsidRPr="005E070B">
        <w:rPr>
          <w:rFonts w:cs="Arial"/>
        </w:rPr>
        <w:t xml:space="preserve">  </w:t>
      </w:r>
    </w:p>
    <w:p w:rsidR="00963263" w:rsidRDefault="00963263" w:rsidP="00237DEE">
      <w:pPr>
        <w:pStyle w:val="ListParagraph"/>
        <w:spacing w:line="360" w:lineRule="auto"/>
        <w:ind w:left="0"/>
        <w:jc w:val="both"/>
        <w:rPr>
          <w:rFonts w:cs="Arial"/>
        </w:rPr>
      </w:pPr>
    </w:p>
    <w:p w:rsidR="00476965" w:rsidRDefault="00963263" w:rsidP="00237DEE">
      <w:pPr>
        <w:pStyle w:val="ListParagraph"/>
        <w:spacing w:line="360" w:lineRule="auto"/>
        <w:ind w:left="0"/>
        <w:jc w:val="both"/>
        <w:rPr>
          <w:rFonts w:cs="Arial"/>
        </w:rPr>
      </w:pPr>
      <w:r>
        <w:rPr>
          <w:rFonts w:cs="Arial"/>
        </w:rPr>
        <w:t>[</w:t>
      </w:r>
      <w:r w:rsidR="00B43F46">
        <w:rPr>
          <w:rFonts w:cs="Arial"/>
        </w:rPr>
        <w:t>36</w:t>
      </w:r>
      <w:r>
        <w:rPr>
          <w:rFonts w:cs="Arial"/>
        </w:rPr>
        <w:t>]</w:t>
      </w:r>
      <w:r>
        <w:rPr>
          <w:rFonts w:cs="Arial"/>
        </w:rPr>
        <w:tab/>
      </w:r>
      <w:r w:rsidR="001241B1" w:rsidRPr="005E070B">
        <w:rPr>
          <w:rFonts w:cs="Arial"/>
        </w:rPr>
        <w:t>It must follow therefore</w:t>
      </w:r>
      <w:r>
        <w:rPr>
          <w:rFonts w:cs="Arial"/>
        </w:rPr>
        <w:t xml:space="preserve"> –</w:t>
      </w:r>
      <w:r w:rsidR="001241B1" w:rsidRPr="005E070B">
        <w:rPr>
          <w:rFonts w:cs="Arial"/>
        </w:rPr>
        <w:t xml:space="preserve"> that</w:t>
      </w:r>
      <w:r>
        <w:rPr>
          <w:rFonts w:cs="Arial"/>
        </w:rPr>
        <w:t xml:space="preserve"> - in such circumstances -</w:t>
      </w:r>
      <w:r w:rsidR="001241B1" w:rsidRPr="005E070B">
        <w:rPr>
          <w:rFonts w:cs="Arial"/>
        </w:rPr>
        <w:t xml:space="preserve"> the interruption of prescription</w:t>
      </w:r>
      <w:r>
        <w:rPr>
          <w:rFonts w:cs="Arial"/>
        </w:rPr>
        <w:t xml:space="preserve"> -</w:t>
      </w:r>
      <w:r w:rsidR="001241B1" w:rsidRPr="005E070B">
        <w:rPr>
          <w:rFonts w:cs="Arial"/>
        </w:rPr>
        <w:t xml:space="preserve"> achieved through the service of the first summons under case </w:t>
      </w:r>
      <w:r w:rsidR="00476965">
        <w:rPr>
          <w:rFonts w:cs="Arial"/>
        </w:rPr>
        <w:t>(</w:t>
      </w:r>
      <w:r w:rsidR="001241B1" w:rsidRPr="005E070B">
        <w:rPr>
          <w:rFonts w:cs="Arial"/>
        </w:rPr>
        <w:t>T</w:t>
      </w:r>
      <w:r w:rsidR="00476965">
        <w:rPr>
          <w:rFonts w:cs="Arial"/>
        </w:rPr>
        <w:t>)</w:t>
      </w:r>
      <w:r>
        <w:rPr>
          <w:rFonts w:cs="Arial"/>
        </w:rPr>
        <w:t xml:space="preserve"> </w:t>
      </w:r>
      <w:r w:rsidR="001241B1" w:rsidRPr="005E070B">
        <w:rPr>
          <w:rFonts w:cs="Arial"/>
        </w:rPr>
        <w:t>I</w:t>
      </w:r>
      <w:r w:rsidR="00476965">
        <w:rPr>
          <w:rFonts w:cs="Arial"/>
        </w:rPr>
        <w:t xml:space="preserve"> </w:t>
      </w:r>
      <w:r w:rsidR="001241B1" w:rsidRPr="005E070B">
        <w:rPr>
          <w:rFonts w:cs="Arial"/>
        </w:rPr>
        <w:t>1632/2004 on 23 July 2004</w:t>
      </w:r>
      <w:r>
        <w:rPr>
          <w:rFonts w:cs="Arial"/>
        </w:rPr>
        <w:t xml:space="preserve"> -</w:t>
      </w:r>
      <w:r w:rsidR="001241B1" w:rsidRPr="005E070B">
        <w:rPr>
          <w:rFonts w:cs="Arial"/>
        </w:rPr>
        <w:t xml:space="preserve"> lapsed once the </w:t>
      </w:r>
      <w:r w:rsidR="00476965">
        <w:rPr>
          <w:rFonts w:cs="Arial"/>
        </w:rPr>
        <w:t>o</w:t>
      </w:r>
      <w:r w:rsidR="001241B1" w:rsidRPr="005E070B">
        <w:rPr>
          <w:rFonts w:cs="Arial"/>
        </w:rPr>
        <w:t xml:space="preserve">rder for </w:t>
      </w:r>
      <w:r w:rsidR="00476965">
        <w:rPr>
          <w:rFonts w:cs="Arial"/>
        </w:rPr>
        <w:t>a</w:t>
      </w:r>
      <w:r w:rsidR="001241B1" w:rsidRPr="005E070B">
        <w:rPr>
          <w:rFonts w:cs="Arial"/>
        </w:rPr>
        <w:t>bsolution from the instance</w:t>
      </w:r>
      <w:r>
        <w:rPr>
          <w:rFonts w:cs="Arial"/>
        </w:rPr>
        <w:t xml:space="preserve"> -</w:t>
      </w:r>
      <w:r w:rsidR="001241B1" w:rsidRPr="005E070B">
        <w:rPr>
          <w:rFonts w:cs="Arial"/>
        </w:rPr>
        <w:t xml:space="preserve"> (signifying an unsuccessful prosecution of the </w:t>
      </w:r>
      <w:r w:rsidR="00476965">
        <w:rPr>
          <w:rFonts w:cs="Arial"/>
        </w:rPr>
        <w:t>p</w:t>
      </w:r>
      <w:r w:rsidR="001241B1" w:rsidRPr="005E070B">
        <w:rPr>
          <w:rFonts w:cs="Arial"/>
        </w:rPr>
        <w:t>laintiff’s claim)</w:t>
      </w:r>
      <w:r>
        <w:rPr>
          <w:rFonts w:cs="Arial"/>
        </w:rPr>
        <w:t xml:space="preserve"> -</w:t>
      </w:r>
      <w:r w:rsidR="001241B1" w:rsidRPr="005E070B">
        <w:rPr>
          <w:rFonts w:cs="Arial"/>
        </w:rPr>
        <w:t xml:space="preserve"> </w:t>
      </w:r>
      <w:r>
        <w:rPr>
          <w:rFonts w:cs="Arial"/>
        </w:rPr>
        <w:t xml:space="preserve">was granted on 18 May. This conclusion, </w:t>
      </w:r>
      <w:r w:rsidRPr="005E070B">
        <w:rPr>
          <w:rFonts w:cs="Arial"/>
        </w:rPr>
        <w:t>is</w:t>
      </w:r>
      <w:r w:rsidR="0085610D">
        <w:rPr>
          <w:rFonts w:cs="Arial"/>
        </w:rPr>
        <w:t>, in my view,</w:t>
      </w:r>
      <w:r w:rsidRPr="005E070B">
        <w:rPr>
          <w:rFonts w:cs="Arial"/>
        </w:rPr>
        <w:t xml:space="preserve"> re-enforced</w:t>
      </w:r>
      <w:r w:rsidR="0085610D">
        <w:rPr>
          <w:rFonts w:cs="Arial"/>
        </w:rPr>
        <w:t xml:space="preserve"> by the ancillary factors that the order granting absolution has since beco</w:t>
      </w:r>
      <w:r>
        <w:rPr>
          <w:rFonts w:cs="Arial"/>
        </w:rPr>
        <w:t>me final</w:t>
      </w:r>
      <w:r w:rsidR="0085610D">
        <w:rPr>
          <w:rFonts w:cs="Arial"/>
        </w:rPr>
        <w:t>,</w:t>
      </w:r>
      <w:r>
        <w:rPr>
          <w:rFonts w:cs="Arial"/>
        </w:rPr>
        <w:t xml:space="preserve"> as it was never taken on appeal and </w:t>
      </w:r>
      <w:r w:rsidR="0085610D">
        <w:rPr>
          <w:rFonts w:cs="Arial"/>
        </w:rPr>
        <w:t>through the</w:t>
      </w:r>
      <w:r>
        <w:rPr>
          <w:rFonts w:cs="Arial"/>
        </w:rPr>
        <w:t xml:space="preserve"> circumstances where that case was</w:t>
      </w:r>
      <w:r w:rsidR="0085610D">
        <w:rPr>
          <w:rFonts w:cs="Arial"/>
        </w:rPr>
        <w:t>, in any event,</w:t>
      </w:r>
      <w:r>
        <w:rPr>
          <w:rFonts w:cs="Arial"/>
        </w:rPr>
        <w:t xml:space="preserve"> never re-enrolled, (if that was at all possible), after the payment of costs.</w:t>
      </w:r>
      <w:r w:rsidR="001241B1" w:rsidRPr="005E070B">
        <w:rPr>
          <w:rFonts w:cs="Arial"/>
        </w:rPr>
        <w:t xml:space="preserve">  </w:t>
      </w:r>
    </w:p>
    <w:p w:rsidR="0085610D" w:rsidRDefault="0085610D" w:rsidP="00237DEE">
      <w:pPr>
        <w:pStyle w:val="ListParagraph"/>
        <w:spacing w:line="360" w:lineRule="auto"/>
        <w:ind w:left="0"/>
        <w:jc w:val="both"/>
        <w:rPr>
          <w:rFonts w:cs="Arial"/>
        </w:rPr>
      </w:pPr>
    </w:p>
    <w:p w:rsidR="0085610D" w:rsidRDefault="00476965" w:rsidP="00237DEE">
      <w:pPr>
        <w:pStyle w:val="ListParagraph"/>
        <w:spacing w:line="360" w:lineRule="auto"/>
        <w:ind w:left="0"/>
        <w:jc w:val="both"/>
        <w:rPr>
          <w:rFonts w:cs="Arial"/>
        </w:rPr>
      </w:pPr>
      <w:r>
        <w:rPr>
          <w:rFonts w:cs="Arial"/>
        </w:rPr>
        <w:t>[</w:t>
      </w:r>
      <w:r w:rsidR="00B43F46">
        <w:rPr>
          <w:rFonts w:cs="Arial"/>
        </w:rPr>
        <w:t>37</w:t>
      </w:r>
      <w:r>
        <w:rPr>
          <w:rFonts w:cs="Arial"/>
        </w:rPr>
        <w:t>]</w:t>
      </w:r>
      <w:r>
        <w:rPr>
          <w:rFonts w:cs="Arial"/>
        </w:rPr>
        <w:tab/>
      </w:r>
      <w:r w:rsidR="001241B1" w:rsidRPr="005E070B">
        <w:rPr>
          <w:rFonts w:cs="Arial"/>
        </w:rPr>
        <w:t>In such circumstances the deeming provisions contained in Section 15(2) of the</w:t>
      </w:r>
      <w:r w:rsidR="0085610D">
        <w:rPr>
          <w:rFonts w:cs="Arial"/>
        </w:rPr>
        <w:t xml:space="preserve"> Prescription</w:t>
      </w:r>
      <w:r w:rsidR="001241B1" w:rsidRPr="005E070B">
        <w:rPr>
          <w:rFonts w:cs="Arial"/>
        </w:rPr>
        <w:t xml:space="preserve"> Act</w:t>
      </w:r>
      <w:r w:rsidR="0085610D">
        <w:rPr>
          <w:rFonts w:cs="Arial"/>
        </w:rPr>
        <w:t xml:space="preserve"> 1969</w:t>
      </w:r>
      <w:r w:rsidR="001241B1" w:rsidRPr="005E070B">
        <w:rPr>
          <w:rFonts w:cs="Arial"/>
        </w:rPr>
        <w:t xml:space="preserve"> came into play</w:t>
      </w:r>
      <w:r w:rsidR="0085610D">
        <w:rPr>
          <w:rFonts w:cs="Arial"/>
        </w:rPr>
        <w:t>,</w:t>
      </w:r>
      <w:r w:rsidR="001241B1" w:rsidRPr="005E070B">
        <w:rPr>
          <w:rFonts w:cs="Arial"/>
        </w:rPr>
        <w:t xml:space="preserve"> as was contended for on behalf of the </w:t>
      </w:r>
      <w:r>
        <w:rPr>
          <w:rFonts w:cs="Arial"/>
        </w:rPr>
        <w:t>d</w:t>
      </w:r>
      <w:r w:rsidR="001241B1" w:rsidRPr="005E070B">
        <w:rPr>
          <w:rFonts w:cs="Arial"/>
        </w:rPr>
        <w:t>efendant</w:t>
      </w:r>
      <w:r>
        <w:rPr>
          <w:rFonts w:cs="Arial"/>
        </w:rPr>
        <w:t>,</w:t>
      </w:r>
      <w:r w:rsidR="0085610D">
        <w:rPr>
          <w:rFonts w:cs="Arial"/>
        </w:rPr>
        <w:t xml:space="preserve"> with the</w:t>
      </w:r>
      <w:r w:rsidR="001241B1" w:rsidRPr="005E070B">
        <w:rPr>
          <w:rFonts w:cs="Arial"/>
        </w:rPr>
        <w:t xml:space="preserve"> result that the interruption of prescription</w:t>
      </w:r>
      <w:r w:rsidR="0085610D">
        <w:rPr>
          <w:rFonts w:cs="Arial"/>
        </w:rPr>
        <w:t>,</w:t>
      </w:r>
      <w:r w:rsidR="001241B1" w:rsidRPr="005E070B">
        <w:rPr>
          <w:rFonts w:cs="Arial"/>
        </w:rPr>
        <w:t xml:space="preserve"> which</w:t>
      </w:r>
      <w:r w:rsidR="0085610D">
        <w:rPr>
          <w:rFonts w:cs="Arial"/>
        </w:rPr>
        <w:t xml:space="preserve"> had</w:t>
      </w:r>
      <w:r w:rsidR="001241B1" w:rsidRPr="005E070B">
        <w:rPr>
          <w:rFonts w:cs="Arial"/>
        </w:rPr>
        <w:t xml:space="preserve"> occurred on 23 July 2004 was deemed not to have occurred</w:t>
      </w:r>
      <w:r w:rsidR="0085610D">
        <w:rPr>
          <w:rFonts w:cs="Arial"/>
        </w:rPr>
        <w:t>, thus resulting in the</w:t>
      </w:r>
      <w:r w:rsidR="001241B1" w:rsidRPr="005E070B">
        <w:rPr>
          <w:rFonts w:cs="Arial"/>
        </w:rPr>
        <w:t xml:space="preserve"> situation that the </w:t>
      </w:r>
      <w:r>
        <w:rPr>
          <w:rFonts w:cs="Arial"/>
        </w:rPr>
        <w:t>p</w:t>
      </w:r>
      <w:r w:rsidR="001241B1" w:rsidRPr="005E070B">
        <w:rPr>
          <w:rFonts w:cs="Arial"/>
        </w:rPr>
        <w:t>laintiff’s claim</w:t>
      </w:r>
      <w:r w:rsidR="0085610D">
        <w:rPr>
          <w:rFonts w:cs="Arial"/>
        </w:rPr>
        <w:t>,</w:t>
      </w:r>
      <w:r w:rsidR="001241B1" w:rsidRPr="005E070B">
        <w:rPr>
          <w:rFonts w:cs="Arial"/>
        </w:rPr>
        <w:t xml:space="preserve"> against the </w:t>
      </w:r>
      <w:r>
        <w:rPr>
          <w:rFonts w:cs="Arial"/>
        </w:rPr>
        <w:t>d</w:t>
      </w:r>
      <w:r w:rsidR="001241B1" w:rsidRPr="005E070B">
        <w:rPr>
          <w:rFonts w:cs="Arial"/>
        </w:rPr>
        <w:t>efendant</w:t>
      </w:r>
      <w:r w:rsidR="0085610D">
        <w:rPr>
          <w:rFonts w:cs="Arial"/>
        </w:rPr>
        <w:t>,</w:t>
      </w:r>
      <w:r w:rsidR="001241B1" w:rsidRPr="005E070B">
        <w:rPr>
          <w:rFonts w:cs="Arial"/>
        </w:rPr>
        <w:t xml:space="preserve"> became </w:t>
      </w:r>
      <w:r w:rsidR="009356A1">
        <w:rPr>
          <w:rFonts w:cs="Arial"/>
        </w:rPr>
        <w:t>prescribed</w:t>
      </w:r>
      <w:r w:rsidR="001241B1" w:rsidRPr="005E070B">
        <w:rPr>
          <w:rFonts w:cs="Arial"/>
        </w:rPr>
        <w:t xml:space="preserve"> during or about October 2005.</w:t>
      </w:r>
      <w:r w:rsidR="007C5ACB">
        <w:rPr>
          <w:rFonts w:cs="Arial"/>
        </w:rPr>
        <w:t xml:space="preserve"> </w:t>
      </w:r>
      <w:r w:rsidR="001241B1" w:rsidRPr="005E070B">
        <w:rPr>
          <w:rFonts w:cs="Arial"/>
        </w:rPr>
        <w:t xml:space="preserve">  </w:t>
      </w:r>
    </w:p>
    <w:p w:rsidR="0085610D" w:rsidRDefault="0085610D" w:rsidP="00237DEE">
      <w:pPr>
        <w:pStyle w:val="ListParagraph"/>
        <w:spacing w:line="360" w:lineRule="auto"/>
        <w:ind w:left="0"/>
        <w:jc w:val="both"/>
        <w:rPr>
          <w:rFonts w:cs="Arial"/>
        </w:rPr>
      </w:pPr>
    </w:p>
    <w:p w:rsidR="0031576E" w:rsidRDefault="0085610D" w:rsidP="00237DEE">
      <w:pPr>
        <w:pStyle w:val="ListParagraph"/>
        <w:spacing w:line="360" w:lineRule="auto"/>
        <w:ind w:left="0"/>
        <w:jc w:val="both"/>
        <w:rPr>
          <w:rFonts w:cs="Arial"/>
        </w:rPr>
      </w:pPr>
      <w:r>
        <w:rPr>
          <w:rFonts w:cs="Arial"/>
        </w:rPr>
        <w:t>[</w:t>
      </w:r>
      <w:r w:rsidR="00B43F46">
        <w:rPr>
          <w:rFonts w:cs="Arial"/>
        </w:rPr>
        <w:t>38</w:t>
      </w:r>
      <w:r>
        <w:rPr>
          <w:rFonts w:cs="Arial"/>
        </w:rPr>
        <w:t>]</w:t>
      </w:r>
      <w:r>
        <w:rPr>
          <w:rFonts w:cs="Arial"/>
        </w:rPr>
        <w:tab/>
        <w:t>In</w:t>
      </w:r>
      <w:r w:rsidR="001241B1" w:rsidRPr="005E070B">
        <w:rPr>
          <w:rFonts w:cs="Arial"/>
        </w:rPr>
        <w:t xml:space="preserve"> the resul</w:t>
      </w:r>
      <w:r>
        <w:rPr>
          <w:rFonts w:cs="Arial"/>
        </w:rPr>
        <w:t>t the issues for determination</w:t>
      </w:r>
      <w:r w:rsidR="007C5ACB">
        <w:rPr>
          <w:rFonts w:cs="Arial"/>
        </w:rPr>
        <w:t>,</w:t>
      </w:r>
      <w:r>
        <w:rPr>
          <w:rFonts w:cs="Arial"/>
        </w:rPr>
        <w:t xml:space="preserve"> a</w:t>
      </w:r>
      <w:r w:rsidR="001241B1" w:rsidRPr="005E070B">
        <w:rPr>
          <w:rFonts w:cs="Arial"/>
        </w:rPr>
        <w:t>s formulated in parag</w:t>
      </w:r>
      <w:r>
        <w:rPr>
          <w:rFonts w:cs="Arial"/>
        </w:rPr>
        <w:t>raph 2 of the amended stated case</w:t>
      </w:r>
      <w:r w:rsidR="007C5ACB">
        <w:rPr>
          <w:rFonts w:cs="Arial"/>
        </w:rPr>
        <w:t>,</w:t>
      </w:r>
      <w:r>
        <w:rPr>
          <w:rFonts w:cs="Arial"/>
        </w:rPr>
        <w:t xml:space="preserve"> must</w:t>
      </w:r>
      <w:r w:rsidR="001241B1" w:rsidRPr="005E070B">
        <w:rPr>
          <w:rFonts w:cs="Arial"/>
        </w:rPr>
        <w:t xml:space="preserve"> be answered as follows: </w:t>
      </w:r>
    </w:p>
    <w:p w:rsidR="0085610D" w:rsidRDefault="0085610D" w:rsidP="00237DEE">
      <w:pPr>
        <w:pStyle w:val="ListParagraph"/>
        <w:spacing w:line="360" w:lineRule="auto"/>
        <w:ind w:left="0"/>
        <w:jc w:val="both"/>
        <w:rPr>
          <w:rFonts w:cs="Arial"/>
        </w:rPr>
      </w:pPr>
    </w:p>
    <w:p w:rsidR="0031576E" w:rsidRDefault="007A773F" w:rsidP="007A773F">
      <w:pPr>
        <w:pStyle w:val="ListParagraph"/>
        <w:spacing w:line="360" w:lineRule="auto"/>
        <w:ind w:left="0"/>
        <w:jc w:val="both"/>
        <w:rPr>
          <w:rFonts w:cs="Arial"/>
        </w:rPr>
      </w:pPr>
      <w:r>
        <w:rPr>
          <w:rFonts w:cs="Arial"/>
        </w:rPr>
        <w:t>2.1.1</w:t>
      </w:r>
      <w:r>
        <w:rPr>
          <w:rFonts w:cs="Arial"/>
        </w:rPr>
        <w:tab/>
      </w:r>
      <w:r w:rsidR="0031576E">
        <w:rPr>
          <w:rFonts w:cs="Arial"/>
        </w:rPr>
        <w:t>T</w:t>
      </w:r>
      <w:r w:rsidR="007C5ACB">
        <w:rPr>
          <w:rFonts w:cs="Arial"/>
        </w:rPr>
        <w:t xml:space="preserve">he </w:t>
      </w:r>
      <w:r w:rsidR="0031576E">
        <w:rPr>
          <w:rFonts w:cs="Arial"/>
        </w:rPr>
        <w:t>s</w:t>
      </w:r>
      <w:r w:rsidR="001241B1" w:rsidRPr="005E070B">
        <w:rPr>
          <w:rFonts w:cs="Arial"/>
        </w:rPr>
        <w:t xml:space="preserve">ervice of </w:t>
      </w:r>
      <w:r w:rsidR="0031576E">
        <w:rPr>
          <w:rFonts w:cs="Arial"/>
        </w:rPr>
        <w:t>s</w:t>
      </w:r>
      <w:r w:rsidR="001241B1" w:rsidRPr="005E070B">
        <w:rPr>
          <w:rFonts w:cs="Arial"/>
        </w:rPr>
        <w:t xml:space="preserve">ummons and </w:t>
      </w:r>
      <w:r w:rsidR="0031576E">
        <w:rPr>
          <w:rFonts w:cs="Arial"/>
        </w:rPr>
        <w:t>p</w:t>
      </w:r>
      <w:r w:rsidR="001241B1" w:rsidRPr="005E070B">
        <w:rPr>
          <w:rFonts w:cs="Arial"/>
        </w:rPr>
        <w:t xml:space="preserve">articulars of </w:t>
      </w:r>
      <w:r w:rsidR="0031576E">
        <w:rPr>
          <w:rFonts w:cs="Arial"/>
        </w:rPr>
        <w:t>c</w:t>
      </w:r>
      <w:r w:rsidR="001241B1" w:rsidRPr="005E070B">
        <w:rPr>
          <w:rFonts w:cs="Arial"/>
        </w:rPr>
        <w:t>laim on or a</w:t>
      </w:r>
      <w:r w:rsidR="0085610D">
        <w:rPr>
          <w:rFonts w:cs="Arial"/>
        </w:rPr>
        <w:t>bout 23 July 2004 under case T (I)</w:t>
      </w:r>
      <w:r w:rsidR="001241B1" w:rsidRPr="005E070B">
        <w:rPr>
          <w:rFonts w:cs="Arial"/>
        </w:rPr>
        <w:t xml:space="preserve"> 1632/2004</w:t>
      </w:r>
      <w:r>
        <w:rPr>
          <w:rFonts w:cs="Arial"/>
        </w:rPr>
        <w:t xml:space="preserve"> (the First Action)</w:t>
      </w:r>
      <w:r w:rsidR="001241B1" w:rsidRPr="005E070B">
        <w:rPr>
          <w:rFonts w:cs="Arial"/>
        </w:rPr>
        <w:t xml:space="preserve"> interrupted the running of prescription until 18 </w:t>
      </w:r>
      <w:r w:rsidR="001241B1" w:rsidRPr="005E070B">
        <w:rPr>
          <w:rFonts w:cs="Arial"/>
        </w:rPr>
        <w:lastRenderedPageBreak/>
        <w:t xml:space="preserve">May 2015 when </w:t>
      </w:r>
      <w:r w:rsidR="0031576E">
        <w:rPr>
          <w:rFonts w:cs="Arial"/>
        </w:rPr>
        <w:t>a</w:t>
      </w:r>
      <w:r w:rsidR="001241B1" w:rsidRPr="005E070B">
        <w:rPr>
          <w:rFonts w:cs="Arial"/>
        </w:rPr>
        <w:t xml:space="preserve">bsolution from the instance was granted; </w:t>
      </w:r>
    </w:p>
    <w:p w:rsidR="0031576E" w:rsidRDefault="0031576E" w:rsidP="0031576E">
      <w:pPr>
        <w:pStyle w:val="ListParagraph"/>
        <w:spacing w:line="360" w:lineRule="auto"/>
        <w:ind w:left="0"/>
        <w:jc w:val="both"/>
        <w:rPr>
          <w:rFonts w:cs="Arial"/>
        </w:rPr>
      </w:pPr>
    </w:p>
    <w:p w:rsidR="0031576E" w:rsidRDefault="007A773F" w:rsidP="007A773F">
      <w:pPr>
        <w:pStyle w:val="ListParagraph"/>
        <w:spacing w:line="360" w:lineRule="auto"/>
        <w:ind w:left="0"/>
        <w:jc w:val="both"/>
        <w:rPr>
          <w:rFonts w:cs="Arial"/>
        </w:rPr>
      </w:pPr>
      <w:r>
        <w:rPr>
          <w:rFonts w:cs="Arial"/>
        </w:rPr>
        <w:t>2.1.2</w:t>
      </w:r>
      <w:r>
        <w:rPr>
          <w:rFonts w:cs="Arial"/>
        </w:rPr>
        <w:tab/>
      </w:r>
      <w:r w:rsidR="0031576E">
        <w:rPr>
          <w:rFonts w:cs="Arial"/>
        </w:rPr>
        <w:t>A</w:t>
      </w:r>
      <w:r w:rsidR="001241B1" w:rsidRPr="005E070B">
        <w:rPr>
          <w:rFonts w:cs="Arial"/>
        </w:rPr>
        <w:t xml:space="preserve">bsolution was granted as a result of the </w:t>
      </w:r>
      <w:r w:rsidR="0031576E">
        <w:rPr>
          <w:rFonts w:cs="Arial"/>
        </w:rPr>
        <w:t>p</w:t>
      </w:r>
      <w:r w:rsidR="001241B1" w:rsidRPr="005E070B">
        <w:rPr>
          <w:rFonts w:cs="Arial"/>
        </w:rPr>
        <w:t>laintiff having closed his case</w:t>
      </w:r>
      <w:r w:rsidR="007C5ACB">
        <w:rPr>
          <w:rFonts w:cs="Arial"/>
        </w:rPr>
        <w:t xml:space="preserve"> </w:t>
      </w:r>
      <w:r>
        <w:rPr>
          <w:rFonts w:cs="Arial"/>
        </w:rPr>
        <w:t>as a result of having been</w:t>
      </w:r>
      <w:r w:rsidR="001241B1" w:rsidRPr="005E070B">
        <w:rPr>
          <w:rFonts w:cs="Arial"/>
        </w:rPr>
        <w:t xml:space="preserve"> precluded from adducing any evidence through the </w:t>
      </w:r>
      <w:r w:rsidR="0031576E">
        <w:rPr>
          <w:rFonts w:cs="Arial"/>
        </w:rPr>
        <w:t>o</w:t>
      </w:r>
      <w:r w:rsidR="007C5ACB">
        <w:rPr>
          <w:rFonts w:cs="Arial"/>
        </w:rPr>
        <w:t>rder</w:t>
      </w:r>
      <w:r w:rsidR="001241B1" w:rsidRPr="005E070B">
        <w:rPr>
          <w:rFonts w:cs="Arial"/>
        </w:rPr>
        <w:t xml:space="preserve"> </w:t>
      </w:r>
      <w:r w:rsidR="009356A1">
        <w:rPr>
          <w:rFonts w:cs="Arial"/>
        </w:rPr>
        <w:t>barring</w:t>
      </w:r>
      <w:r w:rsidR="001241B1" w:rsidRPr="005E070B">
        <w:rPr>
          <w:rFonts w:cs="Arial"/>
        </w:rPr>
        <w:t xml:space="preserve"> him to file </w:t>
      </w:r>
      <w:r w:rsidR="0031576E">
        <w:rPr>
          <w:rFonts w:cs="Arial"/>
        </w:rPr>
        <w:t>w</w:t>
      </w:r>
      <w:r w:rsidR="001241B1" w:rsidRPr="005E070B">
        <w:rPr>
          <w:rFonts w:cs="Arial"/>
        </w:rPr>
        <w:t xml:space="preserve">itness statements and to make discovery; </w:t>
      </w:r>
    </w:p>
    <w:p w:rsidR="0031576E" w:rsidRPr="0031576E" w:rsidRDefault="0031576E" w:rsidP="0031576E">
      <w:pPr>
        <w:pStyle w:val="ListParagraph"/>
        <w:rPr>
          <w:rFonts w:cs="Arial"/>
        </w:rPr>
      </w:pPr>
    </w:p>
    <w:p w:rsidR="00A77B0A" w:rsidRDefault="007A773F" w:rsidP="007A773F">
      <w:pPr>
        <w:pStyle w:val="ListParagraph"/>
        <w:spacing w:line="360" w:lineRule="auto"/>
        <w:ind w:left="0"/>
        <w:jc w:val="both"/>
        <w:rPr>
          <w:rFonts w:cs="Arial"/>
        </w:rPr>
      </w:pPr>
      <w:r>
        <w:rPr>
          <w:rFonts w:cs="Arial"/>
        </w:rPr>
        <w:t>2.1.3</w:t>
      </w:r>
      <w:r>
        <w:rPr>
          <w:rFonts w:cs="Arial"/>
        </w:rPr>
        <w:tab/>
      </w:r>
      <w:r w:rsidR="0031576E">
        <w:rPr>
          <w:rFonts w:cs="Arial"/>
        </w:rPr>
        <w:t>T</w:t>
      </w:r>
      <w:r w:rsidR="001241B1" w:rsidRPr="005E070B">
        <w:rPr>
          <w:rFonts w:cs="Arial"/>
        </w:rPr>
        <w:t xml:space="preserve">he </w:t>
      </w:r>
      <w:r w:rsidR="0031576E">
        <w:rPr>
          <w:rFonts w:cs="Arial"/>
        </w:rPr>
        <w:t>p</w:t>
      </w:r>
      <w:r w:rsidR="001241B1" w:rsidRPr="005E070B">
        <w:rPr>
          <w:rFonts w:cs="Arial"/>
        </w:rPr>
        <w:t>laintiff’s second claim</w:t>
      </w:r>
      <w:r w:rsidR="000848A4">
        <w:rPr>
          <w:rFonts w:cs="Arial"/>
        </w:rPr>
        <w:t>,</w:t>
      </w:r>
      <w:r w:rsidR="001241B1" w:rsidRPr="005E070B">
        <w:rPr>
          <w:rFonts w:cs="Arial"/>
        </w:rPr>
        <w:t xml:space="preserve"> as instituted though the </w:t>
      </w:r>
      <w:r w:rsidR="0031576E">
        <w:rPr>
          <w:rFonts w:cs="Arial"/>
        </w:rPr>
        <w:t>s</w:t>
      </w:r>
      <w:r w:rsidR="001241B1" w:rsidRPr="005E070B">
        <w:rPr>
          <w:rFonts w:cs="Arial"/>
        </w:rPr>
        <w:t xml:space="preserve">ervice of </w:t>
      </w:r>
      <w:r w:rsidR="0031576E">
        <w:rPr>
          <w:rFonts w:cs="Arial"/>
        </w:rPr>
        <w:t>s</w:t>
      </w:r>
      <w:r w:rsidR="001241B1" w:rsidRPr="005E070B">
        <w:rPr>
          <w:rFonts w:cs="Arial"/>
        </w:rPr>
        <w:t xml:space="preserve">ummons and </w:t>
      </w:r>
      <w:r w:rsidR="0031576E">
        <w:rPr>
          <w:rFonts w:cs="Arial"/>
        </w:rPr>
        <w:t>p</w:t>
      </w:r>
      <w:r w:rsidR="001241B1" w:rsidRPr="005E070B">
        <w:rPr>
          <w:rFonts w:cs="Arial"/>
        </w:rPr>
        <w:t xml:space="preserve">articulars of </w:t>
      </w:r>
      <w:r w:rsidR="0031576E">
        <w:rPr>
          <w:rFonts w:cs="Arial"/>
        </w:rPr>
        <w:t>c</w:t>
      </w:r>
      <w:r>
        <w:rPr>
          <w:rFonts w:cs="Arial"/>
        </w:rPr>
        <w:t>laim</w:t>
      </w:r>
      <w:r w:rsidR="001241B1" w:rsidRPr="005E070B">
        <w:rPr>
          <w:rFonts w:cs="Arial"/>
        </w:rPr>
        <w:t xml:space="preserve"> during May 2016</w:t>
      </w:r>
      <w:r w:rsidR="000848A4">
        <w:rPr>
          <w:rFonts w:cs="Arial"/>
        </w:rPr>
        <w:t>,</w:t>
      </w:r>
      <w:r w:rsidR="001241B1" w:rsidRPr="005E070B">
        <w:rPr>
          <w:rFonts w:cs="Arial"/>
        </w:rPr>
        <w:t xml:space="preserve"> under case I</w:t>
      </w:r>
      <w:r w:rsidR="0031576E">
        <w:rPr>
          <w:rFonts w:cs="Arial"/>
        </w:rPr>
        <w:t xml:space="preserve"> </w:t>
      </w:r>
      <w:r w:rsidR="001241B1" w:rsidRPr="005E070B">
        <w:rPr>
          <w:rFonts w:cs="Arial"/>
        </w:rPr>
        <w:t>25/2016, the current action</w:t>
      </w:r>
      <w:r>
        <w:rPr>
          <w:rFonts w:cs="Arial"/>
        </w:rPr>
        <w:t>,</w:t>
      </w:r>
      <w:r w:rsidR="001241B1" w:rsidRPr="005E070B">
        <w:rPr>
          <w:rFonts w:cs="Arial"/>
        </w:rPr>
        <w:t xml:space="preserve"> has</w:t>
      </w:r>
      <w:r w:rsidR="000848A4">
        <w:rPr>
          <w:rFonts w:cs="Arial"/>
        </w:rPr>
        <w:t xml:space="preserve"> thus </w:t>
      </w:r>
      <w:r w:rsidR="001241B1" w:rsidRPr="005E070B">
        <w:rPr>
          <w:rFonts w:cs="Arial"/>
        </w:rPr>
        <w:t xml:space="preserve">indeed become prescribed by virtue of the provisions of Sections 15(1) and 15(2) as read with Section 11 of the Prescription Act 68 of </w:t>
      </w:r>
      <w:r w:rsidR="0031576E">
        <w:rPr>
          <w:rFonts w:cs="Arial"/>
        </w:rPr>
        <w:t>19</w:t>
      </w:r>
      <w:r w:rsidR="001241B1" w:rsidRPr="005E070B">
        <w:rPr>
          <w:rFonts w:cs="Arial"/>
        </w:rPr>
        <w:t xml:space="preserve">69.  </w:t>
      </w:r>
    </w:p>
    <w:p w:rsidR="007A773F" w:rsidRDefault="007A773F" w:rsidP="007A773F">
      <w:pPr>
        <w:pStyle w:val="ListParagraph"/>
        <w:spacing w:line="360" w:lineRule="auto"/>
        <w:ind w:left="0"/>
        <w:jc w:val="both"/>
        <w:rPr>
          <w:rFonts w:cs="Arial"/>
        </w:rPr>
      </w:pPr>
    </w:p>
    <w:p w:rsidR="007A773F" w:rsidRDefault="007A773F" w:rsidP="007A773F">
      <w:pPr>
        <w:pStyle w:val="ListParagraph"/>
        <w:spacing w:line="360" w:lineRule="auto"/>
        <w:ind w:left="0"/>
        <w:jc w:val="both"/>
        <w:rPr>
          <w:rFonts w:cs="Arial"/>
        </w:rPr>
      </w:pPr>
      <w:r>
        <w:rPr>
          <w:rFonts w:cs="Arial"/>
        </w:rPr>
        <w:t>2.2.1</w:t>
      </w:r>
      <w:r>
        <w:rPr>
          <w:rFonts w:cs="Arial"/>
        </w:rPr>
        <w:tab/>
        <w:t>It appears from this judgment and the answer provided in 2.1.3 above that section 15(2) finds application.</w:t>
      </w:r>
    </w:p>
    <w:p w:rsidR="007A773F" w:rsidRDefault="007A773F" w:rsidP="007A773F">
      <w:pPr>
        <w:pStyle w:val="ListParagraph"/>
        <w:spacing w:line="360" w:lineRule="auto"/>
        <w:ind w:left="0"/>
        <w:jc w:val="both"/>
        <w:rPr>
          <w:rFonts w:cs="Arial"/>
        </w:rPr>
      </w:pPr>
    </w:p>
    <w:p w:rsidR="007A773F" w:rsidRDefault="007A773F" w:rsidP="007A773F">
      <w:pPr>
        <w:pStyle w:val="ListParagraph"/>
        <w:spacing w:line="360" w:lineRule="auto"/>
        <w:ind w:left="0"/>
        <w:jc w:val="both"/>
        <w:rPr>
          <w:rFonts w:cs="Arial"/>
        </w:rPr>
      </w:pPr>
      <w:r>
        <w:rPr>
          <w:rFonts w:cs="Arial"/>
        </w:rPr>
        <w:t>2.2.2</w:t>
      </w:r>
      <w:r>
        <w:rPr>
          <w:rFonts w:cs="Arial"/>
        </w:rPr>
        <w:tab/>
        <w:t>Absolution was granted in the circumstances as found in this judgment and the answer provided in 2.1.2 above.</w:t>
      </w:r>
    </w:p>
    <w:p w:rsidR="00A77B0A" w:rsidRDefault="00A77B0A" w:rsidP="00A77B0A">
      <w:pPr>
        <w:pStyle w:val="ListParagraph"/>
        <w:rPr>
          <w:rFonts w:cs="Arial"/>
        </w:rPr>
      </w:pPr>
    </w:p>
    <w:p w:rsidR="007A773F" w:rsidRDefault="007A773F" w:rsidP="00A77B0A">
      <w:pPr>
        <w:pStyle w:val="ListParagraph"/>
        <w:rPr>
          <w:rFonts w:cs="Arial"/>
        </w:rPr>
      </w:pPr>
    </w:p>
    <w:p w:rsidR="007A773F" w:rsidRPr="009D7DF3" w:rsidRDefault="009D7DF3" w:rsidP="007A773F">
      <w:pPr>
        <w:rPr>
          <w:rFonts w:ascii="Arial" w:hAnsi="Arial" w:cs="Arial"/>
          <w:sz w:val="24"/>
          <w:szCs w:val="24"/>
          <w:u w:val="single"/>
        </w:rPr>
      </w:pPr>
      <w:r w:rsidRPr="009D7DF3">
        <w:rPr>
          <w:rFonts w:ascii="Arial" w:hAnsi="Arial" w:cs="Arial"/>
          <w:sz w:val="24"/>
          <w:szCs w:val="24"/>
          <w:u w:val="single"/>
        </w:rPr>
        <w:t>Costs</w:t>
      </w:r>
    </w:p>
    <w:p w:rsidR="007A773F" w:rsidRDefault="007A773F" w:rsidP="00A77B0A">
      <w:pPr>
        <w:pStyle w:val="ListParagraph"/>
        <w:spacing w:line="360" w:lineRule="auto"/>
        <w:ind w:left="0"/>
        <w:jc w:val="both"/>
        <w:rPr>
          <w:rFonts w:cs="Arial"/>
        </w:rPr>
      </w:pPr>
    </w:p>
    <w:p w:rsidR="0039038B" w:rsidRDefault="00A77B0A" w:rsidP="00A77B0A">
      <w:pPr>
        <w:pStyle w:val="ListParagraph"/>
        <w:spacing w:line="360" w:lineRule="auto"/>
        <w:ind w:left="0"/>
        <w:jc w:val="both"/>
        <w:rPr>
          <w:rFonts w:cs="Arial"/>
        </w:rPr>
      </w:pPr>
      <w:r>
        <w:rPr>
          <w:rFonts w:cs="Arial"/>
        </w:rPr>
        <w:t>[</w:t>
      </w:r>
      <w:r w:rsidR="00385741">
        <w:rPr>
          <w:rFonts w:cs="Arial"/>
        </w:rPr>
        <w:t>3</w:t>
      </w:r>
      <w:r w:rsidR="00B43F46">
        <w:rPr>
          <w:rFonts w:cs="Arial"/>
        </w:rPr>
        <w:t>9</w:t>
      </w:r>
      <w:r>
        <w:rPr>
          <w:rFonts w:cs="Arial"/>
        </w:rPr>
        <w:t>]</w:t>
      </w:r>
      <w:r>
        <w:rPr>
          <w:rFonts w:cs="Arial"/>
        </w:rPr>
        <w:tab/>
      </w:r>
      <w:r w:rsidR="007A773F">
        <w:rPr>
          <w:rFonts w:cs="Arial"/>
        </w:rPr>
        <w:t>The parties differed</w:t>
      </w:r>
      <w:r w:rsidR="001241B1" w:rsidRPr="005E070B">
        <w:rPr>
          <w:rFonts w:cs="Arial"/>
        </w:rPr>
        <w:t xml:space="preserve"> on the question as to who should bear the wasted costs occasioned by the postponement of the hearing</w:t>
      </w:r>
      <w:r>
        <w:rPr>
          <w:rFonts w:cs="Arial"/>
        </w:rPr>
        <w:t>,</w:t>
      </w:r>
      <w:r w:rsidR="001241B1" w:rsidRPr="005E070B">
        <w:rPr>
          <w:rFonts w:cs="Arial"/>
        </w:rPr>
        <w:t xml:space="preserve"> which occurred last year</w:t>
      </w:r>
      <w:r w:rsidR="007A773F">
        <w:rPr>
          <w:rFonts w:cs="Arial"/>
        </w:rPr>
        <w:t>,</w:t>
      </w:r>
      <w:r w:rsidR="001241B1" w:rsidRPr="005E070B">
        <w:rPr>
          <w:rFonts w:cs="Arial"/>
        </w:rPr>
        <w:t xml:space="preserve"> on 22 June 2017, </w:t>
      </w:r>
      <w:r w:rsidR="007A773F">
        <w:rPr>
          <w:rFonts w:cs="Arial"/>
        </w:rPr>
        <w:t xml:space="preserve">and </w:t>
      </w:r>
      <w:r w:rsidR="001241B1" w:rsidRPr="005E070B">
        <w:rPr>
          <w:rFonts w:cs="Arial"/>
        </w:rPr>
        <w:t xml:space="preserve">which was occasioned by the attempt to hand up the transcript of the proceedings before </w:t>
      </w:r>
      <w:proofErr w:type="spellStart"/>
      <w:r w:rsidR="001241B1" w:rsidRPr="005E070B">
        <w:rPr>
          <w:rFonts w:cs="Arial"/>
        </w:rPr>
        <w:t>Ueitele</w:t>
      </w:r>
      <w:proofErr w:type="spellEnd"/>
      <w:r w:rsidR="001241B1" w:rsidRPr="005E070B">
        <w:rPr>
          <w:rFonts w:cs="Arial"/>
        </w:rPr>
        <w:t xml:space="preserve"> J </w:t>
      </w:r>
      <w:r w:rsidR="007A773F">
        <w:rPr>
          <w:rFonts w:cs="Arial"/>
        </w:rPr>
        <w:t>reflecting more particularly how</w:t>
      </w:r>
      <w:r w:rsidR="001241B1" w:rsidRPr="005E070B">
        <w:rPr>
          <w:rFonts w:cs="Arial"/>
        </w:rPr>
        <w:t xml:space="preserve"> his </w:t>
      </w:r>
      <w:r>
        <w:rPr>
          <w:rFonts w:cs="Arial"/>
        </w:rPr>
        <w:t>o</w:t>
      </w:r>
      <w:r w:rsidR="001241B1" w:rsidRPr="005E070B">
        <w:rPr>
          <w:rFonts w:cs="Arial"/>
        </w:rPr>
        <w:t xml:space="preserve">rder for </w:t>
      </w:r>
      <w:r>
        <w:rPr>
          <w:rFonts w:cs="Arial"/>
        </w:rPr>
        <w:t>a</w:t>
      </w:r>
      <w:r w:rsidR="001241B1" w:rsidRPr="005E070B">
        <w:rPr>
          <w:rFonts w:cs="Arial"/>
        </w:rPr>
        <w:t>bsolution from the instance</w:t>
      </w:r>
      <w:r w:rsidR="007A773F">
        <w:rPr>
          <w:rFonts w:cs="Arial"/>
        </w:rPr>
        <w:t xml:space="preserve"> had come about</w:t>
      </w:r>
      <w:r w:rsidR="001241B1" w:rsidRPr="005E070B">
        <w:rPr>
          <w:rFonts w:cs="Arial"/>
        </w:rPr>
        <w:t xml:space="preserve"> during May 2015.  T</w:t>
      </w:r>
      <w:r w:rsidR="002F461A">
        <w:rPr>
          <w:rFonts w:cs="Arial"/>
        </w:rPr>
        <w:t xml:space="preserve">he attempt by </w:t>
      </w:r>
      <w:proofErr w:type="spellStart"/>
      <w:r w:rsidR="002F461A">
        <w:rPr>
          <w:rFonts w:cs="Arial"/>
        </w:rPr>
        <w:t>Mr</w:t>
      </w:r>
      <w:proofErr w:type="spellEnd"/>
      <w:r w:rsidR="002F461A">
        <w:rPr>
          <w:rFonts w:cs="Arial"/>
        </w:rPr>
        <w:t xml:space="preserve"> Dicks to do so</w:t>
      </w:r>
      <w:r w:rsidR="001241B1" w:rsidRPr="005E070B">
        <w:rPr>
          <w:rFonts w:cs="Arial"/>
        </w:rPr>
        <w:t xml:space="preserve"> was objected to</w:t>
      </w:r>
      <w:r w:rsidR="002F461A">
        <w:rPr>
          <w:rFonts w:cs="Arial"/>
        </w:rPr>
        <w:t>,</w:t>
      </w:r>
      <w:r w:rsidR="001241B1" w:rsidRPr="005E070B">
        <w:rPr>
          <w:rFonts w:cs="Arial"/>
        </w:rPr>
        <w:t xml:space="preserve"> at the time</w:t>
      </w:r>
      <w:r w:rsidR="002F461A">
        <w:rPr>
          <w:rFonts w:cs="Arial"/>
        </w:rPr>
        <w:t>,</w:t>
      </w:r>
      <w:r w:rsidR="001241B1" w:rsidRPr="005E070B">
        <w:rPr>
          <w:rFonts w:cs="Arial"/>
        </w:rPr>
        <w:t xml:space="preserve"> by </w:t>
      </w:r>
      <w:proofErr w:type="spellStart"/>
      <w:r w:rsidR="001241B1" w:rsidRPr="005E070B">
        <w:rPr>
          <w:rFonts w:cs="Arial"/>
        </w:rPr>
        <w:t>Mr</w:t>
      </w:r>
      <w:proofErr w:type="spellEnd"/>
      <w:r w:rsidR="001241B1" w:rsidRPr="005E070B">
        <w:rPr>
          <w:rFonts w:cs="Arial"/>
        </w:rPr>
        <w:t xml:space="preserve"> Mouton</w:t>
      </w:r>
      <w:r w:rsidR="002F461A">
        <w:rPr>
          <w:rFonts w:cs="Arial"/>
        </w:rPr>
        <w:t>,</w:t>
      </w:r>
      <w:r w:rsidR="001241B1" w:rsidRPr="005E070B">
        <w:rPr>
          <w:rFonts w:cs="Arial"/>
        </w:rPr>
        <w:t xml:space="preserve"> who insisted that </w:t>
      </w:r>
      <w:r>
        <w:rPr>
          <w:rFonts w:cs="Arial"/>
        </w:rPr>
        <w:t>d</w:t>
      </w:r>
      <w:r w:rsidR="001241B1" w:rsidRPr="005E070B">
        <w:rPr>
          <w:rFonts w:cs="Arial"/>
        </w:rPr>
        <w:t>efendant</w:t>
      </w:r>
      <w:r w:rsidR="00385741">
        <w:rPr>
          <w:rFonts w:cs="Arial"/>
        </w:rPr>
        <w:t>’</w:t>
      </w:r>
      <w:r w:rsidR="001241B1" w:rsidRPr="005E070B">
        <w:rPr>
          <w:rFonts w:cs="Arial"/>
        </w:rPr>
        <w:t xml:space="preserve">s legal practitioners follow the correct procedure for the admission of the transcript.  </w:t>
      </w:r>
    </w:p>
    <w:p w:rsidR="002F461A" w:rsidRDefault="002F461A" w:rsidP="00A77B0A">
      <w:pPr>
        <w:pStyle w:val="ListParagraph"/>
        <w:spacing w:line="360" w:lineRule="auto"/>
        <w:ind w:left="0"/>
        <w:jc w:val="both"/>
        <w:rPr>
          <w:rFonts w:cs="Arial"/>
        </w:rPr>
      </w:pPr>
    </w:p>
    <w:p w:rsidR="0039038B" w:rsidRDefault="0039038B" w:rsidP="00A77B0A">
      <w:pPr>
        <w:pStyle w:val="ListParagraph"/>
        <w:spacing w:line="360" w:lineRule="auto"/>
        <w:ind w:left="0"/>
        <w:jc w:val="both"/>
        <w:rPr>
          <w:rFonts w:cs="Arial"/>
        </w:rPr>
      </w:pPr>
      <w:r>
        <w:rPr>
          <w:rFonts w:cs="Arial"/>
        </w:rPr>
        <w:t>[</w:t>
      </w:r>
      <w:r w:rsidR="00B43F46">
        <w:rPr>
          <w:rFonts w:cs="Arial"/>
        </w:rPr>
        <w:t>40</w:t>
      </w:r>
      <w:r>
        <w:rPr>
          <w:rFonts w:cs="Arial"/>
        </w:rPr>
        <w:t>]</w:t>
      </w:r>
      <w:r>
        <w:rPr>
          <w:rFonts w:cs="Arial"/>
        </w:rPr>
        <w:tab/>
      </w:r>
      <w:proofErr w:type="spellStart"/>
      <w:r>
        <w:rPr>
          <w:rFonts w:cs="Arial"/>
        </w:rPr>
        <w:t>Mr</w:t>
      </w:r>
      <w:proofErr w:type="spellEnd"/>
      <w:r>
        <w:rPr>
          <w:rFonts w:cs="Arial"/>
        </w:rPr>
        <w:t xml:space="preserve"> </w:t>
      </w:r>
      <w:r w:rsidR="002F461A">
        <w:rPr>
          <w:rFonts w:cs="Arial"/>
        </w:rPr>
        <w:t>Dick’s now endeavo</w:t>
      </w:r>
      <w:r w:rsidR="001241B1" w:rsidRPr="005E070B">
        <w:rPr>
          <w:rFonts w:cs="Arial"/>
        </w:rPr>
        <w:t>r</w:t>
      </w:r>
      <w:r w:rsidR="002F461A">
        <w:rPr>
          <w:rFonts w:cs="Arial"/>
        </w:rPr>
        <w:t>ed</w:t>
      </w:r>
      <w:r w:rsidR="001241B1" w:rsidRPr="005E070B">
        <w:rPr>
          <w:rFonts w:cs="Arial"/>
        </w:rPr>
        <w:t xml:space="preserve"> to justify </w:t>
      </w:r>
      <w:r w:rsidR="002F461A">
        <w:rPr>
          <w:rFonts w:cs="Arial"/>
        </w:rPr>
        <w:t>t</w:t>
      </w:r>
      <w:r w:rsidR="001241B1" w:rsidRPr="005E070B">
        <w:rPr>
          <w:rFonts w:cs="Arial"/>
        </w:rPr>
        <w:t>his attempt by submitting that the transcript</w:t>
      </w:r>
      <w:r w:rsidR="002F461A">
        <w:rPr>
          <w:rFonts w:cs="Arial"/>
        </w:rPr>
        <w:t xml:space="preserve"> was offered as it</w:t>
      </w:r>
      <w:r w:rsidR="001241B1" w:rsidRPr="005E070B">
        <w:rPr>
          <w:rFonts w:cs="Arial"/>
        </w:rPr>
        <w:t xml:space="preserve"> would have placed the </w:t>
      </w:r>
      <w:r>
        <w:rPr>
          <w:rFonts w:cs="Arial"/>
        </w:rPr>
        <w:t>c</w:t>
      </w:r>
      <w:r w:rsidR="001241B1" w:rsidRPr="005E070B">
        <w:rPr>
          <w:rFonts w:cs="Arial"/>
        </w:rPr>
        <w:t xml:space="preserve">ourt in a better position to determine how </w:t>
      </w:r>
      <w:r>
        <w:rPr>
          <w:rFonts w:cs="Arial"/>
        </w:rPr>
        <w:t>a</w:t>
      </w:r>
      <w:r w:rsidR="001241B1" w:rsidRPr="005E070B">
        <w:rPr>
          <w:rFonts w:cs="Arial"/>
        </w:rPr>
        <w:t>bsolution had re</w:t>
      </w:r>
      <w:r w:rsidR="002F461A">
        <w:rPr>
          <w:rFonts w:cs="Arial"/>
        </w:rPr>
        <w:t>ally come about especially</w:t>
      </w:r>
      <w:r w:rsidR="001241B1" w:rsidRPr="005E070B">
        <w:rPr>
          <w:rFonts w:cs="Arial"/>
        </w:rPr>
        <w:t xml:space="preserve"> because of the manner in which the </w:t>
      </w:r>
      <w:r>
        <w:rPr>
          <w:rFonts w:cs="Arial"/>
        </w:rPr>
        <w:t>p</w:t>
      </w:r>
      <w:r w:rsidR="001241B1" w:rsidRPr="005E070B">
        <w:rPr>
          <w:rFonts w:cs="Arial"/>
        </w:rPr>
        <w:t>laintiff had formulated the issue, reflected in paragraph 2.2.1 of the stated case,</w:t>
      </w:r>
      <w:r w:rsidR="002F461A">
        <w:rPr>
          <w:rFonts w:cs="Arial"/>
        </w:rPr>
        <w:t xml:space="preserve"> to the effect</w:t>
      </w:r>
      <w:r w:rsidR="001241B1" w:rsidRPr="005E070B">
        <w:rPr>
          <w:rFonts w:cs="Arial"/>
        </w:rPr>
        <w:t xml:space="preserve"> that </w:t>
      </w:r>
      <w:r>
        <w:rPr>
          <w:rFonts w:cs="Arial"/>
        </w:rPr>
        <w:t>a</w:t>
      </w:r>
      <w:r w:rsidR="001241B1" w:rsidRPr="005E070B">
        <w:rPr>
          <w:rFonts w:cs="Arial"/>
        </w:rPr>
        <w:t xml:space="preserve">bsolution was not granted at the end of the </w:t>
      </w:r>
      <w:r>
        <w:rPr>
          <w:rFonts w:cs="Arial"/>
        </w:rPr>
        <w:t>p</w:t>
      </w:r>
      <w:r w:rsidR="001241B1" w:rsidRPr="005E070B">
        <w:rPr>
          <w:rFonts w:cs="Arial"/>
        </w:rPr>
        <w:t xml:space="preserve">laintiff’s case.  </w:t>
      </w:r>
    </w:p>
    <w:p w:rsidR="0039038B" w:rsidRDefault="0039038B" w:rsidP="00A77B0A">
      <w:pPr>
        <w:pStyle w:val="ListParagraph"/>
        <w:spacing w:line="360" w:lineRule="auto"/>
        <w:ind w:left="0"/>
        <w:jc w:val="both"/>
        <w:rPr>
          <w:rFonts w:cs="Arial"/>
        </w:rPr>
      </w:pPr>
    </w:p>
    <w:p w:rsidR="00EC34CF" w:rsidRDefault="0039038B" w:rsidP="00A77B0A">
      <w:pPr>
        <w:pStyle w:val="ListParagraph"/>
        <w:spacing w:line="360" w:lineRule="auto"/>
        <w:ind w:left="0"/>
        <w:jc w:val="both"/>
        <w:rPr>
          <w:rFonts w:cs="Arial"/>
        </w:rPr>
      </w:pPr>
      <w:r>
        <w:rPr>
          <w:rFonts w:cs="Arial"/>
        </w:rPr>
        <w:t>[</w:t>
      </w:r>
      <w:r w:rsidR="00B43F46">
        <w:rPr>
          <w:rFonts w:cs="Arial"/>
        </w:rPr>
        <w:t>41</w:t>
      </w:r>
      <w:r>
        <w:rPr>
          <w:rFonts w:cs="Arial"/>
        </w:rPr>
        <w:t>]</w:t>
      </w:r>
      <w:r>
        <w:rPr>
          <w:rFonts w:cs="Arial"/>
        </w:rPr>
        <w:tab/>
      </w:r>
      <w:proofErr w:type="spellStart"/>
      <w:r w:rsidR="001241B1" w:rsidRPr="005E070B">
        <w:rPr>
          <w:rFonts w:cs="Arial"/>
        </w:rPr>
        <w:t>Mr</w:t>
      </w:r>
      <w:proofErr w:type="spellEnd"/>
      <w:r w:rsidR="001241B1" w:rsidRPr="005E070B">
        <w:rPr>
          <w:rFonts w:cs="Arial"/>
        </w:rPr>
        <w:t xml:space="preserve"> Dicks agreed with the </w:t>
      </w:r>
      <w:r>
        <w:rPr>
          <w:rFonts w:cs="Arial"/>
        </w:rPr>
        <w:t>c</w:t>
      </w:r>
      <w:r w:rsidR="001241B1" w:rsidRPr="005E070B">
        <w:rPr>
          <w:rFonts w:cs="Arial"/>
        </w:rPr>
        <w:t xml:space="preserve">ourt that if the </w:t>
      </w:r>
      <w:r>
        <w:rPr>
          <w:rFonts w:cs="Arial"/>
        </w:rPr>
        <w:t>c</w:t>
      </w:r>
      <w:r w:rsidR="001241B1" w:rsidRPr="005E070B">
        <w:rPr>
          <w:rFonts w:cs="Arial"/>
        </w:rPr>
        <w:t>ourt would</w:t>
      </w:r>
      <w:r w:rsidR="002F461A">
        <w:rPr>
          <w:rFonts w:cs="Arial"/>
        </w:rPr>
        <w:t xml:space="preserve"> consider it fit to award the costs occasioned by the postponement to the defendant and if the court would also </w:t>
      </w:r>
      <w:r w:rsidR="002F461A">
        <w:rPr>
          <w:rFonts w:cs="Arial"/>
        </w:rPr>
        <w:lastRenderedPageBreak/>
        <w:t>uphold the stated</w:t>
      </w:r>
      <w:r w:rsidR="001241B1" w:rsidRPr="005E070B">
        <w:rPr>
          <w:rFonts w:cs="Arial"/>
        </w:rPr>
        <w:t xml:space="preserve"> case in </w:t>
      </w:r>
      <w:proofErr w:type="spellStart"/>
      <w:r w:rsidR="001241B1" w:rsidRPr="005E070B">
        <w:rPr>
          <w:rFonts w:cs="Arial"/>
        </w:rPr>
        <w:t>favour</w:t>
      </w:r>
      <w:proofErr w:type="spellEnd"/>
      <w:r w:rsidR="001241B1" w:rsidRPr="005E070B">
        <w:rPr>
          <w:rFonts w:cs="Arial"/>
        </w:rPr>
        <w:t xml:space="preserve"> of the </w:t>
      </w:r>
      <w:r w:rsidR="002F461A">
        <w:rPr>
          <w:rFonts w:cs="Arial"/>
        </w:rPr>
        <w:t>defendant, where</w:t>
      </w:r>
      <w:r w:rsidR="001241B1" w:rsidRPr="005E070B">
        <w:rPr>
          <w:rFonts w:cs="Arial"/>
        </w:rPr>
        <w:t xml:space="preserve"> the costs sho</w:t>
      </w:r>
      <w:r w:rsidR="002F461A">
        <w:rPr>
          <w:rFonts w:cs="Arial"/>
        </w:rPr>
        <w:t>uld really follow the result,</w:t>
      </w:r>
      <w:r w:rsidR="001241B1" w:rsidRPr="005E070B">
        <w:rPr>
          <w:rFonts w:cs="Arial"/>
        </w:rPr>
        <w:t xml:space="preserve"> that</w:t>
      </w:r>
      <w:r w:rsidR="002F461A">
        <w:rPr>
          <w:rFonts w:cs="Arial"/>
        </w:rPr>
        <w:t>, in that event,</w:t>
      </w:r>
      <w:r w:rsidR="001241B1" w:rsidRPr="005E070B">
        <w:rPr>
          <w:rFonts w:cs="Arial"/>
        </w:rPr>
        <w:t xml:space="preserve"> no special </w:t>
      </w:r>
      <w:r w:rsidR="00EC34CF">
        <w:rPr>
          <w:rFonts w:cs="Arial"/>
        </w:rPr>
        <w:t>c</w:t>
      </w:r>
      <w:r w:rsidR="001241B1" w:rsidRPr="005E070B">
        <w:rPr>
          <w:rFonts w:cs="Arial"/>
        </w:rPr>
        <w:t xml:space="preserve">ost </w:t>
      </w:r>
      <w:r w:rsidR="00EC34CF">
        <w:rPr>
          <w:rFonts w:cs="Arial"/>
        </w:rPr>
        <w:t>o</w:t>
      </w:r>
      <w:r w:rsidR="001241B1" w:rsidRPr="005E070B">
        <w:rPr>
          <w:rFonts w:cs="Arial"/>
        </w:rPr>
        <w:t>rder would have to be made in respect of the wasted cost</w:t>
      </w:r>
      <w:r w:rsidR="00EC34CF">
        <w:rPr>
          <w:rFonts w:cs="Arial"/>
        </w:rPr>
        <w:t>s,</w:t>
      </w:r>
      <w:r w:rsidR="001241B1" w:rsidRPr="005E070B">
        <w:rPr>
          <w:rFonts w:cs="Arial"/>
        </w:rPr>
        <w:t xml:space="preserve"> occasioned by the postponement of the matter on 22 June 2017.  If the stated case would however be determined in </w:t>
      </w:r>
      <w:proofErr w:type="spellStart"/>
      <w:r w:rsidR="001241B1" w:rsidRPr="005E070B">
        <w:rPr>
          <w:rFonts w:cs="Arial"/>
        </w:rPr>
        <w:t>favour</w:t>
      </w:r>
      <w:proofErr w:type="spellEnd"/>
      <w:r w:rsidR="001241B1" w:rsidRPr="005E070B">
        <w:rPr>
          <w:rFonts w:cs="Arial"/>
        </w:rPr>
        <w:t xml:space="preserve"> of the </w:t>
      </w:r>
      <w:r w:rsidR="00EC34CF">
        <w:rPr>
          <w:rFonts w:cs="Arial"/>
        </w:rPr>
        <w:t>p</w:t>
      </w:r>
      <w:r w:rsidR="002F461A">
        <w:rPr>
          <w:rFonts w:cs="Arial"/>
        </w:rPr>
        <w:t xml:space="preserve">laintiff, </w:t>
      </w:r>
      <w:proofErr w:type="spellStart"/>
      <w:r w:rsidR="002F461A">
        <w:rPr>
          <w:rFonts w:cs="Arial"/>
        </w:rPr>
        <w:t>Mr</w:t>
      </w:r>
      <w:proofErr w:type="spellEnd"/>
      <w:r w:rsidR="002F461A">
        <w:rPr>
          <w:rFonts w:cs="Arial"/>
        </w:rPr>
        <w:t xml:space="preserve"> Dicks indicated that he</w:t>
      </w:r>
      <w:r w:rsidR="001241B1" w:rsidRPr="005E070B">
        <w:rPr>
          <w:rFonts w:cs="Arial"/>
        </w:rPr>
        <w:t xml:space="preserve"> would still insist on the wasted cost</w:t>
      </w:r>
      <w:r w:rsidR="00EC34CF">
        <w:rPr>
          <w:rFonts w:cs="Arial"/>
        </w:rPr>
        <w:t>s</w:t>
      </w:r>
      <w:r w:rsidR="007C5ACB">
        <w:rPr>
          <w:rFonts w:cs="Arial"/>
        </w:rPr>
        <w:t xml:space="preserve"> of 22 June</w:t>
      </w:r>
      <w:r w:rsidR="001241B1" w:rsidRPr="005E070B">
        <w:rPr>
          <w:rFonts w:cs="Arial"/>
        </w:rPr>
        <w:t xml:space="preserve"> being awarded to his client.  </w:t>
      </w:r>
    </w:p>
    <w:p w:rsidR="00EC34CF" w:rsidRDefault="00EC34CF" w:rsidP="00A77B0A">
      <w:pPr>
        <w:pStyle w:val="ListParagraph"/>
        <w:spacing w:line="360" w:lineRule="auto"/>
        <w:ind w:left="0"/>
        <w:jc w:val="both"/>
        <w:rPr>
          <w:rFonts w:cs="Arial"/>
        </w:rPr>
      </w:pPr>
    </w:p>
    <w:p w:rsidR="00EC34CF" w:rsidRDefault="00EC34CF" w:rsidP="00A77B0A">
      <w:pPr>
        <w:pStyle w:val="ListParagraph"/>
        <w:spacing w:line="360" w:lineRule="auto"/>
        <w:ind w:left="0"/>
        <w:jc w:val="both"/>
        <w:rPr>
          <w:rFonts w:cs="Arial"/>
        </w:rPr>
      </w:pPr>
      <w:r>
        <w:rPr>
          <w:rFonts w:cs="Arial"/>
        </w:rPr>
        <w:t>[</w:t>
      </w:r>
      <w:r w:rsidR="00B43F46">
        <w:rPr>
          <w:rFonts w:cs="Arial"/>
        </w:rPr>
        <w:t>42</w:t>
      </w:r>
      <w:r>
        <w:rPr>
          <w:rFonts w:cs="Arial"/>
        </w:rPr>
        <w:t>]</w:t>
      </w:r>
      <w:r>
        <w:rPr>
          <w:rFonts w:cs="Arial"/>
        </w:rPr>
        <w:tab/>
      </w:r>
      <w:proofErr w:type="spellStart"/>
      <w:r w:rsidR="001241B1" w:rsidRPr="005E070B">
        <w:rPr>
          <w:rFonts w:cs="Arial"/>
        </w:rPr>
        <w:t>Mr</w:t>
      </w:r>
      <w:proofErr w:type="spellEnd"/>
      <w:r w:rsidR="001241B1" w:rsidRPr="005E070B">
        <w:rPr>
          <w:rFonts w:cs="Arial"/>
        </w:rPr>
        <w:t xml:space="preserve"> Mouton on the other hand insisted that the wasted cost</w:t>
      </w:r>
      <w:r>
        <w:rPr>
          <w:rFonts w:cs="Arial"/>
        </w:rPr>
        <w:t>s</w:t>
      </w:r>
      <w:r w:rsidR="001241B1" w:rsidRPr="005E070B">
        <w:rPr>
          <w:rFonts w:cs="Arial"/>
        </w:rPr>
        <w:t xml:space="preserve"> should be awarded to his client</w:t>
      </w:r>
      <w:r>
        <w:rPr>
          <w:rFonts w:cs="Arial"/>
        </w:rPr>
        <w:t>,</w:t>
      </w:r>
      <w:r w:rsidR="001241B1" w:rsidRPr="005E070B">
        <w:rPr>
          <w:rFonts w:cs="Arial"/>
        </w:rPr>
        <w:t xml:space="preserve"> as it was the </w:t>
      </w:r>
      <w:r>
        <w:rPr>
          <w:rFonts w:cs="Arial"/>
        </w:rPr>
        <w:t>d</w:t>
      </w:r>
      <w:r w:rsidR="001241B1" w:rsidRPr="005E070B">
        <w:rPr>
          <w:rFonts w:cs="Arial"/>
        </w:rPr>
        <w:t xml:space="preserve">efendant that was prosecuting the stated case and that it was the </w:t>
      </w:r>
      <w:r>
        <w:rPr>
          <w:rFonts w:cs="Arial"/>
        </w:rPr>
        <w:t>d</w:t>
      </w:r>
      <w:r w:rsidR="001241B1" w:rsidRPr="005E070B">
        <w:rPr>
          <w:rFonts w:cs="Arial"/>
        </w:rPr>
        <w:t>efendant that had wanted to utilize the transcript for th</w:t>
      </w:r>
      <w:r w:rsidR="00167B48">
        <w:rPr>
          <w:rFonts w:cs="Arial"/>
        </w:rPr>
        <w:t>e stated purpose.  This endeavo</w:t>
      </w:r>
      <w:r w:rsidR="001241B1" w:rsidRPr="005E070B">
        <w:rPr>
          <w:rFonts w:cs="Arial"/>
        </w:rPr>
        <w:t xml:space="preserve">r had resulted in the postponement and accordingly the </w:t>
      </w:r>
      <w:r>
        <w:rPr>
          <w:rFonts w:cs="Arial"/>
        </w:rPr>
        <w:t>d</w:t>
      </w:r>
      <w:r w:rsidR="00167B48">
        <w:rPr>
          <w:rFonts w:cs="Arial"/>
        </w:rPr>
        <w:t>efendant should be mulcte</w:t>
      </w:r>
      <w:r w:rsidR="001241B1" w:rsidRPr="005E070B">
        <w:rPr>
          <w:rFonts w:cs="Arial"/>
        </w:rPr>
        <w:t>d in the wasted cost</w:t>
      </w:r>
      <w:r>
        <w:rPr>
          <w:rFonts w:cs="Arial"/>
        </w:rPr>
        <w:t>s</w:t>
      </w:r>
      <w:r w:rsidR="001241B1" w:rsidRPr="005E070B">
        <w:rPr>
          <w:rFonts w:cs="Arial"/>
        </w:rPr>
        <w:t xml:space="preserve"> occasioned as a result.  Defendant after all had not followed the prescribed procedure for the admission of the record.  </w:t>
      </w:r>
    </w:p>
    <w:p w:rsidR="00EC34CF" w:rsidRDefault="00EC34CF" w:rsidP="00A77B0A">
      <w:pPr>
        <w:pStyle w:val="ListParagraph"/>
        <w:spacing w:line="360" w:lineRule="auto"/>
        <w:ind w:left="0"/>
        <w:jc w:val="both"/>
        <w:rPr>
          <w:rFonts w:cs="Arial"/>
        </w:rPr>
      </w:pPr>
    </w:p>
    <w:p w:rsidR="00EC34CF" w:rsidRDefault="00EC34CF" w:rsidP="00A77B0A">
      <w:pPr>
        <w:pStyle w:val="ListParagraph"/>
        <w:spacing w:line="360" w:lineRule="auto"/>
        <w:ind w:left="0"/>
        <w:jc w:val="both"/>
        <w:rPr>
          <w:rFonts w:cs="Arial"/>
        </w:rPr>
      </w:pPr>
      <w:r>
        <w:rPr>
          <w:rFonts w:cs="Arial"/>
        </w:rPr>
        <w:t>[</w:t>
      </w:r>
      <w:r w:rsidR="00B43F46">
        <w:rPr>
          <w:rFonts w:cs="Arial"/>
        </w:rPr>
        <w:t>43</w:t>
      </w:r>
      <w:r>
        <w:rPr>
          <w:rFonts w:cs="Arial"/>
        </w:rPr>
        <w:t>]</w:t>
      </w:r>
      <w:r>
        <w:rPr>
          <w:rFonts w:cs="Arial"/>
        </w:rPr>
        <w:tab/>
      </w:r>
      <w:r w:rsidR="001241B1" w:rsidRPr="005E070B">
        <w:rPr>
          <w:rFonts w:cs="Arial"/>
        </w:rPr>
        <w:t>I</w:t>
      </w:r>
      <w:r w:rsidR="00167B48">
        <w:rPr>
          <w:rFonts w:cs="Arial"/>
        </w:rPr>
        <w:t>n spite of the valid arguments raised on behalf of</w:t>
      </w:r>
      <w:r w:rsidR="00431039">
        <w:rPr>
          <w:rFonts w:cs="Arial"/>
        </w:rPr>
        <w:t xml:space="preserve"> both</w:t>
      </w:r>
      <w:r w:rsidR="00167B48">
        <w:rPr>
          <w:rFonts w:cs="Arial"/>
        </w:rPr>
        <w:t xml:space="preserve"> the parties I</w:t>
      </w:r>
      <w:r w:rsidR="001241B1" w:rsidRPr="005E070B">
        <w:rPr>
          <w:rFonts w:cs="Arial"/>
        </w:rPr>
        <w:t xml:space="preserve"> believe however</w:t>
      </w:r>
      <w:r>
        <w:rPr>
          <w:rFonts w:cs="Arial"/>
        </w:rPr>
        <w:t>,</w:t>
      </w:r>
      <w:r w:rsidR="001241B1" w:rsidRPr="005E070B">
        <w:rPr>
          <w:rFonts w:cs="Arial"/>
        </w:rPr>
        <w:t xml:space="preserve"> that the wasted costs of the postponement</w:t>
      </w:r>
      <w:r w:rsidR="00167B48">
        <w:rPr>
          <w:rFonts w:cs="Arial"/>
        </w:rPr>
        <w:t>,</w:t>
      </w:r>
      <w:r w:rsidR="001241B1" w:rsidRPr="005E070B">
        <w:rPr>
          <w:rFonts w:cs="Arial"/>
        </w:rPr>
        <w:t xml:space="preserve"> which were occasioned on 22 June 2017</w:t>
      </w:r>
      <w:r w:rsidR="00431039">
        <w:rPr>
          <w:rFonts w:cs="Arial"/>
        </w:rPr>
        <w:t>,</w:t>
      </w:r>
      <w:r w:rsidR="001241B1" w:rsidRPr="005E070B">
        <w:rPr>
          <w:rFonts w:cs="Arial"/>
        </w:rPr>
        <w:t xml:space="preserve"> shou</w:t>
      </w:r>
      <w:r w:rsidR="00167B48">
        <w:rPr>
          <w:rFonts w:cs="Arial"/>
        </w:rPr>
        <w:t>ld be costs in the cause. I say so because both</w:t>
      </w:r>
      <w:r w:rsidR="001241B1" w:rsidRPr="005E070B">
        <w:rPr>
          <w:rFonts w:cs="Arial"/>
        </w:rPr>
        <w:t xml:space="preserve"> parties had agreed to present their case for the determination of the </w:t>
      </w:r>
      <w:r>
        <w:rPr>
          <w:rFonts w:cs="Arial"/>
        </w:rPr>
        <w:t>c</w:t>
      </w:r>
      <w:r w:rsidR="001241B1" w:rsidRPr="005E070B">
        <w:rPr>
          <w:rFonts w:cs="Arial"/>
        </w:rPr>
        <w:t>ourt</w:t>
      </w:r>
      <w:r>
        <w:rPr>
          <w:rFonts w:cs="Arial"/>
        </w:rPr>
        <w:t>,</w:t>
      </w:r>
      <w:r w:rsidR="00167B48">
        <w:rPr>
          <w:rFonts w:cs="Arial"/>
        </w:rPr>
        <w:t xml:space="preserve"> by way of a</w:t>
      </w:r>
      <w:r w:rsidR="001241B1" w:rsidRPr="005E070B">
        <w:rPr>
          <w:rFonts w:cs="Arial"/>
        </w:rPr>
        <w:t xml:space="preserve"> stated case</w:t>
      </w:r>
      <w:r w:rsidR="00167B48">
        <w:rPr>
          <w:rFonts w:cs="Arial"/>
        </w:rPr>
        <w:t>. It was</w:t>
      </w:r>
      <w:r w:rsidR="001241B1" w:rsidRPr="005E070B">
        <w:rPr>
          <w:rFonts w:cs="Arial"/>
        </w:rPr>
        <w:t xml:space="preserve"> for that purp</w:t>
      </w:r>
      <w:r w:rsidR="00167B48">
        <w:rPr>
          <w:rFonts w:cs="Arial"/>
        </w:rPr>
        <w:t>ose, that</w:t>
      </w:r>
      <w:r w:rsidR="001241B1" w:rsidRPr="005E070B">
        <w:rPr>
          <w:rFonts w:cs="Arial"/>
        </w:rPr>
        <w:t xml:space="preserve"> the parties</w:t>
      </w:r>
      <w:r w:rsidR="00167B48">
        <w:rPr>
          <w:rFonts w:cs="Arial"/>
        </w:rPr>
        <w:t xml:space="preserve"> had become obliged</w:t>
      </w:r>
      <w:r w:rsidR="001241B1" w:rsidRPr="005E070B">
        <w:rPr>
          <w:rFonts w:cs="Arial"/>
        </w:rPr>
        <w:t xml:space="preserve"> to set out the agreed f</w:t>
      </w:r>
      <w:r w:rsidR="00167B48">
        <w:rPr>
          <w:rFonts w:cs="Arial"/>
        </w:rPr>
        <w:t>acts</w:t>
      </w:r>
      <w:r w:rsidR="009D74AD">
        <w:rPr>
          <w:rFonts w:cs="Arial"/>
        </w:rPr>
        <w:t xml:space="preserve"> accompanied by the necessary documents to enable the managing judge to decide the questions raised</w:t>
      </w:r>
      <w:r w:rsidR="00167B48">
        <w:rPr>
          <w:rFonts w:cs="Arial"/>
        </w:rPr>
        <w:t>, as</w:t>
      </w:r>
      <w:r w:rsidR="00431039">
        <w:rPr>
          <w:rFonts w:cs="Arial"/>
        </w:rPr>
        <w:t xml:space="preserve"> was</w:t>
      </w:r>
      <w:r w:rsidR="009D74AD">
        <w:rPr>
          <w:rFonts w:cs="Arial"/>
        </w:rPr>
        <w:t xml:space="preserve"> required by Rule 63(2</w:t>
      </w:r>
      <w:proofErr w:type="gramStart"/>
      <w:r w:rsidR="009D74AD">
        <w:rPr>
          <w:rFonts w:cs="Arial"/>
        </w:rPr>
        <w:t>)(</w:t>
      </w:r>
      <w:proofErr w:type="gramEnd"/>
      <w:r w:rsidR="009D74AD">
        <w:rPr>
          <w:rFonts w:cs="Arial"/>
        </w:rPr>
        <w:t>a</w:t>
      </w:r>
      <w:r w:rsidR="001241B1" w:rsidRPr="005E070B">
        <w:rPr>
          <w:rFonts w:cs="Arial"/>
        </w:rPr>
        <w:t xml:space="preserve">).  </w:t>
      </w:r>
    </w:p>
    <w:p w:rsidR="00EC34CF" w:rsidRDefault="00EC34CF" w:rsidP="00A77B0A">
      <w:pPr>
        <w:pStyle w:val="ListParagraph"/>
        <w:spacing w:line="360" w:lineRule="auto"/>
        <w:ind w:left="0"/>
        <w:jc w:val="both"/>
        <w:rPr>
          <w:rFonts w:cs="Arial"/>
        </w:rPr>
      </w:pPr>
    </w:p>
    <w:p w:rsidR="00EC34CF" w:rsidRDefault="00EC34CF" w:rsidP="00A77B0A">
      <w:pPr>
        <w:pStyle w:val="ListParagraph"/>
        <w:spacing w:line="360" w:lineRule="auto"/>
        <w:ind w:left="0"/>
        <w:jc w:val="both"/>
        <w:rPr>
          <w:rFonts w:cs="Arial"/>
        </w:rPr>
      </w:pPr>
      <w:r>
        <w:rPr>
          <w:rFonts w:cs="Arial"/>
        </w:rPr>
        <w:t>[</w:t>
      </w:r>
      <w:r w:rsidR="00B43F46">
        <w:rPr>
          <w:rFonts w:cs="Arial"/>
        </w:rPr>
        <w:t>44</w:t>
      </w:r>
      <w:r>
        <w:rPr>
          <w:rFonts w:cs="Arial"/>
        </w:rPr>
        <w:t>]</w:t>
      </w:r>
      <w:r>
        <w:rPr>
          <w:rFonts w:cs="Arial"/>
        </w:rPr>
        <w:tab/>
      </w:r>
      <w:r w:rsidR="00167B48">
        <w:rPr>
          <w:rFonts w:cs="Arial"/>
        </w:rPr>
        <w:t>G</w:t>
      </w:r>
      <w:r w:rsidR="001241B1" w:rsidRPr="005E070B">
        <w:rPr>
          <w:rFonts w:cs="Arial"/>
        </w:rPr>
        <w:t>iven</w:t>
      </w:r>
      <w:r w:rsidR="00167B48">
        <w:rPr>
          <w:rFonts w:cs="Arial"/>
        </w:rPr>
        <w:t xml:space="preserve"> </w:t>
      </w:r>
      <w:r w:rsidR="006167E4">
        <w:rPr>
          <w:rFonts w:cs="Arial"/>
        </w:rPr>
        <w:t xml:space="preserve">the </w:t>
      </w:r>
      <w:r w:rsidR="00167B48">
        <w:rPr>
          <w:rFonts w:cs="Arial"/>
        </w:rPr>
        <w:t>nature of</w:t>
      </w:r>
      <w:r w:rsidR="001241B1" w:rsidRPr="005E070B">
        <w:rPr>
          <w:rFonts w:cs="Arial"/>
        </w:rPr>
        <w:t xml:space="preserve"> the t</w:t>
      </w:r>
      <w:r w:rsidR="00167B48">
        <w:rPr>
          <w:rFonts w:cs="Arial"/>
        </w:rPr>
        <w:t>ranscript and its high relevancy</w:t>
      </w:r>
      <w:r w:rsidR="00431039">
        <w:rPr>
          <w:rFonts w:cs="Arial"/>
        </w:rPr>
        <w:t xml:space="preserve"> to such</w:t>
      </w:r>
      <w:r w:rsidR="00167B48">
        <w:rPr>
          <w:rFonts w:cs="Arial"/>
        </w:rPr>
        <w:t xml:space="preserve"> stated case - both</w:t>
      </w:r>
      <w:r w:rsidR="001241B1" w:rsidRPr="005E070B">
        <w:rPr>
          <w:rFonts w:cs="Arial"/>
        </w:rPr>
        <w:t xml:space="preserve"> parties</w:t>
      </w:r>
      <w:r w:rsidR="00167B48">
        <w:rPr>
          <w:rFonts w:cs="Arial"/>
        </w:rPr>
        <w:t xml:space="preserve"> were</w:t>
      </w:r>
      <w:r w:rsidR="009D74AD">
        <w:rPr>
          <w:rFonts w:cs="Arial"/>
        </w:rPr>
        <w:t xml:space="preserve"> thus always</w:t>
      </w:r>
      <w:r w:rsidR="00167B48">
        <w:rPr>
          <w:rFonts w:cs="Arial"/>
        </w:rPr>
        <w:t xml:space="preserve"> duty-bound and </w:t>
      </w:r>
      <w:r w:rsidR="001241B1" w:rsidRPr="005E070B">
        <w:rPr>
          <w:rFonts w:cs="Arial"/>
        </w:rPr>
        <w:t xml:space="preserve">should </w:t>
      </w:r>
      <w:r w:rsidR="006167E4">
        <w:rPr>
          <w:rFonts w:cs="Arial"/>
        </w:rPr>
        <w:t>thus</w:t>
      </w:r>
      <w:r w:rsidR="006167E4" w:rsidRPr="005E070B">
        <w:rPr>
          <w:rFonts w:cs="Arial"/>
        </w:rPr>
        <w:t xml:space="preserve"> </w:t>
      </w:r>
      <w:r w:rsidR="001241B1" w:rsidRPr="005E070B">
        <w:rPr>
          <w:rFonts w:cs="Arial"/>
        </w:rPr>
        <w:t>have incorporated</w:t>
      </w:r>
      <w:r w:rsidR="006167E4">
        <w:rPr>
          <w:rFonts w:cs="Arial"/>
        </w:rPr>
        <w:t xml:space="preserve"> and annexed</w:t>
      </w:r>
      <w:r w:rsidR="001241B1" w:rsidRPr="005E070B">
        <w:rPr>
          <w:rFonts w:cs="Arial"/>
        </w:rPr>
        <w:t xml:space="preserve"> whatever aspect</w:t>
      </w:r>
      <w:r w:rsidR="009D74AD">
        <w:rPr>
          <w:rFonts w:cs="Arial"/>
        </w:rPr>
        <w:t xml:space="preserve"> or </w:t>
      </w:r>
      <w:r w:rsidR="006167E4">
        <w:rPr>
          <w:rFonts w:cs="Arial"/>
        </w:rPr>
        <w:t xml:space="preserve">part of the </w:t>
      </w:r>
      <w:r w:rsidR="009D74AD">
        <w:rPr>
          <w:rFonts w:cs="Arial"/>
        </w:rPr>
        <w:t>document</w:t>
      </w:r>
      <w:r w:rsidR="001241B1" w:rsidRPr="005E070B">
        <w:rPr>
          <w:rFonts w:cs="Arial"/>
        </w:rPr>
        <w:t xml:space="preserve"> they considered relevant</w:t>
      </w:r>
      <w:r w:rsidR="00167B48">
        <w:rPr>
          <w:rFonts w:cs="Arial"/>
        </w:rPr>
        <w:t xml:space="preserve"> -</w:t>
      </w:r>
      <w:r w:rsidR="001241B1" w:rsidRPr="005E070B">
        <w:rPr>
          <w:rFonts w:cs="Arial"/>
        </w:rPr>
        <w:t xml:space="preserve"> and as could </w:t>
      </w:r>
      <w:r w:rsidR="006167E4">
        <w:rPr>
          <w:rFonts w:cs="Arial"/>
        </w:rPr>
        <w:t xml:space="preserve">have been </w:t>
      </w:r>
      <w:r w:rsidR="001241B1" w:rsidRPr="005E070B">
        <w:rPr>
          <w:rFonts w:cs="Arial"/>
        </w:rPr>
        <w:t>be extracted from the transcript</w:t>
      </w:r>
      <w:r w:rsidR="00167B48">
        <w:rPr>
          <w:rFonts w:cs="Arial"/>
        </w:rPr>
        <w:t xml:space="preserve"> -</w:t>
      </w:r>
      <w:r w:rsidR="001241B1" w:rsidRPr="005E070B">
        <w:rPr>
          <w:rFonts w:cs="Arial"/>
        </w:rPr>
        <w:t xml:space="preserve"> into the statement of agreed facts</w:t>
      </w:r>
      <w:r w:rsidR="00167B48">
        <w:rPr>
          <w:rFonts w:cs="Arial"/>
        </w:rPr>
        <w:t xml:space="preserve"> - prior to its final formulation.  In my view</w:t>
      </w:r>
      <w:r w:rsidR="00431039">
        <w:rPr>
          <w:rFonts w:cs="Arial"/>
        </w:rPr>
        <w:t>, both parties</w:t>
      </w:r>
      <w:r w:rsidR="001241B1" w:rsidRPr="005E070B">
        <w:rPr>
          <w:rFonts w:cs="Arial"/>
        </w:rPr>
        <w:t xml:space="preserve"> failed in this duty</w:t>
      </w:r>
      <w:r>
        <w:rPr>
          <w:rFonts w:cs="Arial"/>
        </w:rPr>
        <w:t>,</w:t>
      </w:r>
      <w:r w:rsidR="001241B1" w:rsidRPr="005E070B">
        <w:rPr>
          <w:rFonts w:cs="Arial"/>
        </w:rPr>
        <w:t xml:space="preserve"> particularly</w:t>
      </w:r>
      <w:r>
        <w:rPr>
          <w:rFonts w:cs="Arial"/>
        </w:rPr>
        <w:t>,</w:t>
      </w:r>
      <w:r w:rsidR="001241B1" w:rsidRPr="005E070B">
        <w:rPr>
          <w:rFonts w:cs="Arial"/>
        </w:rPr>
        <w:t xml:space="preserve"> as this</w:t>
      </w:r>
      <w:r w:rsidR="009D74AD">
        <w:rPr>
          <w:rFonts w:cs="Arial"/>
        </w:rPr>
        <w:t xml:space="preserve"> was obviously relevant and</w:t>
      </w:r>
      <w:r w:rsidR="001241B1" w:rsidRPr="005E070B">
        <w:rPr>
          <w:rFonts w:cs="Arial"/>
        </w:rPr>
        <w:t xml:space="preserve"> could have been easily done.  It is because of this failure that I believe that I should exercise my discretion</w:t>
      </w:r>
      <w:r w:rsidR="009D74AD">
        <w:rPr>
          <w:rFonts w:cs="Arial"/>
        </w:rPr>
        <w:t>,</w:t>
      </w:r>
      <w:r w:rsidR="001241B1" w:rsidRPr="005E070B">
        <w:rPr>
          <w:rFonts w:cs="Arial"/>
        </w:rPr>
        <w:t xml:space="preserve"> in regard to costs</w:t>
      </w:r>
      <w:r w:rsidR="009D74AD">
        <w:rPr>
          <w:rFonts w:cs="Arial"/>
        </w:rPr>
        <w:t>,</w:t>
      </w:r>
      <w:r w:rsidR="001241B1" w:rsidRPr="005E070B">
        <w:rPr>
          <w:rFonts w:cs="Arial"/>
        </w:rPr>
        <w:t xml:space="preserve"> in the manner indicated above.  </w:t>
      </w:r>
    </w:p>
    <w:p w:rsidR="00EC34CF" w:rsidRDefault="00EC34CF" w:rsidP="00A77B0A">
      <w:pPr>
        <w:pStyle w:val="ListParagraph"/>
        <w:spacing w:line="360" w:lineRule="auto"/>
        <w:ind w:left="0"/>
        <w:jc w:val="both"/>
        <w:rPr>
          <w:rFonts w:cs="Arial"/>
        </w:rPr>
      </w:pPr>
    </w:p>
    <w:p w:rsidR="00167B48" w:rsidRDefault="00EC34CF" w:rsidP="00A77B0A">
      <w:pPr>
        <w:pStyle w:val="ListParagraph"/>
        <w:spacing w:line="360" w:lineRule="auto"/>
        <w:ind w:left="0"/>
        <w:jc w:val="both"/>
        <w:rPr>
          <w:rFonts w:cs="Arial"/>
        </w:rPr>
      </w:pPr>
      <w:r>
        <w:rPr>
          <w:rFonts w:cs="Arial"/>
        </w:rPr>
        <w:t>[</w:t>
      </w:r>
      <w:r w:rsidR="00B43F46">
        <w:rPr>
          <w:rFonts w:cs="Arial"/>
        </w:rPr>
        <w:t>45</w:t>
      </w:r>
      <w:r>
        <w:rPr>
          <w:rFonts w:cs="Arial"/>
        </w:rPr>
        <w:t>]</w:t>
      </w:r>
      <w:r>
        <w:rPr>
          <w:rFonts w:cs="Arial"/>
        </w:rPr>
        <w:tab/>
      </w:r>
      <w:r w:rsidR="001241B1" w:rsidRPr="005E070B">
        <w:rPr>
          <w:rFonts w:cs="Arial"/>
        </w:rPr>
        <w:t>In the result</w:t>
      </w:r>
      <w:r>
        <w:rPr>
          <w:rFonts w:cs="Arial"/>
        </w:rPr>
        <w:t>,</w:t>
      </w:r>
      <w:r w:rsidR="001241B1" w:rsidRPr="005E070B">
        <w:rPr>
          <w:rFonts w:cs="Arial"/>
        </w:rPr>
        <w:t xml:space="preserve"> the </w:t>
      </w:r>
      <w:r>
        <w:rPr>
          <w:rFonts w:cs="Arial"/>
        </w:rPr>
        <w:t>d</w:t>
      </w:r>
      <w:r w:rsidR="001241B1" w:rsidRPr="005E070B">
        <w:rPr>
          <w:rFonts w:cs="Arial"/>
        </w:rPr>
        <w:t xml:space="preserve">efendant’s </w:t>
      </w:r>
      <w:r>
        <w:rPr>
          <w:rFonts w:cs="Arial"/>
        </w:rPr>
        <w:t>s</w:t>
      </w:r>
      <w:r w:rsidR="001241B1" w:rsidRPr="005E070B">
        <w:rPr>
          <w:rFonts w:cs="Arial"/>
        </w:rPr>
        <w:t xml:space="preserve">pecial </w:t>
      </w:r>
      <w:r>
        <w:rPr>
          <w:rFonts w:cs="Arial"/>
        </w:rPr>
        <w:t>p</w:t>
      </w:r>
      <w:r w:rsidR="001241B1" w:rsidRPr="005E070B">
        <w:rPr>
          <w:rFonts w:cs="Arial"/>
        </w:rPr>
        <w:t xml:space="preserve">lea of prescription is upheld with costs, such costs </w:t>
      </w:r>
      <w:r w:rsidR="00167B48">
        <w:rPr>
          <w:rFonts w:cs="Arial"/>
        </w:rPr>
        <w:t xml:space="preserve">to </w:t>
      </w:r>
      <w:r w:rsidR="001241B1" w:rsidRPr="005E070B">
        <w:rPr>
          <w:rFonts w:cs="Arial"/>
        </w:rPr>
        <w:t>include the cost</w:t>
      </w:r>
      <w:r w:rsidR="00167B48">
        <w:rPr>
          <w:rFonts w:cs="Arial"/>
        </w:rPr>
        <w:t>s</w:t>
      </w:r>
      <w:r w:rsidR="001241B1" w:rsidRPr="005E070B">
        <w:rPr>
          <w:rFonts w:cs="Arial"/>
        </w:rPr>
        <w:t xml:space="preserve"> of one instructed</w:t>
      </w:r>
      <w:r w:rsidR="00167B48">
        <w:rPr>
          <w:rFonts w:cs="Arial"/>
        </w:rPr>
        <w:t>-</w:t>
      </w:r>
      <w:r w:rsidR="001241B1" w:rsidRPr="005E070B">
        <w:rPr>
          <w:rFonts w:cs="Arial"/>
        </w:rPr>
        <w:t xml:space="preserve"> and one instructing </w:t>
      </w:r>
      <w:r>
        <w:rPr>
          <w:rFonts w:cs="Arial"/>
        </w:rPr>
        <w:t>c</w:t>
      </w:r>
      <w:r w:rsidR="001241B1" w:rsidRPr="005E070B">
        <w:rPr>
          <w:rFonts w:cs="Arial"/>
        </w:rPr>
        <w:t xml:space="preserve">ounsel.  </w:t>
      </w:r>
    </w:p>
    <w:p w:rsidR="00167B48" w:rsidRDefault="00167B48" w:rsidP="00A77B0A">
      <w:pPr>
        <w:pStyle w:val="ListParagraph"/>
        <w:spacing w:line="360" w:lineRule="auto"/>
        <w:ind w:left="0"/>
        <w:jc w:val="both"/>
        <w:rPr>
          <w:rFonts w:cs="Arial"/>
        </w:rPr>
      </w:pPr>
    </w:p>
    <w:p w:rsidR="001241B1" w:rsidRPr="000B0228" w:rsidRDefault="00431039" w:rsidP="00A77B0A">
      <w:pPr>
        <w:pStyle w:val="ListParagraph"/>
        <w:spacing w:line="360" w:lineRule="auto"/>
        <w:ind w:left="0"/>
        <w:jc w:val="both"/>
        <w:rPr>
          <w:rFonts w:cs="Arial"/>
        </w:rPr>
      </w:pPr>
      <w:r>
        <w:rPr>
          <w:rFonts w:cs="Arial"/>
        </w:rPr>
        <w:t>[</w:t>
      </w:r>
      <w:r w:rsidR="00B43F46">
        <w:rPr>
          <w:rFonts w:cs="Arial"/>
        </w:rPr>
        <w:t>46</w:t>
      </w:r>
      <w:r>
        <w:rPr>
          <w:rFonts w:cs="Arial"/>
        </w:rPr>
        <w:t>]</w:t>
      </w:r>
      <w:r>
        <w:rPr>
          <w:rFonts w:cs="Arial"/>
        </w:rPr>
        <w:tab/>
      </w:r>
      <w:r w:rsidR="00167B48">
        <w:rPr>
          <w:rFonts w:cs="Arial"/>
        </w:rPr>
        <w:t>The c</w:t>
      </w:r>
      <w:r w:rsidR="001241B1" w:rsidRPr="005E070B">
        <w:rPr>
          <w:rFonts w:cs="Arial"/>
        </w:rPr>
        <w:t xml:space="preserve">ase is accordingly regarded as </w:t>
      </w:r>
      <w:proofErr w:type="spellStart"/>
      <w:r w:rsidR="001241B1" w:rsidRPr="005E070B">
        <w:rPr>
          <w:rFonts w:cs="Arial"/>
        </w:rPr>
        <w:t>finalised</w:t>
      </w:r>
      <w:proofErr w:type="spellEnd"/>
      <w:r w:rsidR="001241B1" w:rsidRPr="005E070B">
        <w:rPr>
          <w:rFonts w:cs="Arial"/>
        </w:rPr>
        <w:t>.</w:t>
      </w:r>
    </w:p>
    <w:p w:rsidR="004C71DB" w:rsidRDefault="004C71DB" w:rsidP="00BC7703">
      <w:pPr>
        <w:spacing w:after="0" w:line="360" w:lineRule="auto"/>
        <w:rPr>
          <w:rFonts w:ascii="Arial" w:hAnsi="Arial" w:cs="Arial"/>
          <w:sz w:val="24"/>
          <w:szCs w:val="24"/>
        </w:rPr>
      </w:pPr>
    </w:p>
    <w:p w:rsidR="00EC34CF" w:rsidRDefault="00EC34CF" w:rsidP="00BC7703">
      <w:pPr>
        <w:spacing w:after="0" w:line="360" w:lineRule="auto"/>
        <w:rPr>
          <w:rFonts w:ascii="Arial" w:hAnsi="Arial" w:cs="Arial"/>
          <w:sz w:val="24"/>
          <w:szCs w:val="24"/>
        </w:rPr>
      </w:pPr>
    </w:p>
    <w:p w:rsidR="00431039" w:rsidRDefault="00431039" w:rsidP="00BC7703">
      <w:pPr>
        <w:spacing w:after="0" w:line="360" w:lineRule="auto"/>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9D7DF3" w:rsidRDefault="009D7DF3" w:rsidP="001B7E1F">
      <w:pPr>
        <w:pStyle w:val="BodyText"/>
        <w:autoSpaceDE w:val="0"/>
        <w:autoSpaceDN w:val="0"/>
        <w:adjustRightInd w:val="0"/>
        <w:spacing w:line="360" w:lineRule="auto"/>
        <w:jc w:val="both"/>
        <w:rPr>
          <w:rFonts w:ascii="Arial" w:hAnsi="Arial" w:cs="Arial"/>
        </w:rPr>
      </w:pPr>
    </w:p>
    <w:p w:rsidR="008B6354" w:rsidRDefault="008B6354" w:rsidP="001B7E1F">
      <w:pPr>
        <w:pStyle w:val="BodyText"/>
        <w:autoSpaceDE w:val="0"/>
        <w:autoSpaceDN w:val="0"/>
        <w:adjustRightInd w:val="0"/>
        <w:spacing w:line="360" w:lineRule="auto"/>
        <w:jc w:val="both"/>
        <w:rPr>
          <w:rFonts w:ascii="Arial" w:hAnsi="Arial" w:cs="Arial"/>
        </w:rPr>
      </w:pPr>
    </w:p>
    <w:p w:rsidR="008B6354" w:rsidRDefault="008B6354" w:rsidP="001B7E1F">
      <w:pPr>
        <w:pStyle w:val="BodyText"/>
        <w:autoSpaceDE w:val="0"/>
        <w:autoSpaceDN w:val="0"/>
        <w:adjustRightInd w:val="0"/>
        <w:spacing w:line="360" w:lineRule="auto"/>
        <w:jc w:val="both"/>
        <w:rPr>
          <w:rFonts w:ascii="Arial" w:hAnsi="Arial" w:cs="Arial"/>
        </w:rPr>
      </w:pPr>
    </w:p>
    <w:p w:rsidR="008B6354" w:rsidRDefault="008B6354" w:rsidP="001B7E1F">
      <w:pPr>
        <w:pStyle w:val="BodyText"/>
        <w:autoSpaceDE w:val="0"/>
        <w:autoSpaceDN w:val="0"/>
        <w:adjustRightInd w:val="0"/>
        <w:spacing w:line="360" w:lineRule="auto"/>
        <w:jc w:val="both"/>
        <w:rPr>
          <w:rFonts w:ascii="Arial" w:hAnsi="Arial" w:cs="Arial"/>
        </w:rPr>
      </w:pPr>
    </w:p>
    <w:p w:rsidR="008B6354" w:rsidRDefault="008B6354" w:rsidP="001B7E1F">
      <w:pPr>
        <w:pStyle w:val="BodyText"/>
        <w:autoSpaceDE w:val="0"/>
        <w:autoSpaceDN w:val="0"/>
        <w:adjustRightInd w:val="0"/>
        <w:spacing w:line="360" w:lineRule="auto"/>
        <w:jc w:val="both"/>
        <w:rPr>
          <w:rFonts w:ascii="Arial" w:hAnsi="Arial" w:cs="Arial"/>
        </w:rPr>
      </w:pPr>
    </w:p>
    <w:p w:rsidR="008B6354" w:rsidRDefault="008B6354" w:rsidP="001B7E1F">
      <w:pPr>
        <w:pStyle w:val="BodyText"/>
        <w:autoSpaceDE w:val="0"/>
        <w:autoSpaceDN w:val="0"/>
        <w:adjustRightInd w:val="0"/>
        <w:spacing w:line="360" w:lineRule="auto"/>
        <w:jc w:val="both"/>
        <w:rPr>
          <w:rFonts w:ascii="Arial" w:hAnsi="Arial" w:cs="Arial"/>
        </w:rPr>
      </w:pPr>
    </w:p>
    <w:p w:rsidR="008B6354" w:rsidRDefault="008B6354" w:rsidP="001B7E1F">
      <w:pPr>
        <w:pStyle w:val="BodyText"/>
        <w:autoSpaceDE w:val="0"/>
        <w:autoSpaceDN w:val="0"/>
        <w:adjustRightInd w:val="0"/>
        <w:spacing w:line="360" w:lineRule="auto"/>
        <w:jc w:val="both"/>
        <w:rPr>
          <w:rFonts w:ascii="Arial" w:hAnsi="Arial" w:cs="Arial"/>
        </w:rPr>
      </w:pPr>
    </w:p>
    <w:p w:rsidR="008B6354" w:rsidRDefault="008B6354"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1B7E1F" w:rsidRDefault="009D4926"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sidR="005F473C">
        <w:rPr>
          <w:rFonts w:ascii="Arial" w:hAnsi="Arial" w:cs="Arial"/>
          <w:sz w:val="24"/>
          <w:szCs w:val="24"/>
        </w:rPr>
        <w:t>:</w:t>
      </w:r>
      <w:r w:rsidR="00C500EA">
        <w:rPr>
          <w:rFonts w:ascii="Arial" w:hAnsi="Arial" w:cs="Arial"/>
          <w:sz w:val="24"/>
          <w:szCs w:val="24"/>
        </w:rPr>
        <w:tab/>
      </w:r>
      <w:r w:rsidR="001B7E1F" w:rsidRPr="000E7777">
        <w:rPr>
          <w:rFonts w:ascii="Arial" w:hAnsi="Arial" w:cs="Arial"/>
          <w:sz w:val="24"/>
          <w:szCs w:val="24"/>
        </w:rPr>
        <w:t xml:space="preserve"> </w:t>
      </w:r>
      <w:r w:rsidR="00204C96">
        <w:rPr>
          <w:rFonts w:ascii="Arial" w:hAnsi="Arial" w:cs="Arial"/>
          <w:sz w:val="24"/>
          <w:szCs w:val="24"/>
        </w:rPr>
        <w:tab/>
      </w:r>
      <w:r>
        <w:rPr>
          <w:rFonts w:ascii="Arial" w:hAnsi="Arial" w:cs="Arial"/>
          <w:sz w:val="24"/>
          <w:szCs w:val="24"/>
        </w:rPr>
        <w:tab/>
      </w:r>
      <w:r w:rsidR="006D655B">
        <w:rPr>
          <w:rFonts w:ascii="Arial" w:hAnsi="Arial" w:cs="Arial"/>
          <w:sz w:val="24"/>
          <w:szCs w:val="24"/>
        </w:rPr>
        <w:t>C</w:t>
      </w:r>
      <w:r w:rsidR="008B6354">
        <w:rPr>
          <w:rFonts w:ascii="Arial" w:hAnsi="Arial" w:cs="Arial"/>
          <w:sz w:val="24"/>
          <w:szCs w:val="24"/>
        </w:rPr>
        <w:t xml:space="preserve"> </w:t>
      </w:r>
      <w:r w:rsidR="005D6B6C">
        <w:rPr>
          <w:rFonts w:ascii="Arial" w:hAnsi="Arial" w:cs="Arial"/>
          <w:sz w:val="24"/>
          <w:szCs w:val="24"/>
        </w:rPr>
        <w:t>J</w:t>
      </w:r>
      <w:r w:rsidR="006D655B">
        <w:rPr>
          <w:rFonts w:ascii="Arial" w:hAnsi="Arial" w:cs="Arial"/>
          <w:sz w:val="24"/>
          <w:szCs w:val="24"/>
        </w:rPr>
        <w:t xml:space="preserve"> Mouton</w:t>
      </w:r>
    </w:p>
    <w:p w:rsidR="006D655B" w:rsidRDefault="007A2036"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B6354">
        <w:rPr>
          <w:rFonts w:ascii="Arial" w:hAnsi="Arial" w:cs="Arial"/>
          <w:sz w:val="24"/>
          <w:szCs w:val="24"/>
        </w:rPr>
        <w:t>i</w:t>
      </w:r>
      <w:r w:rsidR="005D6B6C">
        <w:rPr>
          <w:rFonts w:ascii="Arial" w:hAnsi="Arial" w:cs="Arial"/>
          <w:sz w:val="24"/>
          <w:szCs w:val="24"/>
        </w:rPr>
        <w:t>nstructed</w:t>
      </w:r>
      <w:proofErr w:type="gramEnd"/>
      <w:r w:rsidR="005D6B6C">
        <w:rPr>
          <w:rFonts w:ascii="Arial" w:hAnsi="Arial" w:cs="Arial"/>
          <w:sz w:val="24"/>
          <w:szCs w:val="24"/>
        </w:rPr>
        <w:t xml:space="preserve"> by Mueller Legal P</w:t>
      </w:r>
      <w:r w:rsidR="006D655B">
        <w:rPr>
          <w:rFonts w:ascii="Arial" w:hAnsi="Arial" w:cs="Arial"/>
          <w:sz w:val="24"/>
          <w:szCs w:val="24"/>
        </w:rPr>
        <w:t>ractitioners</w:t>
      </w:r>
      <w:r w:rsidR="00090F93">
        <w:rPr>
          <w:rFonts w:ascii="Arial" w:hAnsi="Arial" w:cs="Arial"/>
          <w:sz w:val="24"/>
          <w:szCs w:val="24"/>
        </w:rPr>
        <w:t>,</w:t>
      </w:r>
    </w:p>
    <w:p w:rsidR="00277A6A" w:rsidRPr="000E7777" w:rsidRDefault="006D655B"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77A6A">
        <w:rPr>
          <w:rFonts w:ascii="Arial" w:hAnsi="Arial" w:cs="Arial"/>
          <w:sz w:val="24"/>
          <w:szCs w:val="24"/>
        </w:rPr>
        <w:t>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5F1286" w:rsidRDefault="009D4926" w:rsidP="005F1286">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DEFENDANT</w:t>
      </w:r>
      <w:r w:rsidR="00E1343E">
        <w:rPr>
          <w:rFonts w:ascii="Arial" w:hAnsi="Arial" w:cs="Arial"/>
        </w:rPr>
        <w:t>:</w:t>
      </w:r>
      <w:r w:rsidR="00B87DB8">
        <w:rPr>
          <w:rFonts w:ascii="Arial" w:hAnsi="Arial" w:cs="Arial"/>
        </w:rPr>
        <w:tab/>
      </w:r>
      <w:r w:rsidR="006D56D6">
        <w:rPr>
          <w:rFonts w:ascii="Arial" w:hAnsi="Arial" w:cs="Arial"/>
        </w:rPr>
        <w:tab/>
      </w:r>
      <w:r w:rsidR="006D655B">
        <w:rPr>
          <w:rFonts w:ascii="Arial" w:hAnsi="Arial" w:cs="Arial"/>
        </w:rPr>
        <w:t>G Dicks</w:t>
      </w:r>
    </w:p>
    <w:p w:rsidR="00E1343E" w:rsidRDefault="00E1343E" w:rsidP="005F1286">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sidR="008B6354">
        <w:rPr>
          <w:rFonts w:ascii="Arial" w:hAnsi="Arial" w:cs="Arial"/>
        </w:rPr>
        <w:t>i</w:t>
      </w:r>
      <w:r w:rsidR="006D655B">
        <w:rPr>
          <w:rFonts w:ascii="Arial" w:hAnsi="Arial" w:cs="Arial"/>
        </w:rPr>
        <w:t>nstructed</w:t>
      </w:r>
      <w:proofErr w:type="gramEnd"/>
      <w:r w:rsidR="006D655B">
        <w:rPr>
          <w:rFonts w:ascii="Arial" w:hAnsi="Arial" w:cs="Arial"/>
        </w:rPr>
        <w:t xml:space="preserve"> by Ellis </w:t>
      </w:r>
      <w:proofErr w:type="spellStart"/>
      <w:r w:rsidR="006D655B">
        <w:rPr>
          <w:rFonts w:ascii="Arial" w:hAnsi="Arial" w:cs="Arial"/>
        </w:rPr>
        <w:t>Shilengudwa</w:t>
      </w:r>
      <w:proofErr w:type="spellEnd"/>
      <w:r w:rsidR="006D655B">
        <w:rPr>
          <w:rFonts w:ascii="Arial" w:hAnsi="Arial" w:cs="Arial"/>
        </w:rPr>
        <w:t xml:space="preserve"> Inc.</w:t>
      </w:r>
      <w:r w:rsidR="00C500EA">
        <w:rPr>
          <w:rFonts w:ascii="Arial" w:hAnsi="Arial" w:cs="Arial"/>
        </w:rPr>
        <w:t xml:space="preserve">, </w:t>
      </w:r>
      <w:r>
        <w:rPr>
          <w:rFonts w:ascii="Arial" w:hAnsi="Arial" w:cs="Arial"/>
        </w:rPr>
        <w:t>Windhoek</w:t>
      </w:r>
    </w:p>
    <w:p w:rsidR="005F1286" w:rsidRPr="000E7777" w:rsidRDefault="00971A81" w:rsidP="005F1286">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 xml:space="preserve">                                                                                                                                                                                            </w:t>
      </w:r>
      <w:r w:rsidR="005F1286">
        <w:rPr>
          <w:rFonts w:ascii="Arial" w:hAnsi="Arial" w:cs="Arial"/>
        </w:rPr>
        <w:tab/>
      </w:r>
      <w:r w:rsidR="005F1286">
        <w:rPr>
          <w:rFonts w:ascii="Arial" w:hAnsi="Arial" w:cs="Arial"/>
        </w:rPr>
        <w:tab/>
      </w:r>
      <w:r w:rsidR="005F1286">
        <w:rPr>
          <w:rFonts w:ascii="Arial" w:hAnsi="Arial" w:cs="Arial"/>
        </w:rPr>
        <w:tab/>
      </w:r>
    </w:p>
    <w:p w:rsidR="001B7E1F" w:rsidRDefault="001B7E1F" w:rsidP="001B7E1F">
      <w:pPr>
        <w:spacing w:after="0" w:line="360" w:lineRule="auto"/>
        <w:jc w:val="both"/>
        <w:rPr>
          <w:rFonts w:ascii="Arial" w:hAnsi="Arial" w:cs="Arial"/>
        </w:rPr>
      </w:pPr>
    </w:p>
    <w:p w:rsidR="001B7E1F" w:rsidRPr="00FA01DB" w:rsidRDefault="001B7E1F" w:rsidP="001B7E1F">
      <w:pPr>
        <w:spacing w:after="0" w:line="360" w:lineRule="auto"/>
        <w:jc w:val="both"/>
        <w:rPr>
          <w:rFonts w:ascii="Arial" w:hAnsi="Arial" w:cs="Arial"/>
          <w:sz w:val="24"/>
          <w:szCs w:val="24"/>
        </w:rPr>
      </w:pPr>
    </w:p>
    <w:p w:rsidR="001B7E1F" w:rsidRPr="00FA01DB" w:rsidRDefault="001B7E1F" w:rsidP="001B7E1F">
      <w:pPr>
        <w:spacing w:after="0" w:line="360" w:lineRule="auto"/>
        <w:rPr>
          <w:sz w:val="24"/>
          <w:szCs w:val="24"/>
        </w:rPr>
      </w:pPr>
    </w:p>
    <w:p w:rsidR="007D2FEB" w:rsidRDefault="007D2FEB">
      <w:pPr>
        <w:rPr>
          <w:sz w:val="24"/>
          <w:szCs w:val="24"/>
        </w:rPr>
      </w:pPr>
    </w:p>
    <w:p w:rsidR="007D2FEB" w:rsidRDefault="007D2FEB" w:rsidP="007D2FEB">
      <w:pPr>
        <w:spacing w:after="0" w:line="360" w:lineRule="auto"/>
        <w:ind w:firstLine="720"/>
        <w:jc w:val="both"/>
        <w:rPr>
          <w:rFonts w:ascii="Arial" w:eastAsia="Times New Roman" w:hAnsi="Arial" w:cs="Arial"/>
          <w:bCs/>
          <w:sz w:val="24"/>
          <w:szCs w:val="24"/>
          <w:lang w:val="en-GB"/>
        </w:rPr>
      </w:pPr>
    </w:p>
    <w:p w:rsidR="00774590" w:rsidRDefault="00774590" w:rsidP="007D2FEB">
      <w:pPr>
        <w:spacing w:after="0" w:line="360" w:lineRule="auto"/>
        <w:ind w:firstLine="720"/>
        <w:jc w:val="both"/>
        <w:rPr>
          <w:rFonts w:ascii="Arial" w:eastAsia="Times New Roman" w:hAnsi="Arial" w:cs="Arial"/>
          <w:bCs/>
          <w:sz w:val="24"/>
          <w:szCs w:val="24"/>
          <w:lang w:val="en-GB"/>
        </w:rPr>
      </w:pPr>
    </w:p>
    <w:p w:rsidR="00945DCE" w:rsidRPr="00901B03" w:rsidRDefault="00945DCE" w:rsidP="00901B03">
      <w:pPr>
        <w:pStyle w:val="NoSpacing"/>
      </w:pPr>
    </w:p>
    <w:sectPr w:rsidR="00945DC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12" w:rsidRDefault="009E7F12" w:rsidP="00741B0B">
      <w:pPr>
        <w:spacing w:after="0" w:line="240" w:lineRule="auto"/>
      </w:pPr>
      <w:r>
        <w:separator/>
      </w:r>
    </w:p>
  </w:endnote>
  <w:endnote w:type="continuationSeparator" w:id="0">
    <w:p w:rsidR="009E7F12" w:rsidRDefault="009E7F1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12" w:rsidRDefault="009E7F12" w:rsidP="00741B0B">
      <w:pPr>
        <w:spacing w:after="0" w:line="240" w:lineRule="auto"/>
      </w:pPr>
      <w:r>
        <w:separator/>
      </w:r>
    </w:p>
  </w:footnote>
  <w:footnote w:type="continuationSeparator" w:id="0">
    <w:p w:rsidR="009E7F12" w:rsidRDefault="009E7F12" w:rsidP="00741B0B">
      <w:pPr>
        <w:spacing w:after="0" w:line="240" w:lineRule="auto"/>
      </w:pPr>
      <w:r>
        <w:continuationSeparator/>
      </w:r>
    </w:p>
  </w:footnote>
  <w:footnote w:id="1">
    <w:p w:rsidR="00973C2B" w:rsidRPr="00973C2B" w:rsidRDefault="00973C2B" w:rsidP="00973C2B">
      <w:pPr>
        <w:pStyle w:val="FootnoteText"/>
        <w:jc w:val="both"/>
        <w:rPr>
          <w:lang w:val="en-US"/>
        </w:rPr>
      </w:pPr>
      <w:r w:rsidRPr="00973C2B">
        <w:rPr>
          <w:rStyle w:val="FootnoteReference"/>
          <w:sz w:val="20"/>
          <w:szCs w:val="20"/>
        </w:rPr>
        <w:footnoteRef/>
      </w:r>
      <w:r w:rsidR="009D7DF3">
        <w:rPr>
          <w:sz w:val="20"/>
          <w:szCs w:val="20"/>
        </w:rPr>
        <w:t xml:space="preserve"> After</w:t>
      </w:r>
      <w:r w:rsidR="009D7DF3">
        <w:rPr>
          <w:sz w:val="20"/>
          <w:szCs w:val="20"/>
          <w:lang w:val="en-US"/>
        </w:rPr>
        <w:t xml:space="preserve"> </w:t>
      </w:r>
      <w:r w:rsidR="009D7DF3">
        <w:rPr>
          <w:sz w:val="20"/>
          <w:szCs w:val="20"/>
        </w:rPr>
        <w:t xml:space="preserve">all </w:t>
      </w:r>
      <w:r>
        <w:rPr>
          <w:sz w:val="20"/>
          <w:szCs w:val="20"/>
        </w:rPr>
        <w:t xml:space="preserve"> it</w:t>
      </w:r>
      <w:r w:rsidRPr="00F954AE">
        <w:rPr>
          <w:sz w:val="20"/>
          <w:szCs w:val="20"/>
          <w:lang w:val="en-US"/>
        </w:rPr>
        <w:t xml:space="preserve"> is a concept defined in Rule 1 of the Rules of High Court</w:t>
      </w:r>
      <w:r>
        <w:rPr>
          <w:sz w:val="20"/>
          <w:szCs w:val="20"/>
          <w:lang w:val="en-US"/>
        </w:rPr>
        <w:t xml:space="preserve"> and which concept also includes the aspect of filing, which aspect is irrelevant for purposes of the interruption of prescription</w:t>
      </w:r>
      <w:r w:rsidR="00103DF9">
        <w:rPr>
          <w:sz w:val="20"/>
          <w:szCs w:val="20"/>
          <w:lang w:val="en-US"/>
        </w:rPr>
        <w:t>.</w:t>
      </w:r>
    </w:p>
  </w:footnote>
  <w:footnote w:id="2">
    <w:p w:rsidR="00BA273B" w:rsidRPr="002D14CA" w:rsidRDefault="00BA273B" w:rsidP="002D14CA">
      <w:pPr>
        <w:pStyle w:val="FootnoteText"/>
        <w:jc w:val="both"/>
        <w:rPr>
          <w:sz w:val="20"/>
          <w:szCs w:val="20"/>
          <w:lang w:val="en-US"/>
        </w:rPr>
      </w:pPr>
      <w:r w:rsidRPr="002D14CA">
        <w:rPr>
          <w:rStyle w:val="FootnoteReference"/>
          <w:sz w:val="20"/>
          <w:szCs w:val="20"/>
        </w:rPr>
        <w:footnoteRef/>
      </w:r>
      <w:r w:rsidRPr="002D14CA">
        <w:rPr>
          <w:sz w:val="20"/>
          <w:szCs w:val="20"/>
          <w:lang w:val="en-US"/>
        </w:rPr>
        <w:t xml:space="preserve">See : </w:t>
      </w:r>
      <w:r>
        <w:rPr>
          <w:sz w:val="20"/>
          <w:szCs w:val="20"/>
          <w:lang w:val="en-US"/>
        </w:rPr>
        <w:t>Section 15</w:t>
      </w:r>
      <w:r w:rsidRPr="002D14CA">
        <w:rPr>
          <w:sz w:val="20"/>
          <w:szCs w:val="20"/>
          <w:lang w:val="en-US"/>
        </w:rPr>
        <w:t>(6) For the purposes of this section, "process" includes a petition, a notice of motion, a rule nisi, a pleading in reconvention, a third party notice referred to in any rule of court, and any document whereby legal proceedings are commenced.</w:t>
      </w:r>
      <w:r>
        <w:rPr>
          <w:sz w:val="20"/>
          <w:szCs w:val="20"/>
          <w:lang w:val="en-US"/>
        </w:rPr>
        <w:t xml:space="preserve"> See also: </w:t>
      </w:r>
      <w:r w:rsidRPr="00F04EBE">
        <w:rPr>
          <w:i/>
          <w:sz w:val="20"/>
          <w:szCs w:val="20"/>
          <w:lang w:val="en-US"/>
        </w:rPr>
        <w:t xml:space="preserve">Van der Merwe v </w:t>
      </w:r>
      <w:proofErr w:type="spellStart"/>
      <w:r w:rsidRPr="00F04EBE">
        <w:rPr>
          <w:i/>
          <w:sz w:val="20"/>
          <w:szCs w:val="20"/>
          <w:lang w:val="en-US"/>
        </w:rPr>
        <w:t>Protea</w:t>
      </w:r>
      <w:proofErr w:type="spellEnd"/>
      <w:r w:rsidRPr="00F04EBE">
        <w:rPr>
          <w:i/>
          <w:sz w:val="20"/>
          <w:szCs w:val="20"/>
          <w:lang w:val="en-US"/>
        </w:rPr>
        <w:t xml:space="preserve"> </w:t>
      </w:r>
      <w:proofErr w:type="gramStart"/>
      <w:r w:rsidRPr="00F04EBE">
        <w:rPr>
          <w:i/>
          <w:sz w:val="20"/>
          <w:szCs w:val="20"/>
          <w:lang w:val="en-US"/>
        </w:rPr>
        <w:t>Ins</w:t>
      </w:r>
      <w:proofErr w:type="gramEnd"/>
      <w:r w:rsidRPr="00F04EBE">
        <w:rPr>
          <w:i/>
          <w:sz w:val="20"/>
          <w:szCs w:val="20"/>
          <w:lang w:val="en-US"/>
        </w:rPr>
        <w:t xml:space="preserve"> Co Ltd</w:t>
      </w:r>
      <w:r w:rsidRPr="002D14CA">
        <w:rPr>
          <w:sz w:val="20"/>
          <w:szCs w:val="20"/>
          <w:lang w:val="en-US"/>
        </w:rPr>
        <w:t> 1982 (1) SA 770 (E)</w:t>
      </w:r>
      <w:r>
        <w:rPr>
          <w:sz w:val="20"/>
          <w:szCs w:val="20"/>
          <w:lang w:val="en-US"/>
        </w:rPr>
        <w:t xml:space="preserve"> at 773 A-B</w:t>
      </w:r>
      <w:r w:rsidR="00FE6190">
        <w:rPr>
          <w:sz w:val="20"/>
          <w:szCs w:val="20"/>
          <w:lang w:val="en-US"/>
        </w:rPr>
        <w:t>.</w:t>
      </w:r>
    </w:p>
  </w:footnote>
  <w:footnote w:id="3">
    <w:p w:rsidR="00BA273B" w:rsidRPr="00B716B7" w:rsidRDefault="00BA273B" w:rsidP="00B716B7">
      <w:pPr>
        <w:pStyle w:val="FootnoteText"/>
        <w:jc w:val="both"/>
        <w:rPr>
          <w:sz w:val="20"/>
          <w:szCs w:val="20"/>
          <w:lang w:val="en-US"/>
        </w:rPr>
      </w:pPr>
      <w:r w:rsidRPr="00B716B7">
        <w:rPr>
          <w:rStyle w:val="FootnoteReference"/>
          <w:sz w:val="20"/>
          <w:szCs w:val="20"/>
        </w:rPr>
        <w:footnoteRef/>
      </w:r>
      <w:r w:rsidRPr="00B716B7">
        <w:rPr>
          <w:sz w:val="20"/>
          <w:szCs w:val="20"/>
        </w:rPr>
        <w:t xml:space="preserve"> </w:t>
      </w:r>
      <w:r w:rsidRPr="00B716B7">
        <w:rPr>
          <w:sz w:val="20"/>
          <w:szCs w:val="20"/>
          <w:lang w:val="en-US"/>
        </w:rPr>
        <w:t xml:space="preserve">As judicially defined in </w:t>
      </w:r>
      <w:r w:rsidRPr="00B716B7">
        <w:rPr>
          <w:i/>
          <w:sz w:val="20"/>
          <w:szCs w:val="20"/>
          <w:lang w:val="en-US"/>
        </w:rPr>
        <w:t xml:space="preserve">Van der Merwe v </w:t>
      </w:r>
      <w:proofErr w:type="spellStart"/>
      <w:r w:rsidRPr="00B716B7">
        <w:rPr>
          <w:i/>
          <w:sz w:val="20"/>
          <w:szCs w:val="20"/>
          <w:lang w:val="en-US"/>
        </w:rPr>
        <w:t>Protea</w:t>
      </w:r>
      <w:proofErr w:type="spellEnd"/>
      <w:r w:rsidRPr="00B716B7">
        <w:rPr>
          <w:i/>
          <w:sz w:val="20"/>
          <w:szCs w:val="20"/>
          <w:lang w:val="en-US"/>
        </w:rPr>
        <w:t xml:space="preserve"> Ins Co Ltd</w:t>
      </w:r>
      <w:r w:rsidRPr="00B716B7">
        <w:rPr>
          <w:sz w:val="20"/>
          <w:szCs w:val="20"/>
          <w:lang w:val="en-US"/>
        </w:rPr>
        <w:t xml:space="preserve"> op </w:t>
      </w:r>
      <w:proofErr w:type="spellStart"/>
      <w:r w:rsidRPr="00B716B7">
        <w:rPr>
          <w:sz w:val="20"/>
          <w:szCs w:val="20"/>
          <w:lang w:val="en-US"/>
        </w:rPr>
        <w:t>cit</w:t>
      </w:r>
      <w:proofErr w:type="spellEnd"/>
      <w:r w:rsidRPr="00B716B7">
        <w:rPr>
          <w:sz w:val="20"/>
          <w:szCs w:val="20"/>
          <w:lang w:val="en-US"/>
        </w:rPr>
        <w:t xml:space="preserve"> and </w:t>
      </w:r>
      <w:r w:rsidRPr="00B716B7">
        <w:rPr>
          <w:i/>
          <w:sz w:val="20"/>
          <w:szCs w:val="20"/>
          <w:lang w:val="en-US"/>
        </w:rPr>
        <w:t>Cape Town Municipality and Another v Allianz Insurance Co Ltd</w:t>
      </w:r>
      <w:r w:rsidRPr="00B716B7">
        <w:rPr>
          <w:sz w:val="20"/>
          <w:szCs w:val="20"/>
          <w:lang w:val="en-US"/>
        </w:rPr>
        <w:t> 1990 (1) SA 311 (C)</w:t>
      </w:r>
      <w:r>
        <w:rPr>
          <w:sz w:val="20"/>
          <w:szCs w:val="20"/>
          <w:lang w:val="en-US"/>
        </w:rPr>
        <w:t xml:space="preserve"> at 333G</w:t>
      </w:r>
      <w:r w:rsidR="00FE6190">
        <w:rPr>
          <w:sz w:val="20"/>
          <w:szCs w:val="20"/>
          <w:lang w:val="en-US"/>
        </w:rPr>
        <w:t>.</w:t>
      </w:r>
    </w:p>
  </w:footnote>
  <w:footnote w:id="4">
    <w:p w:rsidR="00474442" w:rsidRPr="00474442" w:rsidRDefault="00474442" w:rsidP="008B6354">
      <w:pPr>
        <w:pStyle w:val="FootnoteText"/>
        <w:jc w:val="both"/>
        <w:rPr>
          <w:sz w:val="20"/>
          <w:szCs w:val="20"/>
          <w:lang w:val="en-ZA"/>
        </w:rPr>
      </w:pPr>
      <w:r w:rsidRPr="00474442">
        <w:rPr>
          <w:rStyle w:val="FootnoteReference"/>
          <w:sz w:val="20"/>
          <w:szCs w:val="20"/>
        </w:rPr>
        <w:footnoteRef/>
      </w:r>
      <w:r w:rsidRPr="00474442">
        <w:rPr>
          <w:sz w:val="20"/>
          <w:szCs w:val="20"/>
        </w:rPr>
        <w:t xml:space="preserve"> </w:t>
      </w:r>
      <w:r w:rsidRPr="00474442">
        <w:rPr>
          <w:sz w:val="20"/>
          <w:szCs w:val="20"/>
          <w:lang w:val="en-ZA"/>
        </w:rPr>
        <w:t>Stated Case Record (“D” under the index) p. 2 par 2</w:t>
      </w:r>
      <w:r>
        <w:rPr>
          <w:sz w:val="20"/>
          <w:szCs w:val="20"/>
          <w:lang w:val="en-ZA"/>
        </w:rPr>
        <w:t>.</w:t>
      </w:r>
    </w:p>
  </w:footnote>
  <w:footnote w:id="5">
    <w:p w:rsidR="00474442" w:rsidRPr="00183641" w:rsidRDefault="00474442" w:rsidP="008B6354">
      <w:pPr>
        <w:pStyle w:val="FootnoteText"/>
        <w:jc w:val="both"/>
        <w:rPr>
          <w:sz w:val="20"/>
          <w:szCs w:val="20"/>
          <w:lang w:val="en-ZA"/>
        </w:rPr>
      </w:pPr>
      <w:r w:rsidRPr="00183641">
        <w:rPr>
          <w:rStyle w:val="FootnoteReference"/>
          <w:sz w:val="20"/>
          <w:szCs w:val="20"/>
        </w:rPr>
        <w:footnoteRef/>
      </w:r>
      <w:r w:rsidRPr="00183641">
        <w:rPr>
          <w:sz w:val="20"/>
          <w:szCs w:val="20"/>
        </w:rPr>
        <w:t xml:space="preserve"> </w:t>
      </w:r>
      <w:r w:rsidRPr="00183641">
        <w:rPr>
          <w:i/>
          <w:sz w:val="20"/>
          <w:szCs w:val="20"/>
          <w:lang w:val="en-ZA"/>
        </w:rPr>
        <w:t xml:space="preserve">Ibid </w:t>
      </w:r>
      <w:r w:rsidRPr="00183641">
        <w:rPr>
          <w:sz w:val="20"/>
          <w:szCs w:val="20"/>
          <w:lang w:val="en-ZA"/>
        </w:rPr>
        <w:t>p. 2 to 6</w:t>
      </w:r>
      <w:r w:rsidR="006D4598" w:rsidRPr="00183641">
        <w:rPr>
          <w:sz w:val="20"/>
          <w:szCs w:val="20"/>
          <w:lang w:val="en-ZA"/>
        </w:rPr>
        <w:t>.</w:t>
      </w:r>
    </w:p>
  </w:footnote>
  <w:footnote w:id="6">
    <w:p w:rsidR="00474442" w:rsidRPr="00641D93" w:rsidRDefault="00474442" w:rsidP="008B6354">
      <w:pPr>
        <w:pStyle w:val="FootnoteText"/>
        <w:jc w:val="both"/>
        <w:rPr>
          <w:lang w:val="en-ZA"/>
        </w:rPr>
      </w:pPr>
      <w:r w:rsidRPr="00183641">
        <w:rPr>
          <w:rStyle w:val="FootnoteReference"/>
          <w:sz w:val="20"/>
          <w:szCs w:val="20"/>
        </w:rPr>
        <w:footnoteRef/>
      </w:r>
      <w:r w:rsidRPr="00183641">
        <w:rPr>
          <w:sz w:val="20"/>
          <w:szCs w:val="20"/>
        </w:rPr>
        <w:t xml:space="preserve"> </w:t>
      </w:r>
      <w:proofErr w:type="spellStart"/>
      <w:r w:rsidRPr="00183641">
        <w:rPr>
          <w:i/>
          <w:sz w:val="20"/>
          <w:szCs w:val="20"/>
          <w:lang w:val="en-ZA"/>
        </w:rPr>
        <w:t>Lisse</w:t>
      </w:r>
      <w:proofErr w:type="spellEnd"/>
      <w:r w:rsidRPr="00183641">
        <w:rPr>
          <w:i/>
          <w:sz w:val="20"/>
          <w:szCs w:val="20"/>
          <w:lang w:val="en-ZA"/>
        </w:rPr>
        <w:t xml:space="preserve"> v Minister of Health and Social Services</w:t>
      </w:r>
      <w:r w:rsidRPr="00183641">
        <w:rPr>
          <w:sz w:val="20"/>
          <w:szCs w:val="20"/>
          <w:lang w:val="en-ZA"/>
        </w:rPr>
        <w:t xml:space="preserve"> (SA 75/2011) [2014] NASC at para 16</w:t>
      </w:r>
      <w:r w:rsidR="006D4598" w:rsidRPr="00183641">
        <w:rPr>
          <w:sz w:val="20"/>
          <w:szCs w:val="20"/>
          <w:lang w:val="en-ZA"/>
        </w:rPr>
        <w:t>.</w:t>
      </w:r>
    </w:p>
  </w:footnote>
  <w:footnote w:id="7">
    <w:p w:rsidR="00474442" w:rsidRPr="008B6354" w:rsidRDefault="00474442" w:rsidP="008B6354">
      <w:pPr>
        <w:pStyle w:val="FootnoteText"/>
        <w:ind w:left="720" w:hanging="720"/>
        <w:jc w:val="both"/>
        <w:rPr>
          <w:sz w:val="20"/>
          <w:szCs w:val="20"/>
          <w:lang w:val="en-ZA"/>
        </w:rPr>
      </w:pPr>
      <w:r w:rsidRPr="008B6354">
        <w:rPr>
          <w:rStyle w:val="FootnoteReference"/>
          <w:sz w:val="20"/>
          <w:szCs w:val="20"/>
        </w:rPr>
        <w:footnoteRef/>
      </w:r>
      <w:r w:rsidRPr="008B6354">
        <w:rPr>
          <w:sz w:val="20"/>
          <w:szCs w:val="20"/>
        </w:rPr>
        <w:t xml:space="preserve"> </w:t>
      </w:r>
      <w:r w:rsidRPr="008B6354">
        <w:rPr>
          <w:i/>
          <w:sz w:val="20"/>
          <w:szCs w:val="20"/>
          <w:lang w:val="en-ZA"/>
        </w:rPr>
        <w:t>Titus v Union &amp; SWA Insurance Co Ltd</w:t>
      </w:r>
      <w:r w:rsidRPr="008B6354">
        <w:rPr>
          <w:sz w:val="20"/>
          <w:szCs w:val="20"/>
          <w:lang w:val="en-ZA"/>
        </w:rPr>
        <w:t xml:space="preserve"> 1980 (2) SA 701 (</w:t>
      </w:r>
      <w:proofErr w:type="spellStart"/>
      <w:r w:rsidRPr="008B6354">
        <w:rPr>
          <w:sz w:val="20"/>
          <w:szCs w:val="20"/>
          <w:lang w:val="en-ZA"/>
        </w:rPr>
        <w:t>TkS</w:t>
      </w:r>
      <w:proofErr w:type="spellEnd"/>
      <w:r w:rsidRPr="008B6354">
        <w:rPr>
          <w:sz w:val="20"/>
          <w:szCs w:val="20"/>
          <w:lang w:val="en-ZA"/>
        </w:rPr>
        <w:t>) 704</w:t>
      </w:r>
      <w:r w:rsidR="006D4598" w:rsidRPr="008B6354">
        <w:rPr>
          <w:sz w:val="20"/>
          <w:szCs w:val="20"/>
          <w:lang w:val="en-ZA"/>
        </w:rPr>
        <w:t>.</w:t>
      </w:r>
    </w:p>
  </w:footnote>
  <w:footnote w:id="8">
    <w:p w:rsidR="00474442" w:rsidRPr="008B6354" w:rsidRDefault="00474442" w:rsidP="008B6354">
      <w:pPr>
        <w:pStyle w:val="FootnoteText"/>
        <w:jc w:val="both"/>
        <w:rPr>
          <w:sz w:val="20"/>
          <w:szCs w:val="20"/>
          <w:lang w:val="en-ZA"/>
        </w:rPr>
      </w:pPr>
      <w:r w:rsidRPr="008B6354">
        <w:rPr>
          <w:rStyle w:val="FootnoteReference"/>
          <w:sz w:val="20"/>
          <w:szCs w:val="20"/>
        </w:rPr>
        <w:footnoteRef/>
      </w:r>
      <w:r w:rsidRPr="008B6354">
        <w:rPr>
          <w:sz w:val="20"/>
          <w:szCs w:val="20"/>
        </w:rPr>
        <w:t xml:space="preserve"> </w:t>
      </w:r>
      <w:r w:rsidRPr="008B6354">
        <w:rPr>
          <w:sz w:val="20"/>
          <w:szCs w:val="20"/>
          <w:lang w:val="en-ZA"/>
        </w:rPr>
        <w:t>At page 773 para C</w:t>
      </w:r>
      <w:r w:rsidR="006D4598" w:rsidRPr="008B6354">
        <w:rPr>
          <w:sz w:val="20"/>
          <w:szCs w:val="20"/>
          <w:lang w:val="en-ZA"/>
        </w:rPr>
        <w:t>.</w:t>
      </w:r>
    </w:p>
  </w:footnote>
  <w:footnote w:id="9">
    <w:p w:rsidR="00474442" w:rsidRPr="006D4598" w:rsidRDefault="00474442" w:rsidP="008B6354">
      <w:pPr>
        <w:pStyle w:val="FootnoteText"/>
        <w:jc w:val="both"/>
        <w:rPr>
          <w:sz w:val="20"/>
          <w:szCs w:val="20"/>
          <w:lang w:val="en-ZA"/>
        </w:rPr>
      </w:pPr>
      <w:r w:rsidRPr="006D4598">
        <w:rPr>
          <w:rStyle w:val="FootnoteReference"/>
          <w:sz w:val="20"/>
          <w:szCs w:val="20"/>
        </w:rPr>
        <w:footnoteRef/>
      </w:r>
      <w:r w:rsidRPr="006D4598">
        <w:rPr>
          <w:sz w:val="20"/>
          <w:szCs w:val="20"/>
        </w:rPr>
        <w:t xml:space="preserve"> </w:t>
      </w:r>
      <w:r w:rsidRPr="008B6354">
        <w:rPr>
          <w:rFonts w:cs="Arial"/>
          <w:i/>
          <w:sz w:val="20"/>
          <w:szCs w:val="20"/>
        </w:rPr>
        <w:t xml:space="preserve">Van der Merwe v </w:t>
      </w:r>
      <w:proofErr w:type="spellStart"/>
      <w:r w:rsidRPr="008B6354">
        <w:rPr>
          <w:rFonts w:cs="Arial"/>
          <w:i/>
          <w:sz w:val="20"/>
          <w:szCs w:val="20"/>
        </w:rPr>
        <w:t>Protea</w:t>
      </w:r>
      <w:proofErr w:type="spellEnd"/>
      <w:r w:rsidRPr="008B6354">
        <w:rPr>
          <w:rFonts w:cs="Arial"/>
          <w:i/>
          <w:sz w:val="20"/>
          <w:szCs w:val="20"/>
        </w:rPr>
        <w:t xml:space="preserve"> Insurance Co Ltd</w:t>
      </w:r>
      <w:r w:rsidRPr="008B6354">
        <w:rPr>
          <w:rFonts w:cs="Arial"/>
          <w:sz w:val="20"/>
          <w:szCs w:val="20"/>
        </w:rPr>
        <w:t xml:space="preserve"> 1982 (1) SA 770 (E</w:t>
      </w:r>
      <w:r w:rsidRPr="006D4598">
        <w:rPr>
          <w:rFonts w:cs="Arial"/>
          <w:sz w:val="20"/>
          <w:szCs w:val="20"/>
          <w:u w:val="single"/>
        </w:rPr>
        <w:t>)</w:t>
      </w:r>
      <w:r w:rsidRPr="006D4598">
        <w:rPr>
          <w:rFonts w:cs="Arial"/>
          <w:sz w:val="20"/>
          <w:szCs w:val="20"/>
        </w:rPr>
        <w:t xml:space="preserve"> </w:t>
      </w:r>
      <w:r w:rsidRPr="006D4598">
        <w:rPr>
          <w:sz w:val="20"/>
          <w:szCs w:val="20"/>
          <w:lang w:val="en-ZA"/>
        </w:rPr>
        <w:t xml:space="preserve">772 at para H and p 773 at para A. See also </w:t>
      </w:r>
      <w:proofErr w:type="spellStart"/>
      <w:r w:rsidRPr="008B6354">
        <w:rPr>
          <w:i/>
          <w:sz w:val="20"/>
          <w:szCs w:val="20"/>
          <w:lang w:val="en-ZA"/>
        </w:rPr>
        <w:t>Cadac</w:t>
      </w:r>
      <w:proofErr w:type="spellEnd"/>
      <w:r w:rsidRPr="008B6354">
        <w:rPr>
          <w:i/>
          <w:sz w:val="20"/>
          <w:szCs w:val="20"/>
          <w:lang w:val="en-ZA"/>
        </w:rPr>
        <w:t xml:space="preserve"> (Pty) Ltd v Weber Stephen Products Company and Others</w:t>
      </w:r>
      <w:r w:rsidRPr="008B6354">
        <w:rPr>
          <w:sz w:val="20"/>
          <w:szCs w:val="20"/>
          <w:lang w:val="en-ZA"/>
        </w:rPr>
        <w:t xml:space="preserve"> (530/09) [2010] ZASCA 105</w:t>
      </w:r>
      <w:r w:rsidRPr="006D4598">
        <w:rPr>
          <w:sz w:val="20"/>
          <w:szCs w:val="20"/>
          <w:lang w:val="en-ZA"/>
        </w:rPr>
        <w:t xml:space="preserve"> at para 25</w:t>
      </w:r>
      <w:r w:rsidR="006D4598">
        <w:rPr>
          <w:sz w:val="20"/>
          <w:szCs w:val="20"/>
          <w:lang w:val="en-ZA"/>
        </w:rPr>
        <w:t>.</w:t>
      </w:r>
    </w:p>
  </w:footnote>
  <w:footnote w:id="10">
    <w:p w:rsidR="00474442" w:rsidRPr="006D4598" w:rsidRDefault="00474442" w:rsidP="008B6354">
      <w:pPr>
        <w:pStyle w:val="FootnoteText"/>
        <w:jc w:val="both"/>
        <w:rPr>
          <w:sz w:val="20"/>
          <w:szCs w:val="20"/>
          <w:lang w:val="en-ZA"/>
        </w:rPr>
      </w:pPr>
      <w:r w:rsidRPr="006D4598">
        <w:rPr>
          <w:rStyle w:val="FootnoteReference"/>
          <w:sz w:val="20"/>
          <w:szCs w:val="20"/>
        </w:rPr>
        <w:footnoteRef/>
      </w:r>
      <w:r w:rsidRPr="006D4598">
        <w:rPr>
          <w:sz w:val="20"/>
          <w:szCs w:val="20"/>
        </w:rPr>
        <w:t xml:space="preserve"> </w:t>
      </w:r>
      <w:r w:rsidRPr="008B6354">
        <w:rPr>
          <w:rFonts w:cs="Arial"/>
          <w:i/>
          <w:sz w:val="20"/>
          <w:szCs w:val="20"/>
        </w:rPr>
        <w:t>Cape Town Municipality and Another v Allianz Insurance Co Ltd</w:t>
      </w:r>
      <w:r w:rsidRPr="008B6354">
        <w:rPr>
          <w:rFonts w:cs="Arial"/>
          <w:sz w:val="20"/>
          <w:szCs w:val="20"/>
        </w:rPr>
        <w:t xml:space="preserve"> 1990 (1) SA 311 (C</w:t>
      </w:r>
      <w:r w:rsidRPr="006D4598">
        <w:rPr>
          <w:rFonts w:cs="Arial"/>
          <w:sz w:val="20"/>
          <w:szCs w:val="20"/>
          <w:u w:val="single"/>
        </w:rPr>
        <w:t>)</w:t>
      </w:r>
      <w:r w:rsidRPr="006D4598">
        <w:rPr>
          <w:rFonts w:cs="Arial"/>
          <w:sz w:val="20"/>
          <w:szCs w:val="20"/>
        </w:rPr>
        <w:t xml:space="preserve"> 333 at para G</w:t>
      </w:r>
      <w:r w:rsidR="006D4598">
        <w:rPr>
          <w:rFonts w:cs="Arial"/>
          <w:sz w:val="20"/>
          <w:szCs w:val="20"/>
          <w:lang w:val="en-ZA"/>
        </w:rPr>
        <w:t>.</w:t>
      </w:r>
    </w:p>
  </w:footnote>
  <w:footnote w:id="11">
    <w:p w:rsidR="00474442" w:rsidRPr="006D4598" w:rsidRDefault="00474442" w:rsidP="008B6354">
      <w:pPr>
        <w:pStyle w:val="FootnoteText"/>
        <w:jc w:val="both"/>
        <w:rPr>
          <w:sz w:val="20"/>
          <w:szCs w:val="20"/>
          <w:lang w:val="en-ZA"/>
        </w:rPr>
      </w:pPr>
      <w:r w:rsidRPr="006D4598">
        <w:rPr>
          <w:rStyle w:val="FootnoteReference"/>
          <w:sz w:val="20"/>
          <w:szCs w:val="20"/>
        </w:rPr>
        <w:footnoteRef/>
      </w:r>
      <w:r w:rsidRPr="006D4598">
        <w:rPr>
          <w:sz w:val="20"/>
          <w:szCs w:val="20"/>
        </w:rPr>
        <w:t xml:space="preserve"> </w:t>
      </w:r>
      <w:r w:rsidRPr="006D4598">
        <w:rPr>
          <w:sz w:val="20"/>
          <w:szCs w:val="20"/>
          <w:lang w:val="en-ZA"/>
        </w:rPr>
        <w:t xml:space="preserve">M </w:t>
      </w:r>
      <w:proofErr w:type="spellStart"/>
      <w:r w:rsidRPr="006D4598">
        <w:rPr>
          <w:sz w:val="20"/>
          <w:szCs w:val="20"/>
          <w:lang w:val="en-ZA"/>
        </w:rPr>
        <w:t>M</w:t>
      </w:r>
      <w:proofErr w:type="spellEnd"/>
      <w:r w:rsidRPr="006D4598">
        <w:rPr>
          <w:sz w:val="20"/>
          <w:szCs w:val="20"/>
          <w:lang w:val="en-ZA"/>
        </w:rPr>
        <w:t xml:space="preserve"> </w:t>
      </w:r>
      <w:proofErr w:type="spellStart"/>
      <w:r w:rsidRPr="006D4598">
        <w:rPr>
          <w:sz w:val="20"/>
          <w:szCs w:val="20"/>
          <w:lang w:val="en-ZA"/>
        </w:rPr>
        <w:t>Loubser</w:t>
      </w:r>
      <w:proofErr w:type="spellEnd"/>
      <w:r w:rsidRPr="006D4598">
        <w:rPr>
          <w:sz w:val="20"/>
          <w:szCs w:val="20"/>
          <w:lang w:val="en-ZA"/>
        </w:rPr>
        <w:t xml:space="preserve">, </w:t>
      </w:r>
      <w:r w:rsidRPr="006D4598">
        <w:rPr>
          <w:i/>
          <w:sz w:val="20"/>
          <w:szCs w:val="20"/>
          <w:lang w:val="en-ZA"/>
        </w:rPr>
        <w:t xml:space="preserve">Extinctive Prescription </w:t>
      </w:r>
      <w:r w:rsidRPr="006D4598">
        <w:rPr>
          <w:sz w:val="20"/>
          <w:szCs w:val="20"/>
          <w:lang w:val="en-ZA"/>
        </w:rPr>
        <w:t>1996 p.22</w:t>
      </w:r>
      <w:r w:rsidR="006D4598">
        <w:rPr>
          <w:sz w:val="20"/>
          <w:szCs w:val="20"/>
          <w:lang w:val="en-ZA"/>
        </w:rPr>
        <w:t>.</w:t>
      </w:r>
    </w:p>
  </w:footnote>
  <w:footnote w:id="12">
    <w:p w:rsidR="00474442" w:rsidRPr="006D4598" w:rsidRDefault="00474442" w:rsidP="00474442">
      <w:pPr>
        <w:pStyle w:val="FootnoteText"/>
        <w:rPr>
          <w:sz w:val="20"/>
          <w:szCs w:val="20"/>
          <w:lang w:val="en-ZA"/>
        </w:rPr>
      </w:pPr>
      <w:r w:rsidRPr="006D4598">
        <w:rPr>
          <w:rStyle w:val="FootnoteReference"/>
          <w:sz w:val="20"/>
          <w:szCs w:val="20"/>
        </w:rPr>
        <w:footnoteRef/>
      </w:r>
      <w:r w:rsidRPr="006D4598">
        <w:rPr>
          <w:sz w:val="20"/>
          <w:szCs w:val="20"/>
        </w:rPr>
        <w:t xml:space="preserve"> </w:t>
      </w:r>
      <w:r w:rsidRPr="006D4598">
        <w:rPr>
          <w:i/>
          <w:sz w:val="20"/>
          <w:szCs w:val="20"/>
          <w:lang w:val="en-ZA"/>
        </w:rPr>
        <w:t xml:space="preserve">Ibid </w:t>
      </w:r>
      <w:r w:rsidRPr="006D4598">
        <w:rPr>
          <w:sz w:val="20"/>
          <w:szCs w:val="20"/>
          <w:lang w:val="en-ZA"/>
        </w:rPr>
        <w:t>p. 23</w:t>
      </w:r>
      <w:r w:rsidR="006D4598">
        <w:rPr>
          <w:sz w:val="20"/>
          <w:szCs w:val="20"/>
          <w:lang w:val="en-ZA"/>
        </w:rPr>
        <w:t>.</w:t>
      </w:r>
    </w:p>
  </w:footnote>
  <w:footnote w:id="13">
    <w:p w:rsidR="00474442" w:rsidRPr="006D4598" w:rsidRDefault="00474442" w:rsidP="00474442">
      <w:pPr>
        <w:pStyle w:val="FootnoteText"/>
        <w:rPr>
          <w:i/>
          <w:sz w:val="20"/>
          <w:szCs w:val="20"/>
          <w:lang w:val="en-ZA"/>
        </w:rPr>
      </w:pPr>
      <w:r w:rsidRPr="006D4598">
        <w:rPr>
          <w:rStyle w:val="FootnoteReference"/>
          <w:sz w:val="20"/>
          <w:szCs w:val="20"/>
        </w:rPr>
        <w:footnoteRef/>
      </w:r>
      <w:r w:rsidRPr="006D4598">
        <w:rPr>
          <w:sz w:val="20"/>
          <w:szCs w:val="20"/>
        </w:rPr>
        <w:t xml:space="preserve"> </w:t>
      </w:r>
      <w:r w:rsidRPr="006D4598">
        <w:rPr>
          <w:i/>
          <w:sz w:val="20"/>
          <w:szCs w:val="20"/>
          <w:lang w:val="en-ZA"/>
        </w:rPr>
        <w:t>Ibid</w:t>
      </w:r>
      <w:r w:rsidR="006D4598">
        <w:rPr>
          <w:i/>
          <w:sz w:val="20"/>
          <w:szCs w:val="20"/>
          <w:lang w:val="en-ZA"/>
        </w:rPr>
        <w:t>.</w:t>
      </w:r>
      <w:r w:rsidRPr="006D4598">
        <w:rPr>
          <w:i/>
          <w:sz w:val="20"/>
          <w:szCs w:val="20"/>
          <w:lang w:val="en-ZA"/>
        </w:rPr>
        <w:t xml:space="preserve">            </w:t>
      </w:r>
    </w:p>
  </w:footnote>
  <w:footnote w:id="14">
    <w:p w:rsidR="00474442" w:rsidRPr="006D4598" w:rsidRDefault="00474442" w:rsidP="00474442">
      <w:pPr>
        <w:pStyle w:val="FootnoteText"/>
        <w:rPr>
          <w:i/>
          <w:sz w:val="20"/>
          <w:szCs w:val="20"/>
          <w:lang w:val="en-ZA"/>
        </w:rPr>
      </w:pPr>
      <w:r w:rsidRPr="006D4598">
        <w:rPr>
          <w:rStyle w:val="FootnoteReference"/>
          <w:sz w:val="20"/>
          <w:szCs w:val="20"/>
        </w:rPr>
        <w:footnoteRef/>
      </w:r>
      <w:r w:rsidRPr="006D4598">
        <w:rPr>
          <w:sz w:val="20"/>
          <w:szCs w:val="20"/>
        </w:rPr>
        <w:t xml:space="preserve"> </w:t>
      </w:r>
      <w:r w:rsidRPr="006D4598">
        <w:rPr>
          <w:i/>
          <w:sz w:val="20"/>
          <w:szCs w:val="20"/>
          <w:lang w:val="en-ZA"/>
        </w:rPr>
        <w:t xml:space="preserve">Ibid </w:t>
      </w:r>
      <w:r w:rsidRPr="006D4598">
        <w:rPr>
          <w:sz w:val="20"/>
          <w:szCs w:val="20"/>
          <w:lang w:val="en-ZA"/>
        </w:rPr>
        <w:t>p.24</w:t>
      </w:r>
      <w:r w:rsidR="006D4598">
        <w:rPr>
          <w:sz w:val="20"/>
          <w:szCs w:val="20"/>
          <w:lang w:val="en-ZA"/>
        </w:rPr>
        <w:t>.</w:t>
      </w:r>
    </w:p>
  </w:footnote>
  <w:footnote w:id="15">
    <w:p w:rsidR="00474442" w:rsidRPr="006D4598" w:rsidRDefault="00474442" w:rsidP="00474442">
      <w:pPr>
        <w:pStyle w:val="FootnoteText"/>
        <w:rPr>
          <w:sz w:val="20"/>
          <w:szCs w:val="20"/>
          <w:lang w:val="en-ZA"/>
        </w:rPr>
      </w:pPr>
      <w:r w:rsidRPr="006D4598">
        <w:rPr>
          <w:rStyle w:val="FootnoteReference"/>
          <w:sz w:val="20"/>
          <w:szCs w:val="20"/>
        </w:rPr>
        <w:footnoteRef/>
      </w:r>
      <w:r w:rsidRPr="006D4598">
        <w:rPr>
          <w:sz w:val="20"/>
          <w:szCs w:val="20"/>
        </w:rPr>
        <w:t xml:space="preserve"> </w:t>
      </w:r>
      <w:r w:rsidRPr="006D4598">
        <w:rPr>
          <w:sz w:val="20"/>
          <w:szCs w:val="20"/>
          <w:lang w:val="en-ZA"/>
        </w:rPr>
        <w:t>Stated Case Record p. 6 to 8</w:t>
      </w:r>
      <w:r w:rsidR="006D4598">
        <w:rPr>
          <w:sz w:val="20"/>
          <w:szCs w:val="20"/>
          <w:lang w:val="en-ZA"/>
        </w:rPr>
        <w:t>.</w:t>
      </w:r>
    </w:p>
  </w:footnote>
  <w:footnote w:id="16">
    <w:p w:rsidR="00474442" w:rsidRPr="006D4598" w:rsidRDefault="00474442" w:rsidP="00474442">
      <w:pPr>
        <w:pStyle w:val="FootnoteText"/>
        <w:rPr>
          <w:sz w:val="20"/>
          <w:szCs w:val="20"/>
          <w:lang w:val="en-ZA"/>
        </w:rPr>
      </w:pPr>
      <w:r w:rsidRPr="006D4598">
        <w:rPr>
          <w:rStyle w:val="FootnoteReference"/>
          <w:sz w:val="20"/>
          <w:szCs w:val="20"/>
        </w:rPr>
        <w:footnoteRef/>
      </w:r>
      <w:r w:rsidRPr="006D4598">
        <w:rPr>
          <w:sz w:val="20"/>
          <w:szCs w:val="20"/>
        </w:rPr>
        <w:t xml:space="preserve"> </w:t>
      </w:r>
      <w:r w:rsidRPr="006D4598">
        <w:rPr>
          <w:i/>
          <w:sz w:val="20"/>
          <w:szCs w:val="20"/>
          <w:lang w:val="en-ZA"/>
        </w:rPr>
        <w:t xml:space="preserve">Ibid </w:t>
      </w:r>
      <w:r w:rsidRPr="006D4598">
        <w:rPr>
          <w:sz w:val="20"/>
          <w:szCs w:val="20"/>
          <w:lang w:val="en-ZA"/>
        </w:rPr>
        <w:t>p.211 to 214</w:t>
      </w:r>
      <w:r w:rsidR="006D4598">
        <w:rPr>
          <w:sz w:val="20"/>
          <w:szCs w:val="20"/>
          <w:lang w:val="en-ZA"/>
        </w:rPr>
        <w:t>.</w:t>
      </w:r>
    </w:p>
  </w:footnote>
  <w:footnote w:id="17">
    <w:p w:rsidR="00474442" w:rsidRPr="006D4598" w:rsidRDefault="00474442" w:rsidP="00474442">
      <w:pPr>
        <w:pStyle w:val="FootnoteText"/>
        <w:rPr>
          <w:sz w:val="20"/>
          <w:szCs w:val="20"/>
          <w:lang w:val="en-ZA"/>
        </w:rPr>
      </w:pPr>
      <w:r w:rsidRPr="006D4598">
        <w:rPr>
          <w:rStyle w:val="FootnoteReference"/>
          <w:sz w:val="20"/>
          <w:szCs w:val="20"/>
        </w:rPr>
        <w:footnoteRef/>
      </w:r>
      <w:r w:rsidRPr="006D4598">
        <w:rPr>
          <w:sz w:val="20"/>
          <w:szCs w:val="20"/>
        </w:rPr>
        <w:t xml:space="preserve"> </w:t>
      </w:r>
      <w:r w:rsidRPr="006D4598">
        <w:rPr>
          <w:sz w:val="20"/>
          <w:szCs w:val="20"/>
          <w:lang w:val="en-ZA"/>
        </w:rPr>
        <w:t>The requirements of section 15(1) of the Act</w:t>
      </w:r>
      <w:r w:rsidR="006D4598">
        <w:rPr>
          <w:sz w:val="20"/>
          <w:szCs w:val="20"/>
          <w:lang w:val="en-ZA"/>
        </w:rPr>
        <w:t>.</w:t>
      </w:r>
    </w:p>
  </w:footnote>
  <w:footnote w:id="18">
    <w:p w:rsidR="00474442" w:rsidRPr="006D4598" w:rsidRDefault="00474442" w:rsidP="00474442">
      <w:pPr>
        <w:pStyle w:val="FootnoteText"/>
        <w:rPr>
          <w:sz w:val="20"/>
          <w:szCs w:val="20"/>
          <w:lang w:val="en-ZA"/>
        </w:rPr>
      </w:pPr>
      <w:r w:rsidRPr="006D4598">
        <w:rPr>
          <w:rStyle w:val="FootnoteReference"/>
          <w:sz w:val="20"/>
          <w:szCs w:val="20"/>
        </w:rPr>
        <w:footnoteRef/>
      </w:r>
      <w:r w:rsidRPr="006D4598">
        <w:rPr>
          <w:sz w:val="20"/>
          <w:szCs w:val="20"/>
        </w:rPr>
        <w:t xml:space="preserve"> </w:t>
      </w:r>
      <w:r w:rsidRPr="006D4598">
        <w:rPr>
          <w:sz w:val="20"/>
          <w:szCs w:val="20"/>
          <w:lang w:val="en-ZA"/>
        </w:rPr>
        <w:t>Section 15(2) of the Act</w:t>
      </w:r>
      <w:r w:rsidR="006D4598">
        <w:rPr>
          <w:sz w:val="20"/>
          <w:szCs w:val="20"/>
          <w:lang w:val="en-ZA"/>
        </w:rPr>
        <w:t>.</w:t>
      </w:r>
    </w:p>
  </w:footnote>
  <w:footnote w:id="19">
    <w:p w:rsidR="00474442" w:rsidRPr="006D4598" w:rsidRDefault="00474442" w:rsidP="00474442">
      <w:pPr>
        <w:pStyle w:val="FootnoteText"/>
        <w:rPr>
          <w:sz w:val="20"/>
          <w:szCs w:val="20"/>
          <w:lang w:val="en-ZA"/>
        </w:rPr>
      </w:pPr>
      <w:r w:rsidRPr="006D4598">
        <w:rPr>
          <w:rStyle w:val="FootnoteReference"/>
          <w:sz w:val="20"/>
          <w:szCs w:val="20"/>
        </w:rPr>
        <w:footnoteRef/>
      </w:r>
      <w:r w:rsidRPr="006D4598">
        <w:rPr>
          <w:sz w:val="20"/>
          <w:szCs w:val="20"/>
        </w:rPr>
        <w:t xml:space="preserve"> ‘First Action’ a</w:t>
      </w:r>
      <w:r w:rsidRPr="006D4598">
        <w:rPr>
          <w:sz w:val="20"/>
          <w:szCs w:val="20"/>
          <w:lang w:val="en-ZA"/>
        </w:rPr>
        <w:t>s defined in the Stated Case Record p. 2 at subparagraph 2.1.1</w:t>
      </w:r>
      <w:r w:rsidR="006D4598">
        <w:rPr>
          <w:sz w:val="20"/>
          <w:szCs w:val="20"/>
          <w:lang w:val="en-ZA"/>
        </w:rPr>
        <w:t>.</w:t>
      </w:r>
    </w:p>
  </w:footnote>
  <w:footnote w:id="20">
    <w:p w:rsidR="00474442" w:rsidRPr="006D4598" w:rsidRDefault="00474442" w:rsidP="00474442">
      <w:pPr>
        <w:pStyle w:val="FootnoteText"/>
        <w:rPr>
          <w:sz w:val="20"/>
          <w:szCs w:val="20"/>
          <w:lang w:val="en-ZA"/>
        </w:rPr>
      </w:pPr>
      <w:r w:rsidRPr="006D4598">
        <w:rPr>
          <w:rStyle w:val="FootnoteReference"/>
          <w:sz w:val="20"/>
          <w:szCs w:val="20"/>
        </w:rPr>
        <w:footnoteRef/>
      </w:r>
      <w:r w:rsidRPr="006D4598">
        <w:rPr>
          <w:sz w:val="20"/>
          <w:szCs w:val="20"/>
        </w:rPr>
        <w:t xml:space="preserve"> Plaintiff’s</w:t>
      </w:r>
      <w:r w:rsidRPr="006D4598">
        <w:rPr>
          <w:sz w:val="20"/>
          <w:szCs w:val="20"/>
          <w:lang w:val="en-ZA"/>
        </w:rPr>
        <w:t xml:space="preserve"> cause of action arose during October 2002</w:t>
      </w:r>
      <w:r w:rsidR="006D4598">
        <w:rPr>
          <w:sz w:val="20"/>
          <w:szCs w:val="20"/>
          <w:lang w:val="en-ZA"/>
        </w:rPr>
        <w:t>.</w:t>
      </w:r>
    </w:p>
  </w:footnote>
  <w:footnote w:id="21">
    <w:p w:rsidR="00474442" w:rsidRPr="00A2321A" w:rsidRDefault="00474442" w:rsidP="00474442">
      <w:pPr>
        <w:pStyle w:val="FootnoteText"/>
        <w:rPr>
          <w:sz w:val="20"/>
          <w:szCs w:val="20"/>
          <w:lang w:val="en-ZA"/>
        </w:rPr>
      </w:pPr>
      <w:r w:rsidRPr="00A2321A">
        <w:rPr>
          <w:rStyle w:val="FootnoteReference"/>
          <w:sz w:val="20"/>
          <w:szCs w:val="20"/>
        </w:rPr>
        <w:footnoteRef/>
      </w:r>
      <w:r w:rsidRPr="00A2321A">
        <w:rPr>
          <w:sz w:val="20"/>
          <w:szCs w:val="20"/>
        </w:rPr>
        <w:t xml:space="preserve"> </w:t>
      </w:r>
      <w:r w:rsidRPr="00A2321A">
        <w:rPr>
          <w:sz w:val="20"/>
          <w:szCs w:val="20"/>
          <w:lang w:val="en-ZA"/>
        </w:rPr>
        <w:t>Pleadings Record p. 47 at subparagraph 1.4 and Stated Case Record p. 7 at subparagraph 5.1</w:t>
      </w:r>
      <w:r w:rsidR="006D4598" w:rsidRPr="00A2321A">
        <w:rPr>
          <w:sz w:val="20"/>
          <w:szCs w:val="20"/>
          <w:lang w:val="en-ZA"/>
        </w:rPr>
        <w:t>.</w:t>
      </w:r>
    </w:p>
  </w:footnote>
  <w:footnote w:id="22">
    <w:p w:rsidR="00474442" w:rsidRPr="00A2321A" w:rsidRDefault="00474442" w:rsidP="008B6354">
      <w:pPr>
        <w:pStyle w:val="FootnoteText"/>
        <w:jc w:val="both"/>
        <w:rPr>
          <w:sz w:val="20"/>
          <w:szCs w:val="20"/>
          <w:lang w:val="en-ZA"/>
        </w:rPr>
      </w:pPr>
      <w:r w:rsidRPr="00A2321A">
        <w:rPr>
          <w:rStyle w:val="FootnoteReference"/>
          <w:sz w:val="20"/>
          <w:szCs w:val="20"/>
        </w:rPr>
        <w:footnoteRef/>
      </w:r>
      <w:r w:rsidRPr="00A2321A">
        <w:rPr>
          <w:sz w:val="20"/>
          <w:szCs w:val="20"/>
        </w:rPr>
        <w:t xml:space="preserve"> </w:t>
      </w:r>
      <w:r w:rsidRPr="00A2321A">
        <w:rPr>
          <w:sz w:val="20"/>
          <w:szCs w:val="20"/>
          <w:lang w:val="en-ZA"/>
        </w:rPr>
        <w:t>Pleadings Record p. 47 at subparagraph 1.5 and Stated Case Record p. 7 at</w:t>
      </w:r>
      <w:r w:rsidR="006D4598" w:rsidRPr="00A2321A">
        <w:rPr>
          <w:sz w:val="20"/>
          <w:szCs w:val="20"/>
          <w:lang w:val="en-ZA"/>
        </w:rPr>
        <w:t>.</w:t>
      </w:r>
      <w:r w:rsidRPr="00A2321A">
        <w:rPr>
          <w:sz w:val="20"/>
          <w:szCs w:val="20"/>
          <w:lang w:val="en-ZA"/>
        </w:rPr>
        <w:t xml:space="preserve"> </w:t>
      </w:r>
      <w:proofErr w:type="gramStart"/>
      <w:r w:rsidRPr="00A2321A">
        <w:rPr>
          <w:sz w:val="20"/>
          <w:szCs w:val="20"/>
          <w:lang w:val="en-ZA"/>
        </w:rPr>
        <w:t>subparagraph</w:t>
      </w:r>
      <w:proofErr w:type="gramEnd"/>
      <w:r w:rsidRPr="00A2321A">
        <w:rPr>
          <w:sz w:val="20"/>
          <w:szCs w:val="20"/>
          <w:lang w:val="en-ZA"/>
        </w:rPr>
        <w:t xml:space="preserve"> 5.2</w:t>
      </w:r>
      <w:r w:rsidR="006D4598" w:rsidRPr="00A2321A">
        <w:rPr>
          <w:sz w:val="20"/>
          <w:szCs w:val="20"/>
          <w:lang w:val="en-ZA"/>
        </w:rPr>
        <w:t>.</w:t>
      </w:r>
    </w:p>
  </w:footnote>
  <w:footnote w:id="23">
    <w:p w:rsidR="00474442" w:rsidRPr="00A2321A" w:rsidRDefault="00474442" w:rsidP="008B6354">
      <w:pPr>
        <w:pStyle w:val="FootnoteText"/>
        <w:jc w:val="both"/>
        <w:rPr>
          <w:sz w:val="20"/>
          <w:szCs w:val="20"/>
          <w:lang w:val="en-ZA"/>
        </w:rPr>
      </w:pPr>
      <w:r w:rsidRPr="00A2321A">
        <w:rPr>
          <w:rStyle w:val="FootnoteReference"/>
          <w:sz w:val="20"/>
          <w:szCs w:val="20"/>
        </w:rPr>
        <w:footnoteRef/>
      </w:r>
      <w:r w:rsidRPr="00A2321A">
        <w:rPr>
          <w:sz w:val="20"/>
          <w:szCs w:val="20"/>
        </w:rPr>
        <w:t xml:space="preserve"> </w:t>
      </w:r>
      <w:r w:rsidRPr="00A2321A">
        <w:rPr>
          <w:sz w:val="20"/>
          <w:szCs w:val="20"/>
          <w:lang w:val="en-ZA"/>
        </w:rPr>
        <w:t>As defined</w:t>
      </w:r>
      <w:r w:rsidRPr="00A2321A">
        <w:rPr>
          <w:sz w:val="20"/>
          <w:szCs w:val="20"/>
        </w:rPr>
        <w:t xml:space="preserve"> </w:t>
      </w:r>
      <w:r w:rsidRPr="00A2321A">
        <w:rPr>
          <w:sz w:val="20"/>
          <w:szCs w:val="20"/>
          <w:lang w:val="en-ZA"/>
        </w:rPr>
        <w:t>in the Stated Case Record p. 2 at subparagraph 2.1.</w:t>
      </w:r>
      <w:r w:rsidR="006D4598" w:rsidRPr="00A2321A">
        <w:rPr>
          <w:sz w:val="20"/>
          <w:szCs w:val="20"/>
          <w:lang w:val="en-ZA"/>
        </w:rPr>
        <w:t>3.</w:t>
      </w:r>
    </w:p>
  </w:footnote>
  <w:footnote w:id="24">
    <w:p w:rsidR="00474442" w:rsidRPr="00330DD3" w:rsidRDefault="00474442" w:rsidP="008B6354">
      <w:pPr>
        <w:pStyle w:val="FootnoteText"/>
        <w:jc w:val="both"/>
        <w:rPr>
          <w:sz w:val="20"/>
          <w:szCs w:val="20"/>
          <w:lang w:val="en-ZA"/>
        </w:rPr>
      </w:pPr>
      <w:r w:rsidRPr="006D4598">
        <w:rPr>
          <w:rStyle w:val="FootnoteReference"/>
          <w:sz w:val="20"/>
          <w:szCs w:val="20"/>
        </w:rPr>
        <w:footnoteRef/>
      </w:r>
      <w:r w:rsidRPr="006D4598">
        <w:rPr>
          <w:sz w:val="20"/>
          <w:szCs w:val="20"/>
        </w:rPr>
        <w:t xml:space="preserve"> </w:t>
      </w:r>
      <w:r w:rsidRPr="00183641">
        <w:rPr>
          <w:rFonts w:cs="Arial"/>
          <w:i/>
          <w:sz w:val="20"/>
          <w:szCs w:val="20"/>
        </w:rPr>
        <w:t>Cape Town Municipality and Another v Allianz Insurance Co Ltd</w:t>
      </w:r>
      <w:r w:rsidRPr="00183641">
        <w:rPr>
          <w:rFonts w:cs="Arial"/>
          <w:sz w:val="20"/>
          <w:szCs w:val="20"/>
        </w:rPr>
        <w:t xml:space="preserve"> 1990 (1) SA 311 (C)</w:t>
      </w:r>
      <w:r w:rsidRPr="006D4598">
        <w:rPr>
          <w:rFonts w:cs="Arial"/>
          <w:sz w:val="20"/>
          <w:szCs w:val="20"/>
        </w:rPr>
        <w:t xml:space="preserve"> 334 at para F</w:t>
      </w:r>
      <w:r w:rsidR="00330DD3">
        <w:rPr>
          <w:rFonts w:cs="Arial"/>
          <w:sz w:val="20"/>
          <w:szCs w:val="20"/>
          <w:lang w:val="en-ZA"/>
        </w:rPr>
        <w:t>.</w:t>
      </w:r>
    </w:p>
  </w:footnote>
  <w:footnote w:id="25">
    <w:p w:rsidR="00BA273B" w:rsidRPr="00BA273B" w:rsidRDefault="00BA273B" w:rsidP="008B6354">
      <w:pPr>
        <w:pStyle w:val="FootnoteText"/>
        <w:jc w:val="both"/>
        <w:rPr>
          <w:sz w:val="20"/>
          <w:szCs w:val="20"/>
          <w:lang w:val="en-US"/>
        </w:rPr>
      </w:pPr>
      <w:r w:rsidRPr="00034E6E">
        <w:rPr>
          <w:rStyle w:val="FootnoteReference"/>
          <w:sz w:val="20"/>
          <w:szCs w:val="20"/>
        </w:rPr>
        <w:footnoteRef/>
      </w:r>
      <w:r w:rsidRPr="00034E6E">
        <w:rPr>
          <w:rFonts w:cs="Arial"/>
          <w:sz w:val="20"/>
          <w:szCs w:val="20"/>
        </w:rPr>
        <w:t>1980 (2) SA 701 (</w:t>
      </w:r>
      <w:proofErr w:type="spellStart"/>
      <w:r w:rsidRPr="00034E6E">
        <w:rPr>
          <w:rFonts w:cs="Arial"/>
          <w:sz w:val="20"/>
          <w:szCs w:val="20"/>
        </w:rPr>
        <w:t>TkS</w:t>
      </w:r>
      <w:proofErr w:type="spellEnd"/>
      <w:r w:rsidRPr="00034E6E">
        <w:rPr>
          <w:rFonts w:cs="Arial"/>
          <w:sz w:val="20"/>
          <w:szCs w:val="20"/>
        </w:rPr>
        <w:t>)</w:t>
      </w:r>
      <w:r>
        <w:rPr>
          <w:rFonts w:cs="Arial"/>
          <w:sz w:val="20"/>
          <w:szCs w:val="20"/>
          <w:lang w:val="en-US"/>
        </w:rPr>
        <w:t xml:space="preserve"> where </w:t>
      </w:r>
      <w:proofErr w:type="spellStart"/>
      <w:r>
        <w:rPr>
          <w:rFonts w:cs="Arial"/>
          <w:sz w:val="20"/>
          <w:szCs w:val="20"/>
          <w:lang w:val="en-US"/>
        </w:rPr>
        <w:t>Munnik</w:t>
      </w:r>
      <w:proofErr w:type="spellEnd"/>
      <w:r>
        <w:rPr>
          <w:rFonts w:cs="Arial"/>
          <w:sz w:val="20"/>
          <w:szCs w:val="20"/>
          <w:lang w:val="en-US"/>
        </w:rPr>
        <w:t xml:space="preserve"> CJ stated at 704 D to F: ‘ … </w:t>
      </w:r>
      <w:r w:rsidRPr="00BA273B">
        <w:rPr>
          <w:rFonts w:cs="Arial"/>
          <w:sz w:val="20"/>
          <w:szCs w:val="20"/>
          <w:lang w:val="en-US"/>
        </w:rPr>
        <w:t>it seems to me that the whole purpose of s 15 (2) was that, if a creditor fails in his claim, in other words if he does not successfully prosecute his claim under the process in question to final judgment, then the provisions come</w:t>
      </w:r>
      <w:r>
        <w:rPr>
          <w:rFonts w:cs="Arial"/>
          <w:sz w:val="20"/>
          <w:szCs w:val="20"/>
          <w:lang w:val="en-US"/>
        </w:rPr>
        <w:t xml:space="preserve"> into force concerning the </w:t>
      </w:r>
      <w:r w:rsidRPr="00BA273B">
        <w:rPr>
          <w:rFonts w:cs="Arial"/>
          <w:sz w:val="20"/>
          <w:szCs w:val="20"/>
          <w:lang w:val="en-US"/>
        </w:rPr>
        <w:t xml:space="preserve">interruption of prescription lapsing and the running of prescription not being deemed to have been interrupted. The practical effect of this is that, should a plaintiff, </w:t>
      </w:r>
      <w:proofErr w:type="spellStart"/>
      <w:r w:rsidRPr="00BA273B">
        <w:rPr>
          <w:rFonts w:cs="Arial"/>
          <w:sz w:val="20"/>
          <w:szCs w:val="20"/>
          <w:lang w:val="en-US"/>
        </w:rPr>
        <w:t>eg</w:t>
      </w:r>
      <w:proofErr w:type="spellEnd"/>
      <w:r w:rsidRPr="00BA273B">
        <w:rPr>
          <w:rFonts w:cs="Arial"/>
          <w:sz w:val="20"/>
          <w:szCs w:val="20"/>
          <w:lang w:val="en-US"/>
        </w:rPr>
        <w:t>, have absolution granted against him at the end of his case, then he cannot be said to have successfully prosecuted his claim to final judgment or, if an exception is taken to his claim and he cannot amend but has to issue a fresh summons or a fresh declaration, then the process by which he commenced the pr</w:t>
      </w:r>
      <w:r>
        <w:rPr>
          <w:rFonts w:cs="Arial"/>
          <w:sz w:val="20"/>
          <w:szCs w:val="20"/>
          <w:lang w:val="en-US"/>
        </w:rPr>
        <w:t xml:space="preserve">oceedings is deemed not to </w:t>
      </w:r>
      <w:r w:rsidRPr="00BA273B">
        <w:rPr>
          <w:rFonts w:cs="Arial"/>
          <w:sz w:val="20"/>
          <w:szCs w:val="20"/>
          <w:lang w:val="en-US"/>
        </w:rPr>
        <w:t>have interrupted prescription and the running of prescription is deemed not to have been interrupted thereby. In other words, to put it colloquially, he is not allowed to have two bites at the cherry. I am fortified in this view by the words which fol</w:t>
      </w:r>
      <w:r>
        <w:rPr>
          <w:rFonts w:cs="Arial"/>
          <w:sz w:val="20"/>
          <w:szCs w:val="20"/>
          <w:lang w:val="en-US"/>
        </w:rPr>
        <w:t xml:space="preserve">low after the words 'final </w:t>
      </w:r>
      <w:r w:rsidRPr="00BA273B">
        <w:rPr>
          <w:rFonts w:cs="Arial"/>
          <w:sz w:val="20"/>
          <w:szCs w:val="20"/>
          <w:lang w:val="en-US"/>
        </w:rPr>
        <w:t xml:space="preserve">judgment' in s 15 (2), </w:t>
      </w:r>
      <w:proofErr w:type="spellStart"/>
      <w:r w:rsidRPr="00BA273B">
        <w:rPr>
          <w:rFonts w:cs="Arial"/>
          <w:sz w:val="20"/>
          <w:szCs w:val="20"/>
          <w:lang w:val="en-US"/>
        </w:rPr>
        <w:t>viz</w:t>
      </w:r>
      <w:proofErr w:type="spellEnd"/>
      <w:r w:rsidRPr="00BA273B">
        <w:rPr>
          <w:rFonts w:cs="Arial"/>
          <w:sz w:val="20"/>
          <w:szCs w:val="20"/>
          <w:lang w:val="en-US"/>
        </w:rPr>
        <w:t xml:space="preserve"> 'or if he does so prosecute his claim (which words 'so prosecute' must obviously mean prosecute his claim successfully) but abandons the judgment or the judgment is set aside', which clearly means on appeal for some good reason or in some action on the basis of fraud for example. It is not unreasonable to assume that what the legislator had in mind was the following: It is necessary that there should be finality in litigation.</w:t>
      </w:r>
      <w:r>
        <w:rPr>
          <w:rFonts w:cs="Arial"/>
          <w:sz w:val="20"/>
          <w:szCs w:val="20"/>
          <w:lang w:val="en-US"/>
        </w:rPr>
        <w:t xml:space="preserve"> … ‘.</w:t>
      </w:r>
    </w:p>
  </w:footnote>
  <w:footnote w:id="26">
    <w:p w:rsidR="00BB710C" w:rsidRPr="00BB710C" w:rsidRDefault="00BB710C" w:rsidP="008B6354">
      <w:pPr>
        <w:pStyle w:val="FootnoteText"/>
        <w:jc w:val="both"/>
        <w:rPr>
          <w:sz w:val="20"/>
          <w:szCs w:val="20"/>
          <w:lang w:val="en-US"/>
        </w:rPr>
      </w:pPr>
      <w:r w:rsidRPr="00BB710C">
        <w:rPr>
          <w:rStyle w:val="FootnoteReference"/>
          <w:sz w:val="20"/>
          <w:szCs w:val="20"/>
        </w:rPr>
        <w:footnoteRef/>
      </w:r>
      <w:r w:rsidRPr="00BB710C">
        <w:rPr>
          <w:sz w:val="20"/>
          <w:szCs w:val="20"/>
        </w:rPr>
        <w:t xml:space="preserve"> </w:t>
      </w:r>
      <w:r w:rsidRPr="00BB710C">
        <w:rPr>
          <w:sz w:val="20"/>
          <w:szCs w:val="20"/>
          <w:lang w:val="en-US"/>
        </w:rPr>
        <w:t xml:space="preserve">Op </w:t>
      </w:r>
      <w:proofErr w:type="spellStart"/>
      <w:r w:rsidRPr="00BB710C">
        <w:rPr>
          <w:sz w:val="20"/>
          <w:szCs w:val="20"/>
          <w:lang w:val="en-US"/>
        </w:rPr>
        <w:t>cit</w:t>
      </w:r>
      <w:proofErr w:type="spellEnd"/>
      <w:r w:rsidRPr="00BB710C">
        <w:rPr>
          <w:sz w:val="20"/>
          <w:szCs w:val="20"/>
          <w:lang w:val="en-US"/>
        </w:rPr>
        <w:t xml:space="preserve"> at 770E and 772 H to 773 A</w:t>
      </w:r>
      <w:r w:rsidR="00B43F46">
        <w:rPr>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3B" w:rsidRDefault="00BA273B">
    <w:pPr>
      <w:pStyle w:val="Header"/>
      <w:jc w:val="right"/>
    </w:pPr>
    <w:r>
      <w:fldChar w:fldCharType="begin"/>
    </w:r>
    <w:r>
      <w:instrText xml:space="preserve"> PAGE   \* MERGEFORMAT </w:instrText>
    </w:r>
    <w:r>
      <w:fldChar w:fldCharType="separate"/>
    </w:r>
    <w:r w:rsidR="00CA6CB2">
      <w:rPr>
        <w:noProof/>
      </w:rPr>
      <w:t>20</w:t>
    </w:r>
    <w:r>
      <w:fldChar w:fldCharType="end"/>
    </w:r>
  </w:p>
  <w:p w:rsidR="00BA273B" w:rsidRDefault="00BA2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C8C"/>
    <w:multiLevelType w:val="hybridMultilevel"/>
    <w:tmpl w:val="68E8097E"/>
    <w:lvl w:ilvl="0" w:tplc="092E7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0917"/>
    <w:multiLevelType w:val="hybridMultilevel"/>
    <w:tmpl w:val="30A6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0127"/>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1699"/>
    <w:multiLevelType w:val="hybridMultilevel"/>
    <w:tmpl w:val="35F20542"/>
    <w:lvl w:ilvl="0" w:tplc="22B6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BE460E"/>
    <w:multiLevelType w:val="hybridMultilevel"/>
    <w:tmpl w:val="AB3A6286"/>
    <w:lvl w:ilvl="0" w:tplc="1C09000F">
      <w:start w:val="1"/>
      <w:numFmt w:val="decimal"/>
      <w:lvlText w:val="%1."/>
      <w:lvlJc w:val="left"/>
      <w:pPr>
        <w:ind w:left="5322" w:hanging="360"/>
      </w:pPr>
    </w:lvl>
    <w:lvl w:ilvl="1" w:tplc="1C090019">
      <w:start w:val="1"/>
      <w:numFmt w:val="lowerLetter"/>
      <w:lvlText w:val="%2."/>
      <w:lvlJc w:val="left"/>
      <w:pPr>
        <w:ind w:left="6042" w:hanging="360"/>
      </w:pPr>
    </w:lvl>
    <w:lvl w:ilvl="2" w:tplc="1C09001B">
      <w:start w:val="1"/>
      <w:numFmt w:val="lowerRoman"/>
      <w:lvlText w:val="%3."/>
      <w:lvlJc w:val="right"/>
      <w:pPr>
        <w:ind w:left="6762" w:hanging="180"/>
      </w:pPr>
    </w:lvl>
    <w:lvl w:ilvl="3" w:tplc="1C09000F">
      <w:start w:val="1"/>
      <w:numFmt w:val="decimal"/>
      <w:lvlText w:val="%4."/>
      <w:lvlJc w:val="left"/>
      <w:pPr>
        <w:ind w:left="7482" w:hanging="360"/>
      </w:pPr>
    </w:lvl>
    <w:lvl w:ilvl="4" w:tplc="1C090019">
      <w:start w:val="1"/>
      <w:numFmt w:val="lowerLetter"/>
      <w:lvlText w:val="%5."/>
      <w:lvlJc w:val="left"/>
      <w:pPr>
        <w:ind w:left="8202" w:hanging="360"/>
      </w:pPr>
    </w:lvl>
    <w:lvl w:ilvl="5" w:tplc="1C09001B">
      <w:start w:val="1"/>
      <w:numFmt w:val="lowerRoman"/>
      <w:lvlText w:val="%6."/>
      <w:lvlJc w:val="right"/>
      <w:pPr>
        <w:ind w:left="8922" w:hanging="180"/>
      </w:pPr>
    </w:lvl>
    <w:lvl w:ilvl="6" w:tplc="1C09000F">
      <w:start w:val="1"/>
      <w:numFmt w:val="decimal"/>
      <w:lvlText w:val="%7."/>
      <w:lvlJc w:val="left"/>
      <w:pPr>
        <w:ind w:left="9642" w:hanging="360"/>
      </w:pPr>
    </w:lvl>
    <w:lvl w:ilvl="7" w:tplc="1C090019">
      <w:start w:val="1"/>
      <w:numFmt w:val="lowerLetter"/>
      <w:lvlText w:val="%8."/>
      <w:lvlJc w:val="left"/>
      <w:pPr>
        <w:ind w:left="10362" w:hanging="360"/>
      </w:pPr>
    </w:lvl>
    <w:lvl w:ilvl="8" w:tplc="1C09001B">
      <w:start w:val="1"/>
      <w:numFmt w:val="lowerRoman"/>
      <w:lvlText w:val="%9."/>
      <w:lvlJc w:val="right"/>
      <w:pPr>
        <w:ind w:left="11082" w:hanging="180"/>
      </w:pPr>
    </w:lvl>
  </w:abstractNum>
  <w:abstractNum w:abstractNumId="6" w15:restartNumberingAfterBreak="0">
    <w:nsid w:val="1B425A7B"/>
    <w:multiLevelType w:val="multilevel"/>
    <w:tmpl w:val="DDA80246"/>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1CE25120"/>
    <w:multiLevelType w:val="hybridMultilevel"/>
    <w:tmpl w:val="F692F09A"/>
    <w:lvl w:ilvl="0" w:tplc="66100CBC">
      <w:start w:val="1"/>
      <w:numFmt w:val="lowerLetter"/>
      <w:lvlText w:val="(%1)"/>
      <w:lvlJc w:val="left"/>
      <w:pPr>
        <w:ind w:left="2153" w:hanging="735"/>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1E4A3375"/>
    <w:multiLevelType w:val="hybridMultilevel"/>
    <w:tmpl w:val="C6309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630926"/>
    <w:multiLevelType w:val="hybridMultilevel"/>
    <w:tmpl w:val="32C0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95A90"/>
    <w:multiLevelType w:val="hybridMultilevel"/>
    <w:tmpl w:val="1220AFA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A034A5"/>
    <w:multiLevelType w:val="hybridMultilevel"/>
    <w:tmpl w:val="F2FA0D74"/>
    <w:lvl w:ilvl="0" w:tplc="86A28126">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2" w15:restartNumberingAfterBreak="0">
    <w:nsid w:val="299C108F"/>
    <w:multiLevelType w:val="hybridMultilevel"/>
    <w:tmpl w:val="BCD83088"/>
    <w:lvl w:ilvl="0" w:tplc="B706E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C257D"/>
    <w:multiLevelType w:val="hybridMultilevel"/>
    <w:tmpl w:val="12B2AD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EB1BBE"/>
    <w:multiLevelType w:val="hybridMultilevel"/>
    <w:tmpl w:val="3550BD8C"/>
    <w:lvl w:ilvl="0" w:tplc="57E2F22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5664EE5"/>
    <w:multiLevelType w:val="hybridMultilevel"/>
    <w:tmpl w:val="7EEC7F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02524B"/>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94B58"/>
    <w:multiLevelType w:val="multilevel"/>
    <w:tmpl w:val="7F0ED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F56981"/>
    <w:multiLevelType w:val="hybridMultilevel"/>
    <w:tmpl w:val="39224F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5284F77"/>
    <w:multiLevelType w:val="hybridMultilevel"/>
    <w:tmpl w:val="F08A85E0"/>
    <w:lvl w:ilvl="0" w:tplc="A9ACC7AE">
      <w:start w:val="1"/>
      <w:numFmt w:val="lowerLetter"/>
      <w:lvlText w:val="%1)"/>
      <w:lvlJc w:val="left"/>
      <w:pPr>
        <w:ind w:left="4986" w:hanging="360"/>
      </w:pPr>
      <w:rPr>
        <w:rFonts w:hint="default"/>
      </w:rPr>
    </w:lvl>
    <w:lvl w:ilvl="1" w:tplc="04090019" w:tentative="1">
      <w:start w:val="1"/>
      <w:numFmt w:val="lowerLetter"/>
      <w:lvlText w:val="%2."/>
      <w:lvlJc w:val="left"/>
      <w:pPr>
        <w:ind w:left="5706" w:hanging="360"/>
      </w:pPr>
    </w:lvl>
    <w:lvl w:ilvl="2" w:tplc="0409001B" w:tentative="1">
      <w:start w:val="1"/>
      <w:numFmt w:val="lowerRoman"/>
      <w:lvlText w:val="%3."/>
      <w:lvlJc w:val="right"/>
      <w:pPr>
        <w:ind w:left="6426" w:hanging="180"/>
      </w:pPr>
    </w:lvl>
    <w:lvl w:ilvl="3" w:tplc="0409000F" w:tentative="1">
      <w:start w:val="1"/>
      <w:numFmt w:val="decimal"/>
      <w:lvlText w:val="%4."/>
      <w:lvlJc w:val="left"/>
      <w:pPr>
        <w:ind w:left="7146" w:hanging="360"/>
      </w:pPr>
    </w:lvl>
    <w:lvl w:ilvl="4" w:tplc="04090019" w:tentative="1">
      <w:start w:val="1"/>
      <w:numFmt w:val="lowerLetter"/>
      <w:lvlText w:val="%5."/>
      <w:lvlJc w:val="left"/>
      <w:pPr>
        <w:ind w:left="7866" w:hanging="360"/>
      </w:pPr>
    </w:lvl>
    <w:lvl w:ilvl="5" w:tplc="0409001B" w:tentative="1">
      <w:start w:val="1"/>
      <w:numFmt w:val="lowerRoman"/>
      <w:lvlText w:val="%6."/>
      <w:lvlJc w:val="right"/>
      <w:pPr>
        <w:ind w:left="8586" w:hanging="180"/>
      </w:pPr>
    </w:lvl>
    <w:lvl w:ilvl="6" w:tplc="0409000F" w:tentative="1">
      <w:start w:val="1"/>
      <w:numFmt w:val="decimal"/>
      <w:lvlText w:val="%7."/>
      <w:lvlJc w:val="left"/>
      <w:pPr>
        <w:ind w:left="9306" w:hanging="360"/>
      </w:pPr>
    </w:lvl>
    <w:lvl w:ilvl="7" w:tplc="04090019" w:tentative="1">
      <w:start w:val="1"/>
      <w:numFmt w:val="lowerLetter"/>
      <w:lvlText w:val="%8."/>
      <w:lvlJc w:val="left"/>
      <w:pPr>
        <w:ind w:left="10026" w:hanging="360"/>
      </w:pPr>
    </w:lvl>
    <w:lvl w:ilvl="8" w:tplc="0409001B" w:tentative="1">
      <w:start w:val="1"/>
      <w:numFmt w:val="lowerRoman"/>
      <w:lvlText w:val="%9."/>
      <w:lvlJc w:val="right"/>
      <w:pPr>
        <w:ind w:left="10746" w:hanging="180"/>
      </w:pPr>
    </w:lvl>
  </w:abstractNum>
  <w:abstractNum w:abstractNumId="21" w15:restartNumberingAfterBreak="0">
    <w:nsid w:val="4945198F"/>
    <w:multiLevelType w:val="hybridMultilevel"/>
    <w:tmpl w:val="78F017F0"/>
    <w:lvl w:ilvl="0" w:tplc="58E85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C4078A3"/>
    <w:multiLevelType w:val="hybridMultilevel"/>
    <w:tmpl w:val="5A48F4D8"/>
    <w:lvl w:ilvl="0" w:tplc="641AC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96B9C"/>
    <w:multiLevelType w:val="multilevel"/>
    <w:tmpl w:val="F90AA1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17C5963"/>
    <w:multiLevelType w:val="hybridMultilevel"/>
    <w:tmpl w:val="04F4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6336E"/>
    <w:multiLevelType w:val="hybridMultilevel"/>
    <w:tmpl w:val="1FA669BE"/>
    <w:lvl w:ilvl="0" w:tplc="3582279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040E67"/>
    <w:multiLevelType w:val="hybridMultilevel"/>
    <w:tmpl w:val="68D088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E02AF1"/>
    <w:multiLevelType w:val="hybridMultilevel"/>
    <w:tmpl w:val="5AA61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32F19"/>
    <w:multiLevelType w:val="hybridMultilevel"/>
    <w:tmpl w:val="00FAD0FC"/>
    <w:lvl w:ilvl="0" w:tplc="6C2690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EF6A5F"/>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A4618"/>
    <w:multiLevelType w:val="multilevel"/>
    <w:tmpl w:val="2D1250B0"/>
    <w:lvl w:ilvl="0">
      <w:start w:val="1"/>
      <w:numFmt w:val="decimal"/>
      <w:lvlText w:val="%1."/>
      <w:lvlJc w:val="left"/>
      <w:pPr>
        <w:ind w:left="930" w:hanging="570"/>
      </w:pPr>
    </w:lvl>
    <w:lvl w:ilvl="1">
      <w:start w:val="1"/>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1" w15:restartNumberingAfterBreak="0">
    <w:nsid w:val="5EE94EE3"/>
    <w:multiLevelType w:val="hybridMultilevel"/>
    <w:tmpl w:val="C24A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C100F"/>
    <w:multiLevelType w:val="multilevel"/>
    <w:tmpl w:val="F7B20A3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1FA6C52"/>
    <w:multiLevelType w:val="hybridMultilevel"/>
    <w:tmpl w:val="F1E0DF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342203A"/>
    <w:multiLevelType w:val="multilevel"/>
    <w:tmpl w:val="9BFA2BA8"/>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66BC0CFB"/>
    <w:multiLevelType w:val="hybridMultilevel"/>
    <w:tmpl w:val="E1CA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E3CE7"/>
    <w:multiLevelType w:val="hybridMultilevel"/>
    <w:tmpl w:val="156E84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746F8"/>
    <w:multiLevelType w:val="hybridMultilevel"/>
    <w:tmpl w:val="8D56BC36"/>
    <w:lvl w:ilvl="0" w:tplc="F642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86711C"/>
    <w:multiLevelType w:val="multilevel"/>
    <w:tmpl w:val="1E9EE274"/>
    <w:lvl w:ilvl="0">
      <w:start w:val="1"/>
      <w:numFmt w:val="decimal"/>
      <w:lvlText w:val="%1."/>
      <w:lvlJc w:val="left"/>
      <w:pPr>
        <w:ind w:left="567" w:hanging="567"/>
      </w:pPr>
      <w:rPr>
        <w:rFonts w:ascii="Arial" w:hAnsi="Arial" w:hint="default"/>
        <w:i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5B302C"/>
    <w:multiLevelType w:val="hybridMultilevel"/>
    <w:tmpl w:val="F2FA0D74"/>
    <w:lvl w:ilvl="0" w:tplc="86A281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CBC3635"/>
    <w:multiLevelType w:val="hybridMultilevel"/>
    <w:tmpl w:val="747AD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D3518"/>
    <w:multiLevelType w:val="hybridMultilevel"/>
    <w:tmpl w:val="A7AE49A0"/>
    <w:lvl w:ilvl="0" w:tplc="029C75D4">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E575C49"/>
    <w:multiLevelType w:val="hybridMultilevel"/>
    <w:tmpl w:val="7DFA6B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E8749D"/>
    <w:multiLevelType w:val="hybridMultilevel"/>
    <w:tmpl w:val="C3F08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0C039CD"/>
    <w:multiLevelType w:val="hybridMultilevel"/>
    <w:tmpl w:val="E94E070C"/>
    <w:lvl w:ilvl="0" w:tplc="1E4A75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224E18"/>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64180"/>
    <w:multiLevelType w:val="multilevel"/>
    <w:tmpl w:val="2B6660D0"/>
    <w:lvl w:ilvl="0">
      <w:start w:val="22"/>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8942253"/>
    <w:multiLevelType w:val="multilevel"/>
    <w:tmpl w:val="1DE4306C"/>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16"/>
  </w:num>
  <w:num w:numId="3">
    <w:abstractNumId w:val="24"/>
  </w:num>
  <w:num w:numId="4">
    <w:abstractNumId w:val="2"/>
  </w:num>
  <w:num w:numId="5">
    <w:abstractNumId w:val="37"/>
  </w:num>
  <w:num w:numId="6">
    <w:abstractNumId w:val="31"/>
  </w:num>
  <w:num w:numId="7">
    <w:abstractNumId w:val="3"/>
  </w:num>
  <w:num w:numId="8">
    <w:abstractNumId w:val="29"/>
  </w:num>
  <w:num w:numId="9">
    <w:abstractNumId w:val="45"/>
  </w:num>
  <w:num w:numId="10">
    <w:abstractNumId w:val="1"/>
  </w:num>
  <w:num w:numId="11">
    <w:abstractNumId w:val="17"/>
  </w:num>
  <w:num w:numId="12">
    <w:abstractNumId w:val="9"/>
  </w:num>
  <w:num w:numId="13">
    <w:abstractNumId w:val="38"/>
  </w:num>
  <w:num w:numId="14">
    <w:abstractNumId w:val="23"/>
  </w:num>
  <w:num w:numId="15">
    <w:abstractNumId w:val="46"/>
  </w:num>
  <w:num w:numId="16">
    <w:abstractNumId w:val="8"/>
  </w:num>
  <w:num w:numId="17">
    <w:abstractNumId w:val="20"/>
  </w:num>
  <w:num w:numId="18">
    <w:abstractNumId w:val="7"/>
  </w:num>
  <w:num w:numId="19">
    <w:abstractNumId w:val="22"/>
  </w:num>
  <w:num w:numId="20">
    <w:abstractNumId w:val="44"/>
  </w:num>
  <w:num w:numId="21">
    <w:abstractNumId w:val="47"/>
  </w:num>
  <w:num w:numId="22">
    <w:abstractNumId w:val="36"/>
  </w:num>
  <w:num w:numId="23">
    <w:abstractNumId w:val="40"/>
  </w:num>
  <w:num w:numId="24">
    <w:abstractNumId w:val="27"/>
  </w:num>
  <w:num w:numId="25">
    <w:abstractNumId w:val="21"/>
  </w:num>
  <w:num w:numId="26">
    <w:abstractNumId w:val="25"/>
  </w:num>
  <w:num w:numId="27">
    <w:abstractNumId w:val="35"/>
  </w:num>
  <w:num w:numId="28">
    <w:abstractNumId w:val="34"/>
  </w:num>
  <w:num w:numId="29">
    <w:abstractNumId w:val="28"/>
  </w:num>
  <w:num w:numId="30">
    <w:abstractNumId w:val="0"/>
  </w:num>
  <w:num w:numId="31">
    <w:abstractNumId w:val="43"/>
  </w:num>
  <w:num w:numId="32">
    <w:abstractNumId w:val="1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9"/>
  </w:num>
  <w:num w:numId="37">
    <w:abstractNumId w:val="33"/>
  </w:num>
  <w:num w:numId="38">
    <w:abstractNumId w:val="15"/>
  </w:num>
  <w:num w:numId="39">
    <w:abstractNumId w:val="18"/>
  </w:num>
  <w:num w:numId="40">
    <w:abstractNumId w:val="41"/>
  </w:num>
  <w:num w:numId="41">
    <w:abstractNumId w:val="42"/>
  </w:num>
  <w:num w:numId="42">
    <w:abstractNumId w:val="26"/>
  </w:num>
  <w:num w:numId="43">
    <w:abstractNumId w:val="39"/>
  </w:num>
  <w:num w:numId="44">
    <w:abstractNumId w:val="11"/>
  </w:num>
  <w:num w:numId="45">
    <w:abstractNumId w:val="32"/>
  </w:num>
  <w:num w:numId="46">
    <w:abstractNumId w:val="10"/>
  </w:num>
  <w:num w:numId="47">
    <w:abstractNumId w:val="14"/>
  </w:num>
  <w:num w:numId="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3C87"/>
    <w:rsid w:val="00005BFB"/>
    <w:rsid w:val="00011225"/>
    <w:rsid w:val="00011BF0"/>
    <w:rsid w:val="00011D5E"/>
    <w:rsid w:val="00011EB3"/>
    <w:rsid w:val="00012EAF"/>
    <w:rsid w:val="00013917"/>
    <w:rsid w:val="0001454F"/>
    <w:rsid w:val="00015CE0"/>
    <w:rsid w:val="00016D77"/>
    <w:rsid w:val="00022D0F"/>
    <w:rsid w:val="00023709"/>
    <w:rsid w:val="000241F7"/>
    <w:rsid w:val="000258AA"/>
    <w:rsid w:val="000309A0"/>
    <w:rsid w:val="000312A7"/>
    <w:rsid w:val="00032FAD"/>
    <w:rsid w:val="00034E6E"/>
    <w:rsid w:val="00036A90"/>
    <w:rsid w:val="00036F66"/>
    <w:rsid w:val="0003703F"/>
    <w:rsid w:val="00037142"/>
    <w:rsid w:val="00040FFE"/>
    <w:rsid w:val="0004175E"/>
    <w:rsid w:val="00042D93"/>
    <w:rsid w:val="00044EC7"/>
    <w:rsid w:val="0004602C"/>
    <w:rsid w:val="00047981"/>
    <w:rsid w:val="000501BF"/>
    <w:rsid w:val="00052051"/>
    <w:rsid w:val="000530D0"/>
    <w:rsid w:val="00053B8F"/>
    <w:rsid w:val="00055531"/>
    <w:rsid w:val="00061653"/>
    <w:rsid w:val="00062099"/>
    <w:rsid w:val="00063B8F"/>
    <w:rsid w:val="000644B5"/>
    <w:rsid w:val="0006607C"/>
    <w:rsid w:val="00067DC1"/>
    <w:rsid w:val="00071B93"/>
    <w:rsid w:val="00075EF6"/>
    <w:rsid w:val="00080E27"/>
    <w:rsid w:val="000848A4"/>
    <w:rsid w:val="000856BD"/>
    <w:rsid w:val="000857B0"/>
    <w:rsid w:val="00090F93"/>
    <w:rsid w:val="000911CB"/>
    <w:rsid w:val="00091934"/>
    <w:rsid w:val="00091FC6"/>
    <w:rsid w:val="000921A4"/>
    <w:rsid w:val="000929FA"/>
    <w:rsid w:val="00094F4D"/>
    <w:rsid w:val="00095FC2"/>
    <w:rsid w:val="00096DA8"/>
    <w:rsid w:val="000A16DA"/>
    <w:rsid w:val="000A24ED"/>
    <w:rsid w:val="000A3111"/>
    <w:rsid w:val="000A36B4"/>
    <w:rsid w:val="000A46D0"/>
    <w:rsid w:val="000A7447"/>
    <w:rsid w:val="000A7DC6"/>
    <w:rsid w:val="000B0228"/>
    <w:rsid w:val="000B2FB5"/>
    <w:rsid w:val="000B7686"/>
    <w:rsid w:val="000C2E4A"/>
    <w:rsid w:val="000C4C89"/>
    <w:rsid w:val="000D1452"/>
    <w:rsid w:val="000D1680"/>
    <w:rsid w:val="000D2143"/>
    <w:rsid w:val="000D481F"/>
    <w:rsid w:val="000D53E1"/>
    <w:rsid w:val="000D70E5"/>
    <w:rsid w:val="000D7100"/>
    <w:rsid w:val="000E0CAF"/>
    <w:rsid w:val="000E112A"/>
    <w:rsid w:val="000E13C5"/>
    <w:rsid w:val="000E1D91"/>
    <w:rsid w:val="000E1FDF"/>
    <w:rsid w:val="000E242E"/>
    <w:rsid w:val="000E25C9"/>
    <w:rsid w:val="000E4AD2"/>
    <w:rsid w:val="000E5F25"/>
    <w:rsid w:val="000E727A"/>
    <w:rsid w:val="000F04D7"/>
    <w:rsid w:val="000F16B9"/>
    <w:rsid w:val="000F2018"/>
    <w:rsid w:val="000F2BF2"/>
    <w:rsid w:val="000F3A16"/>
    <w:rsid w:val="000F7D26"/>
    <w:rsid w:val="00101576"/>
    <w:rsid w:val="0010166B"/>
    <w:rsid w:val="00103C38"/>
    <w:rsid w:val="00103DF9"/>
    <w:rsid w:val="001072BD"/>
    <w:rsid w:val="001074F6"/>
    <w:rsid w:val="001079CB"/>
    <w:rsid w:val="00110899"/>
    <w:rsid w:val="00111C4D"/>
    <w:rsid w:val="001126DF"/>
    <w:rsid w:val="00112FFC"/>
    <w:rsid w:val="00116727"/>
    <w:rsid w:val="0011760E"/>
    <w:rsid w:val="0011794F"/>
    <w:rsid w:val="00117D54"/>
    <w:rsid w:val="00120B17"/>
    <w:rsid w:val="001210C7"/>
    <w:rsid w:val="001223DD"/>
    <w:rsid w:val="001241B1"/>
    <w:rsid w:val="00124718"/>
    <w:rsid w:val="00125409"/>
    <w:rsid w:val="00130F62"/>
    <w:rsid w:val="001314F6"/>
    <w:rsid w:val="00131B0E"/>
    <w:rsid w:val="001327A3"/>
    <w:rsid w:val="00133CCB"/>
    <w:rsid w:val="00134D77"/>
    <w:rsid w:val="00135525"/>
    <w:rsid w:val="00140648"/>
    <w:rsid w:val="001407DE"/>
    <w:rsid w:val="001409AA"/>
    <w:rsid w:val="00141474"/>
    <w:rsid w:val="00141C30"/>
    <w:rsid w:val="00142724"/>
    <w:rsid w:val="00142894"/>
    <w:rsid w:val="00143356"/>
    <w:rsid w:val="00143490"/>
    <w:rsid w:val="001469DF"/>
    <w:rsid w:val="00151B51"/>
    <w:rsid w:val="0015261C"/>
    <w:rsid w:val="0015345D"/>
    <w:rsid w:val="001535B6"/>
    <w:rsid w:val="001545A9"/>
    <w:rsid w:val="0015486A"/>
    <w:rsid w:val="00156E41"/>
    <w:rsid w:val="00156EDE"/>
    <w:rsid w:val="00157C57"/>
    <w:rsid w:val="001604E8"/>
    <w:rsid w:val="0016050D"/>
    <w:rsid w:val="001658A5"/>
    <w:rsid w:val="0016634C"/>
    <w:rsid w:val="001666F7"/>
    <w:rsid w:val="00166CFB"/>
    <w:rsid w:val="00167B48"/>
    <w:rsid w:val="00167BB1"/>
    <w:rsid w:val="00170661"/>
    <w:rsid w:val="00171240"/>
    <w:rsid w:val="00172288"/>
    <w:rsid w:val="001726A5"/>
    <w:rsid w:val="00172961"/>
    <w:rsid w:val="00173AAF"/>
    <w:rsid w:val="001754DA"/>
    <w:rsid w:val="00175A44"/>
    <w:rsid w:val="0017646C"/>
    <w:rsid w:val="00176C90"/>
    <w:rsid w:val="0017700C"/>
    <w:rsid w:val="00177F01"/>
    <w:rsid w:val="00180F4F"/>
    <w:rsid w:val="00181AC7"/>
    <w:rsid w:val="00182B3D"/>
    <w:rsid w:val="00183641"/>
    <w:rsid w:val="00184EDE"/>
    <w:rsid w:val="00184EE1"/>
    <w:rsid w:val="00184FD1"/>
    <w:rsid w:val="0018593B"/>
    <w:rsid w:val="00186893"/>
    <w:rsid w:val="00190985"/>
    <w:rsid w:val="001930EB"/>
    <w:rsid w:val="00194118"/>
    <w:rsid w:val="00197B5C"/>
    <w:rsid w:val="00197FE8"/>
    <w:rsid w:val="001A15AD"/>
    <w:rsid w:val="001A21A3"/>
    <w:rsid w:val="001A2BA6"/>
    <w:rsid w:val="001A3842"/>
    <w:rsid w:val="001A4B40"/>
    <w:rsid w:val="001A712D"/>
    <w:rsid w:val="001B12E0"/>
    <w:rsid w:val="001B1D7F"/>
    <w:rsid w:val="001B3B94"/>
    <w:rsid w:val="001B5C0F"/>
    <w:rsid w:val="001B7E1F"/>
    <w:rsid w:val="001C037D"/>
    <w:rsid w:val="001C0761"/>
    <w:rsid w:val="001C0910"/>
    <w:rsid w:val="001C0F5A"/>
    <w:rsid w:val="001C19AC"/>
    <w:rsid w:val="001C1A0E"/>
    <w:rsid w:val="001C2444"/>
    <w:rsid w:val="001C402C"/>
    <w:rsid w:val="001C41B0"/>
    <w:rsid w:val="001C46E6"/>
    <w:rsid w:val="001C473E"/>
    <w:rsid w:val="001C4789"/>
    <w:rsid w:val="001C71EE"/>
    <w:rsid w:val="001C7916"/>
    <w:rsid w:val="001D1C4C"/>
    <w:rsid w:val="001D2EF3"/>
    <w:rsid w:val="001E1B81"/>
    <w:rsid w:val="001E5488"/>
    <w:rsid w:val="001E74EA"/>
    <w:rsid w:val="001F0BCC"/>
    <w:rsid w:val="001F3F05"/>
    <w:rsid w:val="001F4140"/>
    <w:rsid w:val="001F4EF8"/>
    <w:rsid w:val="001F60AD"/>
    <w:rsid w:val="001F717C"/>
    <w:rsid w:val="00204C96"/>
    <w:rsid w:val="00204FA7"/>
    <w:rsid w:val="0021102C"/>
    <w:rsid w:val="0021117B"/>
    <w:rsid w:val="00212362"/>
    <w:rsid w:val="00213D43"/>
    <w:rsid w:val="00220A91"/>
    <w:rsid w:val="0022151F"/>
    <w:rsid w:val="00222460"/>
    <w:rsid w:val="00223013"/>
    <w:rsid w:val="0022434E"/>
    <w:rsid w:val="002243D3"/>
    <w:rsid w:val="00224DF3"/>
    <w:rsid w:val="002251DC"/>
    <w:rsid w:val="002251E0"/>
    <w:rsid w:val="00232DB1"/>
    <w:rsid w:val="00232E1A"/>
    <w:rsid w:val="002334FC"/>
    <w:rsid w:val="00233D60"/>
    <w:rsid w:val="00234E7B"/>
    <w:rsid w:val="0023534E"/>
    <w:rsid w:val="0023595B"/>
    <w:rsid w:val="002362CD"/>
    <w:rsid w:val="00237DEE"/>
    <w:rsid w:val="00243EFB"/>
    <w:rsid w:val="00244D4B"/>
    <w:rsid w:val="00245B96"/>
    <w:rsid w:val="00246361"/>
    <w:rsid w:val="00246674"/>
    <w:rsid w:val="002524F1"/>
    <w:rsid w:val="0025300D"/>
    <w:rsid w:val="00253308"/>
    <w:rsid w:val="00254441"/>
    <w:rsid w:val="00255476"/>
    <w:rsid w:val="00257083"/>
    <w:rsid w:val="00260348"/>
    <w:rsid w:val="00261313"/>
    <w:rsid w:val="00262A5C"/>
    <w:rsid w:val="0026343E"/>
    <w:rsid w:val="0026376C"/>
    <w:rsid w:val="00265377"/>
    <w:rsid w:val="00273438"/>
    <w:rsid w:val="002738FE"/>
    <w:rsid w:val="00275052"/>
    <w:rsid w:val="00276370"/>
    <w:rsid w:val="00277A6A"/>
    <w:rsid w:val="00280832"/>
    <w:rsid w:val="002823F8"/>
    <w:rsid w:val="0028503B"/>
    <w:rsid w:val="0028505B"/>
    <w:rsid w:val="002854DC"/>
    <w:rsid w:val="002866C4"/>
    <w:rsid w:val="00287A2C"/>
    <w:rsid w:val="00287D1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B27"/>
    <w:rsid w:val="002A4E11"/>
    <w:rsid w:val="002A5A2F"/>
    <w:rsid w:val="002A62DC"/>
    <w:rsid w:val="002B0ADF"/>
    <w:rsid w:val="002B0CF7"/>
    <w:rsid w:val="002B2E9C"/>
    <w:rsid w:val="002B3444"/>
    <w:rsid w:val="002B3A1C"/>
    <w:rsid w:val="002B3D55"/>
    <w:rsid w:val="002B3EA5"/>
    <w:rsid w:val="002B4320"/>
    <w:rsid w:val="002B4DD2"/>
    <w:rsid w:val="002B5342"/>
    <w:rsid w:val="002B6508"/>
    <w:rsid w:val="002B6CE6"/>
    <w:rsid w:val="002C442A"/>
    <w:rsid w:val="002C7D3F"/>
    <w:rsid w:val="002D14CA"/>
    <w:rsid w:val="002D184D"/>
    <w:rsid w:val="002D22FB"/>
    <w:rsid w:val="002D389E"/>
    <w:rsid w:val="002D4758"/>
    <w:rsid w:val="002D4988"/>
    <w:rsid w:val="002D56D8"/>
    <w:rsid w:val="002E0A8A"/>
    <w:rsid w:val="002E1259"/>
    <w:rsid w:val="002E1A4B"/>
    <w:rsid w:val="002E4559"/>
    <w:rsid w:val="002E528B"/>
    <w:rsid w:val="002E5416"/>
    <w:rsid w:val="002E6E4C"/>
    <w:rsid w:val="002E6EAA"/>
    <w:rsid w:val="002F1674"/>
    <w:rsid w:val="002F2A51"/>
    <w:rsid w:val="002F357C"/>
    <w:rsid w:val="002F461A"/>
    <w:rsid w:val="002F57FE"/>
    <w:rsid w:val="002F6B09"/>
    <w:rsid w:val="002F6B2D"/>
    <w:rsid w:val="002F7836"/>
    <w:rsid w:val="00301DEE"/>
    <w:rsid w:val="00301F4A"/>
    <w:rsid w:val="00303355"/>
    <w:rsid w:val="00306DEB"/>
    <w:rsid w:val="003126DC"/>
    <w:rsid w:val="00312FD2"/>
    <w:rsid w:val="00314774"/>
    <w:rsid w:val="003156A8"/>
    <w:rsid w:val="0031576E"/>
    <w:rsid w:val="003204AA"/>
    <w:rsid w:val="003211A7"/>
    <w:rsid w:val="00322F71"/>
    <w:rsid w:val="00323A00"/>
    <w:rsid w:val="003243F5"/>
    <w:rsid w:val="00325791"/>
    <w:rsid w:val="003264C6"/>
    <w:rsid w:val="0032729F"/>
    <w:rsid w:val="00327DFC"/>
    <w:rsid w:val="00330CF3"/>
    <w:rsid w:val="00330DD3"/>
    <w:rsid w:val="00331729"/>
    <w:rsid w:val="0033230A"/>
    <w:rsid w:val="003337F1"/>
    <w:rsid w:val="003341A3"/>
    <w:rsid w:val="00334F7F"/>
    <w:rsid w:val="00337624"/>
    <w:rsid w:val="00340E32"/>
    <w:rsid w:val="0034144F"/>
    <w:rsid w:val="00343A52"/>
    <w:rsid w:val="00345971"/>
    <w:rsid w:val="00345D60"/>
    <w:rsid w:val="00346453"/>
    <w:rsid w:val="00352B3A"/>
    <w:rsid w:val="00352D5D"/>
    <w:rsid w:val="003556B6"/>
    <w:rsid w:val="00355EBF"/>
    <w:rsid w:val="003567DB"/>
    <w:rsid w:val="00360042"/>
    <w:rsid w:val="00362E29"/>
    <w:rsid w:val="00363AD6"/>
    <w:rsid w:val="003664D7"/>
    <w:rsid w:val="00366D6A"/>
    <w:rsid w:val="00367A06"/>
    <w:rsid w:val="00367BD3"/>
    <w:rsid w:val="00367E94"/>
    <w:rsid w:val="00370892"/>
    <w:rsid w:val="0037162B"/>
    <w:rsid w:val="00371A29"/>
    <w:rsid w:val="00372B12"/>
    <w:rsid w:val="00376137"/>
    <w:rsid w:val="00376B3F"/>
    <w:rsid w:val="00376D3B"/>
    <w:rsid w:val="003779B1"/>
    <w:rsid w:val="00377DF6"/>
    <w:rsid w:val="00380A86"/>
    <w:rsid w:val="00383B08"/>
    <w:rsid w:val="00385440"/>
    <w:rsid w:val="00385741"/>
    <w:rsid w:val="0039038B"/>
    <w:rsid w:val="00390472"/>
    <w:rsid w:val="00391B17"/>
    <w:rsid w:val="00391FEE"/>
    <w:rsid w:val="00392F96"/>
    <w:rsid w:val="00393038"/>
    <w:rsid w:val="00393346"/>
    <w:rsid w:val="00394866"/>
    <w:rsid w:val="003948D2"/>
    <w:rsid w:val="00394A86"/>
    <w:rsid w:val="00394E9E"/>
    <w:rsid w:val="00394FD6"/>
    <w:rsid w:val="00396BC7"/>
    <w:rsid w:val="00397FD3"/>
    <w:rsid w:val="003A05B4"/>
    <w:rsid w:val="003A1571"/>
    <w:rsid w:val="003A1A10"/>
    <w:rsid w:val="003A1A15"/>
    <w:rsid w:val="003A1E54"/>
    <w:rsid w:val="003A2292"/>
    <w:rsid w:val="003A4407"/>
    <w:rsid w:val="003A74E8"/>
    <w:rsid w:val="003B0CFD"/>
    <w:rsid w:val="003B175E"/>
    <w:rsid w:val="003B35EF"/>
    <w:rsid w:val="003B746E"/>
    <w:rsid w:val="003C1F20"/>
    <w:rsid w:val="003C2BC3"/>
    <w:rsid w:val="003C4EC5"/>
    <w:rsid w:val="003D154D"/>
    <w:rsid w:val="003D16E8"/>
    <w:rsid w:val="003D3463"/>
    <w:rsid w:val="003D4666"/>
    <w:rsid w:val="003D5794"/>
    <w:rsid w:val="003D692F"/>
    <w:rsid w:val="003D77D6"/>
    <w:rsid w:val="003E1671"/>
    <w:rsid w:val="003E2D98"/>
    <w:rsid w:val="003E4945"/>
    <w:rsid w:val="003E4C38"/>
    <w:rsid w:val="003E515A"/>
    <w:rsid w:val="003E64B0"/>
    <w:rsid w:val="003E767F"/>
    <w:rsid w:val="003E781A"/>
    <w:rsid w:val="003F0439"/>
    <w:rsid w:val="003F0C0B"/>
    <w:rsid w:val="003F14C4"/>
    <w:rsid w:val="003F20C1"/>
    <w:rsid w:val="003F29D5"/>
    <w:rsid w:val="003F307F"/>
    <w:rsid w:val="003F6729"/>
    <w:rsid w:val="003F67B3"/>
    <w:rsid w:val="003F7013"/>
    <w:rsid w:val="004001FD"/>
    <w:rsid w:val="004008A1"/>
    <w:rsid w:val="00404296"/>
    <w:rsid w:val="00404D61"/>
    <w:rsid w:val="00405C6E"/>
    <w:rsid w:val="00406659"/>
    <w:rsid w:val="004073C6"/>
    <w:rsid w:val="00413A26"/>
    <w:rsid w:val="004147C7"/>
    <w:rsid w:val="00414C05"/>
    <w:rsid w:val="00415566"/>
    <w:rsid w:val="0041643E"/>
    <w:rsid w:val="00422921"/>
    <w:rsid w:val="00422C2A"/>
    <w:rsid w:val="00422C7C"/>
    <w:rsid w:val="00422E36"/>
    <w:rsid w:val="0042301F"/>
    <w:rsid w:val="0042330B"/>
    <w:rsid w:val="0042421B"/>
    <w:rsid w:val="00425886"/>
    <w:rsid w:val="0043005E"/>
    <w:rsid w:val="00431039"/>
    <w:rsid w:val="004315C7"/>
    <w:rsid w:val="00433CB1"/>
    <w:rsid w:val="0043629D"/>
    <w:rsid w:val="00440C92"/>
    <w:rsid w:val="00445AD9"/>
    <w:rsid w:val="0044712B"/>
    <w:rsid w:val="004471AB"/>
    <w:rsid w:val="00460F7B"/>
    <w:rsid w:val="00461AF4"/>
    <w:rsid w:val="00462780"/>
    <w:rsid w:val="00464842"/>
    <w:rsid w:val="004659BE"/>
    <w:rsid w:val="00466270"/>
    <w:rsid w:val="00467966"/>
    <w:rsid w:val="0047000B"/>
    <w:rsid w:val="00474442"/>
    <w:rsid w:val="00476043"/>
    <w:rsid w:val="00476965"/>
    <w:rsid w:val="00477825"/>
    <w:rsid w:val="00481556"/>
    <w:rsid w:val="00482899"/>
    <w:rsid w:val="00483438"/>
    <w:rsid w:val="00483760"/>
    <w:rsid w:val="00484034"/>
    <w:rsid w:val="00484780"/>
    <w:rsid w:val="004920D0"/>
    <w:rsid w:val="00492D0A"/>
    <w:rsid w:val="00495E3A"/>
    <w:rsid w:val="00496FE6"/>
    <w:rsid w:val="004A490A"/>
    <w:rsid w:val="004A65A5"/>
    <w:rsid w:val="004A6AA2"/>
    <w:rsid w:val="004A7DAA"/>
    <w:rsid w:val="004B37F7"/>
    <w:rsid w:val="004B57A9"/>
    <w:rsid w:val="004B6D74"/>
    <w:rsid w:val="004C4036"/>
    <w:rsid w:val="004C5BC7"/>
    <w:rsid w:val="004C6C0C"/>
    <w:rsid w:val="004C71DB"/>
    <w:rsid w:val="004C796E"/>
    <w:rsid w:val="004D06D4"/>
    <w:rsid w:val="004D2689"/>
    <w:rsid w:val="004D30AD"/>
    <w:rsid w:val="004D43A4"/>
    <w:rsid w:val="004D5920"/>
    <w:rsid w:val="004D5C0A"/>
    <w:rsid w:val="004E0D6B"/>
    <w:rsid w:val="004F2271"/>
    <w:rsid w:val="004F4A59"/>
    <w:rsid w:val="004F59F1"/>
    <w:rsid w:val="004F727E"/>
    <w:rsid w:val="004F7672"/>
    <w:rsid w:val="005005CD"/>
    <w:rsid w:val="00500A6F"/>
    <w:rsid w:val="00502818"/>
    <w:rsid w:val="00502A16"/>
    <w:rsid w:val="00502A4E"/>
    <w:rsid w:val="00502DF8"/>
    <w:rsid w:val="00503133"/>
    <w:rsid w:val="005039CF"/>
    <w:rsid w:val="005056F0"/>
    <w:rsid w:val="005075AC"/>
    <w:rsid w:val="00507D93"/>
    <w:rsid w:val="00510E12"/>
    <w:rsid w:val="00511395"/>
    <w:rsid w:val="005140E0"/>
    <w:rsid w:val="0051467A"/>
    <w:rsid w:val="00516D14"/>
    <w:rsid w:val="00516F95"/>
    <w:rsid w:val="00521730"/>
    <w:rsid w:val="005234BE"/>
    <w:rsid w:val="00524729"/>
    <w:rsid w:val="00525CC5"/>
    <w:rsid w:val="0052690A"/>
    <w:rsid w:val="00530CF6"/>
    <w:rsid w:val="0053245E"/>
    <w:rsid w:val="00532EE4"/>
    <w:rsid w:val="0053428B"/>
    <w:rsid w:val="00535D82"/>
    <w:rsid w:val="00536812"/>
    <w:rsid w:val="00537FE1"/>
    <w:rsid w:val="00543D59"/>
    <w:rsid w:val="00543F2A"/>
    <w:rsid w:val="00545A6C"/>
    <w:rsid w:val="0054611A"/>
    <w:rsid w:val="00546928"/>
    <w:rsid w:val="00547898"/>
    <w:rsid w:val="00551B5E"/>
    <w:rsid w:val="00553535"/>
    <w:rsid w:val="005544CA"/>
    <w:rsid w:val="00554868"/>
    <w:rsid w:val="00555ED0"/>
    <w:rsid w:val="00556B74"/>
    <w:rsid w:val="00560021"/>
    <w:rsid w:val="00560554"/>
    <w:rsid w:val="005613C4"/>
    <w:rsid w:val="0056429B"/>
    <w:rsid w:val="005650ED"/>
    <w:rsid w:val="00566892"/>
    <w:rsid w:val="00566F22"/>
    <w:rsid w:val="00567B0A"/>
    <w:rsid w:val="005703E1"/>
    <w:rsid w:val="00572201"/>
    <w:rsid w:val="00572EC2"/>
    <w:rsid w:val="00575B78"/>
    <w:rsid w:val="005777AC"/>
    <w:rsid w:val="00577ECA"/>
    <w:rsid w:val="00582421"/>
    <w:rsid w:val="00582487"/>
    <w:rsid w:val="0058401A"/>
    <w:rsid w:val="00584852"/>
    <w:rsid w:val="00587011"/>
    <w:rsid w:val="00592164"/>
    <w:rsid w:val="005946AC"/>
    <w:rsid w:val="0059749F"/>
    <w:rsid w:val="00597810"/>
    <w:rsid w:val="005A66BC"/>
    <w:rsid w:val="005A767F"/>
    <w:rsid w:val="005A7D7B"/>
    <w:rsid w:val="005A7EE2"/>
    <w:rsid w:val="005B006E"/>
    <w:rsid w:val="005B0E2A"/>
    <w:rsid w:val="005B0E41"/>
    <w:rsid w:val="005B12B4"/>
    <w:rsid w:val="005B1BA4"/>
    <w:rsid w:val="005B4362"/>
    <w:rsid w:val="005B457C"/>
    <w:rsid w:val="005B500D"/>
    <w:rsid w:val="005C2105"/>
    <w:rsid w:val="005C32A2"/>
    <w:rsid w:val="005C3987"/>
    <w:rsid w:val="005C665E"/>
    <w:rsid w:val="005C705B"/>
    <w:rsid w:val="005D01B4"/>
    <w:rsid w:val="005D37AC"/>
    <w:rsid w:val="005D3FEC"/>
    <w:rsid w:val="005D4163"/>
    <w:rsid w:val="005D6B6C"/>
    <w:rsid w:val="005D7FCA"/>
    <w:rsid w:val="005E070B"/>
    <w:rsid w:val="005E256F"/>
    <w:rsid w:val="005E387B"/>
    <w:rsid w:val="005F0220"/>
    <w:rsid w:val="005F1286"/>
    <w:rsid w:val="005F1C9C"/>
    <w:rsid w:val="005F1D9F"/>
    <w:rsid w:val="005F2712"/>
    <w:rsid w:val="005F3BCF"/>
    <w:rsid w:val="005F3F4F"/>
    <w:rsid w:val="005F4625"/>
    <w:rsid w:val="005F473C"/>
    <w:rsid w:val="005F5291"/>
    <w:rsid w:val="005F559D"/>
    <w:rsid w:val="005F7797"/>
    <w:rsid w:val="006007AF"/>
    <w:rsid w:val="00600AEB"/>
    <w:rsid w:val="00601B08"/>
    <w:rsid w:val="0060316B"/>
    <w:rsid w:val="00610A7A"/>
    <w:rsid w:val="006123FF"/>
    <w:rsid w:val="00615351"/>
    <w:rsid w:val="006167E4"/>
    <w:rsid w:val="00617B9A"/>
    <w:rsid w:val="00621003"/>
    <w:rsid w:val="00621BE0"/>
    <w:rsid w:val="00622437"/>
    <w:rsid w:val="00622729"/>
    <w:rsid w:val="00622DC9"/>
    <w:rsid w:val="00625395"/>
    <w:rsid w:val="00627B31"/>
    <w:rsid w:val="00631C61"/>
    <w:rsid w:val="00632BD2"/>
    <w:rsid w:val="00633DB4"/>
    <w:rsid w:val="00634022"/>
    <w:rsid w:val="00634CD5"/>
    <w:rsid w:val="006359B6"/>
    <w:rsid w:val="0064107C"/>
    <w:rsid w:val="00647233"/>
    <w:rsid w:val="00650DFB"/>
    <w:rsid w:val="0065290B"/>
    <w:rsid w:val="00652CB8"/>
    <w:rsid w:val="00653DD4"/>
    <w:rsid w:val="006602CF"/>
    <w:rsid w:val="00662994"/>
    <w:rsid w:val="00663F79"/>
    <w:rsid w:val="00664EFC"/>
    <w:rsid w:val="00667CB5"/>
    <w:rsid w:val="00670662"/>
    <w:rsid w:val="006724C3"/>
    <w:rsid w:val="00672AFD"/>
    <w:rsid w:val="00674060"/>
    <w:rsid w:val="00674AB4"/>
    <w:rsid w:val="00675CDE"/>
    <w:rsid w:val="00676CC5"/>
    <w:rsid w:val="00677833"/>
    <w:rsid w:val="00680231"/>
    <w:rsid w:val="006830D8"/>
    <w:rsid w:val="00683C51"/>
    <w:rsid w:val="00684575"/>
    <w:rsid w:val="00685365"/>
    <w:rsid w:val="00686864"/>
    <w:rsid w:val="00687D4B"/>
    <w:rsid w:val="00690B4B"/>
    <w:rsid w:val="00691BD5"/>
    <w:rsid w:val="00692319"/>
    <w:rsid w:val="006948C5"/>
    <w:rsid w:val="006A00F9"/>
    <w:rsid w:val="006A0EF6"/>
    <w:rsid w:val="006A1E10"/>
    <w:rsid w:val="006A2180"/>
    <w:rsid w:val="006A4021"/>
    <w:rsid w:val="006A4833"/>
    <w:rsid w:val="006A6211"/>
    <w:rsid w:val="006B02CF"/>
    <w:rsid w:val="006B0AB9"/>
    <w:rsid w:val="006B3AEF"/>
    <w:rsid w:val="006B400C"/>
    <w:rsid w:val="006B4039"/>
    <w:rsid w:val="006B60A4"/>
    <w:rsid w:val="006B6228"/>
    <w:rsid w:val="006B7494"/>
    <w:rsid w:val="006C3554"/>
    <w:rsid w:val="006C46A0"/>
    <w:rsid w:val="006C613C"/>
    <w:rsid w:val="006C6150"/>
    <w:rsid w:val="006C6CC9"/>
    <w:rsid w:val="006D0023"/>
    <w:rsid w:val="006D03AF"/>
    <w:rsid w:val="006D122A"/>
    <w:rsid w:val="006D2D7A"/>
    <w:rsid w:val="006D433E"/>
    <w:rsid w:val="006D4598"/>
    <w:rsid w:val="006D5219"/>
    <w:rsid w:val="006D56D6"/>
    <w:rsid w:val="006D5C05"/>
    <w:rsid w:val="006D5DDD"/>
    <w:rsid w:val="006D655B"/>
    <w:rsid w:val="006E0984"/>
    <w:rsid w:val="006E2EF9"/>
    <w:rsid w:val="006E37F4"/>
    <w:rsid w:val="006E3CC4"/>
    <w:rsid w:val="006E431B"/>
    <w:rsid w:val="006E6694"/>
    <w:rsid w:val="006E713C"/>
    <w:rsid w:val="006F2140"/>
    <w:rsid w:val="006F24D1"/>
    <w:rsid w:val="006F2B02"/>
    <w:rsid w:val="006F46B7"/>
    <w:rsid w:val="006F4E66"/>
    <w:rsid w:val="006F4ED3"/>
    <w:rsid w:val="006F5F4A"/>
    <w:rsid w:val="006F6343"/>
    <w:rsid w:val="00703B4F"/>
    <w:rsid w:val="0070478B"/>
    <w:rsid w:val="00705668"/>
    <w:rsid w:val="00706DDA"/>
    <w:rsid w:val="00707C34"/>
    <w:rsid w:val="00711F71"/>
    <w:rsid w:val="00714046"/>
    <w:rsid w:val="00715174"/>
    <w:rsid w:val="00716CB6"/>
    <w:rsid w:val="00720B0A"/>
    <w:rsid w:val="00720CF1"/>
    <w:rsid w:val="007215C9"/>
    <w:rsid w:val="00721B05"/>
    <w:rsid w:val="00723072"/>
    <w:rsid w:val="00723F0B"/>
    <w:rsid w:val="007275BD"/>
    <w:rsid w:val="007309C0"/>
    <w:rsid w:val="00731874"/>
    <w:rsid w:val="0073296A"/>
    <w:rsid w:val="007335EE"/>
    <w:rsid w:val="007362A2"/>
    <w:rsid w:val="00740AFA"/>
    <w:rsid w:val="00740D8B"/>
    <w:rsid w:val="00741B0B"/>
    <w:rsid w:val="00742154"/>
    <w:rsid w:val="00743420"/>
    <w:rsid w:val="00743DF5"/>
    <w:rsid w:val="00744CBE"/>
    <w:rsid w:val="0074603A"/>
    <w:rsid w:val="00747520"/>
    <w:rsid w:val="0075374C"/>
    <w:rsid w:val="00755290"/>
    <w:rsid w:val="00755935"/>
    <w:rsid w:val="00757684"/>
    <w:rsid w:val="00757F90"/>
    <w:rsid w:val="0076600D"/>
    <w:rsid w:val="007707F6"/>
    <w:rsid w:val="00774590"/>
    <w:rsid w:val="007767B7"/>
    <w:rsid w:val="007801CE"/>
    <w:rsid w:val="00780E76"/>
    <w:rsid w:val="00781095"/>
    <w:rsid w:val="0078146B"/>
    <w:rsid w:val="007822D3"/>
    <w:rsid w:val="0078730A"/>
    <w:rsid w:val="00790878"/>
    <w:rsid w:val="00790A50"/>
    <w:rsid w:val="0079290E"/>
    <w:rsid w:val="0079523C"/>
    <w:rsid w:val="007A032E"/>
    <w:rsid w:val="007A13B0"/>
    <w:rsid w:val="007A2036"/>
    <w:rsid w:val="007A2CC7"/>
    <w:rsid w:val="007A2F09"/>
    <w:rsid w:val="007A3D40"/>
    <w:rsid w:val="007A773F"/>
    <w:rsid w:val="007A78F2"/>
    <w:rsid w:val="007B0B38"/>
    <w:rsid w:val="007B14AE"/>
    <w:rsid w:val="007B1F33"/>
    <w:rsid w:val="007B34C8"/>
    <w:rsid w:val="007B3D03"/>
    <w:rsid w:val="007B45B5"/>
    <w:rsid w:val="007B4935"/>
    <w:rsid w:val="007B4E78"/>
    <w:rsid w:val="007B6C0A"/>
    <w:rsid w:val="007B70B0"/>
    <w:rsid w:val="007B7F3E"/>
    <w:rsid w:val="007C026A"/>
    <w:rsid w:val="007C2B08"/>
    <w:rsid w:val="007C4190"/>
    <w:rsid w:val="007C5ACB"/>
    <w:rsid w:val="007C62AA"/>
    <w:rsid w:val="007C69F0"/>
    <w:rsid w:val="007C6B80"/>
    <w:rsid w:val="007C6D2A"/>
    <w:rsid w:val="007C76B5"/>
    <w:rsid w:val="007D042F"/>
    <w:rsid w:val="007D21F5"/>
    <w:rsid w:val="007D2442"/>
    <w:rsid w:val="007D2FEB"/>
    <w:rsid w:val="007D5A68"/>
    <w:rsid w:val="007D73E7"/>
    <w:rsid w:val="007E02DA"/>
    <w:rsid w:val="007E0895"/>
    <w:rsid w:val="007E0CA6"/>
    <w:rsid w:val="007E12C9"/>
    <w:rsid w:val="007E2458"/>
    <w:rsid w:val="007E2F81"/>
    <w:rsid w:val="007E349A"/>
    <w:rsid w:val="007E3661"/>
    <w:rsid w:val="007E578C"/>
    <w:rsid w:val="007F257F"/>
    <w:rsid w:val="007F382A"/>
    <w:rsid w:val="007F3AC5"/>
    <w:rsid w:val="00800752"/>
    <w:rsid w:val="008018D6"/>
    <w:rsid w:val="00801C68"/>
    <w:rsid w:val="008027B2"/>
    <w:rsid w:val="008028E5"/>
    <w:rsid w:val="00802911"/>
    <w:rsid w:val="008046BB"/>
    <w:rsid w:val="008070B5"/>
    <w:rsid w:val="0080731A"/>
    <w:rsid w:val="0080791E"/>
    <w:rsid w:val="00813129"/>
    <w:rsid w:val="008139BD"/>
    <w:rsid w:val="00814E80"/>
    <w:rsid w:val="0081620C"/>
    <w:rsid w:val="00817793"/>
    <w:rsid w:val="008203F4"/>
    <w:rsid w:val="00821CF1"/>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D1D"/>
    <w:rsid w:val="00837542"/>
    <w:rsid w:val="008404CE"/>
    <w:rsid w:val="008409A3"/>
    <w:rsid w:val="00842593"/>
    <w:rsid w:val="00842974"/>
    <w:rsid w:val="00844B03"/>
    <w:rsid w:val="00844C23"/>
    <w:rsid w:val="0084501A"/>
    <w:rsid w:val="0084654D"/>
    <w:rsid w:val="00850976"/>
    <w:rsid w:val="008514FC"/>
    <w:rsid w:val="008524F0"/>
    <w:rsid w:val="00854EE3"/>
    <w:rsid w:val="0085610D"/>
    <w:rsid w:val="0085672D"/>
    <w:rsid w:val="00856947"/>
    <w:rsid w:val="00856C62"/>
    <w:rsid w:val="00856D59"/>
    <w:rsid w:val="008614EC"/>
    <w:rsid w:val="00861A34"/>
    <w:rsid w:val="00865549"/>
    <w:rsid w:val="0086569C"/>
    <w:rsid w:val="00867700"/>
    <w:rsid w:val="0087162C"/>
    <w:rsid w:val="00871DCB"/>
    <w:rsid w:val="0087217A"/>
    <w:rsid w:val="00874014"/>
    <w:rsid w:val="00874D6C"/>
    <w:rsid w:val="00875E8C"/>
    <w:rsid w:val="008764D3"/>
    <w:rsid w:val="008849D2"/>
    <w:rsid w:val="008853BB"/>
    <w:rsid w:val="00885908"/>
    <w:rsid w:val="0088696E"/>
    <w:rsid w:val="00890D23"/>
    <w:rsid w:val="00892ABC"/>
    <w:rsid w:val="00893EB4"/>
    <w:rsid w:val="00894F50"/>
    <w:rsid w:val="008A028B"/>
    <w:rsid w:val="008A0E45"/>
    <w:rsid w:val="008A0E96"/>
    <w:rsid w:val="008A1A59"/>
    <w:rsid w:val="008A1EB5"/>
    <w:rsid w:val="008A3C98"/>
    <w:rsid w:val="008A42B3"/>
    <w:rsid w:val="008A5448"/>
    <w:rsid w:val="008A72F0"/>
    <w:rsid w:val="008B03A9"/>
    <w:rsid w:val="008B04C9"/>
    <w:rsid w:val="008B0572"/>
    <w:rsid w:val="008B11A0"/>
    <w:rsid w:val="008B1789"/>
    <w:rsid w:val="008B1E56"/>
    <w:rsid w:val="008B271A"/>
    <w:rsid w:val="008B37C5"/>
    <w:rsid w:val="008B52F4"/>
    <w:rsid w:val="008B5FDC"/>
    <w:rsid w:val="008B6354"/>
    <w:rsid w:val="008B6389"/>
    <w:rsid w:val="008B6776"/>
    <w:rsid w:val="008B69FE"/>
    <w:rsid w:val="008B76F1"/>
    <w:rsid w:val="008C1A88"/>
    <w:rsid w:val="008C4BA3"/>
    <w:rsid w:val="008C7480"/>
    <w:rsid w:val="008C7C3A"/>
    <w:rsid w:val="008D18A9"/>
    <w:rsid w:val="008D3D10"/>
    <w:rsid w:val="008D469C"/>
    <w:rsid w:val="008D51C4"/>
    <w:rsid w:val="008D5B63"/>
    <w:rsid w:val="008D7106"/>
    <w:rsid w:val="008E3AFC"/>
    <w:rsid w:val="008E4330"/>
    <w:rsid w:val="008E4420"/>
    <w:rsid w:val="008E644E"/>
    <w:rsid w:val="008E6AAA"/>
    <w:rsid w:val="008F1F5E"/>
    <w:rsid w:val="008F422F"/>
    <w:rsid w:val="008F578C"/>
    <w:rsid w:val="008F591E"/>
    <w:rsid w:val="008F5DAF"/>
    <w:rsid w:val="00901697"/>
    <w:rsid w:val="00901B03"/>
    <w:rsid w:val="00901EA2"/>
    <w:rsid w:val="00902ED4"/>
    <w:rsid w:val="00905436"/>
    <w:rsid w:val="0090586B"/>
    <w:rsid w:val="009061A1"/>
    <w:rsid w:val="00906C61"/>
    <w:rsid w:val="00911D56"/>
    <w:rsid w:val="009127B3"/>
    <w:rsid w:val="00913807"/>
    <w:rsid w:val="0091493E"/>
    <w:rsid w:val="00914EA0"/>
    <w:rsid w:val="009203D7"/>
    <w:rsid w:val="00920870"/>
    <w:rsid w:val="00921752"/>
    <w:rsid w:val="00922467"/>
    <w:rsid w:val="00922DC0"/>
    <w:rsid w:val="009232E2"/>
    <w:rsid w:val="00925589"/>
    <w:rsid w:val="00926531"/>
    <w:rsid w:val="009273DE"/>
    <w:rsid w:val="00927FCE"/>
    <w:rsid w:val="00930C75"/>
    <w:rsid w:val="0093121F"/>
    <w:rsid w:val="00933827"/>
    <w:rsid w:val="009346BC"/>
    <w:rsid w:val="00934952"/>
    <w:rsid w:val="009356A1"/>
    <w:rsid w:val="00935DFB"/>
    <w:rsid w:val="00937A56"/>
    <w:rsid w:val="009413B9"/>
    <w:rsid w:val="009416FF"/>
    <w:rsid w:val="00941A2F"/>
    <w:rsid w:val="00942903"/>
    <w:rsid w:val="00942B94"/>
    <w:rsid w:val="00944508"/>
    <w:rsid w:val="00945885"/>
    <w:rsid w:val="00945DCE"/>
    <w:rsid w:val="009503D6"/>
    <w:rsid w:val="009506FF"/>
    <w:rsid w:val="00953734"/>
    <w:rsid w:val="00955501"/>
    <w:rsid w:val="00961B0B"/>
    <w:rsid w:val="00963263"/>
    <w:rsid w:val="00963458"/>
    <w:rsid w:val="00964ED5"/>
    <w:rsid w:val="0096677B"/>
    <w:rsid w:val="00966F34"/>
    <w:rsid w:val="009673C3"/>
    <w:rsid w:val="00971061"/>
    <w:rsid w:val="009711E1"/>
    <w:rsid w:val="00971A81"/>
    <w:rsid w:val="0097241C"/>
    <w:rsid w:val="00973C2B"/>
    <w:rsid w:val="00973CFE"/>
    <w:rsid w:val="009742B9"/>
    <w:rsid w:val="00977FF5"/>
    <w:rsid w:val="009840F3"/>
    <w:rsid w:val="00985572"/>
    <w:rsid w:val="00985DAD"/>
    <w:rsid w:val="0098666B"/>
    <w:rsid w:val="009866AA"/>
    <w:rsid w:val="00990846"/>
    <w:rsid w:val="009938CA"/>
    <w:rsid w:val="00995E5E"/>
    <w:rsid w:val="009A02BB"/>
    <w:rsid w:val="009A0B26"/>
    <w:rsid w:val="009A1E9E"/>
    <w:rsid w:val="009A3345"/>
    <w:rsid w:val="009A3701"/>
    <w:rsid w:val="009A53EE"/>
    <w:rsid w:val="009A56BF"/>
    <w:rsid w:val="009A6EBF"/>
    <w:rsid w:val="009B05C4"/>
    <w:rsid w:val="009B1178"/>
    <w:rsid w:val="009B2DAA"/>
    <w:rsid w:val="009B3F32"/>
    <w:rsid w:val="009B4B09"/>
    <w:rsid w:val="009B55C4"/>
    <w:rsid w:val="009B5AE3"/>
    <w:rsid w:val="009C1AA7"/>
    <w:rsid w:val="009C3D70"/>
    <w:rsid w:val="009C3F33"/>
    <w:rsid w:val="009C49C2"/>
    <w:rsid w:val="009C5D1A"/>
    <w:rsid w:val="009C5E47"/>
    <w:rsid w:val="009C5F4D"/>
    <w:rsid w:val="009C7A1A"/>
    <w:rsid w:val="009D1498"/>
    <w:rsid w:val="009D485E"/>
    <w:rsid w:val="009D4926"/>
    <w:rsid w:val="009D64DE"/>
    <w:rsid w:val="009D74AD"/>
    <w:rsid w:val="009D7DF3"/>
    <w:rsid w:val="009E12DA"/>
    <w:rsid w:val="009E3036"/>
    <w:rsid w:val="009E30E1"/>
    <w:rsid w:val="009E3F50"/>
    <w:rsid w:val="009E4AEE"/>
    <w:rsid w:val="009E544F"/>
    <w:rsid w:val="009E554B"/>
    <w:rsid w:val="009E74DB"/>
    <w:rsid w:val="009E7A1C"/>
    <w:rsid w:val="009E7F12"/>
    <w:rsid w:val="009F18B4"/>
    <w:rsid w:val="009F1910"/>
    <w:rsid w:val="009F1C93"/>
    <w:rsid w:val="009F2F79"/>
    <w:rsid w:val="009F49E9"/>
    <w:rsid w:val="009F4C66"/>
    <w:rsid w:val="009F64CB"/>
    <w:rsid w:val="00A00671"/>
    <w:rsid w:val="00A00A41"/>
    <w:rsid w:val="00A0205B"/>
    <w:rsid w:val="00A042AA"/>
    <w:rsid w:val="00A04E5B"/>
    <w:rsid w:val="00A07580"/>
    <w:rsid w:val="00A10463"/>
    <w:rsid w:val="00A1154E"/>
    <w:rsid w:val="00A13396"/>
    <w:rsid w:val="00A137FA"/>
    <w:rsid w:val="00A16211"/>
    <w:rsid w:val="00A1733E"/>
    <w:rsid w:val="00A1781B"/>
    <w:rsid w:val="00A17C0B"/>
    <w:rsid w:val="00A20467"/>
    <w:rsid w:val="00A22311"/>
    <w:rsid w:val="00A224E1"/>
    <w:rsid w:val="00A2256B"/>
    <w:rsid w:val="00A231F6"/>
    <w:rsid w:val="00A2321A"/>
    <w:rsid w:val="00A24D7F"/>
    <w:rsid w:val="00A254EE"/>
    <w:rsid w:val="00A25571"/>
    <w:rsid w:val="00A30618"/>
    <w:rsid w:val="00A321FD"/>
    <w:rsid w:val="00A34AC9"/>
    <w:rsid w:val="00A356A6"/>
    <w:rsid w:val="00A36EAD"/>
    <w:rsid w:val="00A36F20"/>
    <w:rsid w:val="00A3720F"/>
    <w:rsid w:val="00A403DD"/>
    <w:rsid w:val="00A41B72"/>
    <w:rsid w:val="00A44304"/>
    <w:rsid w:val="00A44DA9"/>
    <w:rsid w:val="00A453FC"/>
    <w:rsid w:val="00A462C5"/>
    <w:rsid w:val="00A4645D"/>
    <w:rsid w:val="00A47F0F"/>
    <w:rsid w:val="00A51022"/>
    <w:rsid w:val="00A5108F"/>
    <w:rsid w:val="00A5190A"/>
    <w:rsid w:val="00A51CE4"/>
    <w:rsid w:val="00A538AF"/>
    <w:rsid w:val="00A53F54"/>
    <w:rsid w:val="00A5649B"/>
    <w:rsid w:val="00A5775C"/>
    <w:rsid w:val="00A617E0"/>
    <w:rsid w:val="00A63DC4"/>
    <w:rsid w:val="00A65FCD"/>
    <w:rsid w:val="00A66900"/>
    <w:rsid w:val="00A70411"/>
    <w:rsid w:val="00A716C0"/>
    <w:rsid w:val="00A71BA1"/>
    <w:rsid w:val="00A71C0B"/>
    <w:rsid w:val="00A757DF"/>
    <w:rsid w:val="00A761EB"/>
    <w:rsid w:val="00A7788F"/>
    <w:rsid w:val="00A77B0A"/>
    <w:rsid w:val="00A77BFA"/>
    <w:rsid w:val="00A80E02"/>
    <w:rsid w:val="00A82FC7"/>
    <w:rsid w:val="00A83443"/>
    <w:rsid w:val="00A83BB8"/>
    <w:rsid w:val="00A83D0D"/>
    <w:rsid w:val="00A84C6F"/>
    <w:rsid w:val="00A8587B"/>
    <w:rsid w:val="00A86AF3"/>
    <w:rsid w:val="00A879C4"/>
    <w:rsid w:val="00A940C4"/>
    <w:rsid w:val="00A9438F"/>
    <w:rsid w:val="00A952E0"/>
    <w:rsid w:val="00A96338"/>
    <w:rsid w:val="00AA099F"/>
    <w:rsid w:val="00AA2A6E"/>
    <w:rsid w:val="00AA4053"/>
    <w:rsid w:val="00AA4071"/>
    <w:rsid w:val="00AA47AC"/>
    <w:rsid w:val="00AA5774"/>
    <w:rsid w:val="00AA75CD"/>
    <w:rsid w:val="00AB0625"/>
    <w:rsid w:val="00AB3FA6"/>
    <w:rsid w:val="00AB42DE"/>
    <w:rsid w:val="00AB7537"/>
    <w:rsid w:val="00AC009B"/>
    <w:rsid w:val="00AC04B7"/>
    <w:rsid w:val="00AC14C1"/>
    <w:rsid w:val="00AC340B"/>
    <w:rsid w:val="00AC5392"/>
    <w:rsid w:val="00AC5A16"/>
    <w:rsid w:val="00AC7E46"/>
    <w:rsid w:val="00AD2C6C"/>
    <w:rsid w:val="00AD48FC"/>
    <w:rsid w:val="00AD4F40"/>
    <w:rsid w:val="00AD5655"/>
    <w:rsid w:val="00AD5A81"/>
    <w:rsid w:val="00AD75BE"/>
    <w:rsid w:val="00AE0A48"/>
    <w:rsid w:val="00AE1CA3"/>
    <w:rsid w:val="00AE2839"/>
    <w:rsid w:val="00AE2ED7"/>
    <w:rsid w:val="00AE3061"/>
    <w:rsid w:val="00AE32E8"/>
    <w:rsid w:val="00AE4A50"/>
    <w:rsid w:val="00AE50F9"/>
    <w:rsid w:val="00AE69BA"/>
    <w:rsid w:val="00AE7C1B"/>
    <w:rsid w:val="00AE7DB2"/>
    <w:rsid w:val="00AF0BF5"/>
    <w:rsid w:val="00AF10FA"/>
    <w:rsid w:val="00AF19EF"/>
    <w:rsid w:val="00AF2215"/>
    <w:rsid w:val="00AF3D87"/>
    <w:rsid w:val="00AF3F87"/>
    <w:rsid w:val="00AF4D4A"/>
    <w:rsid w:val="00AF5068"/>
    <w:rsid w:val="00AF5303"/>
    <w:rsid w:val="00AF74FE"/>
    <w:rsid w:val="00AF7580"/>
    <w:rsid w:val="00B00D37"/>
    <w:rsid w:val="00B01304"/>
    <w:rsid w:val="00B05679"/>
    <w:rsid w:val="00B07E27"/>
    <w:rsid w:val="00B120D6"/>
    <w:rsid w:val="00B12232"/>
    <w:rsid w:val="00B16F4D"/>
    <w:rsid w:val="00B17DCB"/>
    <w:rsid w:val="00B21E11"/>
    <w:rsid w:val="00B2245A"/>
    <w:rsid w:val="00B22F42"/>
    <w:rsid w:val="00B23E62"/>
    <w:rsid w:val="00B265AE"/>
    <w:rsid w:val="00B3201E"/>
    <w:rsid w:val="00B328D3"/>
    <w:rsid w:val="00B328FD"/>
    <w:rsid w:val="00B335F2"/>
    <w:rsid w:val="00B35A70"/>
    <w:rsid w:val="00B35E77"/>
    <w:rsid w:val="00B400D9"/>
    <w:rsid w:val="00B40805"/>
    <w:rsid w:val="00B41A6E"/>
    <w:rsid w:val="00B42C30"/>
    <w:rsid w:val="00B4323B"/>
    <w:rsid w:val="00B43F46"/>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163D"/>
    <w:rsid w:val="00B6235A"/>
    <w:rsid w:val="00B66966"/>
    <w:rsid w:val="00B6792E"/>
    <w:rsid w:val="00B70556"/>
    <w:rsid w:val="00B716B7"/>
    <w:rsid w:val="00B71B68"/>
    <w:rsid w:val="00B74A1A"/>
    <w:rsid w:val="00B752E3"/>
    <w:rsid w:val="00B75E86"/>
    <w:rsid w:val="00B82302"/>
    <w:rsid w:val="00B85369"/>
    <w:rsid w:val="00B85ECD"/>
    <w:rsid w:val="00B87578"/>
    <w:rsid w:val="00B87DB8"/>
    <w:rsid w:val="00B90776"/>
    <w:rsid w:val="00B915AE"/>
    <w:rsid w:val="00B92BDA"/>
    <w:rsid w:val="00B930C3"/>
    <w:rsid w:val="00B93278"/>
    <w:rsid w:val="00B936A9"/>
    <w:rsid w:val="00B9421A"/>
    <w:rsid w:val="00B94FCF"/>
    <w:rsid w:val="00B95BC1"/>
    <w:rsid w:val="00B96A67"/>
    <w:rsid w:val="00B96C04"/>
    <w:rsid w:val="00BA273B"/>
    <w:rsid w:val="00BA374B"/>
    <w:rsid w:val="00BA3B43"/>
    <w:rsid w:val="00BA5DCB"/>
    <w:rsid w:val="00BA771C"/>
    <w:rsid w:val="00BB1902"/>
    <w:rsid w:val="00BB354E"/>
    <w:rsid w:val="00BB466C"/>
    <w:rsid w:val="00BB473F"/>
    <w:rsid w:val="00BB710C"/>
    <w:rsid w:val="00BB7732"/>
    <w:rsid w:val="00BC0AD2"/>
    <w:rsid w:val="00BC1D92"/>
    <w:rsid w:val="00BC7703"/>
    <w:rsid w:val="00BC7729"/>
    <w:rsid w:val="00BD0510"/>
    <w:rsid w:val="00BD123E"/>
    <w:rsid w:val="00BD128F"/>
    <w:rsid w:val="00BD6310"/>
    <w:rsid w:val="00BD6BBB"/>
    <w:rsid w:val="00BD78CC"/>
    <w:rsid w:val="00BE04FF"/>
    <w:rsid w:val="00BE120C"/>
    <w:rsid w:val="00BE18BE"/>
    <w:rsid w:val="00BE2E94"/>
    <w:rsid w:val="00BE5271"/>
    <w:rsid w:val="00BE64AF"/>
    <w:rsid w:val="00BE66B4"/>
    <w:rsid w:val="00BE738F"/>
    <w:rsid w:val="00BF1087"/>
    <w:rsid w:val="00BF198B"/>
    <w:rsid w:val="00BF736F"/>
    <w:rsid w:val="00C002AE"/>
    <w:rsid w:val="00C035DC"/>
    <w:rsid w:val="00C039F2"/>
    <w:rsid w:val="00C03B25"/>
    <w:rsid w:val="00C042F7"/>
    <w:rsid w:val="00C064AA"/>
    <w:rsid w:val="00C103BD"/>
    <w:rsid w:val="00C11CC3"/>
    <w:rsid w:val="00C14457"/>
    <w:rsid w:val="00C14787"/>
    <w:rsid w:val="00C14FA4"/>
    <w:rsid w:val="00C169F8"/>
    <w:rsid w:val="00C200DB"/>
    <w:rsid w:val="00C20D76"/>
    <w:rsid w:val="00C211F1"/>
    <w:rsid w:val="00C265E5"/>
    <w:rsid w:val="00C278A4"/>
    <w:rsid w:val="00C325E6"/>
    <w:rsid w:val="00C32791"/>
    <w:rsid w:val="00C345DC"/>
    <w:rsid w:val="00C34D00"/>
    <w:rsid w:val="00C34F43"/>
    <w:rsid w:val="00C3512F"/>
    <w:rsid w:val="00C37282"/>
    <w:rsid w:val="00C405D2"/>
    <w:rsid w:val="00C417ED"/>
    <w:rsid w:val="00C44975"/>
    <w:rsid w:val="00C45605"/>
    <w:rsid w:val="00C4647A"/>
    <w:rsid w:val="00C500EA"/>
    <w:rsid w:val="00C572C0"/>
    <w:rsid w:val="00C576C2"/>
    <w:rsid w:val="00C61010"/>
    <w:rsid w:val="00C6244F"/>
    <w:rsid w:val="00C62917"/>
    <w:rsid w:val="00C63605"/>
    <w:rsid w:val="00C63EFA"/>
    <w:rsid w:val="00C64D5C"/>
    <w:rsid w:val="00C662C1"/>
    <w:rsid w:val="00C665E3"/>
    <w:rsid w:val="00C67C69"/>
    <w:rsid w:val="00C75859"/>
    <w:rsid w:val="00C76344"/>
    <w:rsid w:val="00C77425"/>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4B88"/>
    <w:rsid w:val="00CA50C7"/>
    <w:rsid w:val="00CA6CB2"/>
    <w:rsid w:val="00CA743C"/>
    <w:rsid w:val="00CB1043"/>
    <w:rsid w:val="00CB1B60"/>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E009B"/>
    <w:rsid w:val="00CE1941"/>
    <w:rsid w:val="00CE271F"/>
    <w:rsid w:val="00CE3C32"/>
    <w:rsid w:val="00CE6CDC"/>
    <w:rsid w:val="00CE7352"/>
    <w:rsid w:val="00CF1D0F"/>
    <w:rsid w:val="00CF25F6"/>
    <w:rsid w:val="00CF3C10"/>
    <w:rsid w:val="00CF47B2"/>
    <w:rsid w:val="00CF5868"/>
    <w:rsid w:val="00CF5A35"/>
    <w:rsid w:val="00CF64CC"/>
    <w:rsid w:val="00D009AF"/>
    <w:rsid w:val="00D0146E"/>
    <w:rsid w:val="00D018E3"/>
    <w:rsid w:val="00D03115"/>
    <w:rsid w:val="00D033FA"/>
    <w:rsid w:val="00D0524D"/>
    <w:rsid w:val="00D06B51"/>
    <w:rsid w:val="00D11F3E"/>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495D"/>
    <w:rsid w:val="00D358BD"/>
    <w:rsid w:val="00D42CF0"/>
    <w:rsid w:val="00D43E68"/>
    <w:rsid w:val="00D44A41"/>
    <w:rsid w:val="00D44C2F"/>
    <w:rsid w:val="00D45D1C"/>
    <w:rsid w:val="00D45F0A"/>
    <w:rsid w:val="00D47B91"/>
    <w:rsid w:val="00D5072D"/>
    <w:rsid w:val="00D50E7D"/>
    <w:rsid w:val="00D51824"/>
    <w:rsid w:val="00D52B95"/>
    <w:rsid w:val="00D53394"/>
    <w:rsid w:val="00D54DCB"/>
    <w:rsid w:val="00D6197C"/>
    <w:rsid w:val="00D6531E"/>
    <w:rsid w:val="00D65EDB"/>
    <w:rsid w:val="00D6672A"/>
    <w:rsid w:val="00D66CE3"/>
    <w:rsid w:val="00D67610"/>
    <w:rsid w:val="00D709F4"/>
    <w:rsid w:val="00D70A0F"/>
    <w:rsid w:val="00D72508"/>
    <w:rsid w:val="00D7339A"/>
    <w:rsid w:val="00D76AB2"/>
    <w:rsid w:val="00D777E8"/>
    <w:rsid w:val="00D77F24"/>
    <w:rsid w:val="00D85801"/>
    <w:rsid w:val="00D86DE1"/>
    <w:rsid w:val="00D87766"/>
    <w:rsid w:val="00D92C4F"/>
    <w:rsid w:val="00D9380C"/>
    <w:rsid w:val="00D96EBA"/>
    <w:rsid w:val="00D974C1"/>
    <w:rsid w:val="00D97708"/>
    <w:rsid w:val="00D97CC1"/>
    <w:rsid w:val="00DA0594"/>
    <w:rsid w:val="00DA1318"/>
    <w:rsid w:val="00DA3E7E"/>
    <w:rsid w:val="00DA4BB3"/>
    <w:rsid w:val="00DA6442"/>
    <w:rsid w:val="00DA79BF"/>
    <w:rsid w:val="00DA7C84"/>
    <w:rsid w:val="00DB42F8"/>
    <w:rsid w:val="00DB490A"/>
    <w:rsid w:val="00DB6171"/>
    <w:rsid w:val="00DC0678"/>
    <w:rsid w:val="00DC3EA1"/>
    <w:rsid w:val="00DC46C9"/>
    <w:rsid w:val="00DC478F"/>
    <w:rsid w:val="00DC51BD"/>
    <w:rsid w:val="00DC5E0B"/>
    <w:rsid w:val="00DC6E15"/>
    <w:rsid w:val="00DC76DF"/>
    <w:rsid w:val="00DD2062"/>
    <w:rsid w:val="00DD3A5C"/>
    <w:rsid w:val="00DE0E1F"/>
    <w:rsid w:val="00DE16BC"/>
    <w:rsid w:val="00DE5827"/>
    <w:rsid w:val="00DE5C57"/>
    <w:rsid w:val="00DE63ED"/>
    <w:rsid w:val="00DE7696"/>
    <w:rsid w:val="00DE79CC"/>
    <w:rsid w:val="00DF0280"/>
    <w:rsid w:val="00DF1D2A"/>
    <w:rsid w:val="00DF323B"/>
    <w:rsid w:val="00DF6910"/>
    <w:rsid w:val="00DF7356"/>
    <w:rsid w:val="00E01248"/>
    <w:rsid w:val="00E02920"/>
    <w:rsid w:val="00E02DBC"/>
    <w:rsid w:val="00E0318A"/>
    <w:rsid w:val="00E0378A"/>
    <w:rsid w:val="00E038D4"/>
    <w:rsid w:val="00E03B19"/>
    <w:rsid w:val="00E04102"/>
    <w:rsid w:val="00E044D7"/>
    <w:rsid w:val="00E04A28"/>
    <w:rsid w:val="00E10C35"/>
    <w:rsid w:val="00E11C12"/>
    <w:rsid w:val="00E11C67"/>
    <w:rsid w:val="00E11D68"/>
    <w:rsid w:val="00E1343E"/>
    <w:rsid w:val="00E13AF7"/>
    <w:rsid w:val="00E14715"/>
    <w:rsid w:val="00E2185E"/>
    <w:rsid w:val="00E23B32"/>
    <w:rsid w:val="00E24BF2"/>
    <w:rsid w:val="00E26DF3"/>
    <w:rsid w:val="00E306FF"/>
    <w:rsid w:val="00E30D83"/>
    <w:rsid w:val="00E31576"/>
    <w:rsid w:val="00E344DA"/>
    <w:rsid w:val="00E357B0"/>
    <w:rsid w:val="00E35C93"/>
    <w:rsid w:val="00E37E05"/>
    <w:rsid w:val="00E37E5F"/>
    <w:rsid w:val="00E41D3E"/>
    <w:rsid w:val="00E42557"/>
    <w:rsid w:val="00E437A1"/>
    <w:rsid w:val="00E43915"/>
    <w:rsid w:val="00E4596B"/>
    <w:rsid w:val="00E46204"/>
    <w:rsid w:val="00E47A07"/>
    <w:rsid w:val="00E47A2C"/>
    <w:rsid w:val="00E50A9F"/>
    <w:rsid w:val="00E50AD0"/>
    <w:rsid w:val="00E50C5D"/>
    <w:rsid w:val="00E5264E"/>
    <w:rsid w:val="00E527BC"/>
    <w:rsid w:val="00E52D29"/>
    <w:rsid w:val="00E52D8F"/>
    <w:rsid w:val="00E54FA6"/>
    <w:rsid w:val="00E551B6"/>
    <w:rsid w:val="00E56CD4"/>
    <w:rsid w:val="00E57FF9"/>
    <w:rsid w:val="00E62CB8"/>
    <w:rsid w:val="00E64407"/>
    <w:rsid w:val="00E70161"/>
    <w:rsid w:val="00E71C3D"/>
    <w:rsid w:val="00E72113"/>
    <w:rsid w:val="00E735A3"/>
    <w:rsid w:val="00E76211"/>
    <w:rsid w:val="00E7626D"/>
    <w:rsid w:val="00E7761C"/>
    <w:rsid w:val="00E8011B"/>
    <w:rsid w:val="00E802F7"/>
    <w:rsid w:val="00E8099A"/>
    <w:rsid w:val="00E84F77"/>
    <w:rsid w:val="00E8536C"/>
    <w:rsid w:val="00E85CB1"/>
    <w:rsid w:val="00E87923"/>
    <w:rsid w:val="00E90891"/>
    <w:rsid w:val="00E90ACA"/>
    <w:rsid w:val="00E90F87"/>
    <w:rsid w:val="00E91737"/>
    <w:rsid w:val="00E920CC"/>
    <w:rsid w:val="00E92107"/>
    <w:rsid w:val="00E92D27"/>
    <w:rsid w:val="00E92F19"/>
    <w:rsid w:val="00E96FE8"/>
    <w:rsid w:val="00EA0969"/>
    <w:rsid w:val="00EA63F7"/>
    <w:rsid w:val="00EB1668"/>
    <w:rsid w:val="00EB272B"/>
    <w:rsid w:val="00EB3000"/>
    <w:rsid w:val="00EB368C"/>
    <w:rsid w:val="00EB4F8A"/>
    <w:rsid w:val="00EB5384"/>
    <w:rsid w:val="00EB6C60"/>
    <w:rsid w:val="00EC1311"/>
    <w:rsid w:val="00EC2486"/>
    <w:rsid w:val="00EC26A5"/>
    <w:rsid w:val="00EC311B"/>
    <w:rsid w:val="00EC34CF"/>
    <w:rsid w:val="00EC3940"/>
    <w:rsid w:val="00EC3DC8"/>
    <w:rsid w:val="00EC41FC"/>
    <w:rsid w:val="00EC49F2"/>
    <w:rsid w:val="00EC5E0B"/>
    <w:rsid w:val="00EC75B2"/>
    <w:rsid w:val="00ED1F50"/>
    <w:rsid w:val="00ED5505"/>
    <w:rsid w:val="00ED64EB"/>
    <w:rsid w:val="00ED67E6"/>
    <w:rsid w:val="00ED6923"/>
    <w:rsid w:val="00ED6C9F"/>
    <w:rsid w:val="00ED6F75"/>
    <w:rsid w:val="00EE0DA3"/>
    <w:rsid w:val="00EE10F9"/>
    <w:rsid w:val="00EE161B"/>
    <w:rsid w:val="00EE2188"/>
    <w:rsid w:val="00EE2F63"/>
    <w:rsid w:val="00EE4112"/>
    <w:rsid w:val="00EF0F2F"/>
    <w:rsid w:val="00EF0F9B"/>
    <w:rsid w:val="00EF19BE"/>
    <w:rsid w:val="00EF1D35"/>
    <w:rsid w:val="00EF56EE"/>
    <w:rsid w:val="00F01161"/>
    <w:rsid w:val="00F01A4C"/>
    <w:rsid w:val="00F02252"/>
    <w:rsid w:val="00F04EBE"/>
    <w:rsid w:val="00F05028"/>
    <w:rsid w:val="00F113B2"/>
    <w:rsid w:val="00F1361D"/>
    <w:rsid w:val="00F14373"/>
    <w:rsid w:val="00F145F1"/>
    <w:rsid w:val="00F15042"/>
    <w:rsid w:val="00F15EDA"/>
    <w:rsid w:val="00F20CA1"/>
    <w:rsid w:val="00F20CEA"/>
    <w:rsid w:val="00F215A3"/>
    <w:rsid w:val="00F2188A"/>
    <w:rsid w:val="00F23B11"/>
    <w:rsid w:val="00F252D8"/>
    <w:rsid w:val="00F319E8"/>
    <w:rsid w:val="00F33E44"/>
    <w:rsid w:val="00F360AC"/>
    <w:rsid w:val="00F4031B"/>
    <w:rsid w:val="00F4237F"/>
    <w:rsid w:val="00F42A57"/>
    <w:rsid w:val="00F42D4C"/>
    <w:rsid w:val="00F4380D"/>
    <w:rsid w:val="00F44757"/>
    <w:rsid w:val="00F47346"/>
    <w:rsid w:val="00F510EF"/>
    <w:rsid w:val="00F51344"/>
    <w:rsid w:val="00F51607"/>
    <w:rsid w:val="00F51BE3"/>
    <w:rsid w:val="00F53067"/>
    <w:rsid w:val="00F62240"/>
    <w:rsid w:val="00F6370B"/>
    <w:rsid w:val="00F6407D"/>
    <w:rsid w:val="00F64289"/>
    <w:rsid w:val="00F65D22"/>
    <w:rsid w:val="00F66850"/>
    <w:rsid w:val="00F67F9F"/>
    <w:rsid w:val="00F70A37"/>
    <w:rsid w:val="00F7114A"/>
    <w:rsid w:val="00F7293E"/>
    <w:rsid w:val="00F73162"/>
    <w:rsid w:val="00F73355"/>
    <w:rsid w:val="00F73ED3"/>
    <w:rsid w:val="00F75E57"/>
    <w:rsid w:val="00F77101"/>
    <w:rsid w:val="00F77756"/>
    <w:rsid w:val="00F77D27"/>
    <w:rsid w:val="00F800D1"/>
    <w:rsid w:val="00F81822"/>
    <w:rsid w:val="00F81F7C"/>
    <w:rsid w:val="00F85508"/>
    <w:rsid w:val="00F86675"/>
    <w:rsid w:val="00F90313"/>
    <w:rsid w:val="00F92079"/>
    <w:rsid w:val="00F939F0"/>
    <w:rsid w:val="00F954AE"/>
    <w:rsid w:val="00F963B3"/>
    <w:rsid w:val="00FA01DB"/>
    <w:rsid w:val="00FA080A"/>
    <w:rsid w:val="00FA0CED"/>
    <w:rsid w:val="00FA137C"/>
    <w:rsid w:val="00FA318C"/>
    <w:rsid w:val="00FA40D2"/>
    <w:rsid w:val="00FA6928"/>
    <w:rsid w:val="00FA745E"/>
    <w:rsid w:val="00FA75C3"/>
    <w:rsid w:val="00FB3442"/>
    <w:rsid w:val="00FB3DC8"/>
    <w:rsid w:val="00FB4C6E"/>
    <w:rsid w:val="00FB5272"/>
    <w:rsid w:val="00FC0C27"/>
    <w:rsid w:val="00FC26DC"/>
    <w:rsid w:val="00FC30FC"/>
    <w:rsid w:val="00FC600E"/>
    <w:rsid w:val="00FC73E1"/>
    <w:rsid w:val="00FD097B"/>
    <w:rsid w:val="00FD692F"/>
    <w:rsid w:val="00FD6948"/>
    <w:rsid w:val="00FD7109"/>
    <w:rsid w:val="00FD7E6E"/>
    <w:rsid w:val="00FE12AC"/>
    <w:rsid w:val="00FE20DF"/>
    <w:rsid w:val="00FE2891"/>
    <w:rsid w:val="00FE3BE5"/>
    <w:rsid w:val="00FE482A"/>
    <w:rsid w:val="00FE48EE"/>
    <w:rsid w:val="00FE53EF"/>
    <w:rsid w:val="00FE5A01"/>
    <w:rsid w:val="00FE6190"/>
    <w:rsid w:val="00FE76C8"/>
    <w:rsid w:val="00FE7F03"/>
    <w:rsid w:val="00FF1CDB"/>
    <w:rsid w:val="00FF3E1A"/>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link w:val="FootnoteText"/>
    <w:rsid w:val="009506FF"/>
    <w:rPr>
      <w:rFonts w:ascii="Arial" w:eastAsia="Times New Roman" w:hAnsi="Arial"/>
      <w:sz w:val="24"/>
      <w:szCs w:val="24"/>
      <w:lang w:val="x-none" w:eastAsia="x-none"/>
    </w:rPr>
  </w:style>
  <w:style w:type="character" w:styleId="FootnoteReference">
    <w:name w:val="footnote reference"/>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2"/>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2"/>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2018-01-31T18:30:00+00:00</Judgment_x0020_Date>
    <Year xmlns="c1afb1bd-f2fb-40fd-9abb-aea55b4d7662">2018</Year>
  </documentManagement>
</p:properties>
</file>

<file path=customXml/itemProps1.xml><?xml version="1.0" encoding="utf-8"?>
<ds:datastoreItem xmlns:ds="http://schemas.openxmlformats.org/officeDocument/2006/customXml" ds:itemID="{DE84AA7C-061E-4DF5-9AAB-7743DC1A7196}"/>
</file>

<file path=customXml/itemProps2.xml><?xml version="1.0" encoding="utf-8"?>
<ds:datastoreItem xmlns:ds="http://schemas.openxmlformats.org/officeDocument/2006/customXml" ds:itemID="{12C4893C-2F11-4DCB-8FEE-479283FB739E}"/>
</file>

<file path=customXml/itemProps3.xml><?xml version="1.0" encoding="utf-8"?>
<ds:datastoreItem xmlns:ds="http://schemas.openxmlformats.org/officeDocument/2006/customXml" ds:itemID="{414F34A4-C2E4-481C-A622-2C776875DEE3}"/>
</file>

<file path=customXml/itemProps4.xml><?xml version="1.0" encoding="utf-8"?>
<ds:datastoreItem xmlns:ds="http://schemas.openxmlformats.org/officeDocument/2006/customXml" ds:itemID="{63A9CAF3-B561-45B9-BC55-9DFBD9C08588}"/>
</file>

<file path=docProps/app.xml><?xml version="1.0" encoding="utf-8"?>
<Properties xmlns="http://schemas.openxmlformats.org/officeDocument/2006/extended-properties" xmlns:vt="http://schemas.openxmlformats.org/officeDocument/2006/docPropsVTypes">
  <Template>JUDGMENT TEMPLATE</Template>
  <TotalTime>1</TotalTime>
  <Pages>26</Pages>
  <Words>7072</Words>
  <Characters>40314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Kehrmann v Gradtke </dc:title>
  <dc:subject/>
  <dc:creator>High Court Judge 5</dc:creator>
  <cp:keywords/>
  <cp:lastModifiedBy>User</cp:lastModifiedBy>
  <cp:revision>3</cp:revision>
  <cp:lastPrinted>2018-05-23T11:10:00Z</cp:lastPrinted>
  <dcterms:created xsi:type="dcterms:W3CDTF">2018-05-24T13:14:00Z</dcterms:created>
  <dcterms:modified xsi:type="dcterms:W3CDTF">2018-05-24T13:15:00Z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