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58" w:rsidRPr="00E03391" w:rsidRDefault="00436D58" w:rsidP="00436D58">
      <w:pPr>
        <w:spacing w:after="0" w:line="360" w:lineRule="auto"/>
        <w:jc w:val="center"/>
        <w:rPr>
          <w:rFonts w:ascii="Arial" w:hAnsi="Arial" w:cs="Arial"/>
          <w:b/>
          <w:sz w:val="24"/>
          <w:szCs w:val="24"/>
        </w:rPr>
      </w:pPr>
      <w:r w:rsidRPr="00E03391">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55ADC090" wp14:editId="05C12756">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436D58" w:rsidRPr="000A0FD8" w:rsidRDefault="00436D58" w:rsidP="00436D58">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DC090"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436D58" w:rsidRPr="000A0FD8" w:rsidRDefault="00436D58" w:rsidP="00436D58">
                      <w:pPr>
                        <w:jc w:val="right"/>
                        <w:rPr>
                          <w:rFonts w:ascii="Arial" w:hAnsi="Arial" w:cs="Arial"/>
                          <w:b/>
                          <w:sz w:val="24"/>
                          <w:szCs w:val="24"/>
                        </w:rPr>
                      </w:pPr>
                    </w:p>
                  </w:txbxContent>
                </v:textbox>
                <w10:wrap anchorx="margin"/>
              </v:shape>
            </w:pict>
          </mc:Fallback>
        </mc:AlternateContent>
      </w:r>
      <w:r w:rsidRPr="00E03391">
        <w:rPr>
          <w:rFonts w:ascii="Arial" w:hAnsi="Arial" w:cs="Arial"/>
          <w:b/>
          <w:sz w:val="24"/>
          <w:szCs w:val="24"/>
        </w:rPr>
        <w:t>REPUBLIC OF NAMIBIA</w:t>
      </w:r>
    </w:p>
    <w:p w:rsidR="00436D58" w:rsidRDefault="00436D58" w:rsidP="00436D58">
      <w:pPr>
        <w:spacing w:after="0" w:line="360" w:lineRule="auto"/>
        <w:rPr>
          <w:rFonts w:ascii="Arial" w:hAnsi="Arial" w:cs="Arial"/>
          <w:b/>
          <w:sz w:val="24"/>
          <w:szCs w:val="24"/>
        </w:rPr>
      </w:pPr>
      <w:r w:rsidRPr="00E03391">
        <w:rPr>
          <w:rFonts w:ascii="Arial" w:hAnsi="Arial" w:cs="Arial"/>
          <w:b/>
          <w:noProof/>
          <w:sz w:val="24"/>
          <w:szCs w:val="24"/>
          <w:lang w:val="en-US"/>
        </w:rPr>
        <w:drawing>
          <wp:anchor distT="0" distB="0" distL="114300" distR="114300" simplePos="0" relativeHeight="251660288" behindDoc="0" locked="0" layoutInCell="1" allowOverlap="1" wp14:anchorId="5E0ECB9B" wp14:editId="78A5F071">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436D58" w:rsidRDefault="00436D58" w:rsidP="00436D58">
      <w:pPr>
        <w:spacing w:after="0" w:line="360" w:lineRule="auto"/>
        <w:rPr>
          <w:rFonts w:ascii="Arial" w:hAnsi="Arial" w:cs="Arial"/>
          <w:b/>
          <w:sz w:val="24"/>
          <w:szCs w:val="24"/>
        </w:rPr>
      </w:pPr>
    </w:p>
    <w:p w:rsidR="00436D58" w:rsidRDefault="00436D58" w:rsidP="00436D58">
      <w:pPr>
        <w:spacing w:after="0" w:line="360" w:lineRule="auto"/>
        <w:rPr>
          <w:rFonts w:ascii="Arial" w:hAnsi="Arial" w:cs="Arial"/>
          <w:b/>
          <w:sz w:val="24"/>
          <w:szCs w:val="24"/>
        </w:rPr>
      </w:pPr>
    </w:p>
    <w:p w:rsidR="00436D58" w:rsidRDefault="00436D58" w:rsidP="00436D58">
      <w:pPr>
        <w:spacing w:after="0" w:line="360" w:lineRule="auto"/>
        <w:rPr>
          <w:rFonts w:ascii="Arial" w:hAnsi="Arial" w:cs="Arial"/>
          <w:b/>
          <w:sz w:val="24"/>
          <w:szCs w:val="24"/>
        </w:rPr>
      </w:pPr>
    </w:p>
    <w:p w:rsidR="00436D58" w:rsidRDefault="00436D58" w:rsidP="00436D58">
      <w:pPr>
        <w:spacing w:after="0" w:line="360" w:lineRule="auto"/>
        <w:rPr>
          <w:rFonts w:ascii="Arial" w:hAnsi="Arial" w:cs="Arial"/>
          <w:b/>
          <w:sz w:val="24"/>
          <w:szCs w:val="24"/>
        </w:rPr>
      </w:pPr>
    </w:p>
    <w:p w:rsidR="00436D58" w:rsidRDefault="00436D58" w:rsidP="00436D58">
      <w:pPr>
        <w:spacing w:after="0" w:line="360" w:lineRule="auto"/>
        <w:jc w:val="center"/>
        <w:rPr>
          <w:rFonts w:ascii="Arial" w:hAnsi="Arial" w:cs="Arial"/>
          <w:b/>
          <w:sz w:val="24"/>
          <w:szCs w:val="24"/>
        </w:rPr>
      </w:pPr>
    </w:p>
    <w:p w:rsidR="00436D58" w:rsidRDefault="00436D58" w:rsidP="00436D58">
      <w:pPr>
        <w:spacing w:after="0" w:line="360" w:lineRule="auto"/>
        <w:jc w:val="center"/>
        <w:rPr>
          <w:rFonts w:ascii="Arial" w:hAnsi="Arial" w:cs="Arial"/>
          <w:b/>
          <w:sz w:val="24"/>
          <w:szCs w:val="24"/>
        </w:rPr>
      </w:pPr>
    </w:p>
    <w:p w:rsidR="00436D58" w:rsidRPr="00E03391" w:rsidRDefault="00436D58" w:rsidP="00436D58">
      <w:pPr>
        <w:spacing w:after="0" w:line="360" w:lineRule="auto"/>
        <w:jc w:val="center"/>
        <w:rPr>
          <w:rFonts w:ascii="Arial" w:hAnsi="Arial" w:cs="Arial"/>
          <w:b/>
          <w:sz w:val="24"/>
          <w:szCs w:val="24"/>
        </w:rPr>
      </w:pPr>
      <w:r w:rsidRPr="00E03391">
        <w:rPr>
          <w:rFonts w:ascii="Arial" w:hAnsi="Arial" w:cs="Arial"/>
          <w:b/>
          <w:sz w:val="24"/>
          <w:szCs w:val="24"/>
        </w:rPr>
        <w:t>HIGH COURT OF NAMIBIA, MAIN DIVISION, WINDHOEK</w:t>
      </w:r>
    </w:p>
    <w:p w:rsidR="00436D58" w:rsidRDefault="00436D58" w:rsidP="00436D58">
      <w:pPr>
        <w:spacing w:after="0" w:line="360" w:lineRule="auto"/>
        <w:rPr>
          <w:rFonts w:ascii="Arial" w:hAnsi="Arial" w:cs="Arial"/>
          <w:b/>
          <w:sz w:val="24"/>
          <w:szCs w:val="24"/>
        </w:rPr>
      </w:pPr>
    </w:p>
    <w:p w:rsidR="00436D58" w:rsidRPr="00335B8D" w:rsidRDefault="00436D58" w:rsidP="00436D58">
      <w:pPr>
        <w:spacing w:after="0" w:line="360" w:lineRule="auto"/>
        <w:jc w:val="center"/>
        <w:rPr>
          <w:rFonts w:ascii="Arial" w:hAnsi="Arial" w:cs="Arial"/>
          <w:sz w:val="24"/>
          <w:szCs w:val="24"/>
        </w:rPr>
      </w:pPr>
      <w:r w:rsidRPr="00335B8D">
        <w:rPr>
          <w:rFonts w:ascii="Arial" w:hAnsi="Arial" w:cs="Arial"/>
          <w:b/>
          <w:sz w:val="24"/>
          <w:szCs w:val="24"/>
        </w:rPr>
        <w:t xml:space="preserve">RULING ON </w:t>
      </w:r>
      <w:r>
        <w:rPr>
          <w:rFonts w:ascii="Arial" w:hAnsi="Arial" w:cs="Arial"/>
          <w:b/>
          <w:sz w:val="24"/>
          <w:szCs w:val="24"/>
        </w:rPr>
        <w:t xml:space="preserve">AMENDMENT TO COUNTERCLAIM </w:t>
      </w:r>
    </w:p>
    <w:p w:rsidR="00436D58" w:rsidRPr="00E03391" w:rsidRDefault="00436D58" w:rsidP="00436D58">
      <w:pPr>
        <w:spacing w:after="0" w:line="360" w:lineRule="auto"/>
        <w:jc w:val="right"/>
        <w:rPr>
          <w:rFonts w:ascii="Arial" w:hAnsi="Arial" w:cs="Arial"/>
          <w:sz w:val="24"/>
          <w:szCs w:val="24"/>
        </w:rPr>
      </w:pPr>
    </w:p>
    <w:p w:rsidR="00436D58" w:rsidRPr="00E03391" w:rsidRDefault="00436D58" w:rsidP="00436D58">
      <w:pPr>
        <w:spacing w:after="0" w:line="360" w:lineRule="auto"/>
        <w:jc w:val="right"/>
        <w:rPr>
          <w:rFonts w:ascii="Arial" w:hAnsi="Arial" w:cs="Arial"/>
          <w:sz w:val="24"/>
          <w:szCs w:val="24"/>
        </w:rPr>
      </w:pPr>
      <w:r>
        <w:rPr>
          <w:rFonts w:ascii="Arial" w:hAnsi="Arial" w:cs="Arial"/>
          <w:sz w:val="24"/>
          <w:szCs w:val="24"/>
        </w:rPr>
        <w:t xml:space="preserve">Case no: </w:t>
      </w:r>
      <w:r w:rsidRPr="00136FF4">
        <w:rPr>
          <w:rFonts w:ascii="Arial" w:hAnsi="Arial" w:cs="Arial"/>
          <w:sz w:val="24"/>
          <w:szCs w:val="24"/>
        </w:rPr>
        <w:t>HC-MD-CIV-ACT-MAT-2017/00615</w:t>
      </w:r>
    </w:p>
    <w:p w:rsidR="00436D58" w:rsidRPr="00E03391" w:rsidRDefault="00436D58" w:rsidP="00436D58">
      <w:pPr>
        <w:spacing w:after="0" w:line="360" w:lineRule="auto"/>
        <w:rPr>
          <w:rFonts w:ascii="Arial" w:hAnsi="Arial" w:cs="Arial"/>
          <w:sz w:val="24"/>
          <w:szCs w:val="24"/>
        </w:rPr>
      </w:pPr>
      <w:r w:rsidRPr="00E03391">
        <w:rPr>
          <w:rFonts w:ascii="Arial" w:hAnsi="Arial" w:cs="Arial"/>
          <w:sz w:val="24"/>
          <w:szCs w:val="24"/>
        </w:rPr>
        <w:t>In the matter between:</w:t>
      </w:r>
    </w:p>
    <w:p w:rsidR="00436D58" w:rsidRPr="00E03391" w:rsidRDefault="00436D58" w:rsidP="00436D58">
      <w:pPr>
        <w:spacing w:after="0" w:line="360" w:lineRule="auto"/>
        <w:rPr>
          <w:rFonts w:ascii="Arial" w:hAnsi="Arial" w:cs="Arial"/>
          <w:sz w:val="24"/>
          <w:szCs w:val="24"/>
        </w:rPr>
      </w:pPr>
    </w:p>
    <w:p w:rsidR="00436D58" w:rsidRDefault="00436D58" w:rsidP="00436D58">
      <w:pPr>
        <w:tabs>
          <w:tab w:val="right" w:pos="9356"/>
        </w:tabs>
        <w:spacing w:after="0" w:line="360" w:lineRule="auto"/>
        <w:rPr>
          <w:rFonts w:ascii="Arial" w:hAnsi="Arial" w:cs="Arial"/>
          <w:b/>
          <w:sz w:val="24"/>
          <w:szCs w:val="24"/>
        </w:rPr>
      </w:pPr>
      <w:r>
        <w:rPr>
          <w:rFonts w:ascii="Arial" w:hAnsi="Arial" w:cs="Arial"/>
          <w:b/>
          <w:sz w:val="24"/>
          <w:szCs w:val="24"/>
        </w:rPr>
        <w:t xml:space="preserve">JULIANA NAAPOPYE ANDJAMBA </w:t>
      </w:r>
      <w:r>
        <w:rPr>
          <w:rFonts w:ascii="Arial" w:hAnsi="Arial" w:cs="Arial"/>
          <w:b/>
          <w:sz w:val="24"/>
          <w:szCs w:val="24"/>
        </w:rPr>
        <w:tab/>
        <w:t>APPLICANT/DEFENDANT</w:t>
      </w:r>
      <w:r w:rsidRPr="00E03391">
        <w:rPr>
          <w:rFonts w:ascii="Arial" w:hAnsi="Arial" w:cs="Arial"/>
          <w:b/>
          <w:sz w:val="24"/>
          <w:szCs w:val="24"/>
        </w:rPr>
        <w:t xml:space="preserve">                                                </w:t>
      </w:r>
      <w:r>
        <w:rPr>
          <w:rFonts w:ascii="Arial" w:hAnsi="Arial" w:cs="Arial"/>
          <w:b/>
          <w:sz w:val="24"/>
          <w:szCs w:val="24"/>
        </w:rPr>
        <w:t xml:space="preserve">     </w:t>
      </w:r>
      <w:r w:rsidRPr="00E03391">
        <w:rPr>
          <w:rFonts w:ascii="Arial" w:hAnsi="Arial" w:cs="Arial"/>
          <w:b/>
          <w:sz w:val="24"/>
          <w:szCs w:val="24"/>
        </w:rPr>
        <w:t xml:space="preserve"> </w:t>
      </w:r>
    </w:p>
    <w:p w:rsidR="00436D58" w:rsidRPr="00E03391" w:rsidRDefault="00436D58" w:rsidP="00436D58">
      <w:pPr>
        <w:tabs>
          <w:tab w:val="right" w:pos="9356"/>
        </w:tabs>
        <w:spacing w:after="0" w:line="360" w:lineRule="auto"/>
        <w:rPr>
          <w:rFonts w:ascii="Arial" w:hAnsi="Arial" w:cs="Arial"/>
          <w:b/>
          <w:sz w:val="24"/>
          <w:szCs w:val="24"/>
        </w:rPr>
      </w:pPr>
    </w:p>
    <w:p w:rsidR="00436D58" w:rsidRPr="00E03391" w:rsidRDefault="00436D58" w:rsidP="00436D58">
      <w:pPr>
        <w:spacing w:after="0" w:line="360" w:lineRule="auto"/>
        <w:rPr>
          <w:rFonts w:ascii="Arial" w:hAnsi="Arial" w:cs="Arial"/>
          <w:sz w:val="24"/>
          <w:szCs w:val="24"/>
        </w:rPr>
      </w:pPr>
      <w:proofErr w:type="gramStart"/>
      <w:r w:rsidRPr="00E03391">
        <w:rPr>
          <w:rFonts w:ascii="Arial" w:hAnsi="Arial" w:cs="Arial"/>
          <w:sz w:val="24"/>
          <w:szCs w:val="24"/>
        </w:rPr>
        <w:t>and</w:t>
      </w:r>
      <w:proofErr w:type="gramEnd"/>
    </w:p>
    <w:p w:rsidR="00436D58" w:rsidRPr="00E03391" w:rsidRDefault="00436D58" w:rsidP="00436D58">
      <w:pPr>
        <w:spacing w:after="0" w:line="360" w:lineRule="auto"/>
        <w:rPr>
          <w:rFonts w:ascii="Arial" w:hAnsi="Arial" w:cs="Arial"/>
          <w:b/>
          <w:sz w:val="24"/>
          <w:szCs w:val="24"/>
        </w:rPr>
      </w:pPr>
    </w:p>
    <w:p w:rsidR="00436D58" w:rsidRPr="00E03391" w:rsidRDefault="00436D58" w:rsidP="00436D58">
      <w:pPr>
        <w:tabs>
          <w:tab w:val="right" w:pos="9356"/>
        </w:tabs>
        <w:spacing w:after="0" w:line="360" w:lineRule="auto"/>
        <w:rPr>
          <w:rFonts w:ascii="Arial" w:hAnsi="Arial" w:cs="Arial"/>
          <w:b/>
          <w:sz w:val="24"/>
          <w:szCs w:val="24"/>
        </w:rPr>
      </w:pPr>
      <w:r>
        <w:rPr>
          <w:rFonts w:ascii="Arial" w:hAnsi="Arial" w:cs="Arial"/>
          <w:b/>
          <w:sz w:val="24"/>
          <w:szCs w:val="24"/>
        </w:rPr>
        <w:t>MOSES TALENI-YATALE ANDJAMBA</w:t>
      </w:r>
      <w:r>
        <w:rPr>
          <w:rFonts w:ascii="Arial" w:hAnsi="Arial" w:cs="Arial"/>
          <w:b/>
          <w:sz w:val="24"/>
          <w:szCs w:val="24"/>
        </w:rPr>
        <w:tab/>
        <w:t>RESPONDENT/PLAINTIFF</w:t>
      </w:r>
    </w:p>
    <w:p w:rsidR="00436D58" w:rsidRPr="00E03391" w:rsidRDefault="00436D58" w:rsidP="00436D58">
      <w:pPr>
        <w:spacing w:after="0" w:line="360" w:lineRule="auto"/>
        <w:rPr>
          <w:rFonts w:ascii="Arial" w:hAnsi="Arial" w:cs="Arial"/>
          <w:b/>
          <w:sz w:val="24"/>
          <w:szCs w:val="24"/>
        </w:rPr>
      </w:pPr>
    </w:p>
    <w:p w:rsidR="00436D58" w:rsidRDefault="00436D58" w:rsidP="00436D58">
      <w:pPr>
        <w:tabs>
          <w:tab w:val="right" w:pos="9356"/>
        </w:tabs>
        <w:spacing w:after="0" w:line="360" w:lineRule="auto"/>
        <w:jc w:val="both"/>
        <w:rPr>
          <w:rFonts w:ascii="Arial" w:hAnsi="Arial" w:cs="Arial"/>
          <w:sz w:val="24"/>
          <w:szCs w:val="24"/>
        </w:rPr>
      </w:pPr>
      <w:r w:rsidRPr="0059328F">
        <w:rPr>
          <w:rFonts w:ascii="Arial" w:hAnsi="Arial" w:cs="Arial"/>
          <w:b/>
          <w:sz w:val="24"/>
        </w:rPr>
        <w:t>Neutral Citation</w:t>
      </w:r>
      <w:r w:rsidRPr="0059328F">
        <w:rPr>
          <w:rFonts w:ascii="Arial" w:hAnsi="Arial" w:cs="Arial"/>
          <w:i/>
          <w:sz w:val="24"/>
        </w:rPr>
        <w:t xml:space="preserve">: </w:t>
      </w:r>
      <w:proofErr w:type="spellStart"/>
      <w:r w:rsidR="0059328F" w:rsidRPr="0059328F">
        <w:rPr>
          <w:rFonts w:ascii="Arial" w:hAnsi="Arial" w:cs="Arial"/>
          <w:i/>
          <w:sz w:val="24"/>
        </w:rPr>
        <w:t>Andjamba</w:t>
      </w:r>
      <w:proofErr w:type="spellEnd"/>
      <w:r w:rsidR="0059328F" w:rsidRPr="0059328F">
        <w:rPr>
          <w:rFonts w:ascii="Arial" w:hAnsi="Arial" w:cs="Arial"/>
          <w:i/>
          <w:sz w:val="24"/>
        </w:rPr>
        <w:t xml:space="preserve"> vs </w:t>
      </w:r>
      <w:proofErr w:type="spellStart"/>
      <w:r w:rsidR="0059328F" w:rsidRPr="0059328F">
        <w:rPr>
          <w:rFonts w:ascii="Arial" w:hAnsi="Arial" w:cs="Arial"/>
          <w:i/>
          <w:sz w:val="24"/>
        </w:rPr>
        <w:t>Andjamba</w:t>
      </w:r>
      <w:proofErr w:type="spellEnd"/>
      <w:r w:rsidR="0059328F" w:rsidRPr="0059328F">
        <w:rPr>
          <w:rFonts w:ascii="Arial" w:hAnsi="Arial" w:cs="Arial"/>
          <w:i/>
          <w:sz w:val="24"/>
        </w:rPr>
        <w:t xml:space="preserve"> </w:t>
      </w:r>
      <w:r w:rsidR="0059328F">
        <w:rPr>
          <w:rFonts w:ascii="Arial" w:hAnsi="Arial" w:cs="Arial"/>
          <w:sz w:val="24"/>
        </w:rPr>
        <w:t>(</w:t>
      </w:r>
      <w:r w:rsidR="0059328F" w:rsidRPr="00136FF4">
        <w:rPr>
          <w:rFonts w:ascii="Arial" w:hAnsi="Arial" w:cs="Arial"/>
          <w:sz w:val="24"/>
          <w:szCs w:val="24"/>
        </w:rPr>
        <w:t>HC-MD-CIV-ACT-MAT-2017/00615</w:t>
      </w:r>
      <w:r w:rsidR="0059328F">
        <w:rPr>
          <w:rFonts w:ascii="Arial" w:hAnsi="Arial" w:cs="Arial"/>
          <w:sz w:val="24"/>
          <w:szCs w:val="24"/>
        </w:rPr>
        <w:t xml:space="preserve">) [2018] NAHCMD </w:t>
      </w:r>
      <w:r w:rsidR="004611C9">
        <w:rPr>
          <w:rFonts w:ascii="Arial" w:hAnsi="Arial" w:cs="Arial"/>
          <w:sz w:val="24"/>
          <w:szCs w:val="24"/>
        </w:rPr>
        <w:t xml:space="preserve">90 </w:t>
      </w:r>
      <w:r w:rsidR="000F0A53">
        <w:rPr>
          <w:rFonts w:ascii="Arial" w:hAnsi="Arial" w:cs="Arial"/>
          <w:sz w:val="24"/>
          <w:szCs w:val="24"/>
        </w:rPr>
        <w:t>(26 February</w:t>
      </w:r>
      <w:r w:rsidR="0059328F">
        <w:rPr>
          <w:rFonts w:ascii="Arial" w:hAnsi="Arial" w:cs="Arial"/>
          <w:sz w:val="24"/>
          <w:szCs w:val="24"/>
        </w:rPr>
        <w:t xml:space="preserve"> 2018)</w:t>
      </w:r>
    </w:p>
    <w:p w:rsidR="00BE3D7D" w:rsidRPr="0059328F" w:rsidRDefault="00BE3D7D" w:rsidP="00436D58">
      <w:pPr>
        <w:tabs>
          <w:tab w:val="right" w:pos="9356"/>
        </w:tabs>
        <w:spacing w:after="0" w:line="360" w:lineRule="auto"/>
        <w:jc w:val="both"/>
        <w:rPr>
          <w:rFonts w:ascii="Arial" w:hAnsi="Arial" w:cs="Arial"/>
          <w:sz w:val="24"/>
        </w:rPr>
      </w:pPr>
    </w:p>
    <w:p w:rsidR="00436D58" w:rsidRPr="00BE3D7D" w:rsidRDefault="00436D58" w:rsidP="00BE3D7D">
      <w:pPr>
        <w:spacing w:after="0" w:line="360" w:lineRule="auto"/>
        <w:rPr>
          <w:rFonts w:ascii="Arial" w:hAnsi="Arial" w:cs="Arial"/>
          <w:sz w:val="24"/>
          <w:szCs w:val="24"/>
        </w:rPr>
      </w:pPr>
      <w:r w:rsidRPr="00E03391">
        <w:rPr>
          <w:rFonts w:ascii="Arial" w:hAnsi="Arial" w:cs="Arial"/>
          <w:b/>
          <w:sz w:val="24"/>
          <w:szCs w:val="24"/>
        </w:rPr>
        <w:t>CORAM:</w:t>
      </w:r>
      <w:r w:rsidRPr="00E03391">
        <w:rPr>
          <w:rFonts w:ascii="Arial" w:hAnsi="Arial" w:cs="Arial"/>
          <w:b/>
          <w:sz w:val="24"/>
          <w:szCs w:val="24"/>
        </w:rPr>
        <w:tab/>
      </w:r>
      <w:r w:rsidRPr="00BE3D7D">
        <w:rPr>
          <w:rFonts w:ascii="Arial" w:hAnsi="Arial" w:cs="Arial"/>
          <w:sz w:val="24"/>
          <w:szCs w:val="24"/>
        </w:rPr>
        <w:t>PRINSLOO J</w:t>
      </w:r>
    </w:p>
    <w:p w:rsidR="00436D58" w:rsidRDefault="00436D58" w:rsidP="00BE3D7D">
      <w:pPr>
        <w:spacing w:after="0" w:line="360" w:lineRule="auto"/>
        <w:rPr>
          <w:rFonts w:ascii="Arial" w:hAnsi="Arial" w:cs="Arial"/>
          <w:b/>
          <w:sz w:val="24"/>
          <w:szCs w:val="24"/>
        </w:rPr>
      </w:pPr>
      <w:r w:rsidRPr="00E03391">
        <w:rPr>
          <w:rFonts w:ascii="Arial" w:hAnsi="Arial" w:cs="Arial"/>
          <w:b/>
          <w:sz w:val="24"/>
          <w:szCs w:val="24"/>
        </w:rPr>
        <w:t xml:space="preserve">Heard: </w:t>
      </w:r>
      <w:r w:rsidRPr="00E03391">
        <w:rPr>
          <w:rFonts w:ascii="Arial" w:hAnsi="Arial" w:cs="Arial"/>
          <w:b/>
          <w:sz w:val="24"/>
          <w:szCs w:val="24"/>
        </w:rPr>
        <w:tab/>
      </w:r>
      <w:r w:rsidR="00A02BB2">
        <w:rPr>
          <w:rFonts w:ascii="Arial" w:hAnsi="Arial" w:cs="Arial"/>
          <w:b/>
          <w:sz w:val="24"/>
          <w:szCs w:val="24"/>
        </w:rPr>
        <w:t>06 FEBRUARY 2018</w:t>
      </w:r>
    </w:p>
    <w:p w:rsidR="00436D58" w:rsidRDefault="00436D58" w:rsidP="00BE3D7D">
      <w:pPr>
        <w:spacing w:after="0" w:line="360" w:lineRule="auto"/>
        <w:rPr>
          <w:rFonts w:ascii="Arial" w:hAnsi="Arial" w:cs="Arial"/>
          <w:b/>
          <w:sz w:val="24"/>
          <w:szCs w:val="24"/>
        </w:rPr>
      </w:pPr>
      <w:r w:rsidRPr="00E03391">
        <w:rPr>
          <w:rFonts w:ascii="Arial" w:hAnsi="Arial" w:cs="Arial"/>
          <w:b/>
          <w:sz w:val="24"/>
          <w:szCs w:val="24"/>
        </w:rPr>
        <w:t xml:space="preserve">Delivered:  </w:t>
      </w:r>
      <w:r w:rsidRPr="00E03391">
        <w:rPr>
          <w:rFonts w:ascii="Arial" w:hAnsi="Arial" w:cs="Arial"/>
          <w:b/>
          <w:sz w:val="24"/>
          <w:szCs w:val="24"/>
        </w:rPr>
        <w:tab/>
      </w:r>
      <w:r w:rsidR="00A02BB2">
        <w:rPr>
          <w:rFonts w:ascii="Arial" w:hAnsi="Arial" w:cs="Arial"/>
          <w:b/>
          <w:sz w:val="24"/>
          <w:szCs w:val="24"/>
        </w:rPr>
        <w:t>22 FEBRUARY 2018</w:t>
      </w:r>
    </w:p>
    <w:p w:rsidR="00436D58" w:rsidRDefault="00436D58" w:rsidP="00BE3D7D">
      <w:pPr>
        <w:spacing w:after="0" w:line="360" w:lineRule="auto"/>
        <w:rPr>
          <w:rFonts w:ascii="Arial" w:hAnsi="Arial" w:cs="Arial"/>
          <w:b/>
          <w:sz w:val="24"/>
          <w:szCs w:val="24"/>
        </w:rPr>
      </w:pPr>
      <w:r>
        <w:rPr>
          <w:rFonts w:ascii="Arial" w:hAnsi="Arial" w:cs="Arial"/>
          <w:b/>
          <w:sz w:val="24"/>
          <w:szCs w:val="24"/>
        </w:rPr>
        <w:t xml:space="preserve">Reasons:     </w:t>
      </w:r>
      <w:r w:rsidR="008703AA">
        <w:rPr>
          <w:rFonts w:ascii="Arial" w:hAnsi="Arial" w:cs="Arial"/>
          <w:b/>
          <w:sz w:val="24"/>
          <w:szCs w:val="24"/>
        </w:rPr>
        <w:t>26 FEBRUARY</w:t>
      </w:r>
      <w:r w:rsidR="00C96CF7">
        <w:rPr>
          <w:rFonts w:ascii="Arial" w:hAnsi="Arial" w:cs="Arial"/>
          <w:b/>
          <w:sz w:val="24"/>
          <w:szCs w:val="24"/>
        </w:rPr>
        <w:t xml:space="preserve"> </w:t>
      </w:r>
      <w:r w:rsidR="00A02BB2">
        <w:rPr>
          <w:rFonts w:ascii="Arial" w:hAnsi="Arial" w:cs="Arial"/>
          <w:b/>
          <w:sz w:val="24"/>
          <w:szCs w:val="24"/>
        </w:rPr>
        <w:t>2018</w:t>
      </w:r>
    </w:p>
    <w:p w:rsidR="008703AA" w:rsidRDefault="008703AA" w:rsidP="00436D58">
      <w:pPr>
        <w:spacing w:after="0" w:line="360" w:lineRule="auto"/>
        <w:rPr>
          <w:rFonts w:ascii="Arial" w:hAnsi="Arial" w:cs="Arial"/>
          <w:b/>
          <w:sz w:val="24"/>
          <w:szCs w:val="24"/>
        </w:rPr>
      </w:pPr>
    </w:p>
    <w:p w:rsidR="003F2A95" w:rsidRPr="00E03391" w:rsidRDefault="003F2A95" w:rsidP="00436D58">
      <w:pPr>
        <w:spacing w:after="0" w:line="360" w:lineRule="auto"/>
        <w:rPr>
          <w:rFonts w:ascii="Arial" w:hAnsi="Arial" w:cs="Arial"/>
          <w:b/>
          <w:sz w:val="24"/>
          <w:szCs w:val="24"/>
        </w:rPr>
      </w:pPr>
    </w:p>
    <w:p w:rsidR="00BE3D7D" w:rsidRDefault="00BE3D7D" w:rsidP="00436D58">
      <w:pPr>
        <w:pBdr>
          <w:bottom w:val="single" w:sz="6" w:space="1" w:color="auto"/>
        </w:pBdr>
        <w:spacing w:after="0" w:line="360" w:lineRule="auto"/>
        <w:jc w:val="both"/>
        <w:rPr>
          <w:rFonts w:ascii="Arial" w:hAnsi="Arial" w:cs="Arial"/>
          <w:b/>
          <w:sz w:val="24"/>
          <w:szCs w:val="24"/>
        </w:rPr>
      </w:pPr>
    </w:p>
    <w:p w:rsidR="000D0ED1" w:rsidRPr="00E03391" w:rsidRDefault="000D0ED1" w:rsidP="00436D58">
      <w:pPr>
        <w:pBdr>
          <w:bottom w:val="single" w:sz="6" w:space="1" w:color="auto"/>
        </w:pBdr>
        <w:spacing w:after="0" w:line="360" w:lineRule="auto"/>
        <w:jc w:val="both"/>
        <w:rPr>
          <w:rFonts w:ascii="Arial" w:hAnsi="Arial" w:cs="Arial"/>
          <w:b/>
          <w:sz w:val="24"/>
          <w:szCs w:val="24"/>
        </w:rPr>
      </w:pPr>
    </w:p>
    <w:p w:rsidR="00436D58" w:rsidRPr="00E03391" w:rsidRDefault="00436D58" w:rsidP="00436D58">
      <w:pPr>
        <w:spacing w:after="0" w:line="240" w:lineRule="auto"/>
        <w:rPr>
          <w:rFonts w:ascii="Arial" w:hAnsi="Arial" w:cs="Arial"/>
          <w:b/>
          <w:sz w:val="24"/>
          <w:szCs w:val="24"/>
        </w:rPr>
      </w:pPr>
    </w:p>
    <w:p w:rsidR="00436D58" w:rsidRPr="00E03391" w:rsidRDefault="00436D58" w:rsidP="00436D58">
      <w:pPr>
        <w:spacing w:after="0" w:line="240" w:lineRule="auto"/>
        <w:jc w:val="center"/>
        <w:rPr>
          <w:rFonts w:ascii="Arial" w:hAnsi="Arial" w:cs="Arial"/>
          <w:b/>
          <w:sz w:val="24"/>
          <w:szCs w:val="24"/>
        </w:rPr>
      </w:pPr>
      <w:r w:rsidRPr="00E03391">
        <w:rPr>
          <w:rFonts w:ascii="Arial" w:hAnsi="Arial" w:cs="Arial"/>
          <w:b/>
          <w:sz w:val="24"/>
          <w:szCs w:val="24"/>
        </w:rPr>
        <w:t>ORDER</w:t>
      </w:r>
    </w:p>
    <w:p w:rsidR="00436D58" w:rsidRPr="00E03391" w:rsidRDefault="00436D58" w:rsidP="00436D58">
      <w:pPr>
        <w:pBdr>
          <w:bottom w:val="single" w:sz="6" w:space="1" w:color="auto"/>
        </w:pBdr>
        <w:spacing w:after="0" w:line="240" w:lineRule="auto"/>
        <w:jc w:val="center"/>
        <w:rPr>
          <w:rFonts w:ascii="Arial" w:hAnsi="Arial" w:cs="Arial"/>
          <w:b/>
          <w:sz w:val="24"/>
          <w:szCs w:val="24"/>
        </w:rPr>
      </w:pPr>
    </w:p>
    <w:p w:rsidR="00436D58" w:rsidRDefault="00436D58" w:rsidP="00436D58">
      <w:pPr>
        <w:spacing w:after="0" w:line="360" w:lineRule="auto"/>
        <w:rPr>
          <w:rFonts w:ascii="Arial" w:hAnsi="Arial" w:cs="Arial"/>
          <w:b/>
          <w:sz w:val="24"/>
          <w:szCs w:val="24"/>
        </w:rPr>
      </w:pPr>
    </w:p>
    <w:p w:rsidR="00F17475" w:rsidRDefault="00F17475" w:rsidP="00BE3D7D">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The defendant’s leave to amend its counterclaim is granted.</w:t>
      </w:r>
    </w:p>
    <w:p w:rsidR="00436D58" w:rsidRPr="00225C53" w:rsidRDefault="00F17475" w:rsidP="00BE3D7D">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 xml:space="preserve">The defendant is to pay the plaintiff’s costs occasioned by the amendment application. </w:t>
      </w:r>
    </w:p>
    <w:p w:rsidR="00436D58" w:rsidRDefault="00436D58" w:rsidP="00436D58">
      <w:pPr>
        <w:spacing w:line="360" w:lineRule="auto"/>
        <w:jc w:val="both"/>
      </w:pPr>
      <w:r>
        <w:t>_____________________________________________________________________________________</w:t>
      </w:r>
    </w:p>
    <w:p w:rsidR="00436D58" w:rsidRPr="00EF55FB" w:rsidRDefault="00436D58" w:rsidP="00436D58">
      <w:pPr>
        <w:jc w:val="center"/>
        <w:rPr>
          <w:rFonts w:ascii="Arial" w:hAnsi="Arial" w:cs="Arial"/>
          <w:b/>
          <w:sz w:val="24"/>
          <w:szCs w:val="24"/>
        </w:rPr>
      </w:pPr>
      <w:r>
        <w:rPr>
          <w:rFonts w:ascii="Arial" w:hAnsi="Arial" w:cs="Arial"/>
          <w:b/>
          <w:sz w:val="24"/>
          <w:szCs w:val="24"/>
        </w:rPr>
        <w:t>RULING</w:t>
      </w:r>
      <w:r w:rsidRPr="00EF55FB">
        <w:rPr>
          <w:rFonts w:ascii="Arial" w:hAnsi="Arial" w:cs="Arial"/>
          <w:b/>
          <w:sz w:val="24"/>
          <w:szCs w:val="24"/>
        </w:rPr>
        <w:t xml:space="preserve"> IN TERMS OF PD 61 OF THE PRACTICE DIRECTIVES</w:t>
      </w:r>
    </w:p>
    <w:p w:rsidR="00436D58" w:rsidRDefault="00436D58" w:rsidP="00436D58">
      <w:r>
        <w:t>_____________________________________________________________________________________</w:t>
      </w:r>
    </w:p>
    <w:p w:rsidR="00436D58" w:rsidRPr="00BE3D7D" w:rsidRDefault="00BE3D7D" w:rsidP="00BE3D7D">
      <w:pPr>
        <w:spacing w:after="0" w:line="360" w:lineRule="auto"/>
        <w:jc w:val="both"/>
        <w:rPr>
          <w:rFonts w:ascii="Arial" w:hAnsi="Arial" w:cs="Arial"/>
          <w:sz w:val="24"/>
          <w:szCs w:val="24"/>
        </w:rPr>
      </w:pPr>
      <w:r w:rsidRPr="00BE3D7D">
        <w:rPr>
          <w:rFonts w:ascii="Arial" w:hAnsi="Arial" w:cs="Arial"/>
          <w:sz w:val="24"/>
          <w:szCs w:val="24"/>
        </w:rPr>
        <w:t>PRINSLOO J:</w:t>
      </w:r>
    </w:p>
    <w:p w:rsidR="00BE3D7D" w:rsidRDefault="00BE3D7D" w:rsidP="00BE3D7D">
      <w:pPr>
        <w:spacing w:after="0" w:line="360" w:lineRule="auto"/>
      </w:pPr>
    </w:p>
    <w:p w:rsidR="00EC3953" w:rsidRDefault="008914EA" w:rsidP="00BE3D7D">
      <w:pPr>
        <w:spacing w:after="0" w:line="360" w:lineRule="auto"/>
        <w:jc w:val="both"/>
        <w:rPr>
          <w:rFonts w:ascii="Arial" w:hAnsi="Arial" w:cs="Arial"/>
          <w:sz w:val="24"/>
        </w:rPr>
      </w:pPr>
      <w:r>
        <w:rPr>
          <w:rFonts w:ascii="Arial" w:hAnsi="Arial" w:cs="Arial"/>
          <w:sz w:val="24"/>
        </w:rPr>
        <w:t>[1]</w:t>
      </w:r>
      <w:r w:rsidR="00F8593F">
        <w:rPr>
          <w:rFonts w:ascii="Arial" w:hAnsi="Arial" w:cs="Arial"/>
          <w:sz w:val="24"/>
        </w:rPr>
        <w:tab/>
        <w:t xml:space="preserve">This ruling is based on the issue involving an application made by the defendant to amend its counterclaim. This is necessitated to deal with disputes </w:t>
      </w:r>
      <w:r w:rsidR="000355AD" w:rsidRPr="00BE3D7D">
        <w:rPr>
          <w:rFonts w:ascii="Arial" w:hAnsi="Arial" w:cs="Arial"/>
          <w:color w:val="000000" w:themeColor="text1"/>
          <w:sz w:val="24"/>
        </w:rPr>
        <w:t>in</w:t>
      </w:r>
      <w:r w:rsidR="00F8593F">
        <w:rPr>
          <w:rFonts w:ascii="Arial" w:hAnsi="Arial" w:cs="Arial"/>
          <w:sz w:val="24"/>
        </w:rPr>
        <w:t>volving immovable property acquired in the duration of the marriage between the parties in this matter.</w:t>
      </w:r>
      <w:r w:rsidR="00D90BA3">
        <w:rPr>
          <w:rFonts w:ascii="Arial" w:hAnsi="Arial" w:cs="Arial"/>
          <w:sz w:val="24"/>
        </w:rPr>
        <w:t xml:space="preserve"> </w:t>
      </w:r>
      <w:r w:rsidR="00722C60">
        <w:rPr>
          <w:rFonts w:ascii="Arial" w:hAnsi="Arial" w:cs="Arial"/>
          <w:sz w:val="24"/>
        </w:rPr>
        <w:t>For purposes of this ruling, I shall refer to the parties as in the main action.</w:t>
      </w:r>
    </w:p>
    <w:p w:rsidR="00A62A95" w:rsidRDefault="00A62A95" w:rsidP="00BE3D7D">
      <w:pPr>
        <w:spacing w:after="0" w:line="360" w:lineRule="auto"/>
        <w:jc w:val="both"/>
        <w:rPr>
          <w:rFonts w:ascii="Arial" w:hAnsi="Arial" w:cs="Arial"/>
          <w:sz w:val="24"/>
        </w:rPr>
      </w:pPr>
    </w:p>
    <w:p w:rsidR="00436D58" w:rsidRDefault="00EC3953" w:rsidP="00BE3D7D">
      <w:pPr>
        <w:spacing w:after="0" w:line="360" w:lineRule="auto"/>
        <w:jc w:val="both"/>
        <w:rPr>
          <w:rFonts w:ascii="Arial" w:hAnsi="Arial" w:cs="Arial"/>
          <w:sz w:val="24"/>
          <w:u w:val="single"/>
        </w:rPr>
      </w:pPr>
      <w:r w:rsidRPr="00EC3953">
        <w:rPr>
          <w:rFonts w:ascii="Arial" w:hAnsi="Arial" w:cs="Arial"/>
          <w:sz w:val="24"/>
          <w:u w:val="single"/>
        </w:rPr>
        <w:t>Factual Background</w:t>
      </w:r>
    </w:p>
    <w:p w:rsidR="000D0ED1" w:rsidRPr="00EC3953" w:rsidRDefault="000D0ED1" w:rsidP="00BE3D7D">
      <w:pPr>
        <w:spacing w:after="0" w:line="360" w:lineRule="auto"/>
        <w:jc w:val="both"/>
        <w:rPr>
          <w:rFonts w:ascii="Arial" w:hAnsi="Arial" w:cs="Arial"/>
          <w:sz w:val="24"/>
          <w:u w:val="single"/>
        </w:rPr>
      </w:pPr>
    </w:p>
    <w:p w:rsidR="00436D58" w:rsidRDefault="00436D58" w:rsidP="00BE3D7D">
      <w:pPr>
        <w:spacing w:after="0" w:line="360" w:lineRule="auto"/>
        <w:jc w:val="both"/>
        <w:rPr>
          <w:rFonts w:ascii="Arial" w:hAnsi="Arial" w:cs="Arial"/>
          <w:sz w:val="24"/>
        </w:rPr>
      </w:pPr>
      <w:r>
        <w:rPr>
          <w:rFonts w:ascii="Arial" w:hAnsi="Arial" w:cs="Arial"/>
          <w:sz w:val="24"/>
        </w:rPr>
        <w:t>[2]</w:t>
      </w:r>
      <w:r>
        <w:rPr>
          <w:rFonts w:ascii="Arial" w:hAnsi="Arial" w:cs="Arial"/>
          <w:sz w:val="24"/>
        </w:rPr>
        <w:tab/>
      </w:r>
      <w:r w:rsidR="00EC3953">
        <w:rPr>
          <w:rFonts w:ascii="Arial" w:hAnsi="Arial" w:cs="Arial"/>
          <w:sz w:val="24"/>
        </w:rPr>
        <w:t xml:space="preserve">The parties were married </w:t>
      </w:r>
      <w:r w:rsidR="00850B1F">
        <w:rPr>
          <w:rFonts w:ascii="Arial" w:hAnsi="Arial" w:cs="Arial"/>
          <w:sz w:val="24"/>
        </w:rPr>
        <w:t xml:space="preserve">in the </w:t>
      </w:r>
      <w:proofErr w:type="spellStart"/>
      <w:r w:rsidR="00850B1F">
        <w:rPr>
          <w:rFonts w:ascii="Arial" w:hAnsi="Arial" w:cs="Arial"/>
          <w:sz w:val="24"/>
        </w:rPr>
        <w:t>Omusati</w:t>
      </w:r>
      <w:proofErr w:type="spellEnd"/>
      <w:r w:rsidR="00850B1F">
        <w:rPr>
          <w:rFonts w:ascii="Arial" w:hAnsi="Arial" w:cs="Arial"/>
          <w:sz w:val="24"/>
        </w:rPr>
        <w:t xml:space="preserve"> Region at </w:t>
      </w:r>
      <w:proofErr w:type="spellStart"/>
      <w:r w:rsidR="00850B1F">
        <w:rPr>
          <w:rFonts w:ascii="Arial" w:hAnsi="Arial" w:cs="Arial"/>
          <w:sz w:val="24"/>
        </w:rPr>
        <w:t>Anamulenge</w:t>
      </w:r>
      <w:proofErr w:type="spellEnd"/>
      <w:r w:rsidR="00850B1F">
        <w:rPr>
          <w:rFonts w:ascii="Arial" w:hAnsi="Arial" w:cs="Arial"/>
          <w:sz w:val="24"/>
        </w:rPr>
        <w:t xml:space="preserve"> Roman Catholic Church on 6 May 2016.</w:t>
      </w:r>
      <w:r w:rsidR="00980C85">
        <w:rPr>
          <w:rFonts w:ascii="Arial" w:hAnsi="Arial" w:cs="Arial"/>
          <w:sz w:val="24"/>
        </w:rPr>
        <w:t xml:space="preserve"> Th</w:t>
      </w:r>
      <w:r w:rsidR="00850B1F">
        <w:rPr>
          <w:rFonts w:ascii="Arial" w:hAnsi="Arial" w:cs="Arial"/>
          <w:sz w:val="24"/>
        </w:rPr>
        <w:t>ree children are born of marriage between the two parties.</w:t>
      </w:r>
      <w:r w:rsidR="00980C85">
        <w:rPr>
          <w:rFonts w:ascii="Arial" w:hAnsi="Arial" w:cs="Arial"/>
          <w:sz w:val="24"/>
        </w:rPr>
        <w:t xml:space="preserve"> On 21 February 2017, the plaintiff instituted divorce proceedings against the defendant on grounds of malicious desertion amongst others. The defendant filed a notice of intention to defend the proceedings on 6 March 2017 and after pleadings were exchanged, the parties went on to mediation which failed and concluded that a welfare report would be required to determine custody and control.</w:t>
      </w:r>
    </w:p>
    <w:p w:rsidR="00A62A95" w:rsidRDefault="00A62A95" w:rsidP="00BE3D7D">
      <w:pPr>
        <w:spacing w:after="0" w:line="360" w:lineRule="auto"/>
        <w:jc w:val="both"/>
        <w:rPr>
          <w:rFonts w:ascii="Arial" w:hAnsi="Arial" w:cs="Arial"/>
          <w:sz w:val="24"/>
        </w:rPr>
      </w:pPr>
    </w:p>
    <w:p w:rsidR="00850B1F" w:rsidRDefault="00850B1F" w:rsidP="00BE3D7D">
      <w:pPr>
        <w:spacing w:after="0" w:line="360" w:lineRule="auto"/>
        <w:jc w:val="both"/>
        <w:rPr>
          <w:rFonts w:ascii="Arial" w:hAnsi="Arial" w:cs="Arial"/>
          <w:sz w:val="24"/>
        </w:rPr>
      </w:pPr>
      <w:r>
        <w:rPr>
          <w:rFonts w:ascii="Arial" w:hAnsi="Arial" w:cs="Arial"/>
          <w:sz w:val="24"/>
        </w:rPr>
        <w:t>[3]</w:t>
      </w:r>
      <w:r>
        <w:rPr>
          <w:rFonts w:ascii="Arial" w:hAnsi="Arial" w:cs="Arial"/>
          <w:sz w:val="24"/>
        </w:rPr>
        <w:tab/>
      </w:r>
      <w:r w:rsidR="008C46EB">
        <w:rPr>
          <w:rFonts w:ascii="Arial" w:hAnsi="Arial" w:cs="Arial"/>
          <w:sz w:val="24"/>
        </w:rPr>
        <w:t xml:space="preserve">On 24 August 2017, the defendant filed a notice of intention to amend its counterclaim to the plaintiff’s claim seeking to join three additional parties to the </w:t>
      </w:r>
      <w:r w:rsidR="008C46EB">
        <w:rPr>
          <w:rFonts w:ascii="Arial" w:hAnsi="Arial" w:cs="Arial"/>
          <w:sz w:val="24"/>
        </w:rPr>
        <w:lastRenderedPageBreak/>
        <w:t xml:space="preserve">counterclaim. On 29 August 2017, the plaintiff opposed the intention to amend by raising the following grounds: </w:t>
      </w:r>
    </w:p>
    <w:p w:rsidR="00BE3D7D" w:rsidRDefault="00BE3D7D" w:rsidP="00BE3D7D">
      <w:pPr>
        <w:spacing w:after="0" w:line="360" w:lineRule="auto"/>
        <w:jc w:val="both"/>
        <w:rPr>
          <w:rFonts w:ascii="Arial" w:hAnsi="Arial" w:cs="Arial"/>
          <w:sz w:val="24"/>
        </w:rPr>
      </w:pPr>
    </w:p>
    <w:p w:rsidR="008C46EB" w:rsidRDefault="008C46EB" w:rsidP="00BE3D7D">
      <w:pPr>
        <w:tabs>
          <w:tab w:val="left" w:pos="0"/>
        </w:tabs>
        <w:spacing w:after="0" w:line="360" w:lineRule="auto"/>
        <w:jc w:val="both"/>
        <w:rPr>
          <w:rFonts w:ascii="Arial" w:hAnsi="Arial" w:cs="Arial"/>
          <w:sz w:val="24"/>
        </w:rPr>
      </w:pPr>
      <w:r>
        <w:rPr>
          <w:rFonts w:ascii="Arial" w:hAnsi="Arial" w:cs="Arial"/>
          <w:sz w:val="24"/>
        </w:rPr>
        <w:t>3.1.</w:t>
      </w:r>
      <w:r>
        <w:rPr>
          <w:rFonts w:ascii="Arial" w:hAnsi="Arial" w:cs="Arial"/>
          <w:sz w:val="24"/>
        </w:rPr>
        <w:tab/>
        <w:t>Whether a party may utilise rule 52 as opposed to rule 40 to join additional parties.</w:t>
      </w:r>
    </w:p>
    <w:p w:rsidR="00BE3D7D" w:rsidRDefault="00BE3D7D" w:rsidP="00BE3D7D">
      <w:pPr>
        <w:tabs>
          <w:tab w:val="left" w:pos="0"/>
        </w:tabs>
        <w:spacing w:after="0" w:line="360" w:lineRule="auto"/>
        <w:jc w:val="both"/>
        <w:rPr>
          <w:rFonts w:ascii="Arial" w:hAnsi="Arial" w:cs="Arial"/>
          <w:sz w:val="24"/>
        </w:rPr>
      </w:pPr>
    </w:p>
    <w:p w:rsidR="008C46EB" w:rsidRDefault="008C46EB" w:rsidP="00BE3D7D">
      <w:pPr>
        <w:tabs>
          <w:tab w:val="left" w:pos="0"/>
        </w:tabs>
        <w:spacing w:after="0" w:line="360" w:lineRule="auto"/>
        <w:jc w:val="both"/>
        <w:rPr>
          <w:rFonts w:ascii="Arial" w:hAnsi="Arial" w:cs="Arial"/>
          <w:sz w:val="24"/>
        </w:rPr>
      </w:pPr>
      <w:r>
        <w:rPr>
          <w:rFonts w:ascii="Arial" w:hAnsi="Arial" w:cs="Arial"/>
          <w:sz w:val="24"/>
        </w:rPr>
        <w:t>3.2.</w:t>
      </w:r>
      <w:r>
        <w:rPr>
          <w:rFonts w:ascii="Arial" w:hAnsi="Arial" w:cs="Arial"/>
          <w:sz w:val="24"/>
        </w:rPr>
        <w:tab/>
        <w:t>Whether a party whose “joinder” is sought ought to be notified of the “joinder” proceedings.</w:t>
      </w:r>
    </w:p>
    <w:p w:rsidR="00BE3D7D" w:rsidRDefault="00BE3D7D" w:rsidP="00BE3D7D">
      <w:pPr>
        <w:tabs>
          <w:tab w:val="left" w:pos="0"/>
        </w:tabs>
        <w:spacing w:after="0" w:line="360" w:lineRule="auto"/>
        <w:jc w:val="both"/>
        <w:rPr>
          <w:rFonts w:ascii="Arial" w:hAnsi="Arial" w:cs="Arial"/>
          <w:sz w:val="24"/>
        </w:rPr>
      </w:pPr>
    </w:p>
    <w:p w:rsidR="008C46EB" w:rsidRDefault="008C46EB" w:rsidP="00BE3D7D">
      <w:pPr>
        <w:tabs>
          <w:tab w:val="left" w:pos="0"/>
        </w:tabs>
        <w:spacing w:after="0" w:line="360" w:lineRule="auto"/>
        <w:jc w:val="both"/>
        <w:rPr>
          <w:rFonts w:ascii="Arial" w:hAnsi="Arial" w:cs="Arial"/>
          <w:sz w:val="24"/>
        </w:rPr>
      </w:pPr>
      <w:r>
        <w:rPr>
          <w:rFonts w:ascii="Arial" w:hAnsi="Arial" w:cs="Arial"/>
          <w:sz w:val="24"/>
        </w:rPr>
        <w:t>3.3.</w:t>
      </w:r>
      <w:r>
        <w:rPr>
          <w:rFonts w:ascii="Arial" w:hAnsi="Arial" w:cs="Arial"/>
          <w:sz w:val="24"/>
        </w:rPr>
        <w:tab/>
        <w:t>Locus standi specifically whether in the founding affidavit the deponent has alleged tha</w:t>
      </w:r>
      <w:r w:rsidR="00B22BB3">
        <w:rPr>
          <w:rFonts w:ascii="Arial" w:hAnsi="Arial" w:cs="Arial"/>
          <w:sz w:val="24"/>
        </w:rPr>
        <w:t>t she is authorised to institute</w:t>
      </w:r>
      <w:r>
        <w:rPr>
          <w:rFonts w:ascii="Arial" w:hAnsi="Arial" w:cs="Arial"/>
          <w:sz w:val="24"/>
        </w:rPr>
        <w:t xml:space="preserve"> and prosecute the application for an amendment. </w:t>
      </w:r>
    </w:p>
    <w:p w:rsidR="000D0ED1" w:rsidRPr="00AF7186" w:rsidRDefault="000D0ED1" w:rsidP="00BE3D7D">
      <w:pPr>
        <w:spacing w:after="0" w:line="360" w:lineRule="auto"/>
        <w:ind w:left="720"/>
        <w:jc w:val="both"/>
        <w:rPr>
          <w:rFonts w:ascii="Arial" w:hAnsi="Arial" w:cs="Arial"/>
          <w:sz w:val="24"/>
          <w:lang w:val="en-US"/>
        </w:rPr>
      </w:pPr>
    </w:p>
    <w:p w:rsidR="00436D58" w:rsidRDefault="00B22BB3" w:rsidP="00BE3D7D">
      <w:pPr>
        <w:spacing w:after="0" w:line="360" w:lineRule="auto"/>
        <w:jc w:val="both"/>
        <w:rPr>
          <w:rFonts w:ascii="Arial" w:hAnsi="Arial" w:cs="Arial"/>
          <w:sz w:val="24"/>
        </w:rPr>
      </w:pPr>
      <w:r>
        <w:rPr>
          <w:rFonts w:ascii="Arial" w:hAnsi="Arial" w:cs="Arial"/>
          <w:sz w:val="24"/>
        </w:rPr>
        <w:t>[4]</w:t>
      </w:r>
      <w:r>
        <w:rPr>
          <w:rFonts w:ascii="Arial" w:hAnsi="Arial" w:cs="Arial"/>
          <w:sz w:val="24"/>
        </w:rPr>
        <w:tab/>
        <w:t>What is seemingly forming the key issue in dispute is with regards to donations of immovable property. The facts surrounding the immovable properties are as follows:</w:t>
      </w:r>
    </w:p>
    <w:p w:rsidR="00BE3D7D" w:rsidRDefault="00BE3D7D" w:rsidP="00BE3D7D">
      <w:pPr>
        <w:spacing w:after="0" w:line="360" w:lineRule="auto"/>
        <w:jc w:val="both"/>
        <w:rPr>
          <w:rFonts w:ascii="Arial" w:hAnsi="Arial" w:cs="Arial"/>
          <w:sz w:val="24"/>
        </w:rPr>
      </w:pPr>
    </w:p>
    <w:p w:rsidR="00B22BB3" w:rsidRDefault="00B22BB3" w:rsidP="00BE3D7D">
      <w:pPr>
        <w:tabs>
          <w:tab w:val="left" w:pos="0"/>
        </w:tabs>
        <w:spacing w:after="0" w:line="360" w:lineRule="auto"/>
        <w:jc w:val="both"/>
        <w:rPr>
          <w:rFonts w:ascii="Arial" w:hAnsi="Arial" w:cs="Arial"/>
          <w:sz w:val="24"/>
        </w:rPr>
      </w:pPr>
      <w:r>
        <w:rPr>
          <w:rFonts w:ascii="Arial" w:hAnsi="Arial" w:cs="Arial"/>
          <w:sz w:val="24"/>
        </w:rPr>
        <w:t>4.1. The plaintiff acquired two immovable properties prior to the marriage and during the subsistence of the marriage, Erf 9687 and Erf 9805 (portions of Erf 8445) Extension 15, Katutura, Windhoek, Republic of Namibia was purchased. Two mortgage bonds are registered on the property and both parties contributed to the maintenance and payment of the mortgage bonds.</w:t>
      </w:r>
    </w:p>
    <w:p w:rsidR="00BE3D7D" w:rsidRDefault="00BE3D7D" w:rsidP="00BE3D7D">
      <w:pPr>
        <w:tabs>
          <w:tab w:val="left" w:pos="0"/>
        </w:tabs>
        <w:spacing w:after="0" w:line="360" w:lineRule="auto"/>
        <w:jc w:val="both"/>
        <w:rPr>
          <w:rFonts w:ascii="Arial" w:hAnsi="Arial" w:cs="Arial"/>
          <w:sz w:val="24"/>
        </w:rPr>
      </w:pPr>
    </w:p>
    <w:p w:rsidR="00B22BB3" w:rsidRDefault="00B22BB3" w:rsidP="00BE3D7D">
      <w:pPr>
        <w:tabs>
          <w:tab w:val="left" w:pos="0"/>
        </w:tabs>
        <w:spacing w:after="0" w:line="360" w:lineRule="auto"/>
        <w:jc w:val="both"/>
        <w:rPr>
          <w:rFonts w:ascii="Arial" w:hAnsi="Arial" w:cs="Arial"/>
          <w:sz w:val="24"/>
        </w:rPr>
      </w:pPr>
      <w:r>
        <w:rPr>
          <w:rFonts w:ascii="Arial" w:hAnsi="Arial" w:cs="Arial"/>
          <w:sz w:val="24"/>
        </w:rPr>
        <w:t xml:space="preserve">4.2. </w:t>
      </w:r>
      <w:r w:rsidR="005773D4">
        <w:rPr>
          <w:rFonts w:ascii="Arial" w:hAnsi="Arial" w:cs="Arial"/>
          <w:sz w:val="24"/>
        </w:rPr>
        <w:t xml:space="preserve">The parties also acquired immovable property to wit, a traditional homestead in </w:t>
      </w:r>
      <w:proofErr w:type="spellStart"/>
      <w:r w:rsidR="005773D4">
        <w:rPr>
          <w:rFonts w:ascii="Arial" w:hAnsi="Arial" w:cs="Arial"/>
          <w:sz w:val="24"/>
        </w:rPr>
        <w:t>Okamboola</w:t>
      </w:r>
      <w:proofErr w:type="spellEnd"/>
      <w:r w:rsidR="005773D4">
        <w:rPr>
          <w:rFonts w:ascii="Arial" w:hAnsi="Arial" w:cs="Arial"/>
          <w:sz w:val="24"/>
        </w:rPr>
        <w:t xml:space="preserve"> Village, </w:t>
      </w:r>
      <w:proofErr w:type="spellStart"/>
      <w:r w:rsidR="005773D4">
        <w:rPr>
          <w:rFonts w:ascii="Arial" w:hAnsi="Arial" w:cs="Arial"/>
          <w:sz w:val="24"/>
        </w:rPr>
        <w:t>Ruacana</w:t>
      </w:r>
      <w:proofErr w:type="spellEnd"/>
      <w:r w:rsidR="005773D4">
        <w:rPr>
          <w:rFonts w:ascii="Arial" w:hAnsi="Arial" w:cs="Arial"/>
          <w:sz w:val="24"/>
        </w:rPr>
        <w:t xml:space="preserve"> constituency, Republic of Namibia as well as a plot in Rehoboth. Both parties contributed to the acquisition and maintenance of the aforesaid immovable properties. </w:t>
      </w:r>
      <w:r w:rsidR="004E7649">
        <w:rPr>
          <w:rFonts w:ascii="Arial" w:hAnsi="Arial" w:cs="Arial"/>
          <w:sz w:val="24"/>
        </w:rPr>
        <w:t xml:space="preserve">In addition, the parties acquired another immovable property to wit, No. 543 Extension 1, </w:t>
      </w:r>
      <w:proofErr w:type="spellStart"/>
      <w:r w:rsidR="004E7649">
        <w:rPr>
          <w:rFonts w:ascii="Arial" w:hAnsi="Arial" w:cs="Arial"/>
          <w:sz w:val="24"/>
        </w:rPr>
        <w:t>Outapi</w:t>
      </w:r>
      <w:proofErr w:type="spellEnd"/>
      <w:r w:rsidR="004E7649">
        <w:rPr>
          <w:rFonts w:ascii="Arial" w:hAnsi="Arial" w:cs="Arial"/>
          <w:sz w:val="24"/>
        </w:rPr>
        <w:t xml:space="preserve">, Republic of Namibia, to which the parties contributed to its acquisition and maintenance. </w:t>
      </w:r>
    </w:p>
    <w:p w:rsidR="00BE3D7D" w:rsidRDefault="00BE3D7D" w:rsidP="00BE3D7D">
      <w:pPr>
        <w:tabs>
          <w:tab w:val="left" w:pos="0"/>
        </w:tabs>
        <w:spacing w:after="0" w:line="360" w:lineRule="auto"/>
        <w:jc w:val="both"/>
        <w:rPr>
          <w:rFonts w:ascii="Arial" w:hAnsi="Arial" w:cs="Arial"/>
          <w:sz w:val="24"/>
        </w:rPr>
      </w:pPr>
    </w:p>
    <w:p w:rsidR="008703AA" w:rsidRDefault="004E7649" w:rsidP="00BE3D7D">
      <w:pPr>
        <w:tabs>
          <w:tab w:val="left" w:pos="0"/>
        </w:tabs>
        <w:spacing w:after="0" w:line="360" w:lineRule="auto"/>
        <w:jc w:val="both"/>
        <w:rPr>
          <w:rFonts w:ascii="Arial" w:hAnsi="Arial" w:cs="Arial"/>
          <w:sz w:val="24"/>
        </w:rPr>
      </w:pPr>
      <w:r>
        <w:rPr>
          <w:rFonts w:ascii="Arial" w:hAnsi="Arial" w:cs="Arial"/>
          <w:sz w:val="24"/>
        </w:rPr>
        <w:t xml:space="preserve">4.3. On 23 March 2016, the plaintiff donated Erf 9805 to </w:t>
      </w:r>
      <w:proofErr w:type="spellStart"/>
      <w:r>
        <w:rPr>
          <w:rFonts w:ascii="Arial" w:hAnsi="Arial" w:cs="Arial"/>
          <w:sz w:val="24"/>
        </w:rPr>
        <w:t>Taleni</w:t>
      </w:r>
      <w:proofErr w:type="spellEnd"/>
      <w:r>
        <w:rPr>
          <w:rFonts w:ascii="Arial" w:hAnsi="Arial" w:cs="Arial"/>
          <w:sz w:val="24"/>
        </w:rPr>
        <w:t xml:space="preserve"> Shirley </w:t>
      </w:r>
      <w:proofErr w:type="spellStart"/>
      <w:r>
        <w:rPr>
          <w:rFonts w:ascii="Arial" w:hAnsi="Arial" w:cs="Arial"/>
          <w:sz w:val="24"/>
        </w:rPr>
        <w:t>Andjamba</w:t>
      </w:r>
      <w:proofErr w:type="spellEnd"/>
      <w:r>
        <w:rPr>
          <w:rFonts w:ascii="Arial" w:hAnsi="Arial" w:cs="Arial"/>
          <w:sz w:val="24"/>
        </w:rPr>
        <w:t xml:space="preserve"> and </w:t>
      </w:r>
      <w:proofErr w:type="spellStart"/>
      <w:r>
        <w:rPr>
          <w:rFonts w:ascii="Arial" w:hAnsi="Arial" w:cs="Arial"/>
          <w:sz w:val="24"/>
        </w:rPr>
        <w:t>Naindji</w:t>
      </w:r>
      <w:proofErr w:type="spellEnd"/>
      <w:r>
        <w:rPr>
          <w:rFonts w:ascii="Arial" w:hAnsi="Arial" w:cs="Arial"/>
          <w:sz w:val="24"/>
        </w:rPr>
        <w:t xml:space="preserve"> Hileni </w:t>
      </w:r>
      <w:proofErr w:type="spellStart"/>
      <w:r>
        <w:rPr>
          <w:rFonts w:ascii="Arial" w:hAnsi="Arial" w:cs="Arial"/>
          <w:sz w:val="24"/>
        </w:rPr>
        <w:t>Andjamba</w:t>
      </w:r>
      <w:proofErr w:type="spellEnd"/>
      <w:r>
        <w:rPr>
          <w:rFonts w:ascii="Arial" w:hAnsi="Arial" w:cs="Arial"/>
          <w:sz w:val="24"/>
        </w:rPr>
        <w:t xml:space="preserve"> as children of the plaintiff. </w:t>
      </w:r>
      <w:r w:rsidR="00B91C08">
        <w:rPr>
          <w:rFonts w:ascii="Arial" w:hAnsi="Arial" w:cs="Arial"/>
          <w:sz w:val="24"/>
        </w:rPr>
        <w:t xml:space="preserve"> Further some time later, Erf No. 543 Extension 1, </w:t>
      </w:r>
      <w:proofErr w:type="spellStart"/>
      <w:r w:rsidR="00B91C08">
        <w:rPr>
          <w:rFonts w:ascii="Arial" w:hAnsi="Arial" w:cs="Arial"/>
          <w:sz w:val="24"/>
        </w:rPr>
        <w:t>Outapi</w:t>
      </w:r>
      <w:proofErr w:type="spellEnd"/>
      <w:r w:rsidR="00B91C08">
        <w:rPr>
          <w:rFonts w:ascii="Arial" w:hAnsi="Arial" w:cs="Arial"/>
          <w:sz w:val="24"/>
        </w:rPr>
        <w:t xml:space="preserve">, Republic of Namibia was donated to </w:t>
      </w:r>
      <w:proofErr w:type="spellStart"/>
      <w:r w:rsidR="00B91C08">
        <w:rPr>
          <w:rFonts w:ascii="Arial" w:hAnsi="Arial" w:cs="Arial"/>
          <w:sz w:val="24"/>
        </w:rPr>
        <w:t>Taleni</w:t>
      </w:r>
      <w:proofErr w:type="spellEnd"/>
      <w:r w:rsidR="00B91C08">
        <w:rPr>
          <w:rFonts w:ascii="Arial" w:hAnsi="Arial" w:cs="Arial"/>
          <w:sz w:val="24"/>
        </w:rPr>
        <w:t xml:space="preserve"> Shirley </w:t>
      </w:r>
      <w:proofErr w:type="spellStart"/>
      <w:r w:rsidR="00B91C08">
        <w:rPr>
          <w:rFonts w:ascii="Arial" w:hAnsi="Arial" w:cs="Arial"/>
          <w:sz w:val="24"/>
        </w:rPr>
        <w:t>Andjamba</w:t>
      </w:r>
      <w:proofErr w:type="spellEnd"/>
      <w:r w:rsidR="00B91C08">
        <w:rPr>
          <w:rFonts w:ascii="Arial" w:hAnsi="Arial" w:cs="Arial"/>
          <w:sz w:val="24"/>
        </w:rPr>
        <w:t xml:space="preserve">. In this </w:t>
      </w:r>
      <w:r w:rsidR="00B91C08">
        <w:rPr>
          <w:rFonts w:ascii="Arial" w:hAnsi="Arial" w:cs="Arial"/>
          <w:sz w:val="24"/>
        </w:rPr>
        <w:lastRenderedPageBreak/>
        <w:t>regard, the defendant makes the submission that the title deed reflected the plaintiff as an unmarried person.</w:t>
      </w:r>
    </w:p>
    <w:p w:rsidR="00BE3D7D" w:rsidRDefault="00BE3D7D" w:rsidP="00BE3D7D">
      <w:pPr>
        <w:tabs>
          <w:tab w:val="left" w:pos="0"/>
        </w:tabs>
        <w:spacing w:after="0" w:line="360" w:lineRule="auto"/>
        <w:jc w:val="both"/>
        <w:rPr>
          <w:rFonts w:ascii="Arial" w:hAnsi="Arial" w:cs="Arial"/>
          <w:sz w:val="24"/>
        </w:rPr>
      </w:pPr>
    </w:p>
    <w:p w:rsidR="001060B6" w:rsidRDefault="001060B6" w:rsidP="00BE3D7D">
      <w:pPr>
        <w:spacing w:after="0" w:line="360" w:lineRule="auto"/>
        <w:jc w:val="both"/>
        <w:rPr>
          <w:rFonts w:ascii="Arial" w:hAnsi="Arial" w:cs="Arial"/>
          <w:sz w:val="24"/>
          <w:u w:val="single"/>
        </w:rPr>
      </w:pPr>
      <w:r w:rsidRPr="001060B6">
        <w:rPr>
          <w:rFonts w:ascii="Arial" w:hAnsi="Arial" w:cs="Arial"/>
          <w:sz w:val="24"/>
          <w:u w:val="single"/>
        </w:rPr>
        <w:t>Issues in dispute</w:t>
      </w:r>
    </w:p>
    <w:p w:rsidR="000D0ED1" w:rsidRPr="001060B6" w:rsidRDefault="000D0ED1" w:rsidP="00BE3D7D">
      <w:pPr>
        <w:spacing w:after="0" w:line="360" w:lineRule="auto"/>
        <w:jc w:val="both"/>
        <w:rPr>
          <w:rFonts w:ascii="Arial" w:hAnsi="Arial" w:cs="Arial"/>
          <w:sz w:val="24"/>
          <w:u w:val="single"/>
        </w:rPr>
      </w:pPr>
    </w:p>
    <w:p w:rsidR="00B91C08" w:rsidRDefault="00B91C08" w:rsidP="00BE3D7D">
      <w:pPr>
        <w:spacing w:after="0" w:line="360" w:lineRule="auto"/>
        <w:jc w:val="both"/>
        <w:rPr>
          <w:rFonts w:ascii="Arial" w:hAnsi="Arial" w:cs="Arial"/>
          <w:sz w:val="24"/>
        </w:rPr>
      </w:pPr>
      <w:r>
        <w:rPr>
          <w:rFonts w:ascii="Arial" w:hAnsi="Arial" w:cs="Arial"/>
          <w:sz w:val="24"/>
        </w:rPr>
        <w:t>[5]</w:t>
      </w:r>
      <w:r>
        <w:rPr>
          <w:rFonts w:ascii="Arial" w:hAnsi="Arial" w:cs="Arial"/>
          <w:sz w:val="24"/>
        </w:rPr>
        <w:tab/>
      </w:r>
      <w:r w:rsidR="001E169A">
        <w:rPr>
          <w:rFonts w:ascii="Arial" w:hAnsi="Arial" w:cs="Arial"/>
          <w:sz w:val="24"/>
        </w:rPr>
        <w:t xml:space="preserve">Essentially the parties to this dispute are not </w:t>
      </w:r>
      <w:r w:rsidR="001E169A" w:rsidRPr="00CE3EC3">
        <w:rPr>
          <w:rFonts w:ascii="Arial" w:hAnsi="Arial" w:cs="Arial"/>
          <w:i/>
          <w:sz w:val="24"/>
        </w:rPr>
        <w:t>a</w:t>
      </w:r>
      <w:r w:rsidR="000355AD" w:rsidRPr="00CE3EC3">
        <w:rPr>
          <w:rFonts w:ascii="Arial" w:hAnsi="Arial" w:cs="Arial"/>
          <w:i/>
          <w:sz w:val="24"/>
        </w:rPr>
        <w:t>d</w:t>
      </w:r>
      <w:r w:rsidR="001E169A" w:rsidRPr="00CE3EC3">
        <w:rPr>
          <w:rFonts w:ascii="Arial" w:hAnsi="Arial" w:cs="Arial"/>
          <w:i/>
          <w:sz w:val="24"/>
        </w:rPr>
        <w:t xml:space="preserve"> idem</w:t>
      </w:r>
      <w:r w:rsidR="001E169A" w:rsidRPr="00CE3EC3">
        <w:rPr>
          <w:rFonts w:ascii="Arial" w:hAnsi="Arial" w:cs="Arial"/>
          <w:sz w:val="24"/>
        </w:rPr>
        <w:t xml:space="preserve"> </w:t>
      </w:r>
      <w:r w:rsidR="001E169A">
        <w:rPr>
          <w:rFonts w:ascii="Arial" w:hAnsi="Arial" w:cs="Arial"/>
          <w:sz w:val="24"/>
        </w:rPr>
        <w:t>in terms of the governing regime of the marriage solemnized between them. The divorce action instituted by the plaintiff is based on notion that the marriage took place out of community of property by virtue of the Native Administration Proclamation 15 of 1928</w:t>
      </w:r>
      <w:r w:rsidR="00097458">
        <w:rPr>
          <w:rFonts w:ascii="Arial" w:hAnsi="Arial" w:cs="Arial"/>
          <w:sz w:val="24"/>
        </w:rPr>
        <w:t xml:space="preserve"> as a marriage solemnized above the “Red Line”.</w:t>
      </w:r>
    </w:p>
    <w:p w:rsidR="00A62A95" w:rsidRDefault="00A62A95" w:rsidP="00BE3D7D">
      <w:pPr>
        <w:spacing w:after="0" w:line="360" w:lineRule="auto"/>
        <w:jc w:val="both"/>
        <w:rPr>
          <w:rFonts w:ascii="Arial" w:hAnsi="Arial" w:cs="Arial"/>
          <w:sz w:val="24"/>
        </w:rPr>
      </w:pPr>
    </w:p>
    <w:p w:rsidR="00B0426F" w:rsidRDefault="00097458" w:rsidP="00BE3D7D">
      <w:pPr>
        <w:spacing w:after="0" w:line="360" w:lineRule="auto"/>
        <w:jc w:val="both"/>
        <w:rPr>
          <w:rFonts w:ascii="Arial" w:hAnsi="Arial" w:cs="Arial"/>
          <w:sz w:val="24"/>
        </w:rPr>
      </w:pPr>
      <w:r>
        <w:rPr>
          <w:rFonts w:ascii="Arial" w:hAnsi="Arial" w:cs="Arial"/>
          <w:sz w:val="24"/>
        </w:rPr>
        <w:t>[6]</w:t>
      </w:r>
      <w:r>
        <w:rPr>
          <w:rFonts w:ascii="Arial" w:hAnsi="Arial" w:cs="Arial"/>
          <w:sz w:val="24"/>
        </w:rPr>
        <w:tab/>
        <w:t>The defendant counterclaimed the plaintiff’s claim, seeking an order declaring the marriage in community of property and to set aside the donations of the aforesaid properties allegedly done without her consent or knowledge.</w:t>
      </w:r>
    </w:p>
    <w:p w:rsidR="00B0426F" w:rsidRDefault="00B0426F" w:rsidP="00BE3D7D">
      <w:pPr>
        <w:spacing w:after="0" w:line="360" w:lineRule="auto"/>
        <w:jc w:val="both"/>
        <w:rPr>
          <w:rFonts w:ascii="Arial" w:hAnsi="Arial" w:cs="Arial"/>
          <w:sz w:val="24"/>
        </w:rPr>
      </w:pPr>
    </w:p>
    <w:p w:rsidR="000D0ED1" w:rsidRDefault="00B0426F" w:rsidP="00BE3D7D">
      <w:pPr>
        <w:spacing w:after="0" w:line="360" w:lineRule="auto"/>
        <w:jc w:val="both"/>
        <w:rPr>
          <w:rFonts w:ascii="Arial" w:hAnsi="Arial" w:cs="Arial"/>
          <w:i/>
          <w:sz w:val="24"/>
        </w:rPr>
      </w:pPr>
      <w:r w:rsidRPr="000D0ED1">
        <w:rPr>
          <w:rFonts w:ascii="Arial" w:hAnsi="Arial" w:cs="Arial"/>
          <w:i/>
          <w:sz w:val="24"/>
        </w:rPr>
        <w:t>Plaintiff’s submissions</w:t>
      </w:r>
    </w:p>
    <w:p w:rsidR="000D0ED1" w:rsidRPr="000D0ED1" w:rsidRDefault="000D0ED1" w:rsidP="00BE3D7D">
      <w:pPr>
        <w:spacing w:after="0" w:line="360" w:lineRule="auto"/>
        <w:jc w:val="both"/>
        <w:rPr>
          <w:rFonts w:ascii="Arial" w:hAnsi="Arial" w:cs="Arial"/>
          <w:i/>
          <w:sz w:val="24"/>
        </w:rPr>
      </w:pPr>
    </w:p>
    <w:p w:rsidR="00B0426F" w:rsidRDefault="00B0426F" w:rsidP="00BE3D7D">
      <w:pPr>
        <w:spacing w:after="0" w:line="360" w:lineRule="auto"/>
        <w:jc w:val="both"/>
        <w:rPr>
          <w:rFonts w:ascii="Arial" w:hAnsi="Arial" w:cs="Arial"/>
          <w:sz w:val="24"/>
        </w:rPr>
      </w:pPr>
      <w:r>
        <w:rPr>
          <w:rFonts w:ascii="Arial" w:hAnsi="Arial" w:cs="Arial"/>
          <w:sz w:val="24"/>
        </w:rPr>
        <w:t>[7]</w:t>
      </w:r>
      <w:r>
        <w:rPr>
          <w:rFonts w:ascii="Arial" w:hAnsi="Arial" w:cs="Arial"/>
          <w:sz w:val="24"/>
        </w:rPr>
        <w:tab/>
        <w:t>The plaintiff takes issue on the fact that the intended amendment application seeks to join third parties that are not parties to the application.</w:t>
      </w:r>
      <w:r w:rsidR="00E97AB3">
        <w:rPr>
          <w:rFonts w:ascii="Arial" w:hAnsi="Arial" w:cs="Arial"/>
          <w:sz w:val="24"/>
        </w:rPr>
        <w:t xml:space="preserve"> The plaintiff makes reference to the defendant’s replying affidavit wherein the defendant indicated that prior to an order of court joining the third parties, </w:t>
      </w:r>
      <w:r w:rsidR="0054236C">
        <w:rPr>
          <w:rFonts w:ascii="Arial" w:hAnsi="Arial" w:cs="Arial"/>
          <w:sz w:val="24"/>
        </w:rPr>
        <w:t>there</w:t>
      </w:r>
      <w:r w:rsidR="00E97AB3">
        <w:rPr>
          <w:rFonts w:ascii="Arial" w:hAnsi="Arial" w:cs="Arial"/>
          <w:sz w:val="24"/>
        </w:rPr>
        <w:t xml:space="preserve"> is no requirement to serve those parties. The plaintiff further submits that the approach of the defendant in this regard is premised on the notion that once the three defendants are joined, they shall have an opportunity to defend the counterclaim.</w:t>
      </w:r>
      <w:r>
        <w:rPr>
          <w:rFonts w:ascii="Arial" w:hAnsi="Arial" w:cs="Arial"/>
          <w:sz w:val="24"/>
        </w:rPr>
        <w:t xml:space="preserve"> The plaintiff in this respect further cites </w:t>
      </w:r>
      <w:r w:rsidRPr="0054236C">
        <w:rPr>
          <w:rFonts w:ascii="Arial" w:hAnsi="Arial" w:cs="Arial"/>
          <w:i/>
          <w:sz w:val="24"/>
        </w:rPr>
        <w:t xml:space="preserve">United Africa Group (Pty) Ltd v </w:t>
      </w:r>
      <w:proofErr w:type="spellStart"/>
      <w:r w:rsidRPr="0054236C">
        <w:rPr>
          <w:rFonts w:ascii="Arial" w:hAnsi="Arial" w:cs="Arial"/>
          <w:i/>
          <w:sz w:val="24"/>
        </w:rPr>
        <w:t>Uramin</w:t>
      </w:r>
      <w:proofErr w:type="spellEnd"/>
      <w:r w:rsidRPr="0054236C">
        <w:rPr>
          <w:rFonts w:ascii="Arial" w:hAnsi="Arial" w:cs="Arial"/>
          <w:i/>
          <w:sz w:val="24"/>
        </w:rPr>
        <w:t xml:space="preserve"> Incorporated</w:t>
      </w:r>
      <w:r>
        <w:rPr>
          <w:rStyle w:val="FootnoteReference"/>
          <w:rFonts w:ascii="Arial" w:hAnsi="Arial" w:cs="Arial"/>
          <w:sz w:val="24"/>
        </w:rPr>
        <w:footnoteReference w:id="1"/>
      </w:r>
      <w:r>
        <w:rPr>
          <w:rFonts w:ascii="Arial" w:hAnsi="Arial" w:cs="Arial"/>
          <w:sz w:val="24"/>
        </w:rPr>
        <w:t xml:space="preserve"> where </w:t>
      </w:r>
      <w:proofErr w:type="spellStart"/>
      <w:r>
        <w:rPr>
          <w:rFonts w:ascii="Arial" w:hAnsi="Arial" w:cs="Arial"/>
          <w:sz w:val="24"/>
        </w:rPr>
        <w:t>Masuku</w:t>
      </w:r>
      <w:proofErr w:type="spellEnd"/>
      <w:r>
        <w:rPr>
          <w:rFonts w:ascii="Arial" w:hAnsi="Arial" w:cs="Arial"/>
          <w:sz w:val="24"/>
        </w:rPr>
        <w:t xml:space="preserve"> J made the following observation:</w:t>
      </w:r>
    </w:p>
    <w:p w:rsidR="00BE3D7D" w:rsidRDefault="00BE3D7D" w:rsidP="00BE3D7D">
      <w:pPr>
        <w:spacing w:after="0" w:line="360" w:lineRule="auto"/>
        <w:jc w:val="both"/>
        <w:rPr>
          <w:rFonts w:ascii="Arial" w:hAnsi="Arial" w:cs="Arial"/>
          <w:sz w:val="24"/>
        </w:rPr>
      </w:pPr>
    </w:p>
    <w:p w:rsidR="00B0426F" w:rsidRDefault="00B0426F" w:rsidP="00BE3D7D">
      <w:pPr>
        <w:spacing w:after="0" w:line="360" w:lineRule="auto"/>
        <w:ind w:firstLine="720"/>
        <w:jc w:val="both"/>
        <w:rPr>
          <w:rFonts w:ascii="Arial" w:hAnsi="Arial" w:cs="Arial"/>
        </w:rPr>
      </w:pPr>
      <w:r w:rsidRPr="00B0426F">
        <w:rPr>
          <w:rFonts w:ascii="Arial" w:hAnsi="Arial" w:cs="Arial"/>
        </w:rPr>
        <w:t xml:space="preserve">“I am accordingly of the considered view that the application for joinder cannot and should not be granted in the present circumstances, where the parties affected by it are not cited and have not been served with the application to enable them to place their position before court and </w:t>
      </w:r>
      <w:proofErr w:type="gramStart"/>
      <w:r w:rsidRPr="00B0426F">
        <w:rPr>
          <w:rFonts w:ascii="Arial" w:hAnsi="Arial" w:cs="Arial"/>
        </w:rPr>
        <w:lastRenderedPageBreak/>
        <w:t>try</w:t>
      </w:r>
      <w:proofErr w:type="gramEnd"/>
      <w:r w:rsidRPr="00B0426F">
        <w:rPr>
          <w:rFonts w:ascii="Arial" w:hAnsi="Arial" w:cs="Arial"/>
        </w:rPr>
        <w:t xml:space="preserve"> as they may, to influence the direction that a proper order, which caters for all the interested parties’ rights and interests is made.”</w:t>
      </w:r>
    </w:p>
    <w:p w:rsidR="000D0ED1" w:rsidRDefault="000D0ED1" w:rsidP="00BE3D7D">
      <w:pPr>
        <w:spacing w:after="0" w:line="360" w:lineRule="auto"/>
        <w:jc w:val="both"/>
        <w:rPr>
          <w:rFonts w:ascii="Arial" w:hAnsi="Arial" w:cs="Arial"/>
        </w:rPr>
      </w:pPr>
    </w:p>
    <w:p w:rsidR="00B0426F" w:rsidRDefault="00B0426F" w:rsidP="00BE3D7D">
      <w:pPr>
        <w:spacing w:after="0" w:line="360" w:lineRule="auto"/>
        <w:jc w:val="both"/>
        <w:rPr>
          <w:rFonts w:ascii="Arial" w:hAnsi="Arial" w:cs="Arial"/>
          <w:sz w:val="24"/>
        </w:rPr>
      </w:pPr>
      <w:r w:rsidRPr="00B0426F">
        <w:rPr>
          <w:rFonts w:ascii="Arial" w:hAnsi="Arial" w:cs="Arial"/>
          <w:sz w:val="24"/>
        </w:rPr>
        <w:t>[8]</w:t>
      </w:r>
      <w:r>
        <w:rPr>
          <w:rFonts w:ascii="Arial" w:hAnsi="Arial" w:cs="Arial"/>
          <w:sz w:val="24"/>
        </w:rPr>
        <w:tab/>
        <w:t xml:space="preserve">The plaintiff is further of the view that </w:t>
      </w:r>
      <w:r w:rsidR="00E97AB3">
        <w:rPr>
          <w:rFonts w:ascii="Arial" w:hAnsi="Arial" w:cs="Arial"/>
          <w:sz w:val="24"/>
        </w:rPr>
        <w:t>the failure to serve and notify the three defendants is fatal to the application</w:t>
      </w:r>
      <w:r w:rsidR="0054236C">
        <w:rPr>
          <w:rFonts w:ascii="Arial" w:hAnsi="Arial" w:cs="Arial"/>
          <w:sz w:val="24"/>
        </w:rPr>
        <w:t xml:space="preserve"> and should be dismissed with costs.</w:t>
      </w:r>
    </w:p>
    <w:p w:rsidR="00A62A95" w:rsidRDefault="00A62A95" w:rsidP="00BE3D7D">
      <w:pPr>
        <w:spacing w:after="0" w:line="360" w:lineRule="auto"/>
        <w:jc w:val="both"/>
        <w:rPr>
          <w:rFonts w:ascii="Arial" w:hAnsi="Arial" w:cs="Arial"/>
          <w:sz w:val="24"/>
        </w:rPr>
      </w:pPr>
    </w:p>
    <w:p w:rsidR="00826C42" w:rsidRDefault="00826C42" w:rsidP="00BE3D7D">
      <w:pPr>
        <w:spacing w:after="0" w:line="360" w:lineRule="auto"/>
        <w:jc w:val="both"/>
        <w:rPr>
          <w:rFonts w:ascii="Arial" w:hAnsi="Arial" w:cs="Arial"/>
          <w:sz w:val="24"/>
        </w:rPr>
      </w:pPr>
      <w:r>
        <w:rPr>
          <w:rFonts w:ascii="Arial" w:hAnsi="Arial" w:cs="Arial"/>
          <w:sz w:val="24"/>
        </w:rPr>
        <w:t>[9]</w:t>
      </w:r>
      <w:r>
        <w:rPr>
          <w:rFonts w:ascii="Arial" w:hAnsi="Arial" w:cs="Arial"/>
          <w:sz w:val="24"/>
        </w:rPr>
        <w:tab/>
        <w:t>With regard to the applicable rule to join the three defendants, the plaintiff submits that it is common cause that the defendant chose to join the three identified parties by way of an amendment to the pleadings in terms of rule 52. The plaintiff is of the view that joinder of parties may only occur in terms of rule 40 for the following reasons:</w:t>
      </w:r>
    </w:p>
    <w:p w:rsidR="00BE3D7D" w:rsidRDefault="00BE3D7D" w:rsidP="00BE3D7D">
      <w:pPr>
        <w:spacing w:after="0" w:line="360" w:lineRule="auto"/>
        <w:jc w:val="both"/>
        <w:rPr>
          <w:rFonts w:ascii="Arial" w:hAnsi="Arial" w:cs="Arial"/>
          <w:sz w:val="24"/>
        </w:rPr>
      </w:pPr>
    </w:p>
    <w:p w:rsidR="00826C42" w:rsidRDefault="00826C42" w:rsidP="00BE3D7D">
      <w:pPr>
        <w:spacing w:after="0" w:line="360" w:lineRule="auto"/>
        <w:jc w:val="both"/>
        <w:rPr>
          <w:rFonts w:ascii="Arial" w:hAnsi="Arial" w:cs="Arial"/>
          <w:sz w:val="24"/>
        </w:rPr>
      </w:pPr>
      <w:r>
        <w:rPr>
          <w:rFonts w:ascii="Arial" w:hAnsi="Arial" w:cs="Arial"/>
          <w:sz w:val="24"/>
        </w:rPr>
        <w:t>9.1. Rule 40 was crafted with the sole purpose of being an instrument to be utilized by court and parties in determining whether a party should be joined to any proceedings pending in the high court.</w:t>
      </w:r>
    </w:p>
    <w:p w:rsidR="00BE3D7D" w:rsidRDefault="00BE3D7D" w:rsidP="00BE3D7D">
      <w:pPr>
        <w:spacing w:after="0" w:line="360" w:lineRule="auto"/>
        <w:jc w:val="both"/>
        <w:rPr>
          <w:rFonts w:ascii="Arial" w:hAnsi="Arial" w:cs="Arial"/>
          <w:sz w:val="24"/>
        </w:rPr>
      </w:pPr>
    </w:p>
    <w:p w:rsidR="00826C42" w:rsidRDefault="00826C42" w:rsidP="00BE3D7D">
      <w:pPr>
        <w:spacing w:after="0" w:line="360" w:lineRule="auto"/>
        <w:jc w:val="both"/>
        <w:rPr>
          <w:rFonts w:ascii="Arial" w:hAnsi="Arial" w:cs="Arial"/>
          <w:sz w:val="24"/>
        </w:rPr>
      </w:pPr>
      <w:r>
        <w:rPr>
          <w:rFonts w:ascii="Arial" w:hAnsi="Arial" w:cs="Arial"/>
          <w:sz w:val="24"/>
        </w:rPr>
        <w:t xml:space="preserve">9.2. </w:t>
      </w:r>
      <w:r w:rsidR="008A4100">
        <w:rPr>
          <w:rFonts w:ascii="Arial" w:hAnsi="Arial" w:cs="Arial"/>
          <w:sz w:val="24"/>
        </w:rPr>
        <w:t xml:space="preserve">It would be improper to allow interpretations that allow an applicant to </w:t>
      </w:r>
      <w:r w:rsidR="008A4100" w:rsidRPr="00CE3EC3">
        <w:rPr>
          <w:rFonts w:ascii="Arial" w:hAnsi="Arial" w:cs="Arial"/>
          <w:sz w:val="24"/>
        </w:rPr>
        <w:t>uti</w:t>
      </w:r>
      <w:r w:rsidR="000355AD" w:rsidRPr="00CE3EC3">
        <w:rPr>
          <w:rFonts w:ascii="Arial" w:hAnsi="Arial" w:cs="Arial"/>
          <w:sz w:val="24"/>
        </w:rPr>
        <w:t>l</w:t>
      </w:r>
      <w:r w:rsidR="008A4100" w:rsidRPr="00CE3EC3">
        <w:rPr>
          <w:rFonts w:ascii="Arial" w:hAnsi="Arial" w:cs="Arial"/>
          <w:sz w:val="24"/>
        </w:rPr>
        <w:t>ize</w:t>
      </w:r>
      <w:r w:rsidR="008A4100" w:rsidRPr="000355AD">
        <w:rPr>
          <w:rFonts w:ascii="Arial" w:hAnsi="Arial" w:cs="Arial"/>
          <w:color w:val="FF0000"/>
          <w:sz w:val="24"/>
        </w:rPr>
        <w:t xml:space="preserve"> </w:t>
      </w:r>
      <w:r w:rsidR="008A4100">
        <w:rPr>
          <w:rFonts w:ascii="Arial" w:hAnsi="Arial" w:cs="Arial"/>
          <w:sz w:val="24"/>
        </w:rPr>
        <w:t>two separate court rules to the same request. Furthermore, to allow parties joinders by way of rule 52 would render rule 40 redundant.</w:t>
      </w:r>
    </w:p>
    <w:p w:rsidR="000830D8" w:rsidRDefault="000830D8" w:rsidP="00BE3D7D">
      <w:pPr>
        <w:spacing w:after="0" w:line="360" w:lineRule="auto"/>
        <w:jc w:val="both"/>
        <w:rPr>
          <w:rFonts w:ascii="Arial" w:hAnsi="Arial" w:cs="Arial"/>
          <w:sz w:val="24"/>
        </w:rPr>
      </w:pPr>
    </w:p>
    <w:p w:rsidR="000830D8" w:rsidRDefault="000830D8" w:rsidP="00BE3D7D">
      <w:pPr>
        <w:spacing w:after="0" w:line="360" w:lineRule="auto"/>
        <w:jc w:val="both"/>
        <w:rPr>
          <w:rFonts w:ascii="Arial" w:hAnsi="Arial" w:cs="Arial"/>
          <w:sz w:val="24"/>
        </w:rPr>
      </w:pPr>
      <w:r>
        <w:rPr>
          <w:rFonts w:ascii="Arial" w:hAnsi="Arial" w:cs="Arial"/>
          <w:sz w:val="24"/>
        </w:rPr>
        <w:t>[10]</w:t>
      </w:r>
      <w:r>
        <w:rPr>
          <w:rFonts w:ascii="Arial" w:hAnsi="Arial" w:cs="Arial"/>
          <w:sz w:val="24"/>
        </w:rPr>
        <w:tab/>
        <w:t xml:space="preserve">Further on the point of </w:t>
      </w:r>
      <w:r w:rsidRPr="00CE3EC3">
        <w:rPr>
          <w:rFonts w:ascii="Arial" w:hAnsi="Arial" w:cs="Arial"/>
          <w:i/>
          <w:sz w:val="24"/>
        </w:rPr>
        <w:t>locus standi</w:t>
      </w:r>
      <w:r>
        <w:rPr>
          <w:rFonts w:ascii="Arial" w:hAnsi="Arial" w:cs="Arial"/>
          <w:sz w:val="24"/>
        </w:rPr>
        <w:t xml:space="preserve">, the plaintiff is of the view that it is common cause that the defendant admitted to the allegation that the institution and prosecution of the application was not addressed in the founding papers. In this regard, the plaintiff submits that the founding affidavit ought to have contained the allegations required for </w:t>
      </w:r>
      <w:r w:rsidRPr="00CE3EC3">
        <w:rPr>
          <w:rFonts w:ascii="Arial" w:hAnsi="Arial" w:cs="Arial"/>
          <w:i/>
          <w:sz w:val="24"/>
        </w:rPr>
        <w:t>locus</w:t>
      </w:r>
      <w:r>
        <w:rPr>
          <w:rFonts w:ascii="Arial" w:hAnsi="Arial" w:cs="Arial"/>
          <w:sz w:val="24"/>
        </w:rPr>
        <w:t xml:space="preserve">. The plaintiff cites </w:t>
      </w:r>
      <w:proofErr w:type="spellStart"/>
      <w:r w:rsidRPr="000355AD">
        <w:rPr>
          <w:rFonts w:ascii="Arial" w:hAnsi="Arial" w:cs="Arial"/>
          <w:i/>
          <w:sz w:val="24"/>
        </w:rPr>
        <w:t>Stipp</w:t>
      </w:r>
      <w:proofErr w:type="spellEnd"/>
      <w:r w:rsidRPr="000355AD">
        <w:rPr>
          <w:rFonts w:ascii="Arial" w:hAnsi="Arial" w:cs="Arial"/>
          <w:i/>
          <w:sz w:val="24"/>
        </w:rPr>
        <w:t xml:space="preserve"> and Another v Shade Centre and Others</w:t>
      </w:r>
      <w:r>
        <w:rPr>
          <w:rStyle w:val="FootnoteReference"/>
          <w:rFonts w:ascii="Arial" w:hAnsi="Arial" w:cs="Arial"/>
          <w:sz w:val="24"/>
        </w:rPr>
        <w:footnoteReference w:id="2"/>
      </w:r>
      <w:r>
        <w:rPr>
          <w:rFonts w:ascii="Arial" w:hAnsi="Arial" w:cs="Arial"/>
          <w:sz w:val="24"/>
        </w:rPr>
        <w:t xml:space="preserve"> where the court held the following:</w:t>
      </w:r>
    </w:p>
    <w:p w:rsidR="00BE3D7D" w:rsidRDefault="00BE3D7D" w:rsidP="00BE3D7D">
      <w:pPr>
        <w:spacing w:after="0" w:line="360" w:lineRule="auto"/>
        <w:jc w:val="both"/>
        <w:rPr>
          <w:rFonts w:ascii="Arial" w:hAnsi="Arial" w:cs="Arial"/>
          <w:sz w:val="24"/>
        </w:rPr>
      </w:pPr>
    </w:p>
    <w:p w:rsidR="000830D8" w:rsidRDefault="000830D8" w:rsidP="00BE3D7D">
      <w:pPr>
        <w:spacing w:after="0" w:line="360" w:lineRule="auto"/>
        <w:jc w:val="both"/>
        <w:rPr>
          <w:rFonts w:ascii="Arial" w:hAnsi="Arial" w:cs="Arial"/>
        </w:rPr>
      </w:pPr>
      <w:r>
        <w:rPr>
          <w:rFonts w:ascii="Arial" w:hAnsi="Arial" w:cs="Arial"/>
          <w:sz w:val="24"/>
        </w:rPr>
        <w:tab/>
      </w:r>
      <w:r w:rsidRPr="0000173A">
        <w:rPr>
          <w:rFonts w:ascii="Arial" w:hAnsi="Arial" w:cs="Arial"/>
        </w:rPr>
        <w:t>“In a long line of cases the Courts have stated as a general rule that an applicant in motion proceedings must set out his cause of action and supporting evidence in his founding affidavit. It is only in exceptional circumstances that the Court will allow an applicant to supplement its allegations in a replying affidavit in order to establish its case.”</w:t>
      </w:r>
    </w:p>
    <w:p w:rsidR="0000173A" w:rsidRDefault="0000173A" w:rsidP="00BE3D7D">
      <w:pPr>
        <w:spacing w:after="0" w:line="360" w:lineRule="auto"/>
        <w:jc w:val="both"/>
        <w:rPr>
          <w:rFonts w:ascii="Arial" w:hAnsi="Arial" w:cs="Arial"/>
        </w:rPr>
      </w:pPr>
    </w:p>
    <w:p w:rsidR="0000173A" w:rsidRDefault="0000173A" w:rsidP="00BE3D7D">
      <w:pPr>
        <w:spacing w:after="0" w:line="360" w:lineRule="auto"/>
        <w:jc w:val="both"/>
        <w:rPr>
          <w:rFonts w:ascii="Arial" w:hAnsi="Arial" w:cs="Arial"/>
          <w:sz w:val="24"/>
        </w:rPr>
      </w:pPr>
      <w:r w:rsidRPr="0000173A">
        <w:rPr>
          <w:rFonts w:ascii="Arial" w:hAnsi="Arial" w:cs="Arial"/>
          <w:sz w:val="24"/>
        </w:rPr>
        <w:t xml:space="preserve">The </w:t>
      </w:r>
      <w:r>
        <w:rPr>
          <w:rFonts w:ascii="Arial" w:hAnsi="Arial" w:cs="Arial"/>
          <w:sz w:val="24"/>
        </w:rPr>
        <w:t xml:space="preserve">plaintiff further submits that the defendant had to plead exceptional circumstances in order for the court to exercise its discretion and allow the essential averments for </w:t>
      </w:r>
      <w:r w:rsidRPr="00CE3EC3">
        <w:rPr>
          <w:rFonts w:ascii="Arial" w:hAnsi="Arial" w:cs="Arial"/>
          <w:i/>
          <w:sz w:val="24"/>
        </w:rPr>
        <w:t>locus standi</w:t>
      </w:r>
      <w:r w:rsidRPr="00CE3EC3">
        <w:rPr>
          <w:rFonts w:ascii="Arial" w:hAnsi="Arial" w:cs="Arial"/>
          <w:sz w:val="24"/>
        </w:rPr>
        <w:t xml:space="preserve"> </w:t>
      </w:r>
      <w:r>
        <w:rPr>
          <w:rFonts w:ascii="Arial" w:hAnsi="Arial" w:cs="Arial"/>
          <w:sz w:val="24"/>
        </w:rPr>
        <w:t xml:space="preserve">to be made in the replying affidavit. The plaintiff cites </w:t>
      </w:r>
      <w:r w:rsidRPr="000355AD">
        <w:rPr>
          <w:rFonts w:ascii="Arial" w:hAnsi="Arial" w:cs="Arial"/>
          <w:i/>
          <w:sz w:val="24"/>
        </w:rPr>
        <w:t>Coin Security Namibia (Pty) Ltd v Jacobs and Another</w:t>
      </w:r>
      <w:r>
        <w:rPr>
          <w:rStyle w:val="FootnoteReference"/>
          <w:rFonts w:ascii="Arial" w:hAnsi="Arial" w:cs="Arial"/>
          <w:sz w:val="24"/>
        </w:rPr>
        <w:footnoteReference w:id="3"/>
      </w:r>
      <w:r>
        <w:rPr>
          <w:rFonts w:ascii="Arial" w:hAnsi="Arial" w:cs="Arial"/>
          <w:sz w:val="24"/>
        </w:rPr>
        <w:t xml:space="preserve"> where the court made the following observation:</w:t>
      </w:r>
    </w:p>
    <w:p w:rsidR="00BE3D7D" w:rsidRDefault="00BE3D7D" w:rsidP="00BE3D7D">
      <w:pPr>
        <w:spacing w:after="0" w:line="360" w:lineRule="auto"/>
        <w:jc w:val="both"/>
        <w:rPr>
          <w:rFonts w:ascii="Arial" w:hAnsi="Arial" w:cs="Arial"/>
          <w:sz w:val="24"/>
        </w:rPr>
      </w:pPr>
    </w:p>
    <w:p w:rsidR="0000173A" w:rsidRDefault="0000173A" w:rsidP="00BE3D7D">
      <w:pPr>
        <w:spacing w:after="0" w:line="360" w:lineRule="auto"/>
        <w:jc w:val="both"/>
        <w:rPr>
          <w:rFonts w:ascii="Arial" w:hAnsi="Arial" w:cs="Arial"/>
        </w:rPr>
      </w:pPr>
      <w:r>
        <w:rPr>
          <w:rFonts w:ascii="Arial" w:hAnsi="Arial" w:cs="Arial"/>
          <w:sz w:val="24"/>
        </w:rPr>
        <w:tab/>
      </w:r>
      <w:r w:rsidRPr="004F7D90">
        <w:rPr>
          <w:rFonts w:ascii="Arial" w:hAnsi="Arial" w:cs="Arial"/>
        </w:rPr>
        <w:t>“I do not find any special or exceptional circumstances in this case such as to move the Court to exercise its discretion to allow the new matters to remain in the replying affidavit filed by applicant in this matter.”</w:t>
      </w:r>
    </w:p>
    <w:p w:rsidR="00BE3D7D" w:rsidRDefault="00BE3D7D" w:rsidP="00BE3D7D">
      <w:pPr>
        <w:spacing w:after="0" w:line="360" w:lineRule="auto"/>
        <w:jc w:val="both"/>
        <w:rPr>
          <w:rFonts w:ascii="Arial" w:hAnsi="Arial" w:cs="Arial"/>
          <w:sz w:val="24"/>
        </w:rPr>
      </w:pPr>
    </w:p>
    <w:p w:rsidR="004F7D90" w:rsidRDefault="004F7D90" w:rsidP="00BE3D7D">
      <w:pPr>
        <w:spacing w:after="0" w:line="360" w:lineRule="auto"/>
        <w:jc w:val="both"/>
        <w:rPr>
          <w:rFonts w:ascii="Arial" w:hAnsi="Arial" w:cs="Arial"/>
          <w:sz w:val="24"/>
        </w:rPr>
      </w:pPr>
      <w:r>
        <w:rPr>
          <w:rFonts w:ascii="Arial" w:hAnsi="Arial" w:cs="Arial"/>
          <w:sz w:val="24"/>
        </w:rPr>
        <w:t xml:space="preserve">The plaintiff concludes that failure to aver </w:t>
      </w:r>
      <w:r w:rsidRPr="00CE3EC3">
        <w:rPr>
          <w:rFonts w:ascii="Arial" w:hAnsi="Arial" w:cs="Arial"/>
          <w:i/>
          <w:sz w:val="24"/>
        </w:rPr>
        <w:t>locus standi</w:t>
      </w:r>
      <w:r w:rsidRPr="00CE3EC3">
        <w:rPr>
          <w:rFonts w:ascii="Arial" w:hAnsi="Arial" w:cs="Arial"/>
          <w:sz w:val="24"/>
        </w:rPr>
        <w:t xml:space="preserve"> </w:t>
      </w:r>
      <w:r>
        <w:rPr>
          <w:rFonts w:ascii="Arial" w:hAnsi="Arial" w:cs="Arial"/>
          <w:sz w:val="24"/>
        </w:rPr>
        <w:t xml:space="preserve">to institute and prosecute the application by way of </w:t>
      </w:r>
      <w:r w:rsidR="009824BC">
        <w:rPr>
          <w:rFonts w:ascii="Arial" w:hAnsi="Arial" w:cs="Arial"/>
          <w:sz w:val="24"/>
        </w:rPr>
        <w:t>the founding affidavit is fatal and the application should be dismissed with costs.</w:t>
      </w:r>
    </w:p>
    <w:p w:rsidR="00045BA0" w:rsidRDefault="00045BA0" w:rsidP="00BE3D7D">
      <w:pPr>
        <w:spacing w:after="0" w:line="360" w:lineRule="auto"/>
        <w:jc w:val="both"/>
        <w:rPr>
          <w:rFonts w:ascii="Arial" w:hAnsi="Arial" w:cs="Arial"/>
          <w:sz w:val="24"/>
        </w:rPr>
      </w:pPr>
    </w:p>
    <w:p w:rsidR="00045BA0" w:rsidRDefault="00045BA0" w:rsidP="00BE3D7D">
      <w:pPr>
        <w:spacing w:after="0" w:line="360" w:lineRule="auto"/>
        <w:jc w:val="both"/>
        <w:rPr>
          <w:rFonts w:ascii="Arial" w:hAnsi="Arial" w:cs="Arial"/>
          <w:i/>
          <w:sz w:val="24"/>
        </w:rPr>
      </w:pPr>
      <w:r w:rsidRPr="000D0ED1">
        <w:rPr>
          <w:rFonts w:ascii="Arial" w:hAnsi="Arial" w:cs="Arial"/>
          <w:i/>
          <w:sz w:val="24"/>
        </w:rPr>
        <w:t>Defendant’s submissions</w:t>
      </w:r>
    </w:p>
    <w:p w:rsidR="000D0ED1" w:rsidRPr="000D0ED1" w:rsidRDefault="000D0ED1" w:rsidP="00BE3D7D">
      <w:pPr>
        <w:spacing w:after="0" w:line="360" w:lineRule="auto"/>
        <w:jc w:val="both"/>
        <w:rPr>
          <w:rFonts w:ascii="Arial" w:hAnsi="Arial" w:cs="Arial"/>
          <w:i/>
          <w:sz w:val="24"/>
        </w:rPr>
      </w:pPr>
    </w:p>
    <w:p w:rsidR="00045BA0" w:rsidRDefault="00045BA0" w:rsidP="00BE3D7D">
      <w:pPr>
        <w:spacing w:after="0" w:line="360" w:lineRule="auto"/>
        <w:jc w:val="both"/>
        <w:rPr>
          <w:rFonts w:ascii="Arial" w:hAnsi="Arial" w:cs="Arial"/>
          <w:sz w:val="24"/>
        </w:rPr>
      </w:pPr>
      <w:r>
        <w:rPr>
          <w:rFonts w:ascii="Arial" w:hAnsi="Arial" w:cs="Arial"/>
          <w:sz w:val="24"/>
        </w:rPr>
        <w:t>[11]</w:t>
      </w:r>
      <w:r>
        <w:rPr>
          <w:rFonts w:ascii="Arial" w:hAnsi="Arial" w:cs="Arial"/>
          <w:sz w:val="24"/>
        </w:rPr>
        <w:tab/>
      </w:r>
      <w:r w:rsidR="00723E36">
        <w:rPr>
          <w:rFonts w:ascii="Arial" w:hAnsi="Arial" w:cs="Arial"/>
          <w:sz w:val="24"/>
        </w:rPr>
        <w:t xml:space="preserve">With regards to the joinder issue, the defendant submits that amendment sought by it does not join the parties until the amendment is allowed, i.e. the defendant only seeks to introduce three parties to the pleadings in her counterclaim. </w:t>
      </w:r>
      <w:r w:rsidR="00BC6FC5">
        <w:rPr>
          <w:rFonts w:ascii="Arial" w:hAnsi="Arial" w:cs="Arial"/>
          <w:sz w:val="24"/>
        </w:rPr>
        <w:t xml:space="preserve"> If the amendment is granted, the defendant further submits that only then will she be obliged to serve the counterclaim on the three parties to afford them the opportunity to defend the action/relief sought against them.</w:t>
      </w:r>
      <w:r w:rsidR="00803267">
        <w:rPr>
          <w:rFonts w:ascii="Arial" w:hAnsi="Arial" w:cs="Arial"/>
          <w:sz w:val="24"/>
        </w:rPr>
        <w:t xml:space="preserve"> To that effect, the defendant is of the view that it is not necessary to bring a joinder application as the defendant is entitled to serve her counterclaim as initiating a new cause of action on the parties so introduced by the amendment.</w:t>
      </w:r>
    </w:p>
    <w:p w:rsidR="008703AA" w:rsidRDefault="008703AA" w:rsidP="00BE3D7D">
      <w:pPr>
        <w:spacing w:after="0" w:line="360" w:lineRule="auto"/>
        <w:jc w:val="both"/>
        <w:rPr>
          <w:rFonts w:ascii="Arial" w:hAnsi="Arial" w:cs="Arial"/>
          <w:sz w:val="24"/>
        </w:rPr>
      </w:pPr>
    </w:p>
    <w:p w:rsidR="00BD35DB" w:rsidRDefault="00BD35DB" w:rsidP="00BE3D7D">
      <w:pPr>
        <w:spacing w:after="0" w:line="360" w:lineRule="auto"/>
        <w:jc w:val="both"/>
        <w:rPr>
          <w:rFonts w:ascii="Arial" w:hAnsi="Arial" w:cs="Arial"/>
          <w:sz w:val="24"/>
        </w:rPr>
      </w:pPr>
      <w:r>
        <w:rPr>
          <w:rFonts w:ascii="Arial" w:hAnsi="Arial" w:cs="Arial"/>
          <w:sz w:val="24"/>
        </w:rPr>
        <w:t>[12]</w:t>
      </w:r>
      <w:r>
        <w:rPr>
          <w:rFonts w:ascii="Arial" w:hAnsi="Arial" w:cs="Arial"/>
          <w:sz w:val="24"/>
        </w:rPr>
        <w:tab/>
        <w:t xml:space="preserve">The defendant, in light of the above, submits that the amendment can therefore not be dismissed even if the amendment seeks to join new parties to the proceedings, which is according to the defendant </w:t>
      </w:r>
      <w:r w:rsidR="000355AD" w:rsidRPr="00CE3EC3">
        <w:rPr>
          <w:rFonts w:ascii="Arial" w:hAnsi="Arial" w:cs="Arial"/>
          <w:sz w:val="24"/>
        </w:rPr>
        <w:t>is</w:t>
      </w:r>
      <w:r w:rsidR="000355AD">
        <w:rPr>
          <w:rFonts w:ascii="Arial" w:hAnsi="Arial" w:cs="Arial"/>
          <w:sz w:val="24"/>
        </w:rPr>
        <w:t xml:space="preserve"> </w:t>
      </w:r>
      <w:r>
        <w:rPr>
          <w:rFonts w:ascii="Arial" w:hAnsi="Arial" w:cs="Arial"/>
          <w:sz w:val="24"/>
        </w:rPr>
        <w:t>not the case and is denied.</w:t>
      </w:r>
    </w:p>
    <w:p w:rsidR="008703AA" w:rsidRDefault="008703AA" w:rsidP="00BE3D7D">
      <w:pPr>
        <w:spacing w:after="0" w:line="360" w:lineRule="auto"/>
        <w:jc w:val="both"/>
        <w:rPr>
          <w:rFonts w:ascii="Arial" w:hAnsi="Arial" w:cs="Arial"/>
          <w:sz w:val="24"/>
        </w:rPr>
      </w:pPr>
    </w:p>
    <w:p w:rsidR="00BD35DB" w:rsidRDefault="008F5E33" w:rsidP="00BE3D7D">
      <w:pPr>
        <w:spacing w:after="0" w:line="360" w:lineRule="auto"/>
        <w:jc w:val="both"/>
        <w:rPr>
          <w:rFonts w:ascii="Arial" w:hAnsi="Arial" w:cs="Arial"/>
          <w:sz w:val="24"/>
        </w:rPr>
      </w:pPr>
      <w:r>
        <w:rPr>
          <w:rFonts w:ascii="Arial" w:hAnsi="Arial" w:cs="Arial"/>
          <w:sz w:val="24"/>
        </w:rPr>
        <w:lastRenderedPageBreak/>
        <w:t>[13]</w:t>
      </w:r>
      <w:r>
        <w:rPr>
          <w:rFonts w:ascii="Arial" w:hAnsi="Arial" w:cs="Arial"/>
          <w:sz w:val="24"/>
        </w:rPr>
        <w:tab/>
        <w:t xml:space="preserve">With regards to the </w:t>
      </w:r>
      <w:r w:rsidRPr="00CE3EC3">
        <w:rPr>
          <w:rFonts w:ascii="Arial" w:hAnsi="Arial" w:cs="Arial"/>
          <w:i/>
          <w:sz w:val="24"/>
        </w:rPr>
        <w:t>locus</w:t>
      </w:r>
      <w:r>
        <w:rPr>
          <w:rFonts w:ascii="Arial" w:hAnsi="Arial" w:cs="Arial"/>
          <w:sz w:val="24"/>
        </w:rPr>
        <w:t xml:space="preserve"> issue, the defendant submits that the deponent to an affidavit in motion proceedings need not be authorised by the party concerned to depose to the affidavit and that it is the institution of the proceedings and prosecution thereof, which must be authorised. The defendant submits that in the present matter, it is the legal representative of record acting on behalf of the defendant and on instructions of the defendant who is instituting and prosecuting the matter.</w:t>
      </w:r>
      <w:r w:rsidR="00FD1357">
        <w:rPr>
          <w:rFonts w:ascii="Arial" w:hAnsi="Arial" w:cs="Arial"/>
          <w:sz w:val="24"/>
        </w:rPr>
        <w:t xml:space="preserve"> Further to this, the defendant submits that even if no proper resolution in respect of authority is in existence, it can be taken and provided at a later stage and this would operate retrospectively</w:t>
      </w:r>
      <w:r w:rsidR="009603C5">
        <w:rPr>
          <w:rStyle w:val="FootnoteReference"/>
          <w:rFonts w:ascii="Arial" w:hAnsi="Arial" w:cs="Arial"/>
          <w:sz w:val="24"/>
        </w:rPr>
        <w:footnoteReference w:id="4"/>
      </w:r>
      <w:r w:rsidR="00FD1357">
        <w:rPr>
          <w:rFonts w:ascii="Arial" w:hAnsi="Arial" w:cs="Arial"/>
          <w:sz w:val="24"/>
        </w:rPr>
        <w:t xml:space="preserve"> and this can be done in the defendant’s replying affidavit as well as by the defendant’s confirmatory affidavit confirming such authority.</w:t>
      </w:r>
      <w:r w:rsidR="009603C5">
        <w:rPr>
          <w:rFonts w:ascii="Arial" w:hAnsi="Arial" w:cs="Arial"/>
          <w:sz w:val="24"/>
        </w:rPr>
        <w:t xml:space="preserve"> In this regard, the defendant submits that it had ratified the apparent lack of authority to institute the application by deposing to an affidavit in reply.</w:t>
      </w:r>
    </w:p>
    <w:p w:rsidR="001D342E" w:rsidRDefault="001D342E" w:rsidP="00BE3D7D">
      <w:pPr>
        <w:spacing w:after="0" w:line="360" w:lineRule="auto"/>
        <w:jc w:val="both"/>
        <w:rPr>
          <w:rFonts w:ascii="Arial" w:hAnsi="Arial" w:cs="Arial"/>
          <w:sz w:val="24"/>
        </w:rPr>
      </w:pPr>
    </w:p>
    <w:p w:rsidR="001D342E" w:rsidRDefault="001D342E" w:rsidP="00BE3D7D">
      <w:pPr>
        <w:spacing w:after="0" w:line="360" w:lineRule="auto"/>
        <w:jc w:val="both"/>
        <w:rPr>
          <w:rFonts w:ascii="Arial" w:hAnsi="Arial" w:cs="Arial"/>
          <w:sz w:val="24"/>
        </w:rPr>
      </w:pPr>
      <w:r>
        <w:rPr>
          <w:rFonts w:ascii="Arial" w:hAnsi="Arial" w:cs="Arial"/>
          <w:sz w:val="24"/>
        </w:rPr>
        <w:t>[14]</w:t>
      </w:r>
      <w:r>
        <w:rPr>
          <w:rFonts w:ascii="Arial" w:hAnsi="Arial" w:cs="Arial"/>
          <w:sz w:val="24"/>
        </w:rPr>
        <w:tab/>
      </w:r>
      <w:r w:rsidR="008A71C5">
        <w:rPr>
          <w:rFonts w:ascii="Arial" w:hAnsi="Arial" w:cs="Arial"/>
          <w:sz w:val="24"/>
        </w:rPr>
        <w:t>The defendant further submits that in essence, amendments should be allowed to properly ventilate the dispute between parties, subject to being able to cure any prejudice by a cost order or a postponement. The defendants submits that a refusal of this application shall fall foul of this principle.</w:t>
      </w:r>
    </w:p>
    <w:p w:rsidR="008703AA" w:rsidRDefault="008703AA" w:rsidP="00BE3D7D">
      <w:pPr>
        <w:spacing w:after="0" w:line="360" w:lineRule="auto"/>
        <w:jc w:val="both"/>
        <w:rPr>
          <w:rFonts w:ascii="Arial" w:hAnsi="Arial" w:cs="Arial"/>
          <w:sz w:val="24"/>
        </w:rPr>
      </w:pPr>
    </w:p>
    <w:p w:rsidR="008A71C5" w:rsidRDefault="008A71C5" w:rsidP="00BE3D7D">
      <w:pPr>
        <w:spacing w:after="0" w:line="360" w:lineRule="auto"/>
        <w:jc w:val="both"/>
        <w:rPr>
          <w:rFonts w:ascii="Arial" w:hAnsi="Arial" w:cs="Arial"/>
          <w:sz w:val="24"/>
        </w:rPr>
      </w:pPr>
      <w:r>
        <w:rPr>
          <w:rFonts w:ascii="Arial" w:hAnsi="Arial" w:cs="Arial"/>
          <w:sz w:val="24"/>
        </w:rPr>
        <w:t>[15]</w:t>
      </w:r>
      <w:r>
        <w:rPr>
          <w:rFonts w:ascii="Arial" w:hAnsi="Arial" w:cs="Arial"/>
          <w:sz w:val="24"/>
        </w:rPr>
        <w:tab/>
        <w:t>The defendant further submits that the plaintiff did not show or plead prejudice at all. Further, the amendment sought to be introduced by the defendant should be allowed in that if it is established that the marriage between the parties is one of community of property, and the amendment is not allowed, this will result in severe loss to the defendant.</w:t>
      </w:r>
    </w:p>
    <w:p w:rsidR="008703AA" w:rsidRDefault="008703AA" w:rsidP="00BE3D7D">
      <w:pPr>
        <w:spacing w:after="0" w:line="360" w:lineRule="auto"/>
        <w:jc w:val="both"/>
        <w:rPr>
          <w:rFonts w:ascii="Arial" w:hAnsi="Arial" w:cs="Arial"/>
          <w:sz w:val="24"/>
        </w:rPr>
      </w:pPr>
    </w:p>
    <w:p w:rsidR="008703AA" w:rsidRDefault="004D65B6" w:rsidP="00BE3D7D">
      <w:pPr>
        <w:spacing w:after="0" w:line="360" w:lineRule="auto"/>
        <w:jc w:val="both"/>
        <w:rPr>
          <w:rFonts w:ascii="Arial" w:hAnsi="Arial" w:cs="Arial"/>
          <w:sz w:val="24"/>
        </w:rPr>
      </w:pPr>
      <w:r>
        <w:rPr>
          <w:rFonts w:ascii="Arial" w:hAnsi="Arial" w:cs="Arial"/>
          <w:sz w:val="24"/>
        </w:rPr>
        <w:t>[16]</w:t>
      </w:r>
      <w:r>
        <w:rPr>
          <w:rFonts w:ascii="Arial" w:hAnsi="Arial" w:cs="Arial"/>
          <w:sz w:val="24"/>
        </w:rPr>
        <w:tab/>
        <w:t>The defendant is further of the view that the amendment does not alter the cause of action relied on. The proposed amendments seek only to introduce essential parties in light of the alienation of the marital properties.</w:t>
      </w:r>
    </w:p>
    <w:p w:rsidR="00A62A95" w:rsidRDefault="00A62A95" w:rsidP="00BE3D7D">
      <w:pPr>
        <w:spacing w:after="0" w:line="360" w:lineRule="auto"/>
        <w:jc w:val="both"/>
        <w:rPr>
          <w:rFonts w:ascii="Arial" w:hAnsi="Arial" w:cs="Arial"/>
          <w:sz w:val="24"/>
        </w:rPr>
      </w:pPr>
    </w:p>
    <w:p w:rsidR="00B504B3" w:rsidRDefault="00B504B3" w:rsidP="00BE3D7D">
      <w:pPr>
        <w:spacing w:after="0" w:line="360" w:lineRule="auto"/>
        <w:jc w:val="both"/>
        <w:rPr>
          <w:rFonts w:ascii="Arial" w:hAnsi="Arial" w:cs="Arial"/>
          <w:sz w:val="24"/>
          <w:u w:val="single"/>
        </w:rPr>
      </w:pPr>
      <w:r w:rsidRPr="00B504B3">
        <w:rPr>
          <w:rFonts w:ascii="Arial" w:hAnsi="Arial" w:cs="Arial"/>
          <w:sz w:val="24"/>
          <w:u w:val="single"/>
        </w:rPr>
        <w:lastRenderedPageBreak/>
        <w:t>Conclusion</w:t>
      </w:r>
    </w:p>
    <w:p w:rsidR="00BE3D7D" w:rsidRDefault="00BE3D7D" w:rsidP="00BE3D7D">
      <w:pPr>
        <w:spacing w:after="0" w:line="360" w:lineRule="auto"/>
        <w:jc w:val="both"/>
        <w:rPr>
          <w:rFonts w:ascii="Arial" w:hAnsi="Arial" w:cs="Arial"/>
          <w:sz w:val="24"/>
          <w:u w:val="single"/>
        </w:rPr>
      </w:pPr>
    </w:p>
    <w:p w:rsidR="00B504B3" w:rsidRDefault="00B504B3" w:rsidP="00BE3D7D">
      <w:pPr>
        <w:spacing w:after="0" w:line="360" w:lineRule="auto"/>
        <w:jc w:val="both"/>
        <w:rPr>
          <w:rFonts w:ascii="Arial" w:hAnsi="Arial" w:cs="Arial"/>
          <w:sz w:val="24"/>
        </w:rPr>
      </w:pPr>
      <w:r>
        <w:rPr>
          <w:rFonts w:ascii="Arial" w:hAnsi="Arial" w:cs="Arial"/>
          <w:sz w:val="24"/>
        </w:rPr>
        <w:t>[17]</w:t>
      </w:r>
      <w:r>
        <w:rPr>
          <w:rFonts w:ascii="Arial" w:hAnsi="Arial" w:cs="Arial"/>
          <w:sz w:val="24"/>
        </w:rPr>
        <w:tab/>
      </w:r>
      <w:r w:rsidR="00C85723">
        <w:rPr>
          <w:rFonts w:ascii="Arial" w:hAnsi="Arial" w:cs="Arial"/>
          <w:sz w:val="24"/>
        </w:rPr>
        <w:t xml:space="preserve">The essential issue in dispute in this matter surrounds what would be in my view, the status regarding the matrimonial regime and the immovable property acquired in the marriage. Essentially, these are two very important issues that would finalise many other disputes or potential disputes if the court is to properly adjudicate in trial. </w:t>
      </w:r>
    </w:p>
    <w:p w:rsidR="008703AA" w:rsidRDefault="008703AA" w:rsidP="00BE3D7D">
      <w:pPr>
        <w:spacing w:after="0" w:line="360" w:lineRule="auto"/>
        <w:jc w:val="both"/>
        <w:rPr>
          <w:rFonts w:ascii="Arial" w:hAnsi="Arial" w:cs="Arial"/>
          <w:sz w:val="24"/>
        </w:rPr>
      </w:pPr>
    </w:p>
    <w:p w:rsidR="0043218F" w:rsidRDefault="00BA4953" w:rsidP="00BE3D7D">
      <w:pPr>
        <w:spacing w:after="0" w:line="360" w:lineRule="auto"/>
        <w:jc w:val="both"/>
        <w:rPr>
          <w:rFonts w:ascii="Arial" w:hAnsi="Arial" w:cs="Arial"/>
          <w:sz w:val="24"/>
        </w:rPr>
      </w:pPr>
      <w:r>
        <w:rPr>
          <w:rFonts w:ascii="Arial" w:hAnsi="Arial" w:cs="Arial"/>
          <w:sz w:val="24"/>
        </w:rPr>
        <w:t>[18]</w:t>
      </w:r>
      <w:r>
        <w:rPr>
          <w:rFonts w:ascii="Arial" w:hAnsi="Arial" w:cs="Arial"/>
          <w:sz w:val="24"/>
        </w:rPr>
        <w:tab/>
        <w:t>The fact that the plaintiff raised technical grounds to objecting the amendment and not clearly indicating the prejudice it would suffer if the amendment is to be allowed gives this court the indication that no circumstances exist to persuade this court not to grant the amendment, with the order as to costs for the amendment and this hearing.</w:t>
      </w:r>
      <w:r w:rsidR="0043218F">
        <w:rPr>
          <w:rFonts w:ascii="Arial" w:hAnsi="Arial" w:cs="Arial"/>
          <w:sz w:val="24"/>
        </w:rPr>
        <w:t xml:space="preserve"> </w:t>
      </w:r>
    </w:p>
    <w:p w:rsidR="008703AA" w:rsidRDefault="008703AA" w:rsidP="00BE3D7D">
      <w:pPr>
        <w:spacing w:after="0" w:line="360" w:lineRule="auto"/>
        <w:jc w:val="both"/>
        <w:rPr>
          <w:rFonts w:ascii="Arial" w:hAnsi="Arial" w:cs="Arial"/>
          <w:sz w:val="24"/>
        </w:rPr>
      </w:pPr>
    </w:p>
    <w:p w:rsidR="00BA4953" w:rsidRDefault="0043218F" w:rsidP="00BE3D7D">
      <w:pPr>
        <w:spacing w:after="0" w:line="360" w:lineRule="auto"/>
        <w:jc w:val="both"/>
        <w:rPr>
          <w:rFonts w:ascii="Arial" w:hAnsi="Arial" w:cs="Arial"/>
          <w:sz w:val="24"/>
        </w:rPr>
      </w:pPr>
      <w:r>
        <w:rPr>
          <w:rFonts w:ascii="Arial" w:hAnsi="Arial" w:cs="Arial"/>
          <w:sz w:val="24"/>
        </w:rPr>
        <w:t>[19]</w:t>
      </w:r>
      <w:r>
        <w:rPr>
          <w:rFonts w:ascii="Arial" w:hAnsi="Arial" w:cs="Arial"/>
          <w:sz w:val="24"/>
        </w:rPr>
        <w:tab/>
        <w:t>What would ultimately result in the amendment application is that, once the amendment is granted, the defendant would then again have to make an application for joinder in terms of rule 40 (5)</w:t>
      </w:r>
      <w:r w:rsidR="001D32D7">
        <w:rPr>
          <w:rFonts w:ascii="Arial" w:hAnsi="Arial" w:cs="Arial"/>
          <w:sz w:val="24"/>
        </w:rPr>
        <w:t xml:space="preserve"> to have the three parties joined to the main action</w:t>
      </w:r>
      <w:r>
        <w:rPr>
          <w:rFonts w:ascii="Arial" w:hAnsi="Arial" w:cs="Arial"/>
          <w:sz w:val="24"/>
        </w:rPr>
        <w:t>, which would then again delay the proceedings.</w:t>
      </w:r>
      <w:r w:rsidR="00BA4953">
        <w:rPr>
          <w:rFonts w:ascii="Arial" w:hAnsi="Arial" w:cs="Arial"/>
          <w:sz w:val="24"/>
        </w:rPr>
        <w:t xml:space="preserve"> </w:t>
      </w:r>
    </w:p>
    <w:p w:rsidR="008703AA" w:rsidRDefault="008703AA" w:rsidP="00BE3D7D">
      <w:pPr>
        <w:spacing w:after="0" w:line="360" w:lineRule="auto"/>
        <w:jc w:val="both"/>
        <w:rPr>
          <w:rFonts w:ascii="Arial" w:hAnsi="Arial" w:cs="Arial"/>
          <w:sz w:val="24"/>
        </w:rPr>
      </w:pPr>
    </w:p>
    <w:p w:rsidR="00291CD6" w:rsidRDefault="00291CD6" w:rsidP="00BE3D7D">
      <w:pPr>
        <w:spacing w:after="0" w:line="360" w:lineRule="auto"/>
        <w:jc w:val="both"/>
        <w:rPr>
          <w:rFonts w:ascii="Arial" w:hAnsi="Arial" w:cs="Arial"/>
          <w:sz w:val="24"/>
        </w:rPr>
      </w:pPr>
      <w:r>
        <w:rPr>
          <w:rFonts w:ascii="Arial" w:hAnsi="Arial" w:cs="Arial"/>
          <w:sz w:val="24"/>
        </w:rPr>
        <w:t>[20]</w:t>
      </w:r>
      <w:r>
        <w:rPr>
          <w:rFonts w:ascii="Arial" w:hAnsi="Arial" w:cs="Arial"/>
          <w:sz w:val="24"/>
        </w:rPr>
        <w:tab/>
        <w:t>However, I am alive to the fact that the defendant has made allegations in respect of immovable properties that were seemingly donated without her knowledge and consent, which at trial, the defendant may provide evidence to contradict or label the donations as illegal.</w:t>
      </w:r>
      <w:r w:rsidR="00DA7604">
        <w:rPr>
          <w:rFonts w:ascii="Arial" w:hAnsi="Arial" w:cs="Arial"/>
          <w:sz w:val="24"/>
        </w:rPr>
        <w:t xml:space="preserve"> The defendant’s interests in respect of the immovable property is well laid out and requires the court to make a determination on this issue.</w:t>
      </w:r>
    </w:p>
    <w:p w:rsidR="008703AA" w:rsidRDefault="008703AA" w:rsidP="00BE3D7D">
      <w:pPr>
        <w:spacing w:after="0" w:line="360" w:lineRule="auto"/>
        <w:jc w:val="both"/>
        <w:rPr>
          <w:rFonts w:ascii="Arial" w:hAnsi="Arial" w:cs="Arial"/>
          <w:sz w:val="24"/>
        </w:rPr>
      </w:pPr>
    </w:p>
    <w:p w:rsidR="00F17475" w:rsidRDefault="00F17475" w:rsidP="00BE3D7D">
      <w:pPr>
        <w:spacing w:after="0" w:line="360" w:lineRule="auto"/>
        <w:jc w:val="both"/>
        <w:rPr>
          <w:rFonts w:ascii="Arial" w:hAnsi="Arial" w:cs="Arial"/>
          <w:sz w:val="24"/>
        </w:rPr>
      </w:pPr>
      <w:r>
        <w:rPr>
          <w:rFonts w:ascii="Arial" w:hAnsi="Arial" w:cs="Arial"/>
          <w:sz w:val="24"/>
        </w:rPr>
        <w:t>[21]</w:t>
      </w:r>
      <w:r>
        <w:rPr>
          <w:rFonts w:ascii="Arial" w:hAnsi="Arial" w:cs="Arial"/>
          <w:sz w:val="24"/>
        </w:rPr>
        <w:tab/>
        <w:t>In the result, I then make the following order:</w:t>
      </w:r>
    </w:p>
    <w:p w:rsidR="00BE3D7D" w:rsidRDefault="00BE3D7D" w:rsidP="00BE3D7D">
      <w:pPr>
        <w:spacing w:after="0" w:line="360" w:lineRule="auto"/>
        <w:ind w:left="1170" w:hanging="450"/>
        <w:jc w:val="both"/>
        <w:rPr>
          <w:rFonts w:ascii="Arial" w:hAnsi="Arial" w:cs="Arial"/>
          <w:sz w:val="24"/>
        </w:rPr>
      </w:pPr>
    </w:p>
    <w:p w:rsidR="00F17475" w:rsidRDefault="00F17475" w:rsidP="00BE3D7D">
      <w:pPr>
        <w:pStyle w:val="ListParagraph"/>
        <w:numPr>
          <w:ilvl w:val="0"/>
          <w:numId w:val="3"/>
        </w:numPr>
        <w:spacing w:after="0" w:line="360" w:lineRule="auto"/>
        <w:ind w:left="1170" w:hanging="450"/>
        <w:rPr>
          <w:rFonts w:ascii="Arial" w:hAnsi="Arial" w:cs="Arial"/>
          <w:sz w:val="24"/>
          <w:szCs w:val="24"/>
        </w:rPr>
      </w:pPr>
      <w:r>
        <w:rPr>
          <w:rFonts w:ascii="Arial" w:hAnsi="Arial" w:cs="Arial"/>
          <w:sz w:val="24"/>
          <w:szCs w:val="24"/>
        </w:rPr>
        <w:t>The defendant’s leave to amend its counterclaim is granted.</w:t>
      </w:r>
    </w:p>
    <w:p w:rsidR="00BE3D7D" w:rsidRDefault="00BE3D7D" w:rsidP="00BE3D7D">
      <w:pPr>
        <w:pStyle w:val="ListParagraph"/>
        <w:spacing w:after="0" w:line="360" w:lineRule="auto"/>
        <w:ind w:left="1170"/>
        <w:rPr>
          <w:rFonts w:ascii="Arial" w:hAnsi="Arial" w:cs="Arial"/>
          <w:sz w:val="24"/>
          <w:szCs w:val="24"/>
        </w:rPr>
      </w:pPr>
    </w:p>
    <w:p w:rsidR="00F17475" w:rsidRPr="00F17475" w:rsidRDefault="00F17475" w:rsidP="00BE3D7D">
      <w:pPr>
        <w:pStyle w:val="ListParagraph"/>
        <w:numPr>
          <w:ilvl w:val="0"/>
          <w:numId w:val="3"/>
        </w:numPr>
        <w:spacing w:after="0" w:line="360" w:lineRule="auto"/>
        <w:ind w:left="1170" w:hanging="450"/>
        <w:rPr>
          <w:rFonts w:ascii="Arial" w:hAnsi="Arial" w:cs="Arial"/>
          <w:sz w:val="24"/>
          <w:szCs w:val="24"/>
        </w:rPr>
      </w:pPr>
      <w:r>
        <w:rPr>
          <w:rFonts w:ascii="Arial" w:hAnsi="Arial" w:cs="Arial"/>
          <w:sz w:val="24"/>
          <w:szCs w:val="24"/>
        </w:rPr>
        <w:t xml:space="preserve">The defendant is to pay the plaintiff’s costs occasioned by the amendment application. </w:t>
      </w:r>
    </w:p>
    <w:p w:rsidR="00F17475" w:rsidRDefault="00F17475" w:rsidP="000830D8">
      <w:pPr>
        <w:spacing w:line="360" w:lineRule="auto"/>
        <w:jc w:val="both"/>
        <w:rPr>
          <w:rFonts w:ascii="Arial" w:hAnsi="Arial" w:cs="Arial"/>
          <w:sz w:val="24"/>
        </w:rPr>
      </w:pPr>
    </w:p>
    <w:p w:rsidR="00F17475" w:rsidRDefault="00F17475" w:rsidP="000830D8">
      <w:pPr>
        <w:spacing w:line="360" w:lineRule="auto"/>
        <w:jc w:val="both"/>
        <w:rPr>
          <w:rFonts w:ascii="Arial" w:hAnsi="Arial" w:cs="Arial"/>
          <w:sz w:val="24"/>
        </w:rPr>
      </w:pPr>
    </w:p>
    <w:p w:rsidR="00F17475" w:rsidRDefault="00F17475" w:rsidP="000830D8">
      <w:pPr>
        <w:spacing w:line="360" w:lineRule="auto"/>
        <w:jc w:val="both"/>
        <w:rPr>
          <w:rFonts w:ascii="Arial" w:hAnsi="Arial" w:cs="Arial"/>
          <w:sz w:val="24"/>
        </w:rPr>
      </w:pPr>
    </w:p>
    <w:p w:rsidR="00F17475" w:rsidRDefault="00F17475" w:rsidP="00BE3D7D">
      <w:pPr>
        <w:spacing w:after="0" w:line="360" w:lineRule="auto"/>
        <w:jc w:val="right"/>
        <w:rPr>
          <w:rFonts w:ascii="Arial" w:hAnsi="Arial" w:cs="Arial"/>
          <w:sz w:val="24"/>
        </w:rPr>
      </w:pPr>
      <w:r>
        <w:rPr>
          <w:rFonts w:ascii="Arial" w:hAnsi="Arial" w:cs="Arial"/>
          <w:sz w:val="24"/>
        </w:rPr>
        <w:t>____________</w:t>
      </w:r>
    </w:p>
    <w:p w:rsidR="00CE3EC3" w:rsidRDefault="00BE3D7D" w:rsidP="00BE3D7D">
      <w:pPr>
        <w:spacing w:after="0" w:line="360" w:lineRule="auto"/>
        <w:jc w:val="center"/>
        <w:rPr>
          <w:rFonts w:ascii="Arial" w:hAnsi="Arial" w:cs="Arial"/>
          <w:sz w:val="24"/>
        </w:rPr>
      </w:pPr>
      <w:r>
        <w:rPr>
          <w:rFonts w:ascii="Arial" w:hAnsi="Arial" w:cs="Arial"/>
          <w:sz w:val="24"/>
        </w:rPr>
        <w:t xml:space="preserve">                                                                                                               </w:t>
      </w:r>
      <w:r w:rsidR="00CE3EC3">
        <w:rPr>
          <w:rFonts w:ascii="Arial" w:hAnsi="Arial" w:cs="Arial"/>
          <w:sz w:val="24"/>
        </w:rPr>
        <w:t>J S Prinsloo</w:t>
      </w:r>
    </w:p>
    <w:p w:rsidR="00F17475" w:rsidRDefault="00BE3D7D" w:rsidP="00BE3D7D">
      <w:pPr>
        <w:spacing w:after="0" w:line="360" w:lineRule="auto"/>
        <w:jc w:val="center"/>
        <w:rPr>
          <w:rFonts w:ascii="Arial" w:hAnsi="Arial" w:cs="Arial"/>
          <w:sz w:val="24"/>
        </w:rPr>
      </w:pPr>
      <w:r>
        <w:rPr>
          <w:rFonts w:ascii="Arial" w:hAnsi="Arial" w:cs="Arial"/>
          <w:sz w:val="24"/>
        </w:rPr>
        <w:t xml:space="preserve">                                                                                                      </w:t>
      </w:r>
      <w:r w:rsidR="00F17475">
        <w:rPr>
          <w:rFonts w:ascii="Arial" w:hAnsi="Arial" w:cs="Arial"/>
          <w:sz w:val="24"/>
        </w:rPr>
        <w:t>Judge</w:t>
      </w:r>
    </w:p>
    <w:p w:rsidR="00F17475" w:rsidRDefault="00F17475" w:rsidP="00F17475">
      <w:pPr>
        <w:spacing w:line="360" w:lineRule="auto"/>
        <w:jc w:val="right"/>
        <w:rPr>
          <w:rFonts w:ascii="Arial" w:hAnsi="Arial" w:cs="Arial"/>
          <w:sz w:val="24"/>
        </w:rPr>
      </w:pPr>
    </w:p>
    <w:p w:rsidR="00F17475" w:rsidRDefault="00F17475" w:rsidP="00F17475">
      <w:pPr>
        <w:spacing w:line="360" w:lineRule="auto"/>
        <w:jc w:val="right"/>
        <w:rPr>
          <w:rFonts w:ascii="Arial" w:hAnsi="Arial" w:cs="Arial"/>
          <w:sz w:val="24"/>
        </w:rPr>
      </w:pPr>
    </w:p>
    <w:p w:rsidR="00F17475" w:rsidRDefault="00F17475" w:rsidP="00F17475">
      <w:pPr>
        <w:spacing w:line="360" w:lineRule="auto"/>
        <w:jc w:val="right"/>
        <w:rPr>
          <w:rFonts w:ascii="Arial" w:hAnsi="Arial" w:cs="Arial"/>
          <w:sz w:val="24"/>
        </w:rPr>
      </w:pPr>
    </w:p>
    <w:p w:rsidR="00F17475" w:rsidRDefault="00F17475" w:rsidP="00F17475">
      <w:pPr>
        <w:spacing w:line="360" w:lineRule="auto"/>
        <w:jc w:val="right"/>
        <w:rPr>
          <w:rFonts w:ascii="Arial" w:hAnsi="Arial" w:cs="Arial"/>
          <w:sz w:val="24"/>
        </w:rPr>
      </w:pPr>
    </w:p>
    <w:p w:rsidR="00F17475" w:rsidRDefault="00F17475" w:rsidP="00F17475">
      <w:pPr>
        <w:spacing w:line="360" w:lineRule="auto"/>
        <w:jc w:val="right"/>
        <w:rPr>
          <w:rFonts w:ascii="Arial" w:hAnsi="Arial" w:cs="Arial"/>
          <w:sz w:val="24"/>
        </w:rPr>
      </w:pPr>
    </w:p>
    <w:p w:rsidR="00225C53" w:rsidRDefault="00225C53" w:rsidP="00F17475">
      <w:pPr>
        <w:spacing w:line="360" w:lineRule="auto"/>
        <w:jc w:val="right"/>
        <w:rPr>
          <w:rFonts w:ascii="Arial" w:hAnsi="Arial" w:cs="Arial"/>
          <w:sz w:val="24"/>
        </w:rPr>
      </w:pPr>
    </w:p>
    <w:p w:rsidR="00225C53" w:rsidRDefault="00225C53" w:rsidP="00F17475">
      <w:pPr>
        <w:spacing w:line="360" w:lineRule="auto"/>
        <w:jc w:val="right"/>
        <w:rPr>
          <w:rFonts w:ascii="Arial" w:hAnsi="Arial" w:cs="Arial"/>
          <w:sz w:val="24"/>
        </w:rPr>
      </w:pPr>
    </w:p>
    <w:p w:rsidR="00225C53" w:rsidRDefault="00225C53" w:rsidP="00F17475">
      <w:pPr>
        <w:spacing w:line="360" w:lineRule="auto"/>
        <w:jc w:val="right"/>
        <w:rPr>
          <w:rFonts w:ascii="Arial" w:hAnsi="Arial" w:cs="Arial"/>
          <w:sz w:val="24"/>
        </w:rPr>
      </w:pPr>
    </w:p>
    <w:p w:rsidR="00F17475" w:rsidRDefault="00F17475" w:rsidP="00F17475">
      <w:pPr>
        <w:spacing w:line="360" w:lineRule="auto"/>
        <w:jc w:val="right"/>
        <w:rPr>
          <w:rFonts w:ascii="Arial" w:hAnsi="Arial" w:cs="Arial"/>
          <w:sz w:val="24"/>
        </w:rPr>
      </w:pPr>
    </w:p>
    <w:p w:rsidR="00A62A95" w:rsidRDefault="00A62A95" w:rsidP="000D0ED1">
      <w:pPr>
        <w:spacing w:line="360" w:lineRule="auto"/>
        <w:rPr>
          <w:rFonts w:ascii="Arial" w:hAnsi="Arial" w:cs="Arial"/>
          <w:sz w:val="24"/>
        </w:rPr>
      </w:pPr>
    </w:p>
    <w:p w:rsidR="000D0ED1" w:rsidRDefault="000D0ED1" w:rsidP="000D0ED1">
      <w:pPr>
        <w:spacing w:line="360" w:lineRule="auto"/>
        <w:rPr>
          <w:rFonts w:ascii="Arial" w:hAnsi="Arial" w:cs="Arial"/>
          <w:sz w:val="24"/>
        </w:rPr>
      </w:pPr>
    </w:p>
    <w:p w:rsidR="00BE3D7D" w:rsidRDefault="00BE3D7D" w:rsidP="00F17475">
      <w:pPr>
        <w:spacing w:line="360" w:lineRule="auto"/>
        <w:rPr>
          <w:rFonts w:ascii="Arial" w:hAnsi="Arial" w:cs="Arial"/>
          <w:sz w:val="24"/>
        </w:rPr>
      </w:pPr>
    </w:p>
    <w:p w:rsidR="00BE3D7D" w:rsidRDefault="00BE3D7D" w:rsidP="00F17475">
      <w:pPr>
        <w:spacing w:line="360" w:lineRule="auto"/>
        <w:rPr>
          <w:rFonts w:ascii="Arial" w:hAnsi="Arial" w:cs="Arial"/>
          <w:sz w:val="24"/>
        </w:rPr>
      </w:pPr>
    </w:p>
    <w:p w:rsidR="00BE3D7D" w:rsidRDefault="00BE3D7D" w:rsidP="00F17475">
      <w:pPr>
        <w:spacing w:line="360" w:lineRule="auto"/>
        <w:rPr>
          <w:rFonts w:ascii="Arial" w:hAnsi="Arial" w:cs="Arial"/>
          <w:sz w:val="24"/>
        </w:rPr>
      </w:pPr>
    </w:p>
    <w:p w:rsidR="00BE3D7D" w:rsidRDefault="00BE3D7D" w:rsidP="00F17475">
      <w:pPr>
        <w:spacing w:line="360" w:lineRule="auto"/>
        <w:rPr>
          <w:rFonts w:ascii="Arial" w:hAnsi="Arial" w:cs="Arial"/>
          <w:sz w:val="24"/>
        </w:rPr>
      </w:pPr>
    </w:p>
    <w:p w:rsidR="00BE3D7D" w:rsidRDefault="00BE3D7D" w:rsidP="00F17475">
      <w:pPr>
        <w:spacing w:line="360" w:lineRule="auto"/>
        <w:rPr>
          <w:rFonts w:ascii="Arial" w:hAnsi="Arial" w:cs="Arial"/>
          <w:sz w:val="24"/>
        </w:rPr>
      </w:pPr>
    </w:p>
    <w:p w:rsidR="00BE3D7D" w:rsidRDefault="00BE3D7D" w:rsidP="00F17475">
      <w:pPr>
        <w:spacing w:line="360" w:lineRule="auto"/>
        <w:rPr>
          <w:rFonts w:ascii="Arial" w:hAnsi="Arial" w:cs="Arial"/>
          <w:sz w:val="24"/>
        </w:rPr>
      </w:pPr>
    </w:p>
    <w:p w:rsidR="00BE3D7D" w:rsidRDefault="00BE3D7D" w:rsidP="00F17475">
      <w:pPr>
        <w:spacing w:line="360" w:lineRule="auto"/>
        <w:rPr>
          <w:rFonts w:ascii="Arial" w:hAnsi="Arial" w:cs="Arial"/>
          <w:sz w:val="24"/>
        </w:rPr>
      </w:pPr>
    </w:p>
    <w:p w:rsidR="00BE3D7D" w:rsidRDefault="00BE3D7D" w:rsidP="00F17475">
      <w:pPr>
        <w:spacing w:line="360" w:lineRule="auto"/>
        <w:rPr>
          <w:rFonts w:ascii="Arial" w:hAnsi="Arial" w:cs="Arial"/>
          <w:sz w:val="24"/>
        </w:rPr>
      </w:pPr>
    </w:p>
    <w:p w:rsidR="00F17475" w:rsidRDefault="00F17475" w:rsidP="00F17475">
      <w:pPr>
        <w:spacing w:line="360" w:lineRule="auto"/>
        <w:rPr>
          <w:rFonts w:ascii="Arial" w:hAnsi="Arial" w:cs="Arial"/>
          <w:sz w:val="24"/>
        </w:rPr>
      </w:pPr>
      <w:r>
        <w:rPr>
          <w:rFonts w:ascii="Arial" w:hAnsi="Arial" w:cs="Arial"/>
          <w:sz w:val="24"/>
        </w:rPr>
        <w:lastRenderedPageBreak/>
        <w:t>APPEARANCES:</w:t>
      </w:r>
    </w:p>
    <w:p w:rsidR="00BE3D7D" w:rsidRDefault="00BE3D7D" w:rsidP="00F17475">
      <w:pPr>
        <w:spacing w:line="360" w:lineRule="auto"/>
        <w:rPr>
          <w:rFonts w:ascii="Arial" w:hAnsi="Arial" w:cs="Arial"/>
          <w:sz w:val="24"/>
        </w:rPr>
      </w:pPr>
    </w:p>
    <w:p w:rsidR="00F17475" w:rsidRDefault="00F17475" w:rsidP="00F17475">
      <w:pPr>
        <w:spacing w:line="360" w:lineRule="auto"/>
        <w:rPr>
          <w:rFonts w:ascii="Arial" w:hAnsi="Arial" w:cs="Arial"/>
          <w:sz w:val="24"/>
        </w:rPr>
      </w:pPr>
      <w:r>
        <w:rPr>
          <w:rFonts w:ascii="Arial" w:hAnsi="Arial" w:cs="Arial"/>
          <w:sz w:val="24"/>
        </w:rPr>
        <w:t>FOR</w:t>
      </w:r>
      <w:r w:rsidR="00BE3D7D">
        <w:rPr>
          <w:rFonts w:ascii="Arial" w:hAnsi="Arial" w:cs="Arial"/>
          <w:sz w:val="24"/>
        </w:rPr>
        <w:t xml:space="preserve"> THE PLAINTIFF:</w:t>
      </w:r>
      <w:r w:rsidR="00BE3D7D">
        <w:rPr>
          <w:rFonts w:ascii="Arial" w:hAnsi="Arial" w:cs="Arial"/>
          <w:sz w:val="24"/>
        </w:rPr>
        <w:tab/>
      </w:r>
      <w:r w:rsidR="00BE3D7D">
        <w:rPr>
          <w:rFonts w:ascii="Arial" w:hAnsi="Arial" w:cs="Arial"/>
          <w:sz w:val="24"/>
        </w:rPr>
        <w:tab/>
      </w:r>
      <w:proofErr w:type="gramStart"/>
      <w:r>
        <w:rPr>
          <w:rFonts w:ascii="Arial" w:hAnsi="Arial" w:cs="Arial"/>
          <w:sz w:val="24"/>
        </w:rPr>
        <w:t>A</w:t>
      </w:r>
      <w:proofErr w:type="gramEnd"/>
      <w:r>
        <w:rPr>
          <w:rFonts w:ascii="Arial" w:hAnsi="Arial" w:cs="Arial"/>
          <w:sz w:val="24"/>
        </w:rPr>
        <w:t xml:space="preserve"> N H</w:t>
      </w:r>
      <w:r w:rsidR="00BE3D7D">
        <w:rPr>
          <w:rFonts w:ascii="Arial" w:hAnsi="Arial" w:cs="Arial"/>
          <w:sz w:val="24"/>
        </w:rPr>
        <w:t>ans</w:t>
      </w:r>
      <w:r>
        <w:rPr>
          <w:rFonts w:ascii="Arial" w:hAnsi="Arial" w:cs="Arial"/>
          <w:sz w:val="24"/>
        </w:rPr>
        <w:t>-</w:t>
      </w:r>
      <w:proofErr w:type="spellStart"/>
      <w:r>
        <w:rPr>
          <w:rFonts w:ascii="Arial" w:hAnsi="Arial" w:cs="Arial"/>
          <w:sz w:val="24"/>
        </w:rPr>
        <w:t>K</w:t>
      </w:r>
      <w:r w:rsidR="00BE3D7D">
        <w:rPr>
          <w:rFonts w:ascii="Arial" w:hAnsi="Arial" w:cs="Arial"/>
          <w:sz w:val="24"/>
        </w:rPr>
        <w:t>aumbi</w:t>
      </w:r>
      <w:proofErr w:type="spellEnd"/>
    </w:p>
    <w:p w:rsidR="00F17475" w:rsidRDefault="00BE3D7D" w:rsidP="00F17475">
      <w:pPr>
        <w:spacing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of</w:t>
      </w:r>
      <w:proofErr w:type="gramEnd"/>
      <w:r>
        <w:rPr>
          <w:rFonts w:ascii="Arial" w:hAnsi="Arial" w:cs="Arial"/>
          <w:sz w:val="24"/>
        </w:rPr>
        <w:t xml:space="preserve"> </w:t>
      </w:r>
      <w:proofErr w:type="spellStart"/>
      <w:r w:rsidR="00F17475">
        <w:rPr>
          <w:rFonts w:ascii="Arial" w:hAnsi="Arial" w:cs="Arial"/>
          <w:sz w:val="24"/>
        </w:rPr>
        <w:t>U</w:t>
      </w:r>
      <w:r>
        <w:rPr>
          <w:rFonts w:ascii="Arial" w:hAnsi="Arial" w:cs="Arial"/>
          <w:sz w:val="24"/>
        </w:rPr>
        <w:t>eitele</w:t>
      </w:r>
      <w:proofErr w:type="spellEnd"/>
      <w:r w:rsidR="00F17475">
        <w:rPr>
          <w:rFonts w:ascii="Arial" w:hAnsi="Arial" w:cs="Arial"/>
          <w:sz w:val="24"/>
        </w:rPr>
        <w:t xml:space="preserve"> &amp; H</w:t>
      </w:r>
      <w:r>
        <w:rPr>
          <w:rFonts w:ascii="Arial" w:hAnsi="Arial" w:cs="Arial"/>
          <w:sz w:val="24"/>
        </w:rPr>
        <w:t>ans Inc</w:t>
      </w:r>
      <w:r w:rsidR="00F17475">
        <w:rPr>
          <w:rFonts w:ascii="Arial" w:hAnsi="Arial" w:cs="Arial"/>
          <w:sz w:val="24"/>
        </w:rPr>
        <w:t>.</w:t>
      </w:r>
      <w:r>
        <w:rPr>
          <w:rFonts w:ascii="Arial" w:hAnsi="Arial" w:cs="Arial"/>
          <w:sz w:val="24"/>
        </w:rPr>
        <w:t>, Windhoek</w:t>
      </w:r>
    </w:p>
    <w:p w:rsidR="00F17475" w:rsidRDefault="00F17475" w:rsidP="00F17475">
      <w:pPr>
        <w:spacing w:line="360" w:lineRule="auto"/>
        <w:rPr>
          <w:rFonts w:ascii="Arial" w:hAnsi="Arial" w:cs="Arial"/>
          <w:sz w:val="24"/>
        </w:rPr>
      </w:pPr>
    </w:p>
    <w:p w:rsidR="00F17475" w:rsidRDefault="00F17475" w:rsidP="00F17475">
      <w:pPr>
        <w:spacing w:line="360" w:lineRule="auto"/>
        <w:rPr>
          <w:rFonts w:ascii="Arial" w:hAnsi="Arial" w:cs="Arial"/>
          <w:sz w:val="24"/>
        </w:rPr>
      </w:pPr>
    </w:p>
    <w:p w:rsidR="00F17475" w:rsidRDefault="00BE3D7D" w:rsidP="00F17475">
      <w:pPr>
        <w:spacing w:line="360" w:lineRule="auto"/>
        <w:rPr>
          <w:rFonts w:ascii="Arial" w:hAnsi="Arial" w:cs="Arial"/>
          <w:sz w:val="24"/>
        </w:rPr>
      </w:pPr>
      <w:r>
        <w:rPr>
          <w:rFonts w:ascii="Arial" w:hAnsi="Arial" w:cs="Arial"/>
          <w:sz w:val="24"/>
        </w:rPr>
        <w:t>FOR THE DEFENDANT:</w:t>
      </w:r>
      <w:r>
        <w:rPr>
          <w:rFonts w:ascii="Arial" w:hAnsi="Arial" w:cs="Arial"/>
          <w:sz w:val="24"/>
        </w:rPr>
        <w:tab/>
      </w:r>
      <w:r>
        <w:rPr>
          <w:rFonts w:ascii="Arial" w:hAnsi="Arial" w:cs="Arial"/>
          <w:sz w:val="24"/>
        </w:rPr>
        <w:tab/>
      </w:r>
      <w:r w:rsidR="00F17475">
        <w:rPr>
          <w:rFonts w:ascii="Arial" w:hAnsi="Arial" w:cs="Arial"/>
          <w:sz w:val="24"/>
        </w:rPr>
        <w:t xml:space="preserve">E </w:t>
      </w:r>
      <w:proofErr w:type="spellStart"/>
      <w:r w:rsidR="00F17475">
        <w:rPr>
          <w:rFonts w:ascii="Arial" w:hAnsi="Arial" w:cs="Arial"/>
          <w:sz w:val="24"/>
        </w:rPr>
        <w:t>A</w:t>
      </w:r>
      <w:r>
        <w:rPr>
          <w:rFonts w:ascii="Arial" w:hAnsi="Arial" w:cs="Arial"/>
          <w:sz w:val="24"/>
        </w:rPr>
        <w:t>ngula</w:t>
      </w:r>
      <w:proofErr w:type="spellEnd"/>
    </w:p>
    <w:p w:rsidR="00F17475" w:rsidRDefault="00BE3D7D" w:rsidP="00F17475">
      <w:pPr>
        <w:spacing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of</w:t>
      </w:r>
      <w:proofErr w:type="gramEnd"/>
      <w:r>
        <w:rPr>
          <w:rFonts w:ascii="Arial" w:hAnsi="Arial" w:cs="Arial"/>
          <w:sz w:val="24"/>
        </w:rPr>
        <w:t xml:space="preserve"> </w:t>
      </w:r>
      <w:proofErr w:type="spellStart"/>
      <w:r w:rsidR="00F17475">
        <w:rPr>
          <w:rFonts w:ascii="Arial" w:hAnsi="Arial" w:cs="Arial"/>
          <w:sz w:val="24"/>
        </w:rPr>
        <w:t>A</w:t>
      </w:r>
      <w:r>
        <w:rPr>
          <w:rFonts w:ascii="Arial" w:hAnsi="Arial" w:cs="Arial"/>
          <w:sz w:val="24"/>
        </w:rPr>
        <w:t>ngulaCo</w:t>
      </w:r>
      <w:proofErr w:type="spellEnd"/>
      <w:r>
        <w:rPr>
          <w:rFonts w:ascii="Arial" w:hAnsi="Arial" w:cs="Arial"/>
          <w:sz w:val="24"/>
        </w:rPr>
        <w:t xml:space="preserve"> Inc</w:t>
      </w:r>
      <w:r w:rsidR="00F17475">
        <w:rPr>
          <w:rFonts w:ascii="Arial" w:hAnsi="Arial" w:cs="Arial"/>
          <w:sz w:val="24"/>
        </w:rPr>
        <w:t>.</w:t>
      </w:r>
      <w:r>
        <w:rPr>
          <w:rFonts w:ascii="Arial" w:hAnsi="Arial" w:cs="Arial"/>
          <w:sz w:val="24"/>
        </w:rPr>
        <w:t>, Windhoek</w:t>
      </w:r>
      <w:bookmarkStart w:id="0" w:name="_GoBack"/>
      <w:bookmarkEnd w:id="0"/>
    </w:p>
    <w:p w:rsidR="00DA7604" w:rsidRPr="00B504B3" w:rsidRDefault="00DA7604" w:rsidP="000830D8">
      <w:pPr>
        <w:spacing w:line="360" w:lineRule="auto"/>
        <w:jc w:val="both"/>
        <w:rPr>
          <w:rFonts w:ascii="Arial" w:hAnsi="Arial" w:cs="Arial"/>
          <w:sz w:val="24"/>
        </w:rPr>
      </w:pPr>
    </w:p>
    <w:sectPr w:rsidR="00DA7604" w:rsidRPr="00B504B3" w:rsidSect="000D0ED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E07" w:rsidRDefault="002D4E07" w:rsidP="00436D58">
      <w:pPr>
        <w:spacing w:after="0" w:line="240" w:lineRule="auto"/>
      </w:pPr>
      <w:r>
        <w:separator/>
      </w:r>
    </w:p>
  </w:endnote>
  <w:endnote w:type="continuationSeparator" w:id="0">
    <w:p w:rsidR="002D4E07" w:rsidRDefault="002D4E07" w:rsidP="0043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E07" w:rsidRDefault="002D4E07" w:rsidP="00436D58">
      <w:pPr>
        <w:spacing w:after="0" w:line="240" w:lineRule="auto"/>
      </w:pPr>
      <w:r>
        <w:separator/>
      </w:r>
    </w:p>
  </w:footnote>
  <w:footnote w:type="continuationSeparator" w:id="0">
    <w:p w:rsidR="002D4E07" w:rsidRDefault="002D4E07" w:rsidP="00436D58">
      <w:pPr>
        <w:spacing w:after="0" w:line="240" w:lineRule="auto"/>
      </w:pPr>
      <w:r>
        <w:continuationSeparator/>
      </w:r>
    </w:p>
  </w:footnote>
  <w:footnote w:id="1">
    <w:p w:rsidR="00B0426F" w:rsidRPr="0000173A" w:rsidRDefault="00B0426F" w:rsidP="00BE3D7D">
      <w:pPr>
        <w:pStyle w:val="FootnoteText"/>
        <w:jc w:val="both"/>
        <w:rPr>
          <w:rFonts w:ascii="Arial" w:hAnsi="Arial" w:cs="Arial"/>
          <w:lang w:val="en-US"/>
        </w:rPr>
      </w:pPr>
      <w:r w:rsidRPr="0000173A">
        <w:rPr>
          <w:rStyle w:val="FootnoteReference"/>
          <w:rFonts w:ascii="Arial" w:hAnsi="Arial" w:cs="Arial"/>
        </w:rPr>
        <w:footnoteRef/>
      </w:r>
      <w:r w:rsidRPr="0000173A">
        <w:rPr>
          <w:rFonts w:ascii="Arial" w:hAnsi="Arial" w:cs="Arial"/>
        </w:rPr>
        <w:t xml:space="preserve"> [2017] NAHCMD 315 (3 November 2017) at para 34.</w:t>
      </w:r>
    </w:p>
  </w:footnote>
  <w:footnote w:id="2">
    <w:p w:rsidR="000830D8" w:rsidRPr="0000173A" w:rsidRDefault="000830D8" w:rsidP="00BE3D7D">
      <w:pPr>
        <w:pStyle w:val="FootnoteText"/>
        <w:jc w:val="both"/>
        <w:rPr>
          <w:rFonts w:ascii="Arial" w:hAnsi="Arial" w:cs="Arial"/>
          <w:lang w:val="en-US"/>
        </w:rPr>
      </w:pPr>
      <w:r w:rsidRPr="0000173A">
        <w:rPr>
          <w:rStyle w:val="FootnoteReference"/>
          <w:rFonts w:ascii="Arial" w:hAnsi="Arial" w:cs="Arial"/>
        </w:rPr>
        <w:footnoteRef/>
      </w:r>
      <w:r w:rsidRPr="0000173A">
        <w:rPr>
          <w:rFonts w:ascii="Arial" w:hAnsi="Arial" w:cs="Arial"/>
        </w:rPr>
        <w:t xml:space="preserve"> (SA 29/2006) [2007] NASC 2 (18 October 2007) at para 29.</w:t>
      </w:r>
    </w:p>
  </w:footnote>
  <w:footnote w:id="3">
    <w:p w:rsidR="0000173A" w:rsidRPr="0000173A" w:rsidRDefault="0000173A" w:rsidP="00BE3D7D">
      <w:pPr>
        <w:pStyle w:val="FootnoteText"/>
        <w:jc w:val="both"/>
        <w:rPr>
          <w:rFonts w:ascii="Arial" w:hAnsi="Arial" w:cs="Arial"/>
          <w:lang w:val="en-US"/>
        </w:rPr>
      </w:pPr>
      <w:r w:rsidRPr="0000173A">
        <w:rPr>
          <w:rStyle w:val="FootnoteReference"/>
          <w:rFonts w:ascii="Arial" w:hAnsi="Arial" w:cs="Arial"/>
        </w:rPr>
        <w:footnoteRef/>
      </w:r>
      <w:r w:rsidRPr="0000173A">
        <w:rPr>
          <w:rFonts w:ascii="Arial" w:hAnsi="Arial" w:cs="Arial"/>
        </w:rPr>
        <w:t xml:space="preserve"> 1996 NR 279 (HC) at pg. 288F.</w:t>
      </w:r>
    </w:p>
  </w:footnote>
  <w:footnote w:id="4">
    <w:p w:rsidR="009603C5" w:rsidRPr="00BE3D7D" w:rsidRDefault="009603C5" w:rsidP="00BE3D7D">
      <w:pPr>
        <w:pStyle w:val="FootnoteText"/>
        <w:jc w:val="both"/>
        <w:rPr>
          <w:rFonts w:ascii="Arial" w:hAnsi="Arial" w:cs="Arial"/>
          <w:lang w:val="en-US"/>
        </w:rPr>
      </w:pPr>
      <w:r w:rsidRPr="00BE3D7D">
        <w:rPr>
          <w:rStyle w:val="FootnoteReference"/>
          <w:rFonts w:ascii="Arial" w:hAnsi="Arial" w:cs="Arial"/>
        </w:rPr>
        <w:footnoteRef/>
      </w:r>
      <w:r w:rsidRPr="00BE3D7D">
        <w:rPr>
          <w:rFonts w:ascii="Arial" w:hAnsi="Arial" w:cs="Arial"/>
        </w:rPr>
        <w:t xml:space="preserve"> </w:t>
      </w:r>
      <w:r w:rsidRPr="00BE3D7D">
        <w:rPr>
          <w:rFonts w:ascii="Arial" w:hAnsi="Arial" w:cs="Arial"/>
          <w:i/>
          <w:lang w:val="en-US"/>
        </w:rPr>
        <w:t xml:space="preserve">JB Cooling and Refrigeration CC v Dean Jacques </w:t>
      </w:r>
      <w:proofErr w:type="spellStart"/>
      <w:r w:rsidRPr="00BE3D7D">
        <w:rPr>
          <w:rFonts w:ascii="Arial" w:hAnsi="Arial" w:cs="Arial"/>
          <w:i/>
          <w:lang w:val="en-US"/>
        </w:rPr>
        <w:t>Willemse</w:t>
      </w:r>
      <w:proofErr w:type="spellEnd"/>
      <w:r w:rsidRPr="00BE3D7D">
        <w:rPr>
          <w:rFonts w:ascii="Arial" w:hAnsi="Arial" w:cs="Arial"/>
          <w:i/>
          <w:lang w:val="en-US"/>
        </w:rPr>
        <w:t xml:space="preserve"> t/a Windhoek Armature Winding and</w:t>
      </w:r>
      <w:r w:rsidRPr="00BE3D7D">
        <w:rPr>
          <w:rFonts w:ascii="Arial" w:hAnsi="Arial" w:cs="Arial"/>
          <w:lang w:val="en-US"/>
        </w:rPr>
        <w:t xml:space="preserve"> </w:t>
      </w:r>
      <w:r w:rsidRPr="00BE3D7D">
        <w:rPr>
          <w:rFonts w:ascii="Arial" w:hAnsi="Arial" w:cs="Arial"/>
          <w:i/>
          <w:lang w:val="en-US"/>
        </w:rPr>
        <w:t>Others</w:t>
      </w:r>
      <w:r w:rsidRPr="00BE3D7D">
        <w:rPr>
          <w:rFonts w:ascii="Arial" w:hAnsi="Arial" w:cs="Arial"/>
          <w:lang w:val="en-US"/>
        </w:rPr>
        <w:t xml:space="preserve"> (A 76/2015) [2016] NAHCMD 8 (20 January 2016).</w:t>
      </w:r>
    </w:p>
    <w:p w:rsidR="009603C5" w:rsidRPr="00BE3D7D" w:rsidRDefault="009603C5" w:rsidP="00BE3D7D">
      <w:pPr>
        <w:pStyle w:val="FootnoteText"/>
        <w:jc w:val="both"/>
        <w:rPr>
          <w:rFonts w:ascii="Arial" w:hAnsi="Arial" w:cs="Arial"/>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31970"/>
      <w:docPartObj>
        <w:docPartGallery w:val="Page Numbers (Top of Page)"/>
        <w:docPartUnique/>
      </w:docPartObj>
    </w:sdtPr>
    <w:sdtEndPr>
      <w:rPr>
        <w:noProof/>
      </w:rPr>
    </w:sdtEndPr>
    <w:sdtContent>
      <w:p w:rsidR="000D0ED1" w:rsidRDefault="000D0ED1">
        <w:pPr>
          <w:pStyle w:val="Header"/>
          <w:jc w:val="right"/>
        </w:pPr>
        <w:r>
          <w:fldChar w:fldCharType="begin"/>
        </w:r>
        <w:r>
          <w:instrText xml:space="preserve"> PAGE   \* MERGEFORMAT </w:instrText>
        </w:r>
        <w:r>
          <w:fldChar w:fldCharType="separate"/>
        </w:r>
        <w:r w:rsidR="00BE3D7D">
          <w:rPr>
            <w:noProof/>
          </w:rPr>
          <w:t>9</w:t>
        </w:r>
        <w:r>
          <w:rPr>
            <w:noProof/>
          </w:rPr>
          <w:fldChar w:fldCharType="end"/>
        </w:r>
      </w:p>
    </w:sdtContent>
  </w:sdt>
  <w:p w:rsidR="000D0ED1" w:rsidRDefault="000D0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72CF6"/>
    <w:multiLevelType w:val="hybridMultilevel"/>
    <w:tmpl w:val="6FDE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2016C"/>
    <w:multiLevelType w:val="hybridMultilevel"/>
    <w:tmpl w:val="6FDE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028CF"/>
    <w:multiLevelType w:val="hybridMultilevel"/>
    <w:tmpl w:val="80A6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58"/>
    <w:rsid w:val="0000173A"/>
    <w:rsid w:val="000355AD"/>
    <w:rsid w:val="00045BA0"/>
    <w:rsid w:val="000830D8"/>
    <w:rsid w:val="00090A0B"/>
    <w:rsid w:val="00097458"/>
    <w:rsid w:val="000D0ED1"/>
    <w:rsid w:val="000F0A53"/>
    <w:rsid w:val="001060B6"/>
    <w:rsid w:val="00165A9D"/>
    <w:rsid w:val="001D32D7"/>
    <w:rsid w:val="001D342E"/>
    <w:rsid w:val="001E169A"/>
    <w:rsid w:val="00225C53"/>
    <w:rsid w:val="00291CD6"/>
    <w:rsid w:val="002D4E07"/>
    <w:rsid w:val="0032147E"/>
    <w:rsid w:val="003220A0"/>
    <w:rsid w:val="003F2A95"/>
    <w:rsid w:val="0043218F"/>
    <w:rsid w:val="00436D58"/>
    <w:rsid w:val="004611C9"/>
    <w:rsid w:val="004D65B6"/>
    <w:rsid w:val="004D72E5"/>
    <w:rsid w:val="004E7649"/>
    <w:rsid w:val="004F7D90"/>
    <w:rsid w:val="0054236C"/>
    <w:rsid w:val="005773D4"/>
    <w:rsid w:val="00582421"/>
    <w:rsid w:val="0059328F"/>
    <w:rsid w:val="005B71A0"/>
    <w:rsid w:val="0069319E"/>
    <w:rsid w:val="00722C60"/>
    <w:rsid w:val="00723E36"/>
    <w:rsid w:val="00803267"/>
    <w:rsid w:val="00826C42"/>
    <w:rsid w:val="00850B1F"/>
    <w:rsid w:val="008703AA"/>
    <w:rsid w:val="008914EA"/>
    <w:rsid w:val="008952B6"/>
    <w:rsid w:val="008A4100"/>
    <w:rsid w:val="008A71C5"/>
    <w:rsid w:val="008C46EB"/>
    <w:rsid w:val="008F5E33"/>
    <w:rsid w:val="009603C5"/>
    <w:rsid w:val="009809D8"/>
    <w:rsid w:val="00980C85"/>
    <w:rsid w:val="009824BC"/>
    <w:rsid w:val="00A02BB2"/>
    <w:rsid w:val="00A62A95"/>
    <w:rsid w:val="00B0426F"/>
    <w:rsid w:val="00B22BB3"/>
    <w:rsid w:val="00B36134"/>
    <w:rsid w:val="00B504B3"/>
    <w:rsid w:val="00B91C08"/>
    <w:rsid w:val="00BA4953"/>
    <w:rsid w:val="00BC6FC5"/>
    <w:rsid w:val="00BD35DB"/>
    <w:rsid w:val="00BE3D7D"/>
    <w:rsid w:val="00C85723"/>
    <w:rsid w:val="00C96CF7"/>
    <w:rsid w:val="00CE3EC3"/>
    <w:rsid w:val="00D07680"/>
    <w:rsid w:val="00D90BA3"/>
    <w:rsid w:val="00DA7604"/>
    <w:rsid w:val="00E97AB3"/>
    <w:rsid w:val="00EC3953"/>
    <w:rsid w:val="00ED2723"/>
    <w:rsid w:val="00F17475"/>
    <w:rsid w:val="00F8593F"/>
    <w:rsid w:val="00FD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E88D6-15D5-4CE3-9303-1A059195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D58"/>
    <w:rPr>
      <w:lang w:val="en-ZA"/>
    </w:rPr>
  </w:style>
  <w:style w:type="paragraph" w:styleId="Heading2">
    <w:name w:val="heading 2"/>
    <w:basedOn w:val="Normal"/>
    <w:next w:val="Normal"/>
    <w:link w:val="Heading2Char"/>
    <w:uiPriority w:val="9"/>
    <w:semiHidden/>
    <w:unhideWhenUsed/>
    <w:qFormat/>
    <w:rsid w:val="009603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6D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D58"/>
    <w:rPr>
      <w:sz w:val="20"/>
      <w:szCs w:val="20"/>
      <w:lang w:val="en-ZA"/>
    </w:rPr>
  </w:style>
  <w:style w:type="character" w:styleId="FootnoteReference">
    <w:name w:val="footnote reference"/>
    <w:basedOn w:val="DefaultParagraphFont"/>
    <w:uiPriority w:val="99"/>
    <w:semiHidden/>
    <w:unhideWhenUsed/>
    <w:rsid w:val="00436D58"/>
    <w:rPr>
      <w:vertAlign w:val="superscript"/>
    </w:rPr>
  </w:style>
  <w:style w:type="character" w:customStyle="1" w:styleId="Heading2Char">
    <w:name w:val="Heading 2 Char"/>
    <w:basedOn w:val="DefaultParagraphFont"/>
    <w:link w:val="Heading2"/>
    <w:uiPriority w:val="9"/>
    <w:semiHidden/>
    <w:rsid w:val="009603C5"/>
    <w:rPr>
      <w:rFonts w:asciiTheme="majorHAnsi" w:eastAsiaTheme="majorEastAsia" w:hAnsiTheme="majorHAnsi" w:cstheme="majorBidi"/>
      <w:color w:val="2E74B5" w:themeColor="accent1" w:themeShade="BF"/>
      <w:sz w:val="26"/>
      <w:szCs w:val="26"/>
      <w:lang w:val="en-ZA"/>
    </w:rPr>
  </w:style>
  <w:style w:type="paragraph" w:styleId="ListParagraph">
    <w:name w:val="List Paragraph"/>
    <w:basedOn w:val="Normal"/>
    <w:uiPriority w:val="34"/>
    <w:qFormat/>
    <w:rsid w:val="00F17475"/>
    <w:pPr>
      <w:ind w:left="720"/>
      <w:contextualSpacing/>
    </w:pPr>
  </w:style>
  <w:style w:type="paragraph" w:styleId="BalloonText">
    <w:name w:val="Balloon Text"/>
    <w:basedOn w:val="Normal"/>
    <w:link w:val="BalloonTextChar"/>
    <w:uiPriority w:val="99"/>
    <w:semiHidden/>
    <w:unhideWhenUsed/>
    <w:rsid w:val="00090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0B"/>
    <w:rPr>
      <w:rFonts w:ascii="Segoe UI" w:hAnsi="Segoe UI" w:cs="Segoe UI"/>
      <w:sz w:val="18"/>
      <w:szCs w:val="18"/>
      <w:lang w:val="en-ZA"/>
    </w:rPr>
  </w:style>
  <w:style w:type="paragraph" w:styleId="Header">
    <w:name w:val="header"/>
    <w:basedOn w:val="Normal"/>
    <w:link w:val="HeaderChar"/>
    <w:uiPriority w:val="99"/>
    <w:unhideWhenUsed/>
    <w:rsid w:val="000D0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ED1"/>
    <w:rPr>
      <w:lang w:val="en-ZA"/>
    </w:rPr>
  </w:style>
  <w:style w:type="paragraph" w:styleId="Footer">
    <w:name w:val="footer"/>
    <w:basedOn w:val="Normal"/>
    <w:link w:val="FooterChar"/>
    <w:uiPriority w:val="99"/>
    <w:unhideWhenUsed/>
    <w:rsid w:val="000D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ED1"/>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3503">
      <w:bodyDiv w:val="1"/>
      <w:marLeft w:val="0"/>
      <w:marRight w:val="0"/>
      <w:marTop w:val="0"/>
      <w:marBottom w:val="0"/>
      <w:divBdr>
        <w:top w:val="none" w:sz="0" w:space="0" w:color="auto"/>
        <w:left w:val="none" w:sz="0" w:space="0" w:color="auto"/>
        <w:bottom w:val="none" w:sz="0" w:space="0" w:color="auto"/>
        <w:right w:val="none" w:sz="0" w:space="0" w:color="auto"/>
      </w:divBdr>
    </w:div>
    <w:div w:id="1279874220">
      <w:bodyDiv w:val="1"/>
      <w:marLeft w:val="0"/>
      <w:marRight w:val="0"/>
      <w:marTop w:val="0"/>
      <w:marBottom w:val="0"/>
      <w:divBdr>
        <w:top w:val="none" w:sz="0" w:space="0" w:color="auto"/>
        <w:left w:val="none" w:sz="0" w:space="0" w:color="auto"/>
        <w:bottom w:val="none" w:sz="0" w:space="0" w:color="auto"/>
        <w:right w:val="none" w:sz="0" w:space="0" w:color="auto"/>
      </w:divBdr>
    </w:div>
    <w:div w:id="12866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2018-02-25T18:30:00+00:00</Judgment_x0020_Date>
    <Year xmlns="c1afb1bd-f2fb-40fd-9abb-aea55b4d7662">2018</Year>
  </documentManagement>
</p:properties>
</file>

<file path=customXml/itemProps1.xml><?xml version="1.0" encoding="utf-8"?>
<ds:datastoreItem xmlns:ds="http://schemas.openxmlformats.org/officeDocument/2006/customXml" ds:itemID="{773F08A6-376B-4034-A086-A90E266E4ADB}"/>
</file>

<file path=customXml/itemProps2.xml><?xml version="1.0" encoding="utf-8"?>
<ds:datastoreItem xmlns:ds="http://schemas.openxmlformats.org/officeDocument/2006/customXml" ds:itemID="{27ABEAAF-7E4D-46C9-A175-01A699F8DF45}"/>
</file>

<file path=customXml/itemProps3.xml><?xml version="1.0" encoding="utf-8"?>
<ds:datastoreItem xmlns:ds="http://schemas.openxmlformats.org/officeDocument/2006/customXml" ds:itemID="{E26F993E-717F-48BE-99F7-501BEDEA0A32}"/>
</file>

<file path=docProps/app.xml><?xml version="1.0" encoding="utf-8"?>
<Properties xmlns="http://schemas.openxmlformats.org/officeDocument/2006/extended-properties" xmlns:vt="http://schemas.openxmlformats.org/officeDocument/2006/docPropsVTypes">
  <Template>Normal</Template>
  <TotalTime>7</TotalTime>
  <Pages>10</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Andjamba vs Andjamba</dc:title>
  <dc:creator>Priscilla Nande</dc:creator>
  <cp:lastModifiedBy>Nicole Januarie</cp:lastModifiedBy>
  <cp:revision>3</cp:revision>
  <cp:lastPrinted>2018-04-12T08:49:00Z</cp:lastPrinted>
  <dcterms:created xsi:type="dcterms:W3CDTF">2018-04-13T06:56:00Z</dcterms:created>
  <dcterms:modified xsi:type="dcterms:W3CDTF">2018-04-13T07:36:00Z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