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1B0FDD" w:rsidTr="0004405B">
        <w:trPr>
          <w:trHeight w:val="744"/>
        </w:trPr>
        <w:tc>
          <w:tcPr>
            <w:tcW w:w="5397" w:type="dxa"/>
            <w:gridSpan w:val="2"/>
          </w:tcPr>
          <w:p w:rsidR="00D35047" w:rsidRPr="00370E0F" w:rsidRDefault="00D35047" w:rsidP="0004405B">
            <w:pPr>
              <w:spacing w:line="360" w:lineRule="auto"/>
              <w:jc w:val="both"/>
              <w:rPr>
                <w:rFonts w:ascii="Arial Narrow" w:hAnsi="Arial Narrow" w:cs="Arial"/>
                <w:sz w:val="24"/>
                <w:szCs w:val="24"/>
              </w:rPr>
            </w:pPr>
            <w:r w:rsidRPr="00370E0F">
              <w:rPr>
                <w:rFonts w:ascii="Arial Narrow" w:hAnsi="Arial Narrow" w:cs="Arial"/>
                <w:b/>
                <w:sz w:val="24"/>
                <w:szCs w:val="24"/>
              </w:rPr>
              <w:t>Case Title:</w:t>
            </w:r>
          </w:p>
          <w:p w:rsidR="00D35047" w:rsidRPr="00370E0F" w:rsidRDefault="00037F40" w:rsidP="00E86A86">
            <w:pPr>
              <w:spacing w:line="360" w:lineRule="auto"/>
              <w:jc w:val="both"/>
              <w:rPr>
                <w:rFonts w:ascii="Arial Narrow" w:hAnsi="Arial Narrow" w:cs="Arial"/>
                <w:i/>
                <w:sz w:val="24"/>
                <w:szCs w:val="24"/>
              </w:rPr>
            </w:pPr>
            <w:r w:rsidRPr="00037F40">
              <w:rPr>
                <w:rFonts w:ascii="Arial Narrow" w:hAnsi="Arial Narrow" w:cs="Arial"/>
                <w:i/>
                <w:sz w:val="24"/>
                <w:szCs w:val="24"/>
              </w:rPr>
              <w:t>A</w:t>
            </w:r>
            <w:r w:rsidR="008F0CCF" w:rsidRPr="00037F40">
              <w:rPr>
                <w:rFonts w:ascii="Arial Narrow" w:hAnsi="Arial Narrow" w:cs="Arial"/>
                <w:i/>
                <w:sz w:val="24"/>
                <w:szCs w:val="24"/>
              </w:rPr>
              <w:t>d</w:t>
            </w:r>
            <w:r w:rsidRPr="00037F40">
              <w:rPr>
                <w:rFonts w:ascii="Arial Narrow" w:hAnsi="Arial Narrow" w:cs="Arial"/>
                <w:i/>
                <w:sz w:val="24"/>
                <w:szCs w:val="24"/>
              </w:rPr>
              <w:t>r</w:t>
            </w:r>
            <w:r w:rsidR="008F0CCF" w:rsidRPr="00037F40">
              <w:rPr>
                <w:rFonts w:ascii="Arial Narrow" w:hAnsi="Arial Narrow" w:cs="Arial"/>
                <w:i/>
                <w:sz w:val="24"/>
                <w:szCs w:val="24"/>
              </w:rPr>
              <w:t>iano</w:t>
            </w:r>
            <w:r w:rsidR="008F0CCF">
              <w:rPr>
                <w:rFonts w:ascii="Arial Narrow" w:hAnsi="Arial Narrow" w:cs="Arial"/>
                <w:i/>
                <w:sz w:val="24"/>
                <w:szCs w:val="24"/>
              </w:rPr>
              <w:t xml:space="preserve"> Both v The State</w:t>
            </w:r>
          </w:p>
        </w:tc>
        <w:tc>
          <w:tcPr>
            <w:tcW w:w="4323" w:type="dxa"/>
          </w:tcPr>
          <w:p w:rsidR="00D35047" w:rsidRPr="001B0FDD" w:rsidRDefault="00D35047" w:rsidP="0004405B">
            <w:pPr>
              <w:spacing w:line="360" w:lineRule="auto"/>
              <w:jc w:val="both"/>
              <w:rPr>
                <w:rFonts w:ascii="Arial Narrow" w:hAnsi="Arial Narrow" w:cs="Arial"/>
                <w:b/>
                <w:sz w:val="24"/>
                <w:szCs w:val="24"/>
              </w:rPr>
            </w:pPr>
            <w:r w:rsidRPr="001B0FDD">
              <w:rPr>
                <w:rFonts w:ascii="Arial Narrow" w:hAnsi="Arial Narrow" w:cs="Arial"/>
                <w:b/>
                <w:sz w:val="24"/>
                <w:szCs w:val="24"/>
              </w:rPr>
              <w:t>Case No:</w:t>
            </w:r>
          </w:p>
          <w:p w:rsidR="00D35047" w:rsidRPr="001B0FDD" w:rsidRDefault="008F0CCF" w:rsidP="0004405B">
            <w:pPr>
              <w:spacing w:line="360" w:lineRule="auto"/>
              <w:jc w:val="both"/>
              <w:rPr>
                <w:rFonts w:ascii="Arial Narrow" w:hAnsi="Arial Narrow" w:cs="Arial"/>
                <w:sz w:val="24"/>
                <w:szCs w:val="24"/>
              </w:rPr>
            </w:pPr>
            <w:r>
              <w:rPr>
                <w:rFonts w:ascii="Arial Narrow" w:hAnsi="Arial Narrow" w:cs="Arial"/>
                <w:sz w:val="24"/>
                <w:szCs w:val="24"/>
              </w:rPr>
              <w:t>CA 83 /2016</w:t>
            </w:r>
          </w:p>
        </w:tc>
      </w:tr>
      <w:tr w:rsidR="00D35047" w:rsidRPr="001B0FDD" w:rsidTr="0004405B">
        <w:trPr>
          <w:trHeight w:val="844"/>
        </w:trPr>
        <w:tc>
          <w:tcPr>
            <w:tcW w:w="5397" w:type="dxa"/>
            <w:gridSpan w:val="2"/>
          </w:tcPr>
          <w:p w:rsidR="00B13BE8" w:rsidRPr="008F0CCF" w:rsidRDefault="008F0CCF" w:rsidP="00B13BE8">
            <w:pPr>
              <w:spacing w:line="360" w:lineRule="auto"/>
              <w:jc w:val="both"/>
              <w:rPr>
                <w:rFonts w:ascii="Arial Narrow" w:hAnsi="Arial Narrow" w:cs="Arial"/>
                <w:b/>
                <w:sz w:val="24"/>
                <w:szCs w:val="24"/>
              </w:rPr>
            </w:pPr>
            <w:r w:rsidRPr="008F0CCF">
              <w:rPr>
                <w:rFonts w:ascii="Arial Narrow" w:hAnsi="Arial Narrow" w:cs="Arial"/>
                <w:b/>
                <w:sz w:val="24"/>
                <w:szCs w:val="24"/>
              </w:rPr>
              <w:t>Application for leave to appeal</w:t>
            </w:r>
          </w:p>
        </w:tc>
        <w:tc>
          <w:tcPr>
            <w:tcW w:w="4323" w:type="dxa"/>
          </w:tcPr>
          <w:p w:rsidR="00D35047" w:rsidRPr="001B0FDD" w:rsidRDefault="00D35047" w:rsidP="0004405B">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D35047" w:rsidRPr="001B0FDD" w:rsidRDefault="00D35047" w:rsidP="0004405B">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D35047" w:rsidRPr="001B0FDD" w:rsidTr="0004405B">
        <w:trPr>
          <w:trHeight w:val="1662"/>
        </w:trPr>
        <w:tc>
          <w:tcPr>
            <w:tcW w:w="5397" w:type="dxa"/>
            <w:gridSpan w:val="2"/>
          </w:tcPr>
          <w:p w:rsidR="00D35047" w:rsidRPr="00370E0F" w:rsidRDefault="00D35047" w:rsidP="0004405B">
            <w:pPr>
              <w:spacing w:line="360" w:lineRule="auto"/>
              <w:jc w:val="both"/>
              <w:rPr>
                <w:rFonts w:ascii="Arial Narrow" w:hAnsi="Arial Narrow" w:cs="Arial"/>
                <w:b/>
                <w:sz w:val="24"/>
                <w:szCs w:val="24"/>
              </w:rPr>
            </w:pPr>
            <w:r w:rsidRPr="00370E0F">
              <w:rPr>
                <w:rFonts w:ascii="Arial Narrow" w:hAnsi="Arial Narrow" w:cs="Arial"/>
                <w:b/>
                <w:sz w:val="24"/>
                <w:szCs w:val="24"/>
              </w:rPr>
              <w:t>Heard before:</w:t>
            </w:r>
          </w:p>
          <w:p w:rsidR="00D35047" w:rsidRPr="00370E0F" w:rsidRDefault="00D35047" w:rsidP="0004405B">
            <w:pPr>
              <w:spacing w:line="360" w:lineRule="auto"/>
              <w:jc w:val="both"/>
              <w:rPr>
                <w:rFonts w:ascii="Arial Narrow" w:hAnsi="Arial Narrow" w:cs="Arial"/>
                <w:i/>
                <w:sz w:val="24"/>
                <w:szCs w:val="24"/>
              </w:rPr>
            </w:pPr>
            <w:r w:rsidRPr="00370E0F">
              <w:rPr>
                <w:rFonts w:ascii="Arial Narrow" w:hAnsi="Arial Narrow" w:cs="Arial"/>
                <w:sz w:val="24"/>
                <w:szCs w:val="24"/>
              </w:rPr>
              <w:t xml:space="preserve">Mr Justice </w:t>
            </w:r>
            <w:r w:rsidR="00EC6886" w:rsidRPr="00370E0F">
              <w:rPr>
                <w:rFonts w:ascii="Arial Narrow" w:hAnsi="Arial Narrow" w:cs="Arial"/>
                <w:sz w:val="24"/>
                <w:szCs w:val="24"/>
              </w:rPr>
              <w:t>Liebenberg</w:t>
            </w:r>
            <w:r w:rsidRPr="00370E0F">
              <w:rPr>
                <w:rFonts w:ascii="Arial Narrow" w:hAnsi="Arial Narrow" w:cs="Arial"/>
                <w:sz w:val="24"/>
                <w:szCs w:val="24"/>
              </w:rPr>
              <w:t xml:space="preserve"> </w:t>
            </w:r>
            <w:r w:rsidRPr="00370E0F">
              <w:rPr>
                <w:rFonts w:ascii="Arial Narrow" w:hAnsi="Arial Narrow" w:cs="Arial"/>
                <w:i/>
                <w:sz w:val="24"/>
                <w:szCs w:val="24"/>
              </w:rPr>
              <w:t>et</w:t>
            </w:r>
          </w:p>
          <w:p w:rsidR="00D35047" w:rsidRPr="00370E0F" w:rsidRDefault="008F0CCF" w:rsidP="008F0CCF">
            <w:pPr>
              <w:spacing w:line="360" w:lineRule="auto"/>
              <w:jc w:val="both"/>
              <w:rPr>
                <w:rFonts w:ascii="Arial Narrow" w:hAnsi="Arial Narrow" w:cs="Arial"/>
                <w:sz w:val="24"/>
                <w:szCs w:val="24"/>
              </w:rPr>
            </w:pPr>
            <w:r>
              <w:rPr>
                <w:rFonts w:ascii="Arial Narrow" w:hAnsi="Arial Narrow" w:cs="Arial"/>
                <w:sz w:val="24"/>
                <w:szCs w:val="24"/>
              </w:rPr>
              <w:t>Lady</w:t>
            </w:r>
            <w:r w:rsidR="007F01E8">
              <w:rPr>
                <w:rFonts w:ascii="Arial Narrow" w:hAnsi="Arial Narrow" w:cs="Arial"/>
                <w:sz w:val="24"/>
                <w:szCs w:val="24"/>
              </w:rPr>
              <w:t xml:space="preserve"> Justice </w:t>
            </w:r>
            <w:r>
              <w:rPr>
                <w:rFonts w:ascii="Arial Narrow" w:hAnsi="Arial Narrow" w:cs="Arial"/>
                <w:sz w:val="24"/>
                <w:szCs w:val="24"/>
              </w:rPr>
              <w:t>Shivute</w:t>
            </w:r>
          </w:p>
        </w:tc>
        <w:tc>
          <w:tcPr>
            <w:tcW w:w="4323" w:type="dxa"/>
          </w:tcPr>
          <w:p w:rsidR="00D35047" w:rsidRPr="001B0FDD" w:rsidRDefault="00D35047" w:rsidP="0004405B">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D35047" w:rsidRPr="001B0FDD" w:rsidRDefault="00B13BE8" w:rsidP="008F0CCF">
            <w:pPr>
              <w:spacing w:line="360" w:lineRule="auto"/>
              <w:jc w:val="both"/>
              <w:rPr>
                <w:rFonts w:ascii="Arial Narrow" w:hAnsi="Arial Narrow" w:cs="Arial"/>
                <w:sz w:val="24"/>
                <w:szCs w:val="24"/>
              </w:rPr>
            </w:pPr>
            <w:r>
              <w:rPr>
                <w:rFonts w:ascii="Arial Narrow" w:hAnsi="Arial Narrow" w:cs="Arial"/>
                <w:sz w:val="24"/>
                <w:szCs w:val="24"/>
              </w:rPr>
              <w:t xml:space="preserve"> </w:t>
            </w:r>
            <w:r w:rsidR="00731EC0">
              <w:rPr>
                <w:rFonts w:ascii="Arial Narrow" w:hAnsi="Arial Narrow" w:cs="Arial"/>
                <w:sz w:val="24"/>
                <w:szCs w:val="24"/>
              </w:rPr>
              <w:t>19</w:t>
            </w:r>
            <w:r w:rsidR="007B38F9">
              <w:rPr>
                <w:rFonts w:ascii="Arial Narrow" w:hAnsi="Arial Narrow" w:cs="Arial"/>
                <w:sz w:val="24"/>
                <w:szCs w:val="24"/>
              </w:rPr>
              <w:t xml:space="preserve"> </w:t>
            </w:r>
            <w:r w:rsidR="007F01E8">
              <w:rPr>
                <w:rFonts w:ascii="Arial Narrow" w:hAnsi="Arial Narrow" w:cs="Arial"/>
                <w:sz w:val="24"/>
                <w:szCs w:val="24"/>
              </w:rPr>
              <w:t>J</w:t>
            </w:r>
            <w:r w:rsidR="008F0CCF">
              <w:rPr>
                <w:rFonts w:ascii="Arial Narrow" w:hAnsi="Arial Narrow" w:cs="Arial"/>
                <w:sz w:val="24"/>
                <w:szCs w:val="24"/>
              </w:rPr>
              <w:t>uly</w:t>
            </w:r>
            <w:r w:rsidR="000141CC">
              <w:rPr>
                <w:rFonts w:ascii="Arial Narrow" w:hAnsi="Arial Narrow" w:cs="Arial"/>
                <w:sz w:val="24"/>
                <w:szCs w:val="24"/>
              </w:rPr>
              <w:t xml:space="preserve"> </w:t>
            </w:r>
            <w:r>
              <w:rPr>
                <w:rFonts w:ascii="Arial Narrow" w:hAnsi="Arial Narrow" w:cs="Arial"/>
                <w:sz w:val="24"/>
                <w:szCs w:val="24"/>
              </w:rPr>
              <w:t>2019</w:t>
            </w:r>
          </w:p>
        </w:tc>
      </w:tr>
      <w:tr w:rsidR="00D35047" w:rsidRPr="001B0FDD" w:rsidTr="0004405B">
        <w:tc>
          <w:tcPr>
            <w:tcW w:w="9720" w:type="dxa"/>
            <w:gridSpan w:val="3"/>
          </w:tcPr>
          <w:p w:rsidR="00D35047" w:rsidRPr="00F53A1E" w:rsidRDefault="00D35047" w:rsidP="0004405B">
            <w:pPr>
              <w:spacing w:line="360" w:lineRule="auto"/>
              <w:jc w:val="both"/>
              <w:rPr>
                <w:rFonts w:ascii="Arial Narrow" w:hAnsi="Arial Narrow" w:cs="Arial"/>
                <w:sz w:val="24"/>
                <w:szCs w:val="24"/>
              </w:rPr>
            </w:pPr>
            <w:r w:rsidRPr="00370E0F">
              <w:rPr>
                <w:rFonts w:ascii="Arial Narrow" w:hAnsi="Arial Narrow" w:cs="Arial"/>
                <w:b/>
                <w:sz w:val="24"/>
                <w:szCs w:val="24"/>
              </w:rPr>
              <w:t xml:space="preserve">Neutral citation: </w:t>
            </w:r>
            <w:bookmarkStart w:id="0" w:name="_GoBack"/>
            <w:r w:rsidRPr="00370E0F">
              <w:rPr>
                <w:rFonts w:ascii="Arial Narrow" w:hAnsi="Arial Narrow" w:cs="Arial"/>
                <w:i/>
                <w:sz w:val="24"/>
                <w:szCs w:val="24"/>
              </w:rPr>
              <w:t>S v</w:t>
            </w:r>
            <w:r w:rsidR="00290365" w:rsidRPr="00370E0F">
              <w:rPr>
                <w:rFonts w:ascii="Arial Narrow" w:hAnsi="Arial Narrow" w:cs="Arial"/>
                <w:i/>
                <w:sz w:val="24"/>
                <w:szCs w:val="24"/>
              </w:rPr>
              <w:t xml:space="preserve"> </w:t>
            </w:r>
            <w:r w:rsidR="008F0CCF">
              <w:rPr>
                <w:rFonts w:ascii="Arial Narrow" w:hAnsi="Arial Narrow" w:cs="Arial"/>
                <w:i/>
                <w:sz w:val="24"/>
                <w:szCs w:val="24"/>
              </w:rPr>
              <w:t>Both</w:t>
            </w:r>
            <w:r w:rsidR="007F01E8">
              <w:rPr>
                <w:rFonts w:ascii="Arial Narrow" w:hAnsi="Arial Narrow" w:cs="Arial"/>
                <w:i/>
                <w:sz w:val="24"/>
                <w:szCs w:val="24"/>
              </w:rPr>
              <w:t xml:space="preserve"> </w:t>
            </w:r>
            <w:r w:rsidRPr="00370E0F">
              <w:rPr>
                <w:rFonts w:ascii="Arial Narrow" w:hAnsi="Arial Narrow" w:cs="Arial"/>
                <w:sz w:val="24"/>
                <w:szCs w:val="24"/>
              </w:rPr>
              <w:t>(</w:t>
            </w:r>
            <w:r w:rsidR="008F0CCF">
              <w:rPr>
                <w:rFonts w:ascii="Arial Narrow" w:hAnsi="Arial Narrow" w:cs="Arial"/>
                <w:sz w:val="24"/>
                <w:szCs w:val="24"/>
              </w:rPr>
              <w:t>CA</w:t>
            </w:r>
            <w:r w:rsidR="00B13BE8" w:rsidRPr="00370E0F">
              <w:rPr>
                <w:rFonts w:ascii="Arial Narrow" w:hAnsi="Arial Narrow" w:cs="Arial"/>
                <w:sz w:val="24"/>
                <w:szCs w:val="24"/>
              </w:rPr>
              <w:t xml:space="preserve"> </w:t>
            </w:r>
            <w:r w:rsidR="008F0CCF">
              <w:rPr>
                <w:rFonts w:ascii="Arial Narrow" w:hAnsi="Arial Narrow" w:cs="Arial"/>
                <w:sz w:val="24"/>
                <w:szCs w:val="24"/>
              </w:rPr>
              <w:t>83</w:t>
            </w:r>
            <w:r w:rsidR="000C1594">
              <w:rPr>
                <w:rFonts w:ascii="Arial Narrow" w:hAnsi="Arial Narrow" w:cs="Arial"/>
                <w:sz w:val="24"/>
                <w:szCs w:val="24"/>
              </w:rPr>
              <w:t>/2016</w:t>
            </w:r>
            <w:r w:rsidR="00B13BE8" w:rsidRPr="00370E0F">
              <w:rPr>
                <w:rFonts w:ascii="Arial Narrow" w:hAnsi="Arial Narrow" w:cs="Arial"/>
                <w:sz w:val="24"/>
                <w:szCs w:val="24"/>
              </w:rPr>
              <w:t>) [2019] NAHCMD</w:t>
            </w:r>
            <w:r w:rsidR="000C1594">
              <w:rPr>
                <w:rFonts w:ascii="Arial Narrow" w:hAnsi="Arial Narrow" w:cs="Arial"/>
                <w:sz w:val="24"/>
                <w:szCs w:val="24"/>
              </w:rPr>
              <w:t xml:space="preserve"> 250 </w:t>
            </w:r>
            <w:r w:rsidR="00B13BE8" w:rsidRPr="00370E0F">
              <w:rPr>
                <w:rFonts w:ascii="Arial Narrow" w:hAnsi="Arial Narrow" w:cs="Arial"/>
                <w:sz w:val="24"/>
                <w:szCs w:val="24"/>
              </w:rPr>
              <w:t xml:space="preserve"> </w:t>
            </w:r>
            <w:r w:rsidR="00731EC0">
              <w:rPr>
                <w:rFonts w:ascii="Arial Narrow" w:hAnsi="Arial Narrow" w:cs="Arial"/>
                <w:sz w:val="24"/>
                <w:szCs w:val="24"/>
              </w:rPr>
              <w:t>(19</w:t>
            </w:r>
            <w:r w:rsidR="007B38F9">
              <w:rPr>
                <w:rFonts w:ascii="Arial Narrow" w:hAnsi="Arial Narrow" w:cs="Arial"/>
                <w:sz w:val="24"/>
                <w:szCs w:val="24"/>
              </w:rPr>
              <w:t xml:space="preserve"> </w:t>
            </w:r>
            <w:r w:rsidR="008F0CCF">
              <w:rPr>
                <w:rFonts w:ascii="Arial Narrow" w:hAnsi="Arial Narrow" w:cs="Arial"/>
                <w:sz w:val="24"/>
                <w:szCs w:val="24"/>
              </w:rPr>
              <w:t>July</w:t>
            </w:r>
            <w:r w:rsidR="00290365" w:rsidRPr="00370E0F">
              <w:rPr>
                <w:rFonts w:ascii="Arial Narrow" w:hAnsi="Arial Narrow" w:cs="Arial"/>
                <w:sz w:val="24"/>
                <w:szCs w:val="24"/>
              </w:rPr>
              <w:t xml:space="preserve"> </w:t>
            </w:r>
            <w:r w:rsidR="00B13BE8" w:rsidRPr="00370E0F">
              <w:rPr>
                <w:rFonts w:ascii="Arial Narrow" w:hAnsi="Arial Narrow" w:cs="Arial"/>
                <w:sz w:val="24"/>
                <w:szCs w:val="24"/>
              </w:rPr>
              <w:t>2019</w:t>
            </w:r>
            <w:r w:rsidR="00F53A1E">
              <w:rPr>
                <w:rFonts w:ascii="Arial Narrow" w:hAnsi="Arial Narrow" w:cs="Arial"/>
                <w:sz w:val="24"/>
                <w:szCs w:val="24"/>
              </w:rPr>
              <w:t>)</w:t>
            </w:r>
            <w:bookmarkEnd w:id="0"/>
          </w:p>
        </w:tc>
      </w:tr>
      <w:tr w:rsidR="00D35047" w:rsidRPr="00ED330E" w:rsidTr="0004405B">
        <w:tc>
          <w:tcPr>
            <w:tcW w:w="9720" w:type="dxa"/>
            <w:gridSpan w:val="3"/>
          </w:tcPr>
          <w:p w:rsidR="00421539" w:rsidRPr="00370E0F" w:rsidRDefault="00D35047" w:rsidP="00A52DB4">
            <w:pPr>
              <w:spacing w:line="360" w:lineRule="auto"/>
              <w:jc w:val="both"/>
              <w:rPr>
                <w:rFonts w:ascii="Arial Narrow" w:hAnsi="Arial Narrow" w:cs="Arial"/>
                <w:b/>
                <w:sz w:val="24"/>
                <w:szCs w:val="24"/>
              </w:rPr>
            </w:pPr>
            <w:r w:rsidRPr="00370E0F">
              <w:rPr>
                <w:rFonts w:ascii="Arial Narrow" w:hAnsi="Arial Narrow" w:cs="Arial"/>
                <w:b/>
                <w:sz w:val="24"/>
                <w:szCs w:val="24"/>
              </w:rPr>
              <w:t>The order:</w:t>
            </w:r>
          </w:p>
          <w:p w:rsidR="00F53A1E" w:rsidRDefault="00F53A1E" w:rsidP="00F53A1E">
            <w:pPr>
              <w:pStyle w:val="ListParagraph"/>
              <w:numPr>
                <w:ilvl w:val="0"/>
                <w:numId w:val="14"/>
              </w:numPr>
              <w:spacing w:line="360" w:lineRule="auto"/>
              <w:jc w:val="both"/>
              <w:rPr>
                <w:rFonts w:ascii="Arial Narrow" w:hAnsi="Arial Narrow" w:cs="Arial"/>
                <w:sz w:val="24"/>
                <w:szCs w:val="24"/>
              </w:rPr>
            </w:pPr>
            <w:r>
              <w:rPr>
                <w:rFonts w:ascii="Arial Narrow" w:hAnsi="Arial Narrow" w:cs="Arial"/>
                <w:sz w:val="24"/>
                <w:szCs w:val="24"/>
              </w:rPr>
              <w:t>The condonation application is refused.</w:t>
            </w:r>
          </w:p>
          <w:p w:rsidR="00F53A1E" w:rsidRDefault="00DC79BD" w:rsidP="00F53A1E">
            <w:pPr>
              <w:pStyle w:val="ListParagraph"/>
              <w:numPr>
                <w:ilvl w:val="0"/>
                <w:numId w:val="14"/>
              </w:numPr>
              <w:spacing w:line="360" w:lineRule="auto"/>
              <w:jc w:val="both"/>
              <w:rPr>
                <w:rFonts w:ascii="Arial Narrow" w:hAnsi="Arial Narrow" w:cs="Arial"/>
                <w:sz w:val="24"/>
                <w:szCs w:val="24"/>
              </w:rPr>
            </w:pPr>
            <w:r>
              <w:rPr>
                <w:rFonts w:ascii="Arial Narrow" w:hAnsi="Arial Narrow" w:cs="Arial"/>
                <w:sz w:val="24"/>
                <w:szCs w:val="24"/>
              </w:rPr>
              <w:t>The matter is struck from the roll.</w:t>
            </w:r>
          </w:p>
          <w:p w:rsidR="00D35047" w:rsidRPr="00370E0F" w:rsidRDefault="00D35047" w:rsidP="00F53A1E">
            <w:pPr>
              <w:pStyle w:val="ListParagraph"/>
              <w:spacing w:line="360" w:lineRule="auto"/>
              <w:ind w:left="1080"/>
              <w:jc w:val="both"/>
              <w:rPr>
                <w:rFonts w:ascii="Arial Narrow" w:hAnsi="Arial Narrow" w:cs="Arial"/>
                <w:sz w:val="24"/>
                <w:szCs w:val="24"/>
              </w:rPr>
            </w:pPr>
          </w:p>
        </w:tc>
      </w:tr>
      <w:tr w:rsidR="00D35047" w:rsidRPr="001B0FDD" w:rsidTr="0004405B">
        <w:tc>
          <w:tcPr>
            <w:tcW w:w="9720" w:type="dxa"/>
            <w:gridSpan w:val="3"/>
          </w:tcPr>
          <w:p w:rsidR="000D3FC6" w:rsidRPr="00370E0F" w:rsidRDefault="000D3FC6" w:rsidP="0004405B">
            <w:pPr>
              <w:spacing w:line="360" w:lineRule="auto"/>
              <w:jc w:val="both"/>
              <w:rPr>
                <w:rFonts w:ascii="Arial Narrow" w:hAnsi="Arial Narrow" w:cs="Arial"/>
                <w:b/>
                <w:sz w:val="24"/>
                <w:szCs w:val="24"/>
              </w:rPr>
            </w:pPr>
          </w:p>
          <w:p w:rsidR="000D3FC6" w:rsidRPr="00370E0F" w:rsidRDefault="00F53A1E" w:rsidP="0004405B">
            <w:pPr>
              <w:spacing w:line="360" w:lineRule="auto"/>
              <w:jc w:val="both"/>
              <w:rPr>
                <w:rFonts w:ascii="Arial Narrow" w:hAnsi="Arial Narrow" w:cs="Arial"/>
                <w:b/>
                <w:sz w:val="24"/>
                <w:szCs w:val="24"/>
              </w:rPr>
            </w:pPr>
            <w:r>
              <w:rPr>
                <w:rFonts w:ascii="Arial Narrow" w:hAnsi="Arial Narrow" w:cs="Arial"/>
                <w:b/>
                <w:sz w:val="24"/>
                <w:szCs w:val="24"/>
              </w:rPr>
              <w:t>Reasons for order:</w:t>
            </w:r>
          </w:p>
        </w:tc>
      </w:tr>
      <w:tr w:rsidR="00D35047" w:rsidRPr="00FE65E1" w:rsidTr="0004405B">
        <w:tc>
          <w:tcPr>
            <w:tcW w:w="9720" w:type="dxa"/>
            <w:gridSpan w:val="3"/>
          </w:tcPr>
          <w:p w:rsidR="00D35047" w:rsidRPr="00370E0F" w:rsidRDefault="00D35047" w:rsidP="0004405B">
            <w:pPr>
              <w:spacing w:line="360" w:lineRule="auto"/>
              <w:jc w:val="both"/>
              <w:rPr>
                <w:rFonts w:ascii="Arial Narrow" w:hAnsi="Arial Narrow" w:cs="Arial"/>
                <w:sz w:val="24"/>
                <w:szCs w:val="24"/>
              </w:rPr>
            </w:pPr>
            <w:r w:rsidRPr="00370E0F">
              <w:rPr>
                <w:rFonts w:ascii="Arial Narrow" w:hAnsi="Arial Narrow" w:cs="Arial"/>
                <w:sz w:val="24"/>
                <w:szCs w:val="24"/>
              </w:rPr>
              <w:t xml:space="preserve">LIEBENBERG J (concurring </w:t>
            </w:r>
            <w:r w:rsidR="00BE21EF" w:rsidRPr="00370E0F">
              <w:rPr>
                <w:rFonts w:ascii="Arial Narrow" w:hAnsi="Arial Narrow" w:cs="Arial"/>
                <w:sz w:val="24"/>
                <w:szCs w:val="24"/>
              </w:rPr>
              <w:t>SHIVUTE J</w:t>
            </w:r>
            <w:r w:rsidRPr="00370E0F">
              <w:rPr>
                <w:rFonts w:ascii="Arial Narrow" w:hAnsi="Arial Narrow" w:cs="Arial"/>
                <w:sz w:val="24"/>
                <w:szCs w:val="24"/>
              </w:rPr>
              <w:t>)</w:t>
            </w:r>
          </w:p>
          <w:p w:rsidR="00D35047" w:rsidRPr="00370E0F" w:rsidRDefault="00D35047" w:rsidP="0004405B">
            <w:pPr>
              <w:spacing w:line="360" w:lineRule="auto"/>
              <w:jc w:val="both"/>
              <w:rPr>
                <w:rFonts w:ascii="Arial Narrow" w:hAnsi="Arial Narrow" w:cs="Arial"/>
                <w:sz w:val="24"/>
                <w:szCs w:val="24"/>
              </w:rPr>
            </w:pPr>
          </w:p>
          <w:p w:rsidR="00C440F1" w:rsidRPr="006525DA" w:rsidRDefault="006525DA" w:rsidP="00425B6A">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GB"/>
              </w:rPr>
              <w:t>The applicant was co</w:t>
            </w:r>
            <w:r w:rsidR="00F53A1E">
              <w:rPr>
                <w:rFonts w:ascii="Arial Narrow" w:hAnsi="Arial Narrow" w:cs="Arial"/>
                <w:sz w:val="24"/>
                <w:szCs w:val="24"/>
                <w:lang w:val="en-GB"/>
              </w:rPr>
              <w:t xml:space="preserve">nvicted </w:t>
            </w:r>
            <w:r w:rsidR="006D50F0">
              <w:rPr>
                <w:rFonts w:ascii="Arial Narrow" w:hAnsi="Arial Narrow" w:cs="Arial"/>
                <w:sz w:val="24"/>
                <w:szCs w:val="24"/>
                <w:lang w:val="en-GB"/>
              </w:rPr>
              <w:t xml:space="preserve">in the Regional Court of Otjiwarongo </w:t>
            </w:r>
            <w:r w:rsidR="00F53A1E">
              <w:rPr>
                <w:rFonts w:ascii="Arial Narrow" w:hAnsi="Arial Narrow" w:cs="Arial"/>
                <w:sz w:val="24"/>
                <w:szCs w:val="24"/>
                <w:lang w:val="en-GB"/>
              </w:rPr>
              <w:t>on two counts of rape for contravening</w:t>
            </w:r>
            <w:r>
              <w:rPr>
                <w:rFonts w:ascii="Arial Narrow" w:hAnsi="Arial Narrow" w:cs="Arial"/>
                <w:sz w:val="24"/>
                <w:szCs w:val="24"/>
                <w:lang w:val="en-GB"/>
              </w:rPr>
              <w:t xml:space="preserve"> section 2 of the Combating of Rape Act, 8 of 2000. He was sentenced to 15 years’ imprisonment</w:t>
            </w:r>
            <w:r w:rsidR="00DC79BD">
              <w:rPr>
                <w:rFonts w:ascii="Arial Narrow" w:hAnsi="Arial Narrow" w:cs="Arial"/>
                <w:sz w:val="24"/>
                <w:szCs w:val="24"/>
                <w:lang w:val="en-GB"/>
              </w:rPr>
              <w:t xml:space="preserve"> on each count</w:t>
            </w:r>
            <w:r w:rsidR="006D50F0">
              <w:rPr>
                <w:rFonts w:ascii="Arial Narrow" w:hAnsi="Arial Narrow" w:cs="Arial"/>
                <w:sz w:val="24"/>
                <w:szCs w:val="24"/>
                <w:lang w:val="en-GB"/>
              </w:rPr>
              <w:t>,</w:t>
            </w:r>
            <w:r w:rsidR="00DC79BD">
              <w:rPr>
                <w:rFonts w:ascii="Arial Narrow" w:hAnsi="Arial Narrow" w:cs="Arial"/>
                <w:sz w:val="24"/>
                <w:szCs w:val="24"/>
                <w:lang w:val="en-GB"/>
              </w:rPr>
              <w:t xml:space="preserve"> ordered to run concurrently</w:t>
            </w:r>
            <w:r>
              <w:rPr>
                <w:rFonts w:ascii="Arial Narrow" w:hAnsi="Arial Narrow" w:cs="Arial"/>
                <w:sz w:val="24"/>
                <w:szCs w:val="24"/>
                <w:lang w:val="en-GB"/>
              </w:rPr>
              <w:t>.</w:t>
            </w:r>
          </w:p>
          <w:p w:rsidR="006525DA" w:rsidRPr="006525DA" w:rsidRDefault="006525DA" w:rsidP="006525DA">
            <w:pPr>
              <w:pStyle w:val="ListParagraph"/>
              <w:spacing w:line="360" w:lineRule="auto"/>
              <w:jc w:val="both"/>
              <w:rPr>
                <w:rFonts w:ascii="Arial Narrow" w:hAnsi="Arial Narrow" w:cs="Arial"/>
                <w:sz w:val="24"/>
                <w:szCs w:val="24"/>
                <w:lang w:val="en-US"/>
              </w:rPr>
            </w:pPr>
          </w:p>
          <w:p w:rsidR="002329EE" w:rsidRPr="002329EE" w:rsidRDefault="006525DA" w:rsidP="00425B6A">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GB"/>
              </w:rPr>
              <w:t>He appealed against his conviction. On 10 August 2018 the applicant</w:t>
            </w:r>
            <w:r w:rsidR="00F53A1E">
              <w:rPr>
                <w:rFonts w:ascii="Arial Narrow" w:hAnsi="Arial Narrow" w:cs="Arial"/>
                <w:sz w:val="24"/>
                <w:szCs w:val="24"/>
                <w:lang w:val="en-GB"/>
              </w:rPr>
              <w:t>’</w:t>
            </w:r>
            <w:r>
              <w:rPr>
                <w:rFonts w:ascii="Arial Narrow" w:hAnsi="Arial Narrow" w:cs="Arial"/>
                <w:sz w:val="24"/>
                <w:szCs w:val="24"/>
                <w:lang w:val="en-GB"/>
              </w:rPr>
              <w:t xml:space="preserve">s appeal </w:t>
            </w:r>
            <w:r w:rsidR="00F53A1E">
              <w:rPr>
                <w:rFonts w:ascii="Arial Narrow" w:hAnsi="Arial Narrow" w:cs="Arial"/>
                <w:sz w:val="24"/>
                <w:szCs w:val="24"/>
                <w:lang w:val="en-GB"/>
              </w:rPr>
              <w:t xml:space="preserve">partially </w:t>
            </w:r>
            <w:r>
              <w:rPr>
                <w:rFonts w:ascii="Arial Narrow" w:hAnsi="Arial Narrow" w:cs="Arial"/>
                <w:sz w:val="24"/>
                <w:szCs w:val="24"/>
                <w:lang w:val="en-GB"/>
              </w:rPr>
              <w:t>succeeded</w:t>
            </w:r>
            <w:r w:rsidR="00DC79BD">
              <w:rPr>
                <w:rFonts w:ascii="Arial Narrow" w:hAnsi="Arial Narrow" w:cs="Arial"/>
                <w:sz w:val="24"/>
                <w:szCs w:val="24"/>
                <w:lang w:val="en-GB"/>
              </w:rPr>
              <w:t xml:space="preserve"> in that on appeal the court found</w:t>
            </w:r>
            <w:r w:rsidR="002329EE">
              <w:rPr>
                <w:rFonts w:ascii="Arial Narrow" w:hAnsi="Arial Narrow" w:cs="Arial"/>
                <w:sz w:val="24"/>
                <w:szCs w:val="24"/>
                <w:lang w:val="en-GB"/>
              </w:rPr>
              <w:t xml:space="preserve"> that there was a duplication of convictions</w:t>
            </w:r>
            <w:r w:rsidR="00DC79BD">
              <w:rPr>
                <w:rFonts w:ascii="Arial Narrow" w:hAnsi="Arial Narrow" w:cs="Arial"/>
                <w:sz w:val="24"/>
                <w:szCs w:val="24"/>
                <w:lang w:val="en-GB"/>
              </w:rPr>
              <w:t>,</w:t>
            </w:r>
            <w:r w:rsidR="002329EE">
              <w:rPr>
                <w:rFonts w:ascii="Arial Narrow" w:hAnsi="Arial Narrow" w:cs="Arial"/>
                <w:sz w:val="24"/>
                <w:szCs w:val="24"/>
                <w:lang w:val="en-GB"/>
              </w:rPr>
              <w:t xml:space="preserve"> </w:t>
            </w:r>
            <w:r w:rsidR="00632CCB">
              <w:rPr>
                <w:rFonts w:ascii="Arial Narrow" w:hAnsi="Arial Narrow" w:cs="Arial"/>
                <w:sz w:val="24"/>
                <w:szCs w:val="24"/>
                <w:lang w:val="en-GB"/>
              </w:rPr>
              <w:t>set</w:t>
            </w:r>
            <w:r w:rsidR="00DC79BD">
              <w:rPr>
                <w:rFonts w:ascii="Arial Narrow" w:hAnsi="Arial Narrow" w:cs="Arial"/>
                <w:sz w:val="24"/>
                <w:szCs w:val="24"/>
                <w:lang w:val="en-GB"/>
              </w:rPr>
              <w:t>ting</w:t>
            </w:r>
            <w:r w:rsidR="00632CCB">
              <w:rPr>
                <w:rFonts w:ascii="Arial Narrow" w:hAnsi="Arial Narrow" w:cs="Arial"/>
                <w:sz w:val="24"/>
                <w:szCs w:val="24"/>
                <w:lang w:val="en-GB"/>
              </w:rPr>
              <w:t xml:space="preserve"> aside</w:t>
            </w:r>
            <w:r w:rsidR="00DC79BD">
              <w:rPr>
                <w:rFonts w:ascii="Arial Narrow" w:hAnsi="Arial Narrow" w:cs="Arial"/>
                <w:sz w:val="24"/>
                <w:szCs w:val="24"/>
                <w:lang w:val="en-GB"/>
              </w:rPr>
              <w:t xml:space="preserve"> count 1. However,</w:t>
            </w:r>
            <w:r w:rsidR="00632CCB">
              <w:rPr>
                <w:rFonts w:ascii="Arial Narrow" w:hAnsi="Arial Narrow" w:cs="Arial"/>
                <w:sz w:val="24"/>
                <w:szCs w:val="24"/>
                <w:lang w:val="en-GB"/>
              </w:rPr>
              <w:t xml:space="preserve"> in respect of </w:t>
            </w:r>
            <w:r w:rsidR="00F678D7">
              <w:rPr>
                <w:rFonts w:ascii="Arial Narrow" w:hAnsi="Arial Narrow" w:cs="Arial"/>
                <w:sz w:val="24"/>
                <w:szCs w:val="24"/>
                <w:lang w:val="en-GB"/>
              </w:rPr>
              <w:t>count 2</w:t>
            </w:r>
            <w:r w:rsidR="00632CCB">
              <w:rPr>
                <w:rFonts w:ascii="Arial Narrow" w:hAnsi="Arial Narrow" w:cs="Arial"/>
                <w:sz w:val="24"/>
                <w:szCs w:val="24"/>
                <w:lang w:val="en-GB"/>
              </w:rPr>
              <w:t xml:space="preserve"> the appeal</w:t>
            </w:r>
            <w:r w:rsidR="00F678D7">
              <w:rPr>
                <w:rFonts w:ascii="Arial Narrow" w:hAnsi="Arial Narrow" w:cs="Arial"/>
                <w:sz w:val="24"/>
                <w:szCs w:val="24"/>
                <w:lang w:val="en-GB"/>
              </w:rPr>
              <w:t xml:space="preserve"> was dismissed.</w:t>
            </w:r>
          </w:p>
          <w:p w:rsidR="002329EE" w:rsidRPr="002329EE" w:rsidRDefault="002329EE" w:rsidP="002329EE">
            <w:pPr>
              <w:pStyle w:val="ListParagraph"/>
              <w:rPr>
                <w:rFonts w:ascii="Arial" w:hAnsi="Arial"/>
                <w:sz w:val="24"/>
              </w:rPr>
            </w:pPr>
          </w:p>
          <w:p w:rsidR="002329EE" w:rsidRPr="002329EE" w:rsidRDefault="00DC79BD" w:rsidP="00024784">
            <w:pPr>
              <w:pStyle w:val="ListParagraph"/>
              <w:numPr>
                <w:ilvl w:val="0"/>
                <w:numId w:val="8"/>
              </w:numPr>
              <w:spacing w:line="360" w:lineRule="auto"/>
              <w:jc w:val="both"/>
              <w:rPr>
                <w:rFonts w:ascii="Arial" w:hAnsi="Arial"/>
                <w:sz w:val="24"/>
              </w:rPr>
            </w:pPr>
            <w:r>
              <w:rPr>
                <w:rFonts w:ascii="Arial Narrow" w:hAnsi="Arial Narrow"/>
                <w:sz w:val="24"/>
              </w:rPr>
              <w:t>The applicant then filed an</w:t>
            </w:r>
            <w:r w:rsidR="00632CCB">
              <w:rPr>
                <w:rFonts w:ascii="Arial Narrow" w:hAnsi="Arial Narrow"/>
                <w:sz w:val="24"/>
              </w:rPr>
              <w:t xml:space="preserve"> application for leave to appeal o</w:t>
            </w:r>
            <w:r w:rsidR="00F678D7">
              <w:rPr>
                <w:rFonts w:ascii="Arial Narrow" w:hAnsi="Arial Narrow"/>
                <w:sz w:val="24"/>
              </w:rPr>
              <w:t>n 30 August 2018</w:t>
            </w:r>
            <w:r w:rsidR="00632CCB">
              <w:rPr>
                <w:rFonts w:ascii="Arial Narrow" w:hAnsi="Arial Narrow"/>
                <w:sz w:val="24"/>
              </w:rPr>
              <w:t xml:space="preserve">. The application was </w:t>
            </w:r>
            <w:r>
              <w:rPr>
                <w:rFonts w:ascii="Arial Narrow" w:hAnsi="Arial Narrow"/>
                <w:sz w:val="24"/>
              </w:rPr>
              <w:t>struck from the roll</w:t>
            </w:r>
            <w:r w:rsidR="00632CCB">
              <w:rPr>
                <w:rFonts w:ascii="Arial Narrow" w:hAnsi="Arial Narrow"/>
                <w:sz w:val="24"/>
              </w:rPr>
              <w:t xml:space="preserve"> on </w:t>
            </w:r>
            <w:r w:rsidR="00F44691">
              <w:rPr>
                <w:rFonts w:ascii="Arial Narrow" w:hAnsi="Arial Narrow"/>
                <w:sz w:val="24"/>
              </w:rPr>
              <w:t>03 December 2018</w:t>
            </w:r>
            <w:r w:rsidR="00024784">
              <w:rPr>
                <w:rFonts w:ascii="Arial Narrow" w:hAnsi="Arial Narrow"/>
                <w:sz w:val="24"/>
              </w:rPr>
              <w:t xml:space="preserve"> </w:t>
            </w:r>
            <w:r w:rsidR="00632CCB">
              <w:rPr>
                <w:rFonts w:ascii="Arial Narrow" w:hAnsi="Arial Narrow"/>
                <w:sz w:val="24"/>
              </w:rPr>
              <w:t xml:space="preserve">due to the fact that </w:t>
            </w:r>
            <w:r>
              <w:rPr>
                <w:rFonts w:ascii="Arial Narrow" w:hAnsi="Arial Narrow"/>
                <w:sz w:val="24"/>
              </w:rPr>
              <w:t>whereas the application was filed out of time</w:t>
            </w:r>
            <w:r w:rsidR="00E60FCF">
              <w:rPr>
                <w:rFonts w:ascii="Arial Narrow" w:hAnsi="Arial Narrow"/>
                <w:sz w:val="24"/>
              </w:rPr>
              <w:t>,</w:t>
            </w:r>
            <w:r>
              <w:rPr>
                <w:rFonts w:ascii="Arial Narrow" w:hAnsi="Arial Narrow"/>
                <w:sz w:val="24"/>
              </w:rPr>
              <w:t xml:space="preserve"> the applicant failed</w:t>
            </w:r>
            <w:r w:rsidR="00E60FCF">
              <w:rPr>
                <w:rFonts w:ascii="Arial Narrow" w:hAnsi="Arial Narrow"/>
                <w:sz w:val="24"/>
              </w:rPr>
              <w:t xml:space="preserve"> </w:t>
            </w:r>
            <w:r>
              <w:rPr>
                <w:rFonts w:ascii="Arial Narrow" w:hAnsi="Arial Narrow"/>
                <w:sz w:val="24"/>
              </w:rPr>
              <w:t xml:space="preserve"> to</w:t>
            </w:r>
            <w:r w:rsidR="00E60FCF">
              <w:rPr>
                <w:rFonts w:ascii="Arial Narrow" w:hAnsi="Arial Narrow"/>
                <w:sz w:val="24"/>
              </w:rPr>
              <w:t xml:space="preserve"> simultaneously</w:t>
            </w:r>
            <w:r>
              <w:rPr>
                <w:rFonts w:ascii="Arial Narrow" w:hAnsi="Arial Narrow"/>
                <w:sz w:val="24"/>
              </w:rPr>
              <w:t xml:space="preserve"> file</w:t>
            </w:r>
            <w:r w:rsidR="00E60FCF">
              <w:rPr>
                <w:rFonts w:ascii="Arial Narrow" w:hAnsi="Arial Narrow"/>
                <w:sz w:val="24"/>
              </w:rPr>
              <w:t xml:space="preserve"> an</w:t>
            </w:r>
            <w:r>
              <w:rPr>
                <w:rFonts w:ascii="Arial Narrow" w:hAnsi="Arial Narrow"/>
                <w:sz w:val="24"/>
              </w:rPr>
              <w:t xml:space="preserve"> applicat</w:t>
            </w:r>
            <w:r w:rsidR="00E60FCF">
              <w:rPr>
                <w:rFonts w:ascii="Arial Narrow" w:hAnsi="Arial Narrow"/>
                <w:sz w:val="24"/>
              </w:rPr>
              <w:t>ion for condonation due to</w:t>
            </w:r>
            <w:r>
              <w:rPr>
                <w:rFonts w:ascii="Arial Narrow" w:hAnsi="Arial Narrow"/>
                <w:sz w:val="24"/>
              </w:rPr>
              <w:t xml:space="preserve"> non-compliance</w:t>
            </w:r>
            <w:r w:rsidR="00E60FCF">
              <w:rPr>
                <w:rFonts w:ascii="Arial Narrow" w:hAnsi="Arial Narrow"/>
                <w:sz w:val="24"/>
              </w:rPr>
              <w:t xml:space="preserve"> of</w:t>
            </w:r>
            <w:r>
              <w:rPr>
                <w:rFonts w:ascii="Arial Narrow" w:hAnsi="Arial Narrow"/>
                <w:sz w:val="24"/>
              </w:rPr>
              <w:t xml:space="preserve"> the </w:t>
            </w:r>
            <w:r w:rsidR="00E60FCF">
              <w:rPr>
                <w:rFonts w:ascii="Arial Narrow" w:hAnsi="Arial Narrow"/>
                <w:sz w:val="24"/>
              </w:rPr>
              <w:t>provisions of section 316(1)</w:t>
            </w:r>
            <w:r>
              <w:rPr>
                <w:rFonts w:ascii="Arial Narrow" w:hAnsi="Arial Narrow"/>
                <w:sz w:val="24"/>
              </w:rPr>
              <w:t xml:space="preserve"> </w:t>
            </w:r>
            <w:r w:rsidR="00632CCB">
              <w:rPr>
                <w:rFonts w:ascii="Arial Narrow" w:hAnsi="Arial Narrow"/>
                <w:sz w:val="24"/>
              </w:rPr>
              <w:t>of the Criminal Procedure Act 51 of 1977 (the CPA).</w:t>
            </w:r>
          </w:p>
          <w:p w:rsidR="00632CCB" w:rsidRPr="00632CCB" w:rsidRDefault="00632CCB" w:rsidP="00632CCB">
            <w:pPr>
              <w:spacing w:line="360" w:lineRule="auto"/>
              <w:jc w:val="both"/>
              <w:rPr>
                <w:rFonts w:ascii="Arial Narrow" w:hAnsi="Arial Narrow" w:cs="Arial"/>
                <w:sz w:val="24"/>
                <w:szCs w:val="24"/>
                <w:lang w:val="en-US"/>
              </w:rPr>
            </w:pPr>
          </w:p>
          <w:p w:rsidR="00632CCB" w:rsidRDefault="00632CCB" w:rsidP="00632CCB">
            <w:pPr>
              <w:spacing w:line="360" w:lineRule="auto"/>
              <w:jc w:val="both"/>
              <w:rPr>
                <w:rFonts w:ascii="Arial Narrow" w:hAnsi="Arial Narrow"/>
                <w:sz w:val="24"/>
              </w:rPr>
            </w:pPr>
          </w:p>
          <w:p w:rsidR="00632CCB" w:rsidRPr="00632CCB" w:rsidRDefault="00632CCB" w:rsidP="00632CCB">
            <w:pPr>
              <w:spacing w:line="360" w:lineRule="auto"/>
              <w:jc w:val="both"/>
              <w:rPr>
                <w:rFonts w:ascii="Arial Narrow" w:hAnsi="Arial Narrow" w:cs="Arial"/>
                <w:sz w:val="24"/>
                <w:szCs w:val="24"/>
                <w:lang w:val="en-US"/>
              </w:rPr>
            </w:pPr>
          </w:p>
          <w:p w:rsidR="00632CCB" w:rsidRPr="00632CCB" w:rsidRDefault="00632CCB" w:rsidP="00632CCB">
            <w:pPr>
              <w:spacing w:line="360" w:lineRule="auto"/>
              <w:ind w:left="360"/>
              <w:jc w:val="both"/>
              <w:rPr>
                <w:rFonts w:ascii="Arial Narrow" w:hAnsi="Arial Narrow" w:cs="Arial"/>
                <w:sz w:val="24"/>
                <w:szCs w:val="24"/>
                <w:lang w:val="en-US"/>
              </w:rPr>
            </w:pPr>
          </w:p>
          <w:p w:rsidR="00632CCB" w:rsidRPr="00BA0152" w:rsidRDefault="00E60FCF" w:rsidP="00632CCB">
            <w:pPr>
              <w:pStyle w:val="ListParagraph"/>
              <w:numPr>
                <w:ilvl w:val="0"/>
                <w:numId w:val="8"/>
              </w:numPr>
              <w:spacing w:line="360" w:lineRule="auto"/>
              <w:jc w:val="both"/>
              <w:rPr>
                <w:rFonts w:ascii="Arial Narrow" w:hAnsi="Arial Narrow" w:cs="Arial"/>
                <w:sz w:val="24"/>
                <w:szCs w:val="24"/>
                <w:lang w:val="en-US"/>
              </w:rPr>
            </w:pPr>
            <w:r w:rsidRPr="00BA0152">
              <w:rPr>
                <w:rFonts w:ascii="Arial Narrow" w:hAnsi="Arial Narrow"/>
                <w:sz w:val="24"/>
              </w:rPr>
              <w:t>On 6 May 2018 t</w:t>
            </w:r>
            <w:r w:rsidR="00632CCB" w:rsidRPr="00BA0152">
              <w:rPr>
                <w:rFonts w:ascii="Arial Narrow" w:hAnsi="Arial Narrow"/>
                <w:sz w:val="24"/>
              </w:rPr>
              <w:t>he appli</w:t>
            </w:r>
            <w:r w:rsidRPr="00BA0152">
              <w:rPr>
                <w:rFonts w:ascii="Arial Narrow" w:hAnsi="Arial Narrow"/>
                <w:sz w:val="24"/>
              </w:rPr>
              <w:t>cant re-enrolled the matter for hearing. In support of an</w:t>
            </w:r>
            <w:r w:rsidR="00632CCB" w:rsidRPr="00BA0152">
              <w:rPr>
                <w:rFonts w:ascii="Arial Narrow" w:hAnsi="Arial Narrow"/>
                <w:sz w:val="24"/>
              </w:rPr>
              <w:t xml:space="preserve"> application</w:t>
            </w:r>
            <w:r w:rsidRPr="00BA0152">
              <w:rPr>
                <w:rFonts w:ascii="Arial Narrow" w:hAnsi="Arial Narrow"/>
                <w:sz w:val="24"/>
              </w:rPr>
              <w:t xml:space="preserve"> for</w:t>
            </w:r>
            <w:r w:rsidR="00632CCB" w:rsidRPr="00BA0152">
              <w:rPr>
                <w:rFonts w:ascii="Arial Narrow" w:hAnsi="Arial Narrow"/>
                <w:sz w:val="24"/>
              </w:rPr>
              <w:t xml:space="preserve"> condonation </w:t>
            </w:r>
            <w:r w:rsidRPr="00BA0152">
              <w:rPr>
                <w:rFonts w:ascii="Arial Narrow" w:hAnsi="Arial Narrow"/>
                <w:sz w:val="24"/>
              </w:rPr>
              <w:t>accompanying the</w:t>
            </w:r>
            <w:r w:rsidR="00632CCB" w:rsidRPr="00BA0152">
              <w:rPr>
                <w:rFonts w:ascii="Arial Narrow" w:hAnsi="Arial Narrow"/>
                <w:sz w:val="24"/>
              </w:rPr>
              <w:t xml:space="preserve"> application for leave to appeal, he deposed to an affidavit w</w:t>
            </w:r>
            <w:r w:rsidRPr="00BA0152">
              <w:rPr>
                <w:rFonts w:ascii="Arial Narrow" w:hAnsi="Arial Narrow"/>
                <w:sz w:val="24"/>
              </w:rPr>
              <w:t>h</w:t>
            </w:r>
            <w:r w:rsidR="00632CCB" w:rsidRPr="00BA0152">
              <w:rPr>
                <w:rFonts w:ascii="Arial Narrow" w:hAnsi="Arial Narrow"/>
                <w:sz w:val="24"/>
              </w:rPr>
              <w:t xml:space="preserve">ere he stated that he was under the mistaken impression </w:t>
            </w:r>
            <w:r w:rsidR="00F44691" w:rsidRPr="00BA0152">
              <w:rPr>
                <w:rFonts w:ascii="Arial Narrow" w:hAnsi="Arial Narrow"/>
                <w:sz w:val="24"/>
              </w:rPr>
              <w:t>that the 14 days</w:t>
            </w:r>
            <w:r w:rsidRPr="00BA0152">
              <w:rPr>
                <w:rFonts w:ascii="Arial Narrow" w:hAnsi="Arial Narrow"/>
                <w:sz w:val="24"/>
              </w:rPr>
              <w:t xml:space="preserve"> in which he had to file the application for leave to appeal </w:t>
            </w:r>
            <w:r w:rsidR="00F44691" w:rsidRPr="00BA0152">
              <w:rPr>
                <w:rFonts w:ascii="Arial Narrow" w:hAnsi="Arial Narrow"/>
                <w:sz w:val="24"/>
              </w:rPr>
              <w:t>as set out in</w:t>
            </w:r>
            <w:r w:rsidRPr="00BA0152">
              <w:rPr>
                <w:rFonts w:ascii="Arial Narrow" w:hAnsi="Arial Narrow"/>
                <w:sz w:val="24"/>
              </w:rPr>
              <w:t xml:space="preserve"> section 316(1)</w:t>
            </w:r>
            <w:r w:rsidR="00F44691" w:rsidRPr="00BA0152">
              <w:rPr>
                <w:rFonts w:ascii="Arial Narrow" w:hAnsi="Arial Narrow"/>
                <w:sz w:val="24"/>
              </w:rPr>
              <w:t xml:space="preserve"> the Criminal Procedure Act 51 of 1971</w:t>
            </w:r>
            <w:r w:rsidR="00032210" w:rsidRPr="00BA0152">
              <w:rPr>
                <w:rFonts w:ascii="Arial Narrow" w:hAnsi="Arial Narrow"/>
                <w:sz w:val="24"/>
              </w:rPr>
              <w:t>,</w:t>
            </w:r>
            <w:r w:rsidRPr="00BA0152">
              <w:rPr>
                <w:rFonts w:ascii="Arial Narrow" w:hAnsi="Arial Narrow"/>
                <w:sz w:val="24"/>
              </w:rPr>
              <w:t xml:space="preserve"> had to be computed in</w:t>
            </w:r>
            <w:r w:rsidR="00632CCB" w:rsidRPr="00BA0152">
              <w:rPr>
                <w:rFonts w:ascii="Arial Narrow" w:hAnsi="Arial Narrow"/>
                <w:sz w:val="24"/>
              </w:rPr>
              <w:t xml:space="preserve"> the same </w:t>
            </w:r>
            <w:r w:rsidRPr="00BA0152">
              <w:rPr>
                <w:rFonts w:ascii="Arial Narrow" w:hAnsi="Arial Narrow"/>
                <w:sz w:val="24"/>
              </w:rPr>
              <w:t xml:space="preserve">manner applicable to </w:t>
            </w:r>
            <w:r w:rsidR="00632CCB" w:rsidRPr="00BA0152">
              <w:rPr>
                <w:rFonts w:ascii="Arial Narrow" w:hAnsi="Arial Narrow"/>
                <w:sz w:val="24"/>
              </w:rPr>
              <w:t>the Rules of the High Court.</w:t>
            </w:r>
            <w:r w:rsidR="00BA0152" w:rsidRPr="00BA0152">
              <w:rPr>
                <w:rFonts w:ascii="Arial Narrow" w:hAnsi="Arial Narrow"/>
                <w:sz w:val="24"/>
              </w:rPr>
              <w:t xml:space="preserve"> The applicant’s legal practitioner filed a confirmatory affidavit confirming </w:t>
            </w:r>
            <w:r w:rsidR="00BA0152">
              <w:rPr>
                <w:rFonts w:ascii="Arial Narrow" w:hAnsi="Arial Narrow"/>
                <w:sz w:val="24"/>
              </w:rPr>
              <w:t>having advised the applicant wrongly.</w:t>
            </w:r>
          </w:p>
          <w:p w:rsidR="00BA0152" w:rsidRPr="00930A50" w:rsidRDefault="00BA0152" w:rsidP="00BA0152">
            <w:pPr>
              <w:pStyle w:val="ListParagraph"/>
              <w:spacing w:line="360" w:lineRule="auto"/>
              <w:jc w:val="both"/>
              <w:rPr>
                <w:rFonts w:ascii="Arial Narrow" w:hAnsi="Arial Narrow" w:cs="Arial"/>
                <w:color w:val="000000" w:themeColor="text1"/>
                <w:sz w:val="24"/>
                <w:szCs w:val="24"/>
                <w:lang w:val="en-US"/>
              </w:rPr>
            </w:pPr>
          </w:p>
          <w:p w:rsidR="00930A50" w:rsidRPr="00930A50" w:rsidRDefault="00930A50" w:rsidP="00930A50">
            <w:pPr>
              <w:pStyle w:val="ListParagraph"/>
              <w:numPr>
                <w:ilvl w:val="0"/>
                <w:numId w:val="8"/>
              </w:numPr>
              <w:spacing w:line="360" w:lineRule="auto"/>
              <w:jc w:val="both"/>
              <w:rPr>
                <w:rFonts w:ascii="Arial" w:hAnsi="Arial"/>
                <w:color w:val="000000" w:themeColor="text1"/>
                <w:sz w:val="24"/>
              </w:rPr>
            </w:pPr>
            <w:r w:rsidRPr="00930A50">
              <w:rPr>
                <w:rFonts w:ascii="Arial Narrow" w:hAnsi="Arial Narrow"/>
                <w:color w:val="000000" w:themeColor="text1"/>
                <w:sz w:val="24"/>
              </w:rPr>
              <w:t xml:space="preserve">In determining whether to grant condonation, a court will consider whether the explanation is sufficient to warrant the granting of condonation and will also consider the litigant’s prospects of success on the merits, unless there has been a blatant non-compliance with the rules which demonstrate a glaring and inexplicable disregard for the processes of the court (See </w:t>
            </w:r>
            <w:r w:rsidRPr="00930A50">
              <w:rPr>
                <w:rFonts w:ascii="Arial Narrow" w:hAnsi="Arial Narrow"/>
                <w:i/>
                <w:color w:val="000000" w:themeColor="text1"/>
                <w:sz w:val="24"/>
              </w:rPr>
              <w:t xml:space="preserve">Beukes and Another v </w:t>
            </w:r>
            <w:proofErr w:type="spellStart"/>
            <w:r w:rsidRPr="00930A50">
              <w:rPr>
                <w:rFonts w:ascii="Arial Narrow" w:hAnsi="Arial Narrow"/>
                <w:i/>
                <w:color w:val="000000" w:themeColor="text1"/>
                <w:sz w:val="24"/>
              </w:rPr>
              <w:t>Swabou</w:t>
            </w:r>
            <w:proofErr w:type="spellEnd"/>
            <w:r w:rsidRPr="00930A50">
              <w:rPr>
                <w:rFonts w:ascii="Arial Narrow" w:hAnsi="Arial Narrow"/>
                <w:i/>
                <w:color w:val="000000" w:themeColor="text1"/>
                <w:sz w:val="24"/>
              </w:rPr>
              <w:t xml:space="preserve"> and Other </w:t>
            </w:r>
            <w:r w:rsidRPr="00930A50">
              <w:rPr>
                <w:rFonts w:ascii="Arial Narrow" w:hAnsi="Arial Narrow"/>
                <w:color w:val="000000" w:themeColor="text1"/>
                <w:sz w:val="24"/>
              </w:rPr>
              <w:t>(SA 10-2006) [2010] NASC 14 (05 November 2010) at para 20). Furthermore, it has been held that an attorney instructed to note an appeal is duty bound to acquaint himself with the Rules of the Court (</w:t>
            </w:r>
            <w:r w:rsidRPr="00930A50">
              <w:rPr>
                <w:rFonts w:ascii="Arial Narrow" w:hAnsi="Arial Narrow"/>
                <w:i/>
                <w:color w:val="000000" w:themeColor="text1"/>
                <w:sz w:val="24"/>
              </w:rPr>
              <w:t>Kleynhans v Chairperson of the Council for the Municipality of Walvis Bay and Others</w:t>
            </w:r>
            <w:r w:rsidRPr="00930A50">
              <w:rPr>
                <w:rStyle w:val="FootnoteReference"/>
                <w:rFonts w:ascii="Arial Narrow" w:hAnsi="Arial Narrow"/>
                <w:color w:val="000000" w:themeColor="text1"/>
                <w:sz w:val="24"/>
              </w:rPr>
              <w:footnoteReference w:id="1"/>
            </w:r>
            <w:r w:rsidRPr="00930A50">
              <w:rPr>
                <w:rFonts w:ascii="Arial Narrow" w:hAnsi="Arial Narrow"/>
                <w:i/>
                <w:color w:val="000000" w:themeColor="text1"/>
                <w:sz w:val="24"/>
              </w:rPr>
              <w:t>).</w:t>
            </w:r>
            <w:r w:rsidRPr="00930A50">
              <w:rPr>
                <w:rFonts w:ascii="Arial Narrow" w:hAnsi="Arial Narrow"/>
                <w:color w:val="000000" w:themeColor="text1"/>
                <w:sz w:val="24"/>
              </w:rPr>
              <w:t xml:space="preserve"> The same would obviously apply to section 316(1) of the Criminal Procedure Act 51 of 1977 requiring of an applicant to file his or her application for leave to appeal within the prescribed period of 14 days. </w:t>
            </w:r>
          </w:p>
          <w:p w:rsidR="00930A50" w:rsidRPr="00930A50" w:rsidRDefault="00930A50" w:rsidP="00930A50">
            <w:pPr>
              <w:pStyle w:val="ListParagraph"/>
              <w:rPr>
                <w:rFonts w:ascii="Arial" w:hAnsi="Arial"/>
                <w:color w:val="000000" w:themeColor="text1"/>
                <w:sz w:val="24"/>
              </w:rPr>
            </w:pPr>
          </w:p>
          <w:p w:rsidR="00930A50" w:rsidRPr="00930A50" w:rsidRDefault="00930A50" w:rsidP="00930A50">
            <w:pPr>
              <w:pStyle w:val="ListParagraph"/>
              <w:spacing w:line="360" w:lineRule="auto"/>
              <w:jc w:val="both"/>
              <w:rPr>
                <w:rFonts w:ascii="Arial" w:hAnsi="Arial"/>
                <w:color w:val="000000" w:themeColor="text1"/>
                <w:sz w:val="24"/>
              </w:rPr>
            </w:pPr>
          </w:p>
          <w:p w:rsidR="00930A50" w:rsidRPr="00930A50" w:rsidRDefault="00930A50" w:rsidP="00632CCB">
            <w:pPr>
              <w:pStyle w:val="ListParagraph"/>
              <w:numPr>
                <w:ilvl w:val="0"/>
                <w:numId w:val="8"/>
              </w:numPr>
              <w:spacing w:line="360" w:lineRule="auto"/>
              <w:jc w:val="both"/>
              <w:rPr>
                <w:rFonts w:ascii="Arial" w:hAnsi="Arial"/>
                <w:sz w:val="24"/>
              </w:rPr>
            </w:pPr>
            <w:r>
              <w:rPr>
                <w:rFonts w:ascii="Arial Narrow" w:hAnsi="Arial Narrow"/>
                <w:sz w:val="24"/>
              </w:rPr>
              <w:t xml:space="preserve">The explanation advanced by the applicant, supported by his legal representative, </w:t>
            </w:r>
            <w:r w:rsidR="00D94C5E">
              <w:rPr>
                <w:rFonts w:ascii="Arial Narrow" w:hAnsi="Arial Narrow"/>
                <w:sz w:val="24"/>
              </w:rPr>
              <w:t xml:space="preserve">therefore </w:t>
            </w:r>
            <w:r>
              <w:rPr>
                <w:rFonts w:ascii="Arial Narrow" w:hAnsi="Arial Narrow"/>
                <w:sz w:val="24"/>
              </w:rPr>
              <w:t>falls short from being reasonable and acceptable.</w:t>
            </w:r>
            <w:r w:rsidR="00D94C5E">
              <w:rPr>
                <w:rFonts w:ascii="Arial Narrow" w:hAnsi="Arial Narrow"/>
                <w:sz w:val="24"/>
              </w:rPr>
              <w:t xml:space="preserve"> For this reason alone, the application for condonation should </w:t>
            </w:r>
            <w:r w:rsidR="006D50F0">
              <w:rPr>
                <w:rFonts w:ascii="Arial Narrow" w:hAnsi="Arial Narrow"/>
                <w:sz w:val="24"/>
              </w:rPr>
              <w:t>fail</w:t>
            </w:r>
            <w:r w:rsidR="00D94C5E">
              <w:rPr>
                <w:rFonts w:ascii="Arial Narrow" w:hAnsi="Arial Narrow"/>
                <w:sz w:val="24"/>
              </w:rPr>
              <w:t xml:space="preserve">. </w:t>
            </w:r>
          </w:p>
          <w:p w:rsidR="00632CCB" w:rsidRPr="00632CCB" w:rsidRDefault="00632CCB" w:rsidP="00632CCB">
            <w:pPr>
              <w:rPr>
                <w:rFonts w:ascii="Arial" w:hAnsi="Arial"/>
                <w:sz w:val="24"/>
              </w:rPr>
            </w:pPr>
          </w:p>
          <w:p w:rsidR="00D94C5E" w:rsidRDefault="00D94C5E" w:rsidP="00632CCB">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The second leg of the condonation application requires a consideration of the prospects of success on appeal. To this end the grounds of appeal enumerated in the applicant’s application for leave to appeal will be considered.</w:t>
            </w:r>
          </w:p>
          <w:p w:rsidR="00D94C5E" w:rsidRPr="00D94C5E" w:rsidRDefault="00D94C5E" w:rsidP="00D94C5E">
            <w:pPr>
              <w:spacing w:line="360" w:lineRule="auto"/>
              <w:jc w:val="both"/>
              <w:rPr>
                <w:rFonts w:ascii="Arial Narrow" w:hAnsi="Arial Narrow" w:cs="Arial"/>
                <w:sz w:val="24"/>
                <w:szCs w:val="24"/>
                <w:lang w:val="en-US"/>
              </w:rPr>
            </w:pPr>
          </w:p>
          <w:p w:rsidR="003D6979" w:rsidRPr="003D6979" w:rsidRDefault="00BA0152" w:rsidP="00632CCB">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sz w:val="24"/>
              </w:rPr>
              <w:t>The test when dealing with an application of this nature is to determine</w:t>
            </w:r>
            <w:r w:rsidRPr="00D55394">
              <w:rPr>
                <w:rFonts w:ascii="Arial Narrow" w:hAnsi="Arial Narrow"/>
                <w:sz w:val="24"/>
              </w:rPr>
              <w:t xml:space="preserve"> whether or no</w:t>
            </w:r>
            <w:r>
              <w:rPr>
                <w:rFonts w:ascii="Arial Narrow" w:hAnsi="Arial Narrow"/>
                <w:sz w:val="24"/>
              </w:rPr>
              <w:t xml:space="preserve">t the applicant </w:t>
            </w:r>
            <w:r w:rsidR="003D6979">
              <w:rPr>
                <w:rFonts w:ascii="Arial Narrow" w:hAnsi="Arial Narrow"/>
                <w:sz w:val="24"/>
              </w:rPr>
              <w:t>enjoys prospects</w:t>
            </w:r>
            <w:r>
              <w:rPr>
                <w:rFonts w:ascii="Arial Narrow" w:hAnsi="Arial Narrow"/>
                <w:sz w:val="24"/>
              </w:rPr>
              <w:t xml:space="preserve"> of success on appeal</w:t>
            </w:r>
            <w:r w:rsidRPr="00D55394">
              <w:rPr>
                <w:rFonts w:ascii="Arial Narrow" w:hAnsi="Arial Narrow"/>
                <w:sz w:val="24"/>
              </w:rPr>
              <w:t xml:space="preserve"> </w:t>
            </w:r>
            <w:r w:rsidR="003D6979">
              <w:rPr>
                <w:rFonts w:ascii="Arial Narrow" w:hAnsi="Arial Narrow"/>
                <w:sz w:val="24"/>
              </w:rPr>
              <w:t>(S</w:t>
            </w:r>
            <w:r w:rsidR="003D6979" w:rsidRPr="003D6979">
              <w:rPr>
                <w:rFonts w:ascii="Arial Narrow" w:hAnsi="Arial Narrow"/>
                <w:i/>
                <w:sz w:val="24"/>
              </w:rPr>
              <w:t xml:space="preserve"> v </w:t>
            </w:r>
            <w:proofErr w:type="spellStart"/>
            <w:r w:rsidR="003D6979" w:rsidRPr="003D6979">
              <w:rPr>
                <w:rFonts w:ascii="Arial Narrow" w:hAnsi="Arial Narrow"/>
                <w:i/>
                <w:sz w:val="24"/>
              </w:rPr>
              <w:t>Nowaseb</w:t>
            </w:r>
            <w:proofErr w:type="spellEnd"/>
            <w:r w:rsidR="003D6979">
              <w:rPr>
                <w:rFonts w:ascii="Arial Narrow" w:hAnsi="Arial Narrow"/>
                <w:sz w:val="24"/>
              </w:rPr>
              <w:t xml:space="preserve"> 2007 (2) NR 640 at 640F-641A).</w:t>
            </w:r>
          </w:p>
          <w:p w:rsidR="003D6979" w:rsidRPr="003D6979" w:rsidRDefault="003D6979" w:rsidP="00042B26">
            <w:pPr>
              <w:pStyle w:val="ListParagraph"/>
              <w:spacing w:line="360" w:lineRule="auto"/>
              <w:jc w:val="both"/>
              <w:rPr>
                <w:rFonts w:ascii="Arial Narrow" w:hAnsi="Arial Narrow" w:cs="Arial"/>
                <w:sz w:val="24"/>
                <w:szCs w:val="24"/>
                <w:lang w:val="en-US"/>
              </w:rPr>
            </w:pPr>
          </w:p>
          <w:p w:rsidR="00632CCB" w:rsidRDefault="00632CCB" w:rsidP="00632CCB">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The applicant’s</w:t>
            </w:r>
            <w:r w:rsidR="00BA0152">
              <w:rPr>
                <w:rFonts w:ascii="Arial Narrow" w:hAnsi="Arial Narrow" w:cs="Arial"/>
                <w:sz w:val="24"/>
                <w:szCs w:val="24"/>
                <w:lang w:val="en-US"/>
              </w:rPr>
              <w:t xml:space="preserve"> grounds of appeal</w:t>
            </w:r>
            <w:r w:rsidR="003D6979">
              <w:rPr>
                <w:rFonts w:ascii="Arial Narrow" w:hAnsi="Arial Narrow" w:cs="Arial"/>
                <w:sz w:val="24"/>
                <w:szCs w:val="24"/>
                <w:lang w:val="en-US"/>
              </w:rPr>
              <w:t xml:space="preserve"> as reflected in his notice for</w:t>
            </w:r>
            <w:r>
              <w:rPr>
                <w:rFonts w:ascii="Arial Narrow" w:hAnsi="Arial Narrow" w:cs="Arial"/>
                <w:sz w:val="24"/>
                <w:szCs w:val="24"/>
                <w:lang w:val="en-US"/>
              </w:rPr>
              <w:t xml:space="preserve"> leave to appeal</w:t>
            </w:r>
            <w:r w:rsidR="00D55394">
              <w:rPr>
                <w:rFonts w:ascii="Arial Narrow" w:hAnsi="Arial Narrow" w:cs="Arial"/>
                <w:sz w:val="24"/>
                <w:szCs w:val="24"/>
                <w:lang w:val="en-US"/>
              </w:rPr>
              <w:t xml:space="preserve"> are as follows:</w:t>
            </w:r>
          </w:p>
          <w:p w:rsidR="00632CCB" w:rsidRPr="00032210" w:rsidRDefault="00632CCB" w:rsidP="00632CCB">
            <w:pPr>
              <w:pStyle w:val="ListParagraph"/>
              <w:rPr>
                <w:rFonts w:ascii="Arial Narrow" w:hAnsi="Arial Narrow" w:cs="Arial"/>
                <w:sz w:val="24"/>
                <w:szCs w:val="24"/>
                <w:lang w:val="en-US"/>
              </w:rPr>
            </w:pPr>
          </w:p>
          <w:p w:rsidR="003D6979" w:rsidRDefault="00D55394" w:rsidP="003D6979">
            <w:pPr>
              <w:pStyle w:val="ListParagraph"/>
              <w:spacing w:line="360" w:lineRule="auto"/>
              <w:ind w:left="1332" w:hanging="540"/>
              <w:jc w:val="both"/>
              <w:rPr>
                <w:rFonts w:ascii="Arial Narrow" w:hAnsi="Arial Narrow" w:cs="Arial"/>
                <w:lang w:val="en-US"/>
              </w:rPr>
            </w:pPr>
            <w:r>
              <w:rPr>
                <w:rFonts w:ascii="Arial Narrow" w:hAnsi="Arial Narrow" w:cs="Arial"/>
                <w:lang w:val="en-US"/>
              </w:rPr>
              <w:t xml:space="preserve">     </w:t>
            </w:r>
            <w:r w:rsidR="00632CCB" w:rsidRPr="00B806DB">
              <w:rPr>
                <w:rFonts w:ascii="Arial Narrow" w:hAnsi="Arial Narrow" w:cs="Arial"/>
                <w:lang w:val="en-US"/>
              </w:rPr>
              <w:t>‘1.The court erred in law and or fact by finding that the complainant’s evidence was clear and satisfactory to</w:t>
            </w:r>
            <w:r w:rsidR="003D6979">
              <w:rPr>
                <w:rFonts w:ascii="Arial Narrow" w:hAnsi="Arial Narrow" w:cs="Arial"/>
                <w:lang w:val="en-US"/>
              </w:rPr>
              <w:t xml:space="preserve"> support the conviction on rape.</w:t>
            </w:r>
          </w:p>
          <w:p w:rsidR="00632CCB" w:rsidRPr="003D6979" w:rsidRDefault="003D6979" w:rsidP="003D6979">
            <w:pPr>
              <w:pStyle w:val="ListParagraph"/>
              <w:spacing w:line="360" w:lineRule="auto"/>
              <w:ind w:left="1242" w:hanging="450"/>
              <w:jc w:val="both"/>
              <w:rPr>
                <w:rFonts w:ascii="Arial Narrow" w:hAnsi="Arial Narrow" w:cs="Arial"/>
                <w:lang w:val="en-US"/>
              </w:rPr>
            </w:pPr>
            <w:r>
              <w:rPr>
                <w:rFonts w:ascii="Arial Narrow" w:hAnsi="Arial Narrow" w:cs="Arial"/>
                <w:lang w:val="en-US"/>
              </w:rPr>
              <w:t xml:space="preserve">      2.</w:t>
            </w:r>
            <w:r w:rsidR="00632CCB" w:rsidRPr="003D6979">
              <w:rPr>
                <w:rFonts w:ascii="Arial Narrow" w:hAnsi="Arial Narrow" w:cs="Arial"/>
                <w:lang w:val="en-US"/>
              </w:rPr>
              <w:t xml:space="preserve"> The court erred in law by finding that the lack of medical evidence to support the allegation of rape was </w:t>
            </w:r>
            <w:r w:rsidRPr="003D6979">
              <w:rPr>
                <w:rFonts w:ascii="Arial Narrow" w:hAnsi="Arial Narrow" w:cs="Arial"/>
                <w:lang w:val="en-US"/>
              </w:rPr>
              <w:t xml:space="preserve">   </w:t>
            </w:r>
            <w:r>
              <w:rPr>
                <w:rFonts w:ascii="Arial Narrow" w:hAnsi="Arial Narrow" w:cs="Arial"/>
                <w:lang w:val="en-US"/>
              </w:rPr>
              <w:t xml:space="preserve"> </w:t>
            </w:r>
            <w:r w:rsidR="00632CCB" w:rsidRPr="003D6979">
              <w:rPr>
                <w:rFonts w:ascii="Arial Narrow" w:hAnsi="Arial Narrow" w:cs="Arial"/>
                <w:lang w:val="en-US"/>
              </w:rPr>
              <w:t>a neutral factor.</w:t>
            </w:r>
          </w:p>
          <w:p w:rsidR="00425B6A" w:rsidRPr="00042B26" w:rsidRDefault="00632CCB" w:rsidP="00042B26">
            <w:pPr>
              <w:pStyle w:val="ListParagraph"/>
              <w:spacing w:line="360" w:lineRule="auto"/>
              <w:ind w:left="1242" w:hanging="180"/>
              <w:jc w:val="both"/>
              <w:rPr>
                <w:rFonts w:ascii="Arial Narrow" w:hAnsi="Arial Narrow" w:cs="Arial"/>
                <w:lang w:val="en-US"/>
              </w:rPr>
            </w:pPr>
            <w:r w:rsidRPr="00B806DB">
              <w:rPr>
                <w:rFonts w:ascii="Arial Narrow" w:hAnsi="Arial Narrow" w:cs="Arial"/>
                <w:lang w:val="en-US"/>
              </w:rPr>
              <w:t>3. The court erred in law by not giving the benefit of doubt which exists due to lack of direct evidence to the appellant</w:t>
            </w:r>
            <w:r w:rsidR="003D6979">
              <w:rPr>
                <w:rFonts w:ascii="Arial Narrow" w:hAnsi="Arial Narrow" w:cs="Arial"/>
                <w:lang w:val="en-US"/>
              </w:rPr>
              <w:t>.</w:t>
            </w:r>
            <w:r w:rsidRPr="00B806DB">
              <w:rPr>
                <w:rFonts w:ascii="Arial Narrow" w:hAnsi="Arial Narrow" w:cs="Arial"/>
                <w:lang w:val="en-US"/>
              </w:rPr>
              <w:t>’</w:t>
            </w:r>
          </w:p>
          <w:p w:rsidR="00E57153" w:rsidRPr="00E57153" w:rsidRDefault="00E57153" w:rsidP="00E57153">
            <w:pPr>
              <w:pStyle w:val="ListParagraph"/>
              <w:spacing w:line="360" w:lineRule="auto"/>
              <w:jc w:val="both"/>
              <w:rPr>
                <w:rFonts w:ascii="Arial Narrow" w:hAnsi="Arial Narrow" w:cs="Arial"/>
                <w:sz w:val="24"/>
                <w:szCs w:val="24"/>
                <w:lang w:val="en-US"/>
              </w:rPr>
            </w:pPr>
          </w:p>
          <w:p w:rsidR="003A4984" w:rsidRPr="00D94C5E" w:rsidRDefault="003A4984" w:rsidP="00D94C5E">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C</w:t>
            </w:r>
            <w:r w:rsidR="00E57153">
              <w:rPr>
                <w:rFonts w:ascii="Arial Narrow" w:hAnsi="Arial Narrow" w:cs="Arial"/>
                <w:sz w:val="24"/>
                <w:szCs w:val="24"/>
                <w:lang w:val="en-US"/>
              </w:rPr>
              <w:t>oming to the arguments advanced by</w:t>
            </w:r>
            <w:r w:rsidR="008C38ED">
              <w:rPr>
                <w:rFonts w:ascii="Arial Narrow" w:hAnsi="Arial Narrow" w:cs="Arial"/>
                <w:sz w:val="24"/>
                <w:szCs w:val="24"/>
                <w:lang w:val="en-US"/>
              </w:rPr>
              <w:t xml:space="preserve"> the respective</w:t>
            </w:r>
            <w:r w:rsidR="00E57153">
              <w:rPr>
                <w:rFonts w:ascii="Arial Narrow" w:hAnsi="Arial Narrow" w:cs="Arial"/>
                <w:sz w:val="24"/>
                <w:szCs w:val="24"/>
                <w:lang w:val="en-US"/>
              </w:rPr>
              <w:t xml:space="preserve"> counsel</w:t>
            </w:r>
            <w:r>
              <w:rPr>
                <w:rFonts w:ascii="Arial Narrow" w:hAnsi="Arial Narrow" w:cs="Arial"/>
                <w:sz w:val="24"/>
                <w:szCs w:val="24"/>
                <w:lang w:val="en-US"/>
              </w:rPr>
              <w:t xml:space="preserve">, </w:t>
            </w:r>
            <w:r w:rsidR="008C38ED">
              <w:rPr>
                <w:rFonts w:ascii="Arial Narrow" w:hAnsi="Arial Narrow" w:cs="Arial"/>
                <w:sz w:val="24"/>
                <w:szCs w:val="24"/>
                <w:lang w:val="en-US"/>
              </w:rPr>
              <w:t>applicant contended</w:t>
            </w:r>
            <w:r w:rsidR="00E57153">
              <w:rPr>
                <w:rFonts w:ascii="Arial Narrow" w:hAnsi="Arial Narrow" w:cs="Arial"/>
                <w:sz w:val="24"/>
                <w:szCs w:val="24"/>
                <w:lang w:val="en-US"/>
              </w:rPr>
              <w:t xml:space="preserve"> that the evidence of the complainant was not clear and satisfactory as </w:t>
            </w:r>
            <w:r w:rsidR="008C38ED">
              <w:rPr>
                <w:rFonts w:ascii="Arial Narrow" w:hAnsi="Arial Narrow" w:cs="Arial"/>
                <w:sz w:val="24"/>
                <w:szCs w:val="24"/>
                <w:lang w:val="en-US"/>
              </w:rPr>
              <w:t>her explanation of the rape incident was not plausible</w:t>
            </w:r>
            <w:r w:rsidR="00E57153">
              <w:rPr>
                <w:rFonts w:ascii="Arial Narrow" w:hAnsi="Arial Narrow" w:cs="Arial"/>
                <w:sz w:val="24"/>
                <w:szCs w:val="24"/>
                <w:lang w:val="en-US"/>
              </w:rPr>
              <w:t xml:space="preserve">. With regards to the second ground of appeal the applicant contended that in light of the Supreme Court case of </w:t>
            </w:r>
            <w:r w:rsidR="00E57153">
              <w:rPr>
                <w:rFonts w:ascii="Arial Narrow" w:hAnsi="Arial Narrow" w:cs="Arial"/>
                <w:i/>
                <w:sz w:val="24"/>
                <w:szCs w:val="24"/>
                <w:lang w:val="en-US"/>
              </w:rPr>
              <w:t xml:space="preserve">S v </w:t>
            </w:r>
            <w:proofErr w:type="spellStart"/>
            <w:r w:rsidR="00E57153">
              <w:rPr>
                <w:rFonts w:ascii="Arial Narrow" w:hAnsi="Arial Narrow" w:cs="Arial"/>
                <w:i/>
                <w:sz w:val="24"/>
                <w:szCs w:val="24"/>
                <w:lang w:val="en-US"/>
              </w:rPr>
              <w:t>Gariseb</w:t>
            </w:r>
            <w:proofErr w:type="spellEnd"/>
            <w:r w:rsidR="00E57153">
              <w:rPr>
                <w:rStyle w:val="FootnoteReference"/>
                <w:rFonts w:ascii="Arial Narrow" w:hAnsi="Arial Narrow" w:cs="Arial"/>
                <w:i/>
                <w:sz w:val="24"/>
                <w:szCs w:val="24"/>
                <w:lang w:val="en-US"/>
              </w:rPr>
              <w:footnoteReference w:id="2"/>
            </w:r>
            <w:r w:rsidR="00E57153">
              <w:rPr>
                <w:rFonts w:ascii="Arial Narrow" w:hAnsi="Arial Narrow" w:cs="Arial"/>
                <w:i/>
                <w:sz w:val="24"/>
                <w:szCs w:val="24"/>
                <w:lang w:val="en-US"/>
              </w:rPr>
              <w:t xml:space="preserve"> </w:t>
            </w:r>
            <w:r w:rsidR="00E57153">
              <w:rPr>
                <w:rFonts w:ascii="Arial Narrow" w:hAnsi="Arial Narrow" w:cs="Arial"/>
                <w:sz w:val="24"/>
                <w:szCs w:val="24"/>
                <w:lang w:val="en-US"/>
              </w:rPr>
              <w:t xml:space="preserve">the court </w:t>
            </w:r>
            <w:r w:rsidR="008C38ED">
              <w:rPr>
                <w:rFonts w:ascii="Arial Narrow" w:hAnsi="Arial Narrow" w:cs="Arial"/>
                <w:sz w:val="24"/>
                <w:szCs w:val="24"/>
                <w:lang w:val="en-US"/>
              </w:rPr>
              <w:t xml:space="preserve">should have given the applicant the </w:t>
            </w:r>
            <w:r w:rsidR="00F66163">
              <w:rPr>
                <w:rFonts w:ascii="Arial Narrow" w:hAnsi="Arial Narrow" w:cs="Arial"/>
                <w:sz w:val="24"/>
                <w:szCs w:val="24"/>
                <w:lang w:val="en-US"/>
              </w:rPr>
              <w:t>benefit of the doubt</w:t>
            </w:r>
            <w:r>
              <w:rPr>
                <w:rFonts w:ascii="Arial Narrow" w:hAnsi="Arial Narrow" w:cs="Arial"/>
                <w:sz w:val="24"/>
                <w:szCs w:val="24"/>
                <w:lang w:val="en-US"/>
              </w:rPr>
              <w:t xml:space="preserve"> </w:t>
            </w:r>
          </w:p>
          <w:p w:rsidR="008C38ED" w:rsidRDefault="003A4984" w:rsidP="003A4984">
            <w:pPr>
              <w:pStyle w:val="ListParagraph"/>
              <w:spacing w:line="360" w:lineRule="auto"/>
              <w:jc w:val="both"/>
              <w:rPr>
                <w:rFonts w:ascii="Arial Narrow" w:hAnsi="Arial Narrow" w:cs="Arial"/>
                <w:sz w:val="24"/>
                <w:szCs w:val="24"/>
                <w:lang w:val="en-US"/>
              </w:rPr>
            </w:pPr>
            <w:proofErr w:type="gramStart"/>
            <w:r>
              <w:rPr>
                <w:rFonts w:ascii="Arial Narrow" w:hAnsi="Arial Narrow" w:cs="Arial"/>
                <w:sz w:val="24"/>
                <w:szCs w:val="24"/>
                <w:lang w:val="en-US"/>
              </w:rPr>
              <w:t>in</w:t>
            </w:r>
            <w:proofErr w:type="gramEnd"/>
            <w:r>
              <w:rPr>
                <w:rFonts w:ascii="Arial Narrow" w:hAnsi="Arial Narrow" w:cs="Arial"/>
                <w:sz w:val="24"/>
                <w:szCs w:val="24"/>
                <w:lang w:val="en-US"/>
              </w:rPr>
              <w:t xml:space="preserve"> respect of the absence of medical evidence supporting the complainant’s claim of having been raped.</w:t>
            </w:r>
            <w:r w:rsidR="00F66163">
              <w:rPr>
                <w:rFonts w:ascii="Arial Narrow" w:hAnsi="Arial Narrow" w:cs="Arial"/>
                <w:sz w:val="24"/>
                <w:szCs w:val="24"/>
                <w:lang w:val="en-US"/>
              </w:rPr>
              <w:t xml:space="preserve"> </w:t>
            </w:r>
          </w:p>
          <w:p w:rsidR="008C38ED" w:rsidRPr="008C38ED" w:rsidRDefault="008C38ED" w:rsidP="008C38ED">
            <w:pPr>
              <w:pStyle w:val="ListParagraph"/>
              <w:rPr>
                <w:rFonts w:ascii="Arial Narrow" w:hAnsi="Arial Narrow" w:cs="Arial"/>
                <w:sz w:val="24"/>
                <w:szCs w:val="24"/>
                <w:lang w:val="en-US"/>
              </w:rPr>
            </w:pPr>
          </w:p>
          <w:p w:rsidR="00E57153" w:rsidRDefault="00F66163" w:rsidP="00425B6A">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Counsel for the State</w:t>
            </w:r>
            <w:r w:rsidR="00042B26">
              <w:rPr>
                <w:rFonts w:ascii="Arial Narrow" w:hAnsi="Arial Narrow" w:cs="Arial"/>
                <w:sz w:val="24"/>
                <w:szCs w:val="24"/>
                <w:lang w:val="en-US"/>
              </w:rPr>
              <w:t xml:space="preserve"> countered by arguing</w:t>
            </w:r>
            <w:r>
              <w:rPr>
                <w:rFonts w:ascii="Arial Narrow" w:hAnsi="Arial Narrow" w:cs="Arial"/>
                <w:sz w:val="24"/>
                <w:szCs w:val="24"/>
                <w:lang w:val="en-US"/>
              </w:rPr>
              <w:t xml:space="preserve"> </w:t>
            </w:r>
            <w:r w:rsidR="008C38ED">
              <w:rPr>
                <w:rFonts w:ascii="Arial Narrow" w:hAnsi="Arial Narrow" w:cs="Arial"/>
                <w:sz w:val="24"/>
                <w:szCs w:val="24"/>
                <w:lang w:val="en-US"/>
              </w:rPr>
              <w:t xml:space="preserve">that from the </w:t>
            </w:r>
            <w:r w:rsidR="003A4984">
              <w:rPr>
                <w:rFonts w:ascii="Arial Narrow" w:hAnsi="Arial Narrow" w:cs="Arial"/>
                <w:sz w:val="24"/>
                <w:szCs w:val="24"/>
                <w:lang w:val="en-US"/>
              </w:rPr>
              <w:t>evidence adduced</w:t>
            </w:r>
            <w:r w:rsidR="006D50F0">
              <w:rPr>
                <w:rFonts w:ascii="Arial Narrow" w:hAnsi="Arial Narrow" w:cs="Arial"/>
                <w:sz w:val="24"/>
                <w:szCs w:val="24"/>
                <w:lang w:val="en-US"/>
              </w:rPr>
              <w:t>, there</w:t>
            </w:r>
            <w:r w:rsidR="003A4984">
              <w:rPr>
                <w:rFonts w:ascii="Arial Narrow" w:hAnsi="Arial Narrow" w:cs="Arial"/>
                <w:sz w:val="24"/>
                <w:szCs w:val="24"/>
                <w:lang w:val="en-US"/>
              </w:rPr>
              <w:t xml:space="preserve"> </w:t>
            </w:r>
            <w:r w:rsidR="008C38ED">
              <w:rPr>
                <w:rFonts w:ascii="Arial Narrow" w:hAnsi="Arial Narrow" w:cs="Arial"/>
                <w:sz w:val="24"/>
                <w:szCs w:val="24"/>
                <w:lang w:val="en-US"/>
              </w:rPr>
              <w:t xml:space="preserve">was sufficient </w:t>
            </w:r>
            <w:r w:rsidR="003A4984">
              <w:rPr>
                <w:rFonts w:ascii="Arial Narrow" w:hAnsi="Arial Narrow" w:cs="Arial"/>
                <w:sz w:val="24"/>
                <w:szCs w:val="24"/>
                <w:lang w:val="en-US"/>
              </w:rPr>
              <w:t>proof</w:t>
            </w:r>
            <w:r w:rsidR="008C38ED">
              <w:rPr>
                <w:rFonts w:ascii="Arial Narrow" w:hAnsi="Arial Narrow" w:cs="Arial"/>
                <w:sz w:val="24"/>
                <w:szCs w:val="24"/>
                <w:lang w:val="en-US"/>
              </w:rPr>
              <w:t xml:space="preserve"> that the</w:t>
            </w:r>
            <w:r w:rsidR="003D6A43">
              <w:rPr>
                <w:rFonts w:ascii="Arial Narrow" w:hAnsi="Arial Narrow" w:cs="Arial"/>
                <w:sz w:val="24"/>
                <w:szCs w:val="24"/>
                <w:lang w:val="en-US"/>
              </w:rPr>
              <w:t xml:space="preserve"> complainant</w:t>
            </w:r>
            <w:r w:rsidR="003A4984">
              <w:rPr>
                <w:rFonts w:ascii="Arial Narrow" w:hAnsi="Arial Narrow" w:cs="Arial"/>
                <w:sz w:val="24"/>
                <w:szCs w:val="24"/>
                <w:lang w:val="en-US"/>
              </w:rPr>
              <w:t xml:space="preserve"> had been</w:t>
            </w:r>
            <w:r w:rsidR="008C38ED">
              <w:rPr>
                <w:rFonts w:ascii="Arial Narrow" w:hAnsi="Arial Narrow" w:cs="Arial"/>
                <w:sz w:val="24"/>
                <w:szCs w:val="24"/>
                <w:lang w:val="en-US"/>
              </w:rPr>
              <w:t xml:space="preserve"> raped. </w:t>
            </w:r>
          </w:p>
          <w:p w:rsidR="00994E35" w:rsidRDefault="00994E35" w:rsidP="00994E35">
            <w:pPr>
              <w:pStyle w:val="ListParagraph"/>
              <w:spacing w:line="360" w:lineRule="auto"/>
              <w:jc w:val="both"/>
              <w:rPr>
                <w:rFonts w:ascii="Arial Narrow" w:hAnsi="Arial Narrow" w:cs="Arial"/>
                <w:sz w:val="24"/>
                <w:szCs w:val="24"/>
                <w:lang w:val="en-US"/>
              </w:rPr>
            </w:pPr>
          </w:p>
          <w:p w:rsidR="007B38F9" w:rsidRDefault="00FD2782" w:rsidP="00283FB8">
            <w:pPr>
              <w:pStyle w:val="ListParagraph"/>
              <w:numPr>
                <w:ilvl w:val="0"/>
                <w:numId w:val="8"/>
              </w:numPr>
              <w:spacing w:line="360" w:lineRule="auto"/>
              <w:jc w:val="both"/>
              <w:rPr>
                <w:rFonts w:ascii="Arial Narrow" w:hAnsi="Arial Narrow" w:cs="Arial"/>
                <w:sz w:val="24"/>
                <w:szCs w:val="24"/>
              </w:rPr>
            </w:pPr>
            <w:r w:rsidRPr="00FD2782">
              <w:rPr>
                <w:rFonts w:ascii="Arial Narrow" w:hAnsi="Arial Narrow" w:cs="Arial"/>
                <w:sz w:val="24"/>
                <w:szCs w:val="24"/>
                <w:lang w:val="en-US"/>
              </w:rPr>
              <w:t>With</w:t>
            </w:r>
            <w:r w:rsidR="00283FB8" w:rsidRPr="00FD2782">
              <w:rPr>
                <w:rFonts w:ascii="Arial Narrow" w:hAnsi="Arial Narrow" w:cs="Arial"/>
                <w:sz w:val="24"/>
                <w:szCs w:val="24"/>
                <w:lang w:val="en-US"/>
              </w:rPr>
              <w:t xml:space="preserve"> regards to the first ground</w:t>
            </w:r>
            <w:r w:rsidRPr="00FD2782">
              <w:rPr>
                <w:rFonts w:ascii="Arial Narrow" w:hAnsi="Arial Narrow" w:cs="Arial"/>
                <w:sz w:val="24"/>
                <w:szCs w:val="24"/>
                <w:lang w:val="en-US"/>
              </w:rPr>
              <w:t>, namely that the court erred by finding the complainant’s evidence to be clear and satisfactory</w:t>
            </w:r>
            <w:r w:rsidR="00042B26">
              <w:rPr>
                <w:rFonts w:ascii="Arial Narrow" w:hAnsi="Arial Narrow" w:cs="Arial"/>
                <w:sz w:val="24"/>
                <w:szCs w:val="24"/>
                <w:lang w:val="en-US"/>
              </w:rPr>
              <w:t>,</w:t>
            </w:r>
            <w:r w:rsidR="00283FB8" w:rsidRPr="00FD2782">
              <w:rPr>
                <w:rFonts w:ascii="Arial Narrow" w:hAnsi="Arial Narrow" w:cs="Arial"/>
                <w:sz w:val="24"/>
                <w:szCs w:val="24"/>
                <w:lang w:val="en-US"/>
              </w:rPr>
              <w:t xml:space="preserve"> </w:t>
            </w:r>
            <w:r w:rsidR="00042B26">
              <w:rPr>
                <w:rFonts w:ascii="Arial Narrow" w:hAnsi="Arial Narrow" w:cs="Arial"/>
                <w:sz w:val="24"/>
                <w:szCs w:val="24"/>
                <w:lang w:val="en-US"/>
              </w:rPr>
              <w:t>the court of appeal at paras 19 –</w:t>
            </w:r>
            <w:r w:rsidR="008D058B">
              <w:rPr>
                <w:rFonts w:ascii="Arial Narrow" w:hAnsi="Arial Narrow" w:cs="Arial"/>
                <w:sz w:val="24"/>
                <w:szCs w:val="24"/>
                <w:lang w:val="en-US"/>
              </w:rPr>
              <w:t xml:space="preserve"> 24</w:t>
            </w:r>
            <w:r w:rsidR="00042B26">
              <w:rPr>
                <w:rFonts w:ascii="Arial Narrow" w:hAnsi="Arial Narrow" w:cs="Arial"/>
                <w:sz w:val="24"/>
                <w:szCs w:val="24"/>
                <w:lang w:val="en-US"/>
              </w:rPr>
              <w:t xml:space="preserve"> </w:t>
            </w:r>
            <w:r w:rsidR="008D058B">
              <w:rPr>
                <w:rFonts w:ascii="Arial Narrow" w:hAnsi="Arial Narrow" w:cs="Arial"/>
                <w:sz w:val="24"/>
                <w:szCs w:val="24"/>
                <w:lang w:val="en-US"/>
              </w:rPr>
              <w:t xml:space="preserve">of the judgment </w:t>
            </w:r>
            <w:r w:rsidR="00042B26">
              <w:rPr>
                <w:rFonts w:ascii="Arial Narrow" w:hAnsi="Arial Narrow" w:cs="Arial"/>
                <w:sz w:val="24"/>
                <w:szCs w:val="24"/>
                <w:lang w:val="en-US"/>
              </w:rPr>
              <w:t>discussed and considered the</w:t>
            </w:r>
            <w:r w:rsidR="00D94C5E">
              <w:rPr>
                <w:rFonts w:ascii="Arial Narrow" w:hAnsi="Arial Narrow" w:cs="Arial"/>
                <w:sz w:val="24"/>
                <w:szCs w:val="24"/>
                <w:lang w:val="en-US"/>
              </w:rPr>
              <w:t xml:space="preserve"> court’s</w:t>
            </w:r>
            <w:r w:rsidR="00042B26">
              <w:rPr>
                <w:rFonts w:ascii="Arial Narrow" w:hAnsi="Arial Narrow" w:cs="Arial"/>
                <w:sz w:val="24"/>
                <w:szCs w:val="24"/>
                <w:lang w:val="en-US"/>
              </w:rPr>
              <w:t xml:space="preserve"> approach </w:t>
            </w:r>
            <w:r w:rsidR="008D058B">
              <w:rPr>
                <w:rFonts w:ascii="Arial Narrow" w:hAnsi="Arial Narrow" w:cs="Arial"/>
                <w:sz w:val="24"/>
                <w:szCs w:val="24"/>
                <w:lang w:val="en-US"/>
              </w:rPr>
              <w:t>to single evidence. It concluded that the trial court’s finding</w:t>
            </w:r>
            <w:r w:rsidR="00283FB8" w:rsidRPr="00FD2782">
              <w:rPr>
                <w:rFonts w:ascii="Arial Narrow" w:hAnsi="Arial Narrow" w:cs="Arial"/>
                <w:sz w:val="24"/>
                <w:szCs w:val="24"/>
                <w:lang w:val="en-US"/>
              </w:rPr>
              <w:t xml:space="preserve"> that the</w:t>
            </w:r>
            <w:r w:rsidRPr="00FD2782">
              <w:rPr>
                <w:rFonts w:ascii="Arial Narrow" w:hAnsi="Arial Narrow" w:cs="Arial"/>
                <w:sz w:val="24"/>
                <w:szCs w:val="24"/>
                <w:lang w:val="en-US"/>
              </w:rPr>
              <w:t xml:space="preserve"> evidence of the</w:t>
            </w:r>
            <w:r w:rsidR="007B38F9">
              <w:rPr>
                <w:rFonts w:ascii="Arial Narrow" w:hAnsi="Arial Narrow" w:cs="Arial"/>
                <w:sz w:val="24"/>
                <w:szCs w:val="24"/>
              </w:rPr>
              <w:t xml:space="preserve"> complainant was clear,</w:t>
            </w:r>
            <w:r w:rsidRPr="00FD2782">
              <w:rPr>
                <w:rFonts w:ascii="Arial Narrow" w:hAnsi="Arial Narrow" w:cs="Arial"/>
                <w:sz w:val="24"/>
                <w:szCs w:val="24"/>
              </w:rPr>
              <w:t xml:space="preserve"> coherent </w:t>
            </w:r>
            <w:r w:rsidR="007B38F9">
              <w:rPr>
                <w:rFonts w:ascii="Arial Narrow" w:hAnsi="Arial Narrow" w:cs="Arial"/>
                <w:sz w:val="24"/>
                <w:szCs w:val="24"/>
              </w:rPr>
              <w:t>and</w:t>
            </w:r>
            <w:r w:rsidR="008D058B">
              <w:rPr>
                <w:rFonts w:ascii="Arial Narrow" w:hAnsi="Arial Narrow" w:cs="Arial"/>
                <w:sz w:val="24"/>
                <w:szCs w:val="24"/>
              </w:rPr>
              <w:t xml:space="preserve"> supported by the facts</w:t>
            </w:r>
            <w:r w:rsidR="006D50F0">
              <w:rPr>
                <w:rFonts w:ascii="Arial Narrow" w:hAnsi="Arial Narrow" w:cs="Arial"/>
                <w:sz w:val="24"/>
                <w:szCs w:val="24"/>
              </w:rPr>
              <w:t>,</w:t>
            </w:r>
            <w:r w:rsidR="008D058B">
              <w:rPr>
                <w:rFonts w:ascii="Arial Narrow" w:hAnsi="Arial Narrow" w:cs="Arial"/>
                <w:sz w:val="24"/>
                <w:szCs w:val="24"/>
              </w:rPr>
              <w:t xml:space="preserve"> </w:t>
            </w:r>
            <w:r w:rsidR="007B38F9">
              <w:rPr>
                <w:rFonts w:ascii="Arial Narrow" w:hAnsi="Arial Narrow" w:cs="Arial"/>
                <w:sz w:val="24"/>
                <w:szCs w:val="24"/>
              </w:rPr>
              <w:t>which</w:t>
            </w:r>
            <w:r w:rsidR="008D058B">
              <w:rPr>
                <w:rFonts w:ascii="Arial Narrow" w:hAnsi="Arial Narrow" w:cs="Arial"/>
                <w:sz w:val="24"/>
                <w:szCs w:val="24"/>
              </w:rPr>
              <w:t xml:space="preserve"> could not be faulted. Complainant’s evidence</w:t>
            </w:r>
            <w:r w:rsidRPr="00FD2782">
              <w:rPr>
                <w:rFonts w:ascii="Arial Narrow" w:hAnsi="Arial Narrow" w:cs="Arial"/>
                <w:sz w:val="24"/>
                <w:szCs w:val="24"/>
              </w:rPr>
              <w:t xml:space="preserve"> had the full details as to what transpired on the night in </w:t>
            </w:r>
            <w:r w:rsidR="008C38ED" w:rsidRPr="00FD2782">
              <w:rPr>
                <w:rFonts w:ascii="Arial Narrow" w:hAnsi="Arial Narrow" w:cs="Arial"/>
                <w:sz w:val="24"/>
                <w:szCs w:val="24"/>
              </w:rPr>
              <w:t>question</w:t>
            </w:r>
            <w:r w:rsidR="008D058B">
              <w:rPr>
                <w:rFonts w:ascii="Arial Narrow" w:hAnsi="Arial Narrow" w:cs="Arial"/>
                <w:sz w:val="24"/>
                <w:szCs w:val="24"/>
              </w:rPr>
              <w:t xml:space="preserve"> and was consistent with the testimony of the complainant’s mother and the doctor who examined her </w:t>
            </w:r>
            <w:r w:rsidR="00C92A3E">
              <w:rPr>
                <w:rFonts w:ascii="Arial Narrow" w:hAnsi="Arial Narrow" w:cs="Arial"/>
                <w:sz w:val="24"/>
                <w:szCs w:val="24"/>
              </w:rPr>
              <w:t xml:space="preserve">later in </w:t>
            </w:r>
            <w:r w:rsidR="008D058B">
              <w:rPr>
                <w:rFonts w:ascii="Arial Narrow" w:hAnsi="Arial Narrow" w:cs="Arial"/>
                <w:sz w:val="24"/>
                <w:szCs w:val="24"/>
              </w:rPr>
              <w:t>the day</w:t>
            </w:r>
            <w:r w:rsidR="008C38ED" w:rsidRPr="00FD2782">
              <w:rPr>
                <w:rFonts w:ascii="Arial Narrow" w:hAnsi="Arial Narrow" w:cs="Arial"/>
                <w:sz w:val="24"/>
                <w:szCs w:val="24"/>
              </w:rPr>
              <w:t>.</w:t>
            </w:r>
            <w:r w:rsidR="008D058B">
              <w:rPr>
                <w:rFonts w:ascii="Arial Narrow" w:hAnsi="Arial Narrow" w:cs="Arial"/>
                <w:sz w:val="24"/>
                <w:szCs w:val="24"/>
              </w:rPr>
              <w:t xml:space="preserve"> </w:t>
            </w:r>
            <w:r w:rsidR="00C92A3E">
              <w:rPr>
                <w:rFonts w:ascii="Arial Narrow" w:hAnsi="Arial Narrow" w:cs="Arial"/>
                <w:sz w:val="24"/>
                <w:szCs w:val="24"/>
              </w:rPr>
              <w:t xml:space="preserve">On appeal the court was satisfied that there was no reason to interfere with the trial court’s findings of fact and credibility and that there was no misdirection by the trial court in its assessment of the evidence. It followed a holistic approach in its assessment of the evidence and correctly applied the principles applicable to the evaluation of evidence when the court is confronted with two mutually </w:t>
            </w:r>
          </w:p>
          <w:p w:rsidR="007B38F9" w:rsidRPr="007B38F9" w:rsidRDefault="007B38F9" w:rsidP="007B38F9">
            <w:pPr>
              <w:pStyle w:val="ListParagraph"/>
              <w:rPr>
                <w:rFonts w:ascii="Arial Narrow" w:hAnsi="Arial Narrow" w:cs="Arial"/>
                <w:sz w:val="24"/>
                <w:szCs w:val="24"/>
              </w:rPr>
            </w:pPr>
          </w:p>
          <w:p w:rsidR="007B38F9" w:rsidRDefault="007B38F9" w:rsidP="007B38F9">
            <w:pPr>
              <w:pStyle w:val="ListParagraph"/>
              <w:spacing w:line="360" w:lineRule="auto"/>
              <w:jc w:val="both"/>
              <w:rPr>
                <w:rFonts w:ascii="Arial Narrow" w:hAnsi="Arial Narrow" w:cs="Arial"/>
                <w:sz w:val="24"/>
                <w:szCs w:val="24"/>
              </w:rPr>
            </w:pPr>
          </w:p>
          <w:p w:rsidR="007B38F9" w:rsidRPr="007B38F9" w:rsidRDefault="007B38F9" w:rsidP="007B38F9">
            <w:pPr>
              <w:pStyle w:val="ListParagraph"/>
              <w:rPr>
                <w:rFonts w:ascii="Arial Narrow" w:hAnsi="Arial Narrow" w:cs="Arial"/>
                <w:sz w:val="24"/>
                <w:szCs w:val="24"/>
              </w:rPr>
            </w:pPr>
          </w:p>
          <w:p w:rsidR="00994E35" w:rsidRPr="00FD2782" w:rsidRDefault="00C92A3E" w:rsidP="007B38F9">
            <w:pPr>
              <w:pStyle w:val="ListParagraph"/>
              <w:spacing w:line="360" w:lineRule="auto"/>
              <w:jc w:val="both"/>
              <w:rPr>
                <w:rFonts w:ascii="Arial Narrow" w:hAnsi="Arial Narrow" w:cs="Arial"/>
                <w:sz w:val="24"/>
                <w:szCs w:val="24"/>
              </w:rPr>
            </w:pPr>
            <w:proofErr w:type="gramStart"/>
            <w:r>
              <w:rPr>
                <w:rFonts w:ascii="Arial Narrow" w:hAnsi="Arial Narrow" w:cs="Arial"/>
                <w:sz w:val="24"/>
                <w:szCs w:val="24"/>
              </w:rPr>
              <w:t>destructive</w:t>
            </w:r>
            <w:proofErr w:type="gramEnd"/>
            <w:r>
              <w:rPr>
                <w:rFonts w:ascii="Arial Narrow" w:hAnsi="Arial Narrow" w:cs="Arial"/>
                <w:sz w:val="24"/>
                <w:szCs w:val="24"/>
              </w:rPr>
              <w:t xml:space="preserve"> or irreconcilable versions.</w:t>
            </w:r>
            <w:r w:rsidR="002116D7">
              <w:rPr>
                <w:rFonts w:ascii="Arial Narrow" w:hAnsi="Arial Narrow" w:cs="Arial"/>
                <w:sz w:val="24"/>
                <w:szCs w:val="24"/>
              </w:rPr>
              <w:t xml:space="preserve"> We are thus of the view that this ground has no prospects of success on appeal.</w:t>
            </w:r>
          </w:p>
          <w:p w:rsidR="009D1287" w:rsidRPr="009D1287" w:rsidRDefault="009D1287" w:rsidP="009D1287">
            <w:pPr>
              <w:pStyle w:val="ListParagraph"/>
              <w:rPr>
                <w:rFonts w:ascii="Arial Narrow" w:hAnsi="Arial Narrow" w:cs="Arial"/>
                <w:sz w:val="24"/>
                <w:szCs w:val="24"/>
              </w:rPr>
            </w:pPr>
          </w:p>
          <w:p w:rsidR="006D50F0" w:rsidRDefault="009D1287" w:rsidP="002116D7">
            <w:pPr>
              <w:pStyle w:val="ListParagraph"/>
              <w:numPr>
                <w:ilvl w:val="0"/>
                <w:numId w:val="8"/>
              </w:numPr>
              <w:spacing w:line="360" w:lineRule="auto"/>
              <w:jc w:val="both"/>
              <w:rPr>
                <w:rFonts w:ascii="Arial Narrow" w:hAnsi="Arial Narrow" w:cs="Arial"/>
                <w:sz w:val="24"/>
                <w:szCs w:val="24"/>
              </w:rPr>
            </w:pPr>
            <w:r w:rsidRPr="002E6340">
              <w:rPr>
                <w:rFonts w:ascii="Arial Narrow" w:hAnsi="Arial Narrow" w:cs="Arial"/>
                <w:sz w:val="24"/>
                <w:szCs w:val="24"/>
              </w:rPr>
              <w:t>The second ground of appeal turn</w:t>
            </w:r>
            <w:r w:rsidR="00825425" w:rsidRPr="002E6340">
              <w:rPr>
                <w:rFonts w:ascii="Arial Narrow" w:hAnsi="Arial Narrow" w:cs="Arial"/>
                <w:sz w:val="24"/>
                <w:szCs w:val="24"/>
              </w:rPr>
              <w:t>s</w:t>
            </w:r>
            <w:r w:rsidRPr="002E6340">
              <w:rPr>
                <w:rFonts w:ascii="Arial Narrow" w:hAnsi="Arial Narrow" w:cs="Arial"/>
                <w:sz w:val="24"/>
                <w:szCs w:val="24"/>
              </w:rPr>
              <w:t xml:space="preserve"> on </w:t>
            </w:r>
            <w:r w:rsidR="008C38ED" w:rsidRPr="002E6340">
              <w:rPr>
                <w:rFonts w:ascii="Arial Narrow" w:hAnsi="Arial Narrow" w:cs="Arial"/>
                <w:sz w:val="24"/>
                <w:szCs w:val="24"/>
              </w:rPr>
              <w:t>the court</w:t>
            </w:r>
            <w:r w:rsidR="007B38F9" w:rsidRPr="002E6340">
              <w:rPr>
                <w:rFonts w:ascii="Arial Narrow" w:hAnsi="Arial Narrow" w:cs="Arial"/>
                <w:sz w:val="24"/>
                <w:szCs w:val="24"/>
              </w:rPr>
              <w:t>’s</w:t>
            </w:r>
            <w:r w:rsidR="00825425" w:rsidRPr="002E6340">
              <w:rPr>
                <w:rFonts w:ascii="Arial Narrow" w:hAnsi="Arial Narrow" w:cs="Arial"/>
                <w:sz w:val="24"/>
                <w:szCs w:val="24"/>
              </w:rPr>
              <w:t xml:space="preserve"> finding that the</w:t>
            </w:r>
            <w:r w:rsidRPr="002E6340">
              <w:rPr>
                <w:rFonts w:ascii="Arial Narrow" w:hAnsi="Arial Narrow" w:cs="Arial"/>
                <w:sz w:val="24"/>
                <w:szCs w:val="24"/>
              </w:rPr>
              <w:t xml:space="preserve"> lack of medical evidence</w:t>
            </w:r>
            <w:r w:rsidR="00DF52A5" w:rsidRPr="002E6340">
              <w:rPr>
                <w:rFonts w:ascii="Arial Narrow" w:hAnsi="Arial Narrow" w:cs="Arial"/>
                <w:sz w:val="24"/>
                <w:szCs w:val="24"/>
              </w:rPr>
              <w:t xml:space="preserve"> is a neutral factor.</w:t>
            </w:r>
            <w:r w:rsidR="00FD2782" w:rsidRPr="002E6340">
              <w:rPr>
                <w:rFonts w:ascii="Arial Narrow" w:hAnsi="Arial Narrow" w:cs="Arial"/>
                <w:sz w:val="24"/>
                <w:szCs w:val="24"/>
              </w:rPr>
              <w:t xml:space="preserve"> This </w:t>
            </w:r>
            <w:r w:rsidR="002116D7" w:rsidRPr="002E6340">
              <w:rPr>
                <w:rFonts w:ascii="Arial Narrow" w:hAnsi="Arial Narrow" w:cs="Arial"/>
                <w:sz w:val="24"/>
                <w:szCs w:val="24"/>
              </w:rPr>
              <w:t>issue was extensively dealt with in the judgment (paras 8 – 14). Accordingly, there is no need to rehash what was discussed and found on appeal as that is apparent from the judgment.</w:t>
            </w:r>
            <w:r w:rsidR="00DF52A5" w:rsidRPr="002E6340">
              <w:rPr>
                <w:rFonts w:ascii="Arial Narrow" w:hAnsi="Arial Narrow" w:cs="Arial"/>
                <w:sz w:val="24"/>
                <w:szCs w:val="24"/>
              </w:rPr>
              <w:t xml:space="preserve"> The applicant</w:t>
            </w:r>
            <w:r w:rsidR="006D50F0">
              <w:rPr>
                <w:rFonts w:ascii="Arial Narrow" w:hAnsi="Arial Narrow" w:cs="Arial"/>
                <w:sz w:val="24"/>
                <w:szCs w:val="24"/>
              </w:rPr>
              <w:t>,</w:t>
            </w:r>
            <w:r w:rsidR="00EF0D3E" w:rsidRPr="002E6340">
              <w:rPr>
                <w:rFonts w:ascii="Arial Narrow" w:hAnsi="Arial Narrow" w:cs="Arial"/>
                <w:sz w:val="24"/>
                <w:szCs w:val="24"/>
              </w:rPr>
              <w:t xml:space="preserve"> as before</w:t>
            </w:r>
            <w:r w:rsidR="006D50F0">
              <w:rPr>
                <w:rFonts w:ascii="Arial Narrow" w:hAnsi="Arial Narrow" w:cs="Arial"/>
                <w:sz w:val="24"/>
                <w:szCs w:val="24"/>
              </w:rPr>
              <w:t>,</w:t>
            </w:r>
            <w:r w:rsidR="00EF0D3E" w:rsidRPr="002E6340">
              <w:rPr>
                <w:rFonts w:ascii="Arial Narrow" w:hAnsi="Arial Narrow" w:cs="Arial"/>
                <w:sz w:val="24"/>
                <w:szCs w:val="24"/>
              </w:rPr>
              <w:t xml:space="preserve"> </w:t>
            </w:r>
            <w:r w:rsidR="00DF52A5" w:rsidRPr="002E6340">
              <w:rPr>
                <w:rFonts w:ascii="Arial Narrow" w:hAnsi="Arial Narrow" w:cs="Arial"/>
                <w:sz w:val="24"/>
                <w:szCs w:val="24"/>
              </w:rPr>
              <w:t xml:space="preserve">relied on </w:t>
            </w:r>
            <w:r w:rsidR="00DF52A5" w:rsidRPr="002E6340">
              <w:rPr>
                <w:rFonts w:ascii="Arial Narrow" w:hAnsi="Arial Narrow" w:cs="Arial"/>
                <w:i/>
                <w:sz w:val="24"/>
                <w:szCs w:val="24"/>
              </w:rPr>
              <w:t>Willem v The State</w:t>
            </w:r>
            <w:r w:rsidR="00DF52A5" w:rsidRPr="002E6340">
              <w:rPr>
                <w:rStyle w:val="FootnoteReference"/>
                <w:rFonts w:ascii="Arial Narrow" w:hAnsi="Arial Narrow" w:cs="Arial"/>
                <w:i/>
                <w:sz w:val="24"/>
                <w:szCs w:val="24"/>
              </w:rPr>
              <w:footnoteReference w:id="3"/>
            </w:r>
            <w:r w:rsidR="00DF52A5" w:rsidRPr="002E6340">
              <w:rPr>
                <w:rFonts w:ascii="Arial Narrow" w:hAnsi="Arial Narrow" w:cs="Arial"/>
                <w:sz w:val="24"/>
                <w:szCs w:val="24"/>
              </w:rPr>
              <w:t>. I</w:t>
            </w:r>
            <w:r w:rsidR="006D50F0">
              <w:rPr>
                <w:rFonts w:ascii="Arial Narrow" w:hAnsi="Arial Narrow" w:cs="Arial"/>
                <w:sz w:val="24"/>
                <w:szCs w:val="24"/>
              </w:rPr>
              <w:t>t</w:t>
            </w:r>
            <w:r w:rsidR="00DF52A5" w:rsidRPr="002E6340">
              <w:rPr>
                <w:rFonts w:ascii="Arial Narrow" w:hAnsi="Arial Narrow" w:cs="Arial"/>
                <w:sz w:val="24"/>
                <w:szCs w:val="24"/>
              </w:rPr>
              <w:t xml:space="preserve"> should</w:t>
            </w:r>
            <w:r w:rsidR="006D50F0">
              <w:rPr>
                <w:rFonts w:ascii="Arial Narrow" w:hAnsi="Arial Narrow" w:cs="Arial"/>
                <w:sz w:val="24"/>
                <w:szCs w:val="24"/>
              </w:rPr>
              <w:t xml:space="preserve"> be emphasised</w:t>
            </w:r>
            <w:r w:rsidR="00DF52A5" w:rsidRPr="002E6340">
              <w:rPr>
                <w:rFonts w:ascii="Arial Narrow" w:hAnsi="Arial Narrow" w:cs="Arial"/>
                <w:sz w:val="24"/>
                <w:szCs w:val="24"/>
              </w:rPr>
              <w:t xml:space="preserve"> </w:t>
            </w:r>
            <w:r w:rsidR="006D50F0">
              <w:rPr>
                <w:rFonts w:ascii="Arial Narrow" w:hAnsi="Arial Narrow" w:cs="Arial"/>
                <w:sz w:val="24"/>
                <w:szCs w:val="24"/>
              </w:rPr>
              <w:t>(</w:t>
            </w:r>
            <w:r w:rsidR="00DF52A5" w:rsidRPr="002E6340">
              <w:rPr>
                <w:rFonts w:ascii="Arial Narrow" w:hAnsi="Arial Narrow" w:cs="Arial"/>
                <w:sz w:val="24"/>
                <w:szCs w:val="24"/>
              </w:rPr>
              <w:t>once more</w:t>
            </w:r>
            <w:r w:rsidR="006D50F0">
              <w:rPr>
                <w:rFonts w:ascii="Arial Narrow" w:hAnsi="Arial Narrow" w:cs="Arial"/>
                <w:sz w:val="24"/>
                <w:szCs w:val="24"/>
              </w:rPr>
              <w:t>),</w:t>
            </w:r>
            <w:r w:rsidR="00DF52A5" w:rsidRPr="002E6340">
              <w:rPr>
                <w:rFonts w:ascii="Arial Narrow" w:hAnsi="Arial Narrow" w:cs="Arial"/>
                <w:sz w:val="24"/>
                <w:szCs w:val="24"/>
              </w:rPr>
              <w:t xml:space="preserve"> that the facts of this case are</w:t>
            </w:r>
            <w:r w:rsidR="00DF52A5" w:rsidRPr="002E6340">
              <w:rPr>
                <w:rFonts w:ascii="Arial Narrow" w:hAnsi="Arial Narrow" w:cs="Arial"/>
                <w:i/>
                <w:sz w:val="24"/>
                <w:szCs w:val="24"/>
              </w:rPr>
              <w:t xml:space="preserve"> </w:t>
            </w:r>
            <w:r w:rsidR="00DF52A5" w:rsidRPr="002E6340">
              <w:rPr>
                <w:rFonts w:ascii="Arial Narrow" w:hAnsi="Arial Narrow" w:cs="Arial"/>
                <w:sz w:val="24"/>
                <w:szCs w:val="24"/>
              </w:rPr>
              <w:t xml:space="preserve">distinguishable from the </w:t>
            </w:r>
            <w:r w:rsidR="00DF52A5" w:rsidRPr="002E6340">
              <w:rPr>
                <w:rFonts w:ascii="Arial Narrow" w:hAnsi="Arial Narrow" w:cs="Arial"/>
                <w:i/>
                <w:sz w:val="24"/>
                <w:szCs w:val="24"/>
              </w:rPr>
              <w:t>Willem</w:t>
            </w:r>
            <w:r w:rsidR="00DF52A5" w:rsidRPr="002E6340">
              <w:rPr>
                <w:rFonts w:ascii="Arial Narrow" w:hAnsi="Arial Narrow" w:cs="Arial"/>
                <w:sz w:val="24"/>
                <w:szCs w:val="24"/>
              </w:rPr>
              <w:t xml:space="preserve"> matter. In </w:t>
            </w:r>
            <w:r w:rsidR="00DF52A5" w:rsidRPr="002E6340">
              <w:rPr>
                <w:rFonts w:ascii="Arial Narrow" w:hAnsi="Arial Narrow" w:cs="Arial"/>
                <w:i/>
                <w:sz w:val="24"/>
                <w:szCs w:val="24"/>
              </w:rPr>
              <w:t xml:space="preserve">Willem </w:t>
            </w:r>
            <w:r w:rsidR="00EF0D3E" w:rsidRPr="002E6340">
              <w:rPr>
                <w:rFonts w:ascii="Arial Narrow" w:hAnsi="Arial Narrow" w:cs="Arial"/>
                <w:sz w:val="24"/>
                <w:szCs w:val="24"/>
              </w:rPr>
              <w:t xml:space="preserve">with regards to the medical evidence adduced the difference between the two cases lies in the fact that the complainant in the said case </w:t>
            </w:r>
            <w:r w:rsidR="00DF52A5" w:rsidRPr="002E6340">
              <w:rPr>
                <w:rFonts w:ascii="Arial Narrow" w:hAnsi="Arial Narrow" w:cs="Arial"/>
                <w:sz w:val="24"/>
                <w:szCs w:val="24"/>
              </w:rPr>
              <w:t>was four years younger t</w:t>
            </w:r>
            <w:r w:rsidR="00EF0D3E" w:rsidRPr="002E6340">
              <w:rPr>
                <w:rFonts w:ascii="Arial Narrow" w:hAnsi="Arial Narrow" w:cs="Arial"/>
                <w:sz w:val="24"/>
                <w:szCs w:val="24"/>
              </w:rPr>
              <w:t xml:space="preserve">han the </w:t>
            </w:r>
            <w:r w:rsidR="006D50F0">
              <w:rPr>
                <w:rFonts w:ascii="Arial Narrow" w:hAnsi="Arial Narrow" w:cs="Arial"/>
                <w:sz w:val="24"/>
                <w:szCs w:val="24"/>
              </w:rPr>
              <w:t>complainant in the present case. The medical evidence further establish that</w:t>
            </w:r>
            <w:r w:rsidR="00DF52A5" w:rsidRPr="002E6340">
              <w:rPr>
                <w:rFonts w:ascii="Arial Narrow" w:hAnsi="Arial Narrow" w:cs="Arial"/>
                <w:sz w:val="24"/>
                <w:szCs w:val="24"/>
              </w:rPr>
              <w:t xml:space="preserve"> </w:t>
            </w:r>
            <w:r w:rsidR="00EF0D3E" w:rsidRPr="002E6340">
              <w:rPr>
                <w:rFonts w:ascii="Arial Narrow" w:hAnsi="Arial Narrow" w:cs="Arial"/>
                <w:sz w:val="24"/>
                <w:szCs w:val="24"/>
              </w:rPr>
              <w:t xml:space="preserve">her </w:t>
            </w:r>
            <w:r w:rsidR="00DF52A5" w:rsidRPr="002E6340">
              <w:rPr>
                <w:rFonts w:ascii="Arial Narrow" w:hAnsi="Arial Narrow" w:cs="Arial"/>
                <w:sz w:val="24"/>
                <w:szCs w:val="24"/>
              </w:rPr>
              <w:t xml:space="preserve">hymen </w:t>
            </w:r>
            <w:r w:rsidR="00EF0D3E" w:rsidRPr="002E6340">
              <w:rPr>
                <w:rFonts w:ascii="Arial Narrow" w:hAnsi="Arial Narrow" w:cs="Arial"/>
                <w:sz w:val="24"/>
                <w:szCs w:val="24"/>
              </w:rPr>
              <w:t xml:space="preserve">was still </w:t>
            </w:r>
            <w:r w:rsidR="00DF52A5" w:rsidRPr="002E6340">
              <w:rPr>
                <w:rFonts w:ascii="Arial Narrow" w:hAnsi="Arial Narrow" w:cs="Arial"/>
                <w:sz w:val="24"/>
                <w:szCs w:val="24"/>
              </w:rPr>
              <w:t>intact</w:t>
            </w:r>
            <w:r w:rsidR="00EF0D3E" w:rsidRPr="002E6340">
              <w:rPr>
                <w:rFonts w:ascii="Arial Narrow" w:hAnsi="Arial Narrow" w:cs="Arial"/>
                <w:sz w:val="24"/>
                <w:szCs w:val="24"/>
              </w:rPr>
              <w:t>. On appeal it was found that the</w:t>
            </w:r>
            <w:r w:rsidR="00CD70B0" w:rsidRPr="002E6340">
              <w:rPr>
                <w:rFonts w:ascii="Arial Narrow" w:hAnsi="Arial Narrow" w:cs="Arial"/>
                <w:sz w:val="24"/>
                <w:szCs w:val="24"/>
              </w:rPr>
              <w:t xml:space="preserve"> medical evidence did not support the version of the State witnesses who testified about a protracted and prolonged rape incident. In view thereof the evidence of State witnesses was found unreliable. </w:t>
            </w:r>
            <w:r w:rsidR="002E6340" w:rsidRPr="002E6340">
              <w:rPr>
                <w:rFonts w:ascii="Arial Narrow" w:hAnsi="Arial Narrow" w:cs="Arial"/>
                <w:sz w:val="24"/>
                <w:szCs w:val="24"/>
              </w:rPr>
              <w:t>Contrarily thereto, the complainant</w:t>
            </w:r>
            <w:r w:rsidR="002E6340">
              <w:rPr>
                <w:rFonts w:ascii="Arial Narrow" w:hAnsi="Arial Narrow" w:cs="Arial"/>
                <w:sz w:val="24"/>
                <w:szCs w:val="24"/>
              </w:rPr>
              <w:t>’s evidence</w:t>
            </w:r>
            <w:r w:rsidR="002E6340" w:rsidRPr="002E6340">
              <w:rPr>
                <w:rFonts w:ascii="Arial Narrow" w:hAnsi="Arial Narrow" w:cs="Arial"/>
                <w:sz w:val="24"/>
                <w:szCs w:val="24"/>
              </w:rPr>
              <w:t xml:space="preserve"> in the present instance was found credible</w:t>
            </w:r>
            <w:r w:rsidR="002E6340">
              <w:rPr>
                <w:rFonts w:ascii="Arial Narrow" w:hAnsi="Arial Narrow" w:cs="Arial"/>
                <w:sz w:val="24"/>
                <w:szCs w:val="24"/>
              </w:rPr>
              <w:t>. Furthermore, it was common cause that she was sexually active before the incident and when considered together with the circumstances preceding the sexual act</w:t>
            </w:r>
            <w:r w:rsidR="006D50F0">
              <w:rPr>
                <w:rFonts w:ascii="Arial Narrow" w:hAnsi="Arial Narrow" w:cs="Arial"/>
                <w:sz w:val="24"/>
                <w:szCs w:val="24"/>
              </w:rPr>
              <w:t xml:space="preserve">, the doctor’s evidence was that </w:t>
            </w:r>
            <w:r w:rsidR="002E6340">
              <w:rPr>
                <w:rFonts w:ascii="Arial Narrow" w:hAnsi="Arial Narrow" w:cs="Arial"/>
                <w:sz w:val="24"/>
                <w:szCs w:val="24"/>
              </w:rPr>
              <w:t>it would not be uncommon to find that the complainant did not suffer any injuries.</w:t>
            </w:r>
          </w:p>
          <w:p w:rsidR="006D50F0" w:rsidRDefault="006D50F0" w:rsidP="006D50F0">
            <w:pPr>
              <w:pStyle w:val="ListParagraph"/>
              <w:spacing w:line="360" w:lineRule="auto"/>
              <w:jc w:val="both"/>
              <w:rPr>
                <w:rFonts w:ascii="Arial Narrow" w:hAnsi="Arial Narrow" w:cs="Arial"/>
                <w:sz w:val="24"/>
                <w:szCs w:val="24"/>
              </w:rPr>
            </w:pPr>
          </w:p>
          <w:p w:rsidR="00825425" w:rsidRPr="00277416" w:rsidRDefault="006D50F0" w:rsidP="00277416">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The presence of injuries on the body and genitalia of the victim is not a requirement to prove the offence of rape.</w:t>
            </w:r>
            <w:r w:rsidR="002E6340">
              <w:rPr>
                <w:rFonts w:ascii="Arial Narrow" w:hAnsi="Arial Narrow" w:cs="Arial"/>
                <w:sz w:val="24"/>
                <w:szCs w:val="24"/>
              </w:rPr>
              <w:t xml:space="preserve"> </w:t>
            </w:r>
            <w:r>
              <w:rPr>
                <w:rFonts w:ascii="Arial Narrow" w:hAnsi="Arial Narrow" w:cs="Arial"/>
                <w:sz w:val="24"/>
                <w:szCs w:val="24"/>
              </w:rPr>
              <w:t>Neither would the absence of any injury refute</w:t>
            </w:r>
            <w:r w:rsidR="006D419D">
              <w:rPr>
                <w:rFonts w:ascii="Arial Narrow" w:hAnsi="Arial Narrow" w:cs="Arial"/>
                <w:sz w:val="24"/>
                <w:szCs w:val="24"/>
              </w:rPr>
              <w:t xml:space="preserve"> the</w:t>
            </w:r>
            <w:r>
              <w:rPr>
                <w:rFonts w:ascii="Arial Narrow" w:hAnsi="Arial Narrow" w:cs="Arial"/>
                <w:sz w:val="24"/>
                <w:szCs w:val="24"/>
              </w:rPr>
              <w:t xml:space="preserve"> direct evidence of the complainant</w:t>
            </w:r>
            <w:r w:rsidR="006D419D">
              <w:rPr>
                <w:rFonts w:ascii="Arial Narrow" w:hAnsi="Arial Narrow" w:cs="Arial"/>
                <w:sz w:val="24"/>
                <w:szCs w:val="24"/>
              </w:rPr>
              <w:t xml:space="preserve"> who, in this instance, was found to be a credible witness. Thus, in the present circumstances, the absence of any injury inflicted on the complainant does not serve as corroboration for the applicant’s contention that no sexual act was committed with the complainant. </w:t>
            </w:r>
            <w:r w:rsidR="006D419D" w:rsidRPr="00277416">
              <w:rPr>
                <w:rFonts w:ascii="Arial Narrow" w:hAnsi="Arial Narrow" w:cs="Arial"/>
                <w:sz w:val="24"/>
                <w:szCs w:val="24"/>
              </w:rPr>
              <w:t>Hence, this ground is equally</w:t>
            </w:r>
            <w:r w:rsidR="002116D7" w:rsidRPr="00277416">
              <w:rPr>
                <w:rFonts w:ascii="Arial Narrow" w:hAnsi="Arial Narrow" w:cs="Arial"/>
                <w:sz w:val="24"/>
                <w:szCs w:val="24"/>
              </w:rPr>
              <w:t xml:space="preserve"> without merit and falls significantly short of showing on a balance of probabilities that it has prospects of success on appeal.</w:t>
            </w:r>
          </w:p>
          <w:p w:rsidR="00825425" w:rsidRPr="00825425" w:rsidRDefault="00825425" w:rsidP="00825425">
            <w:pPr>
              <w:pStyle w:val="ListParagraph"/>
              <w:spacing w:line="360" w:lineRule="auto"/>
              <w:jc w:val="both"/>
              <w:rPr>
                <w:rFonts w:ascii="Arial Narrow" w:hAnsi="Arial Narrow" w:cs="Arial"/>
                <w:sz w:val="24"/>
                <w:szCs w:val="24"/>
              </w:rPr>
            </w:pPr>
          </w:p>
          <w:p w:rsidR="00277416" w:rsidRDefault="0045475F" w:rsidP="007B38F9">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Lastly, the app</w:t>
            </w:r>
            <w:r w:rsidR="00825425">
              <w:rPr>
                <w:rFonts w:ascii="Arial Narrow" w:hAnsi="Arial Narrow" w:cs="Arial"/>
                <w:sz w:val="24"/>
                <w:szCs w:val="24"/>
              </w:rPr>
              <w:t xml:space="preserve">licant </w:t>
            </w:r>
            <w:r w:rsidR="00F53A1E">
              <w:rPr>
                <w:rFonts w:ascii="Arial Narrow" w:hAnsi="Arial Narrow" w:cs="Arial"/>
                <w:sz w:val="24"/>
                <w:szCs w:val="24"/>
              </w:rPr>
              <w:t>stated</w:t>
            </w:r>
            <w:r w:rsidR="00825425">
              <w:rPr>
                <w:rFonts w:ascii="Arial Narrow" w:hAnsi="Arial Narrow" w:cs="Arial"/>
                <w:sz w:val="24"/>
                <w:szCs w:val="24"/>
              </w:rPr>
              <w:t xml:space="preserve"> that he should have been</w:t>
            </w:r>
            <w:r>
              <w:rPr>
                <w:rFonts w:ascii="Arial Narrow" w:hAnsi="Arial Narrow" w:cs="Arial"/>
                <w:sz w:val="24"/>
                <w:szCs w:val="24"/>
              </w:rPr>
              <w:t xml:space="preserve"> given the benefit of the doubt in light</w:t>
            </w:r>
            <w:r w:rsidR="00F53A1E">
              <w:rPr>
                <w:rFonts w:ascii="Arial Narrow" w:hAnsi="Arial Narrow" w:cs="Arial"/>
                <w:sz w:val="24"/>
                <w:szCs w:val="24"/>
              </w:rPr>
              <w:t xml:space="preserve"> of the</w:t>
            </w:r>
            <w:r>
              <w:rPr>
                <w:rFonts w:ascii="Arial Narrow" w:hAnsi="Arial Narrow" w:cs="Arial"/>
                <w:sz w:val="24"/>
                <w:szCs w:val="24"/>
              </w:rPr>
              <w:t xml:space="preserve"> </w:t>
            </w:r>
            <w:r w:rsidR="002116D7">
              <w:rPr>
                <w:rFonts w:ascii="Arial Narrow" w:hAnsi="Arial Narrow" w:cs="Arial"/>
                <w:sz w:val="24"/>
                <w:szCs w:val="24"/>
              </w:rPr>
              <w:t>absence</w:t>
            </w:r>
            <w:r w:rsidR="00825425">
              <w:rPr>
                <w:rFonts w:ascii="Arial Narrow" w:hAnsi="Arial Narrow" w:cs="Arial"/>
                <w:sz w:val="24"/>
                <w:szCs w:val="24"/>
              </w:rPr>
              <w:t xml:space="preserve"> of</w:t>
            </w:r>
            <w:r>
              <w:rPr>
                <w:rFonts w:ascii="Arial Narrow" w:hAnsi="Arial Narrow" w:cs="Arial"/>
                <w:sz w:val="24"/>
                <w:szCs w:val="24"/>
              </w:rPr>
              <w:t xml:space="preserve"> direct evidence.</w:t>
            </w:r>
            <w:r w:rsidR="00F53A1E">
              <w:rPr>
                <w:rFonts w:ascii="Arial Narrow" w:hAnsi="Arial Narrow" w:cs="Arial"/>
                <w:sz w:val="24"/>
                <w:szCs w:val="24"/>
              </w:rPr>
              <w:t xml:space="preserve"> </w:t>
            </w:r>
            <w:r w:rsidR="00D971DA">
              <w:rPr>
                <w:rFonts w:ascii="Arial Narrow" w:hAnsi="Arial Narrow" w:cs="Arial"/>
                <w:sz w:val="24"/>
                <w:szCs w:val="24"/>
              </w:rPr>
              <w:t xml:space="preserve">This ground ties in with the first ground raised by the applicant as set out </w:t>
            </w:r>
          </w:p>
          <w:p w:rsidR="00277416" w:rsidRPr="00277416" w:rsidRDefault="00277416" w:rsidP="00277416">
            <w:pPr>
              <w:pStyle w:val="ListParagraph"/>
              <w:rPr>
                <w:rFonts w:ascii="Arial Narrow" w:hAnsi="Arial Narrow" w:cs="Arial"/>
                <w:sz w:val="24"/>
                <w:szCs w:val="24"/>
              </w:rPr>
            </w:pPr>
          </w:p>
          <w:p w:rsidR="00277416" w:rsidRDefault="00277416" w:rsidP="00277416">
            <w:pPr>
              <w:pStyle w:val="ListParagraph"/>
              <w:spacing w:line="360" w:lineRule="auto"/>
              <w:jc w:val="both"/>
              <w:rPr>
                <w:rFonts w:ascii="Arial Narrow" w:hAnsi="Arial Narrow" w:cs="Arial"/>
                <w:sz w:val="24"/>
                <w:szCs w:val="24"/>
              </w:rPr>
            </w:pPr>
          </w:p>
          <w:p w:rsidR="00277416" w:rsidRPr="00277416" w:rsidRDefault="00277416" w:rsidP="00277416">
            <w:pPr>
              <w:pStyle w:val="ListParagraph"/>
              <w:rPr>
                <w:rFonts w:ascii="Arial Narrow" w:hAnsi="Arial Narrow" w:cs="Arial"/>
                <w:sz w:val="24"/>
                <w:szCs w:val="24"/>
              </w:rPr>
            </w:pPr>
          </w:p>
          <w:p w:rsidR="00994E35" w:rsidRPr="007B38F9" w:rsidRDefault="00D971DA" w:rsidP="00277416">
            <w:pPr>
              <w:pStyle w:val="ListParagraph"/>
              <w:spacing w:line="360" w:lineRule="auto"/>
              <w:jc w:val="both"/>
              <w:rPr>
                <w:rFonts w:ascii="Arial Narrow" w:hAnsi="Arial Narrow" w:cs="Arial"/>
                <w:sz w:val="24"/>
                <w:szCs w:val="24"/>
              </w:rPr>
            </w:pPr>
            <w:proofErr w:type="gramStart"/>
            <w:r>
              <w:rPr>
                <w:rFonts w:ascii="Arial Narrow" w:hAnsi="Arial Narrow" w:cs="Arial"/>
                <w:sz w:val="24"/>
                <w:szCs w:val="24"/>
              </w:rPr>
              <w:t>supra</w:t>
            </w:r>
            <w:proofErr w:type="gramEnd"/>
            <w:r>
              <w:rPr>
                <w:rFonts w:ascii="Arial Narrow" w:hAnsi="Arial Narrow" w:cs="Arial"/>
                <w:sz w:val="24"/>
                <w:szCs w:val="24"/>
              </w:rPr>
              <w:t xml:space="preserve"> in para 7. Suffice it to say that the evid</w:t>
            </w:r>
            <w:r w:rsidR="007B38F9">
              <w:rPr>
                <w:rFonts w:ascii="Arial Narrow" w:hAnsi="Arial Narrow" w:cs="Arial"/>
                <w:sz w:val="24"/>
                <w:szCs w:val="24"/>
              </w:rPr>
              <w:t>ence of the accused/applicant was not considered in isolation but</w:t>
            </w:r>
            <w:r w:rsidRPr="007B38F9">
              <w:rPr>
                <w:rFonts w:ascii="Arial Narrow" w:hAnsi="Arial Narrow" w:cs="Arial"/>
                <w:sz w:val="24"/>
                <w:szCs w:val="24"/>
              </w:rPr>
              <w:t xml:space="preserve"> evaluated together with the evidence as a whole, regard being had to the merits and demerits of the state witnesses and the defence, as well as the probabilities</w:t>
            </w:r>
            <w:r w:rsidR="008A7EBB" w:rsidRPr="007B38F9">
              <w:rPr>
                <w:rFonts w:ascii="Arial Narrow" w:hAnsi="Arial Narrow" w:cs="Arial"/>
                <w:sz w:val="24"/>
                <w:szCs w:val="24"/>
              </w:rPr>
              <w:t>. As stated, on appeal the court was satisfied that the trial court</w:t>
            </w:r>
            <w:r w:rsidR="00F53A1E" w:rsidRPr="007B38F9">
              <w:rPr>
                <w:rFonts w:ascii="Arial Narrow" w:hAnsi="Arial Narrow" w:cs="Arial"/>
                <w:sz w:val="24"/>
                <w:szCs w:val="24"/>
              </w:rPr>
              <w:t xml:space="preserve"> adopted a holistic approach in its assessment of the evidence</w:t>
            </w:r>
            <w:r w:rsidR="008A7EBB" w:rsidRPr="007B38F9">
              <w:rPr>
                <w:rFonts w:ascii="Arial Narrow" w:hAnsi="Arial Narrow" w:cs="Arial"/>
                <w:sz w:val="24"/>
                <w:szCs w:val="24"/>
              </w:rPr>
              <w:t xml:space="preserve"> and that the conclusion reached was supported by the facts and</w:t>
            </w:r>
            <w:r w:rsidR="00277416">
              <w:rPr>
                <w:rFonts w:ascii="Arial Narrow" w:hAnsi="Arial Narrow" w:cs="Arial"/>
                <w:sz w:val="24"/>
                <w:szCs w:val="24"/>
              </w:rPr>
              <w:t xml:space="preserve"> is sound in </w:t>
            </w:r>
            <w:r w:rsidR="008A7EBB" w:rsidRPr="007B38F9">
              <w:rPr>
                <w:rFonts w:ascii="Arial Narrow" w:hAnsi="Arial Narrow" w:cs="Arial"/>
                <w:sz w:val="24"/>
                <w:szCs w:val="24"/>
              </w:rPr>
              <w:t>law. The trial court could therefore not be faulted in its evaluation of the evidence and th</w:t>
            </w:r>
            <w:r w:rsidR="007B38F9">
              <w:rPr>
                <w:rFonts w:ascii="Arial Narrow" w:hAnsi="Arial Narrow" w:cs="Arial"/>
                <w:sz w:val="24"/>
                <w:szCs w:val="24"/>
              </w:rPr>
              <w:t>ere was no other conclusion</w:t>
            </w:r>
            <w:r w:rsidR="008A7EBB" w:rsidRPr="007B38F9">
              <w:rPr>
                <w:rFonts w:ascii="Arial Narrow" w:hAnsi="Arial Narrow" w:cs="Arial"/>
                <w:sz w:val="24"/>
                <w:szCs w:val="24"/>
              </w:rPr>
              <w:t xml:space="preserve"> the court could come to on appeal</w:t>
            </w:r>
            <w:r w:rsidR="00F53A1E" w:rsidRPr="007B38F9">
              <w:rPr>
                <w:rFonts w:ascii="Arial Narrow" w:hAnsi="Arial Narrow" w:cs="Arial"/>
                <w:sz w:val="24"/>
                <w:szCs w:val="24"/>
              </w:rPr>
              <w:t xml:space="preserve">. </w:t>
            </w:r>
            <w:r w:rsidR="008A7EBB" w:rsidRPr="007B38F9">
              <w:rPr>
                <w:rFonts w:ascii="Arial Narrow" w:hAnsi="Arial Narrow" w:cs="Arial"/>
                <w:sz w:val="24"/>
                <w:szCs w:val="24"/>
              </w:rPr>
              <w:t>We are therefore unpersuaded that this ground has prospects of success on appeal.</w:t>
            </w:r>
          </w:p>
          <w:p w:rsidR="00F53A1E" w:rsidRPr="00F53A1E" w:rsidRDefault="00F53A1E" w:rsidP="00F53A1E">
            <w:pPr>
              <w:pStyle w:val="ListParagraph"/>
              <w:rPr>
                <w:rFonts w:ascii="Arial Narrow" w:hAnsi="Arial Narrow" w:cs="Arial"/>
                <w:sz w:val="24"/>
                <w:szCs w:val="24"/>
              </w:rPr>
            </w:pPr>
          </w:p>
          <w:p w:rsidR="007B38F9" w:rsidRDefault="007B38F9" w:rsidP="00F53A1E">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For the aforesaid reasons, it is this court’s considered opinion that the application for condonation should not be granted.</w:t>
            </w:r>
          </w:p>
          <w:p w:rsidR="007B38F9" w:rsidRPr="007B38F9" w:rsidRDefault="007B38F9" w:rsidP="007B38F9">
            <w:pPr>
              <w:pStyle w:val="ListParagraph"/>
              <w:rPr>
                <w:rFonts w:ascii="Arial Narrow" w:hAnsi="Arial Narrow" w:cs="Arial"/>
                <w:sz w:val="24"/>
                <w:szCs w:val="24"/>
              </w:rPr>
            </w:pPr>
          </w:p>
          <w:p w:rsidR="00F53A1E" w:rsidRDefault="00F53A1E" w:rsidP="00F53A1E">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 xml:space="preserve">In </w:t>
            </w:r>
            <w:r w:rsidR="007B38F9">
              <w:rPr>
                <w:rFonts w:ascii="Arial Narrow" w:hAnsi="Arial Narrow" w:cs="Arial"/>
                <w:sz w:val="24"/>
                <w:szCs w:val="24"/>
              </w:rPr>
              <w:t>the premises, it is ordered</w:t>
            </w:r>
            <w:r>
              <w:rPr>
                <w:rFonts w:ascii="Arial Narrow" w:hAnsi="Arial Narrow" w:cs="Arial"/>
                <w:sz w:val="24"/>
                <w:szCs w:val="24"/>
              </w:rPr>
              <w:t>:</w:t>
            </w:r>
          </w:p>
          <w:p w:rsidR="00F53A1E" w:rsidRPr="00F53A1E" w:rsidRDefault="00F53A1E" w:rsidP="00F53A1E">
            <w:pPr>
              <w:pStyle w:val="ListParagraph"/>
              <w:rPr>
                <w:rFonts w:ascii="Arial Narrow" w:hAnsi="Arial Narrow" w:cs="Arial"/>
                <w:sz w:val="24"/>
                <w:szCs w:val="24"/>
              </w:rPr>
            </w:pPr>
          </w:p>
          <w:p w:rsidR="00F53A1E" w:rsidRDefault="00F53A1E" w:rsidP="00F53A1E">
            <w:pPr>
              <w:pStyle w:val="ListParagraph"/>
              <w:numPr>
                <w:ilvl w:val="0"/>
                <w:numId w:val="18"/>
              </w:numPr>
              <w:spacing w:line="360" w:lineRule="auto"/>
              <w:jc w:val="both"/>
              <w:rPr>
                <w:rFonts w:ascii="Arial Narrow" w:hAnsi="Arial Narrow" w:cs="Arial"/>
                <w:sz w:val="24"/>
                <w:szCs w:val="24"/>
              </w:rPr>
            </w:pPr>
            <w:r>
              <w:rPr>
                <w:rFonts w:ascii="Arial Narrow" w:hAnsi="Arial Narrow" w:cs="Arial"/>
                <w:sz w:val="24"/>
                <w:szCs w:val="24"/>
              </w:rPr>
              <w:t>The condonation application is refused.</w:t>
            </w:r>
          </w:p>
          <w:p w:rsidR="00F53A1E" w:rsidRDefault="00F53A1E" w:rsidP="00F53A1E">
            <w:pPr>
              <w:pStyle w:val="ListParagraph"/>
              <w:numPr>
                <w:ilvl w:val="0"/>
                <w:numId w:val="18"/>
              </w:numPr>
              <w:spacing w:line="360" w:lineRule="auto"/>
              <w:jc w:val="both"/>
              <w:rPr>
                <w:rFonts w:ascii="Arial Narrow" w:hAnsi="Arial Narrow" w:cs="Arial"/>
                <w:sz w:val="24"/>
                <w:szCs w:val="24"/>
              </w:rPr>
            </w:pPr>
            <w:r>
              <w:rPr>
                <w:rFonts w:ascii="Arial Narrow" w:hAnsi="Arial Narrow" w:cs="Arial"/>
                <w:sz w:val="24"/>
                <w:szCs w:val="24"/>
              </w:rPr>
              <w:t xml:space="preserve">The </w:t>
            </w:r>
            <w:r w:rsidR="007B38F9">
              <w:rPr>
                <w:rFonts w:ascii="Arial Narrow" w:hAnsi="Arial Narrow" w:cs="Arial"/>
                <w:sz w:val="24"/>
                <w:szCs w:val="24"/>
              </w:rPr>
              <w:t>matter is struck from the roll.</w:t>
            </w:r>
          </w:p>
          <w:p w:rsidR="00F53A1E" w:rsidRPr="00994E35" w:rsidRDefault="00F53A1E" w:rsidP="00F53A1E">
            <w:pPr>
              <w:pStyle w:val="ListParagraph"/>
              <w:spacing w:line="360" w:lineRule="auto"/>
              <w:ind w:left="1080"/>
              <w:jc w:val="both"/>
              <w:rPr>
                <w:rFonts w:ascii="Arial Narrow" w:hAnsi="Arial Narrow" w:cs="Arial"/>
                <w:sz w:val="24"/>
                <w:szCs w:val="24"/>
              </w:rPr>
            </w:pPr>
          </w:p>
        </w:tc>
      </w:tr>
      <w:tr w:rsidR="00D35047" w:rsidRPr="001B0FDD" w:rsidTr="0004405B">
        <w:tc>
          <w:tcPr>
            <w:tcW w:w="4770" w:type="dxa"/>
          </w:tcPr>
          <w:p w:rsidR="00D35047" w:rsidRPr="001B0FDD" w:rsidRDefault="00D35047" w:rsidP="0004405B">
            <w:pPr>
              <w:spacing w:line="360" w:lineRule="auto"/>
              <w:jc w:val="center"/>
              <w:rPr>
                <w:rFonts w:ascii="Arial Narrow" w:hAnsi="Arial Narrow" w:cs="Arial"/>
                <w:b/>
                <w:sz w:val="24"/>
                <w:szCs w:val="24"/>
              </w:rPr>
            </w:pPr>
          </w:p>
        </w:tc>
        <w:tc>
          <w:tcPr>
            <w:tcW w:w="4950" w:type="dxa"/>
            <w:gridSpan w:val="2"/>
          </w:tcPr>
          <w:p w:rsidR="00D35047" w:rsidRPr="001B0FDD" w:rsidRDefault="00D35047" w:rsidP="0004405B">
            <w:pPr>
              <w:spacing w:line="360" w:lineRule="auto"/>
              <w:jc w:val="center"/>
              <w:rPr>
                <w:rFonts w:ascii="Arial Narrow" w:hAnsi="Arial Narrow" w:cs="Arial"/>
                <w:b/>
                <w:sz w:val="24"/>
                <w:szCs w:val="24"/>
              </w:rPr>
            </w:pPr>
          </w:p>
          <w:p w:rsidR="00D35047" w:rsidRPr="001B0FDD" w:rsidRDefault="00D35047" w:rsidP="00D92DB9">
            <w:pPr>
              <w:spacing w:line="360" w:lineRule="auto"/>
              <w:rPr>
                <w:rFonts w:ascii="Arial Narrow" w:hAnsi="Arial Narrow" w:cs="Arial"/>
                <w:b/>
                <w:sz w:val="24"/>
                <w:szCs w:val="24"/>
              </w:rPr>
            </w:pPr>
          </w:p>
        </w:tc>
      </w:tr>
      <w:tr w:rsidR="00D35047" w:rsidRPr="001B0FDD" w:rsidTr="00425B6A">
        <w:trPr>
          <w:trHeight w:val="854"/>
        </w:trPr>
        <w:tc>
          <w:tcPr>
            <w:tcW w:w="4770" w:type="dxa"/>
          </w:tcPr>
          <w:p w:rsidR="00D35047" w:rsidRPr="001B0FDD" w:rsidRDefault="00D35047" w:rsidP="0004405B">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D35047" w:rsidRPr="001B0FDD" w:rsidRDefault="00D35047" w:rsidP="0004405B">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D35047" w:rsidRPr="001B0FDD" w:rsidRDefault="00425B6A" w:rsidP="0004405B">
            <w:pPr>
              <w:spacing w:line="360" w:lineRule="auto"/>
              <w:jc w:val="center"/>
              <w:rPr>
                <w:rFonts w:ascii="Arial Narrow" w:hAnsi="Arial Narrow" w:cs="Arial"/>
                <w:b/>
                <w:sz w:val="24"/>
                <w:szCs w:val="24"/>
              </w:rPr>
            </w:pPr>
            <w:r>
              <w:rPr>
                <w:rFonts w:ascii="Arial Narrow" w:hAnsi="Arial Narrow" w:cs="Arial"/>
                <w:b/>
                <w:sz w:val="24"/>
                <w:szCs w:val="24"/>
              </w:rPr>
              <w:t xml:space="preserve">N </w:t>
            </w:r>
            <w:proofErr w:type="spellStart"/>
            <w:r>
              <w:rPr>
                <w:rFonts w:ascii="Arial Narrow" w:hAnsi="Arial Narrow" w:cs="Arial"/>
                <w:b/>
                <w:sz w:val="24"/>
                <w:szCs w:val="24"/>
              </w:rPr>
              <w:t>N</w:t>
            </w:r>
            <w:proofErr w:type="spellEnd"/>
            <w:r>
              <w:rPr>
                <w:rFonts w:ascii="Arial Narrow" w:hAnsi="Arial Narrow" w:cs="Arial"/>
                <w:b/>
                <w:sz w:val="24"/>
                <w:szCs w:val="24"/>
              </w:rPr>
              <w:t xml:space="preserve"> SHIVUTE</w:t>
            </w:r>
          </w:p>
          <w:p w:rsidR="00D35047" w:rsidRPr="001B0FDD" w:rsidRDefault="00D35047" w:rsidP="0004405B">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B97A95" w:rsidRDefault="00B97A95" w:rsidP="00D92DB9"/>
    <w:p w:rsidR="007D539A" w:rsidRDefault="007D539A" w:rsidP="00D92DB9"/>
    <w:p w:rsidR="007D539A" w:rsidRDefault="007D539A" w:rsidP="00D92DB9"/>
    <w:p w:rsidR="007D539A" w:rsidRDefault="007D539A" w:rsidP="00D92DB9"/>
    <w:p w:rsidR="007D539A" w:rsidRDefault="007D539A" w:rsidP="00D92DB9"/>
    <w:p w:rsidR="007D539A" w:rsidRDefault="007D539A" w:rsidP="00D92DB9"/>
    <w:p w:rsidR="007D539A" w:rsidRDefault="007D539A" w:rsidP="00D92DB9"/>
    <w:p w:rsidR="007D539A" w:rsidRDefault="007D539A" w:rsidP="00D92DB9"/>
    <w:p w:rsidR="00277416" w:rsidRDefault="00277416" w:rsidP="00D92DB9"/>
    <w:p w:rsidR="007D539A" w:rsidRDefault="007D539A" w:rsidP="00D92DB9">
      <w:pPr>
        <w:rPr>
          <w:rFonts w:ascii="Arial Narrow" w:hAnsi="Arial Narrow" w:cs="Arial"/>
          <w:sz w:val="24"/>
          <w:szCs w:val="24"/>
        </w:rPr>
      </w:pPr>
      <w:r>
        <w:rPr>
          <w:rFonts w:ascii="Arial Narrow" w:hAnsi="Arial Narrow" w:cs="Arial"/>
          <w:sz w:val="24"/>
          <w:szCs w:val="24"/>
        </w:rPr>
        <w:lastRenderedPageBreak/>
        <w:t>APPEARANCES</w:t>
      </w:r>
    </w:p>
    <w:p w:rsidR="007D539A" w:rsidRDefault="007D539A" w:rsidP="00D92DB9">
      <w:pPr>
        <w:rPr>
          <w:rFonts w:ascii="Arial Narrow" w:hAnsi="Arial Narrow" w:cs="Arial"/>
          <w:sz w:val="24"/>
          <w:szCs w:val="24"/>
        </w:rPr>
      </w:pPr>
    </w:p>
    <w:p w:rsidR="007D539A" w:rsidRDefault="007D539A" w:rsidP="00D92DB9">
      <w:pPr>
        <w:rPr>
          <w:rFonts w:ascii="Arial Narrow" w:hAnsi="Arial Narrow" w:cs="Arial"/>
          <w:sz w:val="24"/>
          <w:szCs w:val="24"/>
        </w:rPr>
      </w:pPr>
    </w:p>
    <w:p w:rsidR="007D539A" w:rsidRDefault="007D539A" w:rsidP="00D92DB9">
      <w:pPr>
        <w:rPr>
          <w:rFonts w:ascii="Arial Narrow" w:hAnsi="Arial Narrow" w:cs="Arial"/>
          <w:sz w:val="24"/>
          <w:szCs w:val="24"/>
        </w:rPr>
      </w:pPr>
      <w:r>
        <w:rPr>
          <w:rFonts w:ascii="Arial Narrow" w:hAnsi="Arial Narrow" w:cs="Arial"/>
          <w:sz w:val="24"/>
          <w:szCs w:val="24"/>
        </w:rPr>
        <w:t>APPLICANT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 P </w:t>
      </w:r>
      <w:proofErr w:type="spellStart"/>
      <w:r>
        <w:rPr>
          <w:rFonts w:ascii="Arial Narrow" w:hAnsi="Arial Narrow" w:cs="Arial"/>
          <w:sz w:val="24"/>
          <w:szCs w:val="24"/>
        </w:rPr>
        <w:t>Brockerhoff</w:t>
      </w:r>
      <w:proofErr w:type="spellEnd"/>
    </w:p>
    <w:p w:rsidR="007D539A" w:rsidRDefault="007D539A" w:rsidP="00D92DB9">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Of </w:t>
      </w:r>
      <w:proofErr w:type="spellStart"/>
      <w:r>
        <w:rPr>
          <w:rFonts w:ascii="Arial Narrow" w:hAnsi="Arial Narrow" w:cs="Arial"/>
          <w:sz w:val="24"/>
          <w:szCs w:val="24"/>
        </w:rPr>
        <w:t>Brockerhoff</w:t>
      </w:r>
      <w:proofErr w:type="spellEnd"/>
      <w:r>
        <w:rPr>
          <w:rFonts w:ascii="Arial Narrow" w:hAnsi="Arial Narrow" w:cs="Arial"/>
          <w:sz w:val="24"/>
          <w:szCs w:val="24"/>
        </w:rPr>
        <w:t xml:space="preserve"> and Associates</w:t>
      </w:r>
    </w:p>
    <w:p w:rsidR="007D539A" w:rsidRDefault="007D539A" w:rsidP="00D92DB9">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Windhoek</w:t>
      </w:r>
    </w:p>
    <w:p w:rsidR="007D539A" w:rsidRDefault="007D539A" w:rsidP="00D92DB9">
      <w:pPr>
        <w:rPr>
          <w:rFonts w:ascii="Arial Narrow" w:hAnsi="Arial Narrow" w:cs="Arial"/>
          <w:sz w:val="24"/>
          <w:szCs w:val="24"/>
        </w:rPr>
      </w:pPr>
    </w:p>
    <w:p w:rsidR="007D539A" w:rsidRDefault="007D539A" w:rsidP="00D92DB9">
      <w:pPr>
        <w:rPr>
          <w:rFonts w:ascii="Arial Narrow" w:hAnsi="Arial Narrow" w:cs="Arial"/>
          <w:sz w:val="24"/>
          <w:szCs w:val="24"/>
        </w:rPr>
      </w:pPr>
    </w:p>
    <w:p w:rsidR="007D539A" w:rsidRDefault="00430C75" w:rsidP="00D92DB9">
      <w:pPr>
        <w:rPr>
          <w:rFonts w:ascii="Arial Narrow" w:hAnsi="Arial Narrow" w:cs="Arial"/>
          <w:sz w:val="24"/>
          <w:szCs w:val="24"/>
        </w:rPr>
      </w:pPr>
      <w:r>
        <w:rPr>
          <w:rFonts w:ascii="Arial Narrow" w:hAnsi="Arial Narrow" w:cs="Arial"/>
          <w:sz w:val="24"/>
          <w:szCs w:val="24"/>
        </w:rPr>
        <w:t>RESPONDENT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 Nyoni</w:t>
      </w:r>
    </w:p>
    <w:p w:rsidR="007D539A" w:rsidRDefault="007D539A" w:rsidP="00D92DB9">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Of Office of the Prosecutor-General</w:t>
      </w:r>
    </w:p>
    <w:p w:rsidR="007D539A" w:rsidRDefault="007D539A" w:rsidP="00D92DB9">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Windhoek</w:t>
      </w:r>
    </w:p>
    <w:p w:rsidR="007D539A" w:rsidRDefault="007D539A" w:rsidP="00D92DB9">
      <w:pPr>
        <w:rPr>
          <w:rFonts w:ascii="Arial Narrow" w:hAnsi="Arial Narrow" w:cs="Arial"/>
          <w:sz w:val="24"/>
          <w:szCs w:val="24"/>
        </w:rPr>
      </w:pPr>
    </w:p>
    <w:p w:rsidR="007D539A" w:rsidRDefault="007D539A" w:rsidP="00D92DB9">
      <w:pPr>
        <w:rPr>
          <w:rFonts w:ascii="Arial Narrow" w:hAnsi="Arial Narrow" w:cs="Arial"/>
          <w:sz w:val="24"/>
          <w:szCs w:val="24"/>
        </w:rPr>
      </w:pPr>
    </w:p>
    <w:p w:rsidR="007D539A" w:rsidRPr="007D539A" w:rsidRDefault="007D539A" w:rsidP="00D92DB9">
      <w:pPr>
        <w:rPr>
          <w:rFonts w:ascii="Arial Narrow" w:hAnsi="Arial Narrow" w:cs="Arial"/>
          <w:sz w:val="24"/>
          <w:szCs w:val="24"/>
        </w:rPr>
      </w:pPr>
    </w:p>
    <w:sectPr w:rsidR="007D539A" w:rsidRPr="007D539A" w:rsidSect="00AE044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DD" w:rsidRDefault="00C84DDD" w:rsidP="00436FB0">
      <w:pPr>
        <w:spacing w:after="0" w:line="240" w:lineRule="auto"/>
      </w:pPr>
      <w:r>
        <w:separator/>
      </w:r>
    </w:p>
  </w:endnote>
  <w:endnote w:type="continuationSeparator" w:id="0">
    <w:p w:rsidR="00C84DDD" w:rsidRDefault="00C84DDD"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DD" w:rsidRDefault="00C84DDD" w:rsidP="00436FB0">
      <w:pPr>
        <w:spacing w:after="0" w:line="240" w:lineRule="auto"/>
      </w:pPr>
      <w:r>
        <w:separator/>
      </w:r>
    </w:p>
  </w:footnote>
  <w:footnote w:type="continuationSeparator" w:id="0">
    <w:p w:rsidR="00C84DDD" w:rsidRDefault="00C84DDD" w:rsidP="00436FB0">
      <w:pPr>
        <w:spacing w:after="0" w:line="240" w:lineRule="auto"/>
      </w:pPr>
      <w:r>
        <w:continuationSeparator/>
      </w:r>
    </w:p>
  </w:footnote>
  <w:footnote w:id="1">
    <w:p w:rsidR="00930A50" w:rsidRDefault="00930A50" w:rsidP="00930A50">
      <w:pPr>
        <w:pStyle w:val="FootnoteText"/>
      </w:pPr>
      <w:r>
        <w:rPr>
          <w:rStyle w:val="FootnoteReference"/>
        </w:rPr>
        <w:footnoteRef/>
      </w:r>
      <w:r>
        <w:t xml:space="preserve"> 2013 (4) NR 1029 at 1031D-F.</w:t>
      </w:r>
    </w:p>
  </w:footnote>
  <w:footnote w:id="2">
    <w:p w:rsidR="0004405B" w:rsidRPr="00E57153" w:rsidRDefault="0004405B">
      <w:pPr>
        <w:pStyle w:val="FootnoteText"/>
        <w:rPr>
          <w:rFonts w:ascii="Arial Narrow" w:hAnsi="Arial Narrow"/>
        </w:rPr>
      </w:pPr>
      <w:r w:rsidRPr="00E57153">
        <w:rPr>
          <w:rStyle w:val="FootnoteReference"/>
          <w:rFonts w:ascii="Arial Narrow" w:hAnsi="Arial Narrow"/>
        </w:rPr>
        <w:footnoteRef/>
      </w:r>
      <w:r w:rsidRPr="00E57153">
        <w:rPr>
          <w:rFonts w:ascii="Arial Narrow" w:hAnsi="Arial Narrow"/>
        </w:rPr>
        <w:t xml:space="preserve"> Unreported judgment SA 36/2017.</w:t>
      </w:r>
    </w:p>
  </w:footnote>
  <w:footnote w:id="3">
    <w:p w:rsidR="00DF52A5" w:rsidRPr="00B57655" w:rsidRDefault="00DF52A5" w:rsidP="00DF52A5">
      <w:pPr>
        <w:pStyle w:val="FootnoteText"/>
        <w:rPr>
          <w:rFonts w:ascii="Arial" w:hAnsi="Arial" w:cs="Arial"/>
        </w:rPr>
      </w:pPr>
      <w:r>
        <w:rPr>
          <w:rStyle w:val="FootnoteReference"/>
        </w:rPr>
        <w:footnoteRef/>
      </w:r>
      <w:r>
        <w:t xml:space="preserve"> </w:t>
      </w:r>
      <w:r>
        <w:rPr>
          <w:rFonts w:ascii="Arial" w:hAnsi="Arial" w:cs="Arial"/>
        </w:rPr>
        <w:t>(Unreported) Case No CA 2/2016 [2016] NAHCMD 174 (17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374455"/>
      <w:docPartObj>
        <w:docPartGallery w:val="Page Numbers (Top of Page)"/>
        <w:docPartUnique/>
      </w:docPartObj>
    </w:sdtPr>
    <w:sdtEndPr>
      <w:rPr>
        <w:noProof/>
      </w:rPr>
    </w:sdtEndPr>
    <w:sdtContent>
      <w:p w:rsidR="00AE0440" w:rsidRDefault="00AE0440">
        <w:pPr>
          <w:pStyle w:val="Header"/>
          <w:jc w:val="right"/>
        </w:pPr>
        <w:r>
          <w:fldChar w:fldCharType="begin"/>
        </w:r>
        <w:r>
          <w:instrText xml:space="preserve"> PAGE   \* MERGEFORMAT </w:instrText>
        </w:r>
        <w:r>
          <w:fldChar w:fldCharType="separate"/>
        </w:r>
        <w:r w:rsidR="00370A18">
          <w:rPr>
            <w:noProof/>
          </w:rPr>
          <w:t>6</w:t>
        </w:r>
        <w:r>
          <w:rPr>
            <w:noProof/>
          </w:rPr>
          <w:fldChar w:fldCharType="end"/>
        </w:r>
      </w:p>
    </w:sdtContent>
  </w:sdt>
  <w:p w:rsidR="00AE0440" w:rsidRDefault="00AE0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E2000"/>
    <w:multiLevelType w:val="hybridMultilevel"/>
    <w:tmpl w:val="C4C67BC6"/>
    <w:lvl w:ilvl="0" w:tplc="889A0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6174D"/>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B061D"/>
    <w:multiLevelType w:val="hybridMultilevel"/>
    <w:tmpl w:val="116A86FE"/>
    <w:lvl w:ilvl="0" w:tplc="85DEF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D0BE7"/>
    <w:multiLevelType w:val="hybridMultilevel"/>
    <w:tmpl w:val="EDA09A82"/>
    <w:lvl w:ilvl="0" w:tplc="6E089CB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E2FBD"/>
    <w:multiLevelType w:val="hybridMultilevel"/>
    <w:tmpl w:val="75F84FC6"/>
    <w:lvl w:ilvl="0" w:tplc="19DEA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14BF5"/>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2A5BAB"/>
    <w:multiLevelType w:val="hybridMultilevel"/>
    <w:tmpl w:val="116A86FE"/>
    <w:lvl w:ilvl="0" w:tplc="85DEF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DF122E"/>
    <w:multiLevelType w:val="hybridMultilevel"/>
    <w:tmpl w:val="8592C85A"/>
    <w:lvl w:ilvl="0" w:tplc="4FCCB8F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12"/>
  </w:num>
  <w:num w:numId="2">
    <w:abstractNumId w:val="2"/>
  </w:num>
  <w:num w:numId="3">
    <w:abstractNumId w:val="7"/>
  </w:num>
  <w:num w:numId="4">
    <w:abstractNumId w:val="16"/>
  </w:num>
  <w:num w:numId="5">
    <w:abstractNumId w:val="8"/>
  </w:num>
  <w:num w:numId="6">
    <w:abstractNumId w:val="0"/>
  </w:num>
  <w:num w:numId="7">
    <w:abstractNumId w:val="10"/>
  </w:num>
  <w:num w:numId="8">
    <w:abstractNumId w:val="5"/>
  </w:num>
  <w:num w:numId="9">
    <w:abstractNumId w:val="13"/>
  </w:num>
  <w:num w:numId="10">
    <w:abstractNumId w:val="11"/>
  </w:num>
  <w:num w:numId="11">
    <w:abstractNumId w:val="14"/>
  </w:num>
  <w:num w:numId="12">
    <w:abstractNumId w:val="3"/>
  </w:num>
  <w:num w:numId="13">
    <w:abstractNumId w:val="9"/>
  </w:num>
  <w:num w:numId="14">
    <w:abstractNumId w:val="15"/>
  </w:num>
  <w:num w:numId="15">
    <w:abstractNumId w:val="4"/>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5DC5"/>
    <w:rsid w:val="000141CC"/>
    <w:rsid w:val="00024784"/>
    <w:rsid w:val="00026264"/>
    <w:rsid w:val="00032210"/>
    <w:rsid w:val="00037F40"/>
    <w:rsid w:val="00042B26"/>
    <w:rsid w:val="0004405B"/>
    <w:rsid w:val="00060560"/>
    <w:rsid w:val="00071E73"/>
    <w:rsid w:val="0007693F"/>
    <w:rsid w:val="000B54EE"/>
    <w:rsid w:val="000C1594"/>
    <w:rsid w:val="000D3FC6"/>
    <w:rsid w:val="001557AD"/>
    <w:rsid w:val="001846BA"/>
    <w:rsid w:val="001E7FC2"/>
    <w:rsid w:val="001F4D98"/>
    <w:rsid w:val="00210372"/>
    <w:rsid w:val="002116D7"/>
    <w:rsid w:val="002134FD"/>
    <w:rsid w:val="00223FBB"/>
    <w:rsid w:val="002329EE"/>
    <w:rsid w:val="00252DCB"/>
    <w:rsid w:val="002745F1"/>
    <w:rsid w:val="00277416"/>
    <w:rsid w:val="00283FB8"/>
    <w:rsid w:val="00290365"/>
    <w:rsid w:val="002A0AF1"/>
    <w:rsid w:val="002E6340"/>
    <w:rsid w:val="0031055E"/>
    <w:rsid w:val="0031127C"/>
    <w:rsid w:val="00333743"/>
    <w:rsid w:val="003519A8"/>
    <w:rsid w:val="003523F7"/>
    <w:rsid w:val="00370A18"/>
    <w:rsid w:val="00370E0F"/>
    <w:rsid w:val="00373553"/>
    <w:rsid w:val="00383BA9"/>
    <w:rsid w:val="00387CB1"/>
    <w:rsid w:val="003A4984"/>
    <w:rsid w:val="003C070D"/>
    <w:rsid w:val="003C1BA2"/>
    <w:rsid w:val="003D4293"/>
    <w:rsid w:val="003D6979"/>
    <w:rsid w:val="003D6A43"/>
    <w:rsid w:val="00421539"/>
    <w:rsid w:val="00425B6A"/>
    <w:rsid w:val="00430C75"/>
    <w:rsid w:val="00436FB0"/>
    <w:rsid w:val="004429FE"/>
    <w:rsid w:val="0045475F"/>
    <w:rsid w:val="00470F56"/>
    <w:rsid w:val="004B6940"/>
    <w:rsid w:val="0050248C"/>
    <w:rsid w:val="00546129"/>
    <w:rsid w:val="00585FD6"/>
    <w:rsid w:val="005A3949"/>
    <w:rsid w:val="005C2E45"/>
    <w:rsid w:val="005D2F10"/>
    <w:rsid w:val="005D5006"/>
    <w:rsid w:val="005D7CD3"/>
    <w:rsid w:val="00632CCB"/>
    <w:rsid w:val="006525DA"/>
    <w:rsid w:val="006A7C38"/>
    <w:rsid w:val="006D419D"/>
    <w:rsid w:val="006D43D3"/>
    <w:rsid w:val="006D50F0"/>
    <w:rsid w:val="006E0F94"/>
    <w:rsid w:val="006F1BE0"/>
    <w:rsid w:val="007106DC"/>
    <w:rsid w:val="00731EC0"/>
    <w:rsid w:val="00794AA7"/>
    <w:rsid w:val="007B38F9"/>
    <w:rsid w:val="007D539A"/>
    <w:rsid w:val="007F01E8"/>
    <w:rsid w:val="00812A3A"/>
    <w:rsid w:val="00817038"/>
    <w:rsid w:val="0082025B"/>
    <w:rsid w:val="00825425"/>
    <w:rsid w:val="0085316F"/>
    <w:rsid w:val="00893040"/>
    <w:rsid w:val="008A1235"/>
    <w:rsid w:val="008A7EBB"/>
    <w:rsid w:val="008B3B64"/>
    <w:rsid w:val="008C38ED"/>
    <w:rsid w:val="008D058B"/>
    <w:rsid w:val="008D2239"/>
    <w:rsid w:val="008E7F77"/>
    <w:rsid w:val="008F0CCF"/>
    <w:rsid w:val="00930A50"/>
    <w:rsid w:val="0095074A"/>
    <w:rsid w:val="009850EE"/>
    <w:rsid w:val="00994E35"/>
    <w:rsid w:val="009D1287"/>
    <w:rsid w:val="00A32185"/>
    <w:rsid w:val="00A52DB4"/>
    <w:rsid w:val="00A675EE"/>
    <w:rsid w:val="00AA3631"/>
    <w:rsid w:val="00AD1A37"/>
    <w:rsid w:val="00AE0440"/>
    <w:rsid w:val="00AF61A0"/>
    <w:rsid w:val="00B13BE8"/>
    <w:rsid w:val="00B23657"/>
    <w:rsid w:val="00B45CEA"/>
    <w:rsid w:val="00B806DB"/>
    <w:rsid w:val="00B97A95"/>
    <w:rsid w:val="00BA0152"/>
    <w:rsid w:val="00BE21EF"/>
    <w:rsid w:val="00BF6D42"/>
    <w:rsid w:val="00BF6FF3"/>
    <w:rsid w:val="00C23FE5"/>
    <w:rsid w:val="00C440F1"/>
    <w:rsid w:val="00C503AF"/>
    <w:rsid w:val="00C53729"/>
    <w:rsid w:val="00C77CB8"/>
    <w:rsid w:val="00C84DDD"/>
    <w:rsid w:val="00C92A3E"/>
    <w:rsid w:val="00CA70E5"/>
    <w:rsid w:val="00CB007B"/>
    <w:rsid w:val="00CB1BE8"/>
    <w:rsid w:val="00CD70B0"/>
    <w:rsid w:val="00D27720"/>
    <w:rsid w:val="00D35047"/>
    <w:rsid w:val="00D37E2C"/>
    <w:rsid w:val="00D440FE"/>
    <w:rsid w:val="00D55394"/>
    <w:rsid w:val="00D556F7"/>
    <w:rsid w:val="00D92DB9"/>
    <w:rsid w:val="00D9375F"/>
    <w:rsid w:val="00D94C5E"/>
    <w:rsid w:val="00D971DA"/>
    <w:rsid w:val="00DC0ADA"/>
    <w:rsid w:val="00DC79BD"/>
    <w:rsid w:val="00DF52A5"/>
    <w:rsid w:val="00E0209D"/>
    <w:rsid w:val="00E35B3A"/>
    <w:rsid w:val="00E445D2"/>
    <w:rsid w:val="00E57153"/>
    <w:rsid w:val="00E607E6"/>
    <w:rsid w:val="00E60FCF"/>
    <w:rsid w:val="00E63192"/>
    <w:rsid w:val="00E86A86"/>
    <w:rsid w:val="00EC6886"/>
    <w:rsid w:val="00EF0D3E"/>
    <w:rsid w:val="00F06100"/>
    <w:rsid w:val="00F44320"/>
    <w:rsid w:val="00F44691"/>
    <w:rsid w:val="00F50E38"/>
    <w:rsid w:val="00F510D3"/>
    <w:rsid w:val="00F53A1E"/>
    <w:rsid w:val="00F5775A"/>
    <w:rsid w:val="00F66163"/>
    <w:rsid w:val="00F678D7"/>
    <w:rsid w:val="00FD2782"/>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nhideWhenUsed/>
    <w:rsid w:val="00436FB0"/>
    <w:pPr>
      <w:spacing w:after="0" w:line="240" w:lineRule="auto"/>
    </w:pPr>
    <w:rPr>
      <w:sz w:val="20"/>
      <w:szCs w:val="20"/>
    </w:rPr>
  </w:style>
  <w:style w:type="character" w:customStyle="1" w:styleId="FootnoteTextChar">
    <w:name w:val="Footnote Text Char"/>
    <w:basedOn w:val="DefaultParagraphFont"/>
    <w:link w:val="FootnoteText"/>
    <w:rsid w:val="00436FB0"/>
    <w:rPr>
      <w:sz w:val="20"/>
      <w:szCs w:val="20"/>
    </w:rPr>
  </w:style>
  <w:style w:type="character" w:styleId="FootnoteReference">
    <w:name w:val="footnote reference"/>
    <w:basedOn w:val="DefaultParagraphFont"/>
    <w:unhideWhenUsed/>
    <w:rsid w:val="00436FB0"/>
    <w:rPr>
      <w:vertAlign w:val="superscript"/>
    </w:rPr>
  </w:style>
  <w:style w:type="character" w:styleId="Emphasis">
    <w:name w:val="Emphasis"/>
    <w:basedOn w:val="DefaultParagraphFont"/>
    <w:uiPriority w:val="20"/>
    <w:qFormat/>
    <w:rsid w:val="005A3949"/>
    <w:rPr>
      <w:i/>
      <w:iCs/>
    </w:rPr>
  </w:style>
  <w:style w:type="paragraph" w:styleId="Header">
    <w:name w:val="header"/>
    <w:basedOn w:val="Normal"/>
    <w:link w:val="HeaderChar"/>
    <w:uiPriority w:val="99"/>
    <w:unhideWhenUsed/>
    <w:rsid w:val="00AE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40"/>
  </w:style>
  <w:style w:type="paragraph" w:styleId="Footer">
    <w:name w:val="footer"/>
    <w:basedOn w:val="Normal"/>
    <w:link w:val="FooterChar"/>
    <w:uiPriority w:val="99"/>
    <w:unhideWhenUsed/>
    <w:rsid w:val="00AE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40"/>
  </w:style>
  <w:style w:type="paragraph" w:styleId="BalloonText">
    <w:name w:val="Balloon Text"/>
    <w:basedOn w:val="Normal"/>
    <w:link w:val="BalloonTextChar"/>
    <w:uiPriority w:val="99"/>
    <w:semiHidden/>
    <w:unhideWhenUsed/>
    <w:rsid w:val="00AE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2019-07-18T18:30:00+00:00</Judgment_x0020_Date>
  </documentManagement>
</p:properties>
</file>

<file path=customXml/itemProps1.xml><?xml version="1.0" encoding="utf-8"?>
<ds:datastoreItem xmlns:ds="http://schemas.openxmlformats.org/officeDocument/2006/customXml" ds:itemID="{76EBEB40-72E9-4684-BAF3-5487ADF18DA7}"/>
</file>

<file path=customXml/itemProps2.xml><?xml version="1.0" encoding="utf-8"?>
<ds:datastoreItem xmlns:ds="http://schemas.openxmlformats.org/officeDocument/2006/customXml" ds:itemID="{815A8CB9-7686-44D6-80CB-8FC3ED5767CD}"/>
</file>

<file path=customXml/itemProps3.xml><?xml version="1.0" encoding="utf-8"?>
<ds:datastoreItem xmlns:ds="http://schemas.openxmlformats.org/officeDocument/2006/customXml" ds:itemID="{BB16BD19-5443-4789-969F-ABAD200A64F2}"/>
</file>

<file path=customXml/itemProps4.xml><?xml version="1.0" encoding="utf-8"?>
<ds:datastoreItem xmlns:ds="http://schemas.openxmlformats.org/officeDocument/2006/customXml" ds:itemID="{219EFB01-3DFB-4AD2-88D1-E3470CF902FC}"/>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2</cp:revision>
  <cp:lastPrinted>2019-07-19T09:22:00Z</cp:lastPrinted>
  <dcterms:created xsi:type="dcterms:W3CDTF">2019-07-19T14:27:00Z</dcterms:created>
  <dcterms:modified xsi:type="dcterms:W3CDTF">2019-07-19T14:27:00Z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