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085A0" w14:textId="77777777" w:rsidR="00456884" w:rsidRPr="00456884" w:rsidRDefault="00456884" w:rsidP="00456884">
      <w:pPr>
        <w:jc w:val="center"/>
        <w:rPr>
          <w:rFonts w:ascii="Arial" w:hAnsi="Arial"/>
          <w:b/>
          <w:lang w:val="en-US"/>
        </w:rPr>
      </w:pPr>
      <w:bookmarkStart w:id="0" w:name="_GoBack"/>
      <w:bookmarkEnd w:id="0"/>
      <w:r w:rsidRPr="00456884">
        <w:rPr>
          <w:rFonts w:ascii="Arial" w:hAnsi="Arial"/>
          <w:b/>
          <w:lang w:val="en-US"/>
        </w:rPr>
        <w:t>REPUBLIC OF NAMIBIA</w:t>
      </w:r>
    </w:p>
    <w:p w14:paraId="0833450A" w14:textId="77777777" w:rsidR="00456884" w:rsidRPr="00456884" w:rsidRDefault="00456884" w:rsidP="00456884">
      <w:pPr>
        <w:jc w:val="center"/>
        <w:rPr>
          <w:rFonts w:ascii="Arial" w:hAnsi="Arial"/>
          <w:b/>
          <w:lang w:val="en-US"/>
        </w:rPr>
      </w:pPr>
      <w:r w:rsidRPr="00456884">
        <w:rPr>
          <w:rFonts w:ascii="Arial" w:hAnsi="Arial"/>
          <w:b/>
          <w:noProof/>
          <w:lang w:eastAsia="en-GB"/>
        </w:rPr>
        <w:drawing>
          <wp:inline distT="0" distB="0" distL="0" distR="0" wp14:anchorId="31C11D88" wp14:editId="5896B3E9">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1EC490E" w14:textId="77777777" w:rsidR="00456884" w:rsidRPr="00456884" w:rsidRDefault="00456884" w:rsidP="00456884">
      <w:pPr>
        <w:jc w:val="center"/>
        <w:rPr>
          <w:rFonts w:ascii="Arial" w:hAnsi="Arial"/>
          <w:b/>
        </w:rPr>
      </w:pPr>
      <w:r w:rsidRPr="00456884">
        <w:rPr>
          <w:rFonts w:ascii="Arial" w:hAnsi="Arial"/>
          <w:b/>
        </w:rPr>
        <w:t>HIGH COURT OF NAMIBIA, MAIN DIVISION, WINDHOEK</w:t>
      </w:r>
    </w:p>
    <w:p w14:paraId="50BB6F4F" w14:textId="77777777" w:rsidR="00456884" w:rsidRPr="00456884" w:rsidRDefault="00456884" w:rsidP="00456884">
      <w:pPr>
        <w:jc w:val="center"/>
        <w:rPr>
          <w:rFonts w:ascii="Arial" w:hAnsi="Arial"/>
          <w:b/>
        </w:rPr>
      </w:pPr>
    </w:p>
    <w:p w14:paraId="41A9FFA4" w14:textId="77777777" w:rsidR="00456884" w:rsidRPr="00456884" w:rsidRDefault="00456884" w:rsidP="00456884">
      <w:pPr>
        <w:jc w:val="center"/>
        <w:rPr>
          <w:rFonts w:ascii="Arial" w:hAnsi="Arial"/>
          <w:b/>
        </w:rPr>
      </w:pPr>
      <w:r w:rsidRPr="00456884">
        <w:rPr>
          <w:rFonts w:ascii="Arial" w:hAnsi="Arial"/>
          <w:b/>
        </w:rPr>
        <w:t>JUDGMENT</w:t>
      </w:r>
    </w:p>
    <w:p w14:paraId="49B75874" w14:textId="77777777" w:rsidR="00697656" w:rsidRDefault="00697656" w:rsidP="00456884">
      <w:pPr>
        <w:rPr>
          <w:rFonts w:ascii="Arial" w:hAnsi="Arial"/>
          <w:b/>
        </w:rPr>
      </w:pPr>
    </w:p>
    <w:p w14:paraId="19C94969" w14:textId="03D30CA0" w:rsidR="00697656" w:rsidRDefault="00697656" w:rsidP="00697656">
      <w:pPr>
        <w:jc w:val="right"/>
        <w:rPr>
          <w:rFonts w:ascii="Arial" w:hAnsi="Arial"/>
        </w:rPr>
      </w:pPr>
      <w:r>
        <w:rPr>
          <w:rFonts w:ascii="Arial" w:hAnsi="Arial"/>
        </w:rPr>
        <w:t xml:space="preserve">CASE NO. </w:t>
      </w:r>
      <w:r w:rsidR="00026037">
        <w:rPr>
          <w:rFonts w:ascii="Arial" w:hAnsi="Arial"/>
        </w:rPr>
        <w:t>I 2508/2012</w:t>
      </w:r>
    </w:p>
    <w:p w14:paraId="5A1210DE" w14:textId="77777777" w:rsidR="00697656" w:rsidRDefault="00697656" w:rsidP="00697656">
      <w:pPr>
        <w:jc w:val="right"/>
        <w:rPr>
          <w:rFonts w:ascii="Arial" w:hAnsi="Arial"/>
        </w:rPr>
      </w:pPr>
    </w:p>
    <w:p w14:paraId="021DF8AF" w14:textId="77777777" w:rsidR="00697656" w:rsidRDefault="00697656" w:rsidP="00697656">
      <w:pPr>
        <w:rPr>
          <w:rFonts w:ascii="Arial" w:hAnsi="Arial"/>
        </w:rPr>
      </w:pPr>
      <w:r>
        <w:rPr>
          <w:rFonts w:ascii="Arial" w:hAnsi="Arial"/>
        </w:rPr>
        <w:t>In the matter between:</w:t>
      </w:r>
    </w:p>
    <w:p w14:paraId="52D9F17E" w14:textId="77777777" w:rsidR="00697656" w:rsidRDefault="00697656" w:rsidP="00697656">
      <w:pPr>
        <w:rPr>
          <w:rFonts w:ascii="Arial" w:hAnsi="Arial"/>
        </w:rPr>
      </w:pPr>
    </w:p>
    <w:p w14:paraId="0E125727" w14:textId="55D0F1FA" w:rsidR="00697656" w:rsidRDefault="00F671E4" w:rsidP="00697656">
      <w:pPr>
        <w:rPr>
          <w:rFonts w:ascii="Arial" w:hAnsi="Arial"/>
          <w:b/>
        </w:rPr>
      </w:pPr>
      <w:r>
        <w:rPr>
          <w:rFonts w:ascii="Arial" w:hAnsi="Arial"/>
          <w:b/>
        </w:rPr>
        <w:t xml:space="preserve">STANDIC BV                              </w:t>
      </w:r>
      <w:r w:rsidR="00026037">
        <w:rPr>
          <w:rFonts w:ascii="Arial" w:hAnsi="Arial"/>
          <w:b/>
        </w:rPr>
        <w:t xml:space="preserve">                                 </w:t>
      </w:r>
      <w:r w:rsidR="00697656">
        <w:rPr>
          <w:rFonts w:ascii="Arial" w:hAnsi="Arial"/>
          <w:b/>
        </w:rPr>
        <w:t xml:space="preserve">                  APPLICANT</w:t>
      </w:r>
    </w:p>
    <w:p w14:paraId="70A63E9E" w14:textId="77777777" w:rsidR="00697656" w:rsidRDefault="00697656" w:rsidP="00697656">
      <w:pPr>
        <w:rPr>
          <w:rFonts w:ascii="Arial" w:hAnsi="Arial"/>
          <w:b/>
        </w:rPr>
      </w:pPr>
    </w:p>
    <w:p w14:paraId="7B51DC2E" w14:textId="77777777" w:rsidR="0077760B" w:rsidRDefault="0077760B" w:rsidP="00697656">
      <w:pPr>
        <w:rPr>
          <w:rFonts w:ascii="Arial" w:hAnsi="Arial"/>
        </w:rPr>
      </w:pPr>
    </w:p>
    <w:p w14:paraId="34BD303B" w14:textId="77777777" w:rsidR="00697656" w:rsidRDefault="00697656" w:rsidP="00697656">
      <w:pPr>
        <w:rPr>
          <w:rFonts w:ascii="Arial" w:hAnsi="Arial"/>
        </w:rPr>
      </w:pPr>
      <w:r>
        <w:rPr>
          <w:rFonts w:ascii="Arial" w:hAnsi="Arial"/>
        </w:rPr>
        <w:t>and</w:t>
      </w:r>
    </w:p>
    <w:p w14:paraId="58F01296" w14:textId="77777777" w:rsidR="00697656" w:rsidRDefault="00697656" w:rsidP="00697656">
      <w:pPr>
        <w:rPr>
          <w:rFonts w:ascii="Arial" w:hAnsi="Arial"/>
        </w:rPr>
      </w:pPr>
    </w:p>
    <w:p w14:paraId="0E78C6BA" w14:textId="77777777" w:rsidR="0077760B" w:rsidRDefault="0077760B" w:rsidP="00697656">
      <w:pPr>
        <w:rPr>
          <w:rFonts w:ascii="Arial" w:hAnsi="Arial"/>
          <w:b/>
        </w:rPr>
      </w:pPr>
    </w:p>
    <w:p w14:paraId="0D05E574" w14:textId="2950B482" w:rsidR="00697656" w:rsidRDefault="00F671E4" w:rsidP="00697656">
      <w:pPr>
        <w:rPr>
          <w:rFonts w:ascii="Arial" w:hAnsi="Arial"/>
          <w:b/>
        </w:rPr>
      </w:pPr>
      <w:r>
        <w:rPr>
          <w:rFonts w:ascii="Arial" w:hAnsi="Arial"/>
          <w:b/>
        </w:rPr>
        <w:t>PETROHOLLAND HOLDING (PTY) LTD</w:t>
      </w:r>
      <w:r w:rsidR="00026037">
        <w:rPr>
          <w:rFonts w:ascii="Arial" w:hAnsi="Arial"/>
          <w:b/>
        </w:rPr>
        <w:t xml:space="preserve">                          </w:t>
      </w:r>
      <w:r>
        <w:rPr>
          <w:rFonts w:ascii="Arial" w:hAnsi="Arial"/>
          <w:b/>
        </w:rPr>
        <w:t xml:space="preserve"> </w:t>
      </w:r>
      <w:r w:rsidR="00697656">
        <w:rPr>
          <w:rFonts w:ascii="Arial" w:hAnsi="Arial"/>
          <w:b/>
        </w:rPr>
        <w:t>1</w:t>
      </w:r>
      <w:r w:rsidR="00697656" w:rsidRPr="00697656">
        <w:rPr>
          <w:rFonts w:ascii="Arial" w:hAnsi="Arial"/>
          <w:b/>
          <w:vertAlign w:val="superscript"/>
        </w:rPr>
        <w:t>ST</w:t>
      </w:r>
      <w:r w:rsidR="00697656">
        <w:rPr>
          <w:rFonts w:ascii="Arial" w:hAnsi="Arial"/>
          <w:b/>
        </w:rPr>
        <w:t xml:space="preserve"> RESPONDENT</w:t>
      </w:r>
    </w:p>
    <w:p w14:paraId="36404844" w14:textId="77777777" w:rsidR="00697656" w:rsidRDefault="00697656" w:rsidP="00697656">
      <w:pPr>
        <w:rPr>
          <w:rFonts w:ascii="Arial" w:hAnsi="Arial"/>
          <w:b/>
        </w:rPr>
      </w:pPr>
    </w:p>
    <w:p w14:paraId="5B212A39" w14:textId="58F8DE70" w:rsidR="00697656" w:rsidRDefault="00F671E4" w:rsidP="00697656">
      <w:pPr>
        <w:rPr>
          <w:rFonts w:ascii="Arial" w:hAnsi="Arial"/>
          <w:b/>
        </w:rPr>
      </w:pPr>
      <w:r>
        <w:rPr>
          <w:rFonts w:ascii="Arial" w:hAnsi="Arial"/>
          <w:b/>
        </w:rPr>
        <w:t>PETROHOLLAND OIL REFINING (PTY) LTD</w:t>
      </w:r>
      <w:r w:rsidR="00026037">
        <w:rPr>
          <w:rFonts w:ascii="Arial" w:hAnsi="Arial"/>
          <w:b/>
        </w:rPr>
        <w:t xml:space="preserve">              </w:t>
      </w:r>
      <w:r w:rsidR="00697656">
        <w:rPr>
          <w:rFonts w:ascii="Arial" w:hAnsi="Arial"/>
          <w:b/>
        </w:rPr>
        <w:t xml:space="preserve">     2</w:t>
      </w:r>
      <w:r w:rsidR="00697656" w:rsidRPr="00697656">
        <w:rPr>
          <w:rFonts w:ascii="Arial" w:hAnsi="Arial"/>
          <w:b/>
          <w:vertAlign w:val="superscript"/>
        </w:rPr>
        <w:t>ND</w:t>
      </w:r>
      <w:r w:rsidR="00697656">
        <w:rPr>
          <w:rFonts w:ascii="Arial" w:hAnsi="Arial"/>
          <w:b/>
        </w:rPr>
        <w:t xml:space="preserve"> RESPONDENT</w:t>
      </w:r>
    </w:p>
    <w:p w14:paraId="225DBE86" w14:textId="77777777" w:rsidR="00697656" w:rsidRDefault="00697656" w:rsidP="00697656">
      <w:pPr>
        <w:rPr>
          <w:rFonts w:ascii="Arial" w:hAnsi="Arial"/>
          <w:b/>
        </w:rPr>
      </w:pPr>
    </w:p>
    <w:p w14:paraId="65A03BB8" w14:textId="207A663E" w:rsidR="00697656" w:rsidRDefault="00F671E4" w:rsidP="00697656">
      <w:pPr>
        <w:rPr>
          <w:rFonts w:ascii="Arial" w:hAnsi="Arial"/>
          <w:b/>
        </w:rPr>
      </w:pPr>
      <w:r>
        <w:rPr>
          <w:rFonts w:ascii="Arial" w:hAnsi="Arial"/>
          <w:b/>
        </w:rPr>
        <w:t>RENE JOHANNES CHRISTIAAN WILHEMUS                  3</w:t>
      </w:r>
      <w:r w:rsidRPr="00F671E4">
        <w:rPr>
          <w:rFonts w:ascii="Arial" w:hAnsi="Arial"/>
          <w:b/>
          <w:vertAlign w:val="superscript"/>
        </w:rPr>
        <w:t>RD</w:t>
      </w:r>
      <w:r>
        <w:rPr>
          <w:rFonts w:ascii="Arial" w:hAnsi="Arial"/>
          <w:b/>
        </w:rPr>
        <w:t xml:space="preserve"> RESPONDENT</w:t>
      </w:r>
    </w:p>
    <w:p w14:paraId="12B125A1" w14:textId="336CD1CD" w:rsidR="00F671E4" w:rsidRDefault="00F671E4" w:rsidP="00697656">
      <w:pPr>
        <w:rPr>
          <w:rFonts w:ascii="Arial" w:hAnsi="Arial"/>
          <w:b/>
        </w:rPr>
      </w:pPr>
      <w:r>
        <w:rPr>
          <w:rFonts w:ascii="Arial" w:hAnsi="Arial"/>
          <w:b/>
        </w:rPr>
        <w:t>KESSELS</w:t>
      </w:r>
    </w:p>
    <w:p w14:paraId="70B9817B" w14:textId="17A94DFD" w:rsidR="00F671E4" w:rsidRDefault="00F671E4" w:rsidP="00697656">
      <w:pPr>
        <w:rPr>
          <w:rFonts w:ascii="Arial" w:hAnsi="Arial"/>
          <w:b/>
        </w:rPr>
      </w:pPr>
    </w:p>
    <w:p w14:paraId="55219197" w14:textId="77777777" w:rsidR="00F671E4" w:rsidRDefault="00F671E4" w:rsidP="00697656">
      <w:pPr>
        <w:rPr>
          <w:rFonts w:ascii="Arial" w:hAnsi="Arial"/>
          <w:b/>
        </w:rPr>
      </w:pPr>
    </w:p>
    <w:p w14:paraId="19EFD88D" w14:textId="507EDCDB" w:rsidR="00697656" w:rsidRPr="00AC1FB4" w:rsidRDefault="00697656" w:rsidP="00C51DAD">
      <w:pPr>
        <w:spacing w:line="360" w:lineRule="auto"/>
        <w:jc w:val="both"/>
        <w:rPr>
          <w:rFonts w:ascii="Arial" w:hAnsi="Arial"/>
        </w:rPr>
      </w:pPr>
      <w:r>
        <w:rPr>
          <w:rFonts w:ascii="Arial" w:hAnsi="Arial"/>
          <w:b/>
        </w:rPr>
        <w:t xml:space="preserve">Neutral Citation: </w:t>
      </w:r>
      <w:r w:rsidR="00AC1FB4">
        <w:rPr>
          <w:rFonts w:ascii="Arial" w:hAnsi="Arial"/>
          <w:i/>
        </w:rPr>
        <w:t xml:space="preserve">Standic BV v Petroholland (Pty) Ltd </w:t>
      </w:r>
      <w:r w:rsidR="009D29EB">
        <w:rPr>
          <w:rFonts w:ascii="Arial" w:hAnsi="Arial"/>
        </w:rPr>
        <w:t xml:space="preserve">(I 2508/2012) [2019] </w:t>
      </w:r>
      <w:r w:rsidR="00AC1FB4">
        <w:rPr>
          <w:rFonts w:ascii="Arial" w:hAnsi="Arial"/>
        </w:rPr>
        <w:t xml:space="preserve">NAHCMD </w:t>
      </w:r>
      <w:r w:rsidR="008A39CF">
        <w:rPr>
          <w:rFonts w:ascii="Arial" w:hAnsi="Arial"/>
        </w:rPr>
        <w:t>274</w:t>
      </w:r>
      <w:r w:rsidR="00AC1FB4">
        <w:rPr>
          <w:rFonts w:ascii="Arial" w:hAnsi="Arial"/>
        </w:rPr>
        <w:t xml:space="preserve"> (02 August 2019)</w:t>
      </w:r>
    </w:p>
    <w:p w14:paraId="65ACAEE4" w14:textId="77777777" w:rsidR="00C51DAD" w:rsidRDefault="00C51DAD" w:rsidP="00C51DAD">
      <w:pPr>
        <w:spacing w:line="360" w:lineRule="auto"/>
        <w:jc w:val="both"/>
        <w:rPr>
          <w:rFonts w:ascii="Arial" w:hAnsi="Arial"/>
          <w:i/>
        </w:rPr>
      </w:pPr>
    </w:p>
    <w:p w14:paraId="21535CBC" w14:textId="77777777" w:rsidR="00697656" w:rsidRDefault="00697656" w:rsidP="00697656">
      <w:pPr>
        <w:rPr>
          <w:rFonts w:ascii="Arial" w:hAnsi="Arial"/>
          <w:b/>
        </w:rPr>
      </w:pPr>
      <w:r>
        <w:rPr>
          <w:rFonts w:ascii="Arial" w:hAnsi="Arial"/>
          <w:b/>
        </w:rPr>
        <w:t>CORAM:</w:t>
      </w:r>
      <w:r>
        <w:rPr>
          <w:rFonts w:ascii="Arial" w:hAnsi="Arial"/>
          <w:b/>
        </w:rPr>
        <w:tab/>
        <w:t>MASUKU J</w:t>
      </w:r>
    </w:p>
    <w:p w14:paraId="16196507" w14:textId="77777777" w:rsidR="00697656" w:rsidRDefault="00697656" w:rsidP="00697656">
      <w:pPr>
        <w:rPr>
          <w:rFonts w:ascii="Arial" w:hAnsi="Arial"/>
          <w:b/>
        </w:rPr>
      </w:pPr>
    </w:p>
    <w:p w14:paraId="713727BF" w14:textId="2D6FE836" w:rsidR="00C51DAD" w:rsidRDefault="00697656" w:rsidP="000D0849">
      <w:pPr>
        <w:spacing w:line="360" w:lineRule="auto"/>
        <w:rPr>
          <w:rFonts w:ascii="Arial" w:hAnsi="Arial"/>
        </w:rPr>
      </w:pPr>
      <w:r>
        <w:rPr>
          <w:rFonts w:ascii="Arial" w:hAnsi="Arial"/>
        </w:rPr>
        <w:t>Heard:</w:t>
      </w:r>
      <w:r>
        <w:rPr>
          <w:rFonts w:ascii="Arial" w:hAnsi="Arial"/>
        </w:rPr>
        <w:tab/>
      </w:r>
      <w:r w:rsidR="00AC1FB4">
        <w:rPr>
          <w:rFonts w:ascii="Arial" w:hAnsi="Arial"/>
        </w:rPr>
        <w:t>09 August 2018</w:t>
      </w:r>
    </w:p>
    <w:p w14:paraId="1B85FACD" w14:textId="4C50308F" w:rsidR="00697656" w:rsidRDefault="00456884" w:rsidP="000D0849">
      <w:pPr>
        <w:spacing w:line="360" w:lineRule="auto"/>
        <w:rPr>
          <w:rFonts w:ascii="Arial" w:hAnsi="Arial"/>
        </w:rPr>
      </w:pPr>
      <w:r>
        <w:rPr>
          <w:rFonts w:ascii="Arial" w:hAnsi="Arial"/>
        </w:rPr>
        <w:t>Delivered:</w:t>
      </w:r>
      <w:r>
        <w:rPr>
          <w:rFonts w:ascii="Arial" w:hAnsi="Arial"/>
        </w:rPr>
        <w:tab/>
      </w:r>
      <w:r w:rsidR="00AC1FB4">
        <w:rPr>
          <w:rFonts w:ascii="Arial" w:hAnsi="Arial"/>
        </w:rPr>
        <w:t>02 August 2019</w:t>
      </w:r>
    </w:p>
    <w:p w14:paraId="7DF358C5" w14:textId="77777777" w:rsidR="00697656" w:rsidRDefault="00697656" w:rsidP="00697656">
      <w:pPr>
        <w:rPr>
          <w:rFonts w:ascii="Arial" w:hAnsi="Arial"/>
        </w:rPr>
      </w:pPr>
    </w:p>
    <w:p w14:paraId="7BA176A6" w14:textId="77777777" w:rsidR="00697656" w:rsidRDefault="00697656" w:rsidP="00697656">
      <w:pPr>
        <w:rPr>
          <w:rFonts w:ascii="Arial" w:hAnsi="Arial"/>
        </w:rPr>
      </w:pPr>
    </w:p>
    <w:p w14:paraId="355AFEA6" w14:textId="77777777" w:rsidR="004A1F98" w:rsidRDefault="004A1F98" w:rsidP="004A1F98">
      <w:pPr>
        <w:spacing w:line="360" w:lineRule="auto"/>
        <w:jc w:val="both"/>
        <w:rPr>
          <w:rFonts w:ascii="Arial" w:hAnsi="Arial" w:cs="Arial"/>
        </w:rPr>
      </w:pPr>
      <w:r w:rsidRPr="000D0849">
        <w:rPr>
          <w:rFonts w:ascii="Arial" w:hAnsi="Arial" w:cs="Arial"/>
          <w:b/>
        </w:rPr>
        <w:t>Flynote</w:t>
      </w:r>
      <w:r>
        <w:rPr>
          <w:rFonts w:ascii="Arial" w:hAnsi="Arial" w:cs="Arial"/>
        </w:rPr>
        <w:t>:  Civil Procedure – dispute of facts – test to be applied – Plascon-Evans Rule – service of process – return of service–  rule in terms of which service effected to be cited – manner of service to be cited - purpose of service – irregular service may be condoned.</w:t>
      </w:r>
    </w:p>
    <w:p w14:paraId="7EE7E398" w14:textId="77777777" w:rsidR="004A1F98" w:rsidRDefault="004A1F98" w:rsidP="004A1F98">
      <w:pPr>
        <w:spacing w:line="360" w:lineRule="auto"/>
        <w:jc w:val="both"/>
        <w:rPr>
          <w:rFonts w:ascii="Arial" w:hAnsi="Arial" w:cs="Arial"/>
        </w:rPr>
      </w:pPr>
    </w:p>
    <w:p w14:paraId="21132E63" w14:textId="77777777" w:rsidR="004A1F98" w:rsidRDefault="004A1F98" w:rsidP="004A1F98">
      <w:pPr>
        <w:spacing w:line="360" w:lineRule="auto"/>
        <w:jc w:val="both"/>
        <w:rPr>
          <w:rFonts w:ascii="Arial" w:hAnsi="Arial" w:cs="Arial"/>
        </w:rPr>
      </w:pPr>
      <w:r w:rsidRPr="000D0849">
        <w:rPr>
          <w:rFonts w:ascii="Arial" w:hAnsi="Arial" w:cs="Arial"/>
          <w:b/>
        </w:rPr>
        <w:t>Summary</w:t>
      </w:r>
      <w:r>
        <w:rPr>
          <w:rFonts w:ascii="Arial" w:hAnsi="Arial" w:cs="Arial"/>
        </w:rPr>
        <w:t xml:space="preserve">: Having obtained judgment against the above-named respondents in the District Court of Rotterdam, in Holland, on 22 February 2012, the </w:t>
      </w:r>
      <w:r>
        <w:rPr>
          <w:rFonts w:ascii="Arial" w:hAnsi="Arial" w:cs="Arial"/>
        </w:rPr>
        <w:lastRenderedPageBreak/>
        <w:t xml:space="preserve">applicant has approached this court seeking to declare that judgment executable and enforceable in Namibia. The applicant approached this court by way of notice of motion, which was opposed by the respondent. </w:t>
      </w:r>
    </w:p>
    <w:p w14:paraId="448D8FF1" w14:textId="77777777" w:rsidR="000D0849" w:rsidRDefault="000D0849" w:rsidP="004A1F98">
      <w:pPr>
        <w:spacing w:line="360" w:lineRule="auto"/>
        <w:jc w:val="both"/>
        <w:rPr>
          <w:rFonts w:ascii="Arial" w:hAnsi="Arial" w:cs="Arial"/>
        </w:rPr>
      </w:pPr>
    </w:p>
    <w:p w14:paraId="77E762A7" w14:textId="77777777" w:rsidR="004A1F98" w:rsidRDefault="004A1F98" w:rsidP="004A1F98">
      <w:pPr>
        <w:spacing w:line="360" w:lineRule="auto"/>
        <w:jc w:val="both"/>
        <w:rPr>
          <w:rFonts w:ascii="Arial" w:hAnsi="Arial" w:cs="Arial"/>
        </w:rPr>
      </w:pPr>
      <w:r>
        <w:rPr>
          <w:rFonts w:ascii="Arial" w:hAnsi="Arial" w:cs="Arial"/>
        </w:rPr>
        <w:t>The respondent alleges that: he has not been served with the notice of motion; that this court does not have jurisdiction over him, and that the District Court of Rotterdam did not have jurisdiction over him.</w:t>
      </w:r>
    </w:p>
    <w:p w14:paraId="05D7F901" w14:textId="77777777" w:rsidR="000D0849" w:rsidRDefault="000D0849" w:rsidP="004A1F98">
      <w:pPr>
        <w:spacing w:line="360" w:lineRule="auto"/>
        <w:jc w:val="both"/>
        <w:rPr>
          <w:rFonts w:ascii="Arial" w:hAnsi="Arial" w:cs="Arial"/>
        </w:rPr>
      </w:pPr>
    </w:p>
    <w:p w14:paraId="02C0A6F2" w14:textId="77777777" w:rsidR="004A1F98" w:rsidRDefault="004A1F98" w:rsidP="004A1F98">
      <w:pPr>
        <w:spacing w:line="360" w:lineRule="auto"/>
        <w:jc w:val="both"/>
        <w:rPr>
          <w:rFonts w:ascii="Arial" w:hAnsi="Arial" w:cs="Arial"/>
          <w:i/>
          <w:iCs/>
          <w:lang w:val="en-US"/>
        </w:rPr>
      </w:pPr>
      <w:r>
        <w:rPr>
          <w:rFonts w:ascii="Arial" w:hAnsi="Arial" w:cs="Arial"/>
        </w:rPr>
        <w:t>Held:</w:t>
      </w:r>
      <w:r>
        <w:rPr>
          <w:rFonts w:ascii="Arial" w:hAnsi="Arial"/>
        </w:rPr>
        <w:t xml:space="preserve"> </w:t>
      </w:r>
      <w:r>
        <w:rPr>
          <w:rFonts w:ascii="Arial" w:hAnsi="Arial" w:cs="Arial"/>
        </w:rPr>
        <w:t xml:space="preserve">The test to be applied in determining disputes of fact is trite. It is the test set out in </w:t>
      </w:r>
      <w:r>
        <w:rPr>
          <w:rFonts w:ascii="Arial" w:hAnsi="Arial" w:cs="Arial"/>
          <w:i/>
          <w:iCs/>
        </w:rPr>
        <w:t>Plascon-Evans Paints Ltd v Van Riebeeck Paints (Pty) Ltd.</w:t>
      </w:r>
    </w:p>
    <w:p w14:paraId="33D13236" w14:textId="77777777" w:rsidR="004A1F98" w:rsidRDefault="004A1F98" w:rsidP="004A1F98">
      <w:pPr>
        <w:spacing w:line="360" w:lineRule="auto"/>
        <w:jc w:val="both"/>
        <w:rPr>
          <w:rFonts w:ascii="Arial" w:hAnsi="Arial" w:cs="Arial"/>
        </w:rPr>
      </w:pPr>
      <w:r>
        <w:rPr>
          <w:rFonts w:ascii="Arial" w:hAnsi="Arial" w:cs="Arial"/>
        </w:rPr>
        <w:t>Held that: It is important for the Deputy Sheriff, in the return of service, to state the exact subrule in terms of which service was allegedly effected.</w:t>
      </w:r>
    </w:p>
    <w:p w14:paraId="497856C8" w14:textId="77777777" w:rsidR="000D0849" w:rsidRDefault="000D0849" w:rsidP="004A1F98">
      <w:pPr>
        <w:spacing w:line="360" w:lineRule="auto"/>
        <w:jc w:val="both"/>
        <w:rPr>
          <w:rFonts w:ascii="Arial" w:hAnsi="Arial" w:cs="Arial"/>
        </w:rPr>
      </w:pPr>
    </w:p>
    <w:p w14:paraId="7B80001B" w14:textId="77777777" w:rsidR="004A1F98" w:rsidRDefault="004A1F98" w:rsidP="004A1F98">
      <w:pPr>
        <w:spacing w:line="360" w:lineRule="auto"/>
        <w:jc w:val="both"/>
        <w:rPr>
          <w:rFonts w:ascii="Arial" w:hAnsi="Arial" w:cs="Arial"/>
        </w:rPr>
      </w:pPr>
      <w:r>
        <w:rPr>
          <w:rFonts w:ascii="Arial" w:hAnsi="Arial" w:cs="Arial"/>
        </w:rPr>
        <w:t>Held further that: Although it is clear that the service effected was not personal, it is unclear what the nature of the service was. It is not clear what the relationship between the respondent and Ms. Muller, who was served was, nor is it apparent, what the relationship is between the place where service was effected and the respondent.</w:t>
      </w:r>
    </w:p>
    <w:p w14:paraId="28A61212" w14:textId="77777777" w:rsidR="000D0849" w:rsidRDefault="000D0849" w:rsidP="004A1F98">
      <w:pPr>
        <w:spacing w:line="360" w:lineRule="auto"/>
        <w:jc w:val="both"/>
        <w:rPr>
          <w:rFonts w:ascii="Arial" w:hAnsi="Arial" w:cs="Arial"/>
        </w:rPr>
      </w:pPr>
    </w:p>
    <w:p w14:paraId="78910F61" w14:textId="77777777" w:rsidR="004A1F98" w:rsidRDefault="004A1F98" w:rsidP="004A1F98">
      <w:pPr>
        <w:spacing w:line="360" w:lineRule="auto"/>
        <w:jc w:val="both"/>
        <w:rPr>
          <w:rFonts w:ascii="Arial" w:hAnsi="Arial" w:cs="Arial"/>
        </w:rPr>
      </w:pPr>
      <w:r>
        <w:rPr>
          <w:rFonts w:ascii="Arial" w:hAnsi="Arial" w:cs="Arial"/>
        </w:rPr>
        <w:t>Held:</w:t>
      </w:r>
      <w:r>
        <w:rPr>
          <w:rFonts w:ascii="Arial" w:hAnsi="Arial"/>
        </w:rPr>
        <w:t xml:space="preserve"> That </w:t>
      </w:r>
      <w:r>
        <w:rPr>
          <w:rFonts w:ascii="Arial" w:hAnsi="Arial" w:cs="Arial"/>
        </w:rPr>
        <w:t>the onus is on the person on whose behalf the papers are served, to show to the court that the process in issue was served on the intended recipient and in a manner authorised by the rules of court.</w:t>
      </w:r>
    </w:p>
    <w:p w14:paraId="06100719" w14:textId="77777777" w:rsidR="000D0849" w:rsidRDefault="000D0849" w:rsidP="004A1F98">
      <w:pPr>
        <w:spacing w:line="360" w:lineRule="auto"/>
        <w:jc w:val="both"/>
        <w:rPr>
          <w:rFonts w:ascii="Arial" w:hAnsi="Arial" w:cs="Arial"/>
        </w:rPr>
      </w:pPr>
    </w:p>
    <w:p w14:paraId="7007FAF0" w14:textId="77777777" w:rsidR="004A1F98" w:rsidRDefault="004A1F98" w:rsidP="004A1F98">
      <w:pPr>
        <w:spacing w:line="360" w:lineRule="auto"/>
        <w:jc w:val="both"/>
        <w:rPr>
          <w:rFonts w:ascii="Arial" w:hAnsi="Arial" w:cs="Arial"/>
        </w:rPr>
      </w:pPr>
      <w:r>
        <w:rPr>
          <w:rFonts w:ascii="Arial" w:hAnsi="Arial" w:cs="Arial"/>
        </w:rPr>
        <w:t xml:space="preserve">Held that: It is once service has been effected in a manner authorised by the rules or in some other manner authorised by the court in its discretion and upon application, that a person to be served may be called upon to answer the question of service. </w:t>
      </w:r>
    </w:p>
    <w:p w14:paraId="2FECF34B" w14:textId="77777777" w:rsidR="000D0849" w:rsidRDefault="000D0849" w:rsidP="004A1F98">
      <w:pPr>
        <w:spacing w:line="360" w:lineRule="auto"/>
        <w:jc w:val="both"/>
        <w:rPr>
          <w:rFonts w:ascii="Arial" w:hAnsi="Arial" w:cs="Arial"/>
        </w:rPr>
      </w:pPr>
    </w:p>
    <w:p w14:paraId="7D32CF61" w14:textId="77777777" w:rsidR="004A1F98" w:rsidRDefault="004A1F98" w:rsidP="004A1F98">
      <w:pPr>
        <w:spacing w:line="360" w:lineRule="auto"/>
        <w:jc w:val="both"/>
        <w:rPr>
          <w:rFonts w:ascii="Arial" w:hAnsi="Arial" w:cs="Arial"/>
        </w:rPr>
      </w:pPr>
      <w:r>
        <w:rPr>
          <w:rFonts w:ascii="Arial" w:hAnsi="Arial" w:cs="Arial"/>
        </w:rPr>
        <w:t>Held further that: In the instant case the respondent was not served with the application in any of the manners of service authorised by the rules.</w:t>
      </w:r>
    </w:p>
    <w:p w14:paraId="214AC8BB" w14:textId="77777777" w:rsidR="004A1F98" w:rsidRDefault="004A1F98" w:rsidP="004A1F98">
      <w:pPr>
        <w:spacing w:line="360" w:lineRule="auto"/>
        <w:jc w:val="both"/>
        <w:rPr>
          <w:rFonts w:ascii="Arial" w:hAnsi="Arial" w:cs="Arial"/>
        </w:rPr>
      </w:pPr>
      <w:r>
        <w:rPr>
          <w:rFonts w:ascii="Arial" w:hAnsi="Arial" w:cs="Arial"/>
        </w:rPr>
        <w:t>Court accordingly striking the application from the court’s roll with costs.</w:t>
      </w:r>
    </w:p>
    <w:p w14:paraId="2EC551DB" w14:textId="77777777" w:rsidR="00837B21" w:rsidRDefault="00837B21" w:rsidP="004A1F98">
      <w:pPr>
        <w:spacing w:line="360" w:lineRule="auto"/>
        <w:jc w:val="both"/>
        <w:rPr>
          <w:rFonts w:ascii="Arial" w:hAnsi="Arial" w:cs="Arial"/>
        </w:rPr>
      </w:pPr>
    </w:p>
    <w:p w14:paraId="053C8F97" w14:textId="77777777" w:rsidR="00602AA0" w:rsidRDefault="00602AA0" w:rsidP="00A43860">
      <w:pPr>
        <w:spacing w:line="360" w:lineRule="auto"/>
        <w:jc w:val="both"/>
        <w:rPr>
          <w:rFonts w:ascii="Arial" w:hAnsi="Arial"/>
        </w:rPr>
      </w:pPr>
    </w:p>
    <w:p w14:paraId="7F5D4FF2" w14:textId="77777777" w:rsidR="00602AA0" w:rsidRDefault="00602AA0" w:rsidP="00A43860">
      <w:pPr>
        <w:spacing w:line="360" w:lineRule="auto"/>
        <w:jc w:val="both"/>
        <w:rPr>
          <w:rFonts w:ascii="Arial" w:hAnsi="Arial"/>
        </w:rPr>
      </w:pPr>
    </w:p>
    <w:p w14:paraId="7EBFF65D" w14:textId="77777777" w:rsidR="00697656" w:rsidRDefault="00697656" w:rsidP="00697656">
      <w:pPr>
        <w:pBdr>
          <w:bottom w:val="single" w:sz="6" w:space="1" w:color="auto"/>
        </w:pBdr>
        <w:rPr>
          <w:rFonts w:ascii="Arial" w:hAnsi="Arial"/>
        </w:rPr>
      </w:pPr>
    </w:p>
    <w:p w14:paraId="255B3962" w14:textId="77777777" w:rsidR="00697656" w:rsidRDefault="00697656" w:rsidP="00697656">
      <w:pPr>
        <w:rPr>
          <w:rFonts w:ascii="Arial" w:hAnsi="Arial"/>
        </w:rPr>
      </w:pPr>
    </w:p>
    <w:p w14:paraId="37B53826" w14:textId="77777777" w:rsidR="00697656" w:rsidRDefault="00697656" w:rsidP="00697656">
      <w:pPr>
        <w:jc w:val="center"/>
        <w:rPr>
          <w:rFonts w:ascii="Arial" w:hAnsi="Arial"/>
          <w:b/>
        </w:rPr>
      </w:pPr>
      <w:r>
        <w:rPr>
          <w:rFonts w:ascii="Arial" w:hAnsi="Arial"/>
          <w:b/>
        </w:rPr>
        <w:t>ORDER</w:t>
      </w:r>
    </w:p>
    <w:p w14:paraId="3E37D196" w14:textId="77777777" w:rsidR="00697656" w:rsidRDefault="00697656" w:rsidP="00697656">
      <w:pPr>
        <w:pBdr>
          <w:bottom w:val="single" w:sz="6" w:space="1" w:color="auto"/>
        </w:pBdr>
        <w:jc w:val="center"/>
        <w:rPr>
          <w:rFonts w:ascii="Arial" w:hAnsi="Arial"/>
          <w:b/>
        </w:rPr>
      </w:pPr>
    </w:p>
    <w:p w14:paraId="7E7041C7" w14:textId="77777777" w:rsidR="00697656" w:rsidRDefault="00697656" w:rsidP="00697656">
      <w:pPr>
        <w:rPr>
          <w:rFonts w:ascii="Arial" w:hAnsi="Arial"/>
        </w:rPr>
      </w:pPr>
    </w:p>
    <w:p w14:paraId="274C7830" w14:textId="652A02ED" w:rsidR="00697656" w:rsidRPr="00AD110E" w:rsidRDefault="00456884" w:rsidP="00AD110E">
      <w:pPr>
        <w:spacing w:line="360" w:lineRule="auto"/>
        <w:jc w:val="both"/>
        <w:rPr>
          <w:rFonts w:ascii="Arial" w:hAnsi="Arial"/>
        </w:rPr>
      </w:pPr>
      <w:r w:rsidRPr="00AD110E">
        <w:rPr>
          <w:rFonts w:ascii="Arial" w:hAnsi="Arial"/>
        </w:rPr>
        <w:t xml:space="preserve"> </w:t>
      </w:r>
    </w:p>
    <w:p w14:paraId="072E92D9" w14:textId="77777777" w:rsidR="00CB46A3" w:rsidRDefault="00CB46A3" w:rsidP="00CB46A3">
      <w:pPr>
        <w:pStyle w:val="ListParagraph"/>
        <w:numPr>
          <w:ilvl w:val="0"/>
          <w:numId w:val="17"/>
        </w:numPr>
        <w:spacing w:line="360" w:lineRule="auto"/>
        <w:jc w:val="both"/>
        <w:rPr>
          <w:rFonts w:ascii="Arial" w:hAnsi="Arial"/>
        </w:rPr>
      </w:pPr>
      <w:r w:rsidRPr="00F30578">
        <w:rPr>
          <w:rFonts w:ascii="Arial" w:hAnsi="Arial"/>
        </w:rPr>
        <w:t>The application is struck from the roll.</w:t>
      </w:r>
    </w:p>
    <w:p w14:paraId="20C4496E" w14:textId="77777777" w:rsidR="00CB46A3" w:rsidRDefault="00CB46A3" w:rsidP="00CB46A3">
      <w:pPr>
        <w:pStyle w:val="ListParagraph"/>
        <w:numPr>
          <w:ilvl w:val="0"/>
          <w:numId w:val="17"/>
        </w:numPr>
        <w:spacing w:line="360" w:lineRule="auto"/>
        <w:jc w:val="both"/>
        <w:rPr>
          <w:rFonts w:ascii="Arial" w:hAnsi="Arial"/>
        </w:rPr>
      </w:pPr>
      <w:r>
        <w:rPr>
          <w:rFonts w:ascii="Arial" w:hAnsi="Arial"/>
        </w:rPr>
        <w:t>The Applicant is ordered to pay the costs of the application, consequent upon the employment of one instructing and one instructed counsel.</w:t>
      </w:r>
    </w:p>
    <w:p w14:paraId="2541B616" w14:textId="77777777" w:rsidR="00CB46A3" w:rsidRDefault="00CB46A3" w:rsidP="00CB46A3">
      <w:pPr>
        <w:pStyle w:val="ListParagraph"/>
        <w:numPr>
          <w:ilvl w:val="0"/>
          <w:numId w:val="17"/>
        </w:numPr>
        <w:spacing w:line="360" w:lineRule="auto"/>
        <w:jc w:val="both"/>
        <w:rPr>
          <w:rFonts w:ascii="Arial" w:hAnsi="Arial"/>
        </w:rPr>
      </w:pPr>
      <w:r>
        <w:rPr>
          <w:rFonts w:ascii="Arial" w:hAnsi="Arial"/>
        </w:rPr>
        <w:t>There is no order as to costs for the abortive hearings on 7 February 2017 and 22 May 2018, save that the Third Respondent is entitled to costs necessarily incurred as a result of it having to rectify the documents because of the state of the record.</w:t>
      </w:r>
    </w:p>
    <w:p w14:paraId="64F33B83" w14:textId="77777777" w:rsidR="00CB46A3" w:rsidRPr="00D60C27" w:rsidRDefault="00CB46A3" w:rsidP="00CB46A3">
      <w:pPr>
        <w:pStyle w:val="ListParagraph"/>
        <w:numPr>
          <w:ilvl w:val="0"/>
          <w:numId w:val="17"/>
        </w:numPr>
        <w:spacing w:line="360" w:lineRule="auto"/>
        <w:jc w:val="both"/>
        <w:rPr>
          <w:rFonts w:ascii="Arial" w:hAnsi="Arial"/>
        </w:rPr>
      </w:pPr>
      <w:r>
        <w:rPr>
          <w:rFonts w:ascii="Arial" w:hAnsi="Arial"/>
        </w:rPr>
        <w:t>The determination of wasted costs for the hearing scheduled for 15 August 2017, is to be placed before Usiku J.</w:t>
      </w:r>
    </w:p>
    <w:p w14:paraId="4C82F977" w14:textId="77777777" w:rsidR="000E218B" w:rsidRDefault="000E218B" w:rsidP="00697656">
      <w:pPr>
        <w:rPr>
          <w:rFonts w:ascii="Arial" w:hAnsi="Arial"/>
        </w:rPr>
      </w:pPr>
    </w:p>
    <w:p w14:paraId="2547215F" w14:textId="675BEC3E" w:rsidR="000E218B" w:rsidRDefault="000E218B" w:rsidP="00697656">
      <w:pPr>
        <w:rPr>
          <w:rFonts w:ascii="Arial" w:hAnsi="Arial"/>
        </w:rPr>
      </w:pPr>
      <w:r>
        <w:rPr>
          <w:rFonts w:ascii="Arial" w:hAnsi="Arial"/>
        </w:rPr>
        <w:t>_____________________________________________________________</w:t>
      </w:r>
    </w:p>
    <w:p w14:paraId="085CB2FC" w14:textId="77777777" w:rsidR="000E218B" w:rsidRDefault="000E218B" w:rsidP="00697656">
      <w:pPr>
        <w:rPr>
          <w:rFonts w:ascii="Arial" w:hAnsi="Arial"/>
        </w:rPr>
      </w:pPr>
    </w:p>
    <w:p w14:paraId="42CBEAA8" w14:textId="77777777" w:rsidR="00697656" w:rsidRDefault="00697656" w:rsidP="00697656">
      <w:pPr>
        <w:jc w:val="center"/>
        <w:rPr>
          <w:rFonts w:ascii="Arial" w:hAnsi="Arial"/>
          <w:b/>
        </w:rPr>
      </w:pPr>
      <w:r>
        <w:rPr>
          <w:rFonts w:ascii="Arial" w:hAnsi="Arial"/>
          <w:b/>
        </w:rPr>
        <w:t>JUDGMENT</w:t>
      </w:r>
    </w:p>
    <w:p w14:paraId="23F5F517" w14:textId="77777777" w:rsidR="00697656" w:rsidRDefault="00697656" w:rsidP="00697656">
      <w:pPr>
        <w:pBdr>
          <w:bottom w:val="single" w:sz="6" w:space="1" w:color="auto"/>
        </w:pBdr>
        <w:jc w:val="center"/>
        <w:rPr>
          <w:rFonts w:ascii="Arial" w:hAnsi="Arial"/>
          <w:b/>
        </w:rPr>
      </w:pPr>
    </w:p>
    <w:p w14:paraId="2DC846D4" w14:textId="77777777" w:rsidR="00697656" w:rsidRDefault="00697656" w:rsidP="00697656">
      <w:pPr>
        <w:rPr>
          <w:rFonts w:ascii="Arial" w:hAnsi="Arial"/>
        </w:rPr>
      </w:pPr>
    </w:p>
    <w:p w14:paraId="7751F3D3" w14:textId="77777777" w:rsidR="00697656" w:rsidRDefault="00697656" w:rsidP="00697656">
      <w:pPr>
        <w:rPr>
          <w:rFonts w:ascii="Arial" w:hAnsi="Arial"/>
          <w:b/>
        </w:rPr>
      </w:pPr>
      <w:r w:rsidRPr="00697656">
        <w:rPr>
          <w:rFonts w:ascii="Arial" w:hAnsi="Arial"/>
          <w:b/>
        </w:rPr>
        <w:t>MASUKU J:</w:t>
      </w:r>
    </w:p>
    <w:p w14:paraId="1E03EA6D" w14:textId="77777777" w:rsidR="00697656" w:rsidRDefault="00697656" w:rsidP="00697656">
      <w:pPr>
        <w:rPr>
          <w:rFonts w:ascii="Arial" w:hAnsi="Arial"/>
          <w:b/>
        </w:rPr>
      </w:pPr>
    </w:p>
    <w:p w14:paraId="17452C58" w14:textId="77777777" w:rsidR="00697656" w:rsidRDefault="00697656" w:rsidP="00697656">
      <w:pPr>
        <w:jc w:val="both"/>
        <w:rPr>
          <w:rFonts w:ascii="Arial" w:hAnsi="Arial"/>
          <w:u w:val="single"/>
        </w:rPr>
      </w:pPr>
    </w:p>
    <w:p w14:paraId="53C2F027" w14:textId="4C7F718D" w:rsidR="00697656" w:rsidRDefault="00697656" w:rsidP="00697656">
      <w:pPr>
        <w:jc w:val="both"/>
        <w:rPr>
          <w:rFonts w:ascii="Arial" w:hAnsi="Arial"/>
          <w:u w:val="single"/>
        </w:rPr>
      </w:pPr>
      <w:r>
        <w:rPr>
          <w:rFonts w:ascii="Arial" w:hAnsi="Arial"/>
          <w:u w:val="single"/>
        </w:rPr>
        <w:t>Introduction</w:t>
      </w:r>
    </w:p>
    <w:p w14:paraId="50341639" w14:textId="77777777" w:rsidR="007072A6" w:rsidRDefault="007072A6" w:rsidP="00697656">
      <w:pPr>
        <w:jc w:val="both"/>
        <w:rPr>
          <w:rFonts w:ascii="Arial" w:hAnsi="Arial"/>
          <w:u w:val="single"/>
        </w:rPr>
      </w:pPr>
    </w:p>
    <w:p w14:paraId="7883ED3E" w14:textId="18559D4F" w:rsidR="00697656" w:rsidRDefault="00697656" w:rsidP="00697656">
      <w:pPr>
        <w:jc w:val="both"/>
        <w:rPr>
          <w:rFonts w:ascii="Arial" w:hAnsi="Arial"/>
          <w:u w:val="single"/>
        </w:rPr>
      </w:pPr>
    </w:p>
    <w:p w14:paraId="6AA7984C" w14:textId="7BE532CA" w:rsidR="00C60490" w:rsidRDefault="00BB3643" w:rsidP="00C51DAD">
      <w:pPr>
        <w:spacing w:line="360" w:lineRule="auto"/>
        <w:jc w:val="both"/>
        <w:rPr>
          <w:rFonts w:ascii="Arial" w:hAnsi="Arial"/>
        </w:rPr>
      </w:pPr>
      <w:r>
        <w:rPr>
          <w:rFonts w:ascii="Arial" w:hAnsi="Arial"/>
        </w:rPr>
        <w:t>[1]</w:t>
      </w:r>
      <w:r>
        <w:rPr>
          <w:rFonts w:ascii="Arial" w:hAnsi="Arial"/>
        </w:rPr>
        <w:tab/>
      </w:r>
      <w:r w:rsidR="00895BC6">
        <w:rPr>
          <w:rFonts w:ascii="Arial" w:hAnsi="Arial"/>
        </w:rPr>
        <w:t xml:space="preserve">Having obtained judgment </w:t>
      </w:r>
      <w:r w:rsidR="00AC1FB4">
        <w:rPr>
          <w:rFonts w:ascii="Arial" w:hAnsi="Arial"/>
        </w:rPr>
        <w:t xml:space="preserve">against the above-named respondents </w:t>
      </w:r>
      <w:r w:rsidR="00006F44">
        <w:rPr>
          <w:rFonts w:ascii="Arial" w:hAnsi="Arial"/>
        </w:rPr>
        <w:t>in the District Court of Rotterdam</w:t>
      </w:r>
      <w:r w:rsidR="00AC1FB4">
        <w:rPr>
          <w:rFonts w:ascii="Arial" w:hAnsi="Arial"/>
        </w:rPr>
        <w:t>, in Holland,</w:t>
      </w:r>
      <w:r w:rsidR="00006F44">
        <w:rPr>
          <w:rFonts w:ascii="Arial" w:hAnsi="Arial"/>
        </w:rPr>
        <w:t xml:space="preserve"> on </w:t>
      </w:r>
      <w:r w:rsidR="00AC1FB4">
        <w:rPr>
          <w:rFonts w:ascii="Arial" w:hAnsi="Arial"/>
        </w:rPr>
        <w:t>22 February 2012</w:t>
      </w:r>
      <w:r w:rsidR="007072A6">
        <w:rPr>
          <w:rFonts w:ascii="Arial" w:hAnsi="Arial"/>
        </w:rPr>
        <w:t>,</w:t>
      </w:r>
      <w:r w:rsidR="00006F44">
        <w:rPr>
          <w:rFonts w:ascii="Arial" w:hAnsi="Arial"/>
        </w:rPr>
        <w:t xml:space="preserve"> the applicant</w:t>
      </w:r>
      <w:r w:rsidR="00AC1FB4">
        <w:rPr>
          <w:rFonts w:ascii="Arial" w:hAnsi="Arial"/>
        </w:rPr>
        <w:t xml:space="preserve"> has approached</w:t>
      </w:r>
      <w:r w:rsidR="00006F44">
        <w:rPr>
          <w:rFonts w:ascii="Arial" w:hAnsi="Arial"/>
        </w:rPr>
        <w:t xml:space="preserve"> this court seeking to declare that judgment executable and enforceable in Namibia. The applicant approaches this court by way of notice of motion.</w:t>
      </w:r>
    </w:p>
    <w:p w14:paraId="22DA60AD" w14:textId="77777777" w:rsidR="00AC1FB4" w:rsidRDefault="00AC1FB4" w:rsidP="00C51DAD">
      <w:pPr>
        <w:spacing w:line="360" w:lineRule="auto"/>
        <w:jc w:val="both"/>
        <w:rPr>
          <w:rFonts w:ascii="Arial" w:hAnsi="Arial"/>
        </w:rPr>
      </w:pPr>
    </w:p>
    <w:p w14:paraId="2EBB98E7" w14:textId="6DE59767" w:rsidR="00AC1FB4" w:rsidRDefault="00AC1FB4" w:rsidP="00C51DAD">
      <w:pPr>
        <w:spacing w:line="360" w:lineRule="auto"/>
        <w:jc w:val="both"/>
        <w:rPr>
          <w:rFonts w:ascii="Arial" w:hAnsi="Arial"/>
        </w:rPr>
      </w:pPr>
      <w:r>
        <w:rPr>
          <w:rFonts w:ascii="Arial" w:hAnsi="Arial"/>
          <w:u w:val="single"/>
        </w:rPr>
        <w:t>The parties</w:t>
      </w:r>
    </w:p>
    <w:p w14:paraId="1BEE412F" w14:textId="77777777" w:rsidR="00AC1FB4" w:rsidRDefault="00AC1FB4" w:rsidP="00C51DAD">
      <w:pPr>
        <w:spacing w:line="360" w:lineRule="auto"/>
        <w:jc w:val="both"/>
        <w:rPr>
          <w:rFonts w:ascii="Arial" w:hAnsi="Arial"/>
        </w:rPr>
      </w:pPr>
    </w:p>
    <w:p w14:paraId="5F1A60FD" w14:textId="77777777" w:rsidR="00793197" w:rsidRDefault="00AC1FB4" w:rsidP="00C51DAD">
      <w:pPr>
        <w:spacing w:line="360" w:lineRule="auto"/>
        <w:jc w:val="both"/>
        <w:rPr>
          <w:rFonts w:ascii="Arial" w:hAnsi="Arial"/>
        </w:rPr>
      </w:pPr>
      <w:r>
        <w:rPr>
          <w:rFonts w:ascii="Arial" w:hAnsi="Arial"/>
        </w:rPr>
        <w:t>[2]</w:t>
      </w:r>
      <w:r>
        <w:rPr>
          <w:rFonts w:ascii="Arial" w:hAnsi="Arial"/>
        </w:rPr>
        <w:tab/>
        <w:t>The applicant in this matter, is Standic BV. It is described in the founding affidavit as</w:t>
      </w:r>
      <w:r w:rsidR="00793197">
        <w:rPr>
          <w:rFonts w:ascii="Arial" w:hAnsi="Arial"/>
        </w:rPr>
        <w:t xml:space="preserve"> a company, duly incorporated under the laws of the Netherlands and its place of business situate at Wieldrechtseweg, 48, 3316 BG Dordrecht, The Netherlands. </w:t>
      </w:r>
    </w:p>
    <w:p w14:paraId="4E99DAF3" w14:textId="77777777" w:rsidR="00793197" w:rsidRDefault="00793197" w:rsidP="00C51DAD">
      <w:pPr>
        <w:spacing w:line="360" w:lineRule="auto"/>
        <w:jc w:val="both"/>
        <w:rPr>
          <w:rFonts w:ascii="Arial" w:hAnsi="Arial"/>
        </w:rPr>
      </w:pPr>
    </w:p>
    <w:p w14:paraId="1E4757CE" w14:textId="7F717F1B" w:rsidR="00AC1FB4" w:rsidRPr="00AC1FB4" w:rsidRDefault="00793197" w:rsidP="00C51DAD">
      <w:pPr>
        <w:spacing w:line="360" w:lineRule="auto"/>
        <w:jc w:val="both"/>
        <w:rPr>
          <w:rFonts w:ascii="Arial" w:hAnsi="Arial"/>
        </w:rPr>
      </w:pPr>
      <w:r>
        <w:rPr>
          <w:rFonts w:ascii="Arial" w:hAnsi="Arial"/>
        </w:rPr>
        <w:t>[3]</w:t>
      </w:r>
      <w:r>
        <w:rPr>
          <w:rFonts w:ascii="Arial" w:hAnsi="Arial"/>
        </w:rPr>
        <w:tab/>
      </w:r>
      <w:r w:rsidR="00AC1FB4">
        <w:rPr>
          <w:rFonts w:ascii="Arial" w:hAnsi="Arial"/>
        </w:rPr>
        <w:t xml:space="preserve">The first and second respondents are </w:t>
      </w:r>
      <w:r>
        <w:rPr>
          <w:rFonts w:ascii="Arial" w:hAnsi="Arial"/>
        </w:rPr>
        <w:t xml:space="preserve">private </w:t>
      </w:r>
      <w:r w:rsidR="00AC1FB4">
        <w:rPr>
          <w:rFonts w:ascii="Arial" w:hAnsi="Arial"/>
        </w:rPr>
        <w:t xml:space="preserve">companies incorporated </w:t>
      </w:r>
      <w:r w:rsidR="00441F31">
        <w:rPr>
          <w:rFonts w:ascii="Arial" w:hAnsi="Arial"/>
        </w:rPr>
        <w:t>in terms of the laws of Namibia and have their</w:t>
      </w:r>
      <w:r>
        <w:rPr>
          <w:rFonts w:ascii="Arial" w:hAnsi="Arial"/>
        </w:rPr>
        <w:t xml:space="preserve"> address of service situate a</w:t>
      </w:r>
      <w:r w:rsidR="00441F31">
        <w:rPr>
          <w:rFonts w:ascii="Arial" w:hAnsi="Arial"/>
        </w:rPr>
        <w:t xml:space="preserve">t </w:t>
      </w:r>
      <w:r>
        <w:rPr>
          <w:rFonts w:ascii="Arial" w:hAnsi="Arial"/>
        </w:rPr>
        <w:t>21 Heliodoor Street, Erospark, Windhoek.</w:t>
      </w:r>
      <w:r w:rsidR="00AC1FB4">
        <w:rPr>
          <w:rFonts w:ascii="Arial" w:hAnsi="Arial"/>
        </w:rPr>
        <w:t xml:space="preserve"> The third respondent, Mr. Rene Johannes Christiaan Wilhemus Kessels, is </w:t>
      </w:r>
      <w:r>
        <w:rPr>
          <w:rFonts w:ascii="Arial" w:hAnsi="Arial"/>
        </w:rPr>
        <w:t xml:space="preserve">described as </w:t>
      </w:r>
      <w:r w:rsidR="00AC1FB4">
        <w:rPr>
          <w:rFonts w:ascii="Arial" w:hAnsi="Arial"/>
        </w:rPr>
        <w:t>an adult male</w:t>
      </w:r>
      <w:r>
        <w:rPr>
          <w:rFonts w:ascii="Arial" w:hAnsi="Arial"/>
        </w:rPr>
        <w:t xml:space="preserve"> businessman</w:t>
      </w:r>
      <w:r w:rsidR="00AC1FB4">
        <w:rPr>
          <w:rFonts w:ascii="Arial" w:hAnsi="Arial"/>
        </w:rPr>
        <w:t>,</w:t>
      </w:r>
      <w:r>
        <w:rPr>
          <w:rFonts w:ascii="Arial" w:hAnsi="Arial"/>
        </w:rPr>
        <w:t xml:space="preserve"> employed by the first and second respondents</w:t>
      </w:r>
      <w:r w:rsidR="00AC1FB4">
        <w:rPr>
          <w:rFonts w:ascii="Arial" w:hAnsi="Arial"/>
        </w:rPr>
        <w:t xml:space="preserve"> </w:t>
      </w:r>
      <w:r>
        <w:rPr>
          <w:rFonts w:ascii="Arial" w:hAnsi="Arial"/>
        </w:rPr>
        <w:t>as the chief executive officer of both entities.</w:t>
      </w:r>
    </w:p>
    <w:p w14:paraId="31B4F3CF" w14:textId="05FA0EAA" w:rsidR="00006F44" w:rsidRDefault="00006F44" w:rsidP="00C51DAD">
      <w:pPr>
        <w:spacing w:line="360" w:lineRule="auto"/>
        <w:jc w:val="both"/>
        <w:rPr>
          <w:rFonts w:ascii="Arial" w:hAnsi="Arial"/>
        </w:rPr>
      </w:pPr>
    </w:p>
    <w:p w14:paraId="4E89D8F3" w14:textId="1954AFAE" w:rsidR="00792620" w:rsidRDefault="00792620" w:rsidP="00C51DAD">
      <w:pPr>
        <w:spacing w:line="360" w:lineRule="auto"/>
        <w:jc w:val="both"/>
        <w:rPr>
          <w:rFonts w:ascii="Arial" w:hAnsi="Arial"/>
          <w:u w:val="single"/>
        </w:rPr>
      </w:pPr>
      <w:r>
        <w:rPr>
          <w:rFonts w:ascii="Arial" w:hAnsi="Arial"/>
          <w:u w:val="single"/>
        </w:rPr>
        <w:t>Background</w:t>
      </w:r>
    </w:p>
    <w:p w14:paraId="60E47209" w14:textId="77777777" w:rsidR="00792620" w:rsidRPr="00792620" w:rsidRDefault="00792620" w:rsidP="00C51DAD">
      <w:pPr>
        <w:spacing w:line="360" w:lineRule="auto"/>
        <w:jc w:val="both"/>
        <w:rPr>
          <w:rFonts w:ascii="Arial" w:hAnsi="Arial"/>
          <w:u w:val="single"/>
        </w:rPr>
      </w:pPr>
    </w:p>
    <w:p w14:paraId="0F3535C6" w14:textId="4DBF57B1" w:rsidR="00792620" w:rsidRDefault="00A47A48" w:rsidP="00C51DAD">
      <w:pPr>
        <w:spacing w:line="360" w:lineRule="auto"/>
        <w:jc w:val="both"/>
        <w:rPr>
          <w:rFonts w:ascii="Arial" w:hAnsi="Arial"/>
        </w:rPr>
      </w:pPr>
      <w:r>
        <w:rPr>
          <w:rFonts w:ascii="Arial" w:hAnsi="Arial"/>
        </w:rPr>
        <w:t>[4</w:t>
      </w:r>
      <w:r w:rsidR="00792620">
        <w:rPr>
          <w:rFonts w:ascii="Arial" w:hAnsi="Arial"/>
        </w:rPr>
        <w:t>]</w:t>
      </w:r>
      <w:r w:rsidR="00792620">
        <w:rPr>
          <w:rFonts w:ascii="Arial" w:hAnsi="Arial"/>
        </w:rPr>
        <w:tab/>
        <w:t>The present</w:t>
      </w:r>
      <w:r w:rsidR="00006F44">
        <w:rPr>
          <w:rFonts w:ascii="Arial" w:hAnsi="Arial"/>
        </w:rPr>
        <w:t xml:space="preserve"> judgment relates to the applicant and third respondent only. The matter</w:t>
      </w:r>
      <w:r w:rsidR="007072A6">
        <w:rPr>
          <w:rFonts w:ascii="Arial" w:hAnsi="Arial"/>
        </w:rPr>
        <w:t xml:space="preserve"> as</w:t>
      </w:r>
      <w:r w:rsidR="00006F44">
        <w:rPr>
          <w:rFonts w:ascii="Arial" w:hAnsi="Arial"/>
        </w:rPr>
        <w:t xml:space="preserve"> between the applicant and the first and second respondent </w:t>
      </w:r>
      <w:r w:rsidR="00792620">
        <w:rPr>
          <w:rFonts w:ascii="Arial" w:hAnsi="Arial"/>
        </w:rPr>
        <w:t>served before my B</w:t>
      </w:r>
      <w:r w:rsidR="00006F44">
        <w:rPr>
          <w:rFonts w:ascii="Arial" w:hAnsi="Arial"/>
        </w:rPr>
        <w:t>rother Justice Uietele.</w:t>
      </w:r>
      <w:r w:rsidR="00792620">
        <w:rPr>
          <w:rFonts w:ascii="Arial" w:hAnsi="Arial"/>
        </w:rPr>
        <w:t xml:space="preserve"> I will, accordingly say nothing of that matter.</w:t>
      </w:r>
    </w:p>
    <w:p w14:paraId="09C72D55" w14:textId="77777777" w:rsidR="00792620" w:rsidRDefault="00792620" w:rsidP="00C51DAD">
      <w:pPr>
        <w:spacing w:line="360" w:lineRule="auto"/>
        <w:jc w:val="both"/>
        <w:rPr>
          <w:rFonts w:ascii="Arial" w:hAnsi="Arial"/>
        </w:rPr>
      </w:pPr>
    </w:p>
    <w:p w14:paraId="083CE698" w14:textId="0AF364C7" w:rsidR="00792620" w:rsidRDefault="00A47A48" w:rsidP="00C51DAD">
      <w:pPr>
        <w:spacing w:line="360" w:lineRule="auto"/>
        <w:jc w:val="both"/>
        <w:rPr>
          <w:rFonts w:ascii="Arial" w:hAnsi="Arial"/>
        </w:rPr>
      </w:pPr>
      <w:r>
        <w:rPr>
          <w:rFonts w:ascii="Arial" w:hAnsi="Arial"/>
        </w:rPr>
        <w:t>[5</w:t>
      </w:r>
      <w:r w:rsidR="00792620">
        <w:rPr>
          <w:rFonts w:ascii="Arial" w:hAnsi="Arial"/>
        </w:rPr>
        <w:t>]</w:t>
      </w:r>
      <w:r w:rsidR="00792620">
        <w:rPr>
          <w:rFonts w:ascii="Arial" w:hAnsi="Arial"/>
        </w:rPr>
        <w:tab/>
        <w:t>As intimated in the opening paragraph of this judgment, the main issue that this court is called upon to determine is the sustainability of an application for the recognition and enforcement of a judgment issued by the Rotterdam Court in Holland against the third respondent.</w:t>
      </w:r>
      <w:r w:rsidR="00006F44">
        <w:rPr>
          <w:rFonts w:ascii="Arial" w:hAnsi="Arial"/>
        </w:rPr>
        <w:t xml:space="preserve"> </w:t>
      </w:r>
      <w:r w:rsidR="00792620">
        <w:rPr>
          <w:rFonts w:ascii="Arial" w:hAnsi="Arial"/>
        </w:rPr>
        <w:t>I will, for purposes of this judgment, refer to the third respondent as the ‘respondent’.</w:t>
      </w:r>
    </w:p>
    <w:p w14:paraId="4349A063" w14:textId="77777777" w:rsidR="00792620" w:rsidRDefault="00792620" w:rsidP="00C51DAD">
      <w:pPr>
        <w:spacing w:line="360" w:lineRule="auto"/>
        <w:jc w:val="both"/>
        <w:rPr>
          <w:rFonts w:ascii="Arial" w:hAnsi="Arial"/>
        </w:rPr>
      </w:pPr>
    </w:p>
    <w:p w14:paraId="651147A7" w14:textId="2CF52703" w:rsidR="00006F44" w:rsidRDefault="00A47A48" w:rsidP="00C51DAD">
      <w:pPr>
        <w:spacing w:line="360" w:lineRule="auto"/>
        <w:jc w:val="both"/>
        <w:rPr>
          <w:rFonts w:ascii="Arial" w:hAnsi="Arial"/>
        </w:rPr>
      </w:pPr>
      <w:r>
        <w:rPr>
          <w:rFonts w:ascii="Arial" w:hAnsi="Arial"/>
        </w:rPr>
        <w:t>[6</w:t>
      </w:r>
      <w:r w:rsidR="00792620">
        <w:rPr>
          <w:rFonts w:ascii="Arial" w:hAnsi="Arial"/>
        </w:rPr>
        <w:t>]</w:t>
      </w:r>
      <w:r w:rsidR="00792620">
        <w:rPr>
          <w:rFonts w:ascii="Arial" w:hAnsi="Arial"/>
        </w:rPr>
        <w:tab/>
        <w:t xml:space="preserve">A reading of the papers filed of record in this matter, shows that </w:t>
      </w:r>
      <w:r w:rsidR="00D60C27">
        <w:rPr>
          <w:rFonts w:ascii="Arial" w:hAnsi="Arial"/>
        </w:rPr>
        <w:t>the respondent</w:t>
      </w:r>
      <w:r w:rsidR="00006F44">
        <w:rPr>
          <w:rFonts w:ascii="Arial" w:hAnsi="Arial"/>
        </w:rPr>
        <w:t xml:space="preserve"> opposes the notice of motion on a number of grounds</w:t>
      </w:r>
      <w:r w:rsidR="00792620">
        <w:rPr>
          <w:rFonts w:ascii="Arial" w:hAnsi="Arial"/>
        </w:rPr>
        <w:t>. He alleges that:</w:t>
      </w:r>
    </w:p>
    <w:p w14:paraId="3845FA35" w14:textId="6F9CA5A2" w:rsidR="00006F44" w:rsidRDefault="00006F44" w:rsidP="00C51DAD">
      <w:pPr>
        <w:spacing w:line="360" w:lineRule="auto"/>
        <w:jc w:val="both"/>
        <w:rPr>
          <w:rFonts w:ascii="Arial" w:hAnsi="Arial"/>
        </w:rPr>
      </w:pPr>
    </w:p>
    <w:p w14:paraId="678B24A5" w14:textId="1BD54E9F" w:rsidR="00006F44" w:rsidRPr="00792620" w:rsidRDefault="00006F44" w:rsidP="00792620">
      <w:pPr>
        <w:pStyle w:val="ListParagraph"/>
        <w:numPr>
          <w:ilvl w:val="0"/>
          <w:numId w:val="16"/>
        </w:numPr>
        <w:spacing w:line="360" w:lineRule="auto"/>
        <w:jc w:val="both"/>
        <w:rPr>
          <w:rFonts w:ascii="Arial" w:hAnsi="Arial"/>
        </w:rPr>
      </w:pPr>
      <w:r w:rsidRPr="00792620">
        <w:rPr>
          <w:rFonts w:ascii="Arial" w:hAnsi="Arial"/>
        </w:rPr>
        <w:t>he has not been served with the notice of motion,</w:t>
      </w:r>
    </w:p>
    <w:p w14:paraId="7BF4ACF1" w14:textId="77777777" w:rsidR="00792620" w:rsidRDefault="00792620" w:rsidP="00792620">
      <w:pPr>
        <w:spacing w:line="360" w:lineRule="auto"/>
        <w:jc w:val="both"/>
        <w:rPr>
          <w:rFonts w:ascii="Arial" w:hAnsi="Arial"/>
        </w:rPr>
      </w:pPr>
    </w:p>
    <w:p w14:paraId="518D8518" w14:textId="0DEDEF51" w:rsidR="00006F44" w:rsidRPr="00792620" w:rsidRDefault="00006F44" w:rsidP="00792620">
      <w:pPr>
        <w:pStyle w:val="ListParagraph"/>
        <w:numPr>
          <w:ilvl w:val="0"/>
          <w:numId w:val="16"/>
        </w:numPr>
        <w:spacing w:line="360" w:lineRule="auto"/>
        <w:jc w:val="both"/>
        <w:rPr>
          <w:rFonts w:ascii="Arial" w:hAnsi="Arial"/>
        </w:rPr>
      </w:pPr>
      <w:r w:rsidRPr="00792620">
        <w:rPr>
          <w:rFonts w:ascii="Arial" w:hAnsi="Arial"/>
        </w:rPr>
        <w:t xml:space="preserve">this court </w:t>
      </w:r>
      <w:r w:rsidR="00275638" w:rsidRPr="00792620">
        <w:rPr>
          <w:rFonts w:ascii="Arial" w:hAnsi="Arial"/>
        </w:rPr>
        <w:t>does not</w:t>
      </w:r>
      <w:r w:rsidRPr="00792620">
        <w:rPr>
          <w:rFonts w:ascii="Arial" w:hAnsi="Arial"/>
        </w:rPr>
        <w:t xml:space="preserve"> have jurisdiction over him, and</w:t>
      </w:r>
    </w:p>
    <w:p w14:paraId="73B12F3D" w14:textId="77777777" w:rsidR="007072A6" w:rsidRPr="00792620" w:rsidRDefault="007072A6" w:rsidP="00792620">
      <w:pPr>
        <w:spacing w:line="360" w:lineRule="auto"/>
        <w:jc w:val="both"/>
        <w:rPr>
          <w:rFonts w:ascii="Arial" w:hAnsi="Arial"/>
        </w:rPr>
      </w:pPr>
    </w:p>
    <w:p w14:paraId="40AA3269" w14:textId="1D0BE570" w:rsidR="00006F44" w:rsidRPr="00006F44" w:rsidRDefault="00792620" w:rsidP="00792620">
      <w:pPr>
        <w:pStyle w:val="ListParagraph"/>
        <w:numPr>
          <w:ilvl w:val="0"/>
          <w:numId w:val="16"/>
        </w:numPr>
        <w:spacing w:line="360" w:lineRule="auto"/>
        <w:jc w:val="both"/>
        <w:rPr>
          <w:rFonts w:ascii="Arial" w:hAnsi="Arial"/>
        </w:rPr>
      </w:pPr>
      <w:r>
        <w:rPr>
          <w:rFonts w:ascii="Arial" w:hAnsi="Arial"/>
        </w:rPr>
        <w:t>the District C</w:t>
      </w:r>
      <w:r w:rsidR="00006F44">
        <w:rPr>
          <w:rFonts w:ascii="Arial" w:hAnsi="Arial"/>
        </w:rPr>
        <w:t>ourt of Rotterdam did not have jurisdiction over him.</w:t>
      </w:r>
    </w:p>
    <w:p w14:paraId="47FBAD98" w14:textId="0755B39E" w:rsidR="00BD77A5" w:rsidRDefault="00BD77A5" w:rsidP="00926FE7">
      <w:pPr>
        <w:spacing w:line="360" w:lineRule="auto"/>
        <w:jc w:val="both"/>
        <w:rPr>
          <w:rFonts w:ascii="Arial" w:hAnsi="Arial"/>
        </w:rPr>
      </w:pPr>
    </w:p>
    <w:p w14:paraId="7DD8683F" w14:textId="471E8A7A" w:rsidR="007072A6" w:rsidRPr="00792620" w:rsidRDefault="00A47A48" w:rsidP="00926FE7">
      <w:pPr>
        <w:spacing w:line="360" w:lineRule="auto"/>
        <w:jc w:val="both"/>
        <w:rPr>
          <w:rFonts w:ascii="Arial" w:hAnsi="Arial"/>
        </w:rPr>
      </w:pPr>
      <w:r>
        <w:rPr>
          <w:rFonts w:ascii="Arial" w:hAnsi="Arial"/>
        </w:rPr>
        <w:t>[7</w:t>
      </w:r>
      <w:r w:rsidR="00792620">
        <w:rPr>
          <w:rFonts w:ascii="Arial" w:hAnsi="Arial"/>
        </w:rPr>
        <w:t>]</w:t>
      </w:r>
      <w:r w:rsidR="00792620">
        <w:rPr>
          <w:rFonts w:ascii="Arial" w:hAnsi="Arial"/>
        </w:rPr>
        <w:tab/>
        <w:t xml:space="preserve">I intend to deal with the legal issues raised by the respondent in the sequence that they have been raised, depending on whether it will be necessary to deal with them all. If appropriate, it may be necessary to only deal </w:t>
      </w:r>
      <w:r w:rsidR="00792620">
        <w:rPr>
          <w:rFonts w:ascii="Arial" w:hAnsi="Arial"/>
        </w:rPr>
        <w:lastRenderedPageBreak/>
        <w:t xml:space="preserve">with such ground of opposition that may be dispositive of the application, even if </w:t>
      </w:r>
      <w:r w:rsidR="00792620">
        <w:rPr>
          <w:rFonts w:ascii="Arial" w:hAnsi="Arial"/>
          <w:i/>
        </w:rPr>
        <w:t>pro ha vice</w:t>
      </w:r>
      <w:r w:rsidR="00792620">
        <w:rPr>
          <w:rFonts w:ascii="Arial" w:hAnsi="Arial"/>
        </w:rPr>
        <w:t>. I will, in this regard, commence with the question of service, which has been pertinently raised by the respondent.</w:t>
      </w:r>
    </w:p>
    <w:p w14:paraId="6B39BB40" w14:textId="77777777" w:rsidR="007072A6" w:rsidRDefault="007072A6" w:rsidP="00926FE7">
      <w:pPr>
        <w:spacing w:line="360" w:lineRule="auto"/>
        <w:jc w:val="both"/>
        <w:rPr>
          <w:rFonts w:ascii="Arial" w:hAnsi="Arial"/>
        </w:rPr>
      </w:pPr>
    </w:p>
    <w:p w14:paraId="2CA0E810" w14:textId="77777777" w:rsidR="000477D4" w:rsidRDefault="000477D4" w:rsidP="00926FE7">
      <w:pPr>
        <w:spacing w:line="360" w:lineRule="auto"/>
        <w:jc w:val="both"/>
        <w:rPr>
          <w:rFonts w:ascii="Arial" w:hAnsi="Arial"/>
          <w:u w:val="single"/>
        </w:rPr>
      </w:pPr>
    </w:p>
    <w:p w14:paraId="28B2F22E" w14:textId="74D2863B" w:rsidR="00BD77A5" w:rsidRDefault="00FD79BF" w:rsidP="00926FE7">
      <w:pPr>
        <w:spacing w:line="360" w:lineRule="auto"/>
        <w:jc w:val="both"/>
        <w:rPr>
          <w:rFonts w:ascii="Arial" w:hAnsi="Arial"/>
          <w:u w:val="single"/>
        </w:rPr>
      </w:pPr>
      <w:r w:rsidRPr="00FD79BF">
        <w:rPr>
          <w:rFonts w:ascii="Arial" w:hAnsi="Arial"/>
          <w:u w:val="single"/>
        </w:rPr>
        <w:t>Service</w:t>
      </w:r>
    </w:p>
    <w:p w14:paraId="4B748E7B" w14:textId="518AD7A1" w:rsidR="00FD79BF" w:rsidRDefault="00FD79BF" w:rsidP="00926FE7">
      <w:pPr>
        <w:spacing w:line="360" w:lineRule="auto"/>
        <w:jc w:val="both"/>
        <w:rPr>
          <w:rFonts w:ascii="Arial" w:hAnsi="Arial"/>
          <w:u w:val="single"/>
        </w:rPr>
      </w:pPr>
    </w:p>
    <w:p w14:paraId="5B0DE913" w14:textId="6B3122BF" w:rsidR="00FD79BF" w:rsidRDefault="00A47A48" w:rsidP="00926FE7">
      <w:pPr>
        <w:spacing w:line="360" w:lineRule="auto"/>
        <w:jc w:val="both"/>
        <w:rPr>
          <w:rFonts w:ascii="Arial" w:hAnsi="Arial"/>
        </w:rPr>
      </w:pPr>
      <w:r>
        <w:rPr>
          <w:rFonts w:ascii="Arial" w:hAnsi="Arial"/>
        </w:rPr>
        <w:t>[8</w:t>
      </w:r>
      <w:r w:rsidR="00FD79BF" w:rsidRPr="00FD79BF">
        <w:rPr>
          <w:rFonts w:ascii="Arial" w:hAnsi="Arial"/>
        </w:rPr>
        <w:t>]</w:t>
      </w:r>
      <w:r w:rsidR="00FD79BF">
        <w:rPr>
          <w:rFonts w:ascii="Arial" w:hAnsi="Arial"/>
        </w:rPr>
        <w:tab/>
        <w:t>It is common cause that the notice of motion and founding affidavit</w:t>
      </w:r>
      <w:r w:rsidR="00792620">
        <w:rPr>
          <w:rFonts w:ascii="Arial" w:hAnsi="Arial"/>
        </w:rPr>
        <w:t>,</w:t>
      </w:r>
      <w:r w:rsidR="00FD79BF">
        <w:rPr>
          <w:rFonts w:ascii="Arial" w:hAnsi="Arial"/>
        </w:rPr>
        <w:t xml:space="preserve"> together with the annexures to the founding affidavit</w:t>
      </w:r>
      <w:r w:rsidR="00792620">
        <w:rPr>
          <w:rFonts w:ascii="Arial" w:hAnsi="Arial"/>
        </w:rPr>
        <w:t>,</w:t>
      </w:r>
      <w:r w:rsidR="00FD79BF">
        <w:rPr>
          <w:rFonts w:ascii="Arial" w:hAnsi="Arial"/>
        </w:rPr>
        <w:t xml:space="preserve"> w</w:t>
      </w:r>
      <w:r w:rsidR="007072A6">
        <w:rPr>
          <w:rFonts w:ascii="Arial" w:hAnsi="Arial"/>
        </w:rPr>
        <w:t>ere</w:t>
      </w:r>
      <w:r w:rsidR="00FD79BF">
        <w:rPr>
          <w:rFonts w:ascii="Arial" w:hAnsi="Arial"/>
        </w:rPr>
        <w:t xml:space="preserve"> served at 24 Orban Street, Windhoek by the Deputy Sheriff. It is </w:t>
      </w:r>
      <w:r w:rsidR="00441F31">
        <w:rPr>
          <w:rFonts w:ascii="Arial" w:hAnsi="Arial"/>
        </w:rPr>
        <w:t>further common cause that</w:t>
      </w:r>
      <w:r w:rsidR="00FD79BF">
        <w:rPr>
          <w:rFonts w:ascii="Arial" w:hAnsi="Arial"/>
        </w:rPr>
        <w:t xml:space="preserve"> service was effected on 21 November 2012 on a certain Karin Muller</w:t>
      </w:r>
      <w:r w:rsidR="007072A6">
        <w:rPr>
          <w:rFonts w:ascii="Arial" w:hAnsi="Arial"/>
        </w:rPr>
        <w:t>,</w:t>
      </w:r>
      <w:r w:rsidR="00FD79BF">
        <w:rPr>
          <w:rFonts w:ascii="Arial" w:hAnsi="Arial"/>
        </w:rPr>
        <w:t xml:space="preserve"> who according to the Deputy Sheriff</w:t>
      </w:r>
      <w:r w:rsidR="00441F31">
        <w:rPr>
          <w:rFonts w:ascii="Arial" w:hAnsi="Arial"/>
        </w:rPr>
        <w:t>’s return of service,</w:t>
      </w:r>
      <w:r w:rsidR="00FD79BF">
        <w:rPr>
          <w:rFonts w:ascii="Arial" w:hAnsi="Arial"/>
        </w:rPr>
        <w:t xml:space="preserve"> was apparently over 16 years of age</w:t>
      </w:r>
      <w:r w:rsidR="007072A6">
        <w:rPr>
          <w:rFonts w:ascii="Arial" w:hAnsi="Arial"/>
        </w:rPr>
        <w:t xml:space="preserve"> and</w:t>
      </w:r>
      <w:r w:rsidR="00FD79BF">
        <w:rPr>
          <w:rFonts w:ascii="Arial" w:hAnsi="Arial"/>
        </w:rPr>
        <w:t xml:space="preserve"> </w:t>
      </w:r>
      <w:r w:rsidR="00441F31">
        <w:rPr>
          <w:rFonts w:ascii="Arial" w:hAnsi="Arial"/>
        </w:rPr>
        <w:t xml:space="preserve">further </w:t>
      </w:r>
      <w:r w:rsidR="00FD79BF">
        <w:rPr>
          <w:rFonts w:ascii="Arial" w:hAnsi="Arial"/>
        </w:rPr>
        <w:t>apparently</w:t>
      </w:r>
      <w:r w:rsidR="00441F31">
        <w:rPr>
          <w:rFonts w:ascii="Arial" w:hAnsi="Arial"/>
        </w:rPr>
        <w:t>,</w:t>
      </w:r>
      <w:r w:rsidR="00FD79BF">
        <w:rPr>
          <w:rFonts w:ascii="Arial" w:hAnsi="Arial"/>
        </w:rPr>
        <w:t xml:space="preserve"> in charge of the given address</w:t>
      </w:r>
      <w:r w:rsidR="00441F31">
        <w:rPr>
          <w:rFonts w:ascii="Arial" w:hAnsi="Arial"/>
        </w:rPr>
        <w:t xml:space="preserve"> where service was effected</w:t>
      </w:r>
      <w:r w:rsidR="00FD79BF">
        <w:rPr>
          <w:rFonts w:ascii="Arial" w:hAnsi="Arial"/>
        </w:rPr>
        <w:t>.</w:t>
      </w:r>
    </w:p>
    <w:p w14:paraId="62F40F3F" w14:textId="77777777" w:rsidR="00FD79BF" w:rsidRDefault="00FD79BF" w:rsidP="00926FE7">
      <w:pPr>
        <w:spacing w:line="360" w:lineRule="auto"/>
        <w:jc w:val="both"/>
        <w:rPr>
          <w:rFonts w:ascii="Arial" w:hAnsi="Arial"/>
        </w:rPr>
      </w:pPr>
    </w:p>
    <w:p w14:paraId="0BC4491F" w14:textId="74FCE26D" w:rsidR="00441F31" w:rsidRDefault="00A47A48" w:rsidP="00926FE7">
      <w:pPr>
        <w:spacing w:line="360" w:lineRule="auto"/>
        <w:jc w:val="both"/>
        <w:rPr>
          <w:rFonts w:ascii="Arial" w:hAnsi="Arial"/>
        </w:rPr>
      </w:pPr>
      <w:r>
        <w:rPr>
          <w:rFonts w:ascii="Arial" w:hAnsi="Arial"/>
        </w:rPr>
        <w:t>[9</w:t>
      </w:r>
      <w:r w:rsidR="00FD79BF">
        <w:rPr>
          <w:rFonts w:ascii="Arial" w:hAnsi="Arial"/>
        </w:rPr>
        <w:t>]</w:t>
      </w:r>
      <w:r w:rsidR="00FD79BF">
        <w:rPr>
          <w:rFonts w:ascii="Arial" w:hAnsi="Arial"/>
        </w:rPr>
        <w:tab/>
        <w:t>There is no dispute from the affidavits excha</w:t>
      </w:r>
      <w:r w:rsidR="00441F31">
        <w:rPr>
          <w:rFonts w:ascii="Arial" w:hAnsi="Arial"/>
        </w:rPr>
        <w:t>nged by the parties to the present matter</w:t>
      </w:r>
      <w:r w:rsidR="00FD79BF">
        <w:rPr>
          <w:rFonts w:ascii="Arial" w:hAnsi="Arial"/>
        </w:rPr>
        <w:t xml:space="preserve"> that 24 Orban Street, Windhoek is the registered address for the first and second respondent. There is</w:t>
      </w:r>
      <w:r w:rsidR="00441F31">
        <w:rPr>
          <w:rFonts w:ascii="Arial" w:hAnsi="Arial"/>
        </w:rPr>
        <w:t xml:space="preserve"> however,</w:t>
      </w:r>
      <w:r w:rsidR="00FD79BF">
        <w:rPr>
          <w:rFonts w:ascii="Arial" w:hAnsi="Arial"/>
        </w:rPr>
        <w:t xml:space="preserve"> a dispute between the parties as to whether 24 Orban Street, Windhoek w</w:t>
      </w:r>
      <w:r w:rsidR="00441F31">
        <w:rPr>
          <w:rFonts w:ascii="Arial" w:hAnsi="Arial"/>
        </w:rPr>
        <w:t xml:space="preserve">as an address at which </w:t>
      </w:r>
      <w:r w:rsidR="00D60C27">
        <w:rPr>
          <w:rFonts w:ascii="Arial" w:hAnsi="Arial"/>
        </w:rPr>
        <w:t>the respondent</w:t>
      </w:r>
      <w:r w:rsidR="00FD79BF">
        <w:rPr>
          <w:rFonts w:ascii="Arial" w:hAnsi="Arial"/>
        </w:rPr>
        <w:t xml:space="preserve"> could be </w:t>
      </w:r>
      <w:r w:rsidR="00441F31">
        <w:rPr>
          <w:rFonts w:ascii="Arial" w:hAnsi="Arial"/>
        </w:rPr>
        <w:t>properly served. The</w:t>
      </w:r>
      <w:r w:rsidR="00FD79BF">
        <w:rPr>
          <w:rFonts w:ascii="Arial" w:hAnsi="Arial"/>
        </w:rPr>
        <w:t xml:space="preserve"> respondent holds the view that such address is not his address</w:t>
      </w:r>
      <w:r w:rsidR="007072A6">
        <w:rPr>
          <w:rFonts w:ascii="Arial" w:hAnsi="Arial"/>
        </w:rPr>
        <w:t>,</w:t>
      </w:r>
      <w:r w:rsidR="00FD79BF">
        <w:rPr>
          <w:rFonts w:ascii="Arial" w:hAnsi="Arial"/>
        </w:rPr>
        <w:t xml:space="preserve"> as he is only a director of the first and second respondent. </w:t>
      </w:r>
    </w:p>
    <w:p w14:paraId="211292A3" w14:textId="77777777" w:rsidR="00441F31" w:rsidRDefault="00441F31" w:rsidP="00926FE7">
      <w:pPr>
        <w:spacing w:line="360" w:lineRule="auto"/>
        <w:jc w:val="both"/>
        <w:rPr>
          <w:rFonts w:ascii="Arial" w:hAnsi="Arial"/>
        </w:rPr>
      </w:pPr>
    </w:p>
    <w:p w14:paraId="5C31B429" w14:textId="6CCD8AAD" w:rsidR="00EB11F3" w:rsidRDefault="00A47A48" w:rsidP="00926FE7">
      <w:pPr>
        <w:spacing w:line="360" w:lineRule="auto"/>
        <w:jc w:val="both"/>
        <w:rPr>
          <w:rFonts w:ascii="Arial" w:hAnsi="Arial"/>
        </w:rPr>
      </w:pPr>
      <w:r>
        <w:rPr>
          <w:rFonts w:ascii="Arial" w:hAnsi="Arial"/>
        </w:rPr>
        <w:t>[10</w:t>
      </w:r>
      <w:r w:rsidR="00441F31">
        <w:rPr>
          <w:rFonts w:ascii="Arial" w:hAnsi="Arial"/>
        </w:rPr>
        <w:t>]</w:t>
      </w:r>
      <w:r w:rsidR="00441F31">
        <w:rPr>
          <w:rFonts w:ascii="Arial" w:hAnsi="Arial"/>
        </w:rPr>
        <w:tab/>
      </w:r>
      <w:r w:rsidR="00FD79BF">
        <w:rPr>
          <w:rFonts w:ascii="Arial" w:hAnsi="Arial"/>
        </w:rPr>
        <w:t>The applicant</w:t>
      </w:r>
      <w:r w:rsidR="00441F31">
        <w:rPr>
          <w:rFonts w:ascii="Arial" w:hAnsi="Arial"/>
        </w:rPr>
        <w:t xml:space="preserve">, for </w:t>
      </w:r>
      <w:r w:rsidR="00D60C27">
        <w:rPr>
          <w:rFonts w:ascii="Arial" w:hAnsi="Arial"/>
        </w:rPr>
        <w:t>its</w:t>
      </w:r>
      <w:r w:rsidR="00441F31">
        <w:rPr>
          <w:rFonts w:ascii="Arial" w:hAnsi="Arial"/>
        </w:rPr>
        <w:t xml:space="preserve"> part,</w:t>
      </w:r>
      <w:r w:rsidR="00FD79BF">
        <w:rPr>
          <w:rFonts w:ascii="Arial" w:hAnsi="Arial"/>
        </w:rPr>
        <w:t xml:space="preserve"> on the other hand</w:t>
      </w:r>
      <w:r w:rsidR="00441F31">
        <w:rPr>
          <w:rFonts w:ascii="Arial" w:hAnsi="Arial"/>
        </w:rPr>
        <w:t>,</w:t>
      </w:r>
      <w:r w:rsidR="00FD79BF">
        <w:rPr>
          <w:rFonts w:ascii="Arial" w:hAnsi="Arial"/>
        </w:rPr>
        <w:t xml:space="preserve"> holds a totally di</w:t>
      </w:r>
      <w:r w:rsidR="007072A6">
        <w:rPr>
          <w:rFonts w:ascii="Arial" w:hAnsi="Arial"/>
        </w:rPr>
        <w:t>vergen</w:t>
      </w:r>
      <w:r w:rsidR="00FD79BF">
        <w:rPr>
          <w:rFonts w:ascii="Arial" w:hAnsi="Arial"/>
        </w:rPr>
        <w:t>t view</w:t>
      </w:r>
      <w:r w:rsidR="007072A6">
        <w:rPr>
          <w:rFonts w:ascii="Arial" w:hAnsi="Arial"/>
        </w:rPr>
        <w:t>.</w:t>
      </w:r>
      <w:r w:rsidR="00FD79BF">
        <w:rPr>
          <w:rFonts w:ascii="Arial" w:hAnsi="Arial"/>
        </w:rPr>
        <w:t xml:space="preserve"> </w:t>
      </w:r>
      <w:r w:rsidR="007072A6">
        <w:rPr>
          <w:rFonts w:ascii="Arial" w:hAnsi="Arial"/>
        </w:rPr>
        <w:t>It</w:t>
      </w:r>
      <w:r w:rsidR="00441F31">
        <w:rPr>
          <w:rFonts w:ascii="Arial" w:hAnsi="Arial"/>
        </w:rPr>
        <w:t xml:space="preserve"> inclines to</w:t>
      </w:r>
      <w:r w:rsidR="00FD79BF">
        <w:rPr>
          <w:rFonts w:ascii="Arial" w:hAnsi="Arial"/>
        </w:rPr>
        <w:t xml:space="preserve"> the view that the third respondent is the Chief Executive Officer of the </w:t>
      </w:r>
      <w:r w:rsidR="00EB11F3">
        <w:rPr>
          <w:rFonts w:ascii="Arial" w:hAnsi="Arial"/>
        </w:rPr>
        <w:t>first and second respondent and as a result</w:t>
      </w:r>
      <w:r w:rsidR="00441F31">
        <w:rPr>
          <w:rFonts w:ascii="Arial" w:hAnsi="Arial"/>
        </w:rPr>
        <w:t>,</w:t>
      </w:r>
      <w:r w:rsidR="00EB11F3">
        <w:rPr>
          <w:rFonts w:ascii="Arial" w:hAnsi="Arial"/>
        </w:rPr>
        <w:t xml:space="preserve"> he may be </w:t>
      </w:r>
      <w:r w:rsidR="00441F31">
        <w:rPr>
          <w:rFonts w:ascii="Arial" w:hAnsi="Arial"/>
        </w:rPr>
        <w:t xml:space="preserve">properly </w:t>
      </w:r>
      <w:r w:rsidR="00EB11F3">
        <w:rPr>
          <w:rFonts w:ascii="Arial" w:hAnsi="Arial"/>
        </w:rPr>
        <w:t xml:space="preserve">served at </w:t>
      </w:r>
      <w:r w:rsidR="00441F31">
        <w:rPr>
          <w:rFonts w:ascii="Arial" w:hAnsi="Arial"/>
        </w:rPr>
        <w:t xml:space="preserve">the said address, allegedly being </w:t>
      </w:r>
      <w:r w:rsidR="00EB11F3">
        <w:rPr>
          <w:rFonts w:ascii="Arial" w:hAnsi="Arial"/>
        </w:rPr>
        <w:t>his place of employment</w:t>
      </w:r>
      <w:r w:rsidR="00441F31">
        <w:rPr>
          <w:rFonts w:ascii="Arial" w:hAnsi="Arial"/>
        </w:rPr>
        <w:t>, considering that it is</w:t>
      </w:r>
      <w:r w:rsidR="007072A6">
        <w:rPr>
          <w:rFonts w:ascii="Arial" w:hAnsi="Arial"/>
        </w:rPr>
        <w:t xml:space="preserve"> the registered address of the first and second respondents</w:t>
      </w:r>
      <w:r w:rsidR="00441F31">
        <w:rPr>
          <w:rFonts w:ascii="Arial" w:hAnsi="Arial"/>
        </w:rPr>
        <w:t xml:space="preserve"> as stated earlier</w:t>
      </w:r>
      <w:r w:rsidR="00EB11F3">
        <w:rPr>
          <w:rFonts w:ascii="Arial" w:hAnsi="Arial"/>
        </w:rPr>
        <w:t>.</w:t>
      </w:r>
    </w:p>
    <w:p w14:paraId="23713AB0" w14:textId="77777777" w:rsidR="00EB11F3" w:rsidRDefault="00EB11F3" w:rsidP="00926FE7">
      <w:pPr>
        <w:spacing w:line="360" w:lineRule="auto"/>
        <w:jc w:val="both"/>
        <w:rPr>
          <w:rFonts w:ascii="Arial" w:hAnsi="Arial"/>
        </w:rPr>
      </w:pPr>
    </w:p>
    <w:p w14:paraId="567F1840" w14:textId="60C9C14C" w:rsidR="00FD79BF" w:rsidRPr="00FD79BF" w:rsidRDefault="00A47A48" w:rsidP="00926FE7">
      <w:pPr>
        <w:spacing w:line="360" w:lineRule="auto"/>
        <w:jc w:val="both"/>
        <w:rPr>
          <w:rFonts w:ascii="Arial" w:hAnsi="Arial"/>
        </w:rPr>
      </w:pPr>
      <w:r>
        <w:rPr>
          <w:rFonts w:ascii="Arial" w:hAnsi="Arial"/>
        </w:rPr>
        <w:t>[11</w:t>
      </w:r>
      <w:r w:rsidR="00441F31">
        <w:rPr>
          <w:rFonts w:ascii="Arial" w:hAnsi="Arial"/>
        </w:rPr>
        <w:t>]</w:t>
      </w:r>
      <w:r w:rsidR="00441F31">
        <w:rPr>
          <w:rFonts w:ascii="Arial" w:hAnsi="Arial"/>
        </w:rPr>
        <w:tab/>
        <w:t>The court is</w:t>
      </w:r>
      <w:r w:rsidR="00EB11F3">
        <w:rPr>
          <w:rFonts w:ascii="Arial" w:hAnsi="Arial"/>
        </w:rPr>
        <w:t xml:space="preserve"> therefore </w:t>
      </w:r>
      <w:r w:rsidR="00441F31">
        <w:rPr>
          <w:rFonts w:ascii="Arial" w:hAnsi="Arial"/>
        </w:rPr>
        <w:t>called upon to determine, in the first instance, whether the</w:t>
      </w:r>
      <w:r w:rsidR="00EB11F3">
        <w:rPr>
          <w:rFonts w:ascii="Arial" w:hAnsi="Arial"/>
        </w:rPr>
        <w:t xml:space="preserve"> respondent is the Chief Executive Officer (the CEO) of the first and second respondent.</w:t>
      </w:r>
      <w:r w:rsidR="00FD79BF">
        <w:rPr>
          <w:rFonts w:ascii="Arial" w:hAnsi="Arial"/>
        </w:rPr>
        <w:t xml:space="preserve"> </w:t>
      </w:r>
      <w:r w:rsidR="00EB11F3">
        <w:rPr>
          <w:rFonts w:ascii="Arial" w:hAnsi="Arial"/>
        </w:rPr>
        <w:t>If he is not</w:t>
      </w:r>
      <w:r w:rsidR="00441F31">
        <w:rPr>
          <w:rFonts w:ascii="Arial" w:hAnsi="Arial"/>
        </w:rPr>
        <w:t>,</w:t>
      </w:r>
      <w:r w:rsidR="00EB11F3">
        <w:rPr>
          <w:rFonts w:ascii="Arial" w:hAnsi="Arial"/>
        </w:rPr>
        <w:t xml:space="preserve"> then </w:t>
      </w:r>
      <w:r w:rsidR="00441F31">
        <w:rPr>
          <w:rFonts w:ascii="Arial" w:hAnsi="Arial"/>
        </w:rPr>
        <w:t xml:space="preserve">it may well be that </w:t>
      </w:r>
      <w:r w:rsidR="00EB11F3">
        <w:rPr>
          <w:rFonts w:ascii="Arial" w:hAnsi="Arial"/>
        </w:rPr>
        <w:t>there has been no service</w:t>
      </w:r>
      <w:r w:rsidR="00441F31">
        <w:rPr>
          <w:rFonts w:ascii="Arial" w:hAnsi="Arial"/>
        </w:rPr>
        <w:t xml:space="preserve"> on him of the notice of motion. If, on the other hand,</w:t>
      </w:r>
      <w:r w:rsidR="00EB11F3">
        <w:rPr>
          <w:rFonts w:ascii="Arial" w:hAnsi="Arial"/>
        </w:rPr>
        <w:t xml:space="preserve"> he is the CEO </w:t>
      </w:r>
      <w:r w:rsidR="00441F31">
        <w:rPr>
          <w:rFonts w:ascii="Arial" w:hAnsi="Arial"/>
        </w:rPr>
        <w:t xml:space="preserve">as </w:t>
      </w:r>
      <w:r w:rsidR="00441F31">
        <w:rPr>
          <w:rFonts w:ascii="Arial" w:hAnsi="Arial"/>
        </w:rPr>
        <w:lastRenderedPageBreak/>
        <w:t xml:space="preserve">alleged, then the next question, to be </w:t>
      </w:r>
      <w:r w:rsidR="00EB11F3">
        <w:rPr>
          <w:rFonts w:ascii="Arial" w:hAnsi="Arial"/>
        </w:rPr>
        <w:t>determine</w:t>
      </w:r>
      <w:r w:rsidR="00441F31">
        <w:rPr>
          <w:rFonts w:ascii="Arial" w:hAnsi="Arial"/>
        </w:rPr>
        <w:t>d,</w:t>
      </w:r>
      <w:r w:rsidR="00EB11F3">
        <w:rPr>
          <w:rFonts w:ascii="Arial" w:hAnsi="Arial"/>
        </w:rPr>
        <w:t xml:space="preserve"> is whether there has been proper service of the notice of motion, in terms of the r</w:t>
      </w:r>
      <w:r w:rsidR="00441F31">
        <w:rPr>
          <w:rFonts w:ascii="Arial" w:hAnsi="Arial"/>
        </w:rPr>
        <w:t xml:space="preserve">ules of this court on the </w:t>
      </w:r>
      <w:r w:rsidR="00EB11F3">
        <w:rPr>
          <w:rFonts w:ascii="Arial" w:hAnsi="Arial"/>
        </w:rPr>
        <w:t>respondent.</w:t>
      </w:r>
    </w:p>
    <w:p w14:paraId="7E306074" w14:textId="4148EECF" w:rsidR="00BD77A5" w:rsidRDefault="00BD77A5" w:rsidP="00926FE7">
      <w:pPr>
        <w:spacing w:line="360" w:lineRule="auto"/>
        <w:jc w:val="both"/>
        <w:rPr>
          <w:rFonts w:ascii="Arial" w:hAnsi="Arial"/>
        </w:rPr>
      </w:pPr>
    </w:p>
    <w:p w14:paraId="25FE4B39" w14:textId="5167F73D" w:rsidR="00E151F0" w:rsidRPr="00441F31" w:rsidRDefault="00E151F0" w:rsidP="00926FE7">
      <w:pPr>
        <w:spacing w:line="360" w:lineRule="auto"/>
        <w:jc w:val="both"/>
        <w:rPr>
          <w:rFonts w:ascii="Arial" w:hAnsi="Arial"/>
          <w:i/>
        </w:rPr>
      </w:pPr>
      <w:r w:rsidRPr="00441F31">
        <w:rPr>
          <w:rFonts w:ascii="Arial" w:hAnsi="Arial"/>
          <w:i/>
        </w:rPr>
        <w:t>The dispute of fact</w:t>
      </w:r>
    </w:p>
    <w:p w14:paraId="1C84B4BB" w14:textId="77777777" w:rsidR="00E151F0" w:rsidRDefault="00E151F0" w:rsidP="00926FE7">
      <w:pPr>
        <w:spacing w:line="360" w:lineRule="auto"/>
        <w:jc w:val="both"/>
        <w:rPr>
          <w:rFonts w:ascii="Arial" w:hAnsi="Arial"/>
        </w:rPr>
      </w:pPr>
    </w:p>
    <w:p w14:paraId="22C70816" w14:textId="7ECB4955" w:rsidR="00346652" w:rsidRDefault="00A47A48" w:rsidP="00926FE7">
      <w:pPr>
        <w:spacing w:line="360" w:lineRule="auto"/>
        <w:jc w:val="both"/>
        <w:rPr>
          <w:rFonts w:ascii="Arial" w:hAnsi="Arial"/>
        </w:rPr>
      </w:pPr>
      <w:r>
        <w:rPr>
          <w:rFonts w:ascii="Arial" w:hAnsi="Arial"/>
        </w:rPr>
        <w:t>[12</w:t>
      </w:r>
      <w:r w:rsidR="00441F31">
        <w:rPr>
          <w:rFonts w:ascii="Arial" w:hAnsi="Arial"/>
        </w:rPr>
        <w:t>]</w:t>
      </w:r>
      <w:r w:rsidR="00441F31">
        <w:rPr>
          <w:rFonts w:ascii="Arial" w:hAnsi="Arial"/>
        </w:rPr>
        <w:tab/>
        <w:t>In</w:t>
      </w:r>
      <w:r w:rsidR="00EB11F3">
        <w:rPr>
          <w:rFonts w:ascii="Arial" w:hAnsi="Arial"/>
        </w:rPr>
        <w:t xml:space="preserve"> the found</w:t>
      </w:r>
      <w:r w:rsidR="00441F31">
        <w:rPr>
          <w:rFonts w:ascii="Arial" w:hAnsi="Arial"/>
        </w:rPr>
        <w:t>ing affidavit the applicant depo</w:t>
      </w:r>
      <w:r w:rsidR="00EB11F3">
        <w:rPr>
          <w:rFonts w:ascii="Arial" w:hAnsi="Arial"/>
        </w:rPr>
        <w:t>s</w:t>
      </w:r>
      <w:r w:rsidR="00441F31">
        <w:rPr>
          <w:rFonts w:ascii="Arial" w:hAnsi="Arial"/>
        </w:rPr>
        <w:t>es that the</w:t>
      </w:r>
      <w:r w:rsidR="00EB11F3">
        <w:rPr>
          <w:rFonts w:ascii="Arial" w:hAnsi="Arial"/>
        </w:rPr>
        <w:t xml:space="preserve"> respondent is ‘</w:t>
      </w:r>
      <w:r w:rsidR="00EB11F3" w:rsidRPr="00346652">
        <w:rPr>
          <w:rFonts w:ascii="Arial" w:hAnsi="Arial"/>
          <w:sz w:val="22"/>
          <w:szCs w:val="22"/>
        </w:rPr>
        <w:t>an adult businessman employed as chief executive officer of both first and second respondent’.</w:t>
      </w:r>
      <w:r w:rsidR="00346652">
        <w:rPr>
          <w:rFonts w:ascii="Arial" w:hAnsi="Arial"/>
        </w:rPr>
        <w:t xml:space="preserve"> The</w:t>
      </w:r>
      <w:r w:rsidR="00E151F0">
        <w:rPr>
          <w:rFonts w:ascii="Arial" w:hAnsi="Arial"/>
        </w:rPr>
        <w:t xml:space="preserve"> respondent in response </w:t>
      </w:r>
      <w:r w:rsidR="00346652">
        <w:rPr>
          <w:rFonts w:ascii="Arial" w:hAnsi="Arial"/>
        </w:rPr>
        <w:t xml:space="preserve">thereto, </w:t>
      </w:r>
      <w:r w:rsidR="00E151F0">
        <w:rPr>
          <w:rFonts w:ascii="Arial" w:hAnsi="Arial"/>
        </w:rPr>
        <w:t>denies that he is ‘</w:t>
      </w:r>
      <w:r w:rsidR="00E151F0" w:rsidRPr="00346652">
        <w:rPr>
          <w:rFonts w:ascii="Arial" w:hAnsi="Arial"/>
          <w:sz w:val="22"/>
          <w:szCs w:val="22"/>
        </w:rPr>
        <w:t xml:space="preserve">employed by the first and second respondent companies or that I was employed at the give addresses or any address in the Republic of Namibia’. </w:t>
      </w:r>
      <w:r w:rsidR="00E151F0">
        <w:rPr>
          <w:rFonts w:ascii="Arial" w:hAnsi="Arial"/>
        </w:rPr>
        <w:t xml:space="preserve">Third respondent further </w:t>
      </w:r>
      <w:r w:rsidR="00346652">
        <w:rPr>
          <w:rFonts w:ascii="Arial" w:hAnsi="Arial"/>
        </w:rPr>
        <w:t>deposes</w:t>
      </w:r>
      <w:r w:rsidR="00E151F0">
        <w:rPr>
          <w:rFonts w:ascii="Arial" w:hAnsi="Arial"/>
        </w:rPr>
        <w:t xml:space="preserve"> that he is ‘</w:t>
      </w:r>
      <w:r w:rsidR="00E151F0" w:rsidRPr="00346652">
        <w:rPr>
          <w:rFonts w:ascii="Arial" w:hAnsi="Arial"/>
          <w:sz w:val="22"/>
          <w:szCs w:val="22"/>
        </w:rPr>
        <w:t>only appointed as a director and of both first and second respondents’.</w:t>
      </w:r>
      <w:r w:rsidR="00E151F0">
        <w:rPr>
          <w:rFonts w:ascii="Arial" w:hAnsi="Arial"/>
        </w:rPr>
        <w:t xml:space="preserve"> </w:t>
      </w:r>
    </w:p>
    <w:p w14:paraId="08FB20FE" w14:textId="77777777" w:rsidR="00346652" w:rsidRDefault="00346652" w:rsidP="00926FE7">
      <w:pPr>
        <w:spacing w:line="360" w:lineRule="auto"/>
        <w:jc w:val="both"/>
        <w:rPr>
          <w:rFonts w:ascii="Arial" w:hAnsi="Arial"/>
        </w:rPr>
      </w:pPr>
    </w:p>
    <w:p w14:paraId="604C1594" w14:textId="5CC86A85" w:rsidR="00BD77A5" w:rsidRDefault="00A47A48" w:rsidP="00926FE7">
      <w:pPr>
        <w:spacing w:line="360" w:lineRule="auto"/>
        <w:jc w:val="both"/>
        <w:rPr>
          <w:rFonts w:ascii="Arial" w:hAnsi="Arial"/>
        </w:rPr>
      </w:pPr>
      <w:r>
        <w:rPr>
          <w:rFonts w:ascii="Arial" w:hAnsi="Arial"/>
        </w:rPr>
        <w:t>[13</w:t>
      </w:r>
      <w:r w:rsidR="00346652">
        <w:rPr>
          <w:rFonts w:ascii="Arial" w:hAnsi="Arial"/>
        </w:rPr>
        <w:t>]</w:t>
      </w:r>
      <w:r w:rsidR="00346652">
        <w:rPr>
          <w:rFonts w:ascii="Arial" w:hAnsi="Arial"/>
        </w:rPr>
        <w:tab/>
      </w:r>
      <w:r w:rsidR="00E151F0">
        <w:rPr>
          <w:rFonts w:ascii="Arial" w:hAnsi="Arial"/>
        </w:rPr>
        <w:t>The applicant</w:t>
      </w:r>
      <w:r w:rsidR="00346652">
        <w:rPr>
          <w:rFonts w:ascii="Arial" w:hAnsi="Arial"/>
        </w:rPr>
        <w:t>, in its</w:t>
      </w:r>
      <w:r w:rsidR="00E151F0">
        <w:rPr>
          <w:rFonts w:ascii="Arial" w:hAnsi="Arial"/>
        </w:rPr>
        <w:t xml:space="preserve"> replying affidavit</w:t>
      </w:r>
      <w:r w:rsidR="00346652">
        <w:rPr>
          <w:rFonts w:ascii="Arial" w:hAnsi="Arial"/>
        </w:rPr>
        <w:t>,</w:t>
      </w:r>
      <w:r w:rsidR="00E151F0">
        <w:rPr>
          <w:rFonts w:ascii="Arial" w:hAnsi="Arial"/>
        </w:rPr>
        <w:t xml:space="preserve"> responds to the denial by making reference to various corr</w:t>
      </w:r>
      <w:r w:rsidR="00346652">
        <w:rPr>
          <w:rFonts w:ascii="Arial" w:hAnsi="Arial"/>
        </w:rPr>
        <w:t>espondence authored by the</w:t>
      </w:r>
      <w:r w:rsidR="00E151F0">
        <w:rPr>
          <w:rFonts w:ascii="Arial" w:hAnsi="Arial"/>
        </w:rPr>
        <w:t xml:space="preserve"> respondent and directed to the applicant wherein he describes himself as ‘Group Chairman, CEO’ of the first and second respondent. The applicant</w:t>
      </w:r>
      <w:r w:rsidR="00346652">
        <w:rPr>
          <w:rFonts w:ascii="Arial" w:hAnsi="Arial"/>
        </w:rPr>
        <w:t>,</w:t>
      </w:r>
      <w:r w:rsidR="00E151F0">
        <w:rPr>
          <w:rFonts w:ascii="Arial" w:hAnsi="Arial"/>
        </w:rPr>
        <w:t xml:space="preserve"> as a result holds the view that the denial by the </w:t>
      </w:r>
      <w:r w:rsidR="00E151F0" w:rsidRPr="00E151F0">
        <w:rPr>
          <w:rFonts w:ascii="Arial" w:hAnsi="Arial"/>
        </w:rPr>
        <w:t>third respondent</w:t>
      </w:r>
      <w:r w:rsidR="00346652">
        <w:rPr>
          <w:rFonts w:ascii="Arial" w:hAnsi="Arial"/>
        </w:rPr>
        <w:t xml:space="preserve"> is contrived and disingenuous</w:t>
      </w:r>
      <w:r w:rsidR="00E151F0">
        <w:rPr>
          <w:rFonts w:ascii="Arial" w:hAnsi="Arial"/>
        </w:rPr>
        <w:t>. There is</w:t>
      </w:r>
      <w:r w:rsidR="00346652">
        <w:rPr>
          <w:rFonts w:ascii="Arial" w:hAnsi="Arial"/>
        </w:rPr>
        <w:t>,</w:t>
      </w:r>
      <w:r w:rsidR="00E151F0">
        <w:rPr>
          <w:rFonts w:ascii="Arial" w:hAnsi="Arial"/>
        </w:rPr>
        <w:t xml:space="preserve"> </w:t>
      </w:r>
      <w:r w:rsidR="00CF5A04">
        <w:rPr>
          <w:rFonts w:ascii="Arial" w:hAnsi="Arial"/>
        </w:rPr>
        <w:t>as a result</w:t>
      </w:r>
      <w:r w:rsidR="00346652">
        <w:rPr>
          <w:rFonts w:ascii="Arial" w:hAnsi="Arial"/>
        </w:rPr>
        <w:t>,</w:t>
      </w:r>
      <w:r w:rsidR="00CF5A04">
        <w:rPr>
          <w:rFonts w:ascii="Arial" w:hAnsi="Arial"/>
        </w:rPr>
        <w:t xml:space="preserve"> </w:t>
      </w:r>
      <w:r w:rsidR="00E151F0">
        <w:rPr>
          <w:rFonts w:ascii="Arial" w:hAnsi="Arial"/>
        </w:rPr>
        <w:t xml:space="preserve">a dispute of </w:t>
      </w:r>
      <w:r w:rsidR="00346652">
        <w:rPr>
          <w:rFonts w:ascii="Arial" w:hAnsi="Arial"/>
        </w:rPr>
        <w:t xml:space="preserve">fact between the parties which is in need of resolution. </w:t>
      </w:r>
    </w:p>
    <w:p w14:paraId="799B9B4D" w14:textId="77777777" w:rsidR="00E151F0" w:rsidRDefault="00E151F0" w:rsidP="00926FE7">
      <w:pPr>
        <w:spacing w:line="360" w:lineRule="auto"/>
        <w:jc w:val="both"/>
        <w:rPr>
          <w:rFonts w:ascii="Arial" w:hAnsi="Arial"/>
        </w:rPr>
      </w:pPr>
    </w:p>
    <w:p w14:paraId="3CA6FBD3" w14:textId="38E9D679" w:rsidR="004E6B7B" w:rsidRPr="009608E9" w:rsidRDefault="00A47A48" w:rsidP="004E6B7B">
      <w:pPr>
        <w:spacing w:line="360" w:lineRule="auto"/>
        <w:jc w:val="both"/>
        <w:rPr>
          <w:rFonts w:ascii="Arial" w:hAnsi="Arial"/>
        </w:rPr>
      </w:pPr>
      <w:r>
        <w:rPr>
          <w:rFonts w:ascii="Arial" w:hAnsi="Arial"/>
        </w:rPr>
        <w:t>[14</w:t>
      </w:r>
      <w:r w:rsidR="00E151F0">
        <w:rPr>
          <w:rFonts w:ascii="Arial" w:hAnsi="Arial"/>
        </w:rPr>
        <w:t>]</w:t>
      </w:r>
      <w:r w:rsidR="00E151F0">
        <w:rPr>
          <w:rFonts w:ascii="Arial" w:hAnsi="Arial"/>
        </w:rPr>
        <w:tab/>
        <w:t>The test for</w:t>
      </w:r>
      <w:r w:rsidR="00346652">
        <w:rPr>
          <w:rFonts w:ascii="Arial" w:hAnsi="Arial"/>
        </w:rPr>
        <w:t xml:space="preserve"> applied in</w:t>
      </w:r>
      <w:r w:rsidR="00E151F0">
        <w:rPr>
          <w:rFonts w:ascii="Arial" w:hAnsi="Arial"/>
        </w:rPr>
        <w:t xml:space="preserve"> determining disputes of fact is trite</w:t>
      </w:r>
      <w:r w:rsidR="00346652">
        <w:rPr>
          <w:rFonts w:ascii="Arial" w:hAnsi="Arial"/>
        </w:rPr>
        <w:t>. It</w:t>
      </w:r>
      <w:r w:rsidR="00E151F0">
        <w:rPr>
          <w:rFonts w:ascii="Arial" w:hAnsi="Arial"/>
        </w:rPr>
        <w:t xml:space="preserve"> is the test set out in </w:t>
      </w:r>
      <w:r w:rsidR="004E6B7B" w:rsidRPr="009608E9">
        <w:rPr>
          <w:rFonts w:ascii="Arial" w:hAnsi="Arial"/>
          <w:i/>
          <w:iCs/>
          <w:lang w:val="en-US"/>
        </w:rPr>
        <w:t>Plascon-Evans Paints Ltd v Van Riebeeck Paints (Pty) Ltd</w:t>
      </w:r>
      <w:r w:rsidR="00E151F0" w:rsidRPr="009608E9">
        <w:rPr>
          <w:rStyle w:val="FootnoteReference"/>
          <w:rFonts w:ascii="Arial" w:hAnsi="Arial"/>
          <w:lang w:val="en-US"/>
        </w:rPr>
        <w:footnoteReference w:id="1"/>
      </w:r>
      <w:r w:rsidR="00346652">
        <w:rPr>
          <w:rFonts w:ascii="Arial" w:hAnsi="Arial"/>
          <w:lang w:val="en-US"/>
        </w:rPr>
        <w:t>. T</w:t>
      </w:r>
      <w:r w:rsidR="009608E9">
        <w:rPr>
          <w:rFonts w:ascii="Arial" w:hAnsi="Arial"/>
          <w:lang w:val="en-US"/>
        </w:rPr>
        <w:t xml:space="preserve">his test has been applied </w:t>
      </w:r>
      <w:r w:rsidR="00346652">
        <w:rPr>
          <w:rFonts w:ascii="Arial" w:hAnsi="Arial"/>
          <w:lang w:val="en-US"/>
        </w:rPr>
        <w:t xml:space="preserve">generously </w:t>
      </w:r>
      <w:r w:rsidR="009608E9">
        <w:rPr>
          <w:rFonts w:ascii="Arial" w:hAnsi="Arial"/>
          <w:lang w:val="en-US"/>
        </w:rPr>
        <w:t xml:space="preserve">in Namibia and is generally known as the Plascon- Evans rule. This Court in </w:t>
      </w:r>
      <w:r w:rsidR="009608E9" w:rsidRPr="009608E9">
        <w:rPr>
          <w:rFonts w:ascii="Arial" w:hAnsi="Arial"/>
          <w:i/>
          <w:iCs/>
          <w:lang w:val="en-US"/>
        </w:rPr>
        <w:t>Kauesa</w:t>
      </w:r>
      <w:r w:rsidR="009608E9">
        <w:rPr>
          <w:rStyle w:val="FootnoteReference"/>
          <w:rFonts w:ascii="Arial" w:hAnsi="Arial"/>
          <w:i/>
          <w:iCs/>
          <w:lang w:val="en-US"/>
        </w:rPr>
        <w:footnoteReference w:id="2"/>
      </w:r>
      <w:r w:rsidR="009608E9">
        <w:rPr>
          <w:rFonts w:ascii="Arial" w:hAnsi="Arial"/>
          <w:lang w:val="en-US"/>
        </w:rPr>
        <w:t xml:space="preserve"> explained the</w:t>
      </w:r>
      <w:r w:rsidR="00346652">
        <w:rPr>
          <w:rFonts w:ascii="Arial" w:hAnsi="Arial"/>
          <w:lang w:val="en-US"/>
        </w:rPr>
        <w:t xml:space="preserve"> said</w:t>
      </w:r>
      <w:r w:rsidR="009608E9">
        <w:rPr>
          <w:rFonts w:ascii="Arial" w:hAnsi="Arial"/>
          <w:lang w:val="en-US"/>
        </w:rPr>
        <w:t xml:space="preserve"> rule as follows;</w:t>
      </w:r>
    </w:p>
    <w:p w14:paraId="3EB82780" w14:textId="5B821F19" w:rsidR="004E6B7B" w:rsidRDefault="004E6B7B" w:rsidP="004E6B7B">
      <w:pPr>
        <w:spacing w:line="360" w:lineRule="auto"/>
        <w:jc w:val="both"/>
        <w:rPr>
          <w:rFonts w:ascii="Arial" w:hAnsi="Arial"/>
        </w:rPr>
      </w:pPr>
    </w:p>
    <w:p w14:paraId="6188D39D" w14:textId="38209E66" w:rsidR="001F4F67" w:rsidRDefault="009608E9" w:rsidP="00346652">
      <w:pPr>
        <w:snapToGrid w:val="0"/>
        <w:spacing w:line="360" w:lineRule="auto"/>
        <w:ind w:firstLine="720"/>
        <w:jc w:val="both"/>
        <w:rPr>
          <w:rFonts w:ascii="Arial" w:hAnsi="Arial"/>
          <w:sz w:val="22"/>
          <w:szCs w:val="22"/>
        </w:rPr>
      </w:pPr>
      <w:r w:rsidRPr="00CF5A04">
        <w:rPr>
          <w:rFonts w:ascii="Arial" w:hAnsi="Arial"/>
          <w:sz w:val="22"/>
          <w:szCs w:val="22"/>
        </w:rPr>
        <w:t>‘</w:t>
      </w:r>
      <w:r w:rsidR="001F4F67" w:rsidRPr="00CF5A04">
        <w:rPr>
          <w:rFonts w:ascii="Arial" w:hAnsi="Arial"/>
          <w:sz w:val="22"/>
          <w:szCs w:val="22"/>
        </w:rPr>
        <w:t xml:space="preserve">The </w:t>
      </w:r>
      <w:r w:rsidR="001F4F67" w:rsidRPr="00A47A48">
        <w:rPr>
          <w:rFonts w:ascii="Arial" w:hAnsi="Arial"/>
          <w:sz w:val="22"/>
          <w:szCs w:val="22"/>
        </w:rPr>
        <w:t>Plascon-</w:t>
      </w:r>
      <w:r w:rsidR="001F4F67" w:rsidRPr="00CF5A04">
        <w:rPr>
          <w:rFonts w:ascii="Arial" w:hAnsi="Arial"/>
          <w:sz w:val="22"/>
          <w:szCs w:val="22"/>
        </w:rPr>
        <w:t xml:space="preserve">Evans Rule postulates that in deciding disputes of fact in application proceedings, those disputes should be adjudicated on the basis of the facts averred in the founding affidavits which have been admitted by the respondent together with the facts alleged by the respondent, whether or not the latter has been </w:t>
      </w:r>
      <w:r w:rsidR="001F4F67" w:rsidRPr="00CF5A04">
        <w:rPr>
          <w:rFonts w:ascii="Arial" w:hAnsi="Arial"/>
          <w:sz w:val="22"/>
          <w:szCs w:val="22"/>
        </w:rPr>
        <w:lastRenderedPageBreak/>
        <w:t xml:space="preserve">admitted by the applicant unless a denial by the respondent is not such as to raise a real genuine </w:t>
      </w:r>
      <w:r w:rsidR="001F4F67" w:rsidRPr="00CF5A04">
        <w:rPr>
          <w:rFonts w:ascii="Arial" w:hAnsi="Arial"/>
          <w:i/>
          <w:sz w:val="22"/>
          <w:szCs w:val="22"/>
        </w:rPr>
        <w:t>bona fide</w:t>
      </w:r>
      <w:r w:rsidR="001F4F67" w:rsidRPr="00CF5A04">
        <w:rPr>
          <w:rFonts w:ascii="Arial" w:hAnsi="Arial"/>
          <w:sz w:val="22"/>
          <w:szCs w:val="22"/>
        </w:rPr>
        <w:t xml:space="preserve"> dispute of fact or a statement in the respondent’s affidavit is so far-fetched or clearly untenable that the Court is justified in rejecting it merely on the papers.  This approach remains the same irrespective of the question which party bears the onus of proof in any particular case.</w:t>
      </w:r>
      <w:r w:rsidRPr="00CF5A04">
        <w:rPr>
          <w:rFonts w:ascii="Arial" w:hAnsi="Arial"/>
          <w:sz w:val="22"/>
          <w:szCs w:val="22"/>
        </w:rPr>
        <w:t>’</w:t>
      </w:r>
      <w:r w:rsidR="001F4F67" w:rsidRPr="00CF5A04">
        <w:rPr>
          <w:rFonts w:ascii="Arial" w:hAnsi="Arial"/>
          <w:sz w:val="22"/>
          <w:szCs w:val="22"/>
        </w:rPr>
        <w:t xml:space="preserve"> </w:t>
      </w:r>
    </w:p>
    <w:p w14:paraId="56698033" w14:textId="77777777" w:rsidR="00CF5A04" w:rsidRPr="00CF5A04" w:rsidRDefault="00CF5A04" w:rsidP="009608E9">
      <w:pPr>
        <w:snapToGrid w:val="0"/>
        <w:spacing w:line="360" w:lineRule="auto"/>
        <w:ind w:left="1440"/>
        <w:jc w:val="both"/>
        <w:rPr>
          <w:rFonts w:ascii="Arial" w:hAnsi="Arial"/>
          <w:sz w:val="22"/>
          <w:szCs w:val="22"/>
        </w:rPr>
      </w:pPr>
    </w:p>
    <w:p w14:paraId="29EFDFD2" w14:textId="498E8F79" w:rsidR="001F4F67" w:rsidRDefault="001F4F67" w:rsidP="004E6B7B">
      <w:pPr>
        <w:spacing w:line="360" w:lineRule="auto"/>
        <w:jc w:val="both"/>
        <w:rPr>
          <w:rFonts w:ascii="Arial" w:hAnsi="Arial"/>
        </w:rPr>
      </w:pPr>
    </w:p>
    <w:p w14:paraId="4529CF30" w14:textId="089697B2" w:rsidR="007F341A" w:rsidRDefault="00A47A48" w:rsidP="009608E9">
      <w:pPr>
        <w:spacing w:line="360" w:lineRule="auto"/>
        <w:jc w:val="both"/>
        <w:rPr>
          <w:rFonts w:ascii="Arial" w:hAnsi="Arial"/>
        </w:rPr>
      </w:pPr>
      <w:r>
        <w:rPr>
          <w:rFonts w:ascii="Arial" w:hAnsi="Arial"/>
        </w:rPr>
        <w:t>[15</w:t>
      </w:r>
      <w:r w:rsidR="009608E9">
        <w:rPr>
          <w:rFonts w:ascii="Arial" w:hAnsi="Arial"/>
        </w:rPr>
        <w:t>]</w:t>
      </w:r>
      <w:r w:rsidR="007F341A">
        <w:rPr>
          <w:rFonts w:ascii="Arial" w:hAnsi="Arial"/>
        </w:rPr>
        <w:tab/>
        <w:t xml:space="preserve">This test has recently received comment by Harms JA in the Court of Appeal of Botswana in </w:t>
      </w:r>
      <w:r w:rsidR="007F341A">
        <w:rPr>
          <w:rFonts w:ascii="Arial" w:hAnsi="Arial"/>
          <w:i/>
        </w:rPr>
        <w:t>Kgori Capital (Pty) Ltd v The Director of Public Prosecutions</w:t>
      </w:r>
      <w:r w:rsidR="004809ED">
        <w:rPr>
          <w:rFonts w:ascii="Arial" w:hAnsi="Arial"/>
          <w:i/>
        </w:rPr>
        <w:t xml:space="preserve"> and Another</w:t>
      </w:r>
      <w:r w:rsidR="004809ED">
        <w:rPr>
          <w:rStyle w:val="FootnoteReference"/>
          <w:rFonts w:ascii="Arial" w:hAnsi="Arial"/>
          <w:i/>
        </w:rPr>
        <w:footnoteReference w:id="3"/>
      </w:r>
      <w:r w:rsidR="009608E9">
        <w:rPr>
          <w:rFonts w:ascii="Arial" w:hAnsi="Arial"/>
        </w:rPr>
        <w:tab/>
      </w:r>
      <w:r w:rsidR="004809ED">
        <w:rPr>
          <w:rFonts w:ascii="Arial" w:hAnsi="Arial"/>
        </w:rPr>
        <w:t>. The learned Judge of Appeal commented on the applicable test as follows:</w:t>
      </w:r>
    </w:p>
    <w:p w14:paraId="76F7B77E" w14:textId="77777777" w:rsidR="004809ED" w:rsidRDefault="004809ED" w:rsidP="009608E9">
      <w:pPr>
        <w:spacing w:line="360" w:lineRule="auto"/>
        <w:jc w:val="both"/>
        <w:rPr>
          <w:rFonts w:ascii="Arial" w:hAnsi="Arial"/>
        </w:rPr>
      </w:pPr>
    </w:p>
    <w:p w14:paraId="020353F9" w14:textId="28D2020E" w:rsidR="004809ED" w:rsidRPr="004809ED" w:rsidRDefault="004809ED" w:rsidP="009608E9">
      <w:pPr>
        <w:spacing w:line="360" w:lineRule="auto"/>
        <w:jc w:val="both"/>
        <w:rPr>
          <w:rFonts w:ascii="Arial" w:hAnsi="Arial"/>
          <w:sz w:val="22"/>
          <w:szCs w:val="22"/>
        </w:rPr>
      </w:pPr>
      <w:r>
        <w:rPr>
          <w:rFonts w:ascii="Arial" w:hAnsi="Arial"/>
        </w:rPr>
        <w:tab/>
        <w:t>‘</w:t>
      </w:r>
      <w:r>
        <w:rPr>
          <w:rFonts w:ascii="Arial" w:hAnsi="Arial"/>
          <w:sz w:val="22"/>
          <w:szCs w:val="22"/>
        </w:rPr>
        <w:t xml:space="preserve">Motion proceedings, unless concerned with interim relief, are all about the resolution of legal issues based on common cause facts. Unless the circumstances are special, they cannot be used to resolve factual issues because they are not designed to determine probabilities. Where in motion proceedings disputes of fact arise on the affidavits, a final order can be granted only if the facts averred in the applicant’s affidavits, which have been admitted by the respondent, together with the facts alleged by the latter, justify such order. It may be difficult if the respondent’s version consists of bald or uncreditworthy denials, raises fictitious disputes of fact, is palpably implausible, far-fetched or so clearly untenable that the court is justified in rejecting them merely on the papers.’  </w:t>
      </w:r>
    </w:p>
    <w:p w14:paraId="0818166D" w14:textId="77777777" w:rsidR="007F341A" w:rsidRDefault="007F341A" w:rsidP="009608E9">
      <w:pPr>
        <w:spacing w:line="360" w:lineRule="auto"/>
        <w:jc w:val="both"/>
        <w:rPr>
          <w:rFonts w:ascii="Arial" w:hAnsi="Arial"/>
        </w:rPr>
      </w:pPr>
    </w:p>
    <w:p w14:paraId="00B3D00C" w14:textId="63693BFE" w:rsidR="009608E9" w:rsidRPr="009608E9" w:rsidRDefault="00A47A48" w:rsidP="009608E9">
      <w:pPr>
        <w:spacing w:line="360" w:lineRule="auto"/>
        <w:jc w:val="both"/>
        <w:rPr>
          <w:rFonts w:ascii="Arial" w:hAnsi="Arial"/>
        </w:rPr>
      </w:pPr>
      <w:r>
        <w:rPr>
          <w:rFonts w:ascii="Arial" w:hAnsi="Arial"/>
        </w:rPr>
        <w:t>[16</w:t>
      </w:r>
      <w:r w:rsidR="002165DA">
        <w:rPr>
          <w:rFonts w:ascii="Arial" w:hAnsi="Arial"/>
        </w:rPr>
        <w:t>]</w:t>
      </w:r>
      <w:r w:rsidR="002165DA">
        <w:rPr>
          <w:rFonts w:ascii="Arial" w:hAnsi="Arial"/>
        </w:rPr>
        <w:tab/>
      </w:r>
      <w:r w:rsidR="009608E9">
        <w:rPr>
          <w:rFonts w:ascii="Arial" w:hAnsi="Arial"/>
        </w:rPr>
        <w:t>In applying the rule to the facts</w:t>
      </w:r>
      <w:r w:rsidR="002165DA">
        <w:rPr>
          <w:rFonts w:ascii="Arial" w:hAnsi="Arial"/>
        </w:rPr>
        <w:t>,</w:t>
      </w:r>
      <w:r w:rsidR="009608E9">
        <w:rPr>
          <w:rFonts w:ascii="Arial" w:hAnsi="Arial"/>
        </w:rPr>
        <w:t xml:space="preserve"> the approach</w:t>
      </w:r>
      <w:r w:rsidR="002165DA">
        <w:rPr>
          <w:rFonts w:ascii="Arial" w:hAnsi="Arial"/>
        </w:rPr>
        <w:t>,</w:t>
      </w:r>
      <w:r w:rsidR="009608E9">
        <w:rPr>
          <w:rFonts w:ascii="Arial" w:hAnsi="Arial"/>
        </w:rPr>
        <w:t xml:space="preserve"> I must adopt in determining the</w:t>
      </w:r>
      <w:r w:rsidR="009608E9" w:rsidRPr="009608E9">
        <w:rPr>
          <w:rFonts w:ascii="Arial" w:hAnsi="Arial"/>
        </w:rPr>
        <w:t xml:space="preserve"> conflict of fact </w:t>
      </w:r>
      <w:r w:rsidR="009608E9">
        <w:rPr>
          <w:rFonts w:ascii="Arial" w:hAnsi="Arial"/>
        </w:rPr>
        <w:t>in the affidavits,</w:t>
      </w:r>
      <w:r w:rsidR="002165DA">
        <w:rPr>
          <w:rFonts w:ascii="Arial" w:hAnsi="Arial"/>
        </w:rPr>
        <w:t xml:space="preserve"> is</w:t>
      </w:r>
      <w:r w:rsidR="009608E9" w:rsidRPr="009608E9">
        <w:rPr>
          <w:rFonts w:ascii="Arial" w:hAnsi="Arial"/>
        </w:rPr>
        <w:t xml:space="preserve"> in</w:t>
      </w:r>
      <w:r w:rsidR="002165DA">
        <w:rPr>
          <w:rFonts w:ascii="Arial" w:hAnsi="Arial"/>
        </w:rPr>
        <w:t xml:space="preserve"> relation to whether </w:t>
      </w:r>
      <w:r w:rsidR="00D60C27">
        <w:rPr>
          <w:rFonts w:ascii="Arial" w:hAnsi="Arial"/>
        </w:rPr>
        <w:t>the respondent</w:t>
      </w:r>
      <w:r w:rsidR="009608E9">
        <w:rPr>
          <w:rFonts w:ascii="Arial" w:hAnsi="Arial"/>
        </w:rPr>
        <w:t xml:space="preserve"> is employed by the first and second respondents and especially where </w:t>
      </w:r>
      <w:r w:rsidR="009608E9" w:rsidRPr="009608E9">
        <w:rPr>
          <w:rFonts w:ascii="Arial" w:hAnsi="Arial"/>
        </w:rPr>
        <w:t>there has been no resort to oral evidence</w:t>
      </w:r>
      <w:r w:rsidR="009608E9">
        <w:rPr>
          <w:rFonts w:ascii="Arial" w:hAnsi="Arial"/>
        </w:rPr>
        <w:t xml:space="preserve"> by the parties</w:t>
      </w:r>
      <w:r w:rsidR="009608E9" w:rsidRPr="009608E9">
        <w:rPr>
          <w:rFonts w:ascii="Arial" w:hAnsi="Arial"/>
        </w:rPr>
        <w:t>,</w:t>
      </w:r>
      <w:r w:rsidR="009608E9">
        <w:rPr>
          <w:rFonts w:ascii="Arial" w:hAnsi="Arial"/>
        </w:rPr>
        <w:t xml:space="preserve"> is that</w:t>
      </w:r>
      <w:r w:rsidR="009608E9" w:rsidRPr="009608E9">
        <w:rPr>
          <w:rFonts w:ascii="Arial" w:hAnsi="Arial"/>
        </w:rPr>
        <w:t xml:space="preserve"> such conflict of fact should be resolved on the admitted facts and the facts deposed to by or on behalf of the </w:t>
      </w:r>
      <w:r w:rsidR="009608E9">
        <w:rPr>
          <w:rFonts w:ascii="Arial" w:hAnsi="Arial"/>
        </w:rPr>
        <w:t xml:space="preserve">third </w:t>
      </w:r>
      <w:r w:rsidR="009608E9" w:rsidRPr="009608E9">
        <w:rPr>
          <w:rFonts w:ascii="Arial" w:hAnsi="Arial"/>
        </w:rPr>
        <w:t>respondent. The facts set out in the respondent</w:t>
      </w:r>
      <w:r w:rsidR="009608E9">
        <w:rPr>
          <w:rFonts w:ascii="Arial" w:hAnsi="Arial"/>
        </w:rPr>
        <w:t>’</w:t>
      </w:r>
      <w:r w:rsidR="009608E9" w:rsidRPr="009608E9">
        <w:rPr>
          <w:rFonts w:ascii="Arial" w:hAnsi="Arial"/>
        </w:rPr>
        <w:t>s papers are to be accepted unless</w:t>
      </w:r>
      <w:r w:rsidR="009608E9">
        <w:rPr>
          <w:rFonts w:ascii="Arial" w:hAnsi="Arial"/>
        </w:rPr>
        <w:t xml:space="preserve"> I</w:t>
      </w:r>
      <w:r w:rsidR="009608E9" w:rsidRPr="009608E9">
        <w:rPr>
          <w:rFonts w:ascii="Arial" w:hAnsi="Arial"/>
        </w:rPr>
        <w:t xml:space="preserve"> consider them to be so far-fetched</w:t>
      </w:r>
      <w:r w:rsidR="002165DA">
        <w:rPr>
          <w:rFonts w:ascii="Arial" w:hAnsi="Arial"/>
        </w:rPr>
        <w:t>, uncreditworthy or palpably implausible</w:t>
      </w:r>
      <w:r w:rsidR="009608E9" w:rsidRPr="009608E9">
        <w:rPr>
          <w:rFonts w:ascii="Arial" w:hAnsi="Arial"/>
        </w:rPr>
        <w:t xml:space="preserve"> or clearly untenable </w:t>
      </w:r>
      <w:r w:rsidR="002165DA">
        <w:rPr>
          <w:rFonts w:ascii="Arial" w:hAnsi="Arial"/>
        </w:rPr>
        <w:t xml:space="preserve">such </w:t>
      </w:r>
      <w:r w:rsidR="009608E9" w:rsidRPr="009608E9">
        <w:rPr>
          <w:rFonts w:ascii="Arial" w:hAnsi="Arial"/>
        </w:rPr>
        <w:t xml:space="preserve">that </w:t>
      </w:r>
      <w:r w:rsidR="009608E9">
        <w:rPr>
          <w:rFonts w:ascii="Arial" w:hAnsi="Arial"/>
        </w:rPr>
        <w:t>I</w:t>
      </w:r>
      <w:r w:rsidR="009608E9" w:rsidRPr="009608E9">
        <w:rPr>
          <w:rFonts w:ascii="Arial" w:hAnsi="Arial"/>
        </w:rPr>
        <w:t xml:space="preserve"> can safely reject them </w:t>
      </w:r>
      <w:r w:rsidR="002165DA">
        <w:rPr>
          <w:rFonts w:ascii="Arial" w:hAnsi="Arial"/>
        </w:rPr>
        <w:t xml:space="preserve">out of hand </w:t>
      </w:r>
      <w:r w:rsidR="009608E9" w:rsidRPr="009608E9">
        <w:rPr>
          <w:rFonts w:ascii="Arial" w:hAnsi="Arial"/>
        </w:rPr>
        <w:t>on the papers.</w:t>
      </w:r>
    </w:p>
    <w:p w14:paraId="7D22EB0C" w14:textId="23D34577" w:rsidR="009608E9" w:rsidRDefault="009608E9" w:rsidP="004E6B7B">
      <w:pPr>
        <w:spacing w:line="360" w:lineRule="auto"/>
        <w:jc w:val="both"/>
        <w:rPr>
          <w:rFonts w:ascii="Arial" w:hAnsi="Arial"/>
        </w:rPr>
      </w:pPr>
    </w:p>
    <w:p w14:paraId="43D5F1FD" w14:textId="5126A06D" w:rsidR="002165DA" w:rsidRDefault="00A47A48" w:rsidP="004E6B7B">
      <w:pPr>
        <w:spacing w:line="360" w:lineRule="auto"/>
        <w:jc w:val="both"/>
        <w:rPr>
          <w:rFonts w:ascii="Arial" w:hAnsi="Arial"/>
        </w:rPr>
      </w:pPr>
      <w:r>
        <w:rPr>
          <w:rFonts w:ascii="Arial" w:hAnsi="Arial"/>
        </w:rPr>
        <w:lastRenderedPageBreak/>
        <w:t>[17</w:t>
      </w:r>
      <w:r w:rsidR="009608E9">
        <w:rPr>
          <w:rFonts w:ascii="Arial" w:hAnsi="Arial"/>
        </w:rPr>
        <w:t>]</w:t>
      </w:r>
      <w:r w:rsidR="009608E9">
        <w:rPr>
          <w:rFonts w:ascii="Arial" w:hAnsi="Arial"/>
        </w:rPr>
        <w:tab/>
        <w:t>I</w:t>
      </w:r>
      <w:r w:rsidR="0085230D">
        <w:rPr>
          <w:rFonts w:ascii="Arial" w:hAnsi="Arial"/>
        </w:rPr>
        <w:t>n determining whether I should accept</w:t>
      </w:r>
      <w:r w:rsidR="002165DA">
        <w:rPr>
          <w:rFonts w:ascii="Arial" w:hAnsi="Arial"/>
        </w:rPr>
        <w:t xml:space="preserve"> the facts advanced by </w:t>
      </w:r>
      <w:r w:rsidR="00D60C27">
        <w:rPr>
          <w:rFonts w:ascii="Arial" w:hAnsi="Arial"/>
        </w:rPr>
        <w:t>the respondent</w:t>
      </w:r>
      <w:r w:rsidR="002165DA">
        <w:rPr>
          <w:rFonts w:ascii="Arial" w:hAnsi="Arial"/>
        </w:rPr>
        <w:t>,</w:t>
      </w:r>
      <w:r w:rsidR="0085230D">
        <w:rPr>
          <w:rFonts w:ascii="Arial" w:hAnsi="Arial"/>
        </w:rPr>
        <w:t xml:space="preserve"> I shall have regard to the annexures attached to the applicant</w:t>
      </w:r>
      <w:r w:rsidR="002165DA">
        <w:rPr>
          <w:rFonts w:ascii="Arial" w:hAnsi="Arial"/>
        </w:rPr>
        <w:t>’</w:t>
      </w:r>
      <w:r w:rsidR="0085230D">
        <w:rPr>
          <w:rFonts w:ascii="Arial" w:hAnsi="Arial"/>
        </w:rPr>
        <w:t xml:space="preserve">s founding affidavit. </w:t>
      </w:r>
      <w:r w:rsidR="00CF5A04">
        <w:rPr>
          <w:rFonts w:ascii="Arial" w:hAnsi="Arial"/>
        </w:rPr>
        <w:t>From th</w:t>
      </w:r>
      <w:r w:rsidR="002165DA">
        <w:rPr>
          <w:rFonts w:ascii="Arial" w:hAnsi="Arial"/>
        </w:rPr>
        <w:t>os</w:t>
      </w:r>
      <w:r w:rsidR="00CF5A04">
        <w:rPr>
          <w:rFonts w:ascii="Arial" w:hAnsi="Arial"/>
        </w:rPr>
        <w:t>e ann</w:t>
      </w:r>
      <w:r w:rsidR="002165DA">
        <w:rPr>
          <w:rFonts w:ascii="Arial" w:hAnsi="Arial"/>
        </w:rPr>
        <w:t>exures,</w:t>
      </w:r>
      <w:r w:rsidR="00CF5A04">
        <w:rPr>
          <w:rFonts w:ascii="Arial" w:hAnsi="Arial"/>
        </w:rPr>
        <w:t xml:space="preserve"> I find that o</w:t>
      </w:r>
      <w:r w:rsidR="0085230D">
        <w:rPr>
          <w:rFonts w:ascii="Arial" w:hAnsi="Arial"/>
        </w:rPr>
        <w:t>n 13 July 2011</w:t>
      </w:r>
      <w:r w:rsidR="002165DA">
        <w:rPr>
          <w:rFonts w:ascii="Arial" w:hAnsi="Arial"/>
        </w:rPr>
        <w:t>,</w:t>
      </w:r>
      <w:r w:rsidR="0085230D">
        <w:rPr>
          <w:rFonts w:ascii="Arial" w:hAnsi="Arial"/>
        </w:rPr>
        <w:t xml:space="preserve"> a certain </w:t>
      </w:r>
      <w:r w:rsidR="002165DA">
        <w:rPr>
          <w:rFonts w:ascii="Arial" w:hAnsi="Arial"/>
        </w:rPr>
        <w:t xml:space="preserve">Mr. </w:t>
      </w:r>
      <w:r w:rsidR="0085230D">
        <w:rPr>
          <w:rFonts w:ascii="Arial" w:hAnsi="Arial"/>
        </w:rPr>
        <w:t>Hiskia Auchab</w:t>
      </w:r>
      <w:r w:rsidR="002165DA">
        <w:rPr>
          <w:rFonts w:ascii="Arial" w:hAnsi="Arial"/>
        </w:rPr>
        <w:t>,</w:t>
      </w:r>
      <w:r w:rsidR="0085230D">
        <w:rPr>
          <w:rFonts w:ascii="Arial" w:hAnsi="Arial"/>
        </w:rPr>
        <w:t xml:space="preserve"> who described himself as the Executive Director of the first respondent</w:t>
      </w:r>
      <w:r w:rsidR="002165DA">
        <w:rPr>
          <w:rFonts w:ascii="Arial" w:hAnsi="Arial"/>
        </w:rPr>
        <w:t>,</w:t>
      </w:r>
      <w:r w:rsidR="0085230D">
        <w:rPr>
          <w:rFonts w:ascii="Arial" w:hAnsi="Arial"/>
        </w:rPr>
        <w:t xml:space="preserve"> sent an email to the applicant</w:t>
      </w:r>
      <w:r w:rsidR="0085230D">
        <w:rPr>
          <w:rStyle w:val="FootnoteReference"/>
          <w:rFonts w:ascii="Arial" w:hAnsi="Arial"/>
        </w:rPr>
        <w:footnoteReference w:id="4"/>
      </w:r>
      <w:r w:rsidR="0085230D">
        <w:rPr>
          <w:rFonts w:ascii="Arial" w:hAnsi="Arial"/>
        </w:rPr>
        <w:t xml:space="preserve">. In that email he communicated that the third respondent was the </w:t>
      </w:r>
      <w:r w:rsidR="00D60C27">
        <w:rPr>
          <w:rFonts w:ascii="Arial" w:hAnsi="Arial"/>
        </w:rPr>
        <w:t>‘CEO  &amp;</w:t>
      </w:r>
      <w:r w:rsidR="0085230D">
        <w:rPr>
          <w:rFonts w:ascii="Arial" w:hAnsi="Arial"/>
        </w:rPr>
        <w:t xml:space="preserve"> Chairman of the Petroholland Group of Companies’. </w:t>
      </w:r>
    </w:p>
    <w:p w14:paraId="6E7EF431" w14:textId="77777777" w:rsidR="00A47A48" w:rsidRDefault="00A47A48" w:rsidP="004E6B7B">
      <w:pPr>
        <w:spacing w:line="360" w:lineRule="auto"/>
        <w:jc w:val="both"/>
        <w:rPr>
          <w:rFonts w:ascii="Arial" w:hAnsi="Arial"/>
        </w:rPr>
      </w:pPr>
    </w:p>
    <w:p w14:paraId="1FF27E21" w14:textId="6792316C" w:rsidR="002165DA" w:rsidRDefault="00A47A48" w:rsidP="004E6B7B">
      <w:pPr>
        <w:spacing w:line="360" w:lineRule="auto"/>
        <w:jc w:val="both"/>
        <w:rPr>
          <w:rFonts w:ascii="Arial" w:hAnsi="Arial"/>
        </w:rPr>
      </w:pPr>
      <w:r>
        <w:rPr>
          <w:rFonts w:ascii="Arial" w:hAnsi="Arial"/>
        </w:rPr>
        <w:t>[18</w:t>
      </w:r>
      <w:r w:rsidR="002165DA">
        <w:rPr>
          <w:rFonts w:ascii="Arial" w:hAnsi="Arial"/>
        </w:rPr>
        <w:t>]</w:t>
      </w:r>
      <w:r w:rsidR="002165DA">
        <w:rPr>
          <w:rFonts w:ascii="Arial" w:hAnsi="Arial"/>
        </w:rPr>
        <w:tab/>
      </w:r>
      <w:r w:rsidR="0085230D">
        <w:rPr>
          <w:rFonts w:ascii="Arial" w:hAnsi="Arial"/>
        </w:rPr>
        <w:t>On 18 August 2011</w:t>
      </w:r>
      <w:r w:rsidR="002165DA">
        <w:rPr>
          <w:rFonts w:ascii="Arial" w:hAnsi="Arial"/>
        </w:rPr>
        <w:t>, the</w:t>
      </w:r>
      <w:r w:rsidR="0085230D">
        <w:rPr>
          <w:rFonts w:ascii="Arial" w:hAnsi="Arial"/>
        </w:rPr>
        <w:t xml:space="preserve"> respondent</w:t>
      </w:r>
      <w:r w:rsidR="002165DA">
        <w:rPr>
          <w:rFonts w:ascii="Arial" w:hAnsi="Arial"/>
        </w:rPr>
        <w:t xml:space="preserve"> sent an email to the applicant. He</w:t>
      </w:r>
      <w:r w:rsidR="0085230D">
        <w:rPr>
          <w:rFonts w:ascii="Arial" w:hAnsi="Arial"/>
        </w:rPr>
        <w:t xml:space="preserve"> signed of</w:t>
      </w:r>
      <w:r w:rsidR="002165DA">
        <w:rPr>
          <w:rFonts w:ascii="Arial" w:hAnsi="Arial"/>
        </w:rPr>
        <w:t>f</w:t>
      </w:r>
      <w:r w:rsidR="0085230D">
        <w:rPr>
          <w:rFonts w:ascii="Arial" w:hAnsi="Arial"/>
        </w:rPr>
        <w:t xml:space="preserve"> the email by describing himself as the Chairman and CEO of the second respondent</w:t>
      </w:r>
      <w:r w:rsidR="0085230D">
        <w:rPr>
          <w:rStyle w:val="FootnoteReference"/>
          <w:rFonts w:ascii="Arial" w:hAnsi="Arial"/>
        </w:rPr>
        <w:footnoteReference w:id="5"/>
      </w:r>
      <w:r w:rsidR="002165DA">
        <w:rPr>
          <w:rFonts w:ascii="Arial" w:hAnsi="Arial"/>
        </w:rPr>
        <w:t>. On 12 September 2011 the</w:t>
      </w:r>
      <w:r w:rsidR="0085230D">
        <w:rPr>
          <w:rFonts w:ascii="Arial" w:hAnsi="Arial"/>
        </w:rPr>
        <w:t xml:space="preserve"> respondent sent an email to the legal representatives of the applicant </w:t>
      </w:r>
      <w:r w:rsidR="002165DA">
        <w:rPr>
          <w:rFonts w:ascii="Arial" w:hAnsi="Arial"/>
        </w:rPr>
        <w:t xml:space="preserve">and </w:t>
      </w:r>
      <w:r w:rsidR="0085230D">
        <w:rPr>
          <w:rFonts w:ascii="Arial" w:hAnsi="Arial"/>
        </w:rPr>
        <w:t>he signed of</w:t>
      </w:r>
      <w:r w:rsidR="002165DA">
        <w:rPr>
          <w:rFonts w:ascii="Arial" w:hAnsi="Arial"/>
        </w:rPr>
        <w:t>f</w:t>
      </w:r>
      <w:r w:rsidR="0085230D">
        <w:rPr>
          <w:rFonts w:ascii="Arial" w:hAnsi="Arial"/>
        </w:rPr>
        <w:t xml:space="preserve"> the email as ‘CEO of the second respondent’</w:t>
      </w:r>
      <w:r w:rsidR="002165DA">
        <w:rPr>
          <w:rFonts w:ascii="Arial" w:hAnsi="Arial"/>
        </w:rPr>
        <w:t>,</w:t>
      </w:r>
      <w:r w:rsidR="0085230D">
        <w:rPr>
          <w:rFonts w:ascii="Arial" w:hAnsi="Arial"/>
        </w:rPr>
        <w:t xml:space="preserve"> which company he described as a subsidiary of the first respondent</w:t>
      </w:r>
      <w:r w:rsidR="0085230D">
        <w:rPr>
          <w:rStyle w:val="FootnoteReference"/>
          <w:rFonts w:ascii="Arial" w:hAnsi="Arial"/>
        </w:rPr>
        <w:footnoteReference w:id="6"/>
      </w:r>
      <w:r w:rsidR="00045D8B">
        <w:rPr>
          <w:rFonts w:ascii="Arial" w:hAnsi="Arial"/>
        </w:rPr>
        <w:t xml:space="preserve">. </w:t>
      </w:r>
    </w:p>
    <w:p w14:paraId="2D28A923" w14:textId="77777777" w:rsidR="002165DA" w:rsidRDefault="002165DA" w:rsidP="004E6B7B">
      <w:pPr>
        <w:spacing w:line="360" w:lineRule="auto"/>
        <w:jc w:val="both"/>
        <w:rPr>
          <w:rFonts w:ascii="Arial" w:hAnsi="Arial"/>
        </w:rPr>
      </w:pPr>
    </w:p>
    <w:p w14:paraId="7B1CBC52" w14:textId="7D35F0D6" w:rsidR="009608E9" w:rsidRDefault="00A47A48" w:rsidP="004E6B7B">
      <w:pPr>
        <w:spacing w:line="360" w:lineRule="auto"/>
        <w:jc w:val="both"/>
        <w:rPr>
          <w:rFonts w:ascii="Arial" w:hAnsi="Arial"/>
        </w:rPr>
      </w:pPr>
      <w:r>
        <w:rPr>
          <w:rFonts w:ascii="Arial" w:hAnsi="Arial"/>
        </w:rPr>
        <w:t>[19</w:t>
      </w:r>
      <w:r w:rsidR="002165DA">
        <w:rPr>
          <w:rFonts w:ascii="Arial" w:hAnsi="Arial"/>
        </w:rPr>
        <w:t>]</w:t>
      </w:r>
      <w:r w:rsidR="002165DA">
        <w:rPr>
          <w:rFonts w:ascii="Arial" w:hAnsi="Arial"/>
        </w:rPr>
        <w:tab/>
        <w:t xml:space="preserve">In view of the foregoing, I am entitled and hereby reject the denial by the </w:t>
      </w:r>
      <w:r w:rsidR="00045D8B">
        <w:rPr>
          <w:rFonts w:ascii="Arial" w:hAnsi="Arial"/>
        </w:rPr>
        <w:t xml:space="preserve">respondent that he is the CEO of the first and second respondent as clearly untenable. I </w:t>
      </w:r>
      <w:r w:rsidR="002165DA">
        <w:rPr>
          <w:rFonts w:ascii="Arial" w:hAnsi="Arial"/>
        </w:rPr>
        <w:t>therefor find on the papers that the</w:t>
      </w:r>
      <w:r w:rsidR="00045D8B">
        <w:rPr>
          <w:rFonts w:ascii="Arial" w:hAnsi="Arial"/>
        </w:rPr>
        <w:t xml:space="preserve"> respondent is the CEO of the first and second respondent</w:t>
      </w:r>
      <w:r w:rsidR="002165DA">
        <w:rPr>
          <w:rFonts w:ascii="Arial" w:hAnsi="Arial"/>
        </w:rPr>
        <w:t>s</w:t>
      </w:r>
      <w:r w:rsidR="00045D8B">
        <w:rPr>
          <w:rFonts w:ascii="Arial" w:hAnsi="Arial"/>
        </w:rPr>
        <w:t>. I move o</w:t>
      </w:r>
      <w:r w:rsidR="00DA463C">
        <w:rPr>
          <w:rFonts w:ascii="Arial" w:hAnsi="Arial"/>
        </w:rPr>
        <w:t xml:space="preserve">n to consider whether the </w:t>
      </w:r>
      <w:r w:rsidR="00045D8B">
        <w:rPr>
          <w:rFonts w:ascii="Arial" w:hAnsi="Arial"/>
        </w:rPr>
        <w:t xml:space="preserve">respondent was properly served </w:t>
      </w:r>
      <w:r w:rsidR="00DA463C">
        <w:rPr>
          <w:rFonts w:ascii="Arial" w:hAnsi="Arial"/>
        </w:rPr>
        <w:t xml:space="preserve">with the present application </w:t>
      </w:r>
      <w:r w:rsidR="00045D8B">
        <w:rPr>
          <w:rFonts w:ascii="Arial" w:hAnsi="Arial"/>
        </w:rPr>
        <w:t>in terms of the rules of this court.</w:t>
      </w:r>
    </w:p>
    <w:p w14:paraId="6FE6F77C" w14:textId="77777777" w:rsidR="001F4F67" w:rsidRDefault="001F4F67" w:rsidP="004E6B7B">
      <w:pPr>
        <w:spacing w:line="360" w:lineRule="auto"/>
        <w:jc w:val="both"/>
        <w:rPr>
          <w:rFonts w:ascii="Arial" w:hAnsi="Arial"/>
        </w:rPr>
      </w:pPr>
    </w:p>
    <w:p w14:paraId="66F1165D" w14:textId="2B229DC6" w:rsidR="004E6B7B" w:rsidRPr="00045D8B" w:rsidRDefault="00045D8B" w:rsidP="004E6B7B">
      <w:pPr>
        <w:spacing w:line="360" w:lineRule="auto"/>
        <w:jc w:val="both"/>
        <w:rPr>
          <w:rFonts w:ascii="Arial" w:hAnsi="Arial"/>
          <w:u w:val="single"/>
        </w:rPr>
      </w:pPr>
      <w:r w:rsidRPr="00045D8B">
        <w:rPr>
          <w:rFonts w:ascii="Arial" w:hAnsi="Arial"/>
          <w:u w:val="single"/>
          <w:lang w:val="en-US"/>
        </w:rPr>
        <w:t>Was there proper service on the third respondent</w:t>
      </w:r>
      <w:r w:rsidR="00DA463C">
        <w:rPr>
          <w:rFonts w:ascii="Arial" w:hAnsi="Arial"/>
          <w:u w:val="single"/>
        </w:rPr>
        <w:t>?</w:t>
      </w:r>
    </w:p>
    <w:p w14:paraId="49F3E2D3" w14:textId="3FFC351E" w:rsidR="004E6B7B" w:rsidRPr="004E6B7B" w:rsidRDefault="004E6B7B" w:rsidP="004E6B7B">
      <w:pPr>
        <w:spacing w:line="360" w:lineRule="auto"/>
        <w:jc w:val="both"/>
        <w:rPr>
          <w:rFonts w:ascii="Arial" w:hAnsi="Arial"/>
        </w:rPr>
      </w:pPr>
      <w:r w:rsidRPr="004E6B7B">
        <w:rPr>
          <w:rFonts w:ascii="Arial" w:hAnsi="Arial"/>
        </w:rPr>
        <w:t xml:space="preserve"> </w:t>
      </w:r>
    </w:p>
    <w:p w14:paraId="4650E5DD" w14:textId="5A74EBB2" w:rsidR="00DB115A" w:rsidRDefault="00A47A48" w:rsidP="00926FE7">
      <w:pPr>
        <w:spacing w:line="360" w:lineRule="auto"/>
        <w:jc w:val="both"/>
        <w:rPr>
          <w:rFonts w:ascii="Arial" w:hAnsi="Arial"/>
        </w:rPr>
      </w:pPr>
      <w:r>
        <w:rPr>
          <w:rFonts w:ascii="Arial" w:hAnsi="Arial"/>
        </w:rPr>
        <w:t>[20</w:t>
      </w:r>
      <w:r w:rsidR="00045D8B">
        <w:rPr>
          <w:rFonts w:ascii="Arial" w:hAnsi="Arial"/>
        </w:rPr>
        <w:t>]</w:t>
      </w:r>
      <w:r w:rsidR="00045D8B">
        <w:rPr>
          <w:rFonts w:ascii="Arial" w:hAnsi="Arial"/>
        </w:rPr>
        <w:tab/>
      </w:r>
      <w:r w:rsidR="00DB115A">
        <w:rPr>
          <w:rFonts w:ascii="Arial" w:hAnsi="Arial"/>
        </w:rPr>
        <w:t>The return of service, filed by the Deputy Sheriff indicates that service on the respondent was effected as follows:</w:t>
      </w:r>
    </w:p>
    <w:p w14:paraId="49CABA56" w14:textId="77777777" w:rsidR="00DB115A" w:rsidRDefault="00DB115A" w:rsidP="00926FE7">
      <w:pPr>
        <w:spacing w:line="360" w:lineRule="auto"/>
        <w:jc w:val="both"/>
        <w:rPr>
          <w:rFonts w:ascii="Arial" w:hAnsi="Arial"/>
        </w:rPr>
      </w:pPr>
    </w:p>
    <w:p w14:paraId="6F027B8E" w14:textId="77777777" w:rsidR="003D2393" w:rsidRDefault="00DB115A" w:rsidP="00926FE7">
      <w:pPr>
        <w:spacing w:line="360" w:lineRule="auto"/>
        <w:jc w:val="both"/>
        <w:rPr>
          <w:rFonts w:ascii="Arial" w:hAnsi="Arial"/>
          <w:sz w:val="22"/>
          <w:szCs w:val="22"/>
        </w:rPr>
      </w:pPr>
      <w:r>
        <w:rPr>
          <w:rFonts w:ascii="Arial" w:hAnsi="Arial"/>
        </w:rPr>
        <w:tab/>
        <w:t>‘</w:t>
      </w:r>
      <w:r>
        <w:rPr>
          <w:rFonts w:ascii="Arial" w:hAnsi="Arial"/>
          <w:sz w:val="22"/>
          <w:szCs w:val="22"/>
        </w:rPr>
        <w:t>I, the undersigned, G B ESSOP, do certify that I have on the 21</w:t>
      </w:r>
      <w:r w:rsidRPr="00DB115A">
        <w:rPr>
          <w:rFonts w:ascii="Arial" w:hAnsi="Arial"/>
          <w:sz w:val="22"/>
          <w:szCs w:val="22"/>
          <w:vertAlign w:val="superscript"/>
        </w:rPr>
        <w:t>st</w:t>
      </w:r>
      <w:r>
        <w:rPr>
          <w:rFonts w:ascii="Arial" w:hAnsi="Arial"/>
          <w:sz w:val="22"/>
          <w:szCs w:val="22"/>
        </w:rPr>
        <w:t xml:space="preserve"> day of November 2012 at 14h33, duly served a NOTICE OF MOTION, AFFIDAVIT, ANNEXURES ‘FB1 UP TO FB10’ AND A SUPPLEMENTARY AFFIDAVIT, on KARIN MULLER, apparently in charge at the given address, the same time handing to her a </w:t>
      </w:r>
      <w:r>
        <w:rPr>
          <w:rFonts w:ascii="Arial" w:hAnsi="Arial"/>
          <w:sz w:val="22"/>
          <w:szCs w:val="22"/>
        </w:rPr>
        <w:lastRenderedPageBreak/>
        <w:t>copy thereof, after exhibiting the original documents and explaining the nature and exigency of the process’.</w:t>
      </w:r>
    </w:p>
    <w:p w14:paraId="4C07E1E0" w14:textId="77777777" w:rsidR="003D2393" w:rsidRDefault="003D2393" w:rsidP="00926FE7">
      <w:pPr>
        <w:spacing w:line="360" w:lineRule="auto"/>
        <w:jc w:val="both"/>
        <w:rPr>
          <w:rFonts w:ascii="Arial" w:hAnsi="Arial"/>
          <w:sz w:val="22"/>
          <w:szCs w:val="22"/>
        </w:rPr>
      </w:pPr>
    </w:p>
    <w:p w14:paraId="2A260593" w14:textId="0326F1FA" w:rsidR="00DB115A" w:rsidRPr="00DB115A" w:rsidRDefault="00A47A48" w:rsidP="00926FE7">
      <w:pPr>
        <w:spacing w:line="360" w:lineRule="auto"/>
        <w:jc w:val="both"/>
        <w:rPr>
          <w:rFonts w:ascii="Arial" w:hAnsi="Arial"/>
          <w:sz w:val="22"/>
          <w:szCs w:val="22"/>
        </w:rPr>
      </w:pPr>
      <w:r>
        <w:rPr>
          <w:rFonts w:ascii="Arial" w:hAnsi="Arial"/>
        </w:rPr>
        <w:t>[21</w:t>
      </w:r>
      <w:r w:rsidR="003D2393">
        <w:rPr>
          <w:rFonts w:ascii="Arial" w:hAnsi="Arial"/>
        </w:rPr>
        <w:t>]</w:t>
      </w:r>
      <w:r w:rsidR="003D2393">
        <w:rPr>
          <w:rFonts w:ascii="Arial" w:hAnsi="Arial"/>
        </w:rPr>
        <w:tab/>
        <w:t>It will be assumed that the service was effected in terms the previous rules, which were in operation at the time. I say so for the reason that on the face of the return of service, it is not indicated the subrule in terms of which service on the said respondent was allegedly effected. I must state that it is important for the Deputy Sheriff, in the return of service, to state the exact subrule in terms of which service was allegedly effected. Once that information</w:t>
      </w:r>
    </w:p>
    <w:p w14:paraId="1900ED17" w14:textId="7CC76FE8" w:rsidR="00DB115A" w:rsidRDefault="003D2393" w:rsidP="00926FE7">
      <w:pPr>
        <w:spacing w:line="360" w:lineRule="auto"/>
        <w:jc w:val="both"/>
        <w:rPr>
          <w:rFonts w:ascii="Arial" w:hAnsi="Arial"/>
        </w:rPr>
      </w:pPr>
      <w:r>
        <w:rPr>
          <w:rFonts w:ascii="Arial" w:hAnsi="Arial"/>
        </w:rPr>
        <w:t>is provided, an independent person, including the court, is then able to gauge whether or not the return was as touted in the return of service, and more importantly, whether it was good in the circumstances.</w:t>
      </w:r>
    </w:p>
    <w:p w14:paraId="53944D11" w14:textId="77777777" w:rsidR="00DB115A" w:rsidRDefault="00DB115A" w:rsidP="00926FE7">
      <w:pPr>
        <w:spacing w:line="360" w:lineRule="auto"/>
        <w:jc w:val="both"/>
        <w:rPr>
          <w:rFonts w:ascii="Arial" w:hAnsi="Arial"/>
        </w:rPr>
      </w:pPr>
    </w:p>
    <w:p w14:paraId="0A1D0B59" w14:textId="792CF7D6" w:rsidR="003D2393" w:rsidRDefault="003D2393" w:rsidP="00926FE7">
      <w:pPr>
        <w:spacing w:line="360" w:lineRule="auto"/>
        <w:jc w:val="both"/>
        <w:rPr>
          <w:rFonts w:ascii="Arial" w:hAnsi="Arial"/>
        </w:rPr>
      </w:pPr>
      <w:r>
        <w:rPr>
          <w:rFonts w:ascii="Arial" w:hAnsi="Arial"/>
        </w:rPr>
        <w:t>[</w:t>
      </w:r>
      <w:r w:rsidR="00A47A48">
        <w:rPr>
          <w:rFonts w:ascii="Arial" w:hAnsi="Arial"/>
        </w:rPr>
        <w:t>22</w:t>
      </w:r>
      <w:r>
        <w:rPr>
          <w:rFonts w:ascii="Arial" w:hAnsi="Arial"/>
        </w:rPr>
        <w:t>]</w:t>
      </w:r>
      <w:r>
        <w:rPr>
          <w:rFonts w:ascii="Arial" w:hAnsi="Arial"/>
        </w:rPr>
        <w:tab/>
        <w:t>The previous rule 4 had different subrules, in terms of which service could be effected on persons. These included personal service (rule 4(1)(</w:t>
      </w:r>
      <w:r>
        <w:rPr>
          <w:rFonts w:ascii="Arial" w:hAnsi="Arial"/>
          <w:i/>
        </w:rPr>
        <w:t>a</w:t>
      </w:r>
      <w:r>
        <w:rPr>
          <w:rFonts w:ascii="Arial" w:hAnsi="Arial"/>
        </w:rPr>
        <w:t>)</w:t>
      </w:r>
      <w:r>
        <w:rPr>
          <w:rFonts w:ascii="Arial" w:hAnsi="Arial"/>
          <w:i/>
        </w:rPr>
        <w:t>(i</w:t>
      </w:r>
      <w:r>
        <w:rPr>
          <w:rFonts w:ascii="Arial" w:hAnsi="Arial"/>
        </w:rPr>
        <w:t>); leaving a copy at the place of residence or business of the person served, guardian, curator or such like person (rule 4(1)(</w:t>
      </w:r>
      <w:r>
        <w:rPr>
          <w:rFonts w:ascii="Arial" w:hAnsi="Arial"/>
          <w:i/>
        </w:rPr>
        <w:t>a</w:t>
      </w:r>
      <w:r>
        <w:rPr>
          <w:rFonts w:ascii="Arial" w:hAnsi="Arial"/>
        </w:rPr>
        <w:t>)(</w:t>
      </w:r>
      <w:r>
        <w:rPr>
          <w:rFonts w:ascii="Arial" w:hAnsi="Arial"/>
          <w:i/>
        </w:rPr>
        <w:t>ii</w:t>
      </w:r>
      <w:r>
        <w:rPr>
          <w:rFonts w:ascii="Arial" w:hAnsi="Arial"/>
        </w:rPr>
        <w:t>); delivering the copy at the place of employment of the person served</w:t>
      </w:r>
      <w:r w:rsidR="00E4047C">
        <w:rPr>
          <w:rFonts w:ascii="Arial" w:hAnsi="Arial"/>
        </w:rPr>
        <w:t xml:space="preserve"> on  guardian, tutor, curator or some like person, apparently not less than 16 years and apparently in authority over the person served (rule 4(1)(</w:t>
      </w:r>
      <w:r w:rsidR="00E4047C">
        <w:rPr>
          <w:rFonts w:ascii="Arial" w:hAnsi="Arial"/>
          <w:i/>
        </w:rPr>
        <w:t>a</w:t>
      </w:r>
      <w:r w:rsidR="00E4047C">
        <w:rPr>
          <w:rFonts w:ascii="Arial" w:hAnsi="Arial"/>
        </w:rPr>
        <w:t>)(</w:t>
      </w:r>
      <w:r w:rsidR="00E4047C">
        <w:rPr>
          <w:rFonts w:ascii="Arial" w:hAnsi="Arial"/>
          <w:i/>
        </w:rPr>
        <w:t>iii</w:t>
      </w:r>
      <w:r w:rsidR="00E4047C">
        <w:rPr>
          <w:rFonts w:ascii="Arial" w:hAnsi="Arial"/>
        </w:rPr>
        <w:t xml:space="preserve">) and if the person has chosen a </w:t>
      </w:r>
      <w:r w:rsidR="00E4047C">
        <w:rPr>
          <w:rFonts w:ascii="Arial" w:hAnsi="Arial"/>
          <w:i/>
        </w:rPr>
        <w:t xml:space="preserve">domicilium citandi, </w:t>
      </w:r>
      <w:r w:rsidR="00E4047C">
        <w:rPr>
          <w:rFonts w:ascii="Arial" w:hAnsi="Arial"/>
        </w:rPr>
        <w:t xml:space="preserve">by delivering or leaving the process at the chosen </w:t>
      </w:r>
      <w:r w:rsidR="00E4047C">
        <w:rPr>
          <w:rFonts w:ascii="Arial" w:hAnsi="Arial"/>
          <w:i/>
        </w:rPr>
        <w:t>domicilium</w:t>
      </w:r>
      <w:r w:rsidR="00E4047C">
        <w:rPr>
          <w:rFonts w:ascii="Arial" w:hAnsi="Arial"/>
        </w:rPr>
        <w:t>.</w:t>
      </w:r>
    </w:p>
    <w:p w14:paraId="4732997C" w14:textId="77777777" w:rsidR="00E4047C" w:rsidRDefault="00E4047C" w:rsidP="00926FE7">
      <w:pPr>
        <w:spacing w:line="360" w:lineRule="auto"/>
        <w:jc w:val="both"/>
        <w:rPr>
          <w:rFonts w:ascii="Arial" w:hAnsi="Arial"/>
        </w:rPr>
      </w:pPr>
    </w:p>
    <w:p w14:paraId="7B36FB1E" w14:textId="4C6282C4" w:rsidR="00E4047C" w:rsidRPr="00E4047C" w:rsidRDefault="00A47A48" w:rsidP="00926FE7">
      <w:pPr>
        <w:spacing w:line="360" w:lineRule="auto"/>
        <w:jc w:val="both"/>
        <w:rPr>
          <w:rFonts w:ascii="Arial" w:hAnsi="Arial"/>
        </w:rPr>
      </w:pPr>
      <w:r>
        <w:rPr>
          <w:rFonts w:ascii="Arial" w:hAnsi="Arial"/>
        </w:rPr>
        <w:t>[23</w:t>
      </w:r>
      <w:r w:rsidR="00E4047C">
        <w:rPr>
          <w:rFonts w:ascii="Arial" w:hAnsi="Arial"/>
        </w:rPr>
        <w:t>]</w:t>
      </w:r>
      <w:r w:rsidR="00E4047C">
        <w:rPr>
          <w:rFonts w:ascii="Arial" w:hAnsi="Arial"/>
        </w:rPr>
        <w:tab/>
        <w:t xml:space="preserve">It is clear that the return of service is clearly defective as it does not state the manner of service as required by the rules. Although it is clear that the service effected was not personal, it is unclear what the nature of the service was. It is not clear what the relationship between the respondent and Ms. Muller, who was served was, nor is it apparent, what the relationship is between </w:t>
      </w:r>
    </w:p>
    <w:p w14:paraId="5F55FBFC" w14:textId="77777777" w:rsidR="00E4047C" w:rsidRDefault="00E4047C" w:rsidP="00926FE7">
      <w:pPr>
        <w:spacing w:line="360" w:lineRule="auto"/>
        <w:jc w:val="both"/>
        <w:rPr>
          <w:rFonts w:ascii="Arial" w:hAnsi="Arial"/>
        </w:rPr>
      </w:pPr>
      <w:r>
        <w:rPr>
          <w:rFonts w:ascii="Arial" w:hAnsi="Arial"/>
        </w:rPr>
        <w:t>the place where service was effected and the respondent.</w:t>
      </w:r>
    </w:p>
    <w:p w14:paraId="1A613AD8" w14:textId="77777777" w:rsidR="00E4047C" w:rsidRDefault="00E4047C" w:rsidP="00926FE7">
      <w:pPr>
        <w:spacing w:line="360" w:lineRule="auto"/>
        <w:jc w:val="both"/>
        <w:rPr>
          <w:rFonts w:ascii="Arial" w:hAnsi="Arial"/>
        </w:rPr>
      </w:pPr>
    </w:p>
    <w:p w14:paraId="7B5D6A7A" w14:textId="71A88216" w:rsidR="00DB115A" w:rsidRDefault="00A47A48" w:rsidP="00926FE7">
      <w:pPr>
        <w:spacing w:line="360" w:lineRule="auto"/>
        <w:jc w:val="both"/>
        <w:rPr>
          <w:rFonts w:ascii="Arial" w:hAnsi="Arial"/>
        </w:rPr>
      </w:pPr>
      <w:r>
        <w:rPr>
          <w:rFonts w:ascii="Arial" w:hAnsi="Arial"/>
        </w:rPr>
        <w:t>[24</w:t>
      </w:r>
      <w:r w:rsidR="00E4047C">
        <w:rPr>
          <w:rFonts w:ascii="Arial" w:hAnsi="Arial"/>
        </w:rPr>
        <w:t>]</w:t>
      </w:r>
      <w:r w:rsidR="00E4047C">
        <w:rPr>
          <w:rFonts w:ascii="Arial" w:hAnsi="Arial"/>
        </w:rPr>
        <w:tab/>
        <w:t>In such matters, the onus is on the person on whose behalf the papers are served, to show to the court that the process in issue</w:t>
      </w:r>
      <w:r w:rsidR="0040137C">
        <w:rPr>
          <w:rFonts w:ascii="Arial" w:hAnsi="Arial"/>
        </w:rPr>
        <w:t xml:space="preserve"> was served on the intended rec</w:t>
      </w:r>
      <w:r w:rsidR="00E4047C">
        <w:rPr>
          <w:rFonts w:ascii="Arial" w:hAnsi="Arial"/>
        </w:rPr>
        <w:t xml:space="preserve">ipient and in a manner authorised by the rules of court. It is once service has been effected in a manner authorised by the rules or in some other manner authorised by the court in its discretion and upon application, that a </w:t>
      </w:r>
      <w:r w:rsidR="00E4047C">
        <w:rPr>
          <w:rFonts w:ascii="Arial" w:hAnsi="Arial"/>
        </w:rPr>
        <w:lastRenderedPageBreak/>
        <w:t xml:space="preserve">person to be served may be called upon to answer the question of service. In the instant case, I come to the inexorable conclusion that the respondent was not served with the application in any of the manners of service authorised by the rules    </w:t>
      </w:r>
    </w:p>
    <w:p w14:paraId="4AA066D6" w14:textId="77777777" w:rsidR="004E6B7B" w:rsidRDefault="004E6B7B" w:rsidP="00926FE7">
      <w:pPr>
        <w:spacing w:line="360" w:lineRule="auto"/>
        <w:jc w:val="both"/>
        <w:rPr>
          <w:rFonts w:ascii="Arial" w:hAnsi="Arial"/>
        </w:rPr>
      </w:pPr>
    </w:p>
    <w:p w14:paraId="6A37DF7F" w14:textId="03186CE2" w:rsidR="00895DE8" w:rsidRDefault="00A47A48" w:rsidP="00A47A48">
      <w:pPr>
        <w:tabs>
          <w:tab w:val="left" w:pos="1182"/>
        </w:tabs>
        <w:spacing w:line="360" w:lineRule="auto"/>
        <w:jc w:val="both"/>
        <w:rPr>
          <w:rFonts w:ascii="Arial" w:hAnsi="Arial"/>
        </w:rPr>
      </w:pPr>
      <w:r>
        <w:rPr>
          <w:rFonts w:ascii="Arial" w:hAnsi="Arial"/>
        </w:rPr>
        <w:t>[25</w:t>
      </w:r>
      <w:r w:rsidR="00DA463C">
        <w:rPr>
          <w:rFonts w:ascii="Arial" w:hAnsi="Arial"/>
        </w:rPr>
        <w:t>]</w:t>
      </w:r>
      <w:r w:rsidR="006B4572">
        <w:rPr>
          <w:rFonts w:ascii="Arial" w:hAnsi="Arial"/>
        </w:rPr>
        <w:tab/>
      </w:r>
      <w:r w:rsidR="00045D8B">
        <w:rPr>
          <w:rFonts w:ascii="Arial" w:hAnsi="Arial"/>
        </w:rPr>
        <w:t>It is necessary</w:t>
      </w:r>
      <w:r w:rsidR="00DA463C">
        <w:rPr>
          <w:rFonts w:ascii="Arial" w:hAnsi="Arial"/>
        </w:rPr>
        <w:t>, in this regard,</w:t>
      </w:r>
      <w:r w:rsidR="00045D8B">
        <w:rPr>
          <w:rFonts w:ascii="Arial" w:hAnsi="Arial"/>
        </w:rPr>
        <w:t xml:space="preserve"> to consider the approach of the court</w:t>
      </w:r>
      <w:r w:rsidR="000E6D08">
        <w:rPr>
          <w:rFonts w:ascii="Arial" w:hAnsi="Arial"/>
        </w:rPr>
        <w:t xml:space="preserve">s to defective service. </w:t>
      </w:r>
      <w:r w:rsidR="000E6D08" w:rsidRPr="000E6D08">
        <w:rPr>
          <w:rFonts w:ascii="Arial" w:hAnsi="Arial"/>
        </w:rPr>
        <w:t> In </w:t>
      </w:r>
      <w:r w:rsidR="000E6D08" w:rsidRPr="000E6D08">
        <w:rPr>
          <w:rFonts w:ascii="Arial" w:hAnsi="Arial"/>
          <w:i/>
          <w:iCs/>
        </w:rPr>
        <w:t xml:space="preserve">Knouwds </w:t>
      </w:r>
      <w:r w:rsidR="000E6D08" w:rsidRPr="00DA463C">
        <w:rPr>
          <w:rFonts w:ascii="Arial" w:hAnsi="Arial"/>
          <w:b/>
          <w:i/>
          <w:iCs/>
        </w:rPr>
        <w:t>NO</w:t>
      </w:r>
      <w:r w:rsidR="000E6D08" w:rsidRPr="000E6D08">
        <w:rPr>
          <w:rFonts w:ascii="Arial" w:hAnsi="Arial"/>
          <w:i/>
          <w:iCs/>
        </w:rPr>
        <w:t xml:space="preserve"> v Josea and Another</w:t>
      </w:r>
      <w:r w:rsidR="000E6D08">
        <w:rPr>
          <w:rStyle w:val="FootnoteReference"/>
          <w:rFonts w:ascii="Arial" w:hAnsi="Arial"/>
          <w:i/>
          <w:iCs/>
        </w:rPr>
        <w:footnoteReference w:id="7"/>
      </w:r>
      <w:r w:rsidR="000E6D08" w:rsidRPr="000E6D08">
        <w:rPr>
          <w:rFonts w:ascii="Arial" w:hAnsi="Arial"/>
        </w:rPr>
        <w:t>, Damaseb JP had to consider the adequacy of service of a </w:t>
      </w:r>
      <w:r w:rsidR="000E6D08" w:rsidRPr="000E6D08">
        <w:rPr>
          <w:rFonts w:ascii="Arial" w:hAnsi="Arial"/>
          <w:i/>
          <w:iCs/>
        </w:rPr>
        <w:t>rule nisi </w:t>
      </w:r>
      <w:r w:rsidR="000E6D08" w:rsidRPr="000E6D08">
        <w:rPr>
          <w:rFonts w:ascii="Arial" w:hAnsi="Arial"/>
        </w:rPr>
        <w:t>in se</w:t>
      </w:r>
      <w:r w:rsidR="00895DE8">
        <w:rPr>
          <w:rFonts w:ascii="Arial" w:hAnsi="Arial"/>
        </w:rPr>
        <w:t>questration proceedings. The learned</w:t>
      </w:r>
      <w:r w:rsidR="000E6D08" w:rsidRPr="000E6D08">
        <w:rPr>
          <w:rFonts w:ascii="Arial" w:hAnsi="Arial"/>
        </w:rPr>
        <w:t xml:space="preserve"> JP found that on the record before him</w:t>
      </w:r>
      <w:r w:rsidR="000E6D08">
        <w:rPr>
          <w:rFonts w:ascii="Arial" w:hAnsi="Arial"/>
          <w:lang w:val="en-US"/>
        </w:rPr>
        <w:t xml:space="preserve">, </w:t>
      </w:r>
      <w:r w:rsidR="000E6D08" w:rsidRPr="000E6D08">
        <w:rPr>
          <w:rFonts w:ascii="Arial" w:hAnsi="Arial"/>
        </w:rPr>
        <w:t>the respondent the sequestration of whose estate was sought (Mr Josea) had not been served with a copy of the </w:t>
      </w:r>
      <w:r w:rsidR="000E6D08" w:rsidRPr="000E6D08">
        <w:rPr>
          <w:rFonts w:ascii="Arial" w:hAnsi="Arial"/>
          <w:i/>
          <w:iCs/>
        </w:rPr>
        <w:t>rule nisi</w:t>
      </w:r>
      <w:r w:rsidR="000E6D08" w:rsidRPr="000E6D08">
        <w:rPr>
          <w:rFonts w:ascii="Arial" w:hAnsi="Arial"/>
        </w:rPr>
        <w:t xml:space="preserve"> and the founding papers and he held that the proceedings were accordingly null and void. </w:t>
      </w:r>
    </w:p>
    <w:p w14:paraId="3CD86C78" w14:textId="77777777" w:rsidR="00895DE8" w:rsidRDefault="00895DE8" w:rsidP="000E6D08">
      <w:pPr>
        <w:spacing w:line="360" w:lineRule="auto"/>
        <w:jc w:val="both"/>
        <w:rPr>
          <w:rFonts w:ascii="Arial" w:hAnsi="Arial"/>
        </w:rPr>
      </w:pPr>
    </w:p>
    <w:p w14:paraId="1981A8B5" w14:textId="3CFE2C93" w:rsidR="000E6D08" w:rsidRDefault="00A47A48" w:rsidP="000E6D08">
      <w:pPr>
        <w:spacing w:line="360" w:lineRule="auto"/>
        <w:jc w:val="both"/>
        <w:rPr>
          <w:rFonts w:ascii="Arial" w:hAnsi="Arial"/>
        </w:rPr>
      </w:pPr>
      <w:r>
        <w:rPr>
          <w:rFonts w:ascii="Arial" w:hAnsi="Arial"/>
        </w:rPr>
        <w:t>[26</w:t>
      </w:r>
      <w:r w:rsidR="00895DE8">
        <w:rPr>
          <w:rFonts w:ascii="Arial" w:hAnsi="Arial"/>
        </w:rPr>
        <w:t>]</w:t>
      </w:r>
      <w:r w:rsidR="00895DE8">
        <w:rPr>
          <w:rFonts w:ascii="Arial" w:hAnsi="Arial"/>
        </w:rPr>
        <w:tab/>
        <w:t>In pronouncing the applicable law, the court held that:</w:t>
      </w:r>
    </w:p>
    <w:p w14:paraId="6897332E" w14:textId="77777777" w:rsidR="000E6D08" w:rsidRPr="000E6D08" w:rsidRDefault="000E6D08" w:rsidP="000E6D08">
      <w:pPr>
        <w:spacing w:line="360" w:lineRule="auto"/>
        <w:jc w:val="both"/>
        <w:rPr>
          <w:rFonts w:ascii="Arial" w:hAnsi="Arial"/>
        </w:rPr>
      </w:pPr>
    </w:p>
    <w:p w14:paraId="5FE843EF" w14:textId="36BCBA0B" w:rsidR="00045D8B" w:rsidRPr="00CF5A04" w:rsidRDefault="000E6D08" w:rsidP="00895DE8">
      <w:pPr>
        <w:spacing w:line="360" w:lineRule="auto"/>
        <w:ind w:firstLine="720"/>
        <w:jc w:val="both"/>
        <w:rPr>
          <w:rFonts w:ascii="Arial" w:hAnsi="Arial"/>
          <w:sz w:val="22"/>
          <w:szCs w:val="22"/>
          <w:lang w:val="en-US"/>
        </w:rPr>
      </w:pPr>
      <w:r w:rsidRPr="00CF5A04">
        <w:rPr>
          <w:rFonts w:ascii="Arial" w:hAnsi="Arial"/>
          <w:sz w:val="22"/>
          <w:szCs w:val="22"/>
        </w:rPr>
        <w:t xml:space="preserve">‘Where there is complete failure of service it matters not that, regardless, the affected party somehow became aware of the legal process against it, entered appearance and is represented in the proceedings. </w:t>
      </w:r>
      <w:r w:rsidRPr="00CF5A04">
        <w:rPr>
          <w:rFonts w:ascii="Arial" w:hAnsi="Arial"/>
          <w:sz w:val="22"/>
          <w:szCs w:val="22"/>
          <w:u w:val="single"/>
        </w:rPr>
        <w:t xml:space="preserve">A proceeding that has taken place without service is a nullity and it is not competent for a court to </w:t>
      </w:r>
      <w:r w:rsidRPr="00CF5A04">
        <w:rPr>
          <w:rFonts w:ascii="Arial" w:hAnsi="Arial"/>
          <w:b/>
          <w:bCs/>
          <w:sz w:val="22"/>
          <w:szCs w:val="22"/>
          <w:u w:val="single"/>
        </w:rPr>
        <w:t>condone it</w:t>
      </w:r>
      <w:r w:rsidRPr="00CF5A04">
        <w:rPr>
          <w:rFonts w:ascii="Arial" w:hAnsi="Arial"/>
          <w:b/>
          <w:bCs/>
          <w:sz w:val="22"/>
          <w:szCs w:val="22"/>
        </w:rPr>
        <w:t>.</w:t>
      </w:r>
      <w:r w:rsidRPr="00CF5A04">
        <w:rPr>
          <w:rFonts w:ascii="Arial" w:hAnsi="Arial"/>
          <w:sz w:val="22"/>
          <w:szCs w:val="22"/>
        </w:rPr>
        <w:t>’</w:t>
      </w:r>
      <w:r w:rsidR="00CF5A04">
        <w:rPr>
          <w:rFonts w:ascii="Arial" w:hAnsi="Arial"/>
          <w:sz w:val="22"/>
          <w:szCs w:val="22"/>
          <w:lang w:val="en-US"/>
        </w:rPr>
        <w:t xml:space="preserve"> (Emphasis</w:t>
      </w:r>
      <w:r w:rsidR="00895DE8">
        <w:rPr>
          <w:rFonts w:ascii="Arial" w:hAnsi="Arial"/>
          <w:sz w:val="22"/>
          <w:szCs w:val="22"/>
          <w:lang w:val="en-US"/>
        </w:rPr>
        <w:t xml:space="preserve"> added</w:t>
      </w:r>
      <w:r w:rsidR="00CF5A04">
        <w:rPr>
          <w:rFonts w:ascii="Arial" w:hAnsi="Arial"/>
          <w:sz w:val="22"/>
          <w:szCs w:val="22"/>
          <w:lang w:val="en-US"/>
        </w:rPr>
        <w:t>)</w:t>
      </w:r>
      <w:r w:rsidR="00895DE8">
        <w:rPr>
          <w:rFonts w:ascii="Arial" w:hAnsi="Arial"/>
          <w:sz w:val="22"/>
          <w:szCs w:val="22"/>
          <w:lang w:val="en-US"/>
        </w:rPr>
        <w:t>.</w:t>
      </w:r>
    </w:p>
    <w:p w14:paraId="30A76C70" w14:textId="0B935F1B" w:rsidR="00DB40A9" w:rsidRDefault="00DB40A9" w:rsidP="00926FE7">
      <w:pPr>
        <w:spacing w:line="360" w:lineRule="auto"/>
        <w:jc w:val="both"/>
        <w:rPr>
          <w:rFonts w:ascii="Arial" w:hAnsi="Arial"/>
        </w:rPr>
      </w:pPr>
    </w:p>
    <w:p w14:paraId="3DA0B289" w14:textId="01656E83" w:rsidR="00DB40A9" w:rsidRDefault="00895DE8" w:rsidP="00DB40A9">
      <w:pPr>
        <w:spacing w:line="360" w:lineRule="auto"/>
        <w:jc w:val="both"/>
        <w:rPr>
          <w:rFonts w:ascii="Arial" w:hAnsi="Arial"/>
          <w:lang w:val="en-US"/>
        </w:rPr>
      </w:pPr>
      <w:r>
        <w:rPr>
          <w:rFonts w:ascii="Arial" w:hAnsi="Arial"/>
        </w:rPr>
        <w:t>[</w:t>
      </w:r>
      <w:r w:rsidR="000E6D08">
        <w:rPr>
          <w:rFonts w:ascii="Arial" w:hAnsi="Arial"/>
        </w:rPr>
        <w:t>2</w:t>
      </w:r>
      <w:r w:rsidR="00A47A48">
        <w:rPr>
          <w:rFonts w:ascii="Arial" w:hAnsi="Arial"/>
        </w:rPr>
        <w:t>7</w:t>
      </w:r>
      <w:r w:rsidR="000E6D08">
        <w:rPr>
          <w:rFonts w:ascii="Arial" w:hAnsi="Arial"/>
        </w:rPr>
        <w:t>]</w:t>
      </w:r>
      <w:r w:rsidR="000E6D08">
        <w:rPr>
          <w:rFonts w:ascii="Arial" w:hAnsi="Arial"/>
        </w:rPr>
        <w:tab/>
        <w:t xml:space="preserve">The Supreme Court in </w:t>
      </w:r>
      <w:r w:rsidR="00DB40A9" w:rsidRPr="00CF5A04">
        <w:rPr>
          <w:rFonts w:ascii="Arial" w:hAnsi="Arial"/>
          <w:i/>
          <w:iCs/>
        </w:rPr>
        <w:t>Standard Bank Namibia Ltd and Others v Maletzky and Others</w:t>
      </w:r>
      <w:r w:rsidR="000E6D08">
        <w:rPr>
          <w:rStyle w:val="FootnoteReference"/>
          <w:rFonts w:ascii="Arial" w:hAnsi="Arial"/>
        </w:rPr>
        <w:footnoteReference w:id="8"/>
      </w:r>
      <w:r>
        <w:rPr>
          <w:rFonts w:ascii="Arial" w:hAnsi="Arial"/>
          <w:iCs/>
        </w:rPr>
        <w:t>,</w:t>
      </w:r>
      <w:r w:rsidR="00DB40A9" w:rsidRPr="00DB40A9">
        <w:rPr>
          <w:rFonts w:ascii="Arial" w:hAnsi="Arial"/>
        </w:rPr>
        <w:t xml:space="preserve"> </w:t>
      </w:r>
      <w:r w:rsidR="000E6D08">
        <w:rPr>
          <w:rFonts w:ascii="Arial" w:hAnsi="Arial"/>
          <w:lang w:val="en-US"/>
        </w:rPr>
        <w:t xml:space="preserve">considered the issue of defective service and complete </w:t>
      </w:r>
      <w:r w:rsidR="00CF5A04">
        <w:rPr>
          <w:rFonts w:ascii="Arial" w:hAnsi="Arial"/>
          <w:lang w:val="en-US"/>
        </w:rPr>
        <w:t>failur</w:t>
      </w:r>
      <w:r w:rsidR="000E6D08">
        <w:rPr>
          <w:rFonts w:ascii="Arial" w:hAnsi="Arial"/>
          <w:lang w:val="en-US"/>
        </w:rPr>
        <w:t>e</w:t>
      </w:r>
      <w:r w:rsidR="00CF5A04">
        <w:rPr>
          <w:rFonts w:ascii="Arial" w:hAnsi="Arial"/>
          <w:lang w:val="en-US"/>
        </w:rPr>
        <w:t xml:space="preserve"> of</w:t>
      </w:r>
      <w:r w:rsidR="000E6D08">
        <w:rPr>
          <w:rFonts w:ascii="Arial" w:hAnsi="Arial"/>
          <w:lang w:val="en-US"/>
        </w:rPr>
        <w:t xml:space="preserve"> service and made the fol</w:t>
      </w:r>
      <w:r>
        <w:rPr>
          <w:rFonts w:ascii="Arial" w:hAnsi="Arial"/>
          <w:lang w:val="en-US"/>
        </w:rPr>
        <w:t>lowing findings:</w:t>
      </w:r>
    </w:p>
    <w:p w14:paraId="5076242C" w14:textId="77777777" w:rsidR="000E6D08" w:rsidRPr="000E6D08" w:rsidRDefault="000E6D08" w:rsidP="00DB40A9">
      <w:pPr>
        <w:spacing w:line="360" w:lineRule="auto"/>
        <w:jc w:val="both"/>
        <w:rPr>
          <w:rFonts w:ascii="Arial" w:hAnsi="Arial"/>
          <w:lang w:val="en-US"/>
        </w:rPr>
      </w:pPr>
    </w:p>
    <w:p w14:paraId="780BE841" w14:textId="4D10F8E6" w:rsidR="00DB40A9" w:rsidRPr="00CF5A04" w:rsidRDefault="000E6D08" w:rsidP="00895DE8">
      <w:pPr>
        <w:spacing w:line="360" w:lineRule="auto"/>
        <w:ind w:firstLine="720"/>
        <w:jc w:val="both"/>
        <w:rPr>
          <w:rFonts w:ascii="Arial" w:hAnsi="Arial"/>
          <w:sz w:val="22"/>
          <w:szCs w:val="22"/>
          <w:u w:val="single"/>
        </w:rPr>
      </w:pPr>
      <w:r w:rsidRPr="00CF5A04">
        <w:rPr>
          <w:rFonts w:ascii="Arial" w:hAnsi="Arial"/>
          <w:sz w:val="22"/>
          <w:szCs w:val="22"/>
          <w:u w:val="single"/>
          <w:lang w:val="en-US"/>
        </w:rPr>
        <w:t>‘</w:t>
      </w:r>
      <w:r w:rsidR="00DB40A9" w:rsidRPr="00CF5A04">
        <w:rPr>
          <w:rFonts w:ascii="Arial" w:hAnsi="Arial"/>
          <w:sz w:val="22"/>
          <w:szCs w:val="22"/>
          <w:u w:val="single"/>
        </w:rPr>
        <w:t>What is the purpose of service?</w:t>
      </w:r>
    </w:p>
    <w:p w14:paraId="1F297FA6" w14:textId="77777777" w:rsidR="002C7EB4" w:rsidRPr="00CF5A04" w:rsidRDefault="002C7EB4" w:rsidP="000E6D08">
      <w:pPr>
        <w:spacing w:line="360" w:lineRule="auto"/>
        <w:ind w:left="720" w:firstLine="720"/>
        <w:jc w:val="both"/>
        <w:rPr>
          <w:rFonts w:ascii="Arial" w:hAnsi="Arial"/>
          <w:sz w:val="22"/>
          <w:szCs w:val="22"/>
        </w:rPr>
      </w:pPr>
    </w:p>
    <w:p w14:paraId="7BDA0CB5" w14:textId="7FE7D59C" w:rsidR="00DB40A9" w:rsidRPr="00CF5A04" w:rsidRDefault="00DB40A9" w:rsidP="00895DE8">
      <w:pPr>
        <w:spacing w:line="360" w:lineRule="auto"/>
        <w:jc w:val="both"/>
        <w:rPr>
          <w:rFonts w:ascii="Arial" w:hAnsi="Arial"/>
          <w:sz w:val="22"/>
          <w:szCs w:val="22"/>
          <w:lang w:val="en-US"/>
        </w:rPr>
      </w:pPr>
      <w:r w:rsidRPr="00CF5A04">
        <w:rPr>
          <w:rFonts w:ascii="Arial" w:hAnsi="Arial"/>
          <w:sz w:val="22"/>
          <w:szCs w:val="22"/>
        </w:rPr>
        <w:t>[21] The purpose of service is to notify the person to be served of the nature and contents of the process of court and to provide proof to the court that there has been such notice.</w:t>
      </w:r>
      <w:r w:rsidR="000E6D08" w:rsidRPr="00CF5A04">
        <w:rPr>
          <w:rFonts w:ascii="Arial" w:hAnsi="Arial"/>
          <w:sz w:val="22"/>
          <w:szCs w:val="22"/>
          <w:lang w:val="en-US"/>
        </w:rPr>
        <w:t xml:space="preserve"> </w:t>
      </w:r>
      <w:r w:rsidRPr="00CF5A04">
        <w:rPr>
          <w:rFonts w:ascii="Arial" w:hAnsi="Arial"/>
          <w:sz w:val="22"/>
          <w:szCs w:val="22"/>
        </w:rPr>
        <w:t xml:space="preserve">The substantive principle upon which the rules of service are based is that a person is entitled to know the case being brought against him or her and the rules governing service of process have been carefully formulated to achieve this purpose and litigants should observe them. In construing the rules governing service, and </w:t>
      </w:r>
      <w:r w:rsidRPr="00CF5A04">
        <w:rPr>
          <w:rFonts w:ascii="Arial" w:hAnsi="Arial"/>
          <w:sz w:val="22"/>
          <w:szCs w:val="22"/>
        </w:rPr>
        <w:lastRenderedPageBreak/>
        <w:t>questions whether there has been compliance with them, this fundamental purpose of service should be borne in mind</w:t>
      </w:r>
      <w:r w:rsidR="000E6D08" w:rsidRPr="00CF5A04">
        <w:rPr>
          <w:rFonts w:ascii="Arial" w:hAnsi="Arial"/>
          <w:sz w:val="22"/>
          <w:szCs w:val="22"/>
          <w:lang w:val="en-US"/>
        </w:rPr>
        <w:t>’</w:t>
      </w:r>
    </w:p>
    <w:p w14:paraId="38F362D3" w14:textId="2231DE0E" w:rsidR="00DB40A9" w:rsidRPr="00CF5A04" w:rsidRDefault="00DB40A9" w:rsidP="00926FE7">
      <w:pPr>
        <w:spacing w:line="360" w:lineRule="auto"/>
        <w:jc w:val="both"/>
        <w:rPr>
          <w:rFonts w:ascii="Arial" w:hAnsi="Arial"/>
          <w:sz w:val="22"/>
          <w:szCs w:val="22"/>
        </w:rPr>
      </w:pPr>
    </w:p>
    <w:p w14:paraId="6E2088BD" w14:textId="4DB32EF4" w:rsidR="002C7EB4" w:rsidRDefault="00A47A48" w:rsidP="00926FE7">
      <w:pPr>
        <w:spacing w:line="360" w:lineRule="auto"/>
        <w:jc w:val="both"/>
        <w:rPr>
          <w:rFonts w:ascii="Arial" w:hAnsi="Arial"/>
        </w:rPr>
      </w:pPr>
      <w:r>
        <w:rPr>
          <w:rFonts w:ascii="Arial" w:hAnsi="Arial"/>
        </w:rPr>
        <w:t>[28</w:t>
      </w:r>
      <w:r w:rsidR="00895DE8">
        <w:rPr>
          <w:rFonts w:ascii="Arial" w:hAnsi="Arial"/>
        </w:rPr>
        <w:t>]</w:t>
      </w:r>
      <w:r w:rsidR="00895DE8">
        <w:rPr>
          <w:rFonts w:ascii="Arial" w:hAnsi="Arial"/>
        </w:rPr>
        <w:tab/>
        <w:t>The Supreme Court went on to hold as follows:</w:t>
      </w:r>
    </w:p>
    <w:p w14:paraId="2F3A8FB2" w14:textId="77777777" w:rsidR="002C7EB4" w:rsidRDefault="002C7EB4" w:rsidP="00926FE7">
      <w:pPr>
        <w:spacing w:line="360" w:lineRule="auto"/>
        <w:jc w:val="both"/>
        <w:rPr>
          <w:rFonts w:ascii="Arial" w:hAnsi="Arial"/>
        </w:rPr>
      </w:pPr>
    </w:p>
    <w:p w14:paraId="33AB4F0C" w14:textId="05EE1A34" w:rsidR="00DB40A9" w:rsidRPr="00CF5A04" w:rsidRDefault="002C7EB4" w:rsidP="00895DE8">
      <w:pPr>
        <w:spacing w:line="360" w:lineRule="auto"/>
        <w:ind w:firstLine="720"/>
        <w:jc w:val="both"/>
        <w:rPr>
          <w:rFonts w:ascii="Arial" w:hAnsi="Arial"/>
          <w:sz w:val="22"/>
          <w:szCs w:val="22"/>
        </w:rPr>
      </w:pPr>
      <w:r w:rsidRPr="00CF5A04">
        <w:rPr>
          <w:rFonts w:ascii="Arial" w:hAnsi="Arial"/>
          <w:sz w:val="22"/>
          <w:szCs w:val="22"/>
        </w:rPr>
        <w:t>‘</w:t>
      </w:r>
      <w:r w:rsidR="00DB40A9" w:rsidRPr="00CF5A04">
        <w:rPr>
          <w:rFonts w:ascii="Arial" w:hAnsi="Arial"/>
          <w:sz w:val="22"/>
          <w:szCs w:val="22"/>
        </w:rPr>
        <w:t xml:space="preserve">[23] Acknowledging the possibility that </w:t>
      </w:r>
      <w:r w:rsidR="00DB40A9" w:rsidRPr="00CF5A04">
        <w:rPr>
          <w:rFonts w:ascii="Arial" w:hAnsi="Arial"/>
          <w:sz w:val="22"/>
          <w:szCs w:val="22"/>
          <w:u w:val="single"/>
        </w:rPr>
        <w:t xml:space="preserve">irregular service may be condoned </w:t>
      </w:r>
      <w:r w:rsidR="00DB40A9" w:rsidRPr="00CF5A04">
        <w:rPr>
          <w:rFonts w:ascii="Arial" w:hAnsi="Arial"/>
          <w:sz w:val="22"/>
          <w:szCs w:val="22"/>
        </w:rPr>
        <w:t>where there has not been a ‘complete failure of service’ will avoid an over-formalistic approach to the rules, for an approach that precludes condonation whenever there has been non-compliance with the rules regulating service may prejudice the expeditious, cost-effective and fair administration of justice. The possibility of condonation of irregular service that falls short of a nullity, would also accord with the approach to civil procedure evident in the new Rules of the Namibian High Court that came into force in April 2014, and with the recently introduced practice of judicial case management that seeks to ensure expedition, fairness and cost-effectiveness in the administration of justice.</w:t>
      </w:r>
      <w:r w:rsidR="00CF5A04">
        <w:rPr>
          <w:rFonts w:ascii="Arial" w:hAnsi="Arial"/>
          <w:sz w:val="22"/>
          <w:szCs w:val="22"/>
        </w:rPr>
        <w:t>’ (Emphasis</w:t>
      </w:r>
      <w:r w:rsidR="00895DE8">
        <w:rPr>
          <w:rFonts w:ascii="Arial" w:hAnsi="Arial"/>
          <w:sz w:val="22"/>
          <w:szCs w:val="22"/>
        </w:rPr>
        <w:t xml:space="preserve"> added</w:t>
      </w:r>
      <w:r w:rsidR="00CF5A04">
        <w:rPr>
          <w:rFonts w:ascii="Arial" w:hAnsi="Arial"/>
          <w:sz w:val="22"/>
          <w:szCs w:val="22"/>
        </w:rPr>
        <w:t>)</w:t>
      </w:r>
      <w:r w:rsidR="00895DE8">
        <w:rPr>
          <w:rFonts w:ascii="Arial" w:hAnsi="Arial"/>
          <w:sz w:val="22"/>
          <w:szCs w:val="22"/>
        </w:rPr>
        <w:t>.</w:t>
      </w:r>
    </w:p>
    <w:p w14:paraId="0834E259" w14:textId="38C19B3F" w:rsidR="00DB40A9" w:rsidRPr="00CF5A04" w:rsidRDefault="00DB40A9" w:rsidP="00926FE7">
      <w:pPr>
        <w:spacing w:line="360" w:lineRule="auto"/>
        <w:jc w:val="both"/>
        <w:rPr>
          <w:rFonts w:ascii="Arial" w:hAnsi="Arial"/>
          <w:sz w:val="22"/>
          <w:szCs w:val="22"/>
        </w:rPr>
      </w:pPr>
    </w:p>
    <w:p w14:paraId="766D89C3" w14:textId="70555ABA" w:rsidR="002C7EB4" w:rsidRDefault="00A47A48" w:rsidP="00926FE7">
      <w:pPr>
        <w:spacing w:line="360" w:lineRule="auto"/>
        <w:jc w:val="both"/>
        <w:rPr>
          <w:rFonts w:ascii="Arial" w:hAnsi="Arial"/>
        </w:rPr>
      </w:pPr>
      <w:r>
        <w:rPr>
          <w:rFonts w:ascii="Arial" w:hAnsi="Arial"/>
        </w:rPr>
        <w:t>[29</w:t>
      </w:r>
      <w:r w:rsidR="00895DE8">
        <w:rPr>
          <w:rFonts w:ascii="Arial" w:hAnsi="Arial"/>
        </w:rPr>
        <w:t>]</w:t>
      </w:r>
      <w:r w:rsidR="00895DE8">
        <w:rPr>
          <w:rFonts w:ascii="Arial" w:hAnsi="Arial"/>
        </w:rPr>
        <w:tab/>
      </w:r>
      <w:r w:rsidR="002C7EB4">
        <w:rPr>
          <w:rFonts w:ascii="Arial" w:hAnsi="Arial"/>
        </w:rPr>
        <w:t>The court found that in circumstances where there has not been a complete failure of service c</w:t>
      </w:r>
      <w:r w:rsidR="00895DE8">
        <w:rPr>
          <w:rFonts w:ascii="Arial" w:hAnsi="Arial"/>
        </w:rPr>
        <w:t>ondonation may be granted. The Supreme C</w:t>
      </w:r>
      <w:r w:rsidR="002C7EB4">
        <w:rPr>
          <w:rFonts w:ascii="Arial" w:hAnsi="Arial"/>
        </w:rPr>
        <w:t>ourt went further and held that;</w:t>
      </w:r>
    </w:p>
    <w:p w14:paraId="3AE491A1" w14:textId="77777777" w:rsidR="002C7EB4" w:rsidRDefault="002C7EB4" w:rsidP="00926FE7">
      <w:pPr>
        <w:spacing w:line="360" w:lineRule="auto"/>
        <w:jc w:val="both"/>
        <w:rPr>
          <w:rFonts w:ascii="Arial" w:hAnsi="Arial"/>
        </w:rPr>
      </w:pPr>
    </w:p>
    <w:p w14:paraId="20F19F49" w14:textId="62B4A1BE" w:rsidR="00DB40A9" w:rsidRPr="00CF5A04" w:rsidRDefault="00DB40A9" w:rsidP="00895DE8">
      <w:pPr>
        <w:spacing w:line="360" w:lineRule="auto"/>
        <w:ind w:firstLine="720"/>
        <w:jc w:val="both"/>
        <w:rPr>
          <w:rFonts w:ascii="Arial" w:hAnsi="Arial"/>
          <w:sz w:val="22"/>
          <w:szCs w:val="22"/>
        </w:rPr>
      </w:pPr>
      <w:r w:rsidRPr="00CF5A04">
        <w:rPr>
          <w:rFonts w:ascii="Arial" w:hAnsi="Arial"/>
          <w:sz w:val="22"/>
          <w:szCs w:val="22"/>
        </w:rPr>
        <w:t>‘No doubt parties and their legal advisers should not be encouraged to become slack in the observance of the Rules which are an important element in the machinery for the administration of justice.  But on the other hand technical objections to less than perfect procedural steps should not be permitted, in the absence of prejudice, to interfere with the expeditious and if possible inexpensive decision of cases on their real merits.</w:t>
      </w:r>
    </w:p>
    <w:p w14:paraId="46ADEB23" w14:textId="77777777" w:rsidR="002C7EB4" w:rsidRPr="00CF5A04" w:rsidRDefault="002C7EB4" w:rsidP="002C7EB4">
      <w:pPr>
        <w:spacing w:line="360" w:lineRule="auto"/>
        <w:ind w:left="1440"/>
        <w:jc w:val="both"/>
        <w:rPr>
          <w:rFonts w:ascii="Arial" w:hAnsi="Arial"/>
          <w:sz w:val="22"/>
          <w:szCs w:val="22"/>
          <w:lang w:val="en-US"/>
        </w:rPr>
      </w:pPr>
    </w:p>
    <w:p w14:paraId="576FE6A9" w14:textId="23F59125" w:rsidR="00DB40A9" w:rsidRPr="00CF5A04" w:rsidRDefault="00DB40A9" w:rsidP="00895DE8">
      <w:pPr>
        <w:spacing w:line="360" w:lineRule="auto"/>
        <w:jc w:val="both"/>
        <w:rPr>
          <w:rFonts w:ascii="Arial" w:hAnsi="Arial"/>
          <w:sz w:val="22"/>
          <w:szCs w:val="22"/>
          <w:lang w:val="en-US"/>
        </w:rPr>
      </w:pPr>
      <w:r w:rsidRPr="00CF5A04">
        <w:rPr>
          <w:rFonts w:ascii="Arial" w:hAnsi="Arial"/>
          <w:sz w:val="22"/>
          <w:szCs w:val="22"/>
        </w:rPr>
        <w:t xml:space="preserve">[25] In many cases, the issue of prejudice will traverse similar considerations to those that will be relevant to the question of </w:t>
      </w:r>
      <w:r w:rsidRPr="00B55388">
        <w:rPr>
          <w:rFonts w:ascii="Arial" w:hAnsi="Arial"/>
          <w:bCs/>
          <w:sz w:val="22"/>
          <w:szCs w:val="22"/>
        </w:rPr>
        <w:t>condonation</w:t>
      </w:r>
      <w:r w:rsidRPr="00B55388">
        <w:rPr>
          <w:rFonts w:ascii="Arial" w:hAnsi="Arial"/>
          <w:sz w:val="22"/>
          <w:szCs w:val="22"/>
        </w:rPr>
        <w:t xml:space="preserve"> of irregular service.</w:t>
      </w:r>
      <w:r w:rsidRPr="00B55388">
        <w:rPr>
          <w:rFonts w:ascii="Arial" w:hAnsi="Arial"/>
          <w:sz w:val="22"/>
          <w:szCs w:val="22"/>
          <w:vertAlign w:val="superscript"/>
        </w:rPr>
        <w:t> </w:t>
      </w:r>
      <w:r w:rsidRPr="00B55388">
        <w:rPr>
          <w:rFonts w:ascii="Arial" w:hAnsi="Arial"/>
          <w:sz w:val="22"/>
          <w:szCs w:val="22"/>
        </w:rPr>
        <w:t xml:space="preserve"> Accordingly, if prejudice is not established, and the service of a summons is not ‘patently bad’ but condonable, it is likely that </w:t>
      </w:r>
      <w:r w:rsidRPr="00B55388">
        <w:rPr>
          <w:rFonts w:ascii="Arial" w:hAnsi="Arial"/>
          <w:bCs/>
          <w:sz w:val="22"/>
          <w:szCs w:val="22"/>
        </w:rPr>
        <w:t xml:space="preserve">condonation </w:t>
      </w:r>
      <w:r w:rsidRPr="00B55388">
        <w:rPr>
          <w:rFonts w:ascii="Arial" w:hAnsi="Arial"/>
          <w:sz w:val="22"/>
          <w:szCs w:val="22"/>
        </w:rPr>
        <w:t>of the irregular service will be granted</w:t>
      </w:r>
      <w:r w:rsidRPr="00CF5A04">
        <w:rPr>
          <w:rFonts w:ascii="Arial" w:hAnsi="Arial"/>
          <w:sz w:val="22"/>
          <w:szCs w:val="22"/>
        </w:rPr>
        <w:t>, and the rule 30 application will not succeed.</w:t>
      </w:r>
      <w:r w:rsidR="002C7EB4" w:rsidRPr="00CF5A04">
        <w:rPr>
          <w:rFonts w:ascii="Arial" w:hAnsi="Arial"/>
          <w:sz w:val="22"/>
          <w:szCs w:val="22"/>
          <w:lang w:val="en-US"/>
        </w:rPr>
        <w:t>’</w:t>
      </w:r>
      <w:r w:rsidR="00B55388">
        <w:rPr>
          <w:rFonts w:ascii="Arial" w:hAnsi="Arial"/>
          <w:sz w:val="22"/>
          <w:szCs w:val="22"/>
          <w:lang w:val="en-US"/>
        </w:rPr>
        <w:t xml:space="preserve"> </w:t>
      </w:r>
    </w:p>
    <w:p w14:paraId="36A9C3E4" w14:textId="29CCE1AA" w:rsidR="00DB40A9" w:rsidRDefault="00DB40A9" w:rsidP="00DB40A9">
      <w:pPr>
        <w:spacing w:line="360" w:lineRule="auto"/>
        <w:jc w:val="both"/>
        <w:rPr>
          <w:rFonts w:ascii="Arial" w:hAnsi="Arial"/>
        </w:rPr>
      </w:pPr>
    </w:p>
    <w:p w14:paraId="22F90C37" w14:textId="6711A4FC" w:rsidR="00DB40A9" w:rsidRPr="002C7EB4" w:rsidRDefault="00A47A48" w:rsidP="00DB40A9">
      <w:pPr>
        <w:spacing w:line="360" w:lineRule="auto"/>
        <w:jc w:val="both"/>
        <w:rPr>
          <w:rFonts w:ascii="Arial" w:hAnsi="Arial"/>
          <w:vertAlign w:val="superscript"/>
          <w:lang w:val="en-US"/>
        </w:rPr>
      </w:pPr>
      <w:r>
        <w:rPr>
          <w:rFonts w:ascii="Arial" w:hAnsi="Arial"/>
          <w:lang w:val="en-US"/>
        </w:rPr>
        <w:t>[30</w:t>
      </w:r>
      <w:r w:rsidR="002C7EB4">
        <w:rPr>
          <w:rFonts w:ascii="Arial" w:hAnsi="Arial"/>
          <w:lang w:val="en-US"/>
        </w:rPr>
        <w:t>]</w:t>
      </w:r>
      <w:r w:rsidR="002C7EB4">
        <w:rPr>
          <w:rFonts w:ascii="Arial" w:hAnsi="Arial"/>
          <w:lang w:val="en-US"/>
        </w:rPr>
        <w:tab/>
        <w:t xml:space="preserve">This court in </w:t>
      </w:r>
      <w:r w:rsidR="002C7EB4" w:rsidRPr="00CF5A04">
        <w:rPr>
          <w:rFonts w:ascii="Arial" w:hAnsi="Arial"/>
          <w:i/>
          <w:iCs/>
          <w:lang w:val="en-US"/>
        </w:rPr>
        <w:t>Beauhomes Real Estate (Pty) Ltd t/a Remax Real Estate Centre and Another vs Namibian Estate Agents Board</w:t>
      </w:r>
      <w:r w:rsidR="002C7EB4">
        <w:rPr>
          <w:rStyle w:val="FootnoteReference"/>
          <w:rFonts w:ascii="Arial" w:hAnsi="Arial"/>
          <w:lang w:val="en-US"/>
        </w:rPr>
        <w:footnoteReference w:id="9"/>
      </w:r>
      <w:r w:rsidR="002C7EB4">
        <w:rPr>
          <w:rFonts w:ascii="Arial" w:hAnsi="Arial"/>
          <w:lang w:val="en-US"/>
        </w:rPr>
        <w:t xml:space="preserve"> stated as follows;</w:t>
      </w:r>
    </w:p>
    <w:p w14:paraId="54CCFD72" w14:textId="5723E8BC" w:rsidR="00DB40A9" w:rsidRDefault="00DB40A9" w:rsidP="00DB40A9">
      <w:pPr>
        <w:spacing w:line="360" w:lineRule="auto"/>
        <w:jc w:val="both"/>
        <w:rPr>
          <w:rFonts w:ascii="Arial" w:hAnsi="Arial"/>
          <w:vertAlign w:val="superscript"/>
        </w:rPr>
      </w:pPr>
    </w:p>
    <w:p w14:paraId="17A46AD6" w14:textId="19A354DC" w:rsidR="00DB40A9" w:rsidRDefault="00DB40A9" w:rsidP="00DB40A9">
      <w:pPr>
        <w:spacing w:line="360" w:lineRule="auto"/>
        <w:jc w:val="both"/>
        <w:rPr>
          <w:rFonts w:ascii="Arial" w:hAnsi="Arial"/>
          <w:vertAlign w:val="superscript"/>
        </w:rPr>
      </w:pPr>
    </w:p>
    <w:p w14:paraId="28886811" w14:textId="577F97DE" w:rsidR="004E6B7B" w:rsidRPr="00CF5A04" w:rsidRDefault="002C7EB4" w:rsidP="00895DE8">
      <w:pPr>
        <w:spacing w:line="360" w:lineRule="auto"/>
        <w:ind w:firstLine="720"/>
        <w:jc w:val="both"/>
        <w:rPr>
          <w:rFonts w:ascii="Arial" w:hAnsi="Arial"/>
          <w:sz w:val="22"/>
          <w:szCs w:val="22"/>
        </w:rPr>
      </w:pPr>
      <w:r w:rsidRPr="00CF5A04">
        <w:rPr>
          <w:rFonts w:ascii="Arial" w:hAnsi="Arial"/>
          <w:sz w:val="22"/>
          <w:szCs w:val="22"/>
          <w:lang w:val="en-US"/>
        </w:rPr>
        <w:t>‘</w:t>
      </w:r>
      <w:r w:rsidR="004E6B7B" w:rsidRPr="00CF5A04">
        <w:rPr>
          <w:rFonts w:ascii="Arial" w:hAnsi="Arial"/>
          <w:sz w:val="22"/>
          <w:szCs w:val="22"/>
        </w:rPr>
        <w:t>[14] It has been held that the issue of a summons is the initiation process of an action and has certain specific consequences, one of which is that it must be </w:t>
      </w:r>
      <w:r w:rsidR="004E6B7B" w:rsidRPr="00CF5A04">
        <w:rPr>
          <w:rFonts w:ascii="Arial" w:hAnsi="Arial"/>
          <w:i/>
          <w:iCs/>
          <w:sz w:val="22"/>
          <w:szCs w:val="22"/>
        </w:rPr>
        <w:t>served</w:t>
      </w:r>
      <w:r w:rsidR="004E6B7B" w:rsidRPr="00CF5A04">
        <w:rPr>
          <w:rFonts w:ascii="Arial" w:hAnsi="Arial"/>
          <w:sz w:val="22"/>
          <w:szCs w:val="22"/>
        </w:rPr>
        <w:t> in terms of the methods of service prescribed by the Rules and that mere </w:t>
      </w:r>
      <w:r w:rsidR="004E6B7B" w:rsidRPr="00CF5A04">
        <w:rPr>
          <w:rFonts w:ascii="Arial" w:hAnsi="Arial"/>
          <w:i/>
          <w:iCs/>
          <w:sz w:val="22"/>
          <w:szCs w:val="22"/>
        </w:rPr>
        <w:t>“knowledge”</w:t>
      </w:r>
      <w:r w:rsidR="004E6B7B" w:rsidRPr="00CF5A04">
        <w:rPr>
          <w:rFonts w:ascii="Arial" w:hAnsi="Arial"/>
          <w:sz w:val="22"/>
          <w:szCs w:val="22"/>
        </w:rPr>
        <w:t> of the issue of a summons is not service which could relieve a plaintiff of his or her obligation to follow the prescribed Rules.</w:t>
      </w:r>
    </w:p>
    <w:p w14:paraId="54F1FC2F" w14:textId="77777777" w:rsidR="002C7EB4" w:rsidRPr="00CF5A04" w:rsidRDefault="002C7EB4" w:rsidP="002C7EB4">
      <w:pPr>
        <w:spacing w:line="360" w:lineRule="auto"/>
        <w:ind w:left="1440"/>
        <w:jc w:val="both"/>
        <w:rPr>
          <w:rFonts w:ascii="Arial" w:hAnsi="Arial"/>
          <w:sz w:val="22"/>
          <w:szCs w:val="22"/>
        </w:rPr>
      </w:pPr>
    </w:p>
    <w:p w14:paraId="140D14D8" w14:textId="77777777" w:rsidR="004E6B7B" w:rsidRPr="00CF5A04" w:rsidRDefault="004E6B7B" w:rsidP="00895DE8">
      <w:pPr>
        <w:spacing w:line="360" w:lineRule="auto"/>
        <w:jc w:val="both"/>
        <w:rPr>
          <w:rFonts w:ascii="Arial" w:hAnsi="Arial"/>
          <w:sz w:val="22"/>
          <w:szCs w:val="22"/>
        </w:rPr>
      </w:pPr>
      <w:r w:rsidRPr="00CF5A04">
        <w:rPr>
          <w:rFonts w:ascii="Arial" w:hAnsi="Arial"/>
          <w:sz w:val="22"/>
          <w:szCs w:val="22"/>
        </w:rPr>
        <w:t>(See </w:t>
      </w:r>
      <w:r w:rsidRPr="00CF5A04">
        <w:rPr>
          <w:rFonts w:ascii="Arial" w:hAnsi="Arial"/>
          <w:i/>
          <w:iCs/>
          <w:sz w:val="22"/>
          <w:szCs w:val="22"/>
        </w:rPr>
        <w:t>First National Bank of SA Ltd v Ganyesa Bottle Store (Pty) Ltd and Others First National Bank of SA Ltd v Schweizer Drankwinkel (Pty) Ltd and Another 1998 (4) SA 565 NCD at 568 B- </w:t>
      </w:r>
      <w:r w:rsidRPr="00CF5A04">
        <w:rPr>
          <w:rFonts w:ascii="Arial" w:hAnsi="Arial"/>
          <w:sz w:val="22"/>
          <w:szCs w:val="22"/>
        </w:rPr>
        <w:t>C).</w:t>
      </w:r>
    </w:p>
    <w:p w14:paraId="54E54C94" w14:textId="77777777" w:rsidR="004E6B7B" w:rsidRPr="00CF5A04" w:rsidRDefault="004E6B7B" w:rsidP="004E6B7B">
      <w:pPr>
        <w:spacing w:line="360" w:lineRule="auto"/>
        <w:jc w:val="both"/>
        <w:rPr>
          <w:rFonts w:ascii="Arial" w:hAnsi="Arial"/>
          <w:sz w:val="22"/>
          <w:szCs w:val="22"/>
        </w:rPr>
      </w:pPr>
    </w:p>
    <w:p w14:paraId="7BB7A6C0" w14:textId="62647D6D" w:rsidR="004E6B7B" w:rsidRPr="00CF5A04" w:rsidRDefault="004E6B7B" w:rsidP="00895DE8">
      <w:pPr>
        <w:spacing w:line="360" w:lineRule="auto"/>
        <w:jc w:val="both"/>
        <w:rPr>
          <w:rFonts w:ascii="Arial" w:hAnsi="Arial"/>
          <w:sz w:val="22"/>
          <w:szCs w:val="22"/>
        </w:rPr>
      </w:pPr>
      <w:r w:rsidRPr="00CF5A04">
        <w:rPr>
          <w:rFonts w:ascii="Arial" w:hAnsi="Arial"/>
          <w:sz w:val="22"/>
          <w:szCs w:val="22"/>
        </w:rPr>
        <w:t>[15] Where proper service had not been effected, such service may be regarded as a nullity.</w:t>
      </w:r>
    </w:p>
    <w:p w14:paraId="442C9D15" w14:textId="77777777" w:rsidR="002C7EB4" w:rsidRPr="00CF5A04" w:rsidRDefault="002C7EB4" w:rsidP="002C7EB4">
      <w:pPr>
        <w:spacing w:line="360" w:lineRule="auto"/>
        <w:ind w:left="1440"/>
        <w:jc w:val="both"/>
        <w:rPr>
          <w:rFonts w:ascii="Arial" w:hAnsi="Arial"/>
          <w:sz w:val="22"/>
          <w:szCs w:val="22"/>
        </w:rPr>
      </w:pPr>
    </w:p>
    <w:p w14:paraId="4F84FD8C" w14:textId="5FB40536" w:rsidR="004E6B7B" w:rsidRPr="00B55388" w:rsidRDefault="004E6B7B" w:rsidP="00895DE8">
      <w:pPr>
        <w:spacing w:line="360" w:lineRule="auto"/>
        <w:jc w:val="both"/>
        <w:rPr>
          <w:rFonts w:ascii="Arial" w:hAnsi="Arial"/>
          <w:sz w:val="22"/>
          <w:szCs w:val="22"/>
          <w:lang w:val="en-US"/>
        </w:rPr>
      </w:pPr>
      <w:r w:rsidRPr="00CF5A04">
        <w:rPr>
          <w:rFonts w:ascii="Arial" w:hAnsi="Arial"/>
          <w:sz w:val="22"/>
          <w:szCs w:val="22"/>
        </w:rPr>
        <w:t>In </w:t>
      </w:r>
      <w:r w:rsidRPr="00CF5A04">
        <w:rPr>
          <w:rFonts w:ascii="Arial" w:hAnsi="Arial"/>
          <w:i/>
          <w:iCs/>
          <w:sz w:val="22"/>
          <w:szCs w:val="22"/>
        </w:rPr>
        <w:t>SA Instrumentation (Pty) Ltd v Smithchem (Pty) Ltd 1977 (3) SA 703 NPD at 706 E – F</w:t>
      </w:r>
      <w:r w:rsidRPr="00CF5A04">
        <w:rPr>
          <w:rFonts w:ascii="Arial" w:hAnsi="Arial"/>
          <w:sz w:val="22"/>
          <w:szCs w:val="22"/>
        </w:rPr>
        <w:t xml:space="preserve"> it was held that where there was no service on the defendant company in terms of the provisions of Rule 4 (1)(a)(v) that such a service was a nullity and </w:t>
      </w:r>
      <w:r w:rsidRPr="00B55388">
        <w:rPr>
          <w:rFonts w:ascii="Arial" w:hAnsi="Arial"/>
          <w:sz w:val="22"/>
          <w:szCs w:val="22"/>
        </w:rPr>
        <w:t xml:space="preserve">that the Court could under the particular circumstances of that case not </w:t>
      </w:r>
      <w:r w:rsidRPr="00B55388">
        <w:rPr>
          <w:rFonts w:ascii="Arial" w:hAnsi="Arial"/>
          <w:bCs/>
          <w:sz w:val="22"/>
          <w:szCs w:val="22"/>
        </w:rPr>
        <w:t>condone the improper service</w:t>
      </w:r>
      <w:r w:rsidR="00B55388">
        <w:rPr>
          <w:rFonts w:ascii="Arial" w:hAnsi="Arial"/>
          <w:sz w:val="22"/>
          <w:szCs w:val="22"/>
        </w:rPr>
        <w:t>.</w:t>
      </w:r>
    </w:p>
    <w:p w14:paraId="6A009208" w14:textId="77777777" w:rsidR="002C7EB4" w:rsidRPr="00CF5A04" w:rsidRDefault="002C7EB4" w:rsidP="002C7EB4">
      <w:pPr>
        <w:spacing w:line="360" w:lineRule="auto"/>
        <w:ind w:left="1440"/>
        <w:jc w:val="both"/>
        <w:rPr>
          <w:rFonts w:ascii="Arial" w:hAnsi="Arial"/>
          <w:sz w:val="22"/>
          <w:szCs w:val="22"/>
        </w:rPr>
      </w:pPr>
    </w:p>
    <w:p w14:paraId="3BFFCFFB" w14:textId="3DC1F2C8" w:rsidR="004E6B7B" w:rsidRPr="00CF5A04" w:rsidRDefault="004E6B7B" w:rsidP="00895DE8">
      <w:pPr>
        <w:spacing w:line="360" w:lineRule="auto"/>
        <w:jc w:val="both"/>
        <w:rPr>
          <w:rFonts w:ascii="Arial" w:hAnsi="Arial"/>
          <w:sz w:val="22"/>
          <w:szCs w:val="22"/>
          <w:lang w:val="en-US"/>
        </w:rPr>
      </w:pPr>
      <w:r w:rsidRPr="00CF5A04">
        <w:rPr>
          <w:rFonts w:ascii="Arial" w:hAnsi="Arial"/>
          <w:sz w:val="22"/>
          <w:szCs w:val="22"/>
        </w:rPr>
        <w:t>In the present instance there was no service at all on the applicants in terms of the provisions of Rule 4 (1)(a)(v) in respect of the first respondent or in terms of Rule 4 (1)(a)(i), 4 (1)(a)(ii) or 4 (1)(a)(iii) in respect of second and third applicants and similarly in my view such services amount to nullities.</w:t>
      </w:r>
      <w:r w:rsidR="002C7EB4" w:rsidRPr="00CF5A04">
        <w:rPr>
          <w:rFonts w:ascii="Arial" w:hAnsi="Arial"/>
          <w:sz w:val="22"/>
          <w:szCs w:val="22"/>
          <w:lang w:val="en-US"/>
        </w:rPr>
        <w:t>’</w:t>
      </w:r>
    </w:p>
    <w:p w14:paraId="62A3EA15" w14:textId="548BC4F6" w:rsidR="00DB40A9" w:rsidRDefault="00DB40A9" w:rsidP="00926FE7">
      <w:pPr>
        <w:spacing w:line="360" w:lineRule="auto"/>
        <w:jc w:val="both"/>
        <w:rPr>
          <w:rFonts w:ascii="Arial" w:hAnsi="Arial"/>
        </w:rPr>
      </w:pPr>
    </w:p>
    <w:p w14:paraId="6F69B7D2" w14:textId="5146F747" w:rsidR="00F30578" w:rsidRDefault="00A47A48" w:rsidP="00926FE7">
      <w:pPr>
        <w:spacing w:line="360" w:lineRule="auto"/>
        <w:jc w:val="both"/>
        <w:rPr>
          <w:rFonts w:ascii="Arial" w:hAnsi="Arial"/>
        </w:rPr>
      </w:pPr>
      <w:r>
        <w:rPr>
          <w:rFonts w:ascii="Arial" w:hAnsi="Arial"/>
        </w:rPr>
        <w:t>[31</w:t>
      </w:r>
      <w:r w:rsidR="002C7EB4">
        <w:rPr>
          <w:rFonts w:ascii="Arial" w:hAnsi="Arial"/>
        </w:rPr>
        <w:t>]</w:t>
      </w:r>
      <w:r w:rsidR="002C7EB4">
        <w:rPr>
          <w:rFonts w:ascii="Arial" w:hAnsi="Arial"/>
        </w:rPr>
        <w:tab/>
        <w:t>I</w:t>
      </w:r>
      <w:r w:rsidR="0040137C">
        <w:rPr>
          <w:rFonts w:ascii="Arial" w:hAnsi="Arial"/>
        </w:rPr>
        <w:t xml:space="preserve">n the circumstances, I am inclined to the view that there was no service of the process on the applicant in this matter. For that reason, it would seem to me that </w:t>
      </w:r>
      <w:r w:rsidR="00CA3B79">
        <w:rPr>
          <w:rFonts w:ascii="Arial" w:hAnsi="Arial"/>
        </w:rPr>
        <w:t xml:space="preserve">the situation considered by the learned JP in </w:t>
      </w:r>
      <w:r w:rsidR="00CA3B79">
        <w:rPr>
          <w:rFonts w:ascii="Arial" w:hAnsi="Arial"/>
          <w:i/>
        </w:rPr>
        <w:t>Knouwds a</w:t>
      </w:r>
      <w:r w:rsidR="00CA3B79">
        <w:rPr>
          <w:rFonts w:ascii="Arial" w:hAnsi="Arial"/>
        </w:rPr>
        <w:t xml:space="preserve">pplies in this case as there was no service on the respondent shown to have been </w:t>
      </w:r>
      <w:r w:rsidR="00B55388">
        <w:rPr>
          <w:rFonts w:ascii="Arial" w:hAnsi="Arial"/>
        </w:rPr>
        <w:t xml:space="preserve">properly </w:t>
      </w:r>
      <w:r w:rsidR="00CA3B79">
        <w:rPr>
          <w:rFonts w:ascii="Arial" w:hAnsi="Arial"/>
        </w:rPr>
        <w:t>effected in terms of the rules.</w:t>
      </w:r>
      <w:r w:rsidR="002C7EB4">
        <w:rPr>
          <w:rFonts w:ascii="Arial" w:hAnsi="Arial"/>
        </w:rPr>
        <w:t xml:space="preserve"> </w:t>
      </w:r>
      <w:r w:rsidR="00B55388">
        <w:rPr>
          <w:rFonts w:ascii="Arial" w:hAnsi="Arial"/>
        </w:rPr>
        <w:t xml:space="preserve">There was </w:t>
      </w:r>
      <w:r w:rsidR="00F30578">
        <w:rPr>
          <w:rFonts w:ascii="Arial" w:hAnsi="Arial"/>
        </w:rPr>
        <w:t>accordingly</w:t>
      </w:r>
      <w:r w:rsidR="00B55388">
        <w:rPr>
          <w:rFonts w:ascii="Arial" w:hAnsi="Arial"/>
        </w:rPr>
        <w:t xml:space="preserve"> a failure of service. As a result, the issue of condonation does not, in my view arise for consideration, given the factual matrix of this matter.</w:t>
      </w:r>
      <w:r w:rsidR="00F30578">
        <w:rPr>
          <w:rFonts w:ascii="Arial" w:hAnsi="Arial"/>
        </w:rPr>
        <w:t xml:space="preserve"> </w:t>
      </w:r>
    </w:p>
    <w:p w14:paraId="21C8CAD1" w14:textId="77777777" w:rsidR="00F30578" w:rsidRDefault="00F30578" w:rsidP="00926FE7">
      <w:pPr>
        <w:spacing w:line="360" w:lineRule="auto"/>
        <w:jc w:val="both"/>
        <w:rPr>
          <w:rFonts w:ascii="Arial" w:hAnsi="Arial"/>
        </w:rPr>
      </w:pPr>
    </w:p>
    <w:p w14:paraId="66934458" w14:textId="3AB1D975" w:rsidR="00B55388" w:rsidRDefault="00B55388" w:rsidP="00926FE7">
      <w:pPr>
        <w:spacing w:line="360" w:lineRule="auto"/>
        <w:jc w:val="both"/>
        <w:rPr>
          <w:rFonts w:ascii="Arial" w:hAnsi="Arial"/>
          <w:u w:val="single"/>
        </w:rPr>
      </w:pPr>
      <w:r>
        <w:rPr>
          <w:rFonts w:ascii="Arial" w:hAnsi="Arial"/>
          <w:u w:val="single"/>
        </w:rPr>
        <w:t>Conclusion</w:t>
      </w:r>
    </w:p>
    <w:p w14:paraId="7BD80701" w14:textId="77777777" w:rsidR="00B55388" w:rsidRPr="00B55388" w:rsidRDefault="00B55388" w:rsidP="00926FE7">
      <w:pPr>
        <w:spacing w:line="360" w:lineRule="auto"/>
        <w:jc w:val="both"/>
        <w:rPr>
          <w:rFonts w:ascii="Arial" w:hAnsi="Arial"/>
          <w:u w:val="single"/>
        </w:rPr>
      </w:pPr>
    </w:p>
    <w:p w14:paraId="04E0B299" w14:textId="70C6A88F" w:rsidR="00966E02" w:rsidRDefault="00A47A48" w:rsidP="00926FE7">
      <w:pPr>
        <w:spacing w:line="360" w:lineRule="auto"/>
        <w:jc w:val="both"/>
        <w:rPr>
          <w:rFonts w:ascii="Arial" w:hAnsi="Arial"/>
        </w:rPr>
      </w:pPr>
      <w:r>
        <w:rPr>
          <w:rFonts w:ascii="Arial" w:hAnsi="Arial"/>
        </w:rPr>
        <w:lastRenderedPageBreak/>
        <w:t>[32</w:t>
      </w:r>
      <w:r w:rsidR="00F30578">
        <w:rPr>
          <w:rFonts w:ascii="Arial" w:hAnsi="Arial"/>
        </w:rPr>
        <w:t>]</w:t>
      </w:r>
      <w:r w:rsidR="00F30578">
        <w:rPr>
          <w:rFonts w:ascii="Arial" w:hAnsi="Arial"/>
        </w:rPr>
        <w:tab/>
        <w:t>In the premises, the court has no option but to</w:t>
      </w:r>
      <w:r w:rsidR="007072A6">
        <w:rPr>
          <w:rFonts w:ascii="Arial" w:hAnsi="Arial"/>
        </w:rPr>
        <w:t xml:space="preserve"> accordingly strike the application from the roll with costs</w:t>
      </w:r>
      <w:r w:rsidR="00B55388">
        <w:rPr>
          <w:rFonts w:ascii="Arial" w:hAnsi="Arial"/>
        </w:rPr>
        <w:t xml:space="preserve"> for non-service of the application on the respondent. </w:t>
      </w:r>
      <w:r w:rsidR="00F30578">
        <w:rPr>
          <w:rFonts w:ascii="Arial" w:hAnsi="Arial"/>
        </w:rPr>
        <w:t>It is not necessary, in the circumstances, to proceed to consider the other bases for opposition raised by the respondent, as the application does not leave the starting blocks in the absence of proper service.</w:t>
      </w:r>
    </w:p>
    <w:p w14:paraId="0315ABD9" w14:textId="77777777" w:rsidR="000E218B" w:rsidRDefault="000E218B" w:rsidP="00926FE7">
      <w:pPr>
        <w:spacing w:line="360" w:lineRule="auto"/>
        <w:jc w:val="both"/>
        <w:rPr>
          <w:rFonts w:ascii="Arial" w:hAnsi="Arial"/>
        </w:rPr>
      </w:pPr>
    </w:p>
    <w:p w14:paraId="3B3039D3" w14:textId="2E176BCD" w:rsidR="00966E02" w:rsidRDefault="00966E02" w:rsidP="00926FE7">
      <w:pPr>
        <w:spacing w:line="360" w:lineRule="auto"/>
        <w:jc w:val="both"/>
        <w:rPr>
          <w:rFonts w:ascii="Arial" w:hAnsi="Arial"/>
          <w:u w:val="single"/>
        </w:rPr>
      </w:pPr>
      <w:r>
        <w:rPr>
          <w:rFonts w:ascii="Arial" w:hAnsi="Arial"/>
          <w:u w:val="single"/>
        </w:rPr>
        <w:t>Costs</w:t>
      </w:r>
    </w:p>
    <w:p w14:paraId="44272DDE" w14:textId="716E6218" w:rsidR="00966E02" w:rsidRDefault="00966E02" w:rsidP="00926FE7">
      <w:pPr>
        <w:spacing w:line="360" w:lineRule="auto"/>
        <w:jc w:val="both"/>
        <w:rPr>
          <w:rFonts w:ascii="Arial" w:hAnsi="Arial"/>
          <w:u w:val="single"/>
        </w:rPr>
      </w:pPr>
    </w:p>
    <w:p w14:paraId="32B630C0" w14:textId="1FBCB592" w:rsidR="000E218B" w:rsidRDefault="000E218B" w:rsidP="00926FE7">
      <w:pPr>
        <w:spacing w:line="360" w:lineRule="auto"/>
        <w:jc w:val="both"/>
        <w:rPr>
          <w:rFonts w:ascii="Arial" w:hAnsi="Arial"/>
        </w:rPr>
      </w:pPr>
      <w:r w:rsidRPr="000E218B">
        <w:rPr>
          <w:rFonts w:ascii="Arial" w:hAnsi="Arial"/>
        </w:rPr>
        <w:t>[</w:t>
      </w:r>
      <w:r w:rsidR="00A47A48">
        <w:rPr>
          <w:rFonts w:ascii="Arial" w:hAnsi="Arial"/>
        </w:rPr>
        <w:t>33</w:t>
      </w:r>
      <w:r w:rsidRPr="000E218B">
        <w:rPr>
          <w:rFonts w:ascii="Arial" w:hAnsi="Arial"/>
        </w:rPr>
        <w:t>]</w:t>
      </w:r>
      <w:r>
        <w:rPr>
          <w:rFonts w:ascii="Arial" w:hAnsi="Arial"/>
        </w:rPr>
        <w:tab/>
        <w:t xml:space="preserve">The approach to costs is </w:t>
      </w:r>
      <w:r w:rsidR="00F30578">
        <w:rPr>
          <w:rFonts w:ascii="Arial" w:hAnsi="Arial"/>
        </w:rPr>
        <w:t xml:space="preserve">trite, namely, </w:t>
      </w:r>
      <w:r>
        <w:rPr>
          <w:rFonts w:ascii="Arial" w:hAnsi="Arial"/>
        </w:rPr>
        <w:t xml:space="preserve">that costs </w:t>
      </w:r>
      <w:r w:rsidR="00F30578">
        <w:rPr>
          <w:rFonts w:ascii="Arial" w:hAnsi="Arial"/>
        </w:rPr>
        <w:t xml:space="preserve">generally </w:t>
      </w:r>
      <w:r>
        <w:rPr>
          <w:rFonts w:ascii="Arial" w:hAnsi="Arial"/>
        </w:rPr>
        <w:t>follow the result.</w:t>
      </w:r>
      <w:r w:rsidR="00F671E4">
        <w:rPr>
          <w:rFonts w:ascii="Arial" w:hAnsi="Arial"/>
        </w:rPr>
        <w:t xml:space="preserve"> I have not been provided </w:t>
      </w:r>
      <w:r w:rsidR="00F30578">
        <w:rPr>
          <w:rFonts w:ascii="Arial" w:hAnsi="Arial"/>
        </w:rPr>
        <w:t xml:space="preserve">with nor do I find </w:t>
      </w:r>
      <w:r w:rsidR="00F671E4">
        <w:rPr>
          <w:rFonts w:ascii="Arial" w:hAnsi="Arial"/>
        </w:rPr>
        <w:t xml:space="preserve">any </w:t>
      </w:r>
      <w:r w:rsidR="00F30578">
        <w:rPr>
          <w:rFonts w:ascii="Arial" w:hAnsi="Arial"/>
        </w:rPr>
        <w:t xml:space="preserve">countervailing </w:t>
      </w:r>
      <w:r w:rsidR="00F671E4">
        <w:rPr>
          <w:rFonts w:ascii="Arial" w:hAnsi="Arial"/>
        </w:rPr>
        <w:t xml:space="preserve">reasons </w:t>
      </w:r>
      <w:r w:rsidR="00B55388">
        <w:rPr>
          <w:rFonts w:ascii="Arial" w:hAnsi="Arial"/>
        </w:rPr>
        <w:t xml:space="preserve">or considerations </w:t>
      </w:r>
      <w:r w:rsidR="00F671E4">
        <w:rPr>
          <w:rFonts w:ascii="Arial" w:hAnsi="Arial"/>
        </w:rPr>
        <w:t xml:space="preserve">why the </w:t>
      </w:r>
      <w:r w:rsidR="00F30578">
        <w:rPr>
          <w:rFonts w:ascii="Arial" w:hAnsi="Arial"/>
        </w:rPr>
        <w:t xml:space="preserve">general </w:t>
      </w:r>
      <w:r w:rsidR="00F671E4">
        <w:rPr>
          <w:rFonts w:ascii="Arial" w:hAnsi="Arial"/>
        </w:rPr>
        <w:t>rule should not apply</w:t>
      </w:r>
      <w:r w:rsidR="00F30578">
        <w:rPr>
          <w:rFonts w:ascii="Arial" w:hAnsi="Arial"/>
        </w:rPr>
        <w:t xml:space="preserve"> in this matter.</w:t>
      </w:r>
      <w:r w:rsidR="00F671E4">
        <w:rPr>
          <w:rFonts w:ascii="Arial" w:hAnsi="Arial"/>
        </w:rPr>
        <w:t xml:space="preserve"> </w:t>
      </w:r>
      <w:r w:rsidR="00F30578">
        <w:rPr>
          <w:rFonts w:ascii="Arial" w:hAnsi="Arial"/>
        </w:rPr>
        <w:t>A</w:t>
      </w:r>
      <w:r w:rsidR="00A20170">
        <w:rPr>
          <w:rFonts w:ascii="Arial" w:hAnsi="Arial"/>
        </w:rPr>
        <w:t>s a result, I</w:t>
      </w:r>
      <w:r w:rsidR="00F671E4">
        <w:rPr>
          <w:rFonts w:ascii="Arial" w:hAnsi="Arial"/>
        </w:rPr>
        <w:t xml:space="preserve"> accordingly </w:t>
      </w:r>
      <w:r w:rsidR="00A20170">
        <w:rPr>
          <w:rFonts w:ascii="Arial" w:hAnsi="Arial"/>
        </w:rPr>
        <w:t>order the applicant to pay the third respondent’s costs of one instructing and one instructed counsel</w:t>
      </w:r>
      <w:r>
        <w:rPr>
          <w:rFonts w:ascii="Arial" w:hAnsi="Arial"/>
        </w:rPr>
        <w:t>.</w:t>
      </w:r>
    </w:p>
    <w:p w14:paraId="35F148C0" w14:textId="77777777" w:rsidR="003F7073" w:rsidRDefault="003F7073" w:rsidP="00926FE7">
      <w:pPr>
        <w:spacing w:line="360" w:lineRule="auto"/>
        <w:jc w:val="both"/>
        <w:rPr>
          <w:rFonts w:ascii="Arial" w:hAnsi="Arial"/>
        </w:rPr>
      </w:pPr>
    </w:p>
    <w:p w14:paraId="0480C499" w14:textId="13F431CF" w:rsidR="003F7073" w:rsidRDefault="003F7073" w:rsidP="00926FE7">
      <w:pPr>
        <w:spacing w:line="360" w:lineRule="auto"/>
        <w:jc w:val="both"/>
        <w:rPr>
          <w:rFonts w:ascii="Arial" w:hAnsi="Arial"/>
          <w:u w:val="single"/>
        </w:rPr>
      </w:pPr>
      <w:r>
        <w:rPr>
          <w:rFonts w:ascii="Arial" w:hAnsi="Arial"/>
          <w:u w:val="single"/>
        </w:rPr>
        <w:t>Costs for earlier proceedings</w:t>
      </w:r>
    </w:p>
    <w:p w14:paraId="5B02C2B3" w14:textId="77777777" w:rsidR="003F7073" w:rsidRDefault="003F7073" w:rsidP="00926FE7">
      <w:pPr>
        <w:spacing w:line="360" w:lineRule="auto"/>
        <w:jc w:val="both"/>
        <w:rPr>
          <w:rFonts w:ascii="Arial" w:hAnsi="Arial"/>
          <w:u w:val="single"/>
        </w:rPr>
      </w:pPr>
    </w:p>
    <w:p w14:paraId="1A279171" w14:textId="6413F0DA" w:rsidR="003F7073" w:rsidRDefault="00A47A48" w:rsidP="00926FE7">
      <w:pPr>
        <w:spacing w:line="360" w:lineRule="auto"/>
        <w:jc w:val="both"/>
        <w:rPr>
          <w:rFonts w:ascii="Arial" w:hAnsi="Arial"/>
        </w:rPr>
      </w:pPr>
      <w:r>
        <w:rPr>
          <w:rFonts w:ascii="Arial" w:hAnsi="Arial"/>
        </w:rPr>
        <w:t>[34</w:t>
      </w:r>
      <w:r w:rsidR="003F7073">
        <w:rPr>
          <w:rFonts w:ascii="Arial" w:hAnsi="Arial"/>
        </w:rPr>
        <w:t>]</w:t>
      </w:r>
      <w:r w:rsidR="003F7073">
        <w:rPr>
          <w:rFonts w:ascii="Arial" w:hAnsi="Arial"/>
        </w:rPr>
        <w:tab/>
        <w:t>There is one outstanding issue that the called is called upon to determine and it relates to costs of earlier proceedings. The difficulty with this aspect is that the costs sought are not of proceedings that served before me and it is normally Herculean task to determine costs in such matters, particularly where, as in here, there is a dispute about what happened. I have to do my best which I will.</w:t>
      </w:r>
    </w:p>
    <w:p w14:paraId="5C285972" w14:textId="77777777" w:rsidR="00A05DD4" w:rsidRDefault="00A05DD4" w:rsidP="00926FE7">
      <w:pPr>
        <w:spacing w:line="360" w:lineRule="auto"/>
        <w:jc w:val="both"/>
        <w:rPr>
          <w:rFonts w:ascii="Arial" w:hAnsi="Arial"/>
        </w:rPr>
      </w:pPr>
    </w:p>
    <w:p w14:paraId="50BFD8B3" w14:textId="19D938AD" w:rsidR="00A05DD4" w:rsidRDefault="00A47A48" w:rsidP="00926FE7">
      <w:pPr>
        <w:spacing w:line="360" w:lineRule="auto"/>
        <w:jc w:val="both"/>
        <w:rPr>
          <w:rFonts w:ascii="Arial" w:hAnsi="Arial"/>
        </w:rPr>
      </w:pPr>
      <w:r>
        <w:rPr>
          <w:rFonts w:ascii="Arial" w:hAnsi="Arial"/>
        </w:rPr>
        <w:t>[35</w:t>
      </w:r>
      <w:r w:rsidR="00A05DD4">
        <w:rPr>
          <w:rFonts w:ascii="Arial" w:hAnsi="Arial"/>
        </w:rPr>
        <w:t>]</w:t>
      </w:r>
      <w:r w:rsidR="00A05DD4">
        <w:rPr>
          <w:rFonts w:ascii="Arial" w:hAnsi="Arial"/>
        </w:rPr>
        <w:tab/>
        <w:t>The first date in relation to wasted costs appears to be in respect of proceedings for a hearing before Ueitele J on 7 February 2017. On that day, the matter was postponed for the reason that the learned Judge, it would seem, recused himself. No costs can properly be apportioned in such circumstances.</w:t>
      </w:r>
    </w:p>
    <w:p w14:paraId="0E7A1BD7" w14:textId="77777777" w:rsidR="00A05DD4" w:rsidRDefault="00A05DD4" w:rsidP="00926FE7">
      <w:pPr>
        <w:spacing w:line="360" w:lineRule="auto"/>
        <w:jc w:val="both"/>
        <w:rPr>
          <w:rFonts w:ascii="Arial" w:hAnsi="Arial"/>
        </w:rPr>
      </w:pPr>
    </w:p>
    <w:p w14:paraId="17B0C45D" w14:textId="77777777" w:rsidR="00A47A48" w:rsidRDefault="00A47A48" w:rsidP="00926FE7">
      <w:pPr>
        <w:spacing w:line="360" w:lineRule="auto"/>
        <w:jc w:val="both"/>
        <w:rPr>
          <w:rFonts w:ascii="Arial" w:hAnsi="Arial"/>
        </w:rPr>
      </w:pPr>
      <w:r>
        <w:rPr>
          <w:rFonts w:ascii="Arial" w:hAnsi="Arial"/>
        </w:rPr>
        <w:t>[36</w:t>
      </w:r>
      <w:r w:rsidR="00A05DD4">
        <w:rPr>
          <w:rFonts w:ascii="Arial" w:hAnsi="Arial"/>
        </w:rPr>
        <w:t>]</w:t>
      </w:r>
      <w:r w:rsidR="00A05DD4">
        <w:rPr>
          <w:rFonts w:ascii="Arial" w:hAnsi="Arial"/>
        </w:rPr>
        <w:tab/>
        <w:t xml:space="preserve">The next date is 15 August 2017. The matter had apparently been placed before Usiku J </w:t>
      </w:r>
      <w:r>
        <w:rPr>
          <w:rFonts w:ascii="Arial" w:hAnsi="Arial"/>
        </w:rPr>
        <w:t xml:space="preserve">for </w:t>
      </w:r>
      <w:r w:rsidR="00A05DD4">
        <w:rPr>
          <w:rFonts w:ascii="Arial" w:hAnsi="Arial"/>
        </w:rPr>
        <w:t xml:space="preserve">hearing. The events of that day appear to </w:t>
      </w:r>
      <w:r>
        <w:rPr>
          <w:rFonts w:ascii="Arial" w:hAnsi="Arial"/>
        </w:rPr>
        <w:t>the subject of contestation between the parties. It is alleged by the one party, and denied by the other, that</w:t>
      </w:r>
      <w:r w:rsidR="00A05DD4">
        <w:rPr>
          <w:rFonts w:ascii="Arial" w:hAnsi="Arial"/>
        </w:rPr>
        <w:t xml:space="preserve"> the learned Judge was under the impression that he was to hear the entire ap</w:t>
      </w:r>
      <w:r>
        <w:rPr>
          <w:rFonts w:ascii="Arial" w:hAnsi="Arial"/>
        </w:rPr>
        <w:t>plication as he</w:t>
      </w:r>
      <w:r w:rsidR="00A05DD4">
        <w:rPr>
          <w:rFonts w:ascii="Arial" w:hAnsi="Arial"/>
        </w:rPr>
        <w:t xml:space="preserve"> was unaware that part of the application had been disposed of</w:t>
      </w:r>
      <w:r w:rsidR="005B70F8">
        <w:rPr>
          <w:rFonts w:ascii="Arial" w:hAnsi="Arial"/>
        </w:rPr>
        <w:t xml:space="preserve">. </w:t>
      </w:r>
    </w:p>
    <w:p w14:paraId="3E79B6C1" w14:textId="77777777" w:rsidR="00A47A48" w:rsidRDefault="00A47A48" w:rsidP="00926FE7">
      <w:pPr>
        <w:spacing w:line="360" w:lineRule="auto"/>
        <w:jc w:val="both"/>
        <w:rPr>
          <w:rFonts w:ascii="Arial" w:hAnsi="Arial"/>
        </w:rPr>
      </w:pPr>
    </w:p>
    <w:p w14:paraId="12FC5796" w14:textId="5E64DB42" w:rsidR="00A05DD4" w:rsidRDefault="00A47A48" w:rsidP="00926FE7">
      <w:pPr>
        <w:spacing w:line="360" w:lineRule="auto"/>
        <w:jc w:val="both"/>
        <w:rPr>
          <w:rFonts w:ascii="Arial" w:hAnsi="Arial"/>
        </w:rPr>
      </w:pPr>
      <w:r>
        <w:rPr>
          <w:rFonts w:ascii="Arial" w:hAnsi="Arial"/>
        </w:rPr>
        <w:t>[37]</w:t>
      </w:r>
      <w:r>
        <w:rPr>
          <w:rFonts w:ascii="Arial" w:hAnsi="Arial"/>
        </w:rPr>
        <w:tab/>
      </w:r>
      <w:r w:rsidR="005B70F8">
        <w:rPr>
          <w:rFonts w:ascii="Arial" w:hAnsi="Arial"/>
        </w:rPr>
        <w:t xml:space="preserve">There is </w:t>
      </w:r>
      <w:r>
        <w:rPr>
          <w:rFonts w:ascii="Arial" w:hAnsi="Arial"/>
        </w:rPr>
        <w:t xml:space="preserve">accordingly </w:t>
      </w:r>
      <w:r w:rsidR="005B70F8">
        <w:rPr>
          <w:rFonts w:ascii="Arial" w:hAnsi="Arial"/>
        </w:rPr>
        <w:t>no unanimity regarding the facts leading to this postponement. I am of the view that the parties should approach the learned Judge for him to make an appropriate order for costs in relation to the costs of that date</w:t>
      </w:r>
      <w:r>
        <w:rPr>
          <w:rFonts w:ascii="Arial" w:hAnsi="Arial"/>
        </w:rPr>
        <w:t xml:space="preserve"> as he would be best placed to deal with the dispute having been seized with the matter</w:t>
      </w:r>
      <w:r w:rsidR="005B70F8">
        <w:rPr>
          <w:rFonts w:ascii="Arial" w:hAnsi="Arial"/>
        </w:rPr>
        <w:t>.</w:t>
      </w:r>
    </w:p>
    <w:p w14:paraId="7BD42B88" w14:textId="77777777" w:rsidR="005B70F8" w:rsidRDefault="005B70F8" w:rsidP="00926FE7">
      <w:pPr>
        <w:spacing w:line="360" w:lineRule="auto"/>
        <w:jc w:val="both"/>
        <w:rPr>
          <w:rFonts w:ascii="Arial" w:hAnsi="Arial"/>
        </w:rPr>
      </w:pPr>
    </w:p>
    <w:p w14:paraId="21846C95" w14:textId="4E7AB022" w:rsidR="003D1259" w:rsidRDefault="00A47A48" w:rsidP="00926FE7">
      <w:pPr>
        <w:spacing w:line="360" w:lineRule="auto"/>
        <w:jc w:val="both"/>
        <w:rPr>
          <w:rFonts w:ascii="Arial" w:hAnsi="Arial"/>
        </w:rPr>
      </w:pPr>
      <w:r>
        <w:rPr>
          <w:rFonts w:ascii="Arial" w:hAnsi="Arial"/>
        </w:rPr>
        <w:t>[38</w:t>
      </w:r>
      <w:r w:rsidR="005B70F8">
        <w:rPr>
          <w:rFonts w:ascii="Arial" w:hAnsi="Arial"/>
        </w:rPr>
        <w:t>]</w:t>
      </w:r>
      <w:r w:rsidR="005B70F8">
        <w:rPr>
          <w:rFonts w:ascii="Arial" w:hAnsi="Arial"/>
        </w:rPr>
        <w:tab/>
        <w:t xml:space="preserve">It would appear that the last date over which an order for costs is required is the hearing of 22 May 2018 before me, which was postponed at the instance of the court. The respondent argues that it was put to the vexation of having to deliver amended heads of argument as a result of the applicant’s record which contained errors and omissions. Furthermore, other documents were allegedly listed out of sequence. The respondent had to file a new bundle marked ‘E’, which contained the documents omitted from the </w:t>
      </w:r>
      <w:r w:rsidR="003D1259">
        <w:rPr>
          <w:rFonts w:ascii="Arial" w:hAnsi="Arial"/>
        </w:rPr>
        <w:t>index.</w:t>
      </w:r>
    </w:p>
    <w:p w14:paraId="5582019D" w14:textId="77777777" w:rsidR="003D1259" w:rsidRDefault="003D1259" w:rsidP="00926FE7">
      <w:pPr>
        <w:spacing w:line="360" w:lineRule="auto"/>
        <w:jc w:val="both"/>
        <w:rPr>
          <w:rFonts w:ascii="Arial" w:hAnsi="Arial"/>
        </w:rPr>
      </w:pPr>
    </w:p>
    <w:p w14:paraId="5C8397E7" w14:textId="2007FE1A" w:rsidR="005B70F8" w:rsidRPr="003F7073" w:rsidRDefault="00A47A48" w:rsidP="00926FE7">
      <w:pPr>
        <w:spacing w:line="360" w:lineRule="auto"/>
        <w:jc w:val="both"/>
        <w:rPr>
          <w:rFonts w:ascii="Arial" w:hAnsi="Arial"/>
        </w:rPr>
      </w:pPr>
      <w:r>
        <w:rPr>
          <w:rFonts w:ascii="Arial" w:hAnsi="Arial"/>
        </w:rPr>
        <w:t>[39</w:t>
      </w:r>
      <w:r w:rsidR="003D1259">
        <w:rPr>
          <w:rFonts w:ascii="Arial" w:hAnsi="Arial"/>
        </w:rPr>
        <w:t>]</w:t>
      </w:r>
      <w:r w:rsidR="003D1259">
        <w:rPr>
          <w:rFonts w:ascii="Arial" w:hAnsi="Arial"/>
        </w:rPr>
        <w:tab/>
        <w:t>I am of the considered view that since the matter was postponed on 22 May 2018 at the court’s instance, it would be unfair to mulct any of the parties with the wasted costs for that day. I however, incline to the view that the respondent is entitled, nonetheless, to the costs he incurred in rectifying the problems occasioned by the state of the record.</w:t>
      </w:r>
      <w:r w:rsidR="005B70F8">
        <w:rPr>
          <w:rFonts w:ascii="Arial" w:hAnsi="Arial"/>
        </w:rPr>
        <w:t xml:space="preserve">  </w:t>
      </w:r>
    </w:p>
    <w:p w14:paraId="53688820" w14:textId="77777777" w:rsidR="000E218B" w:rsidRPr="000E218B" w:rsidRDefault="000E218B" w:rsidP="00926FE7">
      <w:pPr>
        <w:spacing w:line="360" w:lineRule="auto"/>
        <w:jc w:val="both"/>
        <w:rPr>
          <w:rFonts w:ascii="Arial" w:hAnsi="Arial"/>
        </w:rPr>
      </w:pPr>
    </w:p>
    <w:p w14:paraId="6D709D83" w14:textId="7E68EBB8" w:rsidR="009E1D14" w:rsidRDefault="009E1D14" w:rsidP="00926FE7">
      <w:pPr>
        <w:spacing w:line="360" w:lineRule="auto"/>
        <w:jc w:val="both"/>
        <w:rPr>
          <w:rFonts w:ascii="Arial" w:hAnsi="Arial"/>
          <w:u w:val="single"/>
        </w:rPr>
      </w:pPr>
      <w:r>
        <w:rPr>
          <w:rFonts w:ascii="Arial" w:hAnsi="Arial"/>
          <w:u w:val="single"/>
        </w:rPr>
        <w:t>Order</w:t>
      </w:r>
    </w:p>
    <w:p w14:paraId="1457912B" w14:textId="6C3B15B5" w:rsidR="009E1D14" w:rsidRDefault="009E1D14" w:rsidP="00926FE7">
      <w:pPr>
        <w:spacing w:line="360" w:lineRule="auto"/>
        <w:jc w:val="both"/>
        <w:rPr>
          <w:rFonts w:ascii="Arial" w:hAnsi="Arial"/>
          <w:u w:val="single"/>
        </w:rPr>
      </w:pPr>
    </w:p>
    <w:p w14:paraId="338F7BD9" w14:textId="75407927" w:rsidR="00F30578" w:rsidRDefault="000E218B" w:rsidP="00926FE7">
      <w:pPr>
        <w:spacing w:line="360" w:lineRule="auto"/>
        <w:jc w:val="both"/>
        <w:rPr>
          <w:rFonts w:ascii="Arial" w:hAnsi="Arial"/>
        </w:rPr>
      </w:pPr>
      <w:r w:rsidRPr="000E218B">
        <w:rPr>
          <w:rFonts w:ascii="Arial" w:hAnsi="Arial"/>
        </w:rPr>
        <w:t>[</w:t>
      </w:r>
      <w:r w:rsidR="00A47A48">
        <w:rPr>
          <w:rFonts w:ascii="Arial" w:hAnsi="Arial"/>
        </w:rPr>
        <w:t>40</w:t>
      </w:r>
      <w:r w:rsidRPr="000E218B">
        <w:rPr>
          <w:rFonts w:ascii="Arial" w:hAnsi="Arial"/>
        </w:rPr>
        <w:t>]</w:t>
      </w:r>
      <w:r>
        <w:rPr>
          <w:rFonts w:ascii="Arial" w:hAnsi="Arial"/>
        </w:rPr>
        <w:tab/>
      </w:r>
      <w:r w:rsidR="00F30578">
        <w:rPr>
          <w:rFonts w:ascii="Arial" w:hAnsi="Arial"/>
        </w:rPr>
        <w:t>In view of the foregoing reasons, it is accordingly condign to grant the following order:</w:t>
      </w:r>
    </w:p>
    <w:p w14:paraId="6168FB0E" w14:textId="77777777" w:rsidR="00F30578" w:rsidRDefault="00F30578" w:rsidP="00926FE7">
      <w:pPr>
        <w:spacing w:line="360" w:lineRule="auto"/>
        <w:jc w:val="both"/>
        <w:rPr>
          <w:rFonts w:ascii="Arial" w:hAnsi="Arial"/>
        </w:rPr>
      </w:pPr>
    </w:p>
    <w:p w14:paraId="31BCA8AE" w14:textId="2D8E1891" w:rsidR="000E218B" w:rsidRDefault="000E218B" w:rsidP="00F30578">
      <w:pPr>
        <w:pStyle w:val="ListParagraph"/>
        <w:numPr>
          <w:ilvl w:val="0"/>
          <w:numId w:val="17"/>
        </w:numPr>
        <w:spacing w:line="360" w:lineRule="auto"/>
        <w:jc w:val="both"/>
        <w:rPr>
          <w:rFonts w:ascii="Arial" w:hAnsi="Arial"/>
        </w:rPr>
      </w:pPr>
      <w:r w:rsidRPr="00F30578">
        <w:rPr>
          <w:rFonts w:ascii="Arial" w:hAnsi="Arial"/>
        </w:rPr>
        <w:t xml:space="preserve">The application is </w:t>
      </w:r>
      <w:r w:rsidR="007072A6" w:rsidRPr="00F30578">
        <w:rPr>
          <w:rFonts w:ascii="Arial" w:hAnsi="Arial"/>
        </w:rPr>
        <w:t>struck from the roll.</w:t>
      </w:r>
    </w:p>
    <w:p w14:paraId="735AEF0F" w14:textId="11A31CE8" w:rsidR="007072A6" w:rsidRDefault="00D60C27" w:rsidP="00926FE7">
      <w:pPr>
        <w:pStyle w:val="ListParagraph"/>
        <w:numPr>
          <w:ilvl w:val="0"/>
          <w:numId w:val="17"/>
        </w:numPr>
        <w:spacing w:line="360" w:lineRule="auto"/>
        <w:jc w:val="both"/>
        <w:rPr>
          <w:rFonts w:ascii="Arial" w:hAnsi="Arial"/>
        </w:rPr>
      </w:pPr>
      <w:r>
        <w:rPr>
          <w:rFonts w:ascii="Arial" w:hAnsi="Arial"/>
        </w:rPr>
        <w:t>The Applicant is ordered to pay the costs of the application, consequent upon the employment of one instructing and one instructed counsel.</w:t>
      </w:r>
    </w:p>
    <w:p w14:paraId="449B0E03" w14:textId="7D9F3773" w:rsidR="003D1259" w:rsidRDefault="003D1259" w:rsidP="00926FE7">
      <w:pPr>
        <w:pStyle w:val="ListParagraph"/>
        <w:numPr>
          <w:ilvl w:val="0"/>
          <w:numId w:val="17"/>
        </w:numPr>
        <w:spacing w:line="360" w:lineRule="auto"/>
        <w:jc w:val="both"/>
        <w:rPr>
          <w:rFonts w:ascii="Arial" w:hAnsi="Arial"/>
        </w:rPr>
      </w:pPr>
      <w:r>
        <w:rPr>
          <w:rFonts w:ascii="Arial" w:hAnsi="Arial"/>
        </w:rPr>
        <w:t>There is no order as to costs for the abortive hearings on 7 February 2017 and 22 May 2018, save that the Third Respondent is entitled to costs necessarily incurred as a result of it having to rectify the documents because of the state of the record.</w:t>
      </w:r>
    </w:p>
    <w:p w14:paraId="601F442A" w14:textId="5982FF0F" w:rsidR="003D1259" w:rsidRPr="00D60C27" w:rsidRDefault="003D1259" w:rsidP="00926FE7">
      <w:pPr>
        <w:pStyle w:val="ListParagraph"/>
        <w:numPr>
          <w:ilvl w:val="0"/>
          <w:numId w:val="17"/>
        </w:numPr>
        <w:spacing w:line="360" w:lineRule="auto"/>
        <w:jc w:val="both"/>
        <w:rPr>
          <w:rFonts w:ascii="Arial" w:hAnsi="Arial"/>
        </w:rPr>
      </w:pPr>
      <w:r>
        <w:rPr>
          <w:rFonts w:ascii="Arial" w:hAnsi="Arial"/>
        </w:rPr>
        <w:lastRenderedPageBreak/>
        <w:t xml:space="preserve">The </w:t>
      </w:r>
      <w:r w:rsidR="00A47A48">
        <w:rPr>
          <w:rFonts w:ascii="Arial" w:hAnsi="Arial"/>
        </w:rPr>
        <w:t xml:space="preserve">determination of </w:t>
      </w:r>
      <w:r>
        <w:rPr>
          <w:rFonts w:ascii="Arial" w:hAnsi="Arial"/>
        </w:rPr>
        <w:t xml:space="preserve">wasted costs for the hearing </w:t>
      </w:r>
      <w:r w:rsidR="00A47A48">
        <w:rPr>
          <w:rFonts w:ascii="Arial" w:hAnsi="Arial"/>
        </w:rPr>
        <w:t>scheduled for</w:t>
      </w:r>
      <w:r>
        <w:rPr>
          <w:rFonts w:ascii="Arial" w:hAnsi="Arial"/>
        </w:rPr>
        <w:t xml:space="preserve"> 15 August 2017</w:t>
      </w:r>
      <w:r w:rsidR="00A47A48">
        <w:rPr>
          <w:rFonts w:ascii="Arial" w:hAnsi="Arial"/>
        </w:rPr>
        <w:t>, is</w:t>
      </w:r>
      <w:r>
        <w:rPr>
          <w:rFonts w:ascii="Arial" w:hAnsi="Arial"/>
        </w:rPr>
        <w:t xml:space="preserve"> to be placed </w:t>
      </w:r>
      <w:r w:rsidR="00A47A48">
        <w:rPr>
          <w:rFonts w:ascii="Arial" w:hAnsi="Arial"/>
        </w:rPr>
        <w:t>before Usiku J</w:t>
      </w:r>
      <w:r>
        <w:rPr>
          <w:rFonts w:ascii="Arial" w:hAnsi="Arial"/>
        </w:rPr>
        <w:t>.</w:t>
      </w:r>
    </w:p>
    <w:p w14:paraId="3861084F" w14:textId="77777777" w:rsidR="007072A6" w:rsidRDefault="007072A6" w:rsidP="00926FE7">
      <w:pPr>
        <w:spacing w:line="360" w:lineRule="auto"/>
        <w:jc w:val="both"/>
        <w:rPr>
          <w:rFonts w:ascii="Arial" w:hAnsi="Arial"/>
        </w:rPr>
      </w:pPr>
    </w:p>
    <w:p w14:paraId="457321CF" w14:textId="2182555E" w:rsidR="000E218B" w:rsidRDefault="000E218B" w:rsidP="00926FE7">
      <w:pPr>
        <w:spacing w:line="360" w:lineRule="auto"/>
        <w:jc w:val="both"/>
        <w:rPr>
          <w:rFonts w:ascii="Arial" w:hAnsi="Arial"/>
        </w:rPr>
      </w:pPr>
    </w:p>
    <w:p w14:paraId="2011BB69" w14:textId="77777777" w:rsidR="007072A6" w:rsidRPr="000E218B" w:rsidRDefault="007072A6" w:rsidP="00926FE7">
      <w:pPr>
        <w:spacing w:line="360" w:lineRule="auto"/>
        <w:jc w:val="both"/>
        <w:rPr>
          <w:rFonts w:ascii="Arial" w:hAnsi="Arial"/>
        </w:rPr>
      </w:pPr>
    </w:p>
    <w:p w14:paraId="5CFDAC04" w14:textId="544D2AD3" w:rsidR="007455DC" w:rsidRDefault="007455DC" w:rsidP="000D0849">
      <w:pPr>
        <w:spacing w:line="360" w:lineRule="auto"/>
        <w:ind w:left="720"/>
        <w:jc w:val="right"/>
        <w:rPr>
          <w:rFonts w:ascii="Arial" w:hAnsi="Arial"/>
        </w:rPr>
      </w:pPr>
      <w:r>
        <w:rPr>
          <w:rFonts w:ascii="Arial" w:hAnsi="Arial"/>
        </w:rPr>
        <w:softHyphen/>
        <w:t>______________</w:t>
      </w:r>
    </w:p>
    <w:p w14:paraId="0E5454FD" w14:textId="0FC893D7" w:rsidR="007455DC" w:rsidRDefault="007455DC" w:rsidP="000D0849">
      <w:pPr>
        <w:spacing w:line="360" w:lineRule="auto"/>
        <w:ind w:left="720"/>
        <w:jc w:val="right"/>
        <w:rPr>
          <w:rFonts w:ascii="Arial" w:hAnsi="Arial"/>
        </w:rPr>
      </w:pPr>
      <w:r>
        <w:rPr>
          <w:rFonts w:ascii="Arial" w:hAnsi="Arial"/>
        </w:rPr>
        <w:t>T.S Masuku</w:t>
      </w:r>
    </w:p>
    <w:p w14:paraId="63214E60" w14:textId="4E4A0DEB" w:rsidR="007455DC" w:rsidRDefault="007455DC" w:rsidP="000D0849">
      <w:pPr>
        <w:spacing w:line="360" w:lineRule="auto"/>
        <w:ind w:left="720"/>
        <w:jc w:val="right"/>
        <w:rPr>
          <w:rFonts w:ascii="Arial" w:hAnsi="Arial"/>
        </w:rPr>
      </w:pPr>
      <w:r>
        <w:rPr>
          <w:rFonts w:ascii="Arial" w:hAnsi="Arial"/>
        </w:rPr>
        <w:t>Judge</w:t>
      </w:r>
    </w:p>
    <w:p w14:paraId="1CDC6637" w14:textId="77777777" w:rsidR="007455DC" w:rsidRDefault="007455DC" w:rsidP="007455DC">
      <w:pPr>
        <w:spacing w:line="360" w:lineRule="auto"/>
        <w:ind w:left="720"/>
        <w:jc w:val="right"/>
        <w:rPr>
          <w:rFonts w:ascii="Arial" w:hAnsi="Arial"/>
        </w:rPr>
      </w:pPr>
    </w:p>
    <w:p w14:paraId="0A04C438" w14:textId="77777777" w:rsidR="007455DC" w:rsidRDefault="007455DC" w:rsidP="00AE3BBA">
      <w:pPr>
        <w:spacing w:line="360" w:lineRule="auto"/>
        <w:ind w:left="720"/>
        <w:rPr>
          <w:rFonts w:ascii="Arial" w:hAnsi="Arial"/>
        </w:rPr>
      </w:pPr>
    </w:p>
    <w:p w14:paraId="57FB26E4" w14:textId="77777777" w:rsidR="00AE3BBA" w:rsidRDefault="00AE3BBA" w:rsidP="00AE3BBA">
      <w:pPr>
        <w:spacing w:line="360" w:lineRule="auto"/>
        <w:ind w:left="720"/>
        <w:rPr>
          <w:rFonts w:ascii="Arial" w:hAnsi="Arial"/>
        </w:rPr>
      </w:pPr>
    </w:p>
    <w:p w14:paraId="590FD763" w14:textId="77777777" w:rsidR="00AE3BBA" w:rsidRDefault="00AE3BBA" w:rsidP="00AE3BBA">
      <w:pPr>
        <w:spacing w:line="360" w:lineRule="auto"/>
        <w:ind w:left="720"/>
        <w:rPr>
          <w:rFonts w:ascii="Arial" w:hAnsi="Arial"/>
        </w:rPr>
      </w:pPr>
    </w:p>
    <w:p w14:paraId="4FC6D3A5" w14:textId="77777777" w:rsidR="00AE3BBA" w:rsidRDefault="00AE3BBA" w:rsidP="00AE3BBA">
      <w:pPr>
        <w:spacing w:line="360" w:lineRule="auto"/>
        <w:ind w:left="720"/>
        <w:rPr>
          <w:rFonts w:ascii="Arial" w:hAnsi="Arial"/>
        </w:rPr>
      </w:pPr>
    </w:p>
    <w:p w14:paraId="19B24340" w14:textId="77777777" w:rsidR="00AE3BBA" w:rsidRDefault="00AE3BBA" w:rsidP="00AE3BBA">
      <w:pPr>
        <w:spacing w:line="360" w:lineRule="auto"/>
        <w:ind w:left="720"/>
        <w:rPr>
          <w:rFonts w:ascii="Arial" w:hAnsi="Arial"/>
        </w:rPr>
      </w:pPr>
    </w:p>
    <w:p w14:paraId="66CAADB6" w14:textId="77777777" w:rsidR="00AE3BBA" w:rsidRDefault="00AE3BBA" w:rsidP="00AE3BBA">
      <w:pPr>
        <w:spacing w:line="360" w:lineRule="auto"/>
        <w:ind w:left="720"/>
        <w:rPr>
          <w:rFonts w:ascii="Arial" w:hAnsi="Arial"/>
        </w:rPr>
      </w:pPr>
    </w:p>
    <w:p w14:paraId="0877198E" w14:textId="77777777" w:rsidR="00AE3BBA" w:rsidRDefault="00AE3BBA" w:rsidP="00AE3BBA">
      <w:pPr>
        <w:spacing w:line="360" w:lineRule="auto"/>
        <w:ind w:left="720"/>
        <w:rPr>
          <w:rFonts w:ascii="Arial" w:hAnsi="Arial"/>
        </w:rPr>
      </w:pPr>
    </w:p>
    <w:p w14:paraId="5C1C086B" w14:textId="77777777" w:rsidR="00AE3BBA" w:rsidRDefault="00AE3BBA" w:rsidP="00AE3BBA">
      <w:pPr>
        <w:spacing w:line="360" w:lineRule="auto"/>
        <w:ind w:left="720"/>
        <w:rPr>
          <w:rFonts w:ascii="Arial" w:hAnsi="Arial"/>
        </w:rPr>
      </w:pPr>
    </w:p>
    <w:p w14:paraId="3A7BD4AD" w14:textId="77777777" w:rsidR="00AE3BBA" w:rsidRDefault="00AE3BBA" w:rsidP="00AE3BBA">
      <w:pPr>
        <w:spacing w:line="360" w:lineRule="auto"/>
        <w:ind w:left="720"/>
        <w:rPr>
          <w:rFonts w:ascii="Arial" w:hAnsi="Arial"/>
        </w:rPr>
      </w:pPr>
    </w:p>
    <w:p w14:paraId="3B9AC897" w14:textId="77777777" w:rsidR="00AE3BBA" w:rsidRDefault="00AE3BBA" w:rsidP="00AE3BBA">
      <w:pPr>
        <w:spacing w:line="360" w:lineRule="auto"/>
        <w:ind w:left="720"/>
        <w:rPr>
          <w:rFonts w:ascii="Arial" w:hAnsi="Arial"/>
        </w:rPr>
      </w:pPr>
    </w:p>
    <w:p w14:paraId="3C0E173B" w14:textId="77777777" w:rsidR="00AE3BBA" w:rsidRDefault="00AE3BBA" w:rsidP="00AE3BBA">
      <w:pPr>
        <w:spacing w:line="360" w:lineRule="auto"/>
        <w:ind w:left="720"/>
        <w:rPr>
          <w:rFonts w:ascii="Arial" w:hAnsi="Arial"/>
        </w:rPr>
      </w:pPr>
    </w:p>
    <w:p w14:paraId="039E0C20" w14:textId="77777777" w:rsidR="00AE3BBA" w:rsidRDefault="00AE3BBA" w:rsidP="00AE3BBA">
      <w:pPr>
        <w:spacing w:line="360" w:lineRule="auto"/>
        <w:ind w:left="720"/>
        <w:rPr>
          <w:rFonts w:ascii="Arial" w:hAnsi="Arial"/>
        </w:rPr>
      </w:pPr>
    </w:p>
    <w:p w14:paraId="6143EB5C" w14:textId="77777777" w:rsidR="00AE3BBA" w:rsidRDefault="00AE3BBA" w:rsidP="00AE3BBA">
      <w:pPr>
        <w:spacing w:line="360" w:lineRule="auto"/>
        <w:ind w:left="720"/>
        <w:rPr>
          <w:rFonts w:ascii="Arial" w:hAnsi="Arial"/>
        </w:rPr>
      </w:pPr>
    </w:p>
    <w:p w14:paraId="05A90A0F" w14:textId="77777777" w:rsidR="00AE3BBA" w:rsidRDefault="00AE3BBA" w:rsidP="00AE3BBA">
      <w:pPr>
        <w:spacing w:line="360" w:lineRule="auto"/>
        <w:ind w:left="720"/>
        <w:rPr>
          <w:rFonts w:ascii="Arial" w:hAnsi="Arial"/>
        </w:rPr>
      </w:pPr>
    </w:p>
    <w:p w14:paraId="40F38890" w14:textId="77777777" w:rsidR="00AE3BBA" w:rsidRDefault="00AE3BBA" w:rsidP="00AE3BBA">
      <w:pPr>
        <w:spacing w:line="360" w:lineRule="auto"/>
        <w:ind w:left="720"/>
        <w:rPr>
          <w:rFonts w:ascii="Arial" w:hAnsi="Arial"/>
        </w:rPr>
      </w:pPr>
    </w:p>
    <w:p w14:paraId="59CACF1B" w14:textId="77777777" w:rsidR="00AE3BBA" w:rsidRDefault="00AE3BBA" w:rsidP="00AE3BBA">
      <w:pPr>
        <w:spacing w:line="360" w:lineRule="auto"/>
        <w:ind w:left="720"/>
        <w:rPr>
          <w:rFonts w:ascii="Arial" w:hAnsi="Arial"/>
        </w:rPr>
      </w:pPr>
    </w:p>
    <w:p w14:paraId="547833FF" w14:textId="77777777" w:rsidR="00AE3BBA" w:rsidRDefault="00AE3BBA" w:rsidP="00AE3BBA">
      <w:pPr>
        <w:spacing w:line="360" w:lineRule="auto"/>
        <w:ind w:left="720"/>
        <w:rPr>
          <w:rFonts w:ascii="Arial" w:hAnsi="Arial"/>
        </w:rPr>
      </w:pPr>
    </w:p>
    <w:p w14:paraId="226F9AC6" w14:textId="77777777" w:rsidR="00AE3BBA" w:rsidRDefault="00AE3BBA" w:rsidP="00AE3BBA">
      <w:pPr>
        <w:spacing w:line="360" w:lineRule="auto"/>
        <w:ind w:left="720"/>
        <w:rPr>
          <w:rFonts w:ascii="Arial" w:hAnsi="Arial"/>
        </w:rPr>
      </w:pPr>
    </w:p>
    <w:p w14:paraId="45BEF9F5" w14:textId="77777777" w:rsidR="00AE3BBA" w:rsidRDefault="00AE3BBA" w:rsidP="000D0849">
      <w:pPr>
        <w:spacing w:line="360" w:lineRule="auto"/>
        <w:rPr>
          <w:rFonts w:ascii="Arial" w:hAnsi="Arial"/>
        </w:rPr>
      </w:pPr>
    </w:p>
    <w:p w14:paraId="73E855A2" w14:textId="77777777" w:rsidR="007455DC" w:rsidRDefault="007455DC" w:rsidP="007455DC">
      <w:pPr>
        <w:spacing w:line="360" w:lineRule="auto"/>
        <w:ind w:left="720"/>
        <w:jc w:val="right"/>
        <w:rPr>
          <w:rFonts w:ascii="Arial" w:hAnsi="Arial"/>
        </w:rPr>
      </w:pPr>
    </w:p>
    <w:p w14:paraId="332A1805" w14:textId="1B18B123" w:rsidR="007455DC" w:rsidRDefault="007455DC" w:rsidP="007455DC">
      <w:pPr>
        <w:spacing w:line="360" w:lineRule="auto"/>
        <w:ind w:left="720"/>
        <w:rPr>
          <w:rFonts w:ascii="Arial" w:hAnsi="Arial"/>
        </w:rPr>
      </w:pPr>
      <w:r>
        <w:rPr>
          <w:rFonts w:ascii="Arial" w:hAnsi="Arial"/>
        </w:rPr>
        <w:t xml:space="preserve">APPEARANCES:  </w:t>
      </w:r>
    </w:p>
    <w:p w14:paraId="70E84E81" w14:textId="77777777" w:rsidR="007455DC" w:rsidRDefault="007455DC" w:rsidP="007455DC">
      <w:pPr>
        <w:spacing w:line="360" w:lineRule="auto"/>
        <w:ind w:left="720"/>
        <w:rPr>
          <w:rFonts w:ascii="Arial" w:hAnsi="Arial"/>
        </w:rPr>
      </w:pPr>
    </w:p>
    <w:p w14:paraId="1D505260" w14:textId="3213C107" w:rsidR="007455DC" w:rsidRDefault="007455DC" w:rsidP="007455DC">
      <w:pPr>
        <w:spacing w:line="360" w:lineRule="auto"/>
        <w:ind w:left="720"/>
        <w:rPr>
          <w:rFonts w:ascii="Arial" w:hAnsi="Arial"/>
        </w:rPr>
      </w:pPr>
      <w:r>
        <w:rPr>
          <w:rFonts w:ascii="Arial" w:hAnsi="Arial"/>
        </w:rPr>
        <w:t>APPLICANT:</w:t>
      </w:r>
      <w:r>
        <w:rPr>
          <w:rFonts w:ascii="Arial" w:hAnsi="Arial"/>
        </w:rPr>
        <w:tab/>
      </w:r>
      <w:r>
        <w:rPr>
          <w:rFonts w:ascii="Arial" w:hAnsi="Arial"/>
        </w:rPr>
        <w:tab/>
      </w:r>
      <w:r>
        <w:rPr>
          <w:rFonts w:ascii="Arial" w:hAnsi="Arial"/>
        </w:rPr>
        <w:tab/>
        <w:t xml:space="preserve">Mr. </w:t>
      </w:r>
      <w:r w:rsidR="00026037">
        <w:rPr>
          <w:rFonts w:ascii="Arial" w:hAnsi="Arial"/>
        </w:rPr>
        <w:t>T</w:t>
      </w:r>
      <w:r w:rsidR="00D60C27">
        <w:rPr>
          <w:rFonts w:ascii="Arial" w:hAnsi="Arial"/>
        </w:rPr>
        <w:t>.</w:t>
      </w:r>
      <w:r w:rsidR="00F671E4">
        <w:rPr>
          <w:rFonts w:ascii="Arial" w:hAnsi="Arial"/>
        </w:rPr>
        <w:t xml:space="preserve"> A</w:t>
      </w:r>
      <w:r w:rsidR="00D60C27">
        <w:rPr>
          <w:rFonts w:ascii="Arial" w:hAnsi="Arial"/>
        </w:rPr>
        <w:t>.</w:t>
      </w:r>
      <w:r w:rsidR="00F671E4">
        <w:rPr>
          <w:rFonts w:ascii="Arial" w:hAnsi="Arial"/>
        </w:rPr>
        <w:t xml:space="preserve"> Barnard</w:t>
      </w:r>
    </w:p>
    <w:p w14:paraId="2D74EB5E" w14:textId="68637CDC" w:rsidR="007455DC" w:rsidRDefault="007455DC" w:rsidP="00AE3BBA">
      <w:pPr>
        <w:spacing w:line="360" w:lineRule="auto"/>
        <w:ind w:left="3600"/>
        <w:rPr>
          <w:rFonts w:ascii="Arial" w:hAnsi="Arial"/>
        </w:rPr>
      </w:pPr>
      <w:r>
        <w:rPr>
          <w:rFonts w:ascii="Arial" w:hAnsi="Arial"/>
        </w:rPr>
        <w:t>Instru</w:t>
      </w:r>
      <w:r w:rsidR="00DF0EFA">
        <w:rPr>
          <w:rFonts w:ascii="Arial" w:hAnsi="Arial"/>
        </w:rPr>
        <w:t xml:space="preserve">cted by </w:t>
      </w:r>
      <w:r w:rsidR="00F671E4">
        <w:rPr>
          <w:rFonts w:ascii="Arial" w:hAnsi="Arial"/>
        </w:rPr>
        <w:t>ENSAfrica Namibia,</w:t>
      </w:r>
      <w:r w:rsidR="00026037">
        <w:rPr>
          <w:rFonts w:ascii="Arial" w:hAnsi="Arial"/>
        </w:rPr>
        <w:t xml:space="preserve"> Legal Practitioners</w:t>
      </w:r>
      <w:r w:rsidR="00DF0EFA">
        <w:rPr>
          <w:rFonts w:ascii="Arial" w:hAnsi="Arial"/>
        </w:rPr>
        <w:t>,</w:t>
      </w:r>
      <w:r>
        <w:rPr>
          <w:rFonts w:ascii="Arial" w:hAnsi="Arial"/>
        </w:rPr>
        <w:t xml:space="preserve"> Windhoek.</w:t>
      </w:r>
    </w:p>
    <w:p w14:paraId="47CFF377" w14:textId="77777777" w:rsidR="007455DC" w:rsidRDefault="007455DC" w:rsidP="007455DC">
      <w:pPr>
        <w:spacing w:line="360" w:lineRule="auto"/>
        <w:ind w:left="720"/>
        <w:rPr>
          <w:rFonts w:ascii="Arial" w:hAnsi="Arial"/>
        </w:rPr>
      </w:pPr>
    </w:p>
    <w:p w14:paraId="399F596B" w14:textId="1FAA8582" w:rsidR="007455DC" w:rsidRDefault="00F671E4" w:rsidP="00AE3BBA">
      <w:pPr>
        <w:spacing w:line="360" w:lineRule="auto"/>
        <w:ind w:left="3600" w:hanging="2880"/>
        <w:rPr>
          <w:rFonts w:ascii="Arial" w:hAnsi="Arial"/>
        </w:rPr>
      </w:pPr>
      <w:r>
        <w:rPr>
          <w:rFonts w:ascii="Arial" w:hAnsi="Arial"/>
        </w:rPr>
        <w:t>THIRD</w:t>
      </w:r>
      <w:r w:rsidR="007455DC">
        <w:rPr>
          <w:rFonts w:ascii="Arial" w:hAnsi="Arial"/>
        </w:rPr>
        <w:t xml:space="preserve"> RESPONDENT:</w:t>
      </w:r>
      <w:r w:rsidR="007455DC">
        <w:rPr>
          <w:rFonts w:ascii="Arial" w:hAnsi="Arial"/>
        </w:rPr>
        <w:tab/>
        <w:t>Mr</w:t>
      </w:r>
      <w:r w:rsidR="00026037">
        <w:rPr>
          <w:rFonts w:ascii="Arial" w:hAnsi="Arial"/>
        </w:rPr>
        <w:t xml:space="preserve">s </w:t>
      </w:r>
      <w:r>
        <w:rPr>
          <w:rFonts w:ascii="Arial" w:hAnsi="Arial"/>
        </w:rPr>
        <w:t>B de Jager</w:t>
      </w:r>
    </w:p>
    <w:p w14:paraId="714E4806" w14:textId="370D47CD" w:rsidR="00DF0EFA" w:rsidRDefault="00DF0EFA" w:rsidP="00AE3BBA">
      <w:pPr>
        <w:spacing w:line="360" w:lineRule="auto"/>
        <w:ind w:left="3600"/>
        <w:rPr>
          <w:rFonts w:ascii="Arial" w:hAnsi="Arial"/>
        </w:rPr>
      </w:pPr>
      <w:r>
        <w:rPr>
          <w:rFonts w:ascii="Arial" w:hAnsi="Arial"/>
        </w:rPr>
        <w:t xml:space="preserve">Instructed by </w:t>
      </w:r>
      <w:r w:rsidR="00F671E4">
        <w:rPr>
          <w:rFonts w:ascii="Arial" w:hAnsi="Arial"/>
        </w:rPr>
        <w:t>Behrens &amp; Pfeiffer Legal Practitioners</w:t>
      </w:r>
      <w:r>
        <w:rPr>
          <w:rFonts w:ascii="Arial" w:hAnsi="Arial"/>
        </w:rPr>
        <w:t>, Windhoek.</w:t>
      </w:r>
    </w:p>
    <w:p w14:paraId="619099DD" w14:textId="036BACBF" w:rsidR="00F671E4" w:rsidRDefault="00F671E4" w:rsidP="00AE3BBA">
      <w:pPr>
        <w:spacing w:line="360" w:lineRule="auto"/>
        <w:ind w:left="3600"/>
        <w:rPr>
          <w:rFonts w:ascii="Arial" w:hAnsi="Arial"/>
        </w:rPr>
      </w:pPr>
    </w:p>
    <w:p w14:paraId="54CEDFB8" w14:textId="1F6988DC" w:rsidR="00F671E4" w:rsidRDefault="00F671E4" w:rsidP="00AE3BBA">
      <w:pPr>
        <w:spacing w:line="360" w:lineRule="auto"/>
        <w:ind w:left="3600"/>
        <w:rPr>
          <w:rFonts w:ascii="Arial" w:hAnsi="Arial"/>
        </w:rPr>
      </w:pPr>
    </w:p>
    <w:p w14:paraId="2EB432CB" w14:textId="520D6B8A" w:rsidR="00F671E4" w:rsidRDefault="00F671E4" w:rsidP="00AE3BBA">
      <w:pPr>
        <w:spacing w:line="360" w:lineRule="auto"/>
        <w:ind w:left="3600"/>
        <w:rPr>
          <w:rFonts w:ascii="Arial" w:hAnsi="Arial"/>
        </w:rPr>
      </w:pPr>
    </w:p>
    <w:p w14:paraId="67E36625" w14:textId="19D2918E" w:rsidR="00F671E4" w:rsidRDefault="00F671E4" w:rsidP="00AE3BBA">
      <w:pPr>
        <w:spacing w:line="360" w:lineRule="auto"/>
        <w:ind w:left="3600"/>
        <w:rPr>
          <w:rFonts w:ascii="Arial" w:hAnsi="Arial"/>
        </w:rPr>
      </w:pPr>
    </w:p>
    <w:p w14:paraId="3E26AE95" w14:textId="6D04543B" w:rsidR="00F671E4" w:rsidRDefault="00F671E4" w:rsidP="00AE3BBA">
      <w:pPr>
        <w:spacing w:line="360" w:lineRule="auto"/>
        <w:ind w:left="3600"/>
        <w:rPr>
          <w:rFonts w:ascii="Arial" w:hAnsi="Arial"/>
        </w:rPr>
      </w:pPr>
    </w:p>
    <w:p w14:paraId="5A204DEC" w14:textId="245A458E" w:rsidR="00F671E4" w:rsidRDefault="00F671E4" w:rsidP="00AE3BBA">
      <w:pPr>
        <w:spacing w:line="360" w:lineRule="auto"/>
        <w:ind w:left="3600"/>
        <w:rPr>
          <w:rFonts w:ascii="Arial" w:hAnsi="Arial"/>
        </w:rPr>
      </w:pPr>
    </w:p>
    <w:p w14:paraId="362B24DD" w14:textId="303208AE" w:rsidR="00F671E4" w:rsidRDefault="00F671E4" w:rsidP="00AE3BBA">
      <w:pPr>
        <w:spacing w:line="360" w:lineRule="auto"/>
        <w:ind w:left="3600"/>
        <w:rPr>
          <w:rFonts w:ascii="Arial" w:hAnsi="Arial"/>
        </w:rPr>
      </w:pPr>
    </w:p>
    <w:p w14:paraId="0A83BF40" w14:textId="77777777" w:rsidR="00F671E4" w:rsidRPr="00203E2B" w:rsidRDefault="00F671E4" w:rsidP="00AE3BBA">
      <w:pPr>
        <w:spacing w:line="360" w:lineRule="auto"/>
        <w:ind w:left="3600"/>
        <w:rPr>
          <w:rFonts w:ascii="Arial" w:hAnsi="Arial"/>
        </w:rPr>
      </w:pPr>
    </w:p>
    <w:sectPr w:rsidR="00F671E4" w:rsidRPr="00203E2B" w:rsidSect="0077760B">
      <w:headerReference w:type="even" r:id="rId9"/>
      <w:headerReference w:type="default" r:id="rId10"/>
      <w:pgSz w:w="11900" w:h="16840"/>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0F6C5" w14:textId="77777777" w:rsidR="00524E2C" w:rsidRDefault="00524E2C" w:rsidP="00872E23">
      <w:r>
        <w:separator/>
      </w:r>
    </w:p>
  </w:endnote>
  <w:endnote w:type="continuationSeparator" w:id="0">
    <w:p w14:paraId="1F17A8B6" w14:textId="77777777" w:rsidR="00524E2C" w:rsidRDefault="00524E2C" w:rsidP="0087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13ECD" w14:textId="77777777" w:rsidR="00524E2C" w:rsidRDefault="00524E2C" w:rsidP="00872E23">
      <w:r>
        <w:separator/>
      </w:r>
    </w:p>
  </w:footnote>
  <w:footnote w:type="continuationSeparator" w:id="0">
    <w:p w14:paraId="17FC6FEB" w14:textId="77777777" w:rsidR="00524E2C" w:rsidRDefault="00524E2C" w:rsidP="00872E23">
      <w:r>
        <w:continuationSeparator/>
      </w:r>
    </w:p>
  </w:footnote>
  <w:footnote w:id="1">
    <w:p w14:paraId="086A31CD" w14:textId="36BB6770" w:rsidR="00E151F0" w:rsidRPr="000D0849" w:rsidRDefault="00E151F0" w:rsidP="00E151F0">
      <w:pPr>
        <w:pStyle w:val="FootnoteText"/>
        <w:rPr>
          <w:rFonts w:ascii="Arial" w:hAnsi="Arial" w:cs="Arial"/>
          <w:sz w:val="20"/>
          <w:szCs w:val="20"/>
        </w:rPr>
      </w:pPr>
      <w:r w:rsidRPr="000D0849">
        <w:rPr>
          <w:rStyle w:val="FootnoteReference"/>
          <w:rFonts w:ascii="Arial" w:hAnsi="Arial" w:cs="Arial"/>
          <w:sz w:val="20"/>
          <w:szCs w:val="20"/>
        </w:rPr>
        <w:footnoteRef/>
      </w:r>
      <w:r w:rsidRPr="000D0849">
        <w:rPr>
          <w:rFonts w:ascii="Arial" w:hAnsi="Arial" w:cs="Arial"/>
          <w:sz w:val="20"/>
          <w:szCs w:val="20"/>
        </w:rPr>
        <w:t xml:space="preserve"> </w:t>
      </w:r>
      <w:r w:rsidRPr="000D0849">
        <w:rPr>
          <w:rFonts w:ascii="Arial" w:hAnsi="Arial" w:cs="Arial"/>
          <w:sz w:val="20"/>
          <w:szCs w:val="20"/>
          <w:lang w:val="en-US"/>
        </w:rPr>
        <w:t xml:space="preserve">1984(3) SA 623;  applied in Namibia in </w:t>
      </w:r>
      <w:r w:rsidRPr="000D0849">
        <w:rPr>
          <w:rFonts w:ascii="Arial" w:hAnsi="Arial" w:cs="Arial"/>
          <w:i/>
          <w:sz w:val="20"/>
          <w:szCs w:val="20"/>
          <w:u w:val="single"/>
          <w:lang w:val="en-US"/>
        </w:rPr>
        <w:t>Bahlsen v Nederloff and Another</w:t>
      </w:r>
      <w:r w:rsidRPr="000D0849">
        <w:rPr>
          <w:rFonts w:ascii="Arial" w:hAnsi="Arial" w:cs="Arial"/>
          <w:sz w:val="20"/>
          <w:szCs w:val="20"/>
          <w:lang w:val="en-US"/>
        </w:rPr>
        <w:t xml:space="preserve"> 2006(2) NR 416 (HC); </w:t>
      </w:r>
      <w:r w:rsidRPr="000D0849">
        <w:rPr>
          <w:rFonts w:ascii="Arial" w:hAnsi="Arial" w:cs="Arial"/>
          <w:i/>
          <w:sz w:val="20"/>
          <w:szCs w:val="20"/>
          <w:u w:val="single"/>
          <w:lang w:val="en-US"/>
        </w:rPr>
        <w:t>Grobbelaar and Another v Council of the Municipality of Walvis Bay</w:t>
      </w:r>
      <w:r w:rsidRPr="000D0849">
        <w:rPr>
          <w:rFonts w:ascii="Arial" w:hAnsi="Arial" w:cs="Arial"/>
          <w:sz w:val="20"/>
          <w:szCs w:val="20"/>
          <w:lang w:val="en-US"/>
        </w:rPr>
        <w:t xml:space="preserve"> 1997 NR 259 (HC).</w:t>
      </w:r>
      <w:r w:rsidRPr="000D0849">
        <w:rPr>
          <w:rFonts w:ascii="Arial" w:hAnsi="Arial" w:cs="Arial"/>
          <w:sz w:val="20"/>
          <w:szCs w:val="20"/>
          <w:u w:val="single"/>
          <w:lang w:val="en-US"/>
        </w:rPr>
        <w:t xml:space="preserve"> </w:t>
      </w:r>
    </w:p>
    <w:p w14:paraId="4B567FDF" w14:textId="1B3CD954" w:rsidR="00E151F0" w:rsidRPr="000D0849" w:rsidRDefault="00E151F0">
      <w:pPr>
        <w:pStyle w:val="FootnoteText"/>
        <w:rPr>
          <w:rFonts w:ascii="Arial" w:hAnsi="Arial" w:cs="Arial"/>
          <w:sz w:val="20"/>
          <w:szCs w:val="20"/>
          <w:lang w:val="en-US"/>
        </w:rPr>
      </w:pPr>
    </w:p>
  </w:footnote>
  <w:footnote w:id="2">
    <w:p w14:paraId="5B2AD192" w14:textId="77777777" w:rsidR="009608E9" w:rsidRPr="000D0849" w:rsidRDefault="009608E9" w:rsidP="009608E9">
      <w:pPr>
        <w:pStyle w:val="FootnoteText"/>
        <w:rPr>
          <w:rFonts w:ascii="Arial" w:hAnsi="Arial" w:cs="Arial"/>
          <w:sz w:val="20"/>
          <w:szCs w:val="20"/>
        </w:rPr>
      </w:pPr>
      <w:r w:rsidRPr="000D0849">
        <w:rPr>
          <w:rStyle w:val="FootnoteReference"/>
          <w:rFonts w:ascii="Arial" w:hAnsi="Arial" w:cs="Arial"/>
          <w:sz w:val="20"/>
          <w:szCs w:val="20"/>
        </w:rPr>
        <w:footnoteRef/>
      </w:r>
      <w:r w:rsidRPr="000D0849">
        <w:rPr>
          <w:rFonts w:ascii="Arial" w:hAnsi="Arial" w:cs="Arial"/>
          <w:sz w:val="20"/>
          <w:szCs w:val="20"/>
        </w:rPr>
        <w:t xml:space="preserve"> </w:t>
      </w:r>
      <w:r w:rsidRPr="000D0849">
        <w:rPr>
          <w:rFonts w:ascii="Arial" w:hAnsi="Arial" w:cs="Arial"/>
          <w:i/>
          <w:sz w:val="20"/>
          <w:szCs w:val="20"/>
          <w:u w:val="single"/>
          <w:lang w:val="en-US"/>
        </w:rPr>
        <w:t>Kauesa v Minister of Home Affairs and Others</w:t>
      </w:r>
      <w:r w:rsidRPr="000D0849">
        <w:rPr>
          <w:rFonts w:ascii="Arial" w:hAnsi="Arial" w:cs="Arial"/>
          <w:sz w:val="20"/>
          <w:szCs w:val="20"/>
          <w:lang w:val="en-US"/>
        </w:rPr>
        <w:t xml:space="preserve"> 1994 NR 102 (HC) at 108 G-J.  </w:t>
      </w:r>
    </w:p>
    <w:p w14:paraId="14B6C421" w14:textId="77777777" w:rsidR="009608E9" w:rsidRPr="009608E9" w:rsidRDefault="009608E9" w:rsidP="009608E9">
      <w:pPr>
        <w:pStyle w:val="FootnoteText"/>
        <w:rPr>
          <w:lang w:val="en-US"/>
        </w:rPr>
      </w:pPr>
    </w:p>
    <w:p w14:paraId="783D92A6" w14:textId="6363C20A" w:rsidR="009608E9" w:rsidRPr="009608E9" w:rsidRDefault="009608E9">
      <w:pPr>
        <w:pStyle w:val="FootnoteText"/>
        <w:rPr>
          <w:lang w:val="en-US"/>
        </w:rPr>
      </w:pPr>
    </w:p>
  </w:footnote>
  <w:footnote w:id="3">
    <w:p w14:paraId="55DD993B" w14:textId="1450B335" w:rsidR="004809ED" w:rsidRPr="000D0849" w:rsidRDefault="004809ED">
      <w:pPr>
        <w:pStyle w:val="FootnoteText"/>
        <w:rPr>
          <w:rFonts w:ascii="Arial" w:hAnsi="Arial" w:cs="Arial"/>
          <w:sz w:val="20"/>
          <w:szCs w:val="20"/>
          <w:lang w:val="en-US"/>
        </w:rPr>
      </w:pPr>
      <w:r w:rsidRPr="000D0849">
        <w:rPr>
          <w:rStyle w:val="FootnoteReference"/>
          <w:rFonts w:ascii="Arial" w:hAnsi="Arial" w:cs="Arial"/>
          <w:sz w:val="20"/>
          <w:szCs w:val="20"/>
        </w:rPr>
        <w:footnoteRef/>
      </w:r>
      <w:r w:rsidRPr="000D0849">
        <w:rPr>
          <w:rFonts w:ascii="Arial" w:hAnsi="Arial" w:cs="Arial"/>
          <w:sz w:val="20"/>
          <w:szCs w:val="20"/>
        </w:rPr>
        <w:t xml:space="preserve"> </w:t>
      </w:r>
      <w:r w:rsidRPr="000D0849">
        <w:rPr>
          <w:rFonts w:ascii="Arial" w:hAnsi="Arial" w:cs="Arial"/>
          <w:sz w:val="20"/>
          <w:szCs w:val="20"/>
          <w:lang w:val="en-US"/>
        </w:rPr>
        <w:t>CA Crim App No. CLCGB-033-19 (delivered on 26 July 2019), para 16.</w:t>
      </w:r>
    </w:p>
  </w:footnote>
  <w:footnote w:id="4">
    <w:p w14:paraId="14BF159E" w14:textId="13B36493" w:rsidR="0085230D" w:rsidRPr="000D0849" w:rsidRDefault="0085230D">
      <w:pPr>
        <w:pStyle w:val="FootnoteText"/>
        <w:rPr>
          <w:rFonts w:ascii="Arial" w:hAnsi="Arial" w:cs="Arial"/>
          <w:sz w:val="20"/>
          <w:szCs w:val="20"/>
          <w:lang w:val="en-US"/>
        </w:rPr>
      </w:pPr>
      <w:r w:rsidRPr="000D0849">
        <w:rPr>
          <w:rStyle w:val="FootnoteReference"/>
          <w:rFonts w:ascii="Arial" w:hAnsi="Arial" w:cs="Arial"/>
          <w:sz w:val="20"/>
          <w:szCs w:val="20"/>
        </w:rPr>
        <w:footnoteRef/>
      </w:r>
      <w:r w:rsidRPr="000D0849">
        <w:rPr>
          <w:rFonts w:ascii="Arial" w:hAnsi="Arial" w:cs="Arial"/>
          <w:sz w:val="20"/>
          <w:szCs w:val="20"/>
        </w:rPr>
        <w:t xml:space="preserve"> </w:t>
      </w:r>
      <w:r w:rsidRPr="000D0849">
        <w:rPr>
          <w:rFonts w:ascii="Arial" w:hAnsi="Arial" w:cs="Arial"/>
          <w:sz w:val="20"/>
          <w:szCs w:val="20"/>
          <w:lang w:val="en-US"/>
        </w:rPr>
        <w:t>Record page 106</w:t>
      </w:r>
    </w:p>
  </w:footnote>
  <w:footnote w:id="5">
    <w:p w14:paraId="403E4B88" w14:textId="2E354729" w:rsidR="0085230D" w:rsidRPr="000D0849" w:rsidRDefault="0085230D">
      <w:pPr>
        <w:pStyle w:val="FootnoteText"/>
        <w:rPr>
          <w:rFonts w:ascii="Arial" w:hAnsi="Arial" w:cs="Arial"/>
          <w:sz w:val="20"/>
          <w:szCs w:val="20"/>
          <w:lang w:val="en-US"/>
        </w:rPr>
      </w:pPr>
      <w:r w:rsidRPr="000D0849">
        <w:rPr>
          <w:rStyle w:val="FootnoteReference"/>
          <w:rFonts w:ascii="Arial" w:hAnsi="Arial" w:cs="Arial"/>
          <w:sz w:val="20"/>
          <w:szCs w:val="20"/>
        </w:rPr>
        <w:footnoteRef/>
      </w:r>
      <w:r w:rsidRPr="000D0849">
        <w:rPr>
          <w:rFonts w:ascii="Arial" w:hAnsi="Arial" w:cs="Arial"/>
          <w:sz w:val="20"/>
          <w:szCs w:val="20"/>
        </w:rPr>
        <w:t xml:space="preserve"> </w:t>
      </w:r>
      <w:r w:rsidRPr="000D0849">
        <w:rPr>
          <w:rFonts w:ascii="Arial" w:hAnsi="Arial" w:cs="Arial"/>
          <w:sz w:val="20"/>
          <w:szCs w:val="20"/>
          <w:lang w:val="en-US"/>
        </w:rPr>
        <w:t>Record page 121</w:t>
      </w:r>
    </w:p>
  </w:footnote>
  <w:footnote w:id="6">
    <w:p w14:paraId="4DF9E851" w14:textId="5D79C942" w:rsidR="0085230D" w:rsidRPr="000D0849" w:rsidRDefault="0085230D">
      <w:pPr>
        <w:pStyle w:val="FootnoteText"/>
        <w:rPr>
          <w:rFonts w:ascii="Arial" w:hAnsi="Arial" w:cs="Arial"/>
          <w:sz w:val="20"/>
          <w:szCs w:val="20"/>
          <w:lang w:val="en-US"/>
        </w:rPr>
      </w:pPr>
      <w:r w:rsidRPr="000D0849">
        <w:rPr>
          <w:rStyle w:val="FootnoteReference"/>
          <w:rFonts w:ascii="Arial" w:hAnsi="Arial" w:cs="Arial"/>
          <w:sz w:val="20"/>
          <w:szCs w:val="20"/>
        </w:rPr>
        <w:footnoteRef/>
      </w:r>
      <w:r w:rsidRPr="000D0849">
        <w:rPr>
          <w:rFonts w:ascii="Arial" w:hAnsi="Arial" w:cs="Arial"/>
          <w:sz w:val="20"/>
          <w:szCs w:val="20"/>
        </w:rPr>
        <w:t xml:space="preserve"> </w:t>
      </w:r>
      <w:r w:rsidRPr="000D0849">
        <w:rPr>
          <w:rFonts w:ascii="Arial" w:hAnsi="Arial" w:cs="Arial"/>
          <w:sz w:val="20"/>
          <w:szCs w:val="20"/>
          <w:lang w:val="en-US"/>
        </w:rPr>
        <w:t>Record page 137 see also similar sign off of emails at pages 149,</w:t>
      </w:r>
      <w:r w:rsidR="00045D8B" w:rsidRPr="000D0849">
        <w:rPr>
          <w:rFonts w:ascii="Arial" w:hAnsi="Arial" w:cs="Arial"/>
          <w:sz w:val="20"/>
          <w:szCs w:val="20"/>
          <w:lang w:val="en-US"/>
        </w:rPr>
        <w:t>153 and 177 amongst other similar references.</w:t>
      </w:r>
    </w:p>
  </w:footnote>
  <w:footnote w:id="7">
    <w:p w14:paraId="51FAE38C" w14:textId="4452D134" w:rsidR="000E6D08" w:rsidRPr="000D0849" w:rsidRDefault="000E6D08">
      <w:pPr>
        <w:pStyle w:val="FootnoteText"/>
        <w:rPr>
          <w:rFonts w:ascii="Arial" w:hAnsi="Arial" w:cs="Arial"/>
          <w:sz w:val="20"/>
          <w:szCs w:val="20"/>
          <w:lang w:val="en-US"/>
        </w:rPr>
      </w:pPr>
      <w:r w:rsidRPr="000D0849">
        <w:rPr>
          <w:rStyle w:val="FootnoteReference"/>
          <w:rFonts w:ascii="Arial" w:hAnsi="Arial" w:cs="Arial"/>
          <w:sz w:val="20"/>
          <w:szCs w:val="20"/>
        </w:rPr>
        <w:footnoteRef/>
      </w:r>
      <w:r w:rsidRPr="000D0849">
        <w:rPr>
          <w:rFonts w:ascii="Arial" w:hAnsi="Arial" w:cs="Arial"/>
          <w:sz w:val="20"/>
          <w:szCs w:val="20"/>
        </w:rPr>
        <w:t xml:space="preserve"> 2007 (2) NR 792 (HC).</w:t>
      </w:r>
    </w:p>
  </w:footnote>
  <w:footnote w:id="8">
    <w:p w14:paraId="18D3E6C3" w14:textId="29D768DF" w:rsidR="000E6D08" w:rsidRPr="000D0849" w:rsidRDefault="000E6D08">
      <w:pPr>
        <w:pStyle w:val="FootnoteText"/>
        <w:rPr>
          <w:rFonts w:ascii="Arial" w:hAnsi="Arial" w:cs="Arial"/>
          <w:sz w:val="20"/>
          <w:szCs w:val="20"/>
          <w:lang w:val="en-US"/>
        </w:rPr>
      </w:pPr>
      <w:r w:rsidRPr="000D0849">
        <w:rPr>
          <w:rStyle w:val="FootnoteReference"/>
          <w:rFonts w:ascii="Arial" w:hAnsi="Arial" w:cs="Arial"/>
          <w:sz w:val="20"/>
          <w:szCs w:val="20"/>
        </w:rPr>
        <w:footnoteRef/>
      </w:r>
      <w:r w:rsidRPr="000D0849">
        <w:rPr>
          <w:rFonts w:ascii="Arial" w:hAnsi="Arial" w:cs="Arial"/>
          <w:sz w:val="20"/>
          <w:szCs w:val="20"/>
        </w:rPr>
        <w:t xml:space="preserve"> </w:t>
      </w:r>
      <w:r w:rsidRPr="000D0849">
        <w:rPr>
          <w:rFonts w:ascii="Arial" w:hAnsi="Arial" w:cs="Arial"/>
          <w:sz w:val="20"/>
          <w:szCs w:val="20"/>
          <w:lang w:val="en-US"/>
        </w:rPr>
        <w:t>2015 (3) NR 753 (SC)</w:t>
      </w:r>
    </w:p>
  </w:footnote>
  <w:footnote w:id="9">
    <w:p w14:paraId="49B6D06F" w14:textId="5410305F" w:rsidR="002C7EB4" w:rsidRPr="000D0849" w:rsidRDefault="002C7EB4">
      <w:pPr>
        <w:pStyle w:val="FootnoteText"/>
        <w:rPr>
          <w:rFonts w:ascii="Arial" w:hAnsi="Arial" w:cs="Arial"/>
          <w:sz w:val="20"/>
          <w:szCs w:val="20"/>
          <w:lang w:val="en-US"/>
        </w:rPr>
      </w:pPr>
      <w:r w:rsidRPr="000D0849">
        <w:rPr>
          <w:rStyle w:val="FootnoteReference"/>
          <w:rFonts w:ascii="Arial" w:hAnsi="Arial" w:cs="Arial"/>
          <w:sz w:val="20"/>
          <w:szCs w:val="20"/>
        </w:rPr>
        <w:footnoteRef/>
      </w:r>
      <w:r w:rsidRPr="000D0849">
        <w:rPr>
          <w:rFonts w:ascii="Arial" w:hAnsi="Arial" w:cs="Arial"/>
          <w:sz w:val="20"/>
          <w:szCs w:val="20"/>
        </w:rPr>
        <w:t xml:space="preserve"> </w:t>
      </w:r>
      <w:r w:rsidRPr="000D0849">
        <w:rPr>
          <w:rFonts w:ascii="Arial" w:hAnsi="Arial" w:cs="Arial"/>
          <w:sz w:val="20"/>
          <w:szCs w:val="20"/>
          <w:lang w:val="en-US"/>
        </w:rPr>
        <w:t>2008 (2) NR 427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666B" w14:textId="77777777" w:rsidR="00F70EE8" w:rsidRDefault="00F70EE8" w:rsidP="00966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F425A" w14:textId="77777777" w:rsidR="00F70EE8" w:rsidRDefault="00F70EE8" w:rsidP="00966E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447925"/>
      <w:docPartObj>
        <w:docPartGallery w:val="Page Numbers (Top of Page)"/>
        <w:docPartUnique/>
      </w:docPartObj>
    </w:sdtPr>
    <w:sdtEndPr>
      <w:rPr>
        <w:noProof/>
      </w:rPr>
    </w:sdtEndPr>
    <w:sdtContent>
      <w:p w14:paraId="5E7E3874" w14:textId="1E92059F" w:rsidR="00F70EE8" w:rsidRDefault="00F70EE8">
        <w:pPr>
          <w:pStyle w:val="Header"/>
          <w:jc w:val="right"/>
        </w:pPr>
        <w:r>
          <w:fldChar w:fldCharType="begin"/>
        </w:r>
        <w:r>
          <w:instrText xml:space="preserve"> PAGE   \* MERGEFORMAT </w:instrText>
        </w:r>
        <w:r>
          <w:fldChar w:fldCharType="separate"/>
        </w:r>
        <w:r w:rsidR="0014330B">
          <w:rPr>
            <w:noProof/>
          </w:rPr>
          <w:t>2</w:t>
        </w:r>
        <w:r>
          <w:rPr>
            <w:noProof/>
          </w:rPr>
          <w:fldChar w:fldCharType="end"/>
        </w:r>
      </w:p>
    </w:sdtContent>
  </w:sdt>
  <w:p w14:paraId="496C9563" w14:textId="77777777" w:rsidR="00F70EE8" w:rsidRDefault="00F70EE8" w:rsidP="00966E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lvlText w:val="[%1]"/>
      <w:lvlJc w:val="left"/>
      <w:pPr>
        <w:tabs>
          <w:tab w:val="num" w:pos="2177"/>
        </w:tabs>
        <w:snapToGrid w:val="0"/>
        <w:ind w:left="1440" w:firstLine="0"/>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w w:val="1"/>
        <w:kern w:val="0"/>
        <w:position w:val="0"/>
        <w:sz w:val="2"/>
        <w:szCs w:val="24"/>
        <w:u w:val="none"/>
        <w:effect w:val="none"/>
        <w:vertAlign w:val="baseline"/>
        <w:specVanish w:val="0"/>
      </w:rPr>
    </w:lvl>
    <w:lvl w:ilvl="1">
      <w:start w:val="1"/>
      <w:numFmt w:val="decimal"/>
      <w:lvlText w:val="%1.%2."/>
      <w:lvlJc w:val="left"/>
      <w:pPr>
        <w:tabs>
          <w:tab w:val="num" w:pos="1440"/>
        </w:tabs>
        <w:ind w:left="2897" w:hanging="720"/>
      </w:pPr>
      <w:rPr>
        <w:rFonts w:ascii="Bookman Old Style" w:hAnsi="Bookman Old Style" w:cs="Times New Roman" w:hint="default"/>
        <w:sz w:val="24"/>
        <w:szCs w:val="24"/>
      </w:rPr>
    </w:lvl>
    <w:lvl w:ilvl="2">
      <w:start w:val="1"/>
      <w:numFmt w:val="decimal"/>
      <w:lvlText w:val="%1.%2.%3."/>
      <w:lvlJc w:val="left"/>
      <w:pPr>
        <w:tabs>
          <w:tab w:val="num" w:pos="3011"/>
        </w:tabs>
        <w:ind w:left="2291" w:firstLine="0"/>
      </w:pPr>
      <w:rPr>
        <w:rFonts w:ascii="Bookman Old Style" w:hAnsi="Bookman Old Style" w:cs="Times New Roman" w:hint="default"/>
        <w:sz w:val="24"/>
        <w:szCs w:val="24"/>
      </w:rPr>
    </w:lvl>
    <w:lvl w:ilvl="3">
      <w:start w:val="1"/>
      <w:numFmt w:val="decimal"/>
      <w:lvlText w:val="%1.%2.%3.%4."/>
      <w:lvlJc w:val="left"/>
      <w:pPr>
        <w:tabs>
          <w:tab w:val="num" w:pos="1440"/>
        </w:tabs>
        <w:ind w:left="4337" w:hanging="720"/>
      </w:pPr>
      <w:rPr>
        <w:rFonts w:ascii="Bookman Old Style" w:hAnsi="Bookman Old Style" w:cs="Times New Roman" w:hint="default"/>
        <w:sz w:val="24"/>
        <w:szCs w:val="24"/>
      </w:rPr>
    </w:lvl>
    <w:lvl w:ilvl="4">
      <w:start w:val="1"/>
      <w:numFmt w:val="decimal"/>
      <w:lvlText w:val="%1.%2.%3.%4.%5."/>
      <w:lvlJc w:val="left"/>
      <w:pPr>
        <w:tabs>
          <w:tab w:val="num" w:pos="1440"/>
        </w:tabs>
        <w:ind w:left="5057" w:hanging="720"/>
      </w:pPr>
      <w:rPr>
        <w:rFonts w:cs="Times New Roman"/>
      </w:rPr>
    </w:lvl>
    <w:lvl w:ilvl="5">
      <w:start w:val="1"/>
      <w:numFmt w:val="decimal"/>
      <w:lvlText w:val="%1.%2.%3.%4.%5.%6."/>
      <w:lvlJc w:val="left"/>
      <w:pPr>
        <w:tabs>
          <w:tab w:val="num" w:pos="1440"/>
        </w:tabs>
        <w:ind w:left="5777" w:hanging="720"/>
      </w:pPr>
      <w:rPr>
        <w:rFonts w:cs="Times New Roman"/>
      </w:rPr>
    </w:lvl>
    <w:lvl w:ilvl="6">
      <w:start w:val="1"/>
      <w:numFmt w:val="decimal"/>
      <w:lvlText w:val="%1.%2.%3.%4.%5.%6.%7."/>
      <w:lvlJc w:val="left"/>
      <w:pPr>
        <w:tabs>
          <w:tab w:val="num" w:pos="1440"/>
        </w:tabs>
        <w:ind w:left="6497" w:hanging="720"/>
      </w:pPr>
      <w:rPr>
        <w:rFonts w:cs="Times New Roman"/>
      </w:rPr>
    </w:lvl>
    <w:lvl w:ilvl="7">
      <w:start w:val="1"/>
      <w:numFmt w:val="decimal"/>
      <w:lvlText w:val="%1.%2.%3.%4.%5.%6.%7.%8."/>
      <w:lvlJc w:val="left"/>
      <w:pPr>
        <w:tabs>
          <w:tab w:val="num" w:pos="1440"/>
        </w:tabs>
        <w:ind w:left="7217" w:hanging="720"/>
      </w:pPr>
      <w:rPr>
        <w:rFonts w:cs="Times New Roman"/>
      </w:rPr>
    </w:lvl>
    <w:lvl w:ilvl="8">
      <w:start w:val="1"/>
      <w:numFmt w:val="decimal"/>
      <w:lvlText w:val="%1.%2.%3.%4.%5.%6.%7.%8.%9."/>
      <w:lvlJc w:val="left"/>
      <w:pPr>
        <w:tabs>
          <w:tab w:val="num" w:pos="1440"/>
        </w:tabs>
        <w:ind w:left="7937" w:hanging="720"/>
      </w:pPr>
      <w:rPr>
        <w:rFonts w:cs="Times New Roman"/>
      </w:rPr>
    </w:lvl>
  </w:abstractNum>
  <w:abstractNum w:abstractNumId="1" w15:restartNumberingAfterBreak="0">
    <w:nsid w:val="0B2A7053"/>
    <w:multiLevelType w:val="hybridMultilevel"/>
    <w:tmpl w:val="720476F8"/>
    <w:lvl w:ilvl="0" w:tplc="F3AA5EAC">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 w15:restartNumberingAfterBreak="0">
    <w:nsid w:val="153B1F24"/>
    <w:multiLevelType w:val="hybridMultilevel"/>
    <w:tmpl w:val="BB9606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754436"/>
    <w:multiLevelType w:val="hybridMultilevel"/>
    <w:tmpl w:val="7D9C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F1D08"/>
    <w:multiLevelType w:val="hybridMultilevel"/>
    <w:tmpl w:val="291EB3B6"/>
    <w:lvl w:ilvl="0" w:tplc="3488B5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E7642E2"/>
    <w:multiLevelType w:val="hybridMultilevel"/>
    <w:tmpl w:val="48766A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CE1D66"/>
    <w:multiLevelType w:val="hybridMultilevel"/>
    <w:tmpl w:val="5C0A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D0438"/>
    <w:multiLevelType w:val="hybridMultilevel"/>
    <w:tmpl w:val="148C8D02"/>
    <w:lvl w:ilvl="0" w:tplc="0DD87DCA">
      <w:start w:val="1"/>
      <w:numFmt w:val="lowerLetter"/>
      <w:lvlText w:val="(%1)"/>
      <w:lvlJc w:val="left"/>
      <w:pPr>
        <w:ind w:left="420" w:hanging="4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E84C3D"/>
    <w:multiLevelType w:val="hybridMultilevel"/>
    <w:tmpl w:val="9B661F58"/>
    <w:lvl w:ilvl="0" w:tplc="2D4C0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10FFC"/>
    <w:multiLevelType w:val="multilevel"/>
    <w:tmpl w:val="C53C2CF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D0B80"/>
    <w:multiLevelType w:val="multilevel"/>
    <w:tmpl w:val="CC0A5A0E"/>
    <w:lvl w:ilvl="0">
      <w:start w:val="1"/>
      <w:numFmt w:val="decimal"/>
      <w:lvlText w:val="%1."/>
      <w:lvlJc w:val="left"/>
      <w:pPr>
        <w:ind w:left="440" w:hanging="44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1" w15:restartNumberingAfterBreak="0">
    <w:nsid w:val="3F502B02"/>
    <w:multiLevelType w:val="hybridMultilevel"/>
    <w:tmpl w:val="8BD6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B134E"/>
    <w:multiLevelType w:val="hybridMultilevel"/>
    <w:tmpl w:val="F2043A2C"/>
    <w:lvl w:ilvl="0" w:tplc="710C72B6">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3" w15:restartNumberingAfterBreak="0">
    <w:nsid w:val="532D3481"/>
    <w:multiLevelType w:val="multilevel"/>
    <w:tmpl w:val="D070DAE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791584"/>
    <w:multiLevelType w:val="hybridMultilevel"/>
    <w:tmpl w:val="F9C49054"/>
    <w:lvl w:ilvl="0" w:tplc="F1002EC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1356BF2"/>
    <w:multiLevelType w:val="hybridMultilevel"/>
    <w:tmpl w:val="C25CCBA6"/>
    <w:lvl w:ilvl="0" w:tplc="320C8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85513F"/>
    <w:multiLevelType w:val="hybridMultilevel"/>
    <w:tmpl w:val="363038A2"/>
    <w:lvl w:ilvl="0" w:tplc="B76A1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3"/>
  </w:num>
  <w:num w:numId="4">
    <w:abstractNumId w:val="7"/>
  </w:num>
  <w:num w:numId="5">
    <w:abstractNumId w:val="8"/>
  </w:num>
  <w:num w:numId="6">
    <w:abstractNumId w:val="4"/>
  </w:num>
  <w:num w:numId="7">
    <w:abstractNumId w:val="9"/>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0EE4FB-C6C3-4871-8091-3D7D681A90C9}"/>
    <w:docVar w:name="dgnword-eventsink" w:val="358087488"/>
  </w:docVars>
  <w:rsids>
    <w:rsidRoot w:val="00697656"/>
    <w:rsid w:val="00006F44"/>
    <w:rsid w:val="00026037"/>
    <w:rsid w:val="00044109"/>
    <w:rsid w:val="00045D8B"/>
    <w:rsid w:val="000477D4"/>
    <w:rsid w:val="00052B49"/>
    <w:rsid w:val="0006303A"/>
    <w:rsid w:val="0007257E"/>
    <w:rsid w:val="00093135"/>
    <w:rsid w:val="000D0849"/>
    <w:rsid w:val="000E218B"/>
    <w:rsid w:val="000E65F8"/>
    <w:rsid w:val="000E6D08"/>
    <w:rsid w:val="00100450"/>
    <w:rsid w:val="0014330B"/>
    <w:rsid w:val="00156F28"/>
    <w:rsid w:val="001670E9"/>
    <w:rsid w:val="00172545"/>
    <w:rsid w:val="00195467"/>
    <w:rsid w:val="001B0203"/>
    <w:rsid w:val="001D721D"/>
    <w:rsid w:val="001E15AD"/>
    <w:rsid w:val="001F4F67"/>
    <w:rsid w:val="00201FBA"/>
    <w:rsid w:val="00203E2B"/>
    <w:rsid w:val="00206C60"/>
    <w:rsid w:val="002165DA"/>
    <w:rsid w:val="00235571"/>
    <w:rsid w:val="00255F2C"/>
    <w:rsid w:val="00262DB8"/>
    <w:rsid w:val="00263A5E"/>
    <w:rsid w:val="00275638"/>
    <w:rsid w:val="002775CA"/>
    <w:rsid w:val="002875D5"/>
    <w:rsid w:val="002B06AD"/>
    <w:rsid w:val="002C233A"/>
    <w:rsid w:val="002C7EB4"/>
    <w:rsid w:val="002D395D"/>
    <w:rsid w:val="002E33E9"/>
    <w:rsid w:val="00307B7D"/>
    <w:rsid w:val="0031064F"/>
    <w:rsid w:val="00323B1D"/>
    <w:rsid w:val="00337B48"/>
    <w:rsid w:val="00346652"/>
    <w:rsid w:val="00397A9C"/>
    <w:rsid w:val="003A1408"/>
    <w:rsid w:val="003B0B76"/>
    <w:rsid w:val="003D1259"/>
    <w:rsid w:val="003D2393"/>
    <w:rsid w:val="003D4CB0"/>
    <w:rsid w:val="003E4313"/>
    <w:rsid w:val="003F7073"/>
    <w:rsid w:val="0040137C"/>
    <w:rsid w:val="00417270"/>
    <w:rsid w:val="00441F31"/>
    <w:rsid w:val="00456884"/>
    <w:rsid w:val="00467918"/>
    <w:rsid w:val="004809ED"/>
    <w:rsid w:val="004853F5"/>
    <w:rsid w:val="004A1F98"/>
    <w:rsid w:val="004A3468"/>
    <w:rsid w:val="004B54C2"/>
    <w:rsid w:val="004B7F3F"/>
    <w:rsid w:val="004E6B7B"/>
    <w:rsid w:val="00504C91"/>
    <w:rsid w:val="00524E2C"/>
    <w:rsid w:val="005B17E8"/>
    <w:rsid w:val="005B70F8"/>
    <w:rsid w:val="00602AA0"/>
    <w:rsid w:val="0060493C"/>
    <w:rsid w:val="00632ECE"/>
    <w:rsid w:val="0064359E"/>
    <w:rsid w:val="0067277F"/>
    <w:rsid w:val="00686335"/>
    <w:rsid w:val="00697656"/>
    <w:rsid w:val="006B4572"/>
    <w:rsid w:val="006E486A"/>
    <w:rsid w:val="006E7646"/>
    <w:rsid w:val="007072A6"/>
    <w:rsid w:val="007347AC"/>
    <w:rsid w:val="007455DC"/>
    <w:rsid w:val="00755CE7"/>
    <w:rsid w:val="0076228E"/>
    <w:rsid w:val="007749D0"/>
    <w:rsid w:val="0077760B"/>
    <w:rsid w:val="00792620"/>
    <w:rsid w:val="00793197"/>
    <w:rsid w:val="007A067F"/>
    <w:rsid w:val="007E1EF5"/>
    <w:rsid w:val="007E2E2B"/>
    <w:rsid w:val="007E41E8"/>
    <w:rsid w:val="007E4899"/>
    <w:rsid w:val="007E7A0C"/>
    <w:rsid w:val="007F341A"/>
    <w:rsid w:val="00810EAC"/>
    <w:rsid w:val="00837B21"/>
    <w:rsid w:val="0085230D"/>
    <w:rsid w:val="00872E23"/>
    <w:rsid w:val="00890D3C"/>
    <w:rsid w:val="00895BC6"/>
    <w:rsid w:val="00895DE8"/>
    <w:rsid w:val="0089689F"/>
    <w:rsid w:val="008A39CF"/>
    <w:rsid w:val="008A59A4"/>
    <w:rsid w:val="008B52F1"/>
    <w:rsid w:val="008C7333"/>
    <w:rsid w:val="008C7CD4"/>
    <w:rsid w:val="00905E5F"/>
    <w:rsid w:val="00926FE7"/>
    <w:rsid w:val="00927471"/>
    <w:rsid w:val="009313EA"/>
    <w:rsid w:val="009608E9"/>
    <w:rsid w:val="00964A82"/>
    <w:rsid w:val="00966E02"/>
    <w:rsid w:val="009749C6"/>
    <w:rsid w:val="00991F0B"/>
    <w:rsid w:val="009D29EB"/>
    <w:rsid w:val="009D5CA4"/>
    <w:rsid w:val="009E1D14"/>
    <w:rsid w:val="009F4F7C"/>
    <w:rsid w:val="009F757B"/>
    <w:rsid w:val="00A05DD4"/>
    <w:rsid w:val="00A1326B"/>
    <w:rsid w:val="00A171EE"/>
    <w:rsid w:val="00A20170"/>
    <w:rsid w:val="00A25121"/>
    <w:rsid w:val="00A302F5"/>
    <w:rsid w:val="00A43860"/>
    <w:rsid w:val="00A44F9C"/>
    <w:rsid w:val="00A47A48"/>
    <w:rsid w:val="00A95200"/>
    <w:rsid w:val="00AC1FB4"/>
    <w:rsid w:val="00AD110E"/>
    <w:rsid w:val="00AD589C"/>
    <w:rsid w:val="00AE3BBA"/>
    <w:rsid w:val="00AF3C17"/>
    <w:rsid w:val="00B04000"/>
    <w:rsid w:val="00B107C8"/>
    <w:rsid w:val="00B10D19"/>
    <w:rsid w:val="00B11BE4"/>
    <w:rsid w:val="00B20272"/>
    <w:rsid w:val="00B23B0F"/>
    <w:rsid w:val="00B5296B"/>
    <w:rsid w:val="00B55388"/>
    <w:rsid w:val="00B711C4"/>
    <w:rsid w:val="00B832B4"/>
    <w:rsid w:val="00BA2704"/>
    <w:rsid w:val="00BB3643"/>
    <w:rsid w:val="00BB68E8"/>
    <w:rsid w:val="00BD77A5"/>
    <w:rsid w:val="00C17035"/>
    <w:rsid w:val="00C21B78"/>
    <w:rsid w:val="00C43887"/>
    <w:rsid w:val="00C51DAD"/>
    <w:rsid w:val="00C60490"/>
    <w:rsid w:val="00C70984"/>
    <w:rsid w:val="00CA3B79"/>
    <w:rsid w:val="00CB2915"/>
    <w:rsid w:val="00CB46A3"/>
    <w:rsid w:val="00CB4A14"/>
    <w:rsid w:val="00CD61FC"/>
    <w:rsid w:val="00CF5A04"/>
    <w:rsid w:val="00D054E2"/>
    <w:rsid w:val="00D2008E"/>
    <w:rsid w:val="00D22A1F"/>
    <w:rsid w:val="00D26255"/>
    <w:rsid w:val="00D60C27"/>
    <w:rsid w:val="00D843E9"/>
    <w:rsid w:val="00D85A9C"/>
    <w:rsid w:val="00D85D6E"/>
    <w:rsid w:val="00D914E7"/>
    <w:rsid w:val="00DA463C"/>
    <w:rsid w:val="00DB115A"/>
    <w:rsid w:val="00DB40A9"/>
    <w:rsid w:val="00DB4412"/>
    <w:rsid w:val="00DC27B4"/>
    <w:rsid w:val="00DD5825"/>
    <w:rsid w:val="00DF0EFA"/>
    <w:rsid w:val="00E039A1"/>
    <w:rsid w:val="00E151F0"/>
    <w:rsid w:val="00E21405"/>
    <w:rsid w:val="00E40016"/>
    <w:rsid w:val="00E4047C"/>
    <w:rsid w:val="00E64FB6"/>
    <w:rsid w:val="00E70C1F"/>
    <w:rsid w:val="00E72328"/>
    <w:rsid w:val="00E916ED"/>
    <w:rsid w:val="00E93B09"/>
    <w:rsid w:val="00E94E97"/>
    <w:rsid w:val="00EA0901"/>
    <w:rsid w:val="00EB11F3"/>
    <w:rsid w:val="00F03E12"/>
    <w:rsid w:val="00F13A29"/>
    <w:rsid w:val="00F30578"/>
    <w:rsid w:val="00F671E4"/>
    <w:rsid w:val="00F70EE8"/>
    <w:rsid w:val="00FC57D0"/>
    <w:rsid w:val="00FD79BF"/>
    <w:rsid w:val="00FF24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75E53"/>
  <w14:defaultImageDpi w14:val="300"/>
  <w15:docId w15:val="{1500A672-C50A-432F-9674-6D0695F9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84"/>
  </w:style>
  <w:style w:type="paragraph" w:styleId="Heading1">
    <w:name w:val="heading 1"/>
    <w:basedOn w:val="Normal"/>
    <w:next w:val="Normal"/>
    <w:link w:val="Heading1Char"/>
    <w:uiPriority w:val="9"/>
    <w:qFormat/>
    <w:rsid w:val="00DB40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E7A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C3"/>
    <w:pPr>
      <w:ind w:left="720"/>
      <w:contextualSpacing/>
    </w:pPr>
  </w:style>
  <w:style w:type="paragraph" w:styleId="FootnoteText">
    <w:name w:val="footnote text"/>
    <w:basedOn w:val="Normal"/>
    <w:link w:val="FootnoteTextChar"/>
    <w:uiPriority w:val="99"/>
    <w:unhideWhenUsed/>
    <w:rsid w:val="00872E23"/>
  </w:style>
  <w:style w:type="character" w:customStyle="1" w:styleId="FootnoteTextChar">
    <w:name w:val="Footnote Text Char"/>
    <w:basedOn w:val="DefaultParagraphFont"/>
    <w:link w:val="FootnoteText"/>
    <w:uiPriority w:val="99"/>
    <w:rsid w:val="00872E23"/>
  </w:style>
  <w:style w:type="character" w:styleId="FootnoteReference">
    <w:name w:val="footnote reference"/>
    <w:basedOn w:val="DefaultParagraphFont"/>
    <w:uiPriority w:val="99"/>
    <w:unhideWhenUsed/>
    <w:rsid w:val="00872E23"/>
    <w:rPr>
      <w:vertAlign w:val="superscript"/>
    </w:rPr>
  </w:style>
  <w:style w:type="paragraph" w:styleId="Header">
    <w:name w:val="header"/>
    <w:basedOn w:val="Normal"/>
    <w:link w:val="HeaderChar"/>
    <w:uiPriority w:val="99"/>
    <w:unhideWhenUsed/>
    <w:rsid w:val="00966E02"/>
    <w:pPr>
      <w:tabs>
        <w:tab w:val="center" w:pos="4320"/>
        <w:tab w:val="right" w:pos="8640"/>
      </w:tabs>
    </w:pPr>
  </w:style>
  <w:style w:type="character" w:customStyle="1" w:styleId="HeaderChar">
    <w:name w:val="Header Char"/>
    <w:basedOn w:val="DefaultParagraphFont"/>
    <w:link w:val="Header"/>
    <w:uiPriority w:val="99"/>
    <w:rsid w:val="00966E02"/>
  </w:style>
  <w:style w:type="character" w:styleId="PageNumber">
    <w:name w:val="page number"/>
    <w:basedOn w:val="DefaultParagraphFont"/>
    <w:uiPriority w:val="99"/>
    <w:semiHidden/>
    <w:unhideWhenUsed/>
    <w:rsid w:val="00966E02"/>
  </w:style>
  <w:style w:type="paragraph" w:styleId="BalloonText">
    <w:name w:val="Balloon Text"/>
    <w:basedOn w:val="Normal"/>
    <w:link w:val="BalloonTextChar"/>
    <w:uiPriority w:val="99"/>
    <w:semiHidden/>
    <w:unhideWhenUsed/>
    <w:rsid w:val="00456884"/>
    <w:rPr>
      <w:rFonts w:ascii="Tahoma" w:hAnsi="Tahoma" w:cs="Tahoma"/>
      <w:sz w:val="16"/>
      <w:szCs w:val="16"/>
    </w:rPr>
  </w:style>
  <w:style w:type="character" w:customStyle="1" w:styleId="BalloonTextChar">
    <w:name w:val="Balloon Text Char"/>
    <w:basedOn w:val="DefaultParagraphFont"/>
    <w:link w:val="BalloonText"/>
    <w:uiPriority w:val="99"/>
    <w:semiHidden/>
    <w:rsid w:val="00456884"/>
    <w:rPr>
      <w:rFonts w:ascii="Tahoma" w:hAnsi="Tahoma" w:cs="Tahoma"/>
      <w:sz w:val="16"/>
      <w:szCs w:val="16"/>
    </w:rPr>
  </w:style>
  <w:style w:type="paragraph" w:styleId="Footer">
    <w:name w:val="footer"/>
    <w:basedOn w:val="Normal"/>
    <w:link w:val="FooterChar"/>
    <w:uiPriority w:val="99"/>
    <w:unhideWhenUsed/>
    <w:rsid w:val="00456884"/>
    <w:pPr>
      <w:tabs>
        <w:tab w:val="center" w:pos="4680"/>
        <w:tab w:val="right" w:pos="9360"/>
      </w:tabs>
    </w:pPr>
  </w:style>
  <w:style w:type="character" w:customStyle="1" w:styleId="FooterChar">
    <w:name w:val="Footer Char"/>
    <w:basedOn w:val="DefaultParagraphFont"/>
    <w:link w:val="Footer"/>
    <w:uiPriority w:val="99"/>
    <w:rsid w:val="00456884"/>
  </w:style>
  <w:style w:type="character" w:styleId="Hyperlink">
    <w:name w:val="Hyperlink"/>
    <w:basedOn w:val="DefaultParagraphFont"/>
    <w:uiPriority w:val="99"/>
    <w:unhideWhenUsed/>
    <w:rsid w:val="00467918"/>
    <w:rPr>
      <w:color w:val="0000FF" w:themeColor="hyperlink"/>
      <w:u w:val="single"/>
    </w:rPr>
  </w:style>
  <w:style w:type="character" w:customStyle="1" w:styleId="UnresolvedMention">
    <w:name w:val="Unresolved Mention"/>
    <w:basedOn w:val="DefaultParagraphFont"/>
    <w:uiPriority w:val="99"/>
    <w:semiHidden/>
    <w:unhideWhenUsed/>
    <w:rsid w:val="00467918"/>
    <w:rPr>
      <w:color w:val="605E5C"/>
      <w:shd w:val="clear" w:color="auto" w:fill="E1DFDD"/>
    </w:rPr>
  </w:style>
  <w:style w:type="character" w:customStyle="1" w:styleId="Heading2Char">
    <w:name w:val="Heading 2 Char"/>
    <w:basedOn w:val="DefaultParagraphFont"/>
    <w:link w:val="Heading2"/>
    <w:uiPriority w:val="9"/>
    <w:semiHidden/>
    <w:rsid w:val="007E7A0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D61FC"/>
    <w:rPr>
      <w:rFonts w:eastAsiaTheme="minorHAnsi"/>
      <w:sz w:val="22"/>
      <w:szCs w:val="22"/>
      <w:lang w:val="en-ZA"/>
    </w:rPr>
  </w:style>
  <w:style w:type="character" w:customStyle="1" w:styleId="Heading1Char">
    <w:name w:val="Heading 1 Char"/>
    <w:basedOn w:val="DefaultParagraphFont"/>
    <w:link w:val="Heading1"/>
    <w:uiPriority w:val="9"/>
    <w:rsid w:val="00DB40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778">
      <w:bodyDiv w:val="1"/>
      <w:marLeft w:val="0"/>
      <w:marRight w:val="0"/>
      <w:marTop w:val="0"/>
      <w:marBottom w:val="0"/>
      <w:divBdr>
        <w:top w:val="none" w:sz="0" w:space="0" w:color="auto"/>
        <w:left w:val="none" w:sz="0" w:space="0" w:color="auto"/>
        <w:bottom w:val="none" w:sz="0" w:space="0" w:color="auto"/>
        <w:right w:val="none" w:sz="0" w:space="0" w:color="auto"/>
      </w:divBdr>
    </w:div>
    <w:div w:id="79644361">
      <w:bodyDiv w:val="1"/>
      <w:marLeft w:val="0"/>
      <w:marRight w:val="0"/>
      <w:marTop w:val="0"/>
      <w:marBottom w:val="0"/>
      <w:divBdr>
        <w:top w:val="none" w:sz="0" w:space="0" w:color="auto"/>
        <w:left w:val="none" w:sz="0" w:space="0" w:color="auto"/>
        <w:bottom w:val="none" w:sz="0" w:space="0" w:color="auto"/>
        <w:right w:val="none" w:sz="0" w:space="0" w:color="auto"/>
      </w:divBdr>
    </w:div>
    <w:div w:id="289360607">
      <w:bodyDiv w:val="1"/>
      <w:marLeft w:val="0"/>
      <w:marRight w:val="0"/>
      <w:marTop w:val="0"/>
      <w:marBottom w:val="0"/>
      <w:divBdr>
        <w:top w:val="none" w:sz="0" w:space="0" w:color="auto"/>
        <w:left w:val="none" w:sz="0" w:space="0" w:color="auto"/>
        <w:bottom w:val="none" w:sz="0" w:space="0" w:color="auto"/>
        <w:right w:val="none" w:sz="0" w:space="0" w:color="auto"/>
      </w:divBdr>
    </w:div>
    <w:div w:id="338967969">
      <w:bodyDiv w:val="1"/>
      <w:marLeft w:val="0"/>
      <w:marRight w:val="0"/>
      <w:marTop w:val="0"/>
      <w:marBottom w:val="0"/>
      <w:divBdr>
        <w:top w:val="none" w:sz="0" w:space="0" w:color="auto"/>
        <w:left w:val="none" w:sz="0" w:space="0" w:color="auto"/>
        <w:bottom w:val="none" w:sz="0" w:space="0" w:color="auto"/>
        <w:right w:val="none" w:sz="0" w:space="0" w:color="auto"/>
      </w:divBdr>
    </w:div>
    <w:div w:id="578373352">
      <w:bodyDiv w:val="1"/>
      <w:marLeft w:val="0"/>
      <w:marRight w:val="0"/>
      <w:marTop w:val="0"/>
      <w:marBottom w:val="0"/>
      <w:divBdr>
        <w:top w:val="none" w:sz="0" w:space="0" w:color="auto"/>
        <w:left w:val="none" w:sz="0" w:space="0" w:color="auto"/>
        <w:bottom w:val="none" w:sz="0" w:space="0" w:color="auto"/>
        <w:right w:val="none" w:sz="0" w:space="0" w:color="auto"/>
      </w:divBdr>
    </w:div>
    <w:div w:id="786896297">
      <w:bodyDiv w:val="1"/>
      <w:marLeft w:val="0"/>
      <w:marRight w:val="0"/>
      <w:marTop w:val="0"/>
      <w:marBottom w:val="0"/>
      <w:divBdr>
        <w:top w:val="none" w:sz="0" w:space="0" w:color="auto"/>
        <w:left w:val="none" w:sz="0" w:space="0" w:color="auto"/>
        <w:bottom w:val="none" w:sz="0" w:space="0" w:color="auto"/>
        <w:right w:val="none" w:sz="0" w:space="0" w:color="auto"/>
      </w:divBdr>
    </w:div>
    <w:div w:id="819931497">
      <w:bodyDiv w:val="1"/>
      <w:marLeft w:val="0"/>
      <w:marRight w:val="0"/>
      <w:marTop w:val="0"/>
      <w:marBottom w:val="0"/>
      <w:divBdr>
        <w:top w:val="none" w:sz="0" w:space="0" w:color="auto"/>
        <w:left w:val="none" w:sz="0" w:space="0" w:color="auto"/>
        <w:bottom w:val="none" w:sz="0" w:space="0" w:color="auto"/>
        <w:right w:val="none" w:sz="0" w:space="0" w:color="auto"/>
      </w:divBdr>
    </w:div>
    <w:div w:id="830369545">
      <w:bodyDiv w:val="1"/>
      <w:marLeft w:val="0"/>
      <w:marRight w:val="0"/>
      <w:marTop w:val="0"/>
      <w:marBottom w:val="0"/>
      <w:divBdr>
        <w:top w:val="none" w:sz="0" w:space="0" w:color="auto"/>
        <w:left w:val="none" w:sz="0" w:space="0" w:color="auto"/>
        <w:bottom w:val="none" w:sz="0" w:space="0" w:color="auto"/>
        <w:right w:val="none" w:sz="0" w:space="0" w:color="auto"/>
      </w:divBdr>
    </w:div>
    <w:div w:id="1188789394">
      <w:bodyDiv w:val="1"/>
      <w:marLeft w:val="0"/>
      <w:marRight w:val="0"/>
      <w:marTop w:val="0"/>
      <w:marBottom w:val="0"/>
      <w:divBdr>
        <w:top w:val="none" w:sz="0" w:space="0" w:color="auto"/>
        <w:left w:val="none" w:sz="0" w:space="0" w:color="auto"/>
        <w:bottom w:val="none" w:sz="0" w:space="0" w:color="auto"/>
        <w:right w:val="none" w:sz="0" w:space="0" w:color="auto"/>
      </w:divBdr>
    </w:div>
    <w:div w:id="1232425503">
      <w:bodyDiv w:val="1"/>
      <w:marLeft w:val="0"/>
      <w:marRight w:val="0"/>
      <w:marTop w:val="0"/>
      <w:marBottom w:val="0"/>
      <w:divBdr>
        <w:top w:val="none" w:sz="0" w:space="0" w:color="auto"/>
        <w:left w:val="none" w:sz="0" w:space="0" w:color="auto"/>
        <w:bottom w:val="none" w:sz="0" w:space="0" w:color="auto"/>
        <w:right w:val="none" w:sz="0" w:space="0" w:color="auto"/>
      </w:divBdr>
    </w:div>
    <w:div w:id="1353074447">
      <w:bodyDiv w:val="1"/>
      <w:marLeft w:val="0"/>
      <w:marRight w:val="0"/>
      <w:marTop w:val="0"/>
      <w:marBottom w:val="0"/>
      <w:divBdr>
        <w:top w:val="none" w:sz="0" w:space="0" w:color="auto"/>
        <w:left w:val="none" w:sz="0" w:space="0" w:color="auto"/>
        <w:bottom w:val="none" w:sz="0" w:space="0" w:color="auto"/>
        <w:right w:val="none" w:sz="0" w:space="0" w:color="auto"/>
      </w:divBdr>
    </w:div>
    <w:div w:id="1355376319">
      <w:bodyDiv w:val="1"/>
      <w:marLeft w:val="0"/>
      <w:marRight w:val="0"/>
      <w:marTop w:val="0"/>
      <w:marBottom w:val="0"/>
      <w:divBdr>
        <w:top w:val="none" w:sz="0" w:space="0" w:color="auto"/>
        <w:left w:val="none" w:sz="0" w:space="0" w:color="auto"/>
        <w:bottom w:val="none" w:sz="0" w:space="0" w:color="auto"/>
        <w:right w:val="none" w:sz="0" w:space="0" w:color="auto"/>
      </w:divBdr>
    </w:div>
    <w:div w:id="1361122222">
      <w:bodyDiv w:val="1"/>
      <w:marLeft w:val="0"/>
      <w:marRight w:val="0"/>
      <w:marTop w:val="0"/>
      <w:marBottom w:val="0"/>
      <w:divBdr>
        <w:top w:val="none" w:sz="0" w:space="0" w:color="auto"/>
        <w:left w:val="none" w:sz="0" w:space="0" w:color="auto"/>
        <w:bottom w:val="none" w:sz="0" w:space="0" w:color="auto"/>
        <w:right w:val="none" w:sz="0" w:space="0" w:color="auto"/>
      </w:divBdr>
    </w:div>
    <w:div w:id="1388799119">
      <w:bodyDiv w:val="1"/>
      <w:marLeft w:val="0"/>
      <w:marRight w:val="0"/>
      <w:marTop w:val="0"/>
      <w:marBottom w:val="0"/>
      <w:divBdr>
        <w:top w:val="none" w:sz="0" w:space="0" w:color="auto"/>
        <w:left w:val="none" w:sz="0" w:space="0" w:color="auto"/>
        <w:bottom w:val="none" w:sz="0" w:space="0" w:color="auto"/>
        <w:right w:val="none" w:sz="0" w:space="0" w:color="auto"/>
      </w:divBdr>
    </w:div>
    <w:div w:id="1590654318">
      <w:bodyDiv w:val="1"/>
      <w:marLeft w:val="0"/>
      <w:marRight w:val="0"/>
      <w:marTop w:val="0"/>
      <w:marBottom w:val="0"/>
      <w:divBdr>
        <w:top w:val="none" w:sz="0" w:space="0" w:color="auto"/>
        <w:left w:val="none" w:sz="0" w:space="0" w:color="auto"/>
        <w:bottom w:val="none" w:sz="0" w:space="0" w:color="auto"/>
        <w:right w:val="none" w:sz="0" w:space="0" w:color="auto"/>
      </w:divBdr>
    </w:div>
    <w:div w:id="1648438267">
      <w:bodyDiv w:val="1"/>
      <w:marLeft w:val="0"/>
      <w:marRight w:val="0"/>
      <w:marTop w:val="0"/>
      <w:marBottom w:val="0"/>
      <w:divBdr>
        <w:top w:val="none" w:sz="0" w:space="0" w:color="auto"/>
        <w:left w:val="none" w:sz="0" w:space="0" w:color="auto"/>
        <w:bottom w:val="none" w:sz="0" w:space="0" w:color="auto"/>
        <w:right w:val="none" w:sz="0" w:space="0" w:color="auto"/>
      </w:divBdr>
    </w:div>
    <w:div w:id="1716419033">
      <w:bodyDiv w:val="1"/>
      <w:marLeft w:val="0"/>
      <w:marRight w:val="0"/>
      <w:marTop w:val="0"/>
      <w:marBottom w:val="0"/>
      <w:divBdr>
        <w:top w:val="none" w:sz="0" w:space="0" w:color="auto"/>
        <w:left w:val="none" w:sz="0" w:space="0" w:color="auto"/>
        <w:bottom w:val="none" w:sz="0" w:space="0" w:color="auto"/>
        <w:right w:val="none" w:sz="0" w:space="0" w:color="auto"/>
      </w:divBdr>
    </w:div>
    <w:div w:id="1844928550">
      <w:bodyDiv w:val="1"/>
      <w:marLeft w:val="0"/>
      <w:marRight w:val="0"/>
      <w:marTop w:val="0"/>
      <w:marBottom w:val="0"/>
      <w:divBdr>
        <w:top w:val="none" w:sz="0" w:space="0" w:color="auto"/>
        <w:left w:val="none" w:sz="0" w:space="0" w:color="auto"/>
        <w:bottom w:val="none" w:sz="0" w:space="0" w:color="auto"/>
        <w:right w:val="none" w:sz="0" w:space="0" w:color="auto"/>
      </w:divBdr>
    </w:div>
    <w:div w:id="1973100322">
      <w:bodyDiv w:val="1"/>
      <w:marLeft w:val="0"/>
      <w:marRight w:val="0"/>
      <w:marTop w:val="0"/>
      <w:marBottom w:val="0"/>
      <w:divBdr>
        <w:top w:val="none" w:sz="0" w:space="0" w:color="auto"/>
        <w:left w:val="none" w:sz="0" w:space="0" w:color="auto"/>
        <w:bottom w:val="none" w:sz="0" w:space="0" w:color="auto"/>
        <w:right w:val="none" w:sz="0" w:space="0" w:color="auto"/>
      </w:divBdr>
    </w:div>
    <w:div w:id="21312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2019-08-01T18:30:00+00:00</Judgment_x0020_Date>
    <Year xmlns="c1afb1bd-f2fb-40fd-9abb-aea55b4d7662">2019</Year>
  </documentManagement>
</p:properties>
</file>

<file path=customXml/itemProps1.xml><?xml version="1.0" encoding="utf-8"?>
<ds:datastoreItem xmlns:ds="http://schemas.openxmlformats.org/officeDocument/2006/customXml" ds:itemID="{F95ADA19-9BB2-490F-81C0-7147C4B3B28C}"/>
</file>

<file path=customXml/itemProps2.xml><?xml version="1.0" encoding="utf-8"?>
<ds:datastoreItem xmlns:ds="http://schemas.openxmlformats.org/officeDocument/2006/customXml" ds:itemID="{CDD5DA07-426F-4042-92FA-C3558E9DDF05}"/>
</file>

<file path=customXml/itemProps3.xml><?xml version="1.0" encoding="utf-8"?>
<ds:datastoreItem xmlns:ds="http://schemas.openxmlformats.org/officeDocument/2006/customXml" ds:itemID="{7146942D-91EC-491B-ACEB-AC829ACCBBC4}"/>
</file>

<file path=customXml/itemProps4.xml><?xml version="1.0" encoding="utf-8"?>
<ds:datastoreItem xmlns:ds="http://schemas.openxmlformats.org/officeDocument/2006/customXml" ds:itemID="{4EFA50AB-19CF-4A3B-A4C8-E53BD858FC1A}"/>
</file>

<file path=docProps/app.xml><?xml version="1.0" encoding="utf-8"?>
<Properties xmlns="http://schemas.openxmlformats.org/officeDocument/2006/extended-properties" xmlns:vt="http://schemas.openxmlformats.org/officeDocument/2006/docPropsVTypes">
  <Template>Normal</Template>
  <TotalTime>0</TotalTime>
  <Pages>16</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2</cp:revision>
  <cp:lastPrinted>2019-08-06T07:20:00Z</cp:lastPrinted>
  <dcterms:created xsi:type="dcterms:W3CDTF">2019-08-07T07:27:00Z</dcterms:created>
  <dcterms:modified xsi:type="dcterms:W3CDTF">2019-08-07T07:27:00Z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