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79BBD" w14:textId="4530D83D" w:rsidR="001B7E1F" w:rsidRPr="006E026B" w:rsidRDefault="00E521C3" w:rsidP="009B5628">
      <w:pPr>
        <w:spacing w:after="0" w:line="360" w:lineRule="auto"/>
        <w:jc w:val="center"/>
        <w:rPr>
          <w:rFonts w:ascii="Arial" w:hAnsi="Arial" w:cs="Arial"/>
          <w:b/>
          <w:sz w:val="24"/>
          <w:szCs w:val="24"/>
        </w:rPr>
      </w:pPr>
      <w:r>
        <w:rPr>
          <w:rFonts w:ascii="Arial" w:hAnsi="Arial" w:cs="Arial"/>
          <w:b/>
          <w:noProof/>
          <w:sz w:val="24"/>
          <w:szCs w:val="24"/>
          <w:lang w:val="en-GB" w:eastAsia="en-GB"/>
        </w:rPr>
        <mc:AlternateContent>
          <mc:Choice Requires="wps">
            <w:drawing>
              <wp:anchor distT="0" distB="0" distL="114300" distR="114300" simplePos="0" relativeHeight="251661312" behindDoc="0" locked="0" layoutInCell="1" allowOverlap="1" wp14:anchorId="28028AC3" wp14:editId="419D28BE">
                <wp:simplePos x="0" y="0"/>
                <wp:positionH relativeFrom="column">
                  <wp:posOffset>4705350</wp:posOffset>
                </wp:positionH>
                <wp:positionV relativeFrom="paragraph">
                  <wp:posOffset>95250</wp:posOffset>
                </wp:positionV>
                <wp:extent cx="1562100" cy="247650"/>
                <wp:effectExtent l="9525" t="9525"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05323A93" w14:textId="77777777" w:rsidR="00603BAE" w:rsidRDefault="00603BAE" w:rsidP="001D4D5D">
                            <w:pPr>
                              <w:jc w:val="righ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28AC3" id="_x0000_t202" coordsize="21600,21600" o:spt="202" path="m,l,21600r21600,l21600,xe">
                <v:stroke joinstyle="miter"/>
                <v:path gradientshapeok="t" o:connecttype="rect"/>
              </v:shapetype>
              <v:shape id="Text Box 8" o:spid="_x0000_s1026" type="#_x0000_t202" style="position:absolute;left:0;text-align:left;margin-left:370.5pt;margin-top:7.5pt;width:123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" strokecolor="white [3212]">
                <v:textbox>
                  <w:txbxContent>
                    <w:p w14:paraId="05323A93" w14:textId="77777777" w:rsidR="00603BAE" w:rsidRDefault="00603BAE" w:rsidP="001D4D5D">
                      <w:pPr>
                        <w:jc w:val="right"/>
                      </w:pPr>
                      <w:r>
                        <w:t xml:space="preserve"> </w:t>
                      </w:r>
                    </w:p>
                  </w:txbxContent>
                </v:textbox>
              </v:shape>
            </w:pict>
          </mc:Fallback>
        </mc:AlternateContent>
      </w:r>
      <w:r>
        <w:rPr>
          <w:rFonts w:ascii="Arial" w:hAnsi="Arial" w:cs="Arial"/>
          <w:b/>
          <w:noProof/>
          <w:sz w:val="24"/>
          <w:szCs w:val="24"/>
          <w:lang w:val="en-GB" w:eastAsia="en-GB"/>
        </w:rPr>
        <mc:AlternateContent>
          <mc:Choice Requires="wps">
            <w:drawing>
              <wp:anchor distT="0" distB="0" distL="114300" distR="114300" simplePos="0" relativeHeight="251660288" behindDoc="0" locked="0" layoutInCell="1" allowOverlap="1" wp14:anchorId="04922DF0" wp14:editId="2A114FE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0CAF90AA" w14:textId="77777777" w:rsidR="00603BAE" w:rsidRDefault="00603BAE" w:rsidP="001B7E1F">
                            <w:pPr>
                              <w:jc w:val="righ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2DF0" id="Text Box 2" o:spid="_x0000_s1027"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CvxqPZEAgAA&#10;jgQAAA4AAAAAAAAAAAAAAAAALgIAAGRycy9lMm9Eb2MueG1sUEsBAi0AFAAGAAgAAAAhAIb/qUjf&#10;AAAACQEAAA8AAAAAAAAAAAAAAAAAngQAAGRycy9kb3ducmV2LnhtbFBLBQYAAAAABAAEAPMAAACq&#10;BQAAAAA=&#10;" strokecolor="white [3212]">
                <v:textbox>
                  <w:txbxContent>
                    <w:p w14:paraId="0CAF90AA" w14:textId="77777777" w:rsidR="00603BAE" w:rsidRDefault="00603BAE" w:rsidP="001B7E1F">
                      <w:pPr>
                        <w:jc w:val="right"/>
                      </w:pPr>
                      <w:r>
                        <w:t xml:space="preserve"> </w:t>
                      </w:r>
                    </w:p>
                  </w:txbxContent>
                </v:textbox>
              </v:shape>
            </w:pict>
          </mc:Fallback>
        </mc:AlternateContent>
      </w:r>
      <w:r w:rsidR="001B7E1F" w:rsidRPr="006E026B">
        <w:rPr>
          <w:rFonts w:ascii="Arial" w:hAnsi="Arial" w:cs="Arial"/>
          <w:b/>
          <w:sz w:val="24"/>
          <w:szCs w:val="24"/>
        </w:rPr>
        <w:t>REPUBLIC OF NAMIBIA</w:t>
      </w:r>
    </w:p>
    <w:p w14:paraId="659EA2D6" w14:textId="77777777" w:rsidR="001B7E1F" w:rsidRDefault="001B7E1F" w:rsidP="009B5628">
      <w:pPr>
        <w:spacing w:after="0" w:line="360" w:lineRule="auto"/>
        <w:jc w:val="center"/>
        <w:rPr>
          <w:b/>
          <w:sz w:val="32"/>
          <w:szCs w:val="32"/>
        </w:rPr>
      </w:pPr>
      <w:r>
        <w:rPr>
          <w:b/>
          <w:noProof/>
          <w:sz w:val="32"/>
          <w:szCs w:val="32"/>
          <w:lang w:val="en-GB" w:eastAsia="en-GB"/>
        </w:rPr>
        <w:drawing>
          <wp:inline distT="0" distB="0" distL="0" distR="0" wp14:anchorId="76F91485" wp14:editId="4C952555">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11D9CB47" w14:textId="77777777" w:rsidR="001B7E1F" w:rsidRDefault="001B7E1F" w:rsidP="009B5628">
      <w:pPr>
        <w:spacing w:after="0" w:line="360" w:lineRule="auto"/>
        <w:jc w:val="center"/>
        <w:rPr>
          <w:rFonts w:ascii="Arial" w:hAnsi="Arial" w:cs="Arial"/>
          <w:b/>
          <w:sz w:val="28"/>
          <w:szCs w:val="32"/>
        </w:rPr>
      </w:pPr>
    </w:p>
    <w:p w14:paraId="6B582CF8" w14:textId="77777777" w:rsidR="001B7E1F" w:rsidRPr="006E026B" w:rsidRDefault="001B7E1F" w:rsidP="009B5628">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30C21F8E" w14:textId="77777777" w:rsidR="001B7E1F" w:rsidRDefault="001B7E1F" w:rsidP="009B5628">
      <w:pPr>
        <w:spacing w:after="0" w:line="360" w:lineRule="auto"/>
        <w:jc w:val="center"/>
        <w:rPr>
          <w:rFonts w:ascii="Arial" w:hAnsi="Arial" w:cs="Arial"/>
          <w:b/>
          <w:sz w:val="24"/>
          <w:szCs w:val="24"/>
        </w:rPr>
      </w:pPr>
    </w:p>
    <w:p w14:paraId="22414EFF" w14:textId="77777777" w:rsidR="001B7E1F" w:rsidRDefault="00E521C3" w:rsidP="009B5628">
      <w:pPr>
        <w:spacing w:after="0" w:line="360" w:lineRule="auto"/>
        <w:jc w:val="center"/>
        <w:rPr>
          <w:rFonts w:ascii="Arial" w:hAnsi="Arial" w:cs="Arial"/>
          <w:b/>
          <w:sz w:val="24"/>
          <w:szCs w:val="24"/>
        </w:rPr>
      </w:pPr>
      <w:r>
        <w:rPr>
          <w:rFonts w:ascii="Arial" w:hAnsi="Arial" w:cs="Arial"/>
          <w:b/>
          <w:sz w:val="24"/>
          <w:szCs w:val="24"/>
        </w:rPr>
        <w:t xml:space="preserve">CRIMINAL APPEAL </w:t>
      </w:r>
      <w:r w:rsidR="001B7E1F" w:rsidRPr="006E026B">
        <w:rPr>
          <w:rFonts w:ascii="Arial" w:hAnsi="Arial" w:cs="Arial"/>
          <w:b/>
          <w:sz w:val="24"/>
          <w:szCs w:val="24"/>
        </w:rPr>
        <w:t>JUDGMENT</w:t>
      </w:r>
    </w:p>
    <w:p w14:paraId="3E806042" w14:textId="77777777" w:rsidR="00E521C3" w:rsidRDefault="00E521C3" w:rsidP="004B0892">
      <w:pPr>
        <w:spacing w:after="0" w:line="360" w:lineRule="auto"/>
        <w:jc w:val="both"/>
        <w:rPr>
          <w:rFonts w:ascii="Arial" w:hAnsi="Arial" w:cs="Arial"/>
          <w:b/>
          <w:sz w:val="24"/>
          <w:szCs w:val="24"/>
        </w:rPr>
      </w:pPr>
    </w:p>
    <w:p w14:paraId="5DF992BA" w14:textId="044F3140" w:rsidR="001B7E1F" w:rsidRDefault="001B7E1F" w:rsidP="004B0892">
      <w:pPr>
        <w:tabs>
          <w:tab w:val="right" w:pos="9000"/>
        </w:tabs>
        <w:spacing w:after="0" w:line="360" w:lineRule="auto"/>
        <w:jc w:val="both"/>
        <w:rPr>
          <w:rFonts w:ascii="Arial" w:hAnsi="Arial" w:cs="Arial"/>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w:t>
      </w:r>
      <w:r w:rsidR="00E521C3">
        <w:rPr>
          <w:rFonts w:ascii="Arial" w:hAnsi="Arial" w:cs="Arial"/>
          <w:sz w:val="24"/>
          <w:szCs w:val="24"/>
        </w:rPr>
        <w:t xml:space="preserve"> HC-MD-CRI-APP-CAL-2018/000</w:t>
      </w:r>
      <w:r w:rsidR="005163C2">
        <w:rPr>
          <w:rFonts w:ascii="Arial" w:hAnsi="Arial" w:cs="Arial"/>
          <w:sz w:val="24"/>
          <w:szCs w:val="24"/>
        </w:rPr>
        <w:t>70</w:t>
      </w:r>
    </w:p>
    <w:p w14:paraId="6D2111E1" w14:textId="77777777" w:rsidR="005163C2" w:rsidRPr="001B7E1F" w:rsidRDefault="005163C2" w:rsidP="004B0892">
      <w:pPr>
        <w:tabs>
          <w:tab w:val="right" w:pos="9000"/>
        </w:tabs>
        <w:spacing w:after="0" w:line="360" w:lineRule="auto"/>
        <w:jc w:val="both"/>
        <w:rPr>
          <w:rFonts w:ascii="Arial" w:hAnsi="Arial" w:cs="Arial"/>
          <w:b/>
          <w:sz w:val="24"/>
          <w:szCs w:val="24"/>
        </w:rPr>
      </w:pPr>
    </w:p>
    <w:p w14:paraId="4A7EBFBD" w14:textId="77777777" w:rsidR="001B7E1F" w:rsidRPr="006E026B" w:rsidRDefault="001B7E1F" w:rsidP="004B0892">
      <w:pPr>
        <w:spacing w:after="0" w:line="360" w:lineRule="auto"/>
        <w:jc w:val="both"/>
        <w:rPr>
          <w:rFonts w:ascii="Arial" w:hAnsi="Arial" w:cs="Arial"/>
          <w:sz w:val="24"/>
          <w:szCs w:val="24"/>
        </w:rPr>
      </w:pPr>
    </w:p>
    <w:p w14:paraId="7B8E8B26" w14:textId="1057AF9B" w:rsidR="00B25B3D" w:rsidRDefault="005163C2" w:rsidP="004B0892">
      <w:pPr>
        <w:pStyle w:val="Heading4"/>
        <w:tabs>
          <w:tab w:val="right" w:pos="9000"/>
        </w:tabs>
        <w:spacing w:line="360" w:lineRule="auto"/>
        <w:jc w:val="both"/>
        <w:rPr>
          <w:rFonts w:cs="Arial"/>
          <w:b/>
          <w:sz w:val="24"/>
        </w:rPr>
      </w:pPr>
      <w:r>
        <w:rPr>
          <w:rFonts w:cs="Arial"/>
          <w:b/>
          <w:sz w:val="24"/>
        </w:rPr>
        <w:t>ANTHEA ARNOLD</w:t>
      </w:r>
      <w:r w:rsidR="00E521C3">
        <w:rPr>
          <w:rFonts w:cs="Arial"/>
          <w:b/>
          <w:sz w:val="24"/>
        </w:rPr>
        <w:t xml:space="preserve">                   </w:t>
      </w:r>
      <w:r w:rsidR="00B25B3D">
        <w:rPr>
          <w:rFonts w:cs="Arial"/>
          <w:b/>
          <w:sz w:val="24"/>
        </w:rPr>
        <w:t xml:space="preserve">                                                 </w:t>
      </w:r>
      <w:r w:rsidR="001D4D5D">
        <w:rPr>
          <w:rFonts w:cs="Arial"/>
          <w:b/>
          <w:sz w:val="24"/>
        </w:rPr>
        <w:t xml:space="preserve">    </w:t>
      </w:r>
      <w:r w:rsidR="00331CDB">
        <w:rPr>
          <w:rFonts w:cs="Arial"/>
          <w:b/>
          <w:sz w:val="24"/>
        </w:rPr>
        <w:t xml:space="preserve">      </w:t>
      </w:r>
      <w:r w:rsidR="00B25B3D">
        <w:rPr>
          <w:rFonts w:cs="Arial"/>
          <w:b/>
          <w:sz w:val="24"/>
        </w:rPr>
        <w:t>APPELLANT</w:t>
      </w:r>
    </w:p>
    <w:p w14:paraId="267D3AAD" w14:textId="77777777" w:rsidR="00E521C3" w:rsidRPr="00D07A3C" w:rsidRDefault="00E521C3" w:rsidP="004B0892">
      <w:pPr>
        <w:jc w:val="both"/>
        <w:rPr>
          <w:rFonts w:ascii="Arial" w:hAnsi="Arial" w:cs="Arial"/>
          <w:sz w:val="24"/>
          <w:szCs w:val="24"/>
          <w:lang w:val="en-GB"/>
        </w:rPr>
      </w:pPr>
    </w:p>
    <w:p w14:paraId="2D40BAB8" w14:textId="6AF7F705" w:rsidR="00B25B3D" w:rsidRPr="00D07A3C" w:rsidRDefault="006A274C" w:rsidP="004B0892">
      <w:pPr>
        <w:jc w:val="both"/>
        <w:rPr>
          <w:rFonts w:ascii="Arial" w:hAnsi="Arial" w:cs="Arial"/>
          <w:sz w:val="24"/>
          <w:szCs w:val="24"/>
          <w:lang w:val="en-GB"/>
        </w:rPr>
      </w:pPr>
      <w:r w:rsidRPr="00D07A3C">
        <w:rPr>
          <w:rFonts w:ascii="Arial" w:hAnsi="Arial" w:cs="Arial"/>
          <w:sz w:val="24"/>
          <w:szCs w:val="24"/>
          <w:lang w:val="en-GB"/>
        </w:rPr>
        <w:t>and</w:t>
      </w:r>
    </w:p>
    <w:p w14:paraId="2747DD57" w14:textId="77777777" w:rsidR="00E521C3" w:rsidRPr="00B25B3D" w:rsidRDefault="00E521C3" w:rsidP="004B0892">
      <w:pPr>
        <w:jc w:val="both"/>
        <w:rPr>
          <w:lang w:val="en-GB"/>
        </w:rPr>
      </w:pPr>
    </w:p>
    <w:p w14:paraId="0B032ACD" w14:textId="77777777" w:rsidR="00B25B3D" w:rsidRDefault="00B25B3D" w:rsidP="004B0892">
      <w:pPr>
        <w:pStyle w:val="Heading4"/>
        <w:tabs>
          <w:tab w:val="right" w:pos="9000"/>
        </w:tabs>
        <w:spacing w:line="360" w:lineRule="auto"/>
        <w:jc w:val="both"/>
        <w:rPr>
          <w:rFonts w:cs="Arial"/>
          <w:b/>
          <w:sz w:val="24"/>
        </w:rPr>
      </w:pPr>
      <w:r>
        <w:rPr>
          <w:rFonts w:cs="Arial"/>
          <w:b/>
          <w:sz w:val="24"/>
        </w:rPr>
        <w:t>THE STATE                                                                                          RESPONDENT</w:t>
      </w:r>
    </w:p>
    <w:p w14:paraId="138DA5EF" w14:textId="77777777" w:rsidR="00B25B3D" w:rsidRDefault="00B25B3D" w:rsidP="004B0892">
      <w:pPr>
        <w:pStyle w:val="Heading4"/>
        <w:tabs>
          <w:tab w:val="right" w:pos="9000"/>
        </w:tabs>
        <w:spacing w:line="360" w:lineRule="auto"/>
        <w:jc w:val="both"/>
        <w:rPr>
          <w:rFonts w:cs="Arial"/>
          <w:b/>
          <w:sz w:val="24"/>
        </w:rPr>
      </w:pPr>
    </w:p>
    <w:p w14:paraId="3C2382CA" w14:textId="7CB85BFA" w:rsidR="00E521C3" w:rsidRDefault="00B25B3D" w:rsidP="006A274C">
      <w:pPr>
        <w:pStyle w:val="Heading4"/>
        <w:tabs>
          <w:tab w:val="right" w:pos="9000"/>
        </w:tabs>
        <w:spacing w:before="240" w:line="360" w:lineRule="auto"/>
        <w:jc w:val="both"/>
        <w:rPr>
          <w:rFonts w:cs="Arial"/>
          <w:sz w:val="24"/>
        </w:rPr>
      </w:pPr>
      <w:r>
        <w:rPr>
          <w:rFonts w:cs="Arial"/>
          <w:b/>
          <w:sz w:val="24"/>
        </w:rPr>
        <w:t>Neutral citation:</w:t>
      </w:r>
      <w:r w:rsidR="00F06AA2">
        <w:rPr>
          <w:rFonts w:cs="Arial"/>
          <w:b/>
          <w:sz w:val="24"/>
        </w:rPr>
        <w:t xml:space="preserve"> </w:t>
      </w:r>
      <w:r w:rsidR="005163C2" w:rsidRPr="005163C2">
        <w:rPr>
          <w:rFonts w:cs="Arial"/>
          <w:bCs/>
          <w:i/>
          <w:iCs/>
          <w:sz w:val="24"/>
        </w:rPr>
        <w:t>Arnold</w:t>
      </w:r>
      <w:r w:rsidR="00907EB3">
        <w:rPr>
          <w:rFonts w:cs="Arial"/>
          <w:i/>
          <w:sz w:val="24"/>
        </w:rPr>
        <w:t xml:space="preserve"> </w:t>
      </w:r>
      <w:r w:rsidR="009B5628">
        <w:rPr>
          <w:rFonts w:cs="Arial"/>
          <w:i/>
          <w:sz w:val="24"/>
        </w:rPr>
        <w:t>v S (HC</w:t>
      </w:r>
      <w:r w:rsidR="006A1AD0">
        <w:rPr>
          <w:rFonts w:cs="Arial"/>
          <w:sz w:val="24"/>
        </w:rPr>
        <w:t>-MD-CRI-APP-CAL-2018/00070</w:t>
      </w:r>
      <w:r w:rsidR="009B5628">
        <w:rPr>
          <w:rFonts w:cs="Arial"/>
          <w:sz w:val="24"/>
        </w:rPr>
        <w:t>)</w:t>
      </w:r>
      <w:r w:rsidR="009B5628">
        <w:rPr>
          <w:rFonts w:cs="Arial"/>
          <w:b/>
          <w:sz w:val="24"/>
        </w:rPr>
        <w:t xml:space="preserve"> </w:t>
      </w:r>
      <w:r w:rsidR="009B5628" w:rsidRPr="009B5628">
        <w:rPr>
          <w:rFonts w:cs="Arial"/>
          <w:sz w:val="24"/>
        </w:rPr>
        <w:t>[2019] NAHCMD</w:t>
      </w:r>
      <w:r w:rsidR="00C20AB5">
        <w:rPr>
          <w:rFonts w:cs="Arial"/>
          <w:sz w:val="24"/>
        </w:rPr>
        <w:t xml:space="preserve"> 279</w:t>
      </w:r>
      <w:r w:rsidR="006A274C">
        <w:rPr>
          <w:rFonts w:cs="Arial"/>
          <w:sz w:val="24"/>
        </w:rPr>
        <w:t xml:space="preserve"> </w:t>
      </w:r>
      <w:r w:rsidR="00B60ED3">
        <w:rPr>
          <w:rFonts w:cs="Arial"/>
          <w:sz w:val="24"/>
        </w:rPr>
        <w:t>(9</w:t>
      </w:r>
      <w:r w:rsidR="006A274C">
        <w:rPr>
          <w:rFonts w:cs="Arial"/>
          <w:sz w:val="24"/>
        </w:rPr>
        <w:t xml:space="preserve"> AUGUST 2019) </w:t>
      </w:r>
    </w:p>
    <w:p w14:paraId="395D455E" w14:textId="45A91FE4" w:rsidR="001B7E1F" w:rsidRPr="006E026B" w:rsidRDefault="00B25B3D" w:rsidP="004B0892">
      <w:pPr>
        <w:pStyle w:val="Heading4"/>
        <w:tabs>
          <w:tab w:val="right" w:pos="9000"/>
        </w:tabs>
        <w:spacing w:line="360" w:lineRule="auto"/>
        <w:jc w:val="both"/>
        <w:rPr>
          <w:rFonts w:cs="Arial"/>
          <w:sz w:val="24"/>
        </w:rPr>
      </w:pPr>
      <w:r>
        <w:rPr>
          <w:rFonts w:cs="Arial"/>
          <w:sz w:val="24"/>
        </w:rPr>
        <w:t xml:space="preserve">      </w:t>
      </w:r>
    </w:p>
    <w:p w14:paraId="4A3AF3A6" w14:textId="4D07EF9B" w:rsidR="001B7E1F" w:rsidRPr="00E613DA" w:rsidRDefault="001B7E1F" w:rsidP="004B0892">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5163C2" w:rsidRPr="00E613DA">
        <w:rPr>
          <w:rFonts w:ascii="Arial" w:hAnsi="Arial" w:cs="Arial"/>
          <w:b/>
          <w:sz w:val="24"/>
          <w:szCs w:val="24"/>
        </w:rPr>
        <w:t>LIEBENBERG</w:t>
      </w:r>
      <w:r w:rsidR="006E4540" w:rsidRPr="00E613DA">
        <w:rPr>
          <w:rFonts w:ascii="Arial" w:hAnsi="Arial" w:cs="Arial"/>
          <w:b/>
          <w:sz w:val="24"/>
          <w:szCs w:val="24"/>
        </w:rPr>
        <w:t xml:space="preserve">, J </w:t>
      </w:r>
      <w:r w:rsidR="006E4540" w:rsidRPr="00E613DA">
        <w:rPr>
          <w:rFonts w:ascii="Arial" w:hAnsi="Arial" w:cs="Arial"/>
          <w:b/>
          <w:i/>
          <w:iCs/>
          <w:sz w:val="24"/>
          <w:szCs w:val="24"/>
        </w:rPr>
        <w:t>e</w:t>
      </w:r>
      <w:r w:rsidR="003830F6">
        <w:rPr>
          <w:rFonts w:ascii="Arial" w:hAnsi="Arial" w:cs="Arial"/>
          <w:b/>
          <w:i/>
          <w:iCs/>
          <w:sz w:val="24"/>
          <w:szCs w:val="24"/>
        </w:rPr>
        <w:t xml:space="preserve"> </w:t>
      </w:r>
      <w:r w:rsidR="006E4540" w:rsidRPr="00E613DA">
        <w:rPr>
          <w:rFonts w:ascii="Arial" w:hAnsi="Arial" w:cs="Arial"/>
          <w:b/>
          <w:i/>
          <w:iCs/>
          <w:sz w:val="24"/>
          <w:szCs w:val="24"/>
        </w:rPr>
        <w:t>t</w:t>
      </w:r>
      <w:r w:rsidR="006E4540" w:rsidRPr="00E613DA">
        <w:rPr>
          <w:rFonts w:ascii="Arial" w:hAnsi="Arial" w:cs="Arial"/>
          <w:b/>
          <w:sz w:val="24"/>
          <w:szCs w:val="24"/>
        </w:rPr>
        <w:t xml:space="preserve"> </w:t>
      </w:r>
      <w:r w:rsidR="00E470E4" w:rsidRPr="00E613DA">
        <w:rPr>
          <w:rFonts w:ascii="Arial" w:hAnsi="Arial" w:cs="Arial"/>
          <w:b/>
          <w:sz w:val="24"/>
          <w:szCs w:val="24"/>
        </w:rPr>
        <w:t>SHIVUTE</w:t>
      </w:r>
      <w:r w:rsidRPr="00E613DA">
        <w:rPr>
          <w:rFonts w:ascii="Arial" w:hAnsi="Arial" w:cs="Arial"/>
          <w:b/>
          <w:sz w:val="24"/>
          <w:szCs w:val="24"/>
        </w:rPr>
        <w:t>,</w:t>
      </w:r>
      <w:r w:rsidR="00E470E4" w:rsidRPr="00E613DA">
        <w:rPr>
          <w:rFonts w:ascii="Arial" w:hAnsi="Arial" w:cs="Arial"/>
          <w:b/>
          <w:sz w:val="24"/>
          <w:szCs w:val="24"/>
        </w:rPr>
        <w:t xml:space="preserve"> J</w:t>
      </w:r>
      <w:r w:rsidR="00140571" w:rsidRPr="00E613DA">
        <w:rPr>
          <w:rFonts w:ascii="Arial" w:hAnsi="Arial" w:cs="Arial"/>
          <w:b/>
          <w:sz w:val="24"/>
          <w:szCs w:val="24"/>
        </w:rPr>
        <w:t xml:space="preserve"> </w:t>
      </w:r>
    </w:p>
    <w:p w14:paraId="5D2E1F7B" w14:textId="77777777" w:rsidR="005163C2" w:rsidRPr="006E026B" w:rsidRDefault="005163C2" w:rsidP="004B0892">
      <w:pPr>
        <w:spacing w:after="0" w:line="360" w:lineRule="auto"/>
        <w:ind w:left="1440" w:hanging="1440"/>
        <w:jc w:val="both"/>
        <w:rPr>
          <w:rFonts w:ascii="Arial" w:hAnsi="Arial" w:cs="Arial"/>
          <w:b/>
          <w:i/>
          <w:sz w:val="24"/>
          <w:szCs w:val="24"/>
        </w:rPr>
      </w:pPr>
    </w:p>
    <w:p w14:paraId="52A2129A" w14:textId="0099B6F5" w:rsidR="00E470E4" w:rsidRPr="006E026B" w:rsidRDefault="001B7E1F" w:rsidP="004B0892">
      <w:pPr>
        <w:spacing w:after="0" w:line="360" w:lineRule="auto"/>
        <w:jc w:val="both"/>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5163C2">
        <w:rPr>
          <w:rFonts w:ascii="Arial" w:hAnsi="Arial" w:cs="Arial"/>
          <w:sz w:val="24"/>
          <w:szCs w:val="24"/>
        </w:rPr>
        <w:t>21</w:t>
      </w:r>
      <w:r w:rsidR="006E4540">
        <w:rPr>
          <w:rFonts w:ascii="Arial" w:hAnsi="Arial" w:cs="Arial"/>
          <w:sz w:val="24"/>
          <w:szCs w:val="24"/>
        </w:rPr>
        <w:t xml:space="preserve"> June 2019</w:t>
      </w:r>
      <w:r w:rsidR="00077485">
        <w:rPr>
          <w:rFonts w:ascii="Arial" w:hAnsi="Arial" w:cs="Arial"/>
          <w:b/>
          <w:sz w:val="24"/>
          <w:szCs w:val="24"/>
        </w:rPr>
        <w:tab/>
      </w:r>
    </w:p>
    <w:p w14:paraId="2EB07BFB" w14:textId="44941995" w:rsidR="00946D8C" w:rsidRPr="004B65C6" w:rsidRDefault="005A6306" w:rsidP="004B0892">
      <w:pPr>
        <w:spacing w:after="0" w:line="360" w:lineRule="auto"/>
        <w:jc w:val="both"/>
        <w:rPr>
          <w:rFonts w:ascii="Arial" w:hAnsi="Arial" w:cs="Arial"/>
          <w:sz w:val="24"/>
          <w:szCs w:val="24"/>
        </w:rPr>
      </w:pPr>
      <w:r>
        <w:rPr>
          <w:rFonts w:ascii="Arial" w:hAnsi="Arial" w:cs="Arial"/>
          <w:b/>
          <w:bCs/>
          <w:sz w:val="24"/>
          <w:szCs w:val="24"/>
        </w:rPr>
        <w:t>Delivered</w:t>
      </w:r>
      <w:r w:rsidR="001B7E1F" w:rsidRPr="006E026B">
        <w:rPr>
          <w:rFonts w:ascii="Arial" w:hAnsi="Arial" w:cs="Arial"/>
          <w:sz w:val="24"/>
          <w:szCs w:val="24"/>
        </w:rPr>
        <w:t>:</w:t>
      </w:r>
      <w:r w:rsidR="001B7E1F" w:rsidRPr="006E026B">
        <w:rPr>
          <w:rFonts w:ascii="Arial" w:hAnsi="Arial" w:cs="Arial"/>
          <w:sz w:val="24"/>
          <w:szCs w:val="24"/>
        </w:rPr>
        <w:tab/>
      </w:r>
      <w:r w:rsidR="009B5628">
        <w:rPr>
          <w:rFonts w:ascii="Arial" w:hAnsi="Arial" w:cs="Arial"/>
          <w:sz w:val="24"/>
          <w:szCs w:val="24"/>
        </w:rPr>
        <w:t>9</w:t>
      </w:r>
      <w:r w:rsidR="005163C2">
        <w:rPr>
          <w:rFonts w:ascii="Arial" w:hAnsi="Arial" w:cs="Arial"/>
          <w:sz w:val="24"/>
          <w:szCs w:val="24"/>
        </w:rPr>
        <w:t xml:space="preserve"> August</w:t>
      </w:r>
      <w:r w:rsidR="006E4540">
        <w:rPr>
          <w:rFonts w:ascii="Arial" w:hAnsi="Arial" w:cs="Arial"/>
          <w:sz w:val="24"/>
          <w:szCs w:val="24"/>
        </w:rPr>
        <w:t xml:space="preserve"> 2019</w:t>
      </w:r>
    </w:p>
    <w:p w14:paraId="43912473" w14:textId="77777777" w:rsidR="00946D8C" w:rsidRDefault="00946D8C" w:rsidP="004B0892">
      <w:pPr>
        <w:spacing w:after="0" w:line="360" w:lineRule="auto"/>
        <w:jc w:val="both"/>
        <w:rPr>
          <w:rFonts w:ascii="Arial" w:hAnsi="Arial" w:cs="Arial"/>
          <w:b/>
          <w:sz w:val="24"/>
          <w:szCs w:val="24"/>
        </w:rPr>
      </w:pPr>
    </w:p>
    <w:p w14:paraId="77411FD9" w14:textId="0942E739" w:rsidR="00A4739F" w:rsidRDefault="00946D8C" w:rsidP="004B0892">
      <w:pPr>
        <w:spacing w:after="0" w:line="360" w:lineRule="auto"/>
        <w:jc w:val="both"/>
        <w:rPr>
          <w:rFonts w:ascii="Arial" w:hAnsi="Arial" w:cs="Arial"/>
          <w:bCs/>
          <w:sz w:val="24"/>
          <w:szCs w:val="24"/>
          <w:lang w:val="en-ZA"/>
        </w:rPr>
      </w:pPr>
      <w:r w:rsidRPr="0071497A">
        <w:rPr>
          <w:rFonts w:ascii="Arial" w:hAnsi="Arial" w:cs="Arial"/>
          <w:bCs/>
          <w:sz w:val="24"/>
          <w:szCs w:val="24"/>
        </w:rPr>
        <w:t>Flynote:</w:t>
      </w:r>
      <w:r w:rsidR="00A00F6D" w:rsidRPr="0071497A">
        <w:rPr>
          <w:rFonts w:ascii="Arial" w:eastAsia="Times New Roman" w:hAnsi="Arial" w:cs="Arial"/>
          <w:bCs/>
          <w:sz w:val="24"/>
          <w:szCs w:val="24"/>
          <w:lang w:val="en-ZA" w:eastAsia="en-GB"/>
        </w:rPr>
        <w:t xml:space="preserve"> </w:t>
      </w:r>
      <w:r w:rsidR="00A00F6D" w:rsidRPr="0071497A">
        <w:rPr>
          <w:rFonts w:ascii="Arial" w:hAnsi="Arial" w:cs="Arial"/>
          <w:bCs/>
          <w:sz w:val="24"/>
          <w:szCs w:val="24"/>
          <w:lang w:val="en-ZA"/>
        </w:rPr>
        <w:t xml:space="preserve">Criminal Procedure – Appeal </w:t>
      </w:r>
      <w:r w:rsidR="0071497A">
        <w:rPr>
          <w:rFonts w:ascii="Arial" w:hAnsi="Arial" w:cs="Arial"/>
          <w:bCs/>
          <w:sz w:val="24"/>
          <w:szCs w:val="24"/>
          <w:lang w:val="en-ZA"/>
        </w:rPr>
        <w:t>– Conviction and</w:t>
      </w:r>
      <w:r w:rsidR="00A00F6D" w:rsidRPr="0071497A">
        <w:rPr>
          <w:rFonts w:ascii="Arial" w:hAnsi="Arial" w:cs="Arial"/>
          <w:bCs/>
          <w:sz w:val="24"/>
          <w:szCs w:val="24"/>
          <w:lang w:val="en-ZA"/>
        </w:rPr>
        <w:t xml:space="preserve"> Sentence – Appellant convicted of murder –– No prospects of success on appeal – No misdirection on the part of magistrate</w:t>
      </w:r>
      <w:r w:rsidR="0071497A">
        <w:rPr>
          <w:rFonts w:ascii="Arial" w:hAnsi="Arial" w:cs="Arial"/>
          <w:bCs/>
          <w:sz w:val="24"/>
          <w:szCs w:val="24"/>
          <w:lang w:val="en-ZA"/>
        </w:rPr>
        <w:t xml:space="preserve"> convicting the appellant and</w:t>
      </w:r>
      <w:r w:rsidR="00A00F6D" w:rsidRPr="0071497A">
        <w:rPr>
          <w:rFonts w:ascii="Arial" w:hAnsi="Arial" w:cs="Arial"/>
          <w:bCs/>
          <w:sz w:val="24"/>
          <w:szCs w:val="24"/>
          <w:lang w:val="en-ZA"/>
        </w:rPr>
        <w:t xml:space="preserve"> in imposing the sentence –</w:t>
      </w:r>
      <w:r w:rsidR="001B1B67">
        <w:rPr>
          <w:rFonts w:ascii="Arial" w:hAnsi="Arial" w:cs="Arial"/>
          <w:bCs/>
          <w:sz w:val="24"/>
          <w:szCs w:val="24"/>
          <w:lang w:val="en-ZA"/>
        </w:rPr>
        <w:t xml:space="preserve"> The approach to evidence of a single witness in murder cases restated.</w:t>
      </w:r>
    </w:p>
    <w:p w14:paraId="429230F2" w14:textId="7D6C9983" w:rsidR="0071497A" w:rsidRDefault="0071497A" w:rsidP="004B0892">
      <w:pPr>
        <w:spacing w:after="0" w:line="360" w:lineRule="auto"/>
        <w:jc w:val="both"/>
        <w:rPr>
          <w:rFonts w:ascii="Arial" w:hAnsi="Arial" w:cs="Arial"/>
          <w:bCs/>
          <w:sz w:val="24"/>
          <w:szCs w:val="24"/>
          <w:lang w:val="en-ZA"/>
        </w:rPr>
      </w:pPr>
    </w:p>
    <w:p w14:paraId="59316D80" w14:textId="77777777" w:rsidR="00913C94" w:rsidRDefault="00913C94" w:rsidP="004B0892">
      <w:pPr>
        <w:spacing w:after="0" w:line="360" w:lineRule="auto"/>
        <w:jc w:val="both"/>
        <w:rPr>
          <w:rFonts w:ascii="Arial" w:hAnsi="Arial" w:cs="Arial"/>
          <w:bCs/>
          <w:sz w:val="24"/>
          <w:szCs w:val="24"/>
          <w:lang w:val="en-ZA"/>
        </w:rPr>
      </w:pPr>
    </w:p>
    <w:p w14:paraId="5842AFE0" w14:textId="77777777" w:rsidR="00913C94" w:rsidRDefault="00913C94" w:rsidP="004B0892">
      <w:pPr>
        <w:spacing w:after="0" w:line="360" w:lineRule="auto"/>
        <w:jc w:val="both"/>
        <w:rPr>
          <w:rFonts w:ascii="Arial" w:hAnsi="Arial" w:cs="Arial"/>
          <w:bCs/>
          <w:sz w:val="24"/>
          <w:szCs w:val="24"/>
          <w:lang w:val="en-ZA"/>
        </w:rPr>
      </w:pPr>
    </w:p>
    <w:p w14:paraId="4A4A427B" w14:textId="14119C48" w:rsidR="0071497A" w:rsidRPr="0071497A" w:rsidRDefault="0071497A" w:rsidP="004B0892">
      <w:pPr>
        <w:spacing w:after="0" w:line="360" w:lineRule="auto"/>
        <w:jc w:val="both"/>
        <w:rPr>
          <w:rFonts w:ascii="Arial" w:hAnsi="Arial" w:cs="Arial"/>
          <w:bCs/>
          <w:sz w:val="24"/>
          <w:szCs w:val="24"/>
        </w:rPr>
      </w:pPr>
      <w:r>
        <w:rPr>
          <w:rFonts w:ascii="Arial" w:hAnsi="Arial" w:cs="Arial"/>
          <w:bCs/>
          <w:sz w:val="24"/>
          <w:szCs w:val="24"/>
          <w:lang w:val="en-ZA"/>
        </w:rPr>
        <w:t xml:space="preserve">Criminal Procedure – A court on appeal will not </w:t>
      </w:r>
      <w:r w:rsidR="00327A05">
        <w:rPr>
          <w:rFonts w:ascii="Arial" w:hAnsi="Arial" w:cs="Arial"/>
          <w:bCs/>
          <w:sz w:val="24"/>
          <w:szCs w:val="24"/>
          <w:lang w:val="en-ZA"/>
        </w:rPr>
        <w:t>interfere with factual</w:t>
      </w:r>
      <w:r>
        <w:rPr>
          <w:rFonts w:ascii="Arial" w:hAnsi="Arial" w:cs="Arial"/>
          <w:bCs/>
          <w:sz w:val="24"/>
          <w:szCs w:val="24"/>
          <w:lang w:val="en-ZA"/>
        </w:rPr>
        <w:t xml:space="preserve"> findings of the trial court in the absence of irregularities or misdirection by the trial court.</w:t>
      </w:r>
    </w:p>
    <w:p w14:paraId="059BED0C" w14:textId="77777777" w:rsidR="0071497A" w:rsidRDefault="0071497A" w:rsidP="004B0892">
      <w:pPr>
        <w:spacing w:after="0" w:line="360" w:lineRule="auto"/>
        <w:jc w:val="both"/>
        <w:rPr>
          <w:rFonts w:ascii="Arial" w:hAnsi="Arial" w:cs="Arial"/>
          <w:sz w:val="24"/>
          <w:szCs w:val="24"/>
          <w:lang w:val="en-ZA"/>
        </w:rPr>
      </w:pPr>
    </w:p>
    <w:p w14:paraId="7071873D" w14:textId="702895C8" w:rsidR="0071497A" w:rsidRDefault="00F87112" w:rsidP="004B0892">
      <w:pPr>
        <w:spacing w:after="0" w:line="360" w:lineRule="auto"/>
        <w:jc w:val="both"/>
        <w:rPr>
          <w:rFonts w:ascii="Arial" w:hAnsi="Arial" w:cs="Arial"/>
          <w:sz w:val="24"/>
          <w:szCs w:val="24"/>
          <w:lang w:val="en-ZA"/>
        </w:rPr>
      </w:pPr>
      <w:r>
        <w:rPr>
          <w:rFonts w:ascii="Arial" w:hAnsi="Arial" w:cs="Arial"/>
          <w:sz w:val="24"/>
          <w:szCs w:val="24"/>
          <w:lang w:val="en-ZA"/>
        </w:rPr>
        <w:t xml:space="preserve">Held that, </w:t>
      </w:r>
      <w:r w:rsidR="0071497A">
        <w:rPr>
          <w:rFonts w:ascii="Arial" w:hAnsi="Arial" w:cs="Arial"/>
          <w:sz w:val="24"/>
          <w:szCs w:val="24"/>
          <w:lang w:val="en-ZA"/>
        </w:rPr>
        <w:t xml:space="preserve">the defence of private defence </w:t>
      </w:r>
      <w:r w:rsidR="00327A05">
        <w:rPr>
          <w:rFonts w:ascii="Arial" w:hAnsi="Arial" w:cs="Arial"/>
          <w:sz w:val="24"/>
          <w:szCs w:val="24"/>
          <w:lang w:val="en-ZA"/>
        </w:rPr>
        <w:t>is not available where there is</w:t>
      </w:r>
      <w:r w:rsidR="00E00445">
        <w:rPr>
          <w:rFonts w:ascii="Arial" w:hAnsi="Arial" w:cs="Arial"/>
          <w:sz w:val="24"/>
          <w:szCs w:val="24"/>
          <w:lang w:val="en-ZA"/>
        </w:rPr>
        <w:t xml:space="preserve"> </w:t>
      </w:r>
      <w:r w:rsidR="00327A05">
        <w:rPr>
          <w:rFonts w:ascii="Arial" w:hAnsi="Arial" w:cs="Arial"/>
          <w:sz w:val="24"/>
          <w:szCs w:val="24"/>
          <w:lang w:val="en-ZA"/>
        </w:rPr>
        <w:t>evidence demonstrating that the</w:t>
      </w:r>
      <w:r w:rsidR="00E00445">
        <w:rPr>
          <w:rFonts w:ascii="Arial" w:hAnsi="Arial" w:cs="Arial"/>
          <w:sz w:val="24"/>
          <w:szCs w:val="24"/>
          <w:lang w:val="en-ZA"/>
        </w:rPr>
        <w:t xml:space="preserve"> attack was over</w:t>
      </w:r>
      <w:r w:rsidR="00327A05">
        <w:rPr>
          <w:rFonts w:ascii="Arial" w:hAnsi="Arial" w:cs="Arial"/>
          <w:sz w:val="24"/>
          <w:szCs w:val="24"/>
          <w:lang w:val="en-ZA"/>
        </w:rPr>
        <w:t>.</w:t>
      </w:r>
    </w:p>
    <w:p w14:paraId="09DF477D" w14:textId="77777777" w:rsidR="0071497A" w:rsidRDefault="0071497A" w:rsidP="004B0892">
      <w:pPr>
        <w:spacing w:after="0" w:line="360" w:lineRule="auto"/>
        <w:jc w:val="both"/>
        <w:rPr>
          <w:rFonts w:ascii="Arial" w:hAnsi="Arial" w:cs="Arial"/>
          <w:sz w:val="24"/>
          <w:szCs w:val="24"/>
          <w:lang w:val="en-ZA"/>
        </w:rPr>
      </w:pPr>
    </w:p>
    <w:p w14:paraId="61CAED06" w14:textId="775AD4B5" w:rsidR="006A274C" w:rsidRDefault="00A00F6D" w:rsidP="004B0892">
      <w:pPr>
        <w:spacing w:after="0" w:line="360" w:lineRule="auto"/>
        <w:jc w:val="both"/>
        <w:rPr>
          <w:rFonts w:ascii="Arial" w:hAnsi="Arial" w:cs="Arial"/>
          <w:sz w:val="24"/>
          <w:szCs w:val="24"/>
          <w:lang w:val="en-ZA"/>
        </w:rPr>
      </w:pPr>
      <w:r w:rsidRPr="00A00F6D">
        <w:rPr>
          <w:rFonts w:ascii="Arial" w:hAnsi="Arial" w:cs="Arial"/>
          <w:sz w:val="24"/>
          <w:szCs w:val="24"/>
          <w:lang w:val="en-ZA"/>
        </w:rPr>
        <w:t xml:space="preserve">Held, further that, there are no prospects of success as the </w:t>
      </w:r>
      <w:r w:rsidR="006A274C">
        <w:rPr>
          <w:rFonts w:ascii="Arial" w:hAnsi="Arial" w:cs="Arial"/>
          <w:sz w:val="24"/>
          <w:szCs w:val="24"/>
          <w:lang w:val="en-ZA"/>
        </w:rPr>
        <w:t>sentence imposed is not inappropriate, neither does it induce a sense of shock.</w:t>
      </w:r>
    </w:p>
    <w:p w14:paraId="67671575" w14:textId="77777777" w:rsidR="00946D8C" w:rsidRDefault="00946D8C" w:rsidP="004B0892">
      <w:pPr>
        <w:spacing w:after="0" w:line="360" w:lineRule="auto"/>
        <w:jc w:val="both"/>
        <w:rPr>
          <w:rFonts w:ascii="Arial" w:hAnsi="Arial" w:cs="Arial"/>
          <w:b/>
          <w:sz w:val="24"/>
          <w:szCs w:val="24"/>
        </w:rPr>
      </w:pPr>
    </w:p>
    <w:p w14:paraId="705BF364" w14:textId="319ADCD2" w:rsidR="00383288" w:rsidRPr="003830F6" w:rsidRDefault="00946D8C" w:rsidP="004B0892">
      <w:pPr>
        <w:spacing w:after="0" w:line="360" w:lineRule="auto"/>
        <w:jc w:val="both"/>
        <w:rPr>
          <w:rFonts w:ascii="Arial" w:hAnsi="Arial" w:cs="Arial"/>
          <w:bCs/>
          <w:sz w:val="24"/>
          <w:szCs w:val="24"/>
        </w:rPr>
      </w:pPr>
      <w:r w:rsidRPr="0071497A">
        <w:rPr>
          <w:rFonts w:ascii="Arial" w:hAnsi="Arial" w:cs="Arial"/>
          <w:bCs/>
          <w:sz w:val="24"/>
          <w:szCs w:val="24"/>
        </w:rPr>
        <w:t>Summary:</w:t>
      </w:r>
      <w:r w:rsidR="00A00F6D" w:rsidRPr="0071497A">
        <w:rPr>
          <w:rFonts w:ascii="Arial" w:hAnsi="Arial" w:cs="Arial"/>
          <w:bCs/>
          <w:sz w:val="24"/>
          <w:szCs w:val="24"/>
        </w:rPr>
        <w:t xml:space="preserve"> </w:t>
      </w:r>
      <w:r w:rsidR="00A00F6D" w:rsidRPr="0071497A">
        <w:rPr>
          <w:rFonts w:ascii="Arial" w:hAnsi="Arial" w:cs="Arial"/>
          <w:bCs/>
          <w:sz w:val="24"/>
          <w:szCs w:val="24"/>
          <w:lang w:val="en-ZA"/>
        </w:rPr>
        <w:t xml:space="preserve">The appellant was convicted </w:t>
      </w:r>
      <w:r w:rsidR="00655908">
        <w:rPr>
          <w:rFonts w:ascii="Arial" w:hAnsi="Arial" w:cs="Arial"/>
          <w:bCs/>
          <w:sz w:val="24"/>
          <w:szCs w:val="24"/>
          <w:lang w:val="en-ZA"/>
        </w:rPr>
        <w:t xml:space="preserve">of murder </w:t>
      </w:r>
      <w:r w:rsidR="00D07A3C">
        <w:rPr>
          <w:rFonts w:ascii="Arial" w:hAnsi="Arial" w:cs="Arial"/>
          <w:bCs/>
          <w:sz w:val="24"/>
          <w:szCs w:val="24"/>
          <w:lang w:val="en-ZA"/>
        </w:rPr>
        <w:t>in the Regional C</w:t>
      </w:r>
      <w:r w:rsidR="00A00F6D" w:rsidRPr="0071497A">
        <w:rPr>
          <w:rFonts w:ascii="Arial" w:hAnsi="Arial" w:cs="Arial"/>
          <w:bCs/>
          <w:sz w:val="24"/>
          <w:szCs w:val="24"/>
          <w:lang w:val="en-ZA"/>
        </w:rPr>
        <w:t xml:space="preserve">ourt sitting at Windhoek. </w:t>
      </w:r>
      <w:r w:rsidR="001B1B67">
        <w:rPr>
          <w:rFonts w:ascii="Arial" w:hAnsi="Arial" w:cs="Arial"/>
          <w:bCs/>
          <w:sz w:val="24"/>
          <w:szCs w:val="24"/>
          <w:lang w:val="en-ZA"/>
        </w:rPr>
        <w:t>Sh</w:t>
      </w:r>
      <w:r w:rsidR="00A00F6D" w:rsidRPr="0071497A">
        <w:rPr>
          <w:rFonts w:ascii="Arial" w:hAnsi="Arial" w:cs="Arial"/>
          <w:bCs/>
          <w:sz w:val="24"/>
          <w:szCs w:val="24"/>
          <w:lang w:val="en-ZA"/>
        </w:rPr>
        <w:t xml:space="preserve">e was sentenced to </w:t>
      </w:r>
      <w:r w:rsidR="00135E7E">
        <w:rPr>
          <w:rFonts w:ascii="Arial" w:hAnsi="Arial" w:cs="Arial"/>
          <w:sz w:val="24"/>
          <w:szCs w:val="24"/>
        </w:rPr>
        <w:t>seventeen (17)</w:t>
      </w:r>
      <w:r w:rsidR="00135E7E">
        <w:rPr>
          <w:rFonts w:ascii="Arial" w:hAnsi="Arial" w:cs="Arial"/>
          <w:bCs/>
          <w:sz w:val="24"/>
          <w:szCs w:val="24"/>
          <w:lang w:val="en-ZA"/>
        </w:rPr>
        <w:t xml:space="preserve"> </w:t>
      </w:r>
      <w:r w:rsidR="00E00445">
        <w:rPr>
          <w:rFonts w:ascii="Arial" w:hAnsi="Arial" w:cs="Arial"/>
          <w:bCs/>
          <w:sz w:val="24"/>
          <w:szCs w:val="24"/>
          <w:lang w:val="en-ZA"/>
        </w:rPr>
        <w:t>years</w:t>
      </w:r>
      <w:r w:rsidR="00D07A3C">
        <w:rPr>
          <w:rFonts w:ascii="Arial" w:hAnsi="Arial" w:cs="Arial"/>
          <w:bCs/>
          <w:sz w:val="24"/>
          <w:szCs w:val="24"/>
          <w:lang w:val="en-ZA"/>
        </w:rPr>
        <w:t>’</w:t>
      </w:r>
      <w:r w:rsidR="00A00F6D" w:rsidRPr="0071497A">
        <w:rPr>
          <w:rFonts w:ascii="Arial" w:hAnsi="Arial" w:cs="Arial"/>
          <w:bCs/>
          <w:sz w:val="24"/>
          <w:szCs w:val="24"/>
          <w:lang w:val="en-ZA"/>
        </w:rPr>
        <w:t xml:space="preserve"> </w:t>
      </w:r>
      <w:r w:rsidR="0071497A">
        <w:rPr>
          <w:rFonts w:ascii="Arial" w:hAnsi="Arial" w:cs="Arial"/>
          <w:bCs/>
          <w:sz w:val="24"/>
          <w:szCs w:val="24"/>
          <w:lang w:val="en-ZA"/>
        </w:rPr>
        <w:t xml:space="preserve">imprisonment. </w:t>
      </w:r>
      <w:r w:rsidR="001B1B67">
        <w:rPr>
          <w:rFonts w:ascii="Arial" w:hAnsi="Arial" w:cs="Arial"/>
          <w:bCs/>
          <w:sz w:val="24"/>
          <w:szCs w:val="24"/>
          <w:lang w:val="en-ZA"/>
        </w:rPr>
        <w:t>Sh</w:t>
      </w:r>
      <w:r w:rsidR="00A00F6D" w:rsidRPr="0071497A">
        <w:rPr>
          <w:rFonts w:ascii="Arial" w:hAnsi="Arial" w:cs="Arial"/>
          <w:bCs/>
          <w:sz w:val="24"/>
          <w:szCs w:val="24"/>
          <w:lang w:val="en-ZA"/>
        </w:rPr>
        <w:t>e noted an appeal against</w:t>
      </w:r>
      <w:r w:rsidR="0071497A">
        <w:rPr>
          <w:rFonts w:ascii="Arial" w:hAnsi="Arial" w:cs="Arial"/>
          <w:bCs/>
          <w:sz w:val="24"/>
          <w:szCs w:val="24"/>
          <w:lang w:val="en-ZA"/>
        </w:rPr>
        <w:t xml:space="preserve"> both conviction </w:t>
      </w:r>
      <w:bookmarkStart w:id="0" w:name="_GoBack"/>
      <w:bookmarkEnd w:id="0"/>
      <w:r w:rsidR="0071497A">
        <w:rPr>
          <w:rFonts w:ascii="Arial" w:hAnsi="Arial" w:cs="Arial"/>
          <w:bCs/>
          <w:sz w:val="24"/>
          <w:szCs w:val="24"/>
          <w:lang w:val="en-ZA"/>
        </w:rPr>
        <w:t>and</w:t>
      </w:r>
      <w:r w:rsidR="00A00F6D" w:rsidRPr="0071497A">
        <w:rPr>
          <w:rFonts w:ascii="Arial" w:hAnsi="Arial" w:cs="Arial"/>
          <w:bCs/>
          <w:sz w:val="24"/>
          <w:szCs w:val="24"/>
          <w:lang w:val="en-ZA"/>
        </w:rPr>
        <w:t xml:space="preserve"> sentence</w:t>
      </w:r>
      <w:r w:rsidR="0071497A">
        <w:rPr>
          <w:rFonts w:ascii="Arial" w:hAnsi="Arial" w:cs="Arial"/>
          <w:bCs/>
          <w:sz w:val="24"/>
          <w:szCs w:val="24"/>
          <w:lang w:val="en-ZA"/>
        </w:rPr>
        <w:t>.</w:t>
      </w:r>
      <w:r w:rsidR="00327A05">
        <w:rPr>
          <w:rFonts w:ascii="Arial" w:hAnsi="Arial" w:cs="Arial"/>
          <w:bCs/>
          <w:sz w:val="24"/>
          <w:szCs w:val="24"/>
          <w:lang w:val="en-ZA"/>
        </w:rPr>
        <w:t xml:space="preserve"> Appeal dismissed </w:t>
      </w:r>
      <w:r w:rsidR="00E00445">
        <w:rPr>
          <w:rFonts w:ascii="Arial" w:hAnsi="Arial" w:cs="Arial"/>
          <w:bCs/>
          <w:sz w:val="24"/>
          <w:szCs w:val="24"/>
          <w:lang w:val="en-ZA"/>
        </w:rPr>
        <w:t xml:space="preserve">as </w:t>
      </w:r>
      <w:r w:rsidR="00327A05">
        <w:rPr>
          <w:rFonts w:ascii="Arial" w:hAnsi="Arial" w:cs="Arial"/>
          <w:bCs/>
          <w:sz w:val="24"/>
          <w:szCs w:val="24"/>
          <w:lang w:val="en-ZA"/>
        </w:rPr>
        <w:t xml:space="preserve">the post mortem </w:t>
      </w:r>
      <w:r w:rsidR="00B32C0C">
        <w:rPr>
          <w:rFonts w:ascii="Arial" w:hAnsi="Arial" w:cs="Arial"/>
          <w:bCs/>
          <w:sz w:val="24"/>
          <w:szCs w:val="24"/>
          <w:lang w:val="en-ZA"/>
        </w:rPr>
        <w:t>report proved</w:t>
      </w:r>
      <w:r w:rsidR="00327A05">
        <w:rPr>
          <w:rFonts w:ascii="Arial" w:hAnsi="Arial" w:cs="Arial"/>
          <w:bCs/>
          <w:sz w:val="24"/>
          <w:szCs w:val="24"/>
          <w:lang w:val="en-ZA"/>
        </w:rPr>
        <w:t xml:space="preserve"> that the appellant</w:t>
      </w:r>
      <w:r w:rsidR="00E00445">
        <w:rPr>
          <w:rFonts w:ascii="Arial" w:hAnsi="Arial" w:cs="Arial"/>
          <w:bCs/>
          <w:sz w:val="24"/>
          <w:szCs w:val="24"/>
          <w:lang w:val="en-ZA"/>
        </w:rPr>
        <w:t xml:space="preserve"> was not being attacked by the deceased </w:t>
      </w:r>
      <w:r w:rsidR="001B1B67">
        <w:rPr>
          <w:rFonts w:ascii="Arial" w:hAnsi="Arial" w:cs="Arial"/>
          <w:bCs/>
          <w:sz w:val="24"/>
          <w:szCs w:val="24"/>
          <w:lang w:val="en-ZA"/>
        </w:rPr>
        <w:t xml:space="preserve">at the time when </w:t>
      </w:r>
      <w:r w:rsidR="00E00445">
        <w:rPr>
          <w:rFonts w:ascii="Arial" w:hAnsi="Arial" w:cs="Arial"/>
          <w:bCs/>
          <w:sz w:val="24"/>
          <w:szCs w:val="24"/>
          <w:lang w:val="en-ZA"/>
        </w:rPr>
        <w:t>she shot him.</w:t>
      </w:r>
    </w:p>
    <w:p w14:paraId="129545A2" w14:textId="77777777" w:rsidR="00946D8C" w:rsidRPr="006E026B" w:rsidRDefault="00CC0ED8" w:rsidP="00F87112">
      <w:pPr>
        <w:spacing w:after="0" w:line="360" w:lineRule="auto"/>
        <w:jc w:val="center"/>
        <w:rPr>
          <w:rFonts w:ascii="Arial" w:hAnsi="Arial" w:cs="Arial"/>
          <w:bCs/>
          <w:sz w:val="24"/>
          <w:szCs w:val="24"/>
        </w:rPr>
      </w:pPr>
      <w:r>
        <w:rPr>
          <w:rFonts w:ascii="Arial" w:hAnsi="Arial" w:cs="Arial"/>
          <w:bCs/>
          <w:sz w:val="24"/>
          <w:szCs w:val="24"/>
        </w:rPr>
        <w:pict w14:anchorId="10C600D4">
          <v:rect id="_x0000_i1025" style="width:0;height:1.5pt" o:hralign="center" o:hrstd="t" o:hr="t" fillcolor="#a0a0a0" stroked="f"/>
        </w:pict>
      </w:r>
    </w:p>
    <w:p w14:paraId="039D0689" w14:textId="77777777" w:rsidR="00946D8C" w:rsidRPr="006E026B" w:rsidRDefault="00946D8C" w:rsidP="00F87112">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3A106F77" w14:textId="77777777" w:rsidR="00946D8C" w:rsidRPr="006E026B" w:rsidRDefault="00CC0ED8" w:rsidP="00F87112">
      <w:pPr>
        <w:spacing w:after="0" w:line="360" w:lineRule="auto"/>
        <w:jc w:val="center"/>
        <w:rPr>
          <w:rFonts w:ascii="Arial" w:hAnsi="Arial" w:cs="Arial"/>
          <w:b/>
          <w:bCs/>
          <w:sz w:val="24"/>
          <w:szCs w:val="24"/>
        </w:rPr>
      </w:pPr>
      <w:r>
        <w:rPr>
          <w:rFonts w:ascii="Arial" w:hAnsi="Arial" w:cs="Arial"/>
          <w:bCs/>
          <w:sz w:val="24"/>
          <w:szCs w:val="24"/>
        </w:rPr>
        <w:pict w14:anchorId="171A7B6B">
          <v:rect id="_x0000_i1026" style="width:0;height:1.5pt" o:hralign="center" o:hrstd="t" o:hr="t" fillcolor="#a0a0a0" stroked="f"/>
        </w:pict>
      </w:r>
    </w:p>
    <w:p w14:paraId="1DEE3080" w14:textId="77777777" w:rsidR="00A4739F" w:rsidRDefault="00A4739F" w:rsidP="004B0892">
      <w:pPr>
        <w:spacing w:after="0" w:line="360" w:lineRule="auto"/>
        <w:jc w:val="both"/>
        <w:rPr>
          <w:rFonts w:ascii="Arial" w:hAnsi="Arial" w:cs="Arial"/>
          <w:sz w:val="24"/>
          <w:szCs w:val="24"/>
        </w:rPr>
      </w:pPr>
    </w:p>
    <w:p w14:paraId="0C400744" w14:textId="7C0DB09D" w:rsidR="00946D8C" w:rsidRDefault="0071497A" w:rsidP="004B0892">
      <w:pPr>
        <w:spacing w:after="0" w:line="360" w:lineRule="auto"/>
        <w:jc w:val="both"/>
        <w:rPr>
          <w:rFonts w:ascii="Arial" w:hAnsi="Arial" w:cs="Arial"/>
          <w:sz w:val="24"/>
          <w:szCs w:val="24"/>
        </w:rPr>
      </w:pPr>
      <w:r>
        <w:rPr>
          <w:rFonts w:ascii="Arial" w:hAnsi="Arial" w:cs="Arial"/>
          <w:sz w:val="24"/>
          <w:szCs w:val="24"/>
        </w:rPr>
        <w:t>T</w:t>
      </w:r>
      <w:r w:rsidR="00946D8C">
        <w:rPr>
          <w:rFonts w:ascii="Arial" w:hAnsi="Arial" w:cs="Arial"/>
          <w:sz w:val="24"/>
          <w:szCs w:val="24"/>
        </w:rPr>
        <w:t xml:space="preserve">he appeal </w:t>
      </w:r>
      <w:r w:rsidR="006E4540">
        <w:rPr>
          <w:rFonts w:ascii="Arial" w:hAnsi="Arial" w:cs="Arial"/>
          <w:sz w:val="24"/>
          <w:szCs w:val="24"/>
        </w:rPr>
        <w:t>against conviction and sentence is dismissed</w:t>
      </w:r>
      <w:r w:rsidR="00946D8C">
        <w:rPr>
          <w:rFonts w:ascii="Arial" w:hAnsi="Arial" w:cs="Arial"/>
          <w:sz w:val="24"/>
          <w:szCs w:val="24"/>
        </w:rPr>
        <w:t>.</w:t>
      </w:r>
    </w:p>
    <w:p w14:paraId="5B6CCC4F" w14:textId="77777777" w:rsidR="00A4739F" w:rsidRDefault="00A4739F" w:rsidP="004B0892">
      <w:pPr>
        <w:spacing w:after="0" w:line="360" w:lineRule="auto"/>
        <w:jc w:val="both"/>
        <w:rPr>
          <w:rFonts w:ascii="Arial" w:hAnsi="Arial" w:cs="Arial"/>
          <w:sz w:val="24"/>
          <w:szCs w:val="24"/>
        </w:rPr>
      </w:pPr>
    </w:p>
    <w:p w14:paraId="779867C1" w14:textId="55C7574B" w:rsidR="00946D8C" w:rsidRPr="006E026B" w:rsidRDefault="00CC0ED8" w:rsidP="004B0892">
      <w:pPr>
        <w:spacing w:after="0" w:line="360" w:lineRule="auto"/>
        <w:jc w:val="both"/>
        <w:rPr>
          <w:rFonts w:ascii="Arial" w:hAnsi="Arial" w:cs="Arial"/>
          <w:bCs/>
          <w:sz w:val="24"/>
          <w:szCs w:val="24"/>
        </w:rPr>
      </w:pPr>
      <w:r>
        <w:rPr>
          <w:rFonts w:ascii="Arial" w:hAnsi="Arial" w:cs="Arial"/>
          <w:bCs/>
          <w:sz w:val="24"/>
          <w:szCs w:val="24"/>
        </w:rPr>
        <w:pict w14:anchorId="6DFD6666">
          <v:rect id="_x0000_i1027" style="width:0;height:1.5pt" o:hralign="center" o:hrstd="t" o:hr="t" fillcolor="#a0a0a0" stroked="f"/>
        </w:pict>
      </w:r>
    </w:p>
    <w:p w14:paraId="2CD15991" w14:textId="77777777" w:rsidR="00946D8C" w:rsidRPr="006E026B" w:rsidRDefault="00946D8C" w:rsidP="00F87112">
      <w:pPr>
        <w:spacing w:after="0" w:line="360" w:lineRule="auto"/>
        <w:jc w:val="center"/>
        <w:rPr>
          <w:rFonts w:ascii="Arial" w:hAnsi="Arial" w:cs="Arial"/>
          <w:b/>
          <w:sz w:val="24"/>
          <w:szCs w:val="24"/>
        </w:rPr>
      </w:pPr>
      <w:r>
        <w:rPr>
          <w:rFonts w:ascii="Arial" w:hAnsi="Arial" w:cs="Arial"/>
          <w:b/>
          <w:sz w:val="24"/>
          <w:szCs w:val="24"/>
        </w:rPr>
        <w:t xml:space="preserve">CRIMINAL APPEAL </w:t>
      </w:r>
      <w:r w:rsidRPr="006E026B">
        <w:rPr>
          <w:rFonts w:ascii="Arial" w:hAnsi="Arial" w:cs="Arial"/>
          <w:b/>
          <w:sz w:val="24"/>
          <w:szCs w:val="24"/>
        </w:rPr>
        <w:t>JUDGMENT</w:t>
      </w:r>
    </w:p>
    <w:p w14:paraId="7665CC4A" w14:textId="77777777" w:rsidR="00946D8C" w:rsidRPr="006E026B" w:rsidRDefault="00CC0ED8" w:rsidP="00F87112">
      <w:pPr>
        <w:spacing w:after="0" w:line="360" w:lineRule="auto"/>
        <w:jc w:val="center"/>
        <w:rPr>
          <w:rFonts w:ascii="Arial" w:hAnsi="Arial" w:cs="Arial"/>
          <w:b/>
          <w:sz w:val="24"/>
          <w:szCs w:val="24"/>
        </w:rPr>
      </w:pPr>
      <w:r>
        <w:rPr>
          <w:rFonts w:ascii="Arial" w:hAnsi="Arial" w:cs="Arial"/>
          <w:bCs/>
          <w:sz w:val="24"/>
          <w:szCs w:val="24"/>
        </w:rPr>
        <w:pict w14:anchorId="2D4E4F8A">
          <v:rect id="_x0000_i1028" style="width:0;height:1.5pt" o:hralign="center" o:hrstd="t" o:hr="t" fillcolor="#a0a0a0" stroked="f"/>
        </w:pict>
      </w:r>
    </w:p>
    <w:p w14:paraId="3A5B3110" w14:textId="77777777" w:rsidR="001B7E1F" w:rsidRPr="006E026B" w:rsidRDefault="001B7E1F" w:rsidP="004B0892">
      <w:pPr>
        <w:spacing w:after="0" w:line="360" w:lineRule="auto"/>
        <w:jc w:val="both"/>
        <w:rPr>
          <w:rFonts w:ascii="Arial" w:hAnsi="Arial" w:cs="Arial"/>
          <w:sz w:val="24"/>
          <w:szCs w:val="24"/>
        </w:rPr>
      </w:pPr>
    </w:p>
    <w:p w14:paraId="57760828" w14:textId="1B877227" w:rsidR="001B7E1F" w:rsidRPr="006E026B" w:rsidRDefault="005B6B1A" w:rsidP="004B0892">
      <w:pPr>
        <w:spacing w:after="0" w:line="360" w:lineRule="auto"/>
        <w:ind w:left="1440" w:hanging="1440"/>
        <w:jc w:val="both"/>
        <w:rPr>
          <w:rFonts w:ascii="Arial" w:hAnsi="Arial" w:cs="Arial"/>
          <w:b/>
          <w:i/>
          <w:sz w:val="24"/>
          <w:szCs w:val="24"/>
        </w:rPr>
      </w:pPr>
      <w:r>
        <w:rPr>
          <w:rFonts w:ascii="Arial" w:hAnsi="Arial" w:cs="Arial"/>
          <w:sz w:val="24"/>
          <w:szCs w:val="24"/>
        </w:rPr>
        <w:t>SHIVUTE</w:t>
      </w:r>
      <w:r w:rsidR="006E4540">
        <w:rPr>
          <w:rFonts w:ascii="Arial" w:hAnsi="Arial" w:cs="Arial"/>
          <w:sz w:val="24"/>
          <w:szCs w:val="24"/>
        </w:rPr>
        <w:t>,</w:t>
      </w:r>
      <w:r>
        <w:rPr>
          <w:rFonts w:ascii="Arial" w:hAnsi="Arial" w:cs="Arial"/>
          <w:sz w:val="24"/>
          <w:szCs w:val="24"/>
        </w:rPr>
        <w:t xml:space="preserve"> J</w:t>
      </w:r>
      <w:r w:rsidR="001B7E1F" w:rsidRPr="006E026B">
        <w:rPr>
          <w:rFonts w:ascii="Arial" w:hAnsi="Arial" w:cs="Arial"/>
          <w:sz w:val="24"/>
          <w:szCs w:val="24"/>
        </w:rPr>
        <w:t xml:space="preserve"> (</w:t>
      </w:r>
      <w:r w:rsidR="00E00445">
        <w:rPr>
          <w:rFonts w:ascii="Arial" w:hAnsi="Arial" w:cs="Arial"/>
          <w:sz w:val="24"/>
          <w:szCs w:val="24"/>
        </w:rPr>
        <w:t>L</w:t>
      </w:r>
      <w:r w:rsidR="004F63EC">
        <w:rPr>
          <w:rFonts w:ascii="Arial" w:hAnsi="Arial" w:cs="Arial"/>
          <w:sz w:val="24"/>
          <w:szCs w:val="24"/>
        </w:rPr>
        <w:t>IEBENBERG</w:t>
      </w:r>
      <w:r w:rsidR="006E4540">
        <w:rPr>
          <w:rFonts w:ascii="Arial" w:hAnsi="Arial" w:cs="Arial"/>
          <w:sz w:val="24"/>
          <w:szCs w:val="24"/>
        </w:rPr>
        <w:t xml:space="preserve">, J </w:t>
      </w:r>
      <w:r w:rsidR="001B7E1F" w:rsidRPr="006E026B">
        <w:rPr>
          <w:rFonts w:ascii="Arial" w:hAnsi="Arial" w:cs="Arial"/>
          <w:sz w:val="24"/>
          <w:szCs w:val="24"/>
        </w:rPr>
        <w:t>concurring):</w:t>
      </w:r>
    </w:p>
    <w:p w14:paraId="6623BC19" w14:textId="77777777" w:rsidR="001B7E1F" w:rsidRPr="006E026B" w:rsidRDefault="001B7E1F" w:rsidP="004B0892">
      <w:pPr>
        <w:spacing w:after="0" w:line="360" w:lineRule="auto"/>
        <w:jc w:val="both"/>
        <w:rPr>
          <w:rFonts w:ascii="Arial" w:hAnsi="Arial" w:cs="Arial"/>
          <w:sz w:val="24"/>
          <w:szCs w:val="24"/>
        </w:rPr>
      </w:pPr>
    </w:p>
    <w:p w14:paraId="412026B2" w14:textId="423B9978" w:rsidR="001511AD" w:rsidRDefault="001B7E1F" w:rsidP="004B0892">
      <w:pPr>
        <w:spacing w:after="0" w:line="360" w:lineRule="auto"/>
        <w:jc w:val="both"/>
        <w:rPr>
          <w:rFonts w:ascii="Arial" w:hAnsi="Arial" w:cs="Arial"/>
          <w:sz w:val="24"/>
          <w:szCs w:val="24"/>
        </w:rPr>
      </w:pPr>
      <w:r w:rsidRPr="006E026B">
        <w:rPr>
          <w:rFonts w:ascii="Arial" w:hAnsi="Arial" w:cs="Arial"/>
          <w:sz w:val="24"/>
          <w:szCs w:val="24"/>
        </w:rPr>
        <w:t>[1]</w:t>
      </w:r>
      <w:r w:rsidR="006E4540">
        <w:rPr>
          <w:rFonts w:ascii="Arial" w:hAnsi="Arial" w:cs="Arial"/>
          <w:sz w:val="24"/>
          <w:szCs w:val="24"/>
        </w:rPr>
        <w:tab/>
        <w:t xml:space="preserve"> The</w:t>
      </w:r>
      <w:r w:rsidR="00907EB3">
        <w:rPr>
          <w:rFonts w:ascii="Arial" w:hAnsi="Arial" w:cs="Arial"/>
          <w:sz w:val="24"/>
          <w:szCs w:val="24"/>
        </w:rPr>
        <w:t xml:space="preserve"> appellant </w:t>
      </w:r>
      <w:r w:rsidR="004A0F49">
        <w:rPr>
          <w:rFonts w:ascii="Arial" w:hAnsi="Arial" w:cs="Arial"/>
          <w:sz w:val="24"/>
          <w:szCs w:val="24"/>
        </w:rPr>
        <w:t xml:space="preserve">was convicted of </w:t>
      </w:r>
      <w:r w:rsidR="00A0110B">
        <w:rPr>
          <w:rFonts w:ascii="Arial" w:hAnsi="Arial" w:cs="Arial"/>
          <w:sz w:val="24"/>
          <w:szCs w:val="24"/>
        </w:rPr>
        <w:t>murder</w:t>
      </w:r>
      <w:r w:rsidR="006E4540">
        <w:rPr>
          <w:rFonts w:ascii="Arial" w:hAnsi="Arial" w:cs="Arial"/>
          <w:sz w:val="24"/>
          <w:szCs w:val="24"/>
        </w:rPr>
        <w:t xml:space="preserve"> in the Regional Court sitting in Windhoek</w:t>
      </w:r>
      <w:r w:rsidR="004A0F49">
        <w:rPr>
          <w:rFonts w:ascii="Arial" w:hAnsi="Arial" w:cs="Arial"/>
          <w:sz w:val="24"/>
          <w:szCs w:val="24"/>
        </w:rPr>
        <w:t xml:space="preserve"> and</w:t>
      </w:r>
      <w:r w:rsidR="006E4540">
        <w:rPr>
          <w:rFonts w:ascii="Arial" w:hAnsi="Arial" w:cs="Arial"/>
          <w:sz w:val="24"/>
          <w:szCs w:val="24"/>
        </w:rPr>
        <w:t xml:space="preserve"> was</w:t>
      </w:r>
      <w:r w:rsidR="004A0F49">
        <w:rPr>
          <w:rFonts w:ascii="Arial" w:hAnsi="Arial" w:cs="Arial"/>
          <w:sz w:val="24"/>
          <w:szCs w:val="24"/>
        </w:rPr>
        <w:t xml:space="preserve"> sentenced to </w:t>
      </w:r>
      <w:r w:rsidR="00B32C0C">
        <w:rPr>
          <w:rFonts w:ascii="Arial" w:hAnsi="Arial" w:cs="Arial"/>
          <w:sz w:val="24"/>
          <w:szCs w:val="24"/>
        </w:rPr>
        <w:t>seventeen</w:t>
      </w:r>
      <w:r w:rsidR="0052428E">
        <w:rPr>
          <w:rFonts w:ascii="Arial" w:hAnsi="Arial" w:cs="Arial"/>
          <w:sz w:val="24"/>
          <w:szCs w:val="24"/>
        </w:rPr>
        <w:t xml:space="preserve"> (</w:t>
      </w:r>
      <w:r w:rsidR="00E00445">
        <w:rPr>
          <w:rFonts w:ascii="Arial" w:hAnsi="Arial" w:cs="Arial"/>
          <w:sz w:val="24"/>
          <w:szCs w:val="24"/>
        </w:rPr>
        <w:t>1</w:t>
      </w:r>
      <w:r w:rsidR="00B32C0C">
        <w:rPr>
          <w:rFonts w:ascii="Arial" w:hAnsi="Arial" w:cs="Arial"/>
          <w:sz w:val="24"/>
          <w:szCs w:val="24"/>
        </w:rPr>
        <w:t>7</w:t>
      </w:r>
      <w:r w:rsidR="0052428E">
        <w:rPr>
          <w:rFonts w:ascii="Arial" w:hAnsi="Arial" w:cs="Arial"/>
          <w:sz w:val="24"/>
          <w:szCs w:val="24"/>
        </w:rPr>
        <w:t>) years</w:t>
      </w:r>
      <w:r w:rsidR="00BB43B2">
        <w:rPr>
          <w:rFonts w:ascii="Arial" w:hAnsi="Arial" w:cs="Arial"/>
          <w:sz w:val="24"/>
          <w:szCs w:val="24"/>
        </w:rPr>
        <w:t>’</w:t>
      </w:r>
      <w:r w:rsidR="0052428E">
        <w:rPr>
          <w:rFonts w:ascii="Arial" w:hAnsi="Arial" w:cs="Arial"/>
          <w:sz w:val="24"/>
          <w:szCs w:val="24"/>
        </w:rPr>
        <w:t xml:space="preserve"> </w:t>
      </w:r>
      <w:r w:rsidR="004A0F49">
        <w:rPr>
          <w:rFonts w:ascii="Arial" w:hAnsi="Arial" w:cs="Arial"/>
          <w:sz w:val="24"/>
          <w:szCs w:val="24"/>
        </w:rPr>
        <w:t>imprisonment</w:t>
      </w:r>
      <w:r w:rsidR="00B32C0C">
        <w:rPr>
          <w:rFonts w:ascii="Arial" w:hAnsi="Arial" w:cs="Arial"/>
          <w:sz w:val="24"/>
          <w:szCs w:val="24"/>
        </w:rPr>
        <w:t>.</w:t>
      </w:r>
      <w:r w:rsidR="0052428E">
        <w:rPr>
          <w:rFonts w:ascii="Arial" w:hAnsi="Arial" w:cs="Arial"/>
          <w:sz w:val="24"/>
          <w:szCs w:val="24"/>
        </w:rPr>
        <w:t xml:space="preserve"> </w:t>
      </w:r>
    </w:p>
    <w:p w14:paraId="5A03A26F" w14:textId="77777777" w:rsidR="006E4540" w:rsidRDefault="006E4540" w:rsidP="004B0892">
      <w:pPr>
        <w:spacing w:after="0" w:line="360" w:lineRule="auto"/>
        <w:jc w:val="both"/>
        <w:rPr>
          <w:rFonts w:ascii="Arial" w:hAnsi="Arial" w:cs="Arial"/>
          <w:sz w:val="24"/>
          <w:szCs w:val="24"/>
        </w:rPr>
      </w:pPr>
    </w:p>
    <w:p w14:paraId="045DDA24" w14:textId="31613739" w:rsidR="00647117" w:rsidRDefault="00E521C3" w:rsidP="004B0892">
      <w:pPr>
        <w:spacing w:after="0" w:line="360" w:lineRule="auto"/>
        <w:jc w:val="both"/>
        <w:rPr>
          <w:rFonts w:ascii="Arial" w:hAnsi="Arial" w:cs="Arial"/>
          <w:sz w:val="24"/>
          <w:szCs w:val="24"/>
        </w:rPr>
      </w:pPr>
      <w:r>
        <w:rPr>
          <w:rFonts w:ascii="Arial" w:hAnsi="Arial" w:cs="Arial"/>
          <w:sz w:val="24"/>
          <w:szCs w:val="24"/>
        </w:rPr>
        <w:t xml:space="preserve"> </w:t>
      </w:r>
      <w:r w:rsidR="00F0149D">
        <w:rPr>
          <w:rFonts w:ascii="Arial" w:hAnsi="Arial" w:cs="Arial"/>
          <w:sz w:val="24"/>
          <w:szCs w:val="24"/>
        </w:rPr>
        <w:t>[</w:t>
      </w:r>
      <w:r w:rsidR="0052428E">
        <w:rPr>
          <w:rFonts w:ascii="Arial" w:hAnsi="Arial" w:cs="Arial"/>
          <w:sz w:val="24"/>
          <w:szCs w:val="24"/>
        </w:rPr>
        <w:t>2</w:t>
      </w:r>
      <w:r w:rsidR="00F0149D" w:rsidRPr="006E026B">
        <w:rPr>
          <w:rFonts w:ascii="Arial" w:hAnsi="Arial" w:cs="Arial"/>
          <w:sz w:val="24"/>
          <w:szCs w:val="24"/>
        </w:rPr>
        <w:t>]</w:t>
      </w:r>
      <w:r w:rsidR="00FB6E2C">
        <w:rPr>
          <w:rFonts w:ascii="Arial" w:hAnsi="Arial" w:cs="Arial"/>
          <w:sz w:val="24"/>
          <w:szCs w:val="24"/>
        </w:rPr>
        <w:t xml:space="preserve"> </w:t>
      </w:r>
      <w:r w:rsidR="00B25B3D">
        <w:rPr>
          <w:rFonts w:ascii="Arial" w:hAnsi="Arial" w:cs="Arial"/>
          <w:sz w:val="24"/>
          <w:szCs w:val="24"/>
        </w:rPr>
        <w:tab/>
      </w:r>
      <w:r w:rsidR="004A0F49">
        <w:rPr>
          <w:rFonts w:ascii="Arial" w:hAnsi="Arial" w:cs="Arial"/>
          <w:sz w:val="24"/>
          <w:szCs w:val="24"/>
        </w:rPr>
        <w:t>The appellant appealed against</w:t>
      </w:r>
      <w:r w:rsidR="00A4739F">
        <w:rPr>
          <w:rFonts w:ascii="Arial" w:hAnsi="Arial" w:cs="Arial"/>
          <w:sz w:val="24"/>
          <w:szCs w:val="24"/>
        </w:rPr>
        <w:t xml:space="preserve"> both</w:t>
      </w:r>
      <w:r w:rsidR="004A0F49">
        <w:rPr>
          <w:rFonts w:ascii="Arial" w:hAnsi="Arial" w:cs="Arial"/>
          <w:sz w:val="24"/>
          <w:szCs w:val="24"/>
        </w:rPr>
        <w:t xml:space="preserve"> conviction</w:t>
      </w:r>
      <w:r w:rsidR="00A4739F">
        <w:rPr>
          <w:rFonts w:ascii="Arial" w:hAnsi="Arial" w:cs="Arial"/>
          <w:sz w:val="24"/>
          <w:szCs w:val="24"/>
        </w:rPr>
        <w:t xml:space="preserve"> and sentence</w:t>
      </w:r>
      <w:r w:rsidR="005A6306">
        <w:rPr>
          <w:rFonts w:ascii="Arial" w:hAnsi="Arial" w:cs="Arial"/>
          <w:sz w:val="24"/>
          <w:szCs w:val="24"/>
        </w:rPr>
        <w:t>.</w:t>
      </w:r>
      <w:r w:rsidR="004A0F49">
        <w:rPr>
          <w:rFonts w:ascii="Arial" w:hAnsi="Arial" w:cs="Arial"/>
          <w:sz w:val="24"/>
          <w:szCs w:val="24"/>
        </w:rPr>
        <w:t xml:space="preserve"> </w:t>
      </w:r>
      <w:r w:rsidR="00B32C0C">
        <w:rPr>
          <w:rFonts w:ascii="Arial" w:hAnsi="Arial" w:cs="Arial"/>
          <w:sz w:val="24"/>
          <w:szCs w:val="24"/>
        </w:rPr>
        <w:t>Sh</w:t>
      </w:r>
      <w:r w:rsidR="004A0F49">
        <w:rPr>
          <w:rFonts w:ascii="Arial" w:hAnsi="Arial" w:cs="Arial"/>
          <w:sz w:val="24"/>
          <w:szCs w:val="24"/>
        </w:rPr>
        <w:t>e was</w:t>
      </w:r>
      <w:r w:rsidR="0052428E">
        <w:rPr>
          <w:rFonts w:ascii="Arial" w:hAnsi="Arial" w:cs="Arial"/>
          <w:sz w:val="24"/>
          <w:szCs w:val="24"/>
        </w:rPr>
        <w:t xml:space="preserve"> </w:t>
      </w:r>
      <w:r w:rsidR="004A0F49">
        <w:rPr>
          <w:rFonts w:ascii="Arial" w:hAnsi="Arial" w:cs="Arial"/>
          <w:sz w:val="24"/>
          <w:szCs w:val="24"/>
        </w:rPr>
        <w:t xml:space="preserve">represented by </w:t>
      </w:r>
      <w:r w:rsidR="004B0892">
        <w:rPr>
          <w:rFonts w:ascii="Arial" w:hAnsi="Arial" w:cs="Arial"/>
          <w:sz w:val="24"/>
          <w:szCs w:val="24"/>
        </w:rPr>
        <w:t>Mr.</w:t>
      </w:r>
      <w:r w:rsidR="004A0F49">
        <w:rPr>
          <w:rFonts w:ascii="Arial" w:hAnsi="Arial" w:cs="Arial"/>
          <w:sz w:val="24"/>
          <w:szCs w:val="24"/>
        </w:rPr>
        <w:t xml:space="preserve"> </w:t>
      </w:r>
      <w:r w:rsidR="00B32C0C">
        <w:rPr>
          <w:rFonts w:ascii="Arial" w:hAnsi="Arial" w:cs="Arial"/>
          <w:sz w:val="24"/>
          <w:szCs w:val="24"/>
        </w:rPr>
        <w:t xml:space="preserve">Tjombe </w:t>
      </w:r>
      <w:r w:rsidR="004A0F49">
        <w:rPr>
          <w:rFonts w:ascii="Arial" w:hAnsi="Arial" w:cs="Arial"/>
          <w:sz w:val="24"/>
          <w:szCs w:val="24"/>
        </w:rPr>
        <w:t xml:space="preserve">and </w:t>
      </w:r>
      <w:r w:rsidR="004B0892">
        <w:rPr>
          <w:rFonts w:ascii="Arial" w:hAnsi="Arial" w:cs="Arial"/>
          <w:sz w:val="24"/>
          <w:szCs w:val="24"/>
        </w:rPr>
        <w:t>Mr.</w:t>
      </w:r>
      <w:r w:rsidR="00B32C0C">
        <w:rPr>
          <w:rFonts w:ascii="Arial" w:hAnsi="Arial" w:cs="Arial"/>
          <w:sz w:val="24"/>
          <w:szCs w:val="24"/>
        </w:rPr>
        <w:t xml:space="preserve"> Olivier</w:t>
      </w:r>
      <w:r w:rsidR="004A0F49">
        <w:rPr>
          <w:rFonts w:ascii="Arial" w:hAnsi="Arial" w:cs="Arial"/>
          <w:sz w:val="24"/>
          <w:szCs w:val="24"/>
        </w:rPr>
        <w:t xml:space="preserve"> appeared on behalf of the respondent</w:t>
      </w:r>
      <w:r w:rsidR="00A4739F">
        <w:rPr>
          <w:rFonts w:ascii="Arial" w:hAnsi="Arial" w:cs="Arial"/>
          <w:sz w:val="24"/>
          <w:szCs w:val="24"/>
        </w:rPr>
        <w:t>.</w:t>
      </w:r>
      <w:r w:rsidR="0052428E">
        <w:rPr>
          <w:rFonts w:ascii="Arial" w:hAnsi="Arial" w:cs="Arial"/>
          <w:sz w:val="24"/>
          <w:szCs w:val="24"/>
        </w:rPr>
        <w:t xml:space="preserve"> </w:t>
      </w:r>
    </w:p>
    <w:p w14:paraId="38A2E295" w14:textId="77777777" w:rsidR="00BF04E6" w:rsidRDefault="00BF04E6" w:rsidP="004B0892">
      <w:pPr>
        <w:spacing w:after="0" w:line="360" w:lineRule="auto"/>
        <w:jc w:val="both"/>
        <w:rPr>
          <w:rFonts w:ascii="Arial" w:hAnsi="Arial" w:cs="Arial"/>
          <w:sz w:val="24"/>
          <w:szCs w:val="24"/>
        </w:rPr>
      </w:pPr>
    </w:p>
    <w:p w14:paraId="5BDB3CF4" w14:textId="77777777" w:rsidR="00BF04E6" w:rsidRDefault="00BF04E6" w:rsidP="004B0892">
      <w:pPr>
        <w:spacing w:after="0" w:line="360" w:lineRule="auto"/>
        <w:jc w:val="both"/>
        <w:rPr>
          <w:rFonts w:ascii="Arial" w:hAnsi="Arial" w:cs="Arial"/>
          <w:sz w:val="24"/>
          <w:szCs w:val="24"/>
        </w:rPr>
      </w:pPr>
    </w:p>
    <w:p w14:paraId="04BE39C8" w14:textId="77777777" w:rsidR="00BF04E6" w:rsidRDefault="00BF04E6" w:rsidP="004B0892">
      <w:pPr>
        <w:spacing w:after="0" w:line="360" w:lineRule="auto"/>
        <w:jc w:val="both"/>
        <w:rPr>
          <w:rFonts w:ascii="Arial" w:hAnsi="Arial" w:cs="Arial"/>
          <w:sz w:val="24"/>
          <w:szCs w:val="24"/>
        </w:rPr>
      </w:pPr>
    </w:p>
    <w:p w14:paraId="79904984" w14:textId="77777777" w:rsidR="004B0892" w:rsidRDefault="004B0892" w:rsidP="004B0892">
      <w:pPr>
        <w:spacing w:after="0" w:line="360" w:lineRule="auto"/>
        <w:jc w:val="both"/>
        <w:rPr>
          <w:rFonts w:ascii="Arial" w:hAnsi="Arial" w:cs="Arial"/>
          <w:sz w:val="24"/>
          <w:szCs w:val="24"/>
        </w:rPr>
      </w:pPr>
    </w:p>
    <w:p w14:paraId="09AD0AC0" w14:textId="4E8228B6" w:rsidR="0052428E" w:rsidRDefault="0052428E" w:rsidP="004B0892">
      <w:pPr>
        <w:spacing w:after="0" w:line="360" w:lineRule="auto"/>
        <w:jc w:val="both"/>
        <w:rPr>
          <w:rFonts w:ascii="Arial" w:hAnsi="Arial" w:cs="Arial"/>
          <w:sz w:val="24"/>
          <w:szCs w:val="24"/>
        </w:rPr>
      </w:pPr>
    </w:p>
    <w:p w14:paraId="7FFEB966" w14:textId="6006FB36" w:rsidR="00B32C0C" w:rsidRDefault="0052428E" w:rsidP="004B0892">
      <w:pPr>
        <w:spacing w:after="0" w:line="360" w:lineRule="auto"/>
        <w:jc w:val="both"/>
        <w:rPr>
          <w:rFonts w:ascii="Arial" w:hAnsi="Arial" w:cs="Arial"/>
          <w:sz w:val="24"/>
          <w:szCs w:val="24"/>
          <w:lang w:val="en-ZA"/>
        </w:rPr>
      </w:pPr>
      <w:r>
        <w:rPr>
          <w:rFonts w:ascii="Arial" w:hAnsi="Arial" w:cs="Arial"/>
          <w:sz w:val="24"/>
          <w:szCs w:val="24"/>
        </w:rPr>
        <w:t>[3]</w:t>
      </w:r>
      <w:r w:rsidR="00555B4D">
        <w:rPr>
          <w:rFonts w:ascii="Arial" w:hAnsi="Arial" w:cs="Arial"/>
          <w:sz w:val="24"/>
          <w:szCs w:val="24"/>
          <w:lang w:val="en-ZA"/>
        </w:rPr>
        <w:tab/>
      </w:r>
      <w:r w:rsidR="00C82317" w:rsidRPr="00C82317">
        <w:rPr>
          <w:rFonts w:ascii="Arial" w:hAnsi="Arial" w:cs="Arial"/>
          <w:sz w:val="24"/>
          <w:szCs w:val="24"/>
          <w:lang w:val="en-ZA"/>
        </w:rPr>
        <w:t>In the Notice of Appeal</w:t>
      </w:r>
      <w:r w:rsidR="00F87112">
        <w:rPr>
          <w:rFonts w:ascii="Arial" w:hAnsi="Arial" w:cs="Arial"/>
          <w:sz w:val="24"/>
          <w:szCs w:val="24"/>
          <w:lang w:val="en-ZA"/>
        </w:rPr>
        <w:t>,</w:t>
      </w:r>
      <w:r w:rsidR="00555B4D">
        <w:rPr>
          <w:rFonts w:ascii="Arial" w:hAnsi="Arial" w:cs="Arial"/>
          <w:sz w:val="24"/>
          <w:szCs w:val="24"/>
          <w:lang w:val="en-ZA"/>
        </w:rPr>
        <w:t xml:space="preserve"> the</w:t>
      </w:r>
      <w:r w:rsidR="00C82317" w:rsidRPr="00C82317">
        <w:rPr>
          <w:rFonts w:ascii="Arial" w:hAnsi="Arial" w:cs="Arial"/>
          <w:sz w:val="24"/>
          <w:szCs w:val="24"/>
          <w:lang w:val="en-ZA"/>
        </w:rPr>
        <w:t xml:space="preserve"> appellant </w:t>
      </w:r>
      <w:r w:rsidR="00555B4D" w:rsidRPr="00C82317">
        <w:rPr>
          <w:rFonts w:ascii="Arial" w:hAnsi="Arial" w:cs="Arial"/>
          <w:sz w:val="24"/>
          <w:szCs w:val="24"/>
          <w:lang w:val="en-ZA"/>
        </w:rPr>
        <w:t xml:space="preserve">enumerated </w:t>
      </w:r>
      <w:r w:rsidR="00B32C0C">
        <w:rPr>
          <w:rFonts w:ascii="Arial" w:hAnsi="Arial" w:cs="Arial"/>
          <w:sz w:val="24"/>
          <w:szCs w:val="24"/>
          <w:lang w:val="en-ZA"/>
        </w:rPr>
        <w:t>six main</w:t>
      </w:r>
      <w:r w:rsidR="00647117">
        <w:rPr>
          <w:rFonts w:ascii="Arial" w:hAnsi="Arial" w:cs="Arial"/>
          <w:sz w:val="24"/>
          <w:szCs w:val="24"/>
          <w:lang w:val="en-ZA"/>
        </w:rPr>
        <w:t xml:space="preserve"> </w:t>
      </w:r>
      <w:r w:rsidR="00555B4D" w:rsidRPr="00C82317">
        <w:rPr>
          <w:rFonts w:ascii="Arial" w:hAnsi="Arial" w:cs="Arial"/>
          <w:sz w:val="24"/>
          <w:szCs w:val="24"/>
          <w:lang w:val="en-ZA"/>
        </w:rPr>
        <w:t>grounds</w:t>
      </w:r>
      <w:r w:rsidR="00C82317" w:rsidRPr="00C82317">
        <w:rPr>
          <w:rFonts w:ascii="Arial" w:hAnsi="Arial" w:cs="Arial"/>
          <w:sz w:val="24"/>
          <w:szCs w:val="24"/>
          <w:lang w:val="en-ZA"/>
        </w:rPr>
        <w:t xml:space="preserve"> on which the appeal</w:t>
      </w:r>
      <w:r w:rsidR="00B32C0C">
        <w:rPr>
          <w:rFonts w:ascii="Arial" w:hAnsi="Arial" w:cs="Arial"/>
          <w:sz w:val="24"/>
          <w:szCs w:val="24"/>
          <w:lang w:val="en-ZA"/>
        </w:rPr>
        <w:t xml:space="preserve"> against conviction</w:t>
      </w:r>
      <w:r w:rsidR="00C82317" w:rsidRPr="00C82317">
        <w:rPr>
          <w:rFonts w:ascii="Arial" w:hAnsi="Arial" w:cs="Arial"/>
          <w:sz w:val="24"/>
          <w:szCs w:val="24"/>
          <w:lang w:val="en-ZA"/>
        </w:rPr>
        <w:t xml:space="preserve"> is founded</w:t>
      </w:r>
      <w:r w:rsidR="00B32C0C">
        <w:rPr>
          <w:rFonts w:ascii="Arial" w:hAnsi="Arial" w:cs="Arial"/>
          <w:sz w:val="24"/>
          <w:szCs w:val="24"/>
          <w:lang w:val="en-ZA"/>
        </w:rPr>
        <w:t xml:space="preserve"> and one ground of appeal against sentence</w:t>
      </w:r>
      <w:r w:rsidR="00C82317" w:rsidRPr="00C82317">
        <w:rPr>
          <w:rFonts w:ascii="Arial" w:hAnsi="Arial" w:cs="Arial"/>
          <w:sz w:val="24"/>
          <w:szCs w:val="24"/>
          <w:lang w:val="en-ZA"/>
        </w:rPr>
        <w:t>. These grounds</w:t>
      </w:r>
      <w:r w:rsidR="00B32C0C">
        <w:rPr>
          <w:rFonts w:ascii="Arial" w:hAnsi="Arial" w:cs="Arial"/>
          <w:sz w:val="24"/>
          <w:szCs w:val="24"/>
          <w:lang w:val="en-ZA"/>
        </w:rPr>
        <w:t xml:space="preserve"> generally relate to three main issues namely;</w:t>
      </w:r>
    </w:p>
    <w:p w14:paraId="06E033A4" w14:textId="77777777" w:rsidR="00F87112" w:rsidRDefault="00F87112" w:rsidP="004B0892">
      <w:pPr>
        <w:spacing w:after="0" w:line="360" w:lineRule="auto"/>
        <w:jc w:val="both"/>
        <w:rPr>
          <w:rFonts w:ascii="Arial" w:hAnsi="Arial" w:cs="Arial"/>
          <w:sz w:val="24"/>
          <w:szCs w:val="24"/>
          <w:lang w:val="en-ZA"/>
        </w:rPr>
      </w:pPr>
    </w:p>
    <w:p w14:paraId="7F7C1429" w14:textId="632E9169" w:rsidR="00B32C0C" w:rsidRDefault="00B32C0C" w:rsidP="004B0892">
      <w:pPr>
        <w:spacing w:after="0" w:line="360" w:lineRule="auto"/>
        <w:ind w:firstLine="720"/>
        <w:jc w:val="both"/>
        <w:rPr>
          <w:rFonts w:ascii="Arial" w:hAnsi="Arial" w:cs="Arial"/>
          <w:sz w:val="24"/>
          <w:szCs w:val="24"/>
          <w:lang w:val="en-ZA"/>
        </w:rPr>
      </w:pPr>
      <w:r>
        <w:rPr>
          <w:rFonts w:ascii="Arial" w:hAnsi="Arial" w:cs="Arial"/>
          <w:sz w:val="24"/>
          <w:szCs w:val="24"/>
          <w:lang w:val="en-ZA"/>
        </w:rPr>
        <w:t>i.</w:t>
      </w:r>
      <w:r>
        <w:rPr>
          <w:rFonts w:ascii="Arial" w:hAnsi="Arial" w:cs="Arial"/>
          <w:sz w:val="24"/>
          <w:szCs w:val="24"/>
          <w:lang w:val="en-ZA"/>
        </w:rPr>
        <w:tab/>
        <w:t>the court a quo erred in its assessment of the evidence and thus drew negative inferences against the appellant,</w:t>
      </w:r>
    </w:p>
    <w:p w14:paraId="0C8D45E9" w14:textId="77777777" w:rsidR="00B32C0C" w:rsidRDefault="00B32C0C" w:rsidP="004B0892">
      <w:pPr>
        <w:spacing w:after="0" w:line="360" w:lineRule="auto"/>
        <w:ind w:firstLine="720"/>
        <w:jc w:val="both"/>
        <w:rPr>
          <w:rFonts w:ascii="Arial" w:hAnsi="Arial" w:cs="Arial"/>
          <w:sz w:val="24"/>
          <w:szCs w:val="24"/>
          <w:lang w:val="en-ZA"/>
        </w:rPr>
      </w:pPr>
    </w:p>
    <w:p w14:paraId="7798A26D" w14:textId="3011EB92" w:rsidR="00B32C0C" w:rsidRDefault="00B32C0C" w:rsidP="004B0892">
      <w:pPr>
        <w:spacing w:after="0" w:line="360" w:lineRule="auto"/>
        <w:ind w:firstLine="720"/>
        <w:jc w:val="both"/>
        <w:rPr>
          <w:rFonts w:ascii="Arial" w:hAnsi="Arial" w:cs="Arial"/>
          <w:sz w:val="24"/>
          <w:szCs w:val="24"/>
          <w:lang w:val="en-ZA"/>
        </w:rPr>
      </w:pPr>
      <w:r>
        <w:rPr>
          <w:rFonts w:ascii="Arial" w:hAnsi="Arial" w:cs="Arial"/>
          <w:sz w:val="24"/>
          <w:szCs w:val="24"/>
          <w:lang w:val="en-ZA"/>
        </w:rPr>
        <w:t>ii.</w:t>
      </w:r>
      <w:r>
        <w:rPr>
          <w:rFonts w:ascii="Arial" w:hAnsi="Arial" w:cs="Arial"/>
          <w:sz w:val="24"/>
          <w:szCs w:val="24"/>
          <w:lang w:val="en-ZA"/>
        </w:rPr>
        <w:tab/>
        <w:t>the court a quo erred in accepting that the appell</w:t>
      </w:r>
      <w:r w:rsidR="00135E7E">
        <w:rPr>
          <w:rFonts w:ascii="Arial" w:hAnsi="Arial" w:cs="Arial"/>
          <w:sz w:val="24"/>
          <w:szCs w:val="24"/>
          <w:lang w:val="en-ZA"/>
        </w:rPr>
        <w:t xml:space="preserve">ant was the author of exhibit C </w:t>
      </w:r>
      <w:r w:rsidR="00866C28">
        <w:rPr>
          <w:rFonts w:ascii="Arial" w:hAnsi="Arial" w:cs="Arial"/>
          <w:sz w:val="24"/>
          <w:szCs w:val="24"/>
          <w:lang w:val="en-ZA"/>
        </w:rPr>
        <w:t>(a</w:t>
      </w:r>
      <w:r w:rsidR="00135E7E">
        <w:rPr>
          <w:rFonts w:ascii="Arial" w:hAnsi="Arial" w:cs="Arial"/>
          <w:sz w:val="24"/>
          <w:szCs w:val="24"/>
          <w:lang w:val="en-ZA"/>
        </w:rPr>
        <w:t xml:space="preserve"> note found in the deceased’s house),</w:t>
      </w:r>
    </w:p>
    <w:p w14:paraId="106DD541" w14:textId="77777777" w:rsidR="00866C28" w:rsidRDefault="00866C28" w:rsidP="004B0892">
      <w:pPr>
        <w:spacing w:after="0" w:line="360" w:lineRule="auto"/>
        <w:ind w:firstLine="720"/>
        <w:jc w:val="both"/>
        <w:rPr>
          <w:rFonts w:ascii="Arial" w:hAnsi="Arial" w:cs="Arial"/>
          <w:sz w:val="24"/>
          <w:szCs w:val="24"/>
          <w:lang w:val="en-ZA"/>
        </w:rPr>
      </w:pPr>
    </w:p>
    <w:p w14:paraId="3DA31E82" w14:textId="77777777" w:rsidR="00486348" w:rsidRDefault="00B32C0C" w:rsidP="004B0892">
      <w:pPr>
        <w:spacing w:after="0" w:line="360" w:lineRule="auto"/>
        <w:ind w:firstLine="720"/>
        <w:jc w:val="both"/>
        <w:rPr>
          <w:rFonts w:ascii="Arial" w:hAnsi="Arial" w:cs="Arial"/>
          <w:sz w:val="24"/>
          <w:szCs w:val="24"/>
          <w:lang w:val="en-ZA"/>
        </w:rPr>
      </w:pPr>
      <w:r>
        <w:rPr>
          <w:rFonts w:ascii="Arial" w:hAnsi="Arial" w:cs="Arial"/>
          <w:sz w:val="24"/>
          <w:szCs w:val="24"/>
          <w:lang w:val="en-ZA"/>
        </w:rPr>
        <w:t>iii.</w:t>
      </w:r>
      <w:r>
        <w:rPr>
          <w:rFonts w:ascii="Arial" w:hAnsi="Arial" w:cs="Arial"/>
          <w:sz w:val="24"/>
          <w:szCs w:val="24"/>
          <w:lang w:val="en-ZA"/>
        </w:rPr>
        <w:tab/>
      </w:r>
      <w:r w:rsidR="00486348">
        <w:rPr>
          <w:rFonts w:ascii="Arial" w:hAnsi="Arial" w:cs="Arial"/>
          <w:sz w:val="24"/>
          <w:szCs w:val="24"/>
          <w:lang w:val="en-ZA"/>
        </w:rPr>
        <w:t>the learned magistrate erred in applying the requisite test for proof beyond a reasonable doubt in criminal proceedings and in not finding that the State had failed to disprove the defence of self-defence.</w:t>
      </w:r>
    </w:p>
    <w:p w14:paraId="352D74CC" w14:textId="77777777" w:rsidR="00135E7E" w:rsidRDefault="00135E7E" w:rsidP="004B0892">
      <w:pPr>
        <w:spacing w:after="0" w:line="360" w:lineRule="auto"/>
        <w:ind w:firstLine="720"/>
        <w:jc w:val="both"/>
        <w:rPr>
          <w:rFonts w:ascii="Arial" w:hAnsi="Arial" w:cs="Arial"/>
          <w:sz w:val="24"/>
          <w:szCs w:val="24"/>
          <w:lang w:val="en-ZA"/>
        </w:rPr>
      </w:pPr>
    </w:p>
    <w:p w14:paraId="2BE68AC8" w14:textId="4666D7DF" w:rsidR="00135E7E" w:rsidRPr="00135E7E" w:rsidRDefault="00135E7E" w:rsidP="00135E7E">
      <w:pPr>
        <w:spacing w:after="0" w:line="360" w:lineRule="auto"/>
        <w:jc w:val="both"/>
        <w:rPr>
          <w:rFonts w:ascii="Arial" w:hAnsi="Arial" w:cs="Arial"/>
          <w:sz w:val="24"/>
          <w:szCs w:val="24"/>
          <w:u w:val="single"/>
          <w:lang w:val="en-ZA"/>
        </w:rPr>
      </w:pPr>
      <w:r w:rsidRPr="00135E7E">
        <w:rPr>
          <w:rFonts w:ascii="Arial" w:hAnsi="Arial" w:cs="Arial"/>
          <w:sz w:val="24"/>
          <w:szCs w:val="24"/>
          <w:u w:val="single"/>
          <w:lang w:val="en-ZA"/>
        </w:rPr>
        <w:t>Conviction</w:t>
      </w:r>
    </w:p>
    <w:p w14:paraId="6F690673" w14:textId="77777777" w:rsidR="00486348" w:rsidRDefault="00486348" w:rsidP="004B0892">
      <w:pPr>
        <w:spacing w:after="0" w:line="360" w:lineRule="auto"/>
        <w:jc w:val="both"/>
        <w:rPr>
          <w:rFonts w:ascii="Arial" w:hAnsi="Arial" w:cs="Arial"/>
          <w:sz w:val="24"/>
          <w:szCs w:val="24"/>
          <w:lang w:val="en-ZA"/>
        </w:rPr>
      </w:pPr>
    </w:p>
    <w:p w14:paraId="0D3CF651" w14:textId="34734744" w:rsidR="00C82317" w:rsidRPr="00486348" w:rsidRDefault="00486348" w:rsidP="004B0892">
      <w:pPr>
        <w:spacing w:after="0" w:line="360" w:lineRule="auto"/>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r>
      <w:r w:rsidRPr="00C82317">
        <w:rPr>
          <w:rFonts w:ascii="Arial" w:hAnsi="Arial" w:cs="Arial"/>
          <w:sz w:val="24"/>
          <w:szCs w:val="24"/>
          <w:lang w:val="en-ZA"/>
        </w:rPr>
        <w:t xml:space="preserve"> </w:t>
      </w:r>
      <w:r>
        <w:rPr>
          <w:rFonts w:ascii="Arial" w:hAnsi="Arial" w:cs="Arial"/>
          <w:sz w:val="24"/>
          <w:szCs w:val="24"/>
          <w:lang w:val="en-ZA"/>
        </w:rPr>
        <w:t>The</w:t>
      </w:r>
      <w:r w:rsidR="00555B4D">
        <w:rPr>
          <w:rFonts w:ascii="Arial" w:hAnsi="Arial" w:cs="Arial"/>
          <w:sz w:val="24"/>
          <w:szCs w:val="24"/>
          <w:lang w:val="en-ZA"/>
        </w:rPr>
        <w:t xml:space="preserve"> grounds of appeal</w:t>
      </w:r>
      <w:r w:rsidR="00647117">
        <w:rPr>
          <w:rFonts w:ascii="Arial" w:hAnsi="Arial" w:cs="Arial"/>
          <w:sz w:val="24"/>
          <w:szCs w:val="24"/>
          <w:lang w:val="en-ZA"/>
        </w:rPr>
        <w:t xml:space="preserve"> primarily</w:t>
      </w:r>
      <w:r w:rsidR="00555B4D">
        <w:rPr>
          <w:rFonts w:ascii="Arial" w:hAnsi="Arial" w:cs="Arial"/>
          <w:sz w:val="24"/>
          <w:szCs w:val="24"/>
          <w:lang w:val="en-ZA"/>
        </w:rPr>
        <w:t xml:space="preserve"> focus on the t</w:t>
      </w:r>
      <w:r w:rsidR="00680E32">
        <w:rPr>
          <w:rFonts w:ascii="Arial" w:hAnsi="Arial" w:cs="Arial"/>
          <w:sz w:val="24"/>
          <w:szCs w:val="24"/>
          <w:lang w:val="en-ZA"/>
        </w:rPr>
        <w:t>ria</w:t>
      </w:r>
      <w:r w:rsidR="00555B4D">
        <w:rPr>
          <w:rFonts w:ascii="Arial" w:hAnsi="Arial" w:cs="Arial"/>
          <w:sz w:val="24"/>
          <w:szCs w:val="24"/>
          <w:lang w:val="en-ZA"/>
        </w:rPr>
        <w:t>l court</w:t>
      </w:r>
      <w:r w:rsidR="00680E32">
        <w:rPr>
          <w:rFonts w:ascii="Arial" w:hAnsi="Arial" w:cs="Arial"/>
          <w:sz w:val="24"/>
          <w:szCs w:val="24"/>
          <w:lang w:val="en-ZA"/>
        </w:rPr>
        <w:t>’</w:t>
      </w:r>
      <w:r w:rsidR="00555B4D">
        <w:rPr>
          <w:rFonts w:ascii="Arial" w:hAnsi="Arial" w:cs="Arial"/>
          <w:sz w:val="24"/>
          <w:szCs w:val="24"/>
          <w:lang w:val="en-ZA"/>
        </w:rPr>
        <w:t>s evaluation of the evidence presented by the State.</w:t>
      </w:r>
      <w:r w:rsidR="00680E32">
        <w:rPr>
          <w:rFonts w:ascii="Arial" w:hAnsi="Arial" w:cs="Arial"/>
          <w:sz w:val="24"/>
          <w:szCs w:val="24"/>
          <w:lang w:val="en-ZA"/>
        </w:rPr>
        <w:t xml:space="preserve"> The approach to adjudicating on an appeal focusing on the trial court’s evaluation</w:t>
      </w:r>
      <w:r>
        <w:rPr>
          <w:rFonts w:ascii="Arial" w:hAnsi="Arial" w:cs="Arial"/>
          <w:sz w:val="24"/>
          <w:szCs w:val="24"/>
          <w:lang w:val="en-ZA"/>
        </w:rPr>
        <w:t xml:space="preserve"> and assessment of</w:t>
      </w:r>
      <w:r w:rsidR="00680E32">
        <w:rPr>
          <w:rFonts w:ascii="Arial" w:hAnsi="Arial" w:cs="Arial"/>
          <w:sz w:val="24"/>
          <w:szCs w:val="24"/>
          <w:lang w:val="en-ZA"/>
        </w:rPr>
        <w:t xml:space="preserve"> evidence has been addressed in </w:t>
      </w:r>
      <w:r w:rsidR="00C82317" w:rsidRPr="006E4540">
        <w:rPr>
          <w:rFonts w:ascii="Arial" w:hAnsi="Arial" w:cs="Arial"/>
          <w:i/>
          <w:sz w:val="24"/>
          <w:szCs w:val="24"/>
          <w:lang w:val="en-ZA"/>
        </w:rPr>
        <w:t>Isaac v S</w:t>
      </w:r>
      <w:r w:rsidR="00680E32" w:rsidRPr="005D36FD">
        <w:rPr>
          <w:rStyle w:val="FootnoteReference"/>
          <w:rFonts w:ascii="Arial" w:hAnsi="Arial" w:cs="Arial"/>
          <w:iCs/>
          <w:sz w:val="24"/>
          <w:szCs w:val="24"/>
          <w:u w:val="single"/>
          <w:lang w:val="en-ZA"/>
        </w:rPr>
        <w:footnoteReference w:id="1"/>
      </w:r>
      <w:r w:rsidR="00680E32">
        <w:rPr>
          <w:rFonts w:ascii="Arial" w:hAnsi="Arial" w:cs="Arial"/>
          <w:i/>
          <w:sz w:val="24"/>
          <w:szCs w:val="24"/>
          <w:lang w:val="en-ZA"/>
        </w:rPr>
        <w:t xml:space="preserve"> </w:t>
      </w:r>
      <w:r w:rsidR="00BF04E6">
        <w:rPr>
          <w:rFonts w:ascii="Arial" w:hAnsi="Arial" w:cs="Arial"/>
          <w:iCs/>
          <w:sz w:val="24"/>
          <w:szCs w:val="24"/>
          <w:lang w:val="en-ZA"/>
        </w:rPr>
        <w:t xml:space="preserve"> where</w:t>
      </w:r>
      <w:r w:rsidR="00680E32">
        <w:rPr>
          <w:rFonts w:ascii="Arial" w:hAnsi="Arial" w:cs="Arial"/>
          <w:iCs/>
          <w:sz w:val="24"/>
          <w:szCs w:val="24"/>
          <w:lang w:val="en-ZA"/>
        </w:rPr>
        <w:t xml:space="preserve"> the court stated as follows:</w:t>
      </w:r>
    </w:p>
    <w:p w14:paraId="733EC594" w14:textId="537779CA" w:rsidR="00331CDB" w:rsidRDefault="00331CDB" w:rsidP="004B0892">
      <w:pPr>
        <w:spacing w:after="0" w:line="360" w:lineRule="auto"/>
        <w:jc w:val="both"/>
        <w:rPr>
          <w:rFonts w:ascii="Arial" w:hAnsi="Arial" w:cs="Arial"/>
          <w:sz w:val="24"/>
          <w:szCs w:val="24"/>
        </w:rPr>
      </w:pPr>
    </w:p>
    <w:p w14:paraId="18D402CB" w14:textId="22264C48" w:rsidR="00C82317" w:rsidRDefault="00680E32" w:rsidP="004B0892">
      <w:pPr>
        <w:spacing w:after="0" w:line="360" w:lineRule="auto"/>
        <w:ind w:left="1440"/>
        <w:jc w:val="both"/>
        <w:rPr>
          <w:rFonts w:ascii="Arial" w:hAnsi="Arial" w:cs="Arial"/>
          <w:lang w:val="en-ZA"/>
        </w:rPr>
      </w:pPr>
      <w:r w:rsidRPr="00680E32">
        <w:rPr>
          <w:rFonts w:ascii="Arial" w:hAnsi="Arial" w:cs="Arial"/>
          <w:lang w:val="en-ZA"/>
        </w:rPr>
        <w:t>“</w:t>
      </w:r>
      <w:r w:rsidR="00C82317" w:rsidRPr="00680E32">
        <w:rPr>
          <w:rFonts w:ascii="Arial" w:hAnsi="Arial" w:cs="Arial"/>
          <w:lang w:val="en-ZA"/>
        </w:rPr>
        <w:t>Whereas a court of appeal does not have the same advantages as the trial court to have observed and heard all the witnesses and being steeped in the atmosphere of the trial, it should be very slow to interfere with the trial court’s evaluation of the evidence. A court of appeal will not reject credibility findings of the trial court in the absence of irregularities or misdirection committed by that court. It is trite that the function of deciding on acceptance or rejection of evidence primarily lies with the trial court.</w:t>
      </w:r>
      <w:r w:rsidR="00C82317" w:rsidRPr="00680E32">
        <w:rPr>
          <w:rFonts w:ascii="Arial" w:hAnsi="Arial" w:cs="Arial"/>
          <w:vertAlign w:val="superscript"/>
          <w:lang w:val="en-ZA"/>
        </w:rPr>
        <w:footnoteReference w:id="2"/>
      </w:r>
      <w:r w:rsidR="00C82317" w:rsidRPr="00680E32">
        <w:rPr>
          <w:rFonts w:ascii="Arial" w:hAnsi="Arial" w:cs="Arial"/>
          <w:b/>
          <w:lang w:val="en-ZA"/>
        </w:rPr>
        <w:t xml:space="preserve"> </w:t>
      </w:r>
      <w:r w:rsidR="00C82317" w:rsidRPr="00680E32">
        <w:rPr>
          <w:rFonts w:ascii="Arial" w:hAnsi="Arial" w:cs="Arial"/>
          <w:lang w:val="en-ZA"/>
        </w:rPr>
        <w:t>And even where there is a misdirection, it must be shown to be material, as not every misdirection will enable the court of appeal to disregard the findings of the trial court.</w:t>
      </w:r>
      <w:r w:rsidRPr="00680E32">
        <w:rPr>
          <w:rFonts w:ascii="Arial" w:hAnsi="Arial" w:cs="Arial"/>
          <w:lang w:val="en-ZA"/>
        </w:rPr>
        <w:t>”</w:t>
      </w:r>
    </w:p>
    <w:p w14:paraId="4767E9D0" w14:textId="00B3AA73" w:rsidR="00680E32" w:rsidRDefault="00680E32" w:rsidP="004B0892">
      <w:pPr>
        <w:spacing w:after="0" w:line="360" w:lineRule="auto"/>
        <w:jc w:val="both"/>
        <w:rPr>
          <w:rFonts w:ascii="Arial" w:hAnsi="Arial" w:cs="Arial"/>
          <w:lang w:val="en-ZA"/>
        </w:rPr>
      </w:pPr>
    </w:p>
    <w:p w14:paraId="0D525410" w14:textId="77777777" w:rsidR="00647117" w:rsidRPr="00647117" w:rsidRDefault="00647117" w:rsidP="004B0892">
      <w:pPr>
        <w:spacing w:after="0" w:line="360" w:lineRule="auto"/>
        <w:jc w:val="both"/>
        <w:rPr>
          <w:rFonts w:ascii="Arial" w:hAnsi="Arial" w:cs="Arial"/>
          <w:sz w:val="24"/>
          <w:szCs w:val="24"/>
          <w:u w:val="single"/>
          <w:lang w:val="en-ZA"/>
        </w:rPr>
      </w:pPr>
    </w:p>
    <w:p w14:paraId="2B915A35" w14:textId="080E3CEC" w:rsidR="002D54D1" w:rsidRDefault="00E22E34" w:rsidP="004B0892">
      <w:pPr>
        <w:spacing w:after="0" w:line="360" w:lineRule="auto"/>
        <w:jc w:val="both"/>
        <w:rPr>
          <w:rFonts w:ascii="Arial" w:hAnsi="Arial" w:cs="Arial"/>
          <w:sz w:val="24"/>
          <w:szCs w:val="24"/>
          <w:lang w:val="en-ZA"/>
        </w:rPr>
      </w:pPr>
      <w:r>
        <w:rPr>
          <w:rFonts w:ascii="Arial" w:hAnsi="Arial" w:cs="Arial"/>
          <w:sz w:val="24"/>
          <w:szCs w:val="24"/>
          <w:lang w:val="en-ZA"/>
        </w:rPr>
        <w:lastRenderedPageBreak/>
        <w:t>[5]</w:t>
      </w:r>
      <w:r w:rsidR="00D66701">
        <w:rPr>
          <w:rFonts w:ascii="Arial" w:hAnsi="Arial" w:cs="Arial"/>
          <w:sz w:val="24"/>
          <w:szCs w:val="24"/>
          <w:lang w:val="en-ZA"/>
        </w:rPr>
        <w:tab/>
      </w:r>
      <w:r w:rsidR="00DE6F33">
        <w:rPr>
          <w:rFonts w:ascii="Arial" w:hAnsi="Arial" w:cs="Arial"/>
          <w:sz w:val="24"/>
          <w:szCs w:val="24"/>
          <w:lang w:val="en-ZA"/>
        </w:rPr>
        <w:t xml:space="preserve">The court in </w:t>
      </w:r>
      <w:r w:rsidR="00DE6F33" w:rsidRPr="000108C6">
        <w:rPr>
          <w:rFonts w:ascii="Arial" w:hAnsi="Arial" w:cs="Arial"/>
          <w:i/>
          <w:iCs/>
          <w:sz w:val="24"/>
          <w:szCs w:val="24"/>
          <w:lang w:val="en-ZA"/>
        </w:rPr>
        <w:t xml:space="preserve">R vs Dhliwayo and </w:t>
      </w:r>
      <w:r w:rsidR="005D36FD" w:rsidRPr="000108C6">
        <w:rPr>
          <w:rFonts w:ascii="Arial" w:hAnsi="Arial" w:cs="Arial"/>
          <w:i/>
          <w:iCs/>
          <w:sz w:val="24"/>
          <w:szCs w:val="24"/>
          <w:lang w:val="en-ZA"/>
        </w:rPr>
        <w:t>A</w:t>
      </w:r>
      <w:r w:rsidR="00DE6F33" w:rsidRPr="000108C6">
        <w:rPr>
          <w:rFonts w:ascii="Arial" w:hAnsi="Arial" w:cs="Arial"/>
          <w:i/>
          <w:iCs/>
          <w:sz w:val="24"/>
          <w:szCs w:val="24"/>
          <w:lang w:val="en-ZA"/>
        </w:rPr>
        <w:t>nother</w:t>
      </w:r>
      <w:r w:rsidR="00DE6F33">
        <w:rPr>
          <w:rStyle w:val="FootnoteReference"/>
          <w:rFonts w:ascii="Arial" w:hAnsi="Arial" w:cs="Arial"/>
          <w:sz w:val="24"/>
          <w:szCs w:val="24"/>
          <w:lang w:val="en-ZA"/>
        </w:rPr>
        <w:footnoteReference w:id="3"/>
      </w:r>
      <w:r w:rsidR="00DE6F33">
        <w:rPr>
          <w:rFonts w:ascii="Arial" w:hAnsi="Arial" w:cs="Arial"/>
          <w:sz w:val="24"/>
          <w:szCs w:val="24"/>
          <w:lang w:val="en-ZA"/>
        </w:rPr>
        <w:t xml:space="preserve"> aptly summarised the approach a court of appeal must adopt when considering a judgment of a lower court, the court stated as follows;</w:t>
      </w:r>
    </w:p>
    <w:p w14:paraId="421D06A5" w14:textId="6E94AE5F" w:rsidR="00DE6F33" w:rsidRDefault="00DE6F33" w:rsidP="004B0892">
      <w:pPr>
        <w:spacing w:after="0" w:line="360" w:lineRule="auto"/>
        <w:jc w:val="both"/>
        <w:rPr>
          <w:rFonts w:ascii="Arial" w:hAnsi="Arial" w:cs="Arial"/>
          <w:sz w:val="24"/>
          <w:szCs w:val="24"/>
          <w:lang w:val="en-ZA"/>
        </w:rPr>
      </w:pPr>
    </w:p>
    <w:p w14:paraId="58F268D3" w14:textId="7B04922C" w:rsidR="00DE6F33" w:rsidRPr="005D36FD" w:rsidRDefault="00DE6F33" w:rsidP="004B0892">
      <w:pPr>
        <w:spacing w:after="0" w:line="360" w:lineRule="auto"/>
        <w:ind w:left="1440"/>
        <w:jc w:val="both"/>
        <w:rPr>
          <w:rFonts w:ascii="Arial" w:hAnsi="Arial" w:cs="Arial"/>
          <w:lang w:val="en-ZA"/>
        </w:rPr>
      </w:pPr>
      <w:r w:rsidRPr="005D36FD">
        <w:rPr>
          <w:rFonts w:ascii="Arial" w:hAnsi="Arial" w:cs="Arial"/>
          <w:lang w:val="en-ZA"/>
        </w:rPr>
        <w:t>“An appellate court should not seek anxiously to discover reasons adverse to the conclusions of the trial judge. No judgment can ever be perfect and all-embracing, and it does not necessarily follow that, because something has not been mentioned, therefore it has not been considered”</w:t>
      </w:r>
    </w:p>
    <w:p w14:paraId="2F1D40D8" w14:textId="104D6128" w:rsidR="00DE6F33" w:rsidRDefault="00DE6F33" w:rsidP="004B0892">
      <w:pPr>
        <w:spacing w:after="0" w:line="360" w:lineRule="auto"/>
        <w:jc w:val="both"/>
        <w:rPr>
          <w:rFonts w:ascii="Arial" w:hAnsi="Arial" w:cs="Arial"/>
          <w:sz w:val="24"/>
          <w:szCs w:val="24"/>
          <w:lang w:val="en-ZA"/>
        </w:rPr>
      </w:pPr>
    </w:p>
    <w:p w14:paraId="74944619" w14:textId="7796FDF6" w:rsidR="00D14863" w:rsidRPr="00D14863" w:rsidRDefault="00DE6F33" w:rsidP="00E43ACF">
      <w:pPr>
        <w:spacing w:line="360" w:lineRule="auto"/>
        <w:jc w:val="both"/>
        <w:rPr>
          <w:rFonts w:ascii="Arial" w:hAnsi="Arial" w:cs="Arial"/>
          <w:sz w:val="24"/>
          <w:szCs w:val="24"/>
          <w:lang w:val="en-GB"/>
        </w:rPr>
      </w:pPr>
      <w:r>
        <w:rPr>
          <w:rFonts w:ascii="Arial" w:hAnsi="Arial" w:cs="Arial"/>
          <w:sz w:val="24"/>
          <w:szCs w:val="24"/>
          <w:lang w:val="en-ZA"/>
        </w:rPr>
        <w:t>[</w:t>
      </w:r>
      <w:r w:rsidR="00E22E34">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1B70B5">
        <w:rPr>
          <w:rFonts w:ascii="Arial" w:hAnsi="Arial" w:cs="Arial"/>
          <w:sz w:val="24"/>
          <w:szCs w:val="24"/>
          <w:lang w:val="en-ZA"/>
        </w:rPr>
        <w:t xml:space="preserve">The approach to determining whether an accused person who causes the death of another is guilty of murder in circumstances where that person is the sole witness to the death </w:t>
      </w:r>
      <w:r w:rsidR="00D14863" w:rsidRPr="00D14863">
        <w:rPr>
          <w:rFonts w:ascii="Arial" w:hAnsi="Arial" w:cs="Arial"/>
          <w:sz w:val="24"/>
          <w:szCs w:val="24"/>
          <w:lang w:val="en-GB"/>
        </w:rPr>
        <w:t xml:space="preserve">is summarised </w:t>
      </w:r>
      <w:r w:rsidR="001B70B5">
        <w:rPr>
          <w:rFonts w:ascii="Arial" w:hAnsi="Arial" w:cs="Arial"/>
          <w:sz w:val="24"/>
          <w:szCs w:val="24"/>
          <w:lang w:val="en-GB"/>
        </w:rPr>
        <w:t xml:space="preserve">in </w:t>
      </w:r>
      <w:r w:rsidR="003830F6">
        <w:rPr>
          <w:rFonts w:ascii="Arial" w:hAnsi="Arial" w:cs="Arial"/>
          <w:sz w:val="24"/>
          <w:szCs w:val="24"/>
          <w:lang w:val="en-GB"/>
        </w:rPr>
        <w:t>the judgment of</w:t>
      </w:r>
      <w:r w:rsidR="00D14863" w:rsidRPr="00D14863">
        <w:rPr>
          <w:rFonts w:ascii="Arial" w:hAnsi="Arial" w:cs="Arial"/>
          <w:sz w:val="24"/>
          <w:szCs w:val="24"/>
          <w:lang w:val="en-GB"/>
        </w:rPr>
        <w:t xml:space="preserve"> </w:t>
      </w:r>
      <w:r w:rsidR="00D14863" w:rsidRPr="00D14863">
        <w:rPr>
          <w:rFonts w:ascii="Arial" w:hAnsi="Arial" w:cs="Arial"/>
          <w:i/>
          <w:sz w:val="24"/>
          <w:szCs w:val="24"/>
          <w:lang w:val="en-GB"/>
        </w:rPr>
        <w:t>S v Steynberg</w:t>
      </w:r>
      <w:r w:rsidR="001B70B5">
        <w:rPr>
          <w:rStyle w:val="FootnoteReference"/>
          <w:rFonts w:ascii="Arial" w:hAnsi="Arial" w:cs="Arial"/>
          <w:i/>
          <w:sz w:val="24"/>
          <w:szCs w:val="24"/>
          <w:lang w:val="en-GB"/>
        </w:rPr>
        <w:footnoteReference w:id="4"/>
      </w:r>
      <w:r w:rsidR="00D14863" w:rsidRPr="00D14863">
        <w:rPr>
          <w:rFonts w:ascii="Arial" w:hAnsi="Arial" w:cs="Arial"/>
          <w:sz w:val="24"/>
          <w:szCs w:val="24"/>
          <w:lang w:val="en-GB"/>
        </w:rPr>
        <w:t xml:space="preserve"> wh</w:t>
      </w:r>
      <w:r w:rsidR="001B70B5">
        <w:rPr>
          <w:rFonts w:ascii="Arial" w:hAnsi="Arial" w:cs="Arial"/>
          <w:sz w:val="24"/>
          <w:szCs w:val="24"/>
          <w:lang w:val="en-GB"/>
        </w:rPr>
        <w:t>ere the court held that;</w:t>
      </w:r>
    </w:p>
    <w:p w14:paraId="77523500" w14:textId="400CA38B" w:rsidR="00D14863" w:rsidRPr="00E22E34" w:rsidRDefault="00D14863" w:rsidP="004B0892">
      <w:pPr>
        <w:spacing w:after="0" w:line="360" w:lineRule="auto"/>
        <w:ind w:left="1440"/>
        <w:jc w:val="both"/>
        <w:rPr>
          <w:rFonts w:ascii="Arial" w:hAnsi="Arial" w:cs="Arial"/>
          <w:lang w:val="en-GB"/>
        </w:rPr>
      </w:pPr>
      <w:r w:rsidRPr="00E22E34">
        <w:rPr>
          <w:rFonts w:ascii="Arial" w:hAnsi="Arial" w:cs="Arial"/>
          <w:lang w:val="en-GB"/>
        </w:rPr>
        <w:t xml:space="preserve">‘When an accused causes somebody’s death by means of an unlawful assault and only the accused is able to explain the circumstances of the fatal assault, but he gives an explanation which is rejected as false, then the Court can make the interference that the accused committed the said assault with the intention to kill rather than with any other less serious form of </w:t>
      </w:r>
      <w:r w:rsidRPr="00E22E34">
        <w:rPr>
          <w:rFonts w:ascii="Arial" w:hAnsi="Arial" w:cs="Arial"/>
          <w:i/>
          <w:lang w:val="en-GB"/>
        </w:rPr>
        <w:t>mens rea</w:t>
      </w:r>
      <w:r w:rsidRPr="00E22E34">
        <w:rPr>
          <w:rFonts w:ascii="Arial" w:hAnsi="Arial" w:cs="Arial"/>
          <w:lang w:val="en-GB"/>
        </w:rPr>
        <w:t xml:space="preserve">.’ </w:t>
      </w:r>
    </w:p>
    <w:p w14:paraId="519A210F" w14:textId="77777777" w:rsidR="001B70B5" w:rsidRPr="00E22E34" w:rsidRDefault="001B70B5" w:rsidP="004B0892">
      <w:pPr>
        <w:spacing w:after="0" w:line="360" w:lineRule="auto"/>
        <w:ind w:left="1440"/>
        <w:jc w:val="both"/>
        <w:rPr>
          <w:rFonts w:ascii="Arial" w:hAnsi="Arial" w:cs="Arial"/>
          <w:lang w:val="en-GB"/>
        </w:rPr>
      </w:pPr>
    </w:p>
    <w:p w14:paraId="70363A4E" w14:textId="3733F62B" w:rsidR="001B70B5" w:rsidRDefault="00E22E34" w:rsidP="004B0892">
      <w:pPr>
        <w:spacing w:line="360" w:lineRule="auto"/>
        <w:jc w:val="both"/>
        <w:rPr>
          <w:rFonts w:ascii="Arial" w:hAnsi="Arial" w:cs="Arial"/>
          <w:sz w:val="24"/>
          <w:szCs w:val="24"/>
          <w:lang w:val="en-GB"/>
        </w:rPr>
      </w:pPr>
      <w:r>
        <w:rPr>
          <w:rFonts w:ascii="Arial" w:hAnsi="Arial" w:cs="Arial"/>
          <w:sz w:val="24"/>
          <w:szCs w:val="24"/>
          <w:lang w:val="en-GB"/>
        </w:rPr>
        <w:t>[7</w:t>
      </w:r>
      <w:r w:rsidR="00D66701">
        <w:rPr>
          <w:rFonts w:ascii="Arial" w:hAnsi="Arial" w:cs="Arial"/>
          <w:sz w:val="24"/>
          <w:szCs w:val="24"/>
          <w:lang w:val="en-GB"/>
        </w:rPr>
        <w:t>]</w:t>
      </w:r>
      <w:r w:rsidR="00D66701">
        <w:rPr>
          <w:rFonts w:ascii="Arial" w:hAnsi="Arial" w:cs="Arial"/>
          <w:sz w:val="24"/>
          <w:szCs w:val="24"/>
          <w:lang w:val="en-GB"/>
        </w:rPr>
        <w:tab/>
      </w:r>
      <w:r w:rsidR="001B70B5">
        <w:rPr>
          <w:rFonts w:ascii="Arial" w:hAnsi="Arial" w:cs="Arial"/>
          <w:sz w:val="24"/>
          <w:szCs w:val="24"/>
          <w:lang w:val="en-GB"/>
        </w:rPr>
        <w:t xml:space="preserve">The Supreme Court in </w:t>
      </w:r>
      <w:r w:rsidR="001B70B5" w:rsidRPr="00866C28">
        <w:rPr>
          <w:rFonts w:ascii="Arial" w:hAnsi="Arial" w:cs="Arial"/>
          <w:i/>
          <w:sz w:val="24"/>
          <w:szCs w:val="24"/>
          <w:lang w:val="en-GB"/>
        </w:rPr>
        <w:t>S v Shaduka</w:t>
      </w:r>
      <w:r w:rsidR="001B70B5">
        <w:rPr>
          <w:rStyle w:val="FootnoteReference"/>
          <w:rFonts w:ascii="Arial" w:hAnsi="Arial" w:cs="Arial"/>
          <w:sz w:val="24"/>
          <w:szCs w:val="24"/>
          <w:lang w:val="en-GB"/>
        </w:rPr>
        <w:footnoteReference w:id="5"/>
      </w:r>
      <w:r w:rsidR="001B70B5">
        <w:rPr>
          <w:rFonts w:ascii="Arial" w:hAnsi="Arial" w:cs="Arial"/>
          <w:sz w:val="24"/>
          <w:szCs w:val="24"/>
          <w:lang w:val="en-GB"/>
        </w:rPr>
        <w:t xml:space="preserve"> when considering the single evidence of an accused considered </w:t>
      </w:r>
      <w:r w:rsidR="001B70B5" w:rsidRPr="001B70B5">
        <w:rPr>
          <w:rFonts w:ascii="Arial" w:hAnsi="Arial" w:cs="Arial"/>
          <w:i/>
          <w:iCs/>
          <w:sz w:val="24"/>
          <w:szCs w:val="24"/>
          <w:lang w:val="en-GB"/>
        </w:rPr>
        <w:t>Steynberg supra</w:t>
      </w:r>
      <w:r w:rsidR="001B70B5">
        <w:rPr>
          <w:rFonts w:ascii="Arial" w:hAnsi="Arial" w:cs="Arial"/>
          <w:sz w:val="24"/>
          <w:szCs w:val="24"/>
          <w:lang w:val="en-GB"/>
        </w:rPr>
        <w:t xml:space="preserve"> when setting o</w:t>
      </w:r>
      <w:r w:rsidR="004B0892">
        <w:rPr>
          <w:rFonts w:ascii="Arial" w:hAnsi="Arial" w:cs="Arial"/>
          <w:sz w:val="24"/>
          <w:szCs w:val="24"/>
          <w:lang w:val="en-GB"/>
        </w:rPr>
        <w:t xml:space="preserve">ut the approach to be </w:t>
      </w:r>
      <w:r w:rsidR="001B70B5">
        <w:rPr>
          <w:rFonts w:ascii="Arial" w:hAnsi="Arial" w:cs="Arial"/>
          <w:sz w:val="24"/>
          <w:szCs w:val="24"/>
          <w:lang w:val="en-GB"/>
        </w:rPr>
        <w:t>adopted where the only evidence available is the evidence of an accused person and the deceased died by means of a gunshot wound, the court held that;</w:t>
      </w:r>
    </w:p>
    <w:p w14:paraId="1253453F" w14:textId="04B7E4F5" w:rsidR="00D14863" w:rsidRPr="00E22E34" w:rsidRDefault="001B70B5" w:rsidP="004B0892">
      <w:pPr>
        <w:spacing w:line="360" w:lineRule="auto"/>
        <w:ind w:left="1440"/>
        <w:jc w:val="both"/>
        <w:rPr>
          <w:rFonts w:ascii="Arial" w:hAnsi="Arial" w:cs="Arial"/>
          <w:lang w:val="en-GB"/>
        </w:rPr>
      </w:pPr>
      <w:r w:rsidRPr="00E22E34">
        <w:rPr>
          <w:rFonts w:ascii="Arial" w:hAnsi="Arial" w:cs="Arial"/>
          <w:lang w:val="en-GB"/>
        </w:rPr>
        <w:t>‘</w:t>
      </w:r>
      <w:r w:rsidR="00D14863" w:rsidRPr="00E22E34">
        <w:rPr>
          <w:rFonts w:ascii="Arial" w:hAnsi="Arial" w:cs="Arial"/>
          <w:lang w:val="en-GB"/>
        </w:rPr>
        <w:t xml:space="preserve">It is in that respect the facts of </w:t>
      </w:r>
      <w:r w:rsidR="00D14863" w:rsidRPr="00E22E34">
        <w:rPr>
          <w:rFonts w:ascii="Arial" w:hAnsi="Arial" w:cs="Arial"/>
          <w:i/>
          <w:lang w:val="en-GB"/>
        </w:rPr>
        <w:t>Mlambo</w:t>
      </w:r>
      <w:r w:rsidR="00D14863" w:rsidRPr="00E22E34">
        <w:rPr>
          <w:rFonts w:ascii="Arial" w:hAnsi="Arial" w:cs="Arial"/>
          <w:lang w:val="en-GB"/>
        </w:rPr>
        <w:t xml:space="preserve"> case are different from this case, where the cause of death is known to be the gunshot wound. This is an appropriate case </w:t>
      </w:r>
      <w:r w:rsidR="00D14863" w:rsidRPr="00E22E34">
        <w:rPr>
          <w:rFonts w:ascii="Arial" w:hAnsi="Arial" w:cs="Arial"/>
          <w:i/>
          <w:lang w:val="en-GB"/>
        </w:rPr>
        <w:t xml:space="preserve">where </w:t>
      </w:r>
      <w:r w:rsidR="00D14863" w:rsidRPr="00E22E34">
        <w:rPr>
          <w:rFonts w:ascii="Arial" w:hAnsi="Arial" w:cs="Arial"/>
          <w:lang w:val="en-GB"/>
        </w:rPr>
        <w:t xml:space="preserve">the </w:t>
      </w:r>
      <w:r w:rsidR="00D14863" w:rsidRPr="00E22E34">
        <w:rPr>
          <w:rFonts w:ascii="Arial" w:hAnsi="Arial" w:cs="Arial"/>
          <w:i/>
          <w:lang w:val="en-GB"/>
        </w:rPr>
        <w:t>Mlambo</w:t>
      </w:r>
      <w:r w:rsidR="00D14863" w:rsidRPr="00E22E34">
        <w:rPr>
          <w:rFonts w:ascii="Arial" w:hAnsi="Arial" w:cs="Arial"/>
          <w:lang w:val="en-GB"/>
        </w:rPr>
        <w:t xml:space="preserve"> </w:t>
      </w:r>
      <w:r w:rsidR="00D14863" w:rsidRPr="00E22E34">
        <w:rPr>
          <w:rFonts w:ascii="Arial" w:hAnsi="Arial" w:cs="Arial"/>
          <w:i/>
          <w:lang w:val="en-GB"/>
        </w:rPr>
        <w:t>dictum</w:t>
      </w:r>
      <w:r w:rsidR="00D14863" w:rsidRPr="00E22E34">
        <w:rPr>
          <w:rFonts w:ascii="Arial" w:hAnsi="Arial" w:cs="Arial"/>
          <w:lang w:val="en-GB"/>
        </w:rPr>
        <w:t xml:space="preserve"> per Malan JA above finds application. In fact, like in the matter of </w:t>
      </w:r>
      <w:r w:rsidR="00D14863" w:rsidRPr="00E22E34">
        <w:rPr>
          <w:rFonts w:ascii="Arial" w:hAnsi="Arial" w:cs="Arial"/>
          <w:i/>
          <w:lang w:val="en-GB"/>
        </w:rPr>
        <w:t>S v Steynberg</w:t>
      </w:r>
      <w:r w:rsidR="00D14863" w:rsidRPr="00E22E34">
        <w:rPr>
          <w:rFonts w:ascii="Arial" w:hAnsi="Arial" w:cs="Arial"/>
          <w:lang w:val="en-GB"/>
        </w:rPr>
        <w:t xml:space="preserve">, 1983 (3) SA 140 (A) this matter too, is an example of the facts and circumstances where the approach of  Malan JA in </w:t>
      </w:r>
      <w:r w:rsidR="00D14863" w:rsidRPr="00E22E34">
        <w:rPr>
          <w:rFonts w:ascii="Arial" w:hAnsi="Arial" w:cs="Arial"/>
          <w:i/>
          <w:lang w:val="en-GB"/>
        </w:rPr>
        <w:t>Mlambo</w:t>
      </w:r>
      <w:r w:rsidR="00D14863" w:rsidRPr="00E22E34">
        <w:rPr>
          <w:rFonts w:ascii="Arial" w:hAnsi="Arial" w:cs="Arial"/>
          <w:lang w:val="en-GB"/>
        </w:rPr>
        <w:t xml:space="preserve">’s case is pertinent: </w:t>
      </w:r>
    </w:p>
    <w:p w14:paraId="1F94415A" w14:textId="77777777" w:rsidR="00D14863" w:rsidRPr="00E22E34" w:rsidRDefault="00D14863" w:rsidP="004B0892">
      <w:pPr>
        <w:spacing w:after="0" w:line="360" w:lineRule="auto"/>
        <w:jc w:val="both"/>
        <w:rPr>
          <w:rFonts w:ascii="Arial" w:hAnsi="Arial" w:cs="Arial"/>
          <w:lang w:val="en-GB"/>
        </w:rPr>
      </w:pPr>
    </w:p>
    <w:p w14:paraId="159BEDC5" w14:textId="1B44B7AF" w:rsidR="00D14863" w:rsidRPr="00E22E34" w:rsidRDefault="00D14863" w:rsidP="004B0892">
      <w:pPr>
        <w:spacing w:after="0" w:line="360" w:lineRule="auto"/>
        <w:ind w:left="1440"/>
        <w:jc w:val="both"/>
        <w:rPr>
          <w:rFonts w:ascii="Arial" w:hAnsi="Arial" w:cs="Arial"/>
          <w:lang w:val="en-GB"/>
        </w:rPr>
      </w:pPr>
      <w:r w:rsidRPr="00E22E34">
        <w:rPr>
          <w:rFonts w:ascii="Arial" w:hAnsi="Arial" w:cs="Arial"/>
          <w:lang w:val="en-GB"/>
        </w:rPr>
        <w:t xml:space="preserve">‘It amounts to this: </w:t>
      </w:r>
      <w:r w:rsidRPr="00E22E34">
        <w:rPr>
          <w:rFonts w:ascii="Arial" w:hAnsi="Arial" w:cs="Arial"/>
          <w:u w:val="single"/>
          <w:lang w:val="en-GB"/>
        </w:rPr>
        <w:t xml:space="preserve">when an accused causes somebody’s death by means of an unlawful assault and only the accused is able to explain the circumstances of the fatal assault, but he gives an explanation which is rejected as false, then </w:t>
      </w:r>
      <w:r w:rsidRPr="00E22E34">
        <w:rPr>
          <w:rFonts w:ascii="Arial" w:hAnsi="Arial" w:cs="Arial"/>
          <w:u w:val="single"/>
          <w:lang w:val="en-GB"/>
        </w:rPr>
        <w:lastRenderedPageBreak/>
        <w:t>the court can make the inference that the accused committed the said assault with intention to kill rather than with any other less serious form of mens rea</w:t>
      </w:r>
      <w:r w:rsidRPr="00E22E34">
        <w:rPr>
          <w:rFonts w:ascii="Arial" w:hAnsi="Arial" w:cs="Arial"/>
          <w:lang w:val="en-GB"/>
        </w:rPr>
        <w:t>. In this manner, an accused’s false account of the circumstances of the assault can result in the accused being found guilty of the more serious crime of murder rather than the lesser</w:t>
      </w:r>
      <w:r w:rsidR="004B0892" w:rsidRPr="00E22E34">
        <w:rPr>
          <w:rFonts w:ascii="Arial" w:hAnsi="Arial" w:cs="Arial"/>
          <w:lang w:val="en-GB"/>
        </w:rPr>
        <w:t xml:space="preserve"> offence of culpable homicide.</w:t>
      </w:r>
      <w:r w:rsidR="004247E0">
        <w:rPr>
          <w:rFonts w:ascii="Arial" w:hAnsi="Arial" w:cs="Arial"/>
          <w:lang w:val="en-GB"/>
        </w:rPr>
        <w:t>’</w:t>
      </w:r>
    </w:p>
    <w:p w14:paraId="19FD4A67" w14:textId="77777777" w:rsidR="00D14863" w:rsidRPr="00E22E34" w:rsidRDefault="00D14863" w:rsidP="004B0892">
      <w:pPr>
        <w:spacing w:after="0" w:line="360" w:lineRule="auto"/>
        <w:jc w:val="both"/>
        <w:rPr>
          <w:rFonts w:ascii="Arial" w:hAnsi="Arial" w:cs="Arial"/>
          <w:lang w:val="en-GB"/>
        </w:rPr>
      </w:pPr>
    </w:p>
    <w:p w14:paraId="251C0EDC" w14:textId="74D1A02C" w:rsidR="00D14863" w:rsidRPr="00D14863" w:rsidRDefault="00D66701" w:rsidP="004B0892">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D14863" w:rsidRPr="00D14863">
        <w:rPr>
          <w:rFonts w:ascii="Arial" w:hAnsi="Arial" w:cs="Arial"/>
          <w:sz w:val="24"/>
          <w:szCs w:val="24"/>
          <w:lang w:val="en-GB"/>
        </w:rPr>
        <w:t>The application of such an approach can often produce satis</w:t>
      </w:r>
      <w:r w:rsidR="00C26FF7">
        <w:rPr>
          <w:rFonts w:ascii="Arial" w:hAnsi="Arial" w:cs="Arial"/>
          <w:sz w:val="24"/>
          <w:szCs w:val="24"/>
          <w:lang w:val="en-GB"/>
        </w:rPr>
        <w:t>factory and correct results. However,</w:t>
      </w:r>
      <w:r w:rsidR="00D14863" w:rsidRPr="00D14863">
        <w:rPr>
          <w:rFonts w:ascii="Arial" w:hAnsi="Arial" w:cs="Arial"/>
          <w:sz w:val="24"/>
          <w:szCs w:val="24"/>
          <w:lang w:val="en-GB"/>
        </w:rPr>
        <w:t xml:space="preserve"> the application thereof obviously does not mean that, when an accused gives a false explanation about a fatal assault he perpetrated on someone about which he alone is able to give evidence, the inference must be made that the accused had the intention to kill the deceased. Malan JA also didn’t put it like that: one must be mindful of the qualifying words “in suitable cases” which appear in the </w:t>
      </w:r>
      <w:r w:rsidR="00D14863" w:rsidRPr="00D14863">
        <w:rPr>
          <w:rFonts w:ascii="Arial" w:hAnsi="Arial" w:cs="Arial"/>
          <w:i/>
          <w:sz w:val="24"/>
          <w:szCs w:val="24"/>
          <w:lang w:val="en-GB"/>
        </w:rPr>
        <w:t xml:space="preserve">Mlambo </w:t>
      </w:r>
      <w:r w:rsidR="00D14863" w:rsidRPr="00D14863">
        <w:rPr>
          <w:rFonts w:ascii="Arial" w:hAnsi="Arial" w:cs="Arial"/>
          <w:sz w:val="24"/>
          <w:szCs w:val="24"/>
          <w:lang w:val="en-GB"/>
        </w:rPr>
        <w:t>case dictum. In the nature of things it is generally impossible to devise an exhaustive formula according to which it can be judged whether or not the said approach can thus be applied. It depends on the special circumstances of each case. The nature and extent of the accused’s lies are of major importance.</w:t>
      </w:r>
    </w:p>
    <w:p w14:paraId="4072E5AA" w14:textId="77777777" w:rsidR="00D14863" w:rsidRPr="00D14863" w:rsidRDefault="00D14863" w:rsidP="004B0892">
      <w:pPr>
        <w:spacing w:after="0" w:line="360" w:lineRule="auto"/>
        <w:jc w:val="both"/>
        <w:rPr>
          <w:rFonts w:ascii="Arial" w:hAnsi="Arial" w:cs="Arial"/>
          <w:sz w:val="24"/>
          <w:szCs w:val="24"/>
          <w:lang w:val="en-GB"/>
        </w:rPr>
      </w:pPr>
    </w:p>
    <w:p w14:paraId="6EF0E70A" w14:textId="4EEEB924" w:rsidR="00D14863" w:rsidRDefault="00D66701" w:rsidP="004B0892">
      <w:pPr>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D14863" w:rsidRPr="00D14863">
        <w:rPr>
          <w:rFonts w:ascii="Arial" w:hAnsi="Arial" w:cs="Arial"/>
          <w:sz w:val="24"/>
          <w:szCs w:val="24"/>
          <w:lang w:val="en-GB"/>
        </w:rPr>
        <w:t xml:space="preserve">In addition, all the other factors which, from the evidence, appear to be relevant to the adjudication of the question whether the inference that the accused had the intention to kill is justified, should be brought to bear; and this adjudication is undertaken with due observance of the established rules of logic in connection with circumstantial evidence as formulated in </w:t>
      </w:r>
      <w:r w:rsidR="00D14863" w:rsidRPr="00D14863">
        <w:rPr>
          <w:rFonts w:ascii="Arial" w:hAnsi="Arial" w:cs="Arial"/>
          <w:i/>
          <w:sz w:val="24"/>
          <w:szCs w:val="24"/>
          <w:lang w:val="en-GB"/>
        </w:rPr>
        <w:t xml:space="preserve">R v Blom </w:t>
      </w:r>
      <w:r w:rsidR="00D14863" w:rsidRPr="00D14863">
        <w:rPr>
          <w:rFonts w:ascii="Arial" w:hAnsi="Arial" w:cs="Arial"/>
          <w:sz w:val="24"/>
          <w:szCs w:val="24"/>
          <w:lang w:val="en-GB"/>
        </w:rPr>
        <w:t>1939 AD 188 at 202-3.</w:t>
      </w:r>
    </w:p>
    <w:p w14:paraId="6C6FC27D" w14:textId="77777777" w:rsidR="004B0892" w:rsidRPr="00D14863" w:rsidRDefault="004B0892" w:rsidP="004B0892">
      <w:pPr>
        <w:spacing w:after="0" w:line="360" w:lineRule="auto"/>
        <w:jc w:val="both"/>
        <w:rPr>
          <w:rFonts w:ascii="Arial" w:hAnsi="Arial" w:cs="Arial"/>
          <w:sz w:val="24"/>
          <w:szCs w:val="24"/>
          <w:lang w:val="en-GB"/>
        </w:rPr>
      </w:pPr>
    </w:p>
    <w:p w14:paraId="13DE4491" w14:textId="2F956A36" w:rsidR="003E2FB3" w:rsidRDefault="00D66701" w:rsidP="004B0892">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D14863" w:rsidRPr="00D14863">
        <w:rPr>
          <w:rFonts w:ascii="Arial" w:hAnsi="Arial" w:cs="Arial"/>
          <w:sz w:val="24"/>
          <w:szCs w:val="24"/>
          <w:lang w:val="en-GB"/>
        </w:rPr>
        <w:t xml:space="preserve">Where the </w:t>
      </w:r>
      <w:r w:rsidR="00D14863" w:rsidRPr="00D14863">
        <w:rPr>
          <w:rFonts w:ascii="Arial" w:hAnsi="Arial" w:cs="Arial"/>
          <w:i/>
          <w:sz w:val="24"/>
          <w:szCs w:val="24"/>
          <w:lang w:val="en-GB"/>
        </w:rPr>
        <w:t xml:space="preserve">Mlambo </w:t>
      </w:r>
      <w:r w:rsidR="00D14863" w:rsidRPr="00D14863">
        <w:rPr>
          <w:rFonts w:ascii="Arial" w:hAnsi="Arial" w:cs="Arial"/>
          <w:sz w:val="24"/>
          <w:szCs w:val="24"/>
          <w:lang w:val="en-GB"/>
        </w:rPr>
        <w:t xml:space="preserve">case dictum is fittingly applied, there is no room for the notion that the conviction serves in retribution for the accused’s false evidence. For the proper adjudication of a trial case, the trial court has to rely on the evidence adduced. In a criminal trial the testimony of the accused himself can be a material and significant component of the entire evidential material; and the acceptance or non-rejection of the accused’s testimony can be decisive in his acquittal or conviction of a lesser crime than the one on which he stands trial. However, when the accused’s testimony is rejected </w:t>
      </w:r>
      <w:r w:rsidR="00866C28">
        <w:rPr>
          <w:rFonts w:ascii="Arial" w:hAnsi="Arial" w:cs="Arial"/>
          <w:sz w:val="24"/>
          <w:szCs w:val="24"/>
          <w:lang w:val="en-GB"/>
        </w:rPr>
        <w:t>as false, the trial court, in its</w:t>
      </w:r>
      <w:r w:rsidR="00D14863" w:rsidRPr="00D14863">
        <w:rPr>
          <w:rFonts w:ascii="Arial" w:hAnsi="Arial" w:cs="Arial"/>
          <w:sz w:val="24"/>
          <w:szCs w:val="24"/>
          <w:lang w:val="en-GB"/>
        </w:rPr>
        <w:t xml:space="preserve"> decision of the matter has to manage without the said aid. </w:t>
      </w:r>
    </w:p>
    <w:p w14:paraId="7FD9ACC2" w14:textId="77777777" w:rsidR="003E2FB3" w:rsidRDefault="003E2FB3" w:rsidP="004B0892">
      <w:pPr>
        <w:spacing w:after="0" w:line="360" w:lineRule="auto"/>
        <w:jc w:val="both"/>
        <w:rPr>
          <w:rFonts w:ascii="Arial" w:hAnsi="Arial" w:cs="Arial"/>
          <w:sz w:val="24"/>
          <w:szCs w:val="24"/>
          <w:lang w:val="en-GB"/>
        </w:rPr>
      </w:pPr>
    </w:p>
    <w:p w14:paraId="2ADC54BC" w14:textId="4914877C" w:rsidR="00D14863" w:rsidRPr="00D14863" w:rsidRDefault="00D66701" w:rsidP="004B0892">
      <w:pPr>
        <w:spacing w:after="0"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D14863" w:rsidRPr="00D14863">
        <w:rPr>
          <w:rFonts w:ascii="Arial" w:hAnsi="Arial" w:cs="Arial"/>
          <w:sz w:val="24"/>
          <w:szCs w:val="24"/>
          <w:lang w:val="en-GB"/>
        </w:rPr>
        <w:t xml:space="preserve">In short, proper application of the </w:t>
      </w:r>
      <w:r w:rsidR="00D14863" w:rsidRPr="00D14863">
        <w:rPr>
          <w:rFonts w:ascii="Arial" w:hAnsi="Arial" w:cs="Arial"/>
          <w:i/>
          <w:sz w:val="24"/>
          <w:szCs w:val="24"/>
          <w:lang w:val="en-GB"/>
        </w:rPr>
        <w:t xml:space="preserve">Mlambo </w:t>
      </w:r>
      <w:r w:rsidR="00D14863" w:rsidRPr="00D14863">
        <w:rPr>
          <w:rFonts w:ascii="Arial" w:hAnsi="Arial" w:cs="Arial"/>
          <w:sz w:val="24"/>
          <w:szCs w:val="24"/>
          <w:lang w:val="en-GB"/>
        </w:rPr>
        <w:t xml:space="preserve">case dictum merely means that the accused cannot complain about the fact that because of his own untruthfulness the trial court cannot give him the benefit of the possibility (viz. that he used violence on </w:t>
      </w:r>
      <w:r w:rsidR="00D14863" w:rsidRPr="00D14863">
        <w:rPr>
          <w:rFonts w:ascii="Arial" w:hAnsi="Arial" w:cs="Arial"/>
          <w:sz w:val="24"/>
          <w:szCs w:val="24"/>
          <w:lang w:val="en-GB"/>
        </w:rPr>
        <w:lastRenderedPageBreak/>
        <w:t>the deceased with any other intention than killing him, or even with a harmless intention) that is not based on any acceptable information (evidence)…. It is with these considerations in mind that the evidence in the current case must be approached.</w:t>
      </w:r>
      <w:r w:rsidR="00D14863">
        <w:rPr>
          <w:rFonts w:ascii="Arial" w:hAnsi="Arial" w:cs="Arial"/>
          <w:sz w:val="24"/>
          <w:szCs w:val="24"/>
          <w:lang w:val="en-GB"/>
        </w:rPr>
        <w:t>”</w:t>
      </w:r>
      <w:r w:rsidR="00D14863" w:rsidRPr="00D14863">
        <w:rPr>
          <w:rFonts w:ascii="Arial" w:hAnsi="Arial" w:cs="Arial"/>
          <w:sz w:val="24"/>
          <w:szCs w:val="24"/>
          <w:lang w:val="en-GB"/>
        </w:rPr>
        <w:t xml:space="preserve"> (sworn translation of the judgment per Hoexter JA at 147- 148).</w:t>
      </w:r>
    </w:p>
    <w:p w14:paraId="16851A57" w14:textId="77777777" w:rsidR="004B0892" w:rsidRDefault="004B0892" w:rsidP="004B0892">
      <w:pPr>
        <w:spacing w:after="0" w:line="360" w:lineRule="auto"/>
        <w:jc w:val="both"/>
        <w:rPr>
          <w:rFonts w:ascii="Arial" w:hAnsi="Arial" w:cs="Arial"/>
          <w:sz w:val="24"/>
          <w:szCs w:val="24"/>
          <w:lang w:val="en-GB"/>
        </w:rPr>
      </w:pPr>
    </w:p>
    <w:p w14:paraId="084A6728" w14:textId="64450565" w:rsidR="00D14863" w:rsidRPr="00D14863" w:rsidRDefault="00D66701" w:rsidP="004B0892">
      <w:pPr>
        <w:spacing w:after="0"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Pr="00D14863">
        <w:rPr>
          <w:rFonts w:ascii="Arial" w:hAnsi="Arial" w:cs="Arial"/>
          <w:sz w:val="24"/>
          <w:szCs w:val="24"/>
          <w:lang w:val="en-GB"/>
        </w:rPr>
        <w:t xml:space="preserve"> </w:t>
      </w:r>
      <w:r>
        <w:rPr>
          <w:rFonts w:ascii="Arial" w:hAnsi="Arial" w:cs="Arial"/>
          <w:sz w:val="24"/>
          <w:szCs w:val="24"/>
          <w:lang w:val="en-GB"/>
        </w:rPr>
        <w:t xml:space="preserve">I </w:t>
      </w:r>
      <w:r w:rsidR="00D14863" w:rsidRPr="00D14863">
        <w:rPr>
          <w:rFonts w:ascii="Arial" w:hAnsi="Arial" w:cs="Arial"/>
          <w:sz w:val="24"/>
          <w:szCs w:val="24"/>
          <w:lang w:val="en-GB"/>
        </w:rPr>
        <w:t xml:space="preserve">endorse this interpretation on the application of the </w:t>
      </w:r>
      <w:r w:rsidR="00D14863" w:rsidRPr="00D14863">
        <w:rPr>
          <w:rFonts w:ascii="Arial" w:hAnsi="Arial" w:cs="Arial"/>
          <w:i/>
          <w:sz w:val="24"/>
          <w:szCs w:val="24"/>
          <w:lang w:val="en-GB"/>
        </w:rPr>
        <w:t xml:space="preserve">Mlambo </w:t>
      </w:r>
      <w:r w:rsidR="00D14863" w:rsidRPr="00D14863">
        <w:rPr>
          <w:rFonts w:ascii="Arial" w:hAnsi="Arial" w:cs="Arial"/>
          <w:sz w:val="24"/>
          <w:szCs w:val="24"/>
          <w:lang w:val="en-GB"/>
        </w:rPr>
        <w:t xml:space="preserve">dictum. The circumstances of this case fall squarely within its sweep and, in my view, it should have been adopted by the trial Court. </w:t>
      </w:r>
    </w:p>
    <w:p w14:paraId="2D58B749" w14:textId="4E88652A" w:rsidR="00321B4D" w:rsidRDefault="00321B4D" w:rsidP="004B0892">
      <w:pPr>
        <w:spacing w:after="0" w:line="360" w:lineRule="auto"/>
        <w:jc w:val="both"/>
        <w:rPr>
          <w:rFonts w:ascii="Arial" w:hAnsi="Arial" w:cs="Arial"/>
          <w:sz w:val="24"/>
          <w:szCs w:val="24"/>
          <w:lang w:val="en-ZA"/>
        </w:rPr>
      </w:pPr>
    </w:p>
    <w:p w14:paraId="25FDC5BD" w14:textId="5BF4508B" w:rsidR="00662B64" w:rsidRDefault="00D66701" w:rsidP="004B0892">
      <w:pPr>
        <w:spacing w:after="0" w:line="360" w:lineRule="auto"/>
        <w:jc w:val="both"/>
        <w:rPr>
          <w:rFonts w:ascii="Arial" w:hAnsi="Arial" w:cs="Arial"/>
          <w:sz w:val="24"/>
          <w:szCs w:val="24"/>
          <w:lang w:val="en-ZA"/>
        </w:rPr>
      </w:pPr>
      <w:r>
        <w:rPr>
          <w:rFonts w:ascii="Arial" w:hAnsi="Arial" w:cs="Arial"/>
          <w:sz w:val="24"/>
          <w:szCs w:val="24"/>
          <w:lang w:val="en-ZA"/>
        </w:rPr>
        <w:t>[13</w:t>
      </w:r>
      <w:r w:rsidR="001B70B5">
        <w:rPr>
          <w:rFonts w:ascii="Arial" w:hAnsi="Arial" w:cs="Arial"/>
          <w:sz w:val="24"/>
          <w:szCs w:val="24"/>
          <w:lang w:val="en-ZA"/>
        </w:rPr>
        <w:t>]</w:t>
      </w:r>
      <w:r w:rsidR="001B70B5">
        <w:rPr>
          <w:rFonts w:ascii="Arial" w:hAnsi="Arial" w:cs="Arial"/>
          <w:sz w:val="24"/>
          <w:szCs w:val="24"/>
          <w:lang w:val="en-ZA"/>
        </w:rPr>
        <w:tab/>
        <w:t xml:space="preserve">The appellant testified in the court a quo that </w:t>
      </w:r>
      <w:r w:rsidR="00662B64">
        <w:rPr>
          <w:rFonts w:ascii="Arial" w:hAnsi="Arial" w:cs="Arial"/>
          <w:sz w:val="24"/>
          <w:szCs w:val="24"/>
          <w:lang w:val="en-ZA"/>
        </w:rPr>
        <w:t xml:space="preserve">she was in a motor vehicle sitting in the front passenger seat </w:t>
      </w:r>
      <w:r w:rsidR="00CC1076">
        <w:rPr>
          <w:rFonts w:ascii="Arial" w:hAnsi="Arial" w:cs="Arial"/>
          <w:sz w:val="24"/>
          <w:szCs w:val="24"/>
          <w:lang w:val="en-ZA"/>
        </w:rPr>
        <w:t>.T</w:t>
      </w:r>
      <w:r w:rsidR="00662B64">
        <w:rPr>
          <w:rFonts w:ascii="Arial" w:hAnsi="Arial" w:cs="Arial"/>
          <w:sz w:val="24"/>
          <w:szCs w:val="24"/>
          <w:lang w:val="en-ZA"/>
        </w:rPr>
        <w:t xml:space="preserve">he deceased was also in </w:t>
      </w:r>
      <w:r w:rsidR="00A6545B">
        <w:rPr>
          <w:rFonts w:ascii="Arial" w:hAnsi="Arial" w:cs="Arial"/>
          <w:sz w:val="24"/>
          <w:szCs w:val="24"/>
          <w:lang w:val="en-ZA"/>
        </w:rPr>
        <w:t>the vehicle sitting in the</w:t>
      </w:r>
      <w:r w:rsidR="00662B64">
        <w:rPr>
          <w:rFonts w:ascii="Arial" w:hAnsi="Arial" w:cs="Arial"/>
          <w:sz w:val="24"/>
          <w:szCs w:val="24"/>
          <w:lang w:val="en-ZA"/>
        </w:rPr>
        <w:t xml:space="preserve"> driver’s seat. She testified that the deceased told her to move to the back seat and thereafter she moved to the back seat and sat in the middle part of the backseat and the deceas</w:t>
      </w:r>
      <w:r w:rsidR="00A6545B">
        <w:rPr>
          <w:rFonts w:ascii="Arial" w:hAnsi="Arial" w:cs="Arial"/>
          <w:sz w:val="24"/>
          <w:szCs w:val="24"/>
          <w:lang w:val="en-ZA"/>
        </w:rPr>
        <w:t>ed remained sitting in the</w:t>
      </w:r>
      <w:r w:rsidR="00662B64">
        <w:rPr>
          <w:rFonts w:ascii="Arial" w:hAnsi="Arial" w:cs="Arial"/>
          <w:sz w:val="24"/>
          <w:szCs w:val="24"/>
          <w:lang w:val="en-ZA"/>
        </w:rPr>
        <w:t xml:space="preserve"> driver’s seat. The deceased then moved to the front passenger seat. The testimony of the appellant was that the deceased was quarrelling with her and he turned and faced her and slapped her on her face. She testified that she tried to cover her face and did not know how </w:t>
      </w:r>
      <w:r w:rsidR="00A6545B">
        <w:rPr>
          <w:rFonts w:ascii="Arial" w:hAnsi="Arial" w:cs="Arial"/>
          <w:sz w:val="24"/>
          <w:szCs w:val="24"/>
          <w:lang w:val="en-ZA"/>
        </w:rPr>
        <w:t>many times deceased slapped her. W</w:t>
      </w:r>
      <w:r w:rsidR="00662B64">
        <w:rPr>
          <w:rFonts w:ascii="Arial" w:hAnsi="Arial" w:cs="Arial"/>
          <w:sz w:val="24"/>
          <w:szCs w:val="24"/>
          <w:lang w:val="en-ZA"/>
        </w:rPr>
        <w:t xml:space="preserve">hen she lifted up her </w:t>
      </w:r>
      <w:r w:rsidR="006F0569">
        <w:rPr>
          <w:rFonts w:ascii="Arial" w:hAnsi="Arial" w:cs="Arial"/>
          <w:sz w:val="24"/>
          <w:szCs w:val="24"/>
          <w:lang w:val="en-ZA"/>
        </w:rPr>
        <w:t>head,</w:t>
      </w:r>
      <w:r w:rsidR="00662B64">
        <w:rPr>
          <w:rFonts w:ascii="Arial" w:hAnsi="Arial" w:cs="Arial"/>
          <w:sz w:val="24"/>
          <w:szCs w:val="24"/>
          <w:lang w:val="en-ZA"/>
        </w:rPr>
        <w:t xml:space="preserve"> she realised that the deceased had a gun in his hand and she quickly grabbed for it and fired the shot that killed the deceased. </w:t>
      </w:r>
    </w:p>
    <w:p w14:paraId="3D92FD17" w14:textId="77777777" w:rsidR="00662B64" w:rsidRDefault="00662B64" w:rsidP="004B0892">
      <w:pPr>
        <w:spacing w:after="0" w:line="360" w:lineRule="auto"/>
        <w:jc w:val="both"/>
        <w:rPr>
          <w:rFonts w:ascii="Arial" w:hAnsi="Arial" w:cs="Arial"/>
          <w:sz w:val="24"/>
          <w:szCs w:val="24"/>
          <w:lang w:val="en-ZA"/>
        </w:rPr>
      </w:pPr>
    </w:p>
    <w:p w14:paraId="3E2D02C3" w14:textId="09093770" w:rsidR="00662B64" w:rsidRDefault="00D66701" w:rsidP="004B0892">
      <w:pPr>
        <w:spacing w:after="0" w:line="360" w:lineRule="auto"/>
        <w:jc w:val="both"/>
        <w:rPr>
          <w:rFonts w:ascii="Arial" w:hAnsi="Arial" w:cs="Arial"/>
          <w:sz w:val="24"/>
          <w:szCs w:val="24"/>
          <w:lang w:val="en-ZA"/>
        </w:rPr>
      </w:pPr>
      <w:r>
        <w:rPr>
          <w:rFonts w:ascii="Arial" w:hAnsi="Arial" w:cs="Arial"/>
          <w:sz w:val="24"/>
          <w:szCs w:val="24"/>
          <w:lang w:val="en-ZA"/>
        </w:rPr>
        <w:t>[14</w:t>
      </w:r>
      <w:r w:rsidR="00662B64">
        <w:rPr>
          <w:rFonts w:ascii="Arial" w:hAnsi="Arial" w:cs="Arial"/>
          <w:sz w:val="24"/>
          <w:szCs w:val="24"/>
          <w:lang w:val="en-ZA"/>
        </w:rPr>
        <w:t>]</w:t>
      </w:r>
      <w:r w:rsidR="00662B64">
        <w:rPr>
          <w:rFonts w:ascii="Arial" w:hAnsi="Arial" w:cs="Arial"/>
          <w:sz w:val="24"/>
          <w:szCs w:val="24"/>
          <w:lang w:val="en-ZA"/>
        </w:rPr>
        <w:tab/>
        <w:t>The appellant does not dispute that s</w:t>
      </w:r>
      <w:r w:rsidR="00606A4F">
        <w:rPr>
          <w:rFonts w:ascii="Arial" w:hAnsi="Arial" w:cs="Arial"/>
          <w:sz w:val="24"/>
          <w:szCs w:val="24"/>
          <w:lang w:val="en-ZA"/>
        </w:rPr>
        <w:t>he shot and killed the deceased</w:t>
      </w:r>
      <w:r w:rsidR="00662B64">
        <w:rPr>
          <w:rFonts w:ascii="Arial" w:hAnsi="Arial" w:cs="Arial"/>
          <w:sz w:val="24"/>
          <w:szCs w:val="24"/>
          <w:lang w:val="en-ZA"/>
        </w:rPr>
        <w:t>, she states that she shot him in private defence.</w:t>
      </w:r>
      <w:r w:rsidR="006F0569">
        <w:rPr>
          <w:rFonts w:ascii="Arial" w:hAnsi="Arial" w:cs="Arial"/>
          <w:sz w:val="24"/>
          <w:szCs w:val="24"/>
          <w:lang w:val="en-ZA"/>
        </w:rPr>
        <w:t xml:space="preserve"> After appellant fired the gunshot, she testified that the deceased was sitting on the left front passenger seat. This is the only evidence available in relation to the shooting of the deceased.</w:t>
      </w:r>
    </w:p>
    <w:p w14:paraId="619DE920" w14:textId="3EE04E6A" w:rsidR="001B70B5" w:rsidRDefault="00662B64" w:rsidP="004B0892">
      <w:pPr>
        <w:spacing w:after="0" w:line="360" w:lineRule="auto"/>
        <w:jc w:val="both"/>
        <w:rPr>
          <w:rFonts w:ascii="Arial" w:hAnsi="Arial" w:cs="Arial"/>
          <w:sz w:val="24"/>
          <w:szCs w:val="24"/>
          <w:lang w:val="en-ZA"/>
        </w:rPr>
      </w:pPr>
      <w:r>
        <w:rPr>
          <w:rFonts w:ascii="Arial" w:hAnsi="Arial" w:cs="Arial"/>
          <w:sz w:val="24"/>
          <w:szCs w:val="24"/>
          <w:lang w:val="en-ZA"/>
        </w:rPr>
        <w:t xml:space="preserve"> </w:t>
      </w:r>
    </w:p>
    <w:p w14:paraId="6889D52B" w14:textId="7D94D4FB" w:rsidR="00647117" w:rsidRPr="00647117" w:rsidRDefault="004545C6" w:rsidP="004B0892">
      <w:pPr>
        <w:spacing w:after="0" w:line="360" w:lineRule="auto"/>
        <w:jc w:val="both"/>
        <w:rPr>
          <w:rFonts w:ascii="Arial" w:hAnsi="Arial" w:cs="Arial"/>
          <w:sz w:val="24"/>
          <w:szCs w:val="24"/>
          <w:u w:val="single"/>
          <w:lang w:val="en-ZA"/>
        </w:rPr>
      </w:pPr>
      <w:r>
        <w:rPr>
          <w:rFonts w:ascii="Arial" w:hAnsi="Arial" w:cs="Arial"/>
          <w:sz w:val="24"/>
          <w:szCs w:val="24"/>
          <w:u w:val="single"/>
          <w:lang w:val="en-ZA"/>
        </w:rPr>
        <w:t>P</w:t>
      </w:r>
      <w:r w:rsidR="00647117" w:rsidRPr="00647117">
        <w:rPr>
          <w:rFonts w:ascii="Arial" w:hAnsi="Arial" w:cs="Arial"/>
          <w:sz w:val="24"/>
          <w:szCs w:val="24"/>
          <w:u w:val="single"/>
          <w:lang w:val="en-ZA"/>
        </w:rPr>
        <w:t>rivate defence</w:t>
      </w:r>
    </w:p>
    <w:p w14:paraId="29E2D760" w14:textId="77777777" w:rsidR="00647117" w:rsidRDefault="00647117" w:rsidP="004B0892">
      <w:pPr>
        <w:spacing w:after="0" w:line="360" w:lineRule="auto"/>
        <w:jc w:val="both"/>
        <w:rPr>
          <w:rFonts w:ascii="Arial" w:hAnsi="Arial" w:cs="Arial"/>
          <w:sz w:val="24"/>
          <w:szCs w:val="24"/>
          <w:lang w:val="en-ZA"/>
        </w:rPr>
      </w:pPr>
    </w:p>
    <w:p w14:paraId="0D9CEA75" w14:textId="31F9AE4C" w:rsidR="00D72474" w:rsidRDefault="00321B4D" w:rsidP="004B0892">
      <w:pPr>
        <w:spacing w:after="0" w:line="360" w:lineRule="auto"/>
        <w:jc w:val="both"/>
        <w:rPr>
          <w:rFonts w:ascii="Arial" w:hAnsi="Arial" w:cs="Arial"/>
          <w:sz w:val="24"/>
          <w:szCs w:val="24"/>
        </w:rPr>
      </w:pPr>
      <w:r>
        <w:rPr>
          <w:rFonts w:ascii="Arial" w:hAnsi="Arial" w:cs="Arial"/>
          <w:sz w:val="24"/>
          <w:szCs w:val="24"/>
          <w:lang w:val="en-ZA"/>
        </w:rPr>
        <w:t>[1</w:t>
      </w:r>
      <w:r w:rsidR="00D66701">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t xml:space="preserve"> </w:t>
      </w:r>
      <w:r w:rsidR="006F0569">
        <w:rPr>
          <w:rFonts w:ascii="Arial" w:hAnsi="Arial" w:cs="Arial"/>
          <w:sz w:val="24"/>
          <w:szCs w:val="24"/>
          <w:lang w:val="en-ZA"/>
        </w:rPr>
        <w:t>The</w:t>
      </w:r>
      <w:r w:rsidR="00AA1AAD">
        <w:rPr>
          <w:rFonts w:ascii="Arial" w:hAnsi="Arial" w:cs="Arial"/>
          <w:sz w:val="24"/>
          <w:szCs w:val="24"/>
          <w:lang w:val="en-ZA"/>
        </w:rPr>
        <w:t xml:space="preserve"> appeal can only succeed if the grounds of private defence were met</w:t>
      </w:r>
      <w:r w:rsidR="00F442B6">
        <w:rPr>
          <w:rFonts w:ascii="Arial" w:hAnsi="Arial" w:cs="Arial"/>
          <w:sz w:val="24"/>
          <w:szCs w:val="24"/>
          <w:lang w:val="en-ZA"/>
        </w:rPr>
        <w:t xml:space="preserve"> before the trial court</w:t>
      </w:r>
      <w:r w:rsidR="00AA1AAD">
        <w:rPr>
          <w:rFonts w:ascii="Arial" w:hAnsi="Arial" w:cs="Arial"/>
          <w:sz w:val="24"/>
          <w:szCs w:val="24"/>
          <w:lang w:val="en-ZA"/>
        </w:rPr>
        <w:t>.</w:t>
      </w:r>
      <w:r w:rsidR="00F442B6">
        <w:rPr>
          <w:rFonts w:ascii="Arial" w:hAnsi="Arial" w:cs="Arial"/>
          <w:sz w:val="24"/>
          <w:szCs w:val="24"/>
          <w:lang w:val="en-ZA"/>
        </w:rPr>
        <w:t xml:space="preserve"> </w:t>
      </w:r>
      <w:r w:rsidR="00AA1AAD">
        <w:rPr>
          <w:rFonts w:ascii="Arial" w:hAnsi="Arial" w:cs="Arial"/>
          <w:sz w:val="24"/>
          <w:szCs w:val="24"/>
          <w:lang w:val="en-ZA"/>
        </w:rPr>
        <w:t>I therefore briefly address the test for private defence</w:t>
      </w:r>
      <w:r w:rsidR="00F442B6">
        <w:rPr>
          <w:rFonts w:ascii="Arial" w:hAnsi="Arial" w:cs="Arial"/>
          <w:sz w:val="24"/>
          <w:szCs w:val="24"/>
          <w:lang w:val="en-ZA"/>
        </w:rPr>
        <w:t xml:space="preserve"> and whether the grounds for private defence were established</w:t>
      </w:r>
      <w:r w:rsidR="00AA1AAD">
        <w:rPr>
          <w:rFonts w:ascii="Arial" w:hAnsi="Arial" w:cs="Arial"/>
          <w:sz w:val="24"/>
          <w:szCs w:val="24"/>
          <w:lang w:val="en-ZA"/>
        </w:rPr>
        <w:t xml:space="preserve">. </w:t>
      </w:r>
      <w:r w:rsidR="00D72474">
        <w:rPr>
          <w:rFonts w:ascii="Arial" w:hAnsi="Arial" w:cs="Arial"/>
          <w:sz w:val="24"/>
          <w:szCs w:val="24"/>
        </w:rPr>
        <w:t xml:space="preserve">The test for private </w:t>
      </w:r>
      <w:r w:rsidR="00CC1076">
        <w:rPr>
          <w:rFonts w:ascii="Arial" w:hAnsi="Arial" w:cs="Arial"/>
          <w:sz w:val="24"/>
          <w:szCs w:val="24"/>
        </w:rPr>
        <w:t>defense</w:t>
      </w:r>
      <w:r w:rsidR="00D72474">
        <w:rPr>
          <w:rFonts w:ascii="Arial" w:hAnsi="Arial" w:cs="Arial"/>
          <w:sz w:val="24"/>
          <w:szCs w:val="24"/>
        </w:rPr>
        <w:t xml:space="preserve"> is whether the accused reasonably believed that h</w:t>
      </w:r>
      <w:r w:rsidR="006F0569">
        <w:rPr>
          <w:rFonts w:ascii="Arial" w:hAnsi="Arial" w:cs="Arial"/>
          <w:sz w:val="24"/>
          <w:szCs w:val="24"/>
        </w:rPr>
        <w:t>er</w:t>
      </w:r>
      <w:r w:rsidR="00D72474">
        <w:rPr>
          <w:rFonts w:ascii="Arial" w:hAnsi="Arial" w:cs="Arial"/>
          <w:sz w:val="24"/>
          <w:szCs w:val="24"/>
        </w:rPr>
        <w:t xml:space="preserve"> life was in danger or </w:t>
      </w:r>
      <w:r w:rsidR="006F0569">
        <w:rPr>
          <w:rFonts w:ascii="Arial" w:hAnsi="Arial" w:cs="Arial"/>
          <w:sz w:val="24"/>
          <w:szCs w:val="24"/>
        </w:rPr>
        <w:t>reasonably believed that s</w:t>
      </w:r>
      <w:r w:rsidR="00D72474">
        <w:rPr>
          <w:rFonts w:ascii="Arial" w:hAnsi="Arial" w:cs="Arial"/>
          <w:sz w:val="24"/>
          <w:szCs w:val="24"/>
        </w:rPr>
        <w:t>he was usin</w:t>
      </w:r>
      <w:r w:rsidR="00DF6247">
        <w:rPr>
          <w:rFonts w:ascii="Arial" w:hAnsi="Arial" w:cs="Arial"/>
          <w:sz w:val="24"/>
          <w:szCs w:val="24"/>
        </w:rPr>
        <w:t>g reasonable means to</w:t>
      </w:r>
      <w:r w:rsidR="00D66701">
        <w:rPr>
          <w:rFonts w:ascii="Arial" w:hAnsi="Arial" w:cs="Arial"/>
          <w:sz w:val="24"/>
          <w:szCs w:val="24"/>
        </w:rPr>
        <w:t xml:space="preserve"> ward off the attack.</w:t>
      </w:r>
      <w:r w:rsidR="00D72474">
        <w:rPr>
          <w:rFonts w:ascii="Arial" w:hAnsi="Arial" w:cs="Arial"/>
          <w:sz w:val="24"/>
          <w:szCs w:val="24"/>
        </w:rPr>
        <w:t xml:space="preserve"> This is normally an objective test.  However, an element of subjectivity is nevertheless present in the process which relates to the persons and circumstances involved in the act.</w:t>
      </w:r>
      <w:r w:rsidR="006F0569">
        <w:rPr>
          <w:rFonts w:ascii="Arial" w:hAnsi="Arial" w:cs="Arial"/>
          <w:sz w:val="24"/>
          <w:szCs w:val="24"/>
        </w:rPr>
        <w:t xml:space="preserve"> There must be an attack in progress which the appellant was defending herself against.</w:t>
      </w:r>
    </w:p>
    <w:p w14:paraId="646F8E2E" w14:textId="77777777" w:rsidR="00AA1AAD" w:rsidRDefault="00AA1AAD" w:rsidP="004B0892">
      <w:pPr>
        <w:spacing w:after="0" w:line="360" w:lineRule="auto"/>
        <w:jc w:val="both"/>
        <w:rPr>
          <w:rFonts w:ascii="Arial" w:hAnsi="Arial" w:cs="Arial"/>
          <w:sz w:val="24"/>
          <w:szCs w:val="24"/>
        </w:rPr>
      </w:pPr>
    </w:p>
    <w:p w14:paraId="0D66836D" w14:textId="577F8F00" w:rsidR="00AA1AAD" w:rsidRDefault="00D72474" w:rsidP="004B0892">
      <w:pPr>
        <w:spacing w:after="0" w:line="360" w:lineRule="auto"/>
        <w:jc w:val="both"/>
        <w:rPr>
          <w:rFonts w:ascii="Arial" w:eastAsia="Times New Roman" w:hAnsi="Arial" w:cs="Arial"/>
          <w:sz w:val="24"/>
          <w:szCs w:val="24"/>
        </w:rPr>
      </w:pPr>
      <w:r>
        <w:rPr>
          <w:rFonts w:ascii="Arial" w:hAnsi="Arial" w:cs="Arial"/>
          <w:sz w:val="24"/>
          <w:szCs w:val="24"/>
        </w:rPr>
        <w:lastRenderedPageBreak/>
        <w:t xml:space="preserve">See </w:t>
      </w:r>
      <w:r w:rsidRPr="000108C6">
        <w:rPr>
          <w:rFonts w:ascii="Arial" w:hAnsi="Arial" w:cs="Arial"/>
          <w:i/>
          <w:sz w:val="24"/>
          <w:szCs w:val="24"/>
        </w:rPr>
        <w:t>S v Patel</w:t>
      </w:r>
      <w:r w:rsidR="007971F0" w:rsidRPr="007971F0">
        <w:rPr>
          <w:rFonts w:ascii="Arial" w:hAnsi="Arial" w:cs="Arial"/>
          <w:i/>
          <w:sz w:val="24"/>
          <w:szCs w:val="24"/>
        </w:rPr>
        <w:t xml:space="preserve"> </w:t>
      </w:r>
      <w:r w:rsidR="00AA1AAD" w:rsidRPr="007971F0">
        <w:rPr>
          <w:rStyle w:val="FootnoteReference"/>
          <w:rFonts w:ascii="Arial" w:hAnsi="Arial" w:cs="Arial"/>
          <w:iCs/>
          <w:sz w:val="24"/>
          <w:szCs w:val="24"/>
        </w:rPr>
        <w:footnoteReference w:id="6"/>
      </w:r>
      <w:r w:rsidRPr="007971F0">
        <w:rPr>
          <w:rFonts w:ascii="Arial" w:hAnsi="Arial" w:cs="Arial"/>
          <w:sz w:val="24"/>
          <w:szCs w:val="24"/>
        </w:rPr>
        <w:t>.</w:t>
      </w:r>
      <w:r w:rsidR="003862C2" w:rsidRPr="003862C2">
        <w:rPr>
          <w:rFonts w:ascii="Arial" w:eastAsia="Times New Roman" w:hAnsi="Arial" w:cs="Arial"/>
          <w:sz w:val="24"/>
          <w:szCs w:val="24"/>
        </w:rPr>
        <w:t xml:space="preserve"> </w:t>
      </w:r>
    </w:p>
    <w:p w14:paraId="367EBB0E" w14:textId="77777777" w:rsidR="00AA1AAD" w:rsidRDefault="00AA1AAD" w:rsidP="004B0892">
      <w:pPr>
        <w:spacing w:after="0" w:line="360" w:lineRule="auto"/>
        <w:jc w:val="both"/>
        <w:rPr>
          <w:rFonts w:ascii="Arial" w:eastAsia="Times New Roman" w:hAnsi="Arial" w:cs="Arial"/>
          <w:sz w:val="24"/>
          <w:szCs w:val="24"/>
        </w:rPr>
      </w:pPr>
    </w:p>
    <w:p w14:paraId="74DBF108" w14:textId="0D425526" w:rsidR="003862C2" w:rsidRPr="003862C2" w:rsidRDefault="00AA1AAD" w:rsidP="004B0892">
      <w:pPr>
        <w:spacing w:after="0" w:line="360" w:lineRule="auto"/>
        <w:jc w:val="both"/>
        <w:rPr>
          <w:rFonts w:ascii="Arial" w:hAnsi="Arial" w:cs="Arial"/>
          <w:sz w:val="24"/>
          <w:szCs w:val="24"/>
        </w:rPr>
      </w:pPr>
      <w:r>
        <w:rPr>
          <w:rFonts w:ascii="Arial" w:hAnsi="Arial" w:cs="Arial"/>
          <w:sz w:val="24"/>
          <w:szCs w:val="24"/>
        </w:rPr>
        <w:t>See also</w:t>
      </w:r>
      <w:r w:rsidR="003862C2" w:rsidRPr="003862C2">
        <w:rPr>
          <w:rFonts w:ascii="Arial" w:hAnsi="Arial" w:cs="Arial"/>
          <w:sz w:val="24"/>
          <w:szCs w:val="24"/>
        </w:rPr>
        <w:t xml:space="preserve"> </w:t>
      </w:r>
      <w:r w:rsidR="003862C2" w:rsidRPr="000108C6">
        <w:rPr>
          <w:rFonts w:ascii="Arial" w:hAnsi="Arial" w:cs="Arial"/>
          <w:i/>
          <w:sz w:val="24"/>
          <w:szCs w:val="24"/>
        </w:rPr>
        <w:t>S v Naftali</w:t>
      </w:r>
      <w:r w:rsidR="003862C2" w:rsidRPr="003862C2">
        <w:rPr>
          <w:rFonts w:ascii="Arial" w:hAnsi="Arial" w:cs="Arial"/>
          <w:i/>
          <w:sz w:val="24"/>
          <w:szCs w:val="24"/>
          <w:vertAlign w:val="superscript"/>
        </w:rPr>
        <w:footnoteReference w:id="7"/>
      </w:r>
      <w:r w:rsidR="003862C2" w:rsidRPr="003862C2">
        <w:rPr>
          <w:rFonts w:ascii="Arial" w:hAnsi="Arial" w:cs="Arial"/>
          <w:i/>
          <w:sz w:val="24"/>
          <w:szCs w:val="24"/>
        </w:rPr>
        <w:t xml:space="preserve"> </w:t>
      </w:r>
    </w:p>
    <w:p w14:paraId="34BAA85B" w14:textId="77777777" w:rsidR="003862C2" w:rsidRPr="003862C2" w:rsidRDefault="003862C2" w:rsidP="004B0892">
      <w:pPr>
        <w:spacing w:after="0" w:line="360" w:lineRule="auto"/>
        <w:jc w:val="both"/>
        <w:rPr>
          <w:rFonts w:ascii="Arial" w:hAnsi="Arial" w:cs="Arial"/>
          <w:sz w:val="24"/>
          <w:szCs w:val="24"/>
        </w:rPr>
      </w:pPr>
    </w:p>
    <w:p w14:paraId="69364743" w14:textId="14E85C7B" w:rsidR="00C61C7A" w:rsidRDefault="00D937B9" w:rsidP="004B0892">
      <w:pPr>
        <w:spacing w:after="0" w:line="360" w:lineRule="auto"/>
        <w:jc w:val="both"/>
        <w:rPr>
          <w:rFonts w:ascii="Arial" w:hAnsi="Arial" w:cs="Arial"/>
          <w:sz w:val="24"/>
          <w:szCs w:val="24"/>
        </w:rPr>
      </w:pPr>
      <w:r>
        <w:rPr>
          <w:rFonts w:ascii="Arial" w:hAnsi="Arial" w:cs="Arial"/>
          <w:sz w:val="24"/>
          <w:szCs w:val="24"/>
        </w:rPr>
        <w:t>[1</w:t>
      </w:r>
      <w:r w:rsidR="00955F1F">
        <w:rPr>
          <w:rFonts w:ascii="Arial" w:hAnsi="Arial" w:cs="Arial"/>
          <w:sz w:val="24"/>
          <w:szCs w:val="24"/>
        </w:rPr>
        <w:t>6</w:t>
      </w:r>
      <w:r w:rsidR="008737F5" w:rsidRPr="00090195">
        <w:rPr>
          <w:rFonts w:ascii="Arial" w:hAnsi="Arial" w:cs="Arial"/>
          <w:sz w:val="24"/>
          <w:szCs w:val="24"/>
        </w:rPr>
        <w:t>]</w:t>
      </w:r>
      <w:r w:rsidR="008737F5">
        <w:rPr>
          <w:rFonts w:ascii="Arial" w:hAnsi="Arial" w:cs="Arial"/>
          <w:sz w:val="24"/>
          <w:szCs w:val="24"/>
        </w:rPr>
        <w:tab/>
      </w:r>
      <w:r w:rsidR="003E359E">
        <w:rPr>
          <w:rFonts w:ascii="Arial" w:hAnsi="Arial" w:cs="Arial"/>
          <w:sz w:val="24"/>
          <w:szCs w:val="24"/>
        </w:rPr>
        <w:t>A</w:t>
      </w:r>
      <w:r w:rsidR="00603BAE">
        <w:rPr>
          <w:rFonts w:ascii="Arial" w:hAnsi="Arial" w:cs="Arial"/>
          <w:sz w:val="24"/>
          <w:szCs w:val="24"/>
        </w:rPr>
        <w:t>pplying the facts of this case to the legal principles set out above</w:t>
      </w:r>
      <w:r w:rsidR="001B322C">
        <w:rPr>
          <w:rFonts w:ascii="Arial" w:hAnsi="Arial" w:cs="Arial"/>
          <w:sz w:val="24"/>
          <w:szCs w:val="24"/>
        </w:rPr>
        <w:t>,</w:t>
      </w:r>
      <w:r w:rsidR="00603BAE">
        <w:rPr>
          <w:rFonts w:ascii="Arial" w:hAnsi="Arial" w:cs="Arial"/>
          <w:sz w:val="24"/>
          <w:szCs w:val="24"/>
        </w:rPr>
        <w:t xml:space="preserve"> the determining factor is whether in the circumstances the </w:t>
      </w:r>
      <w:r w:rsidR="00DF6247">
        <w:rPr>
          <w:rFonts w:ascii="Arial" w:hAnsi="Arial" w:cs="Arial"/>
          <w:sz w:val="24"/>
          <w:szCs w:val="24"/>
        </w:rPr>
        <w:t xml:space="preserve">appellant </w:t>
      </w:r>
      <w:r w:rsidR="00DA4A49">
        <w:rPr>
          <w:rFonts w:ascii="Arial" w:hAnsi="Arial" w:cs="Arial"/>
          <w:sz w:val="24"/>
          <w:szCs w:val="24"/>
        </w:rPr>
        <w:t>reasonably believed that h</w:t>
      </w:r>
      <w:r w:rsidR="006F0569">
        <w:rPr>
          <w:rFonts w:ascii="Arial" w:hAnsi="Arial" w:cs="Arial"/>
          <w:sz w:val="24"/>
          <w:szCs w:val="24"/>
        </w:rPr>
        <w:t>er</w:t>
      </w:r>
      <w:r w:rsidR="00603BAE">
        <w:rPr>
          <w:rFonts w:ascii="Arial" w:hAnsi="Arial" w:cs="Arial"/>
          <w:sz w:val="24"/>
          <w:szCs w:val="24"/>
        </w:rPr>
        <w:t xml:space="preserve"> life was in imminent danger and whether it </w:t>
      </w:r>
      <w:r w:rsidR="00F442B6">
        <w:rPr>
          <w:rFonts w:ascii="Arial" w:hAnsi="Arial" w:cs="Arial"/>
          <w:sz w:val="24"/>
          <w:szCs w:val="24"/>
        </w:rPr>
        <w:t>c</w:t>
      </w:r>
      <w:r w:rsidR="00603BAE">
        <w:rPr>
          <w:rFonts w:ascii="Arial" w:hAnsi="Arial" w:cs="Arial"/>
          <w:sz w:val="24"/>
          <w:szCs w:val="24"/>
        </w:rPr>
        <w:t>ould be said that a reasonable person in the position of the a</w:t>
      </w:r>
      <w:r w:rsidR="00DF6247">
        <w:rPr>
          <w:rFonts w:ascii="Arial" w:hAnsi="Arial" w:cs="Arial"/>
          <w:sz w:val="24"/>
          <w:szCs w:val="24"/>
        </w:rPr>
        <w:t>ppellant</w:t>
      </w:r>
      <w:r w:rsidR="00603BAE">
        <w:rPr>
          <w:rFonts w:ascii="Arial" w:hAnsi="Arial" w:cs="Arial"/>
          <w:sz w:val="24"/>
          <w:szCs w:val="24"/>
        </w:rPr>
        <w:t xml:space="preserve"> would have acted the way </w:t>
      </w:r>
      <w:r w:rsidR="006F0569">
        <w:rPr>
          <w:rFonts w:ascii="Arial" w:hAnsi="Arial" w:cs="Arial"/>
          <w:sz w:val="24"/>
          <w:szCs w:val="24"/>
        </w:rPr>
        <w:t>s</w:t>
      </w:r>
      <w:r w:rsidR="00DF6247">
        <w:rPr>
          <w:rFonts w:ascii="Arial" w:hAnsi="Arial" w:cs="Arial"/>
          <w:sz w:val="24"/>
          <w:szCs w:val="24"/>
        </w:rPr>
        <w:t>he did</w:t>
      </w:r>
      <w:r w:rsidR="00603BAE">
        <w:rPr>
          <w:rFonts w:ascii="Arial" w:hAnsi="Arial" w:cs="Arial"/>
          <w:sz w:val="24"/>
          <w:szCs w:val="24"/>
        </w:rPr>
        <w:t>.</w:t>
      </w:r>
      <w:r w:rsidR="00AA1AAD">
        <w:rPr>
          <w:rFonts w:ascii="Arial" w:hAnsi="Arial" w:cs="Arial"/>
          <w:sz w:val="24"/>
          <w:szCs w:val="24"/>
        </w:rPr>
        <w:t xml:space="preserve"> </w:t>
      </w:r>
    </w:p>
    <w:p w14:paraId="7C4D8A7F" w14:textId="45C72804" w:rsidR="006F0569" w:rsidRDefault="006F0569" w:rsidP="004B0892">
      <w:pPr>
        <w:spacing w:after="0" w:line="360" w:lineRule="auto"/>
        <w:jc w:val="both"/>
        <w:rPr>
          <w:rFonts w:ascii="Arial" w:hAnsi="Arial" w:cs="Arial"/>
          <w:sz w:val="24"/>
          <w:szCs w:val="24"/>
        </w:rPr>
      </w:pPr>
    </w:p>
    <w:p w14:paraId="0457014A" w14:textId="324B6438" w:rsidR="006F0569" w:rsidRDefault="00955F1F" w:rsidP="004B0892">
      <w:pPr>
        <w:spacing w:after="0" w:line="360" w:lineRule="auto"/>
        <w:jc w:val="both"/>
        <w:rPr>
          <w:rFonts w:ascii="Arial" w:hAnsi="Arial" w:cs="Arial"/>
          <w:sz w:val="24"/>
          <w:szCs w:val="24"/>
        </w:rPr>
      </w:pPr>
      <w:r>
        <w:rPr>
          <w:rFonts w:ascii="Arial" w:hAnsi="Arial" w:cs="Arial"/>
          <w:sz w:val="24"/>
          <w:szCs w:val="24"/>
        </w:rPr>
        <w:t>[17</w:t>
      </w:r>
      <w:r w:rsidR="006F0569">
        <w:rPr>
          <w:rFonts w:ascii="Arial" w:hAnsi="Arial" w:cs="Arial"/>
          <w:sz w:val="24"/>
          <w:szCs w:val="24"/>
        </w:rPr>
        <w:t>]</w:t>
      </w:r>
      <w:r w:rsidR="006F0569">
        <w:rPr>
          <w:rFonts w:ascii="Arial" w:hAnsi="Arial" w:cs="Arial"/>
          <w:sz w:val="24"/>
          <w:szCs w:val="24"/>
        </w:rPr>
        <w:tab/>
        <w:t>The post mortem report indicates that the deceased was shot at close range at a distance of less than 15cm on the right paravertebral aspect of the mid back. The cause of death</w:t>
      </w:r>
      <w:r w:rsidR="007971F0">
        <w:rPr>
          <w:rFonts w:ascii="Arial" w:hAnsi="Arial" w:cs="Arial"/>
          <w:sz w:val="24"/>
          <w:szCs w:val="24"/>
        </w:rPr>
        <w:t xml:space="preserve"> as</w:t>
      </w:r>
      <w:r w:rsidR="006F0569">
        <w:rPr>
          <w:rFonts w:ascii="Arial" w:hAnsi="Arial" w:cs="Arial"/>
          <w:sz w:val="24"/>
          <w:szCs w:val="24"/>
        </w:rPr>
        <w:t xml:space="preserve"> per the post mortem report was a ‘close range gun-shot injury to the back’. The diagram attached to the post mortem report shows a gunshot wound to the </w:t>
      </w:r>
      <w:r w:rsidR="00E22E34">
        <w:rPr>
          <w:rFonts w:ascii="Arial" w:hAnsi="Arial" w:cs="Arial"/>
          <w:sz w:val="24"/>
          <w:szCs w:val="24"/>
        </w:rPr>
        <w:t>center</w:t>
      </w:r>
      <w:r w:rsidR="006F0569">
        <w:rPr>
          <w:rFonts w:ascii="Arial" w:hAnsi="Arial" w:cs="Arial"/>
          <w:sz w:val="24"/>
          <w:szCs w:val="24"/>
        </w:rPr>
        <w:t xml:space="preserve"> of the deceased’s back</w:t>
      </w:r>
      <w:r w:rsidR="006F0569">
        <w:rPr>
          <w:rStyle w:val="FootnoteReference"/>
          <w:rFonts w:ascii="Arial" w:hAnsi="Arial" w:cs="Arial"/>
          <w:sz w:val="24"/>
          <w:szCs w:val="24"/>
        </w:rPr>
        <w:footnoteReference w:id="8"/>
      </w:r>
      <w:r w:rsidR="006F0569">
        <w:rPr>
          <w:rFonts w:ascii="Arial" w:hAnsi="Arial" w:cs="Arial"/>
          <w:sz w:val="24"/>
          <w:szCs w:val="24"/>
        </w:rPr>
        <w:t>. This evidence was uncontroverted and is diametrically opposed to the testimony proffered by the appellant. The deceased at the time he was shot</w:t>
      </w:r>
      <w:r w:rsidR="007971F0">
        <w:rPr>
          <w:rFonts w:ascii="Arial" w:hAnsi="Arial" w:cs="Arial"/>
          <w:sz w:val="24"/>
          <w:szCs w:val="24"/>
        </w:rPr>
        <w:t>,</w:t>
      </w:r>
      <w:r w:rsidR="006F0569">
        <w:rPr>
          <w:rFonts w:ascii="Arial" w:hAnsi="Arial" w:cs="Arial"/>
          <w:sz w:val="24"/>
          <w:szCs w:val="24"/>
        </w:rPr>
        <w:t xml:space="preserve"> based on the post mortem report</w:t>
      </w:r>
      <w:r w:rsidR="007971F0">
        <w:rPr>
          <w:rFonts w:ascii="Arial" w:hAnsi="Arial" w:cs="Arial"/>
          <w:sz w:val="24"/>
          <w:szCs w:val="24"/>
        </w:rPr>
        <w:t>,</w:t>
      </w:r>
      <w:r w:rsidR="006F0569">
        <w:rPr>
          <w:rFonts w:ascii="Arial" w:hAnsi="Arial" w:cs="Arial"/>
          <w:sz w:val="24"/>
          <w:szCs w:val="24"/>
        </w:rPr>
        <w:t xml:space="preserve"> was</w:t>
      </w:r>
      <w:r w:rsidR="007971F0">
        <w:rPr>
          <w:rFonts w:ascii="Arial" w:hAnsi="Arial" w:cs="Arial"/>
          <w:sz w:val="24"/>
          <w:szCs w:val="24"/>
        </w:rPr>
        <w:t xml:space="preserve"> not facing the appellant but</w:t>
      </w:r>
      <w:r w:rsidR="006F0569">
        <w:rPr>
          <w:rFonts w:ascii="Arial" w:hAnsi="Arial" w:cs="Arial"/>
          <w:sz w:val="24"/>
          <w:szCs w:val="24"/>
        </w:rPr>
        <w:t xml:space="preserve"> had turned his back fully to the appellant. The </w:t>
      </w:r>
      <w:r w:rsidR="004B0892">
        <w:rPr>
          <w:rFonts w:ascii="Arial" w:hAnsi="Arial" w:cs="Arial"/>
          <w:sz w:val="24"/>
          <w:szCs w:val="24"/>
        </w:rPr>
        <w:t>defense</w:t>
      </w:r>
      <w:r w:rsidR="006F0569">
        <w:rPr>
          <w:rFonts w:ascii="Arial" w:hAnsi="Arial" w:cs="Arial"/>
          <w:sz w:val="24"/>
          <w:szCs w:val="24"/>
        </w:rPr>
        <w:t xml:space="preserve"> of private </w:t>
      </w:r>
      <w:r w:rsidR="004B0892">
        <w:rPr>
          <w:rFonts w:ascii="Arial" w:hAnsi="Arial" w:cs="Arial"/>
          <w:sz w:val="24"/>
          <w:szCs w:val="24"/>
        </w:rPr>
        <w:t>defense</w:t>
      </w:r>
      <w:r w:rsidR="006F0569">
        <w:rPr>
          <w:rFonts w:ascii="Arial" w:hAnsi="Arial" w:cs="Arial"/>
          <w:sz w:val="24"/>
          <w:szCs w:val="24"/>
        </w:rPr>
        <w:t xml:space="preserve"> </w:t>
      </w:r>
      <w:r w:rsidR="009D28F8">
        <w:rPr>
          <w:rFonts w:ascii="Arial" w:hAnsi="Arial" w:cs="Arial"/>
          <w:sz w:val="24"/>
          <w:szCs w:val="24"/>
        </w:rPr>
        <w:t xml:space="preserve">is not available where an attack has ceased. The only inference that can be made is that the deceased was shot by the appellant with his back </w:t>
      </w:r>
      <w:r w:rsidR="007971F0">
        <w:rPr>
          <w:rFonts w:ascii="Arial" w:hAnsi="Arial" w:cs="Arial"/>
          <w:sz w:val="24"/>
          <w:szCs w:val="24"/>
        </w:rPr>
        <w:t>facing</w:t>
      </w:r>
      <w:r w:rsidR="009D28F8">
        <w:rPr>
          <w:rFonts w:ascii="Arial" w:hAnsi="Arial" w:cs="Arial"/>
          <w:sz w:val="24"/>
          <w:szCs w:val="24"/>
        </w:rPr>
        <w:t xml:space="preserve"> the appellant and therefore no attack was continuing.</w:t>
      </w:r>
    </w:p>
    <w:p w14:paraId="58CC919D" w14:textId="77777777" w:rsidR="007971F0" w:rsidRDefault="007971F0" w:rsidP="004B0892">
      <w:pPr>
        <w:spacing w:after="0" w:line="360" w:lineRule="auto"/>
        <w:jc w:val="both"/>
        <w:rPr>
          <w:rFonts w:ascii="Arial" w:hAnsi="Arial" w:cs="Arial"/>
          <w:sz w:val="24"/>
          <w:szCs w:val="24"/>
        </w:rPr>
      </w:pPr>
    </w:p>
    <w:p w14:paraId="636FCAEF" w14:textId="50479ABE" w:rsidR="009D28F8" w:rsidRDefault="009D28F8" w:rsidP="004B0892">
      <w:pPr>
        <w:spacing w:after="0" w:line="360" w:lineRule="auto"/>
        <w:jc w:val="both"/>
        <w:rPr>
          <w:rFonts w:ascii="Arial" w:hAnsi="Arial" w:cs="Arial"/>
          <w:sz w:val="24"/>
          <w:szCs w:val="24"/>
        </w:rPr>
      </w:pPr>
    </w:p>
    <w:p w14:paraId="66083E44" w14:textId="65897208" w:rsidR="009D28F8" w:rsidRDefault="009D28F8" w:rsidP="004B0892">
      <w:pPr>
        <w:spacing w:after="0" w:line="360" w:lineRule="auto"/>
        <w:jc w:val="both"/>
        <w:rPr>
          <w:rFonts w:ascii="Arial" w:hAnsi="Arial" w:cs="Arial"/>
          <w:sz w:val="24"/>
          <w:szCs w:val="24"/>
          <w:u w:val="single"/>
        </w:rPr>
      </w:pPr>
      <w:r w:rsidRPr="009D28F8">
        <w:rPr>
          <w:rFonts w:ascii="Arial" w:hAnsi="Arial" w:cs="Arial"/>
          <w:sz w:val="24"/>
          <w:szCs w:val="24"/>
          <w:u w:val="single"/>
        </w:rPr>
        <w:t>Exhibit C</w:t>
      </w:r>
    </w:p>
    <w:p w14:paraId="64E891F1" w14:textId="77777777" w:rsidR="009D28F8" w:rsidRPr="009D28F8" w:rsidRDefault="009D28F8" w:rsidP="004B0892">
      <w:pPr>
        <w:spacing w:after="0" w:line="360" w:lineRule="auto"/>
        <w:jc w:val="both"/>
        <w:rPr>
          <w:rFonts w:ascii="Arial" w:hAnsi="Arial" w:cs="Arial"/>
          <w:sz w:val="24"/>
          <w:szCs w:val="24"/>
          <w:u w:val="single"/>
        </w:rPr>
      </w:pPr>
    </w:p>
    <w:p w14:paraId="08368D91" w14:textId="57FCC9AA" w:rsidR="009D28F8" w:rsidRDefault="00955F1F" w:rsidP="004B0892">
      <w:pPr>
        <w:spacing w:after="0" w:line="360" w:lineRule="auto"/>
        <w:jc w:val="both"/>
        <w:rPr>
          <w:rFonts w:ascii="Arial" w:hAnsi="Arial" w:cs="Arial"/>
          <w:sz w:val="24"/>
          <w:szCs w:val="24"/>
        </w:rPr>
      </w:pPr>
      <w:r>
        <w:rPr>
          <w:rFonts w:ascii="Arial" w:hAnsi="Arial" w:cs="Arial"/>
          <w:sz w:val="24"/>
          <w:szCs w:val="24"/>
        </w:rPr>
        <w:t>[18</w:t>
      </w:r>
      <w:r w:rsidR="009D28F8">
        <w:rPr>
          <w:rFonts w:ascii="Arial" w:hAnsi="Arial" w:cs="Arial"/>
          <w:sz w:val="24"/>
          <w:szCs w:val="24"/>
        </w:rPr>
        <w:t>]</w:t>
      </w:r>
      <w:r w:rsidR="009D28F8">
        <w:rPr>
          <w:rFonts w:ascii="Arial" w:hAnsi="Arial" w:cs="Arial"/>
          <w:sz w:val="24"/>
          <w:szCs w:val="24"/>
        </w:rPr>
        <w:tab/>
        <w:t>It is common cause that a note was found inside the house, the English portion reads ‘I did because he infected me with Aids and feels nothing about it’. In testimony</w:t>
      </w:r>
      <w:r w:rsidR="004247E0">
        <w:rPr>
          <w:rFonts w:ascii="Arial" w:hAnsi="Arial" w:cs="Arial"/>
          <w:sz w:val="24"/>
          <w:szCs w:val="24"/>
        </w:rPr>
        <w:t>,</w:t>
      </w:r>
      <w:r w:rsidR="009D28F8">
        <w:rPr>
          <w:rFonts w:ascii="Arial" w:hAnsi="Arial" w:cs="Arial"/>
          <w:sz w:val="24"/>
          <w:szCs w:val="24"/>
        </w:rPr>
        <w:t xml:space="preserve"> Dr Ludik</w:t>
      </w:r>
      <w:r w:rsidR="004247E0">
        <w:rPr>
          <w:rFonts w:ascii="Arial" w:hAnsi="Arial" w:cs="Arial"/>
          <w:sz w:val="24"/>
          <w:szCs w:val="24"/>
        </w:rPr>
        <w:t>,</w:t>
      </w:r>
      <w:r w:rsidR="009D28F8">
        <w:rPr>
          <w:rFonts w:ascii="Arial" w:hAnsi="Arial" w:cs="Arial"/>
          <w:sz w:val="24"/>
          <w:szCs w:val="24"/>
        </w:rPr>
        <w:t xml:space="preserve"> a handwriting expert found that he could not exclude the appellant as the author of the note. This court has t</w:t>
      </w:r>
      <w:r w:rsidR="004247E0">
        <w:rPr>
          <w:rFonts w:ascii="Arial" w:hAnsi="Arial" w:cs="Arial"/>
          <w:sz w:val="24"/>
          <w:szCs w:val="24"/>
        </w:rPr>
        <w:t>he benefit of the full record on</w:t>
      </w:r>
      <w:r w:rsidR="009D28F8">
        <w:rPr>
          <w:rFonts w:ascii="Arial" w:hAnsi="Arial" w:cs="Arial"/>
          <w:sz w:val="24"/>
          <w:szCs w:val="24"/>
        </w:rPr>
        <w:t xml:space="preserve"> appeal. The deceased and the appellant were in a relationship from 2003 to 2007. During mitigation the appellant testified that she found out in 2004 that she was HIV positive. The inference relied u</w:t>
      </w:r>
      <w:r w:rsidR="004247E0">
        <w:rPr>
          <w:rFonts w:ascii="Arial" w:hAnsi="Arial" w:cs="Arial"/>
          <w:sz w:val="24"/>
          <w:szCs w:val="24"/>
        </w:rPr>
        <w:t>pon by the learned magistrate is</w:t>
      </w:r>
      <w:r w:rsidR="009D28F8">
        <w:rPr>
          <w:rFonts w:ascii="Arial" w:hAnsi="Arial" w:cs="Arial"/>
          <w:sz w:val="24"/>
          <w:szCs w:val="24"/>
        </w:rPr>
        <w:t xml:space="preserve"> on these facts a reasonable inference that this court cannot interfere with. It is reasonable to infer that the note was written by the </w:t>
      </w:r>
      <w:r w:rsidR="009D28F8">
        <w:rPr>
          <w:rFonts w:ascii="Arial" w:hAnsi="Arial" w:cs="Arial"/>
          <w:sz w:val="24"/>
          <w:szCs w:val="24"/>
        </w:rPr>
        <w:lastRenderedPageBreak/>
        <w:t>person who shot the deceased. I therefore find that the inference by the learned magistrate was sound in the circumstances.</w:t>
      </w:r>
    </w:p>
    <w:p w14:paraId="65EAD7FA" w14:textId="7D6C7D0A" w:rsidR="009D5CE7" w:rsidRDefault="009D5CE7" w:rsidP="004B0892">
      <w:pPr>
        <w:spacing w:after="0" w:line="360" w:lineRule="auto"/>
        <w:jc w:val="both"/>
        <w:rPr>
          <w:rFonts w:ascii="Arial" w:hAnsi="Arial" w:cs="Arial"/>
          <w:sz w:val="24"/>
          <w:szCs w:val="24"/>
        </w:rPr>
      </w:pPr>
    </w:p>
    <w:p w14:paraId="3B4E3B84" w14:textId="553537C5" w:rsidR="009D5CE7" w:rsidRDefault="00955F1F" w:rsidP="004B0892">
      <w:pPr>
        <w:spacing w:after="0" w:line="360" w:lineRule="auto"/>
        <w:jc w:val="both"/>
        <w:rPr>
          <w:rFonts w:ascii="Arial" w:hAnsi="Arial" w:cs="Arial"/>
          <w:sz w:val="24"/>
          <w:szCs w:val="24"/>
        </w:rPr>
      </w:pPr>
      <w:r>
        <w:rPr>
          <w:rFonts w:ascii="Arial" w:hAnsi="Arial" w:cs="Arial"/>
          <w:sz w:val="24"/>
          <w:szCs w:val="24"/>
        </w:rPr>
        <w:t>[19</w:t>
      </w:r>
      <w:r w:rsidR="009D5CE7">
        <w:rPr>
          <w:rFonts w:ascii="Arial" w:hAnsi="Arial" w:cs="Arial"/>
          <w:sz w:val="24"/>
          <w:szCs w:val="24"/>
        </w:rPr>
        <w:t>]</w:t>
      </w:r>
      <w:r w:rsidR="009D5CE7">
        <w:rPr>
          <w:rFonts w:ascii="Arial" w:hAnsi="Arial" w:cs="Arial"/>
          <w:sz w:val="24"/>
          <w:szCs w:val="24"/>
        </w:rPr>
        <w:tab/>
        <w:t>On 9 February 2018 prior to sentence being passed by the court a quo the appellant</w:t>
      </w:r>
      <w:r w:rsidR="004247E0">
        <w:rPr>
          <w:rFonts w:ascii="Arial" w:hAnsi="Arial" w:cs="Arial"/>
          <w:sz w:val="24"/>
          <w:szCs w:val="24"/>
        </w:rPr>
        <w:t>,</w:t>
      </w:r>
      <w:r w:rsidR="009D5CE7">
        <w:rPr>
          <w:rFonts w:ascii="Arial" w:hAnsi="Arial" w:cs="Arial"/>
          <w:sz w:val="24"/>
          <w:szCs w:val="24"/>
        </w:rPr>
        <w:t xml:space="preserve"> whilst represented legally by </w:t>
      </w:r>
      <w:r w:rsidR="00655908">
        <w:rPr>
          <w:rFonts w:ascii="Arial" w:hAnsi="Arial" w:cs="Arial"/>
          <w:sz w:val="24"/>
          <w:szCs w:val="24"/>
        </w:rPr>
        <w:t>Ms.</w:t>
      </w:r>
      <w:r w:rsidR="009D5CE7">
        <w:rPr>
          <w:rFonts w:ascii="Arial" w:hAnsi="Arial" w:cs="Arial"/>
          <w:sz w:val="24"/>
          <w:szCs w:val="24"/>
        </w:rPr>
        <w:t xml:space="preserve"> Tomas</w:t>
      </w:r>
      <w:r w:rsidR="007971F0">
        <w:rPr>
          <w:rFonts w:ascii="Arial" w:hAnsi="Arial" w:cs="Arial"/>
          <w:sz w:val="24"/>
          <w:szCs w:val="24"/>
        </w:rPr>
        <w:t>,</w:t>
      </w:r>
      <w:r w:rsidR="009D5CE7">
        <w:rPr>
          <w:rFonts w:ascii="Arial" w:hAnsi="Arial" w:cs="Arial"/>
          <w:sz w:val="24"/>
          <w:szCs w:val="24"/>
        </w:rPr>
        <w:t xml:space="preserve"> indicated that the judgment of the learned magistrate was 101% corre</w:t>
      </w:r>
      <w:r w:rsidR="007971F0">
        <w:rPr>
          <w:rFonts w:ascii="Arial" w:hAnsi="Arial" w:cs="Arial"/>
          <w:sz w:val="24"/>
          <w:szCs w:val="24"/>
        </w:rPr>
        <w:t>ct and reflected what happened. She</w:t>
      </w:r>
      <w:r w:rsidR="009D5CE7">
        <w:rPr>
          <w:rFonts w:ascii="Arial" w:hAnsi="Arial" w:cs="Arial"/>
          <w:sz w:val="24"/>
          <w:szCs w:val="24"/>
        </w:rPr>
        <w:t xml:space="preserve"> further admitted that she wrote exhibit C. The appellant additionally handed in an affidavit attested before a commissioner of oath</w:t>
      </w:r>
      <w:r w:rsidR="00655908">
        <w:rPr>
          <w:rFonts w:ascii="Arial" w:hAnsi="Arial" w:cs="Arial"/>
          <w:sz w:val="24"/>
          <w:szCs w:val="24"/>
        </w:rPr>
        <w:t>s which confirmed what she did</w:t>
      </w:r>
      <w:r w:rsidR="009D5CE7">
        <w:rPr>
          <w:rFonts w:ascii="Arial" w:hAnsi="Arial" w:cs="Arial"/>
          <w:sz w:val="24"/>
          <w:szCs w:val="24"/>
        </w:rPr>
        <w:t>. As I have indicated</w:t>
      </w:r>
      <w:r w:rsidR="00655908">
        <w:rPr>
          <w:rFonts w:ascii="Arial" w:hAnsi="Arial" w:cs="Arial"/>
          <w:sz w:val="24"/>
          <w:szCs w:val="24"/>
        </w:rPr>
        <w:t>,</w:t>
      </w:r>
      <w:r w:rsidR="009D5CE7">
        <w:rPr>
          <w:rFonts w:ascii="Arial" w:hAnsi="Arial" w:cs="Arial"/>
          <w:sz w:val="24"/>
          <w:szCs w:val="24"/>
        </w:rPr>
        <w:t xml:space="preserve"> on appeal the court has the whole record of proceedings and is entitled to rely on any evidence contained in the re</w:t>
      </w:r>
      <w:r w:rsidR="00655908">
        <w:rPr>
          <w:rFonts w:ascii="Arial" w:hAnsi="Arial" w:cs="Arial"/>
          <w:sz w:val="24"/>
          <w:szCs w:val="24"/>
        </w:rPr>
        <w:t>cord. I find that the admissions which were</w:t>
      </w:r>
      <w:r w:rsidR="009D5CE7">
        <w:rPr>
          <w:rFonts w:ascii="Arial" w:hAnsi="Arial" w:cs="Arial"/>
          <w:sz w:val="24"/>
          <w:szCs w:val="24"/>
        </w:rPr>
        <w:t xml:space="preserve"> made in the presence of counsel </w:t>
      </w:r>
      <w:r w:rsidR="007971F0">
        <w:rPr>
          <w:rFonts w:ascii="Arial" w:hAnsi="Arial" w:cs="Arial"/>
          <w:sz w:val="24"/>
          <w:szCs w:val="24"/>
        </w:rPr>
        <w:t>gives detail</w:t>
      </w:r>
      <w:r w:rsidR="009D5CE7">
        <w:rPr>
          <w:rFonts w:ascii="Arial" w:hAnsi="Arial" w:cs="Arial"/>
          <w:sz w:val="24"/>
          <w:szCs w:val="24"/>
        </w:rPr>
        <w:t xml:space="preserve"> as to how and why the k</w:t>
      </w:r>
      <w:r w:rsidR="00655908">
        <w:rPr>
          <w:rFonts w:ascii="Arial" w:hAnsi="Arial" w:cs="Arial"/>
          <w:sz w:val="24"/>
          <w:szCs w:val="24"/>
        </w:rPr>
        <w:t>illing of the deceased occurred and confirmed the court</w:t>
      </w:r>
      <w:r w:rsidR="007971F0">
        <w:rPr>
          <w:rFonts w:ascii="Arial" w:hAnsi="Arial" w:cs="Arial"/>
          <w:sz w:val="24"/>
          <w:szCs w:val="24"/>
        </w:rPr>
        <w:t>’</w:t>
      </w:r>
      <w:r w:rsidR="00655908">
        <w:rPr>
          <w:rFonts w:ascii="Arial" w:hAnsi="Arial" w:cs="Arial"/>
          <w:sz w:val="24"/>
          <w:szCs w:val="24"/>
        </w:rPr>
        <w:t>s findings.</w:t>
      </w:r>
      <w:r w:rsidR="009D5CE7">
        <w:rPr>
          <w:rFonts w:ascii="Arial" w:hAnsi="Arial" w:cs="Arial"/>
          <w:sz w:val="24"/>
          <w:szCs w:val="24"/>
        </w:rPr>
        <w:t xml:space="preserve"> I accordingly dismiss the appeal against conviction as having no merit.</w:t>
      </w:r>
    </w:p>
    <w:p w14:paraId="4605E610" w14:textId="417B8947" w:rsidR="009D5CE7" w:rsidRDefault="009D5CE7" w:rsidP="004B0892">
      <w:pPr>
        <w:spacing w:after="0" w:line="360" w:lineRule="auto"/>
        <w:jc w:val="both"/>
        <w:rPr>
          <w:rFonts w:ascii="Arial" w:hAnsi="Arial" w:cs="Arial"/>
          <w:sz w:val="24"/>
          <w:szCs w:val="24"/>
        </w:rPr>
      </w:pPr>
      <w:r>
        <w:rPr>
          <w:rFonts w:ascii="Arial" w:hAnsi="Arial" w:cs="Arial"/>
          <w:sz w:val="24"/>
          <w:szCs w:val="24"/>
        </w:rPr>
        <w:t xml:space="preserve"> </w:t>
      </w:r>
    </w:p>
    <w:p w14:paraId="76341126" w14:textId="2FC446EB" w:rsidR="00C61C7A" w:rsidRPr="00C61C7A" w:rsidRDefault="00C61C7A" w:rsidP="004B0892">
      <w:pPr>
        <w:spacing w:after="0" w:line="360" w:lineRule="auto"/>
        <w:jc w:val="both"/>
        <w:rPr>
          <w:rFonts w:ascii="Arial" w:hAnsi="Arial" w:cs="Arial"/>
          <w:sz w:val="24"/>
          <w:szCs w:val="24"/>
          <w:u w:val="single"/>
        </w:rPr>
      </w:pPr>
      <w:r w:rsidRPr="00C61C7A">
        <w:rPr>
          <w:rFonts w:ascii="Arial" w:hAnsi="Arial" w:cs="Arial"/>
          <w:sz w:val="24"/>
          <w:szCs w:val="24"/>
          <w:u w:val="single"/>
        </w:rPr>
        <w:t>Sentence</w:t>
      </w:r>
    </w:p>
    <w:p w14:paraId="3DEBD27C" w14:textId="77777777" w:rsidR="00EB6AAB" w:rsidRDefault="00EB6AAB" w:rsidP="004B0892">
      <w:pPr>
        <w:spacing w:after="0" w:line="360" w:lineRule="auto"/>
        <w:jc w:val="both"/>
        <w:rPr>
          <w:rFonts w:ascii="Arial" w:hAnsi="Arial" w:cs="Arial"/>
          <w:sz w:val="24"/>
          <w:szCs w:val="24"/>
        </w:rPr>
      </w:pPr>
    </w:p>
    <w:p w14:paraId="2EEEBFA8" w14:textId="7F653DC6" w:rsidR="00C61C7A" w:rsidRDefault="00955F1F" w:rsidP="004B0892">
      <w:pPr>
        <w:spacing w:after="0" w:line="360" w:lineRule="auto"/>
        <w:jc w:val="both"/>
        <w:rPr>
          <w:rFonts w:ascii="Arial" w:hAnsi="Arial" w:cs="Arial"/>
          <w:sz w:val="24"/>
          <w:szCs w:val="24"/>
        </w:rPr>
      </w:pPr>
      <w:r>
        <w:rPr>
          <w:rFonts w:ascii="Arial" w:hAnsi="Arial" w:cs="Arial"/>
          <w:sz w:val="24"/>
          <w:szCs w:val="24"/>
        </w:rPr>
        <w:t>[20</w:t>
      </w:r>
      <w:r w:rsidR="00FE5CBB" w:rsidRPr="00090195">
        <w:rPr>
          <w:rFonts w:ascii="Arial" w:hAnsi="Arial" w:cs="Arial"/>
          <w:sz w:val="24"/>
          <w:szCs w:val="24"/>
        </w:rPr>
        <w:t>]</w:t>
      </w:r>
      <w:r w:rsidR="00FE5CBB">
        <w:rPr>
          <w:rFonts w:ascii="Arial" w:hAnsi="Arial" w:cs="Arial"/>
          <w:sz w:val="24"/>
          <w:szCs w:val="24"/>
        </w:rPr>
        <w:tab/>
      </w:r>
      <w:r w:rsidR="00C61C7A">
        <w:rPr>
          <w:rFonts w:ascii="Arial" w:hAnsi="Arial" w:cs="Arial"/>
          <w:sz w:val="24"/>
          <w:szCs w:val="24"/>
        </w:rPr>
        <w:t xml:space="preserve">The appellant appeals against sentence on the basis that the </w:t>
      </w:r>
      <w:r w:rsidR="00F442B6">
        <w:rPr>
          <w:rFonts w:ascii="Arial" w:hAnsi="Arial" w:cs="Arial"/>
          <w:sz w:val="24"/>
          <w:szCs w:val="24"/>
        </w:rPr>
        <w:t>learne</w:t>
      </w:r>
      <w:r w:rsidR="00C61C7A">
        <w:rPr>
          <w:rFonts w:ascii="Arial" w:hAnsi="Arial" w:cs="Arial"/>
          <w:sz w:val="24"/>
          <w:szCs w:val="24"/>
        </w:rPr>
        <w:t xml:space="preserve">d magistrate erred </w:t>
      </w:r>
      <w:r w:rsidR="009D5CE7">
        <w:rPr>
          <w:rFonts w:ascii="Arial" w:hAnsi="Arial" w:cs="Arial"/>
          <w:sz w:val="24"/>
          <w:szCs w:val="24"/>
        </w:rPr>
        <w:t>by failing to properly apply factors to be taken into consideration and over emphasi</w:t>
      </w:r>
      <w:r w:rsidR="001B1B67">
        <w:rPr>
          <w:rFonts w:ascii="Arial" w:hAnsi="Arial" w:cs="Arial"/>
          <w:sz w:val="24"/>
          <w:szCs w:val="24"/>
        </w:rPr>
        <w:t>zing deterrence and retribution factors over the personal circumstances of the appellant.</w:t>
      </w:r>
      <w:r w:rsidR="00C61C7A">
        <w:rPr>
          <w:rFonts w:ascii="Arial" w:hAnsi="Arial" w:cs="Arial"/>
          <w:sz w:val="24"/>
          <w:szCs w:val="24"/>
        </w:rPr>
        <w:t xml:space="preserve"> The approach to an appeal against sentence was set out as follows </w:t>
      </w:r>
      <w:r w:rsidR="00C61C7A" w:rsidRPr="000108C6">
        <w:rPr>
          <w:rFonts w:ascii="Arial" w:hAnsi="Arial" w:cs="Arial"/>
          <w:sz w:val="24"/>
          <w:szCs w:val="24"/>
        </w:rPr>
        <w:t>in</w:t>
      </w:r>
      <w:r w:rsidR="00C61C7A" w:rsidRPr="000108C6">
        <w:rPr>
          <w:rFonts w:ascii="Arial" w:hAnsi="Arial" w:cs="Arial"/>
          <w:i/>
          <w:iCs/>
          <w:sz w:val="24"/>
          <w:szCs w:val="24"/>
        </w:rPr>
        <w:t xml:space="preserve"> S vs Tjiho</w:t>
      </w:r>
      <w:r w:rsidR="00C61C7A">
        <w:rPr>
          <w:rStyle w:val="FootnoteReference"/>
          <w:rFonts w:ascii="Arial" w:hAnsi="Arial" w:cs="Arial"/>
          <w:sz w:val="24"/>
          <w:szCs w:val="24"/>
        </w:rPr>
        <w:footnoteReference w:id="9"/>
      </w:r>
      <w:r w:rsidR="00C61C7A">
        <w:rPr>
          <w:rFonts w:ascii="Arial" w:hAnsi="Arial" w:cs="Arial"/>
          <w:sz w:val="24"/>
          <w:szCs w:val="24"/>
        </w:rPr>
        <w:t>:</w:t>
      </w:r>
    </w:p>
    <w:p w14:paraId="126B5402" w14:textId="77777777" w:rsidR="00215A83" w:rsidRDefault="00215A83" w:rsidP="004B0892">
      <w:pPr>
        <w:spacing w:after="0" w:line="360" w:lineRule="auto"/>
        <w:jc w:val="both"/>
        <w:rPr>
          <w:rFonts w:ascii="Arial" w:hAnsi="Arial" w:cs="Arial"/>
          <w:sz w:val="24"/>
          <w:szCs w:val="24"/>
        </w:rPr>
      </w:pPr>
    </w:p>
    <w:p w14:paraId="6451452C" w14:textId="77777777" w:rsidR="004247E0" w:rsidRDefault="004247E0" w:rsidP="004B0892">
      <w:pPr>
        <w:spacing w:after="0" w:line="360" w:lineRule="auto"/>
        <w:jc w:val="both"/>
        <w:rPr>
          <w:rFonts w:ascii="Arial" w:hAnsi="Arial" w:cs="Arial"/>
          <w:sz w:val="24"/>
          <w:szCs w:val="24"/>
        </w:rPr>
      </w:pPr>
    </w:p>
    <w:p w14:paraId="101E4F4A" w14:textId="625BA35F" w:rsidR="00C61C7A" w:rsidRPr="00215A83" w:rsidRDefault="00C61C7A" w:rsidP="004B0892">
      <w:pPr>
        <w:spacing w:after="0" w:line="360" w:lineRule="auto"/>
        <w:jc w:val="both"/>
        <w:rPr>
          <w:rFonts w:ascii="Arial" w:hAnsi="Arial" w:cs="Arial"/>
        </w:rPr>
      </w:pPr>
      <w:r>
        <w:rPr>
          <w:rFonts w:ascii="Arial" w:hAnsi="Arial" w:cs="Arial"/>
          <w:sz w:val="24"/>
          <w:szCs w:val="24"/>
        </w:rPr>
        <w:tab/>
      </w:r>
      <w:r w:rsidRPr="00215A83">
        <w:rPr>
          <w:rFonts w:ascii="Arial" w:hAnsi="Arial" w:cs="Arial"/>
        </w:rPr>
        <w:tab/>
      </w:r>
      <w:r w:rsidR="000108C6" w:rsidRPr="00215A83">
        <w:rPr>
          <w:rFonts w:ascii="Arial" w:hAnsi="Arial" w:cs="Arial"/>
        </w:rPr>
        <w:t>‘</w:t>
      </w:r>
      <w:r w:rsidRPr="00215A83">
        <w:rPr>
          <w:rFonts w:ascii="Arial" w:hAnsi="Arial" w:cs="Arial"/>
        </w:rPr>
        <w:t>The appeal court is entitled to interfere with a sentence if:</w:t>
      </w:r>
    </w:p>
    <w:p w14:paraId="00650756" w14:textId="3ED715A8" w:rsidR="00C61C7A" w:rsidRPr="00215A83" w:rsidRDefault="00C61C7A" w:rsidP="004B0892">
      <w:pPr>
        <w:spacing w:after="0" w:line="360" w:lineRule="auto"/>
        <w:jc w:val="both"/>
        <w:rPr>
          <w:rFonts w:ascii="Arial" w:hAnsi="Arial" w:cs="Arial"/>
        </w:rPr>
      </w:pPr>
    </w:p>
    <w:p w14:paraId="5C669656" w14:textId="42D113B2" w:rsidR="00C61C7A" w:rsidRPr="00215A83" w:rsidRDefault="00C61C7A" w:rsidP="004B0892">
      <w:pPr>
        <w:spacing w:after="0" w:line="360" w:lineRule="auto"/>
        <w:jc w:val="both"/>
        <w:rPr>
          <w:rFonts w:ascii="Arial" w:hAnsi="Arial" w:cs="Arial"/>
        </w:rPr>
      </w:pPr>
      <w:r w:rsidRPr="00215A83">
        <w:rPr>
          <w:rFonts w:ascii="Arial" w:hAnsi="Arial" w:cs="Arial"/>
        </w:rPr>
        <w:tab/>
      </w:r>
      <w:r w:rsidRPr="00215A83">
        <w:rPr>
          <w:rFonts w:ascii="Arial" w:hAnsi="Arial" w:cs="Arial"/>
        </w:rPr>
        <w:tab/>
        <w:t>(a) the trial court misdirected itself on the facts or on the law;</w:t>
      </w:r>
    </w:p>
    <w:p w14:paraId="69ED67A8" w14:textId="4AE328B3" w:rsidR="00C61C7A" w:rsidRPr="00215A83" w:rsidRDefault="00C61C7A" w:rsidP="004B0892">
      <w:pPr>
        <w:spacing w:after="0" w:line="360" w:lineRule="auto"/>
        <w:ind w:left="1440"/>
        <w:jc w:val="both"/>
        <w:rPr>
          <w:rFonts w:ascii="Arial" w:hAnsi="Arial" w:cs="Arial"/>
        </w:rPr>
      </w:pPr>
      <w:r w:rsidRPr="00215A83">
        <w:rPr>
          <w:rFonts w:ascii="Arial" w:hAnsi="Arial" w:cs="Arial"/>
        </w:rPr>
        <w:t>(b) an irregularity which was material occurred during the sentencing proceedings;</w:t>
      </w:r>
    </w:p>
    <w:p w14:paraId="555F0A25" w14:textId="1B2DCD56" w:rsidR="00C61C7A" w:rsidRPr="00215A83" w:rsidRDefault="00C61C7A" w:rsidP="004B0892">
      <w:pPr>
        <w:spacing w:after="0" w:line="360" w:lineRule="auto"/>
        <w:ind w:left="1440"/>
        <w:jc w:val="both"/>
        <w:rPr>
          <w:rFonts w:ascii="Arial" w:hAnsi="Arial" w:cs="Arial"/>
        </w:rPr>
      </w:pPr>
      <w:r w:rsidRPr="00215A83">
        <w:rPr>
          <w:rFonts w:ascii="Arial" w:hAnsi="Arial" w:cs="Arial"/>
        </w:rPr>
        <w:t>(c) the trial court failed to take into account material facts or that emphasised the importance of other facts;</w:t>
      </w:r>
    </w:p>
    <w:p w14:paraId="6FB90EB9" w14:textId="221D3D4E" w:rsidR="00C61C7A" w:rsidRPr="00215A83" w:rsidRDefault="00C61C7A" w:rsidP="004B0892">
      <w:pPr>
        <w:spacing w:after="0" w:line="360" w:lineRule="auto"/>
        <w:ind w:left="1440"/>
        <w:jc w:val="both"/>
        <w:rPr>
          <w:rFonts w:ascii="Arial" w:hAnsi="Arial" w:cs="Arial"/>
        </w:rPr>
      </w:pPr>
      <w:r w:rsidRPr="00215A83">
        <w:rPr>
          <w:rFonts w:ascii="Arial" w:hAnsi="Arial" w:cs="Arial"/>
        </w:rPr>
        <w:t xml:space="preserve">(d) the sentence imposed is </w:t>
      </w:r>
      <w:r w:rsidR="00CC1076" w:rsidRPr="00215A83">
        <w:rPr>
          <w:rFonts w:ascii="Arial" w:hAnsi="Arial" w:cs="Arial"/>
        </w:rPr>
        <w:t>startlingly</w:t>
      </w:r>
      <w:r w:rsidRPr="00215A83">
        <w:rPr>
          <w:rFonts w:ascii="Arial" w:hAnsi="Arial" w:cs="Arial"/>
        </w:rPr>
        <w:t xml:space="preserve"> inappropriate, induces a sense of shock and there is a striking disparity between the sentence imposed by the trial court and that which would have been imposed by a court of appeal.</w:t>
      </w:r>
      <w:r w:rsidR="000108C6" w:rsidRPr="00215A83">
        <w:rPr>
          <w:rFonts w:ascii="Arial" w:hAnsi="Arial" w:cs="Arial"/>
        </w:rPr>
        <w:t>’</w:t>
      </w:r>
    </w:p>
    <w:p w14:paraId="00CCB7BD" w14:textId="48B16C4E" w:rsidR="00C61C7A" w:rsidRDefault="00C61C7A" w:rsidP="004B0892">
      <w:pPr>
        <w:spacing w:after="0" w:line="360" w:lineRule="auto"/>
        <w:jc w:val="both"/>
        <w:rPr>
          <w:rFonts w:ascii="Arial" w:hAnsi="Arial" w:cs="Arial"/>
        </w:rPr>
      </w:pPr>
    </w:p>
    <w:p w14:paraId="12AD1D57" w14:textId="16A04B1A" w:rsidR="00D07A3C" w:rsidRDefault="00955F1F" w:rsidP="00D07A3C">
      <w:pPr>
        <w:spacing w:after="0" w:line="360" w:lineRule="auto"/>
        <w:jc w:val="both"/>
        <w:rPr>
          <w:rFonts w:ascii="Arial" w:hAnsi="Arial" w:cs="Arial"/>
          <w:sz w:val="24"/>
          <w:szCs w:val="24"/>
          <w:lang w:val="en-ZA"/>
        </w:rPr>
      </w:pPr>
      <w:r>
        <w:rPr>
          <w:rFonts w:ascii="Arial" w:hAnsi="Arial" w:cs="Arial"/>
          <w:sz w:val="24"/>
          <w:szCs w:val="24"/>
        </w:rPr>
        <w:lastRenderedPageBreak/>
        <w:t>[21</w:t>
      </w:r>
      <w:r w:rsidR="00C61C7A">
        <w:rPr>
          <w:rFonts w:ascii="Arial" w:hAnsi="Arial" w:cs="Arial"/>
          <w:sz w:val="24"/>
          <w:szCs w:val="24"/>
        </w:rPr>
        <w:t>]</w:t>
      </w:r>
      <w:r w:rsidR="00C61C7A">
        <w:rPr>
          <w:rFonts w:ascii="Arial" w:hAnsi="Arial" w:cs="Arial"/>
          <w:sz w:val="24"/>
          <w:szCs w:val="24"/>
        </w:rPr>
        <w:tab/>
        <w:t xml:space="preserve">In </w:t>
      </w:r>
      <w:r w:rsidR="004247E0">
        <w:rPr>
          <w:rFonts w:ascii="Arial" w:hAnsi="Arial" w:cs="Arial"/>
          <w:i/>
          <w:iCs/>
          <w:sz w:val="24"/>
          <w:szCs w:val="24"/>
        </w:rPr>
        <w:t>Shikulo v</w:t>
      </w:r>
      <w:r w:rsidR="00C61C7A" w:rsidRPr="000108C6">
        <w:rPr>
          <w:rFonts w:ascii="Arial" w:hAnsi="Arial" w:cs="Arial"/>
          <w:i/>
          <w:iCs/>
          <w:sz w:val="24"/>
          <w:szCs w:val="24"/>
        </w:rPr>
        <w:t xml:space="preserve"> </w:t>
      </w:r>
      <w:r w:rsidR="00A4739F" w:rsidRPr="000108C6">
        <w:rPr>
          <w:rFonts w:ascii="Arial" w:hAnsi="Arial" w:cs="Arial"/>
          <w:i/>
          <w:iCs/>
          <w:sz w:val="24"/>
          <w:szCs w:val="24"/>
        </w:rPr>
        <w:t>S</w:t>
      </w:r>
      <w:r w:rsidR="00C61C7A" w:rsidRPr="000108C6">
        <w:rPr>
          <w:rFonts w:ascii="Arial" w:hAnsi="Arial" w:cs="Arial"/>
          <w:i/>
          <w:iCs/>
          <w:sz w:val="24"/>
          <w:szCs w:val="24"/>
        </w:rPr>
        <w:t>tate</w:t>
      </w:r>
      <w:r w:rsidR="00A4739F">
        <w:rPr>
          <w:rStyle w:val="FootnoteReference"/>
          <w:rFonts w:ascii="Arial" w:hAnsi="Arial" w:cs="Arial"/>
          <w:sz w:val="24"/>
          <w:szCs w:val="24"/>
        </w:rPr>
        <w:footnoteReference w:id="10"/>
      </w:r>
      <w:r w:rsidR="00C61C7A">
        <w:rPr>
          <w:rFonts w:ascii="Arial" w:hAnsi="Arial" w:cs="Arial"/>
          <w:sz w:val="24"/>
          <w:szCs w:val="24"/>
        </w:rPr>
        <w:t xml:space="preserve"> the court held that an appeal court could only interfere with the sentence imposed by the trial court if</w:t>
      </w:r>
      <w:r w:rsidR="00A4739F">
        <w:rPr>
          <w:rFonts w:ascii="Arial" w:hAnsi="Arial" w:cs="Arial"/>
          <w:sz w:val="24"/>
          <w:szCs w:val="24"/>
        </w:rPr>
        <w:t xml:space="preserve"> the alleged misdirection was of such a nature, degree or seriousness that it shows directly or indirectly that the trial court did not exercise its discretion or exercised its discretion improperly or unreasonably. I must therefore</w:t>
      </w:r>
      <w:r w:rsidR="00FA2334">
        <w:rPr>
          <w:rFonts w:ascii="Arial" w:hAnsi="Arial" w:cs="Arial"/>
          <w:sz w:val="24"/>
          <w:szCs w:val="24"/>
        </w:rPr>
        <w:t>,</w:t>
      </w:r>
      <w:r w:rsidR="00A4739F">
        <w:rPr>
          <w:rFonts w:ascii="Arial" w:hAnsi="Arial" w:cs="Arial"/>
          <w:sz w:val="24"/>
          <w:szCs w:val="24"/>
        </w:rPr>
        <w:t xml:space="preserve"> consider not just whether there was a misdirection but rather whether the misdirection was of such a degree of seriousness as to demonstrate that the trial court did not exercise its sentencing discretion judiciously. I do not find that to be the case and</w:t>
      </w:r>
      <w:r w:rsidR="004247E0">
        <w:rPr>
          <w:rFonts w:ascii="Arial" w:hAnsi="Arial" w:cs="Arial"/>
          <w:sz w:val="24"/>
          <w:szCs w:val="24"/>
        </w:rPr>
        <w:t xml:space="preserve"> accordingly</w:t>
      </w:r>
      <w:r w:rsidR="00A4739F">
        <w:rPr>
          <w:rFonts w:ascii="Arial" w:hAnsi="Arial" w:cs="Arial"/>
          <w:sz w:val="24"/>
          <w:szCs w:val="24"/>
        </w:rPr>
        <w:t xml:space="preserve"> find that the sentence imposed by the trial court was imposed after the proper exercise of discretion by the trial court.</w:t>
      </w:r>
      <w:r w:rsidR="00A00F6D">
        <w:rPr>
          <w:rFonts w:ascii="Arial" w:hAnsi="Arial" w:cs="Arial"/>
          <w:sz w:val="24"/>
          <w:szCs w:val="24"/>
        </w:rPr>
        <w:t xml:space="preserve"> </w:t>
      </w:r>
      <w:r w:rsidR="00A00F6D" w:rsidRPr="00A00F6D">
        <w:rPr>
          <w:rFonts w:ascii="Arial" w:hAnsi="Arial" w:cs="Arial"/>
          <w:sz w:val="24"/>
          <w:szCs w:val="24"/>
          <w:lang w:val="en-ZA"/>
        </w:rPr>
        <w:t xml:space="preserve">In my respectful view </w:t>
      </w:r>
      <w:r w:rsidR="00D07A3C" w:rsidRPr="00A00F6D">
        <w:rPr>
          <w:rFonts w:ascii="Arial" w:hAnsi="Arial" w:cs="Arial"/>
          <w:sz w:val="24"/>
          <w:szCs w:val="24"/>
          <w:lang w:val="en-ZA"/>
        </w:rPr>
        <w:t xml:space="preserve">the </w:t>
      </w:r>
      <w:r w:rsidR="00D07A3C">
        <w:rPr>
          <w:rFonts w:ascii="Arial" w:hAnsi="Arial" w:cs="Arial"/>
          <w:sz w:val="24"/>
          <w:szCs w:val="24"/>
          <w:lang w:val="en-ZA"/>
        </w:rPr>
        <w:t>sentence imposed is neither inappropriate, nor does it induce a sense of shock.</w:t>
      </w:r>
    </w:p>
    <w:p w14:paraId="5994D157" w14:textId="466982B3" w:rsidR="00C61C7A" w:rsidRDefault="00C61C7A" w:rsidP="004B0892">
      <w:pPr>
        <w:spacing w:after="0" w:line="360" w:lineRule="auto"/>
        <w:jc w:val="both"/>
        <w:rPr>
          <w:rFonts w:ascii="Arial" w:hAnsi="Arial" w:cs="Arial"/>
          <w:sz w:val="24"/>
          <w:szCs w:val="24"/>
        </w:rPr>
      </w:pPr>
    </w:p>
    <w:p w14:paraId="634CA922" w14:textId="0F0169DA" w:rsidR="00FA2334" w:rsidRDefault="00FA2334" w:rsidP="004B0892">
      <w:pPr>
        <w:spacing w:after="0" w:line="360" w:lineRule="auto"/>
        <w:jc w:val="both"/>
        <w:rPr>
          <w:rFonts w:ascii="Arial" w:hAnsi="Arial" w:cs="Arial"/>
          <w:sz w:val="24"/>
          <w:szCs w:val="24"/>
        </w:rPr>
      </w:pPr>
    </w:p>
    <w:p w14:paraId="44468445" w14:textId="2C1C7A1B" w:rsidR="00FA2334" w:rsidRDefault="00FA2334" w:rsidP="004B0892">
      <w:pPr>
        <w:spacing w:after="0" w:line="360" w:lineRule="auto"/>
        <w:jc w:val="both"/>
        <w:rPr>
          <w:rFonts w:ascii="Arial" w:hAnsi="Arial" w:cs="Arial"/>
          <w:sz w:val="24"/>
          <w:szCs w:val="24"/>
          <w:u w:val="single"/>
        </w:rPr>
      </w:pPr>
      <w:r w:rsidRPr="00FA2334">
        <w:rPr>
          <w:rFonts w:ascii="Arial" w:hAnsi="Arial" w:cs="Arial"/>
          <w:sz w:val="24"/>
          <w:szCs w:val="24"/>
          <w:u w:val="single"/>
        </w:rPr>
        <w:t>Conclusion</w:t>
      </w:r>
    </w:p>
    <w:p w14:paraId="5B853732" w14:textId="20A36DC1" w:rsidR="00FA2334" w:rsidRDefault="00FA2334" w:rsidP="004B0892">
      <w:pPr>
        <w:spacing w:after="0" w:line="360" w:lineRule="auto"/>
        <w:jc w:val="both"/>
        <w:rPr>
          <w:rFonts w:ascii="Arial" w:hAnsi="Arial" w:cs="Arial"/>
          <w:sz w:val="24"/>
          <w:szCs w:val="24"/>
          <w:u w:val="single"/>
        </w:rPr>
      </w:pPr>
    </w:p>
    <w:p w14:paraId="38B650DE" w14:textId="77FB5F27" w:rsidR="00FA2334" w:rsidRPr="00FA2334" w:rsidRDefault="00955F1F" w:rsidP="004B0892">
      <w:pPr>
        <w:spacing w:after="0" w:line="360" w:lineRule="auto"/>
        <w:jc w:val="both"/>
        <w:rPr>
          <w:rFonts w:ascii="Arial" w:hAnsi="Arial" w:cs="Arial"/>
          <w:sz w:val="24"/>
          <w:szCs w:val="24"/>
        </w:rPr>
      </w:pPr>
      <w:r>
        <w:rPr>
          <w:rFonts w:ascii="Arial" w:hAnsi="Arial" w:cs="Arial"/>
          <w:sz w:val="24"/>
          <w:szCs w:val="24"/>
        </w:rPr>
        <w:t>[22</w:t>
      </w:r>
      <w:r w:rsidR="00FA2334" w:rsidRPr="00FA2334">
        <w:rPr>
          <w:rFonts w:ascii="Arial" w:hAnsi="Arial" w:cs="Arial"/>
          <w:sz w:val="24"/>
          <w:szCs w:val="24"/>
        </w:rPr>
        <w:t>]</w:t>
      </w:r>
      <w:r w:rsidR="00FA2334">
        <w:rPr>
          <w:rFonts w:ascii="Arial" w:hAnsi="Arial" w:cs="Arial"/>
          <w:sz w:val="24"/>
          <w:szCs w:val="24"/>
        </w:rPr>
        <w:tab/>
      </w:r>
      <w:r w:rsidR="00C66A2F" w:rsidRPr="00C66A2F">
        <w:rPr>
          <w:rFonts w:ascii="Arial" w:hAnsi="Arial" w:cs="Arial"/>
          <w:sz w:val="24"/>
          <w:szCs w:val="24"/>
          <w:lang w:val="en-ZA"/>
        </w:rPr>
        <w:t>In the result, the court is not sa</w:t>
      </w:r>
      <w:r w:rsidR="0071497A">
        <w:rPr>
          <w:rFonts w:ascii="Arial" w:hAnsi="Arial" w:cs="Arial"/>
          <w:sz w:val="24"/>
          <w:szCs w:val="24"/>
          <w:lang w:val="en-ZA"/>
        </w:rPr>
        <w:t>tisfied that</w:t>
      </w:r>
      <w:r w:rsidR="005C4ADC">
        <w:rPr>
          <w:rFonts w:ascii="Arial" w:hAnsi="Arial" w:cs="Arial"/>
          <w:sz w:val="24"/>
          <w:szCs w:val="24"/>
          <w:lang w:val="en-ZA"/>
        </w:rPr>
        <w:t xml:space="preserve"> there are</w:t>
      </w:r>
      <w:r w:rsidR="00C66A2F" w:rsidRPr="00C66A2F">
        <w:rPr>
          <w:rFonts w:ascii="Arial" w:hAnsi="Arial" w:cs="Arial"/>
          <w:sz w:val="24"/>
          <w:szCs w:val="24"/>
          <w:lang w:val="en-ZA"/>
        </w:rPr>
        <w:t xml:space="preserve"> prospects of success on appeal</w:t>
      </w:r>
      <w:r w:rsidR="001B1B67">
        <w:rPr>
          <w:rFonts w:ascii="Arial" w:hAnsi="Arial" w:cs="Arial"/>
          <w:sz w:val="24"/>
          <w:szCs w:val="24"/>
          <w:lang w:val="en-ZA"/>
        </w:rPr>
        <w:t xml:space="preserve"> and the appeal is dismissed</w:t>
      </w:r>
      <w:r w:rsidR="00C66A2F" w:rsidRPr="00C66A2F">
        <w:rPr>
          <w:rFonts w:ascii="Arial" w:hAnsi="Arial" w:cs="Arial"/>
          <w:sz w:val="24"/>
          <w:szCs w:val="24"/>
          <w:lang w:val="en-ZA"/>
        </w:rPr>
        <w:t>.</w:t>
      </w:r>
    </w:p>
    <w:p w14:paraId="69E280AF" w14:textId="77777777" w:rsidR="00C61C7A" w:rsidRDefault="00C61C7A" w:rsidP="004B0892">
      <w:pPr>
        <w:spacing w:after="0" w:line="360" w:lineRule="auto"/>
        <w:jc w:val="both"/>
        <w:rPr>
          <w:rFonts w:ascii="Arial" w:hAnsi="Arial" w:cs="Arial"/>
          <w:sz w:val="24"/>
          <w:szCs w:val="24"/>
        </w:rPr>
      </w:pPr>
    </w:p>
    <w:p w14:paraId="6B6FCA82" w14:textId="77777777" w:rsidR="00C66A2F" w:rsidRDefault="00C66A2F" w:rsidP="004B0892">
      <w:pPr>
        <w:spacing w:after="0" w:line="360" w:lineRule="auto"/>
        <w:jc w:val="both"/>
        <w:rPr>
          <w:rFonts w:ascii="Arial" w:hAnsi="Arial" w:cs="Arial"/>
          <w:sz w:val="24"/>
          <w:szCs w:val="24"/>
        </w:rPr>
      </w:pPr>
    </w:p>
    <w:p w14:paraId="064DB8E6" w14:textId="77777777" w:rsidR="000556F7" w:rsidRDefault="000556F7" w:rsidP="004B0892">
      <w:pPr>
        <w:spacing w:after="0" w:line="360" w:lineRule="auto"/>
        <w:jc w:val="both"/>
        <w:rPr>
          <w:rFonts w:ascii="Arial" w:hAnsi="Arial" w:cs="Arial"/>
          <w:sz w:val="24"/>
          <w:szCs w:val="24"/>
        </w:rPr>
      </w:pPr>
    </w:p>
    <w:p w14:paraId="616593F8" w14:textId="017E4DAA" w:rsidR="001B7E1F" w:rsidRPr="006E026B" w:rsidRDefault="001B7E1F" w:rsidP="004B0892">
      <w:pPr>
        <w:spacing w:after="0" w:line="360" w:lineRule="auto"/>
        <w:jc w:val="both"/>
        <w:rPr>
          <w:rFonts w:ascii="Arial" w:hAnsi="Arial" w:cs="Arial"/>
          <w:sz w:val="24"/>
          <w:szCs w:val="24"/>
        </w:rPr>
      </w:pPr>
      <w:r w:rsidRPr="006E026B">
        <w:rPr>
          <w:rFonts w:ascii="Arial" w:hAnsi="Arial" w:cs="Arial"/>
          <w:sz w:val="24"/>
          <w:szCs w:val="24"/>
        </w:rPr>
        <w:tab/>
      </w:r>
    </w:p>
    <w:p w14:paraId="10EA877C" w14:textId="77777777" w:rsidR="001B7E1F" w:rsidRPr="00E613DA" w:rsidRDefault="001B7E1F" w:rsidP="004B0892">
      <w:pPr>
        <w:spacing w:after="0" w:line="360" w:lineRule="auto"/>
        <w:jc w:val="both"/>
        <w:rPr>
          <w:rFonts w:ascii="Arial" w:hAnsi="Arial" w:cs="Arial"/>
          <w:sz w:val="24"/>
          <w:szCs w:val="24"/>
        </w:rPr>
      </w:pPr>
      <w:r w:rsidRPr="00E613DA">
        <w:rPr>
          <w:rFonts w:ascii="Arial" w:hAnsi="Arial" w:cs="Arial"/>
          <w:sz w:val="24"/>
          <w:szCs w:val="24"/>
        </w:rPr>
        <w:t>----------------------------------</w:t>
      </w:r>
    </w:p>
    <w:p w14:paraId="19DA3699" w14:textId="06CAD7C9" w:rsidR="000556F7" w:rsidRPr="00E613DA" w:rsidRDefault="000556F7" w:rsidP="000556F7">
      <w:pPr>
        <w:pStyle w:val="BodyText"/>
        <w:autoSpaceDE w:val="0"/>
        <w:autoSpaceDN w:val="0"/>
        <w:adjustRightInd w:val="0"/>
        <w:jc w:val="both"/>
        <w:rPr>
          <w:rFonts w:ascii="Arial" w:hAnsi="Arial" w:cs="Arial"/>
          <w:lang w:val="en-US"/>
        </w:rPr>
      </w:pPr>
      <w:r w:rsidRPr="00E613DA">
        <w:rPr>
          <w:rFonts w:ascii="Arial" w:hAnsi="Arial" w:cs="Arial"/>
        </w:rPr>
        <w:t xml:space="preserve"> </w:t>
      </w:r>
      <w:r w:rsidRPr="00E613DA">
        <w:rPr>
          <w:rFonts w:ascii="Arial" w:hAnsi="Arial" w:cs="Arial"/>
          <w:lang w:val="en-US"/>
        </w:rPr>
        <w:t>N N Shivute</w:t>
      </w:r>
    </w:p>
    <w:p w14:paraId="2EC4DEE3" w14:textId="51A76C07" w:rsidR="000556F7" w:rsidRPr="00E613DA" w:rsidRDefault="000556F7" w:rsidP="000556F7">
      <w:pPr>
        <w:pStyle w:val="BodyText"/>
        <w:autoSpaceDE w:val="0"/>
        <w:autoSpaceDN w:val="0"/>
        <w:adjustRightInd w:val="0"/>
        <w:jc w:val="both"/>
        <w:rPr>
          <w:rFonts w:ascii="Arial" w:hAnsi="Arial" w:cs="Arial"/>
        </w:rPr>
      </w:pPr>
      <w:r w:rsidRPr="00E613DA">
        <w:rPr>
          <w:rFonts w:ascii="Arial" w:hAnsi="Arial" w:cs="Arial"/>
          <w:lang w:val="en-US"/>
        </w:rPr>
        <w:t xml:space="preserve"> Judge</w:t>
      </w:r>
    </w:p>
    <w:p w14:paraId="0DDC6787" w14:textId="77777777" w:rsidR="001B7E1F" w:rsidRPr="00E613DA" w:rsidRDefault="001B7E1F" w:rsidP="004B0892">
      <w:pPr>
        <w:spacing w:after="0" w:line="360" w:lineRule="auto"/>
        <w:jc w:val="both"/>
        <w:rPr>
          <w:rFonts w:ascii="Arial" w:hAnsi="Arial" w:cs="Arial"/>
          <w:sz w:val="24"/>
          <w:szCs w:val="24"/>
        </w:rPr>
      </w:pPr>
    </w:p>
    <w:p w14:paraId="5B7C4C68" w14:textId="77777777" w:rsidR="001B7E1F" w:rsidRPr="00E613DA" w:rsidRDefault="001B7E1F" w:rsidP="004B0892">
      <w:pPr>
        <w:spacing w:after="0" w:line="360" w:lineRule="auto"/>
        <w:jc w:val="both"/>
        <w:rPr>
          <w:rFonts w:ascii="Arial" w:hAnsi="Arial" w:cs="Arial"/>
          <w:sz w:val="24"/>
          <w:szCs w:val="24"/>
        </w:rPr>
      </w:pPr>
    </w:p>
    <w:p w14:paraId="4A8C0B9F" w14:textId="77777777" w:rsidR="00BA0772" w:rsidRPr="00E613DA" w:rsidRDefault="00BA0772" w:rsidP="004B0892">
      <w:pPr>
        <w:spacing w:after="0" w:line="360" w:lineRule="auto"/>
        <w:jc w:val="both"/>
        <w:rPr>
          <w:rFonts w:ascii="Arial" w:hAnsi="Arial" w:cs="Arial"/>
          <w:sz w:val="24"/>
          <w:szCs w:val="24"/>
        </w:rPr>
      </w:pPr>
    </w:p>
    <w:p w14:paraId="79A6A46E" w14:textId="77777777" w:rsidR="00BA0772" w:rsidRPr="00E613DA" w:rsidRDefault="00BA0772" w:rsidP="004B0892">
      <w:pPr>
        <w:spacing w:after="0" w:line="360" w:lineRule="auto"/>
        <w:jc w:val="both"/>
        <w:rPr>
          <w:rFonts w:ascii="Arial" w:hAnsi="Arial" w:cs="Arial"/>
          <w:sz w:val="24"/>
          <w:szCs w:val="24"/>
        </w:rPr>
      </w:pPr>
    </w:p>
    <w:p w14:paraId="08FF0FB8" w14:textId="77777777" w:rsidR="001B7E1F" w:rsidRPr="00E613DA" w:rsidRDefault="001B7E1F" w:rsidP="004B0892">
      <w:pPr>
        <w:spacing w:after="0" w:line="360" w:lineRule="auto"/>
        <w:jc w:val="both"/>
        <w:rPr>
          <w:rFonts w:ascii="Arial" w:hAnsi="Arial" w:cs="Arial"/>
          <w:sz w:val="24"/>
          <w:szCs w:val="24"/>
        </w:rPr>
      </w:pPr>
      <w:r w:rsidRPr="00E613DA">
        <w:rPr>
          <w:rFonts w:ascii="Arial" w:hAnsi="Arial" w:cs="Arial"/>
          <w:sz w:val="24"/>
          <w:szCs w:val="24"/>
        </w:rPr>
        <w:t>----------------------------------</w:t>
      </w:r>
    </w:p>
    <w:p w14:paraId="3125401F" w14:textId="4ADB170D" w:rsidR="000556F7" w:rsidRPr="00E613DA" w:rsidRDefault="00800260" w:rsidP="000556F7">
      <w:pPr>
        <w:spacing w:after="0" w:line="360" w:lineRule="auto"/>
        <w:jc w:val="both"/>
        <w:rPr>
          <w:rFonts w:ascii="Arial" w:hAnsi="Arial" w:cs="Arial"/>
          <w:sz w:val="24"/>
          <w:szCs w:val="24"/>
        </w:rPr>
      </w:pPr>
      <w:r w:rsidRPr="00E613DA">
        <w:rPr>
          <w:rFonts w:ascii="Arial" w:hAnsi="Arial" w:cs="Arial"/>
          <w:sz w:val="24"/>
          <w:szCs w:val="24"/>
        </w:rPr>
        <w:t xml:space="preserve">JC </w:t>
      </w:r>
      <w:r w:rsidR="000556F7" w:rsidRPr="00E613DA">
        <w:rPr>
          <w:rFonts w:ascii="Arial" w:hAnsi="Arial" w:cs="Arial"/>
          <w:sz w:val="24"/>
          <w:szCs w:val="24"/>
        </w:rPr>
        <w:t>Liebenberg</w:t>
      </w:r>
    </w:p>
    <w:p w14:paraId="7D19BAD4" w14:textId="77777777" w:rsidR="000556F7" w:rsidRPr="00E613DA" w:rsidRDefault="000556F7" w:rsidP="000556F7">
      <w:pPr>
        <w:spacing w:after="0" w:line="360" w:lineRule="auto"/>
        <w:jc w:val="both"/>
        <w:rPr>
          <w:rFonts w:ascii="Arial" w:hAnsi="Arial" w:cs="Arial"/>
          <w:sz w:val="24"/>
          <w:szCs w:val="24"/>
        </w:rPr>
      </w:pPr>
      <w:r w:rsidRPr="00E613DA">
        <w:rPr>
          <w:rFonts w:ascii="Arial" w:hAnsi="Arial" w:cs="Arial"/>
          <w:sz w:val="24"/>
          <w:szCs w:val="24"/>
        </w:rPr>
        <w:t>Judge</w:t>
      </w:r>
    </w:p>
    <w:p w14:paraId="00AE297A" w14:textId="77777777" w:rsidR="00955F1F" w:rsidRDefault="00FA2334" w:rsidP="004B0892">
      <w:pPr>
        <w:pStyle w:val="BodyText"/>
        <w:autoSpaceDE w:val="0"/>
        <w:autoSpaceDN w:val="0"/>
        <w:adjustRightInd w:val="0"/>
        <w:spacing w:line="360" w:lineRule="auto"/>
        <w:jc w:val="both"/>
        <w:rPr>
          <w:rFonts w:ascii="Arial" w:hAnsi="Arial" w:cs="Arial"/>
          <w:b/>
        </w:rPr>
      </w:pPr>
      <w:r w:rsidRPr="00800260">
        <w:rPr>
          <w:rFonts w:ascii="Arial" w:hAnsi="Arial" w:cs="Arial"/>
          <w:b/>
        </w:rPr>
        <w:t xml:space="preserve">                                   </w:t>
      </w:r>
    </w:p>
    <w:p w14:paraId="40744D95" w14:textId="77777777" w:rsidR="00955F1F" w:rsidRDefault="00955F1F" w:rsidP="004B0892">
      <w:pPr>
        <w:pStyle w:val="BodyText"/>
        <w:autoSpaceDE w:val="0"/>
        <w:autoSpaceDN w:val="0"/>
        <w:adjustRightInd w:val="0"/>
        <w:spacing w:line="360" w:lineRule="auto"/>
        <w:jc w:val="both"/>
        <w:rPr>
          <w:rFonts w:ascii="Arial" w:hAnsi="Arial" w:cs="Arial"/>
          <w:b/>
        </w:rPr>
      </w:pPr>
    </w:p>
    <w:p w14:paraId="2AEEBC94" w14:textId="3479D1D9" w:rsidR="00AB1459" w:rsidRDefault="00FA2334" w:rsidP="004B0892">
      <w:pPr>
        <w:pStyle w:val="BodyText"/>
        <w:autoSpaceDE w:val="0"/>
        <w:autoSpaceDN w:val="0"/>
        <w:adjustRightInd w:val="0"/>
        <w:spacing w:line="360" w:lineRule="auto"/>
        <w:jc w:val="both"/>
        <w:rPr>
          <w:rFonts w:ascii="Arial" w:hAnsi="Arial" w:cs="Arial"/>
        </w:rPr>
      </w:pPr>
      <w:r w:rsidRPr="00800260">
        <w:rPr>
          <w:rFonts w:ascii="Arial" w:hAnsi="Arial" w:cs="Arial"/>
          <w:b/>
        </w:rPr>
        <w:t xml:space="preserve">                                                                                  </w:t>
      </w:r>
    </w:p>
    <w:p w14:paraId="23C531F7" w14:textId="77777777" w:rsidR="00AB1459" w:rsidRDefault="00AB1459" w:rsidP="004B0892">
      <w:pPr>
        <w:pStyle w:val="BodyText"/>
        <w:autoSpaceDE w:val="0"/>
        <w:autoSpaceDN w:val="0"/>
        <w:adjustRightInd w:val="0"/>
        <w:spacing w:line="360" w:lineRule="auto"/>
        <w:jc w:val="both"/>
        <w:rPr>
          <w:rFonts w:ascii="Arial" w:hAnsi="Arial" w:cs="Arial"/>
        </w:rPr>
      </w:pPr>
    </w:p>
    <w:p w14:paraId="06A315AF" w14:textId="77777777" w:rsidR="00AB1459" w:rsidRDefault="00AB1459" w:rsidP="004B0892">
      <w:pPr>
        <w:pStyle w:val="BodyText"/>
        <w:autoSpaceDE w:val="0"/>
        <w:autoSpaceDN w:val="0"/>
        <w:adjustRightInd w:val="0"/>
        <w:spacing w:line="360" w:lineRule="auto"/>
        <w:jc w:val="both"/>
        <w:rPr>
          <w:rFonts w:ascii="Arial" w:hAnsi="Arial" w:cs="Arial"/>
        </w:rPr>
      </w:pPr>
    </w:p>
    <w:p w14:paraId="39838DE7" w14:textId="77777777" w:rsidR="00C320B3" w:rsidRPr="00936A1C" w:rsidRDefault="00C320B3" w:rsidP="004B0892">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14:paraId="06E79AA8" w14:textId="77777777" w:rsidR="00C320B3" w:rsidRPr="000E7777" w:rsidRDefault="00C320B3" w:rsidP="004B0892">
      <w:pPr>
        <w:pStyle w:val="BodyText"/>
        <w:autoSpaceDE w:val="0"/>
        <w:autoSpaceDN w:val="0"/>
        <w:adjustRightInd w:val="0"/>
        <w:spacing w:line="360" w:lineRule="auto"/>
        <w:jc w:val="both"/>
        <w:rPr>
          <w:rFonts w:ascii="Arial" w:hAnsi="Arial" w:cs="Arial"/>
        </w:rPr>
      </w:pPr>
    </w:p>
    <w:p w14:paraId="7E24DA4C" w14:textId="6B038529" w:rsidR="00C320B3" w:rsidRDefault="00C320B3" w:rsidP="004B0892">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APPELLANT</w:t>
      </w:r>
      <w:r w:rsidRPr="000E7777">
        <w:rPr>
          <w:rFonts w:ascii="Arial" w:hAnsi="Arial" w:cs="Arial"/>
          <w:sz w:val="24"/>
          <w:szCs w:val="24"/>
        </w:rPr>
        <w:tab/>
        <w:t>:</w:t>
      </w:r>
      <w:r w:rsidRPr="000E7777">
        <w:rPr>
          <w:rFonts w:ascii="Arial" w:hAnsi="Arial" w:cs="Arial"/>
          <w:sz w:val="24"/>
          <w:szCs w:val="24"/>
        </w:rPr>
        <w:tab/>
        <w:t xml:space="preserve">                </w:t>
      </w:r>
      <w:r w:rsidRPr="000E7777">
        <w:rPr>
          <w:rFonts w:ascii="Arial" w:hAnsi="Arial" w:cs="Arial"/>
          <w:sz w:val="24"/>
          <w:szCs w:val="24"/>
        </w:rPr>
        <w:tab/>
      </w:r>
      <w:r w:rsidR="00955F1F">
        <w:rPr>
          <w:rFonts w:ascii="Arial" w:hAnsi="Arial" w:cs="Arial"/>
          <w:sz w:val="24"/>
          <w:szCs w:val="24"/>
        </w:rPr>
        <w:t>Mr</w:t>
      </w:r>
      <w:r w:rsidR="00A4739F">
        <w:rPr>
          <w:rFonts w:ascii="Arial" w:hAnsi="Arial" w:cs="Arial"/>
          <w:sz w:val="24"/>
          <w:szCs w:val="24"/>
        </w:rPr>
        <w:t xml:space="preserve"> </w:t>
      </w:r>
      <w:r w:rsidR="004F63EC">
        <w:rPr>
          <w:rFonts w:ascii="Arial" w:hAnsi="Arial" w:cs="Arial"/>
          <w:sz w:val="24"/>
          <w:szCs w:val="24"/>
        </w:rPr>
        <w:t>Norman Tjombe</w:t>
      </w:r>
    </w:p>
    <w:p w14:paraId="66D78972" w14:textId="1A2E638F" w:rsidR="00C320B3" w:rsidRDefault="00C320B3" w:rsidP="004B0892">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4F63EC">
        <w:rPr>
          <w:rFonts w:ascii="Arial" w:hAnsi="Arial" w:cs="Arial"/>
          <w:sz w:val="24"/>
          <w:szCs w:val="24"/>
        </w:rPr>
        <w:t xml:space="preserve">Tjombe-Elago </w:t>
      </w:r>
      <w:r w:rsidR="00955F1F">
        <w:rPr>
          <w:rFonts w:ascii="Arial" w:hAnsi="Arial" w:cs="Arial"/>
          <w:sz w:val="24"/>
          <w:szCs w:val="24"/>
        </w:rPr>
        <w:t>Inc</w:t>
      </w:r>
      <w:r w:rsidR="004F63EC">
        <w:rPr>
          <w:rFonts w:ascii="Arial" w:hAnsi="Arial" w:cs="Arial"/>
          <w:sz w:val="24"/>
          <w:szCs w:val="24"/>
        </w:rPr>
        <w:t xml:space="preserve"> </w:t>
      </w:r>
    </w:p>
    <w:p w14:paraId="75C0D3B8" w14:textId="77777777" w:rsidR="00C320B3" w:rsidRPr="000E7777" w:rsidRDefault="00C320B3" w:rsidP="004B0892">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01873CF9" w14:textId="77777777" w:rsidR="00C320B3" w:rsidRPr="000E7777" w:rsidRDefault="00C320B3" w:rsidP="004B0892">
      <w:pPr>
        <w:autoSpaceDE w:val="0"/>
        <w:autoSpaceDN w:val="0"/>
        <w:adjustRightInd w:val="0"/>
        <w:spacing w:after="0" w:line="360" w:lineRule="auto"/>
        <w:ind w:left="3780" w:hanging="3780"/>
        <w:jc w:val="both"/>
        <w:rPr>
          <w:rFonts w:ascii="Arial" w:hAnsi="Arial" w:cs="Arial"/>
          <w:sz w:val="24"/>
          <w:szCs w:val="24"/>
        </w:rPr>
      </w:pPr>
    </w:p>
    <w:p w14:paraId="3C3ACB23" w14:textId="01186B03" w:rsidR="00C320B3" w:rsidRDefault="00C320B3" w:rsidP="004B0892">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RESPONDENT:</w:t>
      </w:r>
      <w:r>
        <w:rPr>
          <w:rFonts w:ascii="Arial" w:hAnsi="Arial" w:cs="Arial"/>
          <w:sz w:val="24"/>
          <w:szCs w:val="24"/>
        </w:rPr>
        <w:tab/>
        <w:t>M</w:t>
      </w:r>
      <w:r w:rsidR="004F63EC">
        <w:rPr>
          <w:rFonts w:ascii="Arial" w:hAnsi="Arial" w:cs="Arial"/>
          <w:sz w:val="24"/>
          <w:szCs w:val="24"/>
        </w:rPr>
        <w:t>r Marthino L Olivier</w:t>
      </w:r>
    </w:p>
    <w:p w14:paraId="368FDDC6" w14:textId="77777777" w:rsidR="00C320B3" w:rsidRPr="00B43244" w:rsidRDefault="00C320B3" w:rsidP="004B0892">
      <w:pPr>
        <w:autoSpaceDE w:val="0"/>
        <w:autoSpaceDN w:val="0"/>
        <w:adjustRightInd w:val="0"/>
        <w:spacing w:after="0" w:line="360" w:lineRule="auto"/>
        <w:ind w:left="3780"/>
        <w:jc w:val="both"/>
        <w:rPr>
          <w:rFonts w:ascii="Arial" w:hAnsi="Arial" w:cs="Arial"/>
          <w:sz w:val="24"/>
          <w:szCs w:val="24"/>
        </w:rPr>
      </w:pPr>
      <w:r>
        <w:rPr>
          <w:rFonts w:ascii="Arial" w:hAnsi="Arial" w:cs="Arial"/>
        </w:rPr>
        <w:t xml:space="preserve">Office of the Prosecutor-General </w:t>
      </w:r>
    </w:p>
    <w:p w14:paraId="483BD4FD" w14:textId="77777777" w:rsidR="00C320B3" w:rsidRPr="000E7777" w:rsidRDefault="00C320B3" w:rsidP="004B0892">
      <w:pPr>
        <w:tabs>
          <w:tab w:val="left" w:pos="1394"/>
          <w:tab w:val="left" w:pos="2528"/>
          <w:tab w:val="left" w:pos="3780"/>
        </w:tabs>
        <w:spacing w:after="0" w:line="360" w:lineRule="auto"/>
        <w:ind w:left="3780" w:hanging="3780"/>
        <w:jc w:val="both"/>
        <w:rPr>
          <w:rFonts w:ascii="Arial" w:hAnsi="Arial" w:cs="Arial"/>
          <w:sz w:val="24"/>
          <w:szCs w:val="24"/>
        </w:rPr>
      </w:pPr>
    </w:p>
    <w:p w14:paraId="3A66C281" w14:textId="77777777" w:rsidR="00C320B3" w:rsidRPr="00B727D8" w:rsidRDefault="00C320B3" w:rsidP="004B0892">
      <w:pPr>
        <w:spacing w:after="0" w:line="360" w:lineRule="auto"/>
        <w:jc w:val="both"/>
        <w:rPr>
          <w:rFonts w:ascii="Arial" w:hAnsi="Arial" w:cs="Arial"/>
        </w:rPr>
      </w:pPr>
    </w:p>
    <w:p w14:paraId="1340AB7A" w14:textId="77777777" w:rsidR="001B7E1F" w:rsidRDefault="001B7E1F" w:rsidP="004B0892">
      <w:pPr>
        <w:spacing w:after="0" w:line="360" w:lineRule="auto"/>
        <w:jc w:val="both"/>
        <w:rPr>
          <w:rFonts w:ascii="Arial" w:hAnsi="Arial" w:cs="Arial"/>
          <w:sz w:val="24"/>
          <w:szCs w:val="24"/>
        </w:rPr>
      </w:pPr>
    </w:p>
    <w:p w14:paraId="32FF2E47" w14:textId="77777777" w:rsidR="001B7E1F" w:rsidRPr="006E026B" w:rsidRDefault="001B7E1F" w:rsidP="004B0892">
      <w:pPr>
        <w:spacing w:after="0" w:line="360" w:lineRule="auto"/>
        <w:jc w:val="both"/>
        <w:rPr>
          <w:rFonts w:ascii="Arial" w:hAnsi="Arial" w:cs="Arial"/>
          <w:sz w:val="24"/>
          <w:szCs w:val="24"/>
        </w:rPr>
      </w:pPr>
    </w:p>
    <w:p w14:paraId="029F3429" w14:textId="77777777" w:rsidR="001B7E1F" w:rsidRPr="006E026B" w:rsidRDefault="001B7E1F" w:rsidP="004B0892">
      <w:pPr>
        <w:pStyle w:val="BodyText"/>
        <w:autoSpaceDE w:val="0"/>
        <w:autoSpaceDN w:val="0"/>
        <w:adjustRightInd w:val="0"/>
        <w:spacing w:line="360" w:lineRule="auto"/>
        <w:jc w:val="both"/>
        <w:rPr>
          <w:rFonts w:ascii="Arial" w:hAnsi="Arial" w:cs="Arial"/>
        </w:rPr>
      </w:pPr>
    </w:p>
    <w:p w14:paraId="30A0BE9F" w14:textId="77777777" w:rsidR="001B7E1F" w:rsidRDefault="001B7E1F" w:rsidP="004B0892">
      <w:pPr>
        <w:jc w:val="both"/>
        <w:rPr>
          <w:rFonts w:ascii="Arial" w:hAnsi="Arial" w:cs="Arial"/>
        </w:rPr>
      </w:pPr>
      <w:r w:rsidRPr="006E026B">
        <w:rPr>
          <w:rFonts w:ascii="Arial" w:hAnsi="Arial" w:cs="Arial"/>
          <w:sz w:val="24"/>
          <w:szCs w:val="24"/>
        </w:rPr>
        <w:br w:type="page"/>
      </w:r>
    </w:p>
    <w:p w14:paraId="21BD964F" w14:textId="77777777" w:rsidR="001B7E1F" w:rsidRDefault="001B7E1F" w:rsidP="004B0892">
      <w:pPr>
        <w:pStyle w:val="BodyText"/>
        <w:autoSpaceDE w:val="0"/>
        <w:autoSpaceDN w:val="0"/>
        <w:adjustRightInd w:val="0"/>
        <w:spacing w:line="360" w:lineRule="auto"/>
        <w:jc w:val="both"/>
        <w:rPr>
          <w:rFonts w:ascii="Arial" w:hAnsi="Arial" w:cs="Arial"/>
        </w:rPr>
      </w:pPr>
    </w:p>
    <w:p w14:paraId="013C1631" w14:textId="77777777" w:rsidR="001B7E1F" w:rsidRDefault="001B7E1F" w:rsidP="004B0892">
      <w:pPr>
        <w:spacing w:after="0" w:line="360" w:lineRule="auto"/>
        <w:jc w:val="both"/>
      </w:pPr>
    </w:p>
    <w:p w14:paraId="792BFFD5" w14:textId="77777777" w:rsidR="00945DCE" w:rsidRDefault="00945DCE" w:rsidP="004B0892">
      <w:pPr>
        <w:jc w:val="both"/>
      </w:pPr>
    </w:p>
    <w:sectPr w:rsidR="00945DCE" w:rsidSect="00A97087">
      <w:headerReference w:type="default" r:id="rId12"/>
      <w:pgSz w:w="11907" w:h="16839" w:code="9"/>
      <w:pgMar w:top="900" w:right="1440" w:bottom="81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B3EE7" w14:textId="77777777" w:rsidR="00CC0ED8" w:rsidRDefault="00CC0ED8" w:rsidP="00741B0B">
      <w:pPr>
        <w:spacing w:after="0" w:line="240" w:lineRule="auto"/>
      </w:pPr>
      <w:r>
        <w:separator/>
      </w:r>
    </w:p>
  </w:endnote>
  <w:endnote w:type="continuationSeparator" w:id="0">
    <w:p w14:paraId="56B05811" w14:textId="77777777" w:rsidR="00CC0ED8" w:rsidRDefault="00CC0ED8"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0AF24" w14:textId="77777777" w:rsidR="00CC0ED8" w:rsidRDefault="00CC0ED8" w:rsidP="00741B0B">
      <w:pPr>
        <w:spacing w:after="0" w:line="240" w:lineRule="auto"/>
      </w:pPr>
      <w:r>
        <w:separator/>
      </w:r>
    </w:p>
  </w:footnote>
  <w:footnote w:type="continuationSeparator" w:id="0">
    <w:p w14:paraId="4088522E" w14:textId="77777777" w:rsidR="00CC0ED8" w:rsidRDefault="00CC0ED8" w:rsidP="00741B0B">
      <w:pPr>
        <w:spacing w:after="0" w:line="240" w:lineRule="auto"/>
      </w:pPr>
      <w:r>
        <w:continuationSeparator/>
      </w:r>
    </w:p>
  </w:footnote>
  <w:footnote w:id="1">
    <w:p w14:paraId="4066FC18" w14:textId="3AF79F58" w:rsidR="00680E32" w:rsidRPr="00E22E34" w:rsidRDefault="00680E32">
      <w:pPr>
        <w:pStyle w:val="FootnoteText"/>
        <w:rPr>
          <w:rFonts w:ascii="Arial" w:hAnsi="Arial" w:cs="Arial"/>
        </w:rPr>
      </w:pPr>
      <w:r>
        <w:rPr>
          <w:rStyle w:val="FootnoteReference"/>
        </w:rPr>
        <w:footnoteRef/>
      </w:r>
      <w:r>
        <w:t xml:space="preserve"> </w:t>
      </w:r>
      <w:r w:rsidRPr="00E22E34">
        <w:rPr>
          <w:rFonts w:ascii="Arial" w:hAnsi="Arial" w:cs="Arial"/>
        </w:rPr>
        <w:t>[2018] NAHCMD 213 (16 July 2018)</w:t>
      </w:r>
    </w:p>
  </w:footnote>
  <w:footnote w:id="2">
    <w:p w14:paraId="187BEDE8" w14:textId="77777777" w:rsidR="00C82317" w:rsidRPr="00E22E34" w:rsidRDefault="00C82317" w:rsidP="00C82317">
      <w:pPr>
        <w:pStyle w:val="FootnoteText"/>
        <w:rPr>
          <w:rFonts w:ascii="Arial" w:hAnsi="Arial" w:cs="Arial"/>
        </w:rPr>
      </w:pPr>
      <w:r w:rsidRPr="00E22E34">
        <w:rPr>
          <w:rStyle w:val="FootnoteReference"/>
          <w:rFonts w:ascii="Arial" w:hAnsi="Arial" w:cs="Arial"/>
        </w:rPr>
        <w:footnoteRef/>
      </w:r>
      <w:r w:rsidRPr="00E22E34">
        <w:rPr>
          <w:rFonts w:ascii="Arial" w:hAnsi="Arial" w:cs="Arial"/>
        </w:rPr>
        <w:t xml:space="preserve"> </w:t>
      </w:r>
      <w:r w:rsidRPr="00E22E34">
        <w:rPr>
          <w:rFonts w:ascii="Arial" w:hAnsi="Arial" w:cs="Arial"/>
          <w:i/>
          <w:lang w:val="en-ZA"/>
        </w:rPr>
        <w:t>S v Ameb</w:t>
      </w:r>
      <w:r w:rsidRPr="00E22E34">
        <w:rPr>
          <w:rFonts w:ascii="Arial" w:hAnsi="Arial" w:cs="Arial"/>
          <w:lang w:val="en-ZA"/>
        </w:rPr>
        <w:t> 2014 (4) NR 1134 (HC).</w:t>
      </w:r>
    </w:p>
  </w:footnote>
  <w:footnote w:id="3">
    <w:p w14:paraId="566C6C76" w14:textId="4E478D80" w:rsidR="00DE6F33" w:rsidRPr="00E22E34" w:rsidRDefault="00DE6F33">
      <w:pPr>
        <w:pStyle w:val="FootnoteText"/>
        <w:rPr>
          <w:rFonts w:ascii="Arial" w:hAnsi="Arial" w:cs="Arial"/>
        </w:rPr>
      </w:pPr>
      <w:r w:rsidRPr="00E22E34">
        <w:rPr>
          <w:rStyle w:val="FootnoteReference"/>
          <w:rFonts w:ascii="Arial" w:hAnsi="Arial" w:cs="Arial"/>
        </w:rPr>
        <w:footnoteRef/>
      </w:r>
      <w:r w:rsidRPr="00E22E34">
        <w:rPr>
          <w:rFonts w:ascii="Arial" w:hAnsi="Arial" w:cs="Arial"/>
        </w:rPr>
        <w:t xml:space="preserve"> 1948 (2) SA 677 AD at pages 705 – 706</w:t>
      </w:r>
    </w:p>
  </w:footnote>
  <w:footnote w:id="4">
    <w:p w14:paraId="16255289" w14:textId="4E3C338E" w:rsidR="001B70B5" w:rsidRPr="00E22E34" w:rsidRDefault="001B70B5">
      <w:pPr>
        <w:pStyle w:val="FootnoteText"/>
        <w:rPr>
          <w:rFonts w:ascii="Arial" w:hAnsi="Arial" w:cs="Arial"/>
        </w:rPr>
      </w:pPr>
      <w:r w:rsidRPr="00E22E34">
        <w:rPr>
          <w:rStyle w:val="FootnoteReference"/>
          <w:rFonts w:ascii="Arial" w:hAnsi="Arial" w:cs="Arial"/>
        </w:rPr>
        <w:footnoteRef/>
      </w:r>
      <w:r w:rsidRPr="00E22E34">
        <w:rPr>
          <w:rFonts w:ascii="Arial" w:hAnsi="Arial" w:cs="Arial"/>
        </w:rPr>
        <w:t xml:space="preserve"> </w:t>
      </w:r>
      <w:r w:rsidRPr="00E22E34">
        <w:rPr>
          <w:rFonts w:ascii="Arial" w:hAnsi="Arial" w:cs="Arial"/>
          <w:lang w:val="en-GB"/>
        </w:rPr>
        <w:t xml:space="preserve">1983(3) SA 140 (AD) at 147 C-D </w:t>
      </w:r>
    </w:p>
  </w:footnote>
  <w:footnote w:id="5">
    <w:p w14:paraId="1ED7634A" w14:textId="7D936C4E" w:rsidR="001B70B5" w:rsidRPr="00E22E34" w:rsidRDefault="001B70B5">
      <w:pPr>
        <w:pStyle w:val="FootnoteText"/>
        <w:rPr>
          <w:rFonts w:ascii="Arial" w:hAnsi="Arial" w:cs="Arial"/>
        </w:rPr>
      </w:pPr>
      <w:r w:rsidRPr="00E22E34">
        <w:rPr>
          <w:rStyle w:val="FootnoteReference"/>
          <w:rFonts w:ascii="Arial" w:hAnsi="Arial" w:cs="Arial"/>
        </w:rPr>
        <w:footnoteRef/>
      </w:r>
      <w:r w:rsidRPr="00E22E34">
        <w:rPr>
          <w:rFonts w:ascii="Arial" w:hAnsi="Arial" w:cs="Arial"/>
        </w:rPr>
        <w:t xml:space="preserve"> [2017] NASC (13 December 2012)</w:t>
      </w:r>
    </w:p>
  </w:footnote>
  <w:footnote w:id="6">
    <w:p w14:paraId="3B30217E" w14:textId="4C1A276C" w:rsidR="00AA1AAD" w:rsidRPr="00E22E34" w:rsidRDefault="00AA1AAD">
      <w:pPr>
        <w:pStyle w:val="FootnoteText"/>
        <w:rPr>
          <w:rFonts w:ascii="Arial" w:hAnsi="Arial" w:cs="Arial"/>
        </w:rPr>
      </w:pPr>
      <w:r w:rsidRPr="00E22E34">
        <w:rPr>
          <w:rStyle w:val="FootnoteReference"/>
          <w:rFonts w:ascii="Arial" w:hAnsi="Arial" w:cs="Arial"/>
        </w:rPr>
        <w:footnoteRef/>
      </w:r>
      <w:r w:rsidRPr="00E22E34">
        <w:rPr>
          <w:rFonts w:ascii="Arial" w:hAnsi="Arial" w:cs="Arial"/>
        </w:rPr>
        <w:t xml:space="preserve"> 1959 (2) SA 212 (A) at 223</w:t>
      </w:r>
    </w:p>
  </w:footnote>
  <w:footnote w:id="7">
    <w:p w14:paraId="530A19CE" w14:textId="77777777" w:rsidR="003862C2" w:rsidRPr="00E22E34" w:rsidRDefault="003862C2" w:rsidP="003862C2">
      <w:pPr>
        <w:pStyle w:val="FootnoteText"/>
        <w:rPr>
          <w:rFonts w:ascii="Arial" w:hAnsi="Arial" w:cs="Arial"/>
          <w:lang w:val="en-ZA"/>
        </w:rPr>
      </w:pPr>
      <w:r w:rsidRPr="00E22E34">
        <w:rPr>
          <w:rStyle w:val="FootnoteReference"/>
          <w:rFonts w:ascii="Arial" w:hAnsi="Arial" w:cs="Arial"/>
        </w:rPr>
        <w:footnoteRef/>
      </w:r>
      <w:r w:rsidRPr="00E22E34">
        <w:rPr>
          <w:rFonts w:ascii="Arial" w:hAnsi="Arial" w:cs="Arial"/>
        </w:rPr>
        <w:t xml:space="preserve"> S v Naftali 1992 NR 299 (HC).</w:t>
      </w:r>
    </w:p>
  </w:footnote>
  <w:footnote w:id="8">
    <w:p w14:paraId="1DB9B0DF" w14:textId="4705ED1F" w:rsidR="006F0569" w:rsidRPr="00E22E34" w:rsidRDefault="006F0569">
      <w:pPr>
        <w:pStyle w:val="FootnoteText"/>
        <w:rPr>
          <w:rFonts w:ascii="Arial" w:hAnsi="Arial" w:cs="Arial"/>
        </w:rPr>
      </w:pPr>
      <w:r w:rsidRPr="00E22E34">
        <w:rPr>
          <w:rStyle w:val="FootnoteReference"/>
          <w:rFonts w:ascii="Arial" w:hAnsi="Arial" w:cs="Arial"/>
        </w:rPr>
        <w:footnoteRef/>
      </w:r>
      <w:r w:rsidRPr="00E22E34">
        <w:rPr>
          <w:rFonts w:ascii="Arial" w:hAnsi="Arial" w:cs="Arial"/>
        </w:rPr>
        <w:t xml:space="preserve"> Record page 340</w:t>
      </w:r>
    </w:p>
  </w:footnote>
  <w:footnote w:id="9">
    <w:p w14:paraId="667FEC92" w14:textId="08F5E4A1" w:rsidR="00C61C7A" w:rsidRPr="00E22E34" w:rsidRDefault="00C61C7A">
      <w:pPr>
        <w:pStyle w:val="FootnoteText"/>
        <w:rPr>
          <w:rFonts w:ascii="Arial" w:hAnsi="Arial" w:cs="Arial"/>
        </w:rPr>
      </w:pPr>
      <w:r w:rsidRPr="00E22E34">
        <w:rPr>
          <w:rStyle w:val="FootnoteReference"/>
          <w:rFonts w:ascii="Arial" w:hAnsi="Arial" w:cs="Arial"/>
        </w:rPr>
        <w:footnoteRef/>
      </w:r>
      <w:r w:rsidRPr="00E22E34">
        <w:rPr>
          <w:rFonts w:ascii="Arial" w:hAnsi="Arial" w:cs="Arial"/>
        </w:rPr>
        <w:t xml:space="preserve"> 1991 NR 361 (HC) at 366A-B</w:t>
      </w:r>
    </w:p>
  </w:footnote>
  <w:footnote w:id="10">
    <w:p w14:paraId="71695E9A" w14:textId="4BBFEA36" w:rsidR="00A4739F" w:rsidRPr="00E22E34" w:rsidRDefault="00A4739F">
      <w:pPr>
        <w:pStyle w:val="FootnoteText"/>
        <w:rPr>
          <w:rFonts w:ascii="Arial" w:hAnsi="Arial" w:cs="Arial"/>
        </w:rPr>
      </w:pPr>
      <w:r w:rsidRPr="00E22E34">
        <w:rPr>
          <w:rStyle w:val="FootnoteReference"/>
          <w:rFonts w:ascii="Arial" w:hAnsi="Arial" w:cs="Arial"/>
        </w:rPr>
        <w:footnoteRef/>
      </w:r>
      <w:r w:rsidRPr="00E22E34">
        <w:rPr>
          <w:rFonts w:ascii="Arial" w:hAnsi="Arial" w:cs="Arial"/>
        </w:rPr>
        <w:t xml:space="preserve"> [2016] NAHCMD 35 (24 February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14:paraId="6B96755B" w14:textId="77777777" w:rsidR="00603BAE" w:rsidRDefault="00FF3818">
        <w:pPr>
          <w:pStyle w:val="Header"/>
          <w:jc w:val="right"/>
        </w:pPr>
        <w:r>
          <w:fldChar w:fldCharType="begin"/>
        </w:r>
        <w:r>
          <w:instrText xml:space="preserve"> PAGE   \* MERGEFORMAT </w:instrText>
        </w:r>
        <w:r>
          <w:fldChar w:fldCharType="separate"/>
        </w:r>
        <w:r w:rsidR="008B541A">
          <w:rPr>
            <w:noProof/>
          </w:rPr>
          <w:t>2</w:t>
        </w:r>
        <w:r>
          <w:rPr>
            <w:noProof/>
          </w:rPr>
          <w:fldChar w:fldCharType="end"/>
        </w:r>
      </w:p>
    </w:sdtContent>
  </w:sdt>
  <w:p w14:paraId="062105EB" w14:textId="77777777" w:rsidR="00603BAE" w:rsidRDefault="00603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1023"/>
    <w:multiLevelType w:val="hybridMultilevel"/>
    <w:tmpl w:val="5CBE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93CCE"/>
    <w:multiLevelType w:val="hybridMultilevel"/>
    <w:tmpl w:val="2070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8650B"/>
    <w:multiLevelType w:val="hybridMultilevel"/>
    <w:tmpl w:val="AF2EF968"/>
    <w:lvl w:ilvl="0" w:tplc="6EBEF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36A4D"/>
    <w:multiLevelType w:val="hybridMultilevel"/>
    <w:tmpl w:val="49CEFC88"/>
    <w:lvl w:ilvl="0" w:tplc="9970F5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A07E6"/>
    <w:multiLevelType w:val="hybridMultilevel"/>
    <w:tmpl w:val="772C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0407F"/>
    <w:multiLevelType w:val="hybridMultilevel"/>
    <w:tmpl w:val="1C623E40"/>
    <w:lvl w:ilvl="0" w:tplc="486269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A799F"/>
    <w:multiLevelType w:val="hybridMultilevel"/>
    <w:tmpl w:val="EB56C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89CCA8-30CA-4992-B7AF-1CB696CBA0C1}"/>
    <w:docVar w:name="dgnword-eventsink" w:val="356223904"/>
  </w:docVars>
  <w:rsids>
    <w:rsidRoot w:val="003B7393"/>
    <w:rsid w:val="000108C6"/>
    <w:rsid w:val="00015285"/>
    <w:rsid w:val="00025B48"/>
    <w:rsid w:val="0004162A"/>
    <w:rsid w:val="000556F7"/>
    <w:rsid w:val="000662D9"/>
    <w:rsid w:val="00077485"/>
    <w:rsid w:val="00090195"/>
    <w:rsid w:val="00093725"/>
    <w:rsid w:val="000A0CBB"/>
    <w:rsid w:val="000A52B4"/>
    <w:rsid w:val="000B0883"/>
    <w:rsid w:val="000B3929"/>
    <w:rsid w:val="000C6C88"/>
    <w:rsid w:val="000E4E04"/>
    <w:rsid w:val="00121360"/>
    <w:rsid w:val="00125DF3"/>
    <w:rsid w:val="001308C4"/>
    <w:rsid w:val="0013165C"/>
    <w:rsid w:val="001329CB"/>
    <w:rsid w:val="00133EC7"/>
    <w:rsid w:val="00135E7E"/>
    <w:rsid w:val="00140571"/>
    <w:rsid w:val="001511AD"/>
    <w:rsid w:val="00154BD7"/>
    <w:rsid w:val="00171D72"/>
    <w:rsid w:val="00181D04"/>
    <w:rsid w:val="00183516"/>
    <w:rsid w:val="00186BD0"/>
    <w:rsid w:val="001922B2"/>
    <w:rsid w:val="001942F6"/>
    <w:rsid w:val="001A4234"/>
    <w:rsid w:val="001B1B67"/>
    <w:rsid w:val="001B322C"/>
    <w:rsid w:val="001B40FB"/>
    <w:rsid w:val="001B640F"/>
    <w:rsid w:val="001B70B5"/>
    <w:rsid w:val="001B7E1F"/>
    <w:rsid w:val="001D4D5D"/>
    <w:rsid w:val="001E53B4"/>
    <w:rsid w:val="001E6EA4"/>
    <w:rsid w:val="002136EF"/>
    <w:rsid w:val="002139C8"/>
    <w:rsid w:val="00215A83"/>
    <w:rsid w:val="002345FC"/>
    <w:rsid w:val="00242C6E"/>
    <w:rsid w:val="00255A72"/>
    <w:rsid w:val="00255F28"/>
    <w:rsid w:val="00257A24"/>
    <w:rsid w:val="00267141"/>
    <w:rsid w:val="00285F46"/>
    <w:rsid w:val="0029573B"/>
    <w:rsid w:val="002A5FAC"/>
    <w:rsid w:val="002B6AFE"/>
    <w:rsid w:val="002D54D1"/>
    <w:rsid w:val="002D6268"/>
    <w:rsid w:val="002F2E46"/>
    <w:rsid w:val="00321B4D"/>
    <w:rsid w:val="003221BE"/>
    <w:rsid w:val="00327A05"/>
    <w:rsid w:val="00331CDB"/>
    <w:rsid w:val="00331D2A"/>
    <w:rsid w:val="00357AC3"/>
    <w:rsid w:val="00366506"/>
    <w:rsid w:val="00382AA5"/>
    <w:rsid w:val="003830F6"/>
    <w:rsid w:val="00383288"/>
    <w:rsid w:val="00385E57"/>
    <w:rsid w:val="003862C2"/>
    <w:rsid w:val="00391112"/>
    <w:rsid w:val="00397CC3"/>
    <w:rsid w:val="003A0AB8"/>
    <w:rsid w:val="003B7393"/>
    <w:rsid w:val="003B772D"/>
    <w:rsid w:val="003E2FB3"/>
    <w:rsid w:val="003E359E"/>
    <w:rsid w:val="00412A21"/>
    <w:rsid w:val="004216E2"/>
    <w:rsid w:val="004247E0"/>
    <w:rsid w:val="0045189D"/>
    <w:rsid w:val="00452B99"/>
    <w:rsid w:val="004545C6"/>
    <w:rsid w:val="00463F27"/>
    <w:rsid w:val="00486348"/>
    <w:rsid w:val="00487B31"/>
    <w:rsid w:val="004919F6"/>
    <w:rsid w:val="00493AEC"/>
    <w:rsid w:val="004963A1"/>
    <w:rsid w:val="004A0F49"/>
    <w:rsid w:val="004A2A32"/>
    <w:rsid w:val="004A4762"/>
    <w:rsid w:val="004A78B9"/>
    <w:rsid w:val="004B0069"/>
    <w:rsid w:val="004B037F"/>
    <w:rsid w:val="004B0892"/>
    <w:rsid w:val="004B65C6"/>
    <w:rsid w:val="004C5468"/>
    <w:rsid w:val="004C7869"/>
    <w:rsid w:val="004F63EC"/>
    <w:rsid w:val="00502935"/>
    <w:rsid w:val="005163C2"/>
    <w:rsid w:val="00521C41"/>
    <w:rsid w:val="0052428E"/>
    <w:rsid w:val="00546153"/>
    <w:rsid w:val="00553C7F"/>
    <w:rsid w:val="00555B4D"/>
    <w:rsid w:val="00557C4B"/>
    <w:rsid w:val="0057786E"/>
    <w:rsid w:val="00591095"/>
    <w:rsid w:val="0059332C"/>
    <w:rsid w:val="00594A42"/>
    <w:rsid w:val="00595500"/>
    <w:rsid w:val="005A6306"/>
    <w:rsid w:val="005B3796"/>
    <w:rsid w:val="005B6B1A"/>
    <w:rsid w:val="005C4ADC"/>
    <w:rsid w:val="005C5F73"/>
    <w:rsid w:val="005D36FD"/>
    <w:rsid w:val="005E11DD"/>
    <w:rsid w:val="00603BAE"/>
    <w:rsid w:val="00606A4F"/>
    <w:rsid w:val="006131B6"/>
    <w:rsid w:val="00630B14"/>
    <w:rsid w:val="00633DF8"/>
    <w:rsid w:val="00647117"/>
    <w:rsid w:val="00655908"/>
    <w:rsid w:val="00662B64"/>
    <w:rsid w:val="006648EF"/>
    <w:rsid w:val="00680E32"/>
    <w:rsid w:val="00691194"/>
    <w:rsid w:val="006A1AD0"/>
    <w:rsid w:val="006A274C"/>
    <w:rsid w:val="006A5C30"/>
    <w:rsid w:val="006B29DB"/>
    <w:rsid w:val="006C49B4"/>
    <w:rsid w:val="006E418A"/>
    <w:rsid w:val="006E4540"/>
    <w:rsid w:val="006F0569"/>
    <w:rsid w:val="006F7C21"/>
    <w:rsid w:val="00704FD7"/>
    <w:rsid w:val="0071497A"/>
    <w:rsid w:val="00715AFD"/>
    <w:rsid w:val="00715C7A"/>
    <w:rsid w:val="00725767"/>
    <w:rsid w:val="00741B0B"/>
    <w:rsid w:val="00770BD0"/>
    <w:rsid w:val="00780373"/>
    <w:rsid w:val="007921A7"/>
    <w:rsid w:val="00795ADB"/>
    <w:rsid w:val="007971F0"/>
    <w:rsid w:val="007A5BF0"/>
    <w:rsid w:val="007A62A9"/>
    <w:rsid w:val="007C5C9E"/>
    <w:rsid w:val="007E0D5E"/>
    <w:rsid w:val="007E151B"/>
    <w:rsid w:val="007E32C4"/>
    <w:rsid w:val="007F76DD"/>
    <w:rsid w:val="00800260"/>
    <w:rsid w:val="00800870"/>
    <w:rsid w:val="00810EAE"/>
    <w:rsid w:val="00821EB8"/>
    <w:rsid w:val="00822C24"/>
    <w:rsid w:val="008353B9"/>
    <w:rsid w:val="00854F0A"/>
    <w:rsid w:val="0086694E"/>
    <w:rsid w:val="00866C28"/>
    <w:rsid w:val="008737F5"/>
    <w:rsid w:val="00886E79"/>
    <w:rsid w:val="00896239"/>
    <w:rsid w:val="008A685E"/>
    <w:rsid w:val="008B2916"/>
    <w:rsid w:val="008B541A"/>
    <w:rsid w:val="008B79BC"/>
    <w:rsid w:val="008D57F3"/>
    <w:rsid w:val="008E21FF"/>
    <w:rsid w:val="008E51C3"/>
    <w:rsid w:val="008F1BDE"/>
    <w:rsid w:val="00902C4D"/>
    <w:rsid w:val="00907EB3"/>
    <w:rsid w:val="00913A96"/>
    <w:rsid w:val="00913C94"/>
    <w:rsid w:val="00923CB0"/>
    <w:rsid w:val="00934649"/>
    <w:rsid w:val="009357A5"/>
    <w:rsid w:val="00945DCE"/>
    <w:rsid w:val="00945E37"/>
    <w:rsid w:val="00946D8C"/>
    <w:rsid w:val="00955F1F"/>
    <w:rsid w:val="009654BD"/>
    <w:rsid w:val="00965D3C"/>
    <w:rsid w:val="00973585"/>
    <w:rsid w:val="00981371"/>
    <w:rsid w:val="00985731"/>
    <w:rsid w:val="00987828"/>
    <w:rsid w:val="009A0FF5"/>
    <w:rsid w:val="009B5628"/>
    <w:rsid w:val="009D20D1"/>
    <w:rsid w:val="009D259C"/>
    <w:rsid w:val="009D27AA"/>
    <w:rsid w:val="009D28F8"/>
    <w:rsid w:val="009D5CE7"/>
    <w:rsid w:val="009F2D52"/>
    <w:rsid w:val="00A00F6D"/>
    <w:rsid w:val="00A0110B"/>
    <w:rsid w:val="00A11338"/>
    <w:rsid w:val="00A25919"/>
    <w:rsid w:val="00A34ABF"/>
    <w:rsid w:val="00A4724D"/>
    <w:rsid w:val="00A4739F"/>
    <w:rsid w:val="00A51547"/>
    <w:rsid w:val="00A6545B"/>
    <w:rsid w:val="00A77585"/>
    <w:rsid w:val="00A94682"/>
    <w:rsid w:val="00A97087"/>
    <w:rsid w:val="00AA1AAD"/>
    <w:rsid w:val="00AA2A4B"/>
    <w:rsid w:val="00AB1459"/>
    <w:rsid w:val="00AC41E5"/>
    <w:rsid w:val="00AC4DC9"/>
    <w:rsid w:val="00AE18FF"/>
    <w:rsid w:val="00AE3587"/>
    <w:rsid w:val="00AE4CA8"/>
    <w:rsid w:val="00B17A03"/>
    <w:rsid w:val="00B2423D"/>
    <w:rsid w:val="00B24A7B"/>
    <w:rsid w:val="00B25B3D"/>
    <w:rsid w:val="00B32C0C"/>
    <w:rsid w:val="00B34F9E"/>
    <w:rsid w:val="00B370E9"/>
    <w:rsid w:val="00B40442"/>
    <w:rsid w:val="00B43244"/>
    <w:rsid w:val="00B44184"/>
    <w:rsid w:val="00B44A66"/>
    <w:rsid w:val="00B5366B"/>
    <w:rsid w:val="00B54E63"/>
    <w:rsid w:val="00B60ED3"/>
    <w:rsid w:val="00B644EB"/>
    <w:rsid w:val="00B80AB1"/>
    <w:rsid w:val="00B856E4"/>
    <w:rsid w:val="00B936A9"/>
    <w:rsid w:val="00B976DF"/>
    <w:rsid w:val="00BA0772"/>
    <w:rsid w:val="00BA0AF2"/>
    <w:rsid w:val="00BB24D0"/>
    <w:rsid w:val="00BB43B2"/>
    <w:rsid w:val="00BC4DFC"/>
    <w:rsid w:val="00BD0255"/>
    <w:rsid w:val="00BD5A9E"/>
    <w:rsid w:val="00BD5E66"/>
    <w:rsid w:val="00BF04E6"/>
    <w:rsid w:val="00BF6A5B"/>
    <w:rsid w:val="00C13973"/>
    <w:rsid w:val="00C20AB5"/>
    <w:rsid w:val="00C26FF7"/>
    <w:rsid w:val="00C320B3"/>
    <w:rsid w:val="00C41E3F"/>
    <w:rsid w:val="00C52E18"/>
    <w:rsid w:val="00C540E1"/>
    <w:rsid w:val="00C60D5F"/>
    <w:rsid w:val="00C61C7A"/>
    <w:rsid w:val="00C66A2F"/>
    <w:rsid w:val="00C8139F"/>
    <w:rsid w:val="00C82317"/>
    <w:rsid w:val="00CA386D"/>
    <w:rsid w:val="00CA6876"/>
    <w:rsid w:val="00CC0ED8"/>
    <w:rsid w:val="00CC1076"/>
    <w:rsid w:val="00CC423E"/>
    <w:rsid w:val="00CE0179"/>
    <w:rsid w:val="00D0587C"/>
    <w:rsid w:val="00D07A3C"/>
    <w:rsid w:val="00D14863"/>
    <w:rsid w:val="00D27D0C"/>
    <w:rsid w:val="00D3037A"/>
    <w:rsid w:val="00D33241"/>
    <w:rsid w:val="00D33980"/>
    <w:rsid w:val="00D36EA4"/>
    <w:rsid w:val="00D62814"/>
    <w:rsid w:val="00D63614"/>
    <w:rsid w:val="00D63E95"/>
    <w:rsid w:val="00D642B4"/>
    <w:rsid w:val="00D66701"/>
    <w:rsid w:val="00D6716E"/>
    <w:rsid w:val="00D72474"/>
    <w:rsid w:val="00D75FD2"/>
    <w:rsid w:val="00D937B9"/>
    <w:rsid w:val="00DA1663"/>
    <w:rsid w:val="00DA4A49"/>
    <w:rsid w:val="00DC2A69"/>
    <w:rsid w:val="00DE6F33"/>
    <w:rsid w:val="00DF6247"/>
    <w:rsid w:val="00E00445"/>
    <w:rsid w:val="00E05D79"/>
    <w:rsid w:val="00E12D40"/>
    <w:rsid w:val="00E22E34"/>
    <w:rsid w:val="00E35090"/>
    <w:rsid w:val="00E43ACF"/>
    <w:rsid w:val="00E470E4"/>
    <w:rsid w:val="00E521C3"/>
    <w:rsid w:val="00E613DA"/>
    <w:rsid w:val="00E74391"/>
    <w:rsid w:val="00E86D9F"/>
    <w:rsid w:val="00E9428F"/>
    <w:rsid w:val="00EB6AAB"/>
    <w:rsid w:val="00EB7763"/>
    <w:rsid w:val="00EC5068"/>
    <w:rsid w:val="00ED2A7B"/>
    <w:rsid w:val="00ED795B"/>
    <w:rsid w:val="00EE57F9"/>
    <w:rsid w:val="00EE5955"/>
    <w:rsid w:val="00F0149D"/>
    <w:rsid w:val="00F03875"/>
    <w:rsid w:val="00F03EBE"/>
    <w:rsid w:val="00F06AA2"/>
    <w:rsid w:val="00F07297"/>
    <w:rsid w:val="00F121BA"/>
    <w:rsid w:val="00F13F37"/>
    <w:rsid w:val="00F30A0A"/>
    <w:rsid w:val="00F442B6"/>
    <w:rsid w:val="00F5064D"/>
    <w:rsid w:val="00F50D5F"/>
    <w:rsid w:val="00F63EC8"/>
    <w:rsid w:val="00F65428"/>
    <w:rsid w:val="00F66698"/>
    <w:rsid w:val="00F7041A"/>
    <w:rsid w:val="00F76443"/>
    <w:rsid w:val="00F87112"/>
    <w:rsid w:val="00F9748B"/>
    <w:rsid w:val="00FA2334"/>
    <w:rsid w:val="00FA6F2B"/>
    <w:rsid w:val="00FB6BE6"/>
    <w:rsid w:val="00FB6E2C"/>
    <w:rsid w:val="00FC2836"/>
    <w:rsid w:val="00FC700B"/>
    <w:rsid w:val="00FD2B30"/>
    <w:rsid w:val="00FE577A"/>
    <w:rsid w:val="00FE5CBB"/>
    <w:rsid w:val="00FF3818"/>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70A5"/>
  <w15:docId w15:val="{E5C70588-5B9F-40C6-B07F-1785D82F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5B6B1A"/>
    <w:pPr>
      <w:ind w:left="720"/>
      <w:contextualSpacing/>
    </w:pPr>
  </w:style>
  <w:style w:type="paragraph" w:styleId="FootnoteText">
    <w:name w:val="footnote text"/>
    <w:basedOn w:val="Normal"/>
    <w:link w:val="FootnoteTextChar"/>
    <w:uiPriority w:val="99"/>
    <w:semiHidden/>
    <w:unhideWhenUsed/>
    <w:rsid w:val="003862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862C2"/>
    <w:rPr>
      <w:rFonts w:ascii="Times New Roman" w:eastAsia="Times New Roman" w:hAnsi="Times New Roman" w:cs="Times New Roman"/>
      <w:sz w:val="20"/>
      <w:szCs w:val="20"/>
    </w:rPr>
  </w:style>
  <w:style w:type="character" w:styleId="FootnoteReference">
    <w:name w:val="footnote reference"/>
    <w:unhideWhenUsed/>
    <w:rsid w:val="00386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2019-08-08T18:30:00+00:00</Judgment_x0020_Date>
    <Year xmlns="a036617c-f1b0-4353-ab0a-456b3885ee3b">2019</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CA0C2-F350-453B-9F35-A6FB0F17348C}"/>
</file>

<file path=customXml/itemProps2.xml><?xml version="1.0" encoding="utf-8"?>
<ds:datastoreItem xmlns:ds="http://schemas.openxmlformats.org/officeDocument/2006/customXml" ds:itemID="{7F0B0740-F53F-475B-848F-AC71F0D1320F}"/>
</file>

<file path=customXml/itemProps3.xml><?xml version="1.0" encoding="utf-8"?>
<ds:datastoreItem xmlns:ds="http://schemas.openxmlformats.org/officeDocument/2006/customXml" ds:itemID="{5CAA3610-6391-46B9-AFBE-5CCC8D466645}"/>
</file>

<file path=customXml/itemProps4.xml><?xml version="1.0" encoding="utf-8"?>
<ds:datastoreItem xmlns:ds="http://schemas.openxmlformats.org/officeDocument/2006/customXml" ds:itemID="{CB775817-A6F7-4CE1-9634-9CC5E43A714A}"/>
</file>

<file path=docProps/app.xml><?xml version="1.0" encoding="utf-8"?>
<Properties xmlns="http://schemas.openxmlformats.org/officeDocument/2006/extended-properties" xmlns:vt="http://schemas.openxmlformats.org/officeDocument/2006/docPropsVTypes">
  <Template>JUDGMENT TEMPLATE</Template>
  <TotalTime>1</TotalTime>
  <Pages>11</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Lotta N. Ambunda</cp:lastModifiedBy>
  <cp:revision>2</cp:revision>
  <cp:lastPrinted>2019-08-09T12:23:00Z</cp:lastPrinted>
  <dcterms:created xsi:type="dcterms:W3CDTF">2019-08-21T10:11:00Z</dcterms:created>
  <dcterms:modified xsi:type="dcterms:W3CDTF">2019-08-21T10:11:00Z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168800</vt:r8>
  </property>
  <property fmtid="{D5CDD505-2E9C-101B-9397-08002B2CF9AE}" pid="3" name="WorkflowChangePath">
    <vt:lpwstr>d9531047-2d5a-43c2-a9e4-c40072eaf71a,4;d9531047-2d5a-43c2-a9e4-c40072eaf71a,6;d9531047-2d5a-43c2-a9e4-c40072eaf71a,9;</vt:lpwstr>
  </property>
  <property fmtid="{D5CDD505-2E9C-101B-9397-08002B2CF9AE}" pid="4" name="ContentTypeId">
    <vt:lpwstr>0x01010032C8365068CBC8478E31237FDDD61E2C</vt:lpwstr>
  </property>
</Properties>
</file>