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26CB5">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Practice Directive 61</w:t>
      </w:r>
    </w:p>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696267" w:rsidRPr="006049E8" w:rsidRDefault="008C5BC3" w:rsidP="00696267">
            <w:pPr>
              <w:tabs>
                <w:tab w:val="left" w:pos="6750"/>
              </w:tabs>
              <w:spacing w:line="360" w:lineRule="auto"/>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BRAVO COMPLIANCE (PROPRIETARY) LIMITED V NAMIB DESERT DIAMONDS (PROPRIETARY) LIMITED</w:t>
            </w:r>
          </w:p>
          <w:p w:rsidR="00D26CB5" w:rsidRPr="00E757E9" w:rsidRDefault="00D26CB5" w:rsidP="009864BB">
            <w:pPr>
              <w:tabs>
                <w:tab w:val="left" w:pos="6750"/>
              </w:tabs>
              <w:spacing w:line="360" w:lineRule="auto"/>
              <w:jc w:val="both"/>
              <w:rPr>
                <w:rFonts w:ascii="Arial Narrow" w:hAnsi="Arial Narrow" w:cs="Arial"/>
                <w:sz w:val="24"/>
                <w:szCs w:val="24"/>
              </w:rPr>
            </w:pPr>
          </w:p>
        </w:tc>
        <w:tc>
          <w:tcPr>
            <w:tcW w:w="4323" w:type="dxa"/>
          </w:tcPr>
          <w:p w:rsidR="00D26CB5" w:rsidRPr="00696267" w:rsidRDefault="00D26CB5" w:rsidP="0092129C">
            <w:pPr>
              <w:spacing w:line="360" w:lineRule="auto"/>
              <w:jc w:val="both"/>
              <w:rPr>
                <w:rFonts w:ascii="Arial Narrow" w:hAnsi="Arial Narrow" w:cs="Arial"/>
                <w:sz w:val="24"/>
                <w:szCs w:val="24"/>
              </w:rPr>
            </w:pPr>
            <w:r w:rsidRPr="00696267">
              <w:rPr>
                <w:rFonts w:ascii="Arial Narrow" w:hAnsi="Arial Narrow" w:cs="Arial"/>
                <w:b/>
                <w:sz w:val="24"/>
                <w:szCs w:val="24"/>
              </w:rPr>
              <w:t>Case No:</w:t>
            </w:r>
          </w:p>
          <w:p w:rsidR="00D26CB5" w:rsidRPr="00732F80" w:rsidRDefault="008C5BC3" w:rsidP="00692DDA">
            <w:pPr>
              <w:spacing w:line="360" w:lineRule="auto"/>
              <w:rPr>
                <w:rFonts w:ascii="Arial Narrow" w:hAnsi="Arial Narrow" w:cs="Arial"/>
                <w:b/>
                <w:sz w:val="24"/>
                <w:szCs w:val="24"/>
              </w:rPr>
            </w:pPr>
            <w:r>
              <w:rPr>
                <w:rFonts w:ascii="Arial Narrow" w:hAnsi="Arial Narrow" w:cs="Arial"/>
                <w:color w:val="333333"/>
                <w:sz w:val="24"/>
                <w:szCs w:val="24"/>
                <w:shd w:val="clear" w:color="auto" w:fill="FFFFFF"/>
              </w:rPr>
              <w:t>HC-MD-CIV-ACT-CON-2019/00396</w:t>
            </w:r>
          </w:p>
        </w:tc>
      </w:tr>
      <w:tr w:rsidR="00D26CB5" w:rsidRPr="00E757E9" w:rsidTr="0092129C">
        <w:trPr>
          <w:trHeight w:val="844"/>
        </w:trPr>
        <w:tc>
          <w:tcPr>
            <w:tcW w:w="5397" w:type="dxa"/>
            <w:gridSpan w:val="2"/>
            <w:vMerge/>
          </w:tcPr>
          <w:p w:rsidR="00D26CB5" w:rsidRPr="00E757E9" w:rsidRDefault="00D26CB5" w:rsidP="0092129C">
            <w:pPr>
              <w:spacing w:line="360" w:lineRule="auto"/>
              <w:jc w:val="both"/>
              <w:rPr>
                <w:rFonts w:ascii="Arial Narrow" w:hAnsi="Arial Narrow" w:cs="Arial"/>
                <w:sz w:val="24"/>
                <w:szCs w:val="24"/>
              </w:rPr>
            </w:pP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0A684E">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92129C">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732F80" w:rsidP="00696267">
            <w:pPr>
              <w:spacing w:line="360" w:lineRule="auto"/>
              <w:rPr>
                <w:rFonts w:ascii="Arial Narrow" w:hAnsi="Arial Narrow" w:cs="Arial"/>
                <w:sz w:val="24"/>
                <w:szCs w:val="24"/>
              </w:rPr>
            </w:pPr>
            <w:r w:rsidRPr="00732F80">
              <w:rPr>
                <w:rFonts w:ascii="Arial Narrow" w:hAnsi="Arial Narrow" w:cs="Arial"/>
                <w:sz w:val="24"/>
                <w:szCs w:val="24"/>
              </w:rPr>
              <w:t>23 OCTOBER</w:t>
            </w:r>
            <w:r w:rsidR="006049E8" w:rsidRPr="00732F80">
              <w:rPr>
                <w:rFonts w:ascii="Arial Narrow" w:hAnsi="Arial Narrow" w:cs="Arial"/>
                <w:sz w:val="24"/>
                <w:szCs w:val="24"/>
              </w:rPr>
              <w:t xml:space="preserve"> 2019</w:t>
            </w:r>
          </w:p>
        </w:tc>
      </w:tr>
      <w:tr w:rsidR="00D26CB5" w:rsidRPr="00E757E9" w:rsidTr="0092129C">
        <w:trPr>
          <w:trHeight w:val="588"/>
        </w:trPr>
        <w:tc>
          <w:tcPr>
            <w:tcW w:w="5397" w:type="dxa"/>
            <w:gridSpan w:val="2"/>
            <w:vMerge/>
          </w:tcPr>
          <w:p w:rsidR="00D26CB5" w:rsidRPr="00E757E9" w:rsidRDefault="00D26CB5" w:rsidP="0092129C">
            <w:pPr>
              <w:spacing w:line="360" w:lineRule="auto"/>
              <w:jc w:val="both"/>
              <w:rPr>
                <w:rFonts w:ascii="Arial Narrow" w:hAnsi="Arial Narrow" w:cs="Arial"/>
                <w:b/>
                <w:sz w:val="24"/>
                <w:szCs w:val="24"/>
              </w:rPr>
            </w:pPr>
          </w:p>
        </w:tc>
        <w:tc>
          <w:tcPr>
            <w:tcW w:w="4323" w:type="dxa"/>
          </w:tcPr>
          <w:p w:rsidR="00D26CB5" w:rsidRPr="00E757E9" w:rsidRDefault="0042554E" w:rsidP="0092129C">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8C5BC3" w:rsidP="0092129C">
            <w:pPr>
              <w:spacing w:line="360" w:lineRule="auto"/>
              <w:jc w:val="both"/>
              <w:rPr>
                <w:rFonts w:ascii="Arial Narrow" w:hAnsi="Arial Narrow" w:cs="Arial"/>
                <w:sz w:val="24"/>
                <w:szCs w:val="24"/>
              </w:rPr>
            </w:pPr>
            <w:r>
              <w:rPr>
                <w:rFonts w:ascii="Arial Narrow" w:hAnsi="Arial Narrow" w:cs="Arial"/>
                <w:sz w:val="24"/>
                <w:szCs w:val="24"/>
              </w:rPr>
              <w:t>05 DECEMBER</w:t>
            </w:r>
            <w:r w:rsidR="006049E8">
              <w:rPr>
                <w:rFonts w:ascii="Arial Narrow" w:hAnsi="Arial Narrow" w:cs="Arial"/>
                <w:sz w:val="24"/>
                <w:szCs w:val="24"/>
              </w:rPr>
              <w:t xml:space="preserve"> 2019</w:t>
            </w:r>
          </w:p>
          <w:p w:rsidR="00890FD4" w:rsidRDefault="00890FD4" w:rsidP="0092129C">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A80C84" w:rsidP="0092129C">
            <w:pPr>
              <w:spacing w:line="360" w:lineRule="auto"/>
              <w:jc w:val="both"/>
              <w:rPr>
                <w:rFonts w:ascii="Arial Narrow" w:hAnsi="Arial Narrow" w:cs="Arial"/>
                <w:sz w:val="24"/>
                <w:szCs w:val="24"/>
              </w:rPr>
            </w:pPr>
            <w:r>
              <w:rPr>
                <w:rFonts w:ascii="Arial Narrow" w:hAnsi="Arial Narrow" w:cs="Arial"/>
                <w:sz w:val="24"/>
                <w:szCs w:val="24"/>
              </w:rPr>
              <w:t>06</w:t>
            </w:r>
            <w:r w:rsidR="008C5BC3">
              <w:rPr>
                <w:rFonts w:ascii="Arial Narrow" w:hAnsi="Arial Narrow" w:cs="Arial"/>
                <w:sz w:val="24"/>
                <w:szCs w:val="24"/>
              </w:rPr>
              <w:t xml:space="preserve"> DECEMBER</w:t>
            </w:r>
            <w:r w:rsidR="006049E8">
              <w:rPr>
                <w:rFonts w:ascii="Arial Narrow" w:hAnsi="Arial Narrow" w:cs="Arial"/>
                <w:sz w:val="24"/>
                <w:szCs w:val="24"/>
              </w:rPr>
              <w:t xml:space="preserve"> 2019</w:t>
            </w:r>
          </w:p>
        </w:tc>
      </w:tr>
      <w:tr w:rsidR="00D26CB5" w:rsidRPr="00E757E9" w:rsidTr="00CF298D">
        <w:trPr>
          <w:trHeight w:val="638"/>
        </w:trPr>
        <w:tc>
          <w:tcPr>
            <w:tcW w:w="9720" w:type="dxa"/>
            <w:gridSpan w:val="3"/>
          </w:tcPr>
          <w:p w:rsidR="00D26CB5" w:rsidRPr="00E757E9" w:rsidRDefault="00D26CB5" w:rsidP="003B6814">
            <w:pPr>
              <w:pStyle w:val="form-control-static"/>
              <w:shd w:val="clear" w:color="auto" w:fill="FFFFFF"/>
              <w:spacing w:before="0" w:beforeAutospacing="0" w:after="0" w:afterAutospacing="0"/>
              <w:rPr>
                <w:rFonts w:ascii="Arial Narrow" w:hAnsi="Arial Narrow" w:cs="Arial"/>
                <w:color w:val="333333"/>
              </w:rPr>
            </w:pPr>
            <w:r w:rsidRPr="00E757E9">
              <w:rPr>
                <w:rFonts w:ascii="Arial Narrow" w:hAnsi="Arial Narrow" w:cs="Arial"/>
                <w:b/>
              </w:rPr>
              <w:t xml:space="preserve">Neutral citation: </w:t>
            </w:r>
            <w:r w:rsidR="008C5BC3" w:rsidRPr="00CF298D">
              <w:rPr>
                <w:rFonts w:ascii="Arial Narrow" w:hAnsi="Arial Narrow" w:cs="Arial"/>
                <w:i/>
                <w:lang w:val="en-GB"/>
              </w:rPr>
              <w:t>Bravo Compliance (Proprietary) Limited</w:t>
            </w:r>
            <w:r w:rsidR="00696267" w:rsidRPr="00CF298D">
              <w:rPr>
                <w:rFonts w:ascii="Arial Narrow" w:hAnsi="Arial Narrow" w:cs="Arial"/>
                <w:i/>
              </w:rPr>
              <w:t xml:space="preserve"> </w:t>
            </w:r>
            <w:r w:rsidR="00111785" w:rsidRPr="00CF298D">
              <w:rPr>
                <w:rFonts w:ascii="Arial Narrow" w:hAnsi="Arial Narrow" w:cs="Arial"/>
                <w:i/>
              </w:rPr>
              <w:t>v</w:t>
            </w:r>
            <w:r w:rsidR="00CF298D" w:rsidRPr="00CF298D">
              <w:rPr>
                <w:rFonts w:ascii="Arial Narrow" w:hAnsi="Arial Narrow" w:cs="Arial"/>
                <w:i/>
              </w:rPr>
              <w:t xml:space="preserve"> </w:t>
            </w:r>
            <w:r w:rsidR="00111785" w:rsidRPr="00CF298D">
              <w:rPr>
                <w:rFonts w:ascii="Arial Narrow" w:hAnsi="Arial Narrow" w:cs="Arial"/>
                <w:i/>
                <w:lang w:val="en-GB"/>
              </w:rPr>
              <w:t>Namib Desert Diamonds (Proprietary) Limited</w:t>
            </w:r>
            <w:r w:rsidR="00696267" w:rsidRPr="00CF298D">
              <w:rPr>
                <w:rFonts w:ascii="Arial Narrow" w:hAnsi="Arial Narrow" w:cs="Arial"/>
              </w:rPr>
              <w:t xml:space="preserve"> </w:t>
            </w:r>
            <w:r w:rsidR="00237DF6" w:rsidRPr="00CF298D">
              <w:rPr>
                <w:rFonts w:ascii="Arial Narrow" w:hAnsi="Arial Narrow" w:cs="Arial"/>
              </w:rPr>
              <w:t>(</w:t>
            </w:r>
            <w:r w:rsidR="00111785" w:rsidRPr="00CF298D">
              <w:rPr>
                <w:rFonts w:ascii="Arial Narrow" w:hAnsi="Arial Narrow" w:cs="Arial"/>
                <w:shd w:val="clear" w:color="auto" w:fill="FFFFFF"/>
              </w:rPr>
              <w:t>HC-MD-CIV-ACT-CON-2019/00396</w:t>
            </w:r>
            <w:r w:rsidR="00237DF6" w:rsidRPr="00CF298D">
              <w:rPr>
                <w:rFonts w:ascii="Arial Narrow" w:hAnsi="Arial Narrow" w:cs="Arial"/>
              </w:rPr>
              <w:t>) [2019]</w:t>
            </w:r>
            <w:r w:rsidR="00427466" w:rsidRPr="00CF298D">
              <w:rPr>
                <w:rFonts w:ascii="Arial Narrow" w:hAnsi="Arial Narrow" w:cs="Arial"/>
              </w:rPr>
              <w:t xml:space="preserve"> </w:t>
            </w:r>
            <w:r w:rsidR="00222323" w:rsidRPr="00CF298D">
              <w:rPr>
                <w:rFonts w:ascii="Arial Narrow" w:hAnsi="Arial Narrow" w:cs="Arial"/>
              </w:rPr>
              <w:t>NAH</w:t>
            </w:r>
            <w:r w:rsidR="001601BD" w:rsidRPr="00CF298D">
              <w:rPr>
                <w:rFonts w:ascii="Arial Narrow" w:hAnsi="Arial Narrow" w:cs="Arial"/>
              </w:rPr>
              <w:t>CMD</w:t>
            </w:r>
            <w:r w:rsidR="007110F6" w:rsidRPr="00CF298D">
              <w:rPr>
                <w:rFonts w:ascii="Arial Narrow" w:hAnsi="Arial Narrow" w:cs="Arial"/>
              </w:rPr>
              <w:t xml:space="preserve"> </w:t>
            </w:r>
            <w:r w:rsidR="003B6814">
              <w:rPr>
                <w:rFonts w:ascii="Arial Narrow" w:hAnsi="Arial Narrow" w:cs="Arial"/>
              </w:rPr>
              <w:t>533</w:t>
            </w:r>
            <w:r w:rsidR="007110F6" w:rsidRPr="00CF298D">
              <w:rPr>
                <w:rFonts w:ascii="Arial Narrow" w:hAnsi="Arial Narrow" w:cs="Arial"/>
              </w:rPr>
              <w:t xml:space="preserve"> </w:t>
            </w:r>
            <w:r w:rsidR="00A64DBC" w:rsidRPr="00CF298D">
              <w:rPr>
                <w:rFonts w:ascii="Arial Narrow" w:hAnsi="Arial Narrow" w:cs="Arial"/>
              </w:rPr>
              <w:t>(</w:t>
            </w:r>
            <w:r w:rsidR="00111785" w:rsidRPr="00CF298D">
              <w:rPr>
                <w:rFonts w:ascii="Arial Narrow" w:hAnsi="Arial Narrow" w:cs="Arial"/>
              </w:rPr>
              <w:t>05 December</w:t>
            </w:r>
            <w:r w:rsidR="000501B3" w:rsidRPr="00CF298D">
              <w:rPr>
                <w:rFonts w:ascii="Arial Narrow" w:hAnsi="Arial Narrow" w:cs="Arial"/>
              </w:rPr>
              <w:t xml:space="preserve"> </w:t>
            </w:r>
            <w:r w:rsidRPr="00CF298D">
              <w:rPr>
                <w:rFonts w:ascii="Arial Narrow" w:hAnsi="Arial Narrow" w:cs="Arial"/>
              </w:rPr>
              <w:t>2019)</w:t>
            </w:r>
          </w:p>
        </w:tc>
      </w:tr>
      <w:tr w:rsidR="00D26CB5" w:rsidRPr="00E757E9" w:rsidTr="0092129C">
        <w:tc>
          <w:tcPr>
            <w:tcW w:w="9720" w:type="dxa"/>
            <w:gridSpan w:val="3"/>
          </w:tcPr>
          <w:p w:rsidR="00D26CB5" w:rsidRPr="00E757E9" w:rsidRDefault="00D26CB5" w:rsidP="0092129C">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9439FE" w:rsidRPr="00E757E9" w:rsidRDefault="009439FE" w:rsidP="0092129C">
            <w:pPr>
              <w:pStyle w:val="form-control-static"/>
              <w:shd w:val="clear" w:color="auto" w:fill="FFFFFF"/>
              <w:spacing w:before="0" w:beforeAutospacing="0" w:after="0" w:afterAutospacing="0"/>
              <w:rPr>
                <w:rFonts w:ascii="Arial Narrow" w:hAnsi="Arial Narrow" w:cs="Arial"/>
              </w:rPr>
            </w:pPr>
            <w:r>
              <w:rPr>
                <w:rFonts w:ascii="Arial Narrow" w:hAnsi="Arial Narrow" w:cs="Arial"/>
              </w:rPr>
              <w:t xml:space="preserve">Application for Summary Judgment. </w:t>
            </w:r>
            <w:r w:rsidR="00696267">
              <w:rPr>
                <w:rFonts w:ascii="Arial Narrow" w:hAnsi="Arial Narrow" w:cs="Arial"/>
              </w:rPr>
              <w:t>Merits not considered</w:t>
            </w:r>
            <w:r w:rsidR="00D26CB5" w:rsidRPr="00E757E9">
              <w:rPr>
                <w:rFonts w:ascii="Arial Narrow" w:hAnsi="Arial Narrow" w:cs="Arial"/>
              </w:rPr>
              <w:t>.</w:t>
            </w:r>
          </w:p>
        </w:tc>
      </w:tr>
      <w:tr w:rsidR="00D26CB5" w:rsidRPr="00E757E9" w:rsidTr="0092129C">
        <w:tc>
          <w:tcPr>
            <w:tcW w:w="9720" w:type="dxa"/>
            <w:gridSpan w:val="3"/>
          </w:tcPr>
          <w:p w:rsidR="00D26CB5" w:rsidRPr="00E757E9" w:rsidRDefault="00D26CB5" w:rsidP="00E8769D">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D26CB5" w:rsidRDefault="006049E8" w:rsidP="00E8769D">
            <w:pPr>
              <w:spacing w:line="360" w:lineRule="auto"/>
              <w:jc w:val="both"/>
              <w:rPr>
                <w:rFonts w:ascii="Arial Narrow" w:hAnsi="Arial Narrow" w:cs="Arial"/>
                <w:sz w:val="24"/>
                <w:szCs w:val="24"/>
              </w:rPr>
            </w:pPr>
            <w:r>
              <w:rPr>
                <w:rFonts w:ascii="Arial Narrow" w:hAnsi="Arial Narrow" w:cs="Arial"/>
                <w:sz w:val="24"/>
                <w:szCs w:val="24"/>
              </w:rPr>
              <w:t xml:space="preserve">Having heard </w:t>
            </w:r>
            <w:r w:rsidR="003B6814">
              <w:rPr>
                <w:rFonts w:ascii="Arial Narrow" w:hAnsi="Arial Narrow" w:cs="Arial"/>
                <w:b/>
                <w:sz w:val="24"/>
                <w:szCs w:val="24"/>
              </w:rPr>
              <w:t>MR VILJOEN</w:t>
            </w:r>
            <w:r>
              <w:rPr>
                <w:rFonts w:ascii="Arial Narrow" w:hAnsi="Arial Narrow" w:cs="Arial"/>
                <w:sz w:val="24"/>
                <w:szCs w:val="24"/>
              </w:rPr>
              <w:t xml:space="preserve">, for the Plaintiff </w:t>
            </w:r>
            <w:r w:rsidR="00536B8D" w:rsidRPr="00B612FA">
              <w:rPr>
                <w:rFonts w:ascii="Arial Narrow" w:hAnsi="Arial Narrow" w:cs="Arial"/>
                <w:sz w:val="24"/>
                <w:szCs w:val="24"/>
              </w:rPr>
              <w:t xml:space="preserve">and having read the </w:t>
            </w:r>
            <w:r w:rsidR="00536B8D" w:rsidRPr="009864BB">
              <w:rPr>
                <w:rFonts w:ascii="Arial Narrow" w:hAnsi="Arial Narrow" w:cs="Arial"/>
                <w:sz w:val="24"/>
                <w:szCs w:val="24"/>
              </w:rPr>
              <w:t>document</w:t>
            </w:r>
            <w:r w:rsidRPr="009864BB">
              <w:rPr>
                <w:rFonts w:ascii="Arial Narrow" w:hAnsi="Arial Narrow" w:cs="Arial"/>
                <w:sz w:val="24"/>
                <w:szCs w:val="24"/>
              </w:rPr>
              <w:t>s</w:t>
            </w:r>
            <w:r w:rsidR="00536B8D" w:rsidRPr="00B612FA">
              <w:rPr>
                <w:rFonts w:ascii="Arial Narrow" w:hAnsi="Arial Narrow" w:cs="Arial"/>
                <w:sz w:val="24"/>
                <w:szCs w:val="24"/>
              </w:rPr>
              <w:t xml:space="preserve"> filed of record:</w:t>
            </w:r>
          </w:p>
          <w:p w:rsidR="006049E8" w:rsidRPr="00B612FA" w:rsidRDefault="006049E8" w:rsidP="00E8769D">
            <w:pPr>
              <w:spacing w:line="360" w:lineRule="auto"/>
              <w:jc w:val="both"/>
              <w:rPr>
                <w:rFonts w:ascii="Arial Narrow" w:hAnsi="Arial Narrow" w:cs="Arial"/>
                <w:sz w:val="24"/>
                <w:szCs w:val="24"/>
              </w:rPr>
            </w:pPr>
          </w:p>
          <w:p w:rsidR="00D26CB5" w:rsidRPr="00B612FA" w:rsidRDefault="00D26CB5" w:rsidP="00E8769D">
            <w:pPr>
              <w:spacing w:line="360" w:lineRule="auto"/>
              <w:jc w:val="both"/>
              <w:rPr>
                <w:rFonts w:ascii="Arial Narrow" w:hAnsi="Arial Narrow" w:cs="Arial"/>
                <w:b/>
                <w:sz w:val="24"/>
                <w:szCs w:val="24"/>
              </w:rPr>
            </w:pPr>
            <w:r w:rsidRPr="00B612FA">
              <w:rPr>
                <w:rFonts w:ascii="Arial Narrow" w:hAnsi="Arial Narrow" w:cs="Arial"/>
                <w:b/>
                <w:sz w:val="24"/>
                <w:szCs w:val="24"/>
              </w:rPr>
              <w:t xml:space="preserve">IT IS </w:t>
            </w:r>
            <w:r w:rsidR="005A43DF" w:rsidRPr="00B612FA">
              <w:rPr>
                <w:rFonts w:ascii="Arial Narrow" w:hAnsi="Arial Narrow" w:cs="Arial"/>
                <w:b/>
                <w:sz w:val="24"/>
                <w:szCs w:val="24"/>
              </w:rPr>
              <w:t xml:space="preserve">HEREBY </w:t>
            </w:r>
            <w:r w:rsidRPr="00B612FA">
              <w:rPr>
                <w:rFonts w:ascii="Arial Narrow" w:hAnsi="Arial Narrow" w:cs="Arial"/>
                <w:b/>
                <w:sz w:val="24"/>
                <w:szCs w:val="24"/>
              </w:rPr>
              <w:t>ORDERED THAT:</w:t>
            </w:r>
          </w:p>
          <w:p w:rsidR="00FD1EA4" w:rsidRDefault="00FD1EA4"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lang w:val="en-ZA"/>
              </w:rPr>
            </w:pPr>
            <w:r>
              <w:rPr>
                <w:rFonts w:ascii="Arial Narrow" w:hAnsi="Arial Narrow" w:cs="Helvetica"/>
                <w:lang w:val="en-ZA"/>
              </w:rPr>
              <w:t xml:space="preserve">The point </w:t>
            </w:r>
            <w:r w:rsidRPr="00FD1EA4">
              <w:rPr>
                <w:rFonts w:ascii="Arial Narrow" w:hAnsi="Arial Narrow" w:cs="Helvetica"/>
                <w:i/>
                <w:lang w:val="en-ZA"/>
              </w:rPr>
              <w:t>in limine</w:t>
            </w:r>
            <w:r>
              <w:rPr>
                <w:rFonts w:ascii="Arial Narrow" w:hAnsi="Arial Narrow" w:cs="Helvetica"/>
                <w:lang w:val="en-ZA"/>
              </w:rPr>
              <w:t xml:space="preserve"> raised by the Defendant based</w:t>
            </w:r>
            <w:r w:rsidRPr="00FD1EA4">
              <w:rPr>
                <w:rFonts w:ascii="Arial Narrow" w:hAnsi="Arial Narrow" w:cs="Helvetica"/>
                <w:lang w:val="en-ZA"/>
              </w:rPr>
              <w:t xml:space="preserve"> on </w:t>
            </w:r>
            <w:r w:rsidRPr="005B096A">
              <w:rPr>
                <w:rFonts w:ascii="Arial Narrow" w:hAnsi="Arial Narrow" w:cs="Helvetica"/>
                <w:i/>
                <w:lang w:val="en-ZA"/>
              </w:rPr>
              <w:t>locus standi</w:t>
            </w:r>
            <w:r w:rsidRPr="00FD1EA4">
              <w:rPr>
                <w:rFonts w:ascii="Arial Narrow" w:hAnsi="Arial Narrow" w:cs="Helvetica"/>
                <w:lang w:val="en-ZA"/>
              </w:rPr>
              <w:t xml:space="preserve"> is upheld</w:t>
            </w:r>
            <w:r>
              <w:rPr>
                <w:rFonts w:ascii="Arial Narrow" w:hAnsi="Arial Narrow" w:cs="Helvetica"/>
                <w:lang w:val="en-ZA"/>
              </w:rPr>
              <w:t>.</w:t>
            </w:r>
          </w:p>
          <w:p w:rsidR="00556F1A" w:rsidRDefault="00FD1EA4"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rPr>
            </w:pPr>
            <w:r>
              <w:rPr>
                <w:rFonts w:ascii="Arial Narrow" w:hAnsi="Arial Narrow" w:cs="Helvetica"/>
                <w:lang w:val="en-ZA"/>
              </w:rPr>
              <w:t xml:space="preserve"> T</w:t>
            </w:r>
            <w:r w:rsidRPr="00FD1EA4">
              <w:rPr>
                <w:rFonts w:ascii="Arial Narrow" w:hAnsi="Arial Narrow" w:cs="Helvetica"/>
                <w:lang w:val="en-ZA"/>
              </w:rPr>
              <w:t xml:space="preserve">he plaintiff's </w:t>
            </w:r>
            <w:r>
              <w:rPr>
                <w:rFonts w:ascii="Arial Narrow" w:hAnsi="Arial Narrow" w:cs="Helvetica"/>
                <w:lang w:val="en-ZA"/>
              </w:rPr>
              <w:t xml:space="preserve">application for summary judgment is </w:t>
            </w:r>
            <w:r w:rsidRPr="00FD1EA4">
              <w:rPr>
                <w:rFonts w:ascii="Arial Narrow" w:hAnsi="Arial Narrow" w:cs="Helvetica"/>
                <w:lang w:val="en-ZA"/>
              </w:rPr>
              <w:t>dismissed with costs</w:t>
            </w:r>
            <w:r w:rsidR="00556F1A" w:rsidRPr="00B32970">
              <w:rPr>
                <w:rFonts w:ascii="Arial Narrow" w:hAnsi="Arial Narrow" w:cs="Helvetica"/>
              </w:rPr>
              <w:t>.</w:t>
            </w:r>
          </w:p>
          <w:p w:rsidR="00FD1EA4" w:rsidRPr="00FD1EA4" w:rsidRDefault="00FD1EA4"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rPr>
            </w:pPr>
            <w:r w:rsidRPr="00FD1EA4">
              <w:rPr>
                <w:rFonts w:ascii="Arial Narrow" w:hAnsi="Arial Narrow" w:cs="Helvetica"/>
                <w:lang w:val="en-ZA"/>
              </w:rPr>
              <w:t>Such costs to include the cost of one instructed and one instructing counsel. The</w:t>
            </w:r>
            <w:r>
              <w:rPr>
                <w:rFonts w:ascii="Arial Narrow" w:hAnsi="Arial Narrow" w:cs="Helvetica"/>
                <w:lang w:val="en-ZA"/>
              </w:rPr>
              <w:t xml:space="preserve"> cost is limited to Rule 32(11).</w:t>
            </w:r>
          </w:p>
          <w:p w:rsidR="00FD1EA4" w:rsidRDefault="00FD1EA4"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rPr>
            </w:pPr>
            <w:r>
              <w:rPr>
                <w:rFonts w:ascii="Arial Narrow" w:hAnsi="Arial Narrow" w:cs="Helvetica"/>
              </w:rPr>
              <w:t>The matter is postponed to</w:t>
            </w:r>
            <w:r w:rsidR="00556F1A" w:rsidRPr="00FD1EA4">
              <w:rPr>
                <w:rFonts w:ascii="Arial Narrow" w:hAnsi="Arial Narrow" w:cs="Helvetica"/>
              </w:rPr>
              <w:t xml:space="preserve"> </w:t>
            </w:r>
            <w:r>
              <w:rPr>
                <w:rFonts w:ascii="Arial Narrow" w:hAnsi="Arial Narrow" w:cs="Helvetica"/>
                <w:b/>
              </w:rPr>
              <w:t xml:space="preserve">23 January </w:t>
            </w:r>
            <w:r w:rsidR="00556F1A" w:rsidRPr="00FD1EA4">
              <w:rPr>
                <w:rFonts w:ascii="Arial Narrow" w:hAnsi="Arial Narrow" w:cs="Helvetica"/>
              </w:rPr>
              <w:t xml:space="preserve">at </w:t>
            </w:r>
            <w:r w:rsidR="00556F1A" w:rsidRPr="00FD1EA4">
              <w:rPr>
                <w:rFonts w:ascii="Arial Narrow" w:hAnsi="Arial Narrow" w:cs="Helvetica"/>
                <w:b/>
              </w:rPr>
              <w:t>15:00</w:t>
            </w:r>
            <w:r w:rsidR="00CF2F5E" w:rsidRPr="00FD1EA4">
              <w:rPr>
                <w:rFonts w:ascii="Arial Narrow" w:hAnsi="Arial Narrow" w:cs="Helvetica"/>
              </w:rPr>
              <w:t xml:space="preserve"> for</w:t>
            </w:r>
            <w:r w:rsidR="003B6814">
              <w:rPr>
                <w:rFonts w:ascii="Arial Narrow" w:hAnsi="Arial Narrow" w:cs="Helvetica"/>
              </w:rPr>
              <w:t xml:space="preserve"> further case planning conference</w:t>
            </w:r>
            <w:r w:rsidR="00556F1A" w:rsidRPr="00FD1EA4">
              <w:rPr>
                <w:rFonts w:ascii="Arial Narrow" w:hAnsi="Arial Narrow" w:cs="Helvetica"/>
              </w:rPr>
              <w:t>.</w:t>
            </w:r>
          </w:p>
          <w:p w:rsidR="00556F1A" w:rsidRDefault="00556F1A"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rPr>
            </w:pPr>
            <w:r w:rsidRPr="00FD1EA4">
              <w:rPr>
                <w:rFonts w:ascii="Arial Narrow" w:hAnsi="Arial Narrow" w:cs="Helvetica"/>
              </w:rPr>
              <w:t xml:space="preserve">The Parties must file a </w:t>
            </w:r>
            <w:r w:rsidR="003B6814">
              <w:rPr>
                <w:rFonts w:ascii="Arial Narrow" w:hAnsi="Arial Narrow" w:cs="Helvetica"/>
              </w:rPr>
              <w:t>further case plan</w:t>
            </w:r>
            <w:r w:rsidR="00FD1EA4">
              <w:rPr>
                <w:rFonts w:ascii="Arial Narrow" w:hAnsi="Arial Narrow" w:cs="Helvetica"/>
              </w:rPr>
              <w:t xml:space="preserve"> </w:t>
            </w:r>
            <w:r w:rsidRPr="00FD1EA4">
              <w:rPr>
                <w:rFonts w:ascii="Arial Narrow" w:hAnsi="Arial Narrow" w:cs="Helvetica"/>
              </w:rPr>
              <w:t xml:space="preserve">on or before </w:t>
            </w:r>
            <w:r w:rsidR="00FD1EA4">
              <w:rPr>
                <w:rFonts w:ascii="Arial Narrow" w:hAnsi="Arial Narrow" w:cs="Helvetica"/>
                <w:u w:val="single"/>
              </w:rPr>
              <w:t>20 January 2020</w:t>
            </w:r>
            <w:r w:rsidRPr="00FD1EA4">
              <w:rPr>
                <w:rFonts w:ascii="Arial Narrow" w:hAnsi="Arial Narrow" w:cs="Helvetica"/>
              </w:rPr>
              <w:t>.</w:t>
            </w:r>
          </w:p>
          <w:p w:rsidR="00E8769D" w:rsidRPr="00FD1EA4" w:rsidRDefault="00E8769D" w:rsidP="00E8769D">
            <w:pPr>
              <w:pStyle w:val="NormalWeb"/>
              <w:shd w:val="clear" w:color="auto" w:fill="FFFFFF"/>
              <w:spacing w:before="0" w:beforeAutospacing="0" w:after="0" w:afterAutospacing="0" w:line="360" w:lineRule="auto"/>
              <w:ind w:left="720"/>
              <w:jc w:val="both"/>
              <w:rPr>
                <w:rFonts w:ascii="Arial Narrow" w:hAnsi="Arial Narrow" w:cs="Helvetica"/>
              </w:rPr>
            </w:pP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E757E9" w:rsidTr="00304459">
        <w:trPr>
          <w:trHeight w:val="1088"/>
        </w:trPr>
        <w:tc>
          <w:tcPr>
            <w:tcW w:w="9720" w:type="dxa"/>
            <w:gridSpan w:val="3"/>
          </w:tcPr>
          <w:p w:rsidR="00DE214C" w:rsidRPr="00794F8F" w:rsidRDefault="00DE214C" w:rsidP="00E8769D">
            <w:pPr>
              <w:tabs>
                <w:tab w:val="left" w:pos="1275"/>
              </w:tabs>
              <w:spacing w:line="360" w:lineRule="auto"/>
              <w:jc w:val="both"/>
              <w:rPr>
                <w:rFonts w:ascii="Arial Narrow" w:hAnsi="Arial Narrow" w:cs="Arial"/>
                <w:sz w:val="24"/>
                <w:szCs w:val="24"/>
                <w:u w:val="single"/>
              </w:rPr>
            </w:pPr>
          </w:p>
          <w:p w:rsidR="00010FE7" w:rsidRPr="00794F8F" w:rsidRDefault="00010FE7" w:rsidP="00E8769D">
            <w:pPr>
              <w:tabs>
                <w:tab w:val="left" w:pos="1275"/>
              </w:tabs>
              <w:spacing w:line="360" w:lineRule="auto"/>
              <w:jc w:val="both"/>
              <w:rPr>
                <w:rFonts w:ascii="Arial Narrow" w:hAnsi="Arial Narrow" w:cs="Arial"/>
                <w:sz w:val="24"/>
                <w:szCs w:val="24"/>
                <w:u w:val="single"/>
              </w:rPr>
            </w:pPr>
            <w:r w:rsidRPr="00794F8F">
              <w:rPr>
                <w:rFonts w:ascii="Arial Narrow" w:hAnsi="Arial Narrow" w:cs="Arial"/>
                <w:sz w:val="24"/>
                <w:szCs w:val="24"/>
                <w:u w:val="single"/>
              </w:rPr>
              <w:t>Introduction</w:t>
            </w:r>
            <w:r w:rsidR="00C861E1" w:rsidRPr="00794F8F">
              <w:rPr>
                <w:rFonts w:ascii="Arial Narrow" w:hAnsi="Arial Narrow" w:cs="Arial"/>
                <w:sz w:val="24"/>
                <w:szCs w:val="24"/>
                <w:u w:val="single"/>
              </w:rPr>
              <w:t xml:space="preserve"> and brief background</w:t>
            </w:r>
          </w:p>
          <w:p w:rsidR="004243AE" w:rsidRPr="00794F8F" w:rsidRDefault="004243AE" w:rsidP="00E8769D">
            <w:pPr>
              <w:spacing w:line="360" w:lineRule="auto"/>
              <w:jc w:val="both"/>
              <w:rPr>
                <w:rFonts w:ascii="Arial Narrow" w:hAnsi="Arial Narrow"/>
                <w:sz w:val="24"/>
                <w:szCs w:val="24"/>
                <w:lang w:val="af-ZA"/>
              </w:rPr>
            </w:pPr>
          </w:p>
          <w:p w:rsidR="00696267" w:rsidRPr="00794F8F" w:rsidRDefault="00FC23A0" w:rsidP="00E8769D">
            <w:pPr>
              <w:spacing w:line="360" w:lineRule="auto"/>
              <w:jc w:val="both"/>
              <w:rPr>
                <w:rFonts w:ascii="Arial Narrow" w:hAnsi="Arial Narrow"/>
                <w:sz w:val="24"/>
                <w:szCs w:val="24"/>
                <w:lang w:val="af-ZA"/>
              </w:rPr>
            </w:pPr>
            <w:r>
              <w:rPr>
                <w:rFonts w:ascii="Arial Narrow" w:hAnsi="Arial Narrow"/>
                <w:sz w:val="24"/>
                <w:szCs w:val="24"/>
                <w:lang w:val="af-ZA"/>
              </w:rPr>
              <w:t xml:space="preserve">[1]     </w:t>
            </w:r>
            <w:r w:rsidR="00732F80" w:rsidRPr="00A80C84">
              <w:rPr>
                <w:rFonts w:ascii="Arial Narrow" w:hAnsi="Arial Narrow"/>
                <w:sz w:val="24"/>
                <w:szCs w:val="24"/>
                <w:lang w:val="af-ZA"/>
              </w:rPr>
              <w:t>This is an application for summary judgment brought by the plaintiff against the defendant</w:t>
            </w:r>
            <w:r w:rsidR="00042232" w:rsidRPr="00A80C84">
              <w:rPr>
                <w:rFonts w:ascii="Arial Narrow" w:hAnsi="Arial Narrow"/>
                <w:sz w:val="24"/>
                <w:szCs w:val="24"/>
                <w:lang w:val="af-ZA"/>
              </w:rPr>
              <w:t xml:space="preserve"> for breach of contract</w:t>
            </w:r>
            <w:r w:rsidR="00732F80" w:rsidRPr="00A80C84">
              <w:rPr>
                <w:rFonts w:ascii="Arial Narrow" w:hAnsi="Arial Narrow"/>
                <w:sz w:val="24"/>
                <w:szCs w:val="24"/>
                <w:lang w:val="af-ZA"/>
              </w:rPr>
              <w:t xml:space="preserve"> </w:t>
            </w:r>
            <w:r w:rsidR="00042232" w:rsidRPr="00A80C84">
              <w:rPr>
                <w:rFonts w:ascii="Arial Narrow" w:hAnsi="Arial Narrow"/>
                <w:sz w:val="24"/>
                <w:szCs w:val="24"/>
                <w:lang w:val="af-ZA"/>
              </w:rPr>
              <w:t xml:space="preserve">as set out in </w:t>
            </w:r>
            <w:r w:rsidR="00732F80" w:rsidRPr="00A80C84">
              <w:rPr>
                <w:rFonts w:ascii="Arial Narrow" w:hAnsi="Arial Narrow"/>
                <w:sz w:val="24"/>
                <w:szCs w:val="24"/>
                <w:lang w:val="af-ZA"/>
              </w:rPr>
              <w:t xml:space="preserve">Claim A </w:t>
            </w:r>
            <w:r w:rsidR="00042232" w:rsidRPr="00A80C84">
              <w:rPr>
                <w:rFonts w:ascii="Arial Narrow" w:hAnsi="Arial Narrow"/>
                <w:sz w:val="24"/>
                <w:szCs w:val="24"/>
                <w:lang w:val="af-ZA"/>
              </w:rPr>
              <w:t xml:space="preserve">of the </w:t>
            </w:r>
            <w:r w:rsidR="00696267" w:rsidRPr="00A80C84">
              <w:rPr>
                <w:rFonts w:ascii="Arial Narrow" w:hAnsi="Arial Narrow"/>
                <w:sz w:val="24"/>
                <w:szCs w:val="24"/>
                <w:lang w:val="af-ZA"/>
              </w:rPr>
              <w:t xml:space="preserve">particulars </w:t>
            </w:r>
            <w:r w:rsidR="0016716D" w:rsidRPr="00A80C84">
              <w:rPr>
                <w:rFonts w:ascii="Arial Narrow" w:hAnsi="Arial Narrow"/>
                <w:sz w:val="24"/>
                <w:szCs w:val="24"/>
                <w:lang w:val="af-ZA"/>
              </w:rPr>
              <w:t>of claim</w:t>
            </w:r>
            <w:r w:rsidR="00042232" w:rsidRPr="00A80C84">
              <w:rPr>
                <w:rFonts w:ascii="Arial Narrow" w:hAnsi="Arial Narrow"/>
                <w:sz w:val="24"/>
                <w:szCs w:val="24"/>
                <w:lang w:val="af-ZA"/>
              </w:rPr>
              <w:t>. The claim is</w:t>
            </w:r>
            <w:r w:rsidR="0016716D" w:rsidRPr="00A80C84">
              <w:rPr>
                <w:rFonts w:ascii="Arial Narrow" w:hAnsi="Arial Narrow"/>
                <w:sz w:val="24"/>
                <w:szCs w:val="24"/>
                <w:lang w:val="af-ZA"/>
              </w:rPr>
              <w:t xml:space="preserve"> </w:t>
            </w:r>
            <w:r w:rsidR="00732F80" w:rsidRPr="00A80C84">
              <w:rPr>
                <w:rFonts w:ascii="Arial Narrow" w:hAnsi="Arial Narrow"/>
                <w:sz w:val="24"/>
                <w:szCs w:val="24"/>
                <w:lang w:val="af-ZA"/>
              </w:rPr>
              <w:t xml:space="preserve">for an amount of N$ 297 427, interest on </w:t>
            </w:r>
            <w:r w:rsidR="00732F80" w:rsidRPr="00A80C84">
              <w:rPr>
                <w:rFonts w:ascii="Arial Narrow" w:hAnsi="Arial Narrow"/>
                <w:sz w:val="24"/>
                <w:szCs w:val="24"/>
                <w:lang w:val="af-ZA"/>
              </w:rPr>
              <w:lastRenderedPageBreak/>
              <w:t xml:space="preserve">that amount at the rate of 20% per annum </w:t>
            </w:r>
            <w:r w:rsidR="008156A9" w:rsidRPr="00A80C84">
              <w:rPr>
                <w:rFonts w:ascii="Arial Narrow" w:hAnsi="Arial Narrow"/>
                <w:i/>
                <w:sz w:val="24"/>
                <w:szCs w:val="24"/>
                <w:lang w:val="af-ZA"/>
              </w:rPr>
              <w:t>a tempore mo</w:t>
            </w:r>
            <w:r w:rsidR="00732F80" w:rsidRPr="00A80C84">
              <w:rPr>
                <w:rFonts w:ascii="Arial Narrow" w:hAnsi="Arial Narrow"/>
                <w:i/>
                <w:sz w:val="24"/>
                <w:szCs w:val="24"/>
                <w:lang w:val="af-ZA"/>
              </w:rPr>
              <w:t>rae</w:t>
            </w:r>
            <w:r w:rsidR="008156A9" w:rsidRPr="00A80C84">
              <w:rPr>
                <w:rFonts w:ascii="Arial Narrow" w:hAnsi="Arial Narrow"/>
                <w:sz w:val="24"/>
                <w:szCs w:val="24"/>
                <w:lang w:val="af-ZA"/>
              </w:rPr>
              <w:t xml:space="preserve"> calculated from </w:t>
            </w:r>
            <w:r w:rsidR="00732F80" w:rsidRPr="00A80C84">
              <w:rPr>
                <w:rFonts w:ascii="Arial Narrow" w:hAnsi="Arial Narrow"/>
                <w:sz w:val="24"/>
                <w:szCs w:val="24"/>
                <w:lang w:val="af-ZA"/>
              </w:rPr>
              <w:t>7 February 2019</w:t>
            </w:r>
            <w:r w:rsidR="00B5623B" w:rsidRPr="00A80C84">
              <w:rPr>
                <w:rStyle w:val="FootnoteReference"/>
                <w:rFonts w:ascii="Arial Narrow" w:hAnsi="Arial Narrow"/>
                <w:sz w:val="24"/>
                <w:szCs w:val="24"/>
                <w:lang w:val="af-ZA"/>
              </w:rPr>
              <w:footnoteReference w:id="1"/>
            </w:r>
            <w:r w:rsidR="00732F80" w:rsidRPr="00A80C84">
              <w:rPr>
                <w:rFonts w:ascii="Arial Narrow" w:hAnsi="Arial Narrow"/>
                <w:sz w:val="24"/>
                <w:szCs w:val="24"/>
                <w:lang w:val="af-ZA"/>
              </w:rPr>
              <w:t xml:space="preserve"> and costs of su</w:t>
            </w:r>
            <w:r w:rsidR="00370EA1" w:rsidRPr="00A80C84">
              <w:rPr>
                <w:rFonts w:ascii="Arial Narrow" w:hAnsi="Arial Narrow"/>
                <w:sz w:val="24"/>
                <w:szCs w:val="24"/>
                <w:lang w:val="af-ZA"/>
              </w:rPr>
              <w:t>i</w:t>
            </w:r>
            <w:r w:rsidR="00997A15" w:rsidRPr="00A80C84">
              <w:rPr>
                <w:rFonts w:ascii="Arial Narrow" w:hAnsi="Arial Narrow"/>
                <w:sz w:val="24"/>
                <w:szCs w:val="24"/>
                <w:lang w:val="af-ZA"/>
              </w:rPr>
              <w:t>t. The claim emanates from services allegedly rendered by plaintiff to the defendant and the defendant’s failure to pay the plaintiff’s tax invoices for the services so rendered</w:t>
            </w:r>
            <w:r w:rsidR="00732F80" w:rsidRPr="00A80C84">
              <w:rPr>
                <w:rFonts w:ascii="Arial Narrow" w:hAnsi="Arial Narrow"/>
                <w:sz w:val="24"/>
                <w:szCs w:val="24"/>
                <w:lang w:val="af-ZA"/>
              </w:rPr>
              <w:t>.</w:t>
            </w:r>
            <w:r w:rsidR="00997A15" w:rsidRPr="00A80C84">
              <w:rPr>
                <w:rFonts w:ascii="Arial Narrow" w:hAnsi="Arial Narrow"/>
                <w:sz w:val="24"/>
                <w:szCs w:val="24"/>
                <w:lang w:val="af-ZA"/>
              </w:rPr>
              <w:t xml:space="preserve"> </w:t>
            </w:r>
            <w:r w:rsidR="00732F80" w:rsidRPr="00A80C84">
              <w:rPr>
                <w:rFonts w:ascii="Arial Narrow" w:hAnsi="Arial Narrow"/>
                <w:sz w:val="24"/>
                <w:szCs w:val="24"/>
                <w:lang w:val="af-ZA"/>
              </w:rPr>
              <w:t xml:space="preserve"> </w:t>
            </w:r>
            <w:r w:rsidR="00A80C84" w:rsidRPr="00A80C84">
              <w:rPr>
                <w:rFonts w:ascii="Arial Narrow" w:hAnsi="Arial Narrow"/>
                <w:sz w:val="24"/>
                <w:szCs w:val="24"/>
                <w:lang w:val="af-ZA"/>
              </w:rPr>
              <w:t>The plaintiff claims an</w:t>
            </w:r>
            <w:r w:rsidR="002E374D" w:rsidRPr="00A80C84">
              <w:rPr>
                <w:rFonts w:ascii="Arial Narrow" w:hAnsi="Arial Narrow"/>
                <w:sz w:val="24"/>
                <w:szCs w:val="24"/>
                <w:lang w:val="af-ZA"/>
              </w:rPr>
              <w:t xml:space="preserve"> amount based on two invoices, one issued to the defendant and the other issued to Brave Souled Butterfly (Pty) Ltd</w:t>
            </w:r>
            <w:r w:rsidR="002F6E77" w:rsidRPr="00A80C84">
              <w:rPr>
                <w:rFonts w:ascii="Arial Narrow" w:hAnsi="Arial Narrow"/>
                <w:sz w:val="24"/>
                <w:szCs w:val="24"/>
                <w:lang w:val="af-ZA"/>
              </w:rPr>
              <w:t xml:space="preserve"> (BSB)</w:t>
            </w:r>
            <w:r w:rsidR="002E374D" w:rsidRPr="00A80C84">
              <w:rPr>
                <w:rFonts w:ascii="Arial Narrow" w:hAnsi="Arial Narrow"/>
                <w:sz w:val="24"/>
                <w:szCs w:val="24"/>
                <w:lang w:val="af-ZA"/>
              </w:rPr>
              <w:t>.</w:t>
            </w:r>
          </w:p>
          <w:p w:rsidR="00042232" w:rsidRDefault="00042232" w:rsidP="00E8769D">
            <w:pPr>
              <w:spacing w:line="360" w:lineRule="auto"/>
              <w:jc w:val="both"/>
              <w:rPr>
                <w:rFonts w:ascii="Arial Narrow" w:hAnsi="Arial Narrow"/>
                <w:sz w:val="24"/>
                <w:szCs w:val="24"/>
                <w:lang w:val="af-ZA"/>
              </w:rPr>
            </w:pPr>
          </w:p>
          <w:p w:rsidR="00997A15" w:rsidRPr="00794F8F" w:rsidRDefault="00042232" w:rsidP="00E8769D">
            <w:pPr>
              <w:spacing w:line="360" w:lineRule="auto"/>
              <w:jc w:val="both"/>
              <w:rPr>
                <w:rFonts w:ascii="Arial Narrow" w:hAnsi="Arial Narrow"/>
                <w:sz w:val="24"/>
                <w:szCs w:val="24"/>
                <w:lang w:val="af-ZA"/>
              </w:rPr>
            </w:pPr>
            <w:r w:rsidRPr="00794F8F">
              <w:rPr>
                <w:rFonts w:ascii="Arial Narrow" w:hAnsi="Arial Narrow"/>
                <w:sz w:val="24"/>
                <w:szCs w:val="24"/>
                <w:lang w:val="af-ZA"/>
              </w:rPr>
              <w:t xml:space="preserve"> </w:t>
            </w:r>
            <w:r w:rsidR="0032120B" w:rsidRPr="00794F8F">
              <w:rPr>
                <w:rFonts w:ascii="Arial Narrow" w:hAnsi="Arial Narrow"/>
                <w:sz w:val="24"/>
                <w:szCs w:val="24"/>
                <w:lang w:val="af-ZA"/>
              </w:rPr>
              <w:t>[2</w:t>
            </w:r>
            <w:r w:rsidR="001E2DFC" w:rsidRPr="00E45758">
              <w:rPr>
                <w:rFonts w:ascii="Arial Narrow" w:hAnsi="Arial Narrow"/>
                <w:sz w:val="24"/>
                <w:szCs w:val="24"/>
                <w:lang w:val="af-ZA"/>
              </w:rPr>
              <w:t>]</w:t>
            </w:r>
            <w:r w:rsidR="00FC23A0" w:rsidRPr="00E45758">
              <w:rPr>
                <w:rFonts w:ascii="Arial Narrow" w:hAnsi="Arial Narrow"/>
                <w:sz w:val="24"/>
                <w:szCs w:val="24"/>
                <w:lang w:val="af-ZA"/>
              </w:rPr>
              <w:t xml:space="preserve">   </w:t>
            </w:r>
            <w:r w:rsidR="00FC23A0" w:rsidRPr="004F577E">
              <w:rPr>
                <w:rFonts w:ascii="Arial Narrow" w:hAnsi="Arial Narrow"/>
                <w:color w:val="7030A0"/>
                <w:sz w:val="24"/>
                <w:szCs w:val="24"/>
                <w:lang w:val="af-ZA"/>
              </w:rPr>
              <w:t xml:space="preserve">  </w:t>
            </w:r>
            <w:r w:rsidR="00A80C84" w:rsidRPr="001F11D4">
              <w:rPr>
                <w:rFonts w:ascii="Arial Narrow" w:hAnsi="Arial Narrow"/>
                <w:sz w:val="24"/>
                <w:szCs w:val="24"/>
                <w:lang w:val="af-ZA"/>
              </w:rPr>
              <w:t xml:space="preserve">BSB </w:t>
            </w:r>
            <w:r w:rsidR="00997A15" w:rsidRPr="00A80C84">
              <w:rPr>
                <w:rFonts w:ascii="Arial Narrow" w:hAnsi="Arial Narrow"/>
                <w:sz w:val="24"/>
                <w:szCs w:val="24"/>
                <w:lang w:val="af-ZA"/>
              </w:rPr>
              <w:t>was selected by the defendant</w:t>
            </w:r>
            <w:r w:rsidR="004F577E" w:rsidRPr="00A80C84">
              <w:rPr>
                <w:rFonts w:ascii="Arial Narrow" w:hAnsi="Arial Narrow"/>
                <w:sz w:val="24"/>
                <w:szCs w:val="24"/>
                <w:lang w:val="af-ZA"/>
              </w:rPr>
              <w:t>,</w:t>
            </w:r>
            <w:r w:rsidR="00997A15" w:rsidRPr="00A80C84">
              <w:rPr>
                <w:rFonts w:ascii="Arial Narrow" w:hAnsi="Arial Narrow"/>
                <w:sz w:val="24"/>
                <w:szCs w:val="24"/>
                <w:lang w:val="af-ZA"/>
              </w:rPr>
              <w:t xml:space="preserve"> </w:t>
            </w:r>
            <w:r w:rsidR="004F577E" w:rsidRPr="00A80C84">
              <w:rPr>
                <w:rFonts w:ascii="Arial Narrow" w:hAnsi="Arial Narrow"/>
                <w:sz w:val="24"/>
                <w:szCs w:val="24"/>
                <w:lang w:val="af-ZA"/>
              </w:rPr>
              <w:t xml:space="preserve">after submission of a proposal in response to the </w:t>
            </w:r>
            <w:r w:rsidR="00A80C84" w:rsidRPr="00A80C84">
              <w:rPr>
                <w:rFonts w:ascii="Arial Narrow" w:hAnsi="Arial Narrow"/>
                <w:sz w:val="24"/>
                <w:szCs w:val="24"/>
                <w:lang w:val="af-ZA"/>
              </w:rPr>
              <w:t>defendant’s</w:t>
            </w:r>
            <w:r w:rsidR="004F577E" w:rsidRPr="00A80C84">
              <w:rPr>
                <w:rFonts w:ascii="Arial Narrow" w:hAnsi="Arial Narrow"/>
                <w:sz w:val="24"/>
                <w:szCs w:val="24"/>
                <w:lang w:val="af-ZA"/>
              </w:rPr>
              <w:t xml:space="preserve"> invitation of “expression of interest”, </w:t>
            </w:r>
            <w:r w:rsidR="00997A15" w:rsidRPr="00A80C84">
              <w:rPr>
                <w:rFonts w:ascii="Arial Narrow" w:hAnsi="Arial Narrow"/>
                <w:sz w:val="24"/>
                <w:szCs w:val="24"/>
                <w:lang w:val="af-ZA"/>
              </w:rPr>
              <w:t>to render consulting services</w:t>
            </w:r>
            <w:r w:rsidR="00232099" w:rsidRPr="00A80C84">
              <w:rPr>
                <w:rFonts w:ascii="Arial Narrow" w:hAnsi="Arial Narrow"/>
                <w:sz w:val="24"/>
                <w:szCs w:val="24"/>
                <w:lang w:val="af-ZA"/>
              </w:rPr>
              <w:t xml:space="preserve"> </w:t>
            </w:r>
            <w:r w:rsidR="004F577E" w:rsidRPr="00A80C84">
              <w:rPr>
                <w:rFonts w:ascii="Arial Narrow" w:hAnsi="Arial Narrow"/>
                <w:sz w:val="24"/>
                <w:szCs w:val="24"/>
                <w:lang w:val="af-ZA"/>
              </w:rPr>
              <w:t>and for preparing a Risk Managment Framework/Plan detailing the risk stategy and assessment of corporate governance practices</w:t>
            </w:r>
            <w:r w:rsidR="00997A15" w:rsidRPr="00A80C84">
              <w:rPr>
                <w:rFonts w:ascii="Arial Narrow" w:hAnsi="Arial Narrow"/>
                <w:sz w:val="24"/>
                <w:szCs w:val="24"/>
                <w:lang w:val="af-ZA"/>
              </w:rPr>
              <w:t xml:space="preserve">. </w:t>
            </w:r>
            <w:r w:rsidR="004F577E" w:rsidRPr="00A80C84">
              <w:rPr>
                <w:rFonts w:ascii="Arial Narrow" w:hAnsi="Arial Narrow"/>
                <w:sz w:val="24"/>
                <w:szCs w:val="24"/>
                <w:lang w:val="af-ZA"/>
              </w:rPr>
              <w:t>T</w:t>
            </w:r>
            <w:r w:rsidR="00C577E3" w:rsidRPr="00A80C84">
              <w:rPr>
                <w:rFonts w:ascii="Arial Narrow" w:hAnsi="Arial Narrow"/>
                <w:sz w:val="24"/>
                <w:szCs w:val="24"/>
                <w:lang w:val="af-ZA"/>
              </w:rPr>
              <w:t>he defendant opposed the summary judgment application</w:t>
            </w:r>
            <w:r w:rsidR="00A80C84" w:rsidRPr="00A80C84">
              <w:rPr>
                <w:rFonts w:ascii="Arial Narrow" w:hAnsi="Arial Narrow"/>
                <w:sz w:val="24"/>
                <w:szCs w:val="24"/>
                <w:lang w:val="af-ZA"/>
              </w:rPr>
              <w:t xml:space="preserve"> and filed an opposing affidavit</w:t>
            </w:r>
            <w:r w:rsidR="00C577E3" w:rsidRPr="00A80C84">
              <w:rPr>
                <w:rFonts w:ascii="Arial Narrow" w:hAnsi="Arial Narrow"/>
                <w:sz w:val="24"/>
                <w:szCs w:val="24"/>
                <w:lang w:val="af-ZA"/>
              </w:rPr>
              <w:t xml:space="preserve"> in which it sets out the following defences:</w:t>
            </w:r>
          </w:p>
          <w:p w:rsidR="00160285" w:rsidRPr="00533D53" w:rsidRDefault="00160285" w:rsidP="00E8769D">
            <w:pPr>
              <w:spacing w:line="360" w:lineRule="auto"/>
              <w:jc w:val="both"/>
              <w:rPr>
                <w:rFonts w:ascii="Arial Narrow" w:hAnsi="Arial Narrow"/>
                <w:sz w:val="24"/>
                <w:szCs w:val="24"/>
                <w:lang w:val="af-ZA"/>
              </w:rPr>
            </w:pPr>
          </w:p>
          <w:p w:rsidR="00C577E3" w:rsidRPr="00533D53" w:rsidRDefault="00160285" w:rsidP="00E8769D">
            <w:pPr>
              <w:pStyle w:val="ListParagraph"/>
              <w:numPr>
                <w:ilvl w:val="0"/>
                <w:numId w:val="12"/>
              </w:numPr>
              <w:spacing w:line="360" w:lineRule="auto"/>
              <w:jc w:val="both"/>
              <w:rPr>
                <w:rFonts w:ascii="Arial Narrow" w:hAnsi="Arial Narrow"/>
                <w:sz w:val="24"/>
                <w:szCs w:val="24"/>
                <w:lang w:val="af-ZA"/>
              </w:rPr>
            </w:pPr>
            <w:r w:rsidRPr="00533D53">
              <w:rPr>
                <w:rFonts w:ascii="Arial Narrow" w:hAnsi="Arial Narrow"/>
                <w:sz w:val="24"/>
                <w:szCs w:val="24"/>
                <w:lang w:val="af-ZA"/>
              </w:rPr>
              <w:t>a</w:t>
            </w:r>
            <w:r w:rsidR="00C577E3" w:rsidRPr="00533D53">
              <w:rPr>
                <w:rFonts w:ascii="Arial Narrow" w:hAnsi="Arial Narrow"/>
                <w:sz w:val="24"/>
                <w:szCs w:val="24"/>
                <w:lang w:val="af-ZA"/>
              </w:rPr>
              <w:t xml:space="preserve">s a point </w:t>
            </w:r>
            <w:r w:rsidR="00C577E3" w:rsidRPr="00533D53">
              <w:rPr>
                <w:rFonts w:ascii="Arial Narrow" w:hAnsi="Arial Narrow"/>
                <w:i/>
                <w:sz w:val="24"/>
                <w:szCs w:val="24"/>
                <w:lang w:val="af-ZA"/>
              </w:rPr>
              <w:t>in limine</w:t>
            </w:r>
            <w:r w:rsidR="00C577E3" w:rsidRPr="00533D53">
              <w:rPr>
                <w:rFonts w:ascii="Arial Narrow" w:hAnsi="Arial Narrow"/>
                <w:sz w:val="24"/>
                <w:szCs w:val="24"/>
                <w:lang w:val="af-ZA"/>
              </w:rPr>
              <w:t xml:space="preserve">, that the plaintiff lacks </w:t>
            </w:r>
            <w:r w:rsidR="00C577E3" w:rsidRPr="00533D53">
              <w:rPr>
                <w:rFonts w:ascii="Arial Narrow" w:hAnsi="Arial Narrow"/>
                <w:i/>
                <w:sz w:val="24"/>
                <w:szCs w:val="24"/>
                <w:lang w:val="af-ZA"/>
              </w:rPr>
              <w:t>locus standi</w:t>
            </w:r>
            <w:r w:rsidR="00C577E3" w:rsidRPr="00533D53">
              <w:rPr>
                <w:rFonts w:ascii="Arial Narrow" w:hAnsi="Arial Narrow"/>
                <w:sz w:val="24"/>
                <w:szCs w:val="24"/>
                <w:lang w:val="af-ZA"/>
              </w:rPr>
              <w:t xml:space="preserve"> to launch these prceedings against the defendant;</w:t>
            </w:r>
          </w:p>
          <w:p w:rsidR="00C577E3" w:rsidRPr="00533D53" w:rsidRDefault="00160285" w:rsidP="00E8769D">
            <w:pPr>
              <w:pStyle w:val="ListParagraph"/>
              <w:numPr>
                <w:ilvl w:val="0"/>
                <w:numId w:val="12"/>
              </w:numPr>
              <w:spacing w:line="360" w:lineRule="auto"/>
              <w:jc w:val="both"/>
              <w:rPr>
                <w:rFonts w:ascii="Arial Narrow" w:hAnsi="Arial Narrow"/>
                <w:sz w:val="24"/>
                <w:szCs w:val="24"/>
                <w:lang w:val="af-ZA"/>
              </w:rPr>
            </w:pPr>
            <w:r w:rsidRPr="00533D53">
              <w:rPr>
                <w:rFonts w:ascii="Arial Narrow" w:hAnsi="Arial Narrow"/>
                <w:sz w:val="24"/>
                <w:szCs w:val="24"/>
                <w:lang w:val="af-ZA"/>
              </w:rPr>
              <w:t>n</w:t>
            </w:r>
            <w:r w:rsidR="00C577E3" w:rsidRPr="00533D53">
              <w:rPr>
                <w:rFonts w:ascii="Arial Narrow" w:hAnsi="Arial Narrow"/>
                <w:sz w:val="24"/>
                <w:szCs w:val="24"/>
                <w:lang w:val="af-ZA"/>
              </w:rPr>
              <w:t xml:space="preserve">o agreement was concluded between the plaintiff </w:t>
            </w:r>
            <w:r w:rsidR="00C533F8" w:rsidRPr="00533D53">
              <w:rPr>
                <w:rFonts w:ascii="Arial Narrow" w:hAnsi="Arial Narrow"/>
                <w:sz w:val="24"/>
                <w:szCs w:val="24"/>
                <w:lang w:val="af-ZA"/>
              </w:rPr>
              <w:t xml:space="preserve">(or </w:t>
            </w:r>
            <w:r w:rsidR="002F6E77" w:rsidRPr="00533D53">
              <w:rPr>
                <w:rFonts w:ascii="Arial Narrow" w:hAnsi="Arial Narrow"/>
                <w:sz w:val="24"/>
                <w:szCs w:val="24"/>
                <w:lang w:val="af-ZA"/>
              </w:rPr>
              <w:t>BSB</w:t>
            </w:r>
            <w:r w:rsidR="00C533F8" w:rsidRPr="00533D53">
              <w:rPr>
                <w:rFonts w:ascii="Arial Narrow" w:hAnsi="Arial Narrow"/>
                <w:sz w:val="24"/>
                <w:szCs w:val="24"/>
                <w:lang w:val="af-ZA"/>
              </w:rPr>
              <w:t>) and the defendant;</w:t>
            </w:r>
          </w:p>
          <w:p w:rsidR="00C533F8" w:rsidRPr="00533D53" w:rsidRDefault="00160285" w:rsidP="00E8769D">
            <w:pPr>
              <w:pStyle w:val="ListParagraph"/>
              <w:numPr>
                <w:ilvl w:val="0"/>
                <w:numId w:val="12"/>
              </w:numPr>
              <w:spacing w:line="360" w:lineRule="auto"/>
              <w:jc w:val="both"/>
              <w:rPr>
                <w:rFonts w:ascii="Arial Narrow" w:hAnsi="Arial Narrow"/>
                <w:sz w:val="24"/>
                <w:szCs w:val="24"/>
                <w:lang w:val="af-ZA"/>
              </w:rPr>
            </w:pPr>
            <w:r w:rsidRPr="00533D53">
              <w:rPr>
                <w:rFonts w:ascii="Arial Narrow" w:hAnsi="Arial Narrow"/>
                <w:sz w:val="24"/>
                <w:szCs w:val="24"/>
                <w:lang w:val="af-ZA"/>
              </w:rPr>
              <w:t>i</w:t>
            </w:r>
            <w:r w:rsidR="00C533F8" w:rsidRPr="00533D53">
              <w:rPr>
                <w:rFonts w:ascii="Arial Narrow" w:hAnsi="Arial Narrow"/>
                <w:sz w:val="24"/>
                <w:szCs w:val="24"/>
                <w:lang w:val="af-ZA"/>
              </w:rPr>
              <w:t>n the event that the court finds that an agreement was concluded, the defendant cancelled the agreement and paid for those services wh</w:t>
            </w:r>
            <w:r w:rsidR="002F6E77" w:rsidRPr="00533D53">
              <w:rPr>
                <w:rFonts w:ascii="Arial Narrow" w:hAnsi="Arial Narrow"/>
                <w:sz w:val="24"/>
                <w:szCs w:val="24"/>
                <w:lang w:val="af-ZA"/>
              </w:rPr>
              <w:t>i</w:t>
            </w:r>
            <w:r w:rsidR="00C533F8" w:rsidRPr="00533D53">
              <w:rPr>
                <w:rFonts w:ascii="Arial Narrow" w:hAnsi="Arial Narrow"/>
                <w:sz w:val="24"/>
                <w:szCs w:val="24"/>
                <w:lang w:val="af-ZA"/>
              </w:rPr>
              <w:t xml:space="preserve">ch were rendered to it. </w:t>
            </w:r>
          </w:p>
          <w:p w:rsidR="00160285" w:rsidRPr="00533D53" w:rsidRDefault="00160285" w:rsidP="00E8769D">
            <w:pPr>
              <w:spacing w:line="360" w:lineRule="auto"/>
              <w:jc w:val="both"/>
              <w:rPr>
                <w:rFonts w:ascii="Arial Narrow" w:hAnsi="Arial Narrow"/>
                <w:sz w:val="24"/>
                <w:szCs w:val="24"/>
                <w:lang w:val="af-ZA"/>
              </w:rPr>
            </w:pPr>
          </w:p>
          <w:p w:rsidR="00160285" w:rsidRPr="00794F8F" w:rsidRDefault="004A4F63" w:rsidP="00E8769D">
            <w:pPr>
              <w:spacing w:line="360" w:lineRule="auto"/>
              <w:jc w:val="both"/>
              <w:rPr>
                <w:rFonts w:ascii="Arial Narrow" w:hAnsi="Arial Narrow"/>
                <w:sz w:val="24"/>
                <w:szCs w:val="24"/>
                <w:u w:val="single"/>
                <w:lang w:val="en-GB"/>
              </w:rPr>
            </w:pPr>
            <w:r w:rsidRPr="00794F8F">
              <w:rPr>
                <w:rFonts w:ascii="Arial Narrow" w:hAnsi="Arial Narrow"/>
                <w:sz w:val="24"/>
                <w:szCs w:val="24"/>
                <w:u w:val="single"/>
                <w:lang w:val="en-GB"/>
              </w:rPr>
              <w:t>The p</w:t>
            </w:r>
            <w:r w:rsidR="00160285" w:rsidRPr="00794F8F">
              <w:rPr>
                <w:rFonts w:ascii="Arial Narrow" w:hAnsi="Arial Narrow"/>
                <w:sz w:val="24"/>
                <w:szCs w:val="24"/>
                <w:u w:val="single"/>
                <w:lang w:val="en-GB"/>
              </w:rPr>
              <w:t xml:space="preserve">rinciples </w:t>
            </w:r>
            <w:r w:rsidRPr="00794F8F">
              <w:rPr>
                <w:rFonts w:ascii="Arial Narrow" w:hAnsi="Arial Narrow"/>
                <w:sz w:val="24"/>
                <w:szCs w:val="24"/>
                <w:u w:val="single"/>
                <w:lang w:val="en-GB"/>
              </w:rPr>
              <w:t xml:space="preserve">of </w:t>
            </w:r>
            <w:r w:rsidR="00160285" w:rsidRPr="00794F8F">
              <w:rPr>
                <w:rFonts w:ascii="Arial Narrow" w:hAnsi="Arial Narrow"/>
                <w:sz w:val="24"/>
                <w:szCs w:val="24"/>
                <w:u w:val="single"/>
                <w:lang w:val="en-GB"/>
              </w:rPr>
              <w:t>summary judgment</w:t>
            </w:r>
          </w:p>
          <w:p w:rsidR="00160285" w:rsidRPr="00794F8F" w:rsidRDefault="00160285" w:rsidP="00E8769D">
            <w:pPr>
              <w:spacing w:line="360" w:lineRule="auto"/>
              <w:jc w:val="both"/>
              <w:rPr>
                <w:rFonts w:ascii="Arial Narrow" w:hAnsi="Arial Narrow"/>
                <w:sz w:val="24"/>
                <w:szCs w:val="24"/>
              </w:rPr>
            </w:pPr>
          </w:p>
          <w:p w:rsidR="00160285" w:rsidRPr="00794F8F" w:rsidRDefault="0032120B" w:rsidP="00E8769D">
            <w:pPr>
              <w:spacing w:line="360" w:lineRule="auto"/>
              <w:jc w:val="both"/>
              <w:rPr>
                <w:rFonts w:ascii="Arial Narrow" w:hAnsi="Arial Narrow"/>
                <w:sz w:val="24"/>
                <w:szCs w:val="24"/>
                <w:lang w:val="en-US"/>
              </w:rPr>
            </w:pPr>
            <w:r w:rsidRPr="00794F8F">
              <w:rPr>
                <w:rFonts w:ascii="Arial Narrow" w:hAnsi="Arial Narrow"/>
                <w:sz w:val="24"/>
                <w:szCs w:val="24"/>
                <w:lang w:val="en-US"/>
              </w:rPr>
              <w:t>[3</w:t>
            </w:r>
            <w:r w:rsidR="00160285" w:rsidRPr="00794F8F">
              <w:rPr>
                <w:rFonts w:ascii="Arial Narrow" w:hAnsi="Arial Narrow"/>
                <w:sz w:val="24"/>
                <w:szCs w:val="24"/>
                <w:lang w:val="en-US"/>
              </w:rPr>
              <w:t>]</w:t>
            </w:r>
            <w:r w:rsidR="00FC23A0">
              <w:rPr>
                <w:rFonts w:ascii="Arial Narrow" w:hAnsi="Arial Narrow"/>
                <w:sz w:val="24"/>
                <w:szCs w:val="24"/>
                <w:lang w:val="en-GB"/>
              </w:rPr>
              <w:t xml:space="preserve">     </w:t>
            </w:r>
            <w:r w:rsidR="00160285" w:rsidRPr="00794F8F">
              <w:rPr>
                <w:rFonts w:ascii="Arial Narrow" w:hAnsi="Arial Narrow"/>
                <w:sz w:val="24"/>
                <w:szCs w:val="24"/>
                <w:lang w:val="en-US"/>
              </w:rPr>
              <w:t xml:space="preserve">Applications for summary judgment are governed by Rule 60 of the High Court Rules and </w:t>
            </w:r>
            <w:r w:rsidR="00160285" w:rsidRPr="00794F8F">
              <w:rPr>
                <w:rFonts w:ascii="Arial Narrow" w:hAnsi="Arial Narrow"/>
                <w:sz w:val="24"/>
                <w:szCs w:val="24"/>
                <w:lang w:val="en-GB"/>
              </w:rPr>
              <w:t>the principles</w:t>
            </w:r>
            <w:r w:rsidR="002757AF" w:rsidRPr="00794F8F">
              <w:rPr>
                <w:rFonts w:ascii="Arial Narrow" w:hAnsi="Arial Narrow"/>
                <w:sz w:val="24"/>
                <w:szCs w:val="24"/>
                <w:lang w:val="en-GB"/>
              </w:rPr>
              <w:t xml:space="preserve"> and law</w:t>
            </w:r>
            <w:r w:rsidR="00160285" w:rsidRPr="00794F8F">
              <w:rPr>
                <w:rFonts w:ascii="Arial Narrow" w:hAnsi="Arial Narrow"/>
                <w:sz w:val="24"/>
                <w:szCs w:val="24"/>
                <w:lang w:val="en-GB"/>
              </w:rPr>
              <w:t xml:space="preserve"> applicable to summary judgment </w:t>
            </w:r>
            <w:r w:rsidR="002757AF" w:rsidRPr="00794F8F">
              <w:rPr>
                <w:rFonts w:ascii="Arial Narrow" w:hAnsi="Arial Narrow"/>
                <w:sz w:val="24"/>
                <w:szCs w:val="24"/>
                <w:lang w:val="en-GB"/>
              </w:rPr>
              <w:t>is trite</w:t>
            </w:r>
            <w:r w:rsidR="00160285" w:rsidRPr="00794F8F">
              <w:rPr>
                <w:rFonts w:ascii="Arial Narrow" w:hAnsi="Arial Narrow"/>
                <w:sz w:val="24"/>
                <w:szCs w:val="24"/>
                <w:lang w:val="en-GB"/>
              </w:rPr>
              <w:t xml:space="preserve">. In the case of </w:t>
            </w:r>
            <w:r w:rsidR="00160285" w:rsidRPr="00794F8F">
              <w:rPr>
                <w:rFonts w:ascii="Arial Narrow" w:hAnsi="Arial Narrow"/>
                <w:i/>
                <w:sz w:val="24"/>
                <w:szCs w:val="24"/>
                <w:lang w:val="en-US"/>
              </w:rPr>
              <w:t>Kukuri v Social Security Commission</w:t>
            </w:r>
            <w:r w:rsidR="00160285" w:rsidRPr="00794F8F">
              <w:rPr>
                <w:rFonts w:ascii="Arial Narrow" w:hAnsi="Arial Narrow"/>
                <w:i/>
                <w:sz w:val="24"/>
                <w:szCs w:val="24"/>
                <w:vertAlign w:val="superscript"/>
                <w:lang w:val="en-US"/>
              </w:rPr>
              <w:footnoteReference w:id="2"/>
            </w:r>
            <w:r w:rsidR="00160285" w:rsidRPr="00794F8F">
              <w:rPr>
                <w:rFonts w:ascii="Arial Narrow" w:hAnsi="Arial Narrow"/>
                <w:sz w:val="24"/>
                <w:szCs w:val="24"/>
                <w:lang w:val="en-US"/>
              </w:rPr>
              <w:t xml:space="preserve"> Mainga JA</w:t>
            </w:r>
            <w:r w:rsidR="002757AF" w:rsidRPr="00794F8F">
              <w:rPr>
                <w:rFonts w:ascii="Arial Narrow" w:hAnsi="Arial Narrow"/>
                <w:sz w:val="24"/>
                <w:szCs w:val="24"/>
                <w:lang w:val="en-US"/>
              </w:rPr>
              <w:t xml:space="preserve"> referred to the case of </w:t>
            </w:r>
            <w:r w:rsidR="00160285" w:rsidRPr="00794F8F">
              <w:rPr>
                <w:rFonts w:ascii="Arial Narrow" w:hAnsi="Arial Narrow"/>
                <w:bCs/>
                <w:i/>
                <w:sz w:val="24"/>
                <w:szCs w:val="24"/>
                <w:lang w:val="en-US"/>
              </w:rPr>
              <w:t>Maharaj v Barclays National Bank</w:t>
            </w:r>
            <w:r w:rsidR="00160285" w:rsidRPr="00794F8F">
              <w:rPr>
                <w:rFonts w:ascii="Arial Narrow" w:hAnsi="Arial Narrow"/>
                <w:bCs/>
                <w:i/>
                <w:sz w:val="24"/>
                <w:szCs w:val="24"/>
                <w:vertAlign w:val="superscript"/>
                <w:lang w:val="en-US"/>
              </w:rPr>
              <w:footnoteReference w:id="3"/>
            </w:r>
            <w:r w:rsidR="00160285" w:rsidRPr="00794F8F">
              <w:rPr>
                <w:rFonts w:ascii="Arial Narrow" w:hAnsi="Arial Narrow"/>
                <w:sz w:val="24"/>
                <w:szCs w:val="24"/>
                <w:lang w:val="en-US"/>
              </w:rPr>
              <w:t>  where Corbett JA had this to say:</w:t>
            </w:r>
            <w:r w:rsidR="00160285" w:rsidRPr="00794F8F">
              <w:rPr>
                <w:rFonts w:ascii="Arial Narrow" w:hAnsi="Arial Narrow"/>
                <w:sz w:val="24"/>
                <w:szCs w:val="24"/>
                <w:vertAlign w:val="superscript"/>
                <w:lang w:val="en-US"/>
              </w:rPr>
              <w:footnoteReference w:id="4"/>
            </w:r>
          </w:p>
          <w:p w:rsidR="00160285" w:rsidRPr="00794F8F" w:rsidRDefault="00160285" w:rsidP="00E8769D">
            <w:pPr>
              <w:spacing w:line="360" w:lineRule="auto"/>
              <w:jc w:val="both"/>
              <w:rPr>
                <w:rFonts w:ascii="Arial Narrow" w:hAnsi="Arial Narrow"/>
                <w:sz w:val="24"/>
                <w:szCs w:val="24"/>
                <w:lang w:val="en-US"/>
              </w:rPr>
            </w:pPr>
          </w:p>
          <w:p w:rsidR="00160285" w:rsidRPr="00794F8F" w:rsidRDefault="00160285" w:rsidP="00E8769D">
            <w:pPr>
              <w:spacing w:line="360" w:lineRule="auto"/>
              <w:jc w:val="both"/>
              <w:rPr>
                <w:rFonts w:ascii="Arial Narrow" w:hAnsi="Arial Narrow"/>
                <w:lang w:val="af-ZA"/>
              </w:rPr>
            </w:pPr>
            <w:r w:rsidRPr="00794F8F">
              <w:rPr>
                <w:rFonts w:ascii="Arial Narrow" w:hAnsi="Arial Narrow"/>
                <w:sz w:val="24"/>
                <w:szCs w:val="24"/>
                <w:lang w:val="en-US"/>
              </w:rPr>
              <w:t xml:space="preserve">          </w:t>
            </w:r>
            <w:r w:rsidRPr="00794F8F">
              <w:rPr>
                <w:rFonts w:ascii="Arial Narrow" w:hAnsi="Arial Narrow"/>
                <w:lang w:val="en-US"/>
              </w:rPr>
              <w:t xml:space="preserve">‘All that the court enquires into is: (a) whether the defendant has “fully” disclosed the nature and grounds of his defence and the material facts upon which it is founded, and (b) whether on the facts so disclosed the defendant appears to have, as either the whole or part of claim, a defence which is both bona fide and good in law. If satisfied on these matters the court must refuse summary judgment, either wholly or in part, as the case may be. </w:t>
            </w:r>
            <w:r w:rsidRPr="00794F8F">
              <w:rPr>
                <w:rFonts w:ascii="Arial Narrow" w:hAnsi="Arial Narrow"/>
              </w:rPr>
              <w:t xml:space="preserve">The word “fully”, as used in the context of the Rule (and its predecessors), has been the cause of some judicial controversy in the past. It connotes, in my view, that, while the defendant need not deal exhaustively with the facts and the evidence relied upon to </w:t>
            </w:r>
            <w:r w:rsidRPr="00794F8F">
              <w:rPr>
                <w:rFonts w:ascii="Arial Narrow" w:hAnsi="Arial Narrow"/>
              </w:rPr>
              <w:lastRenderedPageBreak/>
              <w:t>substantiate them, he must at least disclose his defence and the material facts upon which it is based with sufficient particularity and completeness to enable the Court to decide whether the affidavit discloses a </w:t>
            </w:r>
            <w:r w:rsidRPr="00794F8F">
              <w:rPr>
                <w:rFonts w:ascii="Arial Narrow" w:hAnsi="Arial Narrow"/>
                <w:i/>
                <w:iCs/>
              </w:rPr>
              <w:t>bona fide</w:t>
            </w:r>
            <w:r w:rsidRPr="00794F8F">
              <w:rPr>
                <w:rFonts w:ascii="Arial Narrow" w:hAnsi="Arial Narrow"/>
              </w:rPr>
              <w:t> defence.’</w:t>
            </w:r>
          </w:p>
          <w:p w:rsidR="001E2DFC" w:rsidRPr="00794F8F" w:rsidRDefault="001E2DFC" w:rsidP="00E8769D">
            <w:pPr>
              <w:spacing w:line="360" w:lineRule="auto"/>
              <w:jc w:val="both"/>
              <w:rPr>
                <w:rFonts w:ascii="Arial Narrow" w:hAnsi="Arial Narrow"/>
                <w:sz w:val="24"/>
                <w:szCs w:val="24"/>
                <w:lang w:val="af-ZA"/>
              </w:rPr>
            </w:pPr>
          </w:p>
          <w:p w:rsidR="00FB29F6" w:rsidRPr="00794F8F" w:rsidRDefault="00FB29F6" w:rsidP="00E8769D">
            <w:pPr>
              <w:spacing w:line="360" w:lineRule="auto"/>
              <w:jc w:val="both"/>
              <w:rPr>
                <w:rFonts w:ascii="Arial Narrow" w:hAnsi="Arial Narrow"/>
                <w:sz w:val="24"/>
                <w:szCs w:val="24"/>
                <w:u w:val="single"/>
                <w:lang w:val="af-ZA"/>
              </w:rPr>
            </w:pPr>
            <w:r w:rsidRPr="00794F8F">
              <w:rPr>
                <w:rFonts w:ascii="Arial Narrow" w:hAnsi="Arial Narrow"/>
                <w:sz w:val="24"/>
                <w:szCs w:val="24"/>
                <w:u w:val="single"/>
                <w:lang w:val="af-ZA"/>
              </w:rPr>
              <w:t xml:space="preserve">Lack of </w:t>
            </w:r>
            <w:r w:rsidRPr="00794F8F">
              <w:rPr>
                <w:rFonts w:ascii="Arial Narrow" w:hAnsi="Arial Narrow"/>
                <w:i/>
                <w:sz w:val="24"/>
                <w:szCs w:val="24"/>
                <w:u w:val="single"/>
                <w:lang w:val="af-ZA"/>
              </w:rPr>
              <w:t>locus standi</w:t>
            </w:r>
          </w:p>
          <w:p w:rsidR="00FB29F6" w:rsidRPr="00794F8F" w:rsidRDefault="00FB29F6" w:rsidP="00E8769D">
            <w:pPr>
              <w:spacing w:line="360" w:lineRule="auto"/>
              <w:jc w:val="both"/>
              <w:rPr>
                <w:rFonts w:ascii="Arial Narrow" w:hAnsi="Arial Narrow"/>
                <w:sz w:val="24"/>
                <w:szCs w:val="24"/>
                <w:lang w:val="af-ZA"/>
              </w:rPr>
            </w:pPr>
          </w:p>
          <w:p w:rsidR="00C33270" w:rsidRPr="00794F8F" w:rsidRDefault="00C33270" w:rsidP="00E8769D">
            <w:pPr>
              <w:spacing w:line="360" w:lineRule="auto"/>
              <w:jc w:val="both"/>
              <w:rPr>
                <w:rFonts w:ascii="Arial Narrow" w:hAnsi="Arial Narrow"/>
                <w:sz w:val="24"/>
                <w:szCs w:val="24"/>
                <w:lang w:val="en-US"/>
              </w:rPr>
            </w:pPr>
            <w:r w:rsidRPr="00794F8F">
              <w:rPr>
                <w:rFonts w:ascii="Arial Narrow" w:hAnsi="Arial Narrow"/>
                <w:sz w:val="24"/>
                <w:szCs w:val="24"/>
                <w:lang w:val="en-US"/>
              </w:rPr>
              <w:t>[</w:t>
            </w:r>
            <w:r w:rsidR="0032120B" w:rsidRPr="00794F8F">
              <w:rPr>
                <w:rFonts w:ascii="Arial Narrow" w:hAnsi="Arial Narrow"/>
                <w:sz w:val="24"/>
                <w:szCs w:val="24"/>
                <w:lang w:val="en-US"/>
              </w:rPr>
              <w:t>4</w:t>
            </w:r>
            <w:r w:rsidRPr="00E94823">
              <w:rPr>
                <w:rFonts w:ascii="Arial Narrow" w:hAnsi="Arial Narrow"/>
                <w:sz w:val="24"/>
                <w:szCs w:val="24"/>
                <w:lang w:val="en-US"/>
              </w:rPr>
              <w:t>]</w:t>
            </w:r>
            <w:r w:rsidR="00FC23A0" w:rsidRPr="00E94823">
              <w:rPr>
                <w:rFonts w:ascii="Arial Narrow" w:hAnsi="Arial Narrow"/>
                <w:sz w:val="24"/>
                <w:szCs w:val="24"/>
                <w:lang w:val="en-US"/>
              </w:rPr>
              <w:t xml:space="preserve">     </w:t>
            </w:r>
            <w:r w:rsidRPr="00E94823">
              <w:rPr>
                <w:rFonts w:ascii="Arial Narrow" w:hAnsi="Arial Narrow"/>
                <w:sz w:val="24"/>
                <w:szCs w:val="24"/>
                <w:lang w:val="en-US"/>
              </w:rPr>
              <w:t xml:space="preserve">Where </w:t>
            </w:r>
            <w:r w:rsidR="002F6E77" w:rsidRPr="00E94823">
              <w:rPr>
                <w:rFonts w:ascii="Arial Narrow" w:hAnsi="Arial Narrow"/>
                <w:i/>
                <w:sz w:val="24"/>
                <w:szCs w:val="24"/>
                <w:lang w:val="en-US"/>
              </w:rPr>
              <w:t xml:space="preserve">locus </w:t>
            </w:r>
            <w:r w:rsidR="002F6E77" w:rsidRPr="00E94823">
              <w:rPr>
                <w:rFonts w:ascii="Arial Narrow" w:hAnsi="Arial Narrow"/>
                <w:sz w:val="24"/>
                <w:szCs w:val="24"/>
                <w:lang w:val="en-US"/>
              </w:rPr>
              <w:t xml:space="preserve">standi is challenged as </w:t>
            </w:r>
            <w:r w:rsidRPr="00E94823">
              <w:rPr>
                <w:rFonts w:ascii="Arial Narrow" w:hAnsi="Arial Narrow"/>
                <w:sz w:val="24"/>
                <w:szCs w:val="24"/>
                <w:lang w:val="en-US"/>
              </w:rPr>
              <w:t xml:space="preserve">a point </w:t>
            </w:r>
            <w:r w:rsidRPr="0029268B">
              <w:rPr>
                <w:rFonts w:ascii="Arial Narrow" w:hAnsi="Arial Narrow"/>
                <w:i/>
                <w:sz w:val="24"/>
                <w:szCs w:val="24"/>
                <w:lang w:val="en-US"/>
              </w:rPr>
              <w:t>in limine</w:t>
            </w:r>
            <w:r w:rsidRPr="00E94823">
              <w:rPr>
                <w:rFonts w:ascii="Arial Narrow" w:hAnsi="Arial Narrow"/>
                <w:sz w:val="24"/>
                <w:szCs w:val="24"/>
                <w:lang w:val="en-US"/>
              </w:rPr>
              <w:t xml:space="preserve"> it would be competent for this Court to firstly decide </w:t>
            </w:r>
            <w:r w:rsidR="002F6E77" w:rsidRPr="00E94823">
              <w:rPr>
                <w:rFonts w:ascii="Arial Narrow" w:hAnsi="Arial Narrow"/>
                <w:sz w:val="24"/>
                <w:szCs w:val="24"/>
                <w:lang w:val="en-US"/>
              </w:rPr>
              <w:t xml:space="preserve">the point </w:t>
            </w:r>
            <w:r w:rsidR="002F6E77" w:rsidRPr="00E94823">
              <w:rPr>
                <w:rFonts w:ascii="Arial Narrow" w:hAnsi="Arial Narrow"/>
                <w:i/>
                <w:sz w:val="24"/>
                <w:szCs w:val="24"/>
                <w:lang w:val="en-US"/>
              </w:rPr>
              <w:t>in limine</w:t>
            </w:r>
            <w:r w:rsidRPr="00E94823">
              <w:rPr>
                <w:rFonts w:ascii="Arial Narrow" w:hAnsi="Arial Narrow"/>
                <w:sz w:val="24"/>
                <w:szCs w:val="24"/>
                <w:lang w:val="en-US"/>
              </w:rPr>
              <w:t xml:space="preserve"> before determining anything else. </w:t>
            </w:r>
            <w:r w:rsidR="003860F8" w:rsidRPr="00E94823">
              <w:rPr>
                <w:rFonts w:ascii="Arial Narrow" w:hAnsi="Arial Narrow"/>
                <w:sz w:val="24"/>
                <w:szCs w:val="24"/>
                <w:lang w:val="en-US"/>
              </w:rPr>
              <w:t>T</w:t>
            </w:r>
            <w:r w:rsidRPr="00E94823">
              <w:rPr>
                <w:rFonts w:ascii="Arial Narrow" w:hAnsi="Arial Narrow"/>
                <w:sz w:val="24"/>
                <w:szCs w:val="24"/>
                <w:lang w:val="en-US"/>
              </w:rPr>
              <w:t xml:space="preserve">he outcome thereof will be determinative of the further conduct of the matter. </w:t>
            </w:r>
            <w:r w:rsidR="003860F8" w:rsidRPr="00E94823">
              <w:rPr>
                <w:rFonts w:ascii="Arial Narrow" w:hAnsi="Arial Narrow"/>
                <w:sz w:val="24"/>
                <w:szCs w:val="24"/>
                <w:lang w:val="en-US"/>
              </w:rPr>
              <w:t xml:space="preserve">Should the court uphold the point </w:t>
            </w:r>
            <w:r w:rsidR="003860F8" w:rsidRPr="00E94823">
              <w:rPr>
                <w:rFonts w:ascii="Arial Narrow" w:hAnsi="Arial Narrow"/>
                <w:i/>
                <w:sz w:val="24"/>
                <w:szCs w:val="24"/>
                <w:lang w:val="en-US"/>
              </w:rPr>
              <w:t xml:space="preserve">in limine </w:t>
            </w:r>
            <w:r w:rsidR="003860F8" w:rsidRPr="00E94823">
              <w:rPr>
                <w:rFonts w:ascii="Arial Narrow" w:hAnsi="Arial Narrow"/>
                <w:sz w:val="24"/>
                <w:szCs w:val="24"/>
                <w:lang w:val="en-US"/>
              </w:rPr>
              <w:t>then there will be no need fo</w:t>
            </w:r>
            <w:r w:rsidR="00E8247D" w:rsidRPr="00E94823">
              <w:rPr>
                <w:rFonts w:ascii="Arial Narrow" w:hAnsi="Arial Narrow"/>
                <w:sz w:val="24"/>
                <w:szCs w:val="24"/>
                <w:lang w:val="en-US"/>
              </w:rPr>
              <w:t>r this court to determine other</w:t>
            </w:r>
            <w:r w:rsidR="003860F8" w:rsidRPr="00E94823">
              <w:rPr>
                <w:rFonts w:ascii="Arial Narrow" w:hAnsi="Arial Narrow"/>
                <w:sz w:val="24"/>
                <w:szCs w:val="24"/>
                <w:lang w:val="en-US"/>
              </w:rPr>
              <w:t xml:space="preserve"> issues </w:t>
            </w:r>
            <w:r w:rsidR="002F6E77" w:rsidRPr="00E94823">
              <w:rPr>
                <w:rFonts w:ascii="Arial Narrow" w:hAnsi="Arial Narrow"/>
                <w:sz w:val="24"/>
                <w:szCs w:val="24"/>
                <w:lang w:val="en-US"/>
              </w:rPr>
              <w:t>and must</w:t>
            </w:r>
            <w:r w:rsidR="003860F8" w:rsidRPr="00E94823">
              <w:rPr>
                <w:rFonts w:ascii="Arial Narrow" w:hAnsi="Arial Narrow"/>
                <w:sz w:val="24"/>
                <w:szCs w:val="24"/>
                <w:lang w:val="en-US"/>
              </w:rPr>
              <w:t xml:space="preserve"> refuse</w:t>
            </w:r>
            <w:r w:rsidR="002F6E77" w:rsidRPr="00E94823">
              <w:rPr>
                <w:rFonts w:ascii="Arial Narrow" w:hAnsi="Arial Narrow"/>
                <w:sz w:val="24"/>
                <w:szCs w:val="24"/>
                <w:lang w:val="en-US"/>
              </w:rPr>
              <w:t xml:space="preserve"> the application for </w:t>
            </w:r>
            <w:r w:rsidR="003860F8" w:rsidRPr="00E94823">
              <w:rPr>
                <w:rFonts w:ascii="Arial Narrow" w:hAnsi="Arial Narrow"/>
                <w:sz w:val="24"/>
                <w:szCs w:val="24"/>
                <w:lang w:val="en-US"/>
              </w:rPr>
              <w:t xml:space="preserve">summary judgment. </w:t>
            </w:r>
          </w:p>
          <w:p w:rsidR="00C33270" w:rsidRPr="00794F8F" w:rsidRDefault="00C33270" w:rsidP="00E8769D">
            <w:pPr>
              <w:spacing w:line="360" w:lineRule="auto"/>
              <w:jc w:val="both"/>
              <w:rPr>
                <w:rFonts w:ascii="Arial Narrow" w:hAnsi="Arial Narrow"/>
                <w:sz w:val="24"/>
                <w:szCs w:val="24"/>
                <w:lang w:val="en-US"/>
              </w:rPr>
            </w:pPr>
          </w:p>
          <w:p w:rsidR="00C33270" w:rsidRPr="00794F8F" w:rsidRDefault="00C33270" w:rsidP="00E8769D">
            <w:pPr>
              <w:spacing w:line="360" w:lineRule="auto"/>
              <w:jc w:val="both"/>
              <w:rPr>
                <w:rFonts w:ascii="Arial Narrow" w:hAnsi="Arial Narrow"/>
                <w:sz w:val="24"/>
                <w:szCs w:val="24"/>
                <w:lang w:val="en-US"/>
              </w:rPr>
            </w:pPr>
            <w:r w:rsidRPr="00794F8F">
              <w:rPr>
                <w:rFonts w:ascii="Arial Narrow" w:hAnsi="Arial Narrow"/>
                <w:sz w:val="24"/>
                <w:szCs w:val="24"/>
                <w:lang w:val="en-US"/>
              </w:rPr>
              <w:t>[</w:t>
            </w:r>
            <w:r w:rsidR="0032120B" w:rsidRPr="00794F8F">
              <w:rPr>
                <w:rFonts w:ascii="Arial Narrow" w:hAnsi="Arial Narrow"/>
                <w:sz w:val="24"/>
                <w:szCs w:val="24"/>
                <w:lang w:val="en-US"/>
              </w:rPr>
              <w:t>5</w:t>
            </w:r>
            <w:r w:rsidR="00FC23A0">
              <w:rPr>
                <w:rFonts w:ascii="Arial Narrow" w:hAnsi="Arial Narrow"/>
                <w:sz w:val="24"/>
                <w:szCs w:val="24"/>
                <w:lang w:val="en-US"/>
              </w:rPr>
              <w:t xml:space="preserve">]     </w:t>
            </w:r>
            <w:r w:rsidRPr="00794F8F">
              <w:rPr>
                <w:rFonts w:ascii="Arial Narrow" w:hAnsi="Arial Narrow"/>
                <w:sz w:val="24"/>
                <w:szCs w:val="24"/>
                <w:lang w:val="en-US"/>
              </w:rPr>
              <w:t xml:space="preserve">I will therefore first and foremost consider the </w:t>
            </w:r>
            <w:r w:rsidR="001F03DD" w:rsidRPr="00794F8F">
              <w:rPr>
                <w:rFonts w:ascii="Arial Narrow" w:hAnsi="Arial Narrow"/>
                <w:sz w:val="24"/>
                <w:szCs w:val="24"/>
                <w:lang w:val="en-US"/>
              </w:rPr>
              <w:t xml:space="preserve">question of whether or not the plaintiff has </w:t>
            </w:r>
            <w:r w:rsidR="001F03DD" w:rsidRPr="00794F8F">
              <w:rPr>
                <w:rFonts w:ascii="Arial Narrow" w:hAnsi="Arial Narrow"/>
                <w:i/>
                <w:sz w:val="24"/>
                <w:szCs w:val="24"/>
                <w:lang w:val="en-US"/>
              </w:rPr>
              <w:t>locus standi</w:t>
            </w:r>
            <w:r w:rsidR="001F03DD" w:rsidRPr="00794F8F">
              <w:rPr>
                <w:rFonts w:ascii="Arial Narrow" w:hAnsi="Arial Narrow"/>
                <w:sz w:val="24"/>
                <w:szCs w:val="24"/>
                <w:lang w:val="en-US"/>
              </w:rPr>
              <w:t xml:space="preserve"> to </w:t>
            </w:r>
            <w:r w:rsidR="00E45758" w:rsidRPr="00794F8F">
              <w:rPr>
                <w:rFonts w:ascii="Arial Narrow" w:hAnsi="Arial Narrow"/>
                <w:sz w:val="24"/>
                <w:szCs w:val="24"/>
                <w:lang w:val="en-US"/>
              </w:rPr>
              <w:t>bring</w:t>
            </w:r>
            <w:r w:rsidR="00E45758">
              <w:rPr>
                <w:rFonts w:ascii="Arial Narrow" w:hAnsi="Arial Narrow"/>
                <w:sz w:val="24"/>
                <w:szCs w:val="24"/>
                <w:lang w:val="en-US"/>
              </w:rPr>
              <w:t xml:space="preserve"> </w:t>
            </w:r>
            <w:r w:rsidR="00E45758" w:rsidRPr="00794F8F">
              <w:rPr>
                <w:rFonts w:ascii="Arial Narrow" w:hAnsi="Arial Narrow"/>
                <w:sz w:val="24"/>
                <w:szCs w:val="24"/>
                <w:lang w:val="en-US"/>
              </w:rPr>
              <w:t>the</w:t>
            </w:r>
            <w:r w:rsidR="001F03DD" w:rsidRPr="00794F8F">
              <w:rPr>
                <w:rFonts w:ascii="Arial Narrow" w:hAnsi="Arial Narrow"/>
                <w:sz w:val="24"/>
                <w:szCs w:val="24"/>
                <w:lang w:val="en-US"/>
              </w:rPr>
              <w:t xml:space="preserve"> current application</w:t>
            </w:r>
            <w:r w:rsidR="0029268B">
              <w:rPr>
                <w:rFonts w:ascii="Arial Narrow" w:hAnsi="Arial Narrow"/>
                <w:sz w:val="24"/>
                <w:szCs w:val="24"/>
                <w:lang w:val="en-US"/>
              </w:rPr>
              <w:t>.</w:t>
            </w:r>
            <w:r w:rsidR="001F03DD" w:rsidRPr="00794F8F">
              <w:rPr>
                <w:rFonts w:ascii="Arial Narrow" w:hAnsi="Arial Narrow"/>
                <w:i/>
                <w:sz w:val="24"/>
                <w:szCs w:val="24"/>
                <w:lang w:val="en-US"/>
              </w:rPr>
              <w:t xml:space="preserve"> </w:t>
            </w:r>
          </w:p>
          <w:p w:rsidR="00C33270" w:rsidRPr="00276780" w:rsidRDefault="00C33270" w:rsidP="00E8769D">
            <w:pPr>
              <w:spacing w:line="360" w:lineRule="auto"/>
              <w:jc w:val="both"/>
              <w:rPr>
                <w:rFonts w:ascii="Arial Narrow" w:hAnsi="Arial Narrow"/>
                <w:sz w:val="24"/>
                <w:szCs w:val="24"/>
                <w:lang w:val="af-ZA"/>
              </w:rPr>
            </w:pPr>
          </w:p>
          <w:p w:rsidR="00121AD8" w:rsidRPr="00276780" w:rsidRDefault="0032120B" w:rsidP="00E8769D">
            <w:pPr>
              <w:spacing w:line="360" w:lineRule="auto"/>
              <w:jc w:val="both"/>
              <w:rPr>
                <w:rFonts w:ascii="Arial Narrow" w:hAnsi="Arial Narrow"/>
                <w:sz w:val="24"/>
                <w:szCs w:val="24"/>
                <w:lang w:val="af-ZA"/>
              </w:rPr>
            </w:pPr>
            <w:r w:rsidRPr="00276780">
              <w:rPr>
                <w:rFonts w:ascii="Arial Narrow" w:hAnsi="Arial Narrow"/>
                <w:sz w:val="24"/>
                <w:szCs w:val="24"/>
                <w:lang w:val="af-ZA"/>
              </w:rPr>
              <w:t>[6</w:t>
            </w:r>
            <w:r w:rsidR="00FC23A0" w:rsidRPr="00276780">
              <w:rPr>
                <w:rFonts w:ascii="Arial Narrow" w:hAnsi="Arial Narrow"/>
                <w:sz w:val="24"/>
                <w:szCs w:val="24"/>
                <w:lang w:val="af-ZA"/>
              </w:rPr>
              <w:t xml:space="preserve">]     </w:t>
            </w:r>
            <w:r w:rsidR="009B7DBD" w:rsidRPr="00276780">
              <w:rPr>
                <w:rFonts w:ascii="Arial Narrow" w:hAnsi="Arial Narrow"/>
                <w:sz w:val="24"/>
                <w:szCs w:val="24"/>
                <w:lang w:val="af-ZA"/>
              </w:rPr>
              <w:t xml:space="preserve">The defendant </w:t>
            </w:r>
            <w:r w:rsidR="00B0050A" w:rsidRPr="00276780">
              <w:rPr>
                <w:rFonts w:ascii="Arial Narrow" w:hAnsi="Arial Narrow"/>
                <w:sz w:val="24"/>
                <w:szCs w:val="24"/>
                <w:lang w:val="af-ZA"/>
              </w:rPr>
              <w:t xml:space="preserve">stated in its opposing affidavit </w:t>
            </w:r>
            <w:r w:rsidR="009B7DBD" w:rsidRPr="00276780">
              <w:rPr>
                <w:rFonts w:ascii="Arial Narrow" w:hAnsi="Arial Narrow"/>
                <w:sz w:val="24"/>
                <w:szCs w:val="24"/>
                <w:lang w:val="af-ZA"/>
              </w:rPr>
              <w:t>that the plaintiff in its particuars of claim is cited as ‘Bravo Compl</w:t>
            </w:r>
            <w:r w:rsidR="002F6E77" w:rsidRPr="00276780">
              <w:rPr>
                <w:rFonts w:ascii="Arial Narrow" w:hAnsi="Arial Narrow"/>
                <w:sz w:val="24"/>
                <w:szCs w:val="24"/>
                <w:lang w:val="af-ZA"/>
              </w:rPr>
              <w:t>ia</w:t>
            </w:r>
            <w:r w:rsidR="009B7DBD" w:rsidRPr="00276780">
              <w:rPr>
                <w:rFonts w:ascii="Arial Narrow" w:hAnsi="Arial Narrow"/>
                <w:sz w:val="24"/>
                <w:szCs w:val="24"/>
                <w:lang w:val="af-ZA"/>
              </w:rPr>
              <w:t>nce (Pty) Ltd</w:t>
            </w:r>
            <w:r w:rsidR="0097695D" w:rsidRPr="00276780">
              <w:rPr>
                <w:rFonts w:ascii="Arial Narrow" w:hAnsi="Arial Narrow"/>
                <w:sz w:val="24"/>
                <w:szCs w:val="24"/>
                <w:lang w:val="af-ZA"/>
              </w:rPr>
              <w:t>’</w:t>
            </w:r>
            <w:r w:rsidR="00696267" w:rsidRPr="00276780">
              <w:rPr>
                <w:rFonts w:ascii="Arial Narrow" w:hAnsi="Arial Narrow"/>
                <w:sz w:val="24"/>
                <w:szCs w:val="24"/>
                <w:lang w:val="af-ZA"/>
              </w:rPr>
              <w:t>.</w:t>
            </w:r>
            <w:r w:rsidR="009B7DBD" w:rsidRPr="00276780">
              <w:rPr>
                <w:rFonts w:ascii="Arial Narrow" w:hAnsi="Arial Narrow"/>
                <w:sz w:val="24"/>
                <w:szCs w:val="24"/>
                <w:lang w:val="af-ZA"/>
              </w:rPr>
              <w:t xml:space="preserve"> </w:t>
            </w:r>
            <w:r w:rsidR="0097695D" w:rsidRPr="00276780">
              <w:rPr>
                <w:rFonts w:ascii="Arial Narrow" w:hAnsi="Arial Narrow"/>
                <w:sz w:val="24"/>
                <w:szCs w:val="24"/>
                <w:lang w:val="af-ZA"/>
              </w:rPr>
              <w:t>The defendant however stated that it had not dealt with nor had any dealings with Bravo Compliance (Pty) Ltd. When the proposal to the ‘expression of interest’ was submitted it was done by an entity by th</w:t>
            </w:r>
            <w:r w:rsidR="00276780" w:rsidRPr="00276780">
              <w:rPr>
                <w:rFonts w:ascii="Arial Narrow" w:hAnsi="Arial Narrow"/>
                <w:sz w:val="24"/>
                <w:szCs w:val="24"/>
                <w:lang w:val="af-ZA"/>
              </w:rPr>
              <w:t>e name of Brave Souled Butterly</w:t>
            </w:r>
            <w:r w:rsidR="0097695D" w:rsidRPr="00276780">
              <w:rPr>
                <w:rFonts w:ascii="Arial Narrow" w:hAnsi="Arial Narrow"/>
                <w:sz w:val="24"/>
                <w:szCs w:val="24"/>
                <w:lang w:val="af-ZA"/>
              </w:rPr>
              <w:t xml:space="preserve"> (Pty) Ltd, with its shortened name as ‘BSB’ and that the only other name that appeared on the documents exchanged between the defendant and ‘BSB’ is B</w:t>
            </w:r>
            <w:r w:rsidR="00E8247D" w:rsidRPr="00276780">
              <w:rPr>
                <w:rFonts w:ascii="Arial Narrow" w:hAnsi="Arial Narrow"/>
                <w:sz w:val="24"/>
                <w:szCs w:val="24"/>
                <w:lang w:val="af-ZA"/>
              </w:rPr>
              <w:t>SB</w:t>
            </w:r>
            <w:r w:rsidR="0097695D" w:rsidRPr="00276780">
              <w:rPr>
                <w:rFonts w:ascii="Arial Narrow" w:hAnsi="Arial Narrow"/>
                <w:sz w:val="24"/>
                <w:szCs w:val="24"/>
                <w:lang w:val="af-ZA"/>
              </w:rPr>
              <w:t xml:space="preserve"> Compl</w:t>
            </w:r>
            <w:r w:rsidR="002F6E77" w:rsidRPr="00276780">
              <w:rPr>
                <w:rFonts w:ascii="Arial Narrow" w:hAnsi="Arial Narrow"/>
                <w:sz w:val="24"/>
                <w:szCs w:val="24"/>
                <w:lang w:val="af-ZA"/>
              </w:rPr>
              <w:t>ia</w:t>
            </w:r>
            <w:r w:rsidR="0097695D" w:rsidRPr="00276780">
              <w:rPr>
                <w:rFonts w:ascii="Arial Narrow" w:hAnsi="Arial Narrow"/>
                <w:sz w:val="24"/>
                <w:szCs w:val="24"/>
                <w:lang w:val="af-ZA"/>
              </w:rPr>
              <w:t xml:space="preserve">nce Assurance and Advisory. There is no reference to the name of Bravo Complaince (Pty) Ltd. </w:t>
            </w:r>
          </w:p>
          <w:p w:rsidR="001E2DFC" w:rsidRPr="00794F8F" w:rsidRDefault="001E2DFC" w:rsidP="00E8769D">
            <w:pPr>
              <w:spacing w:line="360" w:lineRule="auto"/>
              <w:jc w:val="both"/>
              <w:rPr>
                <w:rFonts w:ascii="Arial Narrow" w:hAnsi="Arial Narrow"/>
                <w:sz w:val="24"/>
                <w:szCs w:val="24"/>
                <w:lang w:val="af-ZA"/>
              </w:rPr>
            </w:pPr>
          </w:p>
          <w:p w:rsidR="00696267" w:rsidRPr="00794F8F" w:rsidRDefault="0032120B" w:rsidP="00E8769D">
            <w:pPr>
              <w:spacing w:line="360" w:lineRule="auto"/>
              <w:jc w:val="both"/>
              <w:rPr>
                <w:rFonts w:ascii="Arial Narrow" w:hAnsi="Arial Narrow"/>
                <w:sz w:val="24"/>
                <w:szCs w:val="24"/>
                <w:lang w:val="af-ZA"/>
              </w:rPr>
            </w:pPr>
            <w:r w:rsidRPr="00794F8F">
              <w:rPr>
                <w:rFonts w:ascii="Arial Narrow" w:hAnsi="Arial Narrow"/>
                <w:sz w:val="24"/>
                <w:szCs w:val="24"/>
                <w:lang w:val="af-ZA"/>
              </w:rPr>
              <w:t>[7</w:t>
            </w:r>
            <w:r w:rsidR="001E2DFC" w:rsidRPr="00794F8F">
              <w:rPr>
                <w:rFonts w:ascii="Arial Narrow" w:hAnsi="Arial Narrow"/>
                <w:sz w:val="24"/>
                <w:szCs w:val="24"/>
                <w:lang w:val="af-ZA"/>
              </w:rPr>
              <w:t>]</w:t>
            </w:r>
            <w:r w:rsidR="00FC23A0">
              <w:rPr>
                <w:rFonts w:ascii="Arial Narrow" w:hAnsi="Arial Narrow"/>
                <w:sz w:val="24"/>
                <w:szCs w:val="24"/>
                <w:lang w:val="af-ZA"/>
              </w:rPr>
              <w:t xml:space="preserve">     </w:t>
            </w:r>
            <w:r w:rsidR="00042FAC" w:rsidRPr="00276780">
              <w:rPr>
                <w:rFonts w:ascii="Arial Narrow" w:hAnsi="Arial Narrow"/>
                <w:sz w:val="24"/>
                <w:szCs w:val="24"/>
                <w:lang w:val="af-ZA"/>
              </w:rPr>
              <w:t xml:space="preserve">Counsel on behalf of the </w:t>
            </w:r>
            <w:r w:rsidR="00A317FB" w:rsidRPr="00276780">
              <w:rPr>
                <w:rFonts w:ascii="Arial Narrow" w:hAnsi="Arial Narrow"/>
                <w:sz w:val="24"/>
                <w:szCs w:val="24"/>
                <w:lang w:val="af-ZA"/>
              </w:rPr>
              <w:t>defend</w:t>
            </w:r>
            <w:r w:rsidR="00042FAC" w:rsidRPr="00276780">
              <w:rPr>
                <w:rFonts w:ascii="Arial Narrow" w:hAnsi="Arial Narrow"/>
                <w:sz w:val="24"/>
                <w:szCs w:val="24"/>
                <w:lang w:val="af-ZA"/>
              </w:rPr>
              <w:t>a</w:t>
            </w:r>
            <w:r w:rsidR="00A317FB" w:rsidRPr="00276780">
              <w:rPr>
                <w:rFonts w:ascii="Arial Narrow" w:hAnsi="Arial Narrow"/>
                <w:sz w:val="24"/>
                <w:szCs w:val="24"/>
                <w:lang w:val="af-ZA"/>
              </w:rPr>
              <w:t>n</w:t>
            </w:r>
            <w:r w:rsidR="00042FAC" w:rsidRPr="00276780">
              <w:rPr>
                <w:rFonts w:ascii="Arial Narrow" w:hAnsi="Arial Narrow"/>
                <w:sz w:val="24"/>
                <w:szCs w:val="24"/>
                <w:lang w:val="af-ZA"/>
              </w:rPr>
              <w:t>t argued that</w:t>
            </w:r>
            <w:r w:rsidR="0044703D" w:rsidRPr="00276780">
              <w:rPr>
                <w:rFonts w:ascii="Arial Narrow" w:hAnsi="Arial Narrow"/>
                <w:sz w:val="24"/>
                <w:szCs w:val="24"/>
                <w:lang w:val="af-ZA"/>
              </w:rPr>
              <w:t xml:space="preserve"> a party’s legal standing apears from its description hence when instituting an action, it is required that the parties to the litigation are properly described. </w:t>
            </w:r>
            <w:r w:rsidR="00042FAC" w:rsidRPr="00276780">
              <w:rPr>
                <w:rFonts w:ascii="Arial Narrow" w:hAnsi="Arial Narrow"/>
                <w:sz w:val="24"/>
                <w:szCs w:val="24"/>
                <w:lang w:val="af-ZA"/>
              </w:rPr>
              <w:t xml:space="preserve"> </w:t>
            </w:r>
            <w:r w:rsidR="0044703D" w:rsidRPr="00276780">
              <w:rPr>
                <w:rFonts w:ascii="Arial Narrow" w:hAnsi="Arial Narrow"/>
                <w:sz w:val="24"/>
                <w:szCs w:val="24"/>
                <w:lang w:val="af-ZA"/>
              </w:rPr>
              <w:t xml:space="preserve">Counsel submitted that rule 6 (4) (c) read with rule 7 (9) requires that the name, registration number, postal addresss and registered office of the company must be provided in the summons </w:t>
            </w:r>
            <w:r w:rsidR="00D3203B" w:rsidRPr="00276780">
              <w:rPr>
                <w:rFonts w:ascii="Arial Narrow" w:hAnsi="Arial Narrow"/>
                <w:sz w:val="24"/>
                <w:szCs w:val="24"/>
                <w:lang w:val="af-ZA"/>
              </w:rPr>
              <w:t xml:space="preserve">to ensure that the party furnishes sufficient details to establish </w:t>
            </w:r>
            <w:r w:rsidR="00D3203B" w:rsidRPr="00276780">
              <w:rPr>
                <w:rFonts w:ascii="Arial Narrow" w:hAnsi="Arial Narrow"/>
                <w:i/>
                <w:sz w:val="24"/>
                <w:szCs w:val="24"/>
                <w:lang w:val="af-ZA"/>
              </w:rPr>
              <w:t>locus standi</w:t>
            </w:r>
            <w:r w:rsidR="00D3203B" w:rsidRPr="00276780">
              <w:rPr>
                <w:rFonts w:ascii="Arial Narrow" w:hAnsi="Arial Narrow"/>
                <w:sz w:val="24"/>
                <w:szCs w:val="24"/>
                <w:lang w:val="af-ZA"/>
              </w:rPr>
              <w:t xml:space="preserve">. </w:t>
            </w:r>
            <w:r w:rsidR="00D201B6" w:rsidRPr="00276780">
              <w:rPr>
                <w:rFonts w:ascii="Arial Narrow" w:hAnsi="Arial Narrow"/>
                <w:sz w:val="24"/>
                <w:szCs w:val="24"/>
                <w:lang w:val="af-ZA"/>
              </w:rPr>
              <w:t xml:space="preserve">Counsel argued that it </w:t>
            </w:r>
            <w:r w:rsidR="00D3203B" w:rsidRPr="00276780">
              <w:rPr>
                <w:rFonts w:ascii="Arial Narrow" w:hAnsi="Arial Narrow"/>
                <w:sz w:val="24"/>
                <w:szCs w:val="24"/>
                <w:lang w:val="af-ZA"/>
              </w:rPr>
              <w:t>is not for the defendant and court to speculate</w:t>
            </w:r>
            <w:r w:rsidR="00D201B6" w:rsidRPr="00276780">
              <w:rPr>
                <w:rFonts w:ascii="Arial Narrow" w:hAnsi="Arial Narrow"/>
                <w:sz w:val="24"/>
                <w:szCs w:val="24"/>
                <w:lang w:val="af-ZA"/>
              </w:rPr>
              <w:t xml:space="preserve"> and that p</w:t>
            </w:r>
            <w:r w:rsidR="00D3203B" w:rsidRPr="00276780">
              <w:rPr>
                <w:rFonts w:ascii="Arial Narrow" w:hAnsi="Arial Narrow"/>
                <w:sz w:val="24"/>
                <w:szCs w:val="24"/>
                <w:lang w:val="af-ZA"/>
              </w:rPr>
              <w:t xml:space="preserve">roper pleadings must </w:t>
            </w:r>
            <w:r w:rsidR="00E8247D" w:rsidRPr="00276780">
              <w:rPr>
                <w:rFonts w:ascii="Arial Narrow" w:hAnsi="Arial Narrow"/>
                <w:sz w:val="24"/>
                <w:szCs w:val="24"/>
                <w:lang w:val="af-ZA"/>
              </w:rPr>
              <w:t xml:space="preserve">therefore </w:t>
            </w:r>
            <w:r w:rsidR="00D3203B" w:rsidRPr="00276780">
              <w:rPr>
                <w:rFonts w:ascii="Arial Narrow" w:hAnsi="Arial Narrow"/>
                <w:sz w:val="24"/>
                <w:szCs w:val="24"/>
                <w:lang w:val="af-ZA"/>
              </w:rPr>
              <w:t xml:space="preserve">be placed before court. </w:t>
            </w:r>
          </w:p>
          <w:p w:rsidR="001E2DFC" w:rsidRPr="00794F8F" w:rsidRDefault="001E2DFC" w:rsidP="00E8769D">
            <w:pPr>
              <w:spacing w:line="360" w:lineRule="auto"/>
              <w:jc w:val="both"/>
              <w:rPr>
                <w:rFonts w:ascii="Arial Narrow" w:hAnsi="Arial Narrow"/>
                <w:sz w:val="24"/>
                <w:szCs w:val="24"/>
                <w:lang w:val="af-ZA"/>
              </w:rPr>
            </w:pPr>
          </w:p>
          <w:p w:rsidR="00696267" w:rsidRPr="009D48FD" w:rsidRDefault="0032120B" w:rsidP="00E8769D">
            <w:pPr>
              <w:spacing w:line="360" w:lineRule="auto"/>
              <w:jc w:val="both"/>
              <w:rPr>
                <w:rFonts w:ascii="Arial Narrow" w:hAnsi="Arial Narrow"/>
                <w:sz w:val="24"/>
                <w:szCs w:val="24"/>
                <w:lang w:val="af-ZA"/>
              </w:rPr>
            </w:pPr>
            <w:r w:rsidRPr="009D48FD">
              <w:rPr>
                <w:rFonts w:ascii="Arial Narrow" w:hAnsi="Arial Narrow"/>
                <w:sz w:val="24"/>
                <w:szCs w:val="24"/>
                <w:lang w:val="af-ZA"/>
              </w:rPr>
              <w:t>[8</w:t>
            </w:r>
            <w:r w:rsidR="001E2DFC" w:rsidRPr="009D48FD">
              <w:rPr>
                <w:rFonts w:ascii="Arial Narrow" w:hAnsi="Arial Narrow"/>
                <w:sz w:val="24"/>
                <w:szCs w:val="24"/>
                <w:lang w:val="af-ZA"/>
              </w:rPr>
              <w:t>]</w:t>
            </w:r>
            <w:r w:rsidR="00FC23A0" w:rsidRPr="009D48FD">
              <w:rPr>
                <w:rFonts w:ascii="Arial Narrow" w:hAnsi="Arial Narrow"/>
                <w:sz w:val="24"/>
                <w:szCs w:val="24"/>
                <w:lang w:val="af-ZA"/>
              </w:rPr>
              <w:t xml:space="preserve">     </w:t>
            </w:r>
            <w:r w:rsidR="00E8247D" w:rsidRPr="009D48FD">
              <w:rPr>
                <w:rFonts w:ascii="Arial Narrow" w:hAnsi="Arial Narrow"/>
                <w:sz w:val="24"/>
                <w:szCs w:val="24"/>
                <w:lang w:val="af-ZA"/>
              </w:rPr>
              <w:t xml:space="preserve">Further to this the defendant submitted that </w:t>
            </w:r>
            <w:r w:rsidR="00C308E1" w:rsidRPr="009D48FD">
              <w:rPr>
                <w:rFonts w:ascii="Arial Narrow" w:hAnsi="Arial Narrow"/>
                <w:sz w:val="24"/>
                <w:szCs w:val="24"/>
                <w:lang w:val="af-ZA"/>
              </w:rPr>
              <w:t>the plaintiff does n</w:t>
            </w:r>
            <w:r w:rsidR="009D48FD" w:rsidRPr="009D48FD">
              <w:rPr>
                <w:rFonts w:ascii="Arial Narrow" w:hAnsi="Arial Narrow"/>
                <w:sz w:val="24"/>
                <w:szCs w:val="24"/>
                <w:lang w:val="af-ZA"/>
              </w:rPr>
              <w:t xml:space="preserve">ot allege in the particulars of </w:t>
            </w:r>
            <w:r w:rsidR="00D201B6" w:rsidRPr="009D48FD">
              <w:rPr>
                <w:rFonts w:ascii="Arial Narrow" w:hAnsi="Arial Narrow"/>
                <w:sz w:val="24"/>
                <w:szCs w:val="24"/>
                <w:lang w:val="af-ZA"/>
              </w:rPr>
              <w:t xml:space="preserve">claim </w:t>
            </w:r>
            <w:r w:rsidR="00C308E1" w:rsidRPr="009D48FD">
              <w:rPr>
                <w:rFonts w:ascii="Arial Narrow" w:hAnsi="Arial Narrow"/>
                <w:sz w:val="24"/>
                <w:szCs w:val="24"/>
                <w:lang w:val="af-ZA"/>
              </w:rPr>
              <w:t xml:space="preserve">that it is the same entity as BSB, neither </w:t>
            </w:r>
            <w:r w:rsidR="00D201B6" w:rsidRPr="009D48FD">
              <w:rPr>
                <w:rFonts w:ascii="Arial Narrow" w:hAnsi="Arial Narrow"/>
                <w:sz w:val="24"/>
                <w:szCs w:val="24"/>
                <w:lang w:val="af-ZA"/>
              </w:rPr>
              <w:t xml:space="preserve">does the plaintiff </w:t>
            </w:r>
            <w:r w:rsidR="009D48FD" w:rsidRPr="009D48FD">
              <w:rPr>
                <w:rFonts w:ascii="Arial Narrow" w:hAnsi="Arial Narrow"/>
                <w:sz w:val="24"/>
                <w:szCs w:val="24"/>
                <w:lang w:val="af-ZA"/>
              </w:rPr>
              <w:t>explain</w:t>
            </w:r>
            <w:r w:rsidR="00C308E1" w:rsidRPr="009D48FD">
              <w:rPr>
                <w:rFonts w:ascii="Arial Narrow" w:hAnsi="Arial Narrow"/>
                <w:sz w:val="24"/>
                <w:szCs w:val="24"/>
                <w:lang w:val="af-ZA"/>
              </w:rPr>
              <w:t xml:space="preserve"> the difference in name. Counsel therefore argued that a defect in the plaintiff’s case </w:t>
            </w:r>
            <w:r w:rsidR="00D201B6" w:rsidRPr="009D48FD">
              <w:rPr>
                <w:rFonts w:ascii="Arial Narrow" w:hAnsi="Arial Narrow"/>
                <w:sz w:val="24"/>
                <w:szCs w:val="24"/>
                <w:lang w:val="af-ZA"/>
              </w:rPr>
              <w:t>which</w:t>
            </w:r>
            <w:r w:rsidR="00C308E1" w:rsidRPr="009D48FD">
              <w:rPr>
                <w:rFonts w:ascii="Arial Narrow" w:hAnsi="Arial Narrow"/>
                <w:sz w:val="24"/>
                <w:szCs w:val="24"/>
                <w:lang w:val="af-ZA"/>
              </w:rPr>
              <w:t xml:space="preserve"> is not tech</w:t>
            </w:r>
            <w:r w:rsidR="000E7DF0" w:rsidRPr="009D48FD">
              <w:rPr>
                <w:rFonts w:ascii="Arial Narrow" w:hAnsi="Arial Narrow"/>
                <w:sz w:val="24"/>
                <w:szCs w:val="24"/>
                <w:lang w:val="af-ZA"/>
              </w:rPr>
              <w:t>n</w:t>
            </w:r>
            <w:r w:rsidR="00C308E1" w:rsidRPr="009D48FD">
              <w:rPr>
                <w:rFonts w:ascii="Arial Narrow" w:hAnsi="Arial Narrow"/>
                <w:sz w:val="24"/>
                <w:szCs w:val="24"/>
                <w:lang w:val="af-ZA"/>
              </w:rPr>
              <w:t xml:space="preserve">ical and </w:t>
            </w:r>
            <w:r w:rsidR="00D201B6" w:rsidRPr="009D48FD">
              <w:rPr>
                <w:rFonts w:ascii="Arial Narrow" w:hAnsi="Arial Narrow"/>
                <w:sz w:val="24"/>
                <w:szCs w:val="24"/>
                <w:lang w:val="af-ZA"/>
              </w:rPr>
              <w:t xml:space="preserve">which </w:t>
            </w:r>
            <w:r w:rsidR="00C308E1" w:rsidRPr="009D48FD">
              <w:rPr>
                <w:rFonts w:ascii="Arial Narrow" w:hAnsi="Arial Narrow"/>
                <w:sz w:val="24"/>
                <w:szCs w:val="24"/>
                <w:lang w:val="af-ZA"/>
              </w:rPr>
              <w:t xml:space="preserve">cannot be condoned should result in the refusal of the summary judgment. </w:t>
            </w:r>
          </w:p>
          <w:p w:rsidR="001E2DFC" w:rsidRPr="00794F8F" w:rsidRDefault="001E2DFC" w:rsidP="00E8769D">
            <w:pPr>
              <w:spacing w:line="360" w:lineRule="auto"/>
              <w:jc w:val="both"/>
              <w:rPr>
                <w:rFonts w:ascii="Arial Narrow" w:hAnsi="Arial Narrow"/>
                <w:sz w:val="24"/>
                <w:szCs w:val="24"/>
                <w:lang w:val="af-ZA"/>
              </w:rPr>
            </w:pPr>
          </w:p>
          <w:p w:rsidR="00696267" w:rsidRPr="00794F8F" w:rsidRDefault="0032120B" w:rsidP="00E8769D">
            <w:pPr>
              <w:spacing w:line="360" w:lineRule="auto"/>
              <w:jc w:val="both"/>
              <w:rPr>
                <w:rFonts w:ascii="Arial Narrow" w:hAnsi="Arial Narrow"/>
                <w:sz w:val="24"/>
                <w:szCs w:val="24"/>
                <w:lang w:val="af-ZA"/>
              </w:rPr>
            </w:pPr>
            <w:r w:rsidRPr="00794F8F">
              <w:rPr>
                <w:rFonts w:ascii="Arial Narrow" w:hAnsi="Arial Narrow"/>
                <w:sz w:val="24"/>
                <w:szCs w:val="24"/>
                <w:lang w:val="af-ZA"/>
              </w:rPr>
              <w:t>[9</w:t>
            </w:r>
            <w:r w:rsidR="00FC23A0">
              <w:rPr>
                <w:rFonts w:ascii="Arial Narrow" w:hAnsi="Arial Narrow"/>
                <w:sz w:val="24"/>
                <w:szCs w:val="24"/>
                <w:lang w:val="af-ZA"/>
              </w:rPr>
              <w:t xml:space="preserve">]     </w:t>
            </w:r>
            <w:r w:rsidR="00F87909" w:rsidRPr="001A1D45">
              <w:rPr>
                <w:rFonts w:ascii="Arial Narrow" w:hAnsi="Arial Narrow"/>
                <w:sz w:val="24"/>
                <w:szCs w:val="24"/>
                <w:lang w:val="af-ZA"/>
              </w:rPr>
              <w:t xml:space="preserve">Counsel for the plaintiff argued that </w:t>
            </w:r>
            <w:r w:rsidR="00080778" w:rsidRPr="001A1D45">
              <w:rPr>
                <w:rFonts w:ascii="Arial Narrow" w:hAnsi="Arial Narrow"/>
                <w:sz w:val="24"/>
                <w:szCs w:val="24"/>
                <w:lang w:val="af-ZA"/>
              </w:rPr>
              <w:t>the citation of the plaintiff is defined and crystalised by the remaining allegations</w:t>
            </w:r>
            <w:r w:rsidR="005E1588" w:rsidRPr="001A1D45">
              <w:rPr>
                <w:rFonts w:ascii="Arial Narrow" w:hAnsi="Arial Narrow"/>
                <w:sz w:val="24"/>
                <w:szCs w:val="24"/>
                <w:lang w:val="af-ZA"/>
              </w:rPr>
              <w:t xml:space="preserve"> in the particulars of claim</w:t>
            </w:r>
            <w:r w:rsidR="00D201B6" w:rsidRPr="001A1D45">
              <w:rPr>
                <w:rFonts w:ascii="Arial Narrow" w:hAnsi="Arial Narrow"/>
                <w:sz w:val="24"/>
                <w:szCs w:val="24"/>
                <w:lang w:val="af-ZA"/>
              </w:rPr>
              <w:t>,</w:t>
            </w:r>
            <w:r w:rsidR="00080778" w:rsidRPr="001A1D45">
              <w:rPr>
                <w:rFonts w:ascii="Arial Narrow" w:hAnsi="Arial Narrow"/>
                <w:sz w:val="24"/>
                <w:szCs w:val="24"/>
                <w:lang w:val="af-ZA"/>
              </w:rPr>
              <w:t xml:space="preserve"> such as the registration</w:t>
            </w:r>
            <w:r w:rsidR="005E1588" w:rsidRPr="001A1D45">
              <w:rPr>
                <w:rFonts w:ascii="Arial Narrow" w:hAnsi="Arial Narrow"/>
                <w:sz w:val="24"/>
                <w:szCs w:val="24"/>
                <w:lang w:val="af-ZA"/>
              </w:rPr>
              <w:t xml:space="preserve"> number</w:t>
            </w:r>
            <w:r w:rsidR="00080778" w:rsidRPr="001A1D45">
              <w:rPr>
                <w:rFonts w:ascii="Arial Narrow" w:hAnsi="Arial Narrow"/>
                <w:sz w:val="24"/>
                <w:szCs w:val="24"/>
                <w:lang w:val="af-ZA"/>
              </w:rPr>
              <w:t xml:space="preserve"> of the company </w:t>
            </w:r>
            <w:r w:rsidR="005E1588" w:rsidRPr="001A1D45">
              <w:rPr>
                <w:rFonts w:ascii="Arial Narrow" w:hAnsi="Arial Narrow"/>
                <w:sz w:val="24"/>
                <w:szCs w:val="24"/>
                <w:lang w:val="af-ZA"/>
              </w:rPr>
              <w:t>and the</w:t>
            </w:r>
            <w:r w:rsidR="00080778" w:rsidRPr="001A1D45">
              <w:rPr>
                <w:rFonts w:ascii="Arial Narrow" w:hAnsi="Arial Narrow"/>
                <w:sz w:val="24"/>
                <w:szCs w:val="24"/>
                <w:lang w:val="af-ZA"/>
              </w:rPr>
              <w:t xml:space="preserve"> registered office </w:t>
            </w:r>
            <w:r w:rsidR="00080778" w:rsidRPr="001A1D45">
              <w:rPr>
                <w:rFonts w:ascii="Arial Narrow" w:hAnsi="Arial Narrow"/>
                <w:sz w:val="24"/>
                <w:szCs w:val="24"/>
                <w:lang w:val="af-ZA"/>
              </w:rPr>
              <w:lastRenderedPageBreak/>
              <w:t>or principal place of business</w:t>
            </w:r>
            <w:r w:rsidR="005E1588" w:rsidRPr="001A1D45">
              <w:rPr>
                <w:rFonts w:ascii="Arial Narrow" w:hAnsi="Arial Narrow"/>
                <w:sz w:val="24"/>
                <w:szCs w:val="24"/>
                <w:lang w:val="af-ZA"/>
              </w:rPr>
              <w:t>,</w:t>
            </w:r>
            <w:r w:rsidR="00080778" w:rsidRPr="001A1D45">
              <w:rPr>
                <w:rFonts w:ascii="Arial Narrow" w:hAnsi="Arial Narrow"/>
                <w:sz w:val="24"/>
                <w:szCs w:val="24"/>
                <w:lang w:val="af-ZA"/>
              </w:rPr>
              <w:t xml:space="preserve"> </w:t>
            </w:r>
            <w:r w:rsidR="005E1588" w:rsidRPr="001A1D45">
              <w:rPr>
                <w:rFonts w:ascii="Arial Narrow" w:hAnsi="Arial Narrow"/>
                <w:sz w:val="24"/>
                <w:szCs w:val="24"/>
                <w:lang w:val="af-ZA"/>
              </w:rPr>
              <w:t>which remains constant throughout all the documentation</w:t>
            </w:r>
            <w:r w:rsidR="00696267" w:rsidRPr="001A1D45">
              <w:rPr>
                <w:rFonts w:ascii="Arial Narrow" w:hAnsi="Arial Narrow"/>
                <w:sz w:val="24"/>
                <w:szCs w:val="24"/>
                <w:lang w:val="af-ZA"/>
              </w:rPr>
              <w:t>.</w:t>
            </w:r>
            <w:r w:rsidR="005E1588" w:rsidRPr="001A1D45">
              <w:rPr>
                <w:rFonts w:ascii="Arial Narrow" w:hAnsi="Arial Narrow"/>
                <w:sz w:val="24"/>
                <w:szCs w:val="24"/>
                <w:lang w:val="af-ZA"/>
              </w:rPr>
              <w:t xml:space="preserve"> </w:t>
            </w:r>
            <w:r w:rsidR="006B04B5" w:rsidRPr="001A1D45">
              <w:rPr>
                <w:rFonts w:ascii="Arial Narrow" w:hAnsi="Arial Narrow"/>
                <w:sz w:val="24"/>
                <w:szCs w:val="24"/>
                <w:lang w:val="af-ZA"/>
              </w:rPr>
              <w:t>However</w:t>
            </w:r>
            <w:r w:rsidR="00D201B6" w:rsidRPr="001A1D45">
              <w:rPr>
                <w:rFonts w:ascii="Arial Narrow" w:hAnsi="Arial Narrow"/>
                <w:sz w:val="24"/>
                <w:szCs w:val="24"/>
                <w:lang w:val="af-ZA"/>
              </w:rPr>
              <w:t>,</w:t>
            </w:r>
            <w:r w:rsidR="006B04B5" w:rsidRPr="001A1D45">
              <w:rPr>
                <w:rFonts w:ascii="Arial Narrow" w:hAnsi="Arial Narrow"/>
                <w:sz w:val="24"/>
                <w:szCs w:val="24"/>
                <w:lang w:val="af-ZA"/>
              </w:rPr>
              <w:t xml:space="preserve"> counsel for the defendant argued that alth</w:t>
            </w:r>
            <w:r w:rsidR="00B11DFB" w:rsidRPr="001A1D45">
              <w:rPr>
                <w:rFonts w:ascii="Arial Narrow" w:hAnsi="Arial Narrow"/>
                <w:sz w:val="24"/>
                <w:szCs w:val="24"/>
                <w:lang w:val="af-ZA"/>
              </w:rPr>
              <w:t>o</w:t>
            </w:r>
            <w:r w:rsidR="001A1D45">
              <w:rPr>
                <w:rFonts w:ascii="Arial Narrow" w:hAnsi="Arial Narrow"/>
                <w:sz w:val="24"/>
                <w:szCs w:val="24"/>
                <w:lang w:val="af-ZA"/>
              </w:rPr>
              <w:t>ugh the</w:t>
            </w:r>
            <w:r w:rsidR="006B04B5" w:rsidRPr="001A1D45">
              <w:rPr>
                <w:rFonts w:ascii="Arial Narrow" w:hAnsi="Arial Narrow"/>
                <w:sz w:val="24"/>
                <w:szCs w:val="24"/>
                <w:lang w:val="af-ZA"/>
              </w:rPr>
              <w:t xml:space="preserve"> company registration number and address pleaded is the same as those which appear on the documents of BSB </w:t>
            </w:r>
            <w:r w:rsidR="001A1D45" w:rsidRPr="001A1D45">
              <w:rPr>
                <w:rFonts w:ascii="Arial Narrow" w:hAnsi="Arial Narrow"/>
                <w:sz w:val="24"/>
                <w:szCs w:val="24"/>
                <w:lang w:val="af-ZA"/>
              </w:rPr>
              <w:t xml:space="preserve">it </w:t>
            </w:r>
            <w:r w:rsidR="006B04B5" w:rsidRPr="001A1D45">
              <w:rPr>
                <w:rFonts w:ascii="Arial Narrow" w:hAnsi="Arial Narrow"/>
                <w:sz w:val="24"/>
                <w:szCs w:val="24"/>
                <w:lang w:val="af-ZA"/>
              </w:rPr>
              <w:t>does not mean it</w:t>
            </w:r>
            <w:r w:rsidR="00D201B6" w:rsidRPr="001A1D45">
              <w:rPr>
                <w:rFonts w:ascii="Arial Narrow" w:hAnsi="Arial Narrow"/>
                <w:sz w:val="24"/>
                <w:szCs w:val="24"/>
                <w:lang w:val="af-ZA"/>
              </w:rPr>
              <w:t xml:space="preserve"> is</w:t>
            </w:r>
            <w:r w:rsidR="006B04B5" w:rsidRPr="001A1D45">
              <w:rPr>
                <w:rFonts w:ascii="Arial Narrow" w:hAnsi="Arial Narrow"/>
                <w:sz w:val="24"/>
                <w:szCs w:val="24"/>
                <w:lang w:val="af-ZA"/>
              </w:rPr>
              <w:t xml:space="preserve"> the same entity. </w:t>
            </w:r>
            <w:r w:rsidR="00696267" w:rsidRPr="001A1D45">
              <w:rPr>
                <w:rFonts w:ascii="Arial Narrow" w:hAnsi="Arial Narrow"/>
                <w:sz w:val="24"/>
                <w:szCs w:val="24"/>
                <w:lang w:val="af-ZA"/>
              </w:rPr>
              <w:t xml:space="preserve"> </w:t>
            </w:r>
            <w:r w:rsidR="00D201B6" w:rsidRPr="001A1D45">
              <w:rPr>
                <w:rFonts w:ascii="Arial Narrow" w:hAnsi="Arial Narrow"/>
                <w:sz w:val="24"/>
                <w:szCs w:val="24"/>
                <w:lang w:val="af-ZA"/>
              </w:rPr>
              <w:t>Counsel argued that i</w:t>
            </w:r>
            <w:r w:rsidR="00C87724" w:rsidRPr="001A1D45">
              <w:rPr>
                <w:rFonts w:ascii="Arial Narrow" w:hAnsi="Arial Narrow"/>
                <w:sz w:val="24"/>
                <w:szCs w:val="24"/>
                <w:lang w:val="af-ZA"/>
              </w:rPr>
              <w:t xml:space="preserve">t could mean that two different companies are operating from the same premises and the drafter of the particulars of claim could have mistakenly cited the plaintiff or mistakenly used BSB’s registration number. There is therefore no certainty that the correct party is before court and the court cannot infer that a correct party is before court. The proper citation of the parties should be evident in the pleadings before court. </w:t>
            </w:r>
          </w:p>
          <w:p w:rsidR="001D7C9E" w:rsidRPr="00794F8F" w:rsidRDefault="001D7C9E" w:rsidP="00E8769D">
            <w:pPr>
              <w:spacing w:line="360" w:lineRule="auto"/>
              <w:jc w:val="both"/>
              <w:rPr>
                <w:rFonts w:ascii="Arial Narrow" w:hAnsi="Arial Narrow"/>
                <w:sz w:val="24"/>
                <w:szCs w:val="24"/>
                <w:lang w:val="af-ZA"/>
              </w:rPr>
            </w:pPr>
          </w:p>
          <w:p w:rsidR="00696267" w:rsidRPr="00794F8F" w:rsidRDefault="001D7C9E" w:rsidP="00E8769D">
            <w:pPr>
              <w:spacing w:line="360" w:lineRule="auto"/>
              <w:jc w:val="both"/>
              <w:rPr>
                <w:rFonts w:ascii="Arial Narrow" w:hAnsi="Arial Narrow"/>
                <w:sz w:val="24"/>
                <w:szCs w:val="24"/>
                <w:lang w:val="af-ZA"/>
              </w:rPr>
            </w:pPr>
            <w:r w:rsidRPr="00794F8F">
              <w:rPr>
                <w:rFonts w:ascii="Arial Narrow" w:hAnsi="Arial Narrow"/>
                <w:sz w:val="24"/>
                <w:szCs w:val="24"/>
                <w:lang w:val="af-ZA"/>
              </w:rPr>
              <w:t>[</w:t>
            </w:r>
            <w:r w:rsidR="0032120B" w:rsidRPr="00794F8F">
              <w:rPr>
                <w:rFonts w:ascii="Arial Narrow" w:hAnsi="Arial Narrow"/>
                <w:sz w:val="24"/>
                <w:szCs w:val="24"/>
                <w:lang w:val="af-ZA"/>
              </w:rPr>
              <w:t>10</w:t>
            </w:r>
            <w:r w:rsidRPr="00794F8F">
              <w:rPr>
                <w:rFonts w:ascii="Arial Narrow" w:hAnsi="Arial Narrow"/>
                <w:sz w:val="24"/>
                <w:szCs w:val="24"/>
                <w:lang w:val="af-ZA"/>
              </w:rPr>
              <w:t>]</w:t>
            </w:r>
            <w:r w:rsidR="00FC23A0">
              <w:rPr>
                <w:rFonts w:ascii="Arial Narrow" w:hAnsi="Arial Narrow"/>
                <w:sz w:val="24"/>
                <w:szCs w:val="24"/>
                <w:lang w:val="af-ZA"/>
              </w:rPr>
              <w:t xml:space="preserve">     </w:t>
            </w:r>
            <w:r w:rsidR="00873F20" w:rsidRPr="00794F8F">
              <w:rPr>
                <w:rFonts w:ascii="Arial Narrow" w:hAnsi="Arial Narrow"/>
                <w:sz w:val="24"/>
                <w:szCs w:val="24"/>
                <w:lang w:val="af-ZA"/>
              </w:rPr>
              <w:t xml:space="preserve">Counsel for the plaintiff further </w:t>
            </w:r>
            <w:r w:rsidR="00873F20" w:rsidRPr="001F11D4">
              <w:rPr>
                <w:rFonts w:ascii="Arial Narrow" w:hAnsi="Arial Narrow"/>
                <w:sz w:val="24"/>
                <w:szCs w:val="24"/>
                <w:lang w:val="af-ZA"/>
              </w:rPr>
              <w:t xml:space="preserve">argued that security of cost was sought by the defendant against the plaintiff (as it is currently cited), therefore the </w:t>
            </w:r>
            <w:r w:rsidR="0030139A" w:rsidRPr="001F11D4">
              <w:rPr>
                <w:rFonts w:ascii="Arial Narrow" w:hAnsi="Arial Narrow"/>
                <w:sz w:val="24"/>
                <w:szCs w:val="24"/>
                <w:lang w:val="af-ZA"/>
              </w:rPr>
              <w:t xml:space="preserve">defendant </w:t>
            </w:r>
            <w:r w:rsidR="00873F20" w:rsidRPr="001F11D4">
              <w:rPr>
                <w:rFonts w:ascii="Arial Narrow" w:hAnsi="Arial Narrow"/>
                <w:sz w:val="24"/>
                <w:szCs w:val="24"/>
                <w:lang w:val="af-ZA"/>
              </w:rPr>
              <w:t xml:space="preserve">cannot </w:t>
            </w:r>
            <w:r w:rsidR="00873F20" w:rsidRPr="00794F8F">
              <w:rPr>
                <w:rFonts w:ascii="Arial Narrow" w:hAnsi="Arial Narrow"/>
                <w:sz w:val="24"/>
                <w:szCs w:val="24"/>
                <w:lang w:val="af-ZA"/>
              </w:rPr>
              <w:t>suggest that it is prejudiced going forward</w:t>
            </w:r>
            <w:r w:rsidR="00873F20" w:rsidRPr="008D4F33">
              <w:rPr>
                <w:rFonts w:ascii="Arial Narrow" w:hAnsi="Arial Narrow"/>
                <w:sz w:val="24"/>
                <w:szCs w:val="24"/>
                <w:lang w:val="af-ZA"/>
              </w:rPr>
              <w:t xml:space="preserve">. </w:t>
            </w:r>
            <w:r w:rsidR="009E2AAD" w:rsidRPr="008D4F33">
              <w:rPr>
                <w:rFonts w:ascii="Arial Narrow" w:hAnsi="Arial Narrow"/>
                <w:sz w:val="24"/>
                <w:szCs w:val="24"/>
                <w:lang w:val="af-ZA"/>
              </w:rPr>
              <w:t>In reply</w:t>
            </w:r>
            <w:r w:rsidR="00873F20" w:rsidRPr="008D4F33">
              <w:rPr>
                <w:rFonts w:ascii="Arial Narrow" w:hAnsi="Arial Narrow"/>
                <w:sz w:val="24"/>
                <w:szCs w:val="24"/>
                <w:lang w:val="af-ZA"/>
              </w:rPr>
              <w:t>, counsel for the defendant argued that the fact that security of costs has be</w:t>
            </w:r>
            <w:r w:rsidR="008D4F33" w:rsidRPr="008D4F33">
              <w:rPr>
                <w:rFonts w:ascii="Arial Narrow" w:hAnsi="Arial Narrow"/>
                <w:sz w:val="24"/>
                <w:szCs w:val="24"/>
                <w:lang w:val="af-ZA"/>
              </w:rPr>
              <w:t>en provided to the defendant is</w:t>
            </w:r>
            <w:r w:rsidR="00873F20" w:rsidRPr="008D4F33">
              <w:rPr>
                <w:rFonts w:ascii="Arial Narrow" w:hAnsi="Arial Narrow"/>
                <w:sz w:val="24"/>
                <w:szCs w:val="24"/>
                <w:lang w:val="af-ZA"/>
              </w:rPr>
              <w:t xml:space="preserve"> </w:t>
            </w:r>
            <w:r w:rsidR="009E2AAD" w:rsidRPr="008D4F33">
              <w:rPr>
                <w:rFonts w:ascii="Arial Narrow" w:hAnsi="Arial Narrow"/>
                <w:sz w:val="24"/>
                <w:szCs w:val="24"/>
                <w:lang w:val="af-ZA"/>
              </w:rPr>
              <w:t xml:space="preserve">neither </w:t>
            </w:r>
            <w:r w:rsidR="00873F20" w:rsidRPr="008D4F33">
              <w:rPr>
                <w:rFonts w:ascii="Arial Narrow" w:hAnsi="Arial Narrow"/>
                <w:sz w:val="24"/>
                <w:szCs w:val="24"/>
                <w:lang w:val="af-ZA"/>
              </w:rPr>
              <w:t xml:space="preserve">here nor there as the court cannot grant judgement in favour of the plaintiff if there is no certainty that </w:t>
            </w:r>
            <w:r w:rsidR="000E7DF0" w:rsidRPr="008D4F33">
              <w:rPr>
                <w:rFonts w:ascii="Arial Narrow" w:hAnsi="Arial Narrow"/>
                <w:sz w:val="24"/>
                <w:szCs w:val="24"/>
                <w:lang w:val="af-ZA"/>
              </w:rPr>
              <w:t>the plaintiff is the actual party that dealt with the defendant. Counsel further argued that</w:t>
            </w:r>
            <w:r w:rsidR="009E2AAD" w:rsidRPr="008D4F33">
              <w:rPr>
                <w:rFonts w:ascii="Arial Narrow" w:hAnsi="Arial Narrow"/>
                <w:sz w:val="24"/>
                <w:szCs w:val="24"/>
                <w:lang w:val="af-ZA"/>
              </w:rPr>
              <w:t xml:space="preserve"> the defendant will suffer no prejudice if the summary judgment application is refused and the plaintiff is afforded the opportunity to amend the citation. On the other hand there will be substantial prejudice in respect </w:t>
            </w:r>
            <w:r w:rsidR="008D4F33" w:rsidRPr="008D4F33">
              <w:rPr>
                <w:rFonts w:ascii="Arial Narrow" w:hAnsi="Arial Narrow"/>
                <w:sz w:val="24"/>
                <w:szCs w:val="24"/>
                <w:lang w:val="af-ZA"/>
              </w:rPr>
              <w:t>of the defendant if the application</w:t>
            </w:r>
            <w:r w:rsidR="009E2AAD" w:rsidRPr="008D4F33">
              <w:rPr>
                <w:rFonts w:ascii="Arial Narrow" w:hAnsi="Arial Narrow"/>
                <w:sz w:val="24"/>
                <w:szCs w:val="24"/>
                <w:lang w:val="af-ZA"/>
              </w:rPr>
              <w:t xml:space="preserve"> is granted and it turns out that the plaintif</w:t>
            </w:r>
            <w:r w:rsidR="001A1D45" w:rsidRPr="008D4F33">
              <w:rPr>
                <w:rFonts w:ascii="Arial Narrow" w:hAnsi="Arial Narrow"/>
                <w:sz w:val="24"/>
                <w:szCs w:val="24"/>
                <w:lang w:val="af-ZA"/>
              </w:rPr>
              <w:t xml:space="preserve">f is a diffrent entity to BSB. </w:t>
            </w:r>
            <w:r w:rsidR="009E2AAD" w:rsidRPr="008D4F33">
              <w:rPr>
                <w:rFonts w:ascii="Arial Narrow" w:hAnsi="Arial Narrow"/>
                <w:sz w:val="24"/>
                <w:szCs w:val="24"/>
                <w:lang w:val="af-ZA"/>
              </w:rPr>
              <w:t xml:space="preserve">In support of her argument </w:t>
            </w:r>
            <w:r w:rsidR="003F5B70" w:rsidRPr="008D4F33">
              <w:rPr>
                <w:rFonts w:ascii="Arial Narrow" w:hAnsi="Arial Narrow"/>
                <w:sz w:val="24"/>
                <w:szCs w:val="24"/>
                <w:lang w:val="af-ZA"/>
              </w:rPr>
              <w:t xml:space="preserve">defendant’s </w:t>
            </w:r>
            <w:r w:rsidR="009E2AAD" w:rsidRPr="008D4F33">
              <w:rPr>
                <w:rFonts w:ascii="Arial Narrow" w:hAnsi="Arial Narrow"/>
                <w:sz w:val="24"/>
                <w:szCs w:val="24"/>
                <w:lang w:val="af-ZA"/>
              </w:rPr>
              <w:t>c</w:t>
            </w:r>
            <w:r w:rsidR="000E7DF0" w:rsidRPr="008D4F33">
              <w:rPr>
                <w:rFonts w:ascii="Arial Narrow" w:hAnsi="Arial Narrow"/>
                <w:sz w:val="24"/>
                <w:szCs w:val="24"/>
                <w:lang w:val="af-ZA"/>
              </w:rPr>
              <w:t xml:space="preserve">ounsel cited the case of </w:t>
            </w:r>
            <w:r w:rsidR="000E7DF0" w:rsidRPr="008D4F33">
              <w:rPr>
                <w:rFonts w:ascii="Arial Narrow" w:hAnsi="Arial Narrow"/>
                <w:i/>
                <w:sz w:val="24"/>
                <w:szCs w:val="24"/>
                <w:lang w:val="af-ZA"/>
              </w:rPr>
              <w:t>Wilkies Continental Circus v De Raedts Circus</w:t>
            </w:r>
            <w:r w:rsidR="000E7DF0" w:rsidRPr="008D4F33">
              <w:rPr>
                <w:rStyle w:val="FootnoteReference"/>
                <w:rFonts w:ascii="Arial Narrow" w:hAnsi="Arial Narrow"/>
                <w:sz w:val="24"/>
                <w:szCs w:val="24"/>
                <w:lang w:val="af-ZA"/>
              </w:rPr>
              <w:footnoteReference w:id="5"/>
            </w:r>
            <w:r w:rsidR="000E7DF0" w:rsidRPr="008D4F33">
              <w:rPr>
                <w:rFonts w:ascii="Arial Narrow" w:hAnsi="Arial Narrow"/>
                <w:sz w:val="24"/>
                <w:szCs w:val="24"/>
                <w:lang w:val="af-ZA"/>
              </w:rPr>
              <w:t xml:space="preserve"> where </w:t>
            </w:r>
            <w:r w:rsidR="008D4F33" w:rsidRPr="008D4F33">
              <w:rPr>
                <w:rFonts w:ascii="Arial Narrow" w:hAnsi="Arial Narrow"/>
                <w:sz w:val="24"/>
                <w:szCs w:val="24"/>
                <w:lang w:val="af-ZA"/>
              </w:rPr>
              <w:t>the court</w:t>
            </w:r>
            <w:r w:rsidR="000E7DF0" w:rsidRPr="008D4F33">
              <w:rPr>
                <w:rFonts w:ascii="Arial Narrow" w:hAnsi="Arial Narrow"/>
                <w:sz w:val="24"/>
                <w:szCs w:val="24"/>
                <w:lang w:val="af-ZA"/>
              </w:rPr>
              <w:t xml:space="preserve"> held that ‘it is</w:t>
            </w:r>
            <w:r w:rsidR="00513B74" w:rsidRPr="008D4F33">
              <w:rPr>
                <w:rFonts w:ascii="Arial Narrow" w:hAnsi="Arial Narrow"/>
                <w:sz w:val="24"/>
                <w:szCs w:val="24"/>
                <w:lang w:val="af-ZA"/>
              </w:rPr>
              <w:t xml:space="preserve"> really trite law that where an</w:t>
            </w:r>
            <w:r w:rsidR="000E7DF0" w:rsidRPr="008D4F33">
              <w:rPr>
                <w:rFonts w:ascii="Arial Narrow" w:hAnsi="Arial Narrow"/>
                <w:sz w:val="24"/>
                <w:szCs w:val="24"/>
                <w:lang w:val="af-ZA"/>
              </w:rPr>
              <w:t xml:space="preserve"> </w:t>
            </w:r>
            <w:r w:rsidR="003F5B70" w:rsidRPr="008D4F33">
              <w:rPr>
                <w:rFonts w:ascii="Arial Narrow" w:hAnsi="Arial Narrow"/>
                <w:sz w:val="24"/>
                <w:szCs w:val="24"/>
                <w:lang w:val="af-ZA"/>
              </w:rPr>
              <w:t xml:space="preserve">artificial </w:t>
            </w:r>
            <w:r w:rsidR="000E7DF0" w:rsidRPr="008D4F33">
              <w:rPr>
                <w:rFonts w:ascii="Arial Narrow" w:hAnsi="Arial Narrow"/>
                <w:sz w:val="24"/>
                <w:szCs w:val="24"/>
                <w:lang w:val="af-ZA"/>
              </w:rPr>
              <w:t>person is not properly cited so that its legal capacity appears from the citation, the petition is defective.’</w:t>
            </w:r>
          </w:p>
          <w:p w:rsidR="004243AE" w:rsidRPr="00794F8F" w:rsidRDefault="004243AE" w:rsidP="00E8769D">
            <w:pPr>
              <w:spacing w:line="360" w:lineRule="auto"/>
              <w:jc w:val="both"/>
              <w:rPr>
                <w:rFonts w:ascii="Arial Narrow" w:hAnsi="Arial Narrow"/>
                <w:sz w:val="24"/>
                <w:szCs w:val="24"/>
                <w:lang w:val="af-ZA"/>
              </w:rPr>
            </w:pPr>
          </w:p>
          <w:p w:rsidR="00696267" w:rsidRPr="00794F8F" w:rsidRDefault="00083A6B" w:rsidP="00E8769D">
            <w:pPr>
              <w:spacing w:line="360" w:lineRule="auto"/>
              <w:jc w:val="both"/>
              <w:rPr>
                <w:rFonts w:ascii="Arial Narrow" w:hAnsi="Arial Narrow"/>
                <w:sz w:val="24"/>
                <w:szCs w:val="24"/>
                <w:lang w:val="af-ZA"/>
              </w:rPr>
            </w:pPr>
            <w:r w:rsidRPr="00794F8F">
              <w:rPr>
                <w:rFonts w:ascii="Arial Narrow" w:hAnsi="Arial Narrow"/>
                <w:sz w:val="24"/>
                <w:szCs w:val="24"/>
                <w:lang w:val="af-ZA"/>
              </w:rPr>
              <w:t>[</w:t>
            </w:r>
            <w:r w:rsidR="0032120B" w:rsidRPr="00794F8F">
              <w:rPr>
                <w:rFonts w:ascii="Arial Narrow" w:hAnsi="Arial Narrow"/>
                <w:sz w:val="24"/>
                <w:szCs w:val="24"/>
                <w:lang w:val="af-ZA"/>
              </w:rPr>
              <w:t>11</w:t>
            </w:r>
            <w:r w:rsidR="00873F20" w:rsidRPr="00794F8F">
              <w:rPr>
                <w:rFonts w:ascii="Arial Narrow" w:hAnsi="Arial Narrow"/>
                <w:sz w:val="24"/>
                <w:szCs w:val="24"/>
                <w:lang w:val="af-ZA"/>
              </w:rPr>
              <w:t>]</w:t>
            </w:r>
            <w:r w:rsidR="00FC23A0">
              <w:rPr>
                <w:rFonts w:ascii="Arial Narrow" w:hAnsi="Arial Narrow"/>
                <w:sz w:val="24"/>
                <w:szCs w:val="24"/>
                <w:lang w:val="af-ZA"/>
              </w:rPr>
              <w:t xml:space="preserve">     </w:t>
            </w:r>
            <w:r w:rsidR="00101B89" w:rsidRPr="00794F8F">
              <w:rPr>
                <w:rFonts w:ascii="Arial Narrow" w:hAnsi="Arial Narrow"/>
                <w:sz w:val="24"/>
                <w:szCs w:val="24"/>
                <w:lang w:val="af-ZA"/>
              </w:rPr>
              <w:t xml:space="preserve">Counsel for the plaintiff also argued that the court should consider all documents properly before court as the defect (wrong citation of party) may be cured by reference to these documents. In this regard counsel referred the court to the case of </w:t>
            </w:r>
            <w:r w:rsidR="00101B89" w:rsidRPr="00794F8F">
              <w:rPr>
                <w:rFonts w:ascii="Arial Narrow" w:hAnsi="Arial Narrow"/>
                <w:i/>
                <w:sz w:val="24"/>
                <w:szCs w:val="24"/>
                <w:lang w:val="af-ZA"/>
              </w:rPr>
              <w:t>Di Savino v Nedbank Namibia Ltd</w:t>
            </w:r>
            <w:r w:rsidR="00101B89" w:rsidRPr="00794F8F">
              <w:rPr>
                <w:rStyle w:val="FootnoteReference"/>
                <w:rFonts w:ascii="Arial Narrow" w:hAnsi="Arial Narrow"/>
                <w:sz w:val="24"/>
                <w:szCs w:val="24"/>
                <w:lang w:val="af-ZA"/>
              </w:rPr>
              <w:footnoteReference w:id="6"/>
            </w:r>
            <w:r w:rsidR="00101B89" w:rsidRPr="00794F8F">
              <w:rPr>
                <w:rFonts w:ascii="Arial Narrow" w:hAnsi="Arial Narrow"/>
                <w:sz w:val="24"/>
                <w:szCs w:val="24"/>
                <w:lang w:val="af-ZA"/>
              </w:rPr>
              <w:t xml:space="preserve"> .</w:t>
            </w:r>
            <w:r w:rsidR="003F5B70">
              <w:rPr>
                <w:rFonts w:ascii="Arial Narrow" w:hAnsi="Arial Narrow"/>
                <w:sz w:val="24"/>
                <w:szCs w:val="24"/>
                <w:lang w:val="af-ZA"/>
              </w:rPr>
              <w:t xml:space="preserve"> </w:t>
            </w:r>
            <w:r w:rsidR="00101B89" w:rsidRPr="00794F8F">
              <w:rPr>
                <w:rFonts w:ascii="Arial Narrow" w:hAnsi="Arial Narrow"/>
                <w:sz w:val="24"/>
                <w:szCs w:val="24"/>
                <w:lang w:val="af-ZA"/>
              </w:rPr>
              <w:t xml:space="preserve">Counsel for the defendant however argued that plaintiff’s reliance on the </w:t>
            </w:r>
            <w:r w:rsidR="00101B89" w:rsidRPr="00794F8F">
              <w:rPr>
                <w:rFonts w:ascii="Arial Narrow" w:hAnsi="Arial Narrow"/>
                <w:i/>
                <w:sz w:val="24"/>
                <w:szCs w:val="24"/>
                <w:lang w:val="af-ZA"/>
              </w:rPr>
              <w:t>Di Savino</w:t>
            </w:r>
            <w:r w:rsidR="00101B89" w:rsidRPr="00794F8F">
              <w:rPr>
                <w:rFonts w:ascii="Arial Narrow" w:hAnsi="Arial Narrow"/>
                <w:sz w:val="24"/>
                <w:szCs w:val="24"/>
                <w:lang w:val="af-ZA"/>
              </w:rPr>
              <w:t xml:space="preserve"> case is misguided as the court in that case was referring to </w:t>
            </w:r>
            <w:r w:rsidR="000A33B2">
              <w:rPr>
                <w:rFonts w:ascii="Arial Narrow" w:hAnsi="Arial Narrow"/>
                <w:sz w:val="24"/>
                <w:szCs w:val="24"/>
                <w:lang w:val="af-ZA"/>
              </w:rPr>
              <w:t xml:space="preserve">the </w:t>
            </w:r>
            <w:r w:rsidR="00101B89" w:rsidRPr="00794F8F">
              <w:rPr>
                <w:rFonts w:ascii="Arial Narrow" w:hAnsi="Arial Narrow"/>
                <w:sz w:val="24"/>
                <w:szCs w:val="24"/>
                <w:lang w:val="af-ZA"/>
              </w:rPr>
              <w:t xml:space="preserve">appraoch to be employed in considering an opposing affidavit. Counsel submitted that the opposing affidavit is not subject to the same requirements of strict compliance as is required of the plaintiff in the presentation of its case </w:t>
            </w:r>
            <w:r w:rsidRPr="00794F8F">
              <w:rPr>
                <w:rFonts w:ascii="Arial Narrow" w:hAnsi="Arial Narrow"/>
                <w:sz w:val="24"/>
                <w:szCs w:val="24"/>
                <w:lang w:val="af-ZA"/>
              </w:rPr>
              <w:t>.</w:t>
            </w:r>
          </w:p>
          <w:p w:rsidR="004243AE" w:rsidRPr="00304459" w:rsidRDefault="004243AE" w:rsidP="00E8769D">
            <w:pPr>
              <w:spacing w:line="360" w:lineRule="auto"/>
              <w:jc w:val="both"/>
              <w:rPr>
                <w:rFonts w:ascii="Arial Narrow" w:hAnsi="Arial Narrow"/>
                <w:sz w:val="24"/>
                <w:szCs w:val="24"/>
                <w:lang w:val="af-ZA"/>
              </w:rPr>
            </w:pPr>
          </w:p>
          <w:p w:rsidR="005D454B" w:rsidRPr="00794F8F" w:rsidRDefault="0032120B" w:rsidP="00E8769D">
            <w:pPr>
              <w:spacing w:line="360" w:lineRule="auto"/>
              <w:jc w:val="both"/>
              <w:rPr>
                <w:rFonts w:ascii="Arial Narrow" w:hAnsi="Arial Narrow"/>
                <w:sz w:val="24"/>
                <w:szCs w:val="24"/>
                <w:lang w:val="af-ZA"/>
              </w:rPr>
            </w:pPr>
            <w:r w:rsidRPr="00304459">
              <w:rPr>
                <w:rFonts w:ascii="Arial Narrow" w:hAnsi="Arial Narrow"/>
                <w:sz w:val="24"/>
                <w:szCs w:val="24"/>
                <w:lang w:val="af-ZA"/>
              </w:rPr>
              <w:t>[12</w:t>
            </w:r>
            <w:r w:rsidR="004243AE" w:rsidRPr="00304459">
              <w:rPr>
                <w:rFonts w:ascii="Arial Narrow" w:hAnsi="Arial Narrow"/>
                <w:sz w:val="24"/>
                <w:szCs w:val="24"/>
                <w:lang w:val="af-ZA"/>
              </w:rPr>
              <w:t>]</w:t>
            </w:r>
            <w:r w:rsidR="00FC23A0" w:rsidRPr="00304459">
              <w:rPr>
                <w:rFonts w:ascii="Arial Narrow" w:hAnsi="Arial Narrow"/>
                <w:sz w:val="24"/>
                <w:szCs w:val="24"/>
                <w:lang w:val="af-ZA"/>
              </w:rPr>
              <w:t xml:space="preserve">     </w:t>
            </w:r>
            <w:r w:rsidR="00456BAA" w:rsidRPr="00304459">
              <w:rPr>
                <w:rFonts w:ascii="Arial Narrow" w:hAnsi="Arial Narrow"/>
                <w:sz w:val="24"/>
                <w:szCs w:val="24"/>
                <w:lang w:val="af-ZA"/>
              </w:rPr>
              <w:t>In conslusion the defendant contend</w:t>
            </w:r>
            <w:r w:rsidR="003F5B70" w:rsidRPr="00304459">
              <w:rPr>
                <w:rFonts w:ascii="Arial Narrow" w:hAnsi="Arial Narrow"/>
                <w:sz w:val="24"/>
                <w:szCs w:val="24"/>
                <w:lang w:val="af-ZA"/>
              </w:rPr>
              <w:t>s</w:t>
            </w:r>
            <w:r w:rsidR="00456BAA" w:rsidRPr="00304459">
              <w:rPr>
                <w:rFonts w:ascii="Arial Narrow" w:hAnsi="Arial Narrow"/>
                <w:sz w:val="24"/>
                <w:szCs w:val="24"/>
                <w:lang w:val="af-ZA"/>
              </w:rPr>
              <w:t xml:space="preserve"> that </w:t>
            </w:r>
            <w:r w:rsidR="00101B89" w:rsidRPr="00304459">
              <w:rPr>
                <w:rFonts w:ascii="Arial Narrow" w:hAnsi="Arial Narrow"/>
                <w:sz w:val="24"/>
                <w:szCs w:val="24"/>
                <w:lang w:val="af-ZA"/>
              </w:rPr>
              <w:t xml:space="preserve"> should</w:t>
            </w:r>
            <w:r w:rsidR="00456BAA" w:rsidRPr="00304459">
              <w:rPr>
                <w:rFonts w:ascii="Arial Narrow" w:hAnsi="Arial Narrow"/>
                <w:sz w:val="24"/>
                <w:szCs w:val="24"/>
                <w:lang w:val="af-ZA"/>
              </w:rPr>
              <w:t xml:space="preserve"> the proceedings not be dismissed, the defendant will be prejudiced on account of the irregularity of the </w:t>
            </w:r>
            <w:r w:rsidR="00456BAA" w:rsidRPr="00794F8F">
              <w:rPr>
                <w:rFonts w:ascii="Arial Narrow" w:hAnsi="Arial Narrow"/>
                <w:sz w:val="24"/>
                <w:szCs w:val="24"/>
                <w:lang w:val="af-ZA"/>
              </w:rPr>
              <w:t xml:space="preserve">wrong plaintiff cited in the particulars of claim. </w:t>
            </w:r>
            <w:r w:rsidR="004243AE" w:rsidRPr="00794F8F">
              <w:rPr>
                <w:rFonts w:ascii="Arial Narrow" w:hAnsi="Arial Narrow"/>
                <w:sz w:val="24"/>
                <w:szCs w:val="24"/>
                <w:lang w:val="af-ZA"/>
              </w:rPr>
              <w:t>The</w:t>
            </w:r>
            <w:r w:rsidR="00456BAA" w:rsidRPr="00794F8F">
              <w:rPr>
                <w:rFonts w:ascii="Arial Narrow" w:hAnsi="Arial Narrow"/>
                <w:sz w:val="24"/>
                <w:szCs w:val="24"/>
                <w:lang w:val="af-ZA"/>
              </w:rPr>
              <w:t xml:space="preserve"> application must therefor fall on this basis</w:t>
            </w:r>
            <w:r w:rsidR="005D454B" w:rsidRPr="00794F8F">
              <w:rPr>
                <w:rFonts w:ascii="Arial Narrow" w:hAnsi="Arial Narrow"/>
                <w:sz w:val="24"/>
                <w:szCs w:val="24"/>
                <w:lang w:val="af-ZA"/>
              </w:rPr>
              <w:t xml:space="preserve">. </w:t>
            </w:r>
          </w:p>
          <w:p w:rsidR="00453F58" w:rsidRDefault="00453F58" w:rsidP="00E8769D">
            <w:pPr>
              <w:spacing w:line="360" w:lineRule="auto"/>
              <w:jc w:val="both"/>
              <w:rPr>
                <w:rFonts w:ascii="Arial Narrow" w:hAnsi="Arial Narrow"/>
                <w:sz w:val="24"/>
                <w:szCs w:val="24"/>
                <w:lang w:val="af-ZA"/>
              </w:rPr>
            </w:pPr>
          </w:p>
          <w:p w:rsidR="00304459" w:rsidRPr="00794F8F" w:rsidRDefault="00304459" w:rsidP="00E8769D">
            <w:pPr>
              <w:spacing w:line="360" w:lineRule="auto"/>
              <w:jc w:val="both"/>
              <w:rPr>
                <w:rFonts w:ascii="Arial Narrow" w:hAnsi="Arial Narrow"/>
                <w:sz w:val="24"/>
                <w:szCs w:val="24"/>
                <w:lang w:val="af-ZA"/>
              </w:rPr>
            </w:pPr>
          </w:p>
          <w:p w:rsidR="00F224C5" w:rsidRPr="00FC23A0" w:rsidRDefault="002B2A2F" w:rsidP="00E8769D">
            <w:pPr>
              <w:spacing w:line="360" w:lineRule="auto"/>
              <w:jc w:val="both"/>
              <w:rPr>
                <w:rFonts w:ascii="Arial Narrow" w:hAnsi="Arial Narrow"/>
                <w:u w:val="single"/>
                <w:lang w:val="en-US"/>
              </w:rPr>
            </w:pPr>
            <w:r w:rsidRPr="00794F8F">
              <w:rPr>
                <w:rFonts w:ascii="Arial Narrow" w:hAnsi="Arial Narrow"/>
                <w:u w:val="single"/>
                <w:lang w:val="en-US"/>
              </w:rPr>
              <w:t xml:space="preserve">Whether the plaintiff lacks </w:t>
            </w:r>
            <w:r w:rsidRPr="00794F8F">
              <w:rPr>
                <w:rFonts w:ascii="Arial Narrow" w:hAnsi="Arial Narrow"/>
                <w:i/>
                <w:u w:val="single"/>
                <w:lang w:val="en-US"/>
              </w:rPr>
              <w:t>locus standi</w:t>
            </w:r>
          </w:p>
          <w:p w:rsidR="008A1065" w:rsidRPr="00794F8F" w:rsidRDefault="008A1065" w:rsidP="00E8769D">
            <w:pPr>
              <w:spacing w:line="360" w:lineRule="auto"/>
              <w:jc w:val="both"/>
              <w:rPr>
                <w:rFonts w:ascii="Arial Narrow" w:hAnsi="Arial Narrow"/>
                <w:sz w:val="24"/>
                <w:szCs w:val="24"/>
                <w:lang w:val="af-ZA"/>
              </w:rPr>
            </w:pPr>
          </w:p>
          <w:p w:rsidR="00696267" w:rsidRPr="001F3FE2" w:rsidRDefault="008A1065" w:rsidP="00E8769D">
            <w:pPr>
              <w:spacing w:line="360" w:lineRule="auto"/>
              <w:jc w:val="both"/>
              <w:rPr>
                <w:rFonts w:ascii="Arial Narrow" w:hAnsi="Arial Narrow" w:cs="Arial"/>
                <w:sz w:val="24"/>
                <w:szCs w:val="24"/>
              </w:rPr>
            </w:pPr>
            <w:r w:rsidRPr="00794F8F">
              <w:rPr>
                <w:rFonts w:ascii="Arial Narrow" w:hAnsi="Arial Narrow"/>
                <w:sz w:val="24"/>
                <w:szCs w:val="24"/>
                <w:lang w:val="af-ZA"/>
              </w:rPr>
              <w:t>[</w:t>
            </w:r>
            <w:r w:rsidR="0032120B" w:rsidRPr="00794F8F">
              <w:rPr>
                <w:rFonts w:ascii="Arial Narrow" w:hAnsi="Arial Narrow"/>
                <w:sz w:val="24"/>
                <w:szCs w:val="24"/>
                <w:lang w:val="af-ZA"/>
              </w:rPr>
              <w:t>13</w:t>
            </w:r>
            <w:r w:rsidRPr="00794F8F">
              <w:rPr>
                <w:rFonts w:ascii="Arial Narrow" w:hAnsi="Arial Narrow"/>
                <w:sz w:val="24"/>
                <w:szCs w:val="24"/>
                <w:lang w:val="af-ZA"/>
              </w:rPr>
              <w:t>]</w:t>
            </w:r>
            <w:r w:rsidR="00FC23A0">
              <w:rPr>
                <w:rFonts w:ascii="Arial Narrow" w:hAnsi="Arial Narrow"/>
                <w:sz w:val="24"/>
                <w:szCs w:val="24"/>
                <w:lang w:val="af-ZA"/>
              </w:rPr>
              <w:t xml:space="preserve">     </w:t>
            </w:r>
            <w:r w:rsidR="005D339F" w:rsidRPr="005D339F">
              <w:rPr>
                <w:rFonts w:ascii="Arial Narrow" w:hAnsi="Arial Narrow" w:cs="Arial"/>
                <w:sz w:val="24"/>
                <w:szCs w:val="24"/>
              </w:rPr>
              <w:t xml:space="preserve">Rule </w:t>
            </w:r>
            <w:r w:rsidR="005D339F">
              <w:rPr>
                <w:rFonts w:ascii="Arial Narrow" w:hAnsi="Arial Narrow" w:cs="Arial"/>
                <w:sz w:val="24"/>
                <w:szCs w:val="24"/>
              </w:rPr>
              <w:t xml:space="preserve">6 (4) (c) and </w:t>
            </w:r>
            <w:r w:rsidR="005D339F" w:rsidRPr="005D339F">
              <w:rPr>
                <w:rFonts w:ascii="Arial Narrow" w:hAnsi="Arial Narrow" w:cs="Arial"/>
                <w:sz w:val="24"/>
                <w:szCs w:val="24"/>
              </w:rPr>
              <w:t>7(9)</w:t>
            </w:r>
            <w:r w:rsidR="005D339F">
              <w:rPr>
                <w:rFonts w:ascii="Arial Narrow" w:hAnsi="Arial Narrow" w:cs="Arial"/>
                <w:sz w:val="24"/>
                <w:szCs w:val="24"/>
              </w:rPr>
              <w:t xml:space="preserve"> (b)</w:t>
            </w:r>
            <w:r w:rsidR="005D339F" w:rsidRPr="005D339F">
              <w:rPr>
                <w:rFonts w:ascii="Arial Narrow" w:hAnsi="Arial Narrow" w:cs="Arial"/>
                <w:sz w:val="24"/>
                <w:szCs w:val="24"/>
              </w:rPr>
              <w:t xml:space="preserve"> makes specific reference to the second part of the summons and what must be contained therein</w:t>
            </w:r>
            <w:r w:rsidR="005D339F">
              <w:rPr>
                <w:rStyle w:val="FootnoteReference"/>
                <w:rFonts w:ascii="Arial Narrow" w:hAnsi="Arial Narrow" w:cs="Arial"/>
                <w:sz w:val="24"/>
                <w:szCs w:val="24"/>
              </w:rPr>
              <w:footnoteReference w:id="7"/>
            </w:r>
            <w:r w:rsidR="005D339F" w:rsidRPr="005D339F">
              <w:rPr>
                <w:rFonts w:ascii="Arial Narrow" w:hAnsi="Arial Narrow" w:cs="Arial"/>
                <w:sz w:val="24"/>
                <w:szCs w:val="24"/>
              </w:rPr>
              <w:t xml:space="preserve">. </w:t>
            </w:r>
            <w:r w:rsidR="00171CD4">
              <w:rPr>
                <w:rFonts w:ascii="Arial Narrow" w:hAnsi="Arial Narrow" w:cs="Arial"/>
                <w:sz w:val="24"/>
                <w:szCs w:val="24"/>
              </w:rPr>
              <w:t>The purpose</w:t>
            </w:r>
            <w:r w:rsidR="001F3FE2">
              <w:rPr>
                <w:rFonts w:ascii="Arial Narrow" w:hAnsi="Arial Narrow" w:cs="Arial"/>
                <w:sz w:val="24"/>
                <w:szCs w:val="24"/>
              </w:rPr>
              <w:t xml:space="preserve"> of these rules is to warrant that the correct party is cited and to provide adequate information to establish </w:t>
            </w:r>
            <w:r w:rsidR="001F3FE2">
              <w:rPr>
                <w:rFonts w:ascii="Arial Narrow" w:hAnsi="Arial Narrow" w:cs="Arial"/>
                <w:i/>
                <w:sz w:val="24"/>
                <w:szCs w:val="24"/>
              </w:rPr>
              <w:t>locus standi</w:t>
            </w:r>
            <w:r w:rsidR="001F3FE2">
              <w:rPr>
                <w:rFonts w:ascii="Arial Narrow" w:hAnsi="Arial Narrow" w:cs="Arial"/>
                <w:sz w:val="24"/>
                <w:szCs w:val="24"/>
              </w:rPr>
              <w:t xml:space="preserve">. </w:t>
            </w:r>
          </w:p>
          <w:p w:rsidR="0087631B" w:rsidRPr="00794F8F" w:rsidRDefault="0087631B" w:rsidP="00E8769D">
            <w:pPr>
              <w:spacing w:line="360" w:lineRule="auto"/>
              <w:ind w:firstLine="720"/>
              <w:jc w:val="both"/>
              <w:rPr>
                <w:rFonts w:ascii="Arial Narrow" w:hAnsi="Arial Narrow"/>
                <w:lang w:val="af-ZA"/>
              </w:rPr>
            </w:pPr>
          </w:p>
          <w:p w:rsidR="005F7D87" w:rsidRPr="00794F8F" w:rsidRDefault="0061446E" w:rsidP="00E8769D">
            <w:pPr>
              <w:spacing w:line="360" w:lineRule="auto"/>
              <w:jc w:val="both"/>
              <w:rPr>
                <w:rFonts w:ascii="Arial Narrow" w:hAnsi="Arial Narrow"/>
                <w:sz w:val="24"/>
                <w:szCs w:val="24"/>
                <w:shd w:val="clear" w:color="auto" w:fill="FFFFFF"/>
              </w:rPr>
            </w:pPr>
            <w:r>
              <w:rPr>
                <w:rFonts w:ascii="Arial Narrow" w:hAnsi="Arial Narrow" w:cs="Arial"/>
                <w:sz w:val="24"/>
                <w:szCs w:val="24"/>
              </w:rPr>
              <w:t>[14</w:t>
            </w:r>
            <w:r w:rsidR="0087631B" w:rsidRPr="00794F8F">
              <w:rPr>
                <w:rFonts w:ascii="Arial Narrow" w:hAnsi="Arial Narrow" w:cs="Arial"/>
                <w:sz w:val="24"/>
                <w:szCs w:val="24"/>
              </w:rPr>
              <w:t>]</w:t>
            </w:r>
            <w:r w:rsidR="00FC23A0">
              <w:rPr>
                <w:rFonts w:ascii="Arial Narrow" w:hAnsi="Arial Narrow" w:cs="Arial"/>
                <w:sz w:val="24"/>
                <w:szCs w:val="24"/>
              </w:rPr>
              <w:t xml:space="preserve">     </w:t>
            </w:r>
            <w:r w:rsidR="001F3FE2">
              <w:rPr>
                <w:rFonts w:ascii="Arial Narrow" w:hAnsi="Arial Narrow"/>
                <w:sz w:val="24"/>
                <w:szCs w:val="24"/>
                <w:shd w:val="clear" w:color="auto" w:fill="FFFFFF"/>
              </w:rPr>
              <w:t xml:space="preserve">Before one cites a party in a summons, it is important to consider whether the party has </w:t>
            </w:r>
            <w:r w:rsidR="004A4A01">
              <w:rPr>
                <w:rFonts w:ascii="Arial Narrow" w:hAnsi="Arial Narrow"/>
                <w:i/>
                <w:sz w:val="24"/>
                <w:szCs w:val="24"/>
                <w:shd w:val="clear" w:color="auto" w:fill="FFFFFF"/>
              </w:rPr>
              <w:t>locus st</w:t>
            </w:r>
            <w:r w:rsidR="001F3FE2">
              <w:rPr>
                <w:rFonts w:ascii="Arial Narrow" w:hAnsi="Arial Narrow"/>
                <w:i/>
                <w:sz w:val="24"/>
                <w:szCs w:val="24"/>
                <w:shd w:val="clear" w:color="auto" w:fill="FFFFFF"/>
              </w:rPr>
              <w:t>andi</w:t>
            </w:r>
            <w:r w:rsidR="001F3FE2">
              <w:rPr>
                <w:rFonts w:ascii="Arial Narrow" w:hAnsi="Arial Narrow"/>
                <w:sz w:val="24"/>
                <w:szCs w:val="24"/>
                <w:shd w:val="clear" w:color="auto" w:fill="FFFFFF"/>
              </w:rPr>
              <w:t xml:space="preserve"> to sue or to be sued and to ascertain what the correct citation of the party is</w:t>
            </w:r>
            <w:r w:rsidR="0087631B" w:rsidRPr="00794F8F">
              <w:rPr>
                <w:rFonts w:ascii="Arial Narrow" w:hAnsi="Arial Narrow"/>
                <w:sz w:val="24"/>
                <w:szCs w:val="24"/>
                <w:shd w:val="clear" w:color="auto" w:fill="FFFFFF"/>
              </w:rPr>
              <w:t>.</w:t>
            </w:r>
            <w:r w:rsidR="001F3FE2">
              <w:rPr>
                <w:rFonts w:ascii="Arial Narrow" w:hAnsi="Arial Narrow"/>
                <w:sz w:val="24"/>
                <w:szCs w:val="24"/>
                <w:shd w:val="clear" w:color="auto" w:fill="FFFFFF"/>
              </w:rPr>
              <w:t xml:space="preserve"> The expression </w:t>
            </w:r>
            <w:r w:rsidR="001F3FE2">
              <w:rPr>
                <w:rFonts w:ascii="Arial Narrow" w:hAnsi="Arial Narrow"/>
                <w:i/>
                <w:sz w:val="24"/>
                <w:szCs w:val="24"/>
                <w:shd w:val="clear" w:color="auto" w:fill="FFFFFF"/>
              </w:rPr>
              <w:t>locus standi</w:t>
            </w:r>
            <w:r w:rsidR="001F3FE2">
              <w:rPr>
                <w:rFonts w:ascii="Arial Narrow" w:hAnsi="Arial Narrow"/>
                <w:sz w:val="24"/>
                <w:szCs w:val="24"/>
                <w:shd w:val="clear" w:color="auto" w:fill="FFFFFF"/>
              </w:rPr>
              <w:t xml:space="preserve"> means ‘place to stand before a court’. </w:t>
            </w:r>
            <w:r w:rsidR="0087631B" w:rsidRPr="00794F8F">
              <w:rPr>
                <w:rFonts w:ascii="Arial Narrow" w:hAnsi="Arial Narrow"/>
                <w:sz w:val="24"/>
                <w:szCs w:val="24"/>
                <w:shd w:val="clear" w:color="auto" w:fill="FFFFFF"/>
              </w:rPr>
              <w:t> </w:t>
            </w:r>
          </w:p>
          <w:p w:rsidR="00E74DC6" w:rsidRPr="00F060FD" w:rsidRDefault="00E74DC6" w:rsidP="00E8769D">
            <w:pPr>
              <w:spacing w:line="360" w:lineRule="auto"/>
              <w:jc w:val="both"/>
              <w:rPr>
                <w:rFonts w:ascii="Arial Narrow" w:hAnsi="Arial Narrow"/>
                <w:sz w:val="24"/>
                <w:szCs w:val="24"/>
                <w:shd w:val="clear" w:color="auto" w:fill="FFFFFF"/>
              </w:rPr>
            </w:pPr>
          </w:p>
          <w:p w:rsidR="0038486C" w:rsidRPr="00794F8F" w:rsidRDefault="0087631B" w:rsidP="00E8769D">
            <w:pPr>
              <w:spacing w:line="360" w:lineRule="auto"/>
              <w:ind w:left="20" w:hanging="20"/>
              <w:jc w:val="both"/>
              <w:rPr>
                <w:rFonts w:ascii="Arial Narrow" w:hAnsi="Arial Narrow"/>
                <w:sz w:val="24"/>
                <w:szCs w:val="24"/>
                <w:shd w:val="clear" w:color="auto" w:fill="FFFFFF"/>
              </w:rPr>
            </w:pPr>
            <w:r w:rsidRPr="00F060FD">
              <w:rPr>
                <w:rFonts w:ascii="Arial Narrow" w:hAnsi="Arial Narrow"/>
                <w:sz w:val="24"/>
                <w:szCs w:val="24"/>
                <w:shd w:val="clear" w:color="auto" w:fill="FFFFFF"/>
              </w:rPr>
              <w:t>[</w:t>
            </w:r>
            <w:r w:rsidR="00E14D3A" w:rsidRPr="00F060FD">
              <w:rPr>
                <w:rFonts w:ascii="Arial Narrow" w:hAnsi="Arial Narrow"/>
                <w:sz w:val="24"/>
                <w:szCs w:val="24"/>
                <w:shd w:val="clear" w:color="auto" w:fill="FFFFFF"/>
              </w:rPr>
              <w:t>15</w:t>
            </w:r>
            <w:r w:rsidRPr="00F060FD">
              <w:rPr>
                <w:rFonts w:ascii="Arial Narrow" w:hAnsi="Arial Narrow"/>
                <w:sz w:val="24"/>
                <w:szCs w:val="24"/>
                <w:shd w:val="clear" w:color="auto" w:fill="FFFFFF"/>
              </w:rPr>
              <w:t>]</w:t>
            </w:r>
            <w:r w:rsidR="00FC23A0" w:rsidRPr="00F060FD">
              <w:rPr>
                <w:rFonts w:ascii="Arial Narrow" w:hAnsi="Arial Narrow"/>
                <w:sz w:val="24"/>
                <w:szCs w:val="24"/>
                <w:shd w:val="clear" w:color="auto" w:fill="FFFFFF"/>
              </w:rPr>
              <w:t xml:space="preserve">     </w:t>
            </w:r>
            <w:r w:rsidR="009B00D1" w:rsidRPr="00F060FD">
              <w:rPr>
                <w:rFonts w:ascii="Arial Narrow" w:hAnsi="Arial Narrow"/>
                <w:sz w:val="24"/>
                <w:szCs w:val="24"/>
                <w:shd w:val="clear" w:color="auto" w:fill="FFFFFF"/>
              </w:rPr>
              <w:t xml:space="preserve">It is </w:t>
            </w:r>
            <w:r w:rsidR="009B00D1">
              <w:rPr>
                <w:rFonts w:ascii="Arial Narrow" w:hAnsi="Arial Narrow"/>
                <w:sz w:val="24"/>
                <w:szCs w:val="24"/>
                <w:shd w:val="clear" w:color="auto" w:fill="FFFFFF"/>
              </w:rPr>
              <w:t xml:space="preserve">correct and </w:t>
            </w:r>
            <w:r w:rsidR="00E14D3A">
              <w:rPr>
                <w:rFonts w:ascii="Arial Narrow" w:hAnsi="Arial Narrow"/>
                <w:sz w:val="24"/>
                <w:szCs w:val="24"/>
                <w:shd w:val="clear" w:color="auto" w:fill="FFFFFF"/>
              </w:rPr>
              <w:t xml:space="preserve">it </w:t>
            </w:r>
            <w:r w:rsidR="009B00D1">
              <w:rPr>
                <w:rFonts w:ascii="Arial Narrow" w:hAnsi="Arial Narrow"/>
                <w:sz w:val="24"/>
                <w:szCs w:val="24"/>
                <w:shd w:val="clear" w:color="auto" w:fill="FFFFFF"/>
              </w:rPr>
              <w:t>has been held that where a party has been cited incorrectly, the citation can be amended</w:t>
            </w:r>
            <w:r w:rsidR="00E01E97" w:rsidRPr="00794F8F">
              <w:rPr>
                <w:rStyle w:val="FootnoteReference"/>
                <w:rFonts w:ascii="Arial Narrow" w:hAnsi="Arial Narrow"/>
                <w:sz w:val="24"/>
                <w:szCs w:val="24"/>
                <w:shd w:val="clear" w:color="auto" w:fill="FFFFFF"/>
              </w:rPr>
              <w:footnoteReference w:id="8"/>
            </w:r>
            <w:r w:rsidR="00E01E97" w:rsidRPr="00794F8F">
              <w:rPr>
                <w:rFonts w:ascii="Arial Narrow" w:hAnsi="Arial Narrow"/>
                <w:sz w:val="24"/>
                <w:szCs w:val="24"/>
                <w:shd w:val="clear" w:color="auto" w:fill="FFFFFF"/>
              </w:rPr>
              <w:t xml:space="preserve">. </w:t>
            </w:r>
            <w:r w:rsidR="009B00D1">
              <w:rPr>
                <w:rFonts w:ascii="Arial Narrow" w:hAnsi="Arial Narrow"/>
                <w:sz w:val="24"/>
                <w:szCs w:val="24"/>
                <w:shd w:val="clear" w:color="auto" w:fill="FFFFFF"/>
              </w:rPr>
              <w:t xml:space="preserve">However, it should be noted that such an amendment can only be allowed if an application is brought before court. In the present case an amendment was never sought by the plaintiff nor does the plaintiff allege that it was a misnomer that the plaintiff was cited the way it is so cited in </w:t>
            </w:r>
            <w:r w:rsidR="00E9435A">
              <w:rPr>
                <w:rFonts w:ascii="Arial Narrow" w:hAnsi="Arial Narrow"/>
                <w:sz w:val="24"/>
                <w:szCs w:val="24"/>
                <w:shd w:val="clear" w:color="auto" w:fill="FFFFFF"/>
              </w:rPr>
              <w:t>the particulars of claim. It i</w:t>
            </w:r>
            <w:r w:rsidR="009B00D1">
              <w:rPr>
                <w:rFonts w:ascii="Arial Narrow" w:hAnsi="Arial Narrow"/>
                <w:sz w:val="24"/>
                <w:szCs w:val="24"/>
                <w:shd w:val="clear" w:color="auto" w:fill="FFFFFF"/>
              </w:rPr>
              <w:t xml:space="preserve">s the plaintiff’s position that the party suing the defendant is cited properly taking into account that the registration of the entity and the </w:t>
            </w:r>
            <w:r w:rsidR="009B00D1" w:rsidRPr="00E9435A">
              <w:rPr>
                <w:rFonts w:ascii="Arial Narrow" w:hAnsi="Arial Narrow"/>
                <w:sz w:val="24"/>
                <w:szCs w:val="24"/>
                <w:shd w:val="clear" w:color="auto" w:fill="FFFFFF"/>
              </w:rPr>
              <w:t>registered office and/or principal place of business is the same as the entity that the defendant dealt with. I must however disagree with these submissions raised by the plaintiff because if one look</w:t>
            </w:r>
            <w:r w:rsidR="002C3217" w:rsidRPr="00E9435A">
              <w:rPr>
                <w:rFonts w:ascii="Arial Narrow" w:hAnsi="Arial Narrow"/>
                <w:sz w:val="24"/>
                <w:szCs w:val="24"/>
                <w:shd w:val="clear" w:color="auto" w:fill="FFFFFF"/>
              </w:rPr>
              <w:t>s at the names of the two entities</w:t>
            </w:r>
            <w:r w:rsidR="009B00D1" w:rsidRPr="00E9435A">
              <w:rPr>
                <w:rFonts w:ascii="Arial Narrow" w:hAnsi="Arial Narrow"/>
                <w:sz w:val="24"/>
                <w:szCs w:val="24"/>
                <w:shd w:val="clear" w:color="auto" w:fill="FFFFFF"/>
              </w:rPr>
              <w:t>, one can see that these ar</w:t>
            </w:r>
            <w:r w:rsidR="002C3217" w:rsidRPr="00E9435A">
              <w:rPr>
                <w:rFonts w:ascii="Arial Narrow" w:hAnsi="Arial Narrow"/>
                <w:sz w:val="24"/>
                <w:szCs w:val="24"/>
                <w:shd w:val="clear" w:color="auto" w:fill="FFFFFF"/>
              </w:rPr>
              <w:t>e two different companies</w:t>
            </w:r>
            <w:r w:rsidR="009B00D1" w:rsidRPr="00E9435A">
              <w:rPr>
                <w:rFonts w:ascii="Arial Narrow" w:hAnsi="Arial Narrow"/>
                <w:sz w:val="24"/>
                <w:szCs w:val="24"/>
                <w:shd w:val="clear" w:color="auto" w:fill="FFFFFF"/>
              </w:rPr>
              <w:t xml:space="preserve">, the one being </w:t>
            </w:r>
            <w:r w:rsidR="009B00D1" w:rsidRPr="00E9435A">
              <w:rPr>
                <w:rFonts w:ascii="Arial Narrow" w:hAnsi="Arial Narrow"/>
                <w:sz w:val="24"/>
                <w:szCs w:val="24"/>
                <w:lang w:val="af-ZA"/>
              </w:rPr>
              <w:t xml:space="preserve">Bravo Complaince (Pty) Ltd and the other </w:t>
            </w:r>
            <w:r w:rsidR="009B00D1" w:rsidRPr="00E9435A">
              <w:rPr>
                <w:rFonts w:ascii="Arial Narrow" w:hAnsi="Arial Narrow"/>
                <w:sz w:val="24"/>
                <w:szCs w:val="24"/>
                <w:shd w:val="clear" w:color="auto" w:fill="FFFFFF"/>
              </w:rPr>
              <w:t xml:space="preserve"> </w:t>
            </w:r>
            <w:r w:rsidR="002C3217" w:rsidRPr="00E9435A">
              <w:rPr>
                <w:rFonts w:ascii="Arial Narrow" w:hAnsi="Arial Narrow"/>
                <w:sz w:val="24"/>
                <w:szCs w:val="24"/>
                <w:lang w:val="af-ZA"/>
              </w:rPr>
              <w:t xml:space="preserve">Brave Souled </w:t>
            </w:r>
            <w:r w:rsidR="00E9435A" w:rsidRPr="00E9435A">
              <w:rPr>
                <w:rFonts w:ascii="Arial Narrow" w:hAnsi="Arial Narrow"/>
                <w:sz w:val="24"/>
                <w:szCs w:val="24"/>
                <w:lang w:val="af-ZA"/>
              </w:rPr>
              <w:t>Butterly</w:t>
            </w:r>
            <w:r w:rsidR="002C3217" w:rsidRPr="00E9435A">
              <w:rPr>
                <w:rFonts w:ascii="Arial Narrow" w:hAnsi="Arial Narrow"/>
                <w:sz w:val="24"/>
                <w:szCs w:val="24"/>
                <w:lang w:val="af-ZA"/>
              </w:rPr>
              <w:t xml:space="preserve"> (Pty) Ltd</w:t>
            </w:r>
            <w:r w:rsidR="00E9435A" w:rsidRPr="00E9435A">
              <w:rPr>
                <w:rFonts w:ascii="Arial Narrow" w:hAnsi="Arial Narrow"/>
                <w:sz w:val="24"/>
                <w:szCs w:val="24"/>
                <w:lang w:val="af-ZA"/>
              </w:rPr>
              <w:t>. The names are</w:t>
            </w:r>
            <w:r w:rsidR="002C3217" w:rsidRPr="00E9435A">
              <w:rPr>
                <w:rFonts w:ascii="Arial Narrow" w:hAnsi="Arial Narrow"/>
                <w:sz w:val="24"/>
                <w:szCs w:val="24"/>
                <w:lang w:val="af-ZA"/>
              </w:rPr>
              <w:t xml:space="preserve"> </w:t>
            </w:r>
            <w:r w:rsidR="001256C7" w:rsidRPr="00E9435A">
              <w:rPr>
                <w:rFonts w:ascii="Arial Narrow" w:hAnsi="Arial Narrow"/>
                <w:sz w:val="24"/>
                <w:szCs w:val="24"/>
                <w:lang w:val="af-ZA"/>
              </w:rPr>
              <w:t xml:space="preserve">therefore </w:t>
            </w:r>
            <w:r w:rsidR="002C3217" w:rsidRPr="00E9435A">
              <w:rPr>
                <w:rFonts w:ascii="Arial Narrow" w:hAnsi="Arial Narrow"/>
                <w:sz w:val="24"/>
                <w:szCs w:val="24"/>
                <w:lang w:val="af-ZA"/>
              </w:rPr>
              <w:t xml:space="preserve">worlds apart. </w:t>
            </w:r>
            <w:r w:rsidR="00E9435A" w:rsidRPr="00E9435A">
              <w:rPr>
                <w:rFonts w:ascii="Arial Narrow" w:hAnsi="Arial Narrow"/>
                <w:sz w:val="24"/>
                <w:szCs w:val="24"/>
                <w:lang w:val="af-ZA"/>
              </w:rPr>
              <w:t>According to the</w:t>
            </w:r>
            <w:r w:rsidR="00BD733B" w:rsidRPr="00E9435A">
              <w:rPr>
                <w:rFonts w:ascii="Arial Narrow" w:hAnsi="Arial Narrow"/>
                <w:sz w:val="24"/>
                <w:szCs w:val="24"/>
                <w:lang w:val="af-ZA"/>
              </w:rPr>
              <w:t xml:space="preserve"> </w:t>
            </w:r>
            <w:r w:rsidR="001256C7" w:rsidRPr="00E9435A">
              <w:rPr>
                <w:rFonts w:ascii="Arial Narrow" w:hAnsi="Arial Narrow"/>
                <w:sz w:val="24"/>
                <w:szCs w:val="24"/>
                <w:lang w:val="af-ZA"/>
              </w:rPr>
              <w:t xml:space="preserve">documents </w:t>
            </w:r>
            <w:r w:rsidR="00BD733B" w:rsidRPr="00E9435A">
              <w:rPr>
                <w:rFonts w:ascii="Arial Narrow" w:hAnsi="Arial Narrow"/>
                <w:sz w:val="24"/>
                <w:szCs w:val="24"/>
                <w:lang w:val="af-ZA"/>
              </w:rPr>
              <w:t>before court there is no reference to the name of the plaintiff but only to the reference of BSB. The court and the defendant therefor cannot speculate as to who the plaintiff</w:t>
            </w:r>
            <w:r w:rsidR="001256C7" w:rsidRPr="00E9435A">
              <w:rPr>
                <w:rFonts w:ascii="Arial Narrow" w:hAnsi="Arial Narrow"/>
                <w:sz w:val="24"/>
                <w:szCs w:val="24"/>
                <w:lang w:val="af-ZA"/>
              </w:rPr>
              <w:t xml:space="preserve"> is</w:t>
            </w:r>
            <w:r w:rsidR="00BD733B" w:rsidRPr="00E9435A">
              <w:rPr>
                <w:rFonts w:ascii="Arial Narrow" w:hAnsi="Arial Narrow"/>
                <w:sz w:val="24"/>
                <w:szCs w:val="24"/>
                <w:lang w:val="af-ZA"/>
              </w:rPr>
              <w:t xml:space="preserve">. It must be clear from the pleadings that the person who sues another is properly cited and has </w:t>
            </w:r>
            <w:r w:rsidR="00BD733B" w:rsidRPr="00E9435A">
              <w:rPr>
                <w:rFonts w:ascii="Arial Narrow" w:hAnsi="Arial Narrow"/>
                <w:i/>
                <w:sz w:val="24"/>
                <w:szCs w:val="24"/>
                <w:lang w:val="af-ZA"/>
              </w:rPr>
              <w:t xml:space="preserve">locus standi </w:t>
            </w:r>
            <w:r w:rsidR="00BD733B" w:rsidRPr="00E9435A">
              <w:rPr>
                <w:rFonts w:ascii="Arial Narrow" w:hAnsi="Arial Narrow"/>
                <w:sz w:val="24"/>
                <w:szCs w:val="24"/>
                <w:lang w:val="af-ZA"/>
              </w:rPr>
              <w:t>to bring such an act</w:t>
            </w:r>
            <w:r w:rsidR="00E9435A" w:rsidRPr="00E9435A">
              <w:rPr>
                <w:rFonts w:ascii="Arial Narrow" w:hAnsi="Arial Narrow"/>
                <w:sz w:val="24"/>
                <w:szCs w:val="24"/>
                <w:lang w:val="af-ZA"/>
              </w:rPr>
              <w:t>ion against the other party, to</w:t>
            </w:r>
            <w:r w:rsidR="00BD733B" w:rsidRPr="00E9435A">
              <w:rPr>
                <w:rFonts w:ascii="Arial Narrow" w:hAnsi="Arial Narrow"/>
                <w:sz w:val="24"/>
                <w:szCs w:val="24"/>
                <w:lang w:val="af-ZA"/>
              </w:rPr>
              <w:t xml:space="preserve"> </w:t>
            </w:r>
            <w:r w:rsidR="001256C7" w:rsidRPr="00E9435A">
              <w:rPr>
                <w:rFonts w:ascii="Arial Narrow" w:hAnsi="Arial Narrow"/>
                <w:sz w:val="24"/>
                <w:szCs w:val="24"/>
                <w:lang w:val="af-ZA"/>
              </w:rPr>
              <w:t xml:space="preserve">whom </w:t>
            </w:r>
            <w:r w:rsidR="00BD733B" w:rsidRPr="00E9435A">
              <w:rPr>
                <w:rFonts w:ascii="Arial Narrow" w:hAnsi="Arial Narrow"/>
                <w:sz w:val="24"/>
                <w:szCs w:val="24"/>
                <w:lang w:val="af-ZA"/>
              </w:rPr>
              <w:t xml:space="preserve">it has dealt with. </w:t>
            </w:r>
          </w:p>
          <w:p w:rsidR="00E74DC6" w:rsidRPr="00794F8F" w:rsidRDefault="00E74DC6" w:rsidP="00E8769D">
            <w:pPr>
              <w:spacing w:line="360" w:lineRule="auto"/>
              <w:ind w:left="720" w:hanging="720"/>
              <w:jc w:val="both"/>
              <w:rPr>
                <w:rFonts w:ascii="Arial Narrow" w:hAnsi="Arial Narrow"/>
                <w:sz w:val="24"/>
                <w:szCs w:val="24"/>
                <w:shd w:val="clear" w:color="auto" w:fill="FFFFFF"/>
              </w:rPr>
            </w:pPr>
          </w:p>
          <w:p w:rsidR="00BD733B" w:rsidRDefault="00F060FD" w:rsidP="00E8769D">
            <w:pPr>
              <w:spacing w:line="360" w:lineRule="auto"/>
              <w:jc w:val="both"/>
              <w:rPr>
                <w:rFonts w:ascii="Arial Narrow" w:hAnsi="Arial Narrow"/>
                <w:sz w:val="24"/>
                <w:szCs w:val="24"/>
                <w:shd w:val="clear" w:color="auto" w:fill="FFFFFF"/>
              </w:rPr>
            </w:pPr>
            <w:r>
              <w:rPr>
                <w:rFonts w:ascii="Arial Narrow" w:hAnsi="Arial Narrow"/>
                <w:sz w:val="24"/>
                <w:szCs w:val="24"/>
                <w:shd w:val="clear" w:color="auto" w:fill="FFFFFF"/>
              </w:rPr>
              <w:t>[16</w:t>
            </w:r>
            <w:r w:rsidR="00E01E97" w:rsidRPr="00794F8F">
              <w:rPr>
                <w:rFonts w:ascii="Arial Narrow" w:hAnsi="Arial Narrow"/>
                <w:sz w:val="24"/>
                <w:szCs w:val="24"/>
                <w:shd w:val="clear" w:color="auto" w:fill="FFFFFF"/>
              </w:rPr>
              <w:t>]</w:t>
            </w:r>
            <w:r w:rsidR="00FC23A0">
              <w:rPr>
                <w:rFonts w:ascii="Arial Narrow" w:hAnsi="Arial Narrow"/>
                <w:sz w:val="24"/>
                <w:szCs w:val="24"/>
                <w:shd w:val="clear" w:color="auto" w:fill="FFFFFF"/>
              </w:rPr>
              <w:t xml:space="preserve">     </w:t>
            </w:r>
            <w:r w:rsidR="00BD733B">
              <w:rPr>
                <w:rFonts w:ascii="Arial Narrow" w:hAnsi="Arial Narrow"/>
                <w:sz w:val="24"/>
                <w:szCs w:val="24"/>
                <w:shd w:val="clear" w:color="auto" w:fill="FFFFFF"/>
              </w:rPr>
              <w:t xml:space="preserve">To grant summary judgment against the defendant where the </w:t>
            </w:r>
            <w:r w:rsidR="0061446E">
              <w:rPr>
                <w:rFonts w:ascii="Arial Narrow" w:hAnsi="Arial Narrow"/>
                <w:sz w:val="24"/>
                <w:szCs w:val="24"/>
                <w:shd w:val="clear" w:color="auto" w:fill="FFFFFF"/>
              </w:rPr>
              <w:t>citation of</w:t>
            </w:r>
            <w:r w:rsidR="00BD733B">
              <w:rPr>
                <w:rFonts w:ascii="Arial Narrow" w:hAnsi="Arial Narrow"/>
                <w:sz w:val="24"/>
                <w:szCs w:val="24"/>
                <w:shd w:val="clear" w:color="auto" w:fill="FFFFFF"/>
              </w:rPr>
              <w:t xml:space="preserve"> the party is disputed amounts to an injustice on the defendant and the defendant will be prejudiced should summary judgment be granted and it transpires that the plaintiff is a different company from BSB.</w:t>
            </w:r>
          </w:p>
          <w:p w:rsidR="00263C8B" w:rsidRDefault="00263C8B" w:rsidP="00E8769D">
            <w:pPr>
              <w:spacing w:line="360" w:lineRule="auto"/>
              <w:jc w:val="both"/>
              <w:rPr>
                <w:rFonts w:ascii="Arial Narrow" w:hAnsi="Arial Narrow"/>
                <w:sz w:val="24"/>
                <w:szCs w:val="24"/>
                <w:shd w:val="clear" w:color="auto" w:fill="FFFFFF"/>
              </w:rPr>
            </w:pPr>
          </w:p>
          <w:p w:rsidR="00263C8B" w:rsidRDefault="00F060FD" w:rsidP="00E8769D">
            <w:pPr>
              <w:spacing w:line="360" w:lineRule="auto"/>
              <w:jc w:val="both"/>
              <w:rPr>
                <w:rFonts w:ascii="Arial Narrow" w:hAnsi="Arial Narrow"/>
                <w:sz w:val="24"/>
                <w:szCs w:val="24"/>
                <w:shd w:val="clear" w:color="auto" w:fill="FFFFFF"/>
              </w:rPr>
            </w:pPr>
            <w:r>
              <w:rPr>
                <w:rFonts w:ascii="Arial Narrow" w:hAnsi="Arial Narrow"/>
                <w:sz w:val="24"/>
                <w:szCs w:val="24"/>
                <w:shd w:val="clear" w:color="auto" w:fill="FFFFFF"/>
              </w:rPr>
              <w:t>[17</w:t>
            </w:r>
            <w:r w:rsidR="00FC23A0">
              <w:rPr>
                <w:rFonts w:ascii="Arial Narrow" w:hAnsi="Arial Narrow"/>
                <w:sz w:val="24"/>
                <w:szCs w:val="24"/>
                <w:shd w:val="clear" w:color="auto" w:fill="FFFFFF"/>
              </w:rPr>
              <w:t xml:space="preserve">]     </w:t>
            </w:r>
            <w:r w:rsidR="004C24CE" w:rsidRPr="004C24CE">
              <w:rPr>
                <w:rFonts w:ascii="Arial Narrow" w:hAnsi="Arial Narrow"/>
                <w:sz w:val="24"/>
                <w:szCs w:val="24"/>
                <w:shd w:val="clear" w:color="auto" w:fill="FFFFFF"/>
              </w:rPr>
              <w:t>In a ruling</w:t>
            </w:r>
            <w:r w:rsidR="009C13CA" w:rsidRPr="004C24CE">
              <w:rPr>
                <w:rFonts w:ascii="Arial Narrow" w:hAnsi="Arial Narrow"/>
                <w:sz w:val="24"/>
                <w:szCs w:val="24"/>
                <w:shd w:val="clear" w:color="auto" w:fill="FFFFFF"/>
              </w:rPr>
              <w:t xml:space="preserve"> delivered by this cour</w:t>
            </w:r>
            <w:r w:rsidR="00E51877" w:rsidRPr="004C24CE">
              <w:rPr>
                <w:rFonts w:ascii="Arial Narrow" w:hAnsi="Arial Narrow"/>
                <w:sz w:val="24"/>
                <w:szCs w:val="24"/>
                <w:shd w:val="clear" w:color="auto" w:fill="FFFFFF"/>
              </w:rPr>
              <w:t>t</w:t>
            </w:r>
            <w:r w:rsidR="009C13CA" w:rsidRPr="004C24CE">
              <w:rPr>
                <w:rStyle w:val="FootnoteReference"/>
                <w:rFonts w:ascii="Arial Narrow" w:hAnsi="Arial Narrow"/>
                <w:sz w:val="24"/>
                <w:szCs w:val="24"/>
                <w:shd w:val="clear" w:color="auto" w:fill="FFFFFF"/>
              </w:rPr>
              <w:footnoteReference w:id="9"/>
            </w:r>
            <w:r w:rsidR="009C13CA" w:rsidRPr="004C24CE">
              <w:rPr>
                <w:rFonts w:ascii="Arial Narrow" w:hAnsi="Arial Narrow"/>
                <w:sz w:val="24"/>
                <w:szCs w:val="24"/>
                <w:shd w:val="clear" w:color="auto" w:fill="FFFFFF"/>
              </w:rPr>
              <w:t xml:space="preserve">, a summary judgment application was brought against the defendants </w:t>
            </w:r>
            <w:r w:rsidR="006E39A3">
              <w:rPr>
                <w:rFonts w:ascii="Arial Narrow" w:hAnsi="Arial Narrow"/>
                <w:sz w:val="24"/>
                <w:szCs w:val="24"/>
                <w:shd w:val="clear" w:color="auto" w:fill="FFFFFF"/>
              </w:rPr>
              <w:t xml:space="preserve">who </w:t>
            </w:r>
            <w:r w:rsidR="00E51877" w:rsidRPr="004C24CE">
              <w:rPr>
                <w:rFonts w:ascii="Arial Narrow" w:hAnsi="Arial Narrow"/>
                <w:sz w:val="24"/>
                <w:szCs w:val="24"/>
                <w:shd w:val="clear" w:color="auto" w:fill="FFFFFF"/>
              </w:rPr>
              <w:t xml:space="preserve">raised a point </w:t>
            </w:r>
            <w:r w:rsidR="00E51877" w:rsidRPr="004C24CE">
              <w:rPr>
                <w:rFonts w:ascii="Arial Narrow" w:hAnsi="Arial Narrow"/>
                <w:i/>
                <w:sz w:val="24"/>
                <w:szCs w:val="24"/>
                <w:shd w:val="clear" w:color="auto" w:fill="FFFFFF"/>
              </w:rPr>
              <w:t xml:space="preserve">in </w:t>
            </w:r>
            <w:r w:rsidR="004C24CE" w:rsidRPr="004C24CE">
              <w:rPr>
                <w:rFonts w:ascii="Arial Narrow" w:hAnsi="Arial Narrow"/>
                <w:i/>
                <w:sz w:val="24"/>
                <w:szCs w:val="24"/>
                <w:shd w:val="clear" w:color="auto" w:fill="FFFFFF"/>
              </w:rPr>
              <w:t xml:space="preserve">limine </w:t>
            </w:r>
            <w:r w:rsidR="004C24CE" w:rsidRPr="004C24CE">
              <w:rPr>
                <w:rFonts w:ascii="Arial Narrow" w:hAnsi="Arial Narrow"/>
                <w:sz w:val="24"/>
                <w:szCs w:val="24"/>
                <w:shd w:val="clear" w:color="auto" w:fill="FFFFFF"/>
              </w:rPr>
              <w:t>of</w:t>
            </w:r>
            <w:r w:rsidR="00E51877" w:rsidRPr="004C24CE">
              <w:rPr>
                <w:rFonts w:ascii="Arial Narrow" w:hAnsi="Arial Narrow"/>
                <w:sz w:val="24"/>
                <w:szCs w:val="24"/>
                <w:shd w:val="clear" w:color="auto" w:fill="FFFFFF"/>
              </w:rPr>
              <w:t xml:space="preserve"> </w:t>
            </w:r>
            <w:r w:rsidR="00E51877" w:rsidRPr="004C24CE">
              <w:rPr>
                <w:rFonts w:ascii="Arial Narrow" w:hAnsi="Arial Narrow"/>
                <w:i/>
                <w:sz w:val="24"/>
                <w:szCs w:val="24"/>
                <w:shd w:val="clear" w:color="auto" w:fill="FFFFFF"/>
              </w:rPr>
              <w:t>locus standi</w:t>
            </w:r>
            <w:r w:rsidR="00E51877" w:rsidRPr="004C24CE">
              <w:rPr>
                <w:rFonts w:ascii="Arial Narrow" w:hAnsi="Arial Narrow"/>
                <w:sz w:val="24"/>
                <w:szCs w:val="24"/>
                <w:shd w:val="clear" w:color="auto" w:fill="FFFFFF"/>
              </w:rPr>
              <w:t xml:space="preserve"> </w:t>
            </w:r>
            <w:r w:rsidR="004C24CE" w:rsidRPr="004C24CE">
              <w:rPr>
                <w:rFonts w:ascii="Arial Narrow" w:hAnsi="Arial Narrow"/>
                <w:sz w:val="24"/>
                <w:szCs w:val="24"/>
                <w:shd w:val="clear" w:color="auto" w:fill="FFFFFF"/>
              </w:rPr>
              <w:t xml:space="preserve">in </w:t>
            </w:r>
            <w:r w:rsidR="00E51877" w:rsidRPr="004C24CE">
              <w:rPr>
                <w:rFonts w:ascii="Arial Narrow" w:hAnsi="Arial Narrow"/>
                <w:sz w:val="24"/>
                <w:szCs w:val="24"/>
                <w:shd w:val="clear" w:color="auto" w:fill="FFFFFF"/>
              </w:rPr>
              <w:t xml:space="preserve">that the </w:t>
            </w:r>
            <w:r w:rsidR="004C24CE" w:rsidRPr="004C24CE">
              <w:rPr>
                <w:rFonts w:ascii="Arial Narrow" w:hAnsi="Arial Narrow"/>
                <w:sz w:val="24"/>
                <w:szCs w:val="24"/>
                <w:shd w:val="clear" w:color="auto" w:fill="FFFFFF"/>
              </w:rPr>
              <w:t xml:space="preserve">plaintiff cited therein lacks the locus standi </w:t>
            </w:r>
            <w:r w:rsidR="004C24CE" w:rsidRPr="004C24CE">
              <w:rPr>
                <w:rFonts w:ascii="Arial Narrow" w:hAnsi="Arial Narrow"/>
                <w:i/>
                <w:sz w:val="24"/>
                <w:szCs w:val="24"/>
                <w:shd w:val="clear" w:color="auto" w:fill="FFFFFF"/>
              </w:rPr>
              <w:t>in judicio</w:t>
            </w:r>
            <w:r w:rsidR="004C24CE" w:rsidRPr="004C24CE">
              <w:rPr>
                <w:rFonts w:ascii="Arial Narrow" w:hAnsi="Arial Narrow"/>
                <w:sz w:val="24"/>
                <w:szCs w:val="24"/>
                <w:shd w:val="clear" w:color="auto" w:fill="FFFFFF"/>
              </w:rPr>
              <w:t xml:space="preserve">. In that case the summons cited the plaintiff as </w:t>
            </w:r>
            <w:r w:rsidR="006E39A3">
              <w:rPr>
                <w:rFonts w:ascii="Arial Narrow" w:hAnsi="Arial Narrow"/>
                <w:sz w:val="24"/>
                <w:szCs w:val="24"/>
                <w:shd w:val="clear" w:color="auto" w:fill="FFFFFF"/>
              </w:rPr>
              <w:t>‘</w:t>
            </w:r>
            <w:r w:rsidR="004C24CE" w:rsidRPr="004C24CE">
              <w:rPr>
                <w:rFonts w:ascii="Arial Narrow" w:hAnsi="Arial Narrow"/>
                <w:sz w:val="24"/>
                <w:szCs w:val="24"/>
                <w:shd w:val="clear" w:color="auto" w:fill="FFFFFF"/>
              </w:rPr>
              <w:t>Small and Medium Enterprises represented by Bruni and McLaren</w:t>
            </w:r>
            <w:r w:rsidR="006E39A3">
              <w:rPr>
                <w:rFonts w:ascii="Arial Narrow" w:hAnsi="Arial Narrow"/>
                <w:sz w:val="24"/>
                <w:szCs w:val="24"/>
                <w:shd w:val="clear" w:color="auto" w:fill="FFFFFF"/>
              </w:rPr>
              <w:t>’</w:t>
            </w:r>
            <w:r w:rsidR="004C24CE" w:rsidRPr="004C24CE">
              <w:rPr>
                <w:rFonts w:ascii="Arial Narrow" w:hAnsi="Arial Narrow"/>
                <w:sz w:val="24"/>
                <w:szCs w:val="24"/>
                <w:shd w:val="clear" w:color="auto" w:fill="FFFFFF"/>
              </w:rPr>
              <w:t xml:space="preserve">. The argument advanced on behalf of the respondents was that the word ‘bank’ was not contained in the combined summons and because of that the plaintiff lacked a standing in law to sue, as the combined summons does not comply with the rules. A further argument advanced was that the omission of the word ‘bank’ was a material defect in the citation of the plaintiff. It was argued that the summons only refers to ‘Small and Medium Enterprises Limited’ but it was not clear what type of company is referred to. The respondents therefore prayed that the application for summary judgment by applicant be dismissed with costs. It was however argued on behalf of the applicant that the omission of the word ‘bank’ was a typographical error and does not affect the </w:t>
            </w:r>
            <w:r w:rsidR="004C24CE" w:rsidRPr="004C24CE">
              <w:rPr>
                <w:rFonts w:ascii="Arial Narrow" w:hAnsi="Arial Narrow"/>
                <w:i/>
                <w:sz w:val="24"/>
                <w:szCs w:val="24"/>
                <w:shd w:val="clear" w:color="auto" w:fill="FFFFFF"/>
              </w:rPr>
              <w:t>locus standi</w:t>
            </w:r>
            <w:r w:rsidR="006E39A3">
              <w:rPr>
                <w:rFonts w:ascii="Arial Narrow" w:hAnsi="Arial Narrow"/>
                <w:sz w:val="24"/>
                <w:szCs w:val="24"/>
                <w:shd w:val="clear" w:color="auto" w:fill="FFFFFF"/>
              </w:rPr>
              <w:t xml:space="preserve"> of the plaintiff and that </w:t>
            </w:r>
            <w:r w:rsidR="006E39A3" w:rsidRPr="006E39A3">
              <w:rPr>
                <w:rFonts w:ascii="Arial Narrow" w:hAnsi="Arial Narrow"/>
                <w:sz w:val="24"/>
                <w:szCs w:val="24"/>
                <w:shd w:val="clear" w:color="auto" w:fill="FFFFFF"/>
              </w:rPr>
              <w:t>the second respondent in any event confirmed in his opposing affidavit that he applied for a loan from the plaintiff which was granted and money was paid into his account. The second respondent disputed his liability to the applicant in respect of amount claimed in the particulars of claim.</w:t>
            </w:r>
            <w:r w:rsidR="006E39A3">
              <w:rPr>
                <w:rFonts w:ascii="Arial Narrow" w:hAnsi="Arial Narrow"/>
                <w:sz w:val="24"/>
                <w:szCs w:val="24"/>
                <w:shd w:val="clear" w:color="auto" w:fill="FFFFFF"/>
              </w:rPr>
              <w:t xml:space="preserve"> </w:t>
            </w:r>
          </w:p>
          <w:p w:rsidR="006E39A3" w:rsidRDefault="006E39A3" w:rsidP="00E8769D">
            <w:pPr>
              <w:spacing w:line="360" w:lineRule="auto"/>
              <w:jc w:val="both"/>
              <w:rPr>
                <w:rFonts w:ascii="Arial Narrow" w:hAnsi="Arial Narrow"/>
                <w:sz w:val="24"/>
                <w:szCs w:val="24"/>
                <w:shd w:val="clear" w:color="auto" w:fill="FFFFFF"/>
              </w:rPr>
            </w:pPr>
          </w:p>
          <w:p w:rsidR="006E39A3" w:rsidRDefault="006E39A3" w:rsidP="00E8769D">
            <w:pPr>
              <w:spacing w:line="360" w:lineRule="auto"/>
              <w:jc w:val="both"/>
              <w:rPr>
                <w:rFonts w:ascii="Arial Narrow" w:hAnsi="Arial Narrow"/>
                <w:sz w:val="24"/>
                <w:szCs w:val="24"/>
                <w:shd w:val="clear" w:color="auto" w:fill="FFFFFF"/>
              </w:rPr>
            </w:pPr>
            <w:r>
              <w:rPr>
                <w:rFonts w:ascii="Arial Narrow" w:hAnsi="Arial Narrow"/>
                <w:sz w:val="24"/>
                <w:szCs w:val="24"/>
                <w:shd w:val="clear" w:color="auto" w:fill="FFFFFF"/>
              </w:rPr>
              <w:t>[</w:t>
            </w:r>
            <w:r w:rsidR="00304459">
              <w:rPr>
                <w:rFonts w:ascii="Arial Narrow" w:hAnsi="Arial Narrow"/>
                <w:sz w:val="24"/>
                <w:szCs w:val="24"/>
                <w:shd w:val="clear" w:color="auto" w:fill="FFFFFF"/>
              </w:rPr>
              <w:t>18</w:t>
            </w:r>
            <w:r w:rsidR="00FC23A0">
              <w:rPr>
                <w:rFonts w:ascii="Arial Narrow" w:hAnsi="Arial Narrow"/>
                <w:sz w:val="24"/>
                <w:szCs w:val="24"/>
                <w:shd w:val="clear" w:color="auto" w:fill="FFFFFF"/>
              </w:rPr>
              <w:t xml:space="preserve">]     </w:t>
            </w:r>
            <w:r>
              <w:rPr>
                <w:rFonts w:ascii="Arial Narrow" w:hAnsi="Arial Narrow"/>
                <w:sz w:val="24"/>
                <w:szCs w:val="24"/>
                <w:shd w:val="clear" w:color="auto" w:fill="FFFFFF"/>
              </w:rPr>
              <w:t xml:space="preserve">In the above case the </w:t>
            </w:r>
            <w:r w:rsidRPr="00304459">
              <w:rPr>
                <w:rFonts w:ascii="Arial Narrow" w:hAnsi="Arial Narrow"/>
                <w:sz w:val="24"/>
                <w:szCs w:val="24"/>
                <w:shd w:val="clear" w:color="auto" w:fill="FFFFFF"/>
              </w:rPr>
              <w:t xml:space="preserve">point </w:t>
            </w:r>
            <w:r w:rsidRPr="00304459">
              <w:rPr>
                <w:rFonts w:ascii="Arial Narrow" w:hAnsi="Arial Narrow"/>
                <w:i/>
                <w:sz w:val="24"/>
                <w:szCs w:val="24"/>
                <w:shd w:val="clear" w:color="auto" w:fill="FFFFFF"/>
              </w:rPr>
              <w:t>in limine</w:t>
            </w:r>
            <w:r w:rsidRPr="00304459">
              <w:rPr>
                <w:rFonts w:ascii="Arial Narrow" w:hAnsi="Arial Narrow"/>
                <w:sz w:val="24"/>
                <w:szCs w:val="24"/>
                <w:shd w:val="clear" w:color="auto" w:fill="FFFFFF"/>
              </w:rPr>
              <w:t xml:space="preserve"> </w:t>
            </w:r>
            <w:r w:rsidR="00634E29" w:rsidRPr="00304459">
              <w:rPr>
                <w:rFonts w:ascii="Arial Narrow" w:hAnsi="Arial Narrow"/>
                <w:sz w:val="24"/>
                <w:szCs w:val="24"/>
                <w:shd w:val="clear" w:color="auto" w:fill="FFFFFF"/>
              </w:rPr>
              <w:t xml:space="preserve">was dismissed </w:t>
            </w:r>
            <w:r w:rsidRPr="00304459">
              <w:rPr>
                <w:rFonts w:ascii="Arial Narrow" w:hAnsi="Arial Narrow"/>
                <w:sz w:val="24"/>
                <w:szCs w:val="24"/>
                <w:shd w:val="clear" w:color="auto" w:fill="FFFFFF"/>
              </w:rPr>
              <w:t>on the ground</w:t>
            </w:r>
            <w:r w:rsidR="00F060FD" w:rsidRPr="00304459">
              <w:rPr>
                <w:rFonts w:ascii="Arial Narrow" w:hAnsi="Arial Narrow"/>
                <w:sz w:val="24"/>
                <w:szCs w:val="24"/>
                <w:shd w:val="clear" w:color="auto" w:fill="FFFFFF"/>
              </w:rPr>
              <w:t>s</w:t>
            </w:r>
            <w:r w:rsidRPr="00304459">
              <w:rPr>
                <w:rFonts w:ascii="Arial Narrow" w:hAnsi="Arial Narrow"/>
                <w:sz w:val="24"/>
                <w:szCs w:val="24"/>
                <w:shd w:val="clear" w:color="auto" w:fill="FFFFFF"/>
              </w:rPr>
              <w:t xml:space="preserve"> that the plaintiff, in the particulars of claim, is described in such detail that there can be no doubt in the mind of the defendants as to who the plaintiff is, and, </w:t>
            </w:r>
            <w:r w:rsidR="00D91425" w:rsidRPr="00304459">
              <w:rPr>
                <w:rFonts w:ascii="Arial Narrow" w:hAnsi="Arial Narrow"/>
                <w:sz w:val="24"/>
                <w:szCs w:val="24"/>
                <w:shd w:val="clear" w:color="auto" w:fill="FFFFFF"/>
              </w:rPr>
              <w:t>the</w:t>
            </w:r>
            <w:r w:rsidRPr="00304459">
              <w:rPr>
                <w:rFonts w:ascii="Arial Narrow" w:hAnsi="Arial Narrow"/>
                <w:sz w:val="24"/>
                <w:szCs w:val="24"/>
                <w:shd w:val="clear" w:color="auto" w:fill="FFFFFF"/>
              </w:rPr>
              <w:t xml:space="preserve"> approach </w:t>
            </w:r>
            <w:r w:rsidR="00D91425" w:rsidRPr="00304459">
              <w:rPr>
                <w:rFonts w:ascii="Arial Narrow" w:hAnsi="Arial Narrow"/>
                <w:sz w:val="24"/>
                <w:szCs w:val="24"/>
                <w:shd w:val="clear" w:color="auto" w:fill="FFFFFF"/>
              </w:rPr>
              <w:t xml:space="preserve">taken </w:t>
            </w:r>
            <w:r w:rsidRPr="00304459">
              <w:rPr>
                <w:rFonts w:ascii="Arial Narrow" w:hAnsi="Arial Narrow"/>
                <w:sz w:val="24"/>
                <w:szCs w:val="24"/>
                <w:shd w:val="clear" w:color="auto" w:fill="FFFFFF"/>
              </w:rPr>
              <w:t xml:space="preserve">by the respondents </w:t>
            </w:r>
            <w:r w:rsidRPr="006E39A3">
              <w:rPr>
                <w:rFonts w:ascii="Arial Narrow" w:hAnsi="Arial Narrow"/>
                <w:sz w:val="24"/>
                <w:szCs w:val="24"/>
                <w:shd w:val="clear" w:color="auto" w:fill="FFFFFF"/>
              </w:rPr>
              <w:t>is overly technical and is not conducive to having real issues between the litigants decided in as speedy and cost effective manner as possible</w:t>
            </w:r>
            <w:r>
              <w:rPr>
                <w:rFonts w:ascii="Arial Narrow" w:hAnsi="Arial Narrow"/>
                <w:sz w:val="24"/>
                <w:szCs w:val="24"/>
                <w:shd w:val="clear" w:color="auto" w:fill="FFFFFF"/>
              </w:rPr>
              <w:t>.</w:t>
            </w:r>
          </w:p>
          <w:p w:rsidR="006E39A3" w:rsidRDefault="006E39A3" w:rsidP="00E8769D">
            <w:pPr>
              <w:spacing w:line="360" w:lineRule="auto"/>
              <w:jc w:val="both"/>
              <w:rPr>
                <w:rFonts w:ascii="Arial Narrow" w:hAnsi="Arial Narrow"/>
                <w:sz w:val="24"/>
                <w:szCs w:val="24"/>
                <w:shd w:val="clear" w:color="auto" w:fill="FFFFFF"/>
              </w:rPr>
            </w:pPr>
          </w:p>
          <w:p w:rsidR="006E39A3" w:rsidRDefault="00304459" w:rsidP="00E8769D">
            <w:pPr>
              <w:spacing w:line="360" w:lineRule="auto"/>
              <w:jc w:val="both"/>
              <w:rPr>
                <w:rFonts w:ascii="Arial Narrow" w:hAnsi="Arial Narrow"/>
                <w:sz w:val="24"/>
                <w:szCs w:val="24"/>
                <w:lang w:val="af-ZA"/>
              </w:rPr>
            </w:pPr>
            <w:r>
              <w:rPr>
                <w:rFonts w:ascii="Arial Narrow" w:hAnsi="Arial Narrow"/>
                <w:sz w:val="24"/>
                <w:szCs w:val="24"/>
                <w:shd w:val="clear" w:color="auto" w:fill="FFFFFF"/>
              </w:rPr>
              <w:t>[19</w:t>
            </w:r>
            <w:r w:rsidR="00FC23A0">
              <w:rPr>
                <w:rFonts w:ascii="Arial Narrow" w:hAnsi="Arial Narrow"/>
                <w:sz w:val="24"/>
                <w:szCs w:val="24"/>
                <w:shd w:val="clear" w:color="auto" w:fill="FFFFFF"/>
              </w:rPr>
              <w:t xml:space="preserve">]     </w:t>
            </w:r>
            <w:r w:rsidR="006E39A3">
              <w:rPr>
                <w:rFonts w:ascii="Arial Narrow" w:hAnsi="Arial Narrow"/>
                <w:sz w:val="24"/>
                <w:szCs w:val="24"/>
                <w:shd w:val="clear" w:color="auto" w:fill="FFFFFF"/>
              </w:rPr>
              <w:t xml:space="preserve">The above case is distinguishable to the current </w:t>
            </w:r>
            <w:r w:rsidR="006E39A3" w:rsidRPr="00304459">
              <w:rPr>
                <w:rFonts w:ascii="Arial Narrow" w:hAnsi="Arial Narrow"/>
                <w:sz w:val="24"/>
                <w:szCs w:val="24"/>
                <w:shd w:val="clear" w:color="auto" w:fill="FFFFFF"/>
              </w:rPr>
              <w:t xml:space="preserve">matter before me because a completely different </w:t>
            </w:r>
            <w:r w:rsidR="00AE6164" w:rsidRPr="00304459">
              <w:rPr>
                <w:rFonts w:ascii="Arial Narrow" w:hAnsi="Arial Narrow"/>
                <w:sz w:val="24"/>
                <w:szCs w:val="24"/>
                <w:shd w:val="clear" w:color="auto" w:fill="FFFFFF"/>
              </w:rPr>
              <w:t xml:space="preserve">entity is </w:t>
            </w:r>
            <w:r w:rsidR="006E39A3" w:rsidRPr="00304459">
              <w:rPr>
                <w:rFonts w:ascii="Arial Narrow" w:hAnsi="Arial Narrow"/>
                <w:sz w:val="24"/>
                <w:szCs w:val="24"/>
                <w:shd w:val="clear" w:color="auto" w:fill="FFFFFF"/>
              </w:rPr>
              <w:t>cited</w:t>
            </w:r>
            <w:r w:rsidR="00AE6164" w:rsidRPr="00304459">
              <w:rPr>
                <w:rFonts w:ascii="Arial Narrow" w:hAnsi="Arial Narrow"/>
                <w:sz w:val="24"/>
                <w:szCs w:val="24"/>
                <w:shd w:val="clear" w:color="auto" w:fill="FFFFFF"/>
              </w:rPr>
              <w:t xml:space="preserve"> herein</w:t>
            </w:r>
            <w:r w:rsidR="006E39A3" w:rsidRPr="00304459">
              <w:rPr>
                <w:rFonts w:ascii="Arial Narrow" w:hAnsi="Arial Narrow"/>
                <w:sz w:val="24"/>
                <w:szCs w:val="24"/>
                <w:shd w:val="clear" w:color="auto" w:fill="FFFFFF"/>
              </w:rPr>
              <w:t>. It was not a mere fact of a ‘word’ missing or the plai</w:t>
            </w:r>
            <w:r w:rsidRPr="00304459">
              <w:rPr>
                <w:rFonts w:ascii="Arial Narrow" w:hAnsi="Arial Narrow"/>
                <w:sz w:val="24"/>
                <w:szCs w:val="24"/>
                <w:shd w:val="clear" w:color="auto" w:fill="FFFFFF"/>
              </w:rPr>
              <w:t>ntiff’s name incorrectly cited.</w:t>
            </w:r>
            <w:r w:rsidR="006E39A3" w:rsidRPr="00304459">
              <w:rPr>
                <w:rFonts w:ascii="Arial Narrow" w:hAnsi="Arial Narrow"/>
                <w:sz w:val="24"/>
                <w:szCs w:val="24"/>
                <w:shd w:val="clear" w:color="auto" w:fill="FFFFFF"/>
              </w:rPr>
              <w:t xml:space="preserve"> </w:t>
            </w:r>
            <w:r w:rsidR="00634E29" w:rsidRPr="00304459">
              <w:rPr>
                <w:rFonts w:ascii="Arial Narrow" w:hAnsi="Arial Narrow"/>
                <w:sz w:val="24"/>
                <w:szCs w:val="24"/>
                <w:shd w:val="clear" w:color="auto" w:fill="FFFFFF"/>
              </w:rPr>
              <w:t>It</w:t>
            </w:r>
            <w:r w:rsidR="006E39A3" w:rsidRPr="00304459">
              <w:rPr>
                <w:rFonts w:ascii="Arial Narrow" w:hAnsi="Arial Narrow"/>
                <w:sz w:val="24"/>
                <w:szCs w:val="24"/>
                <w:shd w:val="clear" w:color="auto" w:fill="FFFFFF"/>
              </w:rPr>
              <w:t xml:space="preserve"> </w:t>
            </w:r>
            <w:r w:rsidR="00634E29" w:rsidRPr="00304459">
              <w:rPr>
                <w:rFonts w:ascii="Arial Narrow" w:hAnsi="Arial Narrow"/>
                <w:sz w:val="24"/>
                <w:szCs w:val="24"/>
                <w:shd w:val="clear" w:color="auto" w:fill="FFFFFF"/>
              </w:rPr>
              <w:t>is clear</w:t>
            </w:r>
            <w:r w:rsidR="006E39A3" w:rsidRPr="00304459">
              <w:rPr>
                <w:rFonts w:ascii="Arial Narrow" w:hAnsi="Arial Narrow"/>
                <w:sz w:val="24"/>
                <w:szCs w:val="24"/>
                <w:shd w:val="clear" w:color="auto" w:fill="FFFFFF"/>
              </w:rPr>
              <w:t xml:space="preserve"> from documents attached to the particulars of claim and opposing affidavit that the company that the defendant dealt with was Brave</w:t>
            </w:r>
            <w:r w:rsidRPr="00304459">
              <w:rPr>
                <w:rFonts w:ascii="Arial Narrow" w:hAnsi="Arial Narrow"/>
                <w:sz w:val="24"/>
                <w:szCs w:val="24"/>
                <w:lang w:val="af-ZA"/>
              </w:rPr>
              <w:t xml:space="preserve"> Souled Butterly</w:t>
            </w:r>
            <w:r w:rsidR="006E39A3" w:rsidRPr="00304459">
              <w:rPr>
                <w:rFonts w:ascii="Arial Narrow" w:hAnsi="Arial Narrow"/>
                <w:sz w:val="24"/>
                <w:szCs w:val="24"/>
                <w:lang w:val="af-ZA"/>
              </w:rPr>
              <w:t xml:space="preserve"> (Pty) Ltd and </w:t>
            </w:r>
            <w:r w:rsidRPr="00304459">
              <w:rPr>
                <w:rFonts w:ascii="Arial Narrow" w:hAnsi="Arial Narrow"/>
                <w:sz w:val="24"/>
                <w:szCs w:val="24"/>
                <w:lang w:val="af-ZA"/>
              </w:rPr>
              <w:t>not</w:t>
            </w:r>
            <w:r w:rsidR="006E39A3" w:rsidRPr="00304459">
              <w:rPr>
                <w:rFonts w:ascii="Arial Narrow" w:hAnsi="Arial Narrow"/>
                <w:sz w:val="24"/>
                <w:szCs w:val="24"/>
                <w:lang w:val="af-ZA"/>
              </w:rPr>
              <w:t xml:space="preserve"> Bravo Compl</w:t>
            </w:r>
            <w:r w:rsidR="00634E29" w:rsidRPr="00304459">
              <w:rPr>
                <w:rFonts w:ascii="Arial Narrow" w:hAnsi="Arial Narrow"/>
                <w:sz w:val="24"/>
                <w:szCs w:val="24"/>
                <w:lang w:val="af-ZA"/>
              </w:rPr>
              <w:t>ia</w:t>
            </w:r>
            <w:r w:rsidR="006E39A3" w:rsidRPr="00304459">
              <w:rPr>
                <w:rFonts w:ascii="Arial Narrow" w:hAnsi="Arial Narrow"/>
                <w:sz w:val="24"/>
                <w:szCs w:val="24"/>
                <w:lang w:val="af-ZA"/>
              </w:rPr>
              <w:t>nce (Pty) Ltd</w:t>
            </w:r>
            <w:r w:rsidR="006E39A3">
              <w:rPr>
                <w:rFonts w:ascii="Arial Narrow" w:hAnsi="Arial Narrow"/>
                <w:sz w:val="24"/>
                <w:szCs w:val="24"/>
                <w:lang w:val="af-ZA"/>
              </w:rPr>
              <w:t>.</w:t>
            </w:r>
          </w:p>
          <w:p w:rsidR="006E39A3" w:rsidRDefault="006E39A3" w:rsidP="00E8769D">
            <w:pPr>
              <w:spacing w:line="360" w:lineRule="auto"/>
              <w:jc w:val="both"/>
              <w:rPr>
                <w:rFonts w:ascii="Arial Narrow" w:hAnsi="Arial Narrow"/>
                <w:sz w:val="24"/>
                <w:szCs w:val="24"/>
                <w:lang w:val="af-ZA"/>
              </w:rPr>
            </w:pPr>
          </w:p>
          <w:p w:rsidR="006E39A3" w:rsidRDefault="00304459" w:rsidP="00E8769D">
            <w:pPr>
              <w:spacing w:line="360" w:lineRule="auto"/>
              <w:jc w:val="both"/>
              <w:rPr>
                <w:rFonts w:ascii="Arial Narrow" w:hAnsi="Arial Narrow"/>
                <w:sz w:val="24"/>
                <w:szCs w:val="24"/>
                <w:lang w:val="af-ZA"/>
              </w:rPr>
            </w:pPr>
            <w:r>
              <w:rPr>
                <w:rFonts w:ascii="Arial Narrow" w:hAnsi="Arial Narrow"/>
                <w:sz w:val="24"/>
                <w:szCs w:val="24"/>
                <w:lang w:val="af-ZA"/>
              </w:rPr>
              <w:t>[20</w:t>
            </w:r>
            <w:r w:rsidR="00E9435A">
              <w:rPr>
                <w:rFonts w:ascii="Arial Narrow" w:hAnsi="Arial Narrow"/>
                <w:sz w:val="24"/>
                <w:szCs w:val="24"/>
                <w:lang w:val="af-ZA"/>
              </w:rPr>
              <w:t xml:space="preserve">]     </w:t>
            </w:r>
            <w:r w:rsidR="004C1530">
              <w:rPr>
                <w:rFonts w:ascii="Arial Narrow" w:hAnsi="Arial Narrow"/>
                <w:sz w:val="24"/>
                <w:szCs w:val="24"/>
                <w:lang w:val="af-ZA"/>
              </w:rPr>
              <w:t xml:space="preserve">With this in mind the court cannot be left </w:t>
            </w:r>
            <w:r>
              <w:rPr>
                <w:rFonts w:ascii="Arial Narrow" w:hAnsi="Arial Narrow"/>
                <w:sz w:val="24"/>
                <w:szCs w:val="24"/>
                <w:lang w:val="af-ZA"/>
              </w:rPr>
              <w:t xml:space="preserve">to </w:t>
            </w:r>
            <w:r w:rsidR="008727D5">
              <w:rPr>
                <w:rFonts w:ascii="Arial Narrow" w:hAnsi="Arial Narrow"/>
                <w:sz w:val="24"/>
                <w:szCs w:val="24"/>
                <w:lang w:val="af-ZA"/>
              </w:rPr>
              <w:t xml:space="preserve">speculate </w:t>
            </w:r>
            <w:r w:rsidR="004C1530">
              <w:rPr>
                <w:rFonts w:ascii="Arial Narrow" w:hAnsi="Arial Narrow"/>
                <w:sz w:val="24"/>
                <w:szCs w:val="24"/>
                <w:lang w:val="af-ZA"/>
              </w:rPr>
              <w:t xml:space="preserve">who the correct party is if the documents before court shows a different entity from that cited in the partculars of claim. </w:t>
            </w:r>
          </w:p>
          <w:p w:rsidR="004C1530" w:rsidRDefault="004C1530" w:rsidP="00E8769D">
            <w:pPr>
              <w:spacing w:line="360" w:lineRule="auto"/>
              <w:jc w:val="both"/>
              <w:rPr>
                <w:rFonts w:ascii="Arial Narrow" w:hAnsi="Arial Narrow"/>
                <w:sz w:val="24"/>
                <w:szCs w:val="24"/>
                <w:lang w:val="af-ZA"/>
              </w:rPr>
            </w:pPr>
          </w:p>
          <w:p w:rsidR="005005F7" w:rsidRDefault="00304459" w:rsidP="00E8769D">
            <w:pPr>
              <w:spacing w:line="360" w:lineRule="auto"/>
              <w:jc w:val="both"/>
              <w:rPr>
                <w:rFonts w:ascii="Arial Narrow" w:hAnsi="Arial Narrow"/>
                <w:sz w:val="24"/>
                <w:szCs w:val="24"/>
                <w:lang w:val="af-ZA"/>
              </w:rPr>
            </w:pPr>
            <w:r>
              <w:rPr>
                <w:rFonts w:ascii="Arial Narrow" w:hAnsi="Arial Narrow"/>
                <w:sz w:val="24"/>
                <w:szCs w:val="24"/>
                <w:lang w:val="af-ZA"/>
              </w:rPr>
              <w:t>[21</w:t>
            </w:r>
            <w:r w:rsidR="00FC23A0">
              <w:rPr>
                <w:rFonts w:ascii="Arial Narrow" w:hAnsi="Arial Narrow"/>
                <w:sz w:val="24"/>
                <w:szCs w:val="24"/>
                <w:lang w:val="af-ZA"/>
              </w:rPr>
              <w:t xml:space="preserve">]     </w:t>
            </w:r>
            <w:r w:rsidR="004C1530">
              <w:rPr>
                <w:rFonts w:ascii="Arial Narrow" w:hAnsi="Arial Narrow"/>
                <w:sz w:val="24"/>
                <w:szCs w:val="24"/>
                <w:lang w:val="af-ZA"/>
              </w:rPr>
              <w:t>My order is therefore as set out above.</w:t>
            </w:r>
          </w:p>
          <w:p w:rsidR="004C1530" w:rsidRDefault="004C1530" w:rsidP="004C1530">
            <w:pPr>
              <w:spacing w:line="360" w:lineRule="auto"/>
              <w:jc w:val="both"/>
              <w:rPr>
                <w:rFonts w:ascii="Arial Narrow" w:hAnsi="Arial Narrow"/>
                <w:sz w:val="24"/>
                <w:szCs w:val="24"/>
                <w:shd w:val="clear" w:color="auto" w:fill="FFFFFF"/>
              </w:rPr>
            </w:pPr>
          </w:p>
          <w:p w:rsidR="00304459" w:rsidRPr="004C1530" w:rsidRDefault="00304459" w:rsidP="004C1530">
            <w:pPr>
              <w:spacing w:line="360" w:lineRule="auto"/>
              <w:jc w:val="both"/>
              <w:rPr>
                <w:rFonts w:ascii="Arial Narrow" w:hAnsi="Arial Narrow"/>
                <w:sz w:val="24"/>
                <w:szCs w:val="24"/>
                <w:shd w:val="clear" w:color="auto" w:fill="FFFFFF"/>
              </w:rPr>
            </w:pPr>
          </w:p>
        </w:tc>
      </w:tr>
      <w:tr w:rsidR="00D26CB5" w:rsidRPr="00E757E9" w:rsidTr="0092129C">
        <w:tc>
          <w:tcPr>
            <w:tcW w:w="4770" w:type="dxa"/>
          </w:tcPr>
          <w:p w:rsidR="00D26CB5" w:rsidRPr="00794F8F" w:rsidRDefault="002C63DD" w:rsidP="002C63DD">
            <w:pPr>
              <w:spacing w:line="360" w:lineRule="auto"/>
              <w:jc w:val="center"/>
              <w:rPr>
                <w:rFonts w:ascii="Arial Narrow" w:hAnsi="Arial Narrow" w:cs="Arial"/>
                <w:b/>
                <w:sz w:val="24"/>
                <w:szCs w:val="24"/>
              </w:rPr>
            </w:pPr>
            <w:r w:rsidRPr="00794F8F">
              <w:rPr>
                <w:rFonts w:ascii="Arial Narrow" w:hAnsi="Arial Narrow" w:cs="Arial"/>
                <w:b/>
                <w:sz w:val="24"/>
                <w:szCs w:val="24"/>
              </w:rPr>
              <w:lastRenderedPageBreak/>
              <w:t>Judge’s signature</w:t>
            </w:r>
          </w:p>
        </w:tc>
        <w:tc>
          <w:tcPr>
            <w:tcW w:w="4950" w:type="dxa"/>
            <w:gridSpan w:val="2"/>
          </w:tcPr>
          <w:p w:rsidR="00D26CB5" w:rsidRPr="00794F8F" w:rsidRDefault="00D26CB5" w:rsidP="0092129C">
            <w:pPr>
              <w:spacing w:line="360" w:lineRule="auto"/>
              <w:jc w:val="center"/>
              <w:rPr>
                <w:rFonts w:ascii="Arial Narrow" w:hAnsi="Arial Narrow" w:cs="Arial"/>
                <w:b/>
                <w:sz w:val="24"/>
                <w:szCs w:val="24"/>
              </w:rPr>
            </w:pPr>
            <w:r w:rsidRPr="00794F8F">
              <w:rPr>
                <w:rFonts w:ascii="Arial Narrow" w:hAnsi="Arial Narrow" w:cs="Arial"/>
                <w:b/>
                <w:sz w:val="24"/>
                <w:szCs w:val="24"/>
              </w:rPr>
              <w:t>Note to the parties:</w:t>
            </w:r>
          </w:p>
        </w:tc>
      </w:tr>
      <w:tr w:rsidR="00D26CB5" w:rsidRPr="00E757E9" w:rsidTr="0092129C">
        <w:trPr>
          <w:trHeight w:val="1114"/>
        </w:trPr>
        <w:tc>
          <w:tcPr>
            <w:tcW w:w="4770" w:type="dxa"/>
          </w:tcPr>
          <w:p w:rsidR="00D26CB5" w:rsidRPr="00794F8F" w:rsidRDefault="00D26CB5" w:rsidP="0092129C">
            <w:pPr>
              <w:spacing w:line="360" w:lineRule="auto"/>
              <w:jc w:val="both"/>
              <w:rPr>
                <w:rFonts w:ascii="Arial Narrow" w:hAnsi="Arial Narrow" w:cs="Arial"/>
                <w:sz w:val="24"/>
                <w:szCs w:val="24"/>
              </w:rPr>
            </w:pPr>
          </w:p>
          <w:p w:rsidR="00D26CB5" w:rsidRPr="00794F8F" w:rsidRDefault="00D26CB5" w:rsidP="0092129C">
            <w:pPr>
              <w:spacing w:line="360" w:lineRule="auto"/>
              <w:jc w:val="both"/>
              <w:rPr>
                <w:rFonts w:ascii="Arial Narrow" w:hAnsi="Arial Narrow" w:cs="Arial"/>
                <w:sz w:val="24"/>
                <w:szCs w:val="24"/>
              </w:rPr>
            </w:pPr>
          </w:p>
          <w:p w:rsidR="00D26CB5" w:rsidRPr="00794F8F" w:rsidRDefault="00D26CB5" w:rsidP="0092129C">
            <w:pPr>
              <w:spacing w:line="360" w:lineRule="auto"/>
              <w:jc w:val="both"/>
              <w:rPr>
                <w:rFonts w:ascii="Arial Narrow" w:hAnsi="Arial Narrow" w:cs="Arial"/>
                <w:sz w:val="24"/>
                <w:szCs w:val="24"/>
              </w:rPr>
            </w:pPr>
          </w:p>
        </w:tc>
        <w:tc>
          <w:tcPr>
            <w:tcW w:w="4950" w:type="dxa"/>
            <w:gridSpan w:val="2"/>
          </w:tcPr>
          <w:p w:rsidR="00D26CB5" w:rsidRPr="00794F8F" w:rsidRDefault="00D26CB5" w:rsidP="0092129C">
            <w:pPr>
              <w:spacing w:line="360" w:lineRule="auto"/>
              <w:jc w:val="both"/>
              <w:rPr>
                <w:rFonts w:ascii="Arial Narrow" w:hAnsi="Arial Narrow" w:cs="Arial"/>
                <w:sz w:val="24"/>
                <w:szCs w:val="24"/>
              </w:rPr>
            </w:pPr>
            <w:r w:rsidRPr="00794F8F">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p>
        </w:tc>
      </w:tr>
      <w:tr w:rsidR="00D26CB5" w:rsidRPr="00E757E9" w:rsidTr="0092129C">
        <w:tc>
          <w:tcPr>
            <w:tcW w:w="4770" w:type="dxa"/>
          </w:tcPr>
          <w:p w:rsidR="00D26CB5" w:rsidRPr="00E757E9" w:rsidRDefault="0032120B" w:rsidP="0092129C">
            <w:pPr>
              <w:spacing w:line="360" w:lineRule="auto"/>
              <w:jc w:val="center"/>
              <w:rPr>
                <w:rFonts w:ascii="Arial Narrow" w:hAnsi="Arial Narrow" w:cs="Arial"/>
                <w:i/>
                <w:sz w:val="24"/>
                <w:szCs w:val="24"/>
              </w:rPr>
            </w:pPr>
            <w:r>
              <w:rPr>
                <w:rFonts w:ascii="Arial Narrow" w:hAnsi="Arial Narrow" w:cs="Arial"/>
                <w:i/>
                <w:sz w:val="24"/>
                <w:szCs w:val="24"/>
              </w:rPr>
              <w:t>Mr Chibwana</w:t>
            </w:r>
            <w:r w:rsidR="00B612FA">
              <w:rPr>
                <w:rFonts w:ascii="Arial Narrow" w:hAnsi="Arial Narrow" w:cs="Arial"/>
                <w:i/>
                <w:sz w:val="24"/>
                <w:szCs w:val="24"/>
              </w:rPr>
              <w:t xml:space="preserve"> </w:t>
            </w:r>
          </w:p>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 xml:space="preserve">On instructions of </w:t>
            </w:r>
          </w:p>
          <w:p w:rsidR="00D26CB5" w:rsidRPr="00E757E9" w:rsidRDefault="00F01EED" w:rsidP="0092129C">
            <w:pPr>
              <w:spacing w:line="360" w:lineRule="auto"/>
              <w:jc w:val="center"/>
              <w:rPr>
                <w:rFonts w:ascii="Arial Narrow" w:hAnsi="Arial Narrow" w:cs="Arial"/>
                <w:i/>
                <w:sz w:val="24"/>
                <w:szCs w:val="24"/>
              </w:rPr>
            </w:pPr>
            <w:r w:rsidRPr="00F01EED">
              <w:rPr>
                <w:rFonts w:ascii="Arial Narrow" w:hAnsi="Arial Narrow" w:cs="Arial"/>
                <w:i/>
                <w:sz w:val="24"/>
                <w:szCs w:val="24"/>
              </w:rPr>
              <w:t>Viljoen &amp; Associates</w:t>
            </w:r>
          </w:p>
          <w:p w:rsidR="00D26CB5" w:rsidRPr="00E757E9" w:rsidRDefault="00D26CB5" w:rsidP="0092129C">
            <w:pPr>
              <w:spacing w:line="360" w:lineRule="auto"/>
              <w:jc w:val="center"/>
              <w:rPr>
                <w:rFonts w:ascii="Arial Narrow" w:hAnsi="Arial Narrow" w:cs="Arial"/>
                <w:sz w:val="24"/>
                <w:szCs w:val="24"/>
              </w:rPr>
            </w:pPr>
          </w:p>
        </w:tc>
        <w:tc>
          <w:tcPr>
            <w:tcW w:w="4950" w:type="dxa"/>
            <w:gridSpan w:val="2"/>
          </w:tcPr>
          <w:p w:rsidR="00D26CB5" w:rsidRPr="00E757E9" w:rsidRDefault="00D50D15" w:rsidP="0092129C">
            <w:pPr>
              <w:spacing w:line="360" w:lineRule="auto"/>
              <w:jc w:val="center"/>
              <w:rPr>
                <w:rFonts w:ascii="Arial Narrow" w:hAnsi="Arial Narrow" w:cs="Arial"/>
                <w:i/>
                <w:sz w:val="24"/>
                <w:szCs w:val="24"/>
              </w:rPr>
            </w:pPr>
            <w:r>
              <w:rPr>
                <w:rFonts w:ascii="Arial Narrow" w:hAnsi="Arial Narrow" w:cs="Arial"/>
                <w:i/>
                <w:sz w:val="24"/>
                <w:szCs w:val="24"/>
              </w:rPr>
              <w:t xml:space="preserve">Ms </w:t>
            </w:r>
            <w:r w:rsidR="004413A3" w:rsidRPr="004413A3">
              <w:rPr>
                <w:rFonts w:ascii="Arial Narrow" w:hAnsi="Arial Narrow" w:cs="Arial"/>
                <w:i/>
                <w:sz w:val="24"/>
                <w:szCs w:val="24"/>
              </w:rPr>
              <w:t>Bassinghwaithe</w:t>
            </w:r>
            <w:r w:rsidR="00D26CB5" w:rsidRPr="00E757E9">
              <w:rPr>
                <w:rFonts w:ascii="Arial Narrow" w:hAnsi="Arial Narrow" w:cs="Arial"/>
                <w:i/>
                <w:sz w:val="24"/>
                <w:szCs w:val="24"/>
              </w:rPr>
              <w:t xml:space="preserve"> </w:t>
            </w:r>
          </w:p>
          <w:p w:rsidR="00D26CB5" w:rsidRPr="00E757E9" w:rsidRDefault="00B612FA" w:rsidP="0092129C">
            <w:pPr>
              <w:spacing w:line="360" w:lineRule="auto"/>
              <w:jc w:val="center"/>
              <w:rPr>
                <w:rFonts w:ascii="Arial Narrow" w:hAnsi="Arial Narrow" w:cs="Arial"/>
                <w:i/>
                <w:sz w:val="24"/>
                <w:szCs w:val="24"/>
              </w:rPr>
            </w:pPr>
            <w:r>
              <w:rPr>
                <w:rFonts w:ascii="Arial Narrow" w:hAnsi="Arial Narrow" w:cs="Arial"/>
                <w:i/>
                <w:sz w:val="24"/>
                <w:szCs w:val="24"/>
              </w:rPr>
              <w:t xml:space="preserve">On instruction of </w:t>
            </w:r>
          </w:p>
          <w:p w:rsidR="00D26CB5" w:rsidRPr="004413A3" w:rsidRDefault="004413A3" w:rsidP="0092129C">
            <w:pPr>
              <w:spacing w:line="360" w:lineRule="auto"/>
              <w:jc w:val="center"/>
              <w:rPr>
                <w:rFonts w:ascii="Arial Narrow" w:hAnsi="Arial Narrow" w:cs="Arial"/>
                <w:i/>
                <w:sz w:val="24"/>
                <w:szCs w:val="24"/>
              </w:rPr>
            </w:pPr>
            <w:r w:rsidRPr="004413A3">
              <w:rPr>
                <w:rFonts w:ascii="Arial Narrow" w:hAnsi="Arial Narrow" w:cs="Arial"/>
                <w:i/>
                <w:sz w:val="24"/>
                <w:szCs w:val="24"/>
              </w:rPr>
              <w:t>Katjaerua Legal Practitioners</w:t>
            </w:r>
          </w:p>
        </w:tc>
      </w:tr>
    </w:tbl>
    <w:p w:rsidR="00012995" w:rsidRPr="00E757E9" w:rsidRDefault="00012995" w:rsidP="00731D2A">
      <w:pPr>
        <w:rPr>
          <w:rFonts w:ascii="Arial Narrow" w:hAnsi="Arial Narrow"/>
          <w:sz w:val="24"/>
          <w:szCs w:val="24"/>
        </w:rPr>
      </w:pPr>
    </w:p>
    <w:sectPr w:rsidR="00012995" w:rsidRPr="00E757E9" w:rsidSect="0092129C">
      <w:headerReference w:type="default" r:id="rId11"/>
      <w:footerReference w:type="default" r:id="rId12"/>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D7" w:rsidRDefault="00C06CD7" w:rsidP="00D01890">
      <w:pPr>
        <w:spacing w:after="0" w:line="240" w:lineRule="auto"/>
      </w:pPr>
      <w:r>
        <w:separator/>
      </w:r>
    </w:p>
  </w:endnote>
  <w:endnote w:type="continuationSeparator" w:id="0">
    <w:p w:rsidR="00C06CD7" w:rsidRDefault="00C06CD7"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99" w:rsidRDefault="00232099">
    <w:pPr>
      <w:pStyle w:val="Footer"/>
      <w:jc w:val="right"/>
    </w:pPr>
  </w:p>
  <w:p w:rsidR="00232099" w:rsidRDefault="0023209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D7" w:rsidRDefault="00C06CD7" w:rsidP="00D01890">
      <w:pPr>
        <w:spacing w:after="0" w:line="240" w:lineRule="auto"/>
      </w:pPr>
      <w:r>
        <w:separator/>
      </w:r>
    </w:p>
  </w:footnote>
  <w:footnote w:type="continuationSeparator" w:id="0">
    <w:p w:rsidR="00C06CD7" w:rsidRDefault="00C06CD7" w:rsidP="00D01890">
      <w:pPr>
        <w:spacing w:after="0" w:line="240" w:lineRule="auto"/>
      </w:pPr>
      <w:r>
        <w:continuationSeparator/>
      </w:r>
    </w:p>
  </w:footnote>
  <w:footnote w:id="1">
    <w:p w:rsidR="00232099" w:rsidRPr="001F3FE2" w:rsidRDefault="00232099" w:rsidP="0029268B">
      <w:pPr>
        <w:pStyle w:val="FootnoteText"/>
        <w:jc w:val="both"/>
        <w:rPr>
          <w:rFonts w:ascii="Arial Narrow" w:hAnsi="Arial Narrow"/>
          <w:lang w:val="en-US"/>
        </w:rPr>
      </w:pPr>
      <w:r w:rsidRPr="001F3FE2">
        <w:rPr>
          <w:rStyle w:val="FootnoteReference"/>
          <w:rFonts w:ascii="Arial Narrow" w:hAnsi="Arial Narrow"/>
        </w:rPr>
        <w:footnoteRef/>
      </w:r>
      <w:r w:rsidRPr="001F3FE2">
        <w:rPr>
          <w:rFonts w:ascii="Arial Narrow" w:hAnsi="Arial Narrow"/>
        </w:rPr>
        <w:t xml:space="preserve"> </w:t>
      </w:r>
      <w:r w:rsidRPr="001F3FE2">
        <w:rPr>
          <w:rFonts w:ascii="Arial Narrow" w:hAnsi="Arial Narrow"/>
          <w:lang w:val="en-US"/>
        </w:rPr>
        <w:t>It would appear from reading the relief claimed in the particulars of claim and that sought in the s</w:t>
      </w:r>
      <w:r w:rsidR="0005315F" w:rsidRPr="001F3FE2">
        <w:rPr>
          <w:rFonts w:ascii="Arial Narrow" w:hAnsi="Arial Narrow"/>
          <w:lang w:val="en-US"/>
        </w:rPr>
        <w:t>ummary judgment application</w:t>
      </w:r>
      <w:r w:rsidRPr="001F3FE2">
        <w:rPr>
          <w:rFonts w:ascii="Arial Narrow" w:hAnsi="Arial Narrow"/>
          <w:lang w:val="en-US"/>
        </w:rPr>
        <w:t xml:space="preserve"> the date from when interest will run is different in both respect as the interest claim</w:t>
      </w:r>
      <w:r w:rsidR="0005315F" w:rsidRPr="001F3FE2">
        <w:rPr>
          <w:rFonts w:ascii="Arial Narrow" w:hAnsi="Arial Narrow"/>
          <w:lang w:val="en-US"/>
        </w:rPr>
        <w:t>ed</w:t>
      </w:r>
      <w:r w:rsidRPr="001F3FE2">
        <w:rPr>
          <w:rFonts w:ascii="Arial Narrow" w:hAnsi="Arial Narrow"/>
          <w:lang w:val="en-US"/>
        </w:rPr>
        <w:t xml:space="preserve"> in the particulars of claim starts to run from date of judgment while in the summary judgment ap</w:t>
      </w:r>
      <w:r w:rsidR="0005315F" w:rsidRPr="001F3FE2">
        <w:rPr>
          <w:rFonts w:ascii="Arial Narrow" w:hAnsi="Arial Narrow"/>
          <w:lang w:val="en-US"/>
        </w:rPr>
        <w:t>plication interest starts to run</w:t>
      </w:r>
      <w:r w:rsidRPr="001F3FE2">
        <w:rPr>
          <w:rFonts w:ascii="Arial Narrow" w:hAnsi="Arial Narrow"/>
          <w:lang w:val="en-US"/>
        </w:rPr>
        <w:t xml:space="preserve"> both from date of judgment and 7 February 2019. However, the plaintiff is not entitled to change anything pleaded in its pleadings unless leave to do so is granted and no objection has been raised. So should this application be in favour of the plaintiff, the latter is bound to what is prayed for in its particulars of claim. </w:t>
      </w:r>
    </w:p>
  </w:footnote>
  <w:footnote w:id="2">
    <w:p w:rsidR="00160285" w:rsidRPr="001F3FE2" w:rsidRDefault="00160285" w:rsidP="00160285">
      <w:pPr>
        <w:pStyle w:val="FootnoteText"/>
        <w:rPr>
          <w:rFonts w:ascii="Arial Narrow" w:hAnsi="Arial Narrow"/>
          <w:lang w:val="en-US"/>
        </w:rPr>
      </w:pPr>
      <w:r w:rsidRPr="001F3FE2">
        <w:rPr>
          <w:rStyle w:val="FootnoteReference"/>
          <w:rFonts w:ascii="Arial Narrow" w:hAnsi="Arial Narrow"/>
        </w:rPr>
        <w:footnoteRef/>
      </w:r>
      <w:r w:rsidRPr="001F3FE2">
        <w:rPr>
          <w:rFonts w:ascii="Arial Narrow" w:hAnsi="Arial Narrow"/>
        </w:rPr>
        <w:t xml:space="preserve"> SA17/2015</w:t>
      </w:r>
      <w:r w:rsidR="0044016F" w:rsidRPr="001F3FE2">
        <w:rPr>
          <w:rFonts w:ascii="Arial Narrow" w:hAnsi="Arial Narrow"/>
        </w:rPr>
        <w:t>.</w:t>
      </w:r>
    </w:p>
  </w:footnote>
  <w:footnote w:id="3">
    <w:p w:rsidR="00160285" w:rsidRPr="001F3FE2" w:rsidRDefault="00160285" w:rsidP="00160285">
      <w:pPr>
        <w:pStyle w:val="FootnoteText"/>
        <w:jc w:val="both"/>
        <w:rPr>
          <w:rFonts w:ascii="Arial Narrow" w:hAnsi="Arial Narrow" w:cs="Arial"/>
        </w:rPr>
      </w:pPr>
      <w:r w:rsidRPr="001F3FE2">
        <w:rPr>
          <w:rStyle w:val="FootnoteReference"/>
          <w:rFonts w:ascii="Arial Narrow" w:hAnsi="Arial Narrow" w:cs="Arial"/>
        </w:rPr>
        <w:footnoteRef/>
      </w:r>
      <w:r w:rsidRPr="001F3FE2">
        <w:rPr>
          <w:rFonts w:ascii="Arial Narrow" w:hAnsi="Arial Narrow" w:cs="Arial"/>
        </w:rPr>
        <w:t xml:space="preserve"> </w:t>
      </w:r>
      <w:hyperlink r:id="rId1" w:tooltip="View LawCiteRecord" w:history="1">
        <w:r w:rsidRPr="001F3FE2">
          <w:rPr>
            <w:rStyle w:val="Hyperlink"/>
            <w:rFonts w:ascii="Arial Narrow" w:hAnsi="Arial Narrow" w:cs="Arial"/>
            <w:bCs/>
            <w:color w:val="auto"/>
            <w:u w:val="none"/>
          </w:rPr>
          <w:t>1976 (1) SA 418</w:t>
        </w:r>
      </w:hyperlink>
      <w:r w:rsidRPr="001F3FE2">
        <w:rPr>
          <w:rStyle w:val="Hyperlink"/>
          <w:rFonts w:ascii="Arial Narrow" w:hAnsi="Arial Narrow" w:cs="Arial"/>
          <w:bCs/>
          <w:color w:val="auto"/>
          <w:u w:val="none"/>
        </w:rPr>
        <w:t>A</w:t>
      </w:r>
      <w:r w:rsidRPr="001F3FE2">
        <w:rPr>
          <w:rFonts w:ascii="Arial Narrow" w:hAnsi="Arial Narrow" w:cs="Arial"/>
        </w:rPr>
        <w:t>.</w:t>
      </w:r>
    </w:p>
  </w:footnote>
  <w:footnote w:id="4">
    <w:p w:rsidR="00160285" w:rsidRPr="001F3FE2" w:rsidRDefault="00160285" w:rsidP="00160285">
      <w:pPr>
        <w:pStyle w:val="FootnoteText"/>
        <w:jc w:val="both"/>
        <w:rPr>
          <w:rFonts w:ascii="Arial Narrow" w:hAnsi="Arial Narrow" w:cs="Arial"/>
        </w:rPr>
      </w:pPr>
      <w:r w:rsidRPr="001F3FE2">
        <w:rPr>
          <w:rStyle w:val="FootnoteReference"/>
          <w:rFonts w:ascii="Arial Narrow" w:hAnsi="Arial Narrow" w:cs="Arial"/>
        </w:rPr>
        <w:footnoteRef/>
      </w:r>
      <w:r w:rsidRPr="001F3FE2">
        <w:rPr>
          <w:rFonts w:ascii="Arial Narrow" w:hAnsi="Arial Narrow" w:cs="Arial"/>
        </w:rPr>
        <w:t xml:space="preserve"> At 426 A-426 E</w:t>
      </w:r>
      <w:r w:rsidR="0044016F" w:rsidRPr="001F3FE2">
        <w:rPr>
          <w:rFonts w:ascii="Arial Narrow" w:hAnsi="Arial Narrow" w:cs="Arial"/>
        </w:rPr>
        <w:t>.</w:t>
      </w:r>
    </w:p>
  </w:footnote>
  <w:footnote w:id="5">
    <w:p w:rsidR="000E7DF0" w:rsidRPr="001F3FE2" w:rsidRDefault="000E7DF0" w:rsidP="000E7DF0">
      <w:pPr>
        <w:pStyle w:val="FootnoteText"/>
        <w:rPr>
          <w:rFonts w:ascii="Arial Narrow" w:hAnsi="Arial Narrow"/>
          <w:lang w:val="en-US"/>
        </w:rPr>
      </w:pPr>
      <w:r w:rsidRPr="001F3FE2">
        <w:rPr>
          <w:rStyle w:val="FootnoteReference"/>
          <w:rFonts w:ascii="Arial Narrow" w:hAnsi="Arial Narrow"/>
        </w:rPr>
        <w:footnoteRef/>
      </w:r>
      <w:r w:rsidRPr="001F3FE2">
        <w:rPr>
          <w:rFonts w:ascii="Arial Narrow" w:hAnsi="Arial Narrow"/>
        </w:rPr>
        <w:t xml:space="preserve"> </w:t>
      </w:r>
      <w:r w:rsidRPr="001F3FE2">
        <w:rPr>
          <w:rFonts w:ascii="Arial Narrow" w:hAnsi="Arial Narrow"/>
          <w:lang w:val="en-US"/>
        </w:rPr>
        <w:t>1958 (2) SA 598 (SWA) at 600C-F.</w:t>
      </w:r>
    </w:p>
  </w:footnote>
  <w:footnote w:id="6">
    <w:p w:rsidR="00101B89" w:rsidRPr="001F3FE2" w:rsidRDefault="00101B89">
      <w:pPr>
        <w:pStyle w:val="FootnoteText"/>
        <w:rPr>
          <w:rFonts w:ascii="Arial Narrow" w:hAnsi="Arial Narrow"/>
          <w:lang w:val="en-US"/>
        </w:rPr>
      </w:pPr>
      <w:r w:rsidRPr="001F3FE2">
        <w:rPr>
          <w:rStyle w:val="FootnoteReference"/>
          <w:rFonts w:ascii="Arial Narrow" w:hAnsi="Arial Narrow"/>
        </w:rPr>
        <w:footnoteRef/>
      </w:r>
      <w:r w:rsidRPr="001F3FE2">
        <w:rPr>
          <w:rFonts w:ascii="Arial Narrow" w:hAnsi="Arial Narrow"/>
        </w:rPr>
        <w:t xml:space="preserve"> </w:t>
      </w:r>
      <w:r w:rsidRPr="001F3FE2">
        <w:rPr>
          <w:rFonts w:ascii="Arial Narrow" w:hAnsi="Arial Narrow"/>
          <w:lang w:val="en-US"/>
        </w:rPr>
        <w:t xml:space="preserve">2012 (2) NR 507 (SC) at 516 para 27-28. </w:t>
      </w:r>
    </w:p>
  </w:footnote>
  <w:footnote w:id="7">
    <w:p w:rsidR="005D339F" w:rsidRPr="001F3FE2" w:rsidRDefault="005D339F" w:rsidP="0029268B">
      <w:pPr>
        <w:pStyle w:val="FootnoteText"/>
        <w:jc w:val="both"/>
        <w:rPr>
          <w:rFonts w:ascii="Arial Narrow" w:hAnsi="Arial Narrow"/>
        </w:rPr>
      </w:pPr>
      <w:r w:rsidRPr="001F3FE2">
        <w:rPr>
          <w:rStyle w:val="FootnoteReference"/>
          <w:rFonts w:ascii="Arial Narrow" w:hAnsi="Arial Narrow"/>
        </w:rPr>
        <w:footnoteRef/>
      </w:r>
      <w:r w:rsidRPr="001F3FE2">
        <w:rPr>
          <w:rFonts w:ascii="Arial Narrow" w:hAnsi="Arial Narrow"/>
        </w:rPr>
        <w:t xml:space="preserve"> Rule 6 (4) (c) states that:</w:t>
      </w:r>
    </w:p>
    <w:p w:rsidR="005D339F" w:rsidRPr="001F3FE2" w:rsidRDefault="005D339F" w:rsidP="0029268B">
      <w:pPr>
        <w:pStyle w:val="FootnoteText"/>
        <w:jc w:val="both"/>
        <w:rPr>
          <w:rFonts w:ascii="Arial Narrow" w:hAnsi="Arial Narrow"/>
          <w:lang w:val="en-US"/>
        </w:rPr>
      </w:pPr>
      <w:r w:rsidRPr="001F3FE2">
        <w:rPr>
          <w:rFonts w:ascii="Arial Narrow" w:hAnsi="Arial Narrow"/>
        </w:rPr>
        <w:t>‘</w:t>
      </w:r>
      <w:r w:rsidRPr="001F3FE2">
        <w:rPr>
          <w:rFonts w:ascii="Arial Narrow" w:hAnsi="Arial Narrow"/>
          <w:lang w:val="en-US"/>
        </w:rPr>
        <w:t>(c) in the case of a company, its name and registered number, postal address and registered office referred to in section 178 of the Companies Act 2004 (Act No. 28 of 2004) and the particulars referred to in paragraph (a) of at least one director and the secretary referred to in section 223 of that Act including all particulars referred</w:t>
      </w:r>
    </w:p>
    <w:p w:rsidR="005D339F" w:rsidRPr="001F3FE2" w:rsidRDefault="005D339F" w:rsidP="0029268B">
      <w:pPr>
        <w:pStyle w:val="FootnoteText"/>
        <w:jc w:val="both"/>
        <w:rPr>
          <w:rFonts w:ascii="Arial Narrow" w:hAnsi="Arial Narrow"/>
          <w:lang w:val="en-US"/>
        </w:rPr>
      </w:pPr>
      <w:r w:rsidRPr="001F3FE2">
        <w:rPr>
          <w:rFonts w:ascii="Arial Narrow" w:hAnsi="Arial Narrow"/>
          <w:lang w:val="en-US"/>
        </w:rPr>
        <w:t>to in section 223(1) of that Act and, in case of the officer or secretary of any other body corporate, the particulars referred to in paragraph (b) of section 223(1) of that Act;’</w:t>
      </w:r>
    </w:p>
    <w:p w:rsidR="005D339F" w:rsidRPr="001F3FE2" w:rsidRDefault="005D339F" w:rsidP="0029268B">
      <w:pPr>
        <w:pStyle w:val="FootnoteText"/>
        <w:jc w:val="both"/>
        <w:rPr>
          <w:rFonts w:ascii="Arial Narrow" w:hAnsi="Arial Narrow"/>
          <w:lang w:val="en-US"/>
        </w:rPr>
      </w:pPr>
    </w:p>
    <w:p w:rsidR="005D339F" w:rsidRPr="001F3FE2" w:rsidRDefault="005D339F" w:rsidP="0029268B">
      <w:pPr>
        <w:pStyle w:val="FootnoteText"/>
        <w:jc w:val="both"/>
        <w:rPr>
          <w:rFonts w:ascii="Arial Narrow" w:hAnsi="Arial Narrow"/>
          <w:lang w:val="en-US"/>
        </w:rPr>
      </w:pPr>
      <w:r w:rsidRPr="001F3FE2">
        <w:rPr>
          <w:rFonts w:ascii="Arial Narrow" w:hAnsi="Arial Narrow"/>
          <w:lang w:val="en-US"/>
        </w:rPr>
        <w:t>Rule 7 (9) (b) states that:</w:t>
      </w:r>
    </w:p>
    <w:p w:rsidR="005D339F" w:rsidRPr="001F3FE2" w:rsidRDefault="005D339F" w:rsidP="0029268B">
      <w:pPr>
        <w:pStyle w:val="FootnoteText"/>
        <w:jc w:val="both"/>
        <w:rPr>
          <w:rFonts w:ascii="Arial Narrow" w:hAnsi="Arial Narrow"/>
          <w:lang w:val="en-US"/>
        </w:rPr>
      </w:pPr>
      <w:r w:rsidRPr="001F3FE2">
        <w:rPr>
          <w:rFonts w:ascii="Arial Narrow" w:hAnsi="Arial Narrow"/>
          <w:lang w:val="en-US"/>
        </w:rPr>
        <w:t>‘(b) the full names, sex, occupation and the residence or place of business of the plaintiff, and where he or she sues in a representative capacity, that capacity;’</w:t>
      </w:r>
    </w:p>
  </w:footnote>
  <w:footnote w:id="8">
    <w:p w:rsidR="00232099" w:rsidRPr="001F3FE2" w:rsidRDefault="00232099" w:rsidP="0029268B">
      <w:pPr>
        <w:pStyle w:val="FootnoteText"/>
        <w:jc w:val="both"/>
        <w:rPr>
          <w:rFonts w:ascii="Arial Narrow" w:hAnsi="Arial Narrow"/>
          <w:lang w:val="af-ZA"/>
        </w:rPr>
      </w:pPr>
      <w:r w:rsidRPr="001F3FE2">
        <w:rPr>
          <w:rStyle w:val="FootnoteReference"/>
          <w:rFonts w:ascii="Arial Narrow" w:hAnsi="Arial Narrow"/>
        </w:rPr>
        <w:footnoteRef/>
      </w:r>
      <w:r w:rsidRPr="001F3FE2">
        <w:rPr>
          <w:rFonts w:ascii="Arial Narrow" w:hAnsi="Arial Narrow"/>
        </w:rPr>
        <w:t xml:space="preserve"> </w:t>
      </w:r>
      <w:r w:rsidR="009B00D1">
        <w:rPr>
          <w:rFonts w:ascii="Arial Narrow" w:hAnsi="Arial Narrow"/>
          <w:lang w:val="af-ZA"/>
        </w:rPr>
        <w:t>First National Bank of SA Ltd v Strachan Family Trust [2000] 3 ALL 379 (tT.</w:t>
      </w:r>
    </w:p>
  </w:footnote>
  <w:footnote w:id="9">
    <w:p w:rsidR="009C13CA" w:rsidRPr="009C13CA" w:rsidRDefault="009C13CA">
      <w:pPr>
        <w:pStyle w:val="FootnoteText"/>
        <w:rPr>
          <w:lang w:val="en-US"/>
        </w:rPr>
      </w:pPr>
      <w:r>
        <w:rPr>
          <w:rStyle w:val="FootnoteReference"/>
        </w:rPr>
        <w:footnoteRef/>
      </w:r>
      <w:r>
        <w:t xml:space="preserve"> </w:t>
      </w:r>
      <w:r w:rsidRPr="009C13CA">
        <w:rPr>
          <w:i/>
        </w:rPr>
        <w:t xml:space="preserve">Small and Medium Enterprises Limited represented by Bruni &amp; McLaren v Colgar Investment CC </w:t>
      </w:r>
      <w:r w:rsidRPr="009C13CA">
        <w:t>(HC-MD-CIV-ACT-CON-2018/01116) [2018] NAHCMD 319 (11 October 2018)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232099" w:rsidRDefault="00232099">
        <w:pPr>
          <w:pStyle w:val="Header"/>
          <w:jc w:val="right"/>
        </w:pPr>
        <w:r>
          <w:fldChar w:fldCharType="begin"/>
        </w:r>
        <w:r>
          <w:instrText xml:space="preserve"> PAGE   \* MERGEFORMAT </w:instrText>
        </w:r>
        <w:r>
          <w:fldChar w:fldCharType="separate"/>
        </w:r>
        <w:r w:rsidR="00E165EB">
          <w:rPr>
            <w:noProof/>
          </w:rPr>
          <w:t>1</w:t>
        </w:r>
        <w:r>
          <w:rPr>
            <w:noProof/>
          </w:rPr>
          <w:fldChar w:fldCharType="end"/>
        </w:r>
      </w:p>
    </w:sdtContent>
  </w:sdt>
  <w:p w:rsidR="00232099" w:rsidRDefault="00232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B81"/>
    <w:multiLevelType w:val="hybridMultilevel"/>
    <w:tmpl w:val="4FA86F0C"/>
    <w:lvl w:ilvl="0" w:tplc="A130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83DD1"/>
    <w:multiLevelType w:val="hybridMultilevel"/>
    <w:tmpl w:val="680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5B2C"/>
    <w:multiLevelType w:val="hybridMultilevel"/>
    <w:tmpl w:val="E2C8B584"/>
    <w:lvl w:ilvl="0" w:tplc="025CE146">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697A2FD6"/>
    <w:multiLevelType w:val="hybridMultilevel"/>
    <w:tmpl w:val="F226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23255"/>
    <w:multiLevelType w:val="multilevel"/>
    <w:tmpl w:val="3766CA74"/>
    <w:lvl w:ilvl="0">
      <w:start w:val="27"/>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9"/>
  </w:num>
  <w:num w:numId="2">
    <w:abstractNumId w:val="10"/>
  </w:num>
  <w:num w:numId="3">
    <w:abstractNumId w:val="8"/>
  </w:num>
  <w:num w:numId="4">
    <w:abstractNumId w:val="4"/>
  </w:num>
  <w:num w:numId="5">
    <w:abstractNumId w:val="5"/>
  </w:num>
  <w:num w:numId="6">
    <w:abstractNumId w:val="3"/>
  </w:num>
  <w:num w:numId="7">
    <w:abstractNumId w:val="6"/>
  </w:num>
  <w:num w:numId="8">
    <w:abstractNumId w:val="0"/>
  </w:num>
  <w:num w:numId="9">
    <w:abstractNumId w:val="1"/>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54F7"/>
    <w:rsid w:val="00010FE7"/>
    <w:rsid w:val="00012995"/>
    <w:rsid w:val="00013EC0"/>
    <w:rsid w:val="0002555E"/>
    <w:rsid w:val="000309E0"/>
    <w:rsid w:val="00035F62"/>
    <w:rsid w:val="000376AB"/>
    <w:rsid w:val="00040B97"/>
    <w:rsid w:val="00042232"/>
    <w:rsid w:val="00042FAC"/>
    <w:rsid w:val="00045C10"/>
    <w:rsid w:val="00046070"/>
    <w:rsid w:val="000501B3"/>
    <w:rsid w:val="0005315F"/>
    <w:rsid w:val="000609B3"/>
    <w:rsid w:val="00070929"/>
    <w:rsid w:val="00075A81"/>
    <w:rsid w:val="00080778"/>
    <w:rsid w:val="00083A6B"/>
    <w:rsid w:val="00094D68"/>
    <w:rsid w:val="000A33B2"/>
    <w:rsid w:val="000A684E"/>
    <w:rsid w:val="000B03CE"/>
    <w:rsid w:val="000B31F0"/>
    <w:rsid w:val="000B35CE"/>
    <w:rsid w:val="000B7E21"/>
    <w:rsid w:val="000D218C"/>
    <w:rsid w:val="000D2AB5"/>
    <w:rsid w:val="000D3044"/>
    <w:rsid w:val="000D70A9"/>
    <w:rsid w:val="000E043D"/>
    <w:rsid w:val="000E1728"/>
    <w:rsid w:val="000E37C5"/>
    <w:rsid w:val="000E3A72"/>
    <w:rsid w:val="000E6395"/>
    <w:rsid w:val="000E7CDF"/>
    <w:rsid w:val="000E7DF0"/>
    <w:rsid w:val="000F1321"/>
    <w:rsid w:val="000F3A0D"/>
    <w:rsid w:val="000F4B68"/>
    <w:rsid w:val="000F6756"/>
    <w:rsid w:val="000F6873"/>
    <w:rsid w:val="000F7C5C"/>
    <w:rsid w:val="001007FF"/>
    <w:rsid w:val="00101B89"/>
    <w:rsid w:val="001034A5"/>
    <w:rsid w:val="001068B9"/>
    <w:rsid w:val="001108CF"/>
    <w:rsid w:val="00111785"/>
    <w:rsid w:val="00113AED"/>
    <w:rsid w:val="00114FF5"/>
    <w:rsid w:val="001167B2"/>
    <w:rsid w:val="00121AD8"/>
    <w:rsid w:val="00123E62"/>
    <w:rsid w:val="001256C7"/>
    <w:rsid w:val="0013715E"/>
    <w:rsid w:val="00142BD3"/>
    <w:rsid w:val="00145ADA"/>
    <w:rsid w:val="00150707"/>
    <w:rsid w:val="00153EFE"/>
    <w:rsid w:val="001601BD"/>
    <w:rsid w:val="00160285"/>
    <w:rsid w:val="00165A20"/>
    <w:rsid w:val="00166414"/>
    <w:rsid w:val="0016716D"/>
    <w:rsid w:val="00171CD4"/>
    <w:rsid w:val="00174E2F"/>
    <w:rsid w:val="0017517E"/>
    <w:rsid w:val="001847F0"/>
    <w:rsid w:val="00185504"/>
    <w:rsid w:val="00192E55"/>
    <w:rsid w:val="001960D9"/>
    <w:rsid w:val="001A1D45"/>
    <w:rsid w:val="001A29F2"/>
    <w:rsid w:val="001A5A82"/>
    <w:rsid w:val="001B7111"/>
    <w:rsid w:val="001D7C9E"/>
    <w:rsid w:val="001E2DFC"/>
    <w:rsid w:val="001E4FF0"/>
    <w:rsid w:val="001F03DD"/>
    <w:rsid w:val="001F11D4"/>
    <w:rsid w:val="001F2774"/>
    <w:rsid w:val="001F3FE2"/>
    <w:rsid w:val="001F4781"/>
    <w:rsid w:val="001F49E0"/>
    <w:rsid w:val="00201138"/>
    <w:rsid w:val="00204929"/>
    <w:rsid w:val="00206E1F"/>
    <w:rsid w:val="002110B2"/>
    <w:rsid w:val="0021307D"/>
    <w:rsid w:val="00214E94"/>
    <w:rsid w:val="00215CE9"/>
    <w:rsid w:val="00216069"/>
    <w:rsid w:val="00216493"/>
    <w:rsid w:val="00221266"/>
    <w:rsid w:val="00222323"/>
    <w:rsid w:val="00224092"/>
    <w:rsid w:val="002246A3"/>
    <w:rsid w:val="00226E2F"/>
    <w:rsid w:val="00232099"/>
    <w:rsid w:val="00235A3E"/>
    <w:rsid w:val="00237DF6"/>
    <w:rsid w:val="00240526"/>
    <w:rsid w:val="00263C8B"/>
    <w:rsid w:val="00264B88"/>
    <w:rsid w:val="00266084"/>
    <w:rsid w:val="00267753"/>
    <w:rsid w:val="002730BF"/>
    <w:rsid w:val="002757AF"/>
    <w:rsid w:val="00276780"/>
    <w:rsid w:val="00280ADC"/>
    <w:rsid w:val="0029268B"/>
    <w:rsid w:val="00295333"/>
    <w:rsid w:val="002A699C"/>
    <w:rsid w:val="002A6A71"/>
    <w:rsid w:val="002B26C0"/>
    <w:rsid w:val="002B2A2F"/>
    <w:rsid w:val="002B7A13"/>
    <w:rsid w:val="002C2969"/>
    <w:rsid w:val="002C3217"/>
    <w:rsid w:val="002C4E37"/>
    <w:rsid w:val="002C63DD"/>
    <w:rsid w:val="002D78B1"/>
    <w:rsid w:val="002E07F8"/>
    <w:rsid w:val="002E374D"/>
    <w:rsid w:val="002F3704"/>
    <w:rsid w:val="002F4C31"/>
    <w:rsid w:val="002F62B3"/>
    <w:rsid w:val="002F6E77"/>
    <w:rsid w:val="0030139A"/>
    <w:rsid w:val="00302E0B"/>
    <w:rsid w:val="00304459"/>
    <w:rsid w:val="00304CD2"/>
    <w:rsid w:val="0031370C"/>
    <w:rsid w:val="00313CD0"/>
    <w:rsid w:val="0032120B"/>
    <w:rsid w:val="00321AA9"/>
    <w:rsid w:val="003221BD"/>
    <w:rsid w:val="003246A7"/>
    <w:rsid w:val="00336EA3"/>
    <w:rsid w:val="00346EB8"/>
    <w:rsid w:val="003546D6"/>
    <w:rsid w:val="00356079"/>
    <w:rsid w:val="00370EA1"/>
    <w:rsid w:val="003731C9"/>
    <w:rsid w:val="0037585F"/>
    <w:rsid w:val="0038486C"/>
    <w:rsid w:val="003860F8"/>
    <w:rsid w:val="00387357"/>
    <w:rsid w:val="00390E41"/>
    <w:rsid w:val="003920DF"/>
    <w:rsid w:val="0039465F"/>
    <w:rsid w:val="00394B64"/>
    <w:rsid w:val="003A0AED"/>
    <w:rsid w:val="003B664F"/>
    <w:rsid w:val="003B6814"/>
    <w:rsid w:val="003C2051"/>
    <w:rsid w:val="003E0400"/>
    <w:rsid w:val="003E1468"/>
    <w:rsid w:val="003E5C60"/>
    <w:rsid w:val="003E72CC"/>
    <w:rsid w:val="003F23AF"/>
    <w:rsid w:val="003F40BD"/>
    <w:rsid w:val="003F526F"/>
    <w:rsid w:val="003F5B70"/>
    <w:rsid w:val="004010C0"/>
    <w:rsid w:val="00401D7E"/>
    <w:rsid w:val="0040497E"/>
    <w:rsid w:val="00404EDF"/>
    <w:rsid w:val="00414B0E"/>
    <w:rsid w:val="00422236"/>
    <w:rsid w:val="004243AE"/>
    <w:rsid w:val="0042554E"/>
    <w:rsid w:val="004262E2"/>
    <w:rsid w:val="00427466"/>
    <w:rsid w:val="0043000E"/>
    <w:rsid w:val="00430720"/>
    <w:rsid w:val="00433404"/>
    <w:rsid w:val="0044016F"/>
    <w:rsid w:val="004413A3"/>
    <w:rsid w:val="00446744"/>
    <w:rsid w:val="0044703D"/>
    <w:rsid w:val="004502D1"/>
    <w:rsid w:val="0045069F"/>
    <w:rsid w:val="00453F58"/>
    <w:rsid w:val="00454110"/>
    <w:rsid w:val="00454826"/>
    <w:rsid w:val="00456BAA"/>
    <w:rsid w:val="00463102"/>
    <w:rsid w:val="00465DA4"/>
    <w:rsid w:val="00472A12"/>
    <w:rsid w:val="00473CF0"/>
    <w:rsid w:val="00485E87"/>
    <w:rsid w:val="0049404B"/>
    <w:rsid w:val="00494287"/>
    <w:rsid w:val="004A2794"/>
    <w:rsid w:val="004A2BED"/>
    <w:rsid w:val="004A2CFA"/>
    <w:rsid w:val="004A4A01"/>
    <w:rsid w:val="004A4F63"/>
    <w:rsid w:val="004A613D"/>
    <w:rsid w:val="004A6688"/>
    <w:rsid w:val="004B0D9D"/>
    <w:rsid w:val="004B2418"/>
    <w:rsid w:val="004C0404"/>
    <w:rsid w:val="004C0879"/>
    <w:rsid w:val="004C1530"/>
    <w:rsid w:val="004C24CE"/>
    <w:rsid w:val="004D313F"/>
    <w:rsid w:val="004E7F24"/>
    <w:rsid w:val="004F19EC"/>
    <w:rsid w:val="004F2D2F"/>
    <w:rsid w:val="004F577E"/>
    <w:rsid w:val="004F7F6B"/>
    <w:rsid w:val="005005F7"/>
    <w:rsid w:val="00501F8F"/>
    <w:rsid w:val="00513B74"/>
    <w:rsid w:val="00513F10"/>
    <w:rsid w:val="00525292"/>
    <w:rsid w:val="005315E1"/>
    <w:rsid w:val="00532BE5"/>
    <w:rsid w:val="00533D53"/>
    <w:rsid w:val="00536B8D"/>
    <w:rsid w:val="0054006C"/>
    <w:rsid w:val="00543F56"/>
    <w:rsid w:val="00545944"/>
    <w:rsid w:val="00556F1A"/>
    <w:rsid w:val="0055737E"/>
    <w:rsid w:val="00557BC1"/>
    <w:rsid w:val="00560157"/>
    <w:rsid w:val="00563092"/>
    <w:rsid w:val="00566A0E"/>
    <w:rsid w:val="005732F3"/>
    <w:rsid w:val="00575A6C"/>
    <w:rsid w:val="00576699"/>
    <w:rsid w:val="0057707B"/>
    <w:rsid w:val="0058795D"/>
    <w:rsid w:val="00590640"/>
    <w:rsid w:val="00591A63"/>
    <w:rsid w:val="005932AF"/>
    <w:rsid w:val="00595557"/>
    <w:rsid w:val="005A43DF"/>
    <w:rsid w:val="005A750D"/>
    <w:rsid w:val="005B096A"/>
    <w:rsid w:val="005B3E40"/>
    <w:rsid w:val="005C0368"/>
    <w:rsid w:val="005D1985"/>
    <w:rsid w:val="005D339F"/>
    <w:rsid w:val="005D454B"/>
    <w:rsid w:val="005D6F2A"/>
    <w:rsid w:val="005D798A"/>
    <w:rsid w:val="005D7BB2"/>
    <w:rsid w:val="005D7EFF"/>
    <w:rsid w:val="005E1588"/>
    <w:rsid w:val="005E5886"/>
    <w:rsid w:val="005F0C2B"/>
    <w:rsid w:val="005F365C"/>
    <w:rsid w:val="005F7D87"/>
    <w:rsid w:val="006015CC"/>
    <w:rsid w:val="00603F97"/>
    <w:rsid w:val="006049E8"/>
    <w:rsid w:val="00606780"/>
    <w:rsid w:val="00610647"/>
    <w:rsid w:val="00610EC4"/>
    <w:rsid w:val="006117C1"/>
    <w:rsid w:val="0061446E"/>
    <w:rsid w:val="006202C8"/>
    <w:rsid w:val="00620752"/>
    <w:rsid w:val="00622002"/>
    <w:rsid w:val="0062377F"/>
    <w:rsid w:val="00625D5C"/>
    <w:rsid w:val="00634E29"/>
    <w:rsid w:val="00641114"/>
    <w:rsid w:val="006479E8"/>
    <w:rsid w:val="00650F5B"/>
    <w:rsid w:val="00651FBF"/>
    <w:rsid w:val="006647DF"/>
    <w:rsid w:val="006903C1"/>
    <w:rsid w:val="00691B65"/>
    <w:rsid w:val="00692DDA"/>
    <w:rsid w:val="006939C6"/>
    <w:rsid w:val="00694CBC"/>
    <w:rsid w:val="00696267"/>
    <w:rsid w:val="006A06C9"/>
    <w:rsid w:val="006A782A"/>
    <w:rsid w:val="006B04B5"/>
    <w:rsid w:val="006B16DE"/>
    <w:rsid w:val="006B1F47"/>
    <w:rsid w:val="006B7D7C"/>
    <w:rsid w:val="006C4019"/>
    <w:rsid w:val="006C7C16"/>
    <w:rsid w:val="006D0EF4"/>
    <w:rsid w:val="006D5526"/>
    <w:rsid w:val="006E39A3"/>
    <w:rsid w:val="006E46A4"/>
    <w:rsid w:val="006E6C72"/>
    <w:rsid w:val="006F1344"/>
    <w:rsid w:val="006F3103"/>
    <w:rsid w:val="007035AE"/>
    <w:rsid w:val="00706B9B"/>
    <w:rsid w:val="007110F6"/>
    <w:rsid w:val="00713A59"/>
    <w:rsid w:val="00713A68"/>
    <w:rsid w:val="007168C6"/>
    <w:rsid w:val="0071690D"/>
    <w:rsid w:val="00720794"/>
    <w:rsid w:val="00723332"/>
    <w:rsid w:val="0072448B"/>
    <w:rsid w:val="00731D2A"/>
    <w:rsid w:val="00732F80"/>
    <w:rsid w:val="00735C76"/>
    <w:rsid w:val="00747312"/>
    <w:rsid w:val="00750D81"/>
    <w:rsid w:val="0075709E"/>
    <w:rsid w:val="00760961"/>
    <w:rsid w:val="007777C3"/>
    <w:rsid w:val="00790373"/>
    <w:rsid w:val="00794F8F"/>
    <w:rsid w:val="00795299"/>
    <w:rsid w:val="007A5EE1"/>
    <w:rsid w:val="007A6F9E"/>
    <w:rsid w:val="007B701E"/>
    <w:rsid w:val="007C5F79"/>
    <w:rsid w:val="007C6151"/>
    <w:rsid w:val="007D311A"/>
    <w:rsid w:val="007D58A0"/>
    <w:rsid w:val="007D6576"/>
    <w:rsid w:val="007E39B4"/>
    <w:rsid w:val="007E4BA6"/>
    <w:rsid w:val="007E739B"/>
    <w:rsid w:val="007F5AE7"/>
    <w:rsid w:val="008134FF"/>
    <w:rsid w:val="008156A9"/>
    <w:rsid w:val="008278F9"/>
    <w:rsid w:val="00834B36"/>
    <w:rsid w:val="00836EB8"/>
    <w:rsid w:val="00871FE0"/>
    <w:rsid w:val="008727D5"/>
    <w:rsid w:val="00873F20"/>
    <w:rsid w:val="0087631B"/>
    <w:rsid w:val="00883A84"/>
    <w:rsid w:val="00887E6E"/>
    <w:rsid w:val="00890FD4"/>
    <w:rsid w:val="00893C31"/>
    <w:rsid w:val="008A1065"/>
    <w:rsid w:val="008A417A"/>
    <w:rsid w:val="008A4A52"/>
    <w:rsid w:val="008A6453"/>
    <w:rsid w:val="008B1C07"/>
    <w:rsid w:val="008B478D"/>
    <w:rsid w:val="008B69F0"/>
    <w:rsid w:val="008C1208"/>
    <w:rsid w:val="008C5BC3"/>
    <w:rsid w:val="008C6A56"/>
    <w:rsid w:val="008D0F38"/>
    <w:rsid w:val="008D1A47"/>
    <w:rsid w:val="008D403F"/>
    <w:rsid w:val="008D4F33"/>
    <w:rsid w:val="008D6006"/>
    <w:rsid w:val="008E0283"/>
    <w:rsid w:val="008E27BA"/>
    <w:rsid w:val="008E3FCE"/>
    <w:rsid w:val="008E4FC0"/>
    <w:rsid w:val="008E6CB8"/>
    <w:rsid w:val="008F405B"/>
    <w:rsid w:val="00900EAE"/>
    <w:rsid w:val="00901965"/>
    <w:rsid w:val="00905BCB"/>
    <w:rsid w:val="00910E54"/>
    <w:rsid w:val="00910FCE"/>
    <w:rsid w:val="009114FF"/>
    <w:rsid w:val="00911F3C"/>
    <w:rsid w:val="00913A93"/>
    <w:rsid w:val="00917569"/>
    <w:rsid w:val="0092129C"/>
    <w:rsid w:val="00922148"/>
    <w:rsid w:val="00924D7D"/>
    <w:rsid w:val="009253D3"/>
    <w:rsid w:val="00932F7A"/>
    <w:rsid w:val="009439FE"/>
    <w:rsid w:val="00944A7A"/>
    <w:rsid w:val="0096285D"/>
    <w:rsid w:val="00964066"/>
    <w:rsid w:val="009640B8"/>
    <w:rsid w:val="009645D6"/>
    <w:rsid w:val="009677CC"/>
    <w:rsid w:val="009709AB"/>
    <w:rsid w:val="00973398"/>
    <w:rsid w:val="00975C47"/>
    <w:rsid w:val="0097695D"/>
    <w:rsid w:val="009776C2"/>
    <w:rsid w:val="00981DE5"/>
    <w:rsid w:val="00983110"/>
    <w:rsid w:val="00985685"/>
    <w:rsid w:val="009864BB"/>
    <w:rsid w:val="00991B10"/>
    <w:rsid w:val="00997A15"/>
    <w:rsid w:val="009B00D1"/>
    <w:rsid w:val="009B7DBD"/>
    <w:rsid w:val="009C13CA"/>
    <w:rsid w:val="009C3892"/>
    <w:rsid w:val="009D48FD"/>
    <w:rsid w:val="009D499A"/>
    <w:rsid w:val="009D5248"/>
    <w:rsid w:val="009E2AAD"/>
    <w:rsid w:val="009E46FB"/>
    <w:rsid w:val="009E4890"/>
    <w:rsid w:val="009E52F8"/>
    <w:rsid w:val="009E5E99"/>
    <w:rsid w:val="009E7D6B"/>
    <w:rsid w:val="009F78A6"/>
    <w:rsid w:val="00A00282"/>
    <w:rsid w:val="00A00DF2"/>
    <w:rsid w:val="00A013D5"/>
    <w:rsid w:val="00A07EA4"/>
    <w:rsid w:val="00A10933"/>
    <w:rsid w:val="00A13765"/>
    <w:rsid w:val="00A16FA7"/>
    <w:rsid w:val="00A21757"/>
    <w:rsid w:val="00A22F11"/>
    <w:rsid w:val="00A22FAF"/>
    <w:rsid w:val="00A2591B"/>
    <w:rsid w:val="00A268AD"/>
    <w:rsid w:val="00A317FB"/>
    <w:rsid w:val="00A32333"/>
    <w:rsid w:val="00A55E86"/>
    <w:rsid w:val="00A64956"/>
    <w:rsid w:val="00A64DBC"/>
    <w:rsid w:val="00A65679"/>
    <w:rsid w:val="00A66250"/>
    <w:rsid w:val="00A674D5"/>
    <w:rsid w:val="00A67C5B"/>
    <w:rsid w:val="00A70A19"/>
    <w:rsid w:val="00A70BA9"/>
    <w:rsid w:val="00A71F7B"/>
    <w:rsid w:val="00A8052A"/>
    <w:rsid w:val="00A80C84"/>
    <w:rsid w:val="00A81368"/>
    <w:rsid w:val="00A873AE"/>
    <w:rsid w:val="00A87A20"/>
    <w:rsid w:val="00A9701C"/>
    <w:rsid w:val="00AA2736"/>
    <w:rsid w:val="00AA428D"/>
    <w:rsid w:val="00AC1366"/>
    <w:rsid w:val="00AC3CFB"/>
    <w:rsid w:val="00AD33D9"/>
    <w:rsid w:val="00AD7ED1"/>
    <w:rsid w:val="00AE5601"/>
    <w:rsid w:val="00AE5621"/>
    <w:rsid w:val="00AE6164"/>
    <w:rsid w:val="00B0050A"/>
    <w:rsid w:val="00B00F8B"/>
    <w:rsid w:val="00B0403E"/>
    <w:rsid w:val="00B04C63"/>
    <w:rsid w:val="00B11DFB"/>
    <w:rsid w:val="00B12B4C"/>
    <w:rsid w:val="00B154E7"/>
    <w:rsid w:val="00B15C01"/>
    <w:rsid w:val="00B2168A"/>
    <w:rsid w:val="00B32970"/>
    <w:rsid w:val="00B362E7"/>
    <w:rsid w:val="00B412BB"/>
    <w:rsid w:val="00B50265"/>
    <w:rsid w:val="00B52D39"/>
    <w:rsid w:val="00B53C68"/>
    <w:rsid w:val="00B5623B"/>
    <w:rsid w:val="00B612FA"/>
    <w:rsid w:val="00B653A7"/>
    <w:rsid w:val="00B732A0"/>
    <w:rsid w:val="00B7506D"/>
    <w:rsid w:val="00B83727"/>
    <w:rsid w:val="00B8695C"/>
    <w:rsid w:val="00B86DFE"/>
    <w:rsid w:val="00B932B1"/>
    <w:rsid w:val="00B94B61"/>
    <w:rsid w:val="00B94D20"/>
    <w:rsid w:val="00BA1AE0"/>
    <w:rsid w:val="00BA6448"/>
    <w:rsid w:val="00BA77D7"/>
    <w:rsid w:val="00BA7F12"/>
    <w:rsid w:val="00BB1333"/>
    <w:rsid w:val="00BB19DE"/>
    <w:rsid w:val="00BB4448"/>
    <w:rsid w:val="00BC550C"/>
    <w:rsid w:val="00BC77BD"/>
    <w:rsid w:val="00BD11A2"/>
    <w:rsid w:val="00BD1C0E"/>
    <w:rsid w:val="00BD733B"/>
    <w:rsid w:val="00BE23FC"/>
    <w:rsid w:val="00BF5422"/>
    <w:rsid w:val="00C0102F"/>
    <w:rsid w:val="00C0170E"/>
    <w:rsid w:val="00C027CE"/>
    <w:rsid w:val="00C06CD7"/>
    <w:rsid w:val="00C14459"/>
    <w:rsid w:val="00C14DFD"/>
    <w:rsid w:val="00C15B98"/>
    <w:rsid w:val="00C16F39"/>
    <w:rsid w:val="00C17CA0"/>
    <w:rsid w:val="00C23DA7"/>
    <w:rsid w:val="00C308E1"/>
    <w:rsid w:val="00C33270"/>
    <w:rsid w:val="00C346DC"/>
    <w:rsid w:val="00C50C3B"/>
    <w:rsid w:val="00C533F8"/>
    <w:rsid w:val="00C547A8"/>
    <w:rsid w:val="00C577E3"/>
    <w:rsid w:val="00C62D8A"/>
    <w:rsid w:val="00C675C2"/>
    <w:rsid w:val="00C711F6"/>
    <w:rsid w:val="00C861E1"/>
    <w:rsid w:val="00C86863"/>
    <w:rsid w:val="00C8693E"/>
    <w:rsid w:val="00C87724"/>
    <w:rsid w:val="00C87A3E"/>
    <w:rsid w:val="00C96AC7"/>
    <w:rsid w:val="00CA6DDF"/>
    <w:rsid w:val="00CC3996"/>
    <w:rsid w:val="00CD4FFF"/>
    <w:rsid w:val="00CE0E41"/>
    <w:rsid w:val="00CE1797"/>
    <w:rsid w:val="00CE30E4"/>
    <w:rsid w:val="00CE48FA"/>
    <w:rsid w:val="00CF232D"/>
    <w:rsid w:val="00CF264A"/>
    <w:rsid w:val="00CF298D"/>
    <w:rsid w:val="00CF2F5E"/>
    <w:rsid w:val="00CF5D5A"/>
    <w:rsid w:val="00CF6596"/>
    <w:rsid w:val="00D010A9"/>
    <w:rsid w:val="00D01890"/>
    <w:rsid w:val="00D044EC"/>
    <w:rsid w:val="00D125D5"/>
    <w:rsid w:val="00D14D1F"/>
    <w:rsid w:val="00D201B6"/>
    <w:rsid w:val="00D247DC"/>
    <w:rsid w:val="00D25575"/>
    <w:rsid w:val="00D26CB5"/>
    <w:rsid w:val="00D32037"/>
    <w:rsid w:val="00D3203B"/>
    <w:rsid w:val="00D373D2"/>
    <w:rsid w:val="00D46451"/>
    <w:rsid w:val="00D47CA6"/>
    <w:rsid w:val="00D506E0"/>
    <w:rsid w:val="00D50D15"/>
    <w:rsid w:val="00D51F67"/>
    <w:rsid w:val="00D55857"/>
    <w:rsid w:val="00D61DCB"/>
    <w:rsid w:val="00D61E20"/>
    <w:rsid w:val="00D6290A"/>
    <w:rsid w:val="00D73373"/>
    <w:rsid w:val="00D76F1B"/>
    <w:rsid w:val="00D82629"/>
    <w:rsid w:val="00D82F1D"/>
    <w:rsid w:val="00D9122F"/>
    <w:rsid w:val="00D91425"/>
    <w:rsid w:val="00D93DCF"/>
    <w:rsid w:val="00D94440"/>
    <w:rsid w:val="00DA477D"/>
    <w:rsid w:val="00DA58A6"/>
    <w:rsid w:val="00DB30DE"/>
    <w:rsid w:val="00DC03E6"/>
    <w:rsid w:val="00DD05DC"/>
    <w:rsid w:val="00DD3100"/>
    <w:rsid w:val="00DE214C"/>
    <w:rsid w:val="00DE4661"/>
    <w:rsid w:val="00DF0655"/>
    <w:rsid w:val="00DF6215"/>
    <w:rsid w:val="00E0138B"/>
    <w:rsid w:val="00E01E97"/>
    <w:rsid w:val="00E0419C"/>
    <w:rsid w:val="00E14D3A"/>
    <w:rsid w:val="00E16537"/>
    <w:rsid w:val="00E165EB"/>
    <w:rsid w:val="00E26FA0"/>
    <w:rsid w:val="00E30CB9"/>
    <w:rsid w:val="00E34222"/>
    <w:rsid w:val="00E40698"/>
    <w:rsid w:val="00E45758"/>
    <w:rsid w:val="00E461A8"/>
    <w:rsid w:val="00E46BB1"/>
    <w:rsid w:val="00E50094"/>
    <w:rsid w:val="00E51877"/>
    <w:rsid w:val="00E53ED5"/>
    <w:rsid w:val="00E60457"/>
    <w:rsid w:val="00E74DC6"/>
    <w:rsid w:val="00E757E9"/>
    <w:rsid w:val="00E80147"/>
    <w:rsid w:val="00E81B87"/>
    <w:rsid w:val="00E8247D"/>
    <w:rsid w:val="00E85763"/>
    <w:rsid w:val="00E866D0"/>
    <w:rsid w:val="00E871C3"/>
    <w:rsid w:val="00E8769D"/>
    <w:rsid w:val="00E87AB8"/>
    <w:rsid w:val="00E91767"/>
    <w:rsid w:val="00E9435A"/>
    <w:rsid w:val="00E94823"/>
    <w:rsid w:val="00EA6E2C"/>
    <w:rsid w:val="00EB34F8"/>
    <w:rsid w:val="00EB45C7"/>
    <w:rsid w:val="00EC71A2"/>
    <w:rsid w:val="00EE0A5E"/>
    <w:rsid w:val="00EE3044"/>
    <w:rsid w:val="00EE498C"/>
    <w:rsid w:val="00EE5019"/>
    <w:rsid w:val="00EF50AC"/>
    <w:rsid w:val="00EF644C"/>
    <w:rsid w:val="00EF66CA"/>
    <w:rsid w:val="00F00E4D"/>
    <w:rsid w:val="00F01EED"/>
    <w:rsid w:val="00F060FD"/>
    <w:rsid w:val="00F07E9E"/>
    <w:rsid w:val="00F14916"/>
    <w:rsid w:val="00F224C5"/>
    <w:rsid w:val="00F248BD"/>
    <w:rsid w:val="00F353ED"/>
    <w:rsid w:val="00F37543"/>
    <w:rsid w:val="00F445BA"/>
    <w:rsid w:val="00F5063A"/>
    <w:rsid w:val="00F51FE0"/>
    <w:rsid w:val="00F520A5"/>
    <w:rsid w:val="00F52548"/>
    <w:rsid w:val="00F56E9F"/>
    <w:rsid w:val="00F65ABF"/>
    <w:rsid w:val="00F745CD"/>
    <w:rsid w:val="00F7462C"/>
    <w:rsid w:val="00F777B3"/>
    <w:rsid w:val="00F77E7C"/>
    <w:rsid w:val="00F851F9"/>
    <w:rsid w:val="00F863A6"/>
    <w:rsid w:val="00F87909"/>
    <w:rsid w:val="00F918ED"/>
    <w:rsid w:val="00FA5AA7"/>
    <w:rsid w:val="00FA7352"/>
    <w:rsid w:val="00FB0697"/>
    <w:rsid w:val="00FB29F6"/>
    <w:rsid w:val="00FB4A9F"/>
    <w:rsid w:val="00FC1A32"/>
    <w:rsid w:val="00FC23A0"/>
    <w:rsid w:val="00FC49E4"/>
    <w:rsid w:val="00FC5243"/>
    <w:rsid w:val="00FC6B28"/>
    <w:rsid w:val="00FC774B"/>
    <w:rsid w:val="00FD1EA4"/>
    <w:rsid w:val="00FD4687"/>
    <w:rsid w:val="00FD78FF"/>
    <w:rsid w:val="00FE1D6F"/>
    <w:rsid w:val="00FE3436"/>
    <w:rsid w:val="00FF25F3"/>
    <w:rsid w:val="00FF5CA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2175-4D48-41BE-A1CB-66811600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paragraph" w:customStyle="1" w:styleId="Style7">
    <w:name w:val="Style7"/>
    <w:basedOn w:val="Normal"/>
    <w:uiPriority w:val="99"/>
    <w:rsid w:val="001034A5"/>
    <w:pPr>
      <w:widowControl w:val="0"/>
      <w:autoSpaceDE w:val="0"/>
      <w:autoSpaceDN w:val="0"/>
      <w:adjustRightInd w:val="0"/>
      <w:spacing w:after="0" w:line="648" w:lineRule="exact"/>
      <w:ind w:hanging="696"/>
      <w:jc w:val="both"/>
    </w:pPr>
    <w:rPr>
      <w:rFonts w:ascii="Arial" w:eastAsiaTheme="minorEastAsia" w:hAnsi="Arial" w:cs="Arial"/>
      <w:sz w:val="24"/>
      <w:szCs w:val="24"/>
      <w:lang w:val="en-US"/>
    </w:rPr>
  </w:style>
  <w:style w:type="paragraph" w:customStyle="1" w:styleId="Style8">
    <w:name w:val="Style8"/>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character" w:customStyle="1" w:styleId="FontStyle20">
    <w:name w:val="Font Style20"/>
    <w:basedOn w:val="DefaultParagraphFont"/>
    <w:uiPriority w:val="99"/>
    <w:rsid w:val="001034A5"/>
    <w:rPr>
      <w:rFonts w:ascii="Arial" w:hAnsi="Arial" w:cs="Arial"/>
      <w:sz w:val="26"/>
      <w:szCs w:val="26"/>
    </w:rPr>
  </w:style>
  <w:style w:type="character" w:customStyle="1" w:styleId="FontStyle21">
    <w:name w:val="Font Style21"/>
    <w:basedOn w:val="DefaultParagraphFont"/>
    <w:uiPriority w:val="99"/>
    <w:rsid w:val="001034A5"/>
    <w:rPr>
      <w:rFonts w:ascii="Arial" w:hAnsi="Arial" w:cs="Arial"/>
      <w:i/>
      <w:iCs/>
      <w:sz w:val="26"/>
      <w:szCs w:val="26"/>
    </w:rPr>
  </w:style>
  <w:style w:type="paragraph" w:customStyle="1" w:styleId="Style9">
    <w:name w:val="Style9"/>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paragraph" w:styleId="NormalWeb">
    <w:name w:val="Normal (Web)"/>
    <w:basedOn w:val="Normal"/>
    <w:uiPriority w:val="99"/>
    <w:unhideWhenUsed/>
    <w:rsid w:val="00556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6F1A"/>
    <w:rPr>
      <w:i/>
      <w:iCs/>
    </w:rPr>
  </w:style>
  <w:style w:type="character" w:styleId="Strong">
    <w:name w:val="Strong"/>
    <w:basedOn w:val="DefaultParagraphFont"/>
    <w:uiPriority w:val="22"/>
    <w:qFormat/>
    <w:rsid w:val="00556F1A"/>
    <w:rPr>
      <w:b/>
      <w:bCs/>
    </w:rPr>
  </w:style>
  <w:style w:type="character" w:styleId="Hyperlink">
    <w:name w:val="Hyperlink"/>
    <w:basedOn w:val="DefaultParagraphFont"/>
    <w:uiPriority w:val="99"/>
    <w:semiHidden/>
    <w:unhideWhenUsed/>
    <w:rsid w:val="00160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76%20%281%29%20SA%2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2019-12-04T18:30:00+00:00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A5C8-9972-4239-99D6-01AAB005E636}"/>
</file>

<file path=customXml/itemProps2.xml><?xml version="1.0" encoding="utf-8"?>
<ds:datastoreItem xmlns:ds="http://schemas.openxmlformats.org/officeDocument/2006/customXml" ds:itemID="{EB2BD259-7DAA-432C-9524-00FD6B4C9AFD}"/>
</file>

<file path=customXml/itemProps3.xml><?xml version="1.0" encoding="utf-8"?>
<ds:datastoreItem xmlns:ds="http://schemas.openxmlformats.org/officeDocument/2006/customXml" ds:itemID="{34913CEF-6621-43E5-9329-8DA811B88728}"/>
</file>

<file path=customXml/itemProps4.xml><?xml version="1.0" encoding="utf-8"?>
<ds:datastoreItem xmlns:ds="http://schemas.openxmlformats.org/officeDocument/2006/customXml" ds:itemID="{DC6A0398-584B-4809-ABBB-FCD0AB042D82}"/>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2019-12-06T06:39:00Z</cp:lastPrinted>
  <dcterms:created xsi:type="dcterms:W3CDTF">2019-12-09T13:34:00Z</dcterms:created>
  <dcterms:modified xsi:type="dcterms:W3CDTF">2019-12-09T13:34:00Z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