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B431" w14:textId="77777777" w:rsidR="00A12A7A" w:rsidRPr="00A437A9" w:rsidRDefault="00A12A7A" w:rsidP="00A12A7A">
      <w:pPr>
        <w:spacing w:line="256" w:lineRule="auto"/>
        <w:jc w:val="center"/>
        <w:rPr>
          <w:rFonts w:ascii="Arial Narrow" w:hAnsi="Arial Narrow" w:cs="Arial"/>
          <w:b/>
          <w:sz w:val="24"/>
          <w:szCs w:val="24"/>
          <w:lang w:val="en-US"/>
        </w:rPr>
      </w:pPr>
      <w:bookmarkStart w:id="0" w:name="_GoBack"/>
      <w:bookmarkEnd w:id="0"/>
      <w:r>
        <w:rPr>
          <w:rFonts w:ascii="Arial Narrow" w:hAnsi="Arial Narrow" w:cs="Arial"/>
          <w:b/>
          <w:sz w:val="24"/>
          <w:szCs w:val="24"/>
          <w:lang w:val="en-US"/>
        </w:rPr>
        <w:t>R</w:t>
      </w:r>
      <w:r w:rsidRPr="00A437A9">
        <w:rPr>
          <w:rFonts w:ascii="Arial Narrow" w:hAnsi="Arial Narrow" w:cs="Arial"/>
          <w:b/>
          <w:sz w:val="24"/>
          <w:szCs w:val="24"/>
          <w:lang w:val="en-US"/>
        </w:rPr>
        <w:t>EPUBLIC OF NAMIBIA</w:t>
      </w:r>
    </w:p>
    <w:p w14:paraId="300A8408" w14:textId="77777777" w:rsidR="00A12A7A" w:rsidRPr="00A437A9" w:rsidRDefault="00A12A7A" w:rsidP="00A12A7A">
      <w:pPr>
        <w:spacing w:line="256" w:lineRule="auto"/>
        <w:jc w:val="center"/>
        <w:rPr>
          <w:rFonts w:ascii="Arial Narrow" w:hAnsi="Arial Narrow" w:cs="Arial"/>
          <w:b/>
          <w:sz w:val="24"/>
          <w:szCs w:val="24"/>
          <w:lang w:val="en-US"/>
        </w:rPr>
      </w:pPr>
      <w:r w:rsidRPr="00A437A9">
        <w:rPr>
          <w:rFonts w:ascii="Arial Narrow" w:hAnsi="Arial Narrow" w:cs="Arial"/>
          <w:b/>
          <w:noProof/>
          <w:sz w:val="24"/>
          <w:szCs w:val="24"/>
          <w:lang w:eastAsia="en-ZA"/>
        </w:rPr>
        <w:drawing>
          <wp:inline distT="0" distB="0" distL="0" distR="0" wp14:anchorId="6BC3CDC5" wp14:editId="51B9E05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1E7804A5" w14:textId="77777777" w:rsidR="00A12A7A" w:rsidRPr="00A437A9" w:rsidRDefault="00A12A7A" w:rsidP="00A12A7A">
      <w:pPr>
        <w:spacing w:line="256" w:lineRule="auto"/>
        <w:jc w:val="center"/>
        <w:rPr>
          <w:rFonts w:ascii="Arial Narrow" w:hAnsi="Arial Narrow" w:cs="Arial"/>
          <w:b/>
          <w:sz w:val="24"/>
          <w:szCs w:val="24"/>
          <w:lang w:val="en-US"/>
        </w:rPr>
      </w:pPr>
    </w:p>
    <w:p w14:paraId="7D56EA55" w14:textId="77777777" w:rsidR="00A12A7A" w:rsidRPr="00A437A9" w:rsidRDefault="00A12A7A" w:rsidP="00A12A7A">
      <w:pPr>
        <w:spacing w:line="256" w:lineRule="auto"/>
        <w:jc w:val="center"/>
        <w:rPr>
          <w:rFonts w:ascii="Arial Narrow" w:hAnsi="Arial Narrow" w:cs="Arial"/>
          <w:b/>
          <w:sz w:val="24"/>
          <w:szCs w:val="24"/>
          <w:lang w:val="en-US"/>
        </w:rPr>
      </w:pPr>
      <w:r w:rsidRPr="00A437A9">
        <w:rPr>
          <w:rFonts w:ascii="Arial Narrow" w:hAnsi="Arial Narrow" w:cs="Arial"/>
          <w:b/>
          <w:sz w:val="24"/>
          <w:szCs w:val="24"/>
          <w:lang w:val="en-US"/>
        </w:rPr>
        <w:t xml:space="preserve">IN THE HIGH COURT OF NAMIBIA, </w:t>
      </w:r>
      <w:r>
        <w:rPr>
          <w:rFonts w:ascii="Arial Narrow" w:hAnsi="Arial Narrow" w:cs="Arial"/>
          <w:b/>
          <w:sz w:val="24"/>
          <w:szCs w:val="24"/>
          <w:lang w:val="en-US"/>
        </w:rPr>
        <w:t>MAIN DIVISION, WINDHOEK</w:t>
      </w:r>
    </w:p>
    <w:p w14:paraId="0A68A828" w14:textId="77777777" w:rsidR="00A12A7A" w:rsidRPr="00A437A9" w:rsidRDefault="00A12A7A" w:rsidP="00A12A7A">
      <w:pPr>
        <w:spacing w:line="256" w:lineRule="auto"/>
        <w:jc w:val="center"/>
        <w:rPr>
          <w:rFonts w:ascii="Arial Narrow" w:hAnsi="Arial Narrow" w:cs="Arial"/>
          <w:b/>
          <w:sz w:val="24"/>
          <w:szCs w:val="24"/>
          <w:lang w:val="en-US"/>
        </w:rPr>
      </w:pPr>
      <w:r>
        <w:rPr>
          <w:rFonts w:ascii="Arial Narrow" w:hAnsi="Arial Narrow" w:cs="Arial"/>
          <w:b/>
          <w:sz w:val="24"/>
          <w:szCs w:val="24"/>
          <w:lang w:val="en-US"/>
        </w:rPr>
        <w:t>REVIEW JUDGMENT</w:t>
      </w:r>
    </w:p>
    <w:p w14:paraId="6C07C1F2" w14:textId="2BB1F7C5" w:rsidR="00A12A7A" w:rsidRDefault="000701E0" w:rsidP="00A12A7A">
      <w:r>
        <w:t xml:space="preserve"> </w:t>
      </w:r>
    </w:p>
    <w:tbl>
      <w:tblPr>
        <w:tblStyle w:val="TableGrid"/>
        <w:tblW w:w="9923" w:type="dxa"/>
        <w:tblInd w:w="-147" w:type="dxa"/>
        <w:tblLook w:val="04A0" w:firstRow="1" w:lastRow="0" w:firstColumn="1" w:lastColumn="0" w:noHBand="0" w:noVBand="1"/>
      </w:tblPr>
      <w:tblGrid>
        <w:gridCol w:w="4655"/>
        <w:gridCol w:w="306"/>
        <w:gridCol w:w="4962"/>
      </w:tblGrid>
      <w:tr w:rsidR="00A12A7A" w14:paraId="196CAC16" w14:textId="77777777" w:rsidTr="00267D03">
        <w:tc>
          <w:tcPr>
            <w:tcW w:w="4655" w:type="dxa"/>
            <w:tcBorders>
              <w:top w:val="single" w:sz="4" w:space="0" w:color="auto"/>
              <w:left w:val="single" w:sz="4" w:space="0" w:color="auto"/>
              <w:bottom w:val="single" w:sz="4" w:space="0" w:color="auto"/>
              <w:right w:val="single" w:sz="4" w:space="0" w:color="auto"/>
            </w:tcBorders>
            <w:hideMark/>
          </w:tcPr>
          <w:p w14:paraId="00A862B2" w14:textId="77777777" w:rsidR="00A12A7A" w:rsidRDefault="00A12A7A" w:rsidP="00267D03">
            <w:pPr>
              <w:spacing w:line="360" w:lineRule="auto"/>
              <w:jc w:val="both"/>
              <w:rPr>
                <w:rFonts w:ascii="Arial" w:hAnsi="Arial" w:cs="Arial"/>
                <w:b/>
                <w:sz w:val="24"/>
                <w:szCs w:val="24"/>
              </w:rPr>
            </w:pPr>
            <w:r>
              <w:rPr>
                <w:rFonts w:ascii="Arial" w:hAnsi="Arial" w:cs="Arial"/>
                <w:b/>
                <w:sz w:val="24"/>
                <w:szCs w:val="24"/>
              </w:rPr>
              <w:t>Case Title:</w:t>
            </w:r>
          </w:p>
          <w:p w14:paraId="56DEEADA" w14:textId="6896BD01" w:rsidR="00850431" w:rsidRDefault="00A12A7A" w:rsidP="004E7B0B">
            <w:pPr>
              <w:spacing w:line="360" w:lineRule="auto"/>
              <w:jc w:val="both"/>
              <w:rPr>
                <w:rFonts w:ascii="Arial" w:hAnsi="Arial" w:cs="Arial"/>
                <w:i/>
                <w:sz w:val="24"/>
                <w:szCs w:val="24"/>
              </w:rPr>
            </w:pPr>
            <w:r>
              <w:rPr>
                <w:rFonts w:ascii="Arial" w:hAnsi="Arial" w:cs="Arial"/>
                <w:i/>
                <w:sz w:val="24"/>
                <w:szCs w:val="24"/>
              </w:rPr>
              <w:t>The State v</w:t>
            </w:r>
            <w:r w:rsidR="00360E96">
              <w:rPr>
                <w:rFonts w:ascii="Arial" w:hAnsi="Arial" w:cs="Arial"/>
                <w:i/>
                <w:sz w:val="24"/>
                <w:szCs w:val="24"/>
              </w:rPr>
              <w:t xml:space="preserve"> </w:t>
            </w:r>
            <w:r w:rsidR="005879A5">
              <w:rPr>
                <w:rFonts w:ascii="Arial" w:hAnsi="Arial" w:cs="Arial"/>
                <w:i/>
                <w:sz w:val="24"/>
                <w:szCs w:val="24"/>
              </w:rPr>
              <w:t>Billbonga Kawajo</w:t>
            </w:r>
          </w:p>
        </w:tc>
        <w:tc>
          <w:tcPr>
            <w:tcW w:w="5268" w:type="dxa"/>
            <w:gridSpan w:val="2"/>
            <w:tcBorders>
              <w:top w:val="single" w:sz="4" w:space="0" w:color="auto"/>
              <w:left w:val="single" w:sz="4" w:space="0" w:color="auto"/>
              <w:bottom w:val="single" w:sz="4" w:space="0" w:color="auto"/>
              <w:right w:val="single" w:sz="4" w:space="0" w:color="auto"/>
            </w:tcBorders>
          </w:tcPr>
          <w:p w14:paraId="04CC2EE6" w14:textId="525F847B" w:rsidR="000B7C61" w:rsidRDefault="000B7C61" w:rsidP="000B7C61">
            <w:pPr>
              <w:spacing w:line="360" w:lineRule="auto"/>
              <w:jc w:val="both"/>
              <w:rPr>
                <w:rFonts w:ascii="Arial" w:hAnsi="Arial" w:cs="Arial"/>
                <w:b/>
                <w:sz w:val="24"/>
                <w:szCs w:val="24"/>
              </w:rPr>
            </w:pPr>
            <w:r>
              <w:rPr>
                <w:rFonts w:ascii="Arial" w:hAnsi="Arial" w:cs="Arial"/>
                <w:b/>
                <w:sz w:val="24"/>
                <w:szCs w:val="24"/>
              </w:rPr>
              <w:t>High Court Ref</w:t>
            </w:r>
          </w:p>
          <w:p w14:paraId="78882126" w14:textId="282FF1E4" w:rsidR="00DA211A" w:rsidRPr="00B14B8D" w:rsidRDefault="000B7C61" w:rsidP="000B7C61">
            <w:pPr>
              <w:spacing w:line="360" w:lineRule="auto"/>
              <w:jc w:val="both"/>
              <w:rPr>
                <w:rFonts w:ascii="Arial" w:hAnsi="Arial" w:cs="Arial"/>
                <w:sz w:val="24"/>
                <w:szCs w:val="24"/>
              </w:rPr>
            </w:pPr>
            <w:r>
              <w:rPr>
                <w:rFonts w:ascii="Arial" w:hAnsi="Arial" w:cs="Arial"/>
                <w:b/>
                <w:sz w:val="24"/>
                <w:szCs w:val="24"/>
              </w:rPr>
              <w:t xml:space="preserve">Case No: </w:t>
            </w:r>
            <w:r w:rsidR="004E7B0B" w:rsidRPr="00DC0257">
              <w:rPr>
                <w:rFonts w:ascii="Arial" w:hAnsi="Arial" w:cs="Arial"/>
                <w:sz w:val="24"/>
                <w:szCs w:val="24"/>
              </w:rPr>
              <w:t>CR</w:t>
            </w:r>
            <w:r w:rsidR="00AD42E8" w:rsidRPr="00DC0257">
              <w:rPr>
                <w:rFonts w:ascii="Arial" w:hAnsi="Arial" w:cs="Arial"/>
                <w:sz w:val="24"/>
                <w:szCs w:val="24"/>
              </w:rPr>
              <w:t xml:space="preserve"> 104/2019</w:t>
            </w:r>
          </w:p>
        </w:tc>
      </w:tr>
      <w:tr w:rsidR="00A12A7A" w14:paraId="401B19D3" w14:textId="77777777" w:rsidTr="00267D03">
        <w:tc>
          <w:tcPr>
            <w:tcW w:w="0" w:type="auto"/>
            <w:tcBorders>
              <w:top w:val="single" w:sz="4" w:space="0" w:color="auto"/>
              <w:left w:val="single" w:sz="4" w:space="0" w:color="auto"/>
              <w:bottom w:val="single" w:sz="4" w:space="0" w:color="auto"/>
              <w:right w:val="single" w:sz="4" w:space="0" w:color="auto"/>
            </w:tcBorders>
            <w:vAlign w:val="center"/>
            <w:hideMark/>
          </w:tcPr>
          <w:p w14:paraId="59224DB5" w14:textId="033FB1BB" w:rsidR="00A12A7A" w:rsidRPr="009D30C9" w:rsidRDefault="00A12A7A" w:rsidP="00267D03">
            <w:pPr>
              <w:spacing w:line="240" w:lineRule="auto"/>
              <w:rPr>
                <w:rFonts w:ascii="Arial" w:hAnsi="Arial" w:cs="Arial"/>
                <w:sz w:val="24"/>
                <w:szCs w:val="24"/>
              </w:rPr>
            </w:pPr>
          </w:p>
          <w:p w14:paraId="140BFEE2" w14:textId="77777777" w:rsidR="00A12A7A" w:rsidRPr="009D30C9" w:rsidRDefault="00A12A7A" w:rsidP="00267D03">
            <w:pPr>
              <w:spacing w:line="240" w:lineRule="auto"/>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14:paraId="2B3DEDAF" w14:textId="4D4A43A8" w:rsidR="00A12A7A" w:rsidRDefault="00A12A7A" w:rsidP="00267D03">
            <w:pPr>
              <w:spacing w:line="360" w:lineRule="auto"/>
              <w:jc w:val="both"/>
              <w:rPr>
                <w:rFonts w:ascii="Arial" w:hAnsi="Arial" w:cs="Arial"/>
                <w:b/>
                <w:sz w:val="24"/>
                <w:szCs w:val="24"/>
              </w:rPr>
            </w:pPr>
            <w:r>
              <w:rPr>
                <w:rFonts w:ascii="Arial" w:hAnsi="Arial" w:cs="Arial"/>
                <w:b/>
                <w:sz w:val="24"/>
                <w:szCs w:val="24"/>
              </w:rPr>
              <w:t xml:space="preserve">Division of Court: </w:t>
            </w:r>
          </w:p>
          <w:p w14:paraId="01D4144A" w14:textId="77777777" w:rsidR="00A12A7A" w:rsidRDefault="00A12A7A" w:rsidP="00267D03">
            <w:pPr>
              <w:spacing w:line="360" w:lineRule="auto"/>
              <w:jc w:val="both"/>
              <w:rPr>
                <w:rFonts w:ascii="Arial" w:hAnsi="Arial" w:cs="Arial"/>
                <w:sz w:val="24"/>
                <w:szCs w:val="24"/>
              </w:rPr>
            </w:pPr>
            <w:r>
              <w:rPr>
                <w:rFonts w:ascii="Arial" w:hAnsi="Arial" w:cs="Arial"/>
                <w:sz w:val="24"/>
                <w:szCs w:val="24"/>
              </w:rPr>
              <w:t>Main Division</w:t>
            </w:r>
          </w:p>
        </w:tc>
      </w:tr>
      <w:tr w:rsidR="00A12A7A" w14:paraId="5E9312A4" w14:textId="77777777" w:rsidTr="00267D03">
        <w:tc>
          <w:tcPr>
            <w:tcW w:w="4655" w:type="dxa"/>
            <w:tcBorders>
              <w:top w:val="single" w:sz="4" w:space="0" w:color="auto"/>
              <w:left w:val="single" w:sz="4" w:space="0" w:color="auto"/>
              <w:bottom w:val="single" w:sz="4" w:space="0" w:color="auto"/>
              <w:right w:val="single" w:sz="4" w:space="0" w:color="auto"/>
            </w:tcBorders>
          </w:tcPr>
          <w:p w14:paraId="6ABA7D4F" w14:textId="77777777" w:rsidR="00A12A7A" w:rsidRDefault="00A12A7A" w:rsidP="00267D03">
            <w:pPr>
              <w:spacing w:line="360" w:lineRule="auto"/>
              <w:jc w:val="both"/>
              <w:rPr>
                <w:rFonts w:ascii="Arial" w:hAnsi="Arial" w:cs="Arial"/>
                <w:b/>
                <w:sz w:val="24"/>
                <w:szCs w:val="24"/>
              </w:rPr>
            </w:pPr>
            <w:r>
              <w:rPr>
                <w:rFonts w:ascii="Arial" w:hAnsi="Arial" w:cs="Arial"/>
                <w:b/>
                <w:sz w:val="24"/>
                <w:szCs w:val="24"/>
              </w:rPr>
              <w:t xml:space="preserve">Heard before:  </w:t>
            </w:r>
          </w:p>
          <w:p w14:paraId="0F661F63" w14:textId="1F21C226"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Honourable </w:t>
            </w:r>
            <w:r w:rsidR="00C02368">
              <w:rPr>
                <w:rFonts w:ascii="Arial" w:hAnsi="Arial" w:cs="Arial"/>
                <w:sz w:val="24"/>
                <w:szCs w:val="24"/>
              </w:rPr>
              <w:t xml:space="preserve">Justice </w:t>
            </w:r>
            <w:r w:rsidR="000701E0">
              <w:rPr>
                <w:rFonts w:ascii="Arial" w:hAnsi="Arial" w:cs="Arial"/>
                <w:sz w:val="24"/>
                <w:szCs w:val="24"/>
              </w:rPr>
              <w:t xml:space="preserve">Shivute </w:t>
            </w:r>
            <w:r>
              <w:rPr>
                <w:rFonts w:ascii="Arial" w:hAnsi="Arial" w:cs="Arial"/>
                <w:i/>
                <w:sz w:val="24"/>
                <w:szCs w:val="24"/>
              </w:rPr>
              <w:t>et</w:t>
            </w:r>
          </w:p>
          <w:p w14:paraId="2743BFB3" w14:textId="493A5896" w:rsidR="00A12A7A" w:rsidRPr="007050ED" w:rsidRDefault="00A12A7A" w:rsidP="00267D03">
            <w:pPr>
              <w:spacing w:line="360" w:lineRule="auto"/>
              <w:jc w:val="both"/>
              <w:rPr>
                <w:rFonts w:ascii="Arial" w:hAnsi="Arial" w:cs="Arial"/>
                <w:sz w:val="24"/>
                <w:szCs w:val="24"/>
              </w:rPr>
            </w:pPr>
            <w:r>
              <w:rPr>
                <w:rFonts w:ascii="Arial" w:hAnsi="Arial" w:cs="Arial"/>
                <w:sz w:val="24"/>
                <w:szCs w:val="24"/>
              </w:rPr>
              <w:t>Honourable Justice Sibeya Actin</w:t>
            </w:r>
            <w:r w:rsidR="007050ED">
              <w:rPr>
                <w:rFonts w:ascii="Arial" w:hAnsi="Arial" w:cs="Arial"/>
                <w:sz w:val="24"/>
                <w:szCs w:val="24"/>
              </w:rPr>
              <w:t>g</w:t>
            </w:r>
          </w:p>
        </w:tc>
        <w:tc>
          <w:tcPr>
            <w:tcW w:w="5268" w:type="dxa"/>
            <w:gridSpan w:val="2"/>
            <w:tcBorders>
              <w:top w:val="single" w:sz="4" w:space="0" w:color="auto"/>
              <w:left w:val="single" w:sz="4" w:space="0" w:color="auto"/>
              <w:bottom w:val="single" w:sz="4" w:space="0" w:color="auto"/>
              <w:right w:val="single" w:sz="4" w:space="0" w:color="auto"/>
            </w:tcBorders>
          </w:tcPr>
          <w:p w14:paraId="0C34C1DA" w14:textId="77777777" w:rsidR="004E7B0B" w:rsidRDefault="00A12A7A" w:rsidP="00267D03">
            <w:pPr>
              <w:spacing w:line="360" w:lineRule="auto"/>
              <w:jc w:val="both"/>
              <w:rPr>
                <w:rFonts w:ascii="Arial" w:hAnsi="Arial" w:cs="Arial"/>
                <w:b/>
                <w:sz w:val="24"/>
                <w:szCs w:val="24"/>
              </w:rPr>
            </w:pPr>
            <w:r>
              <w:rPr>
                <w:rFonts w:ascii="Arial" w:hAnsi="Arial" w:cs="Arial"/>
                <w:b/>
                <w:sz w:val="24"/>
                <w:szCs w:val="24"/>
              </w:rPr>
              <w:t xml:space="preserve">Delivered on:  </w:t>
            </w:r>
          </w:p>
          <w:p w14:paraId="32374D25" w14:textId="13A8FDE1" w:rsidR="00A12A7A" w:rsidRPr="004E7B0B" w:rsidRDefault="00C02368" w:rsidP="00267D03">
            <w:pPr>
              <w:spacing w:line="360" w:lineRule="auto"/>
              <w:jc w:val="both"/>
              <w:rPr>
                <w:rFonts w:ascii="Arial" w:hAnsi="Arial" w:cs="Arial"/>
                <w:b/>
                <w:sz w:val="24"/>
                <w:szCs w:val="24"/>
              </w:rPr>
            </w:pPr>
            <w:r>
              <w:rPr>
                <w:rFonts w:ascii="Arial" w:hAnsi="Arial" w:cs="Arial"/>
                <w:sz w:val="24"/>
                <w:szCs w:val="24"/>
              </w:rPr>
              <w:t xml:space="preserve"> </w:t>
            </w:r>
            <w:r w:rsidR="005879A5">
              <w:rPr>
                <w:rFonts w:ascii="Arial" w:hAnsi="Arial" w:cs="Arial"/>
                <w:sz w:val="24"/>
                <w:szCs w:val="24"/>
              </w:rPr>
              <w:t>1</w:t>
            </w:r>
            <w:r w:rsidR="000E3680">
              <w:rPr>
                <w:rFonts w:ascii="Arial" w:hAnsi="Arial" w:cs="Arial"/>
                <w:sz w:val="24"/>
                <w:szCs w:val="24"/>
              </w:rPr>
              <w:t>2</w:t>
            </w:r>
            <w:r w:rsidR="005879A5">
              <w:rPr>
                <w:rFonts w:ascii="Arial" w:hAnsi="Arial" w:cs="Arial"/>
                <w:sz w:val="24"/>
                <w:szCs w:val="24"/>
              </w:rPr>
              <w:t xml:space="preserve"> </w:t>
            </w:r>
            <w:r w:rsidR="008C0D60">
              <w:rPr>
                <w:rFonts w:ascii="Arial" w:hAnsi="Arial" w:cs="Arial"/>
                <w:sz w:val="24"/>
                <w:szCs w:val="24"/>
              </w:rPr>
              <w:t xml:space="preserve">December </w:t>
            </w:r>
            <w:r w:rsidR="00A12A7A">
              <w:rPr>
                <w:rFonts w:ascii="Arial" w:hAnsi="Arial" w:cs="Arial"/>
                <w:sz w:val="24"/>
                <w:szCs w:val="24"/>
              </w:rPr>
              <w:t>2019</w:t>
            </w:r>
          </w:p>
          <w:p w14:paraId="0E97548B" w14:textId="77777777" w:rsidR="00A12A7A" w:rsidRDefault="00A12A7A" w:rsidP="00267D03">
            <w:pPr>
              <w:spacing w:line="360" w:lineRule="auto"/>
              <w:jc w:val="both"/>
              <w:rPr>
                <w:rFonts w:ascii="Arial" w:hAnsi="Arial" w:cs="Arial"/>
                <w:sz w:val="24"/>
                <w:szCs w:val="24"/>
              </w:rPr>
            </w:pPr>
          </w:p>
        </w:tc>
      </w:tr>
      <w:tr w:rsidR="00A12A7A" w14:paraId="4029E183" w14:textId="77777777" w:rsidTr="00267D03">
        <w:tc>
          <w:tcPr>
            <w:tcW w:w="9923" w:type="dxa"/>
            <w:gridSpan w:val="3"/>
            <w:tcBorders>
              <w:top w:val="single" w:sz="4" w:space="0" w:color="auto"/>
              <w:left w:val="single" w:sz="4" w:space="0" w:color="auto"/>
              <w:bottom w:val="single" w:sz="4" w:space="0" w:color="auto"/>
              <w:right w:val="single" w:sz="4" w:space="0" w:color="auto"/>
            </w:tcBorders>
          </w:tcPr>
          <w:p w14:paraId="50764880" w14:textId="77777777" w:rsidR="00AD42E8" w:rsidRDefault="00AD42E8" w:rsidP="00267D03">
            <w:pPr>
              <w:spacing w:line="360" w:lineRule="auto"/>
              <w:jc w:val="both"/>
              <w:rPr>
                <w:rFonts w:ascii="Arial" w:hAnsi="Arial" w:cs="Arial"/>
                <w:b/>
                <w:sz w:val="24"/>
                <w:szCs w:val="24"/>
              </w:rPr>
            </w:pPr>
          </w:p>
          <w:p w14:paraId="4B3EF59E" w14:textId="12534F2B" w:rsidR="00A12A7A" w:rsidRDefault="00A12A7A" w:rsidP="00267D03">
            <w:pPr>
              <w:spacing w:line="360" w:lineRule="auto"/>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 v </w:t>
            </w:r>
            <w:r w:rsidR="00360E96">
              <w:rPr>
                <w:rFonts w:ascii="Arial" w:hAnsi="Arial" w:cs="Arial"/>
                <w:i/>
                <w:sz w:val="24"/>
                <w:szCs w:val="24"/>
              </w:rPr>
              <w:t>Kawajo</w:t>
            </w:r>
            <w:r>
              <w:rPr>
                <w:rFonts w:ascii="Arial" w:hAnsi="Arial" w:cs="Arial"/>
                <w:i/>
                <w:sz w:val="24"/>
                <w:szCs w:val="24"/>
              </w:rPr>
              <w:t xml:space="preserve"> </w:t>
            </w:r>
            <w:r>
              <w:rPr>
                <w:rFonts w:ascii="Arial" w:hAnsi="Arial" w:cs="Arial"/>
                <w:sz w:val="24"/>
                <w:szCs w:val="24"/>
              </w:rPr>
              <w:t>(</w:t>
            </w:r>
            <w:r w:rsidR="00AD42E8">
              <w:rPr>
                <w:rFonts w:ascii="Arial" w:hAnsi="Arial" w:cs="Arial"/>
                <w:sz w:val="24"/>
                <w:szCs w:val="24"/>
              </w:rPr>
              <w:t>104/2019) [2019]</w:t>
            </w:r>
            <w:r w:rsidR="005879A5">
              <w:rPr>
                <w:rFonts w:ascii="Arial" w:hAnsi="Arial" w:cs="Arial"/>
                <w:sz w:val="24"/>
                <w:szCs w:val="24"/>
              </w:rPr>
              <w:t xml:space="preserve"> </w:t>
            </w:r>
            <w:r w:rsidR="00AD42E8">
              <w:rPr>
                <w:rFonts w:ascii="Arial" w:hAnsi="Arial" w:cs="Arial"/>
                <w:sz w:val="24"/>
                <w:szCs w:val="24"/>
              </w:rPr>
              <w:t xml:space="preserve">NAHCMD </w:t>
            </w:r>
            <w:r w:rsidR="0071703C">
              <w:rPr>
                <w:rFonts w:ascii="Arial" w:hAnsi="Arial" w:cs="Arial"/>
                <w:sz w:val="24"/>
                <w:szCs w:val="24"/>
              </w:rPr>
              <w:t xml:space="preserve">546 </w:t>
            </w:r>
            <w:r w:rsidR="004E7B0B">
              <w:rPr>
                <w:rFonts w:ascii="Arial" w:hAnsi="Arial" w:cs="Arial"/>
                <w:sz w:val="24"/>
                <w:szCs w:val="24"/>
              </w:rPr>
              <w:t>(</w:t>
            </w:r>
            <w:r w:rsidR="005879A5">
              <w:rPr>
                <w:rFonts w:ascii="Arial" w:hAnsi="Arial" w:cs="Arial"/>
                <w:sz w:val="24"/>
                <w:szCs w:val="24"/>
              </w:rPr>
              <w:t>1</w:t>
            </w:r>
            <w:r w:rsidR="004B0810">
              <w:rPr>
                <w:rFonts w:ascii="Arial" w:hAnsi="Arial" w:cs="Arial"/>
                <w:sz w:val="24"/>
                <w:szCs w:val="24"/>
              </w:rPr>
              <w:t>2</w:t>
            </w:r>
            <w:r w:rsidR="008C0D60">
              <w:rPr>
                <w:rFonts w:ascii="Arial" w:hAnsi="Arial" w:cs="Arial"/>
                <w:sz w:val="24"/>
                <w:szCs w:val="24"/>
              </w:rPr>
              <w:t xml:space="preserve"> December </w:t>
            </w:r>
            <w:r>
              <w:rPr>
                <w:rFonts w:ascii="Arial" w:hAnsi="Arial" w:cs="Arial"/>
                <w:sz w:val="24"/>
                <w:szCs w:val="24"/>
              </w:rPr>
              <w:t>2019)</w:t>
            </w:r>
          </w:p>
          <w:p w14:paraId="496198A6" w14:textId="77777777" w:rsidR="00A12A7A" w:rsidRDefault="00A12A7A" w:rsidP="00267D03">
            <w:pPr>
              <w:spacing w:line="360" w:lineRule="auto"/>
              <w:jc w:val="both"/>
              <w:rPr>
                <w:rFonts w:ascii="Arial" w:hAnsi="Arial" w:cs="Arial"/>
                <w:sz w:val="24"/>
                <w:szCs w:val="24"/>
              </w:rPr>
            </w:pPr>
          </w:p>
        </w:tc>
      </w:tr>
      <w:tr w:rsidR="00A12A7A" w14:paraId="438207C5" w14:textId="77777777" w:rsidTr="00267D03">
        <w:trPr>
          <w:trHeight w:val="705"/>
        </w:trPr>
        <w:tc>
          <w:tcPr>
            <w:tcW w:w="9923" w:type="dxa"/>
            <w:gridSpan w:val="3"/>
            <w:tcBorders>
              <w:top w:val="single" w:sz="4" w:space="0" w:color="auto"/>
              <w:left w:val="single" w:sz="4" w:space="0" w:color="auto"/>
              <w:bottom w:val="single" w:sz="4" w:space="0" w:color="auto"/>
              <w:right w:val="single" w:sz="4" w:space="0" w:color="auto"/>
            </w:tcBorders>
          </w:tcPr>
          <w:p w14:paraId="21BD23D3" w14:textId="77777777" w:rsidR="00A12A7A" w:rsidRDefault="00A12A7A" w:rsidP="00FA740C">
            <w:pPr>
              <w:spacing w:line="360" w:lineRule="auto"/>
              <w:jc w:val="both"/>
              <w:rPr>
                <w:rFonts w:ascii="Arial" w:hAnsi="Arial" w:cs="Arial"/>
                <w:b/>
                <w:sz w:val="24"/>
                <w:szCs w:val="24"/>
              </w:rPr>
            </w:pPr>
            <w:r>
              <w:rPr>
                <w:rFonts w:ascii="Arial" w:hAnsi="Arial" w:cs="Arial"/>
                <w:b/>
                <w:sz w:val="24"/>
                <w:szCs w:val="24"/>
              </w:rPr>
              <w:t xml:space="preserve">The order: </w:t>
            </w:r>
          </w:p>
          <w:p w14:paraId="7D549B09" w14:textId="7301D52C" w:rsidR="009B0B54" w:rsidRDefault="009B0B54" w:rsidP="00FA740C">
            <w:pPr>
              <w:pStyle w:val="ListParagraph"/>
              <w:spacing w:line="360" w:lineRule="auto"/>
              <w:ind w:left="1020"/>
              <w:jc w:val="both"/>
              <w:rPr>
                <w:rFonts w:ascii="Arial" w:hAnsi="Arial" w:cs="Arial"/>
                <w:sz w:val="24"/>
                <w:szCs w:val="24"/>
                <w:lang w:val="en-US"/>
              </w:rPr>
            </w:pPr>
            <w:r w:rsidRPr="003B3A96">
              <w:rPr>
                <w:rFonts w:ascii="Arial" w:hAnsi="Arial" w:cs="Arial"/>
                <w:sz w:val="24"/>
                <w:szCs w:val="24"/>
                <w:lang w:val="en-US"/>
              </w:rPr>
              <w:t xml:space="preserve"> </w:t>
            </w:r>
          </w:p>
          <w:p w14:paraId="07B28A66" w14:textId="03FA148D" w:rsidR="00EC5946" w:rsidRDefault="00AC20D2" w:rsidP="00FA740C">
            <w:pPr>
              <w:pStyle w:val="ListParagraph"/>
              <w:numPr>
                <w:ilvl w:val="0"/>
                <w:numId w:val="3"/>
              </w:numPr>
              <w:spacing w:after="200" w:line="360" w:lineRule="auto"/>
              <w:jc w:val="both"/>
              <w:rPr>
                <w:rFonts w:ascii="Arial" w:hAnsi="Arial" w:cs="Arial"/>
                <w:sz w:val="24"/>
              </w:rPr>
            </w:pPr>
            <w:r w:rsidRPr="00F83433">
              <w:rPr>
                <w:rFonts w:ascii="Arial" w:hAnsi="Arial" w:cs="Arial"/>
                <w:sz w:val="24"/>
              </w:rPr>
              <w:t xml:space="preserve">The conviction </w:t>
            </w:r>
            <w:r w:rsidR="00EC5946">
              <w:rPr>
                <w:rFonts w:ascii="Arial" w:hAnsi="Arial" w:cs="Arial"/>
                <w:sz w:val="24"/>
              </w:rPr>
              <w:t xml:space="preserve">on count 1 is confirmed. </w:t>
            </w:r>
          </w:p>
          <w:p w14:paraId="176914FA" w14:textId="17A04F54" w:rsidR="00EC5946" w:rsidRDefault="00EC5946" w:rsidP="00FA740C">
            <w:pPr>
              <w:pStyle w:val="ListParagraph"/>
              <w:numPr>
                <w:ilvl w:val="0"/>
                <w:numId w:val="3"/>
              </w:numPr>
              <w:spacing w:after="200" w:line="360" w:lineRule="auto"/>
              <w:jc w:val="both"/>
              <w:rPr>
                <w:rFonts w:ascii="Arial" w:hAnsi="Arial" w:cs="Arial"/>
                <w:sz w:val="24"/>
              </w:rPr>
            </w:pPr>
            <w:r>
              <w:rPr>
                <w:rFonts w:ascii="Arial" w:hAnsi="Arial" w:cs="Arial"/>
                <w:sz w:val="24"/>
              </w:rPr>
              <w:t xml:space="preserve">The conviction </w:t>
            </w:r>
            <w:r w:rsidR="00BC080C">
              <w:rPr>
                <w:rFonts w:ascii="Arial" w:hAnsi="Arial" w:cs="Arial"/>
                <w:sz w:val="24"/>
              </w:rPr>
              <w:t xml:space="preserve">on </w:t>
            </w:r>
            <w:r>
              <w:rPr>
                <w:rFonts w:ascii="Arial" w:hAnsi="Arial" w:cs="Arial"/>
                <w:sz w:val="24"/>
              </w:rPr>
              <w:t>count 2 is set aside.</w:t>
            </w:r>
          </w:p>
          <w:p w14:paraId="7C101869" w14:textId="11F30D21" w:rsidR="00BC080C" w:rsidRDefault="00BC080C" w:rsidP="00FA740C">
            <w:pPr>
              <w:pStyle w:val="ListParagraph"/>
              <w:numPr>
                <w:ilvl w:val="0"/>
                <w:numId w:val="3"/>
              </w:numPr>
              <w:spacing w:after="200" w:line="360" w:lineRule="auto"/>
              <w:jc w:val="both"/>
              <w:rPr>
                <w:rFonts w:ascii="Arial" w:hAnsi="Arial" w:cs="Arial"/>
                <w:sz w:val="24"/>
              </w:rPr>
            </w:pPr>
            <w:r>
              <w:rPr>
                <w:rFonts w:ascii="Arial" w:hAnsi="Arial" w:cs="Arial"/>
                <w:sz w:val="24"/>
              </w:rPr>
              <w:t xml:space="preserve">The </w:t>
            </w:r>
            <w:r w:rsidR="00A6770C">
              <w:rPr>
                <w:rFonts w:ascii="Arial" w:hAnsi="Arial" w:cs="Arial"/>
                <w:sz w:val="24"/>
              </w:rPr>
              <w:t xml:space="preserve">sentence imposed is set aside and the </w:t>
            </w:r>
            <w:r>
              <w:rPr>
                <w:rFonts w:ascii="Arial" w:hAnsi="Arial" w:cs="Arial"/>
                <w:sz w:val="24"/>
              </w:rPr>
              <w:t xml:space="preserve">matter is referred back to the trial magistrate for sentencing </w:t>
            </w:r>
            <w:r w:rsidR="006D6063">
              <w:rPr>
                <w:rFonts w:ascii="Arial" w:hAnsi="Arial" w:cs="Arial"/>
                <w:sz w:val="24"/>
              </w:rPr>
              <w:t xml:space="preserve">the accused on count 1 </w:t>
            </w:r>
            <w:r>
              <w:rPr>
                <w:rFonts w:ascii="Arial" w:hAnsi="Arial" w:cs="Arial"/>
                <w:sz w:val="24"/>
              </w:rPr>
              <w:t xml:space="preserve">afresh. </w:t>
            </w:r>
          </w:p>
          <w:p w14:paraId="5FC18E2D" w14:textId="3D7F6641" w:rsidR="003B3A96" w:rsidRPr="006C3062" w:rsidRDefault="003B3A96" w:rsidP="00FA740C">
            <w:pPr>
              <w:pStyle w:val="ListParagraph"/>
              <w:spacing w:line="360" w:lineRule="auto"/>
              <w:ind w:left="1080"/>
              <w:rPr>
                <w:rFonts w:ascii="Arial" w:hAnsi="Arial" w:cs="Arial"/>
                <w:sz w:val="24"/>
                <w:szCs w:val="24"/>
                <w:lang w:val="en-US"/>
              </w:rPr>
            </w:pPr>
          </w:p>
          <w:p w14:paraId="507D514F" w14:textId="77777777" w:rsidR="00A12A7A" w:rsidRPr="00F90B5B" w:rsidRDefault="00A12A7A" w:rsidP="00FA740C">
            <w:pPr>
              <w:spacing w:line="360" w:lineRule="auto"/>
              <w:rPr>
                <w:rFonts w:ascii="Arial" w:hAnsi="Arial" w:cs="Arial"/>
                <w:sz w:val="24"/>
                <w:szCs w:val="24"/>
              </w:rPr>
            </w:pPr>
          </w:p>
          <w:p w14:paraId="72A51E23" w14:textId="77777777" w:rsidR="00A12A7A" w:rsidRDefault="00A12A7A" w:rsidP="00FA740C">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A12A7A" w14:paraId="7168CC7C" w14:textId="77777777" w:rsidTr="00267D03">
        <w:trPr>
          <w:trHeight w:val="705"/>
        </w:trPr>
        <w:tc>
          <w:tcPr>
            <w:tcW w:w="9923" w:type="dxa"/>
            <w:gridSpan w:val="3"/>
            <w:tcBorders>
              <w:top w:val="single" w:sz="4" w:space="0" w:color="auto"/>
              <w:left w:val="single" w:sz="4" w:space="0" w:color="auto"/>
              <w:bottom w:val="single" w:sz="4" w:space="0" w:color="auto"/>
              <w:right w:val="single" w:sz="4" w:space="0" w:color="auto"/>
            </w:tcBorders>
          </w:tcPr>
          <w:p w14:paraId="6778840F" w14:textId="77777777" w:rsidR="00720D40" w:rsidRDefault="00720D40" w:rsidP="00FA740C">
            <w:pPr>
              <w:spacing w:after="200" w:line="360" w:lineRule="auto"/>
              <w:rPr>
                <w:rFonts w:ascii="Arial" w:eastAsia="Calibri" w:hAnsi="Arial" w:cs="Arial"/>
                <w:sz w:val="24"/>
                <w:szCs w:val="24"/>
                <w:lang w:val="en-US"/>
              </w:rPr>
            </w:pPr>
          </w:p>
          <w:p w14:paraId="6393BC91" w14:textId="77777777" w:rsidR="00720D40" w:rsidRDefault="00720D40" w:rsidP="00FA740C">
            <w:pPr>
              <w:spacing w:after="200" w:line="360" w:lineRule="auto"/>
              <w:rPr>
                <w:rFonts w:ascii="Arial" w:eastAsia="Calibri" w:hAnsi="Arial" w:cs="Arial"/>
                <w:sz w:val="24"/>
                <w:szCs w:val="24"/>
                <w:lang w:val="en-US"/>
              </w:rPr>
            </w:pPr>
          </w:p>
          <w:p w14:paraId="6E70EF7F" w14:textId="744789A4" w:rsidR="00471883" w:rsidRPr="00471883" w:rsidRDefault="00471883" w:rsidP="00FA740C">
            <w:pPr>
              <w:spacing w:after="200" w:line="360" w:lineRule="auto"/>
              <w:rPr>
                <w:rFonts w:ascii="Arial" w:eastAsia="Calibri" w:hAnsi="Arial" w:cs="Arial"/>
                <w:sz w:val="24"/>
                <w:szCs w:val="24"/>
                <w:lang w:val="en-US"/>
              </w:rPr>
            </w:pPr>
            <w:r w:rsidRPr="00471883">
              <w:rPr>
                <w:rFonts w:ascii="Arial" w:eastAsia="Calibri" w:hAnsi="Arial" w:cs="Arial"/>
                <w:sz w:val="24"/>
                <w:szCs w:val="24"/>
                <w:lang w:val="en-US"/>
              </w:rPr>
              <w:t xml:space="preserve">SIBEYA, AJ and </w:t>
            </w:r>
            <w:r w:rsidR="000701E0">
              <w:rPr>
                <w:rFonts w:ascii="Arial" w:eastAsia="Calibri" w:hAnsi="Arial" w:cs="Arial"/>
                <w:sz w:val="24"/>
                <w:szCs w:val="24"/>
                <w:lang w:val="en-US"/>
              </w:rPr>
              <w:t>SHIVUTE</w:t>
            </w:r>
            <w:r w:rsidR="007050ED">
              <w:rPr>
                <w:rFonts w:ascii="Arial" w:eastAsia="Calibri" w:hAnsi="Arial" w:cs="Arial"/>
                <w:sz w:val="24"/>
                <w:szCs w:val="24"/>
                <w:lang w:val="en-US"/>
              </w:rPr>
              <w:t xml:space="preserve">, J </w:t>
            </w:r>
            <w:r w:rsidRPr="00471883">
              <w:rPr>
                <w:rFonts w:ascii="Arial" w:eastAsia="Calibri" w:hAnsi="Arial" w:cs="Arial"/>
                <w:sz w:val="24"/>
                <w:szCs w:val="24"/>
                <w:lang w:val="en-US"/>
              </w:rPr>
              <w:t>(concurring)</w:t>
            </w:r>
          </w:p>
          <w:p w14:paraId="7DA0E0A8" w14:textId="77777777" w:rsidR="00471883" w:rsidRPr="00471883" w:rsidRDefault="00471883" w:rsidP="00FA740C">
            <w:pPr>
              <w:spacing w:after="200" w:line="360" w:lineRule="auto"/>
              <w:rPr>
                <w:rFonts w:ascii="Arial" w:eastAsia="Calibri" w:hAnsi="Arial" w:cs="Arial"/>
                <w:sz w:val="24"/>
                <w:szCs w:val="24"/>
                <w:lang w:val="en-US"/>
              </w:rPr>
            </w:pPr>
          </w:p>
          <w:p w14:paraId="3F60FB5A" w14:textId="77777777" w:rsidR="00360E96" w:rsidRPr="00471883" w:rsidRDefault="00372EBD" w:rsidP="00FA740C">
            <w:pPr>
              <w:spacing w:after="200" w:line="360" w:lineRule="auto"/>
              <w:jc w:val="both"/>
              <w:rPr>
                <w:rFonts w:ascii="Arial" w:eastAsia="Calibri" w:hAnsi="Arial" w:cs="Arial"/>
                <w:sz w:val="24"/>
                <w:szCs w:val="24"/>
                <w:lang w:val="en-US"/>
              </w:rPr>
            </w:pPr>
            <w:r w:rsidRPr="008E4751">
              <w:rPr>
                <w:rFonts w:ascii="Arial" w:hAnsi="Arial" w:cs="Arial"/>
                <w:sz w:val="24"/>
                <w:szCs w:val="24"/>
              </w:rPr>
              <w:t>[1]</w:t>
            </w:r>
            <w:r>
              <w:rPr>
                <w:rFonts w:ascii="Arial" w:hAnsi="Arial" w:cs="Arial"/>
                <w:sz w:val="24"/>
                <w:szCs w:val="24"/>
              </w:rPr>
              <w:tab/>
            </w:r>
            <w:r w:rsidR="00360E96" w:rsidRPr="00471883">
              <w:rPr>
                <w:rFonts w:ascii="Arial" w:eastAsia="Calibri" w:hAnsi="Arial" w:cs="Arial"/>
                <w:sz w:val="24"/>
                <w:szCs w:val="24"/>
                <w:lang w:val="en-US"/>
              </w:rPr>
              <w:t>This is a review in terms of s 302</w:t>
            </w:r>
            <w:r w:rsidR="00360E96">
              <w:rPr>
                <w:rFonts w:ascii="Arial" w:eastAsia="Calibri" w:hAnsi="Arial" w:cs="Arial"/>
                <w:sz w:val="24"/>
                <w:szCs w:val="24"/>
                <w:lang w:val="en-US"/>
              </w:rPr>
              <w:t>(1)</w:t>
            </w:r>
            <w:r w:rsidR="00360E96" w:rsidRPr="00471883">
              <w:rPr>
                <w:rFonts w:ascii="Arial" w:eastAsia="Calibri" w:hAnsi="Arial" w:cs="Arial"/>
                <w:sz w:val="24"/>
                <w:szCs w:val="24"/>
                <w:lang w:val="en-US"/>
              </w:rPr>
              <w:t xml:space="preserve"> of the Criminal Procedure Act 51 of 1977 (the CPA).</w:t>
            </w:r>
          </w:p>
          <w:p w14:paraId="06978384" w14:textId="77777777" w:rsidR="00360E96" w:rsidRPr="00471883" w:rsidRDefault="00360E96" w:rsidP="00FA740C">
            <w:pPr>
              <w:spacing w:after="200" w:line="360" w:lineRule="auto"/>
              <w:jc w:val="both"/>
              <w:rPr>
                <w:rFonts w:ascii="Arial" w:eastAsia="Calibri" w:hAnsi="Arial" w:cs="Arial"/>
                <w:color w:val="FF0000"/>
                <w:sz w:val="24"/>
                <w:szCs w:val="24"/>
                <w:lang w:val="en-US"/>
              </w:rPr>
            </w:pPr>
          </w:p>
          <w:p w14:paraId="4BD1F13E" w14:textId="55204DB2" w:rsidR="00720D40" w:rsidRDefault="00360E96" w:rsidP="00FA740C">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 xml:space="preserve">[2]      </w:t>
            </w:r>
            <w:r w:rsidR="000E3680">
              <w:rPr>
                <w:rFonts w:ascii="Arial" w:eastAsia="Calibri" w:hAnsi="Arial" w:cs="Arial"/>
                <w:sz w:val="24"/>
                <w:szCs w:val="24"/>
                <w:lang w:val="en-US"/>
              </w:rPr>
              <w:t xml:space="preserve"> </w:t>
            </w:r>
            <w:r>
              <w:rPr>
                <w:rFonts w:ascii="Arial" w:eastAsia="Calibri" w:hAnsi="Arial" w:cs="Arial"/>
                <w:sz w:val="24"/>
                <w:szCs w:val="24"/>
                <w:lang w:val="en-US"/>
              </w:rPr>
              <w:t xml:space="preserve">The accused appeared in the magistrate’s court for </w:t>
            </w:r>
            <w:r w:rsidRPr="00471883">
              <w:rPr>
                <w:rFonts w:ascii="Arial" w:eastAsia="Calibri" w:hAnsi="Arial" w:cs="Arial"/>
                <w:sz w:val="24"/>
                <w:szCs w:val="24"/>
                <w:lang w:val="en-US"/>
              </w:rPr>
              <w:t xml:space="preserve">the district of </w:t>
            </w:r>
            <w:r w:rsidR="00720D40">
              <w:rPr>
                <w:rFonts w:ascii="Arial" w:eastAsia="Calibri" w:hAnsi="Arial" w:cs="Arial"/>
                <w:sz w:val="24"/>
                <w:szCs w:val="24"/>
                <w:lang w:val="en-US"/>
              </w:rPr>
              <w:t xml:space="preserve">Otjiwarongo </w:t>
            </w:r>
            <w:r>
              <w:rPr>
                <w:rFonts w:ascii="Arial" w:eastAsia="Calibri" w:hAnsi="Arial" w:cs="Arial"/>
                <w:sz w:val="24"/>
                <w:szCs w:val="24"/>
                <w:lang w:val="en-US"/>
              </w:rPr>
              <w:t xml:space="preserve">charged with the </w:t>
            </w:r>
            <w:r w:rsidR="00720D40">
              <w:rPr>
                <w:rFonts w:ascii="Arial" w:eastAsia="Calibri" w:hAnsi="Arial" w:cs="Arial"/>
                <w:sz w:val="24"/>
                <w:szCs w:val="24"/>
                <w:lang w:val="en-US"/>
              </w:rPr>
              <w:t xml:space="preserve">following </w:t>
            </w:r>
            <w:r>
              <w:rPr>
                <w:rFonts w:ascii="Arial" w:eastAsia="Calibri" w:hAnsi="Arial" w:cs="Arial"/>
                <w:sz w:val="24"/>
                <w:szCs w:val="24"/>
                <w:lang w:val="en-US"/>
              </w:rPr>
              <w:t>offence</w:t>
            </w:r>
            <w:r w:rsidR="00720D40">
              <w:rPr>
                <w:rFonts w:ascii="Arial" w:eastAsia="Calibri" w:hAnsi="Arial" w:cs="Arial"/>
                <w:sz w:val="24"/>
                <w:szCs w:val="24"/>
                <w:lang w:val="en-US"/>
              </w:rPr>
              <w:t>s:</w:t>
            </w:r>
          </w:p>
          <w:p w14:paraId="12ED5B31" w14:textId="77777777" w:rsidR="00720D40" w:rsidRDefault="00720D40" w:rsidP="00FA740C">
            <w:pPr>
              <w:spacing w:after="200" w:line="360" w:lineRule="auto"/>
              <w:jc w:val="both"/>
              <w:rPr>
                <w:rFonts w:ascii="Arial" w:eastAsia="Calibri" w:hAnsi="Arial" w:cs="Arial"/>
                <w:sz w:val="24"/>
                <w:szCs w:val="24"/>
                <w:lang w:val="en-US"/>
              </w:rPr>
            </w:pPr>
          </w:p>
          <w:p w14:paraId="6B826894" w14:textId="03C672F0" w:rsidR="00E301EB" w:rsidRPr="000E3680" w:rsidRDefault="00720D40" w:rsidP="00FA740C">
            <w:pPr>
              <w:spacing w:after="200" w:line="360" w:lineRule="auto"/>
              <w:jc w:val="both"/>
              <w:rPr>
                <w:rFonts w:ascii="Arial" w:eastAsia="Calibri" w:hAnsi="Arial" w:cs="Arial"/>
                <w:lang w:val="en-US"/>
              </w:rPr>
            </w:pPr>
            <w:r w:rsidRPr="000E3680">
              <w:rPr>
                <w:rFonts w:ascii="Arial" w:eastAsia="Calibri" w:hAnsi="Arial" w:cs="Arial"/>
                <w:lang w:val="en-US"/>
              </w:rPr>
              <w:t xml:space="preserve">     </w:t>
            </w:r>
            <w:r w:rsidR="000E3680" w:rsidRPr="000E3680">
              <w:rPr>
                <w:rFonts w:ascii="Arial" w:eastAsia="Calibri" w:hAnsi="Arial" w:cs="Arial"/>
                <w:lang w:val="en-US"/>
              </w:rPr>
              <w:t xml:space="preserve">     </w:t>
            </w:r>
            <w:r w:rsidRPr="000E3680">
              <w:rPr>
                <w:rFonts w:ascii="Arial" w:eastAsia="Calibri" w:hAnsi="Arial" w:cs="Arial"/>
                <w:lang w:val="en-US"/>
              </w:rPr>
              <w:t xml:space="preserve">‘Count 1 – </w:t>
            </w:r>
            <w:r w:rsidR="00A43CF6" w:rsidRPr="000E3680">
              <w:rPr>
                <w:rFonts w:ascii="Arial" w:eastAsia="Calibri" w:hAnsi="Arial" w:cs="Arial"/>
                <w:lang w:val="en-US"/>
              </w:rPr>
              <w:t>c</w:t>
            </w:r>
            <w:r w:rsidRPr="000E3680">
              <w:rPr>
                <w:rFonts w:ascii="Arial" w:eastAsia="Calibri" w:hAnsi="Arial" w:cs="Arial"/>
                <w:lang w:val="en-US"/>
              </w:rPr>
              <w:t xml:space="preserve">ontravening section 30(1)(a) </w:t>
            </w:r>
            <w:r w:rsidR="00E301EB" w:rsidRPr="000E3680">
              <w:rPr>
                <w:rFonts w:ascii="Arial" w:eastAsia="Calibri" w:hAnsi="Arial" w:cs="Arial"/>
                <w:lang w:val="en-US"/>
              </w:rPr>
              <w:t xml:space="preserve">read with sections 1, 30(1)(b), 30(1)(c), 85, 89 and 89A of ordinance </w:t>
            </w:r>
            <w:r w:rsidRPr="000E3680">
              <w:rPr>
                <w:rFonts w:ascii="Arial" w:eastAsia="Calibri" w:hAnsi="Arial" w:cs="Arial"/>
                <w:lang w:val="en-US"/>
              </w:rPr>
              <w:t>4 of 1975</w:t>
            </w:r>
            <w:r w:rsidR="00E301EB" w:rsidRPr="000E3680">
              <w:rPr>
                <w:rFonts w:ascii="Arial" w:eastAsia="Calibri" w:hAnsi="Arial" w:cs="Arial"/>
                <w:lang w:val="en-US"/>
              </w:rPr>
              <w:t>, as amended, and further read with sections 90 and 250 of Act 51 of 1977.</w:t>
            </w:r>
          </w:p>
          <w:p w14:paraId="2BA4E2E9" w14:textId="5873E0CB" w:rsidR="00E301EB" w:rsidRPr="000E3680" w:rsidRDefault="00E301EB" w:rsidP="00FA740C">
            <w:pPr>
              <w:spacing w:after="200" w:line="360" w:lineRule="auto"/>
              <w:jc w:val="both"/>
              <w:rPr>
                <w:rFonts w:ascii="Arial" w:eastAsia="Calibri" w:hAnsi="Arial" w:cs="Arial"/>
                <w:lang w:val="en-US"/>
              </w:rPr>
            </w:pPr>
            <w:r w:rsidRPr="000E3680">
              <w:rPr>
                <w:rFonts w:ascii="Arial" w:eastAsia="Calibri" w:hAnsi="Arial" w:cs="Arial"/>
                <w:lang w:val="en-US"/>
              </w:rPr>
              <w:t>In that upon or about the 06</w:t>
            </w:r>
            <w:r w:rsidRPr="000E3680">
              <w:rPr>
                <w:rFonts w:ascii="Arial" w:eastAsia="Calibri" w:hAnsi="Arial" w:cs="Arial"/>
                <w:vertAlign w:val="superscript"/>
                <w:lang w:val="en-US"/>
              </w:rPr>
              <w:t>th</w:t>
            </w:r>
            <w:r w:rsidRPr="000E3680">
              <w:rPr>
                <w:rFonts w:ascii="Arial" w:eastAsia="Calibri" w:hAnsi="Arial" w:cs="Arial"/>
                <w:lang w:val="en-US"/>
              </w:rPr>
              <w:t xml:space="preserve"> September 2019 at or near Farm Hebron in the district of Otjiwarongo the said accused di wrongfully and unlawfully hunt huntable game, to wit 1 x oryx valued at N$3000.00 without a permit or written authority to do so. </w:t>
            </w:r>
          </w:p>
          <w:p w14:paraId="7083B17F" w14:textId="073D489B" w:rsidR="00A43CF6" w:rsidRPr="000E3680" w:rsidRDefault="00A43CF6" w:rsidP="00FA740C">
            <w:pPr>
              <w:spacing w:after="200" w:line="360" w:lineRule="auto"/>
              <w:jc w:val="both"/>
              <w:rPr>
                <w:rFonts w:ascii="Arial" w:eastAsia="Calibri" w:hAnsi="Arial" w:cs="Arial"/>
                <w:lang w:val="en-US"/>
              </w:rPr>
            </w:pPr>
          </w:p>
          <w:p w14:paraId="5517EC38" w14:textId="78FA407F" w:rsidR="00A43CF6" w:rsidRPr="000E3680" w:rsidRDefault="00A43CF6" w:rsidP="00FA740C">
            <w:pPr>
              <w:spacing w:after="200" w:line="360" w:lineRule="auto"/>
              <w:jc w:val="both"/>
              <w:rPr>
                <w:rFonts w:ascii="Arial" w:eastAsia="Calibri" w:hAnsi="Arial" w:cs="Arial"/>
                <w:lang w:val="en-US"/>
              </w:rPr>
            </w:pPr>
            <w:r w:rsidRPr="000E3680">
              <w:rPr>
                <w:rFonts w:ascii="Arial" w:eastAsia="Calibri" w:hAnsi="Arial" w:cs="Arial"/>
                <w:lang w:val="en-US"/>
              </w:rPr>
              <w:t xml:space="preserve">Count 2 – contravening section </w:t>
            </w:r>
            <w:r w:rsidR="00220C64" w:rsidRPr="000E3680">
              <w:rPr>
                <w:rFonts w:ascii="Arial" w:eastAsia="Calibri" w:hAnsi="Arial" w:cs="Arial"/>
                <w:lang w:val="en-US"/>
              </w:rPr>
              <w:t>1(1)</w:t>
            </w:r>
            <w:r w:rsidR="00360E96" w:rsidRPr="000E3680">
              <w:rPr>
                <w:rFonts w:ascii="Arial" w:eastAsia="Calibri" w:hAnsi="Arial" w:cs="Arial"/>
                <w:lang w:val="en-US"/>
              </w:rPr>
              <w:t xml:space="preserve"> </w:t>
            </w:r>
            <w:r w:rsidR="00220C64" w:rsidRPr="000E3680">
              <w:rPr>
                <w:rFonts w:ascii="Arial" w:eastAsia="Calibri" w:hAnsi="Arial" w:cs="Arial"/>
                <w:lang w:val="en-US"/>
              </w:rPr>
              <w:t>of the Trespass Ordinance</w:t>
            </w:r>
            <w:r w:rsidRPr="000E3680">
              <w:rPr>
                <w:rFonts w:ascii="Arial" w:eastAsia="Calibri" w:hAnsi="Arial" w:cs="Arial"/>
                <w:lang w:val="en-US"/>
              </w:rPr>
              <w:t>, 1962 (Ordinance 3 of 1962) as amended by Act 20 of 1985</w:t>
            </w:r>
            <w:r w:rsidR="00E301EB" w:rsidRPr="000E3680">
              <w:rPr>
                <w:rFonts w:ascii="Arial" w:eastAsia="Calibri" w:hAnsi="Arial" w:cs="Arial"/>
                <w:lang w:val="en-US"/>
              </w:rPr>
              <w:t xml:space="preserve">. </w:t>
            </w:r>
          </w:p>
          <w:p w14:paraId="4E91C7BE" w14:textId="7818A61A" w:rsidR="00A43CF6" w:rsidRPr="000E3680" w:rsidRDefault="00A43CF6" w:rsidP="00FA740C">
            <w:pPr>
              <w:spacing w:after="200" w:line="360" w:lineRule="auto"/>
              <w:jc w:val="both"/>
              <w:rPr>
                <w:rFonts w:ascii="Arial" w:eastAsia="Calibri" w:hAnsi="Arial" w:cs="Arial"/>
                <w:lang w:val="en-US"/>
              </w:rPr>
            </w:pPr>
            <w:r w:rsidRPr="000E3680">
              <w:rPr>
                <w:rFonts w:ascii="Arial" w:eastAsia="Calibri" w:hAnsi="Arial" w:cs="Arial"/>
                <w:lang w:val="en-US"/>
              </w:rPr>
              <w:t>In that upon or about the 06</w:t>
            </w:r>
            <w:r w:rsidRPr="000E3680">
              <w:rPr>
                <w:rFonts w:ascii="Arial" w:eastAsia="Calibri" w:hAnsi="Arial" w:cs="Arial"/>
                <w:vertAlign w:val="superscript"/>
                <w:lang w:val="en-US"/>
              </w:rPr>
              <w:t>th</w:t>
            </w:r>
            <w:r w:rsidRPr="000E3680">
              <w:rPr>
                <w:rFonts w:ascii="Arial" w:eastAsia="Calibri" w:hAnsi="Arial" w:cs="Arial"/>
                <w:lang w:val="en-US"/>
              </w:rPr>
              <w:t xml:space="preserve"> September 2019 and at or near Farm Hebron in the district of Otjiwarongo the accused did unlawfully enter and was upon land situated at Farm Hebron without the permission of the lawful occupier of such land or building or part of a building, or of a person authorized by or on behalf of such lawful occupier to give such permission, or of the owner or person in charge of land or a building or part of a building that is not lawfully occupied by any person.’ </w:t>
            </w:r>
          </w:p>
          <w:p w14:paraId="753B4142" w14:textId="77777777" w:rsidR="00360E96" w:rsidRPr="00471883" w:rsidRDefault="00360E96" w:rsidP="00FA740C">
            <w:pPr>
              <w:spacing w:after="200" w:line="360" w:lineRule="auto"/>
              <w:jc w:val="both"/>
              <w:rPr>
                <w:rFonts w:ascii="Arial" w:eastAsia="Calibri" w:hAnsi="Arial" w:cs="Arial"/>
                <w:lang w:val="en-US"/>
              </w:rPr>
            </w:pPr>
          </w:p>
          <w:p w14:paraId="7D437EC7" w14:textId="43D5169F" w:rsidR="00360E96" w:rsidRDefault="00360E96" w:rsidP="00FA740C">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[3</w:t>
            </w:r>
            <w:r>
              <w:rPr>
                <w:rFonts w:ascii="Arial" w:eastAsia="Calibri" w:hAnsi="Arial" w:cs="Arial"/>
                <w:sz w:val="24"/>
                <w:szCs w:val="24"/>
                <w:lang w:val="en-US"/>
              </w:rPr>
              <w:t xml:space="preserve">]   </w:t>
            </w:r>
            <w:r w:rsidR="000E3680">
              <w:rPr>
                <w:rFonts w:ascii="Arial" w:eastAsia="Calibri" w:hAnsi="Arial" w:cs="Arial"/>
                <w:sz w:val="24"/>
                <w:szCs w:val="24"/>
                <w:lang w:val="en-US"/>
              </w:rPr>
              <w:t xml:space="preserve">   </w:t>
            </w:r>
            <w:r w:rsidRPr="00471883">
              <w:rPr>
                <w:rFonts w:ascii="Arial" w:eastAsia="Calibri" w:hAnsi="Arial" w:cs="Arial"/>
                <w:sz w:val="24"/>
                <w:szCs w:val="24"/>
                <w:lang w:val="en-US"/>
              </w:rPr>
              <w:t xml:space="preserve">The accused pleaded guilty </w:t>
            </w:r>
            <w:r>
              <w:rPr>
                <w:rFonts w:ascii="Arial" w:eastAsia="Calibri" w:hAnsi="Arial" w:cs="Arial"/>
                <w:sz w:val="24"/>
                <w:szCs w:val="24"/>
                <w:lang w:val="en-US"/>
              </w:rPr>
              <w:t xml:space="preserve">to the </w:t>
            </w:r>
            <w:r w:rsidR="00FE1A2E">
              <w:rPr>
                <w:rFonts w:ascii="Arial" w:eastAsia="Calibri" w:hAnsi="Arial" w:cs="Arial"/>
                <w:sz w:val="24"/>
                <w:szCs w:val="24"/>
                <w:lang w:val="en-US"/>
              </w:rPr>
              <w:t xml:space="preserve">above </w:t>
            </w:r>
            <w:r>
              <w:rPr>
                <w:rFonts w:ascii="Arial" w:eastAsia="Calibri" w:hAnsi="Arial" w:cs="Arial"/>
                <w:sz w:val="24"/>
                <w:szCs w:val="24"/>
                <w:lang w:val="en-US"/>
              </w:rPr>
              <w:t>charge</w:t>
            </w:r>
            <w:r w:rsidR="00FE1A2E">
              <w:rPr>
                <w:rFonts w:ascii="Arial" w:eastAsia="Calibri" w:hAnsi="Arial" w:cs="Arial"/>
                <w:sz w:val="24"/>
                <w:szCs w:val="24"/>
                <w:lang w:val="en-US"/>
              </w:rPr>
              <w:t xml:space="preserve">s where after the court questioned him </w:t>
            </w:r>
            <w:r>
              <w:rPr>
                <w:rFonts w:ascii="Arial" w:eastAsia="Calibri" w:hAnsi="Arial" w:cs="Arial"/>
                <w:sz w:val="24"/>
                <w:szCs w:val="24"/>
                <w:lang w:val="en-US"/>
              </w:rPr>
              <w:t xml:space="preserve">in terms of section 112(1)(b) </w:t>
            </w:r>
            <w:r w:rsidRPr="00471883">
              <w:rPr>
                <w:rFonts w:ascii="Arial" w:eastAsia="Calibri" w:hAnsi="Arial" w:cs="Arial"/>
                <w:sz w:val="24"/>
                <w:szCs w:val="24"/>
                <w:lang w:val="en-US"/>
              </w:rPr>
              <w:t>of the CPA</w:t>
            </w:r>
            <w:r w:rsidR="00FE1A2E">
              <w:rPr>
                <w:rFonts w:ascii="Arial" w:eastAsia="Calibri" w:hAnsi="Arial" w:cs="Arial"/>
                <w:sz w:val="24"/>
                <w:szCs w:val="24"/>
                <w:lang w:val="en-US"/>
              </w:rPr>
              <w:t xml:space="preserve"> on count 1 whilst invoking section 112(1)(a) in </w:t>
            </w:r>
            <w:r w:rsidR="00FE1A2E">
              <w:rPr>
                <w:rFonts w:ascii="Arial" w:eastAsia="Calibri" w:hAnsi="Arial" w:cs="Arial"/>
                <w:sz w:val="24"/>
                <w:szCs w:val="24"/>
                <w:lang w:val="en-US"/>
              </w:rPr>
              <w:lastRenderedPageBreak/>
              <w:t>respect of count 2. The accused was subsequently convicted as charged on both counts and while taking the two counts together</w:t>
            </w:r>
            <w:r w:rsidR="000E3680">
              <w:rPr>
                <w:rFonts w:ascii="Arial" w:eastAsia="Calibri" w:hAnsi="Arial" w:cs="Arial"/>
                <w:sz w:val="24"/>
                <w:szCs w:val="24"/>
                <w:lang w:val="en-US"/>
              </w:rPr>
              <w:t>,</w:t>
            </w:r>
            <w:r w:rsidR="00FE1A2E">
              <w:rPr>
                <w:rFonts w:ascii="Arial" w:eastAsia="Calibri" w:hAnsi="Arial" w:cs="Arial"/>
                <w:sz w:val="24"/>
                <w:szCs w:val="24"/>
                <w:lang w:val="en-US"/>
              </w:rPr>
              <w:t xml:space="preserve"> </w:t>
            </w:r>
            <w:r w:rsidR="006F4105">
              <w:rPr>
                <w:rFonts w:ascii="Arial" w:eastAsia="Calibri" w:hAnsi="Arial" w:cs="Arial"/>
                <w:sz w:val="24"/>
                <w:szCs w:val="24"/>
                <w:lang w:val="en-US"/>
              </w:rPr>
              <w:t xml:space="preserve">the court </w:t>
            </w:r>
            <w:r w:rsidR="00FE1A2E">
              <w:rPr>
                <w:rFonts w:ascii="Arial" w:eastAsia="Calibri" w:hAnsi="Arial" w:cs="Arial"/>
                <w:sz w:val="24"/>
                <w:szCs w:val="24"/>
                <w:lang w:val="en-US"/>
              </w:rPr>
              <w:t>sentenced him to</w:t>
            </w:r>
            <w:r w:rsidR="003C4BA8">
              <w:rPr>
                <w:rFonts w:ascii="Arial" w:eastAsia="Calibri" w:hAnsi="Arial" w:cs="Arial"/>
                <w:sz w:val="24"/>
                <w:szCs w:val="24"/>
                <w:lang w:val="en-US"/>
              </w:rPr>
              <w:t xml:space="preserve"> a</w:t>
            </w:r>
            <w:r w:rsidRPr="00471883">
              <w:rPr>
                <w:rFonts w:ascii="Arial" w:eastAsia="Calibri" w:hAnsi="Arial" w:cs="Arial"/>
                <w:sz w:val="24"/>
                <w:szCs w:val="24"/>
                <w:lang w:val="en-US"/>
              </w:rPr>
              <w:t xml:space="preserve"> fine of N$</w:t>
            </w:r>
            <w:r w:rsidR="003C4BA8">
              <w:rPr>
                <w:rFonts w:ascii="Arial" w:eastAsia="Calibri" w:hAnsi="Arial" w:cs="Arial"/>
                <w:sz w:val="24"/>
                <w:szCs w:val="24"/>
                <w:lang w:val="en-US"/>
              </w:rPr>
              <w:t>4</w:t>
            </w:r>
            <w:r>
              <w:rPr>
                <w:rFonts w:ascii="Arial" w:eastAsia="Calibri" w:hAnsi="Arial" w:cs="Arial"/>
                <w:sz w:val="24"/>
                <w:szCs w:val="24"/>
                <w:lang w:val="en-US"/>
              </w:rPr>
              <w:t xml:space="preserve">,000 </w:t>
            </w:r>
            <w:r w:rsidRPr="00471883">
              <w:rPr>
                <w:rFonts w:ascii="Arial" w:eastAsia="Calibri" w:hAnsi="Arial" w:cs="Arial"/>
                <w:sz w:val="24"/>
                <w:szCs w:val="24"/>
                <w:lang w:val="en-US"/>
              </w:rPr>
              <w:t xml:space="preserve">or </w:t>
            </w:r>
            <w:r>
              <w:rPr>
                <w:rFonts w:ascii="Arial" w:eastAsia="Calibri" w:hAnsi="Arial" w:cs="Arial"/>
                <w:sz w:val="24"/>
                <w:szCs w:val="24"/>
                <w:lang w:val="en-US"/>
              </w:rPr>
              <w:t xml:space="preserve">12 months’ </w:t>
            </w:r>
            <w:r w:rsidRPr="00471883">
              <w:rPr>
                <w:rFonts w:ascii="Arial" w:eastAsia="Calibri" w:hAnsi="Arial" w:cs="Arial"/>
                <w:sz w:val="24"/>
                <w:szCs w:val="24"/>
                <w:lang w:val="en-US"/>
              </w:rPr>
              <w:t>imprisonment</w:t>
            </w:r>
            <w:r>
              <w:rPr>
                <w:rFonts w:ascii="Arial" w:eastAsia="Calibri" w:hAnsi="Arial" w:cs="Arial"/>
                <w:sz w:val="24"/>
                <w:szCs w:val="24"/>
                <w:lang w:val="en-US"/>
              </w:rPr>
              <w:t xml:space="preserve">.   </w:t>
            </w:r>
          </w:p>
          <w:p w14:paraId="21639799" w14:textId="77777777" w:rsidR="00360E96" w:rsidRPr="00471883" w:rsidRDefault="00360E96" w:rsidP="00FA740C">
            <w:pPr>
              <w:spacing w:after="200" w:line="360" w:lineRule="auto"/>
              <w:jc w:val="both"/>
              <w:rPr>
                <w:rFonts w:ascii="Arial" w:eastAsia="Calibri" w:hAnsi="Arial" w:cs="Arial"/>
                <w:sz w:val="24"/>
                <w:szCs w:val="24"/>
                <w:lang w:val="en-US"/>
              </w:rPr>
            </w:pPr>
          </w:p>
          <w:p w14:paraId="023A7B64" w14:textId="3A20CCE0" w:rsidR="00A720CD" w:rsidRDefault="00360E96" w:rsidP="00FA740C">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w:t>
            </w:r>
            <w:r>
              <w:rPr>
                <w:rFonts w:ascii="Arial" w:eastAsia="Calibri" w:hAnsi="Arial" w:cs="Arial"/>
                <w:sz w:val="24"/>
                <w:szCs w:val="24"/>
                <w:lang w:val="en-US"/>
              </w:rPr>
              <w:t>4</w:t>
            </w:r>
            <w:r w:rsidRPr="00471883">
              <w:rPr>
                <w:rFonts w:ascii="Arial" w:eastAsia="Calibri" w:hAnsi="Arial" w:cs="Arial"/>
                <w:sz w:val="24"/>
                <w:szCs w:val="24"/>
                <w:lang w:val="en-US"/>
              </w:rPr>
              <w:t xml:space="preserve">]    </w:t>
            </w:r>
            <w:r w:rsidR="000E3680">
              <w:rPr>
                <w:rFonts w:ascii="Arial" w:eastAsia="Calibri" w:hAnsi="Arial" w:cs="Arial"/>
                <w:sz w:val="24"/>
                <w:szCs w:val="24"/>
                <w:lang w:val="en-US"/>
              </w:rPr>
              <w:t xml:space="preserve"> </w:t>
            </w:r>
            <w:r w:rsidR="00A720CD">
              <w:rPr>
                <w:rFonts w:ascii="Arial" w:eastAsia="Calibri" w:hAnsi="Arial" w:cs="Arial"/>
                <w:sz w:val="24"/>
                <w:szCs w:val="24"/>
                <w:lang w:val="en-US"/>
              </w:rPr>
              <w:t>A query was addressed to the magistrate as to why count one and count two were taken together for purposes of sentencing while the two are distinct statutory offences.</w:t>
            </w:r>
          </w:p>
          <w:p w14:paraId="4F5777E8" w14:textId="699FD539" w:rsidR="00A720CD" w:rsidRDefault="00A720CD" w:rsidP="00FA740C">
            <w:pPr>
              <w:spacing w:after="200" w:line="360" w:lineRule="auto"/>
              <w:jc w:val="both"/>
              <w:rPr>
                <w:rFonts w:ascii="Arial" w:eastAsia="Calibri" w:hAnsi="Arial" w:cs="Arial"/>
                <w:sz w:val="24"/>
                <w:szCs w:val="24"/>
                <w:lang w:val="en-US"/>
              </w:rPr>
            </w:pPr>
          </w:p>
          <w:p w14:paraId="33C3D2A9" w14:textId="5D6829B2" w:rsidR="00A720CD" w:rsidRDefault="00A720CD" w:rsidP="00FA740C">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[5]      The magistrate in her response stated that:</w:t>
            </w:r>
          </w:p>
          <w:p w14:paraId="25AD814A" w14:textId="6ABA96F9" w:rsidR="00A720CD" w:rsidRDefault="00A720CD" w:rsidP="00FA740C">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r w:rsidRPr="00A720CD">
              <w:rPr>
                <w:rFonts w:ascii="Arial" w:eastAsia="Calibri" w:hAnsi="Arial" w:cs="Arial"/>
                <w:lang w:val="en-US"/>
              </w:rPr>
              <w:t>Herewith the author concedes that each count should have been sentenced separately. I trust the Honourable Reviewing Judge will deal with the matter accordingly</w:t>
            </w:r>
            <w:r>
              <w:rPr>
                <w:rFonts w:ascii="Arial" w:eastAsia="Calibri" w:hAnsi="Arial" w:cs="Arial"/>
                <w:sz w:val="24"/>
                <w:szCs w:val="24"/>
                <w:lang w:val="en-US"/>
              </w:rPr>
              <w:t>.’</w:t>
            </w:r>
          </w:p>
          <w:p w14:paraId="443F402C" w14:textId="498DC228" w:rsidR="00A720CD" w:rsidRDefault="00A720CD" w:rsidP="00FA740C">
            <w:pPr>
              <w:spacing w:after="200" w:line="360" w:lineRule="auto"/>
              <w:jc w:val="both"/>
              <w:rPr>
                <w:rFonts w:ascii="Arial" w:eastAsia="Calibri" w:hAnsi="Arial" w:cs="Arial"/>
                <w:sz w:val="24"/>
                <w:szCs w:val="24"/>
                <w:lang w:val="en-US"/>
              </w:rPr>
            </w:pPr>
          </w:p>
          <w:p w14:paraId="16DC6A30" w14:textId="68A40096" w:rsidR="00372EBD" w:rsidRDefault="00A720CD" w:rsidP="00FA740C">
            <w:pPr>
              <w:spacing w:after="200" w:line="360" w:lineRule="auto"/>
              <w:jc w:val="both"/>
              <w:rPr>
                <w:rFonts w:ascii="Arial" w:hAnsi="Arial" w:cs="Arial"/>
                <w:sz w:val="24"/>
                <w:szCs w:val="24"/>
              </w:rPr>
            </w:pPr>
            <w:r>
              <w:rPr>
                <w:rFonts w:ascii="Arial" w:hAnsi="Arial" w:cs="Arial"/>
                <w:sz w:val="24"/>
                <w:szCs w:val="24"/>
              </w:rPr>
              <w:t xml:space="preserve">[6]      </w:t>
            </w:r>
            <w:r w:rsidR="00E351E1">
              <w:rPr>
                <w:rFonts w:ascii="Arial" w:hAnsi="Arial" w:cs="Arial"/>
                <w:sz w:val="24"/>
                <w:szCs w:val="24"/>
              </w:rPr>
              <w:t xml:space="preserve">It should be noted that the </w:t>
            </w:r>
            <w:r w:rsidR="00372EBD">
              <w:rPr>
                <w:rFonts w:ascii="Arial" w:hAnsi="Arial" w:cs="Arial"/>
                <w:sz w:val="24"/>
                <w:szCs w:val="24"/>
              </w:rPr>
              <w:t xml:space="preserve">CPA does not </w:t>
            </w:r>
            <w:r w:rsidR="00E351E1">
              <w:rPr>
                <w:rFonts w:ascii="Arial" w:hAnsi="Arial" w:cs="Arial"/>
                <w:sz w:val="24"/>
                <w:szCs w:val="24"/>
              </w:rPr>
              <w:t>particularly provide for the process of t</w:t>
            </w:r>
            <w:r w:rsidR="00372EBD">
              <w:rPr>
                <w:rFonts w:ascii="Arial" w:hAnsi="Arial" w:cs="Arial"/>
                <w:sz w:val="24"/>
                <w:szCs w:val="24"/>
              </w:rPr>
              <w:t xml:space="preserve">aking </w:t>
            </w:r>
            <w:r w:rsidR="006F4105">
              <w:rPr>
                <w:rFonts w:ascii="Arial" w:hAnsi="Arial" w:cs="Arial"/>
                <w:sz w:val="24"/>
                <w:szCs w:val="24"/>
              </w:rPr>
              <w:t xml:space="preserve">charges </w:t>
            </w:r>
            <w:r w:rsidR="00372EBD">
              <w:rPr>
                <w:rFonts w:ascii="Arial" w:hAnsi="Arial" w:cs="Arial"/>
                <w:sz w:val="24"/>
                <w:szCs w:val="24"/>
              </w:rPr>
              <w:t xml:space="preserve">together for </w:t>
            </w:r>
            <w:r w:rsidR="00E351E1">
              <w:rPr>
                <w:rFonts w:ascii="Arial" w:hAnsi="Arial" w:cs="Arial"/>
                <w:sz w:val="24"/>
                <w:szCs w:val="24"/>
              </w:rPr>
              <w:t xml:space="preserve">purposes of </w:t>
            </w:r>
            <w:r w:rsidR="00372EBD">
              <w:rPr>
                <w:rFonts w:ascii="Arial" w:hAnsi="Arial" w:cs="Arial"/>
                <w:sz w:val="24"/>
                <w:szCs w:val="24"/>
              </w:rPr>
              <w:t>sentence</w:t>
            </w:r>
            <w:r w:rsidR="006F4105">
              <w:rPr>
                <w:rFonts w:ascii="Arial" w:hAnsi="Arial" w:cs="Arial"/>
                <w:sz w:val="24"/>
                <w:szCs w:val="24"/>
              </w:rPr>
              <w:t>,</w:t>
            </w:r>
            <w:r w:rsidR="00372EBD">
              <w:rPr>
                <w:rFonts w:ascii="Arial" w:hAnsi="Arial" w:cs="Arial"/>
                <w:sz w:val="24"/>
                <w:szCs w:val="24"/>
              </w:rPr>
              <w:t xml:space="preserve"> but </w:t>
            </w:r>
            <w:r w:rsidR="00E351E1">
              <w:rPr>
                <w:rFonts w:ascii="Arial" w:hAnsi="Arial" w:cs="Arial"/>
                <w:sz w:val="24"/>
                <w:szCs w:val="24"/>
              </w:rPr>
              <w:t xml:space="preserve">over the years </w:t>
            </w:r>
            <w:r w:rsidR="00D41D36">
              <w:rPr>
                <w:rFonts w:ascii="Arial" w:hAnsi="Arial" w:cs="Arial"/>
                <w:sz w:val="24"/>
                <w:szCs w:val="24"/>
              </w:rPr>
              <w:t xml:space="preserve">our </w:t>
            </w:r>
            <w:r w:rsidR="00E351E1">
              <w:rPr>
                <w:rFonts w:ascii="Arial" w:hAnsi="Arial" w:cs="Arial"/>
                <w:sz w:val="24"/>
                <w:szCs w:val="24"/>
              </w:rPr>
              <w:t>courts have set out guidelines through judicial precedents within which sentences on different counts may be taken together for sentencing.</w:t>
            </w:r>
          </w:p>
          <w:p w14:paraId="1EBFD6FE" w14:textId="77777777" w:rsidR="007856DE" w:rsidRDefault="007856DE" w:rsidP="00FA740C">
            <w:pPr>
              <w:spacing w:after="200" w:line="360" w:lineRule="auto"/>
              <w:jc w:val="both"/>
              <w:rPr>
                <w:rFonts w:ascii="Arial" w:hAnsi="Arial" w:cs="Arial"/>
                <w:sz w:val="24"/>
                <w:szCs w:val="24"/>
              </w:rPr>
            </w:pPr>
          </w:p>
          <w:p w14:paraId="6B39E990" w14:textId="614A93BE" w:rsidR="000D5A90" w:rsidRDefault="00372EBD" w:rsidP="00FA740C">
            <w:pPr>
              <w:spacing w:line="360" w:lineRule="auto"/>
              <w:jc w:val="both"/>
              <w:rPr>
                <w:rFonts w:ascii="Arial" w:hAnsi="Arial" w:cs="Arial"/>
                <w:sz w:val="24"/>
                <w:szCs w:val="24"/>
              </w:rPr>
            </w:pPr>
            <w:r>
              <w:rPr>
                <w:rFonts w:ascii="Arial" w:hAnsi="Arial" w:cs="Arial"/>
                <w:sz w:val="24"/>
                <w:szCs w:val="24"/>
              </w:rPr>
              <w:t>[</w:t>
            </w:r>
            <w:r w:rsidR="007856DE">
              <w:rPr>
                <w:rFonts w:ascii="Arial" w:hAnsi="Arial" w:cs="Arial"/>
                <w:sz w:val="24"/>
                <w:szCs w:val="24"/>
              </w:rPr>
              <w:t>7</w:t>
            </w:r>
            <w:r>
              <w:rPr>
                <w:rFonts w:ascii="Arial" w:hAnsi="Arial" w:cs="Arial"/>
                <w:sz w:val="24"/>
                <w:szCs w:val="24"/>
              </w:rPr>
              <w:t>]</w:t>
            </w:r>
            <w:r>
              <w:rPr>
                <w:rFonts w:ascii="Arial" w:hAnsi="Arial" w:cs="Arial"/>
                <w:sz w:val="24"/>
                <w:szCs w:val="24"/>
              </w:rPr>
              <w:tab/>
              <w:t xml:space="preserve">Hoff J (as he then was) </w:t>
            </w:r>
            <w:r w:rsidR="000D5A90">
              <w:rPr>
                <w:rFonts w:ascii="Arial" w:hAnsi="Arial" w:cs="Arial"/>
                <w:sz w:val="24"/>
                <w:szCs w:val="24"/>
              </w:rPr>
              <w:t>i</w:t>
            </w:r>
            <w:r>
              <w:rPr>
                <w:rFonts w:ascii="Arial" w:hAnsi="Arial" w:cs="Arial"/>
                <w:sz w:val="24"/>
                <w:szCs w:val="24"/>
              </w:rPr>
              <w:t xml:space="preserve">n </w:t>
            </w:r>
            <w:r w:rsidRPr="000E3680">
              <w:rPr>
                <w:rFonts w:ascii="Arial" w:hAnsi="Arial" w:cs="Arial"/>
                <w:i/>
                <w:iCs/>
                <w:sz w:val="24"/>
                <w:szCs w:val="24"/>
              </w:rPr>
              <w:t>S v Tjikotoke</w:t>
            </w:r>
            <w:r w:rsidR="000D5A90">
              <w:rPr>
                <w:rStyle w:val="FootnoteReference"/>
                <w:rFonts w:ascii="Arial" w:hAnsi="Arial" w:cs="Arial"/>
                <w:sz w:val="24"/>
                <w:szCs w:val="24"/>
              </w:rPr>
              <w:footnoteReference w:id="1"/>
            </w:r>
            <w:r w:rsidRPr="00334086">
              <w:rPr>
                <w:rFonts w:ascii="Arial" w:hAnsi="Arial" w:cs="Arial"/>
                <w:sz w:val="24"/>
                <w:szCs w:val="24"/>
              </w:rPr>
              <w:t xml:space="preserve"> </w:t>
            </w:r>
            <w:r w:rsidR="000D5A90">
              <w:rPr>
                <w:rFonts w:ascii="Arial" w:hAnsi="Arial" w:cs="Arial"/>
                <w:sz w:val="24"/>
                <w:szCs w:val="24"/>
              </w:rPr>
              <w:t>referred to the said guidelines and stated th</w:t>
            </w:r>
            <w:r w:rsidR="006F4105">
              <w:rPr>
                <w:rFonts w:ascii="Arial" w:hAnsi="Arial" w:cs="Arial"/>
                <w:sz w:val="24"/>
                <w:szCs w:val="24"/>
              </w:rPr>
              <w:t>e</w:t>
            </w:r>
            <w:r w:rsidR="000D5A90">
              <w:rPr>
                <w:rFonts w:ascii="Arial" w:hAnsi="Arial" w:cs="Arial"/>
                <w:sz w:val="24"/>
                <w:szCs w:val="24"/>
              </w:rPr>
              <w:t xml:space="preserve"> following: </w:t>
            </w:r>
          </w:p>
          <w:p w14:paraId="20E268F0" w14:textId="5E7936D8" w:rsidR="00372EBD" w:rsidRPr="00FB7620" w:rsidRDefault="00372EBD" w:rsidP="00FA740C">
            <w:pPr>
              <w:spacing w:line="360" w:lineRule="auto"/>
              <w:jc w:val="both"/>
              <w:rPr>
                <w:rFonts w:ascii="Arial" w:hAnsi="Arial" w:cs="Arial"/>
                <w:sz w:val="24"/>
                <w:szCs w:val="24"/>
              </w:rPr>
            </w:pPr>
            <w:r w:rsidRPr="005D69D6">
              <w:rPr>
                <w:rFonts w:ascii="Arial" w:hAnsi="Arial" w:cs="Arial"/>
                <w:sz w:val="24"/>
                <w:szCs w:val="24"/>
              </w:rPr>
              <w:t xml:space="preserve"> </w:t>
            </w:r>
            <w:r>
              <w:rPr>
                <w:rFonts w:ascii="Arial" w:hAnsi="Arial" w:cs="Arial"/>
                <w:sz w:val="24"/>
                <w:szCs w:val="24"/>
              </w:rPr>
              <w:t xml:space="preserve">   </w:t>
            </w:r>
          </w:p>
          <w:p w14:paraId="292EF83F" w14:textId="65D2BD0D" w:rsidR="000D5A90" w:rsidRDefault="00F316AD" w:rsidP="00AD42E8">
            <w:pPr>
              <w:spacing w:line="360" w:lineRule="auto"/>
              <w:ind w:left="460" w:right="720"/>
              <w:jc w:val="both"/>
              <w:rPr>
                <w:rFonts w:ascii="Arial" w:hAnsi="Arial" w:cs="Arial"/>
              </w:rPr>
            </w:pPr>
            <w:r>
              <w:rPr>
                <w:rFonts w:ascii="Arial" w:hAnsi="Arial" w:cs="Arial"/>
              </w:rPr>
              <w:t xml:space="preserve">          </w:t>
            </w:r>
            <w:r w:rsidR="009805C5">
              <w:rPr>
                <w:rFonts w:ascii="Arial" w:hAnsi="Arial" w:cs="Arial"/>
              </w:rPr>
              <w:t>‘</w:t>
            </w:r>
            <w:r w:rsidR="000D5A90" w:rsidRPr="000D5A90">
              <w:rPr>
                <w:rFonts w:ascii="Arial" w:hAnsi="Arial" w:cs="Arial"/>
              </w:rPr>
              <w:t>[6] This court on a number of occasions in the past held that although it is</w:t>
            </w:r>
            <w:r w:rsidR="009805C5">
              <w:rPr>
                <w:rFonts w:ascii="Arial" w:hAnsi="Arial" w:cs="Arial"/>
              </w:rPr>
              <w:t xml:space="preserve"> </w:t>
            </w:r>
            <w:r w:rsidR="000D5A90" w:rsidRPr="000D5A90">
              <w:rPr>
                <w:rFonts w:ascii="Arial" w:hAnsi="Arial" w:cs="Arial"/>
              </w:rPr>
              <w:t xml:space="preserve">permissible for a presiding magistrate to take counts together for the purpose of sentence, this must be done with circumspection and in line with the guidelines of this court as well as judgments of other jurisdictions, and that special care should be taken when dealing with statutory offences. See S v Bisengeto Kitungano (unreported Namibian High Court review judgment delivered on 27 April 2001), S v Eric Mbala (unreported Namibian High Court review judgment delivered on 5 November 2001), S v </w:t>
            </w:r>
            <w:r w:rsidR="000D5A90" w:rsidRPr="000D5A90">
              <w:rPr>
                <w:rFonts w:ascii="Arial" w:hAnsi="Arial" w:cs="Arial"/>
              </w:rPr>
              <w:lastRenderedPageBreak/>
              <w:t>Mostert; S v De Koker 1995 NR 131, S v Haingura Alexander (unreported Namibian High Court review judgment delivered on 8 February 2002), S v Saltiel Shikongo, (unreported Namibian High Court review judgment, case No CR 144/2003 delivered on 3 October 2003), S v Ananias Katjire (unreported Namibian High Court review judgment case No CR 84/2005 delivered on 20 July 2005), S v Mekondja Helao (unreported Namibian High Court review judgment CR 10/2012 delivered on 15 February 2012), S v Visagie 2010 (1) NR 271 (HC). See also S v Hayman 1988 (1) SA 831 (NC)</w:t>
            </w:r>
            <w:r w:rsidR="00AD42E8" w:rsidRPr="000D5A90">
              <w:rPr>
                <w:rFonts w:ascii="Arial" w:hAnsi="Arial" w:cs="Arial"/>
              </w:rPr>
              <w:t>, B S</w:t>
            </w:r>
            <w:r w:rsidR="000D5A90" w:rsidRPr="000D5A90">
              <w:rPr>
                <w:rFonts w:ascii="Arial" w:hAnsi="Arial" w:cs="Arial"/>
              </w:rPr>
              <w:t xml:space="preserve"> v Viljoen 1989 (3) SA 965 (T), S v Young 1977 (1) SA 602 (A), S v Setnoboko 1981 (3) SA 553 (O), S v Mofokeng 1977 (2) SA 447 (O), S v Swart 2000 (2) SACR 566 (SCA).</w:t>
            </w:r>
            <w:r w:rsidR="00357E02">
              <w:rPr>
                <w:rFonts w:ascii="Arial" w:hAnsi="Arial" w:cs="Arial"/>
              </w:rPr>
              <w:t>’</w:t>
            </w:r>
          </w:p>
          <w:p w14:paraId="6F54C150" w14:textId="77777777" w:rsidR="009805C5" w:rsidRPr="000D5A90" w:rsidRDefault="009805C5" w:rsidP="00FA740C">
            <w:pPr>
              <w:spacing w:line="360" w:lineRule="auto"/>
              <w:ind w:right="720"/>
              <w:jc w:val="both"/>
              <w:rPr>
                <w:rFonts w:ascii="Arial" w:hAnsi="Arial" w:cs="Arial"/>
              </w:rPr>
            </w:pPr>
          </w:p>
          <w:p w14:paraId="5F981840" w14:textId="63535096" w:rsidR="00357E02" w:rsidRPr="00FA740C" w:rsidRDefault="000D5A90" w:rsidP="00FA740C">
            <w:pPr>
              <w:spacing w:line="360" w:lineRule="auto"/>
              <w:ind w:right="720"/>
              <w:jc w:val="both"/>
              <w:rPr>
                <w:rFonts w:ascii="Arial" w:hAnsi="Arial" w:cs="Arial"/>
                <w:sz w:val="24"/>
                <w:szCs w:val="24"/>
              </w:rPr>
            </w:pPr>
            <w:r w:rsidRPr="00FA740C">
              <w:rPr>
                <w:rFonts w:ascii="Arial" w:hAnsi="Arial" w:cs="Arial"/>
                <w:sz w:val="24"/>
                <w:szCs w:val="24"/>
              </w:rPr>
              <w:t>[</w:t>
            </w:r>
            <w:r w:rsidR="00357E02" w:rsidRPr="00FA740C">
              <w:rPr>
                <w:rFonts w:ascii="Arial" w:hAnsi="Arial" w:cs="Arial"/>
                <w:sz w:val="24"/>
                <w:szCs w:val="24"/>
              </w:rPr>
              <w:t xml:space="preserve">8]    </w:t>
            </w:r>
            <w:r w:rsidR="00F316AD">
              <w:rPr>
                <w:rFonts w:ascii="Arial" w:hAnsi="Arial" w:cs="Arial"/>
                <w:sz w:val="24"/>
                <w:szCs w:val="24"/>
              </w:rPr>
              <w:t xml:space="preserve">   </w:t>
            </w:r>
            <w:r w:rsidR="00357E02" w:rsidRPr="00FA740C">
              <w:rPr>
                <w:rFonts w:ascii="Arial" w:hAnsi="Arial" w:cs="Arial"/>
                <w:sz w:val="24"/>
                <w:szCs w:val="24"/>
              </w:rPr>
              <w:t xml:space="preserve">Our judicial precedents have thus evolved that it is permissible to take charges together for purposes of sentencing but only </w:t>
            </w:r>
            <w:r w:rsidR="006F4105">
              <w:rPr>
                <w:rFonts w:ascii="Arial" w:hAnsi="Arial" w:cs="Arial"/>
                <w:sz w:val="24"/>
                <w:szCs w:val="24"/>
              </w:rPr>
              <w:t xml:space="preserve">if </w:t>
            </w:r>
            <w:r w:rsidR="00357E02" w:rsidRPr="00FA740C">
              <w:rPr>
                <w:rFonts w:ascii="Arial" w:hAnsi="Arial" w:cs="Arial"/>
                <w:sz w:val="24"/>
                <w:szCs w:val="24"/>
              </w:rPr>
              <w:t xml:space="preserve">there are exceptional </w:t>
            </w:r>
            <w:r w:rsidRPr="00FA740C">
              <w:rPr>
                <w:rFonts w:ascii="Arial" w:hAnsi="Arial" w:cs="Arial"/>
                <w:sz w:val="24"/>
                <w:szCs w:val="24"/>
              </w:rPr>
              <w:t>circumstances</w:t>
            </w:r>
            <w:r w:rsidR="00357E02" w:rsidRPr="00FA740C">
              <w:rPr>
                <w:rFonts w:ascii="Arial" w:hAnsi="Arial" w:cs="Arial"/>
                <w:sz w:val="24"/>
                <w:szCs w:val="24"/>
              </w:rPr>
              <w:t xml:space="preserve"> present to warrant such an approach. </w:t>
            </w:r>
            <w:r w:rsidR="006F4105">
              <w:rPr>
                <w:rFonts w:ascii="Arial" w:hAnsi="Arial" w:cs="Arial"/>
                <w:sz w:val="24"/>
                <w:szCs w:val="24"/>
              </w:rPr>
              <w:t xml:space="preserve">In some cases where </w:t>
            </w:r>
            <w:r w:rsidR="00357E02" w:rsidRPr="00FA740C">
              <w:rPr>
                <w:rFonts w:ascii="Arial" w:hAnsi="Arial" w:cs="Arial"/>
                <w:sz w:val="24"/>
                <w:szCs w:val="24"/>
              </w:rPr>
              <w:t>exceptional circumstances may be found to be present</w:t>
            </w:r>
            <w:r w:rsidR="006F4105">
              <w:rPr>
                <w:rFonts w:ascii="Arial" w:hAnsi="Arial" w:cs="Arial"/>
                <w:sz w:val="24"/>
                <w:szCs w:val="24"/>
              </w:rPr>
              <w:t xml:space="preserve"> </w:t>
            </w:r>
            <w:r w:rsidR="00357E02" w:rsidRPr="00FA740C">
              <w:rPr>
                <w:rFonts w:ascii="Arial" w:hAnsi="Arial" w:cs="Arial"/>
                <w:sz w:val="24"/>
                <w:szCs w:val="24"/>
              </w:rPr>
              <w:t xml:space="preserve">may </w:t>
            </w:r>
            <w:r w:rsidR="006F4105">
              <w:rPr>
                <w:rFonts w:ascii="Arial" w:hAnsi="Arial" w:cs="Arial"/>
                <w:sz w:val="24"/>
                <w:szCs w:val="24"/>
              </w:rPr>
              <w:t xml:space="preserve">include </w:t>
            </w:r>
            <w:r w:rsidR="00357E02" w:rsidRPr="00FA740C">
              <w:rPr>
                <w:rFonts w:ascii="Arial" w:hAnsi="Arial" w:cs="Arial"/>
                <w:sz w:val="24"/>
                <w:szCs w:val="24"/>
              </w:rPr>
              <w:t xml:space="preserve">cases where charges directly flow from the other or are closely connected as to </w:t>
            </w:r>
            <w:r w:rsidRPr="00FA740C">
              <w:rPr>
                <w:rFonts w:ascii="Arial" w:hAnsi="Arial" w:cs="Arial"/>
                <w:sz w:val="24"/>
                <w:szCs w:val="24"/>
              </w:rPr>
              <w:t>time, place or circumstance</w:t>
            </w:r>
            <w:r w:rsidR="00357E02" w:rsidRPr="00FA740C">
              <w:rPr>
                <w:rFonts w:ascii="Arial" w:hAnsi="Arial" w:cs="Arial"/>
                <w:sz w:val="24"/>
                <w:szCs w:val="24"/>
              </w:rPr>
              <w:t xml:space="preserve">. </w:t>
            </w:r>
          </w:p>
          <w:p w14:paraId="0BA694EA" w14:textId="77777777" w:rsidR="00357E02" w:rsidRDefault="00357E02" w:rsidP="00FA740C">
            <w:pPr>
              <w:spacing w:line="360" w:lineRule="auto"/>
              <w:ind w:right="720"/>
              <w:jc w:val="both"/>
              <w:rPr>
                <w:rFonts w:ascii="Arial" w:hAnsi="Arial" w:cs="Arial"/>
              </w:rPr>
            </w:pPr>
          </w:p>
          <w:p w14:paraId="07D63CCE" w14:textId="6AE3B0FD" w:rsidR="00357E02" w:rsidRPr="00357E02" w:rsidRDefault="000D5A90" w:rsidP="00FA740C">
            <w:pPr>
              <w:spacing w:line="360" w:lineRule="auto"/>
              <w:ind w:right="720"/>
              <w:jc w:val="both"/>
              <w:rPr>
                <w:rFonts w:ascii="Arial" w:hAnsi="Arial" w:cs="Arial"/>
                <w:sz w:val="24"/>
                <w:szCs w:val="24"/>
              </w:rPr>
            </w:pPr>
            <w:r w:rsidRPr="00357E02">
              <w:rPr>
                <w:rFonts w:ascii="Arial" w:hAnsi="Arial" w:cs="Arial"/>
                <w:sz w:val="24"/>
                <w:szCs w:val="24"/>
              </w:rPr>
              <w:t xml:space="preserve"> </w:t>
            </w:r>
            <w:r w:rsidR="00357E02" w:rsidRPr="00357E02">
              <w:rPr>
                <w:rFonts w:ascii="Arial" w:hAnsi="Arial" w:cs="Arial"/>
                <w:sz w:val="24"/>
                <w:szCs w:val="24"/>
              </w:rPr>
              <w:t xml:space="preserve">[9]    </w:t>
            </w:r>
            <w:r w:rsidR="00F316AD">
              <w:rPr>
                <w:rFonts w:ascii="Arial" w:hAnsi="Arial" w:cs="Arial"/>
                <w:sz w:val="24"/>
                <w:szCs w:val="24"/>
              </w:rPr>
              <w:t xml:space="preserve"> </w:t>
            </w:r>
            <w:r w:rsidR="00357E02" w:rsidRPr="00357E02">
              <w:rPr>
                <w:rFonts w:ascii="Arial" w:hAnsi="Arial" w:cs="Arial"/>
                <w:sz w:val="24"/>
                <w:szCs w:val="24"/>
              </w:rPr>
              <w:t>One of the reasons why taking charges together for purposes of sentencing should only be applied when there are exceptional circumstances present is the difficult</w:t>
            </w:r>
            <w:r w:rsidR="006F4105">
              <w:rPr>
                <w:rFonts w:ascii="Arial" w:hAnsi="Arial" w:cs="Arial"/>
                <w:sz w:val="24"/>
                <w:szCs w:val="24"/>
              </w:rPr>
              <w:t>y</w:t>
            </w:r>
            <w:r w:rsidR="00357E02" w:rsidRPr="00357E02">
              <w:rPr>
                <w:rFonts w:ascii="Arial" w:hAnsi="Arial" w:cs="Arial"/>
                <w:sz w:val="24"/>
                <w:szCs w:val="24"/>
              </w:rPr>
              <w:t xml:space="preserve"> which the appeal or review court may have in the event of setting aside the conviction of </w:t>
            </w:r>
            <w:r w:rsidR="006F4105">
              <w:rPr>
                <w:rFonts w:ascii="Arial" w:hAnsi="Arial" w:cs="Arial"/>
                <w:sz w:val="24"/>
                <w:szCs w:val="24"/>
              </w:rPr>
              <w:t xml:space="preserve">only </w:t>
            </w:r>
            <w:r w:rsidR="00357E02" w:rsidRPr="00357E02">
              <w:rPr>
                <w:rFonts w:ascii="Arial" w:hAnsi="Arial" w:cs="Arial"/>
                <w:sz w:val="24"/>
                <w:szCs w:val="24"/>
              </w:rPr>
              <w:t xml:space="preserve">one of the concerned charges. </w:t>
            </w:r>
          </w:p>
          <w:p w14:paraId="080B69E0" w14:textId="77777777" w:rsidR="00357E02" w:rsidRDefault="00357E02" w:rsidP="00FA740C">
            <w:pPr>
              <w:spacing w:line="360" w:lineRule="auto"/>
              <w:ind w:right="720"/>
              <w:jc w:val="both"/>
              <w:rPr>
                <w:rFonts w:ascii="Arial" w:hAnsi="Arial" w:cs="Arial"/>
              </w:rPr>
            </w:pPr>
          </w:p>
          <w:p w14:paraId="30691783" w14:textId="71B820D6" w:rsidR="00C11335" w:rsidRPr="00C33228" w:rsidRDefault="000D5A90" w:rsidP="00FA740C">
            <w:pPr>
              <w:spacing w:line="360" w:lineRule="auto"/>
              <w:ind w:right="720"/>
              <w:jc w:val="both"/>
              <w:rPr>
                <w:rFonts w:ascii="Arial" w:hAnsi="Arial" w:cs="Arial"/>
                <w:sz w:val="24"/>
                <w:szCs w:val="24"/>
              </w:rPr>
            </w:pPr>
            <w:r w:rsidRPr="00C33228">
              <w:rPr>
                <w:rFonts w:ascii="Arial" w:hAnsi="Arial" w:cs="Arial"/>
                <w:sz w:val="24"/>
                <w:szCs w:val="24"/>
              </w:rPr>
              <w:t xml:space="preserve">[10] </w:t>
            </w:r>
            <w:r w:rsidR="00F316AD">
              <w:rPr>
                <w:rFonts w:ascii="Arial" w:hAnsi="Arial" w:cs="Arial"/>
                <w:sz w:val="24"/>
                <w:szCs w:val="24"/>
              </w:rPr>
              <w:t xml:space="preserve">  </w:t>
            </w:r>
            <w:r w:rsidR="00C11335" w:rsidRPr="00C33228">
              <w:rPr>
                <w:rFonts w:ascii="Arial" w:hAnsi="Arial" w:cs="Arial"/>
                <w:sz w:val="24"/>
                <w:szCs w:val="24"/>
              </w:rPr>
              <w:t xml:space="preserve">Hoff J in </w:t>
            </w:r>
            <w:r w:rsidR="00C11335" w:rsidRPr="006F4105">
              <w:rPr>
                <w:rFonts w:ascii="Arial" w:hAnsi="Arial" w:cs="Arial"/>
                <w:i/>
                <w:iCs/>
                <w:sz w:val="24"/>
                <w:szCs w:val="24"/>
              </w:rPr>
              <w:t>S v Tjikotoke</w:t>
            </w:r>
            <w:r w:rsidR="00C11335" w:rsidRPr="00C33228">
              <w:rPr>
                <w:rFonts w:ascii="Arial" w:hAnsi="Arial" w:cs="Arial"/>
                <w:sz w:val="24"/>
                <w:szCs w:val="24"/>
              </w:rPr>
              <w:t xml:space="preserve"> (</w:t>
            </w:r>
            <w:r w:rsidR="00C11335" w:rsidRPr="006F4105">
              <w:rPr>
                <w:rFonts w:ascii="Arial" w:hAnsi="Arial" w:cs="Arial"/>
                <w:i/>
                <w:iCs/>
                <w:sz w:val="24"/>
                <w:szCs w:val="24"/>
              </w:rPr>
              <w:t>supra</w:t>
            </w:r>
            <w:r w:rsidR="00C11335" w:rsidRPr="00C33228">
              <w:rPr>
                <w:rFonts w:ascii="Arial" w:hAnsi="Arial" w:cs="Arial"/>
                <w:sz w:val="24"/>
                <w:szCs w:val="24"/>
              </w:rPr>
              <w:t>)</w:t>
            </w:r>
            <w:r w:rsidR="00C11335" w:rsidRPr="00C33228">
              <w:rPr>
                <w:rStyle w:val="FootnoteReference"/>
                <w:rFonts w:ascii="Arial" w:hAnsi="Arial" w:cs="Arial"/>
                <w:sz w:val="24"/>
                <w:szCs w:val="24"/>
              </w:rPr>
              <w:footnoteReference w:id="2"/>
            </w:r>
            <w:r w:rsidR="00C11335" w:rsidRPr="00C33228">
              <w:rPr>
                <w:rFonts w:ascii="Arial" w:hAnsi="Arial" w:cs="Arial"/>
                <w:sz w:val="24"/>
                <w:szCs w:val="24"/>
              </w:rPr>
              <w:t xml:space="preserve"> discouraged taking charges together for sentencing </w:t>
            </w:r>
            <w:r w:rsidR="00703E28">
              <w:rPr>
                <w:rFonts w:ascii="Arial" w:hAnsi="Arial" w:cs="Arial"/>
                <w:sz w:val="24"/>
                <w:szCs w:val="24"/>
              </w:rPr>
              <w:t xml:space="preserve">purposes </w:t>
            </w:r>
            <w:r w:rsidR="00C11335" w:rsidRPr="00C33228">
              <w:rPr>
                <w:rFonts w:ascii="Arial" w:hAnsi="Arial" w:cs="Arial"/>
                <w:sz w:val="24"/>
                <w:szCs w:val="24"/>
              </w:rPr>
              <w:t xml:space="preserve">particularly regarding statutory offences and stated as follows: </w:t>
            </w:r>
          </w:p>
          <w:p w14:paraId="075FA605" w14:textId="77777777" w:rsidR="00C11335" w:rsidRDefault="00C11335" w:rsidP="00FA740C">
            <w:pPr>
              <w:spacing w:line="360" w:lineRule="auto"/>
              <w:ind w:right="720"/>
              <w:jc w:val="both"/>
              <w:rPr>
                <w:rFonts w:ascii="Arial" w:hAnsi="Arial" w:cs="Arial"/>
              </w:rPr>
            </w:pPr>
          </w:p>
          <w:p w14:paraId="05E0E856" w14:textId="3C09CFC6" w:rsidR="00C11335" w:rsidRDefault="00C11335" w:rsidP="00FA740C">
            <w:pPr>
              <w:spacing w:line="360" w:lineRule="auto"/>
              <w:ind w:right="720"/>
              <w:jc w:val="both"/>
              <w:rPr>
                <w:rFonts w:ascii="Arial" w:hAnsi="Arial" w:cs="Arial"/>
              </w:rPr>
            </w:pPr>
            <w:r>
              <w:rPr>
                <w:rFonts w:ascii="Arial" w:hAnsi="Arial" w:cs="Arial"/>
              </w:rPr>
              <w:t xml:space="preserve">           </w:t>
            </w:r>
            <w:r w:rsidR="006F4105">
              <w:rPr>
                <w:rFonts w:ascii="Arial" w:hAnsi="Arial" w:cs="Arial"/>
              </w:rPr>
              <w:t xml:space="preserve"> </w:t>
            </w:r>
            <w:r>
              <w:rPr>
                <w:rFonts w:ascii="Arial" w:hAnsi="Arial" w:cs="Arial"/>
              </w:rPr>
              <w:t>‘</w:t>
            </w:r>
            <w:r w:rsidRPr="00C11335">
              <w:rPr>
                <w:rFonts w:ascii="Arial" w:hAnsi="Arial" w:cs="Arial"/>
              </w:rPr>
              <w:t>The facts of this case provide an excellent example of why the emphasis should not be that the practice of taking counts together for purpose of sentence is not prohibited, but the emphasis should be that such a practice is undesirable and magistrates should (save in exceptional circumstances) as a general point of departure refrain from taking counts together for purpose of sentence but in particular to refrain from doing so in respect of statutory contraventions.</w:t>
            </w:r>
            <w:r>
              <w:rPr>
                <w:rFonts w:ascii="Arial" w:hAnsi="Arial" w:cs="Arial"/>
              </w:rPr>
              <w:t>’</w:t>
            </w:r>
          </w:p>
          <w:p w14:paraId="02BDF1B0" w14:textId="77777777" w:rsidR="00C11335" w:rsidRDefault="00C11335" w:rsidP="00FA740C">
            <w:pPr>
              <w:spacing w:line="360" w:lineRule="auto"/>
              <w:ind w:right="720"/>
              <w:jc w:val="both"/>
              <w:rPr>
                <w:rFonts w:ascii="Arial" w:hAnsi="Arial" w:cs="Arial"/>
              </w:rPr>
            </w:pPr>
          </w:p>
          <w:p w14:paraId="7222701A" w14:textId="6747A383" w:rsidR="000D5A90" w:rsidRPr="00C33228" w:rsidRDefault="00C11335" w:rsidP="00FA740C">
            <w:pPr>
              <w:spacing w:line="360" w:lineRule="auto"/>
              <w:ind w:right="720"/>
              <w:jc w:val="both"/>
              <w:rPr>
                <w:rFonts w:ascii="Arial" w:hAnsi="Arial" w:cs="Arial"/>
                <w:sz w:val="24"/>
                <w:szCs w:val="24"/>
              </w:rPr>
            </w:pPr>
            <w:r w:rsidRPr="00C33228">
              <w:rPr>
                <w:rFonts w:ascii="Arial" w:hAnsi="Arial" w:cs="Arial"/>
                <w:sz w:val="24"/>
                <w:szCs w:val="24"/>
              </w:rPr>
              <w:lastRenderedPageBreak/>
              <w:t xml:space="preserve">[11]    I associate myself with the above remarks and emphasise that an offender should be sentenced individually for each offence which bears a corresponding penalty clause, lest society thinks that some of the offences are not worthy </w:t>
            </w:r>
            <w:r w:rsidR="006F4105">
              <w:rPr>
                <w:rFonts w:ascii="Arial" w:hAnsi="Arial" w:cs="Arial"/>
                <w:sz w:val="24"/>
                <w:szCs w:val="24"/>
              </w:rPr>
              <w:t xml:space="preserve">of prescribed </w:t>
            </w:r>
            <w:r w:rsidR="00C33228" w:rsidRPr="00C33228">
              <w:rPr>
                <w:rFonts w:ascii="Arial" w:hAnsi="Arial" w:cs="Arial"/>
                <w:sz w:val="24"/>
                <w:szCs w:val="24"/>
              </w:rPr>
              <w:t>penalties unless there are exceptional circumstances which warrant that charge</w:t>
            </w:r>
            <w:r w:rsidR="006F4105">
              <w:rPr>
                <w:rFonts w:ascii="Arial" w:hAnsi="Arial" w:cs="Arial"/>
                <w:sz w:val="24"/>
                <w:szCs w:val="24"/>
              </w:rPr>
              <w:t>s</w:t>
            </w:r>
            <w:r w:rsidR="00C33228" w:rsidRPr="00C33228">
              <w:rPr>
                <w:rFonts w:ascii="Arial" w:hAnsi="Arial" w:cs="Arial"/>
                <w:sz w:val="24"/>
                <w:szCs w:val="24"/>
              </w:rPr>
              <w:t xml:space="preserve"> be taken together for sentencing. It is thus advisable to impose separate sentences </w:t>
            </w:r>
            <w:r w:rsidR="006F4105">
              <w:rPr>
                <w:rFonts w:ascii="Arial" w:hAnsi="Arial" w:cs="Arial"/>
                <w:sz w:val="24"/>
                <w:szCs w:val="24"/>
              </w:rPr>
              <w:t xml:space="preserve">for individual offences </w:t>
            </w:r>
            <w:r w:rsidR="00C33228" w:rsidRPr="00C33228">
              <w:rPr>
                <w:rFonts w:ascii="Arial" w:hAnsi="Arial" w:cs="Arial"/>
                <w:sz w:val="24"/>
                <w:szCs w:val="24"/>
              </w:rPr>
              <w:t xml:space="preserve">especially for statutory offences. </w:t>
            </w:r>
            <w:r w:rsidR="000D5A90" w:rsidRPr="00C33228">
              <w:rPr>
                <w:rFonts w:ascii="Arial" w:hAnsi="Arial" w:cs="Arial"/>
                <w:sz w:val="24"/>
                <w:szCs w:val="24"/>
              </w:rPr>
              <w:t xml:space="preserve"> </w:t>
            </w:r>
          </w:p>
          <w:p w14:paraId="6F141251" w14:textId="77777777" w:rsidR="000D5A90" w:rsidRPr="00FB7620" w:rsidRDefault="000D5A90" w:rsidP="00FA740C">
            <w:pPr>
              <w:spacing w:line="360" w:lineRule="auto"/>
              <w:ind w:left="720" w:right="720"/>
              <w:jc w:val="both"/>
              <w:rPr>
                <w:rFonts w:ascii="Arial" w:hAnsi="Arial" w:cs="Arial"/>
              </w:rPr>
            </w:pPr>
          </w:p>
          <w:p w14:paraId="4A6685CC" w14:textId="3FB21A18" w:rsidR="00BC080C" w:rsidRDefault="00372EBD" w:rsidP="00FA740C">
            <w:pPr>
              <w:spacing w:line="360" w:lineRule="auto"/>
              <w:jc w:val="both"/>
              <w:rPr>
                <w:rFonts w:ascii="Arial" w:hAnsi="Arial" w:cs="Arial"/>
                <w:sz w:val="24"/>
                <w:szCs w:val="24"/>
              </w:rPr>
            </w:pPr>
            <w:r w:rsidRPr="00FB7620">
              <w:rPr>
                <w:rFonts w:ascii="Arial" w:hAnsi="Arial" w:cs="Arial"/>
                <w:sz w:val="24"/>
                <w:szCs w:val="24"/>
              </w:rPr>
              <w:t>[</w:t>
            </w:r>
            <w:r w:rsidR="00BC080C">
              <w:rPr>
                <w:rFonts w:ascii="Arial" w:hAnsi="Arial" w:cs="Arial"/>
                <w:sz w:val="24"/>
                <w:szCs w:val="24"/>
              </w:rPr>
              <w:t xml:space="preserve">12] </w:t>
            </w:r>
            <w:r w:rsidR="00FA740C">
              <w:rPr>
                <w:rFonts w:ascii="Arial" w:hAnsi="Arial" w:cs="Arial"/>
                <w:sz w:val="24"/>
                <w:szCs w:val="24"/>
              </w:rPr>
              <w:t xml:space="preserve">    </w:t>
            </w:r>
            <w:r w:rsidR="00703E28">
              <w:rPr>
                <w:rFonts w:ascii="Arial" w:hAnsi="Arial" w:cs="Arial"/>
                <w:sz w:val="24"/>
                <w:szCs w:val="24"/>
              </w:rPr>
              <w:t xml:space="preserve">Whilst being mindful of the provisions of section 83 of the CPA, which provides that an accused may be charged of all or any such offences or alternatives, where there is uncertainty or doubt on the facts as to which offences may be proven, it remains the duty of the court to guard against duplication of convictions. The court should therefore be vigilant in its analysis of the facts and evidence presented to avoid duplication of convictions.  </w:t>
            </w:r>
          </w:p>
          <w:p w14:paraId="02F6C599" w14:textId="50071DAD" w:rsidR="00703E28" w:rsidRDefault="00703E28" w:rsidP="00FA740C">
            <w:pPr>
              <w:spacing w:line="360" w:lineRule="auto"/>
              <w:jc w:val="both"/>
              <w:rPr>
                <w:rFonts w:ascii="Arial" w:hAnsi="Arial" w:cs="Arial"/>
                <w:sz w:val="24"/>
                <w:szCs w:val="24"/>
              </w:rPr>
            </w:pPr>
          </w:p>
          <w:p w14:paraId="64A9BAD8" w14:textId="61F164A3" w:rsidR="00BC080C" w:rsidRPr="00BC080C" w:rsidRDefault="00BC080C" w:rsidP="00FA740C">
            <w:pPr>
              <w:spacing w:line="360" w:lineRule="auto"/>
              <w:jc w:val="both"/>
              <w:rPr>
                <w:rFonts w:ascii="Arial" w:hAnsi="Arial" w:cs="Arial"/>
              </w:rPr>
            </w:pPr>
            <w:r w:rsidRPr="00BC080C">
              <w:rPr>
                <w:rFonts w:ascii="Arial" w:hAnsi="Arial" w:cs="Arial"/>
                <w:sz w:val="24"/>
                <w:szCs w:val="24"/>
              </w:rPr>
              <w:t>[</w:t>
            </w:r>
            <w:r w:rsidR="00703E28">
              <w:rPr>
                <w:rFonts w:ascii="Arial" w:hAnsi="Arial" w:cs="Arial"/>
                <w:sz w:val="24"/>
                <w:szCs w:val="24"/>
              </w:rPr>
              <w:t>13</w:t>
            </w:r>
            <w:r w:rsidRPr="00BC080C">
              <w:rPr>
                <w:rFonts w:ascii="Arial" w:hAnsi="Arial" w:cs="Arial"/>
                <w:sz w:val="24"/>
                <w:szCs w:val="24"/>
              </w:rPr>
              <w:t xml:space="preserve">]   </w:t>
            </w:r>
            <w:r w:rsidR="00F316AD">
              <w:rPr>
                <w:rFonts w:ascii="Arial" w:hAnsi="Arial" w:cs="Arial"/>
                <w:sz w:val="24"/>
                <w:szCs w:val="24"/>
              </w:rPr>
              <w:t xml:space="preserve">  </w:t>
            </w:r>
            <w:r w:rsidRPr="00BC080C">
              <w:rPr>
                <w:rFonts w:ascii="Arial" w:hAnsi="Arial" w:cs="Arial"/>
                <w:sz w:val="24"/>
                <w:szCs w:val="24"/>
              </w:rPr>
              <w:t xml:space="preserve">The Supreme Court in </w:t>
            </w:r>
            <w:r w:rsidRPr="00BC080C">
              <w:rPr>
                <w:rFonts w:ascii="Arial" w:hAnsi="Arial" w:cs="Arial"/>
                <w:i/>
                <w:sz w:val="24"/>
                <w:szCs w:val="24"/>
              </w:rPr>
              <w:t>S v Gaseb and Others</w:t>
            </w:r>
            <w:r w:rsidRPr="00BC080C">
              <w:rPr>
                <w:rFonts w:ascii="Arial" w:hAnsi="Arial" w:cs="Arial"/>
                <w:i/>
                <w:sz w:val="24"/>
                <w:szCs w:val="24"/>
                <w:vertAlign w:val="superscript"/>
              </w:rPr>
              <w:footnoteReference w:id="3"/>
            </w:r>
            <w:r w:rsidRPr="00BC080C">
              <w:rPr>
                <w:rFonts w:ascii="Arial" w:hAnsi="Arial" w:cs="Arial"/>
                <w:i/>
                <w:sz w:val="24"/>
                <w:szCs w:val="24"/>
              </w:rPr>
              <w:t xml:space="preserve"> </w:t>
            </w:r>
            <w:r w:rsidR="00061199">
              <w:rPr>
                <w:rFonts w:ascii="Arial" w:hAnsi="Arial" w:cs="Arial"/>
                <w:i/>
                <w:sz w:val="24"/>
                <w:szCs w:val="24"/>
              </w:rPr>
              <w:t xml:space="preserve">endorsed the </w:t>
            </w:r>
            <w:r w:rsidRPr="00BC080C">
              <w:rPr>
                <w:rFonts w:ascii="Arial" w:hAnsi="Arial" w:cs="Arial"/>
                <w:sz w:val="24"/>
                <w:szCs w:val="24"/>
              </w:rPr>
              <w:t>test</w:t>
            </w:r>
            <w:r w:rsidR="00061199">
              <w:rPr>
                <w:rFonts w:ascii="Arial" w:hAnsi="Arial" w:cs="Arial"/>
                <w:sz w:val="24"/>
                <w:szCs w:val="24"/>
              </w:rPr>
              <w:t xml:space="preserve"> used to determine whether there is a duplication of convictions or not </w:t>
            </w:r>
            <w:r w:rsidR="006F4105">
              <w:rPr>
                <w:rFonts w:ascii="Arial" w:hAnsi="Arial" w:cs="Arial"/>
                <w:sz w:val="24"/>
                <w:szCs w:val="24"/>
              </w:rPr>
              <w:t xml:space="preserve">which was </w:t>
            </w:r>
            <w:r w:rsidR="00061199">
              <w:rPr>
                <w:rFonts w:ascii="Arial" w:hAnsi="Arial" w:cs="Arial"/>
                <w:sz w:val="24"/>
                <w:szCs w:val="24"/>
              </w:rPr>
              <w:t xml:space="preserve">discussed in S v Seibeb and Another; S v </w:t>
            </w:r>
            <w:r w:rsidR="00061199" w:rsidRPr="00BC080C">
              <w:rPr>
                <w:rFonts w:ascii="Arial" w:hAnsi="Arial" w:cs="Arial"/>
                <w:i/>
                <w:sz w:val="24"/>
                <w:szCs w:val="24"/>
              </w:rPr>
              <w:t>Eixab</w:t>
            </w:r>
            <w:r w:rsidR="00061199" w:rsidRPr="00BC080C">
              <w:rPr>
                <w:rFonts w:ascii="Arial" w:hAnsi="Arial" w:cs="Arial"/>
                <w:i/>
                <w:sz w:val="24"/>
                <w:szCs w:val="24"/>
                <w:vertAlign w:val="superscript"/>
              </w:rPr>
              <w:footnoteReference w:id="4"/>
            </w:r>
            <w:r w:rsidR="00061199" w:rsidRPr="00BC080C">
              <w:rPr>
                <w:rFonts w:ascii="Arial" w:hAnsi="Arial" w:cs="Arial"/>
                <w:i/>
                <w:sz w:val="24"/>
                <w:szCs w:val="24"/>
              </w:rPr>
              <w:t xml:space="preserve"> </w:t>
            </w:r>
            <w:r w:rsidR="00061199" w:rsidRPr="00061199">
              <w:rPr>
                <w:rFonts w:ascii="Arial" w:hAnsi="Arial" w:cs="Arial"/>
                <w:iCs/>
                <w:sz w:val="24"/>
                <w:szCs w:val="24"/>
              </w:rPr>
              <w:t>where it was stated that</w:t>
            </w:r>
            <w:r w:rsidR="00061199">
              <w:rPr>
                <w:rFonts w:ascii="Arial" w:hAnsi="Arial" w:cs="Arial"/>
                <w:i/>
                <w:sz w:val="24"/>
                <w:szCs w:val="24"/>
              </w:rPr>
              <w:t xml:space="preserve">: </w:t>
            </w:r>
            <w:r w:rsidRPr="00BC080C">
              <w:rPr>
                <w:rFonts w:ascii="Arial" w:hAnsi="Arial" w:cs="Arial"/>
              </w:rPr>
              <w:t xml:space="preserve"> </w:t>
            </w:r>
          </w:p>
          <w:p w14:paraId="5E71D565" w14:textId="77777777" w:rsidR="00BC080C" w:rsidRPr="00BC080C" w:rsidRDefault="00BC080C" w:rsidP="00FA740C">
            <w:pPr>
              <w:spacing w:line="360" w:lineRule="auto"/>
              <w:jc w:val="both"/>
              <w:rPr>
                <w:rFonts w:ascii="Arial" w:hAnsi="Arial" w:cs="Arial"/>
              </w:rPr>
            </w:pPr>
          </w:p>
          <w:p w14:paraId="5014773B" w14:textId="084493C0" w:rsidR="00BC080C" w:rsidRPr="00BC080C" w:rsidRDefault="00BC080C" w:rsidP="00FA740C">
            <w:pPr>
              <w:spacing w:line="360" w:lineRule="auto"/>
              <w:jc w:val="both"/>
              <w:rPr>
                <w:rFonts w:ascii="Arial" w:hAnsi="Arial" w:cs="Arial"/>
              </w:rPr>
            </w:pPr>
            <w:r w:rsidRPr="00BC080C">
              <w:rPr>
                <w:rFonts w:ascii="Arial" w:hAnsi="Arial" w:cs="Arial"/>
              </w:rPr>
              <w:tab/>
            </w:r>
            <w:r w:rsidR="00F316AD">
              <w:rPr>
                <w:rFonts w:ascii="Arial" w:hAnsi="Arial" w:cs="Arial"/>
              </w:rPr>
              <w:t xml:space="preserve"> </w:t>
            </w:r>
            <w:r w:rsidRPr="00BC080C">
              <w:rPr>
                <w:rFonts w:ascii="Arial" w:hAnsi="Arial" w:cs="Arial"/>
              </w:rPr>
              <w:t xml:space="preserve">‘The two most commonly used tests are the single evidence test and the same evidence test. 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 See </w:t>
            </w:r>
            <w:r w:rsidRPr="00BC080C">
              <w:rPr>
                <w:rFonts w:ascii="Arial" w:hAnsi="Arial" w:cs="Arial"/>
                <w:i/>
              </w:rPr>
              <w:t>R v Sabuyi</w:t>
            </w:r>
            <w:r w:rsidRPr="00BC080C">
              <w:rPr>
                <w:rFonts w:ascii="Arial" w:hAnsi="Arial" w:cs="Arial"/>
              </w:rPr>
              <w:t xml:space="preserve"> 1905 TS 170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See Lansdown and Campbell South African Criminal Law and Procedure vol V at 229, 230 and the cases cited. This is the same evidence test.</w:t>
            </w:r>
          </w:p>
          <w:p w14:paraId="3C2EEFB8" w14:textId="77777777" w:rsidR="00BC080C" w:rsidRPr="00BC080C" w:rsidRDefault="00BC080C" w:rsidP="00FA740C">
            <w:pPr>
              <w:spacing w:line="360" w:lineRule="auto"/>
              <w:jc w:val="both"/>
              <w:rPr>
                <w:rFonts w:ascii="Arial" w:hAnsi="Arial" w:cs="Arial"/>
              </w:rPr>
            </w:pPr>
          </w:p>
          <w:p w14:paraId="6FAF4526" w14:textId="0A292662" w:rsidR="00BC080C" w:rsidRPr="00BC080C" w:rsidRDefault="00BC080C" w:rsidP="00FA740C">
            <w:pPr>
              <w:spacing w:line="360" w:lineRule="auto"/>
              <w:jc w:val="both"/>
              <w:rPr>
                <w:rFonts w:ascii="Arial" w:hAnsi="Arial" w:cs="Arial"/>
                <w:sz w:val="24"/>
                <w:szCs w:val="24"/>
              </w:rPr>
            </w:pPr>
            <w:r w:rsidRPr="00BC080C">
              <w:rPr>
                <w:rFonts w:ascii="Arial" w:hAnsi="Arial" w:cs="Arial"/>
              </w:rPr>
              <w:lastRenderedPageBreak/>
              <w:t xml:space="preserve">Both tests or one or other of them may be applied and in determining which, or whether both, should be used the Court must apply common sense and its sense of fair play. See Lansdown and Campbell (supra)) at 228.’ </w:t>
            </w:r>
          </w:p>
          <w:p w14:paraId="31FCC4CE" w14:textId="77777777" w:rsidR="00BC080C" w:rsidRPr="00BC080C" w:rsidRDefault="00BC080C" w:rsidP="00FA740C">
            <w:pPr>
              <w:spacing w:line="360" w:lineRule="auto"/>
              <w:rPr>
                <w:rFonts w:ascii="Arial" w:hAnsi="Arial" w:cs="Arial"/>
                <w:sz w:val="24"/>
                <w:szCs w:val="24"/>
              </w:rPr>
            </w:pPr>
          </w:p>
          <w:p w14:paraId="41ADF8F1" w14:textId="6C52A48D" w:rsidR="0052610B" w:rsidRDefault="00BC080C" w:rsidP="00FA740C">
            <w:pPr>
              <w:spacing w:line="360" w:lineRule="auto"/>
              <w:jc w:val="both"/>
              <w:rPr>
                <w:rFonts w:ascii="Arial" w:hAnsi="Arial" w:cs="Arial"/>
                <w:sz w:val="24"/>
                <w:szCs w:val="24"/>
              </w:rPr>
            </w:pPr>
            <w:r w:rsidRPr="00BC080C">
              <w:rPr>
                <w:rFonts w:ascii="Arial" w:hAnsi="Arial" w:cs="Arial"/>
                <w:sz w:val="24"/>
                <w:szCs w:val="24"/>
              </w:rPr>
              <w:t>[</w:t>
            </w:r>
            <w:r w:rsidR="00061199">
              <w:rPr>
                <w:rFonts w:ascii="Arial" w:hAnsi="Arial" w:cs="Arial"/>
                <w:sz w:val="24"/>
                <w:szCs w:val="24"/>
              </w:rPr>
              <w:t>14</w:t>
            </w:r>
            <w:r w:rsidRPr="00BC080C">
              <w:rPr>
                <w:rFonts w:ascii="Arial" w:hAnsi="Arial" w:cs="Arial"/>
                <w:sz w:val="24"/>
                <w:szCs w:val="24"/>
              </w:rPr>
              <w:t xml:space="preserve">]   </w:t>
            </w:r>
            <w:r w:rsidR="00F316AD">
              <w:rPr>
                <w:rFonts w:ascii="Arial" w:hAnsi="Arial" w:cs="Arial"/>
                <w:sz w:val="24"/>
                <w:szCs w:val="24"/>
              </w:rPr>
              <w:t xml:space="preserve">  </w:t>
            </w:r>
            <w:r w:rsidRPr="00BC080C">
              <w:rPr>
                <w:rFonts w:ascii="Arial" w:hAnsi="Arial" w:cs="Arial"/>
                <w:sz w:val="24"/>
                <w:szCs w:val="24"/>
              </w:rPr>
              <w:t xml:space="preserve">The accused </w:t>
            </w:r>
            <w:r w:rsidR="00061199">
              <w:rPr>
                <w:rFonts w:ascii="Arial" w:hAnsi="Arial" w:cs="Arial"/>
                <w:sz w:val="24"/>
                <w:szCs w:val="24"/>
              </w:rPr>
              <w:t>admitted that he went to Farm Hebron on 06</w:t>
            </w:r>
            <w:r w:rsidR="00061199" w:rsidRPr="00061199">
              <w:rPr>
                <w:rFonts w:ascii="Arial" w:hAnsi="Arial" w:cs="Arial"/>
                <w:sz w:val="24"/>
                <w:szCs w:val="24"/>
                <w:vertAlign w:val="superscript"/>
              </w:rPr>
              <w:t>th</w:t>
            </w:r>
            <w:r w:rsidR="00061199">
              <w:rPr>
                <w:rFonts w:ascii="Arial" w:hAnsi="Arial" w:cs="Arial"/>
                <w:sz w:val="24"/>
                <w:szCs w:val="24"/>
              </w:rPr>
              <w:t xml:space="preserve"> September 2019 in the district of Otjiwarongo, he admitted to entering the said farm without a permit</w:t>
            </w:r>
            <w:r w:rsidR="0052610B">
              <w:rPr>
                <w:rFonts w:ascii="Arial" w:hAnsi="Arial" w:cs="Arial"/>
                <w:sz w:val="24"/>
                <w:szCs w:val="24"/>
              </w:rPr>
              <w:t xml:space="preserve">, hunting and killing an oryx. The accused further pleaded guilty to trespassing at Farm Hebron. The accused therefore committed two separate statutory offences, namely: unlawful hunting huntable game and trespassing. What needs to be considered is whether or not the accused had the necessary intention to commit any or both such offences.  </w:t>
            </w:r>
          </w:p>
          <w:p w14:paraId="49EBE4C0" w14:textId="77777777" w:rsidR="0052610B" w:rsidRDefault="0052610B" w:rsidP="00FA740C">
            <w:pPr>
              <w:spacing w:line="360" w:lineRule="auto"/>
              <w:jc w:val="both"/>
              <w:rPr>
                <w:rFonts w:ascii="Arial" w:hAnsi="Arial" w:cs="Arial"/>
                <w:sz w:val="24"/>
                <w:szCs w:val="24"/>
              </w:rPr>
            </w:pPr>
          </w:p>
          <w:p w14:paraId="4916F25F" w14:textId="4B064FD3" w:rsidR="00BC080C" w:rsidRPr="00BC080C" w:rsidRDefault="0052610B" w:rsidP="00FA740C">
            <w:pPr>
              <w:spacing w:line="360" w:lineRule="auto"/>
              <w:jc w:val="both"/>
              <w:rPr>
                <w:rFonts w:ascii="Arial" w:hAnsi="Arial" w:cs="Arial"/>
                <w:sz w:val="24"/>
                <w:szCs w:val="24"/>
              </w:rPr>
            </w:pPr>
            <w:r>
              <w:rPr>
                <w:rFonts w:ascii="Arial" w:hAnsi="Arial" w:cs="Arial"/>
                <w:sz w:val="24"/>
                <w:szCs w:val="24"/>
              </w:rPr>
              <w:t xml:space="preserve">[15]    </w:t>
            </w:r>
            <w:r w:rsidR="00F316AD">
              <w:rPr>
                <w:rFonts w:ascii="Arial" w:hAnsi="Arial" w:cs="Arial"/>
                <w:sz w:val="24"/>
                <w:szCs w:val="24"/>
              </w:rPr>
              <w:t xml:space="preserve">   </w:t>
            </w:r>
            <w:r w:rsidR="007A1013">
              <w:rPr>
                <w:rFonts w:ascii="Arial" w:hAnsi="Arial" w:cs="Arial"/>
                <w:sz w:val="24"/>
                <w:szCs w:val="24"/>
              </w:rPr>
              <w:t xml:space="preserve">From the plea it is apparent that when the accused entered Farm Hebron, his intention was to unlawfully hunt on the farm. Trespassing flows consequentially as in order to hunt on the farm, </w:t>
            </w:r>
            <w:r w:rsidR="00ED5A36">
              <w:rPr>
                <w:rFonts w:ascii="Arial" w:hAnsi="Arial" w:cs="Arial"/>
                <w:sz w:val="24"/>
                <w:szCs w:val="24"/>
              </w:rPr>
              <w:t xml:space="preserve">the accused </w:t>
            </w:r>
            <w:r w:rsidR="007A1013">
              <w:rPr>
                <w:rFonts w:ascii="Arial" w:hAnsi="Arial" w:cs="Arial"/>
                <w:sz w:val="24"/>
                <w:szCs w:val="24"/>
              </w:rPr>
              <w:t>had to enter th</w:t>
            </w:r>
            <w:r w:rsidR="00ED5A36">
              <w:rPr>
                <w:rFonts w:ascii="Arial" w:hAnsi="Arial" w:cs="Arial"/>
                <w:sz w:val="24"/>
                <w:szCs w:val="24"/>
              </w:rPr>
              <w:t>at</w:t>
            </w:r>
            <w:r w:rsidR="007A1013">
              <w:rPr>
                <w:rFonts w:ascii="Arial" w:hAnsi="Arial" w:cs="Arial"/>
                <w:sz w:val="24"/>
                <w:szCs w:val="24"/>
              </w:rPr>
              <w:t xml:space="preserve"> farm. The accused therefore had a single intent which is to hunt and therefore convictions of both unlawful hunting and trespassing cannot be sustained</w:t>
            </w:r>
            <w:r w:rsidR="00FA740C">
              <w:rPr>
                <w:rFonts w:ascii="Arial" w:hAnsi="Arial" w:cs="Arial"/>
                <w:sz w:val="24"/>
                <w:szCs w:val="24"/>
              </w:rPr>
              <w:t xml:space="preserve"> as he had a single </w:t>
            </w:r>
            <w:r w:rsidR="00ED5A36">
              <w:rPr>
                <w:rFonts w:ascii="Arial" w:hAnsi="Arial" w:cs="Arial"/>
                <w:sz w:val="24"/>
                <w:szCs w:val="24"/>
              </w:rPr>
              <w:t xml:space="preserve">intent while performing </w:t>
            </w:r>
            <w:r w:rsidR="00FA740C">
              <w:rPr>
                <w:rFonts w:ascii="Arial" w:hAnsi="Arial" w:cs="Arial"/>
                <w:sz w:val="24"/>
                <w:szCs w:val="24"/>
              </w:rPr>
              <w:t xml:space="preserve">a single transaction. </w:t>
            </w:r>
            <w:r w:rsidR="007A1013">
              <w:rPr>
                <w:rFonts w:ascii="Arial" w:hAnsi="Arial" w:cs="Arial"/>
                <w:sz w:val="24"/>
                <w:szCs w:val="24"/>
              </w:rPr>
              <w:t>A conviction of trespassing and unlawful hunting</w:t>
            </w:r>
            <w:r w:rsidR="00ED5A36">
              <w:rPr>
                <w:rFonts w:ascii="Arial" w:hAnsi="Arial" w:cs="Arial"/>
                <w:sz w:val="24"/>
                <w:szCs w:val="24"/>
              </w:rPr>
              <w:t>,</w:t>
            </w:r>
            <w:r w:rsidR="007A1013">
              <w:rPr>
                <w:rFonts w:ascii="Arial" w:hAnsi="Arial" w:cs="Arial"/>
                <w:sz w:val="24"/>
                <w:szCs w:val="24"/>
              </w:rPr>
              <w:t xml:space="preserve"> </w:t>
            </w:r>
            <w:r w:rsidR="007A1013" w:rsidRPr="00FA740C">
              <w:rPr>
                <w:rFonts w:ascii="Arial" w:hAnsi="Arial" w:cs="Arial"/>
                <w:i/>
                <w:iCs/>
                <w:sz w:val="24"/>
                <w:szCs w:val="24"/>
              </w:rPr>
              <w:t>in casu</w:t>
            </w:r>
            <w:r w:rsidR="007A1013">
              <w:rPr>
                <w:rFonts w:ascii="Arial" w:hAnsi="Arial" w:cs="Arial"/>
                <w:sz w:val="24"/>
                <w:szCs w:val="24"/>
              </w:rPr>
              <w:t xml:space="preserve">, amounts to </w:t>
            </w:r>
            <w:r w:rsidR="00FA740C">
              <w:rPr>
                <w:rFonts w:ascii="Arial" w:hAnsi="Arial" w:cs="Arial"/>
                <w:sz w:val="24"/>
                <w:szCs w:val="24"/>
              </w:rPr>
              <w:t>a duplication of convictions. In the premises the conviction of the accused on trespassing falls to be set aside.</w:t>
            </w:r>
          </w:p>
          <w:p w14:paraId="105CF0B2" w14:textId="77777777" w:rsidR="00BC080C" w:rsidRPr="00BC080C" w:rsidRDefault="00BC080C" w:rsidP="00FA740C">
            <w:pPr>
              <w:spacing w:line="360" w:lineRule="auto"/>
              <w:jc w:val="both"/>
              <w:rPr>
                <w:rFonts w:ascii="Arial" w:hAnsi="Arial" w:cs="Arial"/>
                <w:sz w:val="24"/>
                <w:szCs w:val="24"/>
              </w:rPr>
            </w:pPr>
          </w:p>
          <w:p w14:paraId="588A8965" w14:textId="40F01758" w:rsidR="00BC080C" w:rsidRPr="00BC080C" w:rsidRDefault="00BC080C" w:rsidP="00FA740C">
            <w:pPr>
              <w:spacing w:line="360" w:lineRule="auto"/>
              <w:jc w:val="both"/>
              <w:rPr>
                <w:rFonts w:ascii="Arial" w:hAnsi="Arial" w:cs="Arial"/>
                <w:sz w:val="24"/>
                <w:szCs w:val="24"/>
              </w:rPr>
            </w:pPr>
            <w:r w:rsidRPr="00BC080C">
              <w:rPr>
                <w:rFonts w:ascii="Arial" w:hAnsi="Arial" w:cs="Arial"/>
                <w:sz w:val="24"/>
                <w:szCs w:val="24"/>
              </w:rPr>
              <w:t>[</w:t>
            </w:r>
            <w:r w:rsidR="00FA740C">
              <w:rPr>
                <w:rFonts w:ascii="Arial" w:hAnsi="Arial" w:cs="Arial"/>
                <w:sz w:val="24"/>
                <w:szCs w:val="24"/>
              </w:rPr>
              <w:t>1</w:t>
            </w:r>
            <w:r w:rsidRPr="00BC080C">
              <w:rPr>
                <w:rFonts w:ascii="Arial" w:hAnsi="Arial" w:cs="Arial"/>
                <w:sz w:val="24"/>
                <w:szCs w:val="24"/>
              </w:rPr>
              <w:t xml:space="preserve">6]   </w:t>
            </w:r>
            <w:r w:rsidR="00F316AD">
              <w:rPr>
                <w:rFonts w:ascii="Arial" w:hAnsi="Arial" w:cs="Arial"/>
                <w:sz w:val="24"/>
                <w:szCs w:val="24"/>
              </w:rPr>
              <w:t xml:space="preserve">  </w:t>
            </w:r>
            <w:r w:rsidRPr="00BC080C">
              <w:rPr>
                <w:rFonts w:ascii="Arial" w:hAnsi="Arial" w:cs="Arial"/>
                <w:sz w:val="24"/>
                <w:szCs w:val="24"/>
              </w:rPr>
              <w:t>In the result, it is ordered:</w:t>
            </w:r>
          </w:p>
          <w:p w14:paraId="55C5D263" w14:textId="77777777" w:rsidR="00BC080C" w:rsidRPr="00BC080C" w:rsidRDefault="00BC080C" w:rsidP="00FA740C">
            <w:pPr>
              <w:spacing w:line="360" w:lineRule="auto"/>
              <w:jc w:val="both"/>
              <w:rPr>
                <w:rFonts w:ascii="Arial" w:hAnsi="Arial" w:cs="Arial"/>
                <w:sz w:val="24"/>
                <w:szCs w:val="24"/>
              </w:rPr>
            </w:pPr>
          </w:p>
          <w:p w14:paraId="63AADE11" w14:textId="77777777" w:rsidR="00A6770C" w:rsidRDefault="00A6770C" w:rsidP="00FA740C">
            <w:pPr>
              <w:numPr>
                <w:ilvl w:val="0"/>
                <w:numId w:val="6"/>
              </w:numPr>
              <w:spacing w:line="360" w:lineRule="auto"/>
              <w:contextualSpacing/>
              <w:jc w:val="both"/>
              <w:rPr>
                <w:rFonts w:ascii="Arial" w:hAnsi="Arial" w:cs="Arial"/>
                <w:sz w:val="24"/>
                <w:szCs w:val="24"/>
              </w:rPr>
            </w:pPr>
            <w:r>
              <w:rPr>
                <w:rFonts w:ascii="Arial" w:hAnsi="Arial" w:cs="Arial"/>
                <w:sz w:val="24"/>
                <w:szCs w:val="24"/>
              </w:rPr>
              <w:t>The conviction on count 1 is confirmed.</w:t>
            </w:r>
          </w:p>
          <w:p w14:paraId="485173CE" w14:textId="77777777" w:rsidR="00A6770C" w:rsidRDefault="00A6770C" w:rsidP="00FA740C">
            <w:pPr>
              <w:numPr>
                <w:ilvl w:val="0"/>
                <w:numId w:val="6"/>
              </w:numPr>
              <w:spacing w:line="360" w:lineRule="auto"/>
              <w:contextualSpacing/>
              <w:jc w:val="both"/>
              <w:rPr>
                <w:rFonts w:ascii="Arial" w:hAnsi="Arial" w:cs="Arial"/>
                <w:sz w:val="24"/>
                <w:szCs w:val="24"/>
              </w:rPr>
            </w:pPr>
            <w:r>
              <w:rPr>
                <w:rFonts w:ascii="Arial" w:hAnsi="Arial" w:cs="Arial"/>
                <w:sz w:val="24"/>
                <w:szCs w:val="24"/>
              </w:rPr>
              <w:t>The conviction on count 2 is set aside.</w:t>
            </w:r>
          </w:p>
          <w:p w14:paraId="2655FA0E" w14:textId="4F57953B" w:rsidR="00BC080C" w:rsidRPr="00BC080C" w:rsidRDefault="00A6770C" w:rsidP="00FA740C">
            <w:pPr>
              <w:numPr>
                <w:ilvl w:val="0"/>
                <w:numId w:val="6"/>
              </w:numPr>
              <w:spacing w:line="360" w:lineRule="auto"/>
              <w:contextualSpacing/>
              <w:jc w:val="both"/>
              <w:rPr>
                <w:rFonts w:ascii="Arial" w:hAnsi="Arial" w:cs="Arial"/>
                <w:sz w:val="24"/>
                <w:szCs w:val="24"/>
              </w:rPr>
            </w:pPr>
            <w:r w:rsidRPr="00A6770C">
              <w:rPr>
                <w:rFonts w:ascii="Arial" w:hAnsi="Arial" w:cs="Arial"/>
                <w:sz w:val="24"/>
                <w:szCs w:val="24"/>
              </w:rPr>
              <w:t xml:space="preserve">The </w:t>
            </w:r>
            <w:r>
              <w:rPr>
                <w:rFonts w:ascii="Arial" w:hAnsi="Arial" w:cs="Arial"/>
                <w:sz w:val="24"/>
                <w:szCs w:val="24"/>
              </w:rPr>
              <w:t xml:space="preserve">sentence imposed is set aside and the </w:t>
            </w:r>
            <w:r w:rsidRPr="00A6770C">
              <w:rPr>
                <w:rFonts w:ascii="Arial" w:hAnsi="Arial" w:cs="Arial"/>
                <w:sz w:val="24"/>
                <w:szCs w:val="24"/>
              </w:rPr>
              <w:t xml:space="preserve">matter is referred back to the trial magistrate for sentencing </w:t>
            </w:r>
            <w:r w:rsidR="006D6063">
              <w:rPr>
                <w:rFonts w:ascii="Arial" w:hAnsi="Arial" w:cs="Arial"/>
                <w:sz w:val="24"/>
                <w:szCs w:val="24"/>
              </w:rPr>
              <w:t xml:space="preserve">the accused on count 1 </w:t>
            </w:r>
            <w:r w:rsidRPr="00A6770C">
              <w:rPr>
                <w:rFonts w:ascii="Arial" w:hAnsi="Arial" w:cs="Arial"/>
                <w:sz w:val="24"/>
                <w:szCs w:val="24"/>
              </w:rPr>
              <w:t xml:space="preserve">afresh. </w:t>
            </w:r>
          </w:p>
          <w:p w14:paraId="40553902" w14:textId="4B66C0E1" w:rsidR="00372EBD" w:rsidRDefault="00372EBD" w:rsidP="00FA740C">
            <w:pPr>
              <w:spacing w:line="360" w:lineRule="auto"/>
              <w:jc w:val="both"/>
              <w:rPr>
                <w:rFonts w:ascii="Arial" w:hAnsi="Arial" w:cs="Arial"/>
                <w:sz w:val="24"/>
                <w:szCs w:val="24"/>
              </w:rPr>
            </w:pPr>
          </w:p>
          <w:p w14:paraId="2078E54F" w14:textId="77777777" w:rsidR="00372EBD" w:rsidRDefault="00372EBD" w:rsidP="00FA740C">
            <w:pPr>
              <w:spacing w:line="360" w:lineRule="auto"/>
              <w:jc w:val="both"/>
              <w:rPr>
                <w:rFonts w:ascii="Arial" w:hAnsi="Arial" w:cs="Arial"/>
                <w:sz w:val="24"/>
                <w:szCs w:val="24"/>
              </w:rPr>
            </w:pPr>
          </w:p>
          <w:p w14:paraId="5901CA89" w14:textId="77777777" w:rsidR="00372EBD" w:rsidRDefault="00372EBD" w:rsidP="00FA740C">
            <w:pPr>
              <w:spacing w:line="360" w:lineRule="auto"/>
              <w:jc w:val="both"/>
              <w:rPr>
                <w:rFonts w:ascii="Arial" w:hAnsi="Arial" w:cs="Arial"/>
                <w:sz w:val="24"/>
                <w:szCs w:val="24"/>
              </w:rPr>
            </w:pPr>
          </w:p>
          <w:p w14:paraId="34C3C482" w14:textId="77777777" w:rsidR="00372EBD" w:rsidRDefault="00372EBD" w:rsidP="00FA740C">
            <w:pPr>
              <w:spacing w:line="360" w:lineRule="auto"/>
              <w:jc w:val="both"/>
              <w:rPr>
                <w:rFonts w:ascii="Arial" w:hAnsi="Arial" w:cs="Arial"/>
                <w:sz w:val="24"/>
                <w:szCs w:val="24"/>
              </w:rPr>
            </w:pPr>
          </w:p>
          <w:p w14:paraId="555687CA" w14:textId="77777777" w:rsidR="00372EBD" w:rsidRDefault="00372EBD" w:rsidP="00FA740C">
            <w:pPr>
              <w:spacing w:line="360" w:lineRule="auto"/>
              <w:jc w:val="both"/>
              <w:rPr>
                <w:rFonts w:ascii="Arial" w:hAnsi="Arial" w:cs="Arial"/>
                <w:sz w:val="24"/>
                <w:szCs w:val="24"/>
              </w:rPr>
            </w:pPr>
          </w:p>
          <w:p w14:paraId="73A4450B" w14:textId="77777777" w:rsidR="00372EBD" w:rsidRDefault="00372EBD" w:rsidP="00FA740C">
            <w:pPr>
              <w:spacing w:line="360" w:lineRule="auto"/>
              <w:jc w:val="both"/>
              <w:rPr>
                <w:rFonts w:ascii="Arial" w:hAnsi="Arial" w:cs="Arial"/>
                <w:sz w:val="24"/>
                <w:szCs w:val="24"/>
              </w:rPr>
            </w:pPr>
          </w:p>
          <w:p w14:paraId="15727834" w14:textId="77777777" w:rsidR="008F2C65" w:rsidRDefault="008F2C65" w:rsidP="00FA740C">
            <w:pPr>
              <w:spacing w:line="360" w:lineRule="auto"/>
              <w:jc w:val="both"/>
              <w:rPr>
                <w:rFonts w:ascii="Arial" w:hAnsi="Arial" w:cs="Arial"/>
                <w:sz w:val="24"/>
                <w:szCs w:val="24"/>
                <w:lang w:val="en-GB"/>
              </w:rPr>
            </w:pPr>
          </w:p>
          <w:p w14:paraId="55EED364" w14:textId="31579B68" w:rsidR="008C0D60" w:rsidRPr="00D15D4C" w:rsidRDefault="008F2C65" w:rsidP="00FA740C">
            <w:pPr>
              <w:spacing w:line="360" w:lineRule="auto"/>
              <w:jc w:val="both"/>
              <w:rPr>
                <w:rFonts w:ascii="Arial" w:hAnsi="Arial" w:cs="Arial"/>
                <w:lang w:val="en-GB"/>
              </w:rPr>
            </w:pPr>
            <w:r>
              <w:rPr>
                <w:rFonts w:ascii="Arial" w:hAnsi="Arial" w:cs="Arial"/>
                <w:sz w:val="24"/>
                <w:szCs w:val="24"/>
                <w:lang w:val="en-GB"/>
              </w:rPr>
              <w:t xml:space="preserve"> </w:t>
            </w:r>
          </w:p>
          <w:p w14:paraId="4A46EA64" w14:textId="5C01F331" w:rsidR="003B3A96" w:rsidRPr="003F21CA" w:rsidRDefault="005175EA" w:rsidP="00FA740C">
            <w:pPr>
              <w:spacing w:after="200" w:line="360" w:lineRule="auto"/>
              <w:jc w:val="both"/>
              <w:rPr>
                <w:rFonts w:ascii="Arial" w:eastAsia="Calibri" w:hAnsi="Arial" w:cs="Arial"/>
                <w:sz w:val="24"/>
                <w:szCs w:val="24"/>
              </w:rPr>
            </w:pPr>
            <w:r>
              <w:rPr>
                <w:rFonts w:ascii="Arial" w:hAnsi="Arial" w:cs="Arial"/>
                <w:sz w:val="24"/>
                <w:szCs w:val="24"/>
                <w:lang w:val="en-US"/>
              </w:rPr>
              <w:t xml:space="preserve"> </w:t>
            </w:r>
            <w:r w:rsidR="003B3A96">
              <w:rPr>
                <w:rFonts w:ascii="Arial" w:hAnsi="Arial" w:cs="Arial"/>
                <w:sz w:val="24"/>
                <w:szCs w:val="24"/>
                <w:lang w:val="en-US"/>
              </w:rPr>
              <w:t xml:space="preserve"> </w:t>
            </w:r>
          </w:p>
          <w:p w14:paraId="267F017D" w14:textId="77777777" w:rsidR="00A12A7A" w:rsidRPr="00A12A7A" w:rsidRDefault="00A12A7A" w:rsidP="00FA740C">
            <w:pPr>
              <w:spacing w:after="200" w:line="360" w:lineRule="auto"/>
              <w:ind w:left="720"/>
              <w:jc w:val="both"/>
              <w:rPr>
                <w:rFonts w:ascii="Arial" w:hAnsi="Arial" w:cs="Arial"/>
                <w:b/>
                <w:color w:val="FF0000"/>
                <w:sz w:val="24"/>
                <w:szCs w:val="24"/>
              </w:rPr>
            </w:pPr>
          </w:p>
        </w:tc>
      </w:tr>
      <w:tr w:rsidR="00A12A7A" w14:paraId="3F338861" w14:textId="77777777" w:rsidTr="00267D03">
        <w:tc>
          <w:tcPr>
            <w:tcW w:w="9923" w:type="dxa"/>
            <w:gridSpan w:val="3"/>
            <w:tcBorders>
              <w:top w:val="single" w:sz="4" w:space="0" w:color="auto"/>
              <w:left w:val="single" w:sz="4" w:space="0" w:color="auto"/>
              <w:bottom w:val="single" w:sz="4" w:space="0" w:color="auto"/>
              <w:right w:val="single" w:sz="4" w:space="0" w:color="auto"/>
            </w:tcBorders>
            <w:hideMark/>
          </w:tcPr>
          <w:p w14:paraId="5C79941A" w14:textId="103EDAC0" w:rsidR="00A12A7A" w:rsidRPr="00A12A7A" w:rsidRDefault="00A12A7A" w:rsidP="00471883">
            <w:pPr>
              <w:pStyle w:val="ListParagraph"/>
              <w:spacing w:line="360" w:lineRule="auto"/>
              <w:ind w:left="601"/>
              <w:rPr>
                <w:rFonts w:ascii="Arial" w:hAnsi="Arial" w:cs="Arial"/>
                <w:b/>
                <w:color w:val="FF0000"/>
                <w:sz w:val="24"/>
                <w:szCs w:val="24"/>
              </w:rPr>
            </w:pPr>
          </w:p>
        </w:tc>
      </w:tr>
      <w:tr w:rsidR="00A12A7A" w14:paraId="523021D0" w14:textId="77777777" w:rsidTr="00267D03">
        <w:trPr>
          <w:trHeight w:val="955"/>
        </w:trPr>
        <w:tc>
          <w:tcPr>
            <w:tcW w:w="4961" w:type="dxa"/>
            <w:gridSpan w:val="2"/>
            <w:tcBorders>
              <w:top w:val="single" w:sz="4" w:space="0" w:color="auto"/>
              <w:left w:val="single" w:sz="4" w:space="0" w:color="auto"/>
              <w:bottom w:val="single" w:sz="4" w:space="0" w:color="auto"/>
              <w:right w:val="single" w:sz="4" w:space="0" w:color="auto"/>
            </w:tcBorders>
          </w:tcPr>
          <w:p w14:paraId="3703D066" w14:textId="77777777" w:rsidR="00A12A7A" w:rsidRDefault="00A12A7A" w:rsidP="00267D03">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85EA6C2" w14:textId="77777777" w:rsidR="00A12A7A" w:rsidRDefault="00A12A7A" w:rsidP="00267D03">
            <w:pPr>
              <w:spacing w:line="360" w:lineRule="auto"/>
              <w:jc w:val="both"/>
              <w:rPr>
                <w:rFonts w:ascii="Arial" w:hAnsi="Arial" w:cs="Arial"/>
                <w:sz w:val="24"/>
                <w:szCs w:val="24"/>
              </w:rPr>
            </w:pPr>
          </w:p>
        </w:tc>
      </w:tr>
      <w:tr w:rsidR="00A12A7A" w14:paraId="1843F797" w14:textId="77777777" w:rsidTr="00267D03">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14:paraId="1B8E1164" w14:textId="15472428"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O S SIBEYA </w:t>
            </w:r>
            <w:r>
              <w:rPr>
                <w:rFonts w:ascii="Arial" w:hAnsi="Arial" w:cs="Arial"/>
                <w:sz w:val="24"/>
                <w:szCs w:val="24"/>
              </w:rPr>
              <w:t xml:space="preserve">     </w:t>
            </w:r>
          </w:p>
          <w:p w14:paraId="343DE13A" w14:textId="23FAEC78"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ACTING </w:t>
            </w:r>
            <w:r>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14:paraId="44F634E1" w14:textId="63F92D6B"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0701E0">
              <w:rPr>
                <w:rFonts w:ascii="Arial" w:hAnsi="Arial" w:cs="Arial"/>
                <w:sz w:val="24"/>
                <w:szCs w:val="24"/>
              </w:rPr>
              <w:t>N N SHIVUTE</w:t>
            </w:r>
            <w:r>
              <w:rPr>
                <w:rFonts w:ascii="Arial" w:hAnsi="Arial" w:cs="Arial"/>
                <w:sz w:val="24"/>
                <w:szCs w:val="24"/>
              </w:rPr>
              <w:t xml:space="preserve">                       </w:t>
            </w:r>
          </w:p>
          <w:p w14:paraId="3457682B" w14:textId="290EA26F"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  </w:t>
            </w:r>
            <w:r>
              <w:rPr>
                <w:rFonts w:ascii="Arial" w:hAnsi="Arial" w:cs="Arial"/>
                <w:sz w:val="24"/>
                <w:szCs w:val="24"/>
              </w:rPr>
              <w:t>JUDGE</w:t>
            </w:r>
          </w:p>
        </w:tc>
      </w:tr>
    </w:tbl>
    <w:p w14:paraId="4613417A" w14:textId="77777777" w:rsidR="00BE12AD" w:rsidRPr="00A12A7A" w:rsidRDefault="00BE12AD" w:rsidP="00A12A7A">
      <w:pPr>
        <w:tabs>
          <w:tab w:val="left" w:pos="1815"/>
        </w:tabs>
        <w:rPr>
          <w:rFonts w:ascii="Arial" w:hAnsi="Arial" w:cs="Arial"/>
          <w:sz w:val="24"/>
          <w:szCs w:val="24"/>
        </w:rPr>
      </w:pPr>
    </w:p>
    <w:sectPr w:rsidR="00BE12AD" w:rsidRPr="00A12A7A" w:rsidSect="00B961F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096C" w14:textId="77777777" w:rsidR="000366AA" w:rsidRDefault="000366AA" w:rsidP="00A12A7A">
      <w:pPr>
        <w:spacing w:after="0" w:line="240" w:lineRule="auto"/>
      </w:pPr>
      <w:r>
        <w:separator/>
      </w:r>
    </w:p>
  </w:endnote>
  <w:endnote w:type="continuationSeparator" w:id="0">
    <w:p w14:paraId="2A763574" w14:textId="77777777" w:rsidR="000366AA" w:rsidRDefault="000366AA" w:rsidP="00A1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FA6C" w14:textId="77777777" w:rsidR="000366AA" w:rsidRDefault="000366AA" w:rsidP="00A12A7A">
      <w:pPr>
        <w:spacing w:after="0" w:line="240" w:lineRule="auto"/>
      </w:pPr>
      <w:r>
        <w:separator/>
      </w:r>
    </w:p>
  </w:footnote>
  <w:footnote w:type="continuationSeparator" w:id="0">
    <w:p w14:paraId="48601A7B" w14:textId="77777777" w:rsidR="000366AA" w:rsidRDefault="000366AA" w:rsidP="00A12A7A">
      <w:pPr>
        <w:spacing w:after="0" w:line="240" w:lineRule="auto"/>
      </w:pPr>
      <w:r>
        <w:continuationSeparator/>
      </w:r>
    </w:p>
  </w:footnote>
  <w:footnote w:id="1">
    <w:p w14:paraId="2F08F7F1" w14:textId="41F176B1" w:rsidR="000D5A90" w:rsidRPr="00AD42E8" w:rsidRDefault="000D5A90">
      <w:pPr>
        <w:pStyle w:val="FootnoteText"/>
        <w:rPr>
          <w:rFonts w:ascii="Arial" w:hAnsi="Arial" w:cs="Arial"/>
          <w:lang w:val="en-GB"/>
        </w:rPr>
      </w:pPr>
      <w:r w:rsidRPr="00AD42E8">
        <w:rPr>
          <w:rStyle w:val="FootnoteReference"/>
          <w:rFonts w:ascii="Arial" w:hAnsi="Arial" w:cs="Arial"/>
        </w:rPr>
        <w:footnoteRef/>
      </w:r>
      <w:r w:rsidRPr="00AD42E8">
        <w:rPr>
          <w:rFonts w:ascii="Arial" w:hAnsi="Arial" w:cs="Arial"/>
        </w:rPr>
        <w:t xml:space="preserve"> </w:t>
      </w:r>
      <w:r w:rsidRPr="00AD42E8">
        <w:rPr>
          <w:rFonts w:ascii="Arial" w:hAnsi="Arial" w:cs="Arial"/>
          <w:lang w:val="en-GB"/>
        </w:rPr>
        <w:t>2014 (1) NR 38 (HC) at 39G to 40B.</w:t>
      </w:r>
      <w:r w:rsidR="006D3F56" w:rsidRPr="00AD42E8">
        <w:rPr>
          <w:rFonts w:ascii="Arial" w:hAnsi="Arial" w:cs="Arial"/>
          <w:i/>
        </w:rPr>
        <w:t xml:space="preserve"> see: also: S v Akanda</w:t>
      </w:r>
      <w:r w:rsidR="006D3F56" w:rsidRPr="00AD42E8">
        <w:rPr>
          <w:rFonts w:ascii="Arial" w:hAnsi="Arial" w:cs="Arial"/>
        </w:rPr>
        <w:t xml:space="preserve"> 2009 (1) NR 17 (HC)</w:t>
      </w:r>
      <w:r w:rsidR="00703E28" w:rsidRPr="00AD42E8">
        <w:rPr>
          <w:rFonts w:ascii="Arial" w:hAnsi="Arial" w:cs="Arial"/>
        </w:rPr>
        <w:t>.</w:t>
      </w:r>
    </w:p>
  </w:footnote>
  <w:footnote w:id="2">
    <w:p w14:paraId="7FA85BD2" w14:textId="2E8DC3B1" w:rsidR="00C11335" w:rsidRPr="00AD42E8" w:rsidRDefault="00C11335">
      <w:pPr>
        <w:pStyle w:val="FootnoteText"/>
        <w:rPr>
          <w:rFonts w:ascii="Arial" w:hAnsi="Arial" w:cs="Arial"/>
          <w:lang w:val="en-GB"/>
        </w:rPr>
      </w:pPr>
      <w:r w:rsidRPr="00AD42E8">
        <w:rPr>
          <w:rStyle w:val="FootnoteReference"/>
          <w:rFonts w:ascii="Arial" w:hAnsi="Arial" w:cs="Arial"/>
        </w:rPr>
        <w:footnoteRef/>
      </w:r>
      <w:r w:rsidRPr="00AD42E8">
        <w:rPr>
          <w:rFonts w:ascii="Arial" w:hAnsi="Arial" w:cs="Arial"/>
        </w:rPr>
        <w:t xml:space="preserve"> </w:t>
      </w:r>
      <w:r w:rsidRPr="00AD42E8">
        <w:rPr>
          <w:rFonts w:ascii="Arial" w:hAnsi="Arial" w:cs="Arial"/>
          <w:lang w:val="en-GB"/>
        </w:rPr>
        <w:t>Para 19.</w:t>
      </w:r>
    </w:p>
  </w:footnote>
  <w:footnote w:id="3">
    <w:p w14:paraId="400250C1" w14:textId="77777777" w:rsidR="00BC080C" w:rsidRPr="00AD42E8" w:rsidRDefault="00BC080C" w:rsidP="00BC080C">
      <w:pPr>
        <w:pStyle w:val="FootnoteText"/>
        <w:rPr>
          <w:rFonts w:ascii="Arial" w:hAnsi="Arial" w:cs="Arial"/>
          <w:lang w:val="en-US"/>
        </w:rPr>
      </w:pPr>
      <w:r w:rsidRPr="00AD42E8">
        <w:rPr>
          <w:rStyle w:val="FootnoteReference"/>
          <w:rFonts w:ascii="Arial" w:hAnsi="Arial" w:cs="Arial"/>
        </w:rPr>
        <w:footnoteRef/>
      </w:r>
      <w:r w:rsidRPr="00AD42E8">
        <w:rPr>
          <w:rFonts w:ascii="Arial" w:hAnsi="Arial" w:cs="Arial"/>
        </w:rPr>
        <w:t xml:space="preserve"> </w:t>
      </w:r>
      <w:r w:rsidRPr="00AD42E8">
        <w:rPr>
          <w:rFonts w:ascii="Arial" w:hAnsi="Arial" w:cs="Arial"/>
          <w:lang w:val="en-US"/>
        </w:rPr>
        <w:t>2000 NR 139 (SC).</w:t>
      </w:r>
    </w:p>
  </w:footnote>
  <w:footnote w:id="4">
    <w:p w14:paraId="4060D663" w14:textId="098730B1" w:rsidR="00061199" w:rsidRPr="0065334D" w:rsidRDefault="00061199" w:rsidP="00061199">
      <w:pPr>
        <w:pStyle w:val="FootnoteText"/>
        <w:rPr>
          <w:rFonts w:ascii="Arial" w:hAnsi="Arial" w:cs="Arial"/>
          <w:lang w:val="en-US"/>
        </w:rPr>
      </w:pPr>
      <w:r w:rsidRPr="00AD42E8">
        <w:rPr>
          <w:rStyle w:val="FootnoteReference"/>
          <w:rFonts w:ascii="Arial" w:hAnsi="Arial" w:cs="Arial"/>
        </w:rPr>
        <w:footnoteRef/>
      </w:r>
      <w:r w:rsidRPr="00AD42E8">
        <w:rPr>
          <w:rFonts w:ascii="Arial" w:hAnsi="Arial" w:cs="Arial"/>
        </w:rPr>
        <w:t xml:space="preserve"> </w:t>
      </w:r>
      <w:r w:rsidRPr="00AD42E8">
        <w:rPr>
          <w:rFonts w:ascii="Arial" w:hAnsi="Arial" w:cs="Arial"/>
          <w:lang w:val="en-US"/>
        </w:rPr>
        <w:t>1997 NR 254 (HC) 256E-I.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14:paraId="23EB8BC3" w14:textId="77777777" w:rsidR="00B961FD" w:rsidRDefault="008D4F95">
        <w:pPr>
          <w:pStyle w:val="Header"/>
          <w:jc w:val="right"/>
        </w:pPr>
        <w:r>
          <w:fldChar w:fldCharType="begin"/>
        </w:r>
        <w:r>
          <w:instrText xml:space="preserve"> PAGE   \* MERGEFORMAT </w:instrText>
        </w:r>
        <w:r>
          <w:fldChar w:fldCharType="separate"/>
        </w:r>
        <w:r w:rsidR="00B054DB">
          <w:rPr>
            <w:noProof/>
          </w:rPr>
          <w:t>2</w:t>
        </w:r>
        <w:r>
          <w:rPr>
            <w:noProof/>
          </w:rPr>
          <w:fldChar w:fldCharType="end"/>
        </w:r>
      </w:p>
    </w:sdtContent>
  </w:sdt>
  <w:p w14:paraId="1E5D7AE7" w14:textId="77777777" w:rsidR="00B961FD" w:rsidRDefault="00036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56A2"/>
    <w:multiLevelType w:val="hybridMultilevel"/>
    <w:tmpl w:val="99140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12CBE"/>
    <w:multiLevelType w:val="hybridMultilevel"/>
    <w:tmpl w:val="D2C42C6A"/>
    <w:lvl w:ilvl="0" w:tplc="F38ABFFC">
      <w:start w:val="1"/>
      <w:numFmt w:val="decimal"/>
      <w:lvlText w:val="%1."/>
      <w:lvlJc w:val="left"/>
      <w:pPr>
        <w:ind w:left="1020" w:hanging="360"/>
      </w:pPr>
      <w:rPr>
        <w:rFonts w:hint="default"/>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 w15:restartNumberingAfterBreak="0">
    <w:nsid w:val="3B463EFA"/>
    <w:multiLevelType w:val="hybridMultilevel"/>
    <w:tmpl w:val="31A4C7E4"/>
    <w:lvl w:ilvl="0" w:tplc="244A74E6">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3" w15:restartNumberingAfterBreak="0">
    <w:nsid w:val="3C36295B"/>
    <w:multiLevelType w:val="hybridMultilevel"/>
    <w:tmpl w:val="9D6A7E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04911D0"/>
    <w:multiLevelType w:val="hybridMultilevel"/>
    <w:tmpl w:val="FDC8902C"/>
    <w:lvl w:ilvl="0" w:tplc="0FFC90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6FCD565A"/>
    <w:multiLevelType w:val="hybridMultilevel"/>
    <w:tmpl w:val="0DF0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E6443"/>
    <w:multiLevelType w:val="hybridMultilevel"/>
    <w:tmpl w:val="D46E1B4E"/>
    <w:lvl w:ilvl="0" w:tplc="F14A5DCA">
      <w:start w:val="1"/>
      <w:numFmt w:val="decimal"/>
      <w:lvlText w:val="%1."/>
      <w:lvlJc w:val="left"/>
      <w:pPr>
        <w:ind w:left="1080" w:hanging="360"/>
      </w:pPr>
      <w:rPr>
        <w:rFonts w:ascii="Arial" w:eastAsiaTheme="minorHAnsi" w:hAnsi="Arial" w:cs="Arial"/>
      </w:rPr>
    </w:lvl>
    <w:lvl w:ilvl="1" w:tplc="0409000F">
      <w:start w:val="1"/>
      <w:numFmt w:val="decimal"/>
      <w:lvlText w:val="%2."/>
      <w:lvlJc w:val="left"/>
      <w:pPr>
        <w:ind w:left="198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7A"/>
    <w:rsid w:val="00012F04"/>
    <w:rsid w:val="000276F4"/>
    <w:rsid w:val="000366AA"/>
    <w:rsid w:val="00061199"/>
    <w:rsid w:val="000701E0"/>
    <w:rsid w:val="000718A7"/>
    <w:rsid w:val="00080ECF"/>
    <w:rsid w:val="00082D79"/>
    <w:rsid w:val="00095F47"/>
    <w:rsid w:val="000A7A91"/>
    <w:rsid w:val="000B7C61"/>
    <w:rsid w:val="000D5A90"/>
    <w:rsid w:val="000E3680"/>
    <w:rsid w:val="000F47B2"/>
    <w:rsid w:val="000F6B2F"/>
    <w:rsid w:val="00142616"/>
    <w:rsid w:val="00164877"/>
    <w:rsid w:val="00185B60"/>
    <w:rsid w:val="00193C75"/>
    <w:rsid w:val="001A74FB"/>
    <w:rsid w:val="001C1180"/>
    <w:rsid w:val="00220C64"/>
    <w:rsid w:val="00232AD3"/>
    <w:rsid w:val="002338B0"/>
    <w:rsid w:val="002351C1"/>
    <w:rsid w:val="00236B2E"/>
    <w:rsid w:val="00255FFC"/>
    <w:rsid w:val="002A1CA7"/>
    <w:rsid w:val="002D06AE"/>
    <w:rsid w:val="002F4522"/>
    <w:rsid w:val="00357E02"/>
    <w:rsid w:val="00360E96"/>
    <w:rsid w:val="00370C86"/>
    <w:rsid w:val="00372EBD"/>
    <w:rsid w:val="003B3A96"/>
    <w:rsid w:val="003B5D77"/>
    <w:rsid w:val="003C4BA8"/>
    <w:rsid w:val="003D6A41"/>
    <w:rsid w:val="003E1B44"/>
    <w:rsid w:val="003E630F"/>
    <w:rsid w:val="003F21CA"/>
    <w:rsid w:val="003F2E84"/>
    <w:rsid w:val="00403BC0"/>
    <w:rsid w:val="00422EF6"/>
    <w:rsid w:val="00471703"/>
    <w:rsid w:val="00471883"/>
    <w:rsid w:val="004B0810"/>
    <w:rsid w:val="004B6B1E"/>
    <w:rsid w:val="004B75E3"/>
    <w:rsid w:val="004D2714"/>
    <w:rsid w:val="004D47BC"/>
    <w:rsid w:val="004E7B0B"/>
    <w:rsid w:val="00512A7D"/>
    <w:rsid w:val="005175EA"/>
    <w:rsid w:val="0052610B"/>
    <w:rsid w:val="0053533B"/>
    <w:rsid w:val="00542785"/>
    <w:rsid w:val="0055162B"/>
    <w:rsid w:val="005879A5"/>
    <w:rsid w:val="005B17E8"/>
    <w:rsid w:val="005B6E1D"/>
    <w:rsid w:val="005E57A0"/>
    <w:rsid w:val="005F24A8"/>
    <w:rsid w:val="005F545D"/>
    <w:rsid w:val="00611CB9"/>
    <w:rsid w:val="00620598"/>
    <w:rsid w:val="00641EA5"/>
    <w:rsid w:val="00664CE8"/>
    <w:rsid w:val="0066604A"/>
    <w:rsid w:val="006A1ECE"/>
    <w:rsid w:val="006A6CE2"/>
    <w:rsid w:val="006B6D70"/>
    <w:rsid w:val="006D3F56"/>
    <w:rsid w:val="006D6063"/>
    <w:rsid w:val="006F4105"/>
    <w:rsid w:val="006F7DD8"/>
    <w:rsid w:val="00703E28"/>
    <w:rsid w:val="007050ED"/>
    <w:rsid w:val="0071703C"/>
    <w:rsid w:val="00720D40"/>
    <w:rsid w:val="00725003"/>
    <w:rsid w:val="007513C8"/>
    <w:rsid w:val="00753E6C"/>
    <w:rsid w:val="007853CA"/>
    <w:rsid w:val="007856DE"/>
    <w:rsid w:val="007A1013"/>
    <w:rsid w:val="007A5694"/>
    <w:rsid w:val="008130CA"/>
    <w:rsid w:val="0081687B"/>
    <w:rsid w:val="008232FD"/>
    <w:rsid w:val="00833923"/>
    <w:rsid w:val="0085025B"/>
    <w:rsid w:val="00850431"/>
    <w:rsid w:val="0087133C"/>
    <w:rsid w:val="008A1A31"/>
    <w:rsid w:val="008C0D60"/>
    <w:rsid w:val="008D4F95"/>
    <w:rsid w:val="008F2C65"/>
    <w:rsid w:val="00906301"/>
    <w:rsid w:val="00913842"/>
    <w:rsid w:val="00947A67"/>
    <w:rsid w:val="00962B17"/>
    <w:rsid w:val="00976094"/>
    <w:rsid w:val="009805C5"/>
    <w:rsid w:val="009962E0"/>
    <w:rsid w:val="009B0B54"/>
    <w:rsid w:val="009C5DD1"/>
    <w:rsid w:val="009D0647"/>
    <w:rsid w:val="009F549C"/>
    <w:rsid w:val="00A12A7A"/>
    <w:rsid w:val="00A419CA"/>
    <w:rsid w:val="00A41F00"/>
    <w:rsid w:val="00A43CF6"/>
    <w:rsid w:val="00A6770C"/>
    <w:rsid w:val="00A720CD"/>
    <w:rsid w:val="00AA46AD"/>
    <w:rsid w:val="00AA74B5"/>
    <w:rsid w:val="00AB6A76"/>
    <w:rsid w:val="00AC20D2"/>
    <w:rsid w:val="00AC31E3"/>
    <w:rsid w:val="00AC54F2"/>
    <w:rsid w:val="00AD14EE"/>
    <w:rsid w:val="00AD42E8"/>
    <w:rsid w:val="00B054DB"/>
    <w:rsid w:val="00B14B8D"/>
    <w:rsid w:val="00B237EF"/>
    <w:rsid w:val="00B50670"/>
    <w:rsid w:val="00B670E2"/>
    <w:rsid w:val="00B934AD"/>
    <w:rsid w:val="00BA6FAC"/>
    <w:rsid w:val="00BA737D"/>
    <w:rsid w:val="00BB1566"/>
    <w:rsid w:val="00BC080C"/>
    <w:rsid w:val="00BD2F47"/>
    <w:rsid w:val="00BE12AD"/>
    <w:rsid w:val="00BE3107"/>
    <w:rsid w:val="00BF6D3C"/>
    <w:rsid w:val="00C0145F"/>
    <w:rsid w:val="00C02368"/>
    <w:rsid w:val="00C10AFA"/>
    <w:rsid w:val="00C11335"/>
    <w:rsid w:val="00C33228"/>
    <w:rsid w:val="00CB1068"/>
    <w:rsid w:val="00CC0EA2"/>
    <w:rsid w:val="00CD3452"/>
    <w:rsid w:val="00CD5DC5"/>
    <w:rsid w:val="00CE4596"/>
    <w:rsid w:val="00D01A23"/>
    <w:rsid w:val="00D074F5"/>
    <w:rsid w:val="00D34DE9"/>
    <w:rsid w:val="00D41D36"/>
    <w:rsid w:val="00D47ECC"/>
    <w:rsid w:val="00D76731"/>
    <w:rsid w:val="00D90759"/>
    <w:rsid w:val="00D93C9E"/>
    <w:rsid w:val="00DA211A"/>
    <w:rsid w:val="00DB320B"/>
    <w:rsid w:val="00DC0257"/>
    <w:rsid w:val="00E222EF"/>
    <w:rsid w:val="00E301EB"/>
    <w:rsid w:val="00E351E1"/>
    <w:rsid w:val="00E47677"/>
    <w:rsid w:val="00E7276D"/>
    <w:rsid w:val="00EA771C"/>
    <w:rsid w:val="00EC5946"/>
    <w:rsid w:val="00ED2629"/>
    <w:rsid w:val="00ED5A36"/>
    <w:rsid w:val="00F032F6"/>
    <w:rsid w:val="00F1272E"/>
    <w:rsid w:val="00F316AD"/>
    <w:rsid w:val="00F75F55"/>
    <w:rsid w:val="00F75F68"/>
    <w:rsid w:val="00F83433"/>
    <w:rsid w:val="00F95426"/>
    <w:rsid w:val="00FA740C"/>
    <w:rsid w:val="00FD0318"/>
    <w:rsid w:val="00FE1A2E"/>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A71"/>
  <w15:chartTrackingRefBased/>
  <w15:docId w15:val="{AA17B64B-3815-4E30-A97C-5A81503F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7A"/>
    <w:pPr>
      <w:spacing w:line="254" w:lineRule="auto"/>
    </w:pPr>
    <w:rPr>
      <w:lang w:val="en-ZA"/>
    </w:rPr>
  </w:style>
  <w:style w:type="paragraph" w:styleId="Heading1">
    <w:name w:val="heading 1"/>
    <w:basedOn w:val="Normal"/>
    <w:next w:val="Normal"/>
    <w:link w:val="Heading1Char"/>
    <w:uiPriority w:val="9"/>
    <w:qFormat/>
    <w:rsid w:val="005879A5"/>
    <w:pPr>
      <w:keepNext/>
      <w:spacing w:after="0" w:line="240" w:lineRule="auto"/>
      <w:outlineLvl w:val="0"/>
    </w:pPr>
    <w:rPr>
      <w:rFonts w:ascii="Tahoma" w:eastAsia="Times New Roman" w:hAnsi="Tahoma" w:cs="Tahoma"/>
      <w:b/>
      <w:bCs/>
      <w:sz w:val="24"/>
      <w:szCs w:val="24"/>
      <w:u w:val="single"/>
      <w:lang w:val="en-US"/>
    </w:rPr>
  </w:style>
  <w:style w:type="paragraph" w:styleId="Heading2">
    <w:name w:val="heading 2"/>
    <w:basedOn w:val="Normal"/>
    <w:next w:val="Normal"/>
    <w:link w:val="Heading2Char"/>
    <w:uiPriority w:val="9"/>
    <w:semiHidden/>
    <w:unhideWhenUsed/>
    <w:qFormat/>
    <w:rsid w:val="005879A5"/>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semiHidden/>
    <w:unhideWhenUsed/>
    <w:qFormat/>
    <w:rsid w:val="005879A5"/>
    <w:pPr>
      <w:keepNext/>
      <w:spacing w:after="0" w:line="240" w:lineRule="auto"/>
      <w:outlineLvl w:val="2"/>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7A"/>
    <w:pPr>
      <w:ind w:left="720"/>
      <w:contextualSpacing/>
    </w:pPr>
  </w:style>
  <w:style w:type="table" w:styleId="TableGrid">
    <w:name w:val="Table Grid"/>
    <w:basedOn w:val="TableNormal"/>
    <w:uiPriority w:val="39"/>
    <w:rsid w:val="00A12A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7A"/>
    <w:rPr>
      <w:lang w:val="en-ZA"/>
    </w:rPr>
  </w:style>
  <w:style w:type="paragraph" w:styleId="FootnoteText">
    <w:name w:val="footnote text"/>
    <w:basedOn w:val="Normal"/>
    <w:link w:val="FootnoteTextChar"/>
    <w:uiPriority w:val="99"/>
    <w:semiHidden/>
    <w:unhideWhenUsed/>
    <w:rsid w:val="00A12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A7A"/>
    <w:rPr>
      <w:sz w:val="20"/>
      <w:szCs w:val="20"/>
      <w:lang w:val="en-ZA"/>
    </w:rPr>
  </w:style>
  <w:style w:type="character" w:styleId="FootnoteReference">
    <w:name w:val="footnote reference"/>
    <w:basedOn w:val="DefaultParagraphFont"/>
    <w:uiPriority w:val="99"/>
    <w:semiHidden/>
    <w:unhideWhenUsed/>
    <w:rsid w:val="00A12A7A"/>
    <w:rPr>
      <w:vertAlign w:val="superscript"/>
    </w:rPr>
  </w:style>
  <w:style w:type="paragraph" w:styleId="BalloonText">
    <w:name w:val="Balloon Text"/>
    <w:basedOn w:val="Normal"/>
    <w:link w:val="BalloonTextChar"/>
    <w:uiPriority w:val="99"/>
    <w:semiHidden/>
    <w:unhideWhenUsed/>
    <w:rsid w:val="000A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91"/>
    <w:rPr>
      <w:rFonts w:ascii="Segoe UI" w:hAnsi="Segoe UI" w:cs="Segoe UI"/>
      <w:sz w:val="18"/>
      <w:szCs w:val="18"/>
      <w:lang w:val="en-ZA"/>
    </w:rPr>
  </w:style>
  <w:style w:type="paragraph" w:styleId="Footer">
    <w:name w:val="footer"/>
    <w:basedOn w:val="Normal"/>
    <w:link w:val="FooterChar"/>
    <w:uiPriority w:val="99"/>
    <w:unhideWhenUsed/>
    <w:rsid w:val="005B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E8"/>
    <w:rPr>
      <w:lang w:val="en-ZA"/>
    </w:rPr>
  </w:style>
  <w:style w:type="paragraph" w:styleId="NoSpacing">
    <w:name w:val="No Spacing"/>
    <w:uiPriority w:val="1"/>
    <w:qFormat/>
    <w:rsid w:val="00372EBD"/>
    <w:pPr>
      <w:spacing w:after="0" w:line="240" w:lineRule="auto"/>
    </w:pPr>
    <w:rPr>
      <w:lang w:val="en-ZA"/>
    </w:rPr>
  </w:style>
  <w:style w:type="character" w:customStyle="1" w:styleId="Heading1Char">
    <w:name w:val="Heading 1 Char"/>
    <w:basedOn w:val="DefaultParagraphFont"/>
    <w:link w:val="Heading1"/>
    <w:uiPriority w:val="9"/>
    <w:rsid w:val="005879A5"/>
    <w:rPr>
      <w:rFonts w:ascii="Tahoma" w:eastAsia="Times New Roman" w:hAnsi="Tahoma" w:cs="Tahoma"/>
      <w:b/>
      <w:bCs/>
      <w:sz w:val="24"/>
      <w:szCs w:val="24"/>
      <w:u w:val="single"/>
    </w:rPr>
  </w:style>
  <w:style w:type="character" w:customStyle="1" w:styleId="Heading2Char">
    <w:name w:val="Heading 2 Char"/>
    <w:basedOn w:val="DefaultParagraphFont"/>
    <w:link w:val="Heading2"/>
    <w:uiPriority w:val="9"/>
    <w:semiHidden/>
    <w:rsid w:val="005879A5"/>
    <w:rPr>
      <w:rFonts w:ascii="Tahoma" w:eastAsia="Times New Roman" w:hAnsi="Tahoma" w:cs="Tahoma"/>
      <w:b/>
      <w:bCs/>
      <w:sz w:val="24"/>
      <w:szCs w:val="24"/>
    </w:rPr>
  </w:style>
  <w:style w:type="character" w:customStyle="1" w:styleId="Heading3Char">
    <w:name w:val="Heading 3 Char"/>
    <w:basedOn w:val="DefaultParagraphFont"/>
    <w:link w:val="Heading3"/>
    <w:uiPriority w:val="9"/>
    <w:semiHidden/>
    <w:rsid w:val="005879A5"/>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5879A5"/>
    <w:pPr>
      <w:spacing w:after="0" w:line="480" w:lineRule="auto"/>
      <w:jc w:val="both"/>
    </w:pPr>
    <w:rPr>
      <w:rFonts w:ascii="Arial" w:eastAsia="Times New Roman" w:hAnsi="Arial" w:cs="Times New Roman"/>
      <w:bCs/>
      <w:sz w:val="24"/>
      <w:szCs w:val="24"/>
      <w:lang w:val="en-US"/>
    </w:rPr>
  </w:style>
  <w:style w:type="character" w:customStyle="1" w:styleId="BodyTextChar">
    <w:name w:val="Body Text Char"/>
    <w:basedOn w:val="DefaultParagraphFont"/>
    <w:link w:val="BodyText"/>
    <w:uiPriority w:val="99"/>
    <w:semiHidden/>
    <w:rsid w:val="005879A5"/>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03381">
      <w:bodyDiv w:val="1"/>
      <w:marLeft w:val="0"/>
      <w:marRight w:val="0"/>
      <w:marTop w:val="0"/>
      <w:marBottom w:val="0"/>
      <w:divBdr>
        <w:top w:val="none" w:sz="0" w:space="0" w:color="auto"/>
        <w:left w:val="none" w:sz="0" w:space="0" w:color="auto"/>
        <w:bottom w:val="none" w:sz="0" w:space="0" w:color="auto"/>
        <w:right w:val="none" w:sz="0" w:space="0" w:color="auto"/>
      </w:divBdr>
    </w:div>
    <w:div w:id="16842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2019-12-11T18:30:00+00:00</Judgment_x0020_Date>
  </documentManagement>
</p:properties>
</file>

<file path=customXml/itemProps1.xml><?xml version="1.0" encoding="utf-8"?>
<ds:datastoreItem xmlns:ds="http://schemas.openxmlformats.org/officeDocument/2006/customXml" ds:itemID="{0D78086E-F679-4F4D-B1A3-F29F4F4AA9BB}"/>
</file>

<file path=customXml/itemProps2.xml><?xml version="1.0" encoding="utf-8"?>
<ds:datastoreItem xmlns:ds="http://schemas.openxmlformats.org/officeDocument/2006/customXml" ds:itemID="{2A744503-7335-473C-BD3C-D297EADA3FF5}"/>
</file>

<file path=customXml/itemProps3.xml><?xml version="1.0" encoding="utf-8"?>
<ds:datastoreItem xmlns:ds="http://schemas.openxmlformats.org/officeDocument/2006/customXml" ds:itemID="{27B69EF7-ADE1-40FF-BB3B-7ACCC69AF93B}"/>
</file>

<file path=customXml/itemProps4.xml><?xml version="1.0" encoding="utf-8"?>
<ds:datastoreItem xmlns:ds="http://schemas.openxmlformats.org/officeDocument/2006/customXml" ds:itemID="{4E28E39D-5A88-4DCE-A739-9BFA2A00A290}"/>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cp:lastPrinted>2019-08-14T08:55:00Z</cp:lastPrinted>
  <dcterms:created xsi:type="dcterms:W3CDTF">2019-12-17T16:01:00Z</dcterms:created>
  <dcterms:modified xsi:type="dcterms:W3CDTF">2019-12-17T16:01:00Z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