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2E" w:rsidRPr="006E026B" w:rsidRDefault="0094022E" w:rsidP="0094022E">
      <w:pPr>
        <w:spacing w:line="360" w:lineRule="auto"/>
        <w:jc w:val="center"/>
        <w:rPr>
          <w:rFonts w:ascii="Arial" w:hAnsi="Arial" w:cs="Arial"/>
          <w:b/>
        </w:rPr>
      </w:pPr>
      <w:r w:rsidRPr="006E026B">
        <w:rPr>
          <w:rFonts w:ascii="Arial" w:hAnsi="Arial" w:cs="Arial"/>
          <w:b/>
        </w:rPr>
        <w:t>REPUBLIC OF NAMIBIA</w:t>
      </w:r>
    </w:p>
    <w:p w:rsidR="0094022E" w:rsidRDefault="0094022E" w:rsidP="0094022E">
      <w:pPr>
        <w:spacing w:line="360" w:lineRule="auto"/>
        <w:jc w:val="center"/>
        <w:rPr>
          <w:b/>
          <w:sz w:val="32"/>
          <w:szCs w:val="32"/>
        </w:rPr>
      </w:pPr>
      <w:r>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5AE1B4C4" wp14:editId="1FE09BFF">
                <wp:simplePos x="0" y="0"/>
                <wp:positionH relativeFrom="column">
                  <wp:posOffset>4067175</wp:posOffset>
                </wp:positionH>
                <wp:positionV relativeFrom="paragraph">
                  <wp:posOffset>60960</wp:posOffset>
                </wp:positionV>
                <wp:extent cx="17907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rgbClr val="FFFFFF"/>
                          </a:solidFill>
                          <a:miter lim="800000"/>
                          <a:headEnd/>
                          <a:tailEnd/>
                        </a:ln>
                      </wps:spPr>
                      <wps:txbx>
                        <w:txbxContent>
                          <w:p w:rsidR="008E02B0" w:rsidRDefault="008E02B0" w:rsidP="0094022E">
                            <w:pPr>
                              <w:jc w:val="right"/>
                              <w:rPr>
                                <w:rFonts w:ascii="Arial" w:hAnsi="Arial" w:cs="Arial"/>
                              </w:rPr>
                            </w:pPr>
                            <w:r>
                              <w:rPr>
                                <w:rFonts w:ascii="Arial" w:hAnsi="Arial" w:cs="Arial"/>
                              </w:rPr>
                              <w:t>NOT REPORTABLE</w:t>
                            </w:r>
                          </w:p>
                          <w:p w:rsidR="008E02B0" w:rsidRPr="005D39B4" w:rsidRDefault="008E02B0" w:rsidP="0094022E">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1B4C4" id="_x0000_t202" coordsize="21600,21600" o:spt="202" path="m,l,21600r21600,l21600,xe">
                <v:stroke joinstyle="miter"/>
                <v:path gradientshapeok="t" o:connecttype="rect"/>
              </v:shapetype>
              <v:shape id="Text Box 2" o:spid="_x0000_s1026" type="#_x0000_t202" style="position:absolute;left:0;text-align:left;margin-left:320.25pt;margin-top:4.8pt;width:14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" strokecolor="white">
                <v:textbox>
                  <w:txbxContent>
                    <w:p w:rsidR="008E02B0" w:rsidRDefault="008E02B0" w:rsidP="0094022E">
                      <w:pPr>
                        <w:jc w:val="right"/>
                        <w:rPr>
                          <w:rFonts w:ascii="Arial" w:hAnsi="Arial" w:cs="Arial"/>
                        </w:rPr>
                      </w:pPr>
                      <w:r>
                        <w:rPr>
                          <w:rFonts w:ascii="Arial" w:hAnsi="Arial" w:cs="Arial"/>
                        </w:rPr>
                        <w:t>NOT REPORTABLE</w:t>
                      </w:r>
                    </w:p>
                    <w:p w:rsidR="008E02B0" w:rsidRPr="005D39B4" w:rsidRDefault="008E02B0" w:rsidP="0094022E">
                      <w:pPr>
                        <w:jc w:val="right"/>
                        <w:rPr>
                          <w:rFonts w:ascii="Arial" w:hAnsi="Arial" w:cs="Arial"/>
                        </w:rPr>
                      </w:pPr>
                    </w:p>
                  </w:txbxContent>
                </v:textbox>
              </v:shape>
            </w:pict>
          </mc:Fallback>
        </mc:AlternateContent>
      </w:r>
      <w:r w:rsidRPr="00552306">
        <w:rPr>
          <w:b/>
          <w:noProof/>
          <w:sz w:val="32"/>
          <w:szCs w:val="32"/>
          <w:lang w:val="en-ZA" w:eastAsia="en-ZA"/>
        </w:rPr>
        <w:drawing>
          <wp:inline distT="0" distB="0" distL="0" distR="0" wp14:anchorId="06CD427B" wp14:editId="0B7C2F0B">
            <wp:extent cx="1269365" cy="132397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365" cy="1323975"/>
                    </a:xfrm>
                    <a:prstGeom prst="rect">
                      <a:avLst/>
                    </a:prstGeom>
                    <a:noFill/>
                    <a:ln>
                      <a:noFill/>
                    </a:ln>
                  </pic:spPr>
                </pic:pic>
              </a:graphicData>
            </a:graphic>
          </wp:inline>
        </w:drawing>
      </w:r>
    </w:p>
    <w:p w:rsidR="0094022E" w:rsidRPr="006E026B" w:rsidRDefault="0094022E" w:rsidP="0094022E">
      <w:pPr>
        <w:spacing w:line="360" w:lineRule="auto"/>
        <w:jc w:val="center"/>
        <w:rPr>
          <w:rFonts w:ascii="Arial" w:hAnsi="Arial" w:cs="Arial"/>
          <w:bCs/>
        </w:rPr>
      </w:pPr>
      <w:r w:rsidRPr="006E026B">
        <w:rPr>
          <w:rFonts w:ascii="Arial" w:hAnsi="Arial" w:cs="Arial"/>
          <w:b/>
        </w:rPr>
        <w:t>HIGH COURT OF NAMIBIA MAIN DIVISION, WINDHOEK</w:t>
      </w:r>
    </w:p>
    <w:p w:rsidR="0094022E" w:rsidRPr="005C41E7" w:rsidRDefault="0094022E" w:rsidP="0094022E">
      <w:pPr>
        <w:spacing w:line="360" w:lineRule="auto"/>
        <w:jc w:val="center"/>
        <w:rPr>
          <w:rFonts w:ascii="Arial" w:hAnsi="Arial" w:cs="Arial"/>
          <w:b/>
          <w:sz w:val="10"/>
          <w:szCs w:val="10"/>
        </w:rPr>
      </w:pPr>
    </w:p>
    <w:p w:rsidR="0094022E" w:rsidRDefault="008E02B0" w:rsidP="0094022E">
      <w:pPr>
        <w:spacing w:line="360" w:lineRule="auto"/>
        <w:jc w:val="center"/>
        <w:rPr>
          <w:rFonts w:ascii="Arial" w:hAnsi="Arial" w:cs="Arial"/>
          <w:b/>
        </w:rPr>
      </w:pPr>
      <w:r>
        <w:rPr>
          <w:rFonts w:ascii="Arial" w:hAnsi="Arial" w:cs="Arial"/>
          <w:b/>
        </w:rPr>
        <w:t>LEAVE TO APPEAL</w:t>
      </w:r>
    </w:p>
    <w:p w:rsidR="0094022E" w:rsidRPr="003215AD" w:rsidRDefault="0094022E" w:rsidP="0094022E">
      <w:pPr>
        <w:spacing w:line="360" w:lineRule="auto"/>
        <w:jc w:val="both"/>
        <w:rPr>
          <w:rFonts w:ascii="Arial" w:hAnsi="Arial" w:cs="Arial"/>
          <w:b/>
          <w:sz w:val="20"/>
          <w:szCs w:val="20"/>
        </w:rPr>
      </w:pPr>
    </w:p>
    <w:p w:rsidR="0094022E" w:rsidRPr="006B344C" w:rsidRDefault="0094022E" w:rsidP="0094022E">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lang w:val="en-ZA"/>
        </w:rPr>
        <w:t>Case no: CC</w:t>
      </w:r>
      <w:r w:rsidR="001720E9">
        <w:rPr>
          <w:rFonts w:ascii="Arial" w:hAnsi="Arial" w:cs="Arial"/>
          <w:lang w:val="en-ZA"/>
        </w:rPr>
        <w:t xml:space="preserve"> 05</w:t>
      </w:r>
      <w:r w:rsidRPr="006B344C">
        <w:rPr>
          <w:rFonts w:ascii="Arial" w:hAnsi="Arial" w:cs="Arial"/>
          <w:lang w:val="en-ZA"/>
        </w:rPr>
        <w:t>/201</w:t>
      </w:r>
      <w:r w:rsidR="001720E9">
        <w:rPr>
          <w:rFonts w:ascii="Arial" w:hAnsi="Arial" w:cs="Arial"/>
          <w:lang w:val="en-ZA"/>
        </w:rPr>
        <w:t>8</w:t>
      </w:r>
    </w:p>
    <w:p w:rsidR="0094022E" w:rsidRPr="006B344C" w:rsidRDefault="0094022E" w:rsidP="0094022E">
      <w:pPr>
        <w:spacing w:line="360" w:lineRule="auto"/>
        <w:jc w:val="center"/>
        <w:rPr>
          <w:rFonts w:ascii="Arial" w:hAnsi="Arial" w:cs="Arial"/>
          <w:b/>
          <w:lang w:val="en-ZA"/>
        </w:rPr>
      </w:pPr>
    </w:p>
    <w:p w:rsidR="0094022E" w:rsidRPr="006B344C" w:rsidRDefault="0094022E" w:rsidP="0094022E">
      <w:pPr>
        <w:spacing w:line="360" w:lineRule="auto"/>
        <w:jc w:val="both"/>
        <w:rPr>
          <w:rFonts w:ascii="Arial" w:hAnsi="Arial" w:cs="Arial"/>
          <w:lang w:val="en-ZA"/>
        </w:rPr>
      </w:pPr>
      <w:r w:rsidRPr="006B344C">
        <w:rPr>
          <w:rFonts w:ascii="Arial" w:hAnsi="Arial" w:cs="Arial"/>
          <w:lang w:val="en-ZA"/>
        </w:rPr>
        <w:t>In the matter between:</w:t>
      </w:r>
    </w:p>
    <w:p w:rsidR="0094022E" w:rsidRPr="006B344C" w:rsidRDefault="0094022E" w:rsidP="0094022E">
      <w:pPr>
        <w:spacing w:line="360" w:lineRule="auto"/>
        <w:jc w:val="both"/>
        <w:rPr>
          <w:rFonts w:ascii="Arial" w:hAnsi="Arial" w:cs="Arial"/>
          <w:lang w:val="en-ZA"/>
        </w:rPr>
      </w:pPr>
    </w:p>
    <w:p w:rsidR="0094022E" w:rsidRPr="006B344C" w:rsidRDefault="008E02B0" w:rsidP="0094022E">
      <w:pPr>
        <w:spacing w:line="360" w:lineRule="auto"/>
        <w:jc w:val="both"/>
        <w:rPr>
          <w:rFonts w:ascii="Arial" w:hAnsi="Arial" w:cs="Arial"/>
          <w:b/>
          <w:lang w:val="en-ZA"/>
        </w:rPr>
      </w:pPr>
      <w:r>
        <w:rPr>
          <w:rFonts w:ascii="Arial" w:hAnsi="Arial" w:cs="Arial"/>
          <w:b/>
          <w:lang w:val="en-ZA"/>
        </w:rPr>
        <w:t>KATRINA HANSE-HIMARWA</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831ED8">
        <w:rPr>
          <w:rFonts w:ascii="Arial" w:hAnsi="Arial" w:cs="Arial"/>
          <w:b/>
          <w:lang w:val="en-ZA"/>
        </w:rPr>
        <w:t xml:space="preserve">      </w:t>
      </w:r>
      <w:r>
        <w:rPr>
          <w:rFonts w:ascii="Arial" w:hAnsi="Arial" w:cs="Arial"/>
          <w:b/>
          <w:lang w:val="en-ZA"/>
        </w:rPr>
        <w:t>APPLICANT</w:t>
      </w:r>
    </w:p>
    <w:p w:rsidR="0094022E" w:rsidRPr="006B344C" w:rsidRDefault="0094022E" w:rsidP="0094022E">
      <w:pPr>
        <w:spacing w:line="360" w:lineRule="auto"/>
        <w:jc w:val="both"/>
        <w:rPr>
          <w:rFonts w:ascii="Arial" w:hAnsi="Arial" w:cs="Arial"/>
          <w:b/>
          <w:lang w:val="en-ZA"/>
        </w:rPr>
      </w:pPr>
    </w:p>
    <w:p w:rsidR="0094022E" w:rsidRPr="006B344C" w:rsidRDefault="0094022E" w:rsidP="0094022E">
      <w:pPr>
        <w:spacing w:line="360" w:lineRule="auto"/>
        <w:jc w:val="both"/>
        <w:rPr>
          <w:rFonts w:ascii="Arial" w:hAnsi="Arial" w:cs="Arial"/>
          <w:lang w:val="en-ZA"/>
        </w:rPr>
      </w:pPr>
      <w:r w:rsidRPr="006B344C">
        <w:rPr>
          <w:rFonts w:ascii="Arial" w:hAnsi="Arial" w:cs="Arial"/>
          <w:lang w:val="en-ZA"/>
        </w:rPr>
        <w:t>and</w:t>
      </w:r>
    </w:p>
    <w:p w:rsidR="0094022E" w:rsidRPr="006B344C" w:rsidRDefault="0094022E" w:rsidP="0094022E">
      <w:pPr>
        <w:spacing w:line="360" w:lineRule="auto"/>
        <w:jc w:val="both"/>
        <w:rPr>
          <w:rFonts w:ascii="Arial" w:hAnsi="Arial" w:cs="Arial"/>
          <w:b/>
          <w:lang w:val="en-ZA"/>
        </w:rPr>
      </w:pPr>
    </w:p>
    <w:p w:rsidR="0094022E" w:rsidRDefault="008E02B0" w:rsidP="008E02B0">
      <w:pPr>
        <w:spacing w:line="360" w:lineRule="auto"/>
        <w:jc w:val="both"/>
        <w:rPr>
          <w:rFonts w:ascii="Arial" w:hAnsi="Arial" w:cs="Arial"/>
          <w:b/>
          <w:lang w:val="en-ZA"/>
        </w:rPr>
      </w:pPr>
      <w:r>
        <w:rPr>
          <w:rFonts w:ascii="Arial" w:hAnsi="Arial" w:cs="Arial"/>
          <w:b/>
          <w:lang w:val="en-ZA"/>
        </w:rPr>
        <w:t>THE STATE</w:t>
      </w:r>
      <w:r w:rsidR="0094022E">
        <w:rPr>
          <w:rFonts w:ascii="Arial" w:hAnsi="Arial" w:cs="Arial"/>
          <w:b/>
          <w:lang w:val="en-ZA"/>
        </w:rPr>
        <w:tab/>
      </w:r>
      <w:r w:rsidR="0094022E">
        <w:rPr>
          <w:rFonts w:ascii="Arial" w:hAnsi="Arial" w:cs="Arial"/>
          <w:b/>
          <w:lang w:val="en-ZA"/>
        </w:rPr>
        <w:tab/>
      </w:r>
      <w:r w:rsidR="0094022E">
        <w:rPr>
          <w:rFonts w:ascii="Arial" w:hAnsi="Arial" w:cs="Arial"/>
          <w:b/>
          <w:lang w:val="en-ZA"/>
        </w:rPr>
        <w:tab/>
      </w:r>
      <w:r w:rsidR="0094022E">
        <w:rPr>
          <w:rFonts w:ascii="Arial" w:hAnsi="Arial" w:cs="Arial"/>
          <w:b/>
          <w:lang w:val="en-ZA"/>
        </w:rPr>
        <w:tab/>
      </w:r>
      <w:r w:rsidR="0094022E">
        <w:rPr>
          <w:rFonts w:ascii="Arial" w:hAnsi="Arial" w:cs="Arial"/>
          <w:b/>
          <w:lang w:val="en-ZA"/>
        </w:rPr>
        <w:tab/>
        <w:t xml:space="preserve"> </w:t>
      </w:r>
      <w:r>
        <w:rPr>
          <w:rFonts w:ascii="Arial" w:hAnsi="Arial" w:cs="Arial"/>
          <w:b/>
          <w:lang w:val="en-ZA"/>
        </w:rPr>
        <w:t xml:space="preserve">                      </w:t>
      </w:r>
      <w:r w:rsidR="0094022E">
        <w:rPr>
          <w:rFonts w:ascii="Arial" w:hAnsi="Arial" w:cs="Arial"/>
          <w:b/>
          <w:lang w:val="en-ZA"/>
        </w:rPr>
        <w:t xml:space="preserve">      </w:t>
      </w:r>
      <w:r>
        <w:rPr>
          <w:rFonts w:ascii="Arial" w:hAnsi="Arial" w:cs="Arial"/>
          <w:b/>
          <w:lang w:val="en-ZA"/>
        </w:rPr>
        <w:t xml:space="preserve">               </w:t>
      </w:r>
      <w:r w:rsidR="0094022E">
        <w:rPr>
          <w:rFonts w:ascii="Arial" w:hAnsi="Arial" w:cs="Arial"/>
          <w:b/>
          <w:lang w:val="en-ZA"/>
        </w:rPr>
        <w:t xml:space="preserve"> </w:t>
      </w:r>
      <w:r>
        <w:rPr>
          <w:rFonts w:ascii="Arial" w:hAnsi="Arial" w:cs="Arial"/>
          <w:b/>
          <w:lang w:val="en-ZA"/>
        </w:rPr>
        <w:t>RESPONDENT</w:t>
      </w:r>
    </w:p>
    <w:p w:rsidR="00831ED8" w:rsidRPr="006B344C" w:rsidRDefault="00831ED8" w:rsidP="008E02B0">
      <w:pPr>
        <w:spacing w:line="360" w:lineRule="auto"/>
        <w:jc w:val="both"/>
        <w:rPr>
          <w:rFonts w:ascii="Arial" w:hAnsi="Arial" w:cs="Arial"/>
          <w:lang w:val="en-ZA"/>
        </w:rPr>
      </w:pPr>
    </w:p>
    <w:p w:rsidR="0094022E" w:rsidRPr="006B344C" w:rsidRDefault="0094022E" w:rsidP="0094022E">
      <w:pPr>
        <w:spacing w:line="360" w:lineRule="auto"/>
        <w:rPr>
          <w:rFonts w:ascii="Arial" w:hAnsi="Arial" w:cs="Arial"/>
          <w:lang w:val="en-ZA"/>
        </w:rPr>
      </w:pPr>
      <w:r w:rsidRPr="006B344C">
        <w:rPr>
          <w:rFonts w:ascii="Arial" w:hAnsi="Arial" w:cs="Arial"/>
          <w:b/>
          <w:lang w:val="en-ZA"/>
        </w:rPr>
        <w:t xml:space="preserve">Neutral citation:  </w:t>
      </w:r>
      <w:bookmarkStart w:id="0" w:name="_GoBack"/>
      <w:r>
        <w:rPr>
          <w:rFonts w:ascii="Arial" w:hAnsi="Arial" w:cs="Arial"/>
          <w:i/>
          <w:lang w:val="en-ZA"/>
        </w:rPr>
        <w:t>S</w:t>
      </w:r>
      <w:r w:rsidRPr="006B344C">
        <w:rPr>
          <w:rFonts w:ascii="Arial" w:hAnsi="Arial" w:cs="Arial"/>
          <w:i/>
          <w:lang w:val="en-ZA"/>
        </w:rPr>
        <w:t xml:space="preserve"> v </w:t>
      </w:r>
      <w:r w:rsidR="008E02B0">
        <w:rPr>
          <w:rFonts w:ascii="Arial" w:hAnsi="Arial" w:cs="Arial"/>
          <w:i/>
          <w:lang w:val="en-ZA"/>
        </w:rPr>
        <w:t>Hanse-Himarwa</w:t>
      </w:r>
      <w:r>
        <w:rPr>
          <w:rFonts w:ascii="Arial" w:hAnsi="Arial" w:cs="Arial"/>
          <w:lang w:val="en-ZA"/>
        </w:rPr>
        <w:t xml:space="preserve"> </w:t>
      </w:r>
      <w:r w:rsidR="008E02B0">
        <w:rPr>
          <w:rFonts w:ascii="Arial" w:hAnsi="Arial" w:cs="Arial"/>
          <w:lang w:val="en-ZA"/>
        </w:rPr>
        <w:t>(CC 05/2018</w:t>
      </w:r>
      <w:r>
        <w:rPr>
          <w:rFonts w:ascii="Arial" w:hAnsi="Arial" w:cs="Arial"/>
          <w:lang w:val="en-ZA"/>
        </w:rPr>
        <w:t xml:space="preserve">) </w:t>
      </w:r>
      <w:r w:rsidR="008E02B0">
        <w:rPr>
          <w:rFonts w:ascii="Arial" w:hAnsi="Arial" w:cs="Arial"/>
          <w:lang w:val="en-ZA"/>
        </w:rPr>
        <w:t>[2020</w:t>
      </w:r>
      <w:r>
        <w:rPr>
          <w:rFonts w:ascii="Arial" w:hAnsi="Arial" w:cs="Arial"/>
          <w:lang w:val="en-ZA"/>
        </w:rPr>
        <w:t>] NAHCMD</w:t>
      </w:r>
      <w:r w:rsidR="009D2334">
        <w:rPr>
          <w:rFonts w:ascii="Arial" w:hAnsi="Arial" w:cs="Arial"/>
          <w:lang w:val="en-ZA"/>
        </w:rPr>
        <w:t xml:space="preserve"> 33</w:t>
      </w:r>
      <w:r w:rsidR="00D3624B">
        <w:rPr>
          <w:rFonts w:ascii="Arial" w:hAnsi="Arial" w:cs="Arial"/>
          <w:lang w:val="en-ZA"/>
        </w:rPr>
        <w:t xml:space="preserve"> </w:t>
      </w:r>
      <w:r w:rsidR="00161DE1">
        <w:rPr>
          <w:rFonts w:ascii="Arial" w:hAnsi="Arial" w:cs="Arial"/>
          <w:lang w:val="en-ZA"/>
        </w:rPr>
        <w:t>(03</w:t>
      </w:r>
      <w:r w:rsidRPr="006B344C">
        <w:rPr>
          <w:rFonts w:ascii="Arial" w:hAnsi="Arial" w:cs="Arial"/>
          <w:lang w:val="en-ZA"/>
        </w:rPr>
        <w:t xml:space="preserve"> </w:t>
      </w:r>
      <w:r w:rsidR="008E02B0">
        <w:rPr>
          <w:rFonts w:ascii="Arial" w:hAnsi="Arial" w:cs="Arial"/>
          <w:lang w:val="en-ZA"/>
        </w:rPr>
        <w:t>February</w:t>
      </w:r>
      <w:r w:rsidR="00161DE1">
        <w:rPr>
          <w:rFonts w:ascii="Arial" w:hAnsi="Arial" w:cs="Arial"/>
          <w:lang w:val="en-ZA"/>
        </w:rPr>
        <w:t xml:space="preserve"> 2020</w:t>
      </w:r>
      <w:r w:rsidRPr="006B344C">
        <w:rPr>
          <w:rFonts w:ascii="Arial" w:hAnsi="Arial" w:cs="Arial"/>
          <w:lang w:val="en-ZA"/>
        </w:rPr>
        <w:t>)</w:t>
      </w:r>
    </w:p>
    <w:bookmarkEnd w:id="0"/>
    <w:p w:rsidR="0094022E" w:rsidRPr="006B344C" w:rsidRDefault="0094022E" w:rsidP="0094022E">
      <w:pPr>
        <w:spacing w:line="360" w:lineRule="auto"/>
        <w:jc w:val="both"/>
        <w:rPr>
          <w:rFonts w:ascii="Arial" w:hAnsi="Arial" w:cs="Arial"/>
          <w:b/>
          <w:i/>
          <w:lang w:val="en-ZA"/>
        </w:rPr>
      </w:pPr>
    </w:p>
    <w:p w:rsidR="0094022E" w:rsidRPr="006B344C" w:rsidRDefault="0094022E" w:rsidP="0094022E">
      <w:pPr>
        <w:spacing w:line="360" w:lineRule="auto"/>
        <w:jc w:val="both"/>
        <w:rPr>
          <w:rFonts w:ascii="Arial" w:hAnsi="Arial" w:cs="Arial"/>
          <w:lang w:val="en-ZA"/>
        </w:rPr>
      </w:pPr>
      <w:r w:rsidRPr="006B344C">
        <w:rPr>
          <w:rFonts w:ascii="Arial" w:hAnsi="Arial" w:cs="Arial"/>
          <w:b/>
          <w:lang w:val="en-ZA"/>
        </w:rPr>
        <w:t xml:space="preserve">Coram: </w:t>
      </w:r>
      <w:r w:rsidRPr="006B344C">
        <w:rPr>
          <w:rFonts w:ascii="Arial" w:hAnsi="Arial" w:cs="Arial"/>
          <w:b/>
          <w:lang w:val="en-ZA"/>
        </w:rPr>
        <w:tab/>
      </w:r>
      <w:r>
        <w:rPr>
          <w:rFonts w:ascii="Arial" w:hAnsi="Arial" w:cs="Arial"/>
          <w:lang w:val="en-ZA"/>
        </w:rPr>
        <w:t>LIEBENBERG</w:t>
      </w:r>
      <w:r w:rsidRPr="006B344C">
        <w:rPr>
          <w:rFonts w:ascii="Arial" w:hAnsi="Arial" w:cs="Arial"/>
          <w:lang w:val="en-ZA"/>
        </w:rPr>
        <w:t xml:space="preserve"> </w:t>
      </w:r>
      <w:r>
        <w:rPr>
          <w:rFonts w:ascii="Arial" w:hAnsi="Arial" w:cs="Arial"/>
          <w:lang w:val="en-ZA"/>
        </w:rPr>
        <w:t>J</w:t>
      </w:r>
    </w:p>
    <w:p w:rsidR="0094022E" w:rsidRPr="00457DD2" w:rsidRDefault="0094022E" w:rsidP="0094022E">
      <w:pPr>
        <w:spacing w:line="360" w:lineRule="auto"/>
        <w:jc w:val="both"/>
        <w:rPr>
          <w:rFonts w:ascii="Arial" w:hAnsi="Arial" w:cs="Arial"/>
          <w:lang w:val="en-ZA"/>
        </w:rPr>
      </w:pPr>
      <w:r w:rsidRPr="006B344C">
        <w:rPr>
          <w:rFonts w:ascii="Arial" w:hAnsi="Arial" w:cs="Arial"/>
          <w:b/>
          <w:lang w:val="en-ZA"/>
        </w:rPr>
        <w:t>Heard:</w:t>
      </w:r>
      <w:r w:rsidRPr="006B344C">
        <w:rPr>
          <w:rFonts w:ascii="Arial" w:hAnsi="Arial" w:cs="Arial"/>
          <w:b/>
          <w:lang w:val="en-ZA"/>
        </w:rPr>
        <w:tab/>
      </w:r>
      <w:r w:rsidR="008E02B0">
        <w:rPr>
          <w:rFonts w:ascii="Arial" w:hAnsi="Arial" w:cs="Arial"/>
          <w:lang w:val="en-ZA"/>
        </w:rPr>
        <w:t>16</w:t>
      </w:r>
      <w:r>
        <w:rPr>
          <w:rFonts w:ascii="Arial" w:hAnsi="Arial" w:cs="Arial"/>
          <w:lang w:val="en-ZA"/>
        </w:rPr>
        <w:t xml:space="preserve"> </w:t>
      </w:r>
      <w:r w:rsidR="008E02B0">
        <w:rPr>
          <w:rFonts w:ascii="Arial" w:hAnsi="Arial" w:cs="Arial"/>
          <w:lang w:val="en-ZA"/>
        </w:rPr>
        <w:t>January 2020</w:t>
      </w:r>
    </w:p>
    <w:p w:rsidR="0094022E" w:rsidRPr="00457DD2" w:rsidRDefault="0094022E" w:rsidP="0094022E">
      <w:pPr>
        <w:spacing w:line="360" w:lineRule="auto"/>
        <w:jc w:val="both"/>
        <w:rPr>
          <w:rFonts w:ascii="Arial" w:hAnsi="Arial" w:cs="Arial"/>
          <w:lang w:val="en-ZA"/>
        </w:rPr>
      </w:pPr>
      <w:r w:rsidRPr="006B344C">
        <w:rPr>
          <w:rFonts w:ascii="Arial" w:hAnsi="Arial" w:cs="Arial"/>
          <w:b/>
          <w:lang w:val="en-ZA"/>
        </w:rPr>
        <w:t xml:space="preserve">Delivered: </w:t>
      </w:r>
      <w:r w:rsidRPr="006B344C">
        <w:rPr>
          <w:rFonts w:ascii="Arial" w:hAnsi="Arial" w:cs="Arial"/>
          <w:b/>
          <w:lang w:val="en-ZA"/>
        </w:rPr>
        <w:tab/>
      </w:r>
      <w:r w:rsidR="008E02B0">
        <w:rPr>
          <w:rFonts w:ascii="Arial" w:hAnsi="Arial" w:cs="Arial"/>
          <w:lang w:val="en-ZA"/>
        </w:rPr>
        <w:t>03</w:t>
      </w:r>
      <w:r>
        <w:rPr>
          <w:rFonts w:ascii="Arial" w:hAnsi="Arial" w:cs="Arial"/>
          <w:lang w:val="en-ZA"/>
        </w:rPr>
        <w:t xml:space="preserve"> </w:t>
      </w:r>
      <w:r w:rsidR="008E02B0">
        <w:rPr>
          <w:rFonts w:ascii="Arial" w:hAnsi="Arial" w:cs="Arial"/>
          <w:lang w:val="en-ZA"/>
        </w:rPr>
        <w:t>February</w:t>
      </w:r>
      <w:r>
        <w:rPr>
          <w:rFonts w:ascii="Arial" w:hAnsi="Arial" w:cs="Arial"/>
          <w:lang w:val="en-ZA"/>
        </w:rPr>
        <w:t xml:space="preserve"> 20</w:t>
      </w:r>
      <w:r w:rsidR="008E02B0">
        <w:rPr>
          <w:rFonts w:ascii="Arial" w:hAnsi="Arial" w:cs="Arial"/>
          <w:lang w:val="en-ZA"/>
        </w:rPr>
        <w:t>20</w:t>
      </w:r>
    </w:p>
    <w:p w:rsidR="0094022E" w:rsidRPr="006B344C" w:rsidRDefault="0094022E" w:rsidP="0094022E">
      <w:pPr>
        <w:spacing w:line="360" w:lineRule="auto"/>
        <w:jc w:val="both"/>
        <w:rPr>
          <w:rFonts w:ascii="Arial" w:hAnsi="Arial" w:cs="Arial"/>
          <w:lang w:val="en-ZA"/>
        </w:rPr>
      </w:pPr>
    </w:p>
    <w:p w:rsidR="006D6F55" w:rsidRPr="006D6F55" w:rsidRDefault="006D6F55" w:rsidP="006D6F55">
      <w:pPr>
        <w:spacing w:line="360" w:lineRule="auto"/>
        <w:jc w:val="both"/>
        <w:rPr>
          <w:rFonts w:ascii="Arial" w:hAnsi="Arial" w:cs="Arial"/>
          <w:color w:val="000000" w:themeColor="text1"/>
          <w:lang w:val="en-ZA"/>
        </w:rPr>
      </w:pPr>
      <w:r w:rsidRPr="006D6F55">
        <w:rPr>
          <w:rFonts w:ascii="Arial" w:hAnsi="Arial" w:cs="Arial"/>
          <w:b/>
          <w:color w:val="000000" w:themeColor="text1"/>
          <w:lang w:val="en-ZA"/>
        </w:rPr>
        <w:t xml:space="preserve">Flynote: </w:t>
      </w:r>
      <w:r w:rsidRPr="006D6F55">
        <w:rPr>
          <w:rFonts w:ascii="Arial" w:hAnsi="Arial" w:cs="Arial"/>
          <w:color w:val="000000" w:themeColor="text1"/>
          <w:lang w:val="en-ZA"/>
        </w:rPr>
        <w:t>Criminal Procedure – Leave to Appeal – Application filed out of time – Condonation application – Applicant avers that late filing of application for leave was due to her inability to secure the necessary funds – Lack of funds sole reason – Applicant to have filed a confirmatory affidavit of legal representative confirming applicant’s intention to lodge application for leave to appeal within prescribed time limit – Explanation for the delay not reasonable and acceptable.</w:t>
      </w:r>
    </w:p>
    <w:p w:rsidR="006D6F55" w:rsidRPr="006D6F55" w:rsidRDefault="006D6F55" w:rsidP="006D6F55">
      <w:pPr>
        <w:spacing w:line="360" w:lineRule="auto"/>
        <w:jc w:val="both"/>
        <w:rPr>
          <w:rFonts w:ascii="Arial" w:hAnsi="Arial" w:cs="Arial"/>
          <w:b/>
          <w:color w:val="000000" w:themeColor="text1"/>
          <w:lang w:val="en-ZA"/>
        </w:rPr>
      </w:pPr>
    </w:p>
    <w:p w:rsidR="006D6F55" w:rsidRPr="006D6F55" w:rsidRDefault="006D6F55" w:rsidP="006D6F55">
      <w:pPr>
        <w:spacing w:line="360" w:lineRule="auto"/>
        <w:jc w:val="both"/>
        <w:rPr>
          <w:rFonts w:ascii="Arial" w:hAnsi="Arial" w:cs="Arial"/>
          <w:color w:val="000000" w:themeColor="text1"/>
        </w:rPr>
      </w:pPr>
      <w:r w:rsidRPr="006D6F55">
        <w:rPr>
          <w:rFonts w:ascii="Arial" w:hAnsi="Arial" w:cs="Arial"/>
          <w:color w:val="000000" w:themeColor="text1"/>
          <w:lang w:val="en-ZA"/>
        </w:rPr>
        <w:lastRenderedPageBreak/>
        <w:t xml:space="preserve">Criminal Procedure – Leave to Appeal – Test – Whether there are prospects of success on appeal – Whether court committed misdirection on law or facts – Application grounds whether another Court may reasonably give different interpretation of section 43(1) of the Anti-Corruption Act 8 of 2003 – </w:t>
      </w:r>
      <w:r w:rsidRPr="006D6F55">
        <w:rPr>
          <w:rFonts w:ascii="Arial" w:hAnsi="Arial" w:cs="Arial"/>
          <w:color w:val="000000" w:themeColor="text1"/>
        </w:rPr>
        <w:t>Approach followed by applicant seeking guidance from Supreme Court on interpretation of law not a proper ground of appeal.</w:t>
      </w:r>
    </w:p>
    <w:p w:rsidR="006D6F55" w:rsidRPr="006D6F55" w:rsidRDefault="006D6F55" w:rsidP="006D6F55">
      <w:pPr>
        <w:spacing w:line="360" w:lineRule="auto"/>
        <w:jc w:val="both"/>
        <w:rPr>
          <w:rFonts w:ascii="Arial" w:hAnsi="Arial" w:cs="Arial"/>
          <w:color w:val="000000" w:themeColor="text1"/>
          <w:lang w:val="en-ZA"/>
        </w:rPr>
      </w:pPr>
    </w:p>
    <w:p w:rsidR="006D6F55" w:rsidRPr="006D6F55" w:rsidRDefault="006D6F55" w:rsidP="006D6F55">
      <w:pPr>
        <w:rPr>
          <w:rFonts w:ascii="Arial" w:hAnsi="Arial" w:cs="Arial"/>
          <w:b/>
          <w:color w:val="000000" w:themeColor="text1"/>
          <w:lang w:val="en-ZA"/>
        </w:rPr>
      </w:pPr>
    </w:p>
    <w:p w:rsidR="006D6F55" w:rsidRPr="006D6F55" w:rsidRDefault="006D6F55" w:rsidP="006D6F55">
      <w:pPr>
        <w:spacing w:line="360" w:lineRule="auto"/>
        <w:jc w:val="both"/>
        <w:rPr>
          <w:rFonts w:ascii="Arial" w:hAnsi="Arial" w:cs="Arial"/>
          <w:color w:val="000000" w:themeColor="text1"/>
          <w:lang w:val="en-ZA"/>
        </w:rPr>
      </w:pPr>
      <w:r w:rsidRPr="006D6F55">
        <w:rPr>
          <w:rFonts w:ascii="Arial" w:hAnsi="Arial" w:cs="Arial"/>
          <w:b/>
          <w:color w:val="000000" w:themeColor="text1"/>
          <w:lang w:val="en-ZA"/>
        </w:rPr>
        <w:t xml:space="preserve">Summary: </w:t>
      </w:r>
      <w:r w:rsidRPr="006D6F55">
        <w:rPr>
          <w:rFonts w:ascii="Arial" w:hAnsi="Arial" w:cs="Arial"/>
          <w:color w:val="000000" w:themeColor="text1"/>
          <w:lang w:val="en-ZA"/>
        </w:rPr>
        <w:tab/>
        <w:t xml:space="preserve">The applicant was convicted on one count of contravening section 43(1) of the Anti-Corruption Act 8 of 2003, for corruptly using her office as Governor of the Hardap Region to benefit two of her family members. She consequently filed an appeal to the Supreme Court against her conviction and her grounds of appeal are mainly premised on the fact that another court may come to a different conclusion. However, the application for leave to appeal was filed out of time and applicant’s explanation for the delay being the bold assertion that she intended lodging the application in time but lacked funds.  </w:t>
      </w:r>
    </w:p>
    <w:p w:rsidR="006D6F55" w:rsidRPr="006D6F55" w:rsidRDefault="006D6F55" w:rsidP="006D6F55">
      <w:pPr>
        <w:spacing w:line="360" w:lineRule="auto"/>
        <w:jc w:val="both"/>
        <w:rPr>
          <w:rFonts w:ascii="Arial" w:hAnsi="Arial" w:cs="Arial"/>
          <w:color w:val="000000" w:themeColor="text1"/>
          <w:lang w:val="en-ZA"/>
        </w:rPr>
      </w:pPr>
    </w:p>
    <w:p w:rsidR="006D6F55" w:rsidRPr="006D6F55" w:rsidRDefault="006D6F55" w:rsidP="006D6F55">
      <w:pPr>
        <w:spacing w:line="360" w:lineRule="auto"/>
        <w:jc w:val="both"/>
        <w:rPr>
          <w:rFonts w:ascii="Arial" w:hAnsi="Arial" w:cs="Arial"/>
          <w:color w:val="000000" w:themeColor="text1"/>
        </w:rPr>
      </w:pPr>
      <w:r w:rsidRPr="006D6F55">
        <w:rPr>
          <w:rFonts w:ascii="Arial" w:hAnsi="Arial" w:cs="Arial"/>
          <w:i/>
          <w:color w:val="000000" w:themeColor="text1"/>
          <w:lang w:val="en-ZA"/>
        </w:rPr>
        <w:t>Held</w:t>
      </w:r>
      <w:r w:rsidRPr="006D6F55">
        <w:rPr>
          <w:rFonts w:ascii="Arial" w:hAnsi="Arial" w:cs="Arial"/>
          <w:color w:val="000000" w:themeColor="text1"/>
          <w:lang w:val="en-ZA"/>
        </w:rPr>
        <w:t xml:space="preserve">, that, it became </w:t>
      </w:r>
      <w:r w:rsidRPr="006D6F55">
        <w:rPr>
          <w:rFonts w:ascii="Arial" w:hAnsi="Arial" w:cs="Arial"/>
          <w:color w:val="000000" w:themeColor="text1"/>
        </w:rPr>
        <w:t>more compelling for the applicant to approach her former attorney to back up her version to corroborate her intended appeal for purposes of the condonation application. Therefore, the applicant’s assertion of lack of funds as the sole reason for delay in filing the application is inadequate.</w:t>
      </w:r>
    </w:p>
    <w:p w:rsidR="006D6F55" w:rsidRPr="006D6F55" w:rsidRDefault="006D6F55" w:rsidP="006D6F55">
      <w:pPr>
        <w:spacing w:line="360" w:lineRule="auto"/>
        <w:jc w:val="both"/>
        <w:rPr>
          <w:rFonts w:ascii="Arial" w:hAnsi="Arial" w:cs="Arial"/>
          <w:color w:val="000000" w:themeColor="text1"/>
        </w:rPr>
      </w:pPr>
    </w:p>
    <w:p w:rsidR="006D6F55" w:rsidRPr="006D6F55" w:rsidRDefault="006D6F55" w:rsidP="006D6F55">
      <w:pPr>
        <w:spacing w:line="360" w:lineRule="auto"/>
        <w:jc w:val="both"/>
        <w:rPr>
          <w:rFonts w:ascii="Arial" w:hAnsi="Arial" w:cs="Arial"/>
          <w:color w:val="000000" w:themeColor="text1"/>
          <w:lang w:val="en-ZA"/>
        </w:rPr>
      </w:pPr>
      <w:r w:rsidRPr="006D6F55">
        <w:rPr>
          <w:rFonts w:ascii="Arial" w:hAnsi="Arial" w:cs="Arial"/>
          <w:i/>
          <w:color w:val="000000" w:themeColor="text1"/>
        </w:rPr>
        <w:t>Held</w:t>
      </w:r>
      <w:r w:rsidRPr="006D6F55">
        <w:rPr>
          <w:rFonts w:ascii="Arial" w:hAnsi="Arial" w:cs="Arial"/>
          <w:color w:val="000000" w:themeColor="text1"/>
        </w:rPr>
        <w:t xml:space="preserve">, further that, </w:t>
      </w:r>
      <w:r w:rsidRPr="006D6F55">
        <w:rPr>
          <w:rFonts w:ascii="Arial" w:hAnsi="Arial" w:cs="Arial"/>
          <w:color w:val="000000" w:themeColor="text1"/>
          <w:lang w:val="en-ZA"/>
        </w:rPr>
        <w:t>the possibility that another Court may come to a different conclusion on the interpretation of the law is not sufficient to justify the granting of leave to appeal.</w:t>
      </w:r>
    </w:p>
    <w:p w:rsidR="00AF038A" w:rsidRDefault="00AF038A" w:rsidP="0094022E">
      <w:pPr>
        <w:pBdr>
          <w:bottom w:val="single" w:sz="12" w:space="1" w:color="auto"/>
        </w:pBdr>
        <w:rPr>
          <w:rFonts w:ascii="Arial" w:hAnsi="Arial" w:cs="Arial"/>
          <w:b/>
          <w:lang w:val="en-ZA"/>
        </w:rPr>
      </w:pPr>
    </w:p>
    <w:p w:rsidR="00161DE1" w:rsidRDefault="00161DE1" w:rsidP="00161DE1">
      <w:pPr>
        <w:jc w:val="center"/>
        <w:rPr>
          <w:rFonts w:ascii="Arial" w:hAnsi="Arial" w:cs="Arial"/>
          <w:b/>
          <w:lang w:val="en-ZA"/>
        </w:rPr>
      </w:pPr>
    </w:p>
    <w:p w:rsidR="00161DE1" w:rsidRDefault="00161DE1" w:rsidP="00161DE1">
      <w:pPr>
        <w:jc w:val="center"/>
        <w:rPr>
          <w:rFonts w:ascii="Arial" w:hAnsi="Arial" w:cs="Arial"/>
          <w:b/>
          <w:lang w:val="en-ZA"/>
        </w:rPr>
      </w:pPr>
      <w:r>
        <w:rPr>
          <w:rFonts w:ascii="Arial" w:hAnsi="Arial" w:cs="Arial"/>
          <w:b/>
          <w:lang w:val="en-ZA"/>
        </w:rPr>
        <w:t>ORDER</w:t>
      </w:r>
    </w:p>
    <w:p w:rsidR="00161DE1" w:rsidRDefault="00161DE1" w:rsidP="00161DE1">
      <w:pPr>
        <w:jc w:val="center"/>
        <w:rPr>
          <w:rFonts w:ascii="Arial" w:hAnsi="Arial" w:cs="Arial"/>
          <w:b/>
          <w:lang w:val="en-ZA"/>
        </w:rPr>
      </w:pPr>
      <w:r>
        <w:rPr>
          <w:rFonts w:ascii="Arial" w:hAnsi="Arial" w:cs="Arial"/>
          <w:b/>
          <w:lang w:val="en-ZA"/>
        </w:rPr>
        <w:t>___________________________________________________________________</w:t>
      </w:r>
    </w:p>
    <w:p w:rsidR="00161DE1" w:rsidRDefault="00161DE1" w:rsidP="00161DE1">
      <w:pPr>
        <w:pStyle w:val="ListParagraph"/>
        <w:spacing w:line="360" w:lineRule="auto"/>
        <w:ind w:left="0"/>
        <w:jc w:val="both"/>
        <w:rPr>
          <w:rFonts w:ascii="Arial" w:hAnsi="Arial" w:cs="Arial"/>
          <w:lang w:val="en-ZA"/>
        </w:rPr>
      </w:pPr>
    </w:p>
    <w:p w:rsidR="00A11D0B" w:rsidRPr="00A11D0B" w:rsidRDefault="00A11D0B" w:rsidP="00A11D0B">
      <w:pPr>
        <w:pStyle w:val="ListParagraph"/>
        <w:numPr>
          <w:ilvl w:val="0"/>
          <w:numId w:val="5"/>
        </w:numPr>
        <w:spacing w:line="360" w:lineRule="auto"/>
        <w:jc w:val="both"/>
        <w:rPr>
          <w:rFonts w:ascii="Arial" w:hAnsi="Arial" w:cs="Arial"/>
        </w:rPr>
      </w:pPr>
      <w:r w:rsidRPr="00A11D0B">
        <w:rPr>
          <w:rFonts w:ascii="Arial" w:hAnsi="Arial" w:cs="Arial"/>
        </w:rPr>
        <w:t>The application for condonation is refused.</w:t>
      </w:r>
    </w:p>
    <w:p w:rsidR="00A11D0B" w:rsidRPr="00A11D0B" w:rsidRDefault="00A11D0B" w:rsidP="00A11D0B">
      <w:pPr>
        <w:pStyle w:val="ListParagraph"/>
        <w:numPr>
          <w:ilvl w:val="0"/>
          <w:numId w:val="5"/>
        </w:numPr>
        <w:spacing w:line="360" w:lineRule="auto"/>
        <w:jc w:val="both"/>
        <w:rPr>
          <w:rFonts w:ascii="Arial" w:hAnsi="Arial" w:cs="Arial"/>
        </w:rPr>
      </w:pPr>
      <w:r w:rsidRPr="00A11D0B">
        <w:rPr>
          <w:rFonts w:ascii="Arial" w:hAnsi="Arial" w:cs="Arial"/>
        </w:rPr>
        <w:t xml:space="preserve">The matter is </w:t>
      </w:r>
      <w:r w:rsidR="006636A3">
        <w:rPr>
          <w:rFonts w:ascii="Arial" w:hAnsi="Arial" w:cs="Arial"/>
        </w:rPr>
        <w:t>s</w:t>
      </w:r>
      <w:r w:rsidRPr="00A11D0B">
        <w:rPr>
          <w:rFonts w:ascii="Arial" w:hAnsi="Arial" w:cs="Arial"/>
        </w:rPr>
        <w:t>truck from the roll.</w:t>
      </w:r>
    </w:p>
    <w:p w:rsidR="00161DE1" w:rsidRDefault="00161DE1" w:rsidP="00161DE1">
      <w:pPr>
        <w:pStyle w:val="ListParagraph"/>
        <w:pBdr>
          <w:bottom w:val="single" w:sz="12" w:space="1" w:color="auto"/>
        </w:pBdr>
        <w:spacing w:line="360" w:lineRule="auto"/>
        <w:ind w:left="0"/>
        <w:jc w:val="both"/>
        <w:rPr>
          <w:rFonts w:ascii="Arial" w:hAnsi="Arial" w:cs="Arial"/>
          <w:lang w:val="en-ZA"/>
        </w:rPr>
      </w:pPr>
    </w:p>
    <w:p w:rsidR="00161DE1" w:rsidRPr="00831ED8" w:rsidRDefault="00161DE1" w:rsidP="00161DE1">
      <w:pPr>
        <w:pStyle w:val="ListParagraph"/>
        <w:spacing w:line="360" w:lineRule="auto"/>
        <w:ind w:left="0"/>
        <w:jc w:val="center"/>
        <w:rPr>
          <w:rFonts w:ascii="Arial" w:hAnsi="Arial" w:cs="Arial"/>
          <w:b/>
          <w:lang w:val="en-ZA"/>
        </w:rPr>
      </w:pPr>
    </w:p>
    <w:p w:rsidR="00161DE1" w:rsidRPr="00831ED8" w:rsidRDefault="00831ED8" w:rsidP="00161DE1">
      <w:pPr>
        <w:pStyle w:val="ListParagraph"/>
        <w:spacing w:line="360" w:lineRule="auto"/>
        <w:ind w:left="0"/>
        <w:jc w:val="center"/>
        <w:rPr>
          <w:rFonts w:ascii="Arial" w:hAnsi="Arial" w:cs="Arial"/>
          <w:b/>
          <w:lang w:val="en-ZA"/>
        </w:rPr>
      </w:pPr>
      <w:r>
        <w:rPr>
          <w:rFonts w:ascii="Arial" w:hAnsi="Arial" w:cs="Arial"/>
          <w:b/>
          <w:lang w:val="en-ZA"/>
        </w:rPr>
        <w:t>JUDGE</w:t>
      </w:r>
      <w:r w:rsidR="00161DE1" w:rsidRPr="00831ED8">
        <w:rPr>
          <w:rFonts w:ascii="Arial" w:hAnsi="Arial" w:cs="Arial"/>
          <w:b/>
          <w:lang w:val="en-ZA"/>
        </w:rPr>
        <w:t>MENT</w:t>
      </w:r>
    </w:p>
    <w:p w:rsidR="00161DE1" w:rsidRPr="00831ED8" w:rsidRDefault="00161DE1" w:rsidP="00161DE1">
      <w:pPr>
        <w:pStyle w:val="ListParagraph"/>
        <w:spacing w:line="360" w:lineRule="auto"/>
        <w:ind w:left="0"/>
        <w:jc w:val="center"/>
        <w:rPr>
          <w:rFonts w:ascii="Arial" w:hAnsi="Arial" w:cs="Arial"/>
          <w:b/>
          <w:lang w:val="en-ZA"/>
        </w:rPr>
      </w:pPr>
      <w:r w:rsidRPr="00831ED8">
        <w:rPr>
          <w:rFonts w:ascii="Arial" w:hAnsi="Arial" w:cs="Arial"/>
          <w:b/>
          <w:lang w:val="en-ZA"/>
        </w:rPr>
        <w:t>___________________________________________________________________</w:t>
      </w:r>
    </w:p>
    <w:p w:rsidR="00161DE1" w:rsidRDefault="00161DE1" w:rsidP="00161DE1">
      <w:pPr>
        <w:pStyle w:val="ListParagraph"/>
        <w:spacing w:line="360" w:lineRule="auto"/>
        <w:ind w:left="0"/>
        <w:jc w:val="both"/>
        <w:rPr>
          <w:rFonts w:ascii="Arial" w:hAnsi="Arial" w:cs="Arial"/>
          <w:lang w:val="en-ZA"/>
        </w:rPr>
      </w:pPr>
    </w:p>
    <w:p w:rsidR="00161DE1" w:rsidRDefault="00161DE1" w:rsidP="00161DE1">
      <w:pPr>
        <w:pStyle w:val="ListParagraph"/>
        <w:spacing w:line="360" w:lineRule="auto"/>
        <w:ind w:left="0"/>
        <w:jc w:val="both"/>
        <w:rPr>
          <w:rFonts w:ascii="Arial" w:hAnsi="Arial" w:cs="Arial"/>
          <w:lang w:val="en-ZA"/>
        </w:rPr>
      </w:pPr>
      <w:r>
        <w:rPr>
          <w:rFonts w:ascii="Arial" w:hAnsi="Arial" w:cs="Arial"/>
          <w:lang w:val="en-ZA"/>
        </w:rPr>
        <w:t>LIEBENBERG, J</w:t>
      </w:r>
    </w:p>
    <w:p w:rsidR="00161DE1" w:rsidRDefault="00161DE1" w:rsidP="00161DE1">
      <w:pPr>
        <w:pStyle w:val="ListParagraph"/>
        <w:spacing w:line="360" w:lineRule="auto"/>
        <w:ind w:left="0"/>
        <w:jc w:val="both"/>
        <w:rPr>
          <w:rFonts w:ascii="Arial" w:hAnsi="Arial" w:cs="Arial"/>
          <w:lang w:val="en-ZA"/>
        </w:rPr>
      </w:pPr>
    </w:p>
    <w:p w:rsidR="001C1E78" w:rsidRDefault="00831ED8" w:rsidP="00AF038A">
      <w:pPr>
        <w:pStyle w:val="ListParagraph"/>
        <w:numPr>
          <w:ilvl w:val="0"/>
          <w:numId w:val="1"/>
        </w:numPr>
        <w:spacing w:line="360" w:lineRule="auto"/>
        <w:ind w:left="0" w:firstLine="0"/>
        <w:jc w:val="both"/>
        <w:rPr>
          <w:rFonts w:ascii="Arial" w:hAnsi="Arial" w:cs="Arial"/>
          <w:lang w:val="en-ZA"/>
        </w:rPr>
      </w:pPr>
      <w:r>
        <w:rPr>
          <w:rFonts w:ascii="Arial" w:hAnsi="Arial" w:cs="Arial"/>
          <w:lang w:val="en-ZA"/>
        </w:rPr>
        <w:t>O</w:t>
      </w:r>
      <w:r w:rsidR="00AF038A">
        <w:rPr>
          <w:rFonts w:ascii="Arial" w:hAnsi="Arial" w:cs="Arial"/>
          <w:lang w:val="en-ZA"/>
        </w:rPr>
        <w:t>n</w:t>
      </w:r>
      <w:r w:rsidR="00493218">
        <w:rPr>
          <w:rFonts w:ascii="Arial" w:hAnsi="Arial" w:cs="Arial"/>
          <w:lang w:val="en-ZA"/>
        </w:rPr>
        <w:t xml:space="preserve"> </w:t>
      </w:r>
      <w:r>
        <w:rPr>
          <w:rFonts w:ascii="Arial" w:hAnsi="Arial" w:cs="Arial"/>
          <w:lang w:val="en-ZA"/>
        </w:rPr>
        <w:t xml:space="preserve">the </w:t>
      </w:r>
      <w:r w:rsidR="00493218">
        <w:rPr>
          <w:rFonts w:ascii="Arial" w:hAnsi="Arial" w:cs="Arial"/>
          <w:lang w:val="en-ZA"/>
        </w:rPr>
        <w:t>08</w:t>
      </w:r>
      <w:r w:rsidRPr="00831ED8">
        <w:rPr>
          <w:rFonts w:ascii="Arial" w:hAnsi="Arial" w:cs="Arial"/>
          <w:vertAlign w:val="superscript"/>
          <w:lang w:val="en-ZA"/>
        </w:rPr>
        <w:t>th</w:t>
      </w:r>
      <w:r>
        <w:rPr>
          <w:rFonts w:ascii="Arial" w:hAnsi="Arial" w:cs="Arial"/>
          <w:lang w:val="en-ZA"/>
        </w:rPr>
        <w:t xml:space="preserve"> of</w:t>
      </w:r>
      <w:r w:rsidR="00493218">
        <w:rPr>
          <w:rFonts w:ascii="Arial" w:hAnsi="Arial" w:cs="Arial"/>
          <w:lang w:val="en-ZA"/>
        </w:rPr>
        <w:t xml:space="preserve"> July 2019 </w:t>
      </w:r>
      <w:r>
        <w:rPr>
          <w:rFonts w:ascii="Arial" w:hAnsi="Arial" w:cs="Arial"/>
          <w:lang w:val="en-ZA"/>
        </w:rPr>
        <w:t xml:space="preserve">the applicant was convicted </w:t>
      </w:r>
      <w:r w:rsidR="00493218">
        <w:rPr>
          <w:rFonts w:ascii="Arial" w:hAnsi="Arial" w:cs="Arial"/>
          <w:lang w:val="en-ZA"/>
        </w:rPr>
        <w:t>on</w:t>
      </w:r>
      <w:r w:rsidR="00AF038A">
        <w:rPr>
          <w:rFonts w:ascii="Arial" w:hAnsi="Arial" w:cs="Arial"/>
          <w:lang w:val="en-ZA"/>
        </w:rPr>
        <w:t xml:space="preserve"> one count of contravening section 43(1) of the Anti-Corruption Act 8 of 2003</w:t>
      </w:r>
      <w:r w:rsidR="007570BA">
        <w:rPr>
          <w:rFonts w:ascii="Arial" w:hAnsi="Arial" w:cs="Arial"/>
          <w:lang w:val="en-ZA"/>
        </w:rPr>
        <w:t>,</w:t>
      </w:r>
      <w:r w:rsidR="00AF038A">
        <w:rPr>
          <w:rFonts w:ascii="Arial" w:hAnsi="Arial" w:cs="Arial"/>
          <w:lang w:val="en-ZA"/>
        </w:rPr>
        <w:t xml:space="preserve"> for corruptly </w:t>
      </w:r>
      <w:r w:rsidR="00EC0ED3">
        <w:rPr>
          <w:rFonts w:ascii="Arial" w:hAnsi="Arial" w:cs="Arial"/>
          <w:lang w:val="en-ZA"/>
        </w:rPr>
        <w:t xml:space="preserve">using her office </w:t>
      </w:r>
      <w:r>
        <w:rPr>
          <w:rFonts w:ascii="Arial" w:hAnsi="Arial" w:cs="Arial"/>
          <w:lang w:val="en-ZA"/>
        </w:rPr>
        <w:t>as Governor of the Hardap Region</w:t>
      </w:r>
      <w:r w:rsidR="00E43B96">
        <w:rPr>
          <w:rFonts w:ascii="Arial" w:hAnsi="Arial" w:cs="Arial"/>
          <w:lang w:val="en-ZA"/>
        </w:rPr>
        <w:t xml:space="preserve"> </w:t>
      </w:r>
      <w:r w:rsidR="00EC0ED3">
        <w:rPr>
          <w:rFonts w:ascii="Arial" w:hAnsi="Arial" w:cs="Arial"/>
          <w:lang w:val="en-ZA"/>
        </w:rPr>
        <w:t>to</w:t>
      </w:r>
      <w:r w:rsidR="00E43B96">
        <w:rPr>
          <w:rFonts w:ascii="Arial" w:hAnsi="Arial" w:cs="Arial"/>
          <w:lang w:val="en-ZA"/>
        </w:rPr>
        <w:t xml:space="preserve"> the</w:t>
      </w:r>
      <w:r w:rsidR="00EC0ED3">
        <w:rPr>
          <w:rFonts w:ascii="Arial" w:hAnsi="Arial" w:cs="Arial"/>
          <w:lang w:val="en-ZA"/>
        </w:rPr>
        <w:t xml:space="preserve"> benefit </w:t>
      </w:r>
      <w:r w:rsidR="007570BA">
        <w:rPr>
          <w:rFonts w:ascii="Arial" w:hAnsi="Arial" w:cs="Arial"/>
          <w:lang w:val="en-ZA"/>
        </w:rPr>
        <w:t>of two</w:t>
      </w:r>
      <w:r w:rsidR="00EC0ED3">
        <w:rPr>
          <w:rFonts w:ascii="Arial" w:hAnsi="Arial" w:cs="Arial"/>
          <w:lang w:val="en-ZA"/>
        </w:rPr>
        <w:t xml:space="preserve"> </w:t>
      </w:r>
      <w:r w:rsidR="00AF038A">
        <w:rPr>
          <w:rFonts w:ascii="Arial" w:hAnsi="Arial" w:cs="Arial"/>
          <w:lang w:val="en-ZA"/>
        </w:rPr>
        <w:t>family members.</w:t>
      </w:r>
      <w:r w:rsidR="00E43B96">
        <w:rPr>
          <w:rFonts w:ascii="Arial" w:hAnsi="Arial" w:cs="Arial"/>
          <w:lang w:val="en-ZA"/>
        </w:rPr>
        <w:t xml:space="preserve"> She </w:t>
      </w:r>
      <w:r w:rsidR="005E4634">
        <w:rPr>
          <w:rFonts w:ascii="Arial" w:hAnsi="Arial" w:cs="Arial"/>
          <w:lang w:val="en-ZA"/>
        </w:rPr>
        <w:t>was</w:t>
      </w:r>
      <w:r w:rsidR="00E43B96">
        <w:rPr>
          <w:rFonts w:ascii="Arial" w:hAnsi="Arial" w:cs="Arial"/>
          <w:lang w:val="en-ZA"/>
        </w:rPr>
        <w:t xml:space="preserve"> subsequently</w:t>
      </w:r>
      <w:r w:rsidR="005E4634">
        <w:rPr>
          <w:rFonts w:ascii="Arial" w:hAnsi="Arial" w:cs="Arial"/>
          <w:lang w:val="en-ZA"/>
        </w:rPr>
        <w:t xml:space="preserve"> sentenced </w:t>
      </w:r>
      <w:r w:rsidR="00E43B96">
        <w:rPr>
          <w:rFonts w:ascii="Arial" w:hAnsi="Arial" w:cs="Arial"/>
          <w:lang w:val="en-ZA"/>
        </w:rPr>
        <w:t>on the 31</w:t>
      </w:r>
      <w:r w:rsidR="00E43B96" w:rsidRPr="00E43B96">
        <w:rPr>
          <w:rFonts w:ascii="Arial" w:hAnsi="Arial" w:cs="Arial"/>
          <w:vertAlign w:val="superscript"/>
          <w:lang w:val="en-ZA"/>
        </w:rPr>
        <w:t>st</w:t>
      </w:r>
      <w:r w:rsidR="00E43B96">
        <w:rPr>
          <w:rFonts w:ascii="Arial" w:hAnsi="Arial" w:cs="Arial"/>
          <w:lang w:val="en-ZA"/>
        </w:rPr>
        <w:t xml:space="preserve"> of July 2019 </w:t>
      </w:r>
      <w:r w:rsidR="005E4634">
        <w:rPr>
          <w:rFonts w:ascii="Arial" w:hAnsi="Arial" w:cs="Arial"/>
          <w:lang w:val="en-ZA"/>
        </w:rPr>
        <w:t>to a fine</w:t>
      </w:r>
      <w:r w:rsidR="007570BA">
        <w:rPr>
          <w:rFonts w:ascii="Arial" w:hAnsi="Arial" w:cs="Arial"/>
          <w:lang w:val="en-ZA"/>
        </w:rPr>
        <w:t xml:space="preserve"> of N$</w:t>
      </w:r>
      <w:r w:rsidR="00EC0ED3">
        <w:rPr>
          <w:rFonts w:ascii="Arial" w:hAnsi="Arial" w:cs="Arial"/>
          <w:lang w:val="en-ZA"/>
        </w:rPr>
        <w:t>50 000</w:t>
      </w:r>
      <w:r w:rsidR="00E43B96">
        <w:rPr>
          <w:rFonts w:ascii="Arial" w:hAnsi="Arial" w:cs="Arial"/>
          <w:lang w:val="en-ZA"/>
        </w:rPr>
        <w:t xml:space="preserve"> which was paid</w:t>
      </w:r>
      <w:r w:rsidR="005E4634">
        <w:rPr>
          <w:rFonts w:ascii="Arial" w:hAnsi="Arial" w:cs="Arial"/>
          <w:lang w:val="en-ZA"/>
        </w:rPr>
        <w:t>.</w:t>
      </w:r>
      <w:r w:rsidR="00AF038A">
        <w:rPr>
          <w:rFonts w:ascii="Arial" w:hAnsi="Arial" w:cs="Arial"/>
          <w:lang w:val="en-ZA"/>
        </w:rPr>
        <w:t xml:space="preserve"> </w:t>
      </w:r>
      <w:r w:rsidR="00493218">
        <w:rPr>
          <w:rFonts w:ascii="Arial" w:hAnsi="Arial" w:cs="Arial"/>
          <w:lang w:val="en-ZA"/>
        </w:rPr>
        <w:t>She now</w:t>
      </w:r>
      <w:r w:rsidR="00161DE1">
        <w:rPr>
          <w:rFonts w:ascii="Arial" w:hAnsi="Arial" w:cs="Arial"/>
          <w:lang w:val="en-ZA"/>
        </w:rPr>
        <w:t xml:space="preserve"> seeks leave to appeal to the Supreme Court</w:t>
      </w:r>
      <w:r w:rsidR="00EC0ED3">
        <w:rPr>
          <w:rFonts w:ascii="Arial" w:hAnsi="Arial" w:cs="Arial"/>
          <w:lang w:val="en-ZA"/>
        </w:rPr>
        <w:t xml:space="preserve"> against </w:t>
      </w:r>
      <w:r w:rsidR="00E43B96">
        <w:rPr>
          <w:rFonts w:ascii="Arial" w:hAnsi="Arial" w:cs="Arial"/>
          <w:lang w:val="en-ZA"/>
        </w:rPr>
        <w:t>her conviction</w:t>
      </w:r>
      <w:r w:rsidR="00EC0ED3">
        <w:rPr>
          <w:rFonts w:ascii="Arial" w:hAnsi="Arial" w:cs="Arial"/>
          <w:lang w:val="en-ZA"/>
        </w:rPr>
        <w:t>.</w:t>
      </w:r>
    </w:p>
    <w:p w:rsidR="001C1E78" w:rsidRDefault="001C1E78" w:rsidP="001C1E78">
      <w:pPr>
        <w:pStyle w:val="ListParagraph"/>
        <w:spacing w:line="360" w:lineRule="auto"/>
        <w:ind w:left="0"/>
        <w:jc w:val="both"/>
        <w:rPr>
          <w:rFonts w:ascii="Arial" w:hAnsi="Arial" w:cs="Arial"/>
          <w:lang w:val="en-ZA"/>
        </w:rPr>
      </w:pPr>
    </w:p>
    <w:p w:rsidR="005E4634" w:rsidRDefault="00161DE1" w:rsidP="005E4634">
      <w:pPr>
        <w:pStyle w:val="ListParagraph"/>
        <w:numPr>
          <w:ilvl w:val="0"/>
          <w:numId w:val="1"/>
        </w:numPr>
        <w:spacing w:line="360" w:lineRule="auto"/>
        <w:ind w:left="0" w:firstLine="0"/>
        <w:jc w:val="both"/>
        <w:rPr>
          <w:rFonts w:ascii="Arial" w:hAnsi="Arial" w:cs="Arial"/>
          <w:lang w:val="en-ZA"/>
        </w:rPr>
      </w:pPr>
      <w:r w:rsidRPr="00161DE1">
        <w:rPr>
          <w:rFonts w:ascii="Arial" w:hAnsi="Arial" w:cs="Arial"/>
          <w:lang w:val="en-ZA"/>
        </w:rPr>
        <w:t xml:space="preserve">The applicant filed an application for leave to appeal on </w:t>
      </w:r>
      <w:r w:rsidR="00E43B96">
        <w:rPr>
          <w:rFonts w:ascii="Arial" w:hAnsi="Arial" w:cs="Arial"/>
          <w:lang w:val="en-ZA"/>
        </w:rPr>
        <w:t xml:space="preserve">the </w:t>
      </w:r>
      <w:r w:rsidRPr="00161DE1">
        <w:rPr>
          <w:rFonts w:ascii="Arial" w:hAnsi="Arial" w:cs="Arial"/>
          <w:lang w:val="en-ZA"/>
        </w:rPr>
        <w:t>23</w:t>
      </w:r>
      <w:r w:rsidR="00E43B96" w:rsidRPr="00E43B96">
        <w:rPr>
          <w:rFonts w:ascii="Arial" w:hAnsi="Arial" w:cs="Arial"/>
          <w:vertAlign w:val="superscript"/>
          <w:lang w:val="en-ZA"/>
        </w:rPr>
        <w:t>rd</w:t>
      </w:r>
      <w:r w:rsidRPr="00161DE1">
        <w:rPr>
          <w:rFonts w:ascii="Arial" w:hAnsi="Arial" w:cs="Arial"/>
          <w:lang w:val="en-ZA"/>
        </w:rPr>
        <w:t xml:space="preserve"> September 2019 which </w:t>
      </w:r>
      <w:r w:rsidR="00EC0ED3">
        <w:rPr>
          <w:rFonts w:ascii="Arial" w:hAnsi="Arial" w:cs="Arial"/>
          <w:lang w:val="en-ZA"/>
        </w:rPr>
        <w:t>is</w:t>
      </w:r>
      <w:r w:rsidRPr="00161DE1">
        <w:rPr>
          <w:rFonts w:ascii="Arial" w:hAnsi="Arial" w:cs="Arial"/>
          <w:lang w:val="en-ZA"/>
        </w:rPr>
        <w:t xml:space="preserve"> </w:t>
      </w:r>
      <w:r w:rsidR="00E43B96">
        <w:rPr>
          <w:rFonts w:ascii="Arial" w:hAnsi="Arial" w:cs="Arial"/>
          <w:lang w:val="en-ZA"/>
        </w:rPr>
        <w:t xml:space="preserve">clearly </w:t>
      </w:r>
      <w:r w:rsidR="00EC0ED3">
        <w:rPr>
          <w:rFonts w:ascii="Arial" w:hAnsi="Arial" w:cs="Arial"/>
          <w:lang w:val="en-ZA"/>
        </w:rPr>
        <w:t>out of time</w:t>
      </w:r>
      <w:r w:rsidR="007570BA">
        <w:rPr>
          <w:rFonts w:ascii="Arial" w:hAnsi="Arial" w:cs="Arial"/>
          <w:lang w:val="en-ZA"/>
        </w:rPr>
        <w:t>. S</w:t>
      </w:r>
      <w:r w:rsidR="005E4634" w:rsidRPr="00161DE1">
        <w:rPr>
          <w:rFonts w:ascii="Arial" w:hAnsi="Arial" w:cs="Arial"/>
          <w:lang w:val="en-ZA"/>
        </w:rPr>
        <w:t xml:space="preserve">ection 316 of the Criminal Procedure Act 51 of 1977 </w:t>
      </w:r>
      <w:r w:rsidR="00EC0ED3">
        <w:rPr>
          <w:rFonts w:ascii="Arial" w:hAnsi="Arial" w:cs="Arial"/>
          <w:lang w:val="en-ZA"/>
        </w:rPr>
        <w:t>provides</w:t>
      </w:r>
      <w:r w:rsidR="005E4634" w:rsidRPr="00161DE1">
        <w:rPr>
          <w:rFonts w:ascii="Arial" w:hAnsi="Arial" w:cs="Arial"/>
          <w:lang w:val="en-ZA"/>
        </w:rPr>
        <w:t xml:space="preserve"> that an accused person wishing to apply for leave to appeal</w:t>
      </w:r>
      <w:r w:rsidR="00E43B96">
        <w:rPr>
          <w:rFonts w:ascii="Arial" w:hAnsi="Arial" w:cs="Arial"/>
          <w:lang w:val="en-ZA"/>
        </w:rPr>
        <w:t>,</w:t>
      </w:r>
      <w:r w:rsidR="005E4634" w:rsidRPr="00161DE1">
        <w:rPr>
          <w:rFonts w:ascii="Arial" w:hAnsi="Arial" w:cs="Arial"/>
          <w:lang w:val="en-ZA"/>
        </w:rPr>
        <w:t xml:space="preserve"> is required to do so within a period of 14 days after sentence. </w:t>
      </w:r>
    </w:p>
    <w:p w:rsidR="00161DE1" w:rsidRPr="00161DE1" w:rsidRDefault="00161DE1" w:rsidP="00161DE1">
      <w:pPr>
        <w:pStyle w:val="ListParagraph"/>
        <w:rPr>
          <w:rFonts w:ascii="Arial" w:hAnsi="Arial" w:cs="Arial"/>
          <w:lang w:val="en-ZA"/>
        </w:rPr>
      </w:pPr>
    </w:p>
    <w:p w:rsidR="00161DE1" w:rsidRPr="00161DE1" w:rsidRDefault="00161DE1" w:rsidP="00161DE1">
      <w:pPr>
        <w:pStyle w:val="ListParagraph"/>
        <w:spacing w:line="360" w:lineRule="auto"/>
        <w:ind w:left="0"/>
        <w:jc w:val="both"/>
        <w:rPr>
          <w:rFonts w:ascii="Arial" w:hAnsi="Arial" w:cs="Arial"/>
          <w:lang w:val="en-ZA"/>
        </w:rPr>
      </w:pPr>
    </w:p>
    <w:p w:rsidR="00413903" w:rsidRDefault="00506672" w:rsidP="00AF038A">
      <w:pPr>
        <w:pStyle w:val="ListParagraph"/>
        <w:numPr>
          <w:ilvl w:val="0"/>
          <w:numId w:val="1"/>
        </w:numPr>
        <w:spacing w:line="360" w:lineRule="auto"/>
        <w:ind w:left="0" w:firstLine="0"/>
        <w:jc w:val="both"/>
        <w:rPr>
          <w:rFonts w:ascii="Arial" w:hAnsi="Arial" w:cs="Arial"/>
          <w:lang w:val="en-ZA"/>
        </w:rPr>
      </w:pPr>
      <w:r>
        <w:rPr>
          <w:rFonts w:ascii="Arial" w:hAnsi="Arial" w:cs="Arial"/>
          <w:lang w:val="en-ZA"/>
        </w:rPr>
        <w:t>Pursuant thereto</w:t>
      </w:r>
      <w:r w:rsidR="005E4634" w:rsidRPr="00161DE1">
        <w:rPr>
          <w:rFonts w:ascii="Arial" w:hAnsi="Arial" w:cs="Arial"/>
          <w:lang w:val="en-ZA"/>
        </w:rPr>
        <w:t xml:space="preserve"> the applicant filed a condonation application </w:t>
      </w:r>
      <w:r w:rsidR="00161DE1" w:rsidRPr="00161DE1">
        <w:rPr>
          <w:rFonts w:ascii="Arial" w:hAnsi="Arial" w:cs="Arial"/>
          <w:lang w:val="en-ZA"/>
        </w:rPr>
        <w:t xml:space="preserve">explaining </w:t>
      </w:r>
      <w:r>
        <w:rPr>
          <w:rFonts w:ascii="Arial" w:hAnsi="Arial" w:cs="Arial"/>
          <w:lang w:val="en-ZA"/>
        </w:rPr>
        <w:t>u</w:t>
      </w:r>
      <w:r w:rsidR="00E43B96">
        <w:rPr>
          <w:rFonts w:ascii="Arial" w:hAnsi="Arial" w:cs="Arial"/>
          <w:lang w:val="en-ZA"/>
        </w:rPr>
        <w:t>n</w:t>
      </w:r>
      <w:r>
        <w:rPr>
          <w:rFonts w:ascii="Arial" w:hAnsi="Arial" w:cs="Arial"/>
          <w:lang w:val="en-ZA"/>
        </w:rPr>
        <w:t>der</w:t>
      </w:r>
      <w:r w:rsidR="00E43B96">
        <w:rPr>
          <w:rFonts w:ascii="Arial" w:hAnsi="Arial" w:cs="Arial"/>
          <w:lang w:val="en-ZA"/>
        </w:rPr>
        <w:t xml:space="preserve"> oath </w:t>
      </w:r>
      <w:r w:rsidR="00161DE1" w:rsidRPr="00161DE1">
        <w:rPr>
          <w:rFonts w:ascii="Arial" w:hAnsi="Arial" w:cs="Arial"/>
          <w:lang w:val="en-ZA"/>
        </w:rPr>
        <w:t xml:space="preserve">her delay in lodging the application </w:t>
      </w:r>
      <w:r w:rsidR="00161DE1">
        <w:rPr>
          <w:rFonts w:ascii="Arial" w:hAnsi="Arial" w:cs="Arial"/>
          <w:lang w:val="en-ZA"/>
        </w:rPr>
        <w:t>for leave to appeal within the prescribed time</w:t>
      </w:r>
      <w:r w:rsidR="007570BA">
        <w:rPr>
          <w:rFonts w:ascii="Arial" w:hAnsi="Arial" w:cs="Arial"/>
          <w:lang w:val="en-ZA"/>
        </w:rPr>
        <w:t xml:space="preserve"> limit</w:t>
      </w:r>
      <w:r w:rsidR="00161DE1">
        <w:rPr>
          <w:rFonts w:ascii="Arial" w:hAnsi="Arial" w:cs="Arial"/>
          <w:lang w:val="en-ZA"/>
        </w:rPr>
        <w:t>.</w:t>
      </w:r>
      <w:r w:rsidR="00EC0ED3">
        <w:rPr>
          <w:rFonts w:ascii="Arial" w:hAnsi="Arial" w:cs="Arial"/>
          <w:lang w:val="en-ZA"/>
        </w:rPr>
        <w:t xml:space="preserve"> </w:t>
      </w:r>
      <w:r w:rsidR="00E43B96">
        <w:rPr>
          <w:rFonts w:ascii="Arial" w:hAnsi="Arial" w:cs="Arial"/>
          <w:lang w:val="en-ZA"/>
        </w:rPr>
        <w:t>The State, in response, gave notice of its intention to oppose both the</w:t>
      </w:r>
      <w:r w:rsidR="00161DE1" w:rsidRPr="00161DE1">
        <w:rPr>
          <w:rFonts w:ascii="Arial" w:hAnsi="Arial" w:cs="Arial"/>
          <w:lang w:val="en-ZA"/>
        </w:rPr>
        <w:t xml:space="preserve"> </w:t>
      </w:r>
      <w:r w:rsidR="00E43B96">
        <w:rPr>
          <w:rFonts w:ascii="Arial" w:hAnsi="Arial" w:cs="Arial"/>
          <w:lang w:val="en-ZA"/>
        </w:rPr>
        <w:t>application for leave to appeal and the condonation application</w:t>
      </w:r>
      <w:r w:rsidR="00161DE1" w:rsidRPr="00161DE1">
        <w:rPr>
          <w:rFonts w:ascii="Arial" w:hAnsi="Arial" w:cs="Arial"/>
          <w:lang w:val="en-ZA"/>
        </w:rPr>
        <w:t>.</w:t>
      </w:r>
    </w:p>
    <w:p w:rsidR="00413903" w:rsidRDefault="00413903" w:rsidP="00413903">
      <w:pPr>
        <w:spacing w:line="360" w:lineRule="auto"/>
        <w:jc w:val="both"/>
        <w:rPr>
          <w:rFonts w:ascii="Arial" w:hAnsi="Arial" w:cs="Arial"/>
          <w:i/>
          <w:lang w:val="en-ZA"/>
        </w:rPr>
      </w:pPr>
    </w:p>
    <w:p w:rsidR="00F15CF1" w:rsidRDefault="00506672" w:rsidP="00AF038A">
      <w:pPr>
        <w:spacing w:line="360" w:lineRule="auto"/>
        <w:jc w:val="both"/>
        <w:rPr>
          <w:rFonts w:ascii="Arial" w:hAnsi="Arial" w:cs="Arial"/>
        </w:rPr>
      </w:pPr>
      <w:r>
        <w:rPr>
          <w:rFonts w:ascii="Arial" w:hAnsi="Arial" w:cs="Arial"/>
        </w:rPr>
        <w:t>[4]</w:t>
      </w:r>
      <w:r>
        <w:rPr>
          <w:rFonts w:ascii="Arial" w:hAnsi="Arial" w:cs="Arial"/>
        </w:rPr>
        <w:tab/>
        <w:t>It is well established</w:t>
      </w:r>
      <w:r w:rsidR="00EC0ED3">
        <w:rPr>
          <w:rFonts w:ascii="Arial" w:hAnsi="Arial" w:cs="Arial"/>
        </w:rPr>
        <w:t xml:space="preserve"> that the </w:t>
      </w:r>
      <w:r>
        <w:rPr>
          <w:rFonts w:ascii="Arial" w:hAnsi="Arial" w:cs="Arial"/>
        </w:rPr>
        <w:t xml:space="preserve">granting of condonation for non-compliance with the rules of court, is not for the mere asking. A litigant seeking condonation bears the onus to satisfy the court </w:t>
      </w:r>
      <w:r w:rsidR="00F15CF1">
        <w:rPr>
          <w:rFonts w:ascii="Arial" w:hAnsi="Arial" w:cs="Arial"/>
        </w:rPr>
        <w:t xml:space="preserve">that there is sufficient cause to warrant the granting of condonation and to launch the condonation application without delay. The Supreme Court in the matter of </w:t>
      </w:r>
      <w:r w:rsidR="00F15CF1">
        <w:rPr>
          <w:rFonts w:ascii="Arial" w:hAnsi="Arial" w:cs="Arial"/>
          <w:i/>
        </w:rPr>
        <w:t>Dietmar Dannecker v Leopard Tours Car and Camping Hire CC and Others</w:t>
      </w:r>
      <w:r w:rsidR="00F15CF1">
        <w:rPr>
          <w:rStyle w:val="FootnoteReference"/>
          <w:rFonts w:ascii="Arial" w:hAnsi="Arial" w:cs="Arial"/>
          <w:i/>
        </w:rPr>
        <w:footnoteReference w:id="1"/>
      </w:r>
      <w:r w:rsidR="00F15CF1">
        <w:rPr>
          <w:rFonts w:ascii="Arial" w:hAnsi="Arial" w:cs="Arial"/>
          <w:i/>
        </w:rPr>
        <w:t xml:space="preserve"> </w:t>
      </w:r>
      <w:r w:rsidR="00F15CF1">
        <w:rPr>
          <w:rFonts w:ascii="Arial" w:hAnsi="Arial" w:cs="Arial"/>
        </w:rPr>
        <w:t xml:space="preserve">endorsed the </w:t>
      </w:r>
      <w:r w:rsidR="00F15CF1">
        <w:rPr>
          <w:rFonts w:ascii="Arial" w:hAnsi="Arial" w:cs="Arial"/>
          <w:i/>
        </w:rPr>
        <w:t xml:space="preserve">dictum </w:t>
      </w:r>
      <w:r w:rsidR="00F15CF1">
        <w:rPr>
          <w:rFonts w:ascii="Arial" w:hAnsi="Arial" w:cs="Arial"/>
        </w:rPr>
        <w:t xml:space="preserve">enunciated in </w:t>
      </w:r>
      <w:r w:rsidR="00F15CF1">
        <w:rPr>
          <w:rFonts w:ascii="Arial" w:hAnsi="Arial" w:cs="Arial"/>
          <w:i/>
        </w:rPr>
        <w:t>Petrus v Roman Catholic Archdiocese</w:t>
      </w:r>
      <w:r w:rsidR="00F15CF1">
        <w:rPr>
          <w:rStyle w:val="FootnoteReference"/>
          <w:rFonts w:ascii="Arial" w:hAnsi="Arial" w:cs="Arial"/>
          <w:i/>
        </w:rPr>
        <w:footnoteReference w:id="2"/>
      </w:r>
      <w:r w:rsidR="00F15CF1">
        <w:rPr>
          <w:rFonts w:ascii="Arial" w:hAnsi="Arial" w:cs="Arial"/>
          <w:i/>
        </w:rPr>
        <w:t xml:space="preserve"> </w:t>
      </w:r>
      <w:r w:rsidR="00F15CF1">
        <w:rPr>
          <w:rFonts w:ascii="Arial" w:hAnsi="Arial" w:cs="Arial"/>
        </w:rPr>
        <w:t>as per O’Regan AJA</w:t>
      </w:r>
      <w:r w:rsidR="007570BA">
        <w:rPr>
          <w:rFonts w:ascii="Arial" w:hAnsi="Arial" w:cs="Arial"/>
        </w:rPr>
        <w:t>,</w:t>
      </w:r>
      <w:r w:rsidR="00F15CF1">
        <w:rPr>
          <w:rFonts w:ascii="Arial" w:hAnsi="Arial" w:cs="Arial"/>
        </w:rPr>
        <w:t xml:space="preserve"> </w:t>
      </w:r>
      <w:r w:rsidR="005610D1">
        <w:rPr>
          <w:rFonts w:ascii="Arial" w:hAnsi="Arial" w:cs="Arial"/>
        </w:rPr>
        <w:t>stated in the following terms:</w:t>
      </w:r>
    </w:p>
    <w:p w:rsidR="00FF557E" w:rsidRDefault="00FF557E" w:rsidP="005610D1">
      <w:pPr>
        <w:spacing w:line="360" w:lineRule="auto"/>
        <w:ind w:left="720"/>
        <w:jc w:val="both"/>
        <w:rPr>
          <w:rFonts w:ascii="Arial" w:hAnsi="Arial" w:cs="Arial"/>
          <w:sz w:val="22"/>
          <w:szCs w:val="22"/>
        </w:rPr>
      </w:pPr>
    </w:p>
    <w:p w:rsidR="005610D1" w:rsidRDefault="005610D1" w:rsidP="005610D1">
      <w:pPr>
        <w:spacing w:line="360" w:lineRule="auto"/>
        <w:ind w:left="720"/>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5610D1">
        <w:rPr>
          <w:rFonts w:ascii="Arial" w:hAnsi="Arial" w:cs="Arial"/>
          <w:sz w:val="22"/>
          <w:szCs w:val="22"/>
        </w:rPr>
        <w:t>It is trite that a litigant seeking condonation bears an onus to satisfy the court that there is sufficient cause to warrant the grant of condon</w:t>
      </w:r>
      <w:r>
        <w:rPr>
          <w:rFonts w:ascii="Arial" w:hAnsi="Arial" w:cs="Arial"/>
          <w:sz w:val="22"/>
          <w:szCs w:val="22"/>
        </w:rPr>
        <w:t>ation.</w:t>
      </w:r>
      <w:r w:rsidRPr="005610D1">
        <w:rPr>
          <w:rFonts w:ascii="Arial" w:hAnsi="Arial" w:cs="Arial"/>
          <w:sz w:val="22"/>
          <w:szCs w:val="22"/>
        </w:rPr>
        <w:t xml:space="preserve"> Moreover, it is also clear that a litigant should launch a condonation application without delay. In a recent judgment of this court,</w:t>
      </w:r>
      <w:r w:rsidRPr="005610D1">
        <w:rPr>
          <w:rFonts w:ascii="Arial" w:hAnsi="Arial" w:cs="Arial"/>
          <w:i/>
          <w:sz w:val="22"/>
          <w:szCs w:val="22"/>
        </w:rPr>
        <w:t xml:space="preserve"> Beukes and Another v SWABOU and Others</w:t>
      </w:r>
      <w:r w:rsidRPr="005610D1">
        <w:rPr>
          <w:rFonts w:ascii="Arial" w:hAnsi="Arial" w:cs="Arial"/>
          <w:sz w:val="22"/>
          <w:szCs w:val="22"/>
        </w:rPr>
        <w:t xml:space="preserve">, case No 14/2010, </w:t>
      </w:r>
      <w:r w:rsidRPr="005610D1">
        <w:rPr>
          <w:rFonts w:ascii="Arial" w:hAnsi="Arial" w:cs="Arial"/>
          <w:sz w:val="22"/>
          <w:szCs w:val="22"/>
        </w:rPr>
        <w:lastRenderedPageBreak/>
        <w:t>the principles governing condonation were once again s</w:t>
      </w:r>
      <w:r>
        <w:rPr>
          <w:rFonts w:ascii="Arial" w:hAnsi="Arial" w:cs="Arial"/>
          <w:sz w:val="22"/>
          <w:szCs w:val="22"/>
        </w:rPr>
        <w:t>et out. Langa AJA noted that “</w:t>
      </w:r>
      <w:r w:rsidRPr="005610D1">
        <w:rPr>
          <w:rFonts w:ascii="Arial" w:hAnsi="Arial" w:cs="Arial"/>
          <w:sz w:val="22"/>
          <w:szCs w:val="22"/>
        </w:rPr>
        <w:t>an application for cond</w:t>
      </w:r>
      <w:r>
        <w:rPr>
          <w:rFonts w:ascii="Arial" w:hAnsi="Arial" w:cs="Arial"/>
          <w:sz w:val="22"/>
          <w:szCs w:val="22"/>
        </w:rPr>
        <w:t>onation is not a mere formality”</w:t>
      </w:r>
      <w:r w:rsidRPr="005610D1">
        <w:rPr>
          <w:rFonts w:ascii="Arial" w:hAnsi="Arial" w:cs="Arial"/>
          <w:sz w:val="22"/>
          <w:szCs w:val="22"/>
        </w:rPr>
        <w:t xml:space="preserve"> (at para 12) and that it must be launched as soon as a litigant becomes aware that there has been a failure to comply with the rules (at para 12). The affidavit accompanying the condonat</w:t>
      </w:r>
      <w:r>
        <w:rPr>
          <w:rFonts w:ascii="Arial" w:hAnsi="Arial" w:cs="Arial"/>
          <w:sz w:val="22"/>
          <w:szCs w:val="22"/>
        </w:rPr>
        <w:t>ion application must set out a “full, detailed and accurate”</w:t>
      </w:r>
      <w:r w:rsidRPr="005610D1">
        <w:rPr>
          <w:rFonts w:ascii="Arial" w:hAnsi="Arial" w:cs="Arial"/>
          <w:sz w:val="22"/>
          <w:szCs w:val="22"/>
        </w:rPr>
        <w:t xml:space="preserve"> (at para 13) explanation for the failure to comply with the rules.</w:t>
      </w:r>
    </w:p>
    <w:p w:rsidR="005610D1" w:rsidRPr="005610D1" w:rsidRDefault="005610D1" w:rsidP="005610D1">
      <w:pPr>
        <w:spacing w:line="360" w:lineRule="auto"/>
        <w:ind w:left="720"/>
        <w:jc w:val="both"/>
        <w:rPr>
          <w:rFonts w:ascii="Arial" w:hAnsi="Arial" w:cs="Arial"/>
          <w:sz w:val="22"/>
          <w:szCs w:val="22"/>
        </w:rPr>
      </w:pPr>
    </w:p>
    <w:p w:rsidR="005610D1" w:rsidRPr="005610D1" w:rsidRDefault="005610D1" w:rsidP="005610D1">
      <w:pPr>
        <w:spacing w:line="360" w:lineRule="auto"/>
        <w:ind w:left="720"/>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0D1">
        <w:rPr>
          <w:rFonts w:ascii="Arial" w:hAnsi="Arial" w:cs="Arial"/>
          <w:sz w:val="22"/>
          <w:szCs w:val="22"/>
        </w:rPr>
        <w:t>In determining whether to grant condon</w:t>
      </w:r>
      <w:r>
        <w:rPr>
          <w:rFonts w:ascii="Arial" w:hAnsi="Arial" w:cs="Arial"/>
          <w:sz w:val="22"/>
          <w:szCs w:val="22"/>
        </w:rPr>
        <w:t xml:space="preserve">ation, a court will consider </w:t>
      </w:r>
      <w:r w:rsidRPr="005610D1">
        <w:rPr>
          <w:rFonts w:ascii="Arial" w:hAnsi="Arial" w:cs="Arial"/>
          <w:sz w:val="22"/>
          <w:szCs w:val="22"/>
        </w:rPr>
        <w:t>whether the explanation is sufficient to warrant the grant of condonation, and will also consider the litigant's prospects of success o</w:t>
      </w:r>
      <w:r>
        <w:rPr>
          <w:rFonts w:ascii="Arial" w:hAnsi="Arial" w:cs="Arial"/>
          <w:sz w:val="22"/>
          <w:szCs w:val="22"/>
        </w:rPr>
        <w:t>n the merits, save in cases of “flagrant”</w:t>
      </w:r>
      <w:r w:rsidRPr="005610D1">
        <w:rPr>
          <w:rFonts w:ascii="Arial" w:hAnsi="Arial" w:cs="Arial"/>
          <w:sz w:val="22"/>
          <w:szCs w:val="22"/>
        </w:rPr>
        <w:t xml:space="preserve"> non-compliance with</w:t>
      </w:r>
      <w:r>
        <w:rPr>
          <w:rFonts w:ascii="Arial" w:hAnsi="Arial" w:cs="Arial"/>
          <w:sz w:val="22"/>
          <w:szCs w:val="22"/>
        </w:rPr>
        <w:t xml:space="preserve"> the rules which demonstrate a “</w:t>
      </w:r>
      <w:r w:rsidRPr="005610D1">
        <w:rPr>
          <w:rFonts w:ascii="Arial" w:hAnsi="Arial" w:cs="Arial"/>
          <w:sz w:val="22"/>
          <w:szCs w:val="22"/>
        </w:rPr>
        <w:t>glaring and inexplicable di</w:t>
      </w:r>
      <w:r>
        <w:rPr>
          <w:rFonts w:ascii="Arial" w:hAnsi="Arial" w:cs="Arial"/>
          <w:sz w:val="22"/>
          <w:szCs w:val="22"/>
        </w:rPr>
        <w:t>sregard”</w:t>
      </w:r>
      <w:r w:rsidRPr="005610D1">
        <w:rPr>
          <w:rFonts w:ascii="Arial" w:hAnsi="Arial" w:cs="Arial"/>
          <w:sz w:val="22"/>
          <w:szCs w:val="22"/>
        </w:rPr>
        <w:t xml:space="preserve"> for the processes of the court (</w:t>
      </w:r>
      <w:r w:rsidRPr="005610D1">
        <w:rPr>
          <w:rFonts w:ascii="Arial" w:hAnsi="Arial" w:cs="Arial"/>
          <w:i/>
          <w:sz w:val="22"/>
          <w:szCs w:val="22"/>
        </w:rPr>
        <w:t>Beukes</w:t>
      </w:r>
      <w:r w:rsidRPr="005610D1">
        <w:rPr>
          <w:rFonts w:ascii="Arial" w:hAnsi="Arial" w:cs="Arial"/>
          <w:sz w:val="22"/>
          <w:szCs w:val="22"/>
        </w:rPr>
        <w:t xml:space="preserve"> at para 20).</w:t>
      </w:r>
      <w:r>
        <w:rPr>
          <w:rFonts w:ascii="Arial" w:hAnsi="Arial" w:cs="Arial"/>
          <w:sz w:val="22"/>
          <w:szCs w:val="22"/>
        </w:rPr>
        <w:t>’</w:t>
      </w:r>
    </w:p>
    <w:p w:rsidR="005610D1" w:rsidRDefault="005610D1" w:rsidP="005610D1">
      <w:pPr>
        <w:spacing w:line="360" w:lineRule="auto"/>
        <w:jc w:val="both"/>
        <w:rPr>
          <w:rFonts w:ascii="Arial" w:hAnsi="Arial" w:cs="Arial"/>
          <w:sz w:val="22"/>
          <w:szCs w:val="22"/>
        </w:rPr>
      </w:pPr>
    </w:p>
    <w:p w:rsidR="005610D1" w:rsidRDefault="005610D1" w:rsidP="005610D1">
      <w:pPr>
        <w:spacing w:line="360" w:lineRule="auto"/>
        <w:jc w:val="both"/>
        <w:rPr>
          <w:rFonts w:ascii="Arial" w:hAnsi="Arial" w:cs="Arial"/>
        </w:rPr>
      </w:pPr>
      <w:r>
        <w:rPr>
          <w:rFonts w:ascii="Arial" w:hAnsi="Arial" w:cs="Arial"/>
        </w:rPr>
        <w:t>[</w:t>
      </w:r>
      <w:r w:rsidR="006D6F55">
        <w:rPr>
          <w:rFonts w:ascii="Arial" w:hAnsi="Arial" w:cs="Arial"/>
        </w:rPr>
        <w:t>5</w:t>
      </w:r>
      <w:r>
        <w:rPr>
          <w:rFonts w:ascii="Arial" w:hAnsi="Arial" w:cs="Arial"/>
        </w:rPr>
        <w:t>]</w:t>
      </w:r>
      <w:r>
        <w:rPr>
          <w:rFonts w:ascii="Arial" w:hAnsi="Arial" w:cs="Arial"/>
        </w:rPr>
        <w:tab/>
      </w:r>
      <w:r w:rsidR="00D16E3B">
        <w:rPr>
          <w:rFonts w:ascii="Arial" w:hAnsi="Arial" w:cs="Arial"/>
        </w:rPr>
        <w:t xml:space="preserve">From the above </w:t>
      </w:r>
      <w:r w:rsidR="007570BA">
        <w:rPr>
          <w:rFonts w:ascii="Arial" w:hAnsi="Arial" w:cs="Arial"/>
        </w:rPr>
        <w:t xml:space="preserve">quote </w:t>
      </w:r>
      <w:r w:rsidR="00D16E3B">
        <w:rPr>
          <w:rFonts w:ascii="Arial" w:hAnsi="Arial" w:cs="Arial"/>
        </w:rPr>
        <w:t xml:space="preserve">it is thus clear that an application for condonation </w:t>
      </w:r>
      <w:r w:rsidR="007570BA">
        <w:rPr>
          <w:rFonts w:ascii="Arial" w:hAnsi="Arial" w:cs="Arial"/>
        </w:rPr>
        <w:t>must be launched</w:t>
      </w:r>
      <w:r w:rsidR="00D16E3B">
        <w:rPr>
          <w:rFonts w:ascii="Arial" w:hAnsi="Arial" w:cs="Arial"/>
        </w:rPr>
        <w:t xml:space="preserve"> without delay and the applicant is firstly required to provide a full, detailed and accurate explanation for the period of the delay, including the timing of the application for condonation</w:t>
      </w:r>
      <w:r w:rsidR="00D16E3B">
        <w:rPr>
          <w:rStyle w:val="FootnoteReference"/>
          <w:rFonts w:ascii="Arial" w:hAnsi="Arial" w:cs="Arial"/>
        </w:rPr>
        <w:footnoteReference w:id="3"/>
      </w:r>
      <w:r w:rsidR="00D16E3B">
        <w:rPr>
          <w:rFonts w:ascii="Arial" w:hAnsi="Arial" w:cs="Arial"/>
        </w:rPr>
        <w:t>; secondly, satisfy the court that there are reasonable prospects of success on appeal.</w:t>
      </w:r>
      <w:r w:rsidR="00D16E3B">
        <w:rPr>
          <w:rStyle w:val="FootnoteReference"/>
          <w:rFonts w:ascii="Arial" w:hAnsi="Arial" w:cs="Arial"/>
        </w:rPr>
        <w:footnoteReference w:id="4"/>
      </w:r>
      <w:r w:rsidR="00D16E3B">
        <w:rPr>
          <w:rFonts w:ascii="Arial" w:hAnsi="Arial" w:cs="Arial"/>
        </w:rPr>
        <w:t xml:space="preserve"> </w:t>
      </w:r>
    </w:p>
    <w:p w:rsidR="00D16E3B" w:rsidRDefault="00D16E3B" w:rsidP="005610D1">
      <w:pPr>
        <w:spacing w:line="360" w:lineRule="auto"/>
        <w:jc w:val="both"/>
        <w:rPr>
          <w:rFonts w:ascii="Arial" w:hAnsi="Arial" w:cs="Arial"/>
        </w:rPr>
      </w:pPr>
    </w:p>
    <w:p w:rsidR="00D16E3B" w:rsidRPr="00D16E3B" w:rsidRDefault="00D16E3B" w:rsidP="005610D1">
      <w:pPr>
        <w:spacing w:line="360" w:lineRule="auto"/>
        <w:jc w:val="both"/>
        <w:rPr>
          <w:rFonts w:ascii="Arial" w:hAnsi="Arial" w:cs="Arial"/>
          <w:i/>
        </w:rPr>
      </w:pPr>
      <w:r>
        <w:rPr>
          <w:rFonts w:ascii="Arial" w:hAnsi="Arial" w:cs="Arial"/>
          <w:i/>
        </w:rPr>
        <w:t>The Condonation Application</w:t>
      </w:r>
    </w:p>
    <w:p w:rsidR="005610D1" w:rsidRDefault="00D16E3B" w:rsidP="00AF038A">
      <w:pPr>
        <w:spacing w:line="360" w:lineRule="auto"/>
        <w:jc w:val="both"/>
        <w:rPr>
          <w:rFonts w:ascii="Arial" w:hAnsi="Arial" w:cs="Arial"/>
        </w:rPr>
      </w:pPr>
      <w:r>
        <w:rPr>
          <w:rFonts w:ascii="Arial" w:hAnsi="Arial" w:cs="Arial"/>
        </w:rPr>
        <w:t>[</w:t>
      </w:r>
      <w:r w:rsidR="006D6F55">
        <w:rPr>
          <w:rFonts w:ascii="Arial" w:hAnsi="Arial" w:cs="Arial"/>
        </w:rPr>
        <w:t>6</w:t>
      </w:r>
      <w:r>
        <w:rPr>
          <w:rFonts w:ascii="Arial" w:hAnsi="Arial" w:cs="Arial"/>
        </w:rPr>
        <w:t>]</w:t>
      </w:r>
      <w:r>
        <w:rPr>
          <w:rFonts w:ascii="Arial" w:hAnsi="Arial" w:cs="Arial"/>
        </w:rPr>
        <w:tab/>
      </w:r>
      <w:r w:rsidR="008B47E6">
        <w:rPr>
          <w:rFonts w:ascii="Arial" w:hAnsi="Arial" w:cs="Arial"/>
        </w:rPr>
        <w:t>With regards to applicant filing the application for leave to appeal outside the prescribed time limit, she advanced the following reasons: Subsequent to her being sentenced on the 31</w:t>
      </w:r>
      <w:r w:rsidR="008B47E6" w:rsidRPr="008B47E6">
        <w:rPr>
          <w:rFonts w:ascii="Arial" w:hAnsi="Arial" w:cs="Arial"/>
          <w:vertAlign w:val="superscript"/>
        </w:rPr>
        <w:t>st</w:t>
      </w:r>
      <w:r w:rsidR="008B47E6">
        <w:rPr>
          <w:rFonts w:ascii="Arial" w:hAnsi="Arial" w:cs="Arial"/>
        </w:rPr>
        <w:t xml:space="preserve"> July 2019, she instructed her erstwhile legal representative, Mr Namandje, that she sought leave to appeal against her conviction to which the response was that she had to put them in funds in order to file the application. Being without the required funds, she, without delay, approached entities and people for assistance</w:t>
      </w:r>
      <w:r w:rsidR="00F93F56">
        <w:rPr>
          <w:rFonts w:ascii="Arial" w:hAnsi="Arial" w:cs="Arial"/>
        </w:rPr>
        <w:t>. Having secured funding commitment</w:t>
      </w:r>
      <w:r w:rsidR="007570BA">
        <w:rPr>
          <w:rFonts w:ascii="Arial" w:hAnsi="Arial" w:cs="Arial"/>
        </w:rPr>
        <w:t>s</w:t>
      </w:r>
      <w:r w:rsidR="00F93F56">
        <w:rPr>
          <w:rFonts w:ascii="Arial" w:hAnsi="Arial" w:cs="Arial"/>
        </w:rPr>
        <w:t xml:space="preserve"> on or about the 12</w:t>
      </w:r>
      <w:r w:rsidR="00F93F56" w:rsidRPr="00F93F56">
        <w:rPr>
          <w:rFonts w:ascii="Arial" w:hAnsi="Arial" w:cs="Arial"/>
          <w:vertAlign w:val="superscript"/>
        </w:rPr>
        <w:t>th</w:t>
      </w:r>
      <w:r w:rsidR="00F93F56">
        <w:rPr>
          <w:rFonts w:ascii="Arial" w:hAnsi="Arial" w:cs="Arial"/>
        </w:rPr>
        <w:t xml:space="preserve"> September 2019, she returned to her l</w:t>
      </w:r>
      <w:r w:rsidR="006D6F55">
        <w:rPr>
          <w:rFonts w:ascii="Arial" w:hAnsi="Arial" w:cs="Arial"/>
        </w:rPr>
        <w:t>egal representative</w:t>
      </w:r>
      <w:r w:rsidR="00F93F56">
        <w:rPr>
          <w:rFonts w:ascii="Arial" w:hAnsi="Arial" w:cs="Arial"/>
        </w:rPr>
        <w:t xml:space="preserve"> but learned that he could not assist due to outstanding trial fees. In light thereof, she solicited her current attorneys of record, MKK Inc. with the instruction to brief Adv. Barry Roux </w:t>
      </w:r>
      <w:r w:rsidR="007570BA">
        <w:rPr>
          <w:rFonts w:ascii="Arial" w:hAnsi="Arial" w:cs="Arial"/>
        </w:rPr>
        <w:t xml:space="preserve">(SC) </w:t>
      </w:r>
      <w:r w:rsidR="00F93F56">
        <w:rPr>
          <w:rFonts w:ascii="Arial" w:hAnsi="Arial" w:cs="Arial"/>
        </w:rPr>
        <w:t>from South Africa. As for the prospects of success on appeal, applicant relies on the grounds</w:t>
      </w:r>
      <w:r w:rsidR="007570BA">
        <w:rPr>
          <w:rFonts w:ascii="Arial" w:hAnsi="Arial" w:cs="Arial"/>
        </w:rPr>
        <w:t xml:space="preserve"> set out in the notice</w:t>
      </w:r>
      <w:r w:rsidR="00EE1C64">
        <w:rPr>
          <w:rFonts w:ascii="Arial" w:hAnsi="Arial" w:cs="Arial"/>
        </w:rPr>
        <w:t xml:space="preserve"> filed</w:t>
      </w:r>
      <w:r w:rsidR="00F93F56">
        <w:rPr>
          <w:rFonts w:ascii="Arial" w:hAnsi="Arial" w:cs="Arial"/>
        </w:rPr>
        <w:t>. It is</w:t>
      </w:r>
      <w:r w:rsidR="00942841">
        <w:rPr>
          <w:rFonts w:ascii="Arial" w:hAnsi="Arial" w:cs="Arial"/>
        </w:rPr>
        <w:t xml:space="preserve"> finally</w:t>
      </w:r>
      <w:r w:rsidR="00F93F56">
        <w:rPr>
          <w:rFonts w:ascii="Arial" w:hAnsi="Arial" w:cs="Arial"/>
        </w:rPr>
        <w:t xml:space="preserve"> submitted that the delay in filing the application is not substantial and </w:t>
      </w:r>
      <w:r w:rsidR="00EE1C64">
        <w:rPr>
          <w:rFonts w:ascii="Arial" w:hAnsi="Arial" w:cs="Arial"/>
        </w:rPr>
        <w:t xml:space="preserve">that it </w:t>
      </w:r>
      <w:r w:rsidR="00F93F56">
        <w:rPr>
          <w:rFonts w:ascii="Arial" w:hAnsi="Arial" w:cs="Arial"/>
        </w:rPr>
        <w:t>caused no prejudice to the respondent.</w:t>
      </w:r>
    </w:p>
    <w:p w:rsidR="00942841" w:rsidRDefault="00942841" w:rsidP="00AF038A">
      <w:pPr>
        <w:spacing w:line="360" w:lineRule="auto"/>
        <w:jc w:val="both"/>
        <w:rPr>
          <w:rFonts w:ascii="Arial" w:hAnsi="Arial" w:cs="Arial"/>
        </w:rPr>
      </w:pPr>
    </w:p>
    <w:p w:rsidR="00942841" w:rsidRDefault="00942841" w:rsidP="00AF038A">
      <w:pPr>
        <w:spacing w:line="360" w:lineRule="auto"/>
        <w:jc w:val="both"/>
        <w:rPr>
          <w:rFonts w:ascii="Arial" w:hAnsi="Arial" w:cs="Arial"/>
        </w:rPr>
      </w:pPr>
      <w:r>
        <w:rPr>
          <w:rFonts w:ascii="Arial" w:hAnsi="Arial" w:cs="Arial"/>
        </w:rPr>
        <w:t>[</w:t>
      </w:r>
      <w:r w:rsidR="006D6F55">
        <w:rPr>
          <w:rFonts w:ascii="Arial" w:hAnsi="Arial" w:cs="Arial"/>
        </w:rPr>
        <w:t>7</w:t>
      </w:r>
      <w:r>
        <w:rPr>
          <w:rFonts w:ascii="Arial" w:hAnsi="Arial" w:cs="Arial"/>
        </w:rPr>
        <w:t>]</w:t>
      </w:r>
      <w:r>
        <w:rPr>
          <w:rFonts w:ascii="Arial" w:hAnsi="Arial" w:cs="Arial"/>
        </w:rPr>
        <w:tab/>
        <w:t>The respondent in opposition of the application submitted that in light of the court’s earlier finding that the applicant did not take the court fully into her confidence as regards her financial circumstances, it was imperative for her to have filed a supporting aff</w:t>
      </w:r>
      <w:r w:rsidR="00B613E6">
        <w:rPr>
          <w:rFonts w:ascii="Arial" w:hAnsi="Arial" w:cs="Arial"/>
        </w:rPr>
        <w:t>idavit from her erstwhile counsel</w:t>
      </w:r>
      <w:r>
        <w:rPr>
          <w:rFonts w:ascii="Arial" w:hAnsi="Arial" w:cs="Arial"/>
        </w:rPr>
        <w:t xml:space="preserve">. In the absence thereof, counsel argued, this was not about financial constraints, but rather that applicant never intended appealing her conviction which only now comes as an afterthought. </w:t>
      </w:r>
    </w:p>
    <w:p w:rsidR="00B613E6" w:rsidRDefault="00B613E6" w:rsidP="00AF038A">
      <w:pPr>
        <w:spacing w:line="360" w:lineRule="auto"/>
        <w:jc w:val="both"/>
        <w:rPr>
          <w:rFonts w:ascii="Arial" w:hAnsi="Arial" w:cs="Arial"/>
        </w:rPr>
      </w:pPr>
    </w:p>
    <w:p w:rsidR="00B613E6" w:rsidRDefault="00B613E6" w:rsidP="00AF038A">
      <w:pPr>
        <w:spacing w:line="360" w:lineRule="auto"/>
        <w:jc w:val="both"/>
        <w:rPr>
          <w:rFonts w:ascii="Arial" w:hAnsi="Arial" w:cs="Arial"/>
        </w:rPr>
      </w:pPr>
      <w:r>
        <w:rPr>
          <w:rFonts w:ascii="Arial" w:hAnsi="Arial" w:cs="Arial"/>
        </w:rPr>
        <w:t>[</w:t>
      </w:r>
      <w:r w:rsidR="006D6F55">
        <w:rPr>
          <w:rFonts w:ascii="Arial" w:hAnsi="Arial" w:cs="Arial"/>
        </w:rPr>
        <w:t>8</w:t>
      </w:r>
      <w:r>
        <w:rPr>
          <w:rFonts w:ascii="Arial" w:hAnsi="Arial" w:cs="Arial"/>
        </w:rPr>
        <w:t>]</w:t>
      </w:r>
      <w:r>
        <w:rPr>
          <w:rFonts w:ascii="Arial" w:hAnsi="Arial" w:cs="Arial"/>
        </w:rPr>
        <w:tab/>
        <w:t xml:space="preserve">Mr </w:t>
      </w:r>
      <w:r>
        <w:rPr>
          <w:rFonts w:ascii="Arial" w:hAnsi="Arial" w:cs="Arial"/>
          <w:i/>
        </w:rPr>
        <w:t xml:space="preserve">Roux </w:t>
      </w:r>
      <w:r>
        <w:rPr>
          <w:rFonts w:ascii="Arial" w:hAnsi="Arial" w:cs="Arial"/>
        </w:rPr>
        <w:t>during oral submissions contended that because the respondent did not file an affidavit in which is set out the grounds and proper basis on which the credibility of the applicant is now attacked and questioned, applicant would have been in a position to reply thereto and considered the need to fil</w:t>
      </w:r>
      <w:r w:rsidR="00EE1C64">
        <w:rPr>
          <w:rFonts w:ascii="Arial" w:hAnsi="Arial" w:cs="Arial"/>
        </w:rPr>
        <w:t>e any further affidavits. N</w:t>
      </w:r>
      <w:r>
        <w:rPr>
          <w:rFonts w:ascii="Arial" w:hAnsi="Arial" w:cs="Arial"/>
        </w:rPr>
        <w:t>otwithstandin</w:t>
      </w:r>
      <w:r w:rsidR="00EE1C64">
        <w:rPr>
          <w:rFonts w:ascii="Arial" w:hAnsi="Arial" w:cs="Arial"/>
        </w:rPr>
        <w:t>g, from applicant’s perspective</w:t>
      </w:r>
      <w:r>
        <w:rPr>
          <w:rFonts w:ascii="Arial" w:hAnsi="Arial" w:cs="Arial"/>
        </w:rPr>
        <w:t xml:space="preserve"> this was not an instance where the conduct of her attorney is material, but</w:t>
      </w:r>
      <w:r w:rsidR="003E3A41">
        <w:rPr>
          <w:rFonts w:ascii="Arial" w:hAnsi="Arial" w:cs="Arial"/>
        </w:rPr>
        <w:t xml:space="preserve"> merely the applicant being without funds to launch the application in time.</w:t>
      </w:r>
    </w:p>
    <w:p w:rsidR="003E3A41" w:rsidRDefault="003E3A41" w:rsidP="00AF038A">
      <w:pPr>
        <w:spacing w:line="360" w:lineRule="auto"/>
        <w:jc w:val="both"/>
        <w:rPr>
          <w:rFonts w:ascii="Arial" w:hAnsi="Arial" w:cs="Arial"/>
        </w:rPr>
      </w:pPr>
    </w:p>
    <w:p w:rsidR="003E3A41" w:rsidRDefault="003E3A41" w:rsidP="00AF038A">
      <w:pPr>
        <w:spacing w:line="360" w:lineRule="auto"/>
        <w:jc w:val="both"/>
        <w:rPr>
          <w:rFonts w:ascii="Arial" w:hAnsi="Arial" w:cs="Arial"/>
        </w:rPr>
      </w:pPr>
      <w:r>
        <w:rPr>
          <w:rFonts w:ascii="Arial" w:hAnsi="Arial" w:cs="Arial"/>
        </w:rPr>
        <w:t>[</w:t>
      </w:r>
      <w:r w:rsidR="006D6F55">
        <w:rPr>
          <w:rFonts w:ascii="Arial" w:hAnsi="Arial" w:cs="Arial"/>
        </w:rPr>
        <w:t>9</w:t>
      </w:r>
      <w:r>
        <w:rPr>
          <w:rFonts w:ascii="Arial" w:hAnsi="Arial" w:cs="Arial"/>
        </w:rPr>
        <w:t>]</w:t>
      </w:r>
      <w:r>
        <w:rPr>
          <w:rFonts w:ascii="Arial" w:hAnsi="Arial" w:cs="Arial"/>
        </w:rPr>
        <w:tab/>
        <w:t xml:space="preserve">Mr </w:t>
      </w:r>
      <w:r>
        <w:rPr>
          <w:rFonts w:ascii="Arial" w:hAnsi="Arial" w:cs="Arial"/>
          <w:i/>
        </w:rPr>
        <w:t xml:space="preserve">Marondedze, </w:t>
      </w:r>
      <w:r>
        <w:rPr>
          <w:rFonts w:ascii="Arial" w:hAnsi="Arial" w:cs="Arial"/>
        </w:rPr>
        <w:t>for the respondent, argued that the state from the outset indicated that it would oppose the condonation application as well as the application for leave to appeal</w:t>
      </w:r>
      <w:r w:rsidR="00EE1C64">
        <w:rPr>
          <w:rFonts w:ascii="Arial" w:hAnsi="Arial" w:cs="Arial"/>
        </w:rPr>
        <w:t>.</w:t>
      </w:r>
      <w:r>
        <w:rPr>
          <w:rFonts w:ascii="Arial" w:hAnsi="Arial" w:cs="Arial"/>
        </w:rPr>
        <w:t xml:space="preserve"> </w:t>
      </w:r>
      <w:r w:rsidR="00EE1C64">
        <w:rPr>
          <w:rFonts w:ascii="Arial" w:hAnsi="Arial" w:cs="Arial"/>
        </w:rPr>
        <w:t xml:space="preserve">Thus, </w:t>
      </w:r>
      <w:r>
        <w:rPr>
          <w:rFonts w:ascii="Arial" w:hAnsi="Arial" w:cs="Arial"/>
        </w:rPr>
        <w:t>applicant and her attorney knew what they were supposed to do to carry the indu</w:t>
      </w:r>
      <w:r w:rsidR="00EE1C64">
        <w:rPr>
          <w:rFonts w:ascii="Arial" w:hAnsi="Arial" w:cs="Arial"/>
        </w:rPr>
        <w:t>lgence of the court. It was therefore</w:t>
      </w:r>
      <w:r>
        <w:rPr>
          <w:rFonts w:ascii="Arial" w:hAnsi="Arial" w:cs="Arial"/>
        </w:rPr>
        <w:t xml:space="preserve"> </w:t>
      </w:r>
      <w:r w:rsidR="00EE1C64">
        <w:rPr>
          <w:rFonts w:ascii="Arial" w:hAnsi="Arial" w:cs="Arial"/>
        </w:rPr>
        <w:t xml:space="preserve">not </w:t>
      </w:r>
      <w:r>
        <w:rPr>
          <w:rFonts w:ascii="Arial" w:hAnsi="Arial" w:cs="Arial"/>
        </w:rPr>
        <w:t xml:space="preserve">dependent upon any response by the respondent what applicant should do </w:t>
      </w:r>
      <w:r w:rsidR="006A02A5">
        <w:rPr>
          <w:rFonts w:ascii="Arial" w:hAnsi="Arial" w:cs="Arial"/>
        </w:rPr>
        <w:t>to move the court to condon</w:t>
      </w:r>
      <w:r w:rsidR="00EE1C64">
        <w:rPr>
          <w:rFonts w:ascii="Arial" w:hAnsi="Arial" w:cs="Arial"/>
        </w:rPr>
        <w:t>e her</w:t>
      </w:r>
      <w:r>
        <w:rPr>
          <w:rFonts w:ascii="Arial" w:hAnsi="Arial" w:cs="Arial"/>
        </w:rPr>
        <w:t xml:space="preserve"> non-compliance </w:t>
      </w:r>
      <w:r w:rsidR="006A02A5">
        <w:rPr>
          <w:rFonts w:ascii="Arial" w:hAnsi="Arial" w:cs="Arial"/>
        </w:rPr>
        <w:t>with the rules. With regards to applicant’s failure to file a supporting affidavit from her former counsel, this was for purposes of showing that the averments made by the applicant were correct and is not aimed at the conduct of counsel. What su</w:t>
      </w:r>
      <w:r w:rsidR="00EE1C64">
        <w:rPr>
          <w:rFonts w:ascii="Arial" w:hAnsi="Arial" w:cs="Arial"/>
        </w:rPr>
        <w:t>ch affidavit should have stated</w:t>
      </w:r>
      <w:r w:rsidR="006A02A5">
        <w:rPr>
          <w:rFonts w:ascii="Arial" w:hAnsi="Arial" w:cs="Arial"/>
        </w:rPr>
        <w:t xml:space="preserve"> is that</w:t>
      </w:r>
      <w:r w:rsidR="00EE1C64">
        <w:rPr>
          <w:rFonts w:ascii="Arial" w:hAnsi="Arial" w:cs="Arial"/>
        </w:rPr>
        <w:t xml:space="preserve"> upon finalisation of the trial</w:t>
      </w:r>
      <w:r w:rsidR="006A02A5">
        <w:rPr>
          <w:rFonts w:ascii="Arial" w:hAnsi="Arial" w:cs="Arial"/>
        </w:rPr>
        <w:t xml:space="preserve"> the applicant instructed him that she sought leave to appeal</w:t>
      </w:r>
      <w:r w:rsidR="00EE1C64">
        <w:rPr>
          <w:rFonts w:ascii="Arial" w:hAnsi="Arial" w:cs="Arial"/>
        </w:rPr>
        <w:t>,</w:t>
      </w:r>
      <w:r w:rsidR="006A02A5">
        <w:rPr>
          <w:rFonts w:ascii="Arial" w:hAnsi="Arial" w:cs="Arial"/>
        </w:rPr>
        <w:t xml:space="preserve"> but that he was unwilling to </w:t>
      </w:r>
      <w:r w:rsidR="00172505">
        <w:rPr>
          <w:rFonts w:ascii="Arial" w:hAnsi="Arial" w:cs="Arial"/>
        </w:rPr>
        <w:t>take the instruction because he had not been put in funds</w:t>
      </w:r>
      <w:r w:rsidR="006A02A5">
        <w:rPr>
          <w:rFonts w:ascii="Arial" w:hAnsi="Arial" w:cs="Arial"/>
        </w:rPr>
        <w:t>.</w:t>
      </w:r>
      <w:r w:rsidR="00172505">
        <w:rPr>
          <w:rFonts w:ascii="Arial" w:hAnsi="Arial" w:cs="Arial"/>
        </w:rPr>
        <w:t xml:space="preserve"> Against this background where the applicant’s financial means at the stage of sentence already became an issue and the court e</w:t>
      </w:r>
      <w:r w:rsidR="00EE1C64">
        <w:rPr>
          <w:rFonts w:ascii="Arial" w:hAnsi="Arial" w:cs="Arial"/>
        </w:rPr>
        <w:t>xpressed the view that the applicant</w:t>
      </w:r>
      <w:r w:rsidR="00172505">
        <w:rPr>
          <w:rFonts w:ascii="Arial" w:hAnsi="Arial" w:cs="Arial"/>
        </w:rPr>
        <w:t xml:space="preserve"> painted a distorted picture with regards to her financial means, it was argue</w:t>
      </w:r>
      <w:r w:rsidR="00FF557E">
        <w:rPr>
          <w:rFonts w:ascii="Arial" w:hAnsi="Arial" w:cs="Arial"/>
        </w:rPr>
        <w:t>d</w:t>
      </w:r>
      <w:r w:rsidR="00172505">
        <w:rPr>
          <w:rFonts w:ascii="Arial" w:hAnsi="Arial" w:cs="Arial"/>
        </w:rPr>
        <w:t xml:space="preserve"> that applicant was neither forthcoming in the current application for condonation.</w:t>
      </w:r>
    </w:p>
    <w:p w:rsidR="00172505" w:rsidRDefault="00172505" w:rsidP="00AF038A">
      <w:pPr>
        <w:spacing w:line="360" w:lineRule="auto"/>
        <w:jc w:val="both"/>
        <w:rPr>
          <w:rFonts w:ascii="Arial" w:hAnsi="Arial" w:cs="Arial"/>
        </w:rPr>
      </w:pPr>
    </w:p>
    <w:p w:rsidR="001A5B5E" w:rsidRDefault="00172505" w:rsidP="00AF038A">
      <w:pPr>
        <w:spacing w:line="360" w:lineRule="auto"/>
        <w:jc w:val="both"/>
        <w:rPr>
          <w:rFonts w:ascii="Arial" w:hAnsi="Arial" w:cs="Arial"/>
        </w:rPr>
      </w:pPr>
      <w:r>
        <w:rPr>
          <w:rFonts w:ascii="Arial" w:hAnsi="Arial" w:cs="Arial"/>
        </w:rPr>
        <w:t>[</w:t>
      </w:r>
      <w:r w:rsidR="006D6F55">
        <w:rPr>
          <w:rFonts w:ascii="Arial" w:hAnsi="Arial" w:cs="Arial"/>
        </w:rPr>
        <w:t>10</w:t>
      </w:r>
      <w:r>
        <w:rPr>
          <w:rFonts w:ascii="Arial" w:hAnsi="Arial" w:cs="Arial"/>
        </w:rPr>
        <w:t>]</w:t>
      </w:r>
      <w:r>
        <w:rPr>
          <w:rFonts w:ascii="Arial" w:hAnsi="Arial" w:cs="Arial"/>
        </w:rPr>
        <w:tab/>
      </w:r>
      <w:r w:rsidR="008917BD">
        <w:rPr>
          <w:rFonts w:ascii="Arial" w:hAnsi="Arial" w:cs="Arial"/>
        </w:rPr>
        <w:t xml:space="preserve">It seems necessary to briefly revert to the judgment on sentence and more specifically at paras 9 and 10 </w:t>
      </w:r>
      <w:r w:rsidR="00EE1C64">
        <w:rPr>
          <w:rFonts w:ascii="Arial" w:hAnsi="Arial" w:cs="Arial"/>
        </w:rPr>
        <w:t xml:space="preserve">thereof </w:t>
      </w:r>
      <w:r w:rsidR="008917BD">
        <w:rPr>
          <w:rFonts w:ascii="Arial" w:hAnsi="Arial" w:cs="Arial"/>
        </w:rPr>
        <w:t xml:space="preserve">where the financial position of the applicant was </w:t>
      </w:r>
      <w:r w:rsidR="008917BD">
        <w:rPr>
          <w:rFonts w:ascii="Arial" w:hAnsi="Arial" w:cs="Arial"/>
        </w:rPr>
        <w:lastRenderedPageBreak/>
        <w:t>considered. As stated, the message conveyed by</w:t>
      </w:r>
      <w:r w:rsidR="00EE1C64">
        <w:rPr>
          <w:rFonts w:ascii="Arial" w:hAnsi="Arial" w:cs="Arial"/>
        </w:rPr>
        <w:t xml:space="preserve"> the applicant at that stage was one where she wa</w:t>
      </w:r>
      <w:r w:rsidR="008917BD">
        <w:rPr>
          <w:rFonts w:ascii="Arial" w:hAnsi="Arial" w:cs="Arial"/>
        </w:rPr>
        <w:t>s ‘financially strong and in a position to pay her own legal costs; at least, she is not relying on help from outside’. Contrary thereto, in the curren</w:t>
      </w:r>
      <w:r w:rsidR="00EE1C64">
        <w:rPr>
          <w:rFonts w:ascii="Arial" w:hAnsi="Arial" w:cs="Arial"/>
        </w:rPr>
        <w:t>t application the applicant states</w:t>
      </w:r>
      <w:r w:rsidR="008917BD">
        <w:rPr>
          <w:rFonts w:ascii="Arial" w:hAnsi="Arial" w:cs="Arial"/>
        </w:rPr>
        <w:t xml:space="preserve"> under oath that by the time she obtained a firm commitment </w:t>
      </w:r>
      <w:r w:rsidR="00DE5761">
        <w:rPr>
          <w:rFonts w:ascii="Arial" w:hAnsi="Arial" w:cs="Arial"/>
        </w:rPr>
        <w:t>(</w:t>
      </w:r>
      <w:r w:rsidR="008917BD">
        <w:rPr>
          <w:rFonts w:ascii="Arial" w:hAnsi="Arial" w:cs="Arial"/>
        </w:rPr>
        <w:t>from somewhere</w:t>
      </w:r>
      <w:r w:rsidR="00DE5761">
        <w:rPr>
          <w:rFonts w:ascii="Arial" w:hAnsi="Arial" w:cs="Arial"/>
        </w:rPr>
        <w:t xml:space="preserve"> or someone unknown)</w:t>
      </w:r>
      <w:r w:rsidR="008917BD">
        <w:rPr>
          <w:rFonts w:ascii="Arial" w:hAnsi="Arial" w:cs="Arial"/>
        </w:rPr>
        <w:t xml:space="preserve"> to cover the costs of the application before court, she was turned away by Mr </w:t>
      </w:r>
      <w:r w:rsidR="008917BD" w:rsidRPr="00EE1C64">
        <w:rPr>
          <w:rFonts w:ascii="Arial" w:hAnsi="Arial" w:cs="Arial"/>
        </w:rPr>
        <w:t>Namandje</w:t>
      </w:r>
      <w:r w:rsidR="008917BD">
        <w:rPr>
          <w:rFonts w:ascii="Arial" w:hAnsi="Arial" w:cs="Arial"/>
          <w:i/>
        </w:rPr>
        <w:t xml:space="preserve"> </w:t>
      </w:r>
      <w:r w:rsidR="008917BD">
        <w:rPr>
          <w:rFonts w:ascii="Arial" w:hAnsi="Arial" w:cs="Arial"/>
        </w:rPr>
        <w:t>due to her not having settled the outstanding trial fees.</w:t>
      </w:r>
      <w:r w:rsidR="001A5B5E">
        <w:rPr>
          <w:rFonts w:ascii="Arial" w:hAnsi="Arial" w:cs="Arial"/>
        </w:rPr>
        <w:t xml:space="preserve"> </w:t>
      </w:r>
    </w:p>
    <w:p w:rsidR="001A5B5E" w:rsidRDefault="001A5B5E" w:rsidP="00AF038A">
      <w:pPr>
        <w:spacing w:line="360" w:lineRule="auto"/>
        <w:jc w:val="both"/>
        <w:rPr>
          <w:rFonts w:ascii="Arial" w:hAnsi="Arial" w:cs="Arial"/>
        </w:rPr>
      </w:pPr>
    </w:p>
    <w:p w:rsidR="00AE0A44" w:rsidRDefault="001A5B5E" w:rsidP="00AF038A">
      <w:pPr>
        <w:spacing w:line="360" w:lineRule="auto"/>
        <w:jc w:val="both"/>
        <w:rPr>
          <w:rFonts w:ascii="Arial" w:hAnsi="Arial" w:cs="Arial"/>
        </w:rPr>
      </w:pPr>
      <w:r>
        <w:rPr>
          <w:rFonts w:ascii="Arial" w:hAnsi="Arial" w:cs="Arial"/>
        </w:rPr>
        <w:t>[</w:t>
      </w:r>
      <w:r w:rsidR="006D6F55">
        <w:rPr>
          <w:rFonts w:ascii="Arial" w:hAnsi="Arial" w:cs="Arial"/>
        </w:rPr>
        <w:t>11</w:t>
      </w:r>
      <w:r>
        <w:rPr>
          <w:rFonts w:ascii="Arial" w:hAnsi="Arial" w:cs="Arial"/>
        </w:rPr>
        <w:t>]</w:t>
      </w:r>
      <w:r>
        <w:rPr>
          <w:rFonts w:ascii="Arial" w:hAnsi="Arial" w:cs="Arial"/>
        </w:rPr>
        <w:tab/>
      </w:r>
      <w:r w:rsidR="00EE1C64">
        <w:rPr>
          <w:rFonts w:ascii="Arial" w:hAnsi="Arial" w:cs="Arial"/>
        </w:rPr>
        <w:t>Contrary to her earlier remarks t</w:t>
      </w:r>
      <w:r>
        <w:rPr>
          <w:rFonts w:ascii="Arial" w:hAnsi="Arial" w:cs="Arial"/>
        </w:rPr>
        <w:t xml:space="preserve">here is no explanation forthcoming as to what brought about the sudden change in applicant’s financial position, being the sole reason </w:t>
      </w:r>
      <w:r w:rsidR="00EE1C64">
        <w:rPr>
          <w:rFonts w:ascii="Arial" w:hAnsi="Arial" w:cs="Arial"/>
        </w:rPr>
        <w:t>now advanced as to why she filed the</w:t>
      </w:r>
      <w:r>
        <w:rPr>
          <w:rFonts w:ascii="Arial" w:hAnsi="Arial" w:cs="Arial"/>
        </w:rPr>
        <w:t xml:space="preserve"> application for leave to appeal out of time. </w:t>
      </w:r>
      <w:r w:rsidR="0093672C">
        <w:rPr>
          <w:rFonts w:ascii="Arial" w:hAnsi="Arial" w:cs="Arial"/>
        </w:rPr>
        <w:t xml:space="preserve">On her own account, unless acting </w:t>
      </w:r>
      <w:r w:rsidR="0093672C">
        <w:rPr>
          <w:rFonts w:ascii="Arial" w:hAnsi="Arial" w:cs="Arial"/>
          <w:i/>
        </w:rPr>
        <w:t xml:space="preserve">pro bono, </w:t>
      </w:r>
      <w:r w:rsidR="0093672C">
        <w:rPr>
          <w:rFonts w:ascii="Arial" w:hAnsi="Arial" w:cs="Arial"/>
        </w:rPr>
        <w:t>legal practitioners do not provide their services for free</w:t>
      </w:r>
      <w:r w:rsidR="00AE0A44">
        <w:rPr>
          <w:rFonts w:ascii="Arial" w:hAnsi="Arial" w:cs="Arial"/>
        </w:rPr>
        <w:t>.</w:t>
      </w:r>
      <w:r w:rsidR="0093672C">
        <w:rPr>
          <w:rFonts w:ascii="Arial" w:hAnsi="Arial" w:cs="Arial"/>
        </w:rPr>
        <w:t xml:space="preserve"> </w:t>
      </w:r>
      <w:r w:rsidR="00AE0A44">
        <w:rPr>
          <w:rFonts w:ascii="Arial" w:hAnsi="Arial" w:cs="Arial"/>
        </w:rPr>
        <w:t>Hence,</w:t>
      </w:r>
      <w:r w:rsidR="0093672C">
        <w:rPr>
          <w:rFonts w:ascii="Arial" w:hAnsi="Arial" w:cs="Arial"/>
        </w:rPr>
        <w:t xml:space="preserve"> a litigant who engages the services of a legal representative knows very well that it involves costs and that his/her counsel must be put in funds</w:t>
      </w:r>
      <w:r w:rsidR="00EE1C64">
        <w:rPr>
          <w:rFonts w:ascii="Arial" w:hAnsi="Arial" w:cs="Arial"/>
        </w:rPr>
        <w:t>;</w:t>
      </w:r>
      <w:r w:rsidR="00AE0A44">
        <w:rPr>
          <w:rFonts w:ascii="Arial" w:hAnsi="Arial" w:cs="Arial"/>
        </w:rPr>
        <w:t xml:space="preserve"> moreover, when opting to employ the services of senior counsel based in South Africa</w:t>
      </w:r>
      <w:r w:rsidR="0093672C">
        <w:rPr>
          <w:rFonts w:ascii="Arial" w:hAnsi="Arial" w:cs="Arial"/>
        </w:rPr>
        <w:t xml:space="preserve">. </w:t>
      </w:r>
    </w:p>
    <w:p w:rsidR="00AE0A44" w:rsidRDefault="00AE0A44" w:rsidP="00AF038A">
      <w:pPr>
        <w:spacing w:line="360" w:lineRule="auto"/>
        <w:jc w:val="both"/>
        <w:rPr>
          <w:rFonts w:ascii="Arial" w:hAnsi="Arial" w:cs="Arial"/>
        </w:rPr>
      </w:pPr>
    </w:p>
    <w:p w:rsidR="00DE1582" w:rsidRDefault="00AE0A44" w:rsidP="00AF038A">
      <w:pPr>
        <w:spacing w:line="360" w:lineRule="auto"/>
        <w:jc w:val="both"/>
        <w:rPr>
          <w:rFonts w:ascii="Arial" w:hAnsi="Arial" w:cs="Arial"/>
        </w:rPr>
      </w:pPr>
      <w:r>
        <w:rPr>
          <w:rFonts w:ascii="Arial" w:hAnsi="Arial" w:cs="Arial"/>
        </w:rPr>
        <w:t>[</w:t>
      </w:r>
      <w:r w:rsidR="006D6F55">
        <w:rPr>
          <w:rFonts w:ascii="Arial" w:hAnsi="Arial" w:cs="Arial"/>
        </w:rPr>
        <w:t>12</w:t>
      </w:r>
      <w:r>
        <w:rPr>
          <w:rFonts w:ascii="Arial" w:hAnsi="Arial" w:cs="Arial"/>
        </w:rPr>
        <w:t>]</w:t>
      </w:r>
      <w:r>
        <w:rPr>
          <w:rFonts w:ascii="Arial" w:hAnsi="Arial" w:cs="Arial"/>
        </w:rPr>
        <w:tab/>
      </w:r>
      <w:r w:rsidR="00112F2A">
        <w:rPr>
          <w:rFonts w:ascii="Arial" w:hAnsi="Arial" w:cs="Arial"/>
        </w:rPr>
        <w:t>Applicant stated on oath that she appro</w:t>
      </w:r>
      <w:r w:rsidR="00BE13C8">
        <w:rPr>
          <w:rFonts w:ascii="Arial" w:hAnsi="Arial" w:cs="Arial"/>
        </w:rPr>
        <w:t>ached her erstwhile counsel to lodge</w:t>
      </w:r>
      <w:r w:rsidR="00E81795">
        <w:rPr>
          <w:rFonts w:ascii="Arial" w:hAnsi="Arial" w:cs="Arial"/>
        </w:rPr>
        <w:t xml:space="preserve"> an</w:t>
      </w:r>
      <w:r w:rsidR="00BE13C8">
        <w:rPr>
          <w:rFonts w:ascii="Arial" w:hAnsi="Arial" w:cs="Arial"/>
        </w:rPr>
        <w:t xml:space="preserve"> appeal</w:t>
      </w:r>
      <w:r w:rsidR="00E81795">
        <w:rPr>
          <w:rFonts w:ascii="Arial" w:hAnsi="Arial" w:cs="Arial"/>
        </w:rPr>
        <w:t xml:space="preserve"> against her conviction</w:t>
      </w:r>
      <w:r w:rsidR="00BE13C8">
        <w:rPr>
          <w:rFonts w:ascii="Arial" w:hAnsi="Arial" w:cs="Arial"/>
        </w:rPr>
        <w:t>, but is silent as to the date thereof and</w:t>
      </w:r>
      <w:r w:rsidR="00E81795">
        <w:rPr>
          <w:rFonts w:ascii="Arial" w:hAnsi="Arial" w:cs="Arial"/>
        </w:rPr>
        <w:t>,</w:t>
      </w:r>
      <w:r w:rsidR="00BE13C8">
        <w:rPr>
          <w:rFonts w:ascii="Arial" w:hAnsi="Arial" w:cs="Arial"/>
        </w:rPr>
        <w:t xml:space="preserve"> particularly, whether it was still wi</w:t>
      </w:r>
      <w:r w:rsidR="00E81795">
        <w:rPr>
          <w:rFonts w:ascii="Arial" w:hAnsi="Arial" w:cs="Arial"/>
        </w:rPr>
        <w:t>thin the</w:t>
      </w:r>
      <w:r w:rsidR="00BE13C8">
        <w:rPr>
          <w:rFonts w:ascii="Arial" w:hAnsi="Arial" w:cs="Arial"/>
        </w:rPr>
        <w:t xml:space="preserve"> period </w:t>
      </w:r>
      <w:r w:rsidR="00E81795">
        <w:rPr>
          <w:rFonts w:ascii="Arial" w:hAnsi="Arial" w:cs="Arial"/>
        </w:rPr>
        <w:t xml:space="preserve">allowed </w:t>
      </w:r>
      <w:r w:rsidR="00BE13C8">
        <w:rPr>
          <w:rFonts w:ascii="Arial" w:hAnsi="Arial" w:cs="Arial"/>
        </w:rPr>
        <w:t xml:space="preserve">to file the application for leave to appeal. </w:t>
      </w:r>
      <w:r w:rsidR="00DF1006">
        <w:rPr>
          <w:rFonts w:ascii="Arial" w:hAnsi="Arial" w:cs="Arial"/>
        </w:rPr>
        <w:t>Furthermore, w</w:t>
      </w:r>
      <w:r>
        <w:rPr>
          <w:rFonts w:ascii="Arial" w:hAnsi="Arial" w:cs="Arial"/>
        </w:rPr>
        <w:t xml:space="preserve">ell knowing that she was without </w:t>
      </w:r>
      <w:r w:rsidR="0093672C">
        <w:rPr>
          <w:rFonts w:ascii="Arial" w:hAnsi="Arial" w:cs="Arial"/>
        </w:rPr>
        <w:t xml:space="preserve">the required funds and </w:t>
      </w:r>
      <w:r>
        <w:rPr>
          <w:rFonts w:ascii="Arial" w:hAnsi="Arial" w:cs="Arial"/>
        </w:rPr>
        <w:t xml:space="preserve">having already </w:t>
      </w:r>
      <w:r w:rsidR="0093672C">
        <w:rPr>
          <w:rFonts w:ascii="Arial" w:hAnsi="Arial" w:cs="Arial"/>
        </w:rPr>
        <w:t>be</w:t>
      </w:r>
      <w:r>
        <w:rPr>
          <w:rFonts w:ascii="Arial" w:hAnsi="Arial" w:cs="Arial"/>
        </w:rPr>
        <w:t>en informed</w:t>
      </w:r>
      <w:r w:rsidR="0093672C">
        <w:rPr>
          <w:rFonts w:ascii="Arial" w:hAnsi="Arial" w:cs="Arial"/>
        </w:rPr>
        <w:t xml:space="preserve"> that her application could not be filed without making </w:t>
      </w:r>
      <w:r>
        <w:rPr>
          <w:rFonts w:ascii="Arial" w:hAnsi="Arial" w:cs="Arial"/>
        </w:rPr>
        <w:t xml:space="preserve">the required </w:t>
      </w:r>
      <w:r w:rsidR="00EE1C64">
        <w:rPr>
          <w:rFonts w:ascii="Arial" w:hAnsi="Arial" w:cs="Arial"/>
        </w:rPr>
        <w:t>payment</w:t>
      </w:r>
      <w:r w:rsidR="0093672C">
        <w:rPr>
          <w:rFonts w:ascii="Arial" w:hAnsi="Arial" w:cs="Arial"/>
        </w:rPr>
        <w:t xml:space="preserve">, the more compelling it became </w:t>
      </w:r>
      <w:r w:rsidR="00A96128">
        <w:rPr>
          <w:rFonts w:ascii="Arial" w:hAnsi="Arial" w:cs="Arial"/>
        </w:rPr>
        <w:t xml:space="preserve">for the applicant </w:t>
      </w:r>
      <w:r w:rsidR="00E81795">
        <w:rPr>
          <w:rFonts w:ascii="Arial" w:hAnsi="Arial" w:cs="Arial"/>
        </w:rPr>
        <w:t>to approach her former counsel</w:t>
      </w:r>
      <w:r w:rsidR="00EE1C64">
        <w:rPr>
          <w:rFonts w:ascii="Arial" w:hAnsi="Arial" w:cs="Arial"/>
        </w:rPr>
        <w:t xml:space="preserve"> to back up her version</w:t>
      </w:r>
      <w:r>
        <w:rPr>
          <w:rFonts w:ascii="Arial" w:hAnsi="Arial" w:cs="Arial"/>
        </w:rPr>
        <w:t>. Not to confirm that she was without funds, but</w:t>
      </w:r>
      <w:r w:rsidR="00A96128">
        <w:rPr>
          <w:rFonts w:ascii="Arial" w:hAnsi="Arial" w:cs="Arial"/>
        </w:rPr>
        <w:t xml:space="preserve"> to corroborate her intended appeal </w:t>
      </w:r>
      <w:r w:rsidR="0093672C">
        <w:rPr>
          <w:rFonts w:ascii="Arial" w:hAnsi="Arial" w:cs="Arial"/>
        </w:rPr>
        <w:t>for purposes of the condonation application</w:t>
      </w:r>
      <w:r>
        <w:rPr>
          <w:rFonts w:ascii="Arial" w:hAnsi="Arial" w:cs="Arial"/>
        </w:rPr>
        <w:t>. H</w:t>
      </w:r>
      <w:r w:rsidR="003047F3">
        <w:rPr>
          <w:rFonts w:ascii="Arial" w:hAnsi="Arial" w:cs="Arial"/>
        </w:rPr>
        <w:t xml:space="preserve">e was the only person who could verify that </w:t>
      </w:r>
      <w:r w:rsidR="00A96128">
        <w:rPr>
          <w:rFonts w:ascii="Arial" w:hAnsi="Arial" w:cs="Arial"/>
        </w:rPr>
        <w:t>she immedi</w:t>
      </w:r>
      <w:r w:rsidR="00E81795">
        <w:rPr>
          <w:rFonts w:ascii="Arial" w:hAnsi="Arial" w:cs="Arial"/>
        </w:rPr>
        <w:t>ately gave instruction to lodge</w:t>
      </w:r>
      <w:r w:rsidR="00A96128">
        <w:rPr>
          <w:rFonts w:ascii="Arial" w:hAnsi="Arial" w:cs="Arial"/>
        </w:rPr>
        <w:t xml:space="preserve"> the</w:t>
      </w:r>
      <w:r w:rsidR="003047F3">
        <w:rPr>
          <w:rFonts w:ascii="Arial" w:hAnsi="Arial" w:cs="Arial"/>
        </w:rPr>
        <w:t xml:space="preserve"> app</w:t>
      </w:r>
      <w:r w:rsidR="0056220B">
        <w:rPr>
          <w:rFonts w:ascii="Arial" w:hAnsi="Arial" w:cs="Arial"/>
        </w:rPr>
        <w:t>eal</w:t>
      </w:r>
      <w:r w:rsidR="00A96128">
        <w:rPr>
          <w:rFonts w:ascii="Arial" w:hAnsi="Arial" w:cs="Arial"/>
        </w:rPr>
        <w:t>.</w:t>
      </w:r>
      <w:r w:rsidR="00DE1582">
        <w:rPr>
          <w:rFonts w:ascii="Arial" w:hAnsi="Arial" w:cs="Arial"/>
        </w:rPr>
        <w:t xml:space="preserve"> </w:t>
      </w:r>
      <w:r w:rsidR="0056220B">
        <w:rPr>
          <w:rFonts w:ascii="Arial" w:hAnsi="Arial" w:cs="Arial"/>
        </w:rPr>
        <w:t>In the present application it</w:t>
      </w:r>
      <w:r>
        <w:rPr>
          <w:rFonts w:ascii="Arial" w:hAnsi="Arial" w:cs="Arial"/>
        </w:rPr>
        <w:t xml:space="preserve"> is ind</w:t>
      </w:r>
      <w:r w:rsidR="0056220B">
        <w:rPr>
          <w:rFonts w:ascii="Arial" w:hAnsi="Arial" w:cs="Arial"/>
        </w:rPr>
        <w:t>eed not about the lack of funds</w:t>
      </w:r>
      <w:r w:rsidR="00FF557E">
        <w:rPr>
          <w:rFonts w:ascii="Arial" w:hAnsi="Arial" w:cs="Arial"/>
        </w:rPr>
        <w:t>,</w:t>
      </w:r>
      <w:r>
        <w:rPr>
          <w:rFonts w:ascii="Arial" w:hAnsi="Arial" w:cs="Arial"/>
        </w:rPr>
        <w:t xml:space="preserve"> but applicant’s clear intention to </w:t>
      </w:r>
      <w:r w:rsidR="00DF1006">
        <w:rPr>
          <w:rFonts w:ascii="Arial" w:hAnsi="Arial" w:cs="Arial"/>
        </w:rPr>
        <w:t xml:space="preserve">file </w:t>
      </w:r>
      <w:r>
        <w:rPr>
          <w:rFonts w:ascii="Arial" w:hAnsi="Arial" w:cs="Arial"/>
        </w:rPr>
        <w:t xml:space="preserve">an appeal against her conviction. </w:t>
      </w:r>
      <w:r w:rsidR="00DE1582">
        <w:rPr>
          <w:rFonts w:ascii="Arial" w:hAnsi="Arial" w:cs="Arial"/>
        </w:rPr>
        <w:t xml:space="preserve">Had this been confirmed, such information would obviously have been an important factor in considering </w:t>
      </w:r>
      <w:r w:rsidR="0056220B">
        <w:rPr>
          <w:rFonts w:ascii="Arial" w:hAnsi="Arial" w:cs="Arial"/>
        </w:rPr>
        <w:t>the application for condonation. M</w:t>
      </w:r>
      <w:r w:rsidR="00DE1582">
        <w:rPr>
          <w:rFonts w:ascii="Arial" w:hAnsi="Arial" w:cs="Arial"/>
        </w:rPr>
        <w:t>oreover</w:t>
      </w:r>
      <w:r w:rsidR="0056220B">
        <w:rPr>
          <w:rFonts w:ascii="Arial" w:hAnsi="Arial" w:cs="Arial"/>
        </w:rPr>
        <w:t>,</w:t>
      </w:r>
      <w:r w:rsidR="00DE1582">
        <w:rPr>
          <w:rFonts w:ascii="Arial" w:hAnsi="Arial" w:cs="Arial"/>
        </w:rPr>
        <w:t xml:space="preserve"> in circumstances where the applicant relies on her financial predicament as the </w:t>
      </w:r>
      <w:r w:rsidR="00DE1582" w:rsidRPr="00DF1006">
        <w:rPr>
          <w:rFonts w:ascii="Arial" w:hAnsi="Arial" w:cs="Arial"/>
          <w:i/>
        </w:rPr>
        <w:t>sole</w:t>
      </w:r>
      <w:r w:rsidR="00DE1582">
        <w:rPr>
          <w:rFonts w:ascii="Arial" w:hAnsi="Arial" w:cs="Arial"/>
        </w:rPr>
        <w:t xml:space="preserve"> reason for non-compliance with the rules</w:t>
      </w:r>
      <w:r w:rsidR="0093672C">
        <w:rPr>
          <w:rFonts w:ascii="Arial" w:hAnsi="Arial" w:cs="Arial"/>
        </w:rPr>
        <w:t>.</w:t>
      </w:r>
      <w:r w:rsidR="003047F3">
        <w:rPr>
          <w:rFonts w:ascii="Arial" w:hAnsi="Arial" w:cs="Arial"/>
        </w:rPr>
        <w:t xml:space="preserve"> </w:t>
      </w:r>
    </w:p>
    <w:p w:rsidR="00DE1582" w:rsidRDefault="00DE1582" w:rsidP="00AF038A">
      <w:pPr>
        <w:spacing w:line="360" w:lineRule="auto"/>
        <w:jc w:val="both"/>
        <w:rPr>
          <w:rFonts w:ascii="Arial" w:hAnsi="Arial" w:cs="Arial"/>
        </w:rPr>
      </w:pPr>
    </w:p>
    <w:p w:rsidR="00172505" w:rsidRPr="008917BD" w:rsidRDefault="00DE1582" w:rsidP="00AF038A">
      <w:pPr>
        <w:spacing w:line="360" w:lineRule="auto"/>
        <w:jc w:val="both"/>
        <w:rPr>
          <w:rFonts w:ascii="Arial" w:hAnsi="Arial" w:cs="Arial"/>
        </w:rPr>
      </w:pPr>
      <w:r>
        <w:rPr>
          <w:rFonts w:ascii="Arial" w:hAnsi="Arial" w:cs="Arial"/>
        </w:rPr>
        <w:lastRenderedPageBreak/>
        <w:t>[</w:t>
      </w:r>
      <w:r w:rsidR="006D6F55">
        <w:rPr>
          <w:rFonts w:ascii="Arial" w:hAnsi="Arial" w:cs="Arial"/>
        </w:rPr>
        <w:t>13</w:t>
      </w:r>
      <w:r>
        <w:rPr>
          <w:rFonts w:ascii="Arial" w:hAnsi="Arial" w:cs="Arial"/>
        </w:rPr>
        <w:t>]</w:t>
      </w:r>
      <w:r>
        <w:rPr>
          <w:rFonts w:ascii="Arial" w:hAnsi="Arial" w:cs="Arial"/>
        </w:rPr>
        <w:tab/>
      </w:r>
      <w:r w:rsidR="001A5B5E">
        <w:rPr>
          <w:rFonts w:ascii="Arial" w:hAnsi="Arial" w:cs="Arial"/>
        </w:rPr>
        <w:t xml:space="preserve">Against this background a supporting affidavit </w:t>
      </w:r>
      <w:r w:rsidR="003047F3">
        <w:rPr>
          <w:rFonts w:ascii="Arial" w:hAnsi="Arial" w:cs="Arial"/>
        </w:rPr>
        <w:t xml:space="preserve">from Mr Namandje </w:t>
      </w:r>
      <w:r w:rsidR="001A5B5E">
        <w:rPr>
          <w:rFonts w:ascii="Arial" w:hAnsi="Arial" w:cs="Arial"/>
        </w:rPr>
        <w:t xml:space="preserve">to the effect that the applicant at all times intended appealing her conviction </w:t>
      </w:r>
      <w:r w:rsidR="0056220B">
        <w:rPr>
          <w:rFonts w:ascii="Arial" w:hAnsi="Arial" w:cs="Arial"/>
        </w:rPr>
        <w:t>within the prescribed time limit</w:t>
      </w:r>
      <w:r w:rsidR="00FF557E">
        <w:rPr>
          <w:rFonts w:ascii="Arial" w:hAnsi="Arial" w:cs="Arial"/>
        </w:rPr>
        <w:t>,</w:t>
      </w:r>
      <w:r w:rsidR="007570BA">
        <w:rPr>
          <w:rFonts w:ascii="Arial" w:hAnsi="Arial" w:cs="Arial"/>
        </w:rPr>
        <w:t xml:space="preserve"> </w:t>
      </w:r>
      <w:r w:rsidR="001A5B5E">
        <w:rPr>
          <w:rFonts w:ascii="Arial" w:hAnsi="Arial" w:cs="Arial"/>
        </w:rPr>
        <w:t xml:space="preserve">but </w:t>
      </w:r>
      <w:r w:rsidR="00FF557E">
        <w:rPr>
          <w:rFonts w:ascii="Arial" w:hAnsi="Arial" w:cs="Arial"/>
        </w:rPr>
        <w:t>that hé</w:t>
      </w:r>
      <w:r w:rsidR="003047F3">
        <w:rPr>
          <w:rFonts w:ascii="Arial" w:hAnsi="Arial" w:cs="Arial"/>
        </w:rPr>
        <w:t xml:space="preserve"> </w:t>
      </w:r>
      <w:r w:rsidR="001A5B5E">
        <w:rPr>
          <w:rFonts w:ascii="Arial" w:hAnsi="Arial" w:cs="Arial"/>
        </w:rPr>
        <w:t xml:space="preserve">was </w:t>
      </w:r>
      <w:r w:rsidR="0093672C">
        <w:rPr>
          <w:rFonts w:ascii="Arial" w:hAnsi="Arial" w:cs="Arial"/>
        </w:rPr>
        <w:t>impeded</w:t>
      </w:r>
      <w:r w:rsidR="001A5B5E">
        <w:rPr>
          <w:rFonts w:ascii="Arial" w:hAnsi="Arial" w:cs="Arial"/>
        </w:rPr>
        <w:t xml:space="preserve"> due to </w:t>
      </w:r>
      <w:r w:rsidR="0056220B">
        <w:rPr>
          <w:rFonts w:ascii="Arial" w:hAnsi="Arial" w:cs="Arial"/>
        </w:rPr>
        <w:t xml:space="preserve">applicant’s </w:t>
      </w:r>
      <w:r w:rsidR="001A5B5E">
        <w:rPr>
          <w:rFonts w:ascii="Arial" w:hAnsi="Arial" w:cs="Arial"/>
        </w:rPr>
        <w:t xml:space="preserve">financial constraints, </w:t>
      </w:r>
      <w:r w:rsidR="003047F3">
        <w:rPr>
          <w:rFonts w:ascii="Arial" w:hAnsi="Arial" w:cs="Arial"/>
        </w:rPr>
        <w:t>appears to have been</w:t>
      </w:r>
      <w:r w:rsidR="00FF557E">
        <w:rPr>
          <w:rFonts w:ascii="Arial" w:hAnsi="Arial" w:cs="Arial"/>
        </w:rPr>
        <w:t xml:space="preserve"> a necessity</w:t>
      </w:r>
      <w:r w:rsidR="003047F3">
        <w:rPr>
          <w:rFonts w:ascii="Arial" w:hAnsi="Arial" w:cs="Arial"/>
        </w:rPr>
        <w:t>. Applicant’s</w:t>
      </w:r>
      <w:r w:rsidR="001A5B5E">
        <w:rPr>
          <w:rFonts w:ascii="Arial" w:hAnsi="Arial" w:cs="Arial"/>
        </w:rPr>
        <w:t xml:space="preserve"> </w:t>
      </w:r>
      <w:r w:rsidR="0093672C">
        <w:rPr>
          <w:rFonts w:ascii="Arial" w:hAnsi="Arial" w:cs="Arial"/>
        </w:rPr>
        <w:t>bold assertion</w:t>
      </w:r>
      <w:r w:rsidR="001A5B5E">
        <w:rPr>
          <w:rFonts w:ascii="Arial" w:hAnsi="Arial" w:cs="Arial"/>
        </w:rPr>
        <w:t xml:space="preserve"> </w:t>
      </w:r>
      <w:r w:rsidR="003047F3">
        <w:rPr>
          <w:rFonts w:ascii="Arial" w:hAnsi="Arial" w:cs="Arial"/>
        </w:rPr>
        <w:t xml:space="preserve">of lack of funds as the </w:t>
      </w:r>
      <w:r w:rsidR="0056220B">
        <w:rPr>
          <w:rFonts w:ascii="Arial" w:hAnsi="Arial" w:cs="Arial"/>
        </w:rPr>
        <w:t xml:space="preserve">sole </w:t>
      </w:r>
      <w:r w:rsidR="003047F3">
        <w:rPr>
          <w:rFonts w:ascii="Arial" w:hAnsi="Arial" w:cs="Arial"/>
        </w:rPr>
        <w:t>reason for the delay in filing the application is</w:t>
      </w:r>
      <w:r w:rsidR="00DE5761">
        <w:rPr>
          <w:rFonts w:ascii="Arial" w:hAnsi="Arial" w:cs="Arial"/>
        </w:rPr>
        <w:t xml:space="preserve"> inadequate and </w:t>
      </w:r>
      <w:r w:rsidR="001A5B5E">
        <w:rPr>
          <w:rFonts w:ascii="Arial" w:hAnsi="Arial" w:cs="Arial"/>
        </w:rPr>
        <w:t xml:space="preserve">falls </w:t>
      </w:r>
      <w:r w:rsidR="00DE5761">
        <w:rPr>
          <w:rFonts w:ascii="Arial" w:hAnsi="Arial" w:cs="Arial"/>
        </w:rPr>
        <w:t>short of</w:t>
      </w:r>
      <w:r w:rsidR="001A5B5E">
        <w:rPr>
          <w:rFonts w:ascii="Arial" w:hAnsi="Arial" w:cs="Arial"/>
        </w:rPr>
        <w:t xml:space="preserve"> being a reasonable and acceptable explanation</w:t>
      </w:r>
      <w:r w:rsidR="0056220B">
        <w:rPr>
          <w:rFonts w:ascii="Arial" w:hAnsi="Arial" w:cs="Arial"/>
        </w:rPr>
        <w:t>. I</w:t>
      </w:r>
      <w:r w:rsidR="00DE5761">
        <w:rPr>
          <w:rFonts w:ascii="Arial" w:hAnsi="Arial" w:cs="Arial"/>
        </w:rPr>
        <w:t>n itself</w:t>
      </w:r>
      <w:r>
        <w:rPr>
          <w:rFonts w:ascii="Arial" w:hAnsi="Arial" w:cs="Arial"/>
        </w:rPr>
        <w:t>, in my view,</w:t>
      </w:r>
      <w:r w:rsidR="00AE0A44">
        <w:rPr>
          <w:rFonts w:ascii="Arial" w:hAnsi="Arial" w:cs="Arial"/>
        </w:rPr>
        <w:t xml:space="preserve"> </w:t>
      </w:r>
      <w:r w:rsidR="0056220B">
        <w:rPr>
          <w:rFonts w:ascii="Arial" w:hAnsi="Arial" w:cs="Arial"/>
        </w:rPr>
        <w:t xml:space="preserve">this </w:t>
      </w:r>
      <w:r w:rsidR="00AE0A44">
        <w:rPr>
          <w:rFonts w:ascii="Arial" w:hAnsi="Arial" w:cs="Arial"/>
        </w:rPr>
        <w:t>is sufficient reason to refuse</w:t>
      </w:r>
      <w:r w:rsidR="00DE5761">
        <w:rPr>
          <w:rFonts w:ascii="Arial" w:hAnsi="Arial" w:cs="Arial"/>
        </w:rPr>
        <w:t xml:space="preserve"> the application.</w:t>
      </w:r>
    </w:p>
    <w:p w:rsidR="00172505" w:rsidRDefault="00172505" w:rsidP="00AF038A">
      <w:pPr>
        <w:spacing w:line="360" w:lineRule="auto"/>
        <w:jc w:val="both"/>
        <w:rPr>
          <w:rFonts w:ascii="Arial" w:hAnsi="Arial" w:cs="Arial"/>
        </w:rPr>
      </w:pPr>
    </w:p>
    <w:p w:rsidR="00157A11" w:rsidRDefault="00157A11" w:rsidP="00AF038A">
      <w:pPr>
        <w:spacing w:line="360" w:lineRule="auto"/>
        <w:jc w:val="both"/>
        <w:rPr>
          <w:rFonts w:ascii="Arial" w:hAnsi="Arial" w:cs="Arial"/>
        </w:rPr>
      </w:pPr>
      <w:r>
        <w:rPr>
          <w:rFonts w:ascii="Arial" w:hAnsi="Arial" w:cs="Arial"/>
        </w:rPr>
        <w:t>[</w:t>
      </w:r>
      <w:r w:rsidR="006D6F55">
        <w:rPr>
          <w:rFonts w:ascii="Arial" w:hAnsi="Arial" w:cs="Arial"/>
        </w:rPr>
        <w:t>14</w:t>
      </w:r>
      <w:r>
        <w:rPr>
          <w:rFonts w:ascii="Arial" w:hAnsi="Arial" w:cs="Arial"/>
        </w:rPr>
        <w:t>]</w:t>
      </w:r>
      <w:r>
        <w:rPr>
          <w:rFonts w:ascii="Arial" w:hAnsi="Arial" w:cs="Arial"/>
        </w:rPr>
        <w:tab/>
        <w:t>The second requirement is whether there are prospects of success on appeal</w:t>
      </w:r>
      <w:r w:rsidR="0056220B">
        <w:rPr>
          <w:rFonts w:ascii="Arial" w:hAnsi="Arial" w:cs="Arial"/>
        </w:rPr>
        <w:t>. Here</w:t>
      </w:r>
      <w:r>
        <w:rPr>
          <w:rFonts w:ascii="Arial" w:hAnsi="Arial" w:cs="Arial"/>
        </w:rPr>
        <w:t xml:space="preserve"> the applicant relies on what is set out in the application for leave to appeal.</w:t>
      </w:r>
    </w:p>
    <w:p w:rsidR="00157A11" w:rsidRDefault="00157A11" w:rsidP="00AF038A">
      <w:pPr>
        <w:spacing w:line="360" w:lineRule="auto"/>
        <w:jc w:val="both"/>
        <w:rPr>
          <w:rFonts w:ascii="Arial" w:hAnsi="Arial" w:cs="Arial"/>
        </w:rPr>
      </w:pPr>
    </w:p>
    <w:p w:rsidR="00561B4C" w:rsidRDefault="00157A11" w:rsidP="00561B4C">
      <w:pPr>
        <w:spacing w:line="360" w:lineRule="auto"/>
        <w:jc w:val="both"/>
        <w:rPr>
          <w:rFonts w:ascii="Arial" w:eastAsiaTheme="minorHAnsi" w:hAnsi="Arial" w:cs="Arial"/>
          <w:lang w:val="en-US" w:eastAsia="en-US"/>
        </w:rPr>
      </w:pPr>
      <w:r>
        <w:rPr>
          <w:rFonts w:ascii="Arial" w:hAnsi="Arial" w:cs="Arial"/>
        </w:rPr>
        <w:t>[</w:t>
      </w:r>
      <w:r w:rsidR="006D6F55">
        <w:rPr>
          <w:rFonts w:ascii="Arial" w:hAnsi="Arial" w:cs="Arial"/>
        </w:rPr>
        <w:t>15</w:t>
      </w:r>
      <w:r>
        <w:rPr>
          <w:rFonts w:ascii="Arial" w:hAnsi="Arial" w:cs="Arial"/>
        </w:rPr>
        <w:t>]</w:t>
      </w:r>
      <w:r w:rsidR="00561B4C">
        <w:rPr>
          <w:rFonts w:ascii="Arial" w:hAnsi="Arial" w:cs="Arial"/>
        </w:rPr>
        <w:tab/>
      </w:r>
      <w:r w:rsidR="00561B4C">
        <w:rPr>
          <w:rFonts w:ascii="Arial" w:hAnsi="Arial" w:cs="Arial"/>
          <w:lang w:val="en-ZA"/>
        </w:rPr>
        <w:t>It is established law that the test to be applied in applications of this nature is that the applicant must satisfy the Court that there is a reasonable prospect of success on appeal (</w:t>
      </w:r>
      <w:r w:rsidR="00561B4C">
        <w:rPr>
          <w:rFonts w:ascii="Arial" w:hAnsi="Arial" w:cs="Arial"/>
          <w:i/>
          <w:lang w:val="en-ZA"/>
        </w:rPr>
        <w:t>R v Ngubane and Others</w:t>
      </w:r>
      <w:r w:rsidR="00561B4C">
        <w:rPr>
          <w:rStyle w:val="FootnoteReference"/>
          <w:rFonts w:ascii="Arial" w:hAnsi="Arial" w:cs="Arial"/>
          <w:i/>
          <w:lang w:val="en-ZA"/>
        </w:rPr>
        <w:footnoteReference w:id="5"/>
      </w:r>
      <w:r w:rsidR="00561B4C">
        <w:rPr>
          <w:rFonts w:ascii="Arial" w:hAnsi="Arial" w:cs="Arial"/>
          <w:lang w:val="en-ZA"/>
        </w:rPr>
        <w:t xml:space="preserve">; </w:t>
      </w:r>
      <w:r w:rsidR="00561B4C">
        <w:rPr>
          <w:rFonts w:ascii="Arial" w:hAnsi="Arial" w:cs="Arial"/>
          <w:i/>
          <w:lang w:val="en-ZA"/>
        </w:rPr>
        <w:t>R v Baloi</w:t>
      </w:r>
      <w:r w:rsidR="00561B4C">
        <w:rPr>
          <w:rStyle w:val="FootnoteReference"/>
          <w:rFonts w:ascii="Arial" w:hAnsi="Arial" w:cs="Arial"/>
          <w:i/>
          <w:lang w:val="en-ZA"/>
        </w:rPr>
        <w:footnoteReference w:id="6"/>
      </w:r>
      <w:r w:rsidR="00561B4C">
        <w:rPr>
          <w:rFonts w:ascii="Arial" w:hAnsi="Arial" w:cs="Arial"/>
          <w:lang w:val="en-ZA"/>
        </w:rPr>
        <w:t xml:space="preserve">).  In </w:t>
      </w:r>
      <w:r w:rsidR="00561B4C">
        <w:rPr>
          <w:rFonts w:ascii="Arial" w:hAnsi="Arial" w:cs="Arial"/>
          <w:i/>
          <w:lang w:val="en-ZA"/>
        </w:rPr>
        <w:t>S v Nowaseb</w:t>
      </w:r>
      <w:r w:rsidR="00561B4C">
        <w:rPr>
          <w:rStyle w:val="FootnoteReference"/>
          <w:rFonts w:ascii="Arial" w:hAnsi="Arial" w:cs="Arial"/>
          <w:i/>
          <w:lang w:val="en-ZA"/>
        </w:rPr>
        <w:footnoteReference w:id="7"/>
      </w:r>
      <w:r w:rsidR="00561B4C">
        <w:rPr>
          <w:rFonts w:ascii="Arial" w:hAnsi="Arial" w:cs="Arial"/>
          <w:i/>
          <w:lang w:val="en-ZA"/>
        </w:rPr>
        <w:t xml:space="preserve"> </w:t>
      </w:r>
      <w:r w:rsidR="00561B4C">
        <w:rPr>
          <w:rFonts w:ascii="Arial" w:hAnsi="Arial" w:cs="Arial"/>
          <w:lang w:val="en-ZA"/>
        </w:rPr>
        <w:t xml:space="preserve">the court cited with approval the case of </w:t>
      </w:r>
      <w:r w:rsidR="00561B4C">
        <w:rPr>
          <w:rFonts w:ascii="Arial" w:hAnsi="Arial" w:cs="Arial"/>
          <w:i/>
          <w:lang w:val="en-ZA"/>
        </w:rPr>
        <w:t>S v Ceasar</w:t>
      </w:r>
      <w:r w:rsidR="00561B4C">
        <w:rPr>
          <w:rStyle w:val="FootnoteReference"/>
          <w:rFonts w:ascii="Arial" w:hAnsi="Arial" w:cs="Arial"/>
          <w:i/>
          <w:lang w:val="en-ZA"/>
        </w:rPr>
        <w:footnoteReference w:id="8"/>
      </w:r>
      <w:r w:rsidR="00561B4C">
        <w:rPr>
          <w:rFonts w:ascii="Arial" w:hAnsi="Arial" w:cs="Arial"/>
          <w:i/>
          <w:lang w:val="en-ZA"/>
        </w:rPr>
        <w:t xml:space="preserve"> </w:t>
      </w:r>
      <w:r w:rsidR="00561B4C">
        <w:rPr>
          <w:rFonts w:ascii="Arial" w:hAnsi="Arial" w:cs="Arial"/>
          <w:lang w:val="en-ZA"/>
        </w:rPr>
        <w:t>where Miller, J.A. emphasised that ‘</w:t>
      </w:r>
      <w:r w:rsidR="00561B4C" w:rsidRPr="0056220B">
        <w:rPr>
          <w:rFonts w:ascii="Arial" w:hAnsi="Arial" w:cs="Arial"/>
          <w:u w:val="single"/>
          <w:lang w:val="en-ZA"/>
        </w:rPr>
        <w:t>the mere possibility that another Court might come to a different conclusion is not sufficient to justify the grant of leave to appeal</w:t>
      </w:r>
      <w:r w:rsidR="00561B4C">
        <w:rPr>
          <w:rFonts w:ascii="Arial" w:hAnsi="Arial" w:cs="Arial"/>
          <w:lang w:val="en-ZA"/>
        </w:rPr>
        <w:t xml:space="preserve">’. In </w:t>
      </w:r>
      <w:r w:rsidR="00561B4C">
        <w:rPr>
          <w:rFonts w:ascii="Arial" w:hAnsi="Arial" w:cs="Arial"/>
          <w:i/>
          <w:lang w:val="en-ZA"/>
        </w:rPr>
        <w:t xml:space="preserve">Nowaseb </w:t>
      </w:r>
      <w:r w:rsidR="00561B4C">
        <w:rPr>
          <w:rFonts w:ascii="Arial" w:hAnsi="Arial" w:cs="Arial"/>
          <w:lang w:val="en-ZA"/>
        </w:rPr>
        <w:t>(</w:t>
      </w:r>
      <w:r w:rsidR="00561B4C">
        <w:rPr>
          <w:rFonts w:ascii="Arial" w:hAnsi="Arial" w:cs="Arial"/>
          <w:i/>
          <w:lang w:val="en-ZA"/>
        </w:rPr>
        <w:t>supra</w:t>
      </w:r>
      <w:r w:rsidR="00561B4C">
        <w:rPr>
          <w:rFonts w:ascii="Arial" w:hAnsi="Arial" w:cs="Arial"/>
          <w:lang w:val="en-ZA"/>
        </w:rPr>
        <w:t>)</w:t>
      </w:r>
      <w:r w:rsidR="00561B4C">
        <w:rPr>
          <w:rFonts w:ascii="Arial" w:hAnsi="Arial" w:cs="Arial"/>
          <w:i/>
          <w:lang w:val="en-ZA"/>
        </w:rPr>
        <w:t xml:space="preserve"> </w:t>
      </w:r>
      <w:r w:rsidR="00561B4C">
        <w:rPr>
          <w:rFonts w:ascii="Arial" w:hAnsi="Arial" w:cs="Arial"/>
          <w:lang w:val="en-ZA"/>
        </w:rPr>
        <w:t>the court said that what the trial judge is required to do is to disabuse his or her mind of the fact that there is no reasonable doubt as to the guilt of the accused person (applicant) and to ask himself or herself whether, on the grounds of appeal raised in the application, there is a reasonable prospect of success on appeal (640H-I).</w:t>
      </w:r>
      <w:r>
        <w:rPr>
          <w:rFonts w:ascii="Arial" w:hAnsi="Arial" w:cs="Arial"/>
        </w:rPr>
        <w:tab/>
      </w:r>
      <w:r w:rsidR="00561B4C">
        <w:rPr>
          <w:rFonts w:ascii="Arial" w:eastAsiaTheme="minorHAnsi" w:hAnsi="Arial" w:cs="Arial"/>
          <w:lang w:val="en-US" w:eastAsia="en-US"/>
        </w:rPr>
        <w:t xml:space="preserve">Applicant thus bears the onus to show on a balance of probabilities that she has prospects of success on appeal based on one or more misdirection committed by the trial court either on the law or the facts. </w:t>
      </w:r>
      <w:r w:rsidR="0056220B">
        <w:rPr>
          <w:rFonts w:ascii="Arial" w:eastAsiaTheme="minorHAnsi" w:hAnsi="Arial" w:cs="Arial"/>
          <w:lang w:val="en-US" w:eastAsia="en-US"/>
        </w:rPr>
        <w:t>(Emphasis provided)</w:t>
      </w:r>
    </w:p>
    <w:p w:rsidR="00561B4C" w:rsidRDefault="00561B4C" w:rsidP="00561B4C">
      <w:pPr>
        <w:spacing w:line="360" w:lineRule="auto"/>
        <w:jc w:val="both"/>
        <w:rPr>
          <w:rFonts w:ascii="Arial" w:eastAsiaTheme="minorHAnsi" w:hAnsi="Arial" w:cs="Arial"/>
          <w:lang w:val="en-US" w:eastAsia="en-US"/>
        </w:rPr>
      </w:pPr>
    </w:p>
    <w:p w:rsidR="00B27AF3" w:rsidRDefault="00561B4C" w:rsidP="00561B4C">
      <w:pPr>
        <w:spacing w:line="360" w:lineRule="auto"/>
        <w:jc w:val="both"/>
        <w:rPr>
          <w:rFonts w:ascii="Arial" w:eastAsiaTheme="minorHAnsi" w:hAnsi="Arial" w:cs="Arial"/>
          <w:lang w:val="en-US" w:eastAsia="en-US"/>
        </w:rPr>
      </w:pPr>
      <w:r>
        <w:rPr>
          <w:rFonts w:ascii="Arial" w:eastAsiaTheme="minorHAnsi" w:hAnsi="Arial" w:cs="Arial"/>
          <w:lang w:val="en-US" w:eastAsia="en-US"/>
        </w:rPr>
        <w:t>[</w:t>
      </w:r>
      <w:r w:rsidR="006D6F55">
        <w:rPr>
          <w:rFonts w:ascii="Arial" w:eastAsiaTheme="minorHAnsi" w:hAnsi="Arial" w:cs="Arial"/>
          <w:lang w:val="en-US" w:eastAsia="en-US"/>
        </w:rPr>
        <w:t>16</w:t>
      </w:r>
      <w:r>
        <w:rPr>
          <w:rFonts w:ascii="Arial" w:eastAsiaTheme="minorHAnsi" w:hAnsi="Arial" w:cs="Arial"/>
          <w:lang w:val="en-US" w:eastAsia="en-US"/>
        </w:rPr>
        <w:t>]</w:t>
      </w:r>
      <w:r>
        <w:rPr>
          <w:rFonts w:ascii="Arial" w:eastAsiaTheme="minorHAnsi" w:hAnsi="Arial" w:cs="Arial"/>
          <w:lang w:val="en-US" w:eastAsia="en-US"/>
        </w:rPr>
        <w:tab/>
      </w:r>
      <w:r w:rsidR="00926E0B">
        <w:rPr>
          <w:rFonts w:ascii="Arial" w:eastAsiaTheme="minorHAnsi" w:hAnsi="Arial" w:cs="Arial"/>
          <w:lang w:val="en-US" w:eastAsia="en-US"/>
        </w:rPr>
        <w:t xml:space="preserve">Mr </w:t>
      </w:r>
      <w:r w:rsidR="00926E0B">
        <w:rPr>
          <w:rFonts w:ascii="Arial" w:eastAsiaTheme="minorHAnsi" w:hAnsi="Arial" w:cs="Arial"/>
          <w:i/>
          <w:lang w:val="en-US" w:eastAsia="en-US"/>
        </w:rPr>
        <w:t xml:space="preserve">Roux </w:t>
      </w:r>
      <w:r w:rsidR="00926E0B">
        <w:rPr>
          <w:rFonts w:ascii="Arial" w:eastAsiaTheme="minorHAnsi" w:hAnsi="Arial" w:cs="Arial"/>
          <w:lang w:val="en-US" w:eastAsia="en-US"/>
        </w:rPr>
        <w:t xml:space="preserve">at the outset of his submissions pointed out that from the notice of appeal itself it is clear that there was no attack on the court’s finding on credibility or the facts and, in his view, it was a well-considered judgment on the facts. The gist of the application turns on the </w:t>
      </w:r>
      <w:r w:rsidR="00796E63">
        <w:rPr>
          <w:rFonts w:ascii="Arial" w:eastAsiaTheme="minorHAnsi" w:hAnsi="Arial" w:cs="Arial"/>
          <w:lang w:val="en-US" w:eastAsia="en-US"/>
        </w:rPr>
        <w:t>question as to whether this court foll</w:t>
      </w:r>
      <w:r w:rsidR="0094469C">
        <w:rPr>
          <w:rFonts w:ascii="Arial" w:eastAsiaTheme="minorHAnsi" w:hAnsi="Arial" w:cs="Arial"/>
          <w:lang w:val="en-US" w:eastAsia="en-US"/>
        </w:rPr>
        <w:t xml:space="preserve">owed the correct approach when determining that the applicant abused the power of her office when </w:t>
      </w:r>
      <w:r w:rsidR="0094469C">
        <w:rPr>
          <w:rFonts w:ascii="Arial" w:eastAsiaTheme="minorHAnsi" w:hAnsi="Arial" w:cs="Arial"/>
          <w:lang w:val="en-US" w:eastAsia="en-US"/>
        </w:rPr>
        <w:lastRenderedPageBreak/>
        <w:t xml:space="preserve">insisting that </w:t>
      </w:r>
      <w:r w:rsidR="00FF557E">
        <w:rPr>
          <w:rFonts w:ascii="Arial" w:eastAsiaTheme="minorHAnsi" w:hAnsi="Arial" w:cs="Arial"/>
          <w:lang w:val="en-US" w:eastAsia="en-US"/>
        </w:rPr>
        <w:t xml:space="preserve">two </w:t>
      </w:r>
      <w:r w:rsidR="0094469C">
        <w:rPr>
          <w:rFonts w:ascii="Arial" w:eastAsiaTheme="minorHAnsi" w:hAnsi="Arial" w:cs="Arial"/>
          <w:lang w:val="en-US" w:eastAsia="en-US"/>
        </w:rPr>
        <w:t>nam</w:t>
      </w:r>
      <w:r w:rsidR="00FF557E">
        <w:rPr>
          <w:rFonts w:ascii="Arial" w:eastAsiaTheme="minorHAnsi" w:hAnsi="Arial" w:cs="Arial"/>
          <w:lang w:val="en-US" w:eastAsia="en-US"/>
        </w:rPr>
        <w:t>es be removed from the list of elected beneficiaries and to be substituted with that of her</w:t>
      </w:r>
      <w:r w:rsidR="0094469C">
        <w:rPr>
          <w:rFonts w:ascii="Arial" w:eastAsiaTheme="minorHAnsi" w:hAnsi="Arial" w:cs="Arial"/>
          <w:lang w:val="en-US" w:eastAsia="en-US"/>
        </w:rPr>
        <w:t xml:space="preserve"> family members</w:t>
      </w:r>
      <w:r w:rsidR="0056220B">
        <w:rPr>
          <w:rFonts w:ascii="Arial" w:eastAsiaTheme="minorHAnsi" w:hAnsi="Arial" w:cs="Arial"/>
          <w:lang w:val="en-US" w:eastAsia="en-US"/>
        </w:rPr>
        <w:t>,</w:t>
      </w:r>
      <w:r w:rsidR="0094469C">
        <w:rPr>
          <w:rFonts w:ascii="Arial" w:eastAsiaTheme="minorHAnsi" w:hAnsi="Arial" w:cs="Arial"/>
          <w:lang w:val="en-US" w:eastAsia="en-US"/>
        </w:rPr>
        <w:t xml:space="preserve"> as she was not vested with such power. </w:t>
      </w:r>
      <w:r w:rsidR="00B73224">
        <w:rPr>
          <w:rFonts w:ascii="Arial" w:eastAsiaTheme="minorHAnsi" w:hAnsi="Arial" w:cs="Arial"/>
          <w:lang w:val="en-US" w:eastAsia="en-US"/>
        </w:rPr>
        <w:t>What in essence was argued in relation to the grounds of appeal is that another court may reasonably find differently on the same facts and, given the import of the correct interpretation of the ambit of section 43 of the Anti-Corruption Act 8 of 2003</w:t>
      </w:r>
      <w:r w:rsidR="00FD66D3">
        <w:rPr>
          <w:rFonts w:ascii="Arial" w:eastAsiaTheme="minorHAnsi" w:hAnsi="Arial" w:cs="Arial"/>
          <w:lang w:val="en-US" w:eastAsia="en-US"/>
        </w:rPr>
        <w:t xml:space="preserve"> (the Act)</w:t>
      </w:r>
      <w:r w:rsidR="00B73224">
        <w:rPr>
          <w:rFonts w:ascii="Arial" w:eastAsiaTheme="minorHAnsi" w:hAnsi="Arial" w:cs="Arial"/>
          <w:lang w:val="en-US" w:eastAsia="en-US"/>
        </w:rPr>
        <w:t>, guidance by the Supreme Court is necessary where an abuse of office is alleged.</w:t>
      </w:r>
    </w:p>
    <w:p w:rsidR="00904EF1" w:rsidRDefault="00904EF1" w:rsidP="00561B4C">
      <w:pPr>
        <w:spacing w:line="360" w:lineRule="auto"/>
        <w:jc w:val="both"/>
        <w:rPr>
          <w:rFonts w:ascii="Arial" w:eastAsiaTheme="minorHAnsi" w:hAnsi="Arial" w:cs="Arial"/>
          <w:lang w:val="en-US" w:eastAsia="en-US"/>
        </w:rPr>
      </w:pPr>
    </w:p>
    <w:p w:rsidR="00904EF1" w:rsidRDefault="00904EF1" w:rsidP="00561B4C">
      <w:pPr>
        <w:spacing w:line="360" w:lineRule="auto"/>
        <w:jc w:val="both"/>
        <w:rPr>
          <w:rFonts w:ascii="Arial" w:eastAsiaTheme="minorHAnsi" w:hAnsi="Arial" w:cs="Arial"/>
          <w:lang w:val="en-US" w:eastAsia="en-US"/>
        </w:rPr>
      </w:pPr>
      <w:r>
        <w:rPr>
          <w:rFonts w:ascii="Arial" w:eastAsiaTheme="minorHAnsi" w:hAnsi="Arial" w:cs="Arial"/>
          <w:lang w:val="en-US" w:eastAsia="en-US"/>
        </w:rPr>
        <w:t>[</w:t>
      </w:r>
      <w:r w:rsidR="006D6F55">
        <w:rPr>
          <w:rFonts w:ascii="Arial" w:eastAsiaTheme="minorHAnsi" w:hAnsi="Arial" w:cs="Arial"/>
          <w:lang w:val="en-US" w:eastAsia="en-US"/>
        </w:rPr>
        <w:t>17</w:t>
      </w:r>
      <w:r>
        <w:rPr>
          <w:rFonts w:ascii="Arial" w:eastAsiaTheme="minorHAnsi" w:hAnsi="Arial" w:cs="Arial"/>
          <w:lang w:val="en-US" w:eastAsia="en-US"/>
        </w:rPr>
        <w:t>]</w:t>
      </w:r>
      <w:r>
        <w:rPr>
          <w:rFonts w:ascii="Arial" w:eastAsiaTheme="minorHAnsi" w:hAnsi="Arial" w:cs="Arial"/>
          <w:lang w:val="en-US" w:eastAsia="en-US"/>
        </w:rPr>
        <w:tab/>
        <w:t>Briefly summarized, the grounds of appeal amount to the following:</w:t>
      </w:r>
    </w:p>
    <w:p w:rsidR="00904EF1" w:rsidRDefault="00904EF1" w:rsidP="00904EF1">
      <w:pPr>
        <w:spacing w:line="360" w:lineRule="auto"/>
        <w:jc w:val="both"/>
        <w:rPr>
          <w:rFonts w:ascii="Arial" w:eastAsiaTheme="minorHAnsi" w:hAnsi="Arial" w:cs="Arial"/>
          <w:lang w:val="en-US" w:eastAsia="en-US"/>
        </w:rPr>
      </w:pPr>
    </w:p>
    <w:p w:rsidR="00904EF1" w:rsidRDefault="00FD66D3" w:rsidP="00FD66D3">
      <w:pPr>
        <w:spacing w:line="360" w:lineRule="auto"/>
        <w:jc w:val="both"/>
        <w:rPr>
          <w:rFonts w:ascii="Arial" w:eastAsiaTheme="minorHAnsi" w:hAnsi="Arial" w:cs="Arial"/>
          <w:lang w:val="en-US" w:eastAsia="en-US"/>
        </w:rPr>
      </w:pPr>
      <w:r>
        <w:rPr>
          <w:rFonts w:ascii="Arial" w:eastAsiaTheme="minorHAnsi" w:hAnsi="Arial" w:cs="Arial"/>
          <w:lang w:val="en-US" w:eastAsia="en-US"/>
        </w:rPr>
        <w:t>That another court may find that (a) the applicant did not act corruptly with intent to subvert or undermine the vetting process; (b) the deeming provision under section 43(2) of the Act did not become operative; (c) because the applicant was not vested with the power or duty to make a decision in respect of the selection of beneficiaries, she could not have been c</w:t>
      </w:r>
      <w:r w:rsidR="00FF5B47">
        <w:rPr>
          <w:rFonts w:ascii="Arial" w:eastAsiaTheme="minorHAnsi" w:hAnsi="Arial" w:cs="Arial"/>
          <w:lang w:val="en-US" w:eastAsia="en-US"/>
        </w:rPr>
        <w:t>onvicted of corruption; (d)</w:t>
      </w:r>
      <w:r>
        <w:rPr>
          <w:rFonts w:ascii="Arial" w:eastAsiaTheme="minorHAnsi" w:hAnsi="Arial" w:cs="Arial"/>
          <w:lang w:val="en-US" w:eastAsia="en-US"/>
        </w:rPr>
        <w:t xml:space="preserve"> the applicant did not overrule the selection committee’s </w:t>
      </w:r>
      <w:r w:rsidR="00780C7E">
        <w:rPr>
          <w:rFonts w:ascii="Arial" w:eastAsiaTheme="minorHAnsi" w:hAnsi="Arial" w:cs="Arial"/>
          <w:lang w:val="en-US" w:eastAsia="en-US"/>
        </w:rPr>
        <w:t xml:space="preserve">discretion and decision; (e) the selection committee’s decision was a non-binding measure by an ad hoc administrative body and any subversion by the applicant of the list of beneficiaries did not constitute a violation of a criminal norm; (f) the exercise of political discretionary power is </w:t>
      </w:r>
      <w:r w:rsidR="00780C7E">
        <w:rPr>
          <w:rFonts w:ascii="Arial" w:eastAsiaTheme="minorHAnsi" w:hAnsi="Arial" w:cs="Arial"/>
          <w:i/>
          <w:lang w:val="en-US" w:eastAsia="en-US"/>
        </w:rPr>
        <w:t xml:space="preserve">per se </w:t>
      </w:r>
      <w:r w:rsidR="00780C7E">
        <w:rPr>
          <w:rFonts w:ascii="Arial" w:eastAsiaTheme="minorHAnsi" w:hAnsi="Arial" w:cs="Arial"/>
          <w:lang w:val="en-US" w:eastAsia="en-US"/>
        </w:rPr>
        <w:t>not unlawful; and lastly, (g) whether the substitution of names on the list did not render the criminal matter a triviality under Criminal Law.</w:t>
      </w:r>
    </w:p>
    <w:p w:rsidR="00780C7E" w:rsidRDefault="00780C7E" w:rsidP="00FD66D3">
      <w:pPr>
        <w:spacing w:line="360" w:lineRule="auto"/>
        <w:jc w:val="both"/>
        <w:rPr>
          <w:rFonts w:ascii="Arial" w:eastAsiaTheme="minorHAnsi" w:hAnsi="Arial" w:cs="Arial"/>
          <w:lang w:val="en-US" w:eastAsia="en-US"/>
        </w:rPr>
      </w:pPr>
    </w:p>
    <w:p w:rsidR="00780C7E" w:rsidRPr="00780C7E" w:rsidRDefault="00780C7E" w:rsidP="00FD66D3">
      <w:pPr>
        <w:spacing w:line="360" w:lineRule="auto"/>
        <w:jc w:val="both"/>
        <w:rPr>
          <w:rFonts w:ascii="Arial" w:eastAsiaTheme="minorHAnsi" w:hAnsi="Arial" w:cs="Arial"/>
          <w:lang w:val="en-US" w:eastAsia="en-US"/>
        </w:rPr>
      </w:pPr>
      <w:r>
        <w:rPr>
          <w:rFonts w:ascii="Arial" w:eastAsiaTheme="minorHAnsi" w:hAnsi="Arial" w:cs="Arial"/>
          <w:lang w:val="en-US" w:eastAsia="en-US"/>
        </w:rPr>
        <w:t>[</w:t>
      </w:r>
      <w:r w:rsidR="006D6F55">
        <w:rPr>
          <w:rFonts w:ascii="Arial" w:eastAsiaTheme="minorHAnsi" w:hAnsi="Arial" w:cs="Arial"/>
          <w:lang w:val="en-US" w:eastAsia="en-US"/>
        </w:rPr>
        <w:t>18</w:t>
      </w:r>
      <w:r>
        <w:rPr>
          <w:rFonts w:ascii="Arial" w:eastAsiaTheme="minorHAnsi" w:hAnsi="Arial" w:cs="Arial"/>
          <w:lang w:val="en-US" w:eastAsia="en-US"/>
        </w:rPr>
        <w:t>]</w:t>
      </w:r>
      <w:r>
        <w:rPr>
          <w:rFonts w:ascii="Arial" w:eastAsiaTheme="minorHAnsi" w:hAnsi="Arial" w:cs="Arial"/>
          <w:lang w:val="en-US" w:eastAsia="en-US"/>
        </w:rPr>
        <w:tab/>
      </w:r>
      <w:r w:rsidR="00FF5B47">
        <w:rPr>
          <w:rFonts w:ascii="Arial" w:eastAsiaTheme="minorHAnsi" w:hAnsi="Arial" w:cs="Arial"/>
          <w:lang w:val="en-US" w:eastAsia="en-US"/>
        </w:rPr>
        <w:t>When pointed out by the court during oral submissions that with r</w:t>
      </w:r>
      <w:r w:rsidR="0056220B">
        <w:rPr>
          <w:rFonts w:ascii="Arial" w:eastAsiaTheme="minorHAnsi" w:hAnsi="Arial" w:cs="Arial"/>
          <w:lang w:val="en-US" w:eastAsia="en-US"/>
        </w:rPr>
        <w:t>egards to the ground in (f)</w:t>
      </w:r>
      <w:r w:rsidR="00FF5B47">
        <w:rPr>
          <w:rFonts w:ascii="Arial" w:eastAsiaTheme="minorHAnsi" w:hAnsi="Arial" w:cs="Arial"/>
          <w:lang w:val="en-US" w:eastAsia="en-US"/>
        </w:rPr>
        <w:t xml:space="preserve"> it was never part of the applicant’s defence or testimony that she admitted having intervene</w:t>
      </w:r>
      <w:r w:rsidR="0056220B">
        <w:rPr>
          <w:rFonts w:ascii="Arial" w:eastAsiaTheme="minorHAnsi" w:hAnsi="Arial" w:cs="Arial"/>
          <w:lang w:val="en-US" w:eastAsia="en-US"/>
        </w:rPr>
        <w:t>d with the selection process, counsel</w:t>
      </w:r>
      <w:r w:rsidR="00FF5B47">
        <w:rPr>
          <w:rFonts w:ascii="Arial" w:eastAsiaTheme="minorHAnsi" w:hAnsi="Arial" w:cs="Arial"/>
          <w:lang w:val="en-US" w:eastAsia="en-US"/>
        </w:rPr>
        <w:t xml:space="preserve"> advanced no further argument and effectively abandoned these grounds. The decision is wisely taken. This would equally apply to the ground set out in (g) above.</w:t>
      </w:r>
    </w:p>
    <w:p w:rsidR="00B27AF3" w:rsidRDefault="00B27AF3" w:rsidP="00561B4C">
      <w:pPr>
        <w:spacing w:line="360" w:lineRule="auto"/>
        <w:jc w:val="both"/>
        <w:rPr>
          <w:rFonts w:ascii="Arial" w:eastAsiaTheme="minorHAnsi" w:hAnsi="Arial" w:cs="Arial"/>
          <w:lang w:val="en-US" w:eastAsia="en-US"/>
        </w:rPr>
      </w:pPr>
    </w:p>
    <w:p w:rsidR="00561B4C" w:rsidRPr="00561B4C" w:rsidRDefault="00767DA6" w:rsidP="00561B4C">
      <w:pPr>
        <w:spacing w:line="360" w:lineRule="auto"/>
        <w:jc w:val="both"/>
        <w:rPr>
          <w:rFonts w:ascii="Arial" w:hAnsi="Arial" w:cs="Arial"/>
        </w:rPr>
      </w:pPr>
      <w:r>
        <w:rPr>
          <w:rFonts w:ascii="Arial" w:eastAsiaTheme="minorHAnsi" w:hAnsi="Arial" w:cs="Arial"/>
          <w:lang w:val="en-US" w:eastAsia="en-US"/>
        </w:rPr>
        <w:t>[</w:t>
      </w:r>
      <w:r w:rsidR="006D6F55">
        <w:rPr>
          <w:rFonts w:ascii="Arial" w:eastAsiaTheme="minorHAnsi" w:hAnsi="Arial" w:cs="Arial"/>
          <w:lang w:val="en-US" w:eastAsia="en-US"/>
        </w:rPr>
        <w:t>19</w:t>
      </w:r>
      <w:r>
        <w:rPr>
          <w:rFonts w:ascii="Arial" w:eastAsiaTheme="minorHAnsi" w:hAnsi="Arial" w:cs="Arial"/>
          <w:lang w:val="en-US" w:eastAsia="en-US"/>
        </w:rPr>
        <w:t>]</w:t>
      </w:r>
      <w:r>
        <w:rPr>
          <w:rFonts w:ascii="Arial" w:eastAsiaTheme="minorHAnsi" w:hAnsi="Arial" w:cs="Arial"/>
          <w:lang w:val="en-US" w:eastAsia="en-US"/>
        </w:rPr>
        <w:tab/>
        <w:t xml:space="preserve">In amplification counsel reasoned that with regard to the </w:t>
      </w:r>
      <w:r w:rsidR="00D87ACE" w:rsidRPr="00D87ACE">
        <w:rPr>
          <w:rFonts w:ascii="Arial" w:eastAsiaTheme="minorHAnsi" w:hAnsi="Arial" w:cs="Arial"/>
          <w:lang w:val="en-US" w:eastAsia="en-US"/>
        </w:rPr>
        <w:t>Special Advisors and Regional Governors Appointment Act, 1990 (Act 6 of 1990)</w:t>
      </w:r>
      <w:r>
        <w:rPr>
          <w:rFonts w:ascii="Arial" w:eastAsiaTheme="minorHAnsi" w:hAnsi="Arial" w:cs="Arial"/>
          <w:lang w:val="en-US" w:eastAsia="en-US"/>
        </w:rPr>
        <w:t xml:space="preserve"> the applicant had no supervisory powers over the selection pr</w:t>
      </w:r>
      <w:r w:rsidR="00C749E3">
        <w:rPr>
          <w:rFonts w:ascii="Arial" w:eastAsiaTheme="minorHAnsi" w:hAnsi="Arial" w:cs="Arial"/>
          <w:lang w:val="en-US" w:eastAsia="en-US"/>
        </w:rPr>
        <w:t xml:space="preserve">ocess. It was argued that even where there was a misconception on the part of applicant that she had supervisory powers over the selection process, then it still did not satisfy the requirement of direct or indirect corrupt use of her office as defined in section 43(1) of the Act. The Act itself makes no provision for the assumption of power. </w:t>
      </w:r>
      <w:r w:rsidR="0094469C">
        <w:rPr>
          <w:rFonts w:ascii="Arial" w:eastAsiaTheme="minorHAnsi" w:hAnsi="Arial" w:cs="Arial"/>
          <w:lang w:val="en-US" w:eastAsia="en-US"/>
        </w:rPr>
        <w:t>Hence,</w:t>
      </w:r>
      <w:r w:rsidR="00C749E3">
        <w:rPr>
          <w:rFonts w:ascii="Arial" w:eastAsiaTheme="minorHAnsi" w:hAnsi="Arial" w:cs="Arial"/>
          <w:lang w:val="en-US" w:eastAsia="en-US"/>
        </w:rPr>
        <w:t xml:space="preserve"> the</w:t>
      </w:r>
      <w:r w:rsidR="0094469C">
        <w:rPr>
          <w:rFonts w:ascii="Arial" w:eastAsiaTheme="minorHAnsi" w:hAnsi="Arial" w:cs="Arial"/>
          <w:lang w:val="en-US" w:eastAsia="en-US"/>
        </w:rPr>
        <w:t xml:space="preserve"> </w:t>
      </w:r>
      <w:r w:rsidR="00C749E3">
        <w:rPr>
          <w:rFonts w:ascii="Arial" w:eastAsiaTheme="minorHAnsi" w:hAnsi="Arial" w:cs="Arial"/>
          <w:lang w:val="en-US" w:eastAsia="en-US"/>
        </w:rPr>
        <w:t xml:space="preserve">assumption and </w:t>
      </w:r>
      <w:r w:rsidR="0094469C">
        <w:rPr>
          <w:rFonts w:ascii="Arial" w:eastAsiaTheme="minorHAnsi" w:hAnsi="Arial" w:cs="Arial"/>
          <w:lang w:val="en-US" w:eastAsia="en-US"/>
        </w:rPr>
        <w:t xml:space="preserve">abuse of power did </w:t>
      </w:r>
      <w:r w:rsidR="0094469C">
        <w:rPr>
          <w:rFonts w:ascii="Arial" w:eastAsiaTheme="minorHAnsi" w:hAnsi="Arial" w:cs="Arial"/>
          <w:lang w:val="en-US" w:eastAsia="en-US"/>
        </w:rPr>
        <w:lastRenderedPageBreak/>
        <w:t>not fall withi</w:t>
      </w:r>
      <w:r w:rsidR="0088780C">
        <w:rPr>
          <w:rFonts w:ascii="Arial" w:eastAsiaTheme="minorHAnsi" w:hAnsi="Arial" w:cs="Arial"/>
          <w:lang w:val="en-US" w:eastAsia="en-US"/>
        </w:rPr>
        <w:t>n the ambit of section 43(1) of</w:t>
      </w:r>
      <w:r w:rsidR="00926E0B" w:rsidRPr="00796E63">
        <w:rPr>
          <w:rFonts w:ascii="Arial" w:eastAsiaTheme="minorHAnsi" w:hAnsi="Arial" w:cs="Arial"/>
          <w:lang w:val="en-US" w:eastAsia="en-US"/>
        </w:rPr>
        <w:t xml:space="preserve"> </w:t>
      </w:r>
      <w:r w:rsidR="0094469C">
        <w:rPr>
          <w:rFonts w:ascii="Arial" w:eastAsiaTheme="minorHAnsi" w:hAnsi="Arial" w:cs="Arial"/>
          <w:lang w:val="en-US" w:eastAsia="en-US"/>
        </w:rPr>
        <w:t>the Act.</w:t>
      </w:r>
      <w:r w:rsidR="0088780C">
        <w:rPr>
          <w:rFonts w:ascii="Arial" w:eastAsiaTheme="minorHAnsi" w:hAnsi="Arial" w:cs="Arial"/>
          <w:lang w:val="en-US" w:eastAsia="en-US"/>
        </w:rPr>
        <w:t xml:space="preserve"> Furthermore, that even if it did</w:t>
      </w:r>
      <w:r w:rsidR="00AC2AB1">
        <w:rPr>
          <w:rFonts w:ascii="Arial" w:eastAsiaTheme="minorHAnsi" w:hAnsi="Arial" w:cs="Arial"/>
          <w:lang w:val="en-US" w:eastAsia="en-US"/>
        </w:rPr>
        <w:t>, based on applicant’s assumption of power an</w:t>
      </w:r>
      <w:r w:rsidR="00C749E3">
        <w:rPr>
          <w:rFonts w:ascii="Arial" w:eastAsiaTheme="minorHAnsi" w:hAnsi="Arial" w:cs="Arial"/>
          <w:lang w:val="en-US" w:eastAsia="en-US"/>
        </w:rPr>
        <w:t>d</w:t>
      </w:r>
      <w:r w:rsidR="00AC2AB1">
        <w:rPr>
          <w:rFonts w:ascii="Arial" w:eastAsiaTheme="minorHAnsi" w:hAnsi="Arial" w:cs="Arial"/>
          <w:lang w:val="en-US" w:eastAsia="en-US"/>
        </w:rPr>
        <w:t xml:space="preserve"> abuse of such power</w:t>
      </w:r>
      <w:r w:rsidR="0088780C">
        <w:rPr>
          <w:rFonts w:ascii="Arial" w:eastAsiaTheme="minorHAnsi" w:hAnsi="Arial" w:cs="Arial"/>
          <w:lang w:val="en-US" w:eastAsia="en-US"/>
        </w:rPr>
        <w:t>, applicant’</w:t>
      </w:r>
      <w:r w:rsidR="00AC2AB1">
        <w:rPr>
          <w:rFonts w:ascii="Arial" w:eastAsiaTheme="minorHAnsi" w:hAnsi="Arial" w:cs="Arial"/>
          <w:lang w:val="en-US" w:eastAsia="en-US"/>
        </w:rPr>
        <w:t>s conduct must be coupled with a specific intent to act corruptly as envisaged in that section</w:t>
      </w:r>
      <w:r w:rsidR="0054409A">
        <w:rPr>
          <w:rFonts w:ascii="Arial" w:eastAsiaTheme="minorHAnsi" w:hAnsi="Arial" w:cs="Arial"/>
          <w:lang w:val="en-US" w:eastAsia="en-US"/>
        </w:rPr>
        <w:t xml:space="preserve"> because</w:t>
      </w:r>
      <w:r w:rsidR="00AC2AB1">
        <w:rPr>
          <w:rFonts w:ascii="Arial" w:eastAsiaTheme="minorHAnsi" w:hAnsi="Arial" w:cs="Arial"/>
          <w:lang w:val="en-US" w:eastAsia="en-US"/>
        </w:rPr>
        <w:t xml:space="preserve"> an abuse </w:t>
      </w:r>
      <w:r w:rsidR="00FF557E">
        <w:rPr>
          <w:rFonts w:ascii="Arial" w:eastAsiaTheme="minorHAnsi" w:hAnsi="Arial" w:cs="Arial"/>
          <w:lang w:val="en-US" w:eastAsia="en-US"/>
        </w:rPr>
        <w:t>of power is not synonym with</w:t>
      </w:r>
      <w:r w:rsidR="00AC2AB1">
        <w:rPr>
          <w:rFonts w:ascii="Arial" w:eastAsiaTheme="minorHAnsi" w:hAnsi="Arial" w:cs="Arial"/>
          <w:lang w:val="en-US" w:eastAsia="en-US"/>
        </w:rPr>
        <w:t xml:space="preserve"> a corrupt act. In other words, an abuse of p</w:t>
      </w:r>
      <w:r w:rsidR="00FF557E">
        <w:rPr>
          <w:rFonts w:ascii="Arial" w:eastAsiaTheme="minorHAnsi" w:hAnsi="Arial" w:cs="Arial"/>
          <w:lang w:val="en-US" w:eastAsia="en-US"/>
        </w:rPr>
        <w:t>ower should not be equated to the</w:t>
      </w:r>
      <w:r w:rsidR="00AC2AB1">
        <w:rPr>
          <w:rFonts w:ascii="Arial" w:eastAsiaTheme="minorHAnsi" w:hAnsi="Arial" w:cs="Arial"/>
          <w:lang w:val="en-US" w:eastAsia="en-US"/>
        </w:rPr>
        <w:t xml:space="preserve"> in</w:t>
      </w:r>
      <w:r w:rsidR="00C277D2">
        <w:rPr>
          <w:rFonts w:ascii="Arial" w:eastAsiaTheme="minorHAnsi" w:hAnsi="Arial" w:cs="Arial"/>
          <w:lang w:val="en-US" w:eastAsia="en-US"/>
        </w:rPr>
        <w:t>tent</w:t>
      </w:r>
      <w:r w:rsidR="00FF557E">
        <w:rPr>
          <w:rFonts w:ascii="Arial" w:eastAsiaTheme="minorHAnsi" w:hAnsi="Arial" w:cs="Arial"/>
          <w:lang w:val="en-US" w:eastAsia="en-US"/>
        </w:rPr>
        <w:t>ion</w:t>
      </w:r>
      <w:r w:rsidR="00C277D2">
        <w:rPr>
          <w:rFonts w:ascii="Arial" w:eastAsiaTheme="minorHAnsi" w:hAnsi="Arial" w:cs="Arial"/>
          <w:lang w:val="en-US" w:eastAsia="en-US"/>
        </w:rPr>
        <w:t xml:space="preserve"> to act corruptly where, in</w:t>
      </w:r>
      <w:r w:rsidR="00B27AF3">
        <w:rPr>
          <w:rFonts w:ascii="Arial" w:eastAsiaTheme="minorHAnsi" w:hAnsi="Arial" w:cs="Arial"/>
          <w:lang w:val="en-US" w:eastAsia="en-US"/>
        </w:rPr>
        <w:t xml:space="preserve"> the latter, a person knowingly and dishonestly acts with a </w:t>
      </w:r>
      <w:r w:rsidR="00B27AF3" w:rsidRPr="00FF557E">
        <w:rPr>
          <w:rFonts w:ascii="Arial" w:eastAsiaTheme="minorHAnsi" w:hAnsi="Arial" w:cs="Arial"/>
          <w:i/>
          <w:lang w:val="en-US" w:eastAsia="en-US"/>
        </w:rPr>
        <w:t>specific</w:t>
      </w:r>
      <w:r w:rsidR="00B27AF3">
        <w:rPr>
          <w:rFonts w:ascii="Arial" w:eastAsiaTheme="minorHAnsi" w:hAnsi="Arial" w:cs="Arial"/>
          <w:lang w:val="en-US" w:eastAsia="en-US"/>
        </w:rPr>
        <w:t xml:space="preserve"> </w:t>
      </w:r>
      <w:r w:rsidR="00B27AF3" w:rsidRPr="00FF557E">
        <w:rPr>
          <w:rFonts w:ascii="Arial" w:eastAsiaTheme="minorHAnsi" w:hAnsi="Arial" w:cs="Arial"/>
          <w:i/>
          <w:lang w:val="en-US" w:eastAsia="en-US"/>
        </w:rPr>
        <w:t>intent</w:t>
      </w:r>
      <w:r w:rsidR="00B27AF3">
        <w:rPr>
          <w:rFonts w:ascii="Arial" w:eastAsiaTheme="minorHAnsi" w:hAnsi="Arial" w:cs="Arial"/>
          <w:lang w:val="en-US" w:eastAsia="en-US"/>
        </w:rPr>
        <w:t xml:space="preserve"> to subvert or undermine the integrity of something. </w:t>
      </w:r>
    </w:p>
    <w:p w:rsidR="00F15CF1" w:rsidRDefault="00F15CF1" w:rsidP="00AF038A">
      <w:pPr>
        <w:spacing w:line="360" w:lineRule="auto"/>
        <w:jc w:val="both"/>
        <w:rPr>
          <w:rFonts w:ascii="Arial" w:hAnsi="Arial" w:cs="Arial"/>
        </w:rPr>
      </w:pPr>
    </w:p>
    <w:p w:rsidR="00F15CF1" w:rsidRDefault="0054409A" w:rsidP="00AF038A">
      <w:pPr>
        <w:spacing w:line="360" w:lineRule="auto"/>
        <w:jc w:val="both"/>
        <w:rPr>
          <w:rFonts w:ascii="Arial" w:hAnsi="Arial" w:cs="Arial"/>
        </w:rPr>
      </w:pPr>
      <w:r>
        <w:rPr>
          <w:rFonts w:ascii="Arial" w:hAnsi="Arial" w:cs="Arial"/>
        </w:rPr>
        <w:t>[</w:t>
      </w:r>
      <w:r w:rsidR="006D6F55">
        <w:rPr>
          <w:rFonts w:ascii="Arial" w:hAnsi="Arial" w:cs="Arial"/>
        </w:rPr>
        <w:t>20</w:t>
      </w:r>
      <w:r>
        <w:rPr>
          <w:rFonts w:ascii="Arial" w:hAnsi="Arial" w:cs="Arial"/>
        </w:rPr>
        <w:t>]</w:t>
      </w:r>
      <w:r>
        <w:rPr>
          <w:rFonts w:ascii="Arial" w:hAnsi="Arial" w:cs="Arial"/>
        </w:rPr>
        <w:tab/>
      </w:r>
      <w:r w:rsidR="00D52341">
        <w:rPr>
          <w:rFonts w:ascii="Arial" w:hAnsi="Arial" w:cs="Arial"/>
        </w:rPr>
        <w:t xml:space="preserve">Mr </w:t>
      </w:r>
      <w:r w:rsidR="00D52341">
        <w:rPr>
          <w:rFonts w:ascii="Arial" w:hAnsi="Arial" w:cs="Arial"/>
          <w:i/>
        </w:rPr>
        <w:t xml:space="preserve">Marondedze </w:t>
      </w:r>
      <w:r w:rsidR="00C277D2">
        <w:rPr>
          <w:rFonts w:ascii="Arial" w:hAnsi="Arial" w:cs="Arial"/>
        </w:rPr>
        <w:t>submitted</w:t>
      </w:r>
      <w:r w:rsidR="00D52341">
        <w:rPr>
          <w:rFonts w:ascii="Arial" w:hAnsi="Arial" w:cs="Arial"/>
        </w:rPr>
        <w:t xml:space="preserve"> to the contrary and based his argument on established case law stating that the test in applications of this nature is not whether the Supreme Court </w:t>
      </w:r>
      <w:r w:rsidR="00D52341" w:rsidRPr="00D52341">
        <w:rPr>
          <w:rFonts w:ascii="Arial" w:hAnsi="Arial" w:cs="Arial"/>
          <w:i/>
        </w:rPr>
        <w:t>may</w:t>
      </w:r>
      <w:r w:rsidR="00D52341">
        <w:rPr>
          <w:rFonts w:ascii="Arial" w:hAnsi="Arial" w:cs="Arial"/>
        </w:rPr>
        <w:t xml:space="preserve"> (reasonably) give a different interpretation of the law than </w:t>
      </w:r>
      <w:r w:rsidR="00C277D2">
        <w:rPr>
          <w:rFonts w:ascii="Arial" w:hAnsi="Arial" w:cs="Arial"/>
        </w:rPr>
        <w:t xml:space="preserve">what </w:t>
      </w:r>
      <w:r w:rsidR="00D52341">
        <w:rPr>
          <w:rFonts w:ascii="Arial" w:hAnsi="Arial" w:cs="Arial"/>
        </w:rPr>
        <w:t xml:space="preserve">this court did when adjudicating the case, but to show that the court </w:t>
      </w:r>
      <w:r w:rsidR="00D52341" w:rsidRPr="00C277D2">
        <w:rPr>
          <w:rFonts w:ascii="Arial" w:hAnsi="Arial" w:cs="Arial"/>
          <w:i/>
        </w:rPr>
        <w:t>misdirected</w:t>
      </w:r>
      <w:r w:rsidR="00D52341">
        <w:rPr>
          <w:rFonts w:ascii="Arial" w:hAnsi="Arial" w:cs="Arial"/>
        </w:rPr>
        <w:t xml:space="preserve"> itself on the law or the fact</w:t>
      </w:r>
      <w:r w:rsidR="00AE3341">
        <w:rPr>
          <w:rFonts w:ascii="Arial" w:hAnsi="Arial" w:cs="Arial"/>
        </w:rPr>
        <w:t>s</w:t>
      </w:r>
      <w:r w:rsidR="00D52341">
        <w:rPr>
          <w:rFonts w:ascii="Arial" w:hAnsi="Arial" w:cs="Arial"/>
        </w:rPr>
        <w:t>, or both.</w:t>
      </w:r>
      <w:r w:rsidR="00AE3341">
        <w:rPr>
          <w:rFonts w:ascii="Arial" w:hAnsi="Arial" w:cs="Arial"/>
        </w:rPr>
        <w:t xml:space="preserve"> In this respect, it was said, the approach by counsel to seek the Supreme Court’s interpretation </w:t>
      </w:r>
      <w:r w:rsidR="00C277D2">
        <w:rPr>
          <w:rFonts w:ascii="Arial" w:hAnsi="Arial" w:cs="Arial"/>
        </w:rPr>
        <w:t xml:space="preserve">and guidance </w:t>
      </w:r>
      <w:r w:rsidR="00AE3341">
        <w:rPr>
          <w:rFonts w:ascii="Arial" w:hAnsi="Arial" w:cs="Arial"/>
        </w:rPr>
        <w:t>in these circumstances is unjustified. Moreover, in view of the concession made at the outset that the court did not commit any misdirection in</w:t>
      </w:r>
      <w:r w:rsidR="00C277D2">
        <w:rPr>
          <w:rFonts w:ascii="Arial" w:hAnsi="Arial" w:cs="Arial"/>
        </w:rPr>
        <w:t xml:space="preserve"> making</w:t>
      </w:r>
      <w:r w:rsidR="00AE3341">
        <w:rPr>
          <w:rFonts w:ascii="Arial" w:hAnsi="Arial" w:cs="Arial"/>
        </w:rPr>
        <w:t xml:space="preserve"> its factual and credibility findings; neither does </w:t>
      </w:r>
      <w:r w:rsidR="00775D17">
        <w:rPr>
          <w:rFonts w:ascii="Arial" w:hAnsi="Arial" w:cs="Arial"/>
        </w:rPr>
        <w:t xml:space="preserve">the applicant state in what way did this court misdirect itself in its interpretation and application of the law and why the judgment is wrong. Counsel further argued that the applicant was not convicted for having assumed responsibility over the selection process, but for having </w:t>
      </w:r>
      <w:r w:rsidR="002B3301">
        <w:rPr>
          <w:rFonts w:ascii="Arial" w:hAnsi="Arial" w:cs="Arial"/>
        </w:rPr>
        <w:t xml:space="preserve">abused the </w:t>
      </w:r>
      <w:r w:rsidR="00775D17">
        <w:rPr>
          <w:rFonts w:ascii="Arial" w:hAnsi="Arial" w:cs="Arial"/>
        </w:rPr>
        <w:t xml:space="preserve">power </w:t>
      </w:r>
      <w:r w:rsidR="002B3301">
        <w:rPr>
          <w:rFonts w:ascii="Arial" w:hAnsi="Arial" w:cs="Arial"/>
        </w:rPr>
        <w:t>of her office as Governor when demanding that changes be made to the list of beneficiaries from which family members benefitted.</w:t>
      </w:r>
    </w:p>
    <w:p w:rsidR="002B3301" w:rsidRDefault="002B3301" w:rsidP="00AF038A">
      <w:pPr>
        <w:spacing w:line="360" w:lineRule="auto"/>
        <w:jc w:val="both"/>
        <w:rPr>
          <w:rFonts w:ascii="Arial" w:hAnsi="Arial" w:cs="Arial"/>
        </w:rPr>
      </w:pPr>
    </w:p>
    <w:p w:rsidR="002B3301" w:rsidRDefault="002B3301" w:rsidP="00AF038A">
      <w:pPr>
        <w:spacing w:line="360" w:lineRule="auto"/>
        <w:jc w:val="both"/>
        <w:rPr>
          <w:rFonts w:ascii="Arial" w:hAnsi="Arial" w:cs="Arial"/>
        </w:rPr>
      </w:pPr>
      <w:r>
        <w:rPr>
          <w:rFonts w:ascii="Arial" w:hAnsi="Arial" w:cs="Arial"/>
        </w:rPr>
        <w:t>[</w:t>
      </w:r>
      <w:r w:rsidR="006D6F55">
        <w:rPr>
          <w:rFonts w:ascii="Arial" w:hAnsi="Arial" w:cs="Arial"/>
        </w:rPr>
        <w:t>21</w:t>
      </w:r>
      <w:r>
        <w:rPr>
          <w:rFonts w:ascii="Arial" w:hAnsi="Arial" w:cs="Arial"/>
        </w:rPr>
        <w:t>]</w:t>
      </w:r>
      <w:r>
        <w:rPr>
          <w:rFonts w:ascii="Arial" w:hAnsi="Arial" w:cs="Arial"/>
        </w:rPr>
        <w:tab/>
      </w:r>
      <w:r w:rsidR="00AD28A6">
        <w:rPr>
          <w:rFonts w:ascii="Arial" w:hAnsi="Arial" w:cs="Arial"/>
        </w:rPr>
        <w:t>W</w:t>
      </w:r>
      <w:r>
        <w:rPr>
          <w:rFonts w:ascii="Arial" w:hAnsi="Arial" w:cs="Arial"/>
        </w:rPr>
        <w:t xml:space="preserve">hether </w:t>
      </w:r>
      <w:r w:rsidR="00AD28A6">
        <w:rPr>
          <w:rFonts w:ascii="Arial" w:hAnsi="Arial" w:cs="Arial"/>
        </w:rPr>
        <w:t xml:space="preserve">or not </w:t>
      </w:r>
      <w:r>
        <w:rPr>
          <w:rFonts w:ascii="Arial" w:hAnsi="Arial" w:cs="Arial"/>
        </w:rPr>
        <w:t xml:space="preserve">applicant has crossed the threshold by showing on a balance of probabilities that the court misdirected itself and, as a result thereof wrongly convicted the applicant, </w:t>
      </w:r>
      <w:r w:rsidR="00AD28A6">
        <w:rPr>
          <w:rFonts w:ascii="Arial" w:hAnsi="Arial" w:cs="Arial"/>
        </w:rPr>
        <w:t>must be determined on the grounds relied upon in the application. Where it is conceded that the court did not err on the evaluation of the evidence adduced or findings of credibility and the application hinges on the interpreta</w:t>
      </w:r>
      <w:r w:rsidR="00C277D2">
        <w:rPr>
          <w:rFonts w:ascii="Arial" w:hAnsi="Arial" w:cs="Arial"/>
        </w:rPr>
        <w:t>tion of the law, the onus rests</w:t>
      </w:r>
      <w:r w:rsidR="00AD28A6">
        <w:rPr>
          <w:rFonts w:ascii="Arial" w:hAnsi="Arial" w:cs="Arial"/>
        </w:rPr>
        <w:t xml:space="preserve"> on the applicant to at least show in what manner or the extent in which</w:t>
      </w:r>
      <w:r w:rsidR="00C277D2">
        <w:rPr>
          <w:rFonts w:ascii="Arial" w:hAnsi="Arial" w:cs="Arial"/>
        </w:rPr>
        <w:t xml:space="preserve"> the interpretation given by this</w:t>
      </w:r>
      <w:r w:rsidR="00AD28A6">
        <w:rPr>
          <w:rFonts w:ascii="Arial" w:hAnsi="Arial" w:cs="Arial"/>
        </w:rPr>
        <w:t xml:space="preserve"> court was wrong and open for an interpretation </w:t>
      </w:r>
      <w:r w:rsidR="00AD28A6" w:rsidRPr="00AD28A6">
        <w:rPr>
          <w:rFonts w:ascii="Arial" w:hAnsi="Arial" w:cs="Arial"/>
          <w:i/>
        </w:rPr>
        <w:t>favourable to the applicant</w:t>
      </w:r>
      <w:r w:rsidR="00AD28A6">
        <w:rPr>
          <w:rFonts w:ascii="Arial" w:hAnsi="Arial" w:cs="Arial"/>
        </w:rPr>
        <w:t>. This the applicant has not succeeded in doing.</w:t>
      </w:r>
      <w:r w:rsidR="00C277D2">
        <w:rPr>
          <w:rFonts w:ascii="Arial" w:hAnsi="Arial" w:cs="Arial"/>
        </w:rPr>
        <w:t xml:space="preserve"> The approach followed by the applicant </w:t>
      </w:r>
      <w:r w:rsidR="004F2491">
        <w:rPr>
          <w:rFonts w:ascii="Arial" w:hAnsi="Arial" w:cs="Arial"/>
        </w:rPr>
        <w:t xml:space="preserve">instead </w:t>
      </w:r>
      <w:r w:rsidR="00C277D2">
        <w:rPr>
          <w:rFonts w:ascii="Arial" w:hAnsi="Arial" w:cs="Arial"/>
        </w:rPr>
        <w:t xml:space="preserve">to seek guidance from the Supreme Court </w:t>
      </w:r>
      <w:r w:rsidR="004F2491">
        <w:rPr>
          <w:rFonts w:ascii="Arial" w:hAnsi="Arial" w:cs="Arial"/>
        </w:rPr>
        <w:t>(</w:t>
      </w:r>
      <w:r w:rsidR="00C277D2">
        <w:rPr>
          <w:rFonts w:ascii="Arial" w:hAnsi="Arial" w:cs="Arial"/>
        </w:rPr>
        <w:t>for future reference</w:t>
      </w:r>
      <w:r w:rsidR="004F2491">
        <w:rPr>
          <w:rFonts w:ascii="Arial" w:hAnsi="Arial" w:cs="Arial"/>
        </w:rPr>
        <w:t>)</w:t>
      </w:r>
      <w:r w:rsidR="00C277D2">
        <w:rPr>
          <w:rFonts w:ascii="Arial" w:hAnsi="Arial" w:cs="Arial"/>
        </w:rPr>
        <w:t xml:space="preserve"> on an interpretation of the law</w:t>
      </w:r>
      <w:r w:rsidR="004F2491">
        <w:rPr>
          <w:rFonts w:ascii="Arial" w:hAnsi="Arial" w:cs="Arial"/>
        </w:rPr>
        <w:t>,</w:t>
      </w:r>
      <w:r w:rsidR="00C277D2">
        <w:rPr>
          <w:rFonts w:ascii="Arial" w:hAnsi="Arial" w:cs="Arial"/>
        </w:rPr>
        <w:t xml:space="preserve"> is not </w:t>
      </w:r>
      <w:r w:rsidR="004F2491">
        <w:rPr>
          <w:rFonts w:ascii="Arial" w:hAnsi="Arial" w:cs="Arial"/>
        </w:rPr>
        <w:lastRenderedPageBreak/>
        <w:t xml:space="preserve">acknowledged by the courts </w:t>
      </w:r>
      <w:r w:rsidR="00C277D2">
        <w:rPr>
          <w:rFonts w:ascii="Arial" w:hAnsi="Arial" w:cs="Arial"/>
        </w:rPr>
        <w:t>in this jurisdiction</w:t>
      </w:r>
      <w:r w:rsidR="004F2491">
        <w:rPr>
          <w:rFonts w:ascii="Arial" w:hAnsi="Arial" w:cs="Arial"/>
        </w:rPr>
        <w:t xml:space="preserve"> to constitute a ground of appeal; neither would it suffice</w:t>
      </w:r>
      <w:r w:rsidR="00C277D2">
        <w:rPr>
          <w:rFonts w:ascii="Arial" w:hAnsi="Arial" w:cs="Arial"/>
        </w:rPr>
        <w:t xml:space="preserve"> to </w:t>
      </w:r>
      <w:r w:rsidR="004F2491">
        <w:rPr>
          <w:rFonts w:ascii="Arial" w:hAnsi="Arial" w:cs="Arial"/>
        </w:rPr>
        <w:t>show that there are prospects of success on</w:t>
      </w:r>
      <w:r w:rsidR="00C277D2">
        <w:rPr>
          <w:rFonts w:ascii="Arial" w:hAnsi="Arial" w:cs="Arial"/>
        </w:rPr>
        <w:t xml:space="preserve"> appeal.</w:t>
      </w:r>
    </w:p>
    <w:p w:rsidR="003F502E" w:rsidRDefault="003F502E" w:rsidP="00AF038A">
      <w:pPr>
        <w:spacing w:line="360" w:lineRule="auto"/>
        <w:jc w:val="both"/>
        <w:rPr>
          <w:rFonts w:ascii="Arial" w:hAnsi="Arial" w:cs="Arial"/>
        </w:rPr>
      </w:pPr>
    </w:p>
    <w:p w:rsidR="00A2147B" w:rsidRDefault="003F502E" w:rsidP="00AF038A">
      <w:pPr>
        <w:spacing w:line="360" w:lineRule="auto"/>
        <w:jc w:val="both"/>
        <w:rPr>
          <w:rFonts w:ascii="Arial" w:hAnsi="Arial" w:cs="Arial"/>
        </w:rPr>
      </w:pPr>
      <w:r>
        <w:rPr>
          <w:rFonts w:ascii="Arial" w:hAnsi="Arial" w:cs="Arial"/>
        </w:rPr>
        <w:t>[</w:t>
      </w:r>
      <w:r w:rsidR="006D6F55">
        <w:rPr>
          <w:rFonts w:ascii="Arial" w:hAnsi="Arial" w:cs="Arial"/>
        </w:rPr>
        <w:t>22</w:t>
      </w:r>
      <w:r>
        <w:rPr>
          <w:rFonts w:ascii="Arial" w:hAnsi="Arial" w:cs="Arial"/>
        </w:rPr>
        <w:t>]</w:t>
      </w:r>
      <w:r>
        <w:rPr>
          <w:rFonts w:ascii="Arial" w:hAnsi="Arial" w:cs="Arial"/>
        </w:rPr>
        <w:tab/>
        <w:t>The grounds raised and relied upon in this application broadly overlaps with the defe</w:t>
      </w:r>
      <w:r w:rsidR="004F2491">
        <w:rPr>
          <w:rFonts w:ascii="Arial" w:hAnsi="Arial" w:cs="Arial"/>
        </w:rPr>
        <w:t>nce relied on by the applicant</w:t>
      </w:r>
      <w:r>
        <w:rPr>
          <w:rFonts w:ascii="Arial" w:hAnsi="Arial" w:cs="Arial"/>
        </w:rPr>
        <w:t xml:space="preserve"> in the trial and which were extensively discussed and </w:t>
      </w:r>
      <w:r w:rsidR="004F2491">
        <w:rPr>
          <w:rFonts w:ascii="Arial" w:hAnsi="Arial" w:cs="Arial"/>
        </w:rPr>
        <w:t>decided in the</w:t>
      </w:r>
      <w:r w:rsidR="000C48E1">
        <w:rPr>
          <w:rFonts w:ascii="Arial" w:hAnsi="Arial" w:cs="Arial"/>
        </w:rPr>
        <w:t xml:space="preserve"> judgment (paras 98 – 105) and there is no need to repeat what is stated in that regard. Suffice it to say that </w:t>
      </w:r>
      <w:r w:rsidR="004F2491">
        <w:rPr>
          <w:rFonts w:ascii="Arial" w:hAnsi="Arial" w:cs="Arial"/>
        </w:rPr>
        <w:t xml:space="preserve">the court found that </w:t>
      </w:r>
      <w:r w:rsidR="000C48E1">
        <w:rPr>
          <w:rFonts w:ascii="Arial" w:hAnsi="Arial" w:cs="Arial"/>
        </w:rPr>
        <w:t xml:space="preserve">the applicant was not vested with the power to effect the amendment of the list of beneficiaries as she did and exerted her authority as Governor of the region over the officials responsible to compile the list by compelling them to change it in accordance with her directive. </w:t>
      </w:r>
      <w:r w:rsidR="00365E59">
        <w:rPr>
          <w:rFonts w:ascii="Arial" w:hAnsi="Arial" w:cs="Arial"/>
        </w:rPr>
        <w:t xml:space="preserve">The evidence clearly established that this was solely brought about because of the power </w:t>
      </w:r>
      <w:r w:rsidR="004F2491">
        <w:rPr>
          <w:rFonts w:ascii="Arial" w:hAnsi="Arial" w:cs="Arial"/>
        </w:rPr>
        <w:t>vested in</w:t>
      </w:r>
      <w:r w:rsidR="00365E59">
        <w:rPr>
          <w:rFonts w:ascii="Arial" w:hAnsi="Arial" w:cs="Arial"/>
        </w:rPr>
        <w:t xml:space="preserve"> her office</w:t>
      </w:r>
      <w:r w:rsidR="00EE4392">
        <w:rPr>
          <w:rFonts w:ascii="Arial" w:hAnsi="Arial" w:cs="Arial"/>
        </w:rPr>
        <w:t>, a fact she had made clear to them when saying that contrary to what the approach was in other regions, they were now in her region where things are done her way. Furthermore, as</w:t>
      </w:r>
      <w:r w:rsidR="00365E59">
        <w:rPr>
          <w:rFonts w:ascii="Arial" w:hAnsi="Arial" w:cs="Arial"/>
        </w:rPr>
        <w:t xml:space="preserve"> the Governor she would have officiated at the handing over ceremony the next day and used this as a threat </w:t>
      </w:r>
      <w:r w:rsidR="004F2491">
        <w:rPr>
          <w:rFonts w:ascii="Arial" w:hAnsi="Arial" w:cs="Arial"/>
        </w:rPr>
        <w:t xml:space="preserve">or leverage </w:t>
      </w:r>
      <w:r w:rsidR="00365E59">
        <w:rPr>
          <w:rFonts w:ascii="Arial" w:hAnsi="Arial" w:cs="Arial"/>
        </w:rPr>
        <w:t xml:space="preserve">against </w:t>
      </w:r>
      <w:r w:rsidR="00EE4392">
        <w:rPr>
          <w:rFonts w:ascii="Arial" w:hAnsi="Arial" w:cs="Arial"/>
        </w:rPr>
        <w:t>the officials</w:t>
      </w:r>
      <w:r w:rsidR="00365E59">
        <w:rPr>
          <w:rFonts w:ascii="Arial" w:hAnsi="Arial" w:cs="Arial"/>
        </w:rPr>
        <w:t xml:space="preserve"> who opposed her by saying that the ceremony w</w:t>
      </w:r>
      <w:r w:rsidR="00EE4392">
        <w:rPr>
          <w:rFonts w:ascii="Arial" w:hAnsi="Arial" w:cs="Arial"/>
        </w:rPr>
        <w:t>ould be cancelled if the list were</w:t>
      </w:r>
      <w:r w:rsidR="00365E59">
        <w:rPr>
          <w:rFonts w:ascii="Arial" w:hAnsi="Arial" w:cs="Arial"/>
        </w:rPr>
        <w:t xml:space="preserve"> not changed. There was </w:t>
      </w:r>
      <w:r w:rsidR="00EE4392">
        <w:rPr>
          <w:rFonts w:ascii="Arial" w:hAnsi="Arial" w:cs="Arial"/>
        </w:rPr>
        <w:t>no doubt in this</w:t>
      </w:r>
      <w:r w:rsidR="00365E59">
        <w:rPr>
          <w:rFonts w:ascii="Arial" w:hAnsi="Arial" w:cs="Arial"/>
        </w:rPr>
        <w:t xml:space="preserve"> court’s mind that such conduct on the part of a public officer was wrong and </w:t>
      </w:r>
      <w:r w:rsidR="00EE4392">
        <w:rPr>
          <w:rFonts w:ascii="Arial" w:hAnsi="Arial" w:cs="Arial"/>
        </w:rPr>
        <w:t xml:space="preserve">amounted to </w:t>
      </w:r>
      <w:r w:rsidR="00365E59">
        <w:rPr>
          <w:rFonts w:ascii="Arial" w:hAnsi="Arial" w:cs="Arial"/>
        </w:rPr>
        <w:t xml:space="preserve">the abuse of her </w:t>
      </w:r>
      <w:r w:rsidR="00EE4392">
        <w:rPr>
          <w:rFonts w:ascii="Arial" w:hAnsi="Arial" w:cs="Arial"/>
        </w:rPr>
        <w:t>appointment</w:t>
      </w:r>
      <w:r w:rsidR="00365E59">
        <w:rPr>
          <w:rFonts w:ascii="Arial" w:hAnsi="Arial" w:cs="Arial"/>
        </w:rPr>
        <w:t xml:space="preserve"> and office</w:t>
      </w:r>
      <w:r w:rsidR="00B7480F">
        <w:rPr>
          <w:rFonts w:ascii="Arial" w:hAnsi="Arial" w:cs="Arial"/>
        </w:rPr>
        <w:t>. This was a wilful and goal directed decision taken by the applicant, bringing her actions within the ambit of subsection 2 of section 43 of the Act.</w:t>
      </w:r>
    </w:p>
    <w:p w:rsidR="00A2147B" w:rsidRDefault="00A2147B" w:rsidP="00AF038A">
      <w:pPr>
        <w:spacing w:line="360" w:lineRule="auto"/>
        <w:jc w:val="both"/>
        <w:rPr>
          <w:rFonts w:ascii="Arial" w:hAnsi="Arial" w:cs="Arial"/>
        </w:rPr>
      </w:pPr>
    </w:p>
    <w:p w:rsidR="003F502E" w:rsidRDefault="00A2147B" w:rsidP="00AF038A">
      <w:pPr>
        <w:spacing w:line="360" w:lineRule="auto"/>
        <w:jc w:val="both"/>
        <w:rPr>
          <w:rFonts w:ascii="Arial" w:hAnsi="Arial" w:cs="Arial"/>
        </w:rPr>
      </w:pPr>
      <w:r>
        <w:rPr>
          <w:rFonts w:ascii="Arial" w:hAnsi="Arial" w:cs="Arial"/>
        </w:rPr>
        <w:t>[</w:t>
      </w:r>
      <w:r w:rsidR="006D6F55">
        <w:rPr>
          <w:rFonts w:ascii="Arial" w:hAnsi="Arial" w:cs="Arial"/>
        </w:rPr>
        <w:t>23</w:t>
      </w:r>
      <w:r>
        <w:rPr>
          <w:rFonts w:ascii="Arial" w:hAnsi="Arial" w:cs="Arial"/>
        </w:rPr>
        <w:t>]</w:t>
      </w:r>
      <w:r>
        <w:rPr>
          <w:rFonts w:ascii="Arial" w:hAnsi="Arial" w:cs="Arial"/>
        </w:rPr>
        <w:tab/>
        <w:t>I</w:t>
      </w:r>
      <w:r w:rsidR="004F2491">
        <w:rPr>
          <w:rFonts w:ascii="Arial" w:hAnsi="Arial" w:cs="Arial"/>
        </w:rPr>
        <w:t>n view of the court reaching this</w:t>
      </w:r>
      <w:r w:rsidR="00EE4392">
        <w:rPr>
          <w:rFonts w:ascii="Arial" w:hAnsi="Arial" w:cs="Arial"/>
        </w:rPr>
        <w:t xml:space="preserve"> conclusion i</w:t>
      </w:r>
      <w:r>
        <w:rPr>
          <w:rFonts w:ascii="Arial" w:hAnsi="Arial" w:cs="Arial"/>
        </w:rPr>
        <w:t>t was submitted on the applicant’s behalf that, based on her appointment as Governor in terms of the Special Advisors and Regional Governors App</w:t>
      </w:r>
      <w:r w:rsidR="005309A0">
        <w:rPr>
          <w:rFonts w:ascii="Arial" w:hAnsi="Arial" w:cs="Arial"/>
        </w:rPr>
        <w:t>ointment Act, she had no power vested in her appointment to act in a supervisory capacity. This means that even where she assumed such power, it did not satisfy the requirements of section 43 of the Act. It has been the applicant’s evidence that her involvement in the MHDP was merely in a supervisory capacity w</w:t>
      </w:r>
      <w:r w:rsidR="004F2491">
        <w:rPr>
          <w:rFonts w:ascii="Arial" w:hAnsi="Arial" w:cs="Arial"/>
        </w:rPr>
        <w:t>hich, as found by the court, had</w:t>
      </w:r>
      <w:r w:rsidR="005309A0">
        <w:rPr>
          <w:rFonts w:ascii="Arial" w:hAnsi="Arial" w:cs="Arial"/>
        </w:rPr>
        <w:t xml:space="preserve"> manifested in her actions. This much is evident in the selection committee’s decision – as was done in all the other regions where the programme was rolled out – to lay the final list before the Governor of the region.</w:t>
      </w:r>
    </w:p>
    <w:p w:rsidR="005309A0" w:rsidRDefault="005309A0" w:rsidP="00AF038A">
      <w:pPr>
        <w:spacing w:line="360" w:lineRule="auto"/>
        <w:jc w:val="both"/>
        <w:rPr>
          <w:rFonts w:ascii="Arial" w:hAnsi="Arial" w:cs="Arial"/>
        </w:rPr>
      </w:pPr>
    </w:p>
    <w:p w:rsidR="005309A0" w:rsidRDefault="006C6B14" w:rsidP="00AF038A">
      <w:pPr>
        <w:spacing w:line="360" w:lineRule="auto"/>
        <w:jc w:val="both"/>
        <w:rPr>
          <w:rFonts w:ascii="Arial" w:hAnsi="Arial" w:cs="Arial"/>
        </w:rPr>
      </w:pPr>
      <w:r>
        <w:rPr>
          <w:rFonts w:ascii="Arial" w:hAnsi="Arial" w:cs="Arial"/>
        </w:rPr>
        <w:t>[</w:t>
      </w:r>
      <w:r w:rsidR="006D6F55">
        <w:rPr>
          <w:rFonts w:ascii="Arial" w:hAnsi="Arial" w:cs="Arial"/>
        </w:rPr>
        <w:t>24</w:t>
      </w:r>
      <w:r>
        <w:rPr>
          <w:rFonts w:ascii="Arial" w:hAnsi="Arial" w:cs="Arial"/>
        </w:rPr>
        <w:t>]</w:t>
      </w:r>
      <w:r>
        <w:rPr>
          <w:rFonts w:ascii="Arial" w:hAnsi="Arial" w:cs="Arial"/>
        </w:rPr>
        <w:tab/>
        <w:t>Section 2</w:t>
      </w:r>
      <w:r w:rsidR="00982024">
        <w:rPr>
          <w:rFonts w:ascii="Arial" w:hAnsi="Arial" w:cs="Arial"/>
        </w:rPr>
        <w:t>(4) sets out the functions of the Regional</w:t>
      </w:r>
      <w:r w:rsidR="005309A0">
        <w:rPr>
          <w:rFonts w:ascii="Arial" w:hAnsi="Arial" w:cs="Arial"/>
        </w:rPr>
        <w:t xml:space="preserve"> Governor</w:t>
      </w:r>
      <w:r w:rsidR="00982024">
        <w:rPr>
          <w:rFonts w:ascii="Arial" w:hAnsi="Arial" w:cs="Arial"/>
        </w:rPr>
        <w:t xml:space="preserve"> in the following terms:</w:t>
      </w:r>
    </w:p>
    <w:p w:rsidR="005309A0" w:rsidRPr="00982024" w:rsidRDefault="005309A0" w:rsidP="005309A0">
      <w:pPr>
        <w:spacing w:line="360" w:lineRule="auto"/>
        <w:jc w:val="both"/>
        <w:rPr>
          <w:rFonts w:ascii="Arial" w:hAnsi="Arial" w:cs="Arial"/>
          <w:sz w:val="22"/>
          <w:szCs w:val="22"/>
        </w:rPr>
      </w:pPr>
      <w:r w:rsidRPr="00D87ACE">
        <w:rPr>
          <w:rFonts w:ascii="Arial" w:hAnsi="Arial" w:cs="Arial"/>
        </w:rPr>
        <w:lastRenderedPageBreak/>
        <w:tab/>
      </w:r>
      <w:r w:rsidR="00982024" w:rsidRPr="00982024">
        <w:rPr>
          <w:rFonts w:ascii="Arial" w:hAnsi="Arial" w:cs="Arial"/>
          <w:sz w:val="22"/>
          <w:szCs w:val="22"/>
        </w:rPr>
        <w:t>‘</w:t>
      </w:r>
      <w:r w:rsidRPr="00982024">
        <w:rPr>
          <w:rFonts w:ascii="Arial" w:hAnsi="Arial" w:cs="Arial"/>
          <w:sz w:val="22"/>
          <w:szCs w:val="22"/>
        </w:rPr>
        <w:t xml:space="preserve">(4) </w:t>
      </w:r>
      <w:r w:rsidR="00982024">
        <w:rPr>
          <w:rFonts w:ascii="Arial" w:hAnsi="Arial" w:cs="Arial"/>
          <w:sz w:val="22"/>
          <w:szCs w:val="22"/>
        </w:rPr>
        <w:t xml:space="preserve">     </w:t>
      </w:r>
      <w:r w:rsidRPr="00982024">
        <w:rPr>
          <w:rFonts w:ascii="Arial" w:hAnsi="Arial" w:cs="Arial"/>
          <w:sz w:val="22"/>
          <w:szCs w:val="22"/>
        </w:rPr>
        <w:t>The functions of a regional governor shall be-</w:t>
      </w:r>
    </w:p>
    <w:p w:rsidR="005309A0" w:rsidRPr="00982024" w:rsidRDefault="005309A0" w:rsidP="005309A0">
      <w:pPr>
        <w:spacing w:line="360" w:lineRule="auto"/>
        <w:jc w:val="both"/>
        <w:rPr>
          <w:rFonts w:ascii="Arial" w:hAnsi="Arial" w:cs="Arial"/>
          <w:sz w:val="22"/>
          <w:szCs w:val="22"/>
        </w:rPr>
      </w:pPr>
      <w:r w:rsidRPr="00982024">
        <w:rPr>
          <w:rFonts w:ascii="Arial" w:hAnsi="Arial" w:cs="Arial"/>
          <w:sz w:val="22"/>
          <w:szCs w:val="22"/>
        </w:rPr>
        <w:tab/>
      </w:r>
      <w:r w:rsidR="00982024">
        <w:rPr>
          <w:rFonts w:ascii="Arial" w:hAnsi="Arial" w:cs="Arial"/>
          <w:sz w:val="22"/>
          <w:szCs w:val="22"/>
        </w:rPr>
        <w:t xml:space="preserve"> </w:t>
      </w:r>
      <w:r w:rsidRPr="00982024">
        <w:rPr>
          <w:rFonts w:ascii="Arial" w:hAnsi="Arial" w:cs="Arial"/>
          <w:sz w:val="22"/>
          <w:szCs w:val="22"/>
        </w:rPr>
        <w:t>(a)</w:t>
      </w:r>
      <w:r w:rsidRPr="00982024">
        <w:rPr>
          <w:rFonts w:ascii="Arial" w:hAnsi="Arial" w:cs="Arial"/>
          <w:sz w:val="22"/>
          <w:szCs w:val="22"/>
        </w:rPr>
        <w:tab/>
        <w:t>to act as the representative of the central Government in the region concerned;</w:t>
      </w:r>
    </w:p>
    <w:p w:rsidR="005309A0" w:rsidRPr="00982024" w:rsidRDefault="005309A0" w:rsidP="005309A0">
      <w:pPr>
        <w:spacing w:line="360" w:lineRule="auto"/>
        <w:jc w:val="both"/>
        <w:rPr>
          <w:rFonts w:ascii="Arial" w:hAnsi="Arial" w:cs="Arial"/>
          <w:sz w:val="22"/>
          <w:szCs w:val="22"/>
        </w:rPr>
      </w:pPr>
      <w:r w:rsidRPr="00982024">
        <w:rPr>
          <w:rFonts w:ascii="Arial" w:hAnsi="Arial" w:cs="Arial"/>
          <w:sz w:val="22"/>
          <w:szCs w:val="22"/>
        </w:rPr>
        <w:tab/>
      </w:r>
      <w:r w:rsidR="00982024">
        <w:rPr>
          <w:rFonts w:ascii="Arial" w:hAnsi="Arial" w:cs="Arial"/>
          <w:sz w:val="22"/>
          <w:szCs w:val="22"/>
        </w:rPr>
        <w:t xml:space="preserve"> </w:t>
      </w:r>
      <w:r w:rsidRPr="00982024">
        <w:rPr>
          <w:rFonts w:ascii="Arial" w:hAnsi="Arial" w:cs="Arial"/>
          <w:sz w:val="22"/>
          <w:szCs w:val="22"/>
        </w:rPr>
        <w:t>(b)</w:t>
      </w:r>
      <w:r w:rsidRPr="00982024">
        <w:rPr>
          <w:rFonts w:ascii="Arial" w:hAnsi="Arial" w:cs="Arial"/>
          <w:sz w:val="22"/>
          <w:szCs w:val="22"/>
        </w:rPr>
        <w:tab/>
        <w:t>to investigate and report on any matter relating to the region concerned if he or she has been requested to investigate that matter by the President or the Minister responsible for regional or local government;</w:t>
      </w:r>
    </w:p>
    <w:p w:rsidR="005309A0" w:rsidRPr="00982024" w:rsidRDefault="005309A0" w:rsidP="005309A0">
      <w:pPr>
        <w:spacing w:line="360" w:lineRule="auto"/>
        <w:jc w:val="both"/>
        <w:rPr>
          <w:rFonts w:ascii="Arial" w:hAnsi="Arial" w:cs="Arial"/>
          <w:sz w:val="22"/>
          <w:szCs w:val="22"/>
        </w:rPr>
      </w:pPr>
      <w:r w:rsidRPr="00982024">
        <w:rPr>
          <w:rFonts w:ascii="Arial" w:hAnsi="Arial" w:cs="Arial"/>
          <w:sz w:val="22"/>
          <w:szCs w:val="22"/>
        </w:rPr>
        <w:tab/>
      </w:r>
      <w:r w:rsidR="00982024">
        <w:rPr>
          <w:rFonts w:ascii="Arial" w:hAnsi="Arial" w:cs="Arial"/>
          <w:sz w:val="22"/>
          <w:szCs w:val="22"/>
        </w:rPr>
        <w:t xml:space="preserve"> </w:t>
      </w:r>
      <w:r w:rsidRPr="00982024">
        <w:rPr>
          <w:rFonts w:ascii="Arial" w:hAnsi="Arial" w:cs="Arial"/>
          <w:sz w:val="22"/>
          <w:szCs w:val="22"/>
        </w:rPr>
        <w:t>(c)</w:t>
      </w:r>
      <w:r w:rsidRPr="00982024">
        <w:rPr>
          <w:rFonts w:ascii="Arial" w:hAnsi="Arial" w:cs="Arial"/>
          <w:sz w:val="22"/>
          <w:szCs w:val="22"/>
        </w:rPr>
        <w:tab/>
      </w:r>
      <w:r w:rsidRPr="00982024">
        <w:rPr>
          <w:rFonts w:ascii="Arial" w:hAnsi="Arial" w:cs="Arial"/>
          <w:sz w:val="22"/>
          <w:szCs w:val="22"/>
          <w:u w:val="single"/>
        </w:rPr>
        <w:t>to keep himself or herself informed of all matters relating to the region concerned and to bring any matter to the attention of the President or the relevant Minister if he or she thinks that it is advisable</w:t>
      </w:r>
      <w:r w:rsidRPr="00982024">
        <w:rPr>
          <w:rFonts w:ascii="Arial" w:hAnsi="Arial" w:cs="Arial"/>
          <w:sz w:val="22"/>
          <w:szCs w:val="22"/>
        </w:rPr>
        <w:t>;</w:t>
      </w:r>
    </w:p>
    <w:p w:rsidR="005309A0" w:rsidRPr="00982024" w:rsidRDefault="005309A0" w:rsidP="005309A0">
      <w:pPr>
        <w:spacing w:line="360" w:lineRule="auto"/>
        <w:jc w:val="both"/>
        <w:rPr>
          <w:rFonts w:ascii="Arial" w:hAnsi="Arial" w:cs="Arial"/>
          <w:sz w:val="22"/>
          <w:szCs w:val="22"/>
        </w:rPr>
      </w:pPr>
      <w:r w:rsidRPr="00982024">
        <w:rPr>
          <w:rFonts w:ascii="Arial" w:hAnsi="Arial" w:cs="Arial"/>
          <w:sz w:val="22"/>
          <w:szCs w:val="22"/>
        </w:rPr>
        <w:tab/>
      </w:r>
      <w:r w:rsidR="00982024">
        <w:rPr>
          <w:rFonts w:ascii="Arial" w:hAnsi="Arial" w:cs="Arial"/>
          <w:sz w:val="22"/>
          <w:szCs w:val="22"/>
        </w:rPr>
        <w:t xml:space="preserve"> </w:t>
      </w:r>
      <w:r w:rsidRPr="00982024">
        <w:rPr>
          <w:rFonts w:ascii="Arial" w:hAnsi="Arial" w:cs="Arial"/>
          <w:sz w:val="22"/>
          <w:szCs w:val="22"/>
        </w:rPr>
        <w:t>(d)</w:t>
      </w:r>
      <w:r w:rsidRPr="00982024">
        <w:rPr>
          <w:rFonts w:ascii="Arial" w:hAnsi="Arial" w:cs="Arial"/>
          <w:sz w:val="22"/>
          <w:szCs w:val="22"/>
        </w:rPr>
        <w:tab/>
        <w:t>to settle or mediate any dispute or other matter that might arise in the region concerned, and</w:t>
      </w:r>
    </w:p>
    <w:p w:rsidR="005309A0" w:rsidRPr="00982024" w:rsidRDefault="005309A0" w:rsidP="005309A0">
      <w:pPr>
        <w:spacing w:line="360" w:lineRule="auto"/>
        <w:jc w:val="both"/>
        <w:rPr>
          <w:rFonts w:ascii="Arial" w:hAnsi="Arial" w:cs="Arial"/>
          <w:sz w:val="22"/>
          <w:szCs w:val="22"/>
        </w:rPr>
      </w:pPr>
      <w:r w:rsidRPr="00982024">
        <w:rPr>
          <w:rFonts w:ascii="Arial" w:hAnsi="Arial" w:cs="Arial"/>
          <w:sz w:val="22"/>
          <w:szCs w:val="22"/>
        </w:rPr>
        <w:tab/>
      </w:r>
      <w:r w:rsidR="00982024">
        <w:rPr>
          <w:rFonts w:ascii="Arial" w:hAnsi="Arial" w:cs="Arial"/>
          <w:sz w:val="22"/>
          <w:szCs w:val="22"/>
        </w:rPr>
        <w:t xml:space="preserve"> </w:t>
      </w:r>
      <w:r w:rsidRPr="00982024">
        <w:rPr>
          <w:rFonts w:ascii="Arial" w:hAnsi="Arial" w:cs="Arial"/>
          <w:sz w:val="22"/>
          <w:szCs w:val="22"/>
        </w:rPr>
        <w:t>(e)</w:t>
      </w:r>
      <w:r w:rsidRPr="00982024">
        <w:rPr>
          <w:rFonts w:ascii="Arial" w:hAnsi="Arial" w:cs="Arial"/>
          <w:sz w:val="22"/>
          <w:szCs w:val="22"/>
        </w:rPr>
        <w:tab/>
        <w:t>generally, to act as a link between the central Government and the regional council, or any local or traditional authority in the region concerned.</w:t>
      </w:r>
      <w:r w:rsidR="00982024" w:rsidRPr="00982024">
        <w:rPr>
          <w:rFonts w:ascii="Arial" w:hAnsi="Arial" w:cs="Arial"/>
          <w:sz w:val="22"/>
          <w:szCs w:val="22"/>
        </w:rPr>
        <w:t>’</w:t>
      </w:r>
    </w:p>
    <w:p w:rsidR="005309A0" w:rsidRDefault="00982024" w:rsidP="00AF038A">
      <w:pPr>
        <w:spacing w:line="360" w:lineRule="auto"/>
        <w:jc w:val="both"/>
        <w:rPr>
          <w:rFonts w:ascii="Arial" w:hAnsi="Arial" w:cs="Arial"/>
        </w:rPr>
      </w:pPr>
      <w:r>
        <w:rPr>
          <w:rFonts w:ascii="Arial" w:hAnsi="Arial" w:cs="Arial"/>
        </w:rPr>
        <w:t>(Emphasis provided)</w:t>
      </w:r>
    </w:p>
    <w:p w:rsidR="00982024" w:rsidRDefault="00982024" w:rsidP="00AF038A">
      <w:pPr>
        <w:spacing w:line="360" w:lineRule="auto"/>
        <w:jc w:val="both"/>
        <w:rPr>
          <w:rFonts w:ascii="Arial" w:hAnsi="Arial" w:cs="Arial"/>
        </w:rPr>
      </w:pPr>
    </w:p>
    <w:p w:rsidR="00B7480F" w:rsidRDefault="005309A0" w:rsidP="00AF038A">
      <w:pPr>
        <w:spacing w:line="360" w:lineRule="auto"/>
        <w:jc w:val="both"/>
        <w:rPr>
          <w:rFonts w:ascii="Arial" w:hAnsi="Arial" w:cs="Arial"/>
        </w:rPr>
      </w:pPr>
      <w:r>
        <w:rPr>
          <w:rFonts w:ascii="Arial" w:hAnsi="Arial" w:cs="Arial"/>
        </w:rPr>
        <w:t>[</w:t>
      </w:r>
      <w:r w:rsidR="006D6F55">
        <w:rPr>
          <w:rFonts w:ascii="Arial" w:hAnsi="Arial" w:cs="Arial"/>
        </w:rPr>
        <w:t>25</w:t>
      </w:r>
      <w:r>
        <w:rPr>
          <w:rFonts w:ascii="Arial" w:hAnsi="Arial" w:cs="Arial"/>
        </w:rPr>
        <w:t>]</w:t>
      </w:r>
      <w:r>
        <w:rPr>
          <w:rFonts w:ascii="Arial" w:hAnsi="Arial" w:cs="Arial"/>
        </w:rPr>
        <w:tab/>
      </w:r>
      <w:r w:rsidR="00982024">
        <w:rPr>
          <w:rFonts w:ascii="Arial" w:hAnsi="Arial" w:cs="Arial"/>
        </w:rPr>
        <w:t xml:space="preserve">Contrary to counsel’s interpretation of section 2 with regards to the supervisory role adopted by the applicant in this matter, it would appear to me that this is likely borne out by the broad functions set out in the section and more specifically in (c) above which required of the applicant to </w:t>
      </w:r>
      <w:r w:rsidR="00506A39">
        <w:rPr>
          <w:rFonts w:ascii="Arial" w:hAnsi="Arial" w:cs="Arial"/>
        </w:rPr>
        <w:t>keep herself informed of matters in her region and to report to the President or Minister any matter she thinks is advisable. This, in my vie</w:t>
      </w:r>
      <w:r w:rsidR="00EE4392">
        <w:rPr>
          <w:rFonts w:ascii="Arial" w:hAnsi="Arial" w:cs="Arial"/>
        </w:rPr>
        <w:t>w, would be more compelling where it concern the MHDP, a</w:t>
      </w:r>
      <w:r w:rsidR="00506A39">
        <w:rPr>
          <w:rFonts w:ascii="Arial" w:hAnsi="Arial" w:cs="Arial"/>
        </w:rPr>
        <w:t xml:space="preserve"> programme </w:t>
      </w:r>
      <w:r w:rsidR="00EE4392">
        <w:rPr>
          <w:rFonts w:ascii="Arial" w:hAnsi="Arial" w:cs="Arial"/>
        </w:rPr>
        <w:t>initiated and managed by</w:t>
      </w:r>
      <w:r w:rsidR="00506A39">
        <w:rPr>
          <w:rFonts w:ascii="Arial" w:hAnsi="Arial" w:cs="Arial"/>
        </w:rPr>
        <w:t xml:space="preserve"> central government </w:t>
      </w:r>
      <w:r w:rsidR="00EE4392">
        <w:rPr>
          <w:rFonts w:ascii="Arial" w:hAnsi="Arial" w:cs="Arial"/>
        </w:rPr>
        <w:t>and rolled out in the</w:t>
      </w:r>
      <w:r w:rsidR="00506A39">
        <w:rPr>
          <w:rFonts w:ascii="Arial" w:hAnsi="Arial" w:cs="Arial"/>
        </w:rPr>
        <w:t xml:space="preserve"> region</w:t>
      </w:r>
      <w:r w:rsidR="00EE4392">
        <w:rPr>
          <w:rFonts w:ascii="Arial" w:hAnsi="Arial" w:cs="Arial"/>
        </w:rPr>
        <w:t xml:space="preserve"> where applicant was the appointed Governor</w:t>
      </w:r>
      <w:r w:rsidR="00506A39">
        <w:rPr>
          <w:rFonts w:ascii="Arial" w:hAnsi="Arial" w:cs="Arial"/>
        </w:rPr>
        <w:t>. To this end, the argument that any supervisory role assumed by the applicant fell outside the ambit of the powers of her office, is respectfully without merit.</w:t>
      </w:r>
    </w:p>
    <w:p w:rsidR="00DF4683" w:rsidRDefault="00DF4683" w:rsidP="00AF038A">
      <w:pPr>
        <w:spacing w:line="360" w:lineRule="auto"/>
        <w:jc w:val="both"/>
        <w:rPr>
          <w:rFonts w:ascii="Arial" w:hAnsi="Arial" w:cs="Arial"/>
        </w:rPr>
      </w:pPr>
    </w:p>
    <w:p w:rsidR="00506A39" w:rsidRDefault="00DF4683" w:rsidP="00BE317A">
      <w:pPr>
        <w:spacing w:line="360" w:lineRule="auto"/>
        <w:jc w:val="both"/>
        <w:rPr>
          <w:rFonts w:ascii="Arial" w:eastAsiaTheme="minorHAnsi" w:hAnsi="Arial" w:cs="Arial"/>
          <w:lang w:val="en-US" w:eastAsia="en-US"/>
        </w:rPr>
      </w:pPr>
      <w:r>
        <w:rPr>
          <w:rFonts w:ascii="Arial" w:hAnsi="Arial" w:cs="Arial"/>
        </w:rPr>
        <w:t>[</w:t>
      </w:r>
      <w:r w:rsidR="006D6F55">
        <w:rPr>
          <w:rFonts w:ascii="Arial" w:hAnsi="Arial" w:cs="Arial"/>
        </w:rPr>
        <w:t>26</w:t>
      </w:r>
      <w:r>
        <w:rPr>
          <w:rFonts w:ascii="Arial" w:hAnsi="Arial" w:cs="Arial"/>
        </w:rPr>
        <w:t>]</w:t>
      </w:r>
      <w:r>
        <w:rPr>
          <w:rFonts w:ascii="Arial" w:hAnsi="Arial" w:cs="Arial"/>
        </w:rPr>
        <w:tab/>
        <w:t>Turning next to the ground in (e) above</w:t>
      </w:r>
      <w:r w:rsidR="00BE317A">
        <w:rPr>
          <w:rFonts w:ascii="Arial" w:hAnsi="Arial" w:cs="Arial"/>
        </w:rPr>
        <w:t>,</w:t>
      </w:r>
      <w:r>
        <w:rPr>
          <w:rFonts w:ascii="Arial" w:hAnsi="Arial" w:cs="Arial"/>
        </w:rPr>
        <w:t xml:space="preserve"> relating to the selection committee’s decision being a non-binding measure</w:t>
      </w:r>
      <w:r w:rsidR="00BE317A">
        <w:rPr>
          <w:rFonts w:ascii="Arial" w:hAnsi="Arial" w:cs="Arial"/>
        </w:rPr>
        <w:t xml:space="preserve"> and any subversion of the list of beneficiaries by the applicant having no criminal consequence, counsel for the applicant did not further develop any argument in this regard in either the heads of argument or oral submissions made in support of the application. </w:t>
      </w:r>
      <w:r w:rsidR="006755A6">
        <w:rPr>
          <w:rFonts w:ascii="Arial" w:hAnsi="Arial" w:cs="Arial"/>
        </w:rPr>
        <w:t>Standing alone, this</w:t>
      </w:r>
      <w:r w:rsidR="00BE317A">
        <w:rPr>
          <w:rFonts w:ascii="Arial" w:hAnsi="Arial" w:cs="Arial"/>
        </w:rPr>
        <w:t xml:space="preserve"> bold </w:t>
      </w:r>
      <w:r w:rsidR="006755A6">
        <w:rPr>
          <w:rFonts w:ascii="Arial" w:hAnsi="Arial" w:cs="Arial"/>
        </w:rPr>
        <w:t>assertion is without substance and does not meet the requirement of constituting a proper ground on appeal. Hence, in the absence of any argument advanced in respect thereof, it deserves no further consideration.</w:t>
      </w:r>
    </w:p>
    <w:p w:rsidR="00BE317A" w:rsidRDefault="00BE317A" w:rsidP="00BE317A">
      <w:pPr>
        <w:spacing w:line="360" w:lineRule="auto"/>
        <w:jc w:val="both"/>
        <w:rPr>
          <w:rFonts w:ascii="Arial" w:hAnsi="Arial" w:cs="Arial"/>
        </w:rPr>
      </w:pPr>
    </w:p>
    <w:p w:rsidR="00B7480F" w:rsidRDefault="00B7480F" w:rsidP="00AF038A">
      <w:pPr>
        <w:spacing w:line="360" w:lineRule="auto"/>
        <w:jc w:val="both"/>
        <w:rPr>
          <w:rFonts w:ascii="Arial" w:hAnsi="Arial" w:cs="Arial"/>
        </w:rPr>
      </w:pPr>
      <w:r>
        <w:rPr>
          <w:rFonts w:ascii="Arial" w:hAnsi="Arial" w:cs="Arial"/>
        </w:rPr>
        <w:lastRenderedPageBreak/>
        <w:t>[</w:t>
      </w:r>
      <w:r w:rsidR="006D6F55">
        <w:rPr>
          <w:rFonts w:ascii="Arial" w:hAnsi="Arial" w:cs="Arial"/>
        </w:rPr>
        <w:t>27</w:t>
      </w:r>
      <w:r>
        <w:rPr>
          <w:rFonts w:ascii="Arial" w:hAnsi="Arial" w:cs="Arial"/>
        </w:rPr>
        <w:t>]</w:t>
      </w:r>
      <w:r>
        <w:rPr>
          <w:rFonts w:ascii="Arial" w:hAnsi="Arial" w:cs="Arial"/>
        </w:rPr>
        <w:tab/>
        <w:t xml:space="preserve">With regards to the question as to whether the applicant corruptly used her position in the MHDP to obtain a gratification, it is evident from the judgment that the court was guided by the approach followed by the Supreme Court in </w:t>
      </w:r>
      <w:r>
        <w:rPr>
          <w:rFonts w:ascii="Arial" w:hAnsi="Arial" w:cs="Arial"/>
          <w:i/>
        </w:rPr>
        <w:t>S v Goabab and Another</w:t>
      </w:r>
      <w:r>
        <w:rPr>
          <w:rStyle w:val="FootnoteReference"/>
          <w:rFonts w:ascii="Arial" w:hAnsi="Arial" w:cs="Arial"/>
          <w:i/>
        </w:rPr>
        <w:footnoteReference w:id="9"/>
      </w:r>
      <w:r>
        <w:rPr>
          <w:rFonts w:ascii="Arial" w:hAnsi="Arial" w:cs="Arial"/>
          <w:i/>
        </w:rPr>
        <w:t xml:space="preserve"> </w:t>
      </w:r>
      <w:r w:rsidR="00A2147B">
        <w:rPr>
          <w:rFonts w:ascii="Arial" w:hAnsi="Arial" w:cs="Arial"/>
        </w:rPr>
        <w:t>when coming to the conclusion that the applicant’s conduct fell within the ambit of corruption for purposes of a contravention under section 43 of the Act. I am th</w:t>
      </w:r>
      <w:r w:rsidR="006755A6">
        <w:rPr>
          <w:rFonts w:ascii="Arial" w:hAnsi="Arial" w:cs="Arial"/>
        </w:rPr>
        <w:t xml:space="preserve">erefore </w:t>
      </w:r>
      <w:r w:rsidR="00D50CF4">
        <w:rPr>
          <w:rFonts w:ascii="Arial" w:hAnsi="Arial" w:cs="Arial"/>
        </w:rPr>
        <w:t>not persuaded that</w:t>
      </w:r>
      <w:r w:rsidR="006755A6">
        <w:rPr>
          <w:rFonts w:ascii="Arial" w:hAnsi="Arial" w:cs="Arial"/>
        </w:rPr>
        <w:t xml:space="preserve"> the Supreme C</w:t>
      </w:r>
      <w:r w:rsidR="00A2147B">
        <w:rPr>
          <w:rFonts w:ascii="Arial" w:hAnsi="Arial" w:cs="Arial"/>
        </w:rPr>
        <w:t>ourt</w:t>
      </w:r>
      <w:r w:rsidR="00D50CF4">
        <w:rPr>
          <w:rFonts w:ascii="Arial" w:hAnsi="Arial" w:cs="Arial"/>
        </w:rPr>
        <w:t>,</w:t>
      </w:r>
      <w:r w:rsidR="00A2147B">
        <w:rPr>
          <w:rFonts w:ascii="Arial" w:hAnsi="Arial" w:cs="Arial"/>
        </w:rPr>
        <w:t xml:space="preserve"> on the present facts, may reasonably come to a dif</w:t>
      </w:r>
      <w:r w:rsidR="00D50CF4">
        <w:rPr>
          <w:rFonts w:ascii="Arial" w:hAnsi="Arial" w:cs="Arial"/>
        </w:rPr>
        <w:t>ferent conclusion as it had already decided the approach to be followed in matters involving corruption</w:t>
      </w:r>
      <w:r w:rsidR="006C6B14">
        <w:rPr>
          <w:rFonts w:ascii="Arial" w:hAnsi="Arial" w:cs="Arial"/>
        </w:rPr>
        <w:t>,</w:t>
      </w:r>
      <w:r w:rsidR="00D50CF4">
        <w:rPr>
          <w:rFonts w:ascii="Arial" w:hAnsi="Arial" w:cs="Arial"/>
        </w:rPr>
        <w:t xml:space="preserve"> and which this court f</w:t>
      </w:r>
      <w:r w:rsidR="006D6F55">
        <w:rPr>
          <w:rFonts w:ascii="Arial" w:hAnsi="Arial" w:cs="Arial"/>
        </w:rPr>
        <w:t>ollowed in its adjudi</w:t>
      </w:r>
      <w:r w:rsidR="00D50CF4">
        <w:rPr>
          <w:rFonts w:ascii="Arial" w:hAnsi="Arial" w:cs="Arial"/>
        </w:rPr>
        <w:t>cation of the matter.</w:t>
      </w:r>
    </w:p>
    <w:p w:rsidR="00A11D0B" w:rsidRDefault="00A11D0B" w:rsidP="00AF038A">
      <w:pPr>
        <w:spacing w:line="360" w:lineRule="auto"/>
        <w:jc w:val="both"/>
        <w:rPr>
          <w:rFonts w:ascii="Arial" w:hAnsi="Arial" w:cs="Arial"/>
        </w:rPr>
      </w:pPr>
    </w:p>
    <w:p w:rsidR="00D50CF4" w:rsidRPr="00A11D0B" w:rsidRDefault="00A11D0B" w:rsidP="00AF038A">
      <w:pPr>
        <w:spacing w:line="360" w:lineRule="auto"/>
        <w:jc w:val="both"/>
        <w:rPr>
          <w:rFonts w:ascii="Arial" w:hAnsi="Arial" w:cs="Arial"/>
          <w:i/>
        </w:rPr>
      </w:pPr>
      <w:r>
        <w:rPr>
          <w:rFonts w:ascii="Arial" w:hAnsi="Arial" w:cs="Arial"/>
          <w:i/>
        </w:rPr>
        <w:t>Conclusion</w:t>
      </w:r>
    </w:p>
    <w:p w:rsidR="00D50CF4" w:rsidRDefault="00D50CF4" w:rsidP="00AF038A">
      <w:pPr>
        <w:spacing w:line="360" w:lineRule="auto"/>
        <w:jc w:val="both"/>
        <w:rPr>
          <w:rFonts w:ascii="Arial" w:hAnsi="Arial" w:cs="Arial"/>
        </w:rPr>
      </w:pPr>
      <w:r>
        <w:rPr>
          <w:rFonts w:ascii="Arial" w:hAnsi="Arial" w:cs="Arial"/>
        </w:rPr>
        <w:t>[</w:t>
      </w:r>
      <w:r w:rsidR="006D6F55">
        <w:rPr>
          <w:rFonts w:ascii="Arial" w:hAnsi="Arial" w:cs="Arial"/>
        </w:rPr>
        <w:t>28</w:t>
      </w:r>
      <w:r>
        <w:rPr>
          <w:rFonts w:ascii="Arial" w:hAnsi="Arial" w:cs="Arial"/>
        </w:rPr>
        <w:t>]</w:t>
      </w:r>
      <w:r>
        <w:rPr>
          <w:rFonts w:ascii="Arial" w:hAnsi="Arial" w:cs="Arial"/>
        </w:rPr>
        <w:tab/>
        <w:t xml:space="preserve">After due consideration of the grounds raised on which the applicant seeks leave to appeal; the submissions made by counsel on both sides and the court’s reasons stated in its judgment of 08 July 2019, </w:t>
      </w:r>
      <w:r w:rsidR="001C21C9">
        <w:rPr>
          <w:rFonts w:ascii="Arial" w:hAnsi="Arial" w:cs="Arial"/>
        </w:rPr>
        <w:t>applicant, in my view, failed to show any prospects of success on appeal. The application for condonation therefore does not meet the two requisites of good cause</w:t>
      </w:r>
      <w:r w:rsidR="00A11D0B">
        <w:rPr>
          <w:rFonts w:ascii="Arial" w:hAnsi="Arial" w:cs="Arial"/>
        </w:rPr>
        <w:t>, allowing her to proceed with the</w:t>
      </w:r>
      <w:r w:rsidR="001C21C9">
        <w:rPr>
          <w:rFonts w:ascii="Arial" w:hAnsi="Arial" w:cs="Arial"/>
        </w:rPr>
        <w:t xml:space="preserve"> application for leave to appeal.</w:t>
      </w:r>
    </w:p>
    <w:p w:rsidR="00A11D0B" w:rsidRDefault="00A11D0B" w:rsidP="00AF038A">
      <w:pPr>
        <w:spacing w:line="360" w:lineRule="auto"/>
        <w:jc w:val="both"/>
        <w:rPr>
          <w:rFonts w:ascii="Arial" w:hAnsi="Arial" w:cs="Arial"/>
        </w:rPr>
      </w:pPr>
    </w:p>
    <w:p w:rsidR="00A11D0B" w:rsidRPr="00A11D0B" w:rsidRDefault="00A11D0B" w:rsidP="00AF038A">
      <w:pPr>
        <w:spacing w:line="360" w:lineRule="auto"/>
        <w:jc w:val="both"/>
        <w:rPr>
          <w:rFonts w:ascii="Arial" w:hAnsi="Arial" w:cs="Arial"/>
          <w:i/>
        </w:rPr>
      </w:pPr>
      <w:r>
        <w:rPr>
          <w:rFonts w:ascii="Arial" w:hAnsi="Arial" w:cs="Arial"/>
          <w:i/>
        </w:rPr>
        <w:t>Order</w:t>
      </w:r>
    </w:p>
    <w:p w:rsidR="00A2147B" w:rsidRDefault="00A2147B" w:rsidP="00AF038A">
      <w:pPr>
        <w:spacing w:line="360" w:lineRule="auto"/>
        <w:jc w:val="both"/>
        <w:rPr>
          <w:rFonts w:ascii="Arial" w:hAnsi="Arial" w:cs="Arial"/>
        </w:rPr>
      </w:pPr>
      <w:r>
        <w:rPr>
          <w:rFonts w:ascii="Arial" w:hAnsi="Arial" w:cs="Arial"/>
        </w:rPr>
        <w:t>[</w:t>
      </w:r>
      <w:r w:rsidR="006D6F55">
        <w:rPr>
          <w:rFonts w:ascii="Arial" w:hAnsi="Arial" w:cs="Arial"/>
        </w:rPr>
        <w:t>29</w:t>
      </w:r>
      <w:r>
        <w:rPr>
          <w:rFonts w:ascii="Arial" w:hAnsi="Arial" w:cs="Arial"/>
        </w:rPr>
        <w:t>]</w:t>
      </w:r>
      <w:r>
        <w:rPr>
          <w:rFonts w:ascii="Arial" w:hAnsi="Arial" w:cs="Arial"/>
        </w:rPr>
        <w:tab/>
      </w:r>
      <w:r w:rsidR="00A11D0B">
        <w:rPr>
          <w:rFonts w:ascii="Arial" w:hAnsi="Arial" w:cs="Arial"/>
        </w:rPr>
        <w:t>In the result, it is ordered:</w:t>
      </w:r>
    </w:p>
    <w:p w:rsidR="00A11D0B" w:rsidRDefault="00A11D0B" w:rsidP="00AF038A">
      <w:pPr>
        <w:spacing w:line="360" w:lineRule="auto"/>
        <w:jc w:val="both"/>
        <w:rPr>
          <w:rFonts w:ascii="Arial" w:hAnsi="Arial" w:cs="Arial"/>
        </w:rPr>
      </w:pPr>
    </w:p>
    <w:p w:rsidR="00A11D0B" w:rsidRPr="00A11D0B" w:rsidRDefault="00A11D0B" w:rsidP="00A11D0B">
      <w:pPr>
        <w:pStyle w:val="ListParagraph"/>
        <w:numPr>
          <w:ilvl w:val="0"/>
          <w:numId w:val="6"/>
        </w:numPr>
        <w:spacing w:line="360" w:lineRule="auto"/>
        <w:jc w:val="both"/>
        <w:rPr>
          <w:rFonts w:ascii="Arial" w:hAnsi="Arial" w:cs="Arial"/>
        </w:rPr>
      </w:pPr>
      <w:r w:rsidRPr="00A11D0B">
        <w:rPr>
          <w:rFonts w:ascii="Arial" w:hAnsi="Arial" w:cs="Arial"/>
        </w:rPr>
        <w:t>The application for condonation is refused.</w:t>
      </w:r>
    </w:p>
    <w:p w:rsidR="00A11D0B" w:rsidRPr="00A11D0B" w:rsidRDefault="00A11D0B" w:rsidP="00A11D0B">
      <w:pPr>
        <w:pStyle w:val="ListParagraph"/>
        <w:numPr>
          <w:ilvl w:val="0"/>
          <w:numId w:val="6"/>
        </w:numPr>
        <w:spacing w:line="360" w:lineRule="auto"/>
        <w:jc w:val="both"/>
        <w:rPr>
          <w:rFonts w:ascii="Arial" w:hAnsi="Arial" w:cs="Arial"/>
        </w:rPr>
      </w:pPr>
      <w:r w:rsidRPr="00A11D0B">
        <w:rPr>
          <w:rFonts w:ascii="Arial" w:hAnsi="Arial" w:cs="Arial"/>
        </w:rPr>
        <w:t xml:space="preserve">The matter is </w:t>
      </w:r>
      <w:r w:rsidR="006636A3">
        <w:rPr>
          <w:rFonts w:ascii="Arial" w:hAnsi="Arial" w:cs="Arial"/>
        </w:rPr>
        <w:t>s</w:t>
      </w:r>
      <w:r w:rsidRPr="00A11D0B">
        <w:rPr>
          <w:rFonts w:ascii="Arial" w:hAnsi="Arial" w:cs="Arial"/>
        </w:rPr>
        <w:t>truck from the roll.</w:t>
      </w:r>
    </w:p>
    <w:p w:rsidR="00F15CF1" w:rsidRDefault="00F15CF1" w:rsidP="00AF038A">
      <w:pPr>
        <w:spacing w:line="360" w:lineRule="auto"/>
        <w:jc w:val="both"/>
        <w:rPr>
          <w:rFonts w:ascii="Arial" w:hAnsi="Arial" w:cs="Arial"/>
        </w:rPr>
      </w:pPr>
    </w:p>
    <w:p w:rsidR="00DF7F54" w:rsidRDefault="00DF7F54" w:rsidP="00DF7F54">
      <w:pPr>
        <w:spacing w:line="360" w:lineRule="auto"/>
        <w:jc w:val="both"/>
        <w:rPr>
          <w:rFonts w:ascii="Arial" w:hAnsi="Arial" w:cs="Arial"/>
          <w:lang w:val="en-ZA"/>
        </w:rPr>
      </w:pPr>
    </w:p>
    <w:p w:rsidR="00DF7F54" w:rsidRDefault="00DF7F54" w:rsidP="00A11D0B">
      <w:pPr>
        <w:spacing w:line="360" w:lineRule="auto"/>
        <w:jc w:val="right"/>
        <w:rPr>
          <w:rFonts w:ascii="Arial" w:hAnsi="Arial" w:cs="Arial"/>
        </w:rPr>
      </w:pPr>
    </w:p>
    <w:p w:rsidR="00A11D0B" w:rsidRDefault="00A11D0B" w:rsidP="00A11D0B">
      <w:pPr>
        <w:spacing w:line="360" w:lineRule="auto"/>
        <w:jc w:val="right"/>
        <w:rPr>
          <w:rFonts w:ascii="Arial" w:hAnsi="Arial" w:cs="Arial"/>
        </w:rPr>
      </w:pPr>
    </w:p>
    <w:p w:rsidR="00A11D0B" w:rsidRDefault="00A11D0B" w:rsidP="00A11D0B">
      <w:pPr>
        <w:spacing w:line="360" w:lineRule="auto"/>
        <w:jc w:val="right"/>
        <w:rPr>
          <w:rFonts w:ascii="Arial" w:hAnsi="Arial" w:cs="Arial"/>
        </w:rPr>
      </w:pPr>
      <w:r>
        <w:rPr>
          <w:rFonts w:ascii="Arial" w:hAnsi="Arial" w:cs="Arial"/>
        </w:rPr>
        <w:t>__________________________</w:t>
      </w:r>
    </w:p>
    <w:p w:rsidR="00A11D0B" w:rsidRDefault="00A11D0B" w:rsidP="00A11D0B">
      <w:pPr>
        <w:spacing w:line="360" w:lineRule="auto"/>
        <w:jc w:val="right"/>
        <w:rPr>
          <w:rFonts w:ascii="Arial" w:hAnsi="Arial" w:cs="Arial"/>
        </w:rPr>
      </w:pPr>
      <w:r>
        <w:rPr>
          <w:rFonts w:ascii="Arial" w:hAnsi="Arial" w:cs="Arial"/>
        </w:rPr>
        <w:t>J C LIEBENBERG</w:t>
      </w:r>
    </w:p>
    <w:p w:rsidR="00A11D0B" w:rsidRDefault="00A11D0B" w:rsidP="00A11D0B">
      <w:pPr>
        <w:spacing w:line="360" w:lineRule="auto"/>
        <w:jc w:val="right"/>
        <w:rPr>
          <w:rFonts w:ascii="Arial" w:hAnsi="Arial" w:cs="Arial"/>
        </w:rPr>
      </w:pPr>
      <w:r>
        <w:rPr>
          <w:rFonts w:ascii="Arial" w:hAnsi="Arial" w:cs="Arial"/>
        </w:rPr>
        <w:t>JUDGE</w:t>
      </w:r>
    </w:p>
    <w:p w:rsidR="00A11D0B" w:rsidRDefault="00A11D0B" w:rsidP="00A11D0B">
      <w:pPr>
        <w:spacing w:line="360" w:lineRule="auto"/>
        <w:jc w:val="right"/>
        <w:rPr>
          <w:rFonts w:ascii="Arial" w:hAnsi="Arial" w:cs="Arial"/>
        </w:rPr>
      </w:pPr>
    </w:p>
    <w:p w:rsidR="00A11D0B" w:rsidRDefault="00A11D0B" w:rsidP="00A11D0B">
      <w:pPr>
        <w:spacing w:line="360" w:lineRule="auto"/>
        <w:jc w:val="both"/>
        <w:rPr>
          <w:rFonts w:ascii="Arial" w:hAnsi="Arial" w:cs="Arial"/>
        </w:rPr>
      </w:pPr>
    </w:p>
    <w:p w:rsidR="00A11D0B" w:rsidRDefault="00A11D0B" w:rsidP="00A11D0B">
      <w:pPr>
        <w:spacing w:line="360" w:lineRule="auto"/>
        <w:jc w:val="both"/>
        <w:rPr>
          <w:rFonts w:ascii="Arial" w:hAnsi="Arial" w:cs="Arial"/>
        </w:rPr>
      </w:pPr>
    </w:p>
    <w:p w:rsidR="006D6F55" w:rsidRDefault="006D6F55" w:rsidP="00A11D0B">
      <w:pPr>
        <w:spacing w:line="360" w:lineRule="auto"/>
        <w:jc w:val="both"/>
        <w:rPr>
          <w:rFonts w:ascii="Arial" w:hAnsi="Arial" w:cs="Arial"/>
        </w:rPr>
      </w:pPr>
    </w:p>
    <w:p w:rsidR="00A11D0B" w:rsidRPr="006B344C" w:rsidRDefault="00A11D0B" w:rsidP="00A11D0B">
      <w:pPr>
        <w:spacing w:line="360" w:lineRule="auto"/>
        <w:jc w:val="both"/>
        <w:rPr>
          <w:rFonts w:ascii="Arial" w:hAnsi="Arial" w:cs="Arial"/>
        </w:rPr>
      </w:pPr>
      <w:r w:rsidRPr="006B344C">
        <w:rPr>
          <w:rFonts w:ascii="Arial" w:hAnsi="Arial" w:cs="Arial"/>
        </w:rPr>
        <w:t>APPEARANCES</w:t>
      </w:r>
    </w:p>
    <w:p w:rsidR="00A11D0B" w:rsidRPr="006B344C" w:rsidRDefault="00A11D0B" w:rsidP="00A11D0B">
      <w:pPr>
        <w:spacing w:line="360" w:lineRule="auto"/>
        <w:jc w:val="both"/>
        <w:rPr>
          <w:rFonts w:ascii="Arial" w:hAnsi="Arial" w:cs="Arial"/>
        </w:rPr>
      </w:pPr>
    </w:p>
    <w:p w:rsidR="00A11D0B" w:rsidRPr="006B344C" w:rsidRDefault="00A11D0B" w:rsidP="00A11D0B">
      <w:pPr>
        <w:spacing w:line="360" w:lineRule="auto"/>
        <w:jc w:val="both"/>
        <w:rPr>
          <w:rFonts w:ascii="Arial" w:hAnsi="Arial" w:cs="Arial"/>
        </w:rPr>
      </w:pPr>
    </w:p>
    <w:p w:rsidR="00A11D0B" w:rsidRDefault="00A11D0B" w:rsidP="00A11D0B">
      <w:pPr>
        <w:spacing w:line="360" w:lineRule="auto"/>
        <w:jc w:val="both"/>
        <w:rPr>
          <w:rFonts w:ascii="Arial" w:hAnsi="Arial" w:cs="Arial"/>
        </w:rPr>
      </w:pPr>
      <w:r>
        <w:rPr>
          <w:rFonts w:ascii="Arial" w:hAnsi="Arial" w:cs="Arial"/>
        </w:rPr>
        <w:t>APPLICANT</w:t>
      </w:r>
      <w:r w:rsidRPr="006B344C">
        <w:rPr>
          <w:rFonts w:ascii="Arial" w:hAnsi="Arial" w:cs="Arial"/>
        </w:rPr>
        <w:tab/>
      </w:r>
      <w:r w:rsidRPr="006B344C">
        <w:rPr>
          <w:rFonts w:ascii="Arial" w:hAnsi="Arial" w:cs="Arial"/>
        </w:rPr>
        <w:tab/>
      </w:r>
      <w:r w:rsidRPr="006B344C">
        <w:rPr>
          <w:rFonts w:ascii="Arial" w:hAnsi="Arial" w:cs="Arial"/>
        </w:rPr>
        <w:tab/>
      </w:r>
      <w:r>
        <w:rPr>
          <w:rFonts w:ascii="Arial" w:hAnsi="Arial" w:cs="Arial"/>
        </w:rPr>
        <w:t>Adv B Roux</w:t>
      </w:r>
      <w:r w:rsidR="00AE0A44">
        <w:rPr>
          <w:rFonts w:ascii="Arial" w:hAnsi="Arial" w:cs="Arial"/>
        </w:rPr>
        <w:t xml:space="preserve"> </w:t>
      </w:r>
      <w:r w:rsidR="006C6B14">
        <w:rPr>
          <w:rFonts w:ascii="Arial" w:hAnsi="Arial" w:cs="Arial"/>
        </w:rPr>
        <w:t>(</w:t>
      </w:r>
      <w:r w:rsidR="00AE0A44">
        <w:rPr>
          <w:rFonts w:ascii="Arial" w:hAnsi="Arial" w:cs="Arial"/>
        </w:rPr>
        <w:t>SC</w:t>
      </w:r>
      <w:r w:rsidR="006C6B14">
        <w:rPr>
          <w:rFonts w:ascii="Arial" w:hAnsi="Arial" w:cs="Arial"/>
        </w:rPr>
        <w:t>)</w:t>
      </w:r>
      <w:r>
        <w:rPr>
          <w:rFonts w:ascii="Arial" w:hAnsi="Arial" w:cs="Arial"/>
        </w:rPr>
        <w:t>,</w:t>
      </w:r>
    </w:p>
    <w:p w:rsidR="00A11D0B" w:rsidRPr="006B344C" w:rsidRDefault="00A11D0B" w:rsidP="00A11D0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Instructed by Murorua Kurtz Kasper Inc.,</w:t>
      </w:r>
    </w:p>
    <w:p w:rsidR="00A11D0B" w:rsidRDefault="00A11D0B" w:rsidP="00A11D0B">
      <w:pPr>
        <w:spacing w:line="360" w:lineRule="auto"/>
        <w:jc w:val="both"/>
        <w:rPr>
          <w:rFonts w:ascii="Arial" w:hAnsi="Arial" w:cs="Arial"/>
        </w:rPr>
      </w:pPr>
      <w:r w:rsidRPr="006B344C">
        <w:rPr>
          <w:rFonts w:ascii="Arial" w:hAnsi="Arial" w:cs="Arial"/>
        </w:rPr>
        <w:tab/>
      </w:r>
      <w:r w:rsidRPr="006B344C">
        <w:rPr>
          <w:rFonts w:ascii="Arial" w:hAnsi="Arial" w:cs="Arial"/>
        </w:rPr>
        <w:tab/>
      </w:r>
      <w:r w:rsidRPr="006B344C">
        <w:rPr>
          <w:rFonts w:ascii="Arial" w:hAnsi="Arial" w:cs="Arial"/>
        </w:rPr>
        <w:tab/>
      </w:r>
      <w:r w:rsidRPr="006B344C">
        <w:rPr>
          <w:rFonts w:ascii="Arial" w:hAnsi="Arial" w:cs="Arial"/>
        </w:rPr>
        <w:tab/>
      </w:r>
      <w:r>
        <w:rPr>
          <w:rFonts w:ascii="Arial" w:hAnsi="Arial" w:cs="Arial"/>
        </w:rPr>
        <w:t>Windhoek</w:t>
      </w:r>
      <w:r w:rsidRPr="006B344C">
        <w:rPr>
          <w:rFonts w:ascii="Arial" w:hAnsi="Arial" w:cs="Arial"/>
        </w:rPr>
        <w:t>.</w:t>
      </w:r>
    </w:p>
    <w:p w:rsidR="00A11D0B" w:rsidRDefault="00A11D0B" w:rsidP="00A11D0B">
      <w:pPr>
        <w:spacing w:line="360" w:lineRule="auto"/>
        <w:jc w:val="both"/>
        <w:rPr>
          <w:rFonts w:ascii="Arial" w:hAnsi="Arial" w:cs="Arial"/>
        </w:rPr>
      </w:pPr>
    </w:p>
    <w:p w:rsidR="00A11D0B" w:rsidRPr="006B344C" w:rsidRDefault="00A11D0B" w:rsidP="00A11D0B">
      <w:pPr>
        <w:spacing w:line="360" w:lineRule="auto"/>
        <w:jc w:val="both"/>
        <w:rPr>
          <w:rFonts w:ascii="Arial" w:hAnsi="Arial" w:cs="Arial"/>
        </w:rPr>
      </w:pPr>
      <w:r>
        <w:rPr>
          <w:rFonts w:ascii="Arial" w:hAnsi="Arial" w:cs="Arial"/>
        </w:rPr>
        <w:t xml:space="preserve">RESPONDENT </w:t>
      </w:r>
      <w:r>
        <w:rPr>
          <w:rFonts w:ascii="Arial" w:hAnsi="Arial" w:cs="Arial"/>
        </w:rPr>
        <w:tab/>
        <w:t xml:space="preserve">           E Marondedze</w:t>
      </w:r>
    </w:p>
    <w:p w:rsidR="00A11D0B" w:rsidRDefault="00A11D0B" w:rsidP="00A11D0B">
      <w:pPr>
        <w:spacing w:line="360" w:lineRule="auto"/>
        <w:ind w:left="2880"/>
        <w:jc w:val="both"/>
        <w:rPr>
          <w:rFonts w:ascii="Arial" w:hAnsi="Arial" w:cs="Arial"/>
        </w:rPr>
      </w:pPr>
      <w:r w:rsidRPr="006B344C">
        <w:rPr>
          <w:rFonts w:ascii="Arial" w:hAnsi="Arial" w:cs="Arial"/>
        </w:rPr>
        <w:t xml:space="preserve">Of the Office of </w:t>
      </w:r>
      <w:r>
        <w:rPr>
          <w:rFonts w:ascii="Arial" w:hAnsi="Arial" w:cs="Arial"/>
        </w:rPr>
        <w:t>the Prosecutor-General,</w:t>
      </w:r>
    </w:p>
    <w:p w:rsidR="00A11D0B" w:rsidRPr="006B344C" w:rsidRDefault="00A11D0B" w:rsidP="00A11D0B">
      <w:pPr>
        <w:spacing w:line="360" w:lineRule="auto"/>
        <w:ind w:left="2880"/>
        <w:jc w:val="both"/>
        <w:rPr>
          <w:rFonts w:ascii="Arial" w:hAnsi="Arial" w:cs="Arial"/>
        </w:rPr>
      </w:pPr>
      <w:r>
        <w:rPr>
          <w:rFonts w:ascii="Arial" w:hAnsi="Arial" w:cs="Arial"/>
        </w:rPr>
        <w:t>Windhoek</w:t>
      </w:r>
      <w:r w:rsidRPr="006B344C">
        <w:rPr>
          <w:rFonts w:ascii="Arial" w:hAnsi="Arial" w:cs="Arial"/>
        </w:rPr>
        <w:t>.</w:t>
      </w:r>
    </w:p>
    <w:p w:rsidR="00A11D0B" w:rsidRPr="006B344C" w:rsidRDefault="00A11D0B" w:rsidP="00A11D0B">
      <w:pPr>
        <w:spacing w:line="360" w:lineRule="auto"/>
        <w:jc w:val="both"/>
        <w:rPr>
          <w:rFonts w:ascii="Arial" w:hAnsi="Arial" w:cs="Arial"/>
        </w:rPr>
      </w:pPr>
    </w:p>
    <w:p w:rsidR="00A11D0B" w:rsidRPr="006B344C" w:rsidRDefault="00A11D0B" w:rsidP="00A11D0B">
      <w:pPr>
        <w:spacing w:line="360" w:lineRule="auto"/>
        <w:jc w:val="both"/>
        <w:rPr>
          <w:rFonts w:ascii="Arial" w:hAnsi="Arial" w:cs="Arial"/>
        </w:rPr>
      </w:pPr>
    </w:p>
    <w:p w:rsidR="00A11D0B" w:rsidRPr="00AF038A" w:rsidRDefault="00A11D0B" w:rsidP="00A11D0B">
      <w:pPr>
        <w:spacing w:line="360" w:lineRule="auto"/>
        <w:jc w:val="both"/>
        <w:rPr>
          <w:rFonts w:ascii="Arial" w:hAnsi="Arial" w:cs="Arial"/>
        </w:rPr>
      </w:pPr>
    </w:p>
    <w:sectPr w:rsidR="00A11D0B" w:rsidRPr="00AF038A" w:rsidSect="003F502E">
      <w:head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C4" w:rsidRDefault="007047C4" w:rsidP="00DF7F54">
      <w:r>
        <w:separator/>
      </w:r>
    </w:p>
  </w:endnote>
  <w:endnote w:type="continuationSeparator" w:id="0">
    <w:p w:rsidR="007047C4" w:rsidRDefault="007047C4" w:rsidP="00DF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C4" w:rsidRDefault="007047C4" w:rsidP="00DF7F54">
      <w:r>
        <w:separator/>
      </w:r>
    </w:p>
  </w:footnote>
  <w:footnote w:type="continuationSeparator" w:id="0">
    <w:p w:rsidR="007047C4" w:rsidRDefault="007047C4" w:rsidP="00DF7F54">
      <w:r>
        <w:continuationSeparator/>
      </w:r>
    </w:p>
  </w:footnote>
  <w:footnote w:id="1">
    <w:p w:rsidR="00F15CF1" w:rsidRPr="00F15CF1" w:rsidRDefault="00F15CF1">
      <w:pPr>
        <w:pStyle w:val="FootnoteText"/>
        <w:rPr>
          <w:rFonts w:ascii="Arial" w:hAnsi="Arial" w:cs="Arial"/>
          <w:lang w:val="en-US"/>
        </w:rPr>
      </w:pPr>
      <w:r>
        <w:rPr>
          <w:rStyle w:val="FootnoteReference"/>
        </w:rPr>
        <w:footnoteRef/>
      </w:r>
      <w:r>
        <w:t xml:space="preserve"> </w:t>
      </w:r>
      <w:r>
        <w:rPr>
          <w:rFonts w:ascii="Arial" w:hAnsi="Arial" w:cs="Arial"/>
          <w:lang w:val="en-US"/>
        </w:rPr>
        <w:t>Case No. SA 79/2016 delivered on 31 August 2018</w:t>
      </w:r>
      <w:r w:rsidR="005610D1">
        <w:rPr>
          <w:rFonts w:ascii="Arial" w:hAnsi="Arial" w:cs="Arial"/>
          <w:lang w:val="en-US"/>
        </w:rPr>
        <w:t xml:space="preserve"> at para 20</w:t>
      </w:r>
      <w:r>
        <w:rPr>
          <w:rFonts w:ascii="Arial" w:hAnsi="Arial" w:cs="Arial"/>
          <w:lang w:val="en-US"/>
        </w:rPr>
        <w:t>.</w:t>
      </w:r>
    </w:p>
  </w:footnote>
  <w:footnote w:id="2">
    <w:p w:rsidR="00F15CF1" w:rsidRPr="00F15CF1" w:rsidRDefault="00F15CF1">
      <w:pPr>
        <w:pStyle w:val="FootnoteText"/>
        <w:rPr>
          <w:rFonts w:ascii="Arial" w:hAnsi="Arial" w:cs="Arial"/>
          <w:lang w:val="en-US"/>
        </w:rPr>
      </w:pPr>
      <w:r>
        <w:rPr>
          <w:rStyle w:val="FootnoteReference"/>
        </w:rPr>
        <w:footnoteRef/>
      </w:r>
      <w:r>
        <w:t xml:space="preserve"> </w:t>
      </w:r>
      <w:r>
        <w:rPr>
          <w:rFonts w:ascii="Arial" w:hAnsi="Arial" w:cs="Arial"/>
          <w:lang w:val="en-US"/>
        </w:rPr>
        <w:t>2011(2) NR 637 (SC).</w:t>
      </w:r>
    </w:p>
  </w:footnote>
  <w:footnote w:id="3">
    <w:p w:rsidR="00D16E3B" w:rsidRPr="00D16E3B" w:rsidRDefault="00D16E3B">
      <w:pPr>
        <w:pStyle w:val="FootnoteText"/>
        <w:rPr>
          <w:rFonts w:ascii="Arial" w:hAnsi="Arial" w:cs="Arial"/>
          <w:lang w:val="en-US"/>
        </w:rPr>
      </w:pPr>
      <w:r>
        <w:rPr>
          <w:rStyle w:val="FootnoteReference"/>
        </w:rPr>
        <w:footnoteRef/>
      </w:r>
      <w:r>
        <w:t xml:space="preserve"> </w:t>
      </w:r>
      <w:r>
        <w:rPr>
          <w:rFonts w:ascii="Arial" w:hAnsi="Arial" w:cs="Arial"/>
          <w:lang w:val="en-US"/>
        </w:rPr>
        <w:t xml:space="preserve">See </w:t>
      </w:r>
      <w:r>
        <w:rPr>
          <w:rFonts w:ascii="Arial" w:hAnsi="Arial" w:cs="Arial"/>
          <w:i/>
          <w:lang w:val="en-US"/>
        </w:rPr>
        <w:t xml:space="preserve">Arangies t/a Auto Tech v Quick Build </w:t>
      </w:r>
      <w:r>
        <w:rPr>
          <w:rFonts w:ascii="Arial" w:hAnsi="Arial" w:cs="Arial"/>
          <w:lang w:val="en-US"/>
        </w:rPr>
        <w:t>2014 (1) NR 187 (SC) para 5.</w:t>
      </w:r>
    </w:p>
  </w:footnote>
  <w:footnote w:id="4">
    <w:p w:rsidR="00D16E3B" w:rsidRPr="00D16E3B" w:rsidRDefault="00D16E3B">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Balzer v Vries </w:t>
      </w:r>
      <w:r>
        <w:rPr>
          <w:rFonts w:ascii="Arial" w:hAnsi="Arial" w:cs="Arial"/>
          <w:lang w:val="en-US"/>
        </w:rPr>
        <w:t>2015 (2) NR 547 (SC) at 551J.</w:t>
      </w:r>
    </w:p>
  </w:footnote>
  <w:footnote w:id="5">
    <w:p w:rsidR="00561B4C" w:rsidRPr="00B73224" w:rsidRDefault="00561B4C" w:rsidP="00561B4C">
      <w:pPr>
        <w:pStyle w:val="FootnoteText"/>
        <w:rPr>
          <w:rFonts w:ascii="Arial" w:hAnsi="Arial" w:cs="Arial"/>
          <w:i/>
        </w:rPr>
      </w:pPr>
      <w:r w:rsidRPr="00B73224">
        <w:rPr>
          <w:rStyle w:val="FootnoteReference"/>
          <w:rFonts w:ascii="Arial" w:hAnsi="Arial" w:cs="Arial"/>
        </w:rPr>
        <w:footnoteRef/>
      </w:r>
      <w:r w:rsidRPr="00B73224">
        <w:rPr>
          <w:rFonts w:ascii="Arial" w:hAnsi="Arial" w:cs="Arial"/>
        </w:rPr>
        <w:t xml:space="preserve"> 1945 AD 185 at 186-7.</w:t>
      </w:r>
    </w:p>
  </w:footnote>
  <w:footnote w:id="6">
    <w:p w:rsidR="00561B4C" w:rsidRPr="00B73224" w:rsidRDefault="00561B4C" w:rsidP="00561B4C">
      <w:pPr>
        <w:pStyle w:val="FootnoteText"/>
        <w:rPr>
          <w:rFonts w:ascii="Arial" w:hAnsi="Arial" w:cs="Arial"/>
        </w:rPr>
      </w:pPr>
      <w:r w:rsidRPr="00B73224">
        <w:rPr>
          <w:rStyle w:val="FootnoteReference"/>
          <w:rFonts w:ascii="Arial" w:hAnsi="Arial" w:cs="Arial"/>
        </w:rPr>
        <w:footnoteRef/>
      </w:r>
      <w:r w:rsidRPr="00B73224">
        <w:rPr>
          <w:rFonts w:ascii="Arial" w:hAnsi="Arial" w:cs="Arial"/>
        </w:rPr>
        <w:t xml:space="preserve"> 1949 (1) SA 523 (AD) at 524-5. </w:t>
      </w:r>
    </w:p>
  </w:footnote>
  <w:footnote w:id="7">
    <w:p w:rsidR="00561B4C" w:rsidRPr="00B73224" w:rsidRDefault="00561B4C" w:rsidP="00561B4C">
      <w:pPr>
        <w:pStyle w:val="FootnoteText"/>
        <w:rPr>
          <w:rFonts w:ascii="Arial" w:hAnsi="Arial" w:cs="Arial"/>
        </w:rPr>
      </w:pPr>
      <w:r w:rsidRPr="00B73224">
        <w:rPr>
          <w:rStyle w:val="FootnoteReference"/>
          <w:rFonts w:ascii="Arial" w:hAnsi="Arial" w:cs="Arial"/>
        </w:rPr>
        <w:footnoteRef/>
      </w:r>
      <w:r w:rsidRPr="00B73224">
        <w:rPr>
          <w:rFonts w:ascii="Arial" w:hAnsi="Arial" w:cs="Arial"/>
        </w:rPr>
        <w:t xml:space="preserve"> 2007 (2) NR 640 (HC).</w:t>
      </w:r>
    </w:p>
  </w:footnote>
  <w:footnote w:id="8">
    <w:p w:rsidR="00561B4C" w:rsidRDefault="00561B4C" w:rsidP="00561B4C">
      <w:pPr>
        <w:pStyle w:val="FootnoteText"/>
      </w:pPr>
      <w:r w:rsidRPr="00B73224">
        <w:rPr>
          <w:rStyle w:val="FootnoteReference"/>
          <w:rFonts w:ascii="Arial" w:hAnsi="Arial" w:cs="Arial"/>
        </w:rPr>
        <w:footnoteRef/>
      </w:r>
      <w:r w:rsidRPr="00B73224">
        <w:rPr>
          <w:rFonts w:ascii="Arial" w:hAnsi="Arial" w:cs="Arial"/>
        </w:rPr>
        <w:t xml:space="preserve"> 1977 (2) SA 348 (AD) at 350E.</w:t>
      </w:r>
    </w:p>
  </w:footnote>
  <w:footnote w:id="9">
    <w:p w:rsidR="00B7480F" w:rsidRPr="00B7480F" w:rsidRDefault="00B7480F">
      <w:pPr>
        <w:pStyle w:val="FootnoteText"/>
        <w:rPr>
          <w:rFonts w:ascii="Arial" w:hAnsi="Arial" w:cs="Arial"/>
          <w:lang w:val="en-US"/>
        </w:rPr>
      </w:pPr>
      <w:r>
        <w:rPr>
          <w:rStyle w:val="FootnoteReference"/>
        </w:rPr>
        <w:footnoteRef/>
      </w:r>
      <w:r>
        <w:t xml:space="preserve"> </w:t>
      </w:r>
      <w:r>
        <w:rPr>
          <w:rFonts w:ascii="Arial" w:hAnsi="Arial" w:cs="Arial"/>
          <w:lang w:val="en-US"/>
        </w:rPr>
        <w:t>2013 93) NR 603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628599"/>
      <w:docPartObj>
        <w:docPartGallery w:val="Page Numbers (Top of Page)"/>
        <w:docPartUnique/>
      </w:docPartObj>
    </w:sdtPr>
    <w:sdtEndPr>
      <w:rPr>
        <w:noProof/>
      </w:rPr>
    </w:sdtEndPr>
    <w:sdtContent>
      <w:p w:rsidR="003F502E" w:rsidRDefault="003F502E">
        <w:pPr>
          <w:pStyle w:val="Header"/>
          <w:jc w:val="right"/>
        </w:pPr>
        <w:r>
          <w:fldChar w:fldCharType="begin"/>
        </w:r>
        <w:r>
          <w:instrText xml:space="preserve"> PAGE   \* MERGEFORMAT </w:instrText>
        </w:r>
        <w:r>
          <w:fldChar w:fldCharType="separate"/>
        </w:r>
        <w:r w:rsidR="00D3624B">
          <w:rPr>
            <w:noProof/>
          </w:rPr>
          <w:t>2</w:t>
        </w:r>
        <w:r>
          <w:rPr>
            <w:noProof/>
          </w:rPr>
          <w:fldChar w:fldCharType="end"/>
        </w:r>
      </w:p>
    </w:sdtContent>
  </w:sdt>
  <w:p w:rsidR="003F502E" w:rsidRDefault="003F5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D14"/>
    <w:multiLevelType w:val="hybridMultilevel"/>
    <w:tmpl w:val="9CB0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4E30"/>
    <w:multiLevelType w:val="hybridMultilevel"/>
    <w:tmpl w:val="9182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C5958"/>
    <w:multiLevelType w:val="hybridMultilevel"/>
    <w:tmpl w:val="AF9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4282A"/>
    <w:multiLevelType w:val="hybridMultilevel"/>
    <w:tmpl w:val="0108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D1340"/>
    <w:multiLevelType w:val="hybridMultilevel"/>
    <w:tmpl w:val="10B8E9E2"/>
    <w:lvl w:ilvl="0" w:tplc="1B6C61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0BF2CD0"/>
    <w:multiLevelType w:val="hybridMultilevel"/>
    <w:tmpl w:val="C89A473A"/>
    <w:lvl w:ilvl="0" w:tplc="0882A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2E"/>
    <w:rsid w:val="000A5F54"/>
    <w:rsid w:val="000C48E1"/>
    <w:rsid w:val="00112F2A"/>
    <w:rsid w:val="00157A11"/>
    <w:rsid w:val="00161DE1"/>
    <w:rsid w:val="001720E9"/>
    <w:rsid w:val="00172505"/>
    <w:rsid w:val="00192E22"/>
    <w:rsid w:val="001A5B5E"/>
    <w:rsid w:val="001B00FB"/>
    <w:rsid w:val="001C1E78"/>
    <w:rsid w:val="001C21C9"/>
    <w:rsid w:val="002B3301"/>
    <w:rsid w:val="003047F3"/>
    <w:rsid w:val="00365E59"/>
    <w:rsid w:val="003E3A41"/>
    <w:rsid w:val="003F502E"/>
    <w:rsid w:val="00413903"/>
    <w:rsid w:val="00493218"/>
    <w:rsid w:val="004D28D3"/>
    <w:rsid w:val="004F2491"/>
    <w:rsid w:val="00506672"/>
    <w:rsid w:val="00506A39"/>
    <w:rsid w:val="005309A0"/>
    <w:rsid w:val="0054409A"/>
    <w:rsid w:val="005610D1"/>
    <w:rsid w:val="00561B4C"/>
    <w:rsid w:val="0056220B"/>
    <w:rsid w:val="005E4634"/>
    <w:rsid w:val="006636A3"/>
    <w:rsid w:val="006755A6"/>
    <w:rsid w:val="006A02A5"/>
    <w:rsid w:val="006C6B14"/>
    <w:rsid w:val="006D6F55"/>
    <w:rsid w:val="007047C4"/>
    <w:rsid w:val="007570BA"/>
    <w:rsid w:val="00767DA6"/>
    <w:rsid w:val="00775D17"/>
    <w:rsid w:val="00780C7E"/>
    <w:rsid w:val="00796E63"/>
    <w:rsid w:val="007C3F83"/>
    <w:rsid w:val="00831ED8"/>
    <w:rsid w:val="0088780C"/>
    <w:rsid w:val="008917BD"/>
    <w:rsid w:val="008B47E6"/>
    <w:rsid w:val="008E02B0"/>
    <w:rsid w:val="00904EF1"/>
    <w:rsid w:val="00926E0B"/>
    <w:rsid w:val="0093672C"/>
    <w:rsid w:val="0094022E"/>
    <w:rsid w:val="00942841"/>
    <w:rsid w:val="0094469C"/>
    <w:rsid w:val="00982024"/>
    <w:rsid w:val="009C4D4F"/>
    <w:rsid w:val="009D2334"/>
    <w:rsid w:val="00A11D0B"/>
    <w:rsid w:val="00A2147B"/>
    <w:rsid w:val="00A219AC"/>
    <w:rsid w:val="00A96128"/>
    <w:rsid w:val="00AC2AB1"/>
    <w:rsid w:val="00AD28A6"/>
    <w:rsid w:val="00AE0A44"/>
    <w:rsid w:val="00AE3341"/>
    <w:rsid w:val="00AF038A"/>
    <w:rsid w:val="00AF7126"/>
    <w:rsid w:val="00B27AF3"/>
    <w:rsid w:val="00B613E6"/>
    <w:rsid w:val="00B73224"/>
    <w:rsid w:val="00B7480F"/>
    <w:rsid w:val="00BE13C8"/>
    <w:rsid w:val="00BE317A"/>
    <w:rsid w:val="00BF6F32"/>
    <w:rsid w:val="00C277D2"/>
    <w:rsid w:val="00C749E3"/>
    <w:rsid w:val="00CD1189"/>
    <w:rsid w:val="00D16E3B"/>
    <w:rsid w:val="00D3624B"/>
    <w:rsid w:val="00D50CF4"/>
    <w:rsid w:val="00D52341"/>
    <w:rsid w:val="00D87ACE"/>
    <w:rsid w:val="00DB6ADD"/>
    <w:rsid w:val="00DE1582"/>
    <w:rsid w:val="00DE5761"/>
    <w:rsid w:val="00DF1006"/>
    <w:rsid w:val="00DF4683"/>
    <w:rsid w:val="00DF7F54"/>
    <w:rsid w:val="00E43B96"/>
    <w:rsid w:val="00E81795"/>
    <w:rsid w:val="00E86B3C"/>
    <w:rsid w:val="00E96827"/>
    <w:rsid w:val="00EC0ED3"/>
    <w:rsid w:val="00EC4572"/>
    <w:rsid w:val="00EE1C64"/>
    <w:rsid w:val="00EE4392"/>
    <w:rsid w:val="00EE51C6"/>
    <w:rsid w:val="00EE7E6F"/>
    <w:rsid w:val="00F0368C"/>
    <w:rsid w:val="00F15CF1"/>
    <w:rsid w:val="00F862F8"/>
    <w:rsid w:val="00F93F56"/>
    <w:rsid w:val="00FB50D7"/>
    <w:rsid w:val="00FD66D3"/>
    <w:rsid w:val="00FF557E"/>
    <w:rsid w:val="00FF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AA960-BD0B-4C35-B323-CBB96843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8A"/>
    <w:pPr>
      <w:ind w:left="720"/>
      <w:contextualSpacing/>
    </w:pPr>
  </w:style>
  <w:style w:type="paragraph" w:styleId="FootnoteText">
    <w:name w:val="footnote text"/>
    <w:basedOn w:val="Normal"/>
    <w:link w:val="FootnoteTextChar"/>
    <w:rsid w:val="00DF7F54"/>
    <w:rPr>
      <w:sz w:val="20"/>
      <w:szCs w:val="20"/>
    </w:rPr>
  </w:style>
  <w:style w:type="character" w:customStyle="1" w:styleId="FootnoteTextChar">
    <w:name w:val="Footnote Text Char"/>
    <w:basedOn w:val="DefaultParagraphFont"/>
    <w:link w:val="FootnoteText"/>
    <w:rsid w:val="00DF7F54"/>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F7F54"/>
    <w:rPr>
      <w:vertAlign w:val="superscript"/>
    </w:rPr>
  </w:style>
  <w:style w:type="paragraph" w:styleId="Header">
    <w:name w:val="header"/>
    <w:basedOn w:val="Normal"/>
    <w:link w:val="HeaderChar"/>
    <w:uiPriority w:val="99"/>
    <w:unhideWhenUsed/>
    <w:rsid w:val="003F502E"/>
    <w:pPr>
      <w:tabs>
        <w:tab w:val="center" w:pos="4680"/>
        <w:tab w:val="right" w:pos="9360"/>
      </w:tabs>
    </w:pPr>
  </w:style>
  <w:style w:type="character" w:customStyle="1" w:styleId="HeaderChar">
    <w:name w:val="Header Char"/>
    <w:basedOn w:val="DefaultParagraphFont"/>
    <w:link w:val="Header"/>
    <w:uiPriority w:val="99"/>
    <w:rsid w:val="003F502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F502E"/>
    <w:pPr>
      <w:tabs>
        <w:tab w:val="center" w:pos="4680"/>
        <w:tab w:val="right" w:pos="9360"/>
      </w:tabs>
    </w:pPr>
  </w:style>
  <w:style w:type="character" w:customStyle="1" w:styleId="FooterChar">
    <w:name w:val="Footer Char"/>
    <w:basedOn w:val="DefaultParagraphFont"/>
    <w:link w:val="Footer"/>
    <w:uiPriority w:val="99"/>
    <w:rsid w:val="003F502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6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5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2020-02-02T18:30:00+00:00</Judgment_x0020_Date>
  </documentManagement>
</p:properties>
</file>

<file path=customXml/itemProps1.xml><?xml version="1.0" encoding="utf-8"?>
<ds:datastoreItem xmlns:ds="http://schemas.openxmlformats.org/officeDocument/2006/customXml" ds:itemID="{1F7D9D9E-777A-4A13-8B39-247E5BFE63D9}"/>
</file>

<file path=customXml/itemProps2.xml><?xml version="1.0" encoding="utf-8"?>
<ds:datastoreItem xmlns:ds="http://schemas.openxmlformats.org/officeDocument/2006/customXml" ds:itemID="{90B60A7F-CEC9-4187-9D29-6EA0CBCC8F9C}"/>
</file>

<file path=customXml/itemProps3.xml><?xml version="1.0" encoding="utf-8"?>
<ds:datastoreItem xmlns:ds="http://schemas.openxmlformats.org/officeDocument/2006/customXml" ds:itemID="{0B9CC767-9467-4199-88F4-8AAC3F90B713}"/>
</file>

<file path=docProps/app.xml><?xml version="1.0" encoding="utf-8"?>
<Properties xmlns="http://schemas.openxmlformats.org/officeDocument/2006/extended-properties" xmlns:vt="http://schemas.openxmlformats.org/officeDocument/2006/docPropsVTypes">
  <Template>Normal</Template>
  <TotalTime>1</TotalTime>
  <Pages>13</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Kasita</dc:creator>
  <cp:keywords/>
  <dc:description/>
  <cp:lastModifiedBy>Lotta N. Ambunda</cp:lastModifiedBy>
  <cp:revision>2</cp:revision>
  <cp:lastPrinted>2020-02-03T06:12:00Z</cp:lastPrinted>
  <dcterms:created xsi:type="dcterms:W3CDTF">2020-02-03T17:02:00Z</dcterms:created>
  <dcterms:modified xsi:type="dcterms:W3CDTF">2020-02-03T17:02:00Z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