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D35047" w:rsidRPr="001B0FDD" w:rsidTr="00384F99">
        <w:trPr>
          <w:trHeight w:val="744"/>
        </w:trPr>
        <w:tc>
          <w:tcPr>
            <w:tcW w:w="5397" w:type="dxa"/>
            <w:gridSpan w:val="2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Case Title:</w:t>
            </w:r>
          </w:p>
          <w:p w:rsidR="00D35047" w:rsidRPr="00B13BE8" w:rsidRDefault="009C600C" w:rsidP="003829C7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The State v </w:t>
            </w:r>
            <w:r w:rsidR="003829C7">
              <w:rPr>
                <w:rFonts w:ascii="Arial Narrow" w:hAnsi="Arial Narrow" w:cs="Arial"/>
                <w:i/>
                <w:sz w:val="24"/>
                <w:szCs w:val="24"/>
              </w:rPr>
              <w:t>Benoit Swart</w:t>
            </w: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Case No:</w:t>
            </w:r>
          </w:p>
          <w:p w:rsidR="00D35047" w:rsidRPr="001B0FDD" w:rsidRDefault="00B13BE8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CR</w:t>
            </w:r>
            <w:r w:rsidR="00E47A06">
              <w:rPr>
                <w:rFonts w:ascii="Arial Narrow" w:hAnsi="Arial Narrow" w:cs="Arial"/>
                <w:sz w:val="24"/>
                <w:szCs w:val="24"/>
              </w:rPr>
              <w:t xml:space="preserve"> 01</w:t>
            </w:r>
            <w:r w:rsidR="00840813">
              <w:rPr>
                <w:rFonts w:ascii="Arial Narrow" w:hAnsi="Arial Narrow" w:cs="Arial"/>
                <w:sz w:val="24"/>
                <w:szCs w:val="24"/>
              </w:rPr>
              <w:t>/2020</w:t>
            </w:r>
          </w:p>
        </w:tc>
      </w:tr>
      <w:tr w:rsidR="00D35047" w:rsidRPr="001B0FDD" w:rsidTr="00384F99">
        <w:trPr>
          <w:trHeight w:val="844"/>
        </w:trPr>
        <w:tc>
          <w:tcPr>
            <w:tcW w:w="5397" w:type="dxa"/>
            <w:gridSpan w:val="2"/>
          </w:tcPr>
          <w:p w:rsidR="00D35047" w:rsidRDefault="00B13BE8" w:rsidP="00B13BE8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13BE8">
              <w:rPr>
                <w:rFonts w:ascii="Arial Narrow" w:hAnsi="Arial Narrow" w:cs="Arial"/>
                <w:b/>
                <w:sz w:val="24"/>
                <w:szCs w:val="24"/>
              </w:rPr>
              <w:t>High Court MD Review No:</w:t>
            </w:r>
          </w:p>
          <w:p w:rsidR="00B13BE8" w:rsidRPr="00B13BE8" w:rsidRDefault="003829C7" w:rsidP="00B13BE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701</w:t>
            </w:r>
            <w:r w:rsidR="009D07B5">
              <w:rPr>
                <w:rFonts w:ascii="Arial Narrow" w:hAnsi="Arial Narrow" w:cs="Arial"/>
                <w:sz w:val="24"/>
                <w:szCs w:val="24"/>
              </w:rPr>
              <w:t>/2019</w:t>
            </w: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Division of Court:</w:t>
            </w:r>
          </w:p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sz w:val="24"/>
                <w:szCs w:val="24"/>
              </w:rPr>
              <w:t>Main Division</w:t>
            </w:r>
          </w:p>
        </w:tc>
      </w:tr>
      <w:tr w:rsidR="00D35047" w:rsidRPr="001B0FDD" w:rsidTr="00384F99">
        <w:trPr>
          <w:trHeight w:val="1662"/>
        </w:trPr>
        <w:tc>
          <w:tcPr>
            <w:tcW w:w="5397" w:type="dxa"/>
            <w:gridSpan w:val="2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Heard before:</w:t>
            </w:r>
          </w:p>
          <w:p w:rsidR="00D35047" w:rsidRDefault="00D35047" w:rsidP="000C7EFF">
            <w:p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Mr Justice </w:t>
            </w:r>
            <w:r w:rsidR="00EC6886">
              <w:rPr>
                <w:rFonts w:ascii="Arial Narrow" w:hAnsi="Arial Narrow" w:cs="Arial"/>
                <w:sz w:val="24"/>
                <w:szCs w:val="24"/>
              </w:rPr>
              <w:t>Liebenberg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B0FDD">
              <w:rPr>
                <w:rFonts w:ascii="Arial Narrow" w:hAnsi="Arial Narrow" w:cs="Arial"/>
                <w:i/>
                <w:sz w:val="24"/>
                <w:szCs w:val="24"/>
              </w:rPr>
              <w:t>et</w:t>
            </w:r>
          </w:p>
          <w:p w:rsidR="00F96BA6" w:rsidRPr="00F96BA6" w:rsidRDefault="00F96BA6" w:rsidP="000C7EFF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Mr Justice Sibeya (Acting)</w:t>
            </w:r>
          </w:p>
        </w:tc>
        <w:tc>
          <w:tcPr>
            <w:tcW w:w="4323" w:type="dxa"/>
          </w:tcPr>
          <w:p w:rsidR="00D35047" w:rsidRPr="001B0FDD" w:rsidRDefault="00D35047" w:rsidP="00384F99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Delivered on:</w:t>
            </w:r>
          </w:p>
          <w:p w:rsidR="00D35047" w:rsidRPr="001B0FDD" w:rsidRDefault="00E47A06" w:rsidP="00CB6BF7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</w:t>
            </w:r>
            <w:r w:rsidR="00E533B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B6BF7">
              <w:rPr>
                <w:rFonts w:ascii="Arial Narrow" w:hAnsi="Arial Narrow" w:cs="Arial"/>
                <w:sz w:val="24"/>
                <w:szCs w:val="24"/>
              </w:rPr>
              <w:t>January 2020</w:t>
            </w:r>
          </w:p>
        </w:tc>
      </w:tr>
      <w:tr w:rsidR="00D35047" w:rsidRPr="001B0FDD" w:rsidTr="00384F99">
        <w:tc>
          <w:tcPr>
            <w:tcW w:w="9720" w:type="dxa"/>
            <w:gridSpan w:val="3"/>
          </w:tcPr>
          <w:p w:rsidR="00D35047" w:rsidRPr="0084485C" w:rsidRDefault="00D35047" w:rsidP="00246D13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4485C">
              <w:rPr>
                <w:rFonts w:ascii="Arial Narrow" w:hAnsi="Arial Narrow" w:cs="Arial"/>
                <w:b/>
                <w:sz w:val="24"/>
                <w:szCs w:val="24"/>
              </w:rPr>
              <w:t xml:space="preserve">Neutral citation: </w:t>
            </w:r>
            <w:r w:rsidRPr="0084485C">
              <w:rPr>
                <w:rFonts w:ascii="Arial Narrow" w:hAnsi="Arial Narrow" w:cs="Arial"/>
                <w:i/>
                <w:sz w:val="24"/>
                <w:szCs w:val="24"/>
              </w:rPr>
              <w:t xml:space="preserve">S v </w:t>
            </w:r>
            <w:r w:rsidR="003829C7">
              <w:rPr>
                <w:rFonts w:ascii="Arial Narrow" w:hAnsi="Arial Narrow" w:cs="Arial"/>
                <w:i/>
                <w:sz w:val="24"/>
                <w:szCs w:val="24"/>
              </w:rPr>
              <w:t>Swart</w:t>
            </w:r>
            <w:r w:rsidR="00AD427A" w:rsidRPr="0084485C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84485C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EC6886" w:rsidRPr="0084485C">
              <w:rPr>
                <w:rFonts w:ascii="Arial Narrow" w:hAnsi="Arial Narrow" w:cs="Arial"/>
                <w:sz w:val="24"/>
                <w:szCs w:val="24"/>
              </w:rPr>
              <w:t>CR</w:t>
            </w:r>
            <w:r w:rsidR="00B13BE8" w:rsidRPr="0084485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47A06">
              <w:rPr>
                <w:rFonts w:ascii="Arial Narrow" w:hAnsi="Arial Narrow" w:cs="Arial"/>
                <w:sz w:val="24"/>
                <w:szCs w:val="24"/>
              </w:rPr>
              <w:t>01</w:t>
            </w:r>
            <w:r w:rsidR="00CB6D7D" w:rsidRPr="0084485C">
              <w:rPr>
                <w:rFonts w:ascii="Arial Narrow" w:hAnsi="Arial Narrow" w:cs="Arial"/>
                <w:sz w:val="24"/>
                <w:szCs w:val="24"/>
              </w:rPr>
              <w:t>/2019</w:t>
            </w:r>
            <w:r w:rsidR="00B13BE8" w:rsidRPr="0084485C">
              <w:rPr>
                <w:rFonts w:ascii="Arial Narrow" w:hAnsi="Arial Narrow" w:cs="Arial"/>
                <w:sz w:val="24"/>
                <w:szCs w:val="24"/>
              </w:rPr>
              <w:t xml:space="preserve">) [2019] NAHCMD </w:t>
            </w:r>
            <w:r w:rsidR="00B529C4">
              <w:rPr>
                <w:rFonts w:ascii="Arial Narrow" w:hAnsi="Arial Narrow" w:cs="Arial"/>
                <w:sz w:val="24"/>
                <w:szCs w:val="24"/>
              </w:rPr>
              <w:t>02</w:t>
            </w:r>
            <w:r w:rsidR="00266CB3" w:rsidRPr="0084485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4485C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E47A06">
              <w:rPr>
                <w:rFonts w:ascii="Arial Narrow" w:hAnsi="Arial Narrow" w:cs="Arial"/>
                <w:sz w:val="24"/>
                <w:szCs w:val="24"/>
              </w:rPr>
              <w:t>17</w:t>
            </w:r>
            <w:r w:rsidRPr="0084485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B6BF7">
              <w:rPr>
                <w:rFonts w:ascii="Arial Narrow" w:hAnsi="Arial Narrow" w:cs="Arial"/>
                <w:sz w:val="24"/>
                <w:szCs w:val="24"/>
              </w:rPr>
              <w:t>January</w:t>
            </w:r>
            <w:r w:rsidRPr="0084485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B6BF7">
              <w:rPr>
                <w:rFonts w:ascii="Arial Narrow" w:hAnsi="Arial Narrow" w:cs="Arial"/>
                <w:sz w:val="24"/>
                <w:szCs w:val="24"/>
              </w:rPr>
              <w:t>2020</w:t>
            </w:r>
            <w:r w:rsidRPr="0084485C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D35047" w:rsidRPr="0084485C" w:rsidRDefault="00D35047" w:rsidP="00246D13">
            <w:pPr>
              <w:spacing w:line="36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35047" w:rsidRPr="00ED330E" w:rsidTr="00384F99">
        <w:tc>
          <w:tcPr>
            <w:tcW w:w="9720" w:type="dxa"/>
            <w:gridSpan w:val="3"/>
          </w:tcPr>
          <w:p w:rsidR="003829C7" w:rsidRPr="0084485C" w:rsidRDefault="00D35047" w:rsidP="003829C7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4485C">
              <w:rPr>
                <w:rFonts w:ascii="Arial Narrow" w:hAnsi="Arial Narrow" w:cs="Arial"/>
                <w:b/>
                <w:sz w:val="24"/>
                <w:szCs w:val="24"/>
              </w:rPr>
              <w:t>The order:</w:t>
            </w:r>
          </w:p>
          <w:p w:rsidR="00CA2DD1" w:rsidRPr="0047761D" w:rsidRDefault="00CA2DD1" w:rsidP="00CA2DD1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The conviction is confirmed but the sentence is set aside and substituted with the following:</w:t>
            </w:r>
          </w:p>
          <w:p w:rsidR="00CA2DD1" w:rsidRPr="00CA2DD1" w:rsidRDefault="00CA2DD1" w:rsidP="00CA2DD1">
            <w:pPr>
              <w:pStyle w:val="ListParagraph"/>
              <w:spacing w:line="360" w:lineRule="auto"/>
              <w:ind w:left="1080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‘The accused is sentenced to payment of a fine of N$500 or, in default, 60 days’ imprisonment.’</w:t>
            </w:r>
          </w:p>
          <w:p w:rsidR="00A70ABF" w:rsidRPr="00A70ABF" w:rsidRDefault="00CA2DD1" w:rsidP="00CA2DD1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A2DD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The </w:t>
            </w:r>
            <w:r w:rsidR="009D4C0F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sentence is ante-dated to 22 October 2019.</w:t>
            </w:r>
          </w:p>
          <w:p w:rsidR="00F96BA6" w:rsidRDefault="00A70ABF" w:rsidP="00CA2DD1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The Clerk of the Criminal Court is directed to bring this judgment to the attention to the accused and to refund him with the amount exceeding N$500.</w:t>
            </w:r>
            <w:r w:rsidR="00CA2DD1" w:rsidRPr="00CA2DD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451A20" w:rsidRPr="00CA2DD1" w:rsidRDefault="00451A20" w:rsidP="00451A20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This judgment to be brought to the attention of the Chief Magistrate who, in turn, must circulate it among magistrates under her jurisdiction. </w:t>
            </w:r>
          </w:p>
        </w:tc>
      </w:tr>
      <w:tr w:rsidR="00D35047" w:rsidRPr="001B0FDD" w:rsidTr="00384F99">
        <w:tc>
          <w:tcPr>
            <w:tcW w:w="9720" w:type="dxa"/>
            <w:gridSpan w:val="3"/>
          </w:tcPr>
          <w:p w:rsidR="00D35047" w:rsidRPr="00C67579" w:rsidRDefault="00D35047" w:rsidP="00246D13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6757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Reasons for order:</w:t>
            </w:r>
          </w:p>
        </w:tc>
      </w:tr>
      <w:tr w:rsidR="00D35047" w:rsidRPr="00FE65E1" w:rsidTr="00384F99">
        <w:tc>
          <w:tcPr>
            <w:tcW w:w="9720" w:type="dxa"/>
            <w:gridSpan w:val="3"/>
          </w:tcPr>
          <w:p w:rsidR="00D35047" w:rsidRPr="00246D13" w:rsidRDefault="00D35047" w:rsidP="00246D13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46D1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LIEBENBERG</w:t>
            </w:r>
            <w:r w:rsidR="008F731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</w:t>
            </w:r>
            <w:r w:rsidRPr="00246D1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J (concurring </w:t>
            </w:r>
            <w:r w:rsidR="00595505" w:rsidRPr="00246D1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SIBEYA</w:t>
            </w:r>
            <w:r w:rsidR="008F731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, </w:t>
            </w:r>
            <w:r w:rsidR="00595505" w:rsidRPr="00246D1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</w:t>
            </w:r>
            <w:r w:rsidR="00BE21EF" w:rsidRPr="00246D1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</w:t>
            </w:r>
            <w:r w:rsidRPr="00246D1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)</w:t>
            </w:r>
          </w:p>
          <w:p w:rsidR="00D35047" w:rsidRPr="00246D13" w:rsidRDefault="00D35047" w:rsidP="00246D13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837E4E" w:rsidRPr="00246D13" w:rsidRDefault="000B4D4B" w:rsidP="00246D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  <w:r w:rsidRPr="00246D1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This is a review in</w:t>
            </w:r>
            <w:r w:rsidR="00282698" w:rsidRPr="00246D1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terms of s 302 (1) of the Criminal Procedure Act</w:t>
            </w:r>
            <w:r w:rsidR="00F96BA6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51 of 1977</w:t>
            </w:r>
            <w:r w:rsidR="00282698" w:rsidRPr="00246D1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(the CPA) as amended. </w:t>
            </w:r>
          </w:p>
          <w:p w:rsidR="00C67579" w:rsidRPr="00246D13" w:rsidRDefault="00C67579" w:rsidP="00246D13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</w:p>
          <w:p w:rsidR="00CB179E" w:rsidRDefault="006F5049" w:rsidP="000C08F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  <w:r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The accused was charged</w:t>
            </w:r>
            <w:r w:rsidR="008D1B8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in the m</w:t>
            </w:r>
            <w:r w:rsidR="0035239A"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agistrate’s court for the district of Keetmanshoop</w:t>
            </w:r>
            <w:r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with pos</w:t>
            </w:r>
            <w:r w:rsidR="008D1B8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session of</w:t>
            </w:r>
            <w:r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dependence-producing drugs</w:t>
            </w:r>
            <w:r w:rsidR="000C08F3" w:rsidRPr="00686D6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to wit</w:t>
            </w:r>
            <w:r w:rsidR="008D1B8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,</w:t>
            </w:r>
            <w:r w:rsid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2 gram</w:t>
            </w:r>
            <w:r w:rsidR="00CA2DD1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s of cannabis valued at N$</w:t>
            </w:r>
            <w:r w:rsidR="008D1B8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20</w:t>
            </w:r>
            <w:r w:rsid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,</w:t>
            </w:r>
            <w:r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in contr</w:t>
            </w:r>
            <w:r w:rsidR="00955938"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avention</w:t>
            </w:r>
            <w:r w:rsidR="003568FD"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55938"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of section 2(b) r/w 1</w:t>
            </w:r>
            <w:r w:rsidR="00C67579"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, 2</w:t>
            </w:r>
            <w:r w:rsidR="00955938"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(i)</w:t>
            </w:r>
            <w:r w:rsidR="00686D63"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and/or 2(iv)</w:t>
            </w:r>
            <w:r w:rsidR="00C67579"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, 7, 8, 10, 14</w:t>
            </w:r>
            <w:r w:rsidR="00955938"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and Part I</w:t>
            </w:r>
            <w:r w:rsidRPr="000C08F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of the Schedule of Act 41 of 1971, as amended</w:t>
            </w:r>
            <w:r w:rsidR="00FC46E6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FC46E6" w:rsidRPr="00FC46E6" w:rsidRDefault="00FC46E6" w:rsidP="00FC46E6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</w:p>
          <w:p w:rsidR="00E43139" w:rsidRDefault="0068676B" w:rsidP="00FC591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T</w:t>
            </w:r>
            <w:r w:rsidR="000B021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he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35239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facts of thi</w:t>
            </w:r>
            <w:r w:rsidR="00FC59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s case are</w:t>
            </w:r>
            <w:r w:rsidR="00E4313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that </w:t>
            </w:r>
            <w:r w:rsidR="008D1B8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the police, acting on a tipoff, approached the accused whilst sitting on the porch at home</w:t>
            </w:r>
            <w:r w:rsidR="00CA2DD1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. B</w:t>
            </w:r>
            <w:r w:rsidR="008D1B8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efore they could body search the accused, he undressed hi</w:t>
            </w:r>
            <w:r w:rsidR="00CA2DD1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mself and dropped his clothes </w:t>
            </w:r>
            <w:r w:rsidR="008D1B8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to the floor.  A</w:t>
            </w:r>
            <w:r w:rsidR="00E4313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C5919" w:rsidRPr="00FC591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  <w:lang w:val="en-GB"/>
              </w:rPr>
              <w:t>‘</w:t>
            </w:r>
            <w:r w:rsidR="00E43139" w:rsidRPr="00FC591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  <w:lang w:val="en-GB"/>
              </w:rPr>
              <w:t>zol</w:t>
            </w:r>
            <w:r w:rsidR="00FC5919" w:rsidRPr="00FC591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  <w:lang w:val="en-GB"/>
              </w:rPr>
              <w:t>’</w:t>
            </w:r>
            <w:r w:rsidR="00E4313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E43139" w:rsidRPr="00E4313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a hand-rolled cigarette, </w:t>
            </w:r>
            <w:r w:rsidR="00E4313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containing</w:t>
            </w:r>
            <w:r w:rsidR="00E43139" w:rsidRPr="00E4313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cannabis</w:t>
            </w:r>
            <w:r w:rsidR="00E4313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)</w:t>
            </w:r>
            <w:r w:rsidR="00FC59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was </w:t>
            </w:r>
            <w:r w:rsidR="008D1B8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then </w:t>
            </w:r>
            <w:r w:rsidR="00FC59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found </w:t>
            </w:r>
            <w:r w:rsidR="00CA2DD1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lying </w:t>
            </w:r>
            <w:r w:rsidR="00FC59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next to the accused person’s clothes.</w:t>
            </w:r>
            <w:r w:rsidR="00B557A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He was charged and the matter went on trial.</w:t>
            </w:r>
          </w:p>
          <w:p w:rsidR="00FC46E6" w:rsidRPr="00FC46E6" w:rsidRDefault="00FC46E6" w:rsidP="00FC46E6">
            <w:pPr>
              <w:pStyle w:val="ListParagrap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</w:p>
          <w:p w:rsidR="00FC46E6" w:rsidRDefault="00FC46E6" w:rsidP="00FC46E6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</w:p>
          <w:p w:rsidR="00FC46E6" w:rsidRDefault="00FC46E6" w:rsidP="00FC46E6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</w:p>
          <w:p w:rsidR="00CA2DD1" w:rsidRPr="00A70ABF" w:rsidRDefault="00CA2DD1" w:rsidP="00A70ABF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</w:p>
          <w:p w:rsidR="008827BA" w:rsidRDefault="00686D63" w:rsidP="00E4282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  <w:r w:rsidRPr="00686D63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T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he accused pleaded not guilty </w:t>
            </w:r>
            <w:r w:rsidR="00B557A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but a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fter </w:t>
            </w:r>
            <w:r w:rsidR="0068676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evidence was led</w:t>
            </w:r>
            <w:r w:rsidR="00B557A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and it had been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C591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proved that the </w:t>
            </w:r>
            <w:r w:rsidR="00FC5919" w:rsidRPr="00FC591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  <w:lang w:val="en-GB"/>
              </w:rPr>
              <w:t>‘zol’</w:t>
            </w:r>
            <w:r w:rsidR="00E4313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belonged to the accused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,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E4313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he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was found guilty as charge</w:t>
            </w:r>
            <w:r w:rsidR="00CA2DD1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d and sentenced to a fine of N$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4 000 </w:t>
            </w:r>
            <w:r w:rsidR="0068676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or, in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default of payment, 2 (two) years</w:t>
            </w:r>
            <w:r w:rsidR="00CA2DD1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’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imprisonment.</w:t>
            </w:r>
            <w:r w:rsidR="0068676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:rsidR="008827BA" w:rsidRPr="00CB6BF7" w:rsidRDefault="008827BA" w:rsidP="00CB6BF7">
            <w:p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</w:p>
          <w:p w:rsidR="00C574FF" w:rsidRDefault="0068676B" w:rsidP="00E4282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T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he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conviction is in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C574FF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order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and will be confirmed. </w:t>
            </w:r>
            <w:r w:rsidR="00C574FF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However, the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gravamen </w:t>
            </w:r>
            <w:r w:rsidR="00C574FF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lies with the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sentence imposed 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by the trial court.</w:t>
            </w:r>
          </w:p>
          <w:p w:rsidR="00C574FF" w:rsidRDefault="00C574FF" w:rsidP="00C574FF">
            <w:pPr>
              <w:pStyle w:val="ListParagraph"/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</w:p>
          <w:p w:rsidR="003568FD" w:rsidRPr="003568FD" w:rsidRDefault="001E1A80" w:rsidP="00E4282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B557A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In view of the severity of the sentence imposed and the magistrate’s </w:t>
            </w:r>
            <w:r w:rsidR="00B557AB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  <w:lang w:val="en-GB"/>
              </w:rPr>
              <w:t>ex tempore</w:t>
            </w:r>
            <w:r w:rsidR="00B557A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reasons on sentence</w:t>
            </w:r>
            <w:r w:rsidR="00C574FF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, a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statement from the magistrate </w:t>
            </w:r>
            <w:r w:rsidR="00B557A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in terms of s 304(2)</w:t>
            </w:r>
            <w:r w:rsidR="00B557AB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  <w:lang w:val="en-GB"/>
              </w:rPr>
              <w:t>(a)</w:t>
            </w:r>
            <w:r w:rsidR="00B557A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of the CPA</w:t>
            </w:r>
            <w:r w:rsidR="00B557AB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setting out the reasons for her sentence</w:t>
            </w:r>
            <w:r w:rsidR="00B557A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,</w:t>
            </w:r>
            <w:r w:rsidR="00C574FF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451A20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in our</w:t>
            </w:r>
            <w:r w:rsidR="00B557A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view, </w:t>
            </w:r>
            <w:r w:rsidR="0025218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is </w:t>
            </w:r>
            <w:r w:rsidR="00B557A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not required as</w:t>
            </w:r>
            <w:r w:rsidR="008827BA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the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accused will be prejudiced if the matter is not expeditiously dealt with by this court.</w:t>
            </w:r>
          </w:p>
          <w:p w:rsidR="003568FD" w:rsidRPr="003568FD" w:rsidRDefault="003568FD" w:rsidP="003568FD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</w:p>
          <w:p w:rsidR="00C574FF" w:rsidRPr="00257CFC" w:rsidRDefault="00C574FF" w:rsidP="00C574F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It has been held that o</w:t>
            </w:r>
            <w:r w:rsidRPr="00257CF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ne of the factors tha</w:t>
            </w:r>
            <w:r w:rsid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 may persuade a c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ourt</w:t>
            </w:r>
            <w:r w:rsidRPr="00257CF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to interfere with 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a </w:t>
            </w:r>
            <w:r w:rsidRPr="00257CF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sentence is where 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a trial c</w:t>
            </w:r>
            <w:r w:rsidRPr="00257CF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ourt has failed to take into account a material fact, or has overemph</w:t>
            </w:r>
            <w:r w:rsidR="0025218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asized the importance of one</w:t>
            </w:r>
            <w:r w:rsidRPr="00257CF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factor a</w:t>
            </w:r>
            <w:r w:rsidR="0025218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 the expense of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25218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an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other.</w:t>
            </w:r>
            <w:r>
              <w:rPr>
                <w:rStyle w:val="FootnoteReference"/>
                <w:rFonts w:ascii="Arial Narrow" w:hAnsi="Arial Narrow" w:cs="Helvetica"/>
                <w:color w:val="000000" w:themeColor="text1"/>
                <w:sz w:val="24"/>
                <w:szCs w:val="24"/>
              </w:rPr>
              <w:footnoteReference w:id="1"/>
            </w:r>
            <w:r w:rsidRPr="00257CF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</w:p>
          <w:p w:rsidR="00C574FF" w:rsidRPr="00C574FF" w:rsidRDefault="00C574FF" w:rsidP="00C574FF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</w:pPr>
          </w:p>
          <w:p w:rsidR="008D2E4B" w:rsidRPr="00246D13" w:rsidRDefault="00A541F5" w:rsidP="00246D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During</w:t>
            </w:r>
            <w:r w:rsidR="00403A3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sentenc</w:t>
            </w:r>
            <w:r w:rsidR="0025218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ing proceedings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the accused addressed the court </w:t>
            </w:r>
            <w:r w:rsidR="0025218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in mitigation </w:t>
            </w:r>
            <w:r w:rsidR="00F3217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to the effect</w:t>
            </w:r>
            <w:r w:rsidR="00403A3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that he is</w:t>
            </w:r>
            <w:r w:rsidR="00CA2DD1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a 45 year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old</w:t>
            </w:r>
            <w:r w:rsidR="00D21FAC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first offender</w:t>
            </w:r>
            <w:r w:rsidR="00F3217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; he is employed as a plumber earning</w:t>
            </w:r>
            <w:r w:rsidR="00403A3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a salary of N$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1300</w:t>
            </w:r>
            <w:r w:rsidR="0025218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3217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per month </w:t>
            </w:r>
            <w:r w:rsidR="0025218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and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the only </w:t>
            </w:r>
            <w:r w:rsidR="00E9668E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breadwinner</w:t>
            </w:r>
            <w:r w:rsidR="00F32179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of his family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.</w:t>
            </w:r>
            <w:r w:rsidR="00FC46E6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Furthermore,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C46E6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the accused implored </w:t>
            </w:r>
            <w:r w:rsidR="00403A3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the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403A3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trial </w:t>
            </w:r>
            <w:r w:rsidR="00296E27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court to impose a fine of N$ 4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00</w:t>
            </w:r>
            <w:r w:rsidR="00296E27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or 1</w:t>
            </w:r>
            <w:r w:rsidR="00403A3B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(one)</w:t>
            </w:r>
            <w:r w:rsidR="00296E27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21FAC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mont</w:t>
            </w:r>
            <w:r w:rsidR="00CA2DD1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h</w:t>
            </w:r>
            <w:r w:rsidR="00296E27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imprisonment</w:t>
            </w:r>
            <w:r w:rsidR="00FC46E6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becau</w:t>
            </w:r>
            <w:r w:rsidR="00252182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se this</w:t>
            </w:r>
            <w:r w:rsidR="00D21FAC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 xml:space="preserve"> was all he could afford</w:t>
            </w:r>
            <w:r w:rsidR="00FC46E6">
              <w:rPr>
                <w:rFonts w:ascii="Arial Narrow" w:hAnsi="Arial Narrow" w:cs="Arial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84485C" w:rsidRPr="00246D13" w:rsidRDefault="0084485C" w:rsidP="00246D13">
            <w:p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CB6BF7" w:rsidRPr="00403A3B" w:rsidRDefault="00A541F5" w:rsidP="0074422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>In</w:t>
            </w:r>
            <w:r w:rsidR="00403A3B"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 xml:space="preserve"> the magistrate’s sentencing judgment</w:t>
            </w:r>
            <w:r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21FAC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>she</w:t>
            </w:r>
            <w:r w:rsidR="00403A3B"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 xml:space="preserve"> emphasized </w:t>
            </w:r>
            <w:r w:rsidR="00E9668E"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 xml:space="preserve">the prevalence of alcohol and drugs in the community of </w:t>
            </w:r>
            <w:r w:rsidR="00257CFC"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>Keetmanshoop</w:t>
            </w:r>
            <w:r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 xml:space="preserve"> and</w:t>
            </w:r>
            <w:r w:rsidR="00E9668E"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 xml:space="preserve"> the fact that the accused was not remorseful. </w:t>
            </w:r>
            <w:r w:rsidR="00403A3B"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>In</w:t>
            </w:r>
            <w:r w:rsidR="00FC46E6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 xml:space="preserve"> the end the trial court</w:t>
            </w:r>
            <w:r w:rsidR="00E9668E"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 xml:space="preserve"> imposed a </w:t>
            </w:r>
            <w:r w:rsidR="007E79FD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 xml:space="preserve">fine which the accused was </w:t>
            </w:r>
            <w:r w:rsidR="00F32179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 xml:space="preserve">clearly </w:t>
            </w:r>
            <w:r w:rsidR="007E79FD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>unable to pay, resulting in him having to serve the alternative of two years’ imprisonment</w:t>
            </w:r>
            <w:r w:rsidR="00403A3B">
              <w:rPr>
                <w:rFonts w:ascii="Arial Narrow" w:hAnsi="Arial Narrow" w:cs="Helvetica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296E27" w:rsidRPr="00403A3B" w:rsidRDefault="00296E27" w:rsidP="00403A3B">
            <w:pP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D21FAC" w:rsidRDefault="00D21FAC" w:rsidP="00D21FAC">
            <w:p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D21FAC" w:rsidRPr="00D21FAC" w:rsidRDefault="00D21FAC" w:rsidP="00D21FAC">
            <w:p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D21FAC" w:rsidRPr="00D21FAC" w:rsidRDefault="00D21FAC" w:rsidP="00D21FAC">
            <w:pPr>
              <w:pStyle w:val="ListParagrap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D21FAC" w:rsidRDefault="00D21FAC" w:rsidP="00D21FAC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252182" w:rsidRDefault="00252182" w:rsidP="00252182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CB6BF7" w:rsidRPr="00D21FAC" w:rsidRDefault="00296E27" w:rsidP="00D21FA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With regards to sentencing in drug related cases t</w:t>
            </w:r>
            <w:r w:rsidR="00CB6BF7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he court in </w:t>
            </w:r>
            <w:r w:rsidR="003E5260">
              <w:rPr>
                <w:rFonts w:ascii="Arial Narrow" w:hAnsi="Arial Narrow" w:cs="Helvetica"/>
                <w:i/>
                <w:color w:val="000000" w:themeColor="text1"/>
                <w:sz w:val="24"/>
                <w:szCs w:val="24"/>
              </w:rPr>
              <w:t>S v Swatz</w:t>
            </w:r>
            <w:r w:rsidR="003E5260">
              <w:rPr>
                <w:rStyle w:val="FootnoteReference"/>
                <w:rFonts w:ascii="Arial Narrow" w:hAnsi="Arial Narrow" w:cs="Helvetica"/>
                <w:i/>
                <w:color w:val="000000" w:themeColor="text1"/>
                <w:sz w:val="24"/>
                <w:szCs w:val="24"/>
              </w:rPr>
              <w:footnoteReference w:id="2"/>
            </w:r>
            <w:r w:rsidR="003E5260">
              <w:rPr>
                <w:rFonts w:ascii="Arial Narrow" w:hAnsi="Arial Narrow" w:cs="Helvetica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stressed that courts </w:t>
            </w:r>
            <w:r w:rsidR="00403A3B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have to send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9D4C0F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out 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a c</w:t>
            </w:r>
            <w:r w:rsidR="009D4C0F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lear message that crimes of this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nature will attract severe sentence</w:t>
            </w:r>
            <w:r w:rsidR="00FC46E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</w:t>
            </w:r>
            <w:r w:rsidR="003E526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3E5260"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However, the court</w:t>
            </w:r>
            <w:r w:rsidR="00D21FA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equally noted</w:t>
            </w:r>
            <w:r w:rsidR="00E73DB2"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that</w:t>
            </w:r>
            <w:r w:rsidR="003E5260"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all possible evidence should be </w:t>
            </w:r>
            <w:r w:rsidR="009D4C0F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put</w:t>
            </w:r>
            <w:r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3E5260" w:rsidRPr="00403A3B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before the court in order to place the presiding </w:t>
            </w:r>
            <w:r w:rsidR="003E5260" w:rsidRPr="00D21FA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officer in the best position to impose an appropriate sentence</w:t>
            </w:r>
            <w:r w:rsidR="007E79F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, based on the facts and circumstances of the particular case</w:t>
            </w:r>
            <w:r w:rsidR="003E5260" w:rsidRPr="00D21FA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</w:t>
            </w:r>
            <w:r w:rsidR="00E73DB2" w:rsidRPr="00D21FA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7E79F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It is trite that a court of appeal or review will not readily interfere with the discretion of the trial court when it </w:t>
            </w:r>
            <w:r w:rsidR="00F32179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comes to sentence, provided</w:t>
            </w:r>
            <w:r w:rsidR="007E79F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F32179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the </w:t>
            </w:r>
            <w:r w:rsidR="007E79F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court</w:t>
            </w:r>
            <w:r w:rsidR="00E73DB2" w:rsidRPr="00D21FA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exercise</w:t>
            </w:r>
            <w:r w:rsidR="00F32179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d</w:t>
            </w:r>
            <w:r w:rsidR="007E79F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its </w:t>
            </w:r>
            <w:r w:rsidR="00E73DB2" w:rsidRPr="00D21FA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discretion judiciously and properly</w:t>
            </w:r>
            <w:r w:rsidR="00F32179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in sentencing</w:t>
            </w:r>
            <w:r w:rsidR="00E73DB2" w:rsidRPr="00D21FA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</w:t>
            </w:r>
            <w:r w:rsidRPr="00D21FAC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</w:p>
          <w:p w:rsidR="0035239A" w:rsidRPr="00D21FAC" w:rsidRDefault="0035239A" w:rsidP="00D21FAC">
            <w:p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917067" w:rsidRDefault="00D21FAC" w:rsidP="00257C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W</w:t>
            </w:r>
            <w:r w:rsidR="00593B9E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ith regards to the appropriateness of imposing a fine</w:t>
            </w:r>
            <w:r w:rsidR="0035239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F32179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which</w:t>
            </w:r>
            <w:r w:rsid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an accused could afford, </w:t>
            </w:r>
            <w:r w:rsidR="00F32179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the court </w:t>
            </w:r>
            <w:r w:rsid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in</w:t>
            </w:r>
            <w:r w:rsidR="00917067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917067">
              <w:rPr>
                <w:rFonts w:ascii="Arial Narrow" w:hAnsi="Arial Narrow" w:cs="Helvetica"/>
                <w:i/>
                <w:color w:val="000000" w:themeColor="text1"/>
                <w:sz w:val="24"/>
                <w:szCs w:val="24"/>
              </w:rPr>
              <w:t>S v Mynhardt; S v Kuinab</w:t>
            </w:r>
            <w:r w:rsidR="00917067">
              <w:rPr>
                <w:rStyle w:val="FootnoteReference"/>
                <w:rFonts w:ascii="Arial Narrow" w:hAnsi="Arial Narrow" w:cs="Helvetica"/>
                <w:i/>
                <w:color w:val="000000" w:themeColor="text1"/>
                <w:sz w:val="24"/>
                <w:szCs w:val="24"/>
              </w:rPr>
              <w:footnoteReference w:id="3"/>
            </w:r>
            <w:r w:rsidR="002A480A">
              <w:rPr>
                <w:rFonts w:ascii="Arial Narrow" w:hAnsi="Arial Narrow" w:cs="Helvetica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32179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set out the following</w:t>
            </w:r>
            <w:r w:rsidR="00714EA3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917067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guidelines</w:t>
            </w:r>
            <w:r w:rsidR="00714EA3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when </w:t>
            </w:r>
            <w:r w:rsidR="00F32179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considering the imposition of a fine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:</w:t>
            </w:r>
            <w:r w:rsidR="00917067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</w:p>
          <w:p w:rsidR="00917067" w:rsidRPr="00917067" w:rsidRDefault="00917067" w:rsidP="00917067">
            <w:pPr>
              <w:pStyle w:val="ListParagrap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917067" w:rsidRPr="002A480A" w:rsidRDefault="00917067" w:rsidP="0091706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‘Fines should be used mainly as punishment for lesser offences.</w:t>
            </w:r>
          </w:p>
          <w:p w:rsidR="00917067" w:rsidRPr="002A480A" w:rsidRDefault="00917067" w:rsidP="0091706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The imposition of a fine is an alternative punishment, ie </w:t>
            </w:r>
            <w:r w:rsidRPr="00F32179">
              <w:rPr>
                <w:rFonts w:ascii="Arial Narrow" w:hAnsi="Arial Narrow" w:cs="Helvetica"/>
                <w:color w:val="000000" w:themeColor="text1"/>
                <w:sz w:val="24"/>
                <w:szCs w:val="24"/>
                <w:u w:val="single"/>
              </w:rPr>
              <w:t>the purpose of a fine is to punish an accused without incarcerating him. To impose a fine which an accused can obviously not pay is to impose direct imprisonment in the guise of an alternative term of imprisonment</w:t>
            </w:r>
            <w:r w:rsidRP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</w:t>
            </w:r>
          </w:p>
          <w:p w:rsidR="00917067" w:rsidRPr="002A480A" w:rsidRDefault="00917067" w:rsidP="0091706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Although not capable of exact calculation </w:t>
            </w:r>
            <w:r w:rsidRPr="00F32179">
              <w:rPr>
                <w:rFonts w:ascii="Arial Narrow" w:hAnsi="Arial Narrow" w:cs="Helvetica"/>
                <w:color w:val="000000" w:themeColor="text1"/>
                <w:sz w:val="24"/>
                <w:szCs w:val="24"/>
                <w:u w:val="single"/>
              </w:rPr>
              <w:t>the alternative of imprisonment must be proportionate to the fine and the gravity of the offence</w:t>
            </w:r>
            <w:r w:rsidRP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</w:t>
            </w:r>
          </w:p>
          <w:p w:rsidR="00917067" w:rsidRPr="002A480A" w:rsidRDefault="00917067" w:rsidP="00CB6BF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The presiding officer must obtain the necessary fact</w:t>
            </w:r>
            <w:r w:rsidR="007E79F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s before deciding upon a fine. …</w:t>
            </w:r>
            <w:r w:rsidRPr="00F32179">
              <w:rPr>
                <w:rFonts w:ascii="Arial Narrow" w:hAnsi="Arial Narrow" w:cs="Helvetica"/>
                <w:color w:val="000000" w:themeColor="text1"/>
                <w:sz w:val="24"/>
                <w:szCs w:val="24"/>
                <w:u w:val="single"/>
              </w:rPr>
              <w:t>Of vital importance is the ability of the accused to pay a fine</w:t>
            </w:r>
            <w:r w:rsidRP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 Here, not only the accused's income is of importance, but also his assets and liabilities and other means of obtaining funds.</w:t>
            </w:r>
          </w:p>
          <w:p w:rsidR="0068254C" w:rsidRDefault="00917067" w:rsidP="00593B9E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F32179">
              <w:rPr>
                <w:rFonts w:ascii="Arial Narrow" w:hAnsi="Arial Narrow" w:cs="Helvetica"/>
                <w:color w:val="000000" w:themeColor="text1"/>
                <w:sz w:val="24"/>
                <w:szCs w:val="24"/>
                <w:u w:val="single"/>
              </w:rPr>
              <w:t>The amount should usually fall within the ability of the accused</w:t>
            </w:r>
            <w:r w:rsidRP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…’</w:t>
            </w:r>
          </w:p>
          <w:p w:rsidR="008F7316" w:rsidRDefault="003648D0" w:rsidP="008F7316">
            <w:p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                         (</w:t>
            </w:r>
            <w:r w:rsid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Emphasis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provided)</w:t>
            </w:r>
          </w:p>
          <w:p w:rsidR="008F7316" w:rsidRDefault="008F7316" w:rsidP="008F7316">
            <w:p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8F7316" w:rsidRDefault="008F7316" w:rsidP="008F7316">
            <w:p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8F7316" w:rsidRDefault="008F7316" w:rsidP="008F7316">
            <w:p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8F7316" w:rsidRDefault="008F7316" w:rsidP="008F7316">
            <w:p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252182" w:rsidRPr="008F7316" w:rsidRDefault="00D94A36" w:rsidP="008F73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There can be no doubt that the fine imposed by the court fell well outside the financial means of the accused, thereby effectively imposing a sentence of two years’ imprisonment for two grams of cannabis</w:t>
            </w:r>
            <w:r w:rsidR="00252182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valued at N$20</w:t>
            </w:r>
            <w:r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 The magistrate was clearly unfazed by the small quantity of cannabis foun</w:t>
            </w:r>
            <w:r w:rsidR="0049532C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d </w:t>
            </w:r>
          </w:p>
          <w:p w:rsidR="00D21FAC" w:rsidRPr="008F7316" w:rsidRDefault="0049532C" w:rsidP="008F7316">
            <w:pPr>
              <w:spacing w:line="360" w:lineRule="auto"/>
              <w:ind w:left="702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on the accused as she simply stated that it was ‘irrelevant’ as the accused was in possession of a dependence</w:t>
            </w:r>
            <w:r w:rsidR="009D4C0F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-</w:t>
            </w:r>
            <w:r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producing drug. The bold conclusion reached by the magistrate is not substantiated by current case law on sentencing in matters of this nature where the quanti</w:t>
            </w:r>
            <w:r w:rsidR="003648D0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ty of drugs convicted of i</w:t>
            </w:r>
            <w:r w:rsidR="00252182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s</w:t>
            </w:r>
            <w:r w:rsidR="003648D0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considered</w:t>
            </w:r>
            <w:r w:rsidR="00252182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3648D0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to be </w:t>
            </w:r>
            <w:r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a material </w:t>
            </w:r>
            <w:r w:rsidR="007E79FD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factor at</w:t>
            </w:r>
            <w:r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sentencing. Logic dictates that a person found with 2 grams of cannabis should receive a lesser sentence than a person found with 2kg of cannabis. The quantity of the prohibited substance would inevitably impact on the seriousness of the offence</w:t>
            </w:r>
            <w:r w:rsidR="00252182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committed which, in turn, would reflect o</w:t>
            </w:r>
            <w:r w:rsidR="006A111F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n the </w:t>
            </w:r>
            <w:r w:rsidR="00252182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punishment meted out</w:t>
            </w:r>
            <w:r w:rsidR="006A111F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 To this end the magistrate clearly misdirected herself</w:t>
            </w:r>
            <w:r w:rsidR="00252182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which</w:t>
            </w:r>
            <w:r w:rsidR="006A111F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direct</w:t>
            </w:r>
            <w:r w:rsidR="00252182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ly</w:t>
            </w:r>
            <w:r w:rsidR="006A111F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impact</w:t>
            </w:r>
            <w:r w:rsidR="003648D0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ed</w:t>
            </w:r>
            <w:r w:rsidR="006A111F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on the </w:t>
            </w:r>
            <w:r w:rsidR="003648D0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severity of the </w:t>
            </w:r>
            <w:r w:rsidR="006A111F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sentence imposed.</w:t>
            </w:r>
          </w:p>
          <w:p w:rsidR="006A111F" w:rsidRDefault="006A111F" w:rsidP="006A111F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D21FAC" w:rsidRDefault="006A111F" w:rsidP="000C08F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With</w:t>
            </w:r>
            <w:r w:rsidR="007E79F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regards to the interests of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society, the reasons advanced by the magistrate that a de</w:t>
            </w:r>
            <w:r w:rsidR="007E79F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terrent sentence was called for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is clearly not consistent with the facts placed before the court. The magistrate </w:t>
            </w:r>
            <w:r w:rsidR="007C09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associated 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the accused’s possession of cannabis 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with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children being exposed to drugs; </w:t>
            </w:r>
            <w:r w:rsidR="001877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offences like rape, murder, cu</w:t>
            </w:r>
            <w:r w:rsidR="007C09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lpable homicide and robbery; whilst</w:t>
            </w:r>
            <w:r w:rsidR="001877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putting the safety of the community generally at risk. 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There is simply no basis for connecting the</w:t>
            </w:r>
            <w:r w:rsidR="003648D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crime committed by the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accused with </w:t>
            </w:r>
            <w:r w:rsidR="003648D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any of 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these </w:t>
            </w:r>
            <w:r w:rsidR="007C09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circumstances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3648D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considered to be aggravating 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and he was clearly sacrificed on the proverbial altar of deterrence. </w:t>
            </w:r>
            <w:r w:rsidR="001877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The court further found that the accused ‘has not taken responsibility for his conduct’</w:t>
            </w:r>
            <w:r w:rsidR="007C09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, thus lacking</w:t>
            </w:r>
            <w:r w:rsidR="001877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repentance</w:t>
            </w:r>
            <w:r w:rsidR="007C09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 This the court</w:t>
            </w:r>
            <w:r w:rsidR="001877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interpreted as an aggravating factor; another misdirection on the part of the court as the lack of remorse is not </w:t>
            </w:r>
            <w:r w:rsidR="003648D0">
              <w:rPr>
                <w:rFonts w:ascii="Arial Narrow" w:hAnsi="Arial Narrow" w:cs="Helvetica"/>
                <w:i/>
                <w:color w:val="000000" w:themeColor="text1"/>
                <w:sz w:val="24"/>
                <w:szCs w:val="24"/>
              </w:rPr>
              <w:t>per se</w:t>
            </w:r>
            <w:r w:rsidR="003648D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considered</w:t>
            </w:r>
            <w:r w:rsidR="001877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an aggravating factor. </w:t>
            </w:r>
            <w:r w:rsidR="003E3DF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The one-sided approach followed by the magistrate is borne out by her</w:t>
            </w:r>
            <w:r w:rsidR="003648D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erroneous</w:t>
            </w:r>
            <w:r w:rsidR="003E3DF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reasoning pertaining to the element of mercy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,</w:t>
            </w:r>
            <w:r w:rsidR="003E3DF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stated in the following terms:</w:t>
            </w:r>
          </w:p>
          <w:p w:rsidR="00C307B1" w:rsidRDefault="003E3DF2" w:rsidP="003E3DF2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3E3DF2" w:rsidRDefault="00C307B1" w:rsidP="003E3DF2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</w:rPr>
            </w:pPr>
            <w:r w:rsidRPr="00D11578">
              <w:rPr>
                <w:rFonts w:ascii="Arial Narrow" w:hAnsi="Arial Narrow" w:cs="Helvetica"/>
                <w:color w:val="000000" w:themeColor="text1"/>
              </w:rPr>
              <w:t xml:space="preserve">            </w:t>
            </w:r>
            <w:r w:rsidR="003E3DF2" w:rsidRPr="00D11578">
              <w:rPr>
                <w:rFonts w:ascii="Arial Narrow" w:hAnsi="Arial Narrow" w:cs="Helvetica"/>
                <w:color w:val="000000" w:themeColor="text1"/>
              </w:rPr>
              <w:t xml:space="preserve">‘Therefore, as an extension of the Court’s mercy Accused will not be exposed to the </w:t>
            </w:r>
            <w:r w:rsidR="003E3DF2" w:rsidRPr="00D11578">
              <w:rPr>
                <w:rFonts w:ascii="Arial Narrow" w:hAnsi="Arial Narrow" w:cs="Helvetica"/>
                <w:color w:val="000000" w:themeColor="text1"/>
                <w:u w:val="single"/>
              </w:rPr>
              <w:t>full penalty</w:t>
            </w:r>
            <w:r w:rsidR="003E3DF2" w:rsidRPr="00D11578">
              <w:rPr>
                <w:rFonts w:ascii="Arial Narrow" w:hAnsi="Arial Narrow" w:cs="Helvetica"/>
                <w:color w:val="000000" w:themeColor="text1"/>
              </w:rPr>
              <w:t xml:space="preserve"> clause and will be given the option to pay a fine today. Accused person’s fine will therefore be a mirror of his conduct and a blatant display of his </w:t>
            </w:r>
            <w:r w:rsidR="003E3DF2" w:rsidRPr="00D11578">
              <w:rPr>
                <w:rFonts w:ascii="Arial Narrow" w:hAnsi="Arial Narrow" w:cs="Helvetica"/>
                <w:color w:val="000000" w:themeColor="text1"/>
                <w:u w:val="single"/>
              </w:rPr>
              <w:t>persistence</w:t>
            </w:r>
            <w:r w:rsidR="003E3DF2" w:rsidRPr="00D11578">
              <w:rPr>
                <w:rFonts w:ascii="Arial Narrow" w:hAnsi="Arial Narrow" w:cs="Helvetica"/>
                <w:color w:val="000000" w:themeColor="text1"/>
              </w:rPr>
              <w:t xml:space="preserve"> and the lawfulness of his conduct.’</w:t>
            </w:r>
          </w:p>
          <w:p w:rsidR="00D11578" w:rsidRPr="00D11578" w:rsidRDefault="00D11578" w:rsidP="003E3DF2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</w:rPr>
            </w:pPr>
          </w:p>
          <w:p w:rsidR="003E3DF2" w:rsidRDefault="00C307B1" w:rsidP="003E3DF2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(Emphasis provided)</w:t>
            </w:r>
          </w:p>
          <w:p w:rsidR="00C307B1" w:rsidRDefault="00C307B1" w:rsidP="003E3DF2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8F7316" w:rsidRDefault="008F7316" w:rsidP="00D11578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8F7316" w:rsidRDefault="008F7316" w:rsidP="008F7316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C307B1" w:rsidRPr="008F7316" w:rsidRDefault="003648D0" w:rsidP="008F7316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These remarks were made</w:t>
            </w:r>
            <w:r w:rsidR="003E3DF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not only out 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of context, but are neither</w:t>
            </w:r>
            <w:r w:rsidR="003E3DF2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supported by the facts. </w:t>
            </w:r>
            <w:r w:rsidR="000A18DE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How the magistrate could possibly think that this is an instance where the accused should be visited with the full extent of the law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,</w:t>
            </w:r>
            <w:r w:rsidR="000A18DE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is beyond comprehension. Furthermore, to describe the accused’s conduct as ‘blatant’ and ‘persistent’ denotes that he is not a first offender. Although briefly summarising the </w:t>
            </w:r>
            <w:r w:rsidR="000A18DE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accused’s personal circumstances, the court failed to give the necessary weight to the fact that the accused was a first offender; employed</w:t>
            </w:r>
            <w:r w:rsidR="007C091D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;</w:t>
            </w:r>
            <w:r w:rsidR="000A18DE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and</w:t>
            </w:r>
            <w:r w:rsidR="00C307B1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sole </w:t>
            </w:r>
            <w:r w:rsidR="00C307B1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breadwinner of his family. The fact</w:t>
            </w:r>
            <w:r w:rsidR="000A18DE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that he was</w:t>
            </w:r>
            <w:r w:rsidR="004648F7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unable to pay a substantial fine</w:t>
            </w:r>
            <w:r w:rsidR="00C307B1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was also ignored, alternatively, given insufficient weight</w:t>
            </w:r>
            <w:r w:rsidR="004648F7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. </w:t>
            </w:r>
            <w:r w:rsidR="000A18DE" w:rsidRP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</w:p>
          <w:p w:rsidR="00C307B1" w:rsidRDefault="00C307B1" w:rsidP="00C307B1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4648F7" w:rsidRPr="008F7316" w:rsidRDefault="004648F7" w:rsidP="00C307B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From a reading of the court’s reasons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on sentence</w:t>
            </w:r>
            <w:r w:rsidR="007C09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, it is evident that mere lip service was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paid</w:t>
            </w:r>
            <w:r w:rsidR="000A18DE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to the accused’s personal circumstances</w:t>
            </w:r>
            <w:r w:rsidR="007C09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which were not accorded sufficient weight. This unfortunately</w:t>
            </w:r>
            <w:r w:rsidR="000A18DE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7C09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resulted in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7C09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the court </w:t>
            </w:r>
            <w:r w:rsidR="00A70ABF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over-emphasising</w:t>
            </w:r>
            <w:r w:rsidR="000A18DE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the seriousness of the offence and the interests of society. </w:t>
            </w:r>
            <w:r w:rsidR="007C09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By so doing, the court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35239A" w:rsidRPr="004648F7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failed to exercise its discretion </w:t>
            </w:r>
            <w:r w:rsidR="007C09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on sentence</w:t>
            </w:r>
            <w:r w:rsidR="007C091D" w:rsidRPr="004648F7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35239A" w:rsidRPr="004648F7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judiciously</w:t>
            </w:r>
            <w:r w:rsidR="00451A20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 The sentence imposed in this instance is so shockingly inappropriate that it borders on a failure of justice</w:t>
            </w:r>
            <w:r w:rsidR="000C08F3" w:rsidRPr="004648F7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</w:t>
            </w:r>
          </w:p>
          <w:p w:rsidR="004648F7" w:rsidRPr="004648F7" w:rsidRDefault="004648F7" w:rsidP="004648F7">
            <w:pPr>
              <w:pStyle w:val="ListParagrap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A70ABF" w:rsidRDefault="004648F7" w:rsidP="00A70AB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In these circumstances</w:t>
            </w:r>
            <w:r w:rsid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we find </w:t>
            </w:r>
            <w:r w:rsidR="002A480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</w:t>
            </w:r>
            <w:r w:rsidR="0035239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he sentence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imposed</w:t>
            </w:r>
            <w:r w:rsidR="0035239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shockingly inappropriate and 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it 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falls to be set aside</w:t>
            </w:r>
            <w:r w:rsidR="0035239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In our view the imposition of a fine</w:t>
            </w:r>
            <w:r w:rsidR="00CA2DD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of a much lesser amount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, coupled with an appropriate</w:t>
            </w:r>
            <w:r w:rsidR="00CA2DD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alternative term of imprisonment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,</w:t>
            </w:r>
            <w:r w:rsidR="00CA2DD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would </w:t>
            </w:r>
            <w:r w:rsidR="00C307B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be justified and pr</w:t>
            </w:r>
            <w:r w:rsidR="008135B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oper</w:t>
            </w:r>
            <w:r w:rsidR="00CA2DD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</w:t>
            </w:r>
          </w:p>
          <w:p w:rsidR="00A70ABF" w:rsidRDefault="00A70ABF" w:rsidP="00A70ABF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</w:p>
          <w:p w:rsidR="00A70ABF" w:rsidRPr="00A70ABF" w:rsidRDefault="00A70ABF" w:rsidP="00A70AB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Lastly, upon enquiry</w:t>
            </w:r>
            <w:r w:rsid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the Clerk of the Criminal Court Keetmanshoop confirmed that the accused paid the fine </w:t>
            </w:r>
            <w:r w:rsid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only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on the 24</w:t>
            </w:r>
            <w:r w:rsidRPr="00A70ABF">
              <w:rPr>
                <w:rFonts w:ascii="Arial Narrow" w:hAnsi="Arial Narrow" w:cs="Helvetica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October 2019, two days after his incarceration</w:t>
            </w:r>
            <w:r w:rsid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 Being a part-fine,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this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rendered the matter </w:t>
            </w:r>
            <w:r w:rsidR="008F7316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still 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reviewable under s </w:t>
            </w:r>
            <w:r w:rsidR="00D11578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302(3) of the CPA.</w:t>
            </w:r>
            <w:r w:rsidR="00B16EBA">
              <w:rPr>
                <w:rStyle w:val="FootnoteReference"/>
                <w:rFonts w:ascii="Arial Narrow" w:hAnsi="Arial Narrow" w:cs="Helvetica"/>
                <w:color w:val="000000" w:themeColor="text1"/>
                <w:sz w:val="24"/>
                <w:szCs w:val="24"/>
              </w:rPr>
              <w:footnoteReference w:id="4"/>
            </w:r>
          </w:p>
          <w:p w:rsidR="00246D13" w:rsidRPr="0035239A" w:rsidRDefault="004648F7" w:rsidP="004648F7">
            <w:pPr>
              <w:pStyle w:val="ListParagraph"/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 w:rsidRPr="0035239A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</w:p>
          <w:p w:rsidR="006F5049" w:rsidRPr="00246D13" w:rsidRDefault="00451A20" w:rsidP="00246D1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In the result</w:t>
            </w:r>
            <w:r w:rsidR="00C67579" w:rsidRPr="00246D13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, </w:t>
            </w:r>
            <w:r w:rsidR="006F5049" w:rsidRPr="00246D13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the following order</w:t>
            </w:r>
            <w:r w:rsidR="00C67579" w:rsidRPr="00246D13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is made</w:t>
            </w:r>
            <w:r w:rsidR="006F5049" w:rsidRPr="00246D13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:</w:t>
            </w:r>
          </w:p>
          <w:p w:rsidR="00EC66A3" w:rsidRPr="0047761D" w:rsidRDefault="00EC66A3" w:rsidP="00D1157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lastRenderedPageBreak/>
              <w:t>The</w:t>
            </w:r>
            <w:r w:rsidR="00CA2DD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conviction is confirmed but</w:t>
            </w:r>
            <w:r w:rsidR="00101B6E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the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 </w:t>
            </w:r>
            <w:r w:rsidR="00A33CD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sentence is set aside and </w:t>
            </w:r>
            <w:r w:rsidR="004776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substituted </w:t>
            </w:r>
            <w:r w:rsidR="00101B6E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with the following</w:t>
            </w:r>
            <w:r w:rsidR="0047761D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:</w:t>
            </w:r>
          </w:p>
          <w:p w:rsidR="0047761D" w:rsidRPr="00EC66A3" w:rsidRDefault="0047761D" w:rsidP="00D11578">
            <w:pPr>
              <w:pStyle w:val="ListParagraph"/>
              <w:spacing w:line="360" w:lineRule="auto"/>
              <w:ind w:left="108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‘The accused is senten</w:t>
            </w:r>
            <w:r w:rsidR="00CA2DD1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ced to payment of a fine of N$5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00 or, in default, 60 days’ imprisonment.’</w:t>
            </w:r>
          </w:p>
          <w:p w:rsidR="00A452D4" w:rsidRPr="00A452D4" w:rsidRDefault="00A452D4" w:rsidP="00A452D4">
            <w:pPr>
              <w:pStyle w:val="ListParagraph"/>
              <w:spacing w:line="360" w:lineRule="auto"/>
              <w:ind w:left="108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01B6E" w:rsidRPr="00A70ABF" w:rsidRDefault="00CA2DD1" w:rsidP="00D1157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 xml:space="preserve">The sentence is </w:t>
            </w:r>
            <w:r w:rsidR="009D4C0F"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ante-dated to 22 October 2019</w:t>
            </w: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.</w:t>
            </w:r>
          </w:p>
          <w:p w:rsidR="00A70ABF" w:rsidRPr="00451A20" w:rsidRDefault="00A70ABF" w:rsidP="00D1157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Helvetica"/>
                <w:color w:val="000000" w:themeColor="text1"/>
                <w:sz w:val="24"/>
                <w:szCs w:val="24"/>
              </w:rPr>
              <w:t>The Clerk of the Criminal Court is directed to bring this judgment to the attention to the accused and to refund him with the amount exceeding N$500.</w:t>
            </w:r>
          </w:p>
          <w:p w:rsidR="00451A20" w:rsidRPr="00D11578" w:rsidRDefault="00451A20" w:rsidP="00D1157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This judgment to be brought to the attention of the Chief Magistrate who, in turn, must circulate it among magistrates under her jurisdiction.</w:t>
            </w:r>
          </w:p>
          <w:p w:rsidR="00D11578" w:rsidRDefault="00D11578" w:rsidP="00D1157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D11578" w:rsidRPr="00D11578" w:rsidRDefault="00D11578" w:rsidP="00D11578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5047" w:rsidRPr="001B0FDD" w:rsidTr="00384F99">
        <w:tc>
          <w:tcPr>
            <w:tcW w:w="4770" w:type="dxa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35047" w:rsidRPr="001B0FDD" w:rsidRDefault="00D35047" w:rsidP="00D92DB9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35047" w:rsidRPr="001B0FDD" w:rsidTr="00384F99">
        <w:trPr>
          <w:trHeight w:val="827"/>
        </w:trPr>
        <w:tc>
          <w:tcPr>
            <w:tcW w:w="4770" w:type="dxa"/>
          </w:tcPr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J C LIEBENBERG</w:t>
            </w:r>
          </w:p>
          <w:p w:rsidR="00D35047" w:rsidRPr="001B0FDD" w:rsidRDefault="00D35047" w:rsidP="00384F9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0FDD">
              <w:rPr>
                <w:rFonts w:ascii="Arial Narrow" w:hAnsi="Arial Narrow" w:cs="Arial"/>
                <w:b/>
                <w:sz w:val="24"/>
                <w:szCs w:val="24"/>
              </w:rPr>
              <w:t>JUDGE</w:t>
            </w:r>
          </w:p>
        </w:tc>
        <w:tc>
          <w:tcPr>
            <w:tcW w:w="4950" w:type="dxa"/>
            <w:gridSpan w:val="2"/>
          </w:tcPr>
          <w:p w:rsidR="000C7EFF" w:rsidRDefault="00D74F0E" w:rsidP="000C7EFF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 SIBEYA</w:t>
            </w:r>
          </w:p>
          <w:p w:rsidR="00D35047" w:rsidRPr="001B0FDD" w:rsidRDefault="007B0309" w:rsidP="000C7EFF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ACTING </w:t>
            </w:r>
            <w:r w:rsidR="000C7EFF">
              <w:rPr>
                <w:rFonts w:ascii="Arial Narrow" w:hAnsi="Arial Narrow" w:cs="Arial"/>
                <w:b/>
                <w:sz w:val="24"/>
                <w:szCs w:val="24"/>
              </w:rPr>
              <w:t>J</w:t>
            </w:r>
            <w:r w:rsidR="00D35047" w:rsidRPr="001B0FDD">
              <w:rPr>
                <w:rFonts w:ascii="Arial Narrow" w:hAnsi="Arial Narrow" w:cs="Arial"/>
                <w:b/>
                <w:sz w:val="24"/>
                <w:szCs w:val="24"/>
              </w:rPr>
              <w:t>UDGE</w:t>
            </w:r>
          </w:p>
        </w:tc>
      </w:tr>
    </w:tbl>
    <w:p w:rsidR="00B97A95" w:rsidRDefault="00B97A95" w:rsidP="00D92DB9"/>
    <w:sectPr w:rsidR="00B97A95" w:rsidSect="00B932C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97" w:rsidRDefault="00050997" w:rsidP="00F1192F">
      <w:pPr>
        <w:spacing w:after="0" w:line="240" w:lineRule="auto"/>
      </w:pPr>
      <w:r>
        <w:separator/>
      </w:r>
    </w:p>
  </w:endnote>
  <w:endnote w:type="continuationSeparator" w:id="0">
    <w:p w:rsidR="00050997" w:rsidRDefault="00050997" w:rsidP="00F1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97" w:rsidRDefault="00050997" w:rsidP="00F1192F">
      <w:pPr>
        <w:spacing w:after="0" w:line="240" w:lineRule="auto"/>
      </w:pPr>
      <w:r>
        <w:separator/>
      </w:r>
    </w:p>
  </w:footnote>
  <w:footnote w:type="continuationSeparator" w:id="0">
    <w:p w:rsidR="00050997" w:rsidRDefault="00050997" w:rsidP="00F1192F">
      <w:pPr>
        <w:spacing w:after="0" w:line="240" w:lineRule="auto"/>
      </w:pPr>
      <w:r>
        <w:continuationSeparator/>
      </w:r>
    </w:p>
  </w:footnote>
  <w:footnote w:id="1">
    <w:p w:rsidR="00C574FF" w:rsidRPr="00B16EBA" w:rsidRDefault="00C574FF" w:rsidP="00C574FF">
      <w:pPr>
        <w:pStyle w:val="FootnoteText"/>
        <w:rPr>
          <w:rFonts w:ascii="Arial Narrow" w:hAnsi="Arial Narrow" w:cs="Arial"/>
        </w:rPr>
      </w:pPr>
      <w:r w:rsidRPr="00B16EBA">
        <w:rPr>
          <w:rStyle w:val="FootnoteReference"/>
          <w:rFonts w:ascii="Arial Narrow" w:hAnsi="Arial Narrow" w:cs="Arial"/>
        </w:rPr>
        <w:footnoteRef/>
      </w:r>
      <w:r w:rsidRPr="00B16EBA">
        <w:rPr>
          <w:rFonts w:ascii="Arial Narrow" w:hAnsi="Arial Narrow" w:cs="Arial"/>
        </w:rPr>
        <w:t xml:space="preserve"> </w:t>
      </w:r>
      <w:r w:rsidRPr="00B16EBA">
        <w:rPr>
          <w:rFonts w:ascii="Arial Narrow" w:hAnsi="Arial Narrow" w:cs="Arial"/>
          <w:i/>
        </w:rPr>
        <w:t>S v Tjiho</w:t>
      </w:r>
      <w:r w:rsidR="00D21FAC" w:rsidRPr="00B16EBA">
        <w:rPr>
          <w:rFonts w:ascii="Arial Narrow" w:hAnsi="Arial Narrow" w:cs="Arial"/>
        </w:rPr>
        <w:t xml:space="preserve"> 1991 NR 361 (H) at page 366</w:t>
      </w:r>
      <w:r w:rsidRPr="00B16EBA">
        <w:rPr>
          <w:rFonts w:ascii="Arial Narrow" w:hAnsi="Arial Narrow" w:cs="Arial"/>
        </w:rPr>
        <w:t>A-B.</w:t>
      </w:r>
    </w:p>
  </w:footnote>
  <w:footnote w:id="2">
    <w:p w:rsidR="003E5260" w:rsidRDefault="003E52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79FD">
        <w:rPr>
          <w:rFonts w:ascii="Arial Narrow" w:hAnsi="Arial Narrow"/>
        </w:rPr>
        <w:t>Unreported Judgement (CR 86/2018) [2018] NAHCMD 343 (30 October 2018) at para 11.</w:t>
      </w:r>
    </w:p>
  </w:footnote>
  <w:footnote w:id="3">
    <w:p w:rsidR="00917067" w:rsidRDefault="009170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79FD">
        <w:rPr>
          <w:rFonts w:ascii="Arial Narrow" w:hAnsi="Arial Narrow"/>
        </w:rPr>
        <w:t>1991 NR 336 (HC).</w:t>
      </w:r>
      <w:r>
        <w:t xml:space="preserve"> </w:t>
      </w:r>
    </w:p>
  </w:footnote>
  <w:footnote w:id="4">
    <w:p w:rsidR="00B16EBA" w:rsidRPr="00B16EBA" w:rsidRDefault="00B16EBA" w:rsidP="00B16EBA">
      <w:pPr>
        <w:pStyle w:val="FootnoteText"/>
        <w:spacing w:line="360" w:lineRule="auto"/>
        <w:jc w:val="both"/>
        <w:rPr>
          <w:rFonts w:ascii="Arial Narrow" w:hAnsi="Arial Narrow"/>
        </w:rPr>
      </w:pPr>
      <w:r w:rsidRPr="00B16EBA">
        <w:rPr>
          <w:rStyle w:val="FootnoteReference"/>
          <w:rFonts w:ascii="Arial Narrow" w:hAnsi="Arial Narrow"/>
        </w:rPr>
        <w:footnoteRef/>
      </w:r>
      <w:r w:rsidRPr="00B16EBA">
        <w:rPr>
          <w:rFonts w:ascii="Arial Narrow" w:hAnsi="Arial Narrow"/>
        </w:rPr>
        <w:t xml:space="preserve"> The provisions of subsection (1) shall only apply-</w:t>
      </w:r>
    </w:p>
    <w:p w:rsidR="00B16EBA" w:rsidRPr="00B16EBA" w:rsidRDefault="00A452D4" w:rsidP="00B16EBA">
      <w:pPr>
        <w:pStyle w:val="FootnoteText"/>
        <w:numPr>
          <w:ilvl w:val="0"/>
          <w:numId w:val="22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B16EBA" w:rsidRPr="00B16EBA">
        <w:rPr>
          <w:rFonts w:ascii="Arial Narrow" w:hAnsi="Arial Narrow"/>
        </w:rPr>
        <w:t xml:space="preserve">ith reference to a sentence which is imposed in respect of an accused who was </w:t>
      </w:r>
      <w:r w:rsidR="00B16EBA" w:rsidRPr="00B16EBA">
        <w:rPr>
          <w:rFonts w:ascii="Arial Narrow" w:hAnsi="Arial Narrow"/>
          <w:u w:val="single"/>
        </w:rPr>
        <w:t>not assisted by a legal adviser</w:t>
      </w:r>
      <w:r w:rsidR="00B16EBA" w:rsidRPr="00B16EBA">
        <w:rPr>
          <w:rFonts w:ascii="Arial Narrow" w:hAnsi="Arial Narrow"/>
        </w:rPr>
        <w:t>;</w:t>
      </w:r>
    </w:p>
    <w:p w:rsidR="00B16EBA" w:rsidRDefault="00B16EBA" w:rsidP="00B16EBA">
      <w:pPr>
        <w:pStyle w:val="FootnoteText"/>
        <w:numPr>
          <w:ilvl w:val="0"/>
          <w:numId w:val="22"/>
        </w:numPr>
        <w:spacing w:line="360" w:lineRule="auto"/>
        <w:jc w:val="both"/>
      </w:pPr>
      <w:r w:rsidRPr="00B16EBA">
        <w:rPr>
          <w:rFonts w:ascii="Arial Narrow" w:hAnsi="Arial Narrow"/>
        </w:rPr>
        <w:t xml:space="preserve">where a </w:t>
      </w:r>
      <w:r w:rsidRPr="00B16EBA">
        <w:rPr>
          <w:rFonts w:ascii="Arial Narrow" w:hAnsi="Arial Narrow"/>
          <w:u w:val="single"/>
        </w:rPr>
        <w:t>fine is imposed</w:t>
      </w:r>
      <w:r w:rsidRPr="00B16EBA">
        <w:rPr>
          <w:rFonts w:ascii="Arial Narrow" w:hAnsi="Arial Narrow"/>
        </w:rPr>
        <w:t xml:space="preserve">, if a sentence of </w:t>
      </w:r>
      <w:r w:rsidRPr="00B16EBA">
        <w:rPr>
          <w:rFonts w:ascii="Arial Narrow" w:hAnsi="Arial Narrow"/>
          <w:u w:val="single"/>
        </w:rPr>
        <w:t xml:space="preserve">imprisonment </w:t>
      </w:r>
      <w:r w:rsidRPr="00B16EBA">
        <w:rPr>
          <w:rFonts w:ascii="Arial Narrow" w:hAnsi="Arial Narrow"/>
        </w:rPr>
        <w:t xml:space="preserve">is imposed in terms of section 287 as a punishment </w:t>
      </w:r>
      <w:r w:rsidRPr="00B16EBA">
        <w:rPr>
          <w:rFonts w:ascii="Arial Narrow" w:hAnsi="Arial Narrow"/>
          <w:u w:val="single"/>
        </w:rPr>
        <w:t>alternative to such fine</w:t>
      </w:r>
      <w:r w:rsidRPr="00B16EBA">
        <w:rPr>
          <w:rFonts w:ascii="Arial Narrow" w:hAnsi="Arial Narrow"/>
        </w:rPr>
        <w:t xml:space="preserve">, </w:t>
      </w:r>
      <w:r w:rsidRPr="00B16EBA">
        <w:rPr>
          <w:rFonts w:ascii="Arial Narrow" w:hAnsi="Arial Narrow"/>
          <w:u w:val="single"/>
        </w:rPr>
        <w:t>and such fine is not paid or if time is not given for the payment thereof before the person convicted is received into a prison</w:t>
      </w:r>
      <w:r w:rsidRPr="00B16EBA">
        <w:rPr>
          <w:rFonts w:ascii="Arial Narrow" w:hAnsi="Arial Narrow"/>
        </w:rPr>
        <w:t>. .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052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4F0E" w:rsidRDefault="00D74F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97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6CB3" w:rsidRDefault="00266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5A"/>
    <w:multiLevelType w:val="hybridMultilevel"/>
    <w:tmpl w:val="F9084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278"/>
    <w:multiLevelType w:val="hybridMultilevel"/>
    <w:tmpl w:val="603C5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447C0"/>
    <w:multiLevelType w:val="hybridMultilevel"/>
    <w:tmpl w:val="03E846D8"/>
    <w:lvl w:ilvl="0" w:tplc="C28059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F4454"/>
    <w:multiLevelType w:val="hybridMultilevel"/>
    <w:tmpl w:val="12745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0BE7"/>
    <w:multiLevelType w:val="hybridMultilevel"/>
    <w:tmpl w:val="F266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03302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107BF7"/>
    <w:multiLevelType w:val="hybridMultilevel"/>
    <w:tmpl w:val="0C8A5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10626"/>
    <w:multiLevelType w:val="hybridMultilevel"/>
    <w:tmpl w:val="179AD9B6"/>
    <w:lvl w:ilvl="0" w:tplc="96FA89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9A4F76"/>
    <w:multiLevelType w:val="hybridMultilevel"/>
    <w:tmpl w:val="179AD9B6"/>
    <w:lvl w:ilvl="0" w:tplc="96FA89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F2EBD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A1BC2"/>
    <w:multiLevelType w:val="hybridMultilevel"/>
    <w:tmpl w:val="08A88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20248"/>
    <w:multiLevelType w:val="hybridMultilevel"/>
    <w:tmpl w:val="4FD062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5531A0"/>
    <w:multiLevelType w:val="hybridMultilevel"/>
    <w:tmpl w:val="FA1E0A30"/>
    <w:lvl w:ilvl="0" w:tplc="CE7604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83DE5"/>
    <w:multiLevelType w:val="hybridMultilevel"/>
    <w:tmpl w:val="603C54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C13F87"/>
    <w:multiLevelType w:val="hybridMultilevel"/>
    <w:tmpl w:val="DB3C0614"/>
    <w:lvl w:ilvl="0" w:tplc="F3C45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EE484D"/>
    <w:multiLevelType w:val="hybridMultilevel"/>
    <w:tmpl w:val="DB168836"/>
    <w:lvl w:ilvl="0" w:tplc="B106C6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5B3E7E"/>
    <w:multiLevelType w:val="hybridMultilevel"/>
    <w:tmpl w:val="EA76362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9008AE"/>
    <w:multiLevelType w:val="hybridMultilevel"/>
    <w:tmpl w:val="550E8254"/>
    <w:lvl w:ilvl="0" w:tplc="04090017">
      <w:start w:val="1"/>
      <w:numFmt w:val="lowerLetter"/>
      <w:lvlText w:val="%1)"/>
      <w:lvlJc w:val="left"/>
      <w:pPr>
        <w:ind w:left="1373" w:hanging="360"/>
      </w:pPr>
    </w:lvl>
    <w:lvl w:ilvl="1" w:tplc="08090019" w:tentative="1">
      <w:start w:val="1"/>
      <w:numFmt w:val="lowerLetter"/>
      <w:lvlText w:val="%2."/>
      <w:lvlJc w:val="left"/>
      <w:pPr>
        <w:ind w:left="2093" w:hanging="360"/>
      </w:pPr>
    </w:lvl>
    <w:lvl w:ilvl="2" w:tplc="0809001B" w:tentative="1">
      <w:start w:val="1"/>
      <w:numFmt w:val="lowerRoman"/>
      <w:lvlText w:val="%3."/>
      <w:lvlJc w:val="right"/>
      <w:pPr>
        <w:ind w:left="2813" w:hanging="180"/>
      </w:pPr>
    </w:lvl>
    <w:lvl w:ilvl="3" w:tplc="0809000F" w:tentative="1">
      <w:start w:val="1"/>
      <w:numFmt w:val="decimal"/>
      <w:lvlText w:val="%4."/>
      <w:lvlJc w:val="left"/>
      <w:pPr>
        <w:ind w:left="3533" w:hanging="360"/>
      </w:pPr>
    </w:lvl>
    <w:lvl w:ilvl="4" w:tplc="08090019" w:tentative="1">
      <w:start w:val="1"/>
      <w:numFmt w:val="lowerLetter"/>
      <w:lvlText w:val="%5."/>
      <w:lvlJc w:val="left"/>
      <w:pPr>
        <w:ind w:left="4253" w:hanging="360"/>
      </w:pPr>
    </w:lvl>
    <w:lvl w:ilvl="5" w:tplc="0809001B" w:tentative="1">
      <w:start w:val="1"/>
      <w:numFmt w:val="lowerRoman"/>
      <w:lvlText w:val="%6."/>
      <w:lvlJc w:val="right"/>
      <w:pPr>
        <w:ind w:left="4973" w:hanging="180"/>
      </w:pPr>
    </w:lvl>
    <w:lvl w:ilvl="6" w:tplc="0809000F" w:tentative="1">
      <w:start w:val="1"/>
      <w:numFmt w:val="decimal"/>
      <w:lvlText w:val="%7."/>
      <w:lvlJc w:val="left"/>
      <w:pPr>
        <w:ind w:left="5693" w:hanging="360"/>
      </w:pPr>
    </w:lvl>
    <w:lvl w:ilvl="7" w:tplc="08090019" w:tentative="1">
      <w:start w:val="1"/>
      <w:numFmt w:val="lowerLetter"/>
      <w:lvlText w:val="%8."/>
      <w:lvlJc w:val="left"/>
      <w:pPr>
        <w:ind w:left="6413" w:hanging="360"/>
      </w:pPr>
    </w:lvl>
    <w:lvl w:ilvl="8" w:tplc="08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8" w15:restartNumberingAfterBreak="0">
    <w:nsid w:val="69924E64"/>
    <w:multiLevelType w:val="hybridMultilevel"/>
    <w:tmpl w:val="179AD9B6"/>
    <w:lvl w:ilvl="0" w:tplc="96FA89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33700"/>
    <w:multiLevelType w:val="hybridMultilevel"/>
    <w:tmpl w:val="179AD9B6"/>
    <w:lvl w:ilvl="0" w:tplc="96FA89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7709A9"/>
    <w:multiLevelType w:val="hybridMultilevel"/>
    <w:tmpl w:val="86943D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225DD1"/>
    <w:multiLevelType w:val="hybridMultilevel"/>
    <w:tmpl w:val="0C8A5B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16"/>
  </w:num>
  <w:num w:numId="10">
    <w:abstractNumId w:val="6"/>
  </w:num>
  <w:num w:numId="11">
    <w:abstractNumId w:val="21"/>
  </w:num>
  <w:num w:numId="12">
    <w:abstractNumId w:val="0"/>
  </w:num>
  <w:num w:numId="13">
    <w:abstractNumId w:val="20"/>
  </w:num>
  <w:num w:numId="14">
    <w:abstractNumId w:val="17"/>
  </w:num>
  <w:num w:numId="15">
    <w:abstractNumId w:val="8"/>
  </w:num>
  <w:num w:numId="16">
    <w:abstractNumId w:val="7"/>
  </w:num>
  <w:num w:numId="17">
    <w:abstractNumId w:val="11"/>
  </w:num>
  <w:num w:numId="18">
    <w:abstractNumId w:val="19"/>
  </w:num>
  <w:num w:numId="19">
    <w:abstractNumId w:val="15"/>
  </w:num>
  <w:num w:numId="20">
    <w:abstractNumId w:val="18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47"/>
    <w:rsid w:val="000030B5"/>
    <w:rsid w:val="00050997"/>
    <w:rsid w:val="000841C3"/>
    <w:rsid w:val="000951E1"/>
    <w:rsid w:val="000A18DE"/>
    <w:rsid w:val="000B0212"/>
    <w:rsid w:val="000B4D4B"/>
    <w:rsid w:val="000C08F3"/>
    <w:rsid w:val="000C7EFF"/>
    <w:rsid w:val="000E2915"/>
    <w:rsid w:val="00101B6E"/>
    <w:rsid w:val="00105613"/>
    <w:rsid w:val="00124718"/>
    <w:rsid w:val="0018770A"/>
    <w:rsid w:val="001A41D5"/>
    <w:rsid w:val="001A57CD"/>
    <w:rsid w:val="001B7928"/>
    <w:rsid w:val="001E1A80"/>
    <w:rsid w:val="00207368"/>
    <w:rsid w:val="00221363"/>
    <w:rsid w:val="00223FBB"/>
    <w:rsid w:val="00224FEA"/>
    <w:rsid w:val="00233D4A"/>
    <w:rsid w:val="00246D13"/>
    <w:rsid w:val="002474DD"/>
    <w:rsid w:val="00252182"/>
    <w:rsid w:val="00257CFC"/>
    <w:rsid w:val="00266CB3"/>
    <w:rsid w:val="002745F1"/>
    <w:rsid w:val="00282698"/>
    <w:rsid w:val="00296E27"/>
    <w:rsid w:val="002A480A"/>
    <w:rsid w:val="002E5924"/>
    <w:rsid w:val="002E7367"/>
    <w:rsid w:val="00333485"/>
    <w:rsid w:val="00333633"/>
    <w:rsid w:val="00333F47"/>
    <w:rsid w:val="00337732"/>
    <w:rsid w:val="0035239A"/>
    <w:rsid w:val="003568FD"/>
    <w:rsid w:val="00362104"/>
    <w:rsid w:val="003648D0"/>
    <w:rsid w:val="003829C7"/>
    <w:rsid w:val="00384F99"/>
    <w:rsid w:val="003B2244"/>
    <w:rsid w:val="003C52F8"/>
    <w:rsid w:val="003E3DF2"/>
    <w:rsid w:val="003E5260"/>
    <w:rsid w:val="00403A3B"/>
    <w:rsid w:val="004057CA"/>
    <w:rsid w:val="00407DA4"/>
    <w:rsid w:val="00421539"/>
    <w:rsid w:val="00451A20"/>
    <w:rsid w:val="004648F7"/>
    <w:rsid w:val="0047761D"/>
    <w:rsid w:val="0049532C"/>
    <w:rsid w:val="004B5EF3"/>
    <w:rsid w:val="004C47C8"/>
    <w:rsid w:val="0050248C"/>
    <w:rsid w:val="00504649"/>
    <w:rsid w:val="00505B25"/>
    <w:rsid w:val="00526942"/>
    <w:rsid w:val="00535D52"/>
    <w:rsid w:val="00550128"/>
    <w:rsid w:val="00584D49"/>
    <w:rsid w:val="00593B9E"/>
    <w:rsid w:val="00595505"/>
    <w:rsid w:val="005C15FA"/>
    <w:rsid w:val="005C5D9B"/>
    <w:rsid w:val="005D7CD3"/>
    <w:rsid w:val="00632C1B"/>
    <w:rsid w:val="0068254C"/>
    <w:rsid w:val="0068676B"/>
    <w:rsid w:val="00686D63"/>
    <w:rsid w:val="006956C2"/>
    <w:rsid w:val="006A111F"/>
    <w:rsid w:val="006F1BE0"/>
    <w:rsid w:val="006F5049"/>
    <w:rsid w:val="007032C8"/>
    <w:rsid w:val="00714EA3"/>
    <w:rsid w:val="00736D3F"/>
    <w:rsid w:val="00744A3F"/>
    <w:rsid w:val="007B0309"/>
    <w:rsid w:val="007C091D"/>
    <w:rsid w:val="007D28E0"/>
    <w:rsid w:val="007D597D"/>
    <w:rsid w:val="007E47F9"/>
    <w:rsid w:val="007E612B"/>
    <w:rsid w:val="007E79FD"/>
    <w:rsid w:val="00802465"/>
    <w:rsid w:val="00812FE5"/>
    <w:rsid w:val="008135BA"/>
    <w:rsid w:val="0082349A"/>
    <w:rsid w:val="00837E4E"/>
    <w:rsid w:val="00840813"/>
    <w:rsid w:val="0084485C"/>
    <w:rsid w:val="0087379F"/>
    <w:rsid w:val="008827BA"/>
    <w:rsid w:val="008909EE"/>
    <w:rsid w:val="008B29A6"/>
    <w:rsid w:val="008D1B8B"/>
    <w:rsid w:val="008D2E4B"/>
    <w:rsid w:val="008F7316"/>
    <w:rsid w:val="00917067"/>
    <w:rsid w:val="0092347B"/>
    <w:rsid w:val="00924352"/>
    <w:rsid w:val="00926BAA"/>
    <w:rsid w:val="009417E8"/>
    <w:rsid w:val="00955938"/>
    <w:rsid w:val="009A4EBC"/>
    <w:rsid w:val="009C600C"/>
    <w:rsid w:val="009D07B5"/>
    <w:rsid w:val="009D0E8D"/>
    <w:rsid w:val="009D4C0F"/>
    <w:rsid w:val="009E003A"/>
    <w:rsid w:val="00A11BCC"/>
    <w:rsid w:val="00A14947"/>
    <w:rsid w:val="00A1663F"/>
    <w:rsid w:val="00A26B07"/>
    <w:rsid w:val="00A33CD1"/>
    <w:rsid w:val="00A4194F"/>
    <w:rsid w:val="00A452D4"/>
    <w:rsid w:val="00A541F5"/>
    <w:rsid w:val="00A70ABF"/>
    <w:rsid w:val="00AA0FD4"/>
    <w:rsid w:val="00AD1962"/>
    <w:rsid w:val="00AD427A"/>
    <w:rsid w:val="00B13BE8"/>
    <w:rsid w:val="00B16EBA"/>
    <w:rsid w:val="00B23CF8"/>
    <w:rsid w:val="00B45899"/>
    <w:rsid w:val="00B529C4"/>
    <w:rsid w:val="00B557AB"/>
    <w:rsid w:val="00B932CD"/>
    <w:rsid w:val="00B97A95"/>
    <w:rsid w:val="00BE21EF"/>
    <w:rsid w:val="00BF6FF3"/>
    <w:rsid w:val="00C05608"/>
    <w:rsid w:val="00C307B1"/>
    <w:rsid w:val="00C574FF"/>
    <w:rsid w:val="00C67579"/>
    <w:rsid w:val="00CA2DD1"/>
    <w:rsid w:val="00CA70E5"/>
    <w:rsid w:val="00CB179E"/>
    <w:rsid w:val="00CB6BF7"/>
    <w:rsid w:val="00CB6D7D"/>
    <w:rsid w:val="00CE6426"/>
    <w:rsid w:val="00CE6F83"/>
    <w:rsid w:val="00D01948"/>
    <w:rsid w:val="00D11578"/>
    <w:rsid w:val="00D21FAC"/>
    <w:rsid w:val="00D35047"/>
    <w:rsid w:val="00D74F0E"/>
    <w:rsid w:val="00D92DB9"/>
    <w:rsid w:val="00D9375F"/>
    <w:rsid w:val="00D94A36"/>
    <w:rsid w:val="00DB302C"/>
    <w:rsid w:val="00DC35AF"/>
    <w:rsid w:val="00DC46FE"/>
    <w:rsid w:val="00E33FE2"/>
    <w:rsid w:val="00E43139"/>
    <w:rsid w:val="00E47A06"/>
    <w:rsid w:val="00E533B2"/>
    <w:rsid w:val="00E63192"/>
    <w:rsid w:val="00E73DB2"/>
    <w:rsid w:val="00E9668E"/>
    <w:rsid w:val="00EC66A3"/>
    <w:rsid w:val="00EC6886"/>
    <w:rsid w:val="00F1192F"/>
    <w:rsid w:val="00F32179"/>
    <w:rsid w:val="00F725A2"/>
    <w:rsid w:val="00F960FC"/>
    <w:rsid w:val="00F96BA6"/>
    <w:rsid w:val="00FB1579"/>
    <w:rsid w:val="00FB3220"/>
    <w:rsid w:val="00FC46E6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BFF63-28A8-4C4E-A8CC-181CFB0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047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04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9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9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9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B3"/>
  </w:style>
  <w:style w:type="paragraph" w:styleId="Footer">
    <w:name w:val="footer"/>
    <w:basedOn w:val="Normal"/>
    <w:link w:val="FooterChar"/>
    <w:uiPriority w:val="99"/>
    <w:unhideWhenUsed/>
    <w:rsid w:val="00266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B3"/>
  </w:style>
  <w:style w:type="paragraph" w:styleId="NormalWeb">
    <w:name w:val="Normal (Web)"/>
    <w:basedOn w:val="Normal"/>
    <w:uiPriority w:val="99"/>
    <w:unhideWhenUsed/>
    <w:rsid w:val="006F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6F5049"/>
    <w:rPr>
      <w:i/>
      <w:iCs/>
    </w:rPr>
  </w:style>
  <w:style w:type="paragraph" w:customStyle="1" w:styleId="rteindent1">
    <w:name w:val="rteindent1"/>
    <w:basedOn w:val="Normal"/>
    <w:rsid w:val="006F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2020-01-16T18:30:00+00:00</Judgment_x0020_Date>
  </documentManagement>
</p:properties>
</file>

<file path=customXml/itemProps1.xml><?xml version="1.0" encoding="utf-8"?>
<ds:datastoreItem xmlns:ds="http://schemas.openxmlformats.org/officeDocument/2006/customXml" ds:itemID="{573C4A80-A035-4A23-98EB-E0C1871266DF}"/>
</file>

<file path=customXml/itemProps2.xml><?xml version="1.0" encoding="utf-8"?>
<ds:datastoreItem xmlns:ds="http://schemas.openxmlformats.org/officeDocument/2006/customXml" ds:itemID="{B3D975C2-E97C-4993-9C41-EB0D185CCE58}"/>
</file>

<file path=customXml/itemProps3.xml><?xml version="1.0" encoding="utf-8"?>
<ds:datastoreItem xmlns:ds="http://schemas.openxmlformats.org/officeDocument/2006/customXml" ds:itemID="{CB67F91C-25BA-434F-8135-DB63A1EF087F}"/>
</file>

<file path=customXml/itemProps4.xml><?xml version="1.0" encoding="utf-8"?>
<ds:datastoreItem xmlns:ds="http://schemas.openxmlformats.org/officeDocument/2006/customXml" ds:itemID="{9B0A46BB-E91A-401F-BECF-2B40A2E5D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Kasita</dc:creator>
  <cp:keywords/>
  <dc:description/>
  <cp:lastModifiedBy>Lotta N. Ambunda</cp:lastModifiedBy>
  <cp:revision>2</cp:revision>
  <cp:lastPrinted>2020-01-17T07:34:00Z</cp:lastPrinted>
  <dcterms:created xsi:type="dcterms:W3CDTF">2020-01-20T08:32:00Z</dcterms:created>
  <dcterms:modified xsi:type="dcterms:W3CDTF">2020-01-20T08:32:00Z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