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EF" w:rsidRDefault="00F465EF" w:rsidP="00D83513">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14:anchorId="6BBDEB53" wp14:editId="6FF9BA8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34EEF" w:rsidRPr="0014630D" w:rsidRDefault="00334EEF" w:rsidP="000E2FD8">
                            <w:pPr>
                              <w:jc w:val="right"/>
                              <w:rPr>
                                <w:rFonts w:ascii="Arial" w:hAnsi="Arial" w:cs="Arial"/>
                              </w:rPr>
                            </w:pPr>
                            <w:r w:rsidRPr="0014630D">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DEB5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34EEF" w:rsidRPr="0014630D" w:rsidRDefault="00334EEF" w:rsidP="000E2FD8">
                      <w:pPr>
                        <w:jc w:val="right"/>
                        <w:rPr>
                          <w:rFonts w:ascii="Arial" w:hAnsi="Arial" w:cs="Arial"/>
                        </w:rPr>
                      </w:pPr>
                      <w:r w:rsidRPr="0014630D">
                        <w:rPr>
                          <w:rFonts w:ascii="Arial" w:hAnsi="Arial" w:cs="Arial"/>
                        </w:rPr>
                        <w:t>Not Reportable</w:t>
                      </w:r>
                    </w:p>
                  </w:txbxContent>
                </v:textbox>
              </v:shape>
            </w:pict>
          </mc:Fallback>
        </mc:AlternateContent>
      </w:r>
      <w:r>
        <w:rPr>
          <w:rFonts w:ascii="Arial" w:hAnsi="Arial" w:cs="Arial"/>
          <w:b/>
          <w:sz w:val="24"/>
          <w:szCs w:val="24"/>
        </w:rPr>
        <w:t>REPUBLIC OF NAMIBIA</w:t>
      </w:r>
    </w:p>
    <w:p w:rsidR="00F465EF" w:rsidRPr="000E2FD8" w:rsidRDefault="00F465EF" w:rsidP="00D83513">
      <w:pPr>
        <w:spacing w:after="0" w:line="360" w:lineRule="auto"/>
        <w:jc w:val="center"/>
        <w:rPr>
          <w:rFonts w:ascii="Arial" w:hAnsi="Arial" w:cs="Arial"/>
          <w:sz w:val="16"/>
          <w:szCs w:val="16"/>
        </w:rPr>
      </w:pPr>
      <w:r>
        <w:rPr>
          <w:rFonts w:ascii="Arial" w:hAnsi="Arial" w:cs="Arial"/>
          <w:b/>
          <w:noProof/>
          <w:sz w:val="24"/>
          <w:szCs w:val="24"/>
        </w:rPr>
        <w:drawing>
          <wp:inline distT="0" distB="0" distL="0" distR="0" wp14:anchorId="5A758BC2" wp14:editId="6A7F6CA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465EF" w:rsidRDefault="0065744A" w:rsidP="00D83513">
      <w:pPr>
        <w:spacing w:after="0" w:line="360" w:lineRule="auto"/>
        <w:jc w:val="center"/>
        <w:rPr>
          <w:rFonts w:ascii="Arial" w:hAnsi="Arial" w:cs="Arial"/>
          <w:bCs/>
          <w:sz w:val="24"/>
          <w:szCs w:val="24"/>
        </w:rPr>
      </w:pPr>
      <w:r>
        <w:rPr>
          <w:rFonts w:ascii="Arial" w:hAnsi="Arial" w:cs="Arial"/>
          <w:b/>
          <w:sz w:val="24"/>
          <w:szCs w:val="24"/>
        </w:rPr>
        <w:t>HIGH</w:t>
      </w:r>
      <w:r w:rsidR="00F465EF">
        <w:rPr>
          <w:rFonts w:ascii="Arial" w:hAnsi="Arial" w:cs="Arial"/>
          <w:b/>
          <w:sz w:val="24"/>
          <w:szCs w:val="24"/>
        </w:rPr>
        <w:t xml:space="preserve"> COURT OF NAMIBIA MAIN DIVISION, WINDHOEK</w:t>
      </w:r>
    </w:p>
    <w:p w:rsidR="00F465EF" w:rsidRPr="007A4F64" w:rsidRDefault="00F465EF" w:rsidP="00D83513">
      <w:pPr>
        <w:spacing w:after="0" w:line="360" w:lineRule="auto"/>
        <w:jc w:val="center"/>
        <w:rPr>
          <w:rFonts w:ascii="Arial" w:hAnsi="Arial" w:cs="Arial"/>
          <w:sz w:val="16"/>
          <w:szCs w:val="16"/>
        </w:rPr>
      </w:pPr>
    </w:p>
    <w:p w:rsidR="00F465EF" w:rsidRDefault="00F465EF" w:rsidP="000E2FD8">
      <w:pPr>
        <w:spacing w:after="0" w:line="360" w:lineRule="auto"/>
        <w:jc w:val="center"/>
        <w:rPr>
          <w:rFonts w:ascii="Arial" w:hAnsi="Arial" w:cs="Arial"/>
          <w:b/>
          <w:sz w:val="24"/>
          <w:szCs w:val="24"/>
        </w:rPr>
      </w:pPr>
      <w:r>
        <w:rPr>
          <w:rFonts w:ascii="Arial" w:hAnsi="Arial" w:cs="Arial"/>
          <w:b/>
          <w:sz w:val="24"/>
          <w:szCs w:val="24"/>
        </w:rPr>
        <w:t>JUDGMENT</w:t>
      </w:r>
    </w:p>
    <w:p w:rsidR="00F465EF" w:rsidRDefault="00F465EF" w:rsidP="000E2FD8">
      <w:pPr>
        <w:tabs>
          <w:tab w:val="right" w:pos="9000"/>
        </w:tabs>
        <w:spacing w:after="0" w:line="360" w:lineRule="auto"/>
        <w:jc w:val="both"/>
        <w:rPr>
          <w:rFonts w:ascii="Arial" w:hAnsi="Arial" w:cs="Arial"/>
          <w:sz w:val="24"/>
          <w:szCs w:val="24"/>
        </w:rPr>
      </w:pPr>
    </w:p>
    <w:p w:rsidR="00F465EF" w:rsidRDefault="00081630" w:rsidP="000E2FD8">
      <w:pPr>
        <w:tabs>
          <w:tab w:val="right" w:pos="9000"/>
        </w:tabs>
        <w:spacing w:after="0" w:line="360" w:lineRule="auto"/>
        <w:jc w:val="right"/>
        <w:rPr>
          <w:rFonts w:ascii="Arial" w:hAnsi="Arial" w:cs="Arial"/>
          <w:sz w:val="24"/>
          <w:szCs w:val="24"/>
        </w:rPr>
      </w:pPr>
      <w:r>
        <w:rPr>
          <w:rFonts w:ascii="Arial" w:hAnsi="Arial" w:cs="Arial"/>
          <w:sz w:val="24"/>
          <w:szCs w:val="24"/>
        </w:rPr>
        <w:t xml:space="preserve">Case no: </w:t>
      </w:r>
      <w:r w:rsidR="00E40CBB">
        <w:rPr>
          <w:rFonts w:ascii="Arial" w:hAnsi="Arial" w:cs="Arial"/>
          <w:sz w:val="24"/>
          <w:szCs w:val="24"/>
        </w:rPr>
        <w:t>CC 17/2018</w:t>
      </w:r>
    </w:p>
    <w:p w:rsidR="00F465EF" w:rsidRDefault="00F465EF" w:rsidP="000E2FD8">
      <w:pPr>
        <w:spacing w:after="0" w:line="360" w:lineRule="auto"/>
        <w:jc w:val="both"/>
        <w:rPr>
          <w:rFonts w:ascii="Arial" w:hAnsi="Arial" w:cs="Arial"/>
          <w:sz w:val="24"/>
          <w:szCs w:val="24"/>
        </w:rPr>
      </w:pPr>
    </w:p>
    <w:p w:rsidR="00F465EF" w:rsidRDefault="00F465EF" w:rsidP="000E2FD8">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0E2FD8">
      <w:pPr>
        <w:spacing w:after="0" w:line="360" w:lineRule="auto"/>
        <w:jc w:val="both"/>
        <w:rPr>
          <w:rFonts w:ascii="Arial" w:hAnsi="Arial" w:cs="Arial"/>
          <w:sz w:val="24"/>
          <w:szCs w:val="24"/>
        </w:rPr>
      </w:pP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MAMSY MWENENI HILMA NUUYOMA</w:t>
      </w:r>
      <w:r w:rsidRPr="00E7428D">
        <w:rPr>
          <w:rFonts w:ascii="Arial" w:hAnsi="Arial" w:cs="Arial"/>
          <w:b/>
          <w:sz w:val="24"/>
          <w:szCs w:val="24"/>
        </w:rPr>
        <w:tab/>
        <w:t>1</w:t>
      </w:r>
      <w:r w:rsidRPr="00E7428D">
        <w:rPr>
          <w:rFonts w:ascii="Arial" w:hAnsi="Arial" w:cs="Arial"/>
          <w:b/>
          <w:sz w:val="24"/>
          <w:szCs w:val="24"/>
          <w:vertAlign w:val="superscript"/>
        </w:rPr>
        <w:t>ST</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BENVINDO MOMAFUBA</w:t>
      </w:r>
      <w:r w:rsidRPr="00E7428D">
        <w:rPr>
          <w:rFonts w:ascii="Arial" w:hAnsi="Arial" w:cs="Arial"/>
          <w:b/>
          <w:sz w:val="24"/>
          <w:szCs w:val="24"/>
        </w:rPr>
        <w:tab/>
        <w:t>2</w:t>
      </w:r>
      <w:r w:rsidRPr="00E7428D">
        <w:rPr>
          <w:rFonts w:ascii="Arial" w:hAnsi="Arial" w:cs="Arial"/>
          <w:b/>
          <w:sz w:val="24"/>
          <w:szCs w:val="24"/>
          <w:vertAlign w:val="superscript"/>
        </w:rPr>
        <w:t>ND</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PEMBELE ZIMUTU</w:t>
      </w:r>
      <w:r w:rsidRPr="00E7428D">
        <w:rPr>
          <w:rFonts w:ascii="Arial" w:hAnsi="Arial" w:cs="Arial"/>
          <w:b/>
          <w:sz w:val="24"/>
          <w:szCs w:val="24"/>
        </w:rPr>
        <w:tab/>
        <w:t>3</w:t>
      </w:r>
      <w:r w:rsidRPr="00E7428D">
        <w:rPr>
          <w:rFonts w:ascii="Arial" w:hAnsi="Arial" w:cs="Arial"/>
          <w:b/>
          <w:sz w:val="24"/>
          <w:szCs w:val="24"/>
          <w:vertAlign w:val="superscript"/>
        </w:rPr>
        <w:t>RD</w:t>
      </w:r>
      <w:r w:rsidRPr="00E7428D">
        <w:rPr>
          <w:rFonts w:ascii="Arial" w:hAnsi="Arial" w:cs="Arial"/>
          <w:b/>
          <w:sz w:val="24"/>
          <w:szCs w:val="24"/>
        </w:rPr>
        <w:t xml:space="preserve"> APPLICANT </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NOAQUIM PEDRO ESPANHOL</w:t>
      </w:r>
      <w:r w:rsidRPr="00E7428D">
        <w:rPr>
          <w:rFonts w:ascii="Arial" w:hAnsi="Arial" w:cs="Arial"/>
          <w:b/>
          <w:sz w:val="24"/>
          <w:szCs w:val="24"/>
        </w:rPr>
        <w:tab/>
        <w:t>4</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JOAO MANUEL DOS SANTOS</w:t>
      </w:r>
      <w:r w:rsidRPr="00E7428D">
        <w:rPr>
          <w:rFonts w:ascii="Arial" w:hAnsi="Arial" w:cs="Arial"/>
          <w:b/>
          <w:sz w:val="24"/>
          <w:szCs w:val="24"/>
        </w:rPr>
        <w:tab/>
        <w:t>5</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TATIANA LUQUENA MUCHADU GONGA</w:t>
      </w:r>
      <w:r w:rsidRPr="00E7428D">
        <w:rPr>
          <w:rFonts w:ascii="Arial" w:hAnsi="Arial" w:cs="Arial"/>
          <w:b/>
          <w:sz w:val="24"/>
          <w:szCs w:val="24"/>
        </w:rPr>
        <w:tab/>
        <w:t>6</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CARLOS VICTOR ELISEU</w:t>
      </w:r>
      <w:r w:rsidRPr="00E7428D">
        <w:rPr>
          <w:rFonts w:ascii="Arial" w:hAnsi="Arial" w:cs="Arial"/>
          <w:b/>
          <w:sz w:val="24"/>
          <w:szCs w:val="24"/>
        </w:rPr>
        <w:tab/>
        <w:t>7</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ISAAC CATIVA CUPESSALA</w:t>
      </w:r>
      <w:r w:rsidRPr="00E7428D">
        <w:rPr>
          <w:rFonts w:ascii="Arial" w:hAnsi="Arial" w:cs="Arial"/>
          <w:b/>
          <w:sz w:val="24"/>
          <w:szCs w:val="24"/>
        </w:rPr>
        <w:tab/>
        <w:t>8</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PAQUETE AMERICANO KAPOYOLA JOSE</w:t>
      </w:r>
      <w:r w:rsidRPr="00E7428D">
        <w:rPr>
          <w:rFonts w:ascii="Arial" w:hAnsi="Arial" w:cs="Arial"/>
          <w:b/>
          <w:sz w:val="24"/>
          <w:szCs w:val="24"/>
        </w:rPr>
        <w:tab/>
        <w:t>9</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CARLOS FELIANO TCHINDUKU</w:t>
      </w:r>
      <w:r w:rsidRPr="00E7428D">
        <w:rPr>
          <w:rFonts w:ascii="Arial" w:hAnsi="Arial" w:cs="Arial"/>
          <w:b/>
          <w:sz w:val="24"/>
          <w:szCs w:val="24"/>
        </w:rPr>
        <w:tab/>
        <w:t>11</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AURELIO NELSON SARAYELO MIAPA</w:t>
      </w:r>
      <w:r w:rsidRPr="00E7428D">
        <w:rPr>
          <w:rFonts w:ascii="Arial" w:hAnsi="Arial" w:cs="Arial"/>
          <w:b/>
          <w:sz w:val="24"/>
          <w:szCs w:val="24"/>
        </w:rPr>
        <w:tab/>
        <w:t>12</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LUCIO JOSE CAZEMBE</w:t>
      </w:r>
      <w:r w:rsidRPr="00E7428D">
        <w:rPr>
          <w:rFonts w:ascii="Arial" w:hAnsi="Arial" w:cs="Arial"/>
          <w:b/>
          <w:sz w:val="24"/>
          <w:szCs w:val="24"/>
        </w:rPr>
        <w:tab/>
        <w:t>13</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3D28A0" w:rsidRPr="00E7428D" w:rsidRDefault="003D28A0" w:rsidP="003D28A0">
      <w:pPr>
        <w:pStyle w:val="NoSpacing"/>
        <w:tabs>
          <w:tab w:val="right" w:pos="9356"/>
        </w:tabs>
        <w:spacing w:line="360" w:lineRule="auto"/>
        <w:rPr>
          <w:rFonts w:ascii="Arial" w:hAnsi="Arial" w:cs="Arial"/>
          <w:b/>
          <w:sz w:val="24"/>
          <w:szCs w:val="24"/>
        </w:rPr>
      </w:pPr>
      <w:r w:rsidRPr="00E7428D">
        <w:rPr>
          <w:rFonts w:ascii="Arial" w:hAnsi="Arial" w:cs="Arial"/>
          <w:b/>
          <w:sz w:val="24"/>
          <w:szCs w:val="24"/>
        </w:rPr>
        <w:t>NOAH BOYKIE NGHIPONDOKA NAUKOSHO</w:t>
      </w:r>
      <w:r w:rsidRPr="00E7428D">
        <w:rPr>
          <w:rFonts w:ascii="Arial" w:hAnsi="Arial" w:cs="Arial"/>
          <w:b/>
          <w:sz w:val="24"/>
          <w:szCs w:val="24"/>
        </w:rPr>
        <w:tab/>
        <w:t>14</w:t>
      </w:r>
      <w:r w:rsidRPr="00E7428D">
        <w:rPr>
          <w:rFonts w:ascii="Arial" w:hAnsi="Arial" w:cs="Arial"/>
          <w:b/>
          <w:sz w:val="24"/>
          <w:szCs w:val="24"/>
          <w:vertAlign w:val="superscript"/>
        </w:rPr>
        <w:t>TH</w:t>
      </w:r>
      <w:r w:rsidRPr="00E7428D">
        <w:rPr>
          <w:rFonts w:ascii="Arial" w:hAnsi="Arial" w:cs="Arial"/>
          <w:b/>
          <w:sz w:val="24"/>
          <w:szCs w:val="24"/>
        </w:rPr>
        <w:t xml:space="preserve"> APPLICANT</w:t>
      </w:r>
    </w:p>
    <w:p w:rsidR="00F465EF" w:rsidRPr="000E2FD8" w:rsidRDefault="00F465EF" w:rsidP="000E2FD8">
      <w:pPr>
        <w:spacing w:after="0" w:line="360" w:lineRule="auto"/>
        <w:jc w:val="both"/>
        <w:rPr>
          <w:rFonts w:ascii="Arial" w:hAnsi="Arial" w:cs="Arial"/>
        </w:rPr>
      </w:pPr>
    </w:p>
    <w:p w:rsidR="00F465EF" w:rsidRDefault="00F465EF" w:rsidP="000E2FD8">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465EF" w:rsidRPr="000E2FD8" w:rsidRDefault="00F465EF" w:rsidP="000E2FD8">
      <w:pPr>
        <w:spacing w:after="0" w:line="360" w:lineRule="auto"/>
        <w:jc w:val="both"/>
        <w:rPr>
          <w:rFonts w:ascii="Arial" w:hAnsi="Arial" w:cs="Arial"/>
        </w:rPr>
      </w:pPr>
    </w:p>
    <w:p w:rsidR="00F465EF" w:rsidRDefault="00081630" w:rsidP="000E2FD8">
      <w:pPr>
        <w:tabs>
          <w:tab w:val="right" w:pos="9356"/>
        </w:tabs>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F465EF" w:rsidRDefault="00F465EF" w:rsidP="000E2FD8">
      <w:pPr>
        <w:spacing w:after="0" w:line="360" w:lineRule="auto"/>
        <w:ind w:left="2160" w:hanging="2160"/>
        <w:jc w:val="both"/>
        <w:rPr>
          <w:rFonts w:ascii="Arial" w:hAnsi="Arial" w:cs="Arial"/>
          <w:sz w:val="24"/>
          <w:szCs w:val="24"/>
        </w:rPr>
      </w:pPr>
    </w:p>
    <w:p w:rsidR="00F465EF" w:rsidRDefault="00F465EF" w:rsidP="00CC4E46">
      <w:pPr>
        <w:spacing w:after="0" w:line="360" w:lineRule="auto"/>
        <w:ind w:left="2127" w:hanging="2127"/>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4A2C18">
        <w:rPr>
          <w:rFonts w:ascii="Arial" w:hAnsi="Arial" w:cs="Arial"/>
          <w:i/>
          <w:sz w:val="24"/>
          <w:szCs w:val="24"/>
        </w:rPr>
        <w:t>Nuuyoma</w:t>
      </w:r>
      <w:proofErr w:type="spellEnd"/>
      <w:r w:rsidR="004A2C18">
        <w:rPr>
          <w:rFonts w:ascii="Arial" w:hAnsi="Arial" w:cs="Arial"/>
          <w:i/>
          <w:sz w:val="24"/>
          <w:szCs w:val="24"/>
        </w:rPr>
        <w:t xml:space="preserve"> </w:t>
      </w:r>
      <w:r>
        <w:rPr>
          <w:rFonts w:ascii="Arial" w:hAnsi="Arial" w:cs="Arial"/>
          <w:i/>
          <w:sz w:val="24"/>
          <w:szCs w:val="24"/>
        </w:rPr>
        <w:t xml:space="preserve">v </w:t>
      </w:r>
      <w:r w:rsidR="008703EC">
        <w:rPr>
          <w:rFonts w:ascii="Arial" w:hAnsi="Arial" w:cs="Arial"/>
          <w:i/>
          <w:sz w:val="24"/>
          <w:szCs w:val="24"/>
        </w:rPr>
        <w:t>S</w:t>
      </w:r>
      <w:r>
        <w:rPr>
          <w:rFonts w:ascii="Arial" w:hAnsi="Arial" w:cs="Arial"/>
          <w:i/>
          <w:sz w:val="24"/>
          <w:szCs w:val="24"/>
        </w:rPr>
        <w:t xml:space="preserve"> </w:t>
      </w:r>
      <w:r>
        <w:rPr>
          <w:rFonts w:ascii="Arial" w:hAnsi="Arial" w:cs="Arial"/>
          <w:sz w:val="24"/>
          <w:szCs w:val="24"/>
        </w:rPr>
        <w:t>(</w:t>
      </w:r>
      <w:r w:rsidR="004A2C18">
        <w:rPr>
          <w:rFonts w:ascii="Arial" w:hAnsi="Arial" w:cs="Arial"/>
          <w:sz w:val="24"/>
          <w:szCs w:val="24"/>
        </w:rPr>
        <w:t>CC 17/2018</w:t>
      </w:r>
      <w:r w:rsidR="00F35E9F">
        <w:rPr>
          <w:rFonts w:ascii="Arial" w:hAnsi="Arial" w:cs="Arial"/>
          <w:sz w:val="24"/>
          <w:szCs w:val="24"/>
        </w:rPr>
        <w:t>) [2020</w:t>
      </w:r>
      <w:r w:rsidR="00044D46">
        <w:rPr>
          <w:rFonts w:ascii="Arial" w:hAnsi="Arial" w:cs="Arial"/>
          <w:sz w:val="24"/>
          <w:szCs w:val="24"/>
        </w:rPr>
        <w:t xml:space="preserve">] </w:t>
      </w:r>
      <w:r w:rsidR="000E2FD8">
        <w:rPr>
          <w:rFonts w:ascii="Arial" w:hAnsi="Arial" w:cs="Arial"/>
          <w:sz w:val="24"/>
          <w:szCs w:val="24"/>
        </w:rPr>
        <w:t xml:space="preserve">NAHCMD </w:t>
      </w:r>
      <w:r w:rsidR="003D28A0">
        <w:rPr>
          <w:rFonts w:ascii="Arial" w:hAnsi="Arial" w:cs="Arial"/>
          <w:sz w:val="24"/>
          <w:szCs w:val="24"/>
        </w:rPr>
        <w:t>277</w:t>
      </w:r>
      <w:r w:rsidR="00B060A2">
        <w:rPr>
          <w:rFonts w:ascii="Arial" w:hAnsi="Arial" w:cs="Arial"/>
          <w:sz w:val="24"/>
          <w:szCs w:val="24"/>
        </w:rPr>
        <w:t xml:space="preserve"> </w:t>
      </w:r>
      <w:r>
        <w:rPr>
          <w:rFonts w:ascii="Arial" w:hAnsi="Arial" w:cs="Arial"/>
          <w:sz w:val="24"/>
          <w:szCs w:val="24"/>
        </w:rPr>
        <w:t>(</w:t>
      </w:r>
      <w:r w:rsidR="004A2C18">
        <w:rPr>
          <w:rFonts w:ascii="Arial" w:hAnsi="Arial" w:cs="Arial"/>
          <w:sz w:val="24"/>
          <w:szCs w:val="24"/>
        </w:rPr>
        <w:t>30</w:t>
      </w:r>
      <w:r w:rsidR="00081630">
        <w:rPr>
          <w:rFonts w:ascii="Arial" w:hAnsi="Arial" w:cs="Arial"/>
          <w:sz w:val="24"/>
          <w:szCs w:val="24"/>
        </w:rPr>
        <w:t xml:space="preserve"> June</w:t>
      </w:r>
      <w:r w:rsidR="00F35E9F">
        <w:rPr>
          <w:rFonts w:ascii="Arial" w:hAnsi="Arial" w:cs="Arial"/>
          <w:sz w:val="24"/>
          <w:szCs w:val="24"/>
        </w:rPr>
        <w:t xml:space="preserve"> 2020</w:t>
      </w:r>
      <w:r>
        <w:rPr>
          <w:rFonts w:ascii="Arial" w:hAnsi="Arial" w:cs="Arial"/>
          <w:sz w:val="24"/>
          <w:szCs w:val="24"/>
        </w:rPr>
        <w:t>)</w:t>
      </w:r>
    </w:p>
    <w:p w:rsidR="00F465EF" w:rsidRDefault="00F465EF" w:rsidP="000E2FD8">
      <w:pPr>
        <w:spacing w:after="0" w:line="360" w:lineRule="auto"/>
        <w:ind w:left="2160" w:hanging="2160"/>
        <w:jc w:val="both"/>
        <w:rPr>
          <w:rFonts w:ascii="Arial" w:hAnsi="Arial" w:cs="Arial"/>
          <w:sz w:val="24"/>
          <w:szCs w:val="24"/>
        </w:rPr>
      </w:pPr>
    </w:p>
    <w:p w:rsidR="00F465EF" w:rsidRPr="00E15843" w:rsidRDefault="00F465EF" w:rsidP="000E2FD8">
      <w:pPr>
        <w:spacing w:after="0" w:line="360" w:lineRule="auto"/>
        <w:ind w:left="1440" w:hanging="1440"/>
        <w:jc w:val="both"/>
        <w:rPr>
          <w:rFonts w:ascii="Arial" w:hAnsi="Arial" w:cs="Arial"/>
          <w:i/>
          <w:sz w:val="24"/>
          <w:szCs w:val="24"/>
        </w:rPr>
      </w:pPr>
      <w:r>
        <w:rPr>
          <w:rFonts w:ascii="Arial" w:hAnsi="Arial" w:cs="Arial"/>
          <w:b/>
          <w:sz w:val="24"/>
          <w:szCs w:val="24"/>
        </w:rPr>
        <w:t>Coram:</w:t>
      </w:r>
      <w:r w:rsidR="00523202">
        <w:rPr>
          <w:rFonts w:ascii="Arial" w:hAnsi="Arial" w:cs="Arial"/>
          <w:sz w:val="24"/>
          <w:szCs w:val="24"/>
        </w:rPr>
        <w:tab/>
      </w:r>
      <w:r w:rsidR="00523202" w:rsidRPr="00E15843">
        <w:rPr>
          <w:rFonts w:ascii="Arial" w:hAnsi="Arial" w:cs="Arial"/>
          <w:sz w:val="24"/>
          <w:szCs w:val="24"/>
        </w:rPr>
        <w:t>MILLER</w:t>
      </w:r>
      <w:r w:rsidRPr="00E15843">
        <w:rPr>
          <w:rFonts w:ascii="Arial" w:hAnsi="Arial" w:cs="Arial"/>
          <w:sz w:val="24"/>
          <w:szCs w:val="24"/>
        </w:rPr>
        <w:t xml:space="preserve"> AJ</w:t>
      </w:r>
    </w:p>
    <w:p w:rsidR="00F465EF" w:rsidRPr="00AA0D7A" w:rsidRDefault="00F465EF" w:rsidP="000E2FD8">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AA0D7A" w:rsidRPr="00AA0D7A">
        <w:rPr>
          <w:rFonts w:ascii="Arial" w:hAnsi="Arial" w:cs="Arial"/>
          <w:b/>
          <w:sz w:val="24"/>
          <w:szCs w:val="24"/>
        </w:rPr>
        <w:t>6, 11, 14 May 2020</w:t>
      </w:r>
    </w:p>
    <w:p w:rsidR="00F465EF" w:rsidRDefault="00F465EF" w:rsidP="000E2FD8">
      <w:pPr>
        <w:spacing w:after="0" w:line="360" w:lineRule="auto"/>
        <w:rPr>
          <w:rFonts w:ascii="Arial" w:hAnsi="Arial" w:cs="Arial"/>
          <w:b/>
          <w:sz w:val="24"/>
          <w:szCs w:val="24"/>
        </w:rPr>
      </w:pPr>
      <w:r w:rsidRPr="00BE3CEF">
        <w:rPr>
          <w:rFonts w:ascii="Arial" w:hAnsi="Arial" w:cs="Arial"/>
          <w:b/>
          <w:bCs/>
          <w:sz w:val="24"/>
          <w:szCs w:val="24"/>
        </w:rPr>
        <w:t>Delivered</w:t>
      </w:r>
      <w:r w:rsidRPr="00BE3CEF">
        <w:rPr>
          <w:rFonts w:ascii="Arial" w:hAnsi="Arial" w:cs="Arial"/>
          <w:b/>
          <w:sz w:val="24"/>
          <w:szCs w:val="24"/>
        </w:rPr>
        <w:t>:</w:t>
      </w:r>
      <w:r w:rsidRPr="00BE3CEF">
        <w:rPr>
          <w:rFonts w:ascii="Arial" w:hAnsi="Arial" w:cs="Arial"/>
          <w:b/>
          <w:sz w:val="24"/>
          <w:szCs w:val="24"/>
        </w:rPr>
        <w:tab/>
      </w:r>
      <w:r w:rsidR="004A2C18">
        <w:rPr>
          <w:rFonts w:ascii="Arial" w:hAnsi="Arial" w:cs="Arial"/>
          <w:b/>
          <w:sz w:val="24"/>
          <w:szCs w:val="24"/>
        </w:rPr>
        <w:t>30</w:t>
      </w:r>
      <w:r w:rsidR="00081630">
        <w:rPr>
          <w:rFonts w:ascii="Arial" w:hAnsi="Arial" w:cs="Arial"/>
          <w:b/>
          <w:sz w:val="24"/>
          <w:szCs w:val="24"/>
        </w:rPr>
        <w:t xml:space="preserve"> June</w:t>
      </w:r>
      <w:r w:rsidR="00D1289B">
        <w:rPr>
          <w:rFonts w:ascii="Arial" w:hAnsi="Arial" w:cs="Arial"/>
          <w:b/>
          <w:sz w:val="24"/>
          <w:szCs w:val="24"/>
        </w:rPr>
        <w:t xml:space="preserve"> 2020</w:t>
      </w:r>
    </w:p>
    <w:p w:rsidR="00F35E9F" w:rsidRPr="000E2FD8" w:rsidRDefault="00F35E9F" w:rsidP="000E2FD8">
      <w:pPr>
        <w:spacing w:after="0" w:line="360" w:lineRule="auto"/>
        <w:jc w:val="both"/>
        <w:rPr>
          <w:rFonts w:ascii="Arial" w:hAnsi="Arial" w:cs="Arial"/>
          <w:sz w:val="24"/>
          <w:szCs w:val="24"/>
        </w:rPr>
      </w:pPr>
    </w:p>
    <w:p w:rsidR="00363A46" w:rsidRPr="001E695D" w:rsidRDefault="00F465EF" w:rsidP="00D83513">
      <w:pPr>
        <w:spacing w:after="0" w:line="360" w:lineRule="auto"/>
        <w:jc w:val="both"/>
        <w:rPr>
          <w:rFonts w:ascii="Arial" w:hAnsi="Arial" w:cs="Arial"/>
          <w:snapToGrid w:val="0"/>
          <w:sz w:val="24"/>
          <w:szCs w:val="24"/>
        </w:rPr>
      </w:pPr>
      <w:proofErr w:type="spellStart"/>
      <w:r>
        <w:rPr>
          <w:rFonts w:ascii="Arial" w:hAnsi="Arial" w:cs="Arial"/>
          <w:b/>
          <w:bCs/>
          <w:sz w:val="24"/>
          <w:szCs w:val="24"/>
        </w:rPr>
        <w:t>Flynote</w:t>
      </w:r>
      <w:proofErr w:type="spellEnd"/>
      <w:r>
        <w:rPr>
          <w:rFonts w:ascii="Arial" w:hAnsi="Arial" w:cs="Arial"/>
          <w:b/>
          <w:bCs/>
          <w:sz w:val="24"/>
          <w:szCs w:val="24"/>
        </w:rPr>
        <w:t>:</w:t>
      </w:r>
      <w:r>
        <w:rPr>
          <w:rFonts w:ascii="Arial" w:hAnsi="Arial" w:cs="Arial"/>
          <w:b/>
          <w:bCs/>
          <w:sz w:val="24"/>
          <w:szCs w:val="24"/>
        </w:rPr>
        <w:tab/>
      </w:r>
      <w:r w:rsidR="00223366">
        <w:rPr>
          <w:rFonts w:ascii="Arial" w:hAnsi="Arial" w:cs="Arial"/>
          <w:bCs/>
          <w:sz w:val="24"/>
          <w:szCs w:val="24"/>
        </w:rPr>
        <w:t>Criminal Procedure –</w:t>
      </w:r>
      <w:r w:rsidR="00E15843">
        <w:rPr>
          <w:rFonts w:ascii="Arial" w:hAnsi="Arial" w:cs="Arial"/>
          <w:bCs/>
          <w:sz w:val="24"/>
          <w:szCs w:val="24"/>
        </w:rPr>
        <w:t xml:space="preserve"> </w:t>
      </w:r>
      <w:r w:rsidR="004A2C18">
        <w:rPr>
          <w:rFonts w:ascii="Arial" w:hAnsi="Arial" w:cs="Arial"/>
          <w:bCs/>
          <w:sz w:val="24"/>
          <w:szCs w:val="24"/>
        </w:rPr>
        <w:t xml:space="preserve">Trial </w:t>
      </w:r>
      <w:r w:rsidR="00363A46">
        <w:rPr>
          <w:rFonts w:ascii="Arial" w:hAnsi="Arial" w:cs="Arial"/>
          <w:bCs/>
          <w:sz w:val="24"/>
          <w:szCs w:val="24"/>
        </w:rPr>
        <w:t>–</w:t>
      </w:r>
      <w:r w:rsidR="00E15843">
        <w:rPr>
          <w:rFonts w:ascii="Arial" w:hAnsi="Arial" w:cs="Arial"/>
          <w:bCs/>
          <w:sz w:val="24"/>
          <w:szCs w:val="24"/>
        </w:rPr>
        <w:t xml:space="preserve"> </w:t>
      </w:r>
      <w:r w:rsidR="00363A46">
        <w:rPr>
          <w:rFonts w:ascii="Arial" w:hAnsi="Arial" w:cs="Arial"/>
          <w:bCs/>
          <w:sz w:val="24"/>
          <w:szCs w:val="24"/>
        </w:rPr>
        <w:t xml:space="preserve">Close of </w:t>
      </w:r>
      <w:r w:rsidR="00E15843">
        <w:rPr>
          <w:rFonts w:ascii="Arial" w:hAnsi="Arial" w:cs="Arial"/>
          <w:bCs/>
          <w:sz w:val="24"/>
          <w:szCs w:val="24"/>
        </w:rPr>
        <w:t>S</w:t>
      </w:r>
      <w:r w:rsidR="00363A46">
        <w:rPr>
          <w:rFonts w:ascii="Arial" w:hAnsi="Arial" w:cs="Arial"/>
          <w:bCs/>
          <w:sz w:val="24"/>
          <w:szCs w:val="24"/>
        </w:rPr>
        <w:t>tate’s case –</w:t>
      </w:r>
      <w:r w:rsidR="00E15843">
        <w:rPr>
          <w:rFonts w:ascii="Arial" w:hAnsi="Arial" w:cs="Arial"/>
          <w:bCs/>
          <w:sz w:val="24"/>
          <w:szCs w:val="24"/>
        </w:rPr>
        <w:t xml:space="preserve"> </w:t>
      </w:r>
      <w:r w:rsidR="00363A46">
        <w:rPr>
          <w:rFonts w:ascii="Arial" w:hAnsi="Arial" w:cs="Arial"/>
          <w:bCs/>
          <w:sz w:val="24"/>
          <w:szCs w:val="24"/>
        </w:rPr>
        <w:t xml:space="preserve">Application for </w:t>
      </w:r>
      <w:r w:rsidR="00363A46">
        <w:rPr>
          <w:rFonts w:ascii="Arial" w:hAnsi="Arial" w:cs="Arial"/>
          <w:snapToGrid w:val="0"/>
          <w:sz w:val="24"/>
          <w:szCs w:val="24"/>
        </w:rPr>
        <w:t>d</w:t>
      </w:r>
      <w:r w:rsidR="004A2C18" w:rsidRPr="00B11BA9">
        <w:rPr>
          <w:rFonts w:ascii="Arial" w:hAnsi="Arial" w:cs="Arial"/>
          <w:snapToGrid w:val="0"/>
          <w:sz w:val="24"/>
          <w:szCs w:val="24"/>
        </w:rPr>
        <w:t>ischarge of</w:t>
      </w:r>
      <w:r w:rsidR="001F31CA">
        <w:rPr>
          <w:rFonts w:ascii="Arial" w:hAnsi="Arial" w:cs="Arial"/>
          <w:snapToGrid w:val="0"/>
          <w:sz w:val="24"/>
          <w:szCs w:val="24"/>
        </w:rPr>
        <w:t xml:space="preserve"> </w:t>
      </w:r>
      <w:r w:rsidR="004A2C18">
        <w:rPr>
          <w:rFonts w:ascii="Arial" w:hAnsi="Arial" w:cs="Arial"/>
          <w:snapToGrid w:val="0"/>
          <w:sz w:val="24"/>
          <w:szCs w:val="24"/>
        </w:rPr>
        <w:t>accused</w:t>
      </w:r>
      <w:r w:rsidR="004A2C18" w:rsidRPr="00B11BA9">
        <w:rPr>
          <w:rFonts w:ascii="Arial" w:hAnsi="Arial" w:cs="Arial"/>
          <w:snapToGrid w:val="0"/>
          <w:sz w:val="24"/>
          <w:szCs w:val="24"/>
        </w:rPr>
        <w:t xml:space="preserve"> </w:t>
      </w:r>
      <w:r w:rsidR="001F31CA">
        <w:rPr>
          <w:rFonts w:ascii="Arial" w:hAnsi="Arial" w:cs="Arial"/>
          <w:snapToGrid w:val="0"/>
          <w:sz w:val="24"/>
          <w:szCs w:val="24"/>
        </w:rPr>
        <w:t xml:space="preserve">persons </w:t>
      </w:r>
      <w:r w:rsidR="004A2C18" w:rsidRPr="00B11BA9">
        <w:rPr>
          <w:rFonts w:ascii="Arial" w:hAnsi="Arial" w:cs="Arial"/>
          <w:snapToGrid w:val="0"/>
          <w:sz w:val="24"/>
          <w:szCs w:val="24"/>
        </w:rPr>
        <w:t>in terms of s 174 of the Criminal Proce</w:t>
      </w:r>
      <w:r w:rsidR="004A2C18">
        <w:rPr>
          <w:rFonts w:ascii="Arial" w:hAnsi="Arial" w:cs="Arial"/>
          <w:snapToGrid w:val="0"/>
          <w:sz w:val="24"/>
          <w:szCs w:val="24"/>
        </w:rPr>
        <w:t>dure Act</w:t>
      </w:r>
      <w:r w:rsidR="00AC76F4">
        <w:rPr>
          <w:rFonts w:ascii="Arial" w:hAnsi="Arial" w:cs="Arial"/>
          <w:snapToGrid w:val="0"/>
          <w:sz w:val="24"/>
          <w:szCs w:val="24"/>
        </w:rPr>
        <w:t xml:space="preserve"> 51 of 1977 –</w:t>
      </w:r>
      <w:r w:rsidR="00E15843">
        <w:rPr>
          <w:rFonts w:ascii="Arial" w:hAnsi="Arial" w:cs="Arial"/>
          <w:snapToGrid w:val="0"/>
          <w:sz w:val="24"/>
          <w:szCs w:val="24"/>
        </w:rPr>
        <w:t xml:space="preserve"> </w:t>
      </w:r>
      <w:r w:rsidR="00AC76F4">
        <w:rPr>
          <w:rFonts w:ascii="Arial" w:hAnsi="Arial" w:cs="Arial"/>
          <w:snapToGrid w:val="0"/>
          <w:sz w:val="24"/>
          <w:szCs w:val="24"/>
        </w:rPr>
        <w:t xml:space="preserve">Court followed the principles established in </w:t>
      </w:r>
      <w:r w:rsidR="00AC76F4" w:rsidRPr="001F31CA">
        <w:rPr>
          <w:rFonts w:ascii="Arial" w:hAnsi="Arial" w:cs="Arial"/>
          <w:i/>
          <w:snapToGrid w:val="0"/>
          <w:sz w:val="24"/>
          <w:szCs w:val="24"/>
        </w:rPr>
        <w:t xml:space="preserve">S v </w:t>
      </w:r>
      <w:proofErr w:type="spellStart"/>
      <w:r w:rsidR="00AC76F4" w:rsidRPr="001F31CA">
        <w:rPr>
          <w:rFonts w:ascii="Arial" w:hAnsi="Arial" w:cs="Arial"/>
          <w:i/>
          <w:snapToGrid w:val="0"/>
          <w:sz w:val="24"/>
          <w:szCs w:val="24"/>
        </w:rPr>
        <w:t>Nakale</w:t>
      </w:r>
      <w:proofErr w:type="spellEnd"/>
      <w:r w:rsidR="00AC76F4">
        <w:rPr>
          <w:rFonts w:ascii="Arial" w:hAnsi="Arial" w:cs="Arial"/>
          <w:snapToGrid w:val="0"/>
          <w:sz w:val="24"/>
          <w:szCs w:val="24"/>
        </w:rPr>
        <w:t xml:space="preserve"> and </w:t>
      </w:r>
      <w:r w:rsidR="00AC76F4" w:rsidRPr="001F31CA">
        <w:rPr>
          <w:rFonts w:ascii="Arial" w:hAnsi="Arial" w:cs="Arial"/>
          <w:i/>
          <w:snapToGrid w:val="0"/>
          <w:sz w:val="24"/>
          <w:szCs w:val="24"/>
        </w:rPr>
        <w:t xml:space="preserve">S v </w:t>
      </w:r>
      <w:proofErr w:type="spellStart"/>
      <w:r w:rsidR="00AC76F4" w:rsidRPr="001F31CA">
        <w:rPr>
          <w:rFonts w:ascii="Arial" w:hAnsi="Arial" w:cs="Arial"/>
          <w:i/>
          <w:snapToGrid w:val="0"/>
          <w:sz w:val="24"/>
          <w:szCs w:val="24"/>
        </w:rPr>
        <w:t>Teek</w:t>
      </w:r>
      <w:proofErr w:type="spellEnd"/>
      <w:r w:rsidR="001F31CA">
        <w:rPr>
          <w:rFonts w:ascii="Arial" w:hAnsi="Arial" w:cs="Arial"/>
          <w:i/>
          <w:snapToGrid w:val="0"/>
          <w:sz w:val="24"/>
          <w:szCs w:val="24"/>
        </w:rPr>
        <w:t xml:space="preserve"> </w:t>
      </w:r>
      <w:r w:rsidR="001F31CA" w:rsidRPr="001F31CA">
        <w:rPr>
          <w:rFonts w:ascii="Arial" w:hAnsi="Arial" w:cs="Arial"/>
          <w:snapToGrid w:val="0"/>
          <w:sz w:val="24"/>
          <w:szCs w:val="24"/>
        </w:rPr>
        <w:t>–</w:t>
      </w:r>
      <w:r w:rsidR="00E15843">
        <w:rPr>
          <w:rFonts w:ascii="Arial" w:hAnsi="Arial" w:cs="Arial"/>
          <w:snapToGrid w:val="0"/>
          <w:sz w:val="24"/>
          <w:szCs w:val="24"/>
        </w:rPr>
        <w:t xml:space="preserve"> </w:t>
      </w:r>
      <w:r w:rsidR="001F31CA" w:rsidRPr="001F31CA">
        <w:rPr>
          <w:rFonts w:ascii="Arial" w:hAnsi="Arial" w:cs="Arial"/>
          <w:snapToGrid w:val="0"/>
          <w:sz w:val="24"/>
          <w:szCs w:val="24"/>
        </w:rPr>
        <w:t xml:space="preserve">Accused </w:t>
      </w:r>
      <w:r w:rsidR="001F31CA">
        <w:rPr>
          <w:rFonts w:ascii="Arial" w:hAnsi="Arial" w:cs="Arial"/>
          <w:snapToGrid w:val="0"/>
          <w:sz w:val="24"/>
          <w:szCs w:val="24"/>
        </w:rPr>
        <w:t>6</w:t>
      </w:r>
      <w:r w:rsidR="001F31CA" w:rsidRPr="001F31CA">
        <w:rPr>
          <w:rFonts w:ascii="Arial" w:hAnsi="Arial" w:cs="Arial"/>
          <w:snapToGrid w:val="0"/>
          <w:sz w:val="24"/>
          <w:szCs w:val="24"/>
        </w:rPr>
        <w:t xml:space="preserve"> </w:t>
      </w:r>
      <w:r w:rsidR="001F31CA">
        <w:rPr>
          <w:rFonts w:ascii="Arial" w:hAnsi="Arial" w:cs="Arial"/>
          <w:snapToGrid w:val="0"/>
          <w:sz w:val="24"/>
          <w:szCs w:val="24"/>
        </w:rPr>
        <w:t xml:space="preserve">found not guilty and </w:t>
      </w:r>
      <w:r w:rsidR="001F31CA" w:rsidRPr="001F31CA">
        <w:rPr>
          <w:rFonts w:ascii="Arial" w:hAnsi="Arial" w:cs="Arial"/>
          <w:snapToGrid w:val="0"/>
          <w:sz w:val="24"/>
          <w:szCs w:val="24"/>
        </w:rPr>
        <w:t xml:space="preserve">discharged </w:t>
      </w:r>
      <w:r w:rsidR="001F31CA">
        <w:rPr>
          <w:rFonts w:ascii="Arial" w:hAnsi="Arial" w:cs="Arial"/>
          <w:snapToGrid w:val="0"/>
          <w:sz w:val="24"/>
          <w:szCs w:val="24"/>
        </w:rPr>
        <w:t xml:space="preserve">from prosecution </w:t>
      </w:r>
      <w:r w:rsidR="001F31CA" w:rsidRPr="001F31CA">
        <w:rPr>
          <w:rFonts w:ascii="Arial" w:hAnsi="Arial" w:cs="Arial"/>
          <w:snapToGrid w:val="0"/>
          <w:sz w:val="24"/>
          <w:szCs w:val="24"/>
        </w:rPr>
        <w:t xml:space="preserve">in terms of </w:t>
      </w:r>
      <w:r w:rsidR="00E15843">
        <w:rPr>
          <w:rFonts w:ascii="Arial" w:hAnsi="Arial" w:cs="Arial"/>
          <w:snapToGrid w:val="0"/>
          <w:sz w:val="24"/>
          <w:szCs w:val="24"/>
        </w:rPr>
        <w:t>s</w:t>
      </w:r>
      <w:r w:rsidR="001F31CA" w:rsidRPr="001F31CA">
        <w:rPr>
          <w:rFonts w:ascii="Arial" w:hAnsi="Arial" w:cs="Arial"/>
          <w:snapToGrid w:val="0"/>
          <w:sz w:val="24"/>
          <w:szCs w:val="24"/>
        </w:rPr>
        <w:t xml:space="preserve"> 174</w:t>
      </w:r>
      <w:r w:rsidR="00E15843">
        <w:rPr>
          <w:rFonts w:ascii="Arial" w:hAnsi="Arial" w:cs="Arial"/>
          <w:snapToGrid w:val="0"/>
          <w:sz w:val="24"/>
          <w:szCs w:val="24"/>
        </w:rPr>
        <w:t xml:space="preserve"> – </w:t>
      </w:r>
      <w:r w:rsidR="001F31CA">
        <w:rPr>
          <w:rFonts w:ascii="Arial" w:hAnsi="Arial" w:cs="Arial"/>
          <w:snapToGrid w:val="0"/>
          <w:sz w:val="24"/>
          <w:szCs w:val="24"/>
        </w:rPr>
        <w:t>Accused 1, 4, 5, and 14 discharged on some counts but will stand</w:t>
      </w:r>
      <w:r w:rsidR="00E66246">
        <w:rPr>
          <w:rFonts w:ascii="Arial" w:hAnsi="Arial" w:cs="Arial"/>
          <w:snapToGrid w:val="0"/>
          <w:sz w:val="24"/>
          <w:szCs w:val="24"/>
        </w:rPr>
        <w:t xml:space="preserve"> trial on the remaining charges –</w:t>
      </w:r>
      <w:r w:rsidR="00E15843">
        <w:rPr>
          <w:rFonts w:ascii="Arial" w:hAnsi="Arial" w:cs="Arial"/>
          <w:snapToGrid w:val="0"/>
          <w:sz w:val="24"/>
          <w:szCs w:val="24"/>
        </w:rPr>
        <w:t xml:space="preserve"> </w:t>
      </w:r>
      <w:r w:rsidR="00E66246">
        <w:rPr>
          <w:rFonts w:ascii="Arial" w:hAnsi="Arial" w:cs="Arial"/>
          <w:snapToGrid w:val="0"/>
          <w:sz w:val="24"/>
          <w:szCs w:val="24"/>
        </w:rPr>
        <w:t xml:space="preserve">Application for accused </w:t>
      </w:r>
      <w:r w:rsidR="00E66246">
        <w:rPr>
          <w:rFonts w:ascii="Arial" w:hAnsi="Arial" w:cs="Arial"/>
          <w:sz w:val="24"/>
          <w:szCs w:val="24"/>
        </w:rPr>
        <w:t>2, 3, 7, 8, 9</w:t>
      </w:r>
      <w:r w:rsidR="00E66246" w:rsidRPr="00044CE7">
        <w:rPr>
          <w:rFonts w:ascii="Arial" w:hAnsi="Arial" w:cs="Arial"/>
          <w:sz w:val="24"/>
          <w:szCs w:val="24"/>
        </w:rPr>
        <w:t>, 11 and 12</w:t>
      </w:r>
      <w:r w:rsidR="00E66246">
        <w:rPr>
          <w:rFonts w:ascii="Arial" w:hAnsi="Arial" w:cs="Arial"/>
          <w:sz w:val="24"/>
          <w:szCs w:val="24"/>
        </w:rPr>
        <w:t xml:space="preserve"> was dismissed </w:t>
      </w:r>
      <w:r w:rsidR="00207573">
        <w:rPr>
          <w:rFonts w:ascii="Arial" w:hAnsi="Arial" w:cs="Arial"/>
          <w:sz w:val="24"/>
          <w:szCs w:val="24"/>
        </w:rPr>
        <w:t>and will face all the charges bro</w:t>
      </w:r>
      <w:r w:rsidR="004E3778">
        <w:rPr>
          <w:rFonts w:ascii="Arial" w:hAnsi="Arial" w:cs="Arial"/>
          <w:sz w:val="24"/>
          <w:szCs w:val="24"/>
        </w:rPr>
        <w:t>ught against them by the State.</w:t>
      </w:r>
    </w:p>
    <w:p w:rsidR="004A2C18" w:rsidRDefault="004A2C18" w:rsidP="00D83513">
      <w:pPr>
        <w:spacing w:after="0" w:line="360" w:lineRule="auto"/>
        <w:jc w:val="both"/>
        <w:rPr>
          <w:rFonts w:ascii="Arial" w:hAnsi="Arial" w:cs="Arial"/>
          <w:bCs/>
          <w:sz w:val="24"/>
          <w:szCs w:val="24"/>
        </w:rPr>
      </w:pPr>
    </w:p>
    <w:p w:rsidR="00D30557" w:rsidRDefault="00F465EF" w:rsidP="00471F3A">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Summary:</w:t>
      </w:r>
      <w:r>
        <w:rPr>
          <w:rFonts w:ascii="Arial" w:hAnsi="Arial" w:cs="Arial"/>
          <w:bCs/>
          <w:sz w:val="24"/>
          <w:szCs w:val="24"/>
        </w:rPr>
        <w:tab/>
      </w:r>
      <w:r w:rsidR="001F31CA" w:rsidRPr="00723010">
        <w:rPr>
          <w:rFonts w:ascii="Arial" w:hAnsi="Arial" w:cs="Arial"/>
          <w:bCs/>
          <w:sz w:val="24"/>
          <w:szCs w:val="24"/>
        </w:rPr>
        <w:t xml:space="preserve">Accused persons are facing </w:t>
      </w:r>
      <w:r w:rsidR="001F31CA" w:rsidRPr="00723010">
        <w:rPr>
          <w:rFonts w:ascii="Arial" w:hAnsi="Arial" w:cs="Arial"/>
          <w:sz w:val="24"/>
          <w:szCs w:val="24"/>
        </w:rPr>
        <w:t>629 charges of fraud and theft,</w:t>
      </w:r>
      <w:r w:rsidR="005211E4" w:rsidRPr="00723010">
        <w:rPr>
          <w:rFonts w:ascii="Arial" w:hAnsi="Arial" w:cs="Arial"/>
          <w:sz w:val="24"/>
          <w:szCs w:val="24"/>
        </w:rPr>
        <w:t xml:space="preserve"> as well as contravention</w:t>
      </w:r>
      <w:r w:rsidR="001F31CA" w:rsidRPr="00723010">
        <w:rPr>
          <w:rFonts w:ascii="Arial" w:hAnsi="Arial" w:cs="Arial"/>
          <w:sz w:val="24"/>
          <w:szCs w:val="24"/>
        </w:rPr>
        <w:t xml:space="preserve"> of the </w:t>
      </w:r>
      <w:r w:rsidR="00207573" w:rsidRPr="00723010">
        <w:rPr>
          <w:rFonts w:ascii="Arial" w:hAnsi="Arial" w:cs="Arial"/>
          <w:sz w:val="24"/>
          <w:szCs w:val="24"/>
        </w:rPr>
        <w:t xml:space="preserve">Prevention of </w:t>
      </w:r>
      <w:r w:rsidR="001F31CA" w:rsidRPr="00723010">
        <w:rPr>
          <w:rFonts w:ascii="Arial" w:hAnsi="Arial" w:cs="Arial"/>
          <w:sz w:val="24"/>
          <w:szCs w:val="24"/>
        </w:rPr>
        <w:t>Organized Crime</w:t>
      </w:r>
      <w:r w:rsidR="00CF5E34" w:rsidRPr="00723010">
        <w:rPr>
          <w:rFonts w:ascii="Arial" w:hAnsi="Arial" w:cs="Arial"/>
          <w:sz w:val="24"/>
          <w:szCs w:val="24"/>
        </w:rPr>
        <w:t xml:space="preserve"> Act</w:t>
      </w:r>
      <w:r w:rsidR="001F31CA" w:rsidRPr="00723010">
        <w:rPr>
          <w:rFonts w:ascii="Arial" w:hAnsi="Arial" w:cs="Arial"/>
          <w:sz w:val="24"/>
          <w:szCs w:val="24"/>
        </w:rPr>
        <w:t xml:space="preserve"> 29 of 2004 (POCA) and contravention of the</w:t>
      </w:r>
      <w:r w:rsidR="005211E4" w:rsidRPr="00723010">
        <w:rPr>
          <w:rFonts w:ascii="Arial" w:hAnsi="Arial" w:cs="Arial"/>
          <w:sz w:val="24"/>
          <w:szCs w:val="24"/>
        </w:rPr>
        <w:t xml:space="preserve"> Anti-Corruption Act 2 of 2003</w:t>
      </w:r>
      <w:r w:rsidR="00E15843">
        <w:rPr>
          <w:rFonts w:ascii="Arial" w:hAnsi="Arial" w:cs="Arial"/>
          <w:sz w:val="24"/>
          <w:szCs w:val="24"/>
        </w:rPr>
        <w:t xml:space="preserve"> –</w:t>
      </w:r>
      <w:r w:rsidR="005211E4" w:rsidRPr="00723010">
        <w:rPr>
          <w:rFonts w:ascii="Arial" w:hAnsi="Arial" w:cs="Arial"/>
          <w:sz w:val="24"/>
          <w:szCs w:val="24"/>
        </w:rPr>
        <w:t xml:space="preserve"> The </w:t>
      </w:r>
      <w:r w:rsidR="00E15843">
        <w:rPr>
          <w:rFonts w:ascii="Arial" w:hAnsi="Arial" w:cs="Arial"/>
          <w:sz w:val="24"/>
          <w:szCs w:val="24"/>
        </w:rPr>
        <w:t>S</w:t>
      </w:r>
      <w:r w:rsidR="005211E4" w:rsidRPr="00723010">
        <w:rPr>
          <w:rFonts w:ascii="Arial" w:hAnsi="Arial" w:cs="Arial"/>
          <w:sz w:val="24"/>
          <w:szCs w:val="24"/>
        </w:rPr>
        <w:t>tate called witnesses, led evidence a</w:t>
      </w:r>
      <w:r w:rsidR="00207573" w:rsidRPr="00723010">
        <w:rPr>
          <w:rFonts w:ascii="Arial" w:hAnsi="Arial" w:cs="Arial"/>
          <w:sz w:val="24"/>
          <w:szCs w:val="24"/>
        </w:rPr>
        <w:t>nd at the close</w:t>
      </w:r>
      <w:r w:rsidR="005211E4" w:rsidRPr="00723010">
        <w:rPr>
          <w:rFonts w:ascii="Arial" w:hAnsi="Arial" w:cs="Arial"/>
          <w:sz w:val="24"/>
          <w:szCs w:val="24"/>
        </w:rPr>
        <w:t xml:space="preserve"> of the case for the prosecution, accused 1, 2, 3, 4, 5, 6, 7, 8, 9, 11, 12, 13, and 14, except accused 10 brought an application in terms of </w:t>
      </w:r>
      <w:r w:rsidR="00E15843">
        <w:rPr>
          <w:rFonts w:ascii="Arial" w:hAnsi="Arial" w:cs="Arial"/>
          <w:sz w:val="24"/>
          <w:szCs w:val="24"/>
        </w:rPr>
        <w:t>s</w:t>
      </w:r>
      <w:r w:rsidR="005211E4" w:rsidRPr="00723010">
        <w:rPr>
          <w:rFonts w:ascii="Arial" w:hAnsi="Arial" w:cs="Arial"/>
          <w:sz w:val="24"/>
          <w:szCs w:val="24"/>
        </w:rPr>
        <w:t xml:space="preserve"> 174 of the Criminal Procedure Act 51 of 1977</w:t>
      </w:r>
      <w:r w:rsidR="00723010" w:rsidRPr="00723010">
        <w:rPr>
          <w:rFonts w:ascii="Arial" w:hAnsi="Arial" w:cs="Arial"/>
          <w:sz w:val="24"/>
          <w:szCs w:val="24"/>
        </w:rPr>
        <w:t xml:space="preserve">, which provides that </w:t>
      </w:r>
      <w:r w:rsidR="00E15843">
        <w:rPr>
          <w:rFonts w:ascii="Arial" w:hAnsi="Arial" w:cs="Arial"/>
          <w:sz w:val="24"/>
          <w:szCs w:val="24"/>
        </w:rPr>
        <w:t>‘</w:t>
      </w:r>
      <w:r w:rsidR="00723010" w:rsidRPr="00723010">
        <w:rPr>
          <w:rFonts w:ascii="Arial" w:eastAsiaTheme="minorHAnsi" w:hAnsi="Arial" w:cs="Arial"/>
          <w:sz w:val="24"/>
          <w:szCs w:val="24"/>
        </w:rPr>
        <w:t xml:space="preserve">if, at the close of the case for the prosecution at any trial, the </w:t>
      </w:r>
      <w:r w:rsidR="00E15843">
        <w:rPr>
          <w:rFonts w:ascii="Arial" w:eastAsiaTheme="minorHAnsi" w:hAnsi="Arial" w:cs="Arial"/>
          <w:sz w:val="24"/>
          <w:szCs w:val="24"/>
        </w:rPr>
        <w:t>C</w:t>
      </w:r>
      <w:r w:rsidR="00723010" w:rsidRPr="00723010">
        <w:rPr>
          <w:rFonts w:ascii="Arial" w:eastAsiaTheme="minorHAnsi" w:hAnsi="Arial" w:cs="Arial"/>
          <w:sz w:val="24"/>
          <w:szCs w:val="24"/>
        </w:rPr>
        <w:t>ourt is of the opinion that there is no evidence that the accused committed the offence referred to in the charge or any offence of which he may be convicted on the charge, it may return a verdict of not guilty</w:t>
      </w:r>
      <w:r w:rsidR="00E15843">
        <w:rPr>
          <w:rFonts w:ascii="Arial" w:eastAsiaTheme="minorHAnsi" w:hAnsi="Arial" w:cs="Arial"/>
          <w:sz w:val="24"/>
          <w:szCs w:val="24"/>
        </w:rPr>
        <w:t>’</w:t>
      </w:r>
      <w:r w:rsidR="00E15843">
        <w:rPr>
          <w:rFonts w:ascii="Arial" w:hAnsi="Arial" w:cs="Arial"/>
          <w:sz w:val="24"/>
          <w:szCs w:val="24"/>
        </w:rPr>
        <w:t xml:space="preserve"> –</w:t>
      </w:r>
      <w:r w:rsidR="005211E4" w:rsidRPr="00723010">
        <w:rPr>
          <w:rFonts w:ascii="Arial" w:hAnsi="Arial" w:cs="Arial"/>
          <w:sz w:val="24"/>
          <w:szCs w:val="24"/>
        </w:rPr>
        <w:t xml:space="preserve"> The </w:t>
      </w:r>
      <w:r w:rsidR="00E15843">
        <w:rPr>
          <w:rFonts w:ascii="Arial" w:hAnsi="Arial" w:cs="Arial"/>
          <w:sz w:val="24"/>
          <w:szCs w:val="24"/>
        </w:rPr>
        <w:t>C</w:t>
      </w:r>
      <w:r w:rsidR="005211E4" w:rsidRPr="00723010">
        <w:rPr>
          <w:rFonts w:ascii="Arial" w:hAnsi="Arial" w:cs="Arial"/>
          <w:sz w:val="24"/>
          <w:szCs w:val="24"/>
        </w:rPr>
        <w:t>ourt f</w:t>
      </w:r>
      <w:r w:rsidR="00CF5E34" w:rsidRPr="00723010">
        <w:rPr>
          <w:rFonts w:ascii="Arial" w:hAnsi="Arial" w:cs="Arial"/>
          <w:sz w:val="24"/>
          <w:szCs w:val="24"/>
        </w:rPr>
        <w:t>o</w:t>
      </w:r>
      <w:r w:rsidR="005211E4" w:rsidRPr="00723010">
        <w:rPr>
          <w:rFonts w:ascii="Arial" w:hAnsi="Arial" w:cs="Arial"/>
          <w:sz w:val="24"/>
          <w:szCs w:val="24"/>
        </w:rPr>
        <w:t xml:space="preserve">llowed the principles laid down in case of </w:t>
      </w:r>
      <w:r w:rsidR="005211E4" w:rsidRPr="00723010">
        <w:rPr>
          <w:rFonts w:ascii="Arial" w:hAnsi="Arial" w:cs="Arial"/>
          <w:i/>
          <w:snapToGrid w:val="0"/>
          <w:sz w:val="24"/>
          <w:szCs w:val="24"/>
        </w:rPr>
        <w:t xml:space="preserve">S v </w:t>
      </w:r>
      <w:proofErr w:type="spellStart"/>
      <w:r w:rsidR="005211E4" w:rsidRPr="00723010">
        <w:rPr>
          <w:rFonts w:ascii="Arial" w:hAnsi="Arial" w:cs="Arial"/>
          <w:i/>
          <w:snapToGrid w:val="0"/>
          <w:sz w:val="24"/>
          <w:szCs w:val="24"/>
        </w:rPr>
        <w:t>Nakale</w:t>
      </w:r>
      <w:proofErr w:type="spellEnd"/>
      <w:r w:rsidR="008413CA">
        <w:rPr>
          <w:rStyle w:val="FootnoteReference"/>
          <w:rFonts w:ascii="Arial" w:hAnsi="Arial" w:cs="Arial"/>
          <w:i/>
          <w:snapToGrid w:val="0"/>
          <w:sz w:val="24"/>
          <w:szCs w:val="24"/>
        </w:rPr>
        <w:footnoteReference w:id="1"/>
      </w:r>
      <w:r w:rsidR="005211E4" w:rsidRPr="00723010">
        <w:rPr>
          <w:rFonts w:ascii="Arial" w:hAnsi="Arial" w:cs="Arial"/>
          <w:snapToGrid w:val="0"/>
          <w:sz w:val="24"/>
          <w:szCs w:val="24"/>
        </w:rPr>
        <w:t xml:space="preserve"> and case of </w:t>
      </w:r>
      <w:r w:rsidR="005211E4" w:rsidRPr="00723010">
        <w:rPr>
          <w:rFonts w:ascii="Arial" w:hAnsi="Arial" w:cs="Arial"/>
          <w:i/>
          <w:snapToGrid w:val="0"/>
          <w:sz w:val="24"/>
          <w:szCs w:val="24"/>
        </w:rPr>
        <w:t xml:space="preserve">S v </w:t>
      </w:r>
      <w:proofErr w:type="spellStart"/>
      <w:r w:rsidR="005211E4" w:rsidRPr="00723010">
        <w:rPr>
          <w:rFonts w:ascii="Arial" w:hAnsi="Arial" w:cs="Arial"/>
          <w:i/>
          <w:snapToGrid w:val="0"/>
          <w:sz w:val="24"/>
          <w:szCs w:val="24"/>
        </w:rPr>
        <w:t>Teek</w:t>
      </w:r>
      <w:proofErr w:type="spellEnd"/>
      <w:r w:rsidR="008413CA">
        <w:rPr>
          <w:rStyle w:val="FootnoteReference"/>
          <w:rFonts w:ascii="Arial" w:hAnsi="Arial" w:cs="Arial"/>
          <w:i/>
          <w:snapToGrid w:val="0"/>
          <w:sz w:val="24"/>
          <w:szCs w:val="24"/>
        </w:rPr>
        <w:footnoteReference w:id="2"/>
      </w:r>
      <w:r w:rsidR="00E15843">
        <w:rPr>
          <w:rFonts w:ascii="Arial" w:hAnsi="Arial" w:cs="Arial"/>
          <w:snapToGrid w:val="0"/>
          <w:sz w:val="24"/>
          <w:szCs w:val="24"/>
        </w:rPr>
        <w:t xml:space="preserve"> – The C</w:t>
      </w:r>
      <w:r w:rsidR="00624E9B" w:rsidRPr="00723010">
        <w:rPr>
          <w:rFonts w:ascii="Arial" w:hAnsi="Arial" w:cs="Arial"/>
          <w:snapToGrid w:val="0"/>
          <w:sz w:val="24"/>
          <w:szCs w:val="24"/>
        </w:rPr>
        <w:t xml:space="preserve">ourt found that there is no evidence that accused 6 committed the offence referred to in the charge or any offence of which </w:t>
      </w:r>
      <w:r w:rsidR="00DB6FC7">
        <w:rPr>
          <w:rFonts w:ascii="Arial" w:hAnsi="Arial" w:cs="Arial"/>
          <w:snapToGrid w:val="0"/>
          <w:sz w:val="24"/>
          <w:szCs w:val="24"/>
        </w:rPr>
        <w:t>s</w:t>
      </w:r>
      <w:r w:rsidR="00624E9B" w:rsidRPr="00723010">
        <w:rPr>
          <w:rFonts w:ascii="Arial" w:hAnsi="Arial" w:cs="Arial"/>
          <w:snapToGrid w:val="0"/>
          <w:sz w:val="24"/>
          <w:szCs w:val="24"/>
        </w:rPr>
        <w:t xml:space="preserve">he may be convicted on the charge, and returned a verdict of not guilty in terms of </w:t>
      </w:r>
      <w:r w:rsidR="00E15843">
        <w:rPr>
          <w:rFonts w:ascii="Arial" w:hAnsi="Arial" w:cs="Arial"/>
          <w:snapToGrid w:val="0"/>
          <w:sz w:val="24"/>
          <w:szCs w:val="24"/>
        </w:rPr>
        <w:t>s</w:t>
      </w:r>
      <w:r w:rsidR="00624E9B" w:rsidRPr="00723010">
        <w:rPr>
          <w:rFonts w:ascii="Arial" w:hAnsi="Arial" w:cs="Arial"/>
          <w:snapToGrid w:val="0"/>
          <w:sz w:val="24"/>
          <w:szCs w:val="24"/>
        </w:rPr>
        <w:t xml:space="preserve"> 174 of the Cr</w:t>
      </w:r>
      <w:r w:rsidR="00E15843">
        <w:rPr>
          <w:rFonts w:ascii="Arial" w:hAnsi="Arial" w:cs="Arial"/>
          <w:snapToGrid w:val="0"/>
          <w:sz w:val="24"/>
          <w:szCs w:val="24"/>
        </w:rPr>
        <w:t>iminal Procedure Act 51 of 1977 –</w:t>
      </w:r>
      <w:r w:rsidR="00624E9B" w:rsidRPr="00723010">
        <w:rPr>
          <w:rFonts w:ascii="Arial" w:hAnsi="Arial" w:cs="Arial"/>
          <w:snapToGrid w:val="0"/>
          <w:sz w:val="24"/>
          <w:szCs w:val="24"/>
        </w:rPr>
        <w:t xml:space="preserve"> In terms of the same </w:t>
      </w:r>
      <w:r w:rsidR="00E15843">
        <w:rPr>
          <w:rFonts w:ascii="Arial" w:hAnsi="Arial" w:cs="Arial"/>
          <w:snapToGrid w:val="0"/>
          <w:sz w:val="24"/>
          <w:szCs w:val="24"/>
        </w:rPr>
        <w:t>section, the C</w:t>
      </w:r>
      <w:r w:rsidR="00624E9B" w:rsidRPr="00723010">
        <w:rPr>
          <w:rFonts w:ascii="Arial" w:hAnsi="Arial" w:cs="Arial"/>
          <w:snapToGrid w:val="0"/>
          <w:sz w:val="24"/>
          <w:szCs w:val="24"/>
        </w:rPr>
        <w:t>ourt discharged a</w:t>
      </w:r>
      <w:r w:rsidR="00207573" w:rsidRPr="00723010">
        <w:rPr>
          <w:rFonts w:ascii="Arial" w:hAnsi="Arial" w:cs="Arial"/>
          <w:snapToGrid w:val="0"/>
          <w:sz w:val="24"/>
          <w:szCs w:val="24"/>
        </w:rPr>
        <w:t>ccused 1 and 4 on count 286,</w:t>
      </w:r>
      <w:r w:rsidR="00624E9B" w:rsidRPr="00723010">
        <w:rPr>
          <w:rFonts w:ascii="Arial" w:hAnsi="Arial" w:cs="Arial"/>
          <w:snapToGrid w:val="0"/>
          <w:sz w:val="24"/>
          <w:szCs w:val="24"/>
        </w:rPr>
        <w:t xml:space="preserve"> accused 5 was discharged on count 625 and count 626, </w:t>
      </w:r>
      <w:r w:rsidR="00207573" w:rsidRPr="00723010">
        <w:rPr>
          <w:rFonts w:ascii="Arial" w:hAnsi="Arial" w:cs="Arial"/>
          <w:snapToGrid w:val="0"/>
          <w:sz w:val="24"/>
          <w:szCs w:val="24"/>
        </w:rPr>
        <w:t xml:space="preserve">and accused 14 was discharged on </w:t>
      </w:r>
      <w:r w:rsidR="00207573" w:rsidRPr="00723010">
        <w:rPr>
          <w:rFonts w:ascii="Arial" w:hAnsi="Arial" w:cs="Arial"/>
          <w:sz w:val="24"/>
          <w:szCs w:val="24"/>
        </w:rPr>
        <w:t xml:space="preserve">count 629, </w:t>
      </w:r>
      <w:r w:rsidR="00624E9B" w:rsidRPr="00723010">
        <w:rPr>
          <w:rFonts w:ascii="Arial" w:hAnsi="Arial" w:cs="Arial"/>
          <w:snapToGrid w:val="0"/>
          <w:sz w:val="24"/>
          <w:szCs w:val="24"/>
        </w:rPr>
        <w:t xml:space="preserve">but </w:t>
      </w:r>
      <w:r w:rsidR="00E15843">
        <w:rPr>
          <w:rFonts w:ascii="Arial" w:hAnsi="Arial" w:cs="Arial"/>
          <w:snapToGrid w:val="0"/>
          <w:sz w:val="24"/>
          <w:szCs w:val="24"/>
        </w:rPr>
        <w:t>the C</w:t>
      </w:r>
      <w:r w:rsidR="00CF5E34" w:rsidRPr="00723010">
        <w:rPr>
          <w:rFonts w:ascii="Arial" w:hAnsi="Arial" w:cs="Arial"/>
          <w:snapToGrid w:val="0"/>
          <w:sz w:val="24"/>
          <w:szCs w:val="24"/>
        </w:rPr>
        <w:t xml:space="preserve">ourt </w:t>
      </w:r>
      <w:r w:rsidR="00624E9B" w:rsidRPr="00723010">
        <w:rPr>
          <w:rFonts w:ascii="Arial" w:hAnsi="Arial" w:cs="Arial"/>
          <w:snapToGrid w:val="0"/>
          <w:sz w:val="24"/>
          <w:szCs w:val="24"/>
        </w:rPr>
        <w:t>refused the</w:t>
      </w:r>
      <w:r w:rsidR="00CF5E34" w:rsidRPr="00723010">
        <w:rPr>
          <w:rFonts w:ascii="Arial" w:hAnsi="Arial" w:cs="Arial"/>
          <w:snapToGrid w:val="0"/>
          <w:sz w:val="24"/>
          <w:szCs w:val="24"/>
        </w:rPr>
        <w:t xml:space="preserve">ir </w:t>
      </w:r>
      <w:r w:rsidR="00E15843">
        <w:rPr>
          <w:rFonts w:ascii="Arial" w:hAnsi="Arial" w:cs="Arial"/>
          <w:snapToGrid w:val="0"/>
          <w:sz w:val="24"/>
          <w:szCs w:val="24"/>
        </w:rPr>
        <w:t>s</w:t>
      </w:r>
      <w:r w:rsidR="00CF5E34" w:rsidRPr="00723010">
        <w:rPr>
          <w:rFonts w:ascii="Arial" w:hAnsi="Arial" w:cs="Arial"/>
          <w:snapToGrid w:val="0"/>
          <w:sz w:val="24"/>
          <w:szCs w:val="24"/>
        </w:rPr>
        <w:t xml:space="preserve"> 174</w:t>
      </w:r>
      <w:r w:rsidR="00624E9B" w:rsidRPr="00723010">
        <w:rPr>
          <w:rFonts w:ascii="Arial" w:hAnsi="Arial" w:cs="Arial"/>
          <w:snapToGrid w:val="0"/>
          <w:sz w:val="24"/>
          <w:szCs w:val="24"/>
        </w:rPr>
        <w:t xml:space="preserve"> appli</w:t>
      </w:r>
      <w:r w:rsidR="00E15843">
        <w:rPr>
          <w:rFonts w:ascii="Arial" w:hAnsi="Arial" w:cs="Arial"/>
          <w:snapToGrid w:val="0"/>
          <w:sz w:val="24"/>
          <w:szCs w:val="24"/>
        </w:rPr>
        <w:t>cation on the remaining charges –</w:t>
      </w:r>
      <w:r w:rsidR="00624E9B" w:rsidRPr="00723010">
        <w:rPr>
          <w:rFonts w:ascii="Arial" w:hAnsi="Arial" w:cs="Arial"/>
          <w:snapToGrid w:val="0"/>
          <w:sz w:val="24"/>
          <w:szCs w:val="24"/>
        </w:rPr>
        <w:t xml:space="preserve"> The </w:t>
      </w:r>
      <w:r w:rsidR="00E15843">
        <w:rPr>
          <w:rFonts w:ascii="Arial" w:hAnsi="Arial" w:cs="Arial"/>
          <w:snapToGrid w:val="0"/>
          <w:sz w:val="24"/>
          <w:szCs w:val="24"/>
        </w:rPr>
        <w:t>C</w:t>
      </w:r>
      <w:r w:rsidR="00624E9B" w:rsidRPr="00723010">
        <w:rPr>
          <w:rFonts w:ascii="Arial" w:hAnsi="Arial" w:cs="Arial"/>
          <w:snapToGrid w:val="0"/>
          <w:sz w:val="24"/>
          <w:szCs w:val="24"/>
        </w:rPr>
        <w:t xml:space="preserve">ourt found that accused </w:t>
      </w:r>
      <w:r w:rsidR="00624E9B" w:rsidRPr="00723010">
        <w:rPr>
          <w:rFonts w:ascii="Arial" w:hAnsi="Arial" w:cs="Arial"/>
          <w:sz w:val="24"/>
          <w:szCs w:val="24"/>
        </w:rPr>
        <w:t xml:space="preserve">2, 3, 7, 8, 9, 11 and 12 have a case to answer </w:t>
      </w:r>
      <w:r w:rsidR="00CF5E34" w:rsidRPr="00723010">
        <w:rPr>
          <w:rFonts w:ascii="Arial" w:hAnsi="Arial" w:cs="Arial"/>
          <w:sz w:val="24"/>
          <w:szCs w:val="24"/>
        </w:rPr>
        <w:t xml:space="preserve">on all the charges they are facing </w:t>
      </w:r>
      <w:r w:rsidR="00624E9B" w:rsidRPr="00723010">
        <w:rPr>
          <w:rFonts w:ascii="Arial" w:hAnsi="Arial" w:cs="Arial"/>
          <w:sz w:val="24"/>
          <w:szCs w:val="24"/>
        </w:rPr>
        <w:t xml:space="preserve">and </w:t>
      </w:r>
      <w:r w:rsidR="00624E9B" w:rsidRPr="00723010">
        <w:rPr>
          <w:rFonts w:ascii="Arial" w:hAnsi="Arial" w:cs="Arial"/>
          <w:sz w:val="24"/>
          <w:szCs w:val="24"/>
        </w:rPr>
        <w:lastRenderedPageBreak/>
        <w:t xml:space="preserve">dismissed their application in terms of </w:t>
      </w:r>
      <w:r w:rsidR="0099115A">
        <w:rPr>
          <w:rFonts w:ascii="Arial" w:hAnsi="Arial" w:cs="Arial"/>
          <w:sz w:val="24"/>
          <w:szCs w:val="24"/>
        </w:rPr>
        <w:t>s</w:t>
      </w:r>
      <w:r w:rsidR="00624E9B" w:rsidRPr="00723010">
        <w:rPr>
          <w:rFonts w:ascii="Arial" w:hAnsi="Arial" w:cs="Arial"/>
          <w:sz w:val="24"/>
          <w:szCs w:val="24"/>
        </w:rPr>
        <w:t xml:space="preserve"> 174 of the Cr</w:t>
      </w:r>
      <w:r w:rsidR="0099115A">
        <w:rPr>
          <w:rFonts w:ascii="Arial" w:hAnsi="Arial" w:cs="Arial"/>
          <w:sz w:val="24"/>
          <w:szCs w:val="24"/>
        </w:rPr>
        <w:t>iminal Procedure Act 51 of 1977 –</w:t>
      </w:r>
      <w:r w:rsidR="00471F3A">
        <w:rPr>
          <w:rFonts w:ascii="Arial" w:hAnsi="Arial" w:cs="Arial"/>
          <w:sz w:val="24"/>
          <w:szCs w:val="24"/>
        </w:rPr>
        <w:t xml:space="preserve"> The evidence led so far, unless contradicted, establishes sufficient ev</w:t>
      </w:r>
      <w:r w:rsidR="0099115A">
        <w:rPr>
          <w:rFonts w:ascii="Arial" w:hAnsi="Arial" w:cs="Arial"/>
          <w:sz w:val="24"/>
          <w:szCs w:val="24"/>
        </w:rPr>
        <w:t>idence upon which a reasonable C</w:t>
      </w:r>
      <w:r w:rsidR="00471F3A">
        <w:rPr>
          <w:rFonts w:ascii="Arial" w:hAnsi="Arial" w:cs="Arial"/>
          <w:sz w:val="24"/>
          <w:szCs w:val="24"/>
        </w:rPr>
        <w:t>ourt acting carefully might convict the accused on the preferred charges.</w:t>
      </w:r>
    </w:p>
    <w:p w:rsidR="0099115A" w:rsidRPr="00471F3A" w:rsidRDefault="0099115A" w:rsidP="00471F3A">
      <w:pPr>
        <w:autoSpaceDE w:val="0"/>
        <w:autoSpaceDN w:val="0"/>
        <w:adjustRightInd w:val="0"/>
        <w:spacing w:after="0" w:line="360" w:lineRule="auto"/>
        <w:jc w:val="both"/>
        <w:rPr>
          <w:rFonts w:ascii="Arial" w:eastAsiaTheme="minorHAnsi" w:hAnsi="Arial" w:cs="Arial"/>
          <w:sz w:val="24"/>
          <w:szCs w:val="24"/>
        </w:rPr>
      </w:pPr>
    </w:p>
    <w:p w:rsidR="00F465EF" w:rsidRDefault="005F231C" w:rsidP="00D83513">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465EF" w:rsidRDefault="00F465EF" w:rsidP="00D83513">
      <w:pPr>
        <w:spacing w:after="0" w:line="360" w:lineRule="auto"/>
        <w:jc w:val="center"/>
        <w:rPr>
          <w:rFonts w:ascii="Arial" w:hAnsi="Arial" w:cs="Arial"/>
          <w:b/>
          <w:bCs/>
          <w:sz w:val="24"/>
          <w:szCs w:val="24"/>
        </w:rPr>
      </w:pPr>
      <w:r>
        <w:rPr>
          <w:rFonts w:ascii="Arial" w:hAnsi="Arial" w:cs="Arial"/>
          <w:b/>
          <w:bCs/>
          <w:sz w:val="24"/>
          <w:szCs w:val="24"/>
        </w:rPr>
        <w:t>ORDER</w:t>
      </w:r>
    </w:p>
    <w:p w:rsidR="00F465EF" w:rsidRDefault="005F231C" w:rsidP="00D83513">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99115A" w:rsidRDefault="0099115A" w:rsidP="00F56C17">
      <w:pPr>
        <w:spacing w:after="0" w:line="360" w:lineRule="auto"/>
        <w:jc w:val="both"/>
        <w:rPr>
          <w:rFonts w:ascii="Arial" w:hAnsi="Arial" w:cs="Arial"/>
          <w:sz w:val="24"/>
          <w:szCs w:val="24"/>
        </w:rPr>
      </w:pPr>
    </w:p>
    <w:p w:rsidR="002C13FC" w:rsidRDefault="002C13FC" w:rsidP="0099115A">
      <w:pPr>
        <w:numPr>
          <w:ilvl w:val="0"/>
          <w:numId w:val="23"/>
        </w:numPr>
        <w:spacing w:after="0" w:line="360" w:lineRule="auto"/>
        <w:ind w:left="425" w:hanging="425"/>
        <w:jc w:val="both"/>
        <w:rPr>
          <w:rFonts w:ascii="Arial" w:hAnsi="Arial" w:cs="Arial"/>
          <w:sz w:val="24"/>
          <w:szCs w:val="24"/>
        </w:rPr>
      </w:pPr>
      <w:r w:rsidRPr="00CF25AA">
        <w:rPr>
          <w:rFonts w:ascii="Arial" w:hAnsi="Arial" w:cs="Arial"/>
          <w:sz w:val="24"/>
          <w:szCs w:val="24"/>
        </w:rPr>
        <w:t xml:space="preserve">Accused 6 is discharged on count 286 and from prosecution in this case in terms of </w:t>
      </w:r>
      <w:r w:rsidR="0099115A">
        <w:rPr>
          <w:rFonts w:ascii="Arial" w:hAnsi="Arial" w:cs="Arial"/>
          <w:sz w:val="24"/>
          <w:szCs w:val="24"/>
        </w:rPr>
        <w:t>s</w:t>
      </w:r>
      <w:r w:rsidRPr="00CF25AA">
        <w:rPr>
          <w:rFonts w:ascii="Arial" w:hAnsi="Arial" w:cs="Arial"/>
          <w:sz w:val="24"/>
          <w:szCs w:val="24"/>
        </w:rPr>
        <w:t xml:space="preserve"> 174 of the Criminal Procedure Act 51 of 1977.</w:t>
      </w:r>
    </w:p>
    <w:p w:rsidR="0099115A" w:rsidRPr="00CF25AA" w:rsidRDefault="0099115A" w:rsidP="0099115A">
      <w:pPr>
        <w:spacing w:after="0" w:line="360" w:lineRule="auto"/>
        <w:jc w:val="both"/>
        <w:rPr>
          <w:rFonts w:ascii="Arial" w:hAnsi="Arial" w:cs="Arial"/>
          <w:sz w:val="24"/>
          <w:szCs w:val="24"/>
        </w:rPr>
      </w:pPr>
    </w:p>
    <w:p w:rsidR="002C13FC" w:rsidRDefault="002C13FC" w:rsidP="0099115A">
      <w:pPr>
        <w:numPr>
          <w:ilvl w:val="0"/>
          <w:numId w:val="23"/>
        </w:numPr>
        <w:spacing w:after="0" w:line="360" w:lineRule="auto"/>
        <w:ind w:left="425" w:hanging="425"/>
        <w:jc w:val="both"/>
        <w:rPr>
          <w:rFonts w:ascii="Arial" w:hAnsi="Arial" w:cs="Arial"/>
          <w:sz w:val="24"/>
          <w:szCs w:val="24"/>
        </w:rPr>
      </w:pPr>
      <w:r w:rsidRPr="00CF25AA">
        <w:rPr>
          <w:rFonts w:ascii="Arial" w:hAnsi="Arial" w:cs="Arial"/>
          <w:sz w:val="24"/>
          <w:szCs w:val="24"/>
        </w:rPr>
        <w:t>Accused 1 and 4 are discharged on count 286, but for the remainder of the charges</w:t>
      </w:r>
      <w:r w:rsidR="0099115A">
        <w:rPr>
          <w:rFonts w:ascii="Arial" w:hAnsi="Arial" w:cs="Arial"/>
          <w:sz w:val="24"/>
          <w:szCs w:val="24"/>
        </w:rPr>
        <w:t xml:space="preserve"> of</w:t>
      </w:r>
      <w:r w:rsidRPr="00CF25AA">
        <w:rPr>
          <w:rFonts w:ascii="Arial" w:hAnsi="Arial" w:cs="Arial"/>
          <w:sz w:val="24"/>
          <w:szCs w:val="24"/>
        </w:rPr>
        <w:t xml:space="preserve"> the application to be discharged in terms </w:t>
      </w:r>
      <w:r w:rsidR="0099115A">
        <w:rPr>
          <w:rFonts w:ascii="Arial" w:hAnsi="Arial" w:cs="Arial"/>
          <w:sz w:val="24"/>
          <w:szCs w:val="24"/>
        </w:rPr>
        <w:t>s</w:t>
      </w:r>
      <w:r w:rsidRPr="00CF25AA">
        <w:rPr>
          <w:rFonts w:ascii="Arial" w:hAnsi="Arial" w:cs="Arial"/>
          <w:sz w:val="24"/>
          <w:szCs w:val="24"/>
        </w:rPr>
        <w:t xml:space="preserve"> 174 of the Criminal procedure Act 51 of 197 is dismissed.</w:t>
      </w:r>
    </w:p>
    <w:p w:rsidR="0099115A" w:rsidRPr="00CF25AA" w:rsidRDefault="0099115A" w:rsidP="0099115A">
      <w:pPr>
        <w:spacing w:after="0" w:line="360" w:lineRule="auto"/>
        <w:jc w:val="both"/>
        <w:rPr>
          <w:rFonts w:ascii="Arial" w:hAnsi="Arial" w:cs="Arial"/>
          <w:sz w:val="24"/>
          <w:szCs w:val="24"/>
        </w:rPr>
      </w:pPr>
    </w:p>
    <w:p w:rsidR="002C13FC" w:rsidRDefault="002C13FC" w:rsidP="0099115A">
      <w:pPr>
        <w:numPr>
          <w:ilvl w:val="0"/>
          <w:numId w:val="23"/>
        </w:numPr>
        <w:spacing w:after="0" w:line="360" w:lineRule="auto"/>
        <w:ind w:left="425" w:hanging="425"/>
        <w:jc w:val="both"/>
        <w:rPr>
          <w:rFonts w:ascii="Arial" w:hAnsi="Arial" w:cs="Arial"/>
          <w:sz w:val="24"/>
          <w:szCs w:val="24"/>
        </w:rPr>
      </w:pPr>
      <w:r w:rsidRPr="00CF25AA">
        <w:rPr>
          <w:rFonts w:ascii="Arial" w:hAnsi="Arial" w:cs="Arial"/>
          <w:sz w:val="24"/>
          <w:szCs w:val="24"/>
        </w:rPr>
        <w:t xml:space="preserve">Accused 5 is discharged on count 625 and count 626, but for the remainder of the charges the application to be discharged in terms </w:t>
      </w:r>
      <w:r w:rsidR="0099115A">
        <w:rPr>
          <w:rFonts w:ascii="Arial" w:hAnsi="Arial" w:cs="Arial"/>
          <w:sz w:val="24"/>
          <w:szCs w:val="24"/>
        </w:rPr>
        <w:t>s</w:t>
      </w:r>
      <w:r w:rsidRPr="00CF25AA">
        <w:rPr>
          <w:rFonts w:ascii="Arial" w:hAnsi="Arial" w:cs="Arial"/>
          <w:sz w:val="24"/>
          <w:szCs w:val="24"/>
        </w:rPr>
        <w:t xml:space="preserve"> 174 of the Criminal procedure Act 51 of 197 is dismissed.</w:t>
      </w:r>
    </w:p>
    <w:p w:rsidR="0099115A" w:rsidRPr="00CF25AA" w:rsidRDefault="0099115A" w:rsidP="0099115A">
      <w:pPr>
        <w:spacing w:after="0" w:line="360" w:lineRule="auto"/>
        <w:jc w:val="both"/>
        <w:rPr>
          <w:rFonts w:ascii="Arial" w:hAnsi="Arial" w:cs="Arial"/>
          <w:sz w:val="24"/>
          <w:szCs w:val="24"/>
        </w:rPr>
      </w:pPr>
    </w:p>
    <w:p w:rsidR="002C13FC" w:rsidRDefault="002C13FC" w:rsidP="0099115A">
      <w:pPr>
        <w:numPr>
          <w:ilvl w:val="0"/>
          <w:numId w:val="23"/>
        </w:numPr>
        <w:spacing w:after="0" w:line="360" w:lineRule="auto"/>
        <w:ind w:left="425" w:hanging="425"/>
        <w:jc w:val="both"/>
        <w:rPr>
          <w:rFonts w:ascii="Arial" w:hAnsi="Arial" w:cs="Arial"/>
          <w:sz w:val="24"/>
          <w:szCs w:val="24"/>
        </w:rPr>
      </w:pPr>
      <w:r w:rsidRPr="00CF25AA">
        <w:rPr>
          <w:rFonts w:ascii="Arial" w:hAnsi="Arial" w:cs="Arial"/>
          <w:sz w:val="24"/>
          <w:szCs w:val="24"/>
        </w:rPr>
        <w:t xml:space="preserve">Accused 14 is discharged on count 629 but for the remainder of the charges, the application to be discharged in terms </w:t>
      </w:r>
      <w:r w:rsidR="0099115A">
        <w:rPr>
          <w:rFonts w:ascii="Arial" w:hAnsi="Arial" w:cs="Arial"/>
          <w:sz w:val="24"/>
          <w:szCs w:val="24"/>
        </w:rPr>
        <w:t>s</w:t>
      </w:r>
      <w:r w:rsidRPr="00CF25AA">
        <w:rPr>
          <w:rFonts w:ascii="Arial" w:hAnsi="Arial" w:cs="Arial"/>
          <w:sz w:val="24"/>
          <w:szCs w:val="24"/>
        </w:rPr>
        <w:t xml:space="preserve"> 174 of the Criminal procedure Act 51 of 197 is dismissed.</w:t>
      </w:r>
    </w:p>
    <w:p w:rsidR="0099115A" w:rsidRPr="00CF25AA" w:rsidRDefault="0099115A" w:rsidP="0099115A">
      <w:pPr>
        <w:spacing w:after="0" w:line="360" w:lineRule="auto"/>
        <w:jc w:val="both"/>
        <w:rPr>
          <w:rFonts w:ascii="Arial" w:hAnsi="Arial" w:cs="Arial"/>
          <w:sz w:val="24"/>
          <w:szCs w:val="24"/>
        </w:rPr>
      </w:pPr>
    </w:p>
    <w:p w:rsidR="0099115A" w:rsidRDefault="002C13FC" w:rsidP="0099115A">
      <w:pPr>
        <w:numPr>
          <w:ilvl w:val="0"/>
          <w:numId w:val="23"/>
        </w:numPr>
        <w:spacing w:after="0" w:line="360" w:lineRule="auto"/>
        <w:ind w:left="425" w:hanging="425"/>
        <w:jc w:val="both"/>
        <w:rPr>
          <w:rFonts w:ascii="Arial" w:hAnsi="Arial" w:cs="Arial"/>
          <w:sz w:val="24"/>
          <w:szCs w:val="24"/>
        </w:rPr>
      </w:pPr>
      <w:r w:rsidRPr="00CF25AA">
        <w:rPr>
          <w:rFonts w:ascii="Arial" w:hAnsi="Arial" w:cs="Arial"/>
          <w:sz w:val="24"/>
          <w:szCs w:val="24"/>
        </w:rPr>
        <w:t xml:space="preserve">Application for accused 2, 3, 7, 8, 9, 11 and 12 to be discharged in terms </w:t>
      </w:r>
      <w:r w:rsidR="0099115A">
        <w:rPr>
          <w:rFonts w:ascii="Arial" w:hAnsi="Arial" w:cs="Arial"/>
          <w:sz w:val="24"/>
          <w:szCs w:val="24"/>
        </w:rPr>
        <w:t>s</w:t>
      </w:r>
      <w:r w:rsidRPr="00CF25AA">
        <w:rPr>
          <w:rFonts w:ascii="Arial" w:hAnsi="Arial" w:cs="Arial"/>
          <w:sz w:val="24"/>
          <w:szCs w:val="24"/>
        </w:rPr>
        <w:t xml:space="preserve"> 174 of the Criminal procedure Act 51 of 1977 is dismissed.</w:t>
      </w:r>
    </w:p>
    <w:p w:rsidR="0099115A" w:rsidRPr="0099115A" w:rsidRDefault="0099115A" w:rsidP="0099115A">
      <w:pPr>
        <w:spacing w:after="0" w:line="360" w:lineRule="auto"/>
        <w:jc w:val="both"/>
        <w:rPr>
          <w:rFonts w:ascii="Arial" w:hAnsi="Arial" w:cs="Arial"/>
          <w:sz w:val="24"/>
          <w:szCs w:val="24"/>
        </w:rPr>
      </w:pPr>
    </w:p>
    <w:p w:rsidR="00CF25AA" w:rsidRDefault="00CF25AA" w:rsidP="0099115A">
      <w:pPr>
        <w:numPr>
          <w:ilvl w:val="0"/>
          <w:numId w:val="23"/>
        </w:numPr>
        <w:spacing w:after="0" w:line="360" w:lineRule="auto"/>
        <w:ind w:left="425" w:hanging="425"/>
        <w:jc w:val="both"/>
        <w:rPr>
          <w:rFonts w:ascii="Arial" w:hAnsi="Arial" w:cs="Arial"/>
          <w:sz w:val="24"/>
          <w:szCs w:val="24"/>
        </w:rPr>
      </w:pPr>
      <w:r w:rsidRPr="00CF25AA">
        <w:rPr>
          <w:rFonts w:ascii="Arial" w:hAnsi="Arial" w:cs="Arial"/>
          <w:sz w:val="24"/>
          <w:szCs w:val="24"/>
        </w:rPr>
        <w:t xml:space="preserve">The matter is postponed to </w:t>
      </w:r>
      <w:r w:rsidRPr="0099115A">
        <w:rPr>
          <w:rFonts w:ascii="Arial" w:hAnsi="Arial" w:cs="Arial"/>
          <w:b/>
          <w:sz w:val="24"/>
          <w:szCs w:val="24"/>
        </w:rPr>
        <w:t>24 August 2020</w:t>
      </w:r>
      <w:r w:rsidRPr="00CF25AA">
        <w:rPr>
          <w:rFonts w:ascii="Arial" w:hAnsi="Arial" w:cs="Arial"/>
          <w:sz w:val="24"/>
          <w:szCs w:val="24"/>
        </w:rPr>
        <w:t xml:space="preserve">, at </w:t>
      </w:r>
      <w:r w:rsidRPr="0099115A">
        <w:rPr>
          <w:rFonts w:ascii="Arial" w:hAnsi="Arial" w:cs="Arial"/>
          <w:b/>
          <w:sz w:val="24"/>
          <w:szCs w:val="24"/>
        </w:rPr>
        <w:t>09h00</w:t>
      </w:r>
      <w:r w:rsidRPr="00CF25AA">
        <w:rPr>
          <w:rFonts w:ascii="Arial" w:hAnsi="Arial" w:cs="Arial"/>
          <w:sz w:val="24"/>
          <w:szCs w:val="24"/>
        </w:rPr>
        <w:t xml:space="preserve"> for continuation of trial.</w:t>
      </w:r>
    </w:p>
    <w:p w:rsidR="0099115A" w:rsidRPr="00CF25AA" w:rsidRDefault="0099115A" w:rsidP="0099115A">
      <w:pPr>
        <w:spacing w:after="0" w:line="360" w:lineRule="auto"/>
        <w:jc w:val="both"/>
        <w:rPr>
          <w:rFonts w:ascii="Arial" w:hAnsi="Arial" w:cs="Arial"/>
          <w:sz w:val="24"/>
          <w:szCs w:val="24"/>
        </w:rPr>
      </w:pPr>
    </w:p>
    <w:p w:rsidR="00F465EF" w:rsidRDefault="005F231C" w:rsidP="00D83513">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Default="00F465EF" w:rsidP="00D83513">
      <w:pPr>
        <w:spacing w:after="0" w:line="360" w:lineRule="auto"/>
        <w:jc w:val="center"/>
        <w:rPr>
          <w:rFonts w:ascii="Arial" w:hAnsi="Arial" w:cs="Arial"/>
          <w:b/>
          <w:sz w:val="24"/>
          <w:szCs w:val="24"/>
        </w:rPr>
      </w:pPr>
      <w:r>
        <w:rPr>
          <w:rFonts w:ascii="Arial" w:hAnsi="Arial" w:cs="Arial"/>
          <w:b/>
          <w:sz w:val="24"/>
          <w:szCs w:val="24"/>
        </w:rPr>
        <w:t>JUDGMENT</w:t>
      </w:r>
    </w:p>
    <w:p w:rsidR="00F465EF" w:rsidRDefault="005F231C" w:rsidP="00D83513">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465EF" w:rsidRDefault="005C4CF1" w:rsidP="00D83513">
      <w:pPr>
        <w:spacing w:after="0" w:line="360" w:lineRule="auto"/>
        <w:jc w:val="both"/>
        <w:rPr>
          <w:rFonts w:ascii="Arial" w:hAnsi="Arial" w:cs="Arial"/>
          <w:sz w:val="24"/>
          <w:szCs w:val="24"/>
        </w:rPr>
      </w:pPr>
      <w:r>
        <w:rPr>
          <w:rFonts w:ascii="Arial" w:hAnsi="Arial" w:cs="Arial"/>
          <w:sz w:val="24"/>
          <w:szCs w:val="24"/>
        </w:rPr>
        <w:t>MILLER</w:t>
      </w:r>
      <w:r w:rsidR="00F465EF">
        <w:rPr>
          <w:rFonts w:ascii="Arial" w:hAnsi="Arial" w:cs="Arial"/>
          <w:sz w:val="24"/>
          <w:szCs w:val="24"/>
        </w:rPr>
        <w:t xml:space="preserve"> AJ:</w:t>
      </w:r>
    </w:p>
    <w:p w:rsidR="001E503D" w:rsidRDefault="001E503D" w:rsidP="00D83513">
      <w:pPr>
        <w:spacing w:after="0" w:line="360" w:lineRule="auto"/>
        <w:jc w:val="both"/>
        <w:rPr>
          <w:rFonts w:ascii="Arial" w:hAnsi="Arial" w:cs="Arial"/>
          <w:b/>
          <w:i/>
          <w:sz w:val="24"/>
          <w:szCs w:val="24"/>
        </w:rPr>
      </w:pPr>
    </w:p>
    <w:p w:rsidR="00F465EF" w:rsidRPr="0099115A" w:rsidRDefault="0099115A" w:rsidP="00F56C17">
      <w:pPr>
        <w:spacing w:after="0" w:line="360" w:lineRule="auto"/>
        <w:rPr>
          <w:rFonts w:ascii="Arial" w:hAnsi="Arial" w:cs="Arial"/>
          <w:sz w:val="24"/>
          <w:szCs w:val="24"/>
          <w:u w:val="single"/>
        </w:rPr>
      </w:pPr>
      <w:r w:rsidRPr="0099115A">
        <w:rPr>
          <w:rFonts w:ascii="Arial" w:hAnsi="Arial" w:cs="Arial"/>
          <w:sz w:val="24"/>
          <w:szCs w:val="24"/>
          <w:u w:val="single"/>
        </w:rPr>
        <w:t>Introduction</w:t>
      </w:r>
    </w:p>
    <w:p w:rsidR="00BC3144" w:rsidRDefault="00081630" w:rsidP="0099115A">
      <w:pPr>
        <w:spacing w:after="0" w:line="360" w:lineRule="auto"/>
        <w:jc w:val="both"/>
        <w:rPr>
          <w:rFonts w:ascii="Arial" w:hAnsi="Arial" w:cs="Arial"/>
          <w:sz w:val="24"/>
          <w:szCs w:val="24"/>
        </w:rPr>
      </w:pPr>
      <w:r w:rsidRPr="0099115A">
        <w:rPr>
          <w:rFonts w:ascii="Arial" w:hAnsi="Arial" w:cs="Arial"/>
          <w:sz w:val="24"/>
          <w:szCs w:val="24"/>
        </w:rPr>
        <w:t>[1]</w:t>
      </w:r>
      <w:r w:rsidR="00096677" w:rsidRPr="0099115A">
        <w:rPr>
          <w:rFonts w:ascii="Arial" w:hAnsi="Arial" w:cs="Arial"/>
          <w:sz w:val="24"/>
          <w:szCs w:val="24"/>
        </w:rPr>
        <w:tab/>
      </w:r>
      <w:r w:rsidR="00FB6984" w:rsidRPr="0099115A">
        <w:rPr>
          <w:rFonts w:ascii="Arial" w:hAnsi="Arial" w:cs="Arial"/>
          <w:sz w:val="24"/>
          <w:szCs w:val="24"/>
        </w:rPr>
        <w:t xml:space="preserve">The </w:t>
      </w:r>
      <w:r w:rsidR="005E39E2" w:rsidRPr="0099115A">
        <w:rPr>
          <w:rFonts w:ascii="Arial" w:hAnsi="Arial" w:cs="Arial"/>
          <w:sz w:val="24"/>
          <w:szCs w:val="24"/>
        </w:rPr>
        <w:t>a</w:t>
      </w:r>
      <w:r w:rsidR="00FB6984" w:rsidRPr="0099115A">
        <w:rPr>
          <w:rFonts w:ascii="Arial" w:hAnsi="Arial" w:cs="Arial"/>
          <w:sz w:val="24"/>
          <w:szCs w:val="24"/>
        </w:rPr>
        <w:t>ccused are standin</w:t>
      </w:r>
      <w:r w:rsidR="009B2DCD" w:rsidRPr="0099115A">
        <w:rPr>
          <w:rFonts w:ascii="Arial" w:hAnsi="Arial" w:cs="Arial"/>
          <w:sz w:val="24"/>
          <w:szCs w:val="24"/>
        </w:rPr>
        <w:t>g trial on 629 charges of fraud and</w:t>
      </w:r>
      <w:r w:rsidR="00FB6984" w:rsidRPr="0099115A">
        <w:rPr>
          <w:rFonts w:ascii="Arial" w:hAnsi="Arial" w:cs="Arial"/>
          <w:sz w:val="24"/>
          <w:szCs w:val="24"/>
        </w:rPr>
        <w:t xml:space="preserve"> theft</w:t>
      </w:r>
      <w:r w:rsidR="005E39E2" w:rsidRPr="0099115A">
        <w:rPr>
          <w:rFonts w:ascii="Arial" w:hAnsi="Arial" w:cs="Arial"/>
          <w:sz w:val="24"/>
          <w:szCs w:val="24"/>
        </w:rPr>
        <w:t>, as well as contravention</w:t>
      </w:r>
      <w:r w:rsidR="00FB6984" w:rsidRPr="0099115A">
        <w:rPr>
          <w:rFonts w:ascii="Arial" w:hAnsi="Arial" w:cs="Arial"/>
          <w:sz w:val="24"/>
          <w:szCs w:val="24"/>
        </w:rPr>
        <w:t xml:space="preserve"> of </w:t>
      </w:r>
      <w:r w:rsidR="005E39E2" w:rsidRPr="0099115A">
        <w:rPr>
          <w:rFonts w:ascii="Arial" w:hAnsi="Arial" w:cs="Arial"/>
          <w:sz w:val="24"/>
          <w:szCs w:val="24"/>
        </w:rPr>
        <w:t xml:space="preserve">the </w:t>
      </w:r>
      <w:r w:rsidR="00FB6984" w:rsidRPr="0099115A">
        <w:rPr>
          <w:rFonts w:ascii="Arial" w:hAnsi="Arial" w:cs="Arial"/>
          <w:sz w:val="24"/>
          <w:szCs w:val="24"/>
        </w:rPr>
        <w:t xml:space="preserve">Prevention of </w:t>
      </w:r>
      <w:r w:rsidR="008C430E" w:rsidRPr="0099115A">
        <w:rPr>
          <w:rFonts w:ascii="Arial" w:hAnsi="Arial" w:cs="Arial"/>
          <w:sz w:val="24"/>
          <w:szCs w:val="24"/>
        </w:rPr>
        <w:t>Organized</w:t>
      </w:r>
      <w:r w:rsidR="005E39E2" w:rsidRPr="0099115A">
        <w:rPr>
          <w:rFonts w:ascii="Arial" w:hAnsi="Arial" w:cs="Arial"/>
          <w:sz w:val="24"/>
          <w:szCs w:val="24"/>
        </w:rPr>
        <w:t xml:space="preserve"> Crime </w:t>
      </w:r>
      <w:r w:rsidR="00FB6984" w:rsidRPr="0099115A">
        <w:rPr>
          <w:rFonts w:ascii="Arial" w:hAnsi="Arial" w:cs="Arial"/>
          <w:sz w:val="24"/>
          <w:szCs w:val="24"/>
        </w:rPr>
        <w:t xml:space="preserve">Act 29 of 2004 to which I shall refer </w:t>
      </w:r>
      <w:r w:rsidR="009B2DCD" w:rsidRPr="0099115A">
        <w:rPr>
          <w:rFonts w:ascii="Arial" w:hAnsi="Arial" w:cs="Arial"/>
          <w:sz w:val="24"/>
          <w:szCs w:val="24"/>
        </w:rPr>
        <w:t xml:space="preserve">to </w:t>
      </w:r>
      <w:r w:rsidR="00FB6984" w:rsidRPr="0099115A">
        <w:rPr>
          <w:rFonts w:ascii="Arial" w:hAnsi="Arial" w:cs="Arial"/>
          <w:sz w:val="24"/>
          <w:szCs w:val="24"/>
        </w:rPr>
        <w:t xml:space="preserve">where necessary as </w:t>
      </w:r>
      <w:r w:rsidR="0099115A" w:rsidRPr="0099115A">
        <w:rPr>
          <w:rFonts w:ascii="Arial" w:hAnsi="Arial" w:cs="Arial"/>
          <w:sz w:val="24"/>
          <w:szCs w:val="24"/>
        </w:rPr>
        <w:t>‘</w:t>
      </w:r>
      <w:r w:rsidR="00FB6984" w:rsidRPr="0099115A">
        <w:rPr>
          <w:rFonts w:ascii="Arial" w:hAnsi="Arial" w:cs="Arial"/>
          <w:sz w:val="24"/>
          <w:szCs w:val="24"/>
        </w:rPr>
        <w:t>POCA</w:t>
      </w:r>
      <w:r w:rsidR="0099115A" w:rsidRPr="0099115A">
        <w:rPr>
          <w:rFonts w:ascii="Arial" w:hAnsi="Arial" w:cs="Arial"/>
          <w:sz w:val="24"/>
          <w:szCs w:val="24"/>
        </w:rPr>
        <w:t>’</w:t>
      </w:r>
      <w:r w:rsidR="00FB6984" w:rsidRPr="0099115A">
        <w:rPr>
          <w:rFonts w:ascii="Arial" w:hAnsi="Arial" w:cs="Arial"/>
          <w:sz w:val="24"/>
          <w:szCs w:val="24"/>
        </w:rPr>
        <w:t xml:space="preserve"> and contravention of the</w:t>
      </w:r>
      <w:r w:rsidR="005E39E2" w:rsidRPr="0099115A">
        <w:rPr>
          <w:rFonts w:ascii="Arial" w:hAnsi="Arial" w:cs="Arial"/>
          <w:sz w:val="24"/>
          <w:szCs w:val="24"/>
        </w:rPr>
        <w:t xml:space="preserve"> Anti-Corruption Act 8 of 2003, </w:t>
      </w:r>
      <w:r w:rsidR="00FB6984" w:rsidRPr="0099115A">
        <w:rPr>
          <w:rFonts w:ascii="Arial" w:hAnsi="Arial" w:cs="Arial"/>
          <w:sz w:val="24"/>
          <w:szCs w:val="24"/>
        </w:rPr>
        <w:t xml:space="preserve">to which I shall refer simply as the </w:t>
      </w:r>
      <w:r w:rsidR="0099115A" w:rsidRPr="0099115A">
        <w:rPr>
          <w:rFonts w:ascii="Arial" w:hAnsi="Arial" w:cs="Arial"/>
          <w:sz w:val="24"/>
          <w:szCs w:val="24"/>
        </w:rPr>
        <w:t>‘</w:t>
      </w:r>
      <w:r w:rsidR="00FB6984" w:rsidRPr="0099115A">
        <w:rPr>
          <w:rFonts w:ascii="Arial" w:hAnsi="Arial" w:cs="Arial"/>
          <w:sz w:val="24"/>
          <w:szCs w:val="24"/>
        </w:rPr>
        <w:t>ACC</w:t>
      </w:r>
      <w:r w:rsidR="0099115A" w:rsidRPr="0099115A">
        <w:rPr>
          <w:rFonts w:ascii="Arial" w:hAnsi="Arial" w:cs="Arial"/>
          <w:sz w:val="24"/>
          <w:szCs w:val="24"/>
        </w:rPr>
        <w:t>’</w:t>
      </w:r>
      <w:r w:rsidR="00FB6984" w:rsidRPr="0099115A">
        <w:rPr>
          <w:rFonts w:ascii="Arial" w:hAnsi="Arial" w:cs="Arial"/>
          <w:sz w:val="24"/>
          <w:szCs w:val="24"/>
        </w:rPr>
        <w:t xml:space="preserve"> Act.</w:t>
      </w:r>
      <w:r w:rsidR="00252D5B" w:rsidRPr="0099115A">
        <w:rPr>
          <w:rFonts w:ascii="Arial" w:hAnsi="Arial" w:cs="Arial"/>
          <w:sz w:val="24"/>
          <w:szCs w:val="24"/>
        </w:rPr>
        <w:t xml:space="preserve"> The accused perso</w:t>
      </w:r>
      <w:r w:rsidR="00114AE5" w:rsidRPr="0099115A">
        <w:rPr>
          <w:rFonts w:ascii="Arial" w:hAnsi="Arial" w:cs="Arial"/>
          <w:sz w:val="24"/>
          <w:szCs w:val="24"/>
        </w:rPr>
        <w:t>ns in this matter are as follow</w:t>
      </w:r>
      <w:r w:rsidR="00252D5B" w:rsidRPr="0099115A">
        <w:rPr>
          <w:rFonts w:ascii="Arial" w:hAnsi="Arial" w:cs="Arial"/>
          <w:sz w:val="24"/>
          <w:szCs w:val="24"/>
        </w:rPr>
        <w:t>:</w:t>
      </w:r>
    </w:p>
    <w:p w:rsidR="0099115A" w:rsidRPr="0099115A" w:rsidRDefault="0099115A" w:rsidP="0099115A">
      <w:pPr>
        <w:spacing w:after="0" w:line="360" w:lineRule="auto"/>
        <w:jc w:val="both"/>
        <w:rPr>
          <w:rFonts w:ascii="Arial" w:hAnsi="Arial" w:cs="Arial"/>
          <w:sz w:val="24"/>
          <w:szCs w:val="24"/>
        </w:rPr>
      </w:pPr>
    </w:p>
    <w:p w:rsidR="00252D5B" w:rsidRPr="0099115A" w:rsidRDefault="00252D5B" w:rsidP="0099115A">
      <w:pPr>
        <w:pStyle w:val="NoSpacing"/>
        <w:tabs>
          <w:tab w:val="right" w:pos="9356"/>
        </w:tabs>
        <w:spacing w:line="360" w:lineRule="auto"/>
        <w:rPr>
          <w:rFonts w:ascii="Arial" w:hAnsi="Arial" w:cs="Arial"/>
          <w:sz w:val="24"/>
          <w:szCs w:val="24"/>
        </w:rPr>
      </w:pPr>
      <w:proofErr w:type="spellStart"/>
      <w:r w:rsidRPr="0099115A">
        <w:rPr>
          <w:rFonts w:ascii="Arial" w:hAnsi="Arial" w:cs="Arial"/>
          <w:sz w:val="24"/>
          <w:szCs w:val="24"/>
        </w:rPr>
        <w:t>Mamsy</w:t>
      </w:r>
      <w:proofErr w:type="spellEnd"/>
      <w:r w:rsidRPr="0099115A">
        <w:rPr>
          <w:rFonts w:ascii="Arial" w:hAnsi="Arial" w:cs="Arial"/>
          <w:sz w:val="24"/>
          <w:szCs w:val="24"/>
        </w:rPr>
        <w:t xml:space="preserve"> </w:t>
      </w:r>
      <w:proofErr w:type="spellStart"/>
      <w:r w:rsidRPr="0099115A">
        <w:rPr>
          <w:rFonts w:ascii="Arial" w:hAnsi="Arial" w:cs="Arial"/>
          <w:sz w:val="24"/>
          <w:szCs w:val="24"/>
        </w:rPr>
        <w:t>Mweneni</w:t>
      </w:r>
      <w:proofErr w:type="spellEnd"/>
      <w:r w:rsidRPr="0099115A">
        <w:rPr>
          <w:rFonts w:ascii="Arial" w:hAnsi="Arial" w:cs="Arial"/>
          <w:sz w:val="24"/>
          <w:szCs w:val="24"/>
        </w:rPr>
        <w:t xml:space="preserve"> </w:t>
      </w:r>
      <w:proofErr w:type="spellStart"/>
      <w:r w:rsidRPr="0099115A">
        <w:rPr>
          <w:rFonts w:ascii="Arial" w:hAnsi="Arial" w:cs="Arial"/>
          <w:sz w:val="24"/>
          <w:szCs w:val="24"/>
        </w:rPr>
        <w:t>Hilma</w:t>
      </w:r>
      <w:proofErr w:type="spellEnd"/>
      <w:r w:rsidRPr="0099115A">
        <w:rPr>
          <w:rFonts w:ascii="Arial" w:hAnsi="Arial" w:cs="Arial"/>
          <w:sz w:val="24"/>
          <w:szCs w:val="24"/>
        </w:rPr>
        <w:t xml:space="preserve"> </w:t>
      </w:r>
      <w:proofErr w:type="spellStart"/>
      <w:r w:rsidRPr="0099115A">
        <w:rPr>
          <w:rFonts w:ascii="Arial" w:hAnsi="Arial" w:cs="Arial"/>
          <w:sz w:val="24"/>
          <w:szCs w:val="24"/>
        </w:rPr>
        <w:t>Nuuyoma</w:t>
      </w:r>
      <w:proofErr w:type="spellEnd"/>
      <w:r w:rsidR="0099115A">
        <w:rPr>
          <w:rFonts w:ascii="Arial" w:hAnsi="Arial" w:cs="Arial"/>
          <w:sz w:val="24"/>
          <w:szCs w:val="24"/>
        </w:rPr>
        <w:t xml:space="preserve"> (</w:t>
      </w:r>
      <w:r w:rsidRPr="0099115A">
        <w:rPr>
          <w:rFonts w:ascii="Arial" w:hAnsi="Arial" w:cs="Arial"/>
          <w:sz w:val="24"/>
          <w:szCs w:val="24"/>
        </w:rPr>
        <w:t>1</w:t>
      </w:r>
      <w:r w:rsidRPr="0099115A">
        <w:rPr>
          <w:rFonts w:ascii="Arial" w:hAnsi="Arial" w:cs="Arial"/>
          <w:sz w:val="24"/>
          <w:szCs w:val="24"/>
          <w:vertAlign w:val="superscript"/>
        </w:rPr>
        <w:t>st</w:t>
      </w:r>
      <w:r w:rsidR="0099115A">
        <w:rPr>
          <w:rFonts w:ascii="Arial" w:hAnsi="Arial" w:cs="Arial"/>
          <w:sz w:val="24"/>
          <w:szCs w:val="24"/>
        </w:rPr>
        <w:t xml:space="preserve"> accused)</w:t>
      </w:r>
    </w:p>
    <w:p w:rsidR="00252D5B" w:rsidRPr="0099115A" w:rsidRDefault="00252D5B" w:rsidP="0099115A">
      <w:pPr>
        <w:pStyle w:val="NoSpacing"/>
        <w:tabs>
          <w:tab w:val="right" w:pos="9356"/>
        </w:tabs>
        <w:spacing w:line="360" w:lineRule="auto"/>
        <w:rPr>
          <w:rFonts w:ascii="Arial" w:hAnsi="Arial" w:cs="Arial"/>
          <w:sz w:val="24"/>
          <w:szCs w:val="24"/>
        </w:rPr>
      </w:pPr>
      <w:proofErr w:type="spellStart"/>
      <w:r w:rsidRPr="0099115A">
        <w:rPr>
          <w:rFonts w:ascii="Arial" w:hAnsi="Arial" w:cs="Arial"/>
          <w:sz w:val="24"/>
          <w:szCs w:val="24"/>
        </w:rPr>
        <w:t>Benvindo</w:t>
      </w:r>
      <w:proofErr w:type="spellEnd"/>
      <w:r w:rsidRPr="0099115A">
        <w:rPr>
          <w:rFonts w:ascii="Arial" w:hAnsi="Arial" w:cs="Arial"/>
          <w:sz w:val="24"/>
          <w:szCs w:val="24"/>
        </w:rPr>
        <w:t xml:space="preserve"> </w:t>
      </w:r>
      <w:proofErr w:type="spellStart"/>
      <w:r w:rsidRPr="0099115A">
        <w:rPr>
          <w:rFonts w:ascii="Arial" w:hAnsi="Arial" w:cs="Arial"/>
          <w:sz w:val="24"/>
          <w:szCs w:val="24"/>
        </w:rPr>
        <w:t>Momafuba</w:t>
      </w:r>
      <w:proofErr w:type="spellEnd"/>
      <w:r w:rsidR="0099115A">
        <w:rPr>
          <w:rFonts w:ascii="Arial" w:hAnsi="Arial" w:cs="Arial"/>
          <w:sz w:val="24"/>
          <w:szCs w:val="24"/>
        </w:rPr>
        <w:t xml:space="preserve"> (</w:t>
      </w:r>
      <w:r w:rsidRPr="0099115A">
        <w:rPr>
          <w:rFonts w:ascii="Arial" w:hAnsi="Arial" w:cs="Arial"/>
          <w:sz w:val="24"/>
          <w:szCs w:val="24"/>
        </w:rPr>
        <w:t>2</w:t>
      </w:r>
      <w:r w:rsidRPr="0099115A">
        <w:rPr>
          <w:rFonts w:ascii="Arial" w:hAnsi="Arial" w:cs="Arial"/>
          <w:sz w:val="24"/>
          <w:szCs w:val="24"/>
          <w:vertAlign w:val="superscript"/>
        </w:rPr>
        <w:t>nd</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proofErr w:type="spellStart"/>
      <w:r w:rsidRPr="0099115A">
        <w:rPr>
          <w:rFonts w:ascii="Arial" w:hAnsi="Arial" w:cs="Arial"/>
          <w:sz w:val="24"/>
          <w:szCs w:val="24"/>
        </w:rPr>
        <w:t>Pembele</w:t>
      </w:r>
      <w:proofErr w:type="spellEnd"/>
      <w:r w:rsidRPr="0099115A">
        <w:rPr>
          <w:rFonts w:ascii="Arial" w:hAnsi="Arial" w:cs="Arial"/>
          <w:sz w:val="24"/>
          <w:szCs w:val="24"/>
        </w:rPr>
        <w:t xml:space="preserve"> </w:t>
      </w:r>
      <w:proofErr w:type="spellStart"/>
      <w:r w:rsidRPr="0099115A">
        <w:rPr>
          <w:rFonts w:ascii="Arial" w:hAnsi="Arial" w:cs="Arial"/>
          <w:sz w:val="24"/>
          <w:szCs w:val="24"/>
        </w:rPr>
        <w:t>Zimutu</w:t>
      </w:r>
      <w:proofErr w:type="spellEnd"/>
      <w:r w:rsidR="0099115A">
        <w:rPr>
          <w:rFonts w:ascii="Arial" w:hAnsi="Arial" w:cs="Arial"/>
          <w:sz w:val="24"/>
          <w:szCs w:val="24"/>
        </w:rPr>
        <w:t xml:space="preserve"> (</w:t>
      </w:r>
      <w:r w:rsidRPr="0099115A">
        <w:rPr>
          <w:rFonts w:ascii="Arial" w:hAnsi="Arial" w:cs="Arial"/>
          <w:sz w:val="24"/>
          <w:szCs w:val="24"/>
        </w:rPr>
        <w:t>3</w:t>
      </w:r>
      <w:r w:rsidRPr="0099115A">
        <w:rPr>
          <w:rFonts w:ascii="Arial" w:hAnsi="Arial" w:cs="Arial"/>
          <w:sz w:val="24"/>
          <w:szCs w:val="24"/>
          <w:vertAlign w:val="superscript"/>
        </w:rPr>
        <w:t>rd</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proofErr w:type="spellStart"/>
      <w:r w:rsidRPr="0099115A">
        <w:rPr>
          <w:rFonts w:ascii="Arial" w:hAnsi="Arial" w:cs="Arial"/>
          <w:sz w:val="24"/>
          <w:szCs w:val="24"/>
        </w:rPr>
        <w:t>Noaquim</w:t>
      </w:r>
      <w:proofErr w:type="spellEnd"/>
      <w:r w:rsidRPr="0099115A">
        <w:rPr>
          <w:rFonts w:ascii="Arial" w:hAnsi="Arial" w:cs="Arial"/>
          <w:sz w:val="24"/>
          <w:szCs w:val="24"/>
        </w:rPr>
        <w:t xml:space="preserve"> Pedro </w:t>
      </w:r>
      <w:proofErr w:type="spellStart"/>
      <w:r w:rsidRPr="0099115A">
        <w:rPr>
          <w:rFonts w:ascii="Arial" w:hAnsi="Arial" w:cs="Arial"/>
          <w:sz w:val="24"/>
          <w:szCs w:val="24"/>
        </w:rPr>
        <w:t>Espanhol</w:t>
      </w:r>
      <w:proofErr w:type="spellEnd"/>
      <w:r w:rsidR="0099115A">
        <w:rPr>
          <w:rFonts w:ascii="Arial" w:hAnsi="Arial" w:cs="Arial"/>
          <w:sz w:val="24"/>
          <w:szCs w:val="24"/>
        </w:rPr>
        <w:t xml:space="preserve"> (</w:t>
      </w:r>
      <w:r w:rsidRPr="0099115A">
        <w:rPr>
          <w:rFonts w:ascii="Arial" w:hAnsi="Arial" w:cs="Arial"/>
          <w:sz w:val="24"/>
          <w:szCs w:val="24"/>
        </w:rPr>
        <w:t>4</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Joao Manuel Dos Santos</w:t>
      </w:r>
      <w:r w:rsidR="0099115A">
        <w:rPr>
          <w:rFonts w:ascii="Arial" w:hAnsi="Arial" w:cs="Arial"/>
          <w:sz w:val="24"/>
          <w:szCs w:val="24"/>
        </w:rPr>
        <w:t xml:space="preserve"> (</w:t>
      </w:r>
      <w:r w:rsidRPr="0099115A">
        <w:rPr>
          <w:rFonts w:ascii="Arial" w:hAnsi="Arial" w:cs="Arial"/>
          <w:sz w:val="24"/>
          <w:szCs w:val="24"/>
        </w:rPr>
        <w:t>5</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Tatiana </w:t>
      </w:r>
      <w:proofErr w:type="spellStart"/>
      <w:r w:rsidRPr="0099115A">
        <w:rPr>
          <w:rFonts w:ascii="Arial" w:hAnsi="Arial" w:cs="Arial"/>
          <w:sz w:val="24"/>
          <w:szCs w:val="24"/>
        </w:rPr>
        <w:t>Luquena</w:t>
      </w:r>
      <w:proofErr w:type="spellEnd"/>
      <w:r w:rsidRPr="0099115A">
        <w:rPr>
          <w:rFonts w:ascii="Arial" w:hAnsi="Arial" w:cs="Arial"/>
          <w:sz w:val="24"/>
          <w:szCs w:val="24"/>
        </w:rPr>
        <w:t xml:space="preserve"> </w:t>
      </w:r>
      <w:proofErr w:type="spellStart"/>
      <w:r w:rsidRPr="0099115A">
        <w:rPr>
          <w:rFonts w:ascii="Arial" w:hAnsi="Arial" w:cs="Arial"/>
          <w:sz w:val="24"/>
          <w:szCs w:val="24"/>
        </w:rPr>
        <w:t>Muchadu</w:t>
      </w:r>
      <w:proofErr w:type="spellEnd"/>
      <w:r w:rsidRPr="0099115A">
        <w:rPr>
          <w:rFonts w:ascii="Arial" w:hAnsi="Arial" w:cs="Arial"/>
          <w:sz w:val="24"/>
          <w:szCs w:val="24"/>
        </w:rPr>
        <w:t xml:space="preserve"> </w:t>
      </w:r>
      <w:proofErr w:type="spellStart"/>
      <w:r w:rsidRPr="0099115A">
        <w:rPr>
          <w:rFonts w:ascii="Arial" w:hAnsi="Arial" w:cs="Arial"/>
          <w:sz w:val="24"/>
          <w:szCs w:val="24"/>
        </w:rPr>
        <w:t>Gonga</w:t>
      </w:r>
      <w:proofErr w:type="spellEnd"/>
      <w:r w:rsidR="0099115A">
        <w:rPr>
          <w:rFonts w:ascii="Arial" w:hAnsi="Arial" w:cs="Arial"/>
          <w:sz w:val="24"/>
          <w:szCs w:val="24"/>
        </w:rPr>
        <w:t xml:space="preserve"> (</w:t>
      </w:r>
      <w:r w:rsidRPr="0099115A">
        <w:rPr>
          <w:rFonts w:ascii="Arial" w:hAnsi="Arial" w:cs="Arial"/>
          <w:sz w:val="24"/>
          <w:szCs w:val="24"/>
        </w:rPr>
        <w:t>6</w:t>
      </w:r>
      <w:r w:rsidRPr="0099115A">
        <w:rPr>
          <w:rFonts w:ascii="Arial" w:hAnsi="Arial" w:cs="Arial"/>
          <w:sz w:val="24"/>
          <w:szCs w:val="24"/>
          <w:vertAlign w:val="superscript"/>
        </w:rPr>
        <w:t>th</w:t>
      </w:r>
      <w:r w:rsidR="0099115A">
        <w:rPr>
          <w:rFonts w:ascii="Arial" w:hAnsi="Arial" w:cs="Arial"/>
          <w:sz w:val="24"/>
          <w:szCs w:val="24"/>
        </w:rPr>
        <w:t xml:space="preserve"> 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Carlos Victor </w:t>
      </w:r>
      <w:proofErr w:type="spellStart"/>
      <w:r w:rsidRPr="0099115A">
        <w:rPr>
          <w:rFonts w:ascii="Arial" w:hAnsi="Arial" w:cs="Arial"/>
          <w:sz w:val="24"/>
          <w:szCs w:val="24"/>
        </w:rPr>
        <w:t>Eliseu</w:t>
      </w:r>
      <w:proofErr w:type="spellEnd"/>
      <w:r w:rsidR="0099115A">
        <w:rPr>
          <w:rFonts w:ascii="Arial" w:hAnsi="Arial" w:cs="Arial"/>
          <w:sz w:val="24"/>
          <w:szCs w:val="24"/>
        </w:rPr>
        <w:t xml:space="preserve"> (</w:t>
      </w:r>
      <w:r w:rsidRPr="0099115A">
        <w:rPr>
          <w:rFonts w:ascii="Arial" w:hAnsi="Arial" w:cs="Arial"/>
          <w:sz w:val="24"/>
          <w:szCs w:val="24"/>
        </w:rPr>
        <w:t>7</w:t>
      </w:r>
      <w:r w:rsidRPr="0099115A">
        <w:rPr>
          <w:rFonts w:ascii="Arial" w:hAnsi="Arial" w:cs="Arial"/>
          <w:sz w:val="24"/>
          <w:szCs w:val="24"/>
          <w:vertAlign w:val="superscript"/>
        </w:rPr>
        <w:t>th</w:t>
      </w:r>
      <w:r w:rsidR="0099115A">
        <w:rPr>
          <w:rFonts w:ascii="Arial" w:hAnsi="Arial" w:cs="Arial"/>
          <w:sz w:val="24"/>
          <w:szCs w:val="24"/>
        </w:rPr>
        <w:t xml:space="preserve"> 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Isaac </w:t>
      </w:r>
      <w:proofErr w:type="spellStart"/>
      <w:r w:rsidRPr="0099115A">
        <w:rPr>
          <w:rFonts w:ascii="Arial" w:hAnsi="Arial" w:cs="Arial"/>
          <w:sz w:val="24"/>
          <w:szCs w:val="24"/>
        </w:rPr>
        <w:t>Cativa</w:t>
      </w:r>
      <w:proofErr w:type="spellEnd"/>
      <w:r w:rsidRPr="0099115A">
        <w:rPr>
          <w:rFonts w:ascii="Arial" w:hAnsi="Arial" w:cs="Arial"/>
          <w:sz w:val="24"/>
          <w:szCs w:val="24"/>
        </w:rPr>
        <w:t xml:space="preserve"> </w:t>
      </w:r>
      <w:proofErr w:type="spellStart"/>
      <w:r w:rsidRPr="0099115A">
        <w:rPr>
          <w:rFonts w:ascii="Arial" w:hAnsi="Arial" w:cs="Arial"/>
          <w:sz w:val="24"/>
          <w:szCs w:val="24"/>
        </w:rPr>
        <w:t>Cupessala</w:t>
      </w:r>
      <w:proofErr w:type="spellEnd"/>
      <w:r w:rsidR="0099115A">
        <w:rPr>
          <w:rFonts w:ascii="Arial" w:hAnsi="Arial" w:cs="Arial"/>
          <w:sz w:val="24"/>
          <w:szCs w:val="24"/>
        </w:rPr>
        <w:t xml:space="preserve"> (</w:t>
      </w:r>
      <w:r w:rsidRPr="0099115A">
        <w:rPr>
          <w:rFonts w:ascii="Arial" w:hAnsi="Arial" w:cs="Arial"/>
          <w:sz w:val="24"/>
          <w:szCs w:val="24"/>
        </w:rPr>
        <w:t>8</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proofErr w:type="spellStart"/>
      <w:r w:rsidRPr="0099115A">
        <w:rPr>
          <w:rFonts w:ascii="Arial" w:hAnsi="Arial" w:cs="Arial"/>
          <w:sz w:val="24"/>
          <w:szCs w:val="24"/>
        </w:rPr>
        <w:t>Paquete</w:t>
      </w:r>
      <w:proofErr w:type="spellEnd"/>
      <w:r w:rsidRPr="0099115A">
        <w:rPr>
          <w:rFonts w:ascii="Arial" w:hAnsi="Arial" w:cs="Arial"/>
          <w:sz w:val="24"/>
          <w:szCs w:val="24"/>
        </w:rPr>
        <w:t xml:space="preserve"> Americano </w:t>
      </w:r>
      <w:proofErr w:type="spellStart"/>
      <w:r w:rsidRPr="0099115A">
        <w:rPr>
          <w:rFonts w:ascii="Arial" w:hAnsi="Arial" w:cs="Arial"/>
          <w:sz w:val="24"/>
          <w:szCs w:val="24"/>
        </w:rPr>
        <w:t>Kapoyola</w:t>
      </w:r>
      <w:proofErr w:type="spellEnd"/>
      <w:r w:rsidRPr="0099115A">
        <w:rPr>
          <w:rFonts w:ascii="Arial" w:hAnsi="Arial" w:cs="Arial"/>
          <w:sz w:val="24"/>
          <w:szCs w:val="24"/>
        </w:rPr>
        <w:t xml:space="preserve"> Jose</w:t>
      </w:r>
      <w:r w:rsidR="0099115A">
        <w:rPr>
          <w:rFonts w:ascii="Arial" w:hAnsi="Arial" w:cs="Arial"/>
          <w:sz w:val="24"/>
          <w:szCs w:val="24"/>
        </w:rPr>
        <w:t xml:space="preserve"> (</w:t>
      </w:r>
      <w:r w:rsidRPr="0099115A">
        <w:rPr>
          <w:rFonts w:ascii="Arial" w:hAnsi="Arial" w:cs="Arial"/>
          <w:sz w:val="24"/>
          <w:szCs w:val="24"/>
        </w:rPr>
        <w:t>9</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proofErr w:type="spellStart"/>
      <w:r w:rsidRPr="0099115A">
        <w:rPr>
          <w:rFonts w:ascii="Arial" w:hAnsi="Arial" w:cs="Arial"/>
          <w:sz w:val="24"/>
          <w:szCs w:val="24"/>
        </w:rPr>
        <w:t>Malaquias</w:t>
      </w:r>
      <w:proofErr w:type="spellEnd"/>
      <w:r w:rsidRPr="0099115A">
        <w:rPr>
          <w:rFonts w:ascii="Arial" w:hAnsi="Arial" w:cs="Arial"/>
          <w:sz w:val="24"/>
          <w:szCs w:val="24"/>
        </w:rPr>
        <w:t xml:space="preserve"> Tomas </w:t>
      </w:r>
      <w:proofErr w:type="spellStart"/>
      <w:r w:rsidRPr="0099115A">
        <w:rPr>
          <w:rFonts w:ascii="Arial" w:hAnsi="Arial" w:cs="Arial"/>
          <w:sz w:val="24"/>
          <w:szCs w:val="24"/>
        </w:rPr>
        <w:t>Rufino</w:t>
      </w:r>
      <w:proofErr w:type="spellEnd"/>
      <w:r w:rsidR="0099115A">
        <w:rPr>
          <w:rFonts w:ascii="Arial" w:hAnsi="Arial" w:cs="Arial"/>
          <w:sz w:val="24"/>
          <w:szCs w:val="24"/>
        </w:rPr>
        <w:t xml:space="preserve"> (</w:t>
      </w:r>
      <w:r w:rsidRPr="0099115A">
        <w:rPr>
          <w:rFonts w:ascii="Arial" w:hAnsi="Arial" w:cs="Arial"/>
          <w:sz w:val="24"/>
          <w:szCs w:val="24"/>
        </w:rPr>
        <w:t>10</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Carlos </w:t>
      </w:r>
      <w:proofErr w:type="spellStart"/>
      <w:r w:rsidRPr="0099115A">
        <w:rPr>
          <w:rFonts w:ascii="Arial" w:hAnsi="Arial" w:cs="Arial"/>
          <w:sz w:val="24"/>
          <w:szCs w:val="24"/>
        </w:rPr>
        <w:t>Feliano</w:t>
      </w:r>
      <w:proofErr w:type="spellEnd"/>
      <w:r w:rsidRPr="0099115A">
        <w:rPr>
          <w:rFonts w:ascii="Arial" w:hAnsi="Arial" w:cs="Arial"/>
          <w:sz w:val="24"/>
          <w:szCs w:val="24"/>
        </w:rPr>
        <w:t xml:space="preserve"> </w:t>
      </w:r>
      <w:proofErr w:type="spellStart"/>
      <w:r w:rsidRPr="0099115A">
        <w:rPr>
          <w:rFonts w:ascii="Arial" w:hAnsi="Arial" w:cs="Arial"/>
          <w:sz w:val="24"/>
          <w:szCs w:val="24"/>
        </w:rPr>
        <w:t>Tchinduku</w:t>
      </w:r>
      <w:proofErr w:type="spellEnd"/>
      <w:r w:rsidR="0099115A">
        <w:rPr>
          <w:rFonts w:ascii="Arial" w:hAnsi="Arial" w:cs="Arial"/>
          <w:sz w:val="24"/>
          <w:szCs w:val="24"/>
        </w:rPr>
        <w:t xml:space="preserve"> (</w:t>
      </w:r>
      <w:r w:rsidRPr="0099115A">
        <w:rPr>
          <w:rFonts w:ascii="Arial" w:hAnsi="Arial" w:cs="Arial"/>
          <w:sz w:val="24"/>
          <w:szCs w:val="24"/>
        </w:rPr>
        <w:t>11</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Aurelio Nelson </w:t>
      </w:r>
      <w:proofErr w:type="spellStart"/>
      <w:r w:rsidRPr="0099115A">
        <w:rPr>
          <w:rFonts w:ascii="Arial" w:hAnsi="Arial" w:cs="Arial"/>
          <w:sz w:val="24"/>
          <w:szCs w:val="24"/>
        </w:rPr>
        <w:t>Sarayelo</w:t>
      </w:r>
      <w:proofErr w:type="spellEnd"/>
      <w:r w:rsidRPr="0099115A">
        <w:rPr>
          <w:rFonts w:ascii="Arial" w:hAnsi="Arial" w:cs="Arial"/>
          <w:sz w:val="24"/>
          <w:szCs w:val="24"/>
        </w:rPr>
        <w:t xml:space="preserve"> </w:t>
      </w:r>
      <w:proofErr w:type="spellStart"/>
      <w:r w:rsidRPr="0099115A">
        <w:rPr>
          <w:rFonts w:ascii="Arial" w:hAnsi="Arial" w:cs="Arial"/>
          <w:sz w:val="24"/>
          <w:szCs w:val="24"/>
        </w:rPr>
        <w:t>Miapa</w:t>
      </w:r>
      <w:proofErr w:type="spellEnd"/>
      <w:r w:rsidR="0099115A">
        <w:rPr>
          <w:rFonts w:ascii="Arial" w:hAnsi="Arial" w:cs="Arial"/>
          <w:sz w:val="24"/>
          <w:szCs w:val="24"/>
        </w:rPr>
        <w:t xml:space="preserve"> (</w:t>
      </w:r>
      <w:r w:rsidRPr="0099115A">
        <w:rPr>
          <w:rFonts w:ascii="Arial" w:hAnsi="Arial" w:cs="Arial"/>
          <w:sz w:val="24"/>
          <w:szCs w:val="24"/>
        </w:rPr>
        <w:t>12</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Lucio Jose </w:t>
      </w:r>
      <w:proofErr w:type="spellStart"/>
      <w:r w:rsidRPr="0099115A">
        <w:rPr>
          <w:rFonts w:ascii="Arial" w:hAnsi="Arial" w:cs="Arial"/>
          <w:sz w:val="24"/>
          <w:szCs w:val="24"/>
        </w:rPr>
        <w:t>Cazembe</w:t>
      </w:r>
      <w:proofErr w:type="spellEnd"/>
      <w:r w:rsidR="0099115A">
        <w:rPr>
          <w:rFonts w:ascii="Arial" w:hAnsi="Arial" w:cs="Arial"/>
          <w:sz w:val="24"/>
          <w:szCs w:val="24"/>
        </w:rPr>
        <w:t xml:space="preserve"> (</w:t>
      </w:r>
      <w:r w:rsidRPr="0099115A">
        <w:rPr>
          <w:rFonts w:ascii="Arial" w:hAnsi="Arial" w:cs="Arial"/>
          <w:sz w:val="24"/>
          <w:szCs w:val="24"/>
        </w:rPr>
        <w:t>13</w:t>
      </w:r>
      <w:r w:rsidRPr="0099115A">
        <w:rPr>
          <w:rFonts w:ascii="Arial" w:hAnsi="Arial" w:cs="Arial"/>
          <w:sz w:val="24"/>
          <w:szCs w:val="24"/>
          <w:vertAlign w:val="superscript"/>
        </w:rPr>
        <w:t>th</w:t>
      </w:r>
      <w:r w:rsidRPr="0099115A">
        <w:rPr>
          <w:rFonts w:ascii="Arial" w:hAnsi="Arial" w:cs="Arial"/>
          <w:sz w:val="24"/>
          <w:szCs w:val="24"/>
        </w:rPr>
        <w:t xml:space="preserve"> </w:t>
      </w:r>
      <w:r w:rsidR="0099115A">
        <w:rPr>
          <w:rFonts w:ascii="Arial" w:hAnsi="Arial" w:cs="Arial"/>
          <w:sz w:val="24"/>
          <w:szCs w:val="24"/>
        </w:rPr>
        <w:t>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r w:rsidRPr="0099115A">
        <w:rPr>
          <w:rFonts w:ascii="Arial" w:hAnsi="Arial" w:cs="Arial"/>
          <w:sz w:val="24"/>
          <w:szCs w:val="24"/>
        </w:rPr>
        <w:t xml:space="preserve">Noah </w:t>
      </w:r>
      <w:proofErr w:type="spellStart"/>
      <w:r w:rsidRPr="0099115A">
        <w:rPr>
          <w:rFonts w:ascii="Arial" w:hAnsi="Arial" w:cs="Arial"/>
          <w:sz w:val="24"/>
          <w:szCs w:val="24"/>
        </w:rPr>
        <w:t>Boykie</w:t>
      </w:r>
      <w:proofErr w:type="spellEnd"/>
      <w:r w:rsidRPr="0099115A">
        <w:rPr>
          <w:rFonts w:ascii="Arial" w:hAnsi="Arial" w:cs="Arial"/>
          <w:sz w:val="24"/>
          <w:szCs w:val="24"/>
        </w:rPr>
        <w:t xml:space="preserve"> </w:t>
      </w:r>
      <w:proofErr w:type="spellStart"/>
      <w:r w:rsidRPr="0099115A">
        <w:rPr>
          <w:rFonts w:ascii="Arial" w:hAnsi="Arial" w:cs="Arial"/>
          <w:sz w:val="24"/>
          <w:szCs w:val="24"/>
        </w:rPr>
        <w:t>Nghipondoka</w:t>
      </w:r>
      <w:proofErr w:type="spellEnd"/>
      <w:r w:rsidRPr="0099115A">
        <w:rPr>
          <w:rFonts w:ascii="Arial" w:hAnsi="Arial" w:cs="Arial"/>
          <w:sz w:val="24"/>
          <w:szCs w:val="24"/>
        </w:rPr>
        <w:t xml:space="preserve"> </w:t>
      </w:r>
      <w:proofErr w:type="spellStart"/>
      <w:r w:rsidRPr="0099115A">
        <w:rPr>
          <w:rFonts w:ascii="Arial" w:hAnsi="Arial" w:cs="Arial"/>
          <w:sz w:val="24"/>
          <w:szCs w:val="24"/>
        </w:rPr>
        <w:t>Naukosho</w:t>
      </w:r>
      <w:proofErr w:type="spellEnd"/>
      <w:r w:rsidR="0099115A">
        <w:rPr>
          <w:rFonts w:ascii="Arial" w:hAnsi="Arial" w:cs="Arial"/>
          <w:sz w:val="24"/>
          <w:szCs w:val="24"/>
        </w:rPr>
        <w:t xml:space="preserve"> (</w:t>
      </w:r>
      <w:r w:rsidRPr="0099115A">
        <w:rPr>
          <w:rFonts w:ascii="Arial" w:hAnsi="Arial" w:cs="Arial"/>
          <w:sz w:val="24"/>
          <w:szCs w:val="24"/>
        </w:rPr>
        <w:t>14</w:t>
      </w:r>
      <w:r w:rsidRPr="0099115A">
        <w:rPr>
          <w:rFonts w:ascii="Arial" w:hAnsi="Arial" w:cs="Arial"/>
          <w:sz w:val="24"/>
          <w:szCs w:val="24"/>
          <w:vertAlign w:val="superscript"/>
        </w:rPr>
        <w:t>th</w:t>
      </w:r>
      <w:r w:rsidR="0099115A">
        <w:rPr>
          <w:rFonts w:ascii="Arial" w:hAnsi="Arial" w:cs="Arial"/>
          <w:sz w:val="24"/>
          <w:szCs w:val="24"/>
        </w:rPr>
        <w:t xml:space="preserve"> a</w:t>
      </w:r>
      <w:r w:rsidRPr="0099115A">
        <w:rPr>
          <w:rFonts w:ascii="Arial" w:hAnsi="Arial" w:cs="Arial"/>
          <w:sz w:val="24"/>
          <w:szCs w:val="24"/>
        </w:rPr>
        <w:t>ccused</w:t>
      </w:r>
      <w:r w:rsidR="0099115A">
        <w:rPr>
          <w:rFonts w:ascii="Arial" w:hAnsi="Arial" w:cs="Arial"/>
          <w:sz w:val="24"/>
          <w:szCs w:val="24"/>
        </w:rPr>
        <w:t>)</w:t>
      </w:r>
    </w:p>
    <w:p w:rsidR="00252D5B" w:rsidRPr="0099115A" w:rsidRDefault="00252D5B" w:rsidP="0099115A">
      <w:pPr>
        <w:pStyle w:val="NoSpacing"/>
        <w:tabs>
          <w:tab w:val="right" w:pos="9356"/>
        </w:tabs>
        <w:spacing w:line="360" w:lineRule="auto"/>
        <w:rPr>
          <w:rFonts w:ascii="Arial" w:hAnsi="Arial" w:cs="Arial"/>
          <w:sz w:val="24"/>
          <w:szCs w:val="24"/>
        </w:rPr>
      </w:pPr>
    </w:p>
    <w:p w:rsidR="00FB6984" w:rsidRDefault="00FB6984" w:rsidP="0099115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44CE7">
        <w:rPr>
          <w:rFonts w:ascii="Arial" w:hAnsi="Arial" w:cs="Arial"/>
          <w:sz w:val="24"/>
          <w:szCs w:val="24"/>
        </w:rPr>
        <w:t>The Indictment sets out in respe</w:t>
      </w:r>
      <w:r w:rsidR="005E39E2">
        <w:rPr>
          <w:rFonts w:ascii="Arial" w:hAnsi="Arial" w:cs="Arial"/>
          <w:sz w:val="24"/>
          <w:szCs w:val="24"/>
        </w:rPr>
        <w:t>ct of each a</w:t>
      </w:r>
      <w:r w:rsidR="009B2DCD">
        <w:rPr>
          <w:rFonts w:ascii="Arial" w:hAnsi="Arial" w:cs="Arial"/>
          <w:sz w:val="24"/>
          <w:szCs w:val="24"/>
        </w:rPr>
        <w:t xml:space="preserve">ccused which charges </w:t>
      </w:r>
      <w:r w:rsidRPr="00044CE7">
        <w:rPr>
          <w:rFonts w:ascii="Arial" w:hAnsi="Arial" w:cs="Arial"/>
          <w:sz w:val="24"/>
          <w:szCs w:val="24"/>
        </w:rPr>
        <w:t>preferred relate to them individually and there is no need to deal with that aspect any further.</w:t>
      </w:r>
    </w:p>
    <w:p w:rsidR="0099115A" w:rsidRPr="00044CE7" w:rsidRDefault="0099115A" w:rsidP="0099115A">
      <w:pPr>
        <w:spacing w:after="0" w:line="360" w:lineRule="auto"/>
        <w:jc w:val="both"/>
        <w:rPr>
          <w:rFonts w:ascii="Arial" w:hAnsi="Arial" w:cs="Arial"/>
          <w:sz w:val="24"/>
          <w:szCs w:val="24"/>
        </w:rPr>
      </w:pPr>
    </w:p>
    <w:p w:rsidR="00FB6984" w:rsidRDefault="00FB6984" w:rsidP="0099115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E39E2">
        <w:rPr>
          <w:rFonts w:ascii="Arial" w:hAnsi="Arial" w:cs="Arial"/>
          <w:sz w:val="24"/>
          <w:szCs w:val="24"/>
        </w:rPr>
        <w:t>Upon being arraigned the a</w:t>
      </w:r>
      <w:r w:rsidRPr="00044CE7">
        <w:rPr>
          <w:rFonts w:ascii="Arial" w:hAnsi="Arial" w:cs="Arial"/>
          <w:sz w:val="24"/>
          <w:szCs w:val="24"/>
        </w:rPr>
        <w:t>ccused all pleaded not guilty to the charges preferred against them.</w:t>
      </w:r>
      <w:r w:rsidR="005E39E2">
        <w:rPr>
          <w:rFonts w:ascii="Arial" w:hAnsi="Arial" w:cs="Arial"/>
          <w:sz w:val="24"/>
          <w:szCs w:val="24"/>
        </w:rPr>
        <w:t xml:space="preserve"> None of the a</w:t>
      </w:r>
      <w:r w:rsidR="00DB6FC7">
        <w:rPr>
          <w:rFonts w:ascii="Arial" w:hAnsi="Arial" w:cs="Arial"/>
          <w:sz w:val="24"/>
          <w:szCs w:val="24"/>
        </w:rPr>
        <w:t>ccused made any s</w:t>
      </w:r>
      <w:r w:rsidRPr="00044CE7">
        <w:rPr>
          <w:rFonts w:ascii="Arial" w:hAnsi="Arial" w:cs="Arial"/>
          <w:sz w:val="24"/>
          <w:szCs w:val="24"/>
        </w:rPr>
        <w:t xml:space="preserve">tatement in terms of </w:t>
      </w:r>
      <w:r w:rsidR="0099115A">
        <w:rPr>
          <w:rFonts w:ascii="Arial" w:hAnsi="Arial" w:cs="Arial"/>
          <w:sz w:val="24"/>
          <w:szCs w:val="24"/>
        </w:rPr>
        <w:t>s</w:t>
      </w:r>
      <w:r w:rsidRPr="00044CE7">
        <w:rPr>
          <w:rFonts w:ascii="Arial" w:hAnsi="Arial" w:cs="Arial"/>
          <w:sz w:val="24"/>
          <w:szCs w:val="24"/>
        </w:rPr>
        <w:t xml:space="preserve"> 115 of </w:t>
      </w:r>
      <w:r w:rsidR="005E39E2">
        <w:rPr>
          <w:rFonts w:ascii="Arial" w:hAnsi="Arial" w:cs="Arial"/>
          <w:sz w:val="24"/>
          <w:szCs w:val="24"/>
        </w:rPr>
        <w:t xml:space="preserve">the Criminal Procedure </w:t>
      </w:r>
      <w:r w:rsidRPr="00044CE7">
        <w:rPr>
          <w:rFonts w:ascii="Arial" w:hAnsi="Arial" w:cs="Arial"/>
          <w:sz w:val="24"/>
          <w:szCs w:val="24"/>
        </w:rPr>
        <w:t>Act 51 of 1977.</w:t>
      </w:r>
    </w:p>
    <w:p w:rsidR="0099115A" w:rsidRPr="00044CE7" w:rsidRDefault="0099115A" w:rsidP="0099115A">
      <w:pPr>
        <w:spacing w:after="0" w:line="360" w:lineRule="auto"/>
        <w:jc w:val="both"/>
        <w:rPr>
          <w:rFonts w:ascii="Arial" w:hAnsi="Arial" w:cs="Arial"/>
          <w:sz w:val="24"/>
          <w:szCs w:val="24"/>
        </w:rPr>
      </w:pPr>
    </w:p>
    <w:p w:rsidR="008376A2" w:rsidRDefault="00FB6984" w:rsidP="0099115A">
      <w:pPr>
        <w:tabs>
          <w:tab w:val="left" w:pos="709"/>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B2DCD">
        <w:rPr>
          <w:rFonts w:ascii="Arial" w:hAnsi="Arial" w:cs="Arial"/>
          <w:sz w:val="24"/>
          <w:szCs w:val="24"/>
        </w:rPr>
        <w:t>The State called a number of w</w:t>
      </w:r>
      <w:r w:rsidRPr="00044CE7">
        <w:rPr>
          <w:rFonts w:ascii="Arial" w:hAnsi="Arial" w:cs="Arial"/>
          <w:sz w:val="24"/>
          <w:szCs w:val="24"/>
        </w:rPr>
        <w:t>itnesses whose evidenc</w:t>
      </w:r>
      <w:r w:rsidR="009B2DCD">
        <w:rPr>
          <w:rFonts w:ascii="Arial" w:hAnsi="Arial" w:cs="Arial"/>
          <w:sz w:val="24"/>
          <w:szCs w:val="24"/>
        </w:rPr>
        <w:t>e I will refer to in due course, where</w:t>
      </w:r>
      <w:r w:rsidR="009B2DCD" w:rsidRPr="00044CE7">
        <w:rPr>
          <w:rFonts w:ascii="Arial" w:hAnsi="Arial" w:cs="Arial"/>
          <w:sz w:val="24"/>
          <w:szCs w:val="24"/>
        </w:rPr>
        <w:t xml:space="preserve"> after</w:t>
      </w:r>
      <w:r w:rsidRPr="00044CE7">
        <w:rPr>
          <w:rFonts w:ascii="Arial" w:hAnsi="Arial" w:cs="Arial"/>
          <w:sz w:val="24"/>
          <w:szCs w:val="24"/>
        </w:rPr>
        <w:t xml:space="preserve"> the Stat</w:t>
      </w:r>
      <w:r w:rsidR="005E39E2">
        <w:rPr>
          <w:rFonts w:ascii="Arial" w:hAnsi="Arial" w:cs="Arial"/>
          <w:sz w:val="24"/>
          <w:szCs w:val="24"/>
        </w:rPr>
        <w:t>e closed its case. Each of the a</w:t>
      </w:r>
      <w:r w:rsidRPr="00044CE7">
        <w:rPr>
          <w:rFonts w:ascii="Arial" w:hAnsi="Arial" w:cs="Arial"/>
          <w:sz w:val="24"/>
          <w:szCs w:val="24"/>
        </w:rPr>
        <w:t>ccused</w:t>
      </w:r>
      <w:r w:rsidR="009B2DCD">
        <w:rPr>
          <w:rFonts w:ascii="Arial" w:hAnsi="Arial" w:cs="Arial"/>
          <w:sz w:val="24"/>
          <w:szCs w:val="24"/>
        </w:rPr>
        <w:t xml:space="preserve">, except accused 10 </w:t>
      </w:r>
      <w:r w:rsidR="009B2DCD">
        <w:rPr>
          <w:rFonts w:ascii="Arial" w:hAnsi="Arial" w:cs="Arial"/>
          <w:sz w:val="24"/>
          <w:szCs w:val="24"/>
        </w:rPr>
        <w:lastRenderedPageBreak/>
        <w:t>then applied for his</w:t>
      </w:r>
      <w:r w:rsidR="0099115A">
        <w:rPr>
          <w:rFonts w:ascii="Arial" w:hAnsi="Arial" w:cs="Arial"/>
          <w:sz w:val="24"/>
          <w:szCs w:val="24"/>
        </w:rPr>
        <w:t xml:space="preserve"> or </w:t>
      </w:r>
      <w:r w:rsidR="009B2DCD">
        <w:rPr>
          <w:rFonts w:ascii="Arial" w:hAnsi="Arial" w:cs="Arial"/>
          <w:sz w:val="24"/>
          <w:szCs w:val="24"/>
        </w:rPr>
        <w:t>her</w:t>
      </w:r>
      <w:r w:rsidRPr="00044CE7">
        <w:rPr>
          <w:rFonts w:ascii="Arial" w:hAnsi="Arial" w:cs="Arial"/>
          <w:sz w:val="24"/>
          <w:szCs w:val="24"/>
        </w:rPr>
        <w:t xml:space="preserve"> discharge within the statutory framework of </w:t>
      </w:r>
      <w:r w:rsidR="0099115A">
        <w:rPr>
          <w:rFonts w:ascii="Arial" w:hAnsi="Arial" w:cs="Arial"/>
          <w:sz w:val="24"/>
          <w:szCs w:val="24"/>
        </w:rPr>
        <w:t>s</w:t>
      </w:r>
      <w:r w:rsidRPr="00044CE7">
        <w:rPr>
          <w:rFonts w:ascii="Arial" w:hAnsi="Arial" w:cs="Arial"/>
          <w:sz w:val="24"/>
          <w:szCs w:val="24"/>
        </w:rPr>
        <w:t xml:space="preserve"> 174 of </w:t>
      </w:r>
      <w:r w:rsidR="005E39E2">
        <w:rPr>
          <w:rFonts w:ascii="Arial" w:hAnsi="Arial" w:cs="Arial"/>
          <w:sz w:val="24"/>
          <w:szCs w:val="24"/>
        </w:rPr>
        <w:t xml:space="preserve">the Criminal Procedure </w:t>
      </w:r>
      <w:r w:rsidRPr="00044CE7">
        <w:rPr>
          <w:rFonts w:ascii="Arial" w:hAnsi="Arial" w:cs="Arial"/>
          <w:sz w:val="24"/>
          <w:szCs w:val="24"/>
        </w:rPr>
        <w:t>Act 51 of 1977 (</w:t>
      </w:r>
      <w:r w:rsidR="0099115A">
        <w:rPr>
          <w:rFonts w:ascii="Arial" w:hAnsi="Arial" w:cs="Arial"/>
          <w:sz w:val="24"/>
          <w:szCs w:val="24"/>
        </w:rPr>
        <w:t>‘</w:t>
      </w:r>
      <w:r w:rsidRPr="00044CE7">
        <w:rPr>
          <w:rFonts w:ascii="Arial" w:hAnsi="Arial" w:cs="Arial"/>
          <w:sz w:val="24"/>
          <w:szCs w:val="24"/>
        </w:rPr>
        <w:t>the CPA</w:t>
      </w:r>
      <w:r w:rsidR="0099115A">
        <w:rPr>
          <w:rFonts w:ascii="Arial" w:hAnsi="Arial" w:cs="Arial"/>
          <w:sz w:val="24"/>
          <w:szCs w:val="24"/>
        </w:rPr>
        <w:t>’). This j</w:t>
      </w:r>
      <w:r w:rsidRPr="00044CE7">
        <w:rPr>
          <w:rFonts w:ascii="Arial" w:hAnsi="Arial" w:cs="Arial"/>
          <w:sz w:val="24"/>
          <w:szCs w:val="24"/>
        </w:rPr>
        <w:t>udgment is concerned with the adjud</w:t>
      </w:r>
      <w:r w:rsidR="003D28A0">
        <w:rPr>
          <w:rFonts w:ascii="Arial" w:hAnsi="Arial" w:cs="Arial"/>
          <w:sz w:val="24"/>
          <w:szCs w:val="24"/>
        </w:rPr>
        <w:t>ication of those applications.</w:t>
      </w:r>
    </w:p>
    <w:p w:rsidR="00FB6984" w:rsidRDefault="00FB6984" w:rsidP="0099115A">
      <w:pPr>
        <w:tabs>
          <w:tab w:val="left" w:pos="709"/>
        </w:tabs>
        <w:spacing w:after="0" w:line="360" w:lineRule="auto"/>
        <w:jc w:val="both"/>
        <w:rPr>
          <w:rFonts w:ascii="Arial" w:hAnsi="Arial" w:cs="Arial"/>
          <w:sz w:val="24"/>
          <w:szCs w:val="24"/>
        </w:rPr>
      </w:pPr>
    </w:p>
    <w:p w:rsidR="00FB6984" w:rsidRDefault="00FB6984" w:rsidP="0099115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044CE7">
        <w:rPr>
          <w:rFonts w:ascii="Arial" w:hAnsi="Arial" w:cs="Arial"/>
          <w:sz w:val="24"/>
          <w:szCs w:val="24"/>
        </w:rPr>
        <w:t>Counsel for the State submitted at the outset that the State is no</w:t>
      </w:r>
      <w:r w:rsidR="00DB6FC7">
        <w:rPr>
          <w:rFonts w:ascii="Arial" w:hAnsi="Arial" w:cs="Arial"/>
          <w:sz w:val="24"/>
          <w:szCs w:val="24"/>
        </w:rPr>
        <w:t xml:space="preserve"> longer proceeding in respect of</w:t>
      </w:r>
      <w:r w:rsidRPr="00044CE7">
        <w:rPr>
          <w:rFonts w:ascii="Arial" w:hAnsi="Arial" w:cs="Arial"/>
          <w:sz w:val="24"/>
          <w:szCs w:val="24"/>
        </w:rPr>
        <w:t xml:space="preserve"> some </w:t>
      </w:r>
      <w:r w:rsidR="005E39E2">
        <w:rPr>
          <w:rFonts w:ascii="Arial" w:hAnsi="Arial" w:cs="Arial"/>
          <w:sz w:val="24"/>
          <w:szCs w:val="24"/>
        </w:rPr>
        <w:t>of the counts. These are count</w:t>
      </w:r>
      <w:r w:rsidRPr="00044CE7">
        <w:rPr>
          <w:rFonts w:ascii="Arial" w:hAnsi="Arial" w:cs="Arial"/>
          <w:sz w:val="24"/>
          <w:szCs w:val="24"/>
        </w:rPr>
        <w:t xml:space="preserve"> 119, count 126, count 422 to 426, count 487, count 488, count 490, count 496, count 499, count 506, count 507, count 510 to 512, count 514 and </w:t>
      </w:r>
      <w:r w:rsidR="005E39E2">
        <w:rPr>
          <w:rFonts w:ascii="Arial" w:hAnsi="Arial" w:cs="Arial"/>
          <w:sz w:val="24"/>
          <w:szCs w:val="24"/>
        </w:rPr>
        <w:t xml:space="preserve">count </w:t>
      </w:r>
      <w:r w:rsidRPr="00044CE7">
        <w:rPr>
          <w:rFonts w:ascii="Arial" w:hAnsi="Arial" w:cs="Arial"/>
          <w:sz w:val="24"/>
          <w:szCs w:val="24"/>
        </w:rPr>
        <w:t>623. I may also add that count 365 is al</w:t>
      </w:r>
      <w:r w:rsidR="009B2DCD">
        <w:rPr>
          <w:rFonts w:ascii="Arial" w:hAnsi="Arial" w:cs="Arial"/>
          <w:sz w:val="24"/>
          <w:szCs w:val="24"/>
        </w:rPr>
        <w:t>so not proceeded with</w:t>
      </w:r>
      <w:r w:rsidRPr="00044CE7">
        <w:rPr>
          <w:rFonts w:ascii="Arial" w:hAnsi="Arial" w:cs="Arial"/>
          <w:sz w:val="24"/>
          <w:szCs w:val="24"/>
        </w:rPr>
        <w:t>. In</w:t>
      </w:r>
      <w:r w:rsidR="009B2DCD">
        <w:rPr>
          <w:rFonts w:ascii="Arial" w:hAnsi="Arial" w:cs="Arial"/>
          <w:sz w:val="24"/>
          <w:szCs w:val="24"/>
        </w:rPr>
        <w:t xml:space="preserve"> respect of those counts</w:t>
      </w:r>
      <w:r w:rsidR="005E39E2">
        <w:rPr>
          <w:rFonts w:ascii="Arial" w:hAnsi="Arial" w:cs="Arial"/>
          <w:sz w:val="24"/>
          <w:szCs w:val="24"/>
        </w:rPr>
        <w:t xml:space="preserve"> the a</w:t>
      </w:r>
      <w:r w:rsidRPr="00044CE7">
        <w:rPr>
          <w:rFonts w:ascii="Arial" w:hAnsi="Arial" w:cs="Arial"/>
          <w:sz w:val="24"/>
          <w:szCs w:val="24"/>
        </w:rPr>
        <w:t xml:space="preserve">ccused who stand trial on those </w:t>
      </w:r>
      <w:r w:rsidR="005E39E2">
        <w:rPr>
          <w:rFonts w:ascii="Arial" w:hAnsi="Arial" w:cs="Arial"/>
          <w:sz w:val="24"/>
          <w:szCs w:val="24"/>
        </w:rPr>
        <w:t>counts</w:t>
      </w:r>
      <w:r w:rsidR="009B2DCD">
        <w:rPr>
          <w:rFonts w:ascii="Arial" w:hAnsi="Arial" w:cs="Arial"/>
          <w:sz w:val="24"/>
          <w:szCs w:val="24"/>
        </w:rPr>
        <w:t xml:space="preserve"> </w:t>
      </w:r>
      <w:r w:rsidRPr="00044CE7">
        <w:rPr>
          <w:rFonts w:ascii="Arial" w:hAnsi="Arial" w:cs="Arial"/>
          <w:sz w:val="24"/>
          <w:szCs w:val="24"/>
        </w:rPr>
        <w:t>are discharged in respect of each of those counts. I will in due course also refe</w:t>
      </w:r>
      <w:r w:rsidR="003D28A0">
        <w:rPr>
          <w:rFonts w:ascii="Arial" w:hAnsi="Arial" w:cs="Arial"/>
          <w:sz w:val="24"/>
          <w:szCs w:val="24"/>
        </w:rPr>
        <w:t>r in more detail to counts 629.</w:t>
      </w:r>
    </w:p>
    <w:p w:rsidR="0099115A" w:rsidRPr="00044CE7" w:rsidRDefault="0099115A" w:rsidP="0099115A">
      <w:pPr>
        <w:spacing w:after="0" w:line="360" w:lineRule="auto"/>
        <w:jc w:val="both"/>
        <w:rPr>
          <w:rFonts w:ascii="Arial" w:hAnsi="Arial" w:cs="Arial"/>
          <w:sz w:val="24"/>
          <w:szCs w:val="24"/>
        </w:rPr>
      </w:pPr>
    </w:p>
    <w:p w:rsidR="00FB6984" w:rsidRDefault="00FB6984" w:rsidP="0099115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044CE7">
        <w:rPr>
          <w:rFonts w:ascii="Arial" w:hAnsi="Arial" w:cs="Arial"/>
          <w:sz w:val="24"/>
          <w:szCs w:val="24"/>
        </w:rPr>
        <w:t>Prior to the commencement of the tr</w:t>
      </w:r>
      <w:r w:rsidR="005E39E2">
        <w:rPr>
          <w:rFonts w:ascii="Arial" w:hAnsi="Arial" w:cs="Arial"/>
          <w:sz w:val="24"/>
          <w:szCs w:val="24"/>
        </w:rPr>
        <w:t>ial before me, I appointed two a</w:t>
      </w:r>
      <w:r w:rsidRPr="00044CE7">
        <w:rPr>
          <w:rFonts w:ascii="Arial" w:hAnsi="Arial" w:cs="Arial"/>
          <w:sz w:val="24"/>
          <w:szCs w:val="24"/>
        </w:rPr>
        <w:t xml:space="preserve">ssessors in terms of </w:t>
      </w:r>
      <w:r w:rsidR="0099115A">
        <w:rPr>
          <w:rFonts w:ascii="Arial" w:hAnsi="Arial" w:cs="Arial"/>
          <w:sz w:val="24"/>
          <w:szCs w:val="24"/>
        </w:rPr>
        <w:t>s</w:t>
      </w:r>
      <w:r w:rsidRPr="00044CE7">
        <w:rPr>
          <w:rFonts w:ascii="Arial" w:hAnsi="Arial" w:cs="Arial"/>
          <w:sz w:val="24"/>
          <w:szCs w:val="24"/>
        </w:rPr>
        <w:t xml:space="preserve"> 145 of t</w:t>
      </w:r>
      <w:r w:rsidR="007B2045">
        <w:rPr>
          <w:rFonts w:ascii="Arial" w:hAnsi="Arial" w:cs="Arial"/>
          <w:sz w:val="24"/>
          <w:szCs w:val="24"/>
        </w:rPr>
        <w:t>he CPA</w:t>
      </w:r>
      <w:r w:rsidR="00654645">
        <w:rPr>
          <w:rFonts w:ascii="Arial" w:hAnsi="Arial" w:cs="Arial"/>
          <w:sz w:val="24"/>
          <w:szCs w:val="24"/>
        </w:rPr>
        <w:t>,</w:t>
      </w:r>
      <w:r w:rsidR="007B2045">
        <w:rPr>
          <w:rFonts w:ascii="Arial" w:hAnsi="Arial" w:cs="Arial"/>
          <w:sz w:val="24"/>
          <w:szCs w:val="24"/>
        </w:rPr>
        <w:t xml:space="preserve"> being </w:t>
      </w:r>
      <w:proofErr w:type="spellStart"/>
      <w:r w:rsidR="007B2045" w:rsidRPr="00BC3144">
        <w:rPr>
          <w:rFonts w:ascii="Arial" w:hAnsi="Arial" w:cs="Arial"/>
          <w:sz w:val="24"/>
          <w:szCs w:val="24"/>
        </w:rPr>
        <w:t>Mr</w:t>
      </w:r>
      <w:proofErr w:type="spellEnd"/>
      <w:r w:rsidR="007B2045" w:rsidRPr="00BC3144">
        <w:rPr>
          <w:rFonts w:ascii="Arial" w:hAnsi="Arial" w:cs="Arial"/>
          <w:sz w:val="24"/>
          <w:szCs w:val="24"/>
        </w:rPr>
        <w:t xml:space="preserve"> </w:t>
      </w:r>
      <w:proofErr w:type="spellStart"/>
      <w:r w:rsidR="007B2045" w:rsidRPr="00BC3144">
        <w:rPr>
          <w:rFonts w:ascii="Arial" w:hAnsi="Arial" w:cs="Arial"/>
          <w:sz w:val="24"/>
          <w:szCs w:val="24"/>
        </w:rPr>
        <w:t>Mandi</w:t>
      </w:r>
      <w:proofErr w:type="spellEnd"/>
      <w:r w:rsidR="007B2045" w:rsidRPr="00BC3144">
        <w:rPr>
          <w:rFonts w:ascii="Arial" w:hAnsi="Arial" w:cs="Arial"/>
          <w:sz w:val="24"/>
          <w:szCs w:val="24"/>
        </w:rPr>
        <w:t xml:space="preserve"> and </w:t>
      </w:r>
      <w:proofErr w:type="spellStart"/>
      <w:r w:rsidR="007B2045" w:rsidRPr="00BC3144">
        <w:rPr>
          <w:rFonts w:ascii="Arial" w:hAnsi="Arial" w:cs="Arial"/>
          <w:sz w:val="24"/>
          <w:szCs w:val="24"/>
        </w:rPr>
        <w:t>Ms</w:t>
      </w:r>
      <w:proofErr w:type="spellEnd"/>
      <w:r w:rsidR="007B2045" w:rsidRPr="00BC3144">
        <w:rPr>
          <w:rFonts w:ascii="Arial" w:hAnsi="Arial" w:cs="Arial"/>
          <w:sz w:val="24"/>
          <w:szCs w:val="24"/>
        </w:rPr>
        <w:t xml:space="preserve"> </w:t>
      </w:r>
      <w:proofErr w:type="spellStart"/>
      <w:r w:rsidR="007B2045" w:rsidRPr="00BC3144">
        <w:rPr>
          <w:rFonts w:ascii="Arial" w:hAnsi="Arial" w:cs="Arial"/>
          <w:sz w:val="24"/>
          <w:szCs w:val="24"/>
        </w:rPr>
        <w:t>B</w:t>
      </w:r>
      <w:r w:rsidR="00654645">
        <w:rPr>
          <w:rFonts w:ascii="Arial" w:hAnsi="Arial" w:cs="Arial"/>
          <w:sz w:val="24"/>
          <w:szCs w:val="24"/>
        </w:rPr>
        <w:t>ö</w:t>
      </w:r>
      <w:r w:rsidRPr="00BC3144">
        <w:rPr>
          <w:rFonts w:ascii="Arial" w:hAnsi="Arial" w:cs="Arial"/>
          <w:sz w:val="24"/>
          <w:szCs w:val="24"/>
        </w:rPr>
        <w:t>tger</w:t>
      </w:r>
      <w:proofErr w:type="spellEnd"/>
      <w:r w:rsidRPr="00BC3144">
        <w:rPr>
          <w:rFonts w:ascii="Arial" w:hAnsi="Arial" w:cs="Arial"/>
          <w:sz w:val="24"/>
          <w:szCs w:val="24"/>
        </w:rPr>
        <w:t xml:space="preserve"> r</w:t>
      </w:r>
      <w:r w:rsidR="00DB6FC7">
        <w:rPr>
          <w:rFonts w:ascii="Arial" w:hAnsi="Arial" w:cs="Arial"/>
          <w:sz w:val="24"/>
          <w:szCs w:val="24"/>
        </w:rPr>
        <w:t>espectively. This being an</w:t>
      </w:r>
      <w:r w:rsidRPr="00044CE7">
        <w:rPr>
          <w:rFonts w:ascii="Arial" w:hAnsi="Arial" w:cs="Arial"/>
          <w:sz w:val="24"/>
          <w:szCs w:val="24"/>
        </w:rPr>
        <w:t xml:space="preserve"> applic</w:t>
      </w:r>
      <w:r w:rsidR="00654645">
        <w:rPr>
          <w:rFonts w:ascii="Arial" w:hAnsi="Arial" w:cs="Arial"/>
          <w:sz w:val="24"/>
          <w:szCs w:val="24"/>
        </w:rPr>
        <w:t>ation for the discharge of the a</w:t>
      </w:r>
      <w:r w:rsidRPr="00044CE7">
        <w:rPr>
          <w:rFonts w:ascii="Arial" w:hAnsi="Arial" w:cs="Arial"/>
          <w:sz w:val="24"/>
          <w:szCs w:val="24"/>
        </w:rPr>
        <w:t xml:space="preserve">ccused in terms of </w:t>
      </w:r>
      <w:r w:rsidR="0099115A">
        <w:rPr>
          <w:rFonts w:ascii="Arial" w:hAnsi="Arial" w:cs="Arial"/>
          <w:sz w:val="24"/>
          <w:szCs w:val="24"/>
        </w:rPr>
        <w:t>s</w:t>
      </w:r>
      <w:r w:rsidRPr="00044CE7">
        <w:rPr>
          <w:rFonts w:ascii="Arial" w:hAnsi="Arial" w:cs="Arial"/>
          <w:sz w:val="24"/>
          <w:szCs w:val="24"/>
        </w:rPr>
        <w:t xml:space="preserve"> 174 of the CPA, the question arises whether in dealing with the application, I </w:t>
      </w:r>
      <w:r w:rsidR="00654645">
        <w:rPr>
          <w:rFonts w:ascii="Arial" w:hAnsi="Arial" w:cs="Arial"/>
          <w:sz w:val="24"/>
          <w:szCs w:val="24"/>
        </w:rPr>
        <w:t>should sit with or without the a</w:t>
      </w:r>
      <w:r w:rsidRPr="00044CE7">
        <w:rPr>
          <w:rFonts w:ascii="Arial" w:hAnsi="Arial" w:cs="Arial"/>
          <w:sz w:val="24"/>
          <w:szCs w:val="24"/>
        </w:rPr>
        <w:t>ssessors. I was not able to find any case law in Namibia whic</w:t>
      </w:r>
      <w:r w:rsidR="0099115A">
        <w:rPr>
          <w:rFonts w:ascii="Arial" w:hAnsi="Arial" w:cs="Arial"/>
          <w:sz w:val="24"/>
          <w:szCs w:val="24"/>
        </w:rPr>
        <w:t>h deals with the issue at hand.</w:t>
      </w:r>
    </w:p>
    <w:p w:rsidR="0099115A" w:rsidRPr="00F56C17" w:rsidRDefault="0099115A" w:rsidP="0099115A">
      <w:pPr>
        <w:spacing w:after="0" w:line="360" w:lineRule="auto"/>
        <w:jc w:val="both"/>
        <w:rPr>
          <w:rFonts w:ascii="Arial" w:hAnsi="Arial" w:cs="Arial"/>
          <w:sz w:val="24"/>
          <w:szCs w:val="24"/>
        </w:rPr>
      </w:pPr>
    </w:p>
    <w:p w:rsidR="001E503D" w:rsidRDefault="00FB6984" w:rsidP="0099115A">
      <w:pPr>
        <w:spacing w:after="0" w:line="360" w:lineRule="auto"/>
        <w:jc w:val="both"/>
        <w:rPr>
          <w:rFonts w:ascii="Arial" w:hAnsi="Arial" w:cs="Arial"/>
          <w:sz w:val="24"/>
          <w:szCs w:val="24"/>
        </w:rPr>
      </w:pPr>
      <w:r w:rsidRPr="00044CE7">
        <w:rPr>
          <w:rFonts w:ascii="Arial" w:hAnsi="Arial" w:cs="Arial"/>
          <w:sz w:val="24"/>
          <w:szCs w:val="24"/>
        </w:rPr>
        <w:t>[7]</w:t>
      </w:r>
      <w:r w:rsidRPr="00044CE7">
        <w:rPr>
          <w:rFonts w:ascii="Arial" w:hAnsi="Arial" w:cs="Arial"/>
          <w:sz w:val="24"/>
          <w:szCs w:val="24"/>
        </w:rPr>
        <w:tab/>
        <w:t xml:space="preserve">The topic was however the subject of some decisions in South Africa where the </w:t>
      </w:r>
      <w:r w:rsidR="00B54E0D" w:rsidRPr="00044CE7">
        <w:rPr>
          <w:rFonts w:ascii="Arial" w:hAnsi="Arial" w:cs="Arial"/>
          <w:sz w:val="24"/>
          <w:szCs w:val="24"/>
        </w:rPr>
        <w:t>practice</w:t>
      </w:r>
      <w:r w:rsidR="00654645">
        <w:rPr>
          <w:rFonts w:ascii="Arial" w:hAnsi="Arial" w:cs="Arial"/>
          <w:sz w:val="24"/>
          <w:szCs w:val="24"/>
        </w:rPr>
        <w:t xml:space="preserve"> of sitting with a</w:t>
      </w:r>
      <w:r w:rsidRPr="00044CE7">
        <w:rPr>
          <w:rFonts w:ascii="Arial" w:hAnsi="Arial" w:cs="Arial"/>
          <w:sz w:val="24"/>
          <w:szCs w:val="24"/>
        </w:rPr>
        <w:t>s</w:t>
      </w:r>
      <w:r w:rsidR="00B54E0D">
        <w:rPr>
          <w:rFonts w:ascii="Arial" w:hAnsi="Arial" w:cs="Arial"/>
          <w:sz w:val="24"/>
          <w:szCs w:val="24"/>
        </w:rPr>
        <w:t>sessors is more common and was</w:t>
      </w:r>
      <w:r w:rsidRPr="00044CE7">
        <w:rPr>
          <w:rFonts w:ascii="Arial" w:hAnsi="Arial" w:cs="Arial"/>
          <w:sz w:val="24"/>
          <w:szCs w:val="24"/>
        </w:rPr>
        <w:t xml:space="preserve"> at some stage compulsory</w:t>
      </w:r>
      <w:r w:rsidR="00B54E0D">
        <w:rPr>
          <w:rFonts w:ascii="Arial" w:hAnsi="Arial" w:cs="Arial"/>
          <w:sz w:val="24"/>
          <w:szCs w:val="24"/>
        </w:rPr>
        <w:t xml:space="preserve"> in certain cases</w:t>
      </w:r>
      <w:r w:rsidRPr="00044CE7">
        <w:rPr>
          <w:rFonts w:ascii="Arial" w:hAnsi="Arial" w:cs="Arial"/>
          <w:sz w:val="24"/>
          <w:szCs w:val="24"/>
        </w:rPr>
        <w:t>. The cases I consult</w:t>
      </w:r>
      <w:r w:rsidR="00654645">
        <w:rPr>
          <w:rFonts w:ascii="Arial" w:hAnsi="Arial" w:cs="Arial"/>
          <w:sz w:val="24"/>
          <w:szCs w:val="24"/>
        </w:rPr>
        <w:t>ed were</w:t>
      </w:r>
      <w:r w:rsidR="009B2DCD">
        <w:rPr>
          <w:rFonts w:ascii="Arial" w:hAnsi="Arial" w:cs="Arial"/>
          <w:sz w:val="24"/>
          <w:szCs w:val="24"/>
        </w:rPr>
        <w:t xml:space="preserve"> </w:t>
      </w:r>
      <w:r w:rsidR="00BC3144" w:rsidRPr="00BC3144">
        <w:rPr>
          <w:rFonts w:ascii="Arial" w:hAnsi="Arial" w:cs="Arial"/>
          <w:i/>
          <w:color w:val="000000" w:themeColor="text1"/>
          <w:sz w:val="24"/>
          <w:szCs w:val="24"/>
        </w:rPr>
        <w:t xml:space="preserve">R v </w:t>
      </w:r>
      <w:proofErr w:type="spellStart"/>
      <w:r w:rsidR="00BC3144" w:rsidRPr="00BC3144">
        <w:rPr>
          <w:rFonts w:ascii="Arial" w:hAnsi="Arial" w:cs="Arial"/>
          <w:i/>
          <w:color w:val="000000" w:themeColor="text1"/>
          <w:sz w:val="24"/>
          <w:szCs w:val="24"/>
        </w:rPr>
        <w:t>Mgomezulu</w:t>
      </w:r>
      <w:proofErr w:type="spellEnd"/>
      <w:r w:rsidR="009B2DCD" w:rsidRPr="00BC3144">
        <w:rPr>
          <w:rFonts w:ascii="Arial" w:hAnsi="Arial" w:cs="Arial"/>
          <w:i/>
          <w:color w:val="000000" w:themeColor="text1"/>
          <w:sz w:val="24"/>
          <w:szCs w:val="24"/>
        </w:rPr>
        <w:t xml:space="preserve"> &amp; O</w:t>
      </w:r>
      <w:r w:rsidRPr="00BC3144">
        <w:rPr>
          <w:rFonts w:ascii="Arial" w:hAnsi="Arial" w:cs="Arial"/>
          <w:i/>
          <w:color w:val="000000" w:themeColor="text1"/>
          <w:sz w:val="24"/>
          <w:szCs w:val="24"/>
        </w:rPr>
        <w:t>thers</w:t>
      </w:r>
      <w:r w:rsidR="005D14ED" w:rsidRPr="00BC3144">
        <w:rPr>
          <w:rStyle w:val="FootnoteReference"/>
          <w:rFonts w:ascii="Arial" w:hAnsi="Arial" w:cs="Arial"/>
          <w:i/>
          <w:color w:val="000000" w:themeColor="text1"/>
          <w:sz w:val="24"/>
          <w:szCs w:val="24"/>
        </w:rPr>
        <w:footnoteReference w:id="3"/>
      </w:r>
      <w:r w:rsidR="009B2DCD" w:rsidRPr="00BC3144">
        <w:rPr>
          <w:rFonts w:ascii="Arial" w:hAnsi="Arial" w:cs="Arial"/>
          <w:i/>
          <w:color w:val="000000" w:themeColor="text1"/>
          <w:sz w:val="24"/>
          <w:szCs w:val="24"/>
        </w:rPr>
        <w:t xml:space="preserve"> </w:t>
      </w:r>
      <w:r w:rsidR="00E34492" w:rsidRPr="00654645">
        <w:rPr>
          <w:rFonts w:ascii="Arial" w:hAnsi="Arial" w:cs="Arial"/>
          <w:color w:val="000000" w:themeColor="text1"/>
          <w:sz w:val="24"/>
          <w:szCs w:val="24"/>
        </w:rPr>
        <w:t>and</w:t>
      </w:r>
      <w:r w:rsidR="00E34492" w:rsidRPr="00BC3144">
        <w:rPr>
          <w:rFonts w:ascii="Arial" w:hAnsi="Arial" w:cs="Arial"/>
          <w:i/>
          <w:color w:val="000000" w:themeColor="text1"/>
          <w:sz w:val="24"/>
          <w:szCs w:val="24"/>
        </w:rPr>
        <w:t xml:space="preserve"> </w:t>
      </w:r>
      <w:r w:rsidR="005D14ED" w:rsidRPr="00BC3144">
        <w:rPr>
          <w:rFonts w:ascii="Arial" w:hAnsi="Arial" w:cs="Arial"/>
          <w:i/>
          <w:color w:val="000000" w:themeColor="text1"/>
          <w:sz w:val="24"/>
          <w:szCs w:val="24"/>
        </w:rPr>
        <w:t>S</w:t>
      </w:r>
      <w:r w:rsidR="001E503D" w:rsidRPr="00BC3144">
        <w:rPr>
          <w:rFonts w:ascii="Arial" w:hAnsi="Arial" w:cs="Arial"/>
          <w:i/>
          <w:color w:val="000000" w:themeColor="text1"/>
          <w:sz w:val="24"/>
          <w:szCs w:val="24"/>
        </w:rPr>
        <w:t xml:space="preserve"> v </w:t>
      </w:r>
      <w:proofErr w:type="spellStart"/>
      <w:r w:rsidR="00BC3144" w:rsidRPr="00BC3144">
        <w:rPr>
          <w:rFonts w:ascii="Arial" w:hAnsi="Arial" w:cs="Arial"/>
          <w:i/>
          <w:color w:val="000000" w:themeColor="text1"/>
          <w:sz w:val="24"/>
          <w:szCs w:val="24"/>
        </w:rPr>
        <w:t>Magxwalisa</w:t>
      </w:r>
      <w:proofErr w:type="spellEnd"/>
      <w:r w:rsidR="00E34492" w:rsidRPr="00BC3144">
        <w:rPr>
          <w:rFonts w:ascii="Arial" w:hAnsi="Arial" w:cs="Arial"/>
          <w:i/>
          <w:color w:val="000000" w:themeColor="text1"/>
          <w:sz w:val="24"/>
          <w:szCs w:val="24"/>
        </w:rPr>
        <w:t xml:space="preserve"> &amp; O</w:t>
      </w:r>
      <w:r w:rsidRPr="00BC3144">
        <w:rPr>
          <w:rFonts w:ascii="Arial" w:hAnsi="Arial" w:cs="Arial"/>
          <w:i/>
          <w:color w:val="000000" w:themeColor="text1"/>
          <w:sz w:val="24"/>
          <w:szCs w:val="24"/>
        </w:rPr>
        <w:t>thers</w:t>
      </w:r>
      <w:r w:rsidR="005D14ED" w:rsidRPr="00BC3144">
        <w:rPr>
          <w:rStyle w:val="FootnoteReference"/>
          <w:rFonts w:ascii="Arial" w:hAnsi="Arial" w:cs="Arial"/>
          <w:i/>
          <w:color w:val="000000" w:themeColor="text1"/>
          <w:sz w:val="24"/>
          <w:szCs w:val="24"/>
        </w:rPr>
        <w:footnoteReference w:id="4"/>
      </w:r>
      <w:r w:rsidRPr="00BC3144">
        <w:rPr>
          <w:rFonts w:ascii="Arial" w:hAnsi="Arial" w:cs="Arial"/>
          <w:i/>
          <w:color w:val="000000" w:themeColor="text1"/>
          <w:sz w:val="24"/>
          <w:szCs w:val="24"/>
        </w:rPr>
        <w:t xml:space="preserve">. </w:t>
      </w:r>
      <w:r w:rsidR="00654645">
        <w:rPr>
          <w:rFonts w:ascii="Arial" w:hAnsi="Arial" w:cs="Arial"/>
          <w:sz w:val="24"/>
          <w:szCs w:val="24"/>
        </w:rPr>
        <w:t>In both two</w:t>
      </w:r>
      <w:r w:rsidRPr="00044CE7">
        <w:rPr>
          <w:rFonts w:ascii="Arial" w:hAnsi="Arial" w:cs="Arial"/>
          <w:sz w:val="24"/>
          <w:szCs w:val="24"/>
        </w:rPr>
        <w:t xml:space="preserve"> matters it was held that </w:t>
      </w:r>
      <w:r w:rsidR="00E34492">
        <w:rPr>
          <w:rFonts w:ascii="Arial" w:hAnsi="Arial" w:cs="Arial"/>
          <w:sz w:val="24"/>
          <w:szCs w:val="24"/>
        </w:rPr>
        <w:t>an application for</w:t>
      </w:r>
      <w:r w:rsidRPr="00044CE7">
        <w:rPr>
          <w:rFonts w:ascii="Arial" w:hAnsi="Arial" w:cs="Arial"/>
          <w:sz w:val="24"/>
          <w:szCs w:val="24"/>
        </w:rPr>
        <w:t xml:space="preserve"> discharge at the close of the State</w:t>
      </w:r>
      <w:r w:rsidR="00E34492">
        <w:rPr>
          <w:rFonts w:ascii="Arial" w:hAnsi="Arial" w:cs="Arial"/>
          <w:sz w:val="24"/>
          <w:szCs w:val="24"/>
        </w:rPr>
        <w:t>’s c</w:t>
      </w:r>
      <w:r w:rsidRPr="00044CE7">
        <w:rPr>
          <w:rFonts w:ascii="Arial" w:hAnsi="Arial" w:cs="Arial"/>
          <w:sz w:val="24"/>
          <w:szCs w:val="24"/>
        </w:rPr>
        <w:t xml:space="preserve">ase is a question of law to be </w:t>
      </w:r>
      <w:r w:rsidR="00E34492">
        <w:rPr>
          <w:rFonts w:ascii="Arial" w:hAnsi="Arial" w:cs="Arial"/>
          <w:sz w:val="24"/>
          <w:szCs w:val="24"/>
        </w:rPr>
        <w:t>decided by a Presiding Judge</w:t>
      </w:r>
      <w:r w:rsidRPr="00044CE7">
        <w:rPr>
          <w:rFonts w:ascii="Arial" w:hAnsi="Arial" w:cs="Arial"/>
          <w:sz w:val="24"/>
          <w:szCs w:val="24"/>
        </w:rPr>
        <w:t xml:space="preserve">. In </w:t>
      </w:r>
      <w:r w:rsidR="00E34492">
        <w:rPr>
          <w:rFonts w:ascii="Arial" w:hAnsi="Arial" w:cs="Arial"/>
          <w:sz w:val="24"/>
          <w:szCs w:val="24"/>
        </w:rPr>
        <w:t xml:space="preserve">the </w:t>
      </w:r>
      <w:r w:rsidRPr="00044CE7">
        <w:rPr>
          <w:rFonts w:ascii="Arial" w:hAnsi="Arial" w:cs="Arial"/>
          <w:sz w:val="24"/>
          <w:szCs w:val="24"/>
        </w:rPr>
        <w:t>result, I pr</w:t>
      </w:r>
      <w:r w:rsidR="00654645">
        <w:rPr>
          <w:rFonts w:ascii="Arial" w:hAnsi="Arial" w:cs="Arial"/>
          <w:sz w:val="24"/>
          <w:szCs w:val="24"/>
        </w:rPr>
        <w:t>oceeded to hear the application</w:t>
      </w:r>
      <w:r w:rsidRPr="00044CE7">
        <w:rPr>
          <w:rFonts w:ascii="Arial" w:hAnsi="Arial" w:cs="Arial"/>
          <w:sz w:val="24"/>
          <w:szCs w:val="24"/>
        </w:rPr>
        <w:t xml:space="preserve"> in</w:t>
      </w:r>
      <w:r w:rsidR="00654645">
        <w:rPr>
          <w:rFonts w:ascii="Arial" w:hAnsi="Arial" w:cs="Arial"/>
          <w:sz w:val="24"/>
          <w:szCs w:val="24"/>
        </w:rPr>
        <w:t xml:space="preserve"> the absence of the a</w:t>
      </w:r>
      <w:r w:rsidRPr="00044CE7">
        <w:rPr>
          <w:rFonts w:ascii="Arial" w:hAnsi="Arial" w:cs="Arial"/>
          <w:sz w:val="24"/>
          <w:szCs w:val="24"/>
        </w:rPr>
        <w:t xml:space="preserve">ssessors since I am in agreement with the decision reached in the cases I </w:t>
      </w:r>
      <w:r w:rsidR="00654645">
        <w:rPr>
          <w:rFonts w:ascii="Arial" w:hAnsi="Arial" w:cs="Arial"/>
          <w:sz w:val="24"/>
          <w:szCs w:val="24"/>
        </w:rPr>
        <w:t xml:space="preserve">have </w:t>
      </w:r>
      <w:r w:rsidRPr="00044CE7">
        <w:rPr>
          <w:rFonts w:ascii="Arial" w:hAnsi="Arial" w:cs="Arial"/>
          <w:sz w:val="24"/>
          <w:szCs w:val="24"/>
        </w:rPr>
        <w:t>refe</w:t>
      </w:r>
      <w:r w:rsidR="00654645">
        <w:rPr>
          <w:rFonts w:ascii="Arial" w:hAnsi="Arial" w:cs="Arial"/>
          <w:sz w:val="24"/>
          <w:szCs w:val="24"/>
        </w:rPr>
        <w:t>r</w:t>
      </w:r>
      <w:r w:rsidRPr="00044CE7">
        <w:rPr>
          <w:rFonts w:ascii="Arial" w:hAnsi="Arial" w:cs="Arial"/>
          <w:sz w:val="24"/>
          <w:szCs w:val="24"/>
        </w:rPr>
        <w:t>r</w:t>
      </w:r>
      <w:r w:rsidR="00654645">
        <w:rPr>
          <w:rFonts w:ascii="Arial" w:hAnsi="Arial" w:cs="Arial"/>
          <w:sz w:val="24"/>
          <w:szCs w:val="24"/>
        </w:rPr>
        <w:t>ed</w:t>
      </w:r>
      <w:r w:rsidRPr="00044CE7">
        <w:rPr>
          <w:rFonts w:ascii="Arial" w:hAnsi="Arial" w:cs="Arial"/>
          <w:sz w:val="24"/>
          <w:szCs w:val="24"/>
        </w:rPr>
        <w:t xml:space="preserve"> to.</w:t>
      </w:r>
    </w:p>
    <w:p w:rsidR="005563C4" w:rsidRDefault="005563C4" w:rsidP="0099115A">
      <w:pPr>
        <w:spacing w:after="0" w:line="360" w:lineRule="auto"/>
        <w:jc w:val="both"/>
        <w:rPr>
          <w:rFonts w:ascii="Arial" w:hAnsi="Arial" w:cs="Arial"/>
          <w:sz w:val="24"/>
          <w:szCs w:val="24"/>
        </w:rPr>
      </w:pPr>
    </w:p>
    <w:p w:rsidR="0099115A" w:rsidRPr="0099115A" w:rsidRDefault="0099115A" w:rsidP="0099115A">
      <w:pPr>
        <w:spacing w:after="0" w:line="360" w:lineRule="auto"/>
        <w:jc w:val="both"/>
        <w:rPr>
          <w:rFonts w:ascii="Arial" w:hAnsi="Arial" w:cs="Arial"/>
          <w:sz w:val="24"/>
          <w:szCs w:val="24"/>
          <w:u w:val="single"/>
        </w:rPr>
      </w:pPr>
      <w:r w:rsidRPr="0099115A">
        <w:rPr>
          <w:rFonts w:ascii="Arial" w:hAnsi="Arial" w:cs="Arial"/>
          <w:sz w:val="24"/>
          <w:szCs w:val="24"/>
          <w:u w:val="single"/>
        </w:rPr>
        <w:t>Section 174: The Court’s approach</w:t>
      </w:r>
    </w:p>
    <w:p w:rsidR="0099115A" w:rsidRDefault="0099115A" w:rsidP="0099115A">
      <w:pPr>
        <w:spacing w:after="0" w:line="360" w:lineRule="auto"/>
        <w:jc w:val="both"/>
        <w:rPr>
          <w:rFonts w:ascii="Arial" w:hAnsi="Arial" w:cs="Arial"/>
          <w:sz w:val="24"/>
          <w:szCs w:val="24"/>
        </w:rPr>
      </w:pPr>
    </w:p>
    <w:p w:rsidR="00CE6218" w:rsidRDefault="00FB6984" w:rsidP="0099115A">
      <w:pPr>
        <w:spacing w:after="0" w:line="360" w:lineRule="auto"/>
        <w:jc w:val="both"/>
        <w:rPr>
          <w:rFonts w:ascii="Arial" w:hAnsi="Arial" w:cs="Arial"/>
          <w:sz w:val="24"/>
          <w:szCs w:val="24"/>
        </w:rPr>
      </w:pPr>
      <w:r w:rsidRPr="00044CE7">
        <w:rPr>
          <w:rFonts w:ascii="Arial" w:hAnsi="Arial" w:cs="Arial"/>
          <w:sz w:val="24"/>
          <w:szCs w:val="24"/>
        </w:rPr>
        <w:t>[8</w:t>
      </w:r>
      <w:r w:rsidR="00654645">
        <w:rPr>
          <w:rFonts w:ascii="Arial" w:hAnsi="Arial" w:cs="Arial"/>
          <w:sz w:val="24"/>
          <w:szCs w:val="24"/>
        </w:rPr>
        <w:t>]</w:t>
      </w:r>
      <w:r w:rsidR="00654645">
        <w:rPr>
          <w:rFonts w:ascii="Arial" w:hAnsi="Arial" w:cs="Arial"/>
          <w:sz w:val="24"/>
          <w:szCs w:val="24"/>
        </w:rPr>
        <w:tab/>
        <w:t>The decision to discharge an a</w:t>
      </w:r>
      <w:r w:rsidRPr="00044CE7">
        <w:rPr>
          <w:rFonts w:ascii="Arial" w:hAnsi="Arial" w:cs="Arial"/>
          <w:sz w:val="24"/>
          <w:szCs w:val="24"/>
        </w:rPr>
        <w:t>ccus</w:t>
      </w:r>
      <w:r w:rsidR="00654645">
        <w:rPr>
          <w:rFonts w:ascii="Arial" w:hAnsi="Arial" w:cs="Arial"/>
          <w:sz w:val="24"/>
          <w:szCs w:val="24"/>
        </w:rPr>
        <w:t>ed at the close of the State’s c</w:t>
      </w:r>
      <w:r w:rsidRPr="00044CE7">
        <w:rPr>
          <w:rFonts w:ascii="Arial" w:hAnsi="Arial" w:cs="Arial"/>
          <w:sz w:val="24"/>
          <w:szCs w:val="24"/>
        </w:rPr>
        <w:t>ase or whether to refuse to do so is a matter in respect of which I must exercise a judicial discretion.</w:t>
      </w:r>
      <w:r w:rsidR="00E34492">
        <w:rPr>
          <w:rFonts w:ascii="Arial" w:hAnsi="Arial" w:cs="Arial"/>
          <w:sz w:val="24"/>
          <w:szCs w:val="24"/>
        </w:rPr>
        <w:t xml:space="preserve"> The </w:t>
      </w:r>
      <w:r w:rsidR="00E34492">
        <w:rPr>
          <w:rFonts w:ascii="Arial" w:hAnsi="Arial" w:cs="Arial"/>
          <w:sz w:val="24"/>
          <w:szCs w:val="24"/>
        </w:rPr>
        <w:lastRenderedPageBreak/>
        <w:t>law o</w:t>
      </w:r>
      <w:r w:rsidRPr="00044CE7">
        <w:rPr>
          <w:rFonts w:ascii="Arial" w:hAnsi="Arial" w:cs="Arial"/>
          <w:sz w:val="24"/>
          <w:szCs w:val="24"/>
        </w:rPr>
        <w:t>n this issue is well se</w:t>
      </w:r>
      <w:r w:rsidR="00107D82">
        <w:rPr>
          <w:rFonts w:ascii="Arial" w:hAnsi="Arial" w:cs="Arial"/>
          <w:sz w:val="24"/>
          <w:szCs w:val="24"/>
        </w:rPr>
        <w:t>ttled and to the effect that a C</w:t>
      </w:r>
      <w:r w:rsidRPr="00044CE7">
        <w:rPr>
          <w:rFonts w:ascii="Arial" w:hAnsi="Arial" w:cs="Arial"/>
          <w:sz w:val="24"/>
          <w:szCs w:val="24"/>
        </w:rPr>
        <w:t>ourt will refuse an application if there is evidence upon which</w:t>
      </w:r>
      <w:r w:rsidR="00107D82">
        <w:rPr>
          <w:rFonts w:ascii="Arial" w:hAnsi="Arial" w:cs="Arial"/>
          <w:sz w:val="24"/>
          <w:szCs w:val="24"/>
        </w:rPr>
        <w:t xml:space="preserve"> a reasonable C</w:t>
      </w:r>
      <w:r w:rsidR="00B54E0D">
        <w:rPr>
          <w:rFonts w:ascii="Arial" w:hAnsi="Arial" w:cs="Arial"/>
          <w:sz w:val="24"/>
          <w:szCs w:val="24"/>
        </w:rPr>
        <w:t>ourt may not</w:t>
      </w:r>
      <w:r w:rsidR="00654645">
        <w:rPr>
          <w:rFonts w:ascii="Arial" w:hAnsi="Arial" w:cs="Arial"/>
          <w:sz w:val="24"/>
          <w:szCs w:val="24"/>
        </w:rPr>
        <w:t xml:space="preserve"> convict. In so doing, the </w:t>
      </w:r>
      <w:r w:rsidR="00107D82">
        <w:rPr>
          <w:rFonts w:ascii="Arial" w:hAnsi="Arial" w:cs="Arial"/>
          <w:sz w:val="24"/>
          <w:szCs w:val="24"/>
        </w:rPr>
        <w:t>C</w:t>
      </w:r>
      <w:r w:rsidRPr="00044CE7">
        <w:rPr>
          <w:rFonts w:ascii="Arial" w:hAnsi="Arial" w:cs="Arial"/>
          <w:sz w:val="24"/>
          <w:szCs w:val="24"/>
        </w:rPr>
        <w:t>ourt will take into account both the direct and circumstantial e</w:t>
      </w:r>
      <w:r w:rsidR="00CE6218">
        <w:rPr>
          <w:rFonts w:ascii="Arial" w:hAnsi="Arial" w:cs="Arial"/>
          <w:sz w:val="24"/>
          <w:szCs w:val="24"/>
        </w:rPr>
        <w:t>vidence produced by the State.</w:t>
      </w:r>
    </w:p>
    <w:p w:rsidR="00107D82" w:rsidRDefault="00107D82" w:rsidP="0099115A">
      <w:pPr>
        <w:spacing w:after="0" w:line="360" w:lineRule="auto"/>
        <w:jc w:val="both"/>
        <w:rPr>
          <w:rFonts w:ascii="Arial" w:hAnsi="Arial" w:cs="Arial"/>
          <w:sz w:val="24"/>
          <w:szCs w:val="24"/>
        </w:rPr>
      </w:pPr>
    </w:p>
    <w:p w:rsidR="00CE6218" w:rsidRDefault="00CE6218" w:rsidP="0099115A">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B6984" w:rsidRPr="00044CE7">
        <w:rPr>
          <w:rFonts w:ascii="Arial" w:hAnsi="Arial" w:cs="Arial"/>
          <w:sz w:val="24"/>
          <w:szCs w:val="24"/>
        </w:rPr>
        <w:t>This app</w:t>
      </w:r>
      <w:r w:rsidR="00654645">
        <w:rPr>
          <w:rFonts w:ascii="Arial" w:hAnsi="Arial" w:cs="Arial"/>
          <w:sz w:val="24"/>
          <w:szCs w:val="24"/>
        </w:rPr>
        <w:t>roach is apparent from the j</w:t>
      </w:r>
      <w:r w:rsidR="00E34492">
        <w:rPr>
          <w:rFonts w:ascii="Arial" w:hAnsi="Arial" w:cs="Arial"/>
          <w:sz w:val="24"/>
          <w:szCs w:val="24"/>
        </w:rPr>
        <w:t>udg</w:t>
      </w:r>
      <w:r w:rsidR="00FB6984" w:rsidRPr="00044CE7">
        <w:rPr>
          <w:rFonts w:ascii="Arial" w:hAnsi="Arial" w:cs="Arial"/>
          <w:sz w:val="24"/>
          <w:szCs w:val="24"/>
        </w:rPr>
        <w:t xml:space="preserve">ment in </w:t>
      </w:r>
      <w:r w:rsidR="00AD576D">
        <w:rPr>
          <w:rFonts w:ascii="Arial" w:hAnsi="Arial" w:cs="Arial"/>
          <w:i/>
          <w:sz w:val="24"/>
          <w:szCs w:val="24"/>
        </w:rPr>
        <w:t>S</w:t>
      </w:r>
      <w:r w:rsidR="00FB6984" w:rsidRPr="00485D1B">
        <w:rPr>
          <w:rFonts w:ascii="Arial" w:hAnsi="Arial" w:cs="Arial"/>
          <w:i/>
          <w:sz w:val="24"/>
          <w:szCs w:val="24"/>
        </w:rPr>
        <w:t xml:space="preserve"> </w:t>
      </w:r>
      <w:r w:rsidR="00E34492" w:rsidRPr="00485D1B">
        <w:rPr>
          <w:rFonts w:ascii="Arial" w:hAnsi="Arial" w:cs="Arial"/>
          <w:i/>
          <w:sz w:val="24"/>
          <w:szCs w:val="24"/>
        </w:rPr>
        <w:t xml:space="preserve">v </w:t>
      </w:r>
      <w:proofErr w:type="spellStart"/>
      <w:r w:rsidR="00E34492" w:rsidRPr="00485D1B">
        <w:rPr>
          <w:rFonts w:ascii="Arial" w:hAnsi="Arial" w:cs="Arial"/>
          <w:i/>
          <w:sz w:val="24"/>
          <w:szCs w:val="24"/>
        </w:rPr>
        <w:t>Nakale</w:t>
      </w:r>
      <w:proofErr w:type="spellEnd"/>
      <w:r w:rsidR="00E34492" w:rsidRPr="00485D1B">
        <w:rPr>
          <w:rFonts w:ascii="Arial" w:hAnsi="Arial" w:cs="Arial"/>
          <w:i/>
          <w:sz w:val="24"/>
          <w:szCs w:val="24"/>
        </w:rPr>
        <w:t xml:space="preserve"> &amp; Others</w:t>
      </w:r>
      <w:r w:rsidR="00AD576D">
        <w:rPr>
          <w:rStyle w:val="FootnoteReference"/>
          <w:rFonts w:ascii="Arial" w:hAnsi="Arial" w:cs="Arial"/>
          <w:i/>
          <w:sz w:val="24"/>
          <w:szCs w:val="24"/>
        </w:rPr>
        <w:footnoteReference w:id="5"/>
      </w:r>
      <w:r w:rsidR="00E34492" w:rsidRPr="00485D1B">
        <w:rPr>
          <w:rFonts w:ascii="Arial" w:hAnsi="Arial" w:cs="Arial"/>
          <w:sz w:val="24"/>
          <w:szCs w:val="24"/>
        </w:rPr>
        <w:t xml:space="preserve"> </w:t>
      </w:r>
      <w:r w:rsidR="00E34492" w:rsidRPr="00AD576D">
        <w:rPr>
          <w:rFonts w:ascii="Arial" w:hAnsi="Arial" w:cs="Arial"/>
          <w:sz w:val="24"/>
          <w:szCs w:val="24"/>
        </w:rPr>
        <w:t xml:space="preserve">and </w:t>
      </w:r>
      <w:r w:rsidR="00AD576D">
        <w:rPr>
          <w:rFonts w:ascii="Arial" w:hAnsi="Arial" w:cs="Arial"/>
          <w:i/>
          <w:sz w:val="24"/>
          <w:szCs w:val="24"/>
        </w:rPr>
        <w:t xml:space="preserve">S </w:t>
      </w:r>
      <w:r w:rsidR="00E34492" w:rsidRPr="00AD576D">
        <w:rPr>
          <w:rFonts w:ascii="Arial" w:hAnsi="Arial" w:cs="Arial"/>
          <w:i/>
          <w:sz w:val="24"/>
          <w:szCs w:val="24"/>
        </w:rPr>
        <w:t xml:space="preserve">v </w:t>
      </w:r>
      <w:proofErr w:type="spellStart"/>
      <w:r w:rsidR="00FB6984" w:rsidRPr="00AD576D">
        <w:rPr>
          <w:rFonts w:ascii="Arial" w:hAnsi="Arial" w:cs="Arial"/>
          <w:i/>
          <w:sz w:val="24"/>
          <w:szCs w:val="24"/>
        </w:rPr>
        <w:t>Teek</w:t>
      </w:r>
      <w:proofErr w:type="spellEnd"/>
      <w:r w:rsidR="008703EC">
        <w:rPr>
          <w:rFonts w:ascii="Arial" w:hAnsi="Arial" w:cs="Arial"/>
          <w:i/>
          <w:sz w:val="24"/>
          <w:szCs w:val="24"/>
        </w:rPr>
        <w:t>.</w:t>
      </w:r>
      <w:r w:rsidR="00AD576D">
        <w:rPr>
          <w:rStyle w:val="FootnoteReference"/>
          <w:rFonts w:ascii="Arial" w:hAnsi="Arial" w:cs="Arial"/>
          <w:sz w:val="24"/>
          <w:szCs w:val="24"/>
        </w:rPr>
        <w:footnoteReference w:id="6"/>
      </w:r>
      <w:r w:rsidR="00E34492" w:rsidRPr="00AD576D">
        <w:rPr>
          <w:rFonts w:ascii="Arial" w:hAnsi="Arial" w:cs="Arial"/>
          <w:sz w:val="24"/>
          <w:szCs w:val="24"/>
        </w:rPr>
        <w:t xml:space="preserve"> </w:t>
      </w:r>
      <w:r w:rsidR="00E34492">
        <w:rPr>
          <w:rFonts w:ascii="Arial" w:hAnsi="Arial" w:cs="Arial"/>
          <w:sz w:val="24"/>
          <w:szCs w:val="24"/>
        </w:rPr>
        <w:t>Some argument</w:t>
      </w:r>
      <w:r w:rsidR="00FB6984" w:rsidRPr="00044CE7">
        <w:rPr>
          <w:rFonts w:ascii="Arial" w:hAnsi="Arial" w:cs="Arial"/>
          <w:sz w:val="24"/>
          <w:szCs w:val="24"/>
        </w:rPr>
        <w:t xml:space="preserve"> was advanced that it would</w:t>
      </w:r>
      <w:r w:rsidR="00E34492">
        <w:rPr>
          <w:rFonts w:ascii="Arial" w:hAnsi="Arial" w:cs="Arial"/>
          <w:sz w:val="24"/>
          <w:szCs w:val="24"/>
        </w:rPr>
        <w:t xml:space="preserve"> not be</w:t>
      </w:r>
      <w:r w:rsidR="00FB6984" w:rsidRPr="00044CE7">
        <w:rPr>
          <w:rFonts w:ascii="Arial" w:hAnsi="Arial" w:cs="Arial"/>
          <w:sz w:val="24"/>
          <w:szCs w:val="24"/>
        </w:rPr>
        <w:t xml:space="preserve"> correct to consider and take into account whether the State’s case may be strengthened by evidence tendered </w:t>
      </w:r>
      <w:r w:rsidR="00654645">
        <w:rPr>
          <w:rFonts w:ascii="Arial" w:hAnsi="Arial" w:cs="Arial"/>
          <w:sz w:val="24"/>
          <w:szCs w:val="24"/>
        </w:rPr>
        <w:t xml:space="preserve">by the </w:t>
      </w:r>
      <w:proofErr w:type="spellStart"/>
      <w:r w:rsidR="00654645">
        <w:rPr>
          <w:rFonts w:ascii="Arial" w:hAnsi="Arial" w:cs="Arial"/>
          <w:sz w:val="24"/>
          <w:szCs w:val="24"/>
        </w:rPr>
        <w:t>d</w:t>
      </w:r>
      <w:r w:rsidR="00E34492">
        <w:rPr>
          <w:rFonts w:ascii="Arial" w:hAnsi="Arial" w:cs="Arial"/>
          <w:sz w:val="24"/>
          <w:szCs w:val="24"/>
        </w:rPr>
        <w:t>efence</w:t>
      </w:r>
      <w:proofErr w:type="spellEnd"/>
      <w:r w:rsidR="00E34492">
        <w:rPr>
          <w:rFonts w:ascii="Arial" w:hAnsi="Arial" w:cs="Arial"/>
          <w:sz w:val="24"/>
          <w:szCs w:val="24"/>
        </w:rPr>
        <w:t>. In my view, the law</w:t>
      </w:r>
      <w:r w:rsidR="00FB6984" w:rsidRPr="00044CE7">
        <w:rPr>
          <w:rFonts w:ascii="Arial" w:hAnsi="Arial" w:cs="Arial"/>
          <w:sz w:val="24"/>
          <w:szCs w:val="24"/>
        </w:rPr>
        <w:t xml:space="preserve"> as it stands in Namib</w:t>
      </w:r>
      <w:r w:rsidR="00E34492">
        <w:rPr>
          <w:rFonts w:ascii="Arial" w:hAnsi="Arial" w:cs="Arial"/>
          <w:sz w:val="24"/>
          <w:szCs w:val="24"/>
        </w:rPr>
        <w:t xml:space="preserve">ia is as expressed in </w:t>
      </w:r>
      <w:r w:rsidR="00AD576D">
        <w:rPr>
          <w:rFonts w:ascii="Arial" w:hAnsi="Arial" w:cs="Arial"/>
          <w:i/>
          <w:sz w:val="24"/>
          <w:szCs w:val="24"/>
        </w:rPr>
        <w:t>S</w:t>
      </w:r>
      <w:r w:rsidR="00AD576D" w:rsidRPr="00485D1B">
        <w:rPr>
          <w:rFonts w:ascii="Arial" w:hAnsi="Arial" w:cs="Arial"/>
          <w:i/>
          <w:sz w:val="24"/>
          <w:szCs w:val="24"/>
        </w:rPr>
        <w:t xml:space="preserve"> v </w:t>
      </w:r>
      <w:proofErr w:type="spellStart"/>
      <w:r w:rsidR="00AD576D" w:rsidRPr="00485D1B">
        <w:rPr>
          <w:rFonts w:ascii="Arial" w:hAnsi="Arial" w:cs="Arial"/>
          <w:i/>
          <w:sz w:val="24"/>
          <w:szCs w:val="24"/>
        </w:rPr>
        <w:t>Nakale</w:t>
      </w:r>
      <w:proofErr w:type="spellEnd"/>
      <w:r w:rsidR="00AD576D" w:rsidRPr="00485D1B">
        <w:rPr>
          <w:rFonts w:ascii="Arial" w:hAnsi="Arial" w:cs="Arial"/>
          <w:i/>
          <w:sz w:val="24"/>
          <w:szCs w:val="24"/>
        </w:rPr>
        <w:t xml:space="preserve"> &amp; Others</w:t>
      </w:r>
      <w:r w:rsidR="00AD576D">
        <w:rPr>
          <w:rStyle w:val="FootnoteReference"/>
          <w:rFonts w:ascii="Arial" w:hAnsi="Arial" w:cs="Arial"/>
          <w:i/>
          <w:sz w:val="24"/>
          <w:szCs w:val="24"/>
        </w:rPr>
        <w:footnoteReference w:id="7"/>
      </w:r>
      <w:r w:rsidR="00AD576D" w:rsidRPr="00485D1B">
        <w:rPr>
          <w:rFonts w:ascii="Arial" w:hAnsi="Arial" w:cs="Arial"/>
          <w:sz w:val="24"/>
          <w:szCs w:val="24"/>
        </w:rPr>
        <w:t xml:space="preserve"> </w:t>
      </w:r>
      <w:r w:rsidR="00FB6984" w:rsidRPr="00044CE7">
        <w:rPr>
          <w:rFonts w:ascii="Arial" w:hAnsi="Arial" w:cs="Arial"/>
          <w:sz w:val="24"/>
          <w:szCs w:val="24"/>
        </w:rPr>
        <w:t>to which I have</w:t>
      </w:r>
      <w:r w:rsidR="00E34492">
        <w:rPr>
          <w:rFonts w:ascii="Arial" w:hAnsi="Arial" w:cs="Arial"/>
          <w:sz w:val="24"/>
          <w:szCs w:val="24"/>
        </w:rPr>
        <w:t xml:space="preserve"> already referred and I refer</w:t>
      </w:r>
      <w:r w:rsidR="00FB6984" w:rsidRPr="00044CE7">
        <w:rPr>
          <w:rFonts w:ascii="Arial" w:hAnsi="Arial" w:cs="Arial"/>
          <w:sz w:val="24"/>
          <w:szCs w:val="24"/>
        </w:rPr>
        <w:t xml:space="preserve"> specifically to the passage appearing on page 464 and further. M</w:t>
      </w:r>
      <w:r w:rsidR="001D4E43">
        <w:rPr>
          <w:rFonts w:ascii="Arial" w:hAnsi="Arial" w:cs="Arial"/>
          <w:sz w:val="24"/>
          <w:szCs w:val="24"/>
        </w:rPr>
        <w:t xml:space="preserve">uller </w:t>
      </w:r>
      <w:r w:rsidR="00FB6984" w:rsidRPr="00044CE7">
        <w:rPr>
          <w:rFonts w:ascii="Arial" w:hAnsi="Arial" w:cs="Arial"/>
          <w:sz w:val="24"/>
          <w:szCs w:val="24"/>
        </w:rPr>
        <w:t xml:space="preserve">J </w:t>
      </w:r>
      <w:r w:rsidR="001D4E43">
        <w:rPr>
          <w:rFonts w:ascii="Arial" w:hAnsi="Arial" w:cs="Arial"/>
          <w:sz w:val="24"/>
          <w:szCs w:val="24"/>
        </w:rPr>
        <w:t>who wrote the</w:t>
      </w:r>
      <w:r w:rsidR="00FB6984" w:rsidRPr="00044CE7">
        <w:rPr>
          <w:rFonts w:ascii="Arial" w:hAnsi="Arial" w:cs="Arial"/>
          <w:sz w:val="24"/>
          <w:szCs w:val="24"/>
        </w:rPr>
        <w:t xml:space="preserve"> </w:t>
      </w:r>
      <w:r w:rsidR="001D4E43">
        <w:rPr>
          <w:rFonts w:ascii="Arial" w:hAnsi="Arial" w:cs="Arial"/>
          <w:sz w:val="24"/>
          <w:szCs w:val="24"/>
        </w:rPr>
        <w:t>j</w:t>
      </w:r>
      <w:r w:rsidR="00E34492" w:rsidRPr="00044CE7">
        <w:rPr>
          <w:rFonts w:ascii="Arial" w:hAnsi="Arial" w:cs="Arial"/>
          <w:sz w:val="24"/>
          <w:szCs w:val="24"/>
        </w:rPr>
        <w:t>udgment</w:t>
      </w:r>
      <w:r w:rsidR="001D4E43">
        <w:rPr>
          <w:rFonts w:ascii="Arial" w:hAnsi="Arial" w:cs="Arial"/>
          <w:sz w:val="24"/>
          <w:szCs w:val="24"/>
        </w:rPr>
        <w:t xml:space="preserve"> held that</w:t>
      </w:r>
      <w:r w:rsidR="00FB6984" w:rsidRPr="00044CE7">
        <w:rPr>
          <w:rFonts w:ascii="Arial" w:hAnsi="Arial" w:cs="Arial"/>
          <w:sz w:val="24"/>
          <w:szCs w:val="24"/>
        </w:rPr>
        <w:t xml:space="preserve"> to be a consideration taki</w:t>
      </w:r>
      <w:r w:rsidR="00B54E0D">
        <w:rPr>
          <w:rFonts w:ascii="Arial" w:hAnsi="Arial" w:cs="Arial"/>
          <w:sz w:val="24"/>
          <w:szCs w:val="24"/>
        </w:rPr>
        <w:t>ng into account other factors that</w:t>
      </w:r>
      <w:r w:rsidR="00FB6984" w:rsidRPr="00044CE7">
        <w:rPr>
          <w:rFonts w:ascii="Arial" w:hAnsi="Arial" w:cs="Arial"/>
          <w:sz w:val="24"/>
          <w:szCs w:val="24"/>
        </w:rPr>
        <w:t xml:space="preserve"> appe</w:t>
      </w:r>
      <w:r w:rsidR="001D4E43">
        <w:rPr>
          <w:rFonts w:ascii="Arial" w:hAnsi="Arial" w:cs="Arial"/>
          <w:sz w:val="24"/>
          <w:szCs w:val="24"/>
        </w:rPr>
        <w:t>ar from the evidence such as a reasonable inference</w:t>
      </w:r>
      <w:r w:rsidR="00654645">
        <w:rPr>
          <w:rFonts w:ascii="Arial" w:hAnsi="Arial" w:cs="Arial"/>
          <w:sz w:val="24"/>
          <w:szCs w:val="24"/>
        </w:rPr>
        <w:t xml:space="preserve"> in the case of more than one a</w:t>
      </w:r>
      <w:r w:rsidR="00FB6984" w:rsidRPr="00044CE7">
        <w:rPr>
          <w:rFonts w:ascii="Arial" w:hAnsi="Arial" w:cs="Arial"/>
          <w:sz w:val="24"/>
          <w:szCs w:val="24"/>
        </w:rPr>
        <w:t xml:space="preserve">ccused </w:t>
      </w:r>
      <w:r w:rsidR="001D4E43">
        <w:rPr>
          <w:rFonts w:ascii="Arial" w:hAnsi="Arial" w:cs="Arial"/>
          <w:sz w:val="24"/>
          <w:szCs w:val="24"/>
        </w:rPr>
        <w:t>and where there</w:t>
      </w:r>
      <w:r w:rsidR="00FB6984" w:rsidRPr="00044CE7">
        <w:rPr>
          <w:rFonts w:ascii="Arial" w:hAnsi="Arial" w:cs="Arial"/>
          <w:sz w:val="24"/>
          <w:szCs w:val="24"/>
        </w:rPr>
        <w:t xml:space="preserve"> appears to be some common purpose or I may add cooperation or collusion in some form or a</w:t>
      </w:r>
      <w:r w:rsidR="001D4E43">
        <w:rPr>
          <w:rFonts w:ascii="Arial" w:hAnsi="Arial" w:cs="Arial"/>
          <w:sz w:val="24"/>
          <w:szCs w:val="24"/>
        </w:rPr>
        <w:t xml:space="preserve">nother between those charged </w:t>
      </w:r>
      <w:r w:rsidR="00FB6984" w:rsidRPr="00044CE7">
        <w:rPr>
          <w:rFonts w:ascii="Arial" w:hAnsi="Arial" w:cs="Arial"/>
          <w:sz w:val="24"/>
          <w:szCs w:val="24"/>
        </w:rPr>
        <w:t xml:space="preserve">and towards </w:t>
      </w:r>
      <w:r w:rsidR="001D4E43">
        <w:rPr>
          <w:rFonts w:ascii="Arial" w:hAnsi="Arial" w:cs="Arial"/>
          <w:sz w:val="24"/>
          <w:szCs w:val="24"/>
        </w:rPr>
        <w:t xml:space="preserve">some </w:t>
      </w:r>
      <w:r w:rsidR="00FB6984" w:rsidRPr="00044CE7">
        <w:rPr>
          <w:rFonts w:ascii="Arial" w:hAnsi="Arial" w:cs="Arial"/>
          <w:sz w:val="24"/>
          <w:szCs w:val="24"/>
        </w:rPr>
        <w:t xml:space="preserve">criminal </w:t>
      </w:r>
      <w:r w:rsidR="001D4E43" w:rsidRPr="00044CE7">
        <w:rPr>
          <w:rFonts w:ascii="Arial" w:hAnsi="Arial" w:cs="Arial"/>
          <w:sz w:val="24"/>
          <w:szCs w:val="24"/>
        </w:rPr>
        <w:t>endeavor</w:t>
      </w:r>
      <w:r w:rsidR="00107D82">
        <w:rPr>
          <w:rFonts w:ascii="Arial" w:hAnsi="Arial" w:cs="Arial"/>
          <w:sz w:val="24"/>
          <w:szCs w:val="24"/>
        </w:rPr>
        <w:t>.</w:t>
      </w:r>
    </w:p>
    <w:p w:rsidR="00107D82" w:rsidRDefault="00107D82" w:rsidP="0099115A">
      <w:pPr>
        <w:spacing w:after="0" w:line="360" w:lineRule="auto"/>
        <w:jc w:val="both"/>
        <w:rPr>
          <w:rFonts w:ascii="Arial" w:hAnsi="Arial" w:cs="Arial"/>
          <w:sz w:val="24"/>
          <w:szCs w:val="24"/>
        </w:rPr>
      </w:pPr>
    </w:p>
    <w:p w:rsidR="00CE6218" w:rsidRDefault="00CE6218" w:rsidP="0099115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D4E43">
        <w:rPr>
          <w:rFonts w:ascii="Arial" w:hAnsi="Arial" w:cs="Arial"/>
          <w:sz w:val="24"/>
          <w:szCs w:val="24"/>
        </w:rPr>
        <w:t>More</w:t>
      </w:r>
      <w:r w:rsidR="00FB6984" w:rsidRPr="00044CE7">
        <w:rPr>
          <w:rFonts w:ascii="Arial" w:hAnsi="Arial" w:cs="Arial"/>
          <w:sz w:val="24"/>
          <w:szCs w:val="24"/>
        </w:rPr>
        <w:t xml:space="preserve">over in the present case, I am not faced with the situation whether </w:t>
      </w:r>
      <w:r w:rsidR="001D4E43">
        <w:rPr>
          <w:rFonts w:ascii="Arial" w:hAnsi="Arial" w:cs="Arial"/>
          <w:sz w:val="24"/>
          <w:szCs w:val="24"/>
        </w:rPr>
        <w:t>the success or otherwise of</w:t>
      </w:r>
      <w:r w:rsidR="00FB6984" w:rsidRPr="00044CE7">
        <w:rPr>
          <w:rFonts w:ascii="Arial" w:hAnsi="Arial" w:cs="Arial"/>
          <w:sz w:val="24"/>
          <w:szCs w:val="24"/>
        </w:rPr>
        <w:t xml:space="preserve"> the prosecution is </w:t>
      </w:r>
      <w:r w:rsidR="001D4E43" w:rsidRPr="00044CE7">
        <w:rPr>
          <w:rFonts w:ascii="Arial" w:hAnsi="Arial" w:cs="Arial"/>
          <w:sz w:val="24"/>
          <w:szCs w:val="24"/>
        </w:rPr>
        <w:t>dependent</w:t>
      </w:r>
      <w:r w:rsidR="00FB6984" w:rsidRPr="00044CE7">
        <w:rPr>
          <w:rFonts w:ascii="Arial" w:hAnsi="Arial" w:cs="Arial"/>
          <w:sz w:val="24"/>
          <w:szCs w:val="24"/>
        </w:rPr>
        <w:t xml:space="preserve"> solel</w:t>
      </w:r>
      <w:r w:rsidR="008C2F7A">
        <w:rPr>
          <w:rFonts w:ascii="Arial" w:hAnsi="Arial" w:cs="Arial"/>
          <w:sz w:val="24"/>
          <w:szCs w:val="24"/>
        </w:rPr>
        <w:t>y on whether or not any of the accused goes into the w</w:t>
      </w:r>
      <w:r w:rsidR="00FB6984" w:rsidRPr="00044CE7">
        <w:rPr>
          <w:rFonts w:ascii="Arial" w:hAnsi="Arial" w:cs="Arial"/>
          <w:sz w:val="24"/>
          <w:szCs w:val="24"/>
        </w:rPr>
        <w:t>itness box and implic</w:t>
      </w:r>
      <w:r w:rsidR="001D4E43">
        <w:rPr>
          <w:rFonts w:ascii="Arial" w:hAnsi="Arial" w:cs="Arial"/>
          <w:sz w:val="24"/>
          <w:szCs w:val="24"/>
        </w:rPr>
        <w:t>ate himself or herself. As I will</w:t>
      </w:r>
      <w:r w:rsidR="00FB6984" w:rsidRPr="00044CE7">
        <w:rPr>
          <w:rFonts w:ascii="Arial" w:hAnsi="Arial" w:cs="Arial"/>
          <w:sz w:val="24"/>
          <w:szCs w:val="24"/>
        </w:rPr>
        <w:t xml:space="preserve"> indicate there is by and large evidence against each </w:t>
      </w:r>
      <w:r w:rsidR="008C2F7A">
        <w:rPr>
          <w:rFonts w:ascii="Arial" w:hAnsi="Arial" w:cs="Arial"/>
          <w:sz w:val="24"/>
          <w:szCs w:val="24"/>
        </w:rPr>
        <w:t xml:space="preserve">of the accused upon which a reasonable </w:t>
      </w:r>
      <w:r w:rsidR="00107D82">
        <w:rPr>
          <w:rFonts w:ascii="Arial" w:hAnsi="Arial" w:cs="Arial"/>
          <w:sz w:val="24"/>
          <w:szCs w:val="24"/>
        </w:rPr>
        <w:t>C</w:t>
      </w:r>
      <w:r w:rsidR="00FB6984" w:rsidRPr="00044CE7">
        <w:rPr>
          <w:rFonts w:ascii="Arial" w:hAnsi="Arial" w:cs="Arial"/>
          <w:sz w:val="24"/>
          <w:szCs w:val="24"/>
        </w:rPr>
        <w:t>ourt m</w:t>
      </w:r>
      <w:r w:rsidR="008C2F7A">
        <w:rPr>
          <w:rFonts w:ascii="Arial" w:hAnsi="Arial" w:cs="Arial"/>
          <w:sz w:val="24"/>
          <w:szCs w:val="24"/>
        </w:rPr>
        <w:t>ay convict subject to what I rule in so far as some of the a</w:t>
      </w:r>
      <w:r w:rsidR="00FB6984" w:rsidRPr="00044CE7">
        <w:rPr>
          <w:rFonts w:ascii="Arial" w:hAnsi="Arial" w:cs="Arial"/>
          <w:sz w:val="24"/>
          <w:szCs w:val="24"/>
        </w:rPr>
        <w:t>ccused are concerned in relation to some of the specific counts. I am therefore of the v</w:t>
      </w:r>
      <w:r w:rsidR="001D4E43">
        <w:rPr>
          <w:rFonts w:ascii="Arial" w:hAnsi="Arial" w:cs="Arial"/>
          <w:sz w:val="24"/>
          <w:szCs w:val="24"/>
        </w:rPr>
        <w:t>iew</w:t>
      </w:r>
      <w:r w:rsidR="00107D82">
        <w:rPr>
          <w:rFonts w:ascii="Arial" w:hAnsi="Arial" w:cs="Arial"/>
          <w:sz w:val="24"/>
          <w:szCs w:val="24"/>
        </w:rPr>
        <w:t>,</w:t>
      </w:r>
      <w:r w:rsidR="001D4E43">
        <w:rPr>
          <w:rFonts w:ascii="Arial" w:hAnsi="Arial" w:cs="Arial"/>
          <w:sz w:val="24"/>
          <w:szCs w:val="24"/>
        </w:rPr>
        <w:t xml:space="preserve"> that it would be wrong to ho</w:t>
      </w:r>
      <w:r w:rsidR="00FB6984" w:rsidRPr="00044CE7">
        <w:rPr>
          <w:rFonts w:ascii="Arial" w:hAnsi="Arial" w:cs="Arial"/>
          <w:sz w:val="24"/>
          <w:szCs w:val="24"/>
        </w:rPr>
        <w:t>ld that the possi</w:t>
      </w:r>
      <w:r w:rsidR="001D4E43">
        <w:rPr>
          <w:rFonts w:ascii="Arial" w:hAnsi="Arial" w:cs="Arial"/>
          <w:sz w:val="24"/>
          <w:szCs w:val="24"/>
        </w:rPr>
        <w:t>bility</w:t>
      </w:r>
      <w:r w:rsidR="008C2F7A">
        <w:rPr>
          <w:rFonts w:ascii="Arial" w:hAnsi="Arial" w:cs="Arial"/>
          <w:sz w:val="24"/>
          <w:szCs w:val="24"/>
        </w:rPr>
        <w:t>,</w:t>
      </w:r>
      <w:r w:rsidR="001D4E43">
        <w:rPr>
          <w:rFonts w:ascii="Arial" w:hAnsi="Arial" w:cs="Arial"/>
          <w:sz w:val="24"/>
          <w:szCs w:val="24"/>
        </w:rPr>
        <w:t xml:space="preserve"> and I put it in no higher </w:t>
      </w:r>
      <w:r w:rsidR="00FB6984" w:rsidRPr="00044CE7">
        <w:rPr>
          <w:rFonts w:ascii="Arial" w:hAnsi="Arial" w:cs="Arial"/>
          <w:sz w:val="24"/>
          <w:szCs w:val="24"/>
        </w:rPr>
        <w:t>than that, that when testifying, some of the</w:t>
      </w:r>
      <w:r w:rsidR="00FB6984">
        <w:rPr>
          <w:rFonts w:ascii="Arial" w:hAnsi="Arial" w:cs="Arial"/>
          <w:sz w:val="24"/>
          <w:szCs w:val="24"/>
        </w:rPr>
        <w:t xml:space="preserve"> </w:t>
      </w:r>
      <w:r w:rsidR="008C2F7A">
        <w:rPr>
          <w:rFonts w:ascii="Arial" w:hAnsi="Arial" w:cs="Arial"/>
          <w:sz w:val="24"/>
          <w:szCs w:val="24"/>
        </w:rPr>
        <w:t>a</w:t>
      </w:r>
      <w:r w:rsidR="00FB6984" w:rsidRPr="00044CE7">
        <w:rPr>
          <w:rFonts w:ascii="Arial" w:hAnsi="Arial" w:cs="Arial"/>
          <w:sz w:val="24"/>
          <w:szCs w:val="24"/>
        </w:rPr>
        <w:t>ccus</w:t>
      </w:r>
      <w:r w:rsidR="008C2F7A">
        <w:rPr>
          <w:rFonts w:ascii="Arial" w:hAnsi="Arial" w:cs="Arial"/>
          <w:sz w:val="24"/>
          <w:szCs w:val="24"/>
        </w:rPr>
        <w:t>ed in presenting their own case</w:t>
      </w:r>
      <w:r w:rsidR="00FB6984" w:rsidRPr="00044CE7">
        <w:rPr>
          <w:rFonts w:ascii="Arial" w:hAnsi="Arial" w:cs="Arial"/>
          <w:sz w:val="24"/>
          <w:szCs w:val="24"/>
        </w:rPr>
        <w:t xml:space="preserve"> may in the proc</w:t>
      </w:r>
      <w:r w:rsidR="008C2F7A">
        <w:rPr>
          <w:rFonts w:ascii="Arial" w:hAnsi="Arial" w:cs="Arial"/>
          <w:sz w:val="24"/>
          <w:szCs w:val="24"/>
        </w:rPr>
        <w:t>ess seek to implicate their co-a</w:t>
      </w:r>
      <w:r w:rsidR="00FB6984" w:rsidRPr="00044CE7">
        <w:rPr>
          <w:rFonts w:ascii="Arial" w:hAnsi="Arial" w:cs="Arial"/>
          <w:sz w:val="24"/>
          <w:szCs w:val="24"/>
        </w:rPr>
        <w:t>ccused shoul</w:t>
      </w:r>
      <w:r w:rsidR="008C2F7A">
        <w:rPr>
          <w:rFonts w:ascii="Arial" w:hAnsi="Arial" w:cs="Arial"/>
          <w:sz w:val="24"/>
          <w:szCs w:val="24"/>
        </w:rPr>
        <w:t>d lead to the discharge of the accused in the</w:t>
      </w:r>
      <w:r w:rsidR="00FB6984">
        <w:rPr>
          <w:rFonts w:ascii="Arial" w:hAnsi="Arial" w:cs="Arial"/>
          <w:sz w:val="24"/>
          <w:szCs w:val="24"/>
        </w:rPr>
        <w:t xml:space="preserve"> </w:t>
      </w:r>
      <w:r w:rsidR="00FB6984" w:rsidRPr="00044CE7">
        <w:rPr>
          <w:rFonts w:ascii="Arial" w:hAnsi="Arial" w:cs="Arial"/>
          <w:sz w:val="24"/>
          <w:szCs w:val="24"/>
        </w:rPr>
        <w:t>present proceedings.</w:t>
      </w:r>
    </w:p>
    <w:p w:rsidR="005D14ED" w:rsidRDefault="005D14ED" w:rsidP="0099115A">
      <w:pPr>
        <w:spacing w:after="0" w:line="360" w:lineRule="auto"/>
        <w:jc w:val="both"/>
        <w:rPr>
          <w:rFonts w:ascii="Arial" w:hAnsi="Arial" w:cs="Arial"/>
          <w:sz w:val="24"/>
          <w:szCs w:val="24"/>
        </w:rPr>
      </w:pPr>
    </w:p>
    <w:p w:rsidR="00107D82" w:rsidRPr="00107D82" w:rsidRDefault="00107D82" w:rsidP="0099115A">
      <w:pPr>
        <w:spacing w:after="0" w:line="360" w:lineRule="auto"/>
        <w:jc w:val="both"/>
        <w:rPr>
          <w:rFonts w:ascii="Arial" w:hAnsi="Arial" w:cs="Arial"/>
          <w:sz w:val="24"/>
          <w:szCs w:val="24"/>
          <w:u w:val="single"/>
        </w:rPr>
      </w:pPr>
      <w:r w:rsidRPr="00107D82">
        <w:rPr>
          <w:rFonts w:ascii="Arial" w:hAnsi="Arial" w:cs="Arial"/>
          <w:sz w:val="24"/>
          <w:szCs w:val="24"/>
          <w:u w:val="single"/>
        </w:rPr>
        <w:t>The Legislative framework and its application</w:t>
      </w:r>
    </w:p>
    <w:p w:rsidR="00107D82" w:rsidRDefault="00107D82" w:rsidP="0099115A">
      <w:pPr>
        <w:spacing w:after="0" w:line="360" w:lineRule="auto"/>
        <w:jc w:val="both"/>
        <w:rPr>
          <w:rFonts w:ascii="Arial" w:hAnsi="Arial" w:cs="Arial"/>
          <w:sz w:val="24"/>
          <w:szCs w:val="24"/>
        </w:rPr>
      </w:pPr>
    </w:p>
    <w:p w:rsidR="00CE6218" w:rsidRDefault="00CE6218" w:rsidP="0099115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F4209">
        <w:rPr>
          <w:rFonts w:ascii="Arial" w:hAnsi="Arial" w:cs="Arial"/>
          <w:sz w:val="24"/>
          <w:szCs w:val="24"/>
        </w:rPr>
        <w:t>I</w:t>
      </w:r>
      <w:r w:rsidR="008C2F7A">
        <w:rPr>
          <w:rFonts w:ascii="Arial" w:hAnsi="Arial" w:cs="Arial"/>
          <w:sz w:val="24"/>
          <w:szCs w:val="24"/>
        </w:rPr>
        <w:t>n terms of the Value-</w:t>
      </w:r>
      <w:r w:rsidR="00FB6984" w:rsidRPr="00044CE7">
        <w:rPr>
          <w:rFonts w:ascii="Arial" w:hAnsi="Arial" w:cs="Arial"/>
          <w:sz w:val="24"/>
          <w:szCs w:val="24"/>
        </w:rPr>
        <w:t>Added Tax Act</w:t>
      </w:r>
      <w:r w:rsidR="008C2F7A">
        <w:rPr>
          <w:rFonts w:ascii="Arial" w:hAnsi="Arial" w:cs="Arial"/>
          <w:sz w:val="24"/>
          <w:szCs w:val="24"/>
        </w:rPr>
        <w:t xml:space="preserve"> 10 of 2000</w:t>
      </w:r>
      <w:r w:rsidR="00FB6984" w:rsidRPr="00044CE7">
        <w:rPr>
          <w:rFonts w:ascii="Arial" w:hAnsi="Arial" w:cs="Arial"/>
          <w:sz w:val="24"/>
          <w:szCs w:val="24"/>
        </w:rPr>
        <w:t>, purchase</w:t>
      </w:r>
      <w:r w:rsidR="00B54E0D">
        <w:rPr>
          <w:rFonts w:ascii="Arial" w:hAnsi="Arial" w:cs="Arial"/>
          <w:sz w:val="24"/>
          <w:szCs w:val="24"/>
        </w:rPr>
        <w:t>r</w:t>
      </w:r>
      <w:r w:rsidR="00FB6984" w:rsidRPr="00044CE7">
        <w:rPr>
          <w:rFonts w:ascii="Arial" w:hAnsi="Arial" w:cs="Arial"/>
          <w:sz w:val="24"/>
          <w:szCs w:val="24"/>
        </w:rPr>
        <w:t>s of most goods in Nami</w:t>
      </w:r>
      <w:r w:rsidR="009656CC">
        <w:rPr>
          <w:rFonts w:ascii="Arial" w:hAnsi="Arial" w:cs="Arial"/>
          <w:sz w:val="24"/>
          <w:szCs w:val="24"/>
        </w:rPr>
        <w:t>bia are required to pay a value-</w:t>
      </w:r>
      <w:r w:rsidR="00FB6984" w:rsidRPr="00044CE7">
        <w:rPr>
          <w:rFonts w:ascii="Arial" w:hAnsi="Arial" w:cs="Arial"/>
          <w:sz w:val="24"/>
          <w:szCs w:val="24"/>
        </w:rPr>
        <w:t>added tax based upon a per</w:t>
      </w:r>
      <w:r w:rsidR="00FE485E">
        <w:rPr>
          <w:rFonts w:ascii="Arial" w:hAnsi="Arial" w:cs="Arial"/>
          <w:sz w:val="24"/>
          <w:szCs w:val="24"/>
        </w:rPr>
        <w:t>centage of the purchase price of</w:t>
      </w:r>
      <w:r w:rsidR="00FB6984" w:rsidRPr="00044CE7">
        <w:rPr>
          <w:rFonts w:ascii="Arial" w:hAnsi="Arial" w:cs="Arial"/>
          <w:sz w:val="24"/>
          <w:szCs w:val="24"/>
        </w:rPr>
        <w:t xml:space="preserve"> th</w:t>
      </w:r>
      <w:r w:rsidR="00FE485E">
        <w:rPr>
          <w:rFonts w:ascii="Arial" w:hAnsi="Arial" w:cs="Arial"/>
          <w:sz w:val="24"/>
          <w:szCs w:val="24"/>
        </w:rPr>
        <w:t>e goods purchased. However, a</w:t>
      </w:r>
      <w:r w:rsidR="00FB6984" w:rsidRPr="00044CE7">
        <w:rPr>
          <w:rFonts w:ascii="Arial" w:hAnsi="Arial" w:cs="Arial"/>
          <w:sz w:val="24"/>
          <w:szCs w:val="24"/>
        </w:rPr>
        <w:t xml:space="preserve"> foreign national who purchases goods in </w:t>
      </w:r>
      <w:r w:rsidR="00FB6984" w:rsidRPr="00044CE7">
        <w:rPr>
          <w:rFonts w:ascii="Arial" w:hAnsi="Arial" w:cs="Arial"/>
          <w:sz w:val="24"/>
          <w:szCs w:val="24"/>
        </w:rPr>
        <w:lastRenderedPageBreak/>
        <w:t>Namibia and then exports the goods is entitled t</w:t>
      </w:r>
      <w:r w:rsidR="009656CC">
        <w:rPr>
          <w:rFonts w:ascii="Arial" w:hAnsi="Arial" w:cs="Arial"/>
          <w:sz w:val="24"/>
          <w:szCs w:val="24"/>
        </w:rPr>
        <w:t>o reclaim the value-</w:t>
      </w:r>
      <w:r w:rsidR="00FB6984" w:rsidRPr="00044CE7">
        <w:rPr>
          <w:rFonts w:ascii="Arial" w:hAnsi="Arial" w:cs="Arial"/>
          <w:sz w:val="24"/>
          <w:szCs w:val="24"/>
        </w:rPr>
        <w:t>added tax paid</w:t>
      </w:r>
      <w:r w:rsidR="009656CC">
        <w:rPr>
          <w:rFonts w:ascii="Arial" w:hAnsi="Arial" w:cs="Arial"/>
          <w:sz w:val="24"/>
          <w:szCs w:val="24"/>
        </w:rPr>
        <w:t>,</w:t>
      </w:r>
      <w:r w:rsidR="00FB6984" w:rsidRPr="00044CE7">
        <w:rPr>
          <w:rFonts w:ascii="Arial" w:hAnsi="Arial" w:cs="Arial"/>
          <w:sz w:val="24"/>
          <w:szCs w:val="24"/>
        </w:rPr>
        <w:t xml:space="preserve"> once the goods are</w:t>
      </w:r>
      <w:r w:rsidR="00FE485E">
        <w:rPr>
          <w:rFonts w:ascii="Arial" w:hAnsi="Arial" w:cs="Arial"/>
          <w:sz w:val="24"/>
          <w:szCs w:val="24"/>
        </w:rPr>
        <w:t xml:space="preserve"> exported. This function rests</w:t>
      </w:r>
      <w:r w:rsidR="00FB6984" w:rsidRPr="00044CE7">
        <w:rPr>
          <w:rFonts w:ascii="Arial" w:hAnsi="Arial" w:cs="Arial"/>
          <w:sz w:val="24"/>
          <w:szCs w:val="24"/>
        </w:rPr>
        <w:t xml:space="preserve"> ultimate</w:t>
      </w:r>
      <w:r>
        <w:rPr>
          <w:rFonts w:ascii="Arial" w:hAnsi="Arial" w:cs="Arial"/>
          <w:sz w:val="24"/>
          <w:szCs w:val="24"/>
        </w:rPr>
        <w:t>ly in the Ministry of Finance.</w:t>
      </w:r>
    </w:p>
    <w:p w:rsidR="00107D82" w:rsidRDefault="00107D82" w:rsidP="0099115A">
      <w:pPr>
        <w:spacing w:after="0" w:line="360" w:lineRule="auto"/>
        <w:jc w:val="both"/>
        <w:rPr>
          <w:rFonts w:ascii="Arial" w:hAnsi="Arial" w:cs="Arial"/>
          <w:sz w:val="24"/>
          <w:szCs w:val="24"/>
        </w:rPr>
      </w:pPr>
    </w:p>
    <w:p w:rsidR="00CE6218" w:rsidRDefault="00CE6218" w:rsidP="0099115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B6984" w:rsidRPr="00044CE7">
        <w:rPr>
          <w:rFonts w:ascii="Arial" w:hAnsi="Arial" w:cs="Arial"/>
          <w:sz w:val="24"/>
          <w:szCs w:val="24"/>
        </w:rPr>
        <w:t>According to the evidence, the function o</w:t>
      </w:r>
      <w:r w:rsidR="00FE485E">
        <w:rPr>
          <w:rFonts w:ascii="Arial" w:hAnsi="Arial" w:cs="Arial"/>
          <w:sz w:val="24"/>
          <w:szCs w:val="24"/>
        </w:rPr>
        <w:t>f adm</w:t>
      </w:r>
      <w:r w:rsidR="009656CC">
        <w:rPr>
          <w:rFonts w:ascii="Arial" w:hAnsi="Arial" w:cs="Arial"/>
          <w:sz w:val="24"/>
          <w:szCs w:val="24"/>
        </w:rPr>
        <w:t>inistering the claims for value-added t</w:t>
      </w:r>
      <w:r w:rsidR="00FB6984" w:rsidRPr="00044CE7">
        <w:rPr>
          <w:rFonts w:ascii="Arial" w:hAnsi="Arial" w:cs="Arial"/>
          <w:sz w:val="24"/>
          <w:szCs w:val="24"/>
        </w:rPr>
        <w:t xml:space="preserve">ax refunds was sourced out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Cons</w:t>
      </w:r>
      <w:r w:rsidR="009656CC">
        <w:rPr>
          <w:rFonts w:ascii="Arial" w:hAnsi="Arial" w:cs="Arial"/>
          <w:sz w:val="24"/>
          <w:szCs w:val="24"/>
        </w:rPr>
        <w:t>ulting Service (Pty) Ltd</w:t>
      </w:r>
      <w:r w:rsidR="00FB6984" w:rsidRPr="00044CE7">
        <w:rPr>
          <w:rFonts w:ascii="Arial" w:hAnsi="Arial" w:cs="Arial"/>
          <w:sz w:val="24"/>
          <w:szCs w:val="24"/>
        </w:rPr>
        <w:t xml:space="preserve"> </w:t>
      </w:r>
      <w:r w:rsidR="009656CC" w:rsidRPr="00044CE7">
        <w:rPr>
          <w:rFonts w:ascii="Arial" w:hAnsi="Arial" w:cs="Arial"/>
          <w:sz w:val="24"/>
          <w:szCs w:val="24"/>
        </w:rPr>
        <w:t>(</w:t>
      </w:r>
      <w:r w:rsidR="009656CC">
        <w:rPr>
          <w:rFonts w:ascii="Arial" w:hAnsi="Arial" w:cs="Arial"/>
          <w:sz w:val="24"/>
          <w:szCs w:val="24"/>
        </w:rPr>
        <w:t xml:space="preserve">hereinafter referred to as </w:t>
      </w:r>
      <w:r w:rsidR="00107D82">
        <w:rPr>
          <w:rFonts w:ascii="Arial" w:hAnsi="Arial" w:cs="Arial"/>
          <w:sz w:val="24"/>
          <w:szCs w:val="24"/>
        </w:rPr>
        <w:t>‘</w:t>
      </w:r>
      <w:proofErr w:type="spellStart"/>
      <w:r w:rsidR="00FB6984" w:rsidRPr="00044CE7">
        <w:rPr>
          <w:rFonts w:ascii="Arial" w:hAnsi="Arial" w:cs="Arial"/>
          <w:sz w:val="24"/>
          <w:szCs w:val="24"/>
        </w:rPr>
        <w:t>Aveshe</w:t>
      </w:r>
      <w:proofErr w:type="spellEnd"/>
      <w:r w:rsidR="00107D82">
        <w:rPr>
          <w:rFonts w:ascii="Arial" w:hAnsi="Arial" w:cs="Arial"/>
          <w:sz w:val="24"/>
          <w:szCs w:val="24"/>
        </w:rPr>
        <w:t>’</w:t>
      </w:r>
      <w:r w:rsidR="00FB6984" w:rsidRPr="00044CE7">
        <w:rPr>
          <w:rFonts w:ascii="Arial" w:hAnsi="Arial" w:cs="Arial"/>
          <w:sz w:val="24"/>
          <w:szCs w:val="24"/>
        </w:rPr>
        <w:t xml:space="preserve">). It was the function of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to receive claims</w:t>
      </w:r>
      <w:r w:rsidR="00FE485E">
        <w:rPr>
          <w:rFonts w:ascii="Arial" w:hAnsi="Arial" w:cs="Arial"/>
          <w:sz w:val="24"/>
          <w:szCs w:val="24"/>
        </w:rPr>
        <w:t>, to check th</w:t>
      </w:r>
      <w:r w:rsidR="00FB6984" w:rsidRPr="00044CE7">
        <w:rPr>
          <w:rFonts w:ascii="Arial" w:hAnsi="Arial" w:cs="Arial"/>
          <w:sz w:val="24"/>
          <w:szCs w:val="24"/>
        </w:rPr>
        <w:t>e particulars provided and if satisfied</w:t>
      </w:r>
      <w:r w:rsidR="00FE485E">
        <w:rPr>
          <w:rFonts w:ascii="Arial" w:hAnsi="Arial" w:cs="Arial"/>
          <w:sz w:val="24"/>
          <w:szCs w:val="24"/>
        </w:rPr>
        <w:t>,</w:t>
      </w:r>
      <w:r w:rsidR="00FB6984" w:rsidRPr="00044CE7">
        <w:rPr>
          <w:rFonts w:ascii="Arial" w:hAnsi="Arial" w:cs="Arial"/>
          <w:sz w:val="24"/>
          <w:szCs w:val="24"/>
        </w:rPr>
        <w:t xml:space="preserve"> to forward the claims to the Ministry of Finance for approval</w:t>
      </w:r>
      <w:r w:rsidR="00107D82">
        <w:rPr>
          <w:rFonts w:ascii="Arial" w:hAnsi="Arial" w:cs="Arial"/>
          <w:sz w:val="24"/>
          <w:szCs w:val="24"/>
        </w:rPr>
        <w:t xml:space="preserve">. </w:t>
      </w:r>
      <w:r w:rsidR="00FB6984" w:rsidRPr="00044CE7">
        <w:rPr>
          <w:rFonts w:ascii="Arial" w:hAnsi="Arial" w:cs="Arial"/>
          <w:sz w:val="24"/>
          <w:szCs w:val="24"/>
        </w:rPr>
        <w:t xml:space="preserve">Once approved by the Ministry of Finance,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will arrange for the payment of the claim</w:t>
      </w:r>
      <w:r w:rsidR="009656CC">
        <w:rPr>
          <w:rFonts w:ascii="Arial" w:hAnsi="Arial" w:cs="Arial"/>
          <w:sz w:val="24"/>
          <w:szCs w:val="24"/>
        </w:rPr>
        <w:t>s submitted. A claim for a value-added t</w:t>
      </w:r>
      <w:r w:rsidR="00FB6984" w:rsidRPr="00044CE7">
        <w:rPr>
          <w:rFonts w:ascii="Arial" w:hAnsi="Arial" w:cs="Arial"/>
          <w:sz w:val="24"/>
          <w:szCs w:val="24"/>
        </w:rPr>
        <w:t>ax refund will typicall</w:t>
      </w:r>
      <w:r w:rsidR="009F270F">
        <w:rPr>
          <w:rFonts w:ascii="Arial" w:hAnsi="Arial" w:cs="Arial"/>
          <w:sz w:val="24"/>
          <w:szCs w:val="24"/>
        </w:rPr>
        <w:t xml:space="preserve">y require the completion of the </w:t>
      </w:r>
      <w:r w:rsidR="00FB6984" w:rsidRPr="00044CE7">
        <w:rPr>
          <w:rFonts w:ascii="Arial" w:hAnsi="Arial" w:cs="Arial"/>
          <w:sz w:val="24"/>
          <w:szCs w:val="24"/>
        </w:rPr>
        <w:t>VAT24</w:t>
      </w:r>
      <w:r w:rsidR="002B581E">
        <w:rPr>
          <w:rFonts w:ascii="Arial" w:hAnsi="Arial" w:cs="Arial"/>
          <w:sz w:val="24"/>
          <w:szCs w:val="24"/>
        </w:rPr>
        <w:t xml:space="preserve"> form</w:t>
      </w:r>
      <w:r w:rsidR="00FB6984" w:rsidRPr="00044CE7">
        <w:rPr>
          <w:rFonts w:ascii="Arial" w:hAnsi="Arial" w:cs="Arial"/>
          <w:sz w:val="24"/>
          <w:szCs w:val="24"/>
        </w:rPr>
        <w:t xml:space="preserve">, a copy of the passport of the claimant, the sales invoice or invoices and proof of </w:t>
      </w:r>
      <w:r w:rsidR="00107D82">
        <w:rPr>
          <w:rFonts w:ascii="Arial" w:hAnsi="Arial" w:cs="Arial"/>
          <w:sz w:val="24"/>
          <w:szCs w:val="24"/>
        </w:rPr>
        <w:t xml:space="preserve">export of the goods purchased. </w:t>
      </w:r>
      <w:r w:rsidR="00FB6984" w:rsidRPr="00044CE7">
        <w:rPr>
          <w:rFonts w:ascii="Arial" w:hAnsi="Arial" w:cs="Arial"/>
          <w:sz w:val="24"/>
          <w:szCs w:val="24"/>
        </w:rPr>
        <w:t xml:space="preserve">Proof of export of the goods purchased requires the submission of </w:t>
      </w:r>
      <w:r w:rsidR="009F270F" w:rsidRPr="00044CE7">
        <w:rPr>
          <w:rFonts w:ascii="Arial" w:hAnsi="Arial" w:cs="Arial"/>
          <w:sz w:val="24"/>
          <w:szCs w:val="24"/>
        </w:rPr>
        <w:t>a</w:t>
      </w:r>
      <w:r w:rsidR="00FB6984" w:rsidRPr="00044CE7">
        <w:rPr>
          <w:rFonts w:ascii="Arial" w:hAnsi="Arial" w:cs="Arial"/>
          <w:sz w:val="24"/>
          <w:szCs w:val="24"/>
        </w:rPr>
        <w:t xml:space="preserve"> </w:t>
      </w:r>
      <w:r w:rsidR="009F270F" w:rsidRPr="00044CE7">
        <w:rPr>
          <w:rFonts w:ascii="Arial" w:hAnsi="Arial" w:cs="Arial"/>
          <w:sz w:val="24"/>
          <w:szCs w:val="24"/>
        </w:rPr>
        <w:t>SAD500</w:t>
      </w:r>
      <w:r w:rsidR="002B581E">
        <w:rPr>
          <w:rFonts w:ascii="Arial" w:hAnsi="Arial" w:cs="Arial"/>
          <w:sz w:val="24"/>
          <w:szCs w:val="24"/>
        </w:rPr>
        <w:t xml:space="preserve"> </w:t>
      </w:r>
      <w:r w:rsidR="002B581E" w:rsidRPr="00044CE7">
        <w:rPr>
          <w:rFonts w:ascii="Arial" w:hAnsi="Arial" w:cs="Arial"/>
          <w:sz w:val="24"/>
          <w:szCs w:val="24"/>
        </w:rPr>
        <w:t xml:space="preserve">Declaration </w:t>
      </w:r>
      <w:r w:rsidR="002B581E">
        <w:rPr>
          <w:rFonts w:ascii="Arial" w:hAnsi="Arial" w:cs="Arial"/>
          <w:sz w:val="24"/>
          <w:szCs w:val="24"/>
        </w:rPr>
        <w:t>f</w:t>
      </w:r>
      <w:r w:rsidR="002B581E" w:rsidRPr="00044CE7">
        <w:rPr>
          <w:rFonts w:ascii="Arial" w:hAnsi="Arial" w:cs="Arial"/>
          <w:sz w:val="24"/>
          <w:szCs w:val="24"/>
        </w:rPr>
        <w:t>orm</w:t>
      </w:r>
      <w:r w:rsidR="00FB6984" w:rsidRPr="00044CE7">
        <w:rPr>
          <w:rFonts w:ascii="Arial" w:hAnsi="Arial" w:cs="Arial"/>
          <w:sz w:val="24"/>
          <w:szCs w:val="24"/>
        </w:rPr>
        <w:t xml:space="preserve"> that the goods were in fact exported from Namibia</w:t>
      </w:r>
      <w:r w:rsidR="009656CC">
        <w:rPr>
          <w:rFonts w:ascii="Arial" w:hAnsi="Arial" w:cs="Arial"/>
          <w:sz w:val="24"/>
          <w:szCs w:val="24"/>
        </w:rPr>
        <w:t>,</w:t>
      </w:r>
      <w:r w:rsidR="00FB6984" w:rsidRPr="00044CE7">
        <w:rPr>
          <w:rFonts w:ascii="Arial" w:hAnsi="Arial" w:cs="Arial"/>
          <w:sz w:val="24"/>
          <w:szCs w:val="24"/>
        </w:rPr>
        <w:t xml:space="preserve"> which form must be included as I Indicated with the other documents when the</w:t>
      </w:r>
      <w:r w:rsidR="009656CC">
        <w:rPr>
          <w:rFonts w:ascii="Arial" w:hAnsi="Arial" w:cs="Arial"/>
          <w:sz w:val="24"/>
          <w:szCs w:val="24"/>
        </w:rPr>
        <w:t xml:space="preserve"> claim is submitted.</w:t>
      </w:r>
    </w:p>
    <w:p w:rsidR="00107D82" w:rsidRDefault="00107D82" w:rsidP="0099115A">
      <w:pPr>
        <w:spacing w:after="0" w:line="360" w:lineRule="auto"/>
        <w:jc w:val="both"/>
        <w:rPr>
          <w:rFonts w:ascii="Arial" w:hAnsi="Arial" w:cs="Arial"/>
          <w:sz w:val="24"/>
          <w:szCs w:val="24"/>
        </w:rPr>
      </w:pPr>
    </w:p>
    <w:p w:rsidR="00C4719F" w:rsidRDefault="00CE6218" w:rsidP="0099115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54E0D">
        <w:rPr>
          <w:rFonts w:ascii="Arial" w:hAnsi="Arial" w:cs="Arial"/>
          <w:sz w:val="24"/>
          <w:szCs w:val="24"/>
        </w:rPr>
        <w:t>It is the case</w:t>
      </w:r>
      <w:r w:rsidR="00FB6984" w:rsidRPr="00044CE7">
        <w:rPr>
          <w:rFonts w:ascii="Arial" w:hAnsi="Arial" w:cs="Arial"/>
          <w:sz w:val="24"/>
          <w:szCs w:val="24"/>
        </w:rPr>
        <w:t xml:space="preserve"> for the State that fraud</w:t>
      </w:r>
      <w:r w:rsidR="009656CC">
        <w:rPr>
          <w:rFonts w:ascii="Arial" w:hAnsi="Arial" w:cs="Arial"/>
          <w:sz w:val="24"/>
          <w:szCs w:val="24"/>
        </w:rPr>
        <w:t>ulent claims were submitted by a</w:t>
      </w:r>
      <w:r w:rsidR="00FB6984" w:rsidRPr="00044CE7">
        <w:rPr>
          <w:rFonts w:ascii="Arial" w:hAnsi="Arial" w:cs="Arial"/>
          <w:sz w:val="24"/>
          <w:szCs w:val="24"/>
        </w:rPr>
        <w:t xml:space="preserve">ccused 2, 3, 4, 5, 7, 8, 9, 10, 11, 12 and 13. I pause to indicate that </w:t>
      </w:r>
      <w:r w:rsidR="00107D82">
        <w:rPr>
          <w:rFonts w:ascii="Arial" w:hAnsi="Arial" w:cs="Arial"/>
          <w:sz w:val="24"/>
          <w:szCs w:val="24"/>
        </w:rPr>
        <w:t>a</w:t>
      </w:r>
      <w:r w:rsidR="00FB6984" w:rsidRPr="00044CE7">
        <w:rPr>
          <w:rFonts w:ascii="Arial" w:hAnsi="Arial" w:cs="Arial"/>
          <w:sz w:val="24"/>
          <w:szCs w:val="24"/>
        </w:rPr>
        <w:t xml:space="preserve">ccused 13 is presently at large and I will not deal with his case any further. These claims were all submitted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together with the supporting documents to which I have referred</w:t>
      </w:r>
      <w:r w:rsidR="00FE485E">
        <w:rPr>
          <w:rFonts w:ascii="Arial" w:hAnsi="Arial" w:cs="Arial"/>
          <w:sz w:val="24"/>
          <w:szCs w:val="24"/>
        </w:rPr>
        <w:t>.</w:t>
      </w:r>
    </w:p>
    <w:p w:rsidR="00AA0D7A" w:rsidRDefault="00AA0D7A" w:rsidP="0099115A">
      <w:pPr>
        <w:spacing w:after="0" w:line="360" w:lineRule="auto"/>
        <w:jc w:val="both"/>
        <w:rPr>
          <w:rFonts w:ascii="Arial" w:hAnsi="Arial" w:cs="Arial"/>
          <w:sz w:val="24"/>
          <w:szCs w:val="24"/>
        </w:rPr>
      </w:pPr>
    </w:p>
    <w:p w:rsidR="00107D82" w:rsidRPr="00107D82" w:rsidRDefault="00107D82" w:rsidP="0099115A">
      <w:pPr>
        <w:spacing w:after="0" w:line="360" w:lineRule="auto"/>
        <w:jc w:val="both"/>
        <w:rPr>
          <w:rFonts w:ascii="Arial" w:hAnsi="Arial" w:cs="Arial"/>
          <w:sz w:val="24"/>
          <w:szCs w:val="24"/>
          <w:u w:val="single"/>
        </w:rPr>
      </w:pPr>
      <w:r w:rsidRPr="00107D82">
        <w:rPr>
          <w:rFonts w:ascii="Arial" w:hAnsi="Arial" w:cs="Arial"/>
          <w:sz w:val="24"/>
          <w:szCs w:val="24"/>
          <w:u w:val="single"/>
        </w:rPr>
        <w:t>The facts giving rise to the charges</w:t>
      </w:r>
    </w:p>
    <w:p w:rsidR="00107D82" w:rsidRDefault="00107D82" w:rsidP="0099115A">
      <w:pPr>
        <w:spacing w:after="0" w:line="360" w:lineRule="auto"/>
        <w:jc w:val="both"/>
        <w:rPr>
          <w:rFonts w:ascii="Arial" w:hAnsi="Arial" w:cs="Arial"/>
          <w:sz w:val="24"/>
          <w:szCs w:val="24"/>
        </w:rPr>
      </w:pPr>
    </w:p>
    <w:p w:rsidR="00CE6218" w:rsidRDefault="00CE6218" w:rsidP="0099115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E485E">
        <w:rPr>
          <w:rFonts w:ascii="Arial" w:hAnsi="Arial" w:cs="Arial"/>
          <w:sz w:val="24"/>
          <w:szCs w:val="24"/>
        </w:rPr>
        <w:t>Acting on</w:t>
      </w:r>
      <w:r w:rsidR="00FB6984" w:rsidRPr="00044CE7">
        <w:rPr>
          <w:rFonts w:ascii="Arial" w:hAnsi="Arial" w:cs="Arial"/>
          <w:sz w:val="24"/>
          <w:szCs w:val="24"/>
        </w:rPr>
        <w:t xml:space="preserve"> information it had received, </w:t>
      </w:r>
      <w:r w:rsidR="009656CC">
        <w:rPr>
          <w:rFonts w:ascii="Arial" w:hAnsi="Arial" w:cs="Arial"/>
          <w:sz w:val="24"/>
          <w:szCs w:val="24"/>
        </w:rPr>
        <w:t xml:space="preserve">the </w:t>
      </w:r>
      <w:r w:rsidR="00FB6984" w:rsidRPr="00044CE7">
        <w:rPr>
          <w:rFonts w:ascii="Arial" w:hAnsi="Arial" w:cs="Arial"/>
          <w:sz w:val="24"/>
          <w:szCs w:val="24"/>
        </w:rPr>
        <w:t xml:space="preserve">ACC arranged with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to summon the claim</w:t>
      </w:r>
      <w:r w:rsidR="00FE485E">
        <w:rPr>
          <w:rFonts w:ascii="Arial" w:hAnsi="Arial" w:cs="Arial"/>
          <w:sz w:val="24"/>
          <w:szCs w:val="24"/>
        </w:rPr>
        <w:t>ant</w:t>
      </w:r>
      <w:r w:rsidR="00FB6984" w:rsidRPr="00044CE7">
        <w:rPr>
          <w:rFonts w:ascii="Arial" w:hAnsi="Arial" w:cs="Arial"/>
          <w:sz w:val="24"/>
          <w:szCs w:val="24"/>
        </w:rPr>
        <w:t xml:space="preserve">s to the offices of </w:t>
      </w:r>
      <w:proofErr w:type="spellStart"/>
      <w:r w:rsidR="00FB6984" w:rsidRPr="00044CE7">
        <w:rPr>
          <w:rFonts w:ascii="Arial" w:hAnsi="Arial" w:cs="Arial"/>
          <w:sz w:val="24"/>
          <w:szCs w:val="24"/>
        </w:rPr>
        <w:t>Aveshe</w:t>
      </w:r>
      <w:proofErr w:type="spellEnd"/>
      <w:r w:rsidR="009656CC">
        <w:rPr>
          <w:rFonts w:ascii="Arial" w:hAnsi="Arial" w:cs="Arial"/>
          <w:sz w:val="24"/>
          <w:szCs w:val="24"/>
        </w:rPr>
        <w:t>,</w:t>
      </w:r>
      <w:r w:rsidR="00FB6984" w:rsidRPr="00044CE7">
        <w:rPr>
          <w:rFonts w:ascii="Arial" w:hAnsi="Arial" w:cs="Arial"/>
          <w:sz w:val="24"/>
          <w:szCs w:val="24"/>
        </w:rPr>
        <w:t xml:space="preserve"> ostensibly for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to make payment in respect of the claim</w:t>
      </w:r>
      <w:r w:rsidR="00FE485E">
        <w:rPr>
          <w:rFonts w:ascii="Arial" w:hAnsi="Arial" w:cs="Arial"/>
          <w:sz w:val="24"/>
          <w:szCs w:val="24"/>
        </w:rPr>
        <w:t>s</w:t>
      </w:r>
      <w:r w:rsidR="00FB6984" w:rsidRPr="00044CE7">
        <w:rPr>
          <w:rFonts w:ascii="Arial" w:hAnsi="Arial" w:cs="Arial"/>
          <w:sz w:val="24"/>
          <w:szCs w:val="24"/>
        </w:rPr>
        <w:t xml:space="preserve"> submitted. The meeting was scheduled for 1</w:t>
      </w:r>
      <w:r w:rsidR="00FB6984" w:rsidRPr="00044CE7">
        <w:rPr>
          <w:rFonts w:ascii="Arial" w:hAnsi="Arial" w:cs="Arial"/>
          <w:sz w:val="24"/>
          <w:szCs w:val="24"/>
          <w:vertAlign w:val="superscript"/>
        </w:rPr>
        <w:t>st</w:t>
      </w:r>
      <w:r w:rsidR="00FB6984" w:rsidRPr="00044CE7">
        <w:rPr>
          <w:rFonts w:ascii="Arial" w:hAnsi="Arial" w:cs="Arial"/>
          <w:sz w:val="24"/>
          <w:szCs w:val="24"/>
        </w:rPr>
        <w:t xml:space="preserve"> December </w:t>
      </w:r>
      <w:r w:rsidR="009656CC">
        <w:rPr>
          <w:rFonts w:ascii="Arial" w:hAnsi="Arial" w:cs="Arial"/>
          <w:sz w:val="24"/>
          <w:szCs w:val="24"/>
        </w:rPr>
        <w:t>2015. It is not disputed that a</w:t>
      </w:r>
      <w:r w:rsidR="00FB6984" w:rsidRPr="00044CE7">
        <w:rPr>
          <w:rFonts w:ascii="Arial" w:hAnsi="Arial" w:cs="Arial"/>
          <w:sz w:val="24"/>
          <w:szCs w:val="24"/>
        </w:rPr>
        <w:t>ccused 2, 3, 4, 5, 7, 8, 9, 10, 11, 1</w:t>
      </w:r>
      <w:r w:rsidR="009F270F">
        <w:rPr>
          <w:rFonts w:ascii="Arial" w:hAnsi="Arial" w:cs="Arial"/>
          <w:sz w:val="24"/>
          <w:szCs w:val="24"/>
        </w:rPr>
        <w:t xml:space="preserve">2 and 13 attended the meeting. </w:t>
      </w:r>
      <w:r w:rsidR="00FB6984" w:rsidRPr="00044CE7">
        <w:rPr>
          <w:rFonts w:ascii="Arial" w:hAnsi="Arial" w:cs="Arial"/>
          <w:sz w:val="24"/>
          <w:szCs w:val="24"/>
        </w:rPr>
        <w:t>They were arrested at the pr</w:t>
      </w:r>
      <w:r w:rsidR="009656CC">
        <w:rPr>
          <w:rFonts w:ascii="Arial" w:hAnsi="Arial" w:cs="Arial"/>
          <w:sz w:val="24"/>
          <w:szCs w:val="24"/>
        </w:rPr>
        <w:t xml:space="preserve">emises of </w:t>
      </w:r>
      <w:proofErr w:type="spellStart"/>
      <w:r w:rsidR="009656CC">
        <w:rPr>
          <w:rFonts w:ascii="Arial" w:hAnsi="Arial" w:cs="Arial"/>
          <w:sz w:val="24"/>
          <w:szCs w:val="24"/>
        </w:rPr>
        <w:t>Aveshe</w:t>
      </w:r>
      <w:proofErr w:type="spellEnd"/>
      <w:r w:rsidR="009656CC">
        <w:rPr>
          <w:rFonts w:ascii="Arial" w:hAnsi="Arial" w:cs="Arial"/>
          <w:sz w:val="24"/>
          <w:szCs w:val="24"/>
        </w:rPr>
        <w:t xml:space="preserve"> together with a</w:t>
      </w:r>
      <w:r w:rsidR="00FB6984" w:rsidRPr="00044CE7">
        <w:rPr>
          <w:rFonts w:ascii="Arial" w:hAnsi="Arial" w:cs="Arial"/>
          <w:sz w:val="24"/>
          <w:szCs w:val="24"/>
        </w:rPr>
        <w:t xml:space="preserve">ccused 1 by members of the ACC and the Namibian Police Force. A large number of documents were seized. Accused 1 once arrested, was escorted to the flat where she resided with </w:t>
      </w:r>
      <w:r w:rsidR="009F270F">
        <w:rPr>
          <w:rFonts w:ascii="Arial" w:hAnsi="Arial" w:cs="Arial"/>
          <w:sz w:val="24"/>
          <w:szCs w:val="24"/>
        </w:rPr>
        <w:t>a</w:t>
      </w:r>
      <w:r w:rsidR="00FB6984" w:rsidRPr="00044CE7">
        <w:rPr>
          <w:rFonts w:ascii="Arial" w:hAnsi="Arial" w:cs="Arial"/>
          <w:sz w:val="24"/>
          <w:szCs w:val="24"/>
        </w:rPr>
        <w:t>ccused 14 at the time. A search was conducted and further documents allegedly in her possession were seized by the Namibian Police and handed over to the ACC. The admissibility of that part of the evidence was challen</w:t>
      </w:r>
      <w:r w:rsidR="009656CC">
        <w:rPr>
          <w:rFonts w:ascii="Arial" w:hAnsi="Arial" w:cs="Arial"/>
          <w:sz w:val="24"/>
          <w:szCs w:val="24"/>
        </w:rPr>
        <w:t>ged by a</w:t>
      </w:r>
      <w:r w:rsidR="00CA11CB">
        <w:rPr>
          <w:rFonts w:ascii="Arial" w:hAnsi="Arial" w:cs="Arial"/>
          <w:sz w:val="24"/>
          <w:szCs w:val="24"/>
        </w:rPr>
        <w:t>ccused 1. Following a trial-within-a-t</w:t>
      </w:r>
      <w:r w:rsidR="00FB6984" w:rsidRPr="00044CE7">
        <w:rPr>
          <w:rFonts w:ascii="Arial" w:hAnsi="Arial" w:cs="Arial"/>
          <w:sz w:val="24"/>
          <w:szCs w:val="24"/>
        </w:rPr>
        <w:t xml:space="preserve">rial, I ruled in a </w:t>
      </w:r>
      <w:r w:rsidR="00FB6984" w:rsidRPr="00044CE7">
        <w:rPr>
          <w:rFonts w:ascii="Arial" w:hAnsi="Arial" w:cs="Arial"/>
          <w:sz w:val="24"/>
          <w:szCs w:val="24"/>
        </w:rPr>
        <w:lastRenderedPageBreak/>
        <w:t xml:space="preserve">separate </w:t>
      </w:r>
      <w:r w:rsidR="00FE485E">
        <w:rPr>
          <w:rFonts w:ascii="Arial" w:hAnsi="Arial" w:cs="Arial"/>
          <w:sz w:val="24"/>
          <w:szCs w:val="24"/>
        </w:rPr>
        <w:t>j</w:t>
      </w:r>
      <w:r w:rsidR="00FE485E" w:rsidRPr="00044CE7">
        <w:rPr>
          <w:rFonts w:ascii="Arial" w:hAnsi="Arial" w:cs="Arial"/>
          <w:sz w:val="24"/>
          <w:szCs w:val="24"/>
        </w:rPr>
        <w:t>udgment</w:t>
      </w:r>
      <w:r w:rsidR="00FB6984" w:rsidRPr="00044CE7">
        <w:rPr>
          <w:rFonts w:ascii="Arial" w:hAnsi="Arial" w:cs="Arial"/>
          <w:sz w:val="24"/>
          <w:szCs w:val="24"/>
        </w:rPr>
        <w:t xml:space="preserve"> that the evidence was admissi</w:t>
      </w:r>
      <w:r w:rsidR="009F270F">
        <w:rPr>
          <w:rFonts w:ascii="Arial" w:hAnsi="Arial" w:cs="Arial"/>
          <w:sz w:val="24"/>
          <w:szCs w:val="24"/>
        </w:rPr>
        <w:t xml:space="preserve">ble. </w:t>
      </w:r>
      <w:r w:rsidR="00FB6984" w:rsidRPr="00044CE7">
        <w:rPr>
          <w:rFonts w:ascii="Arial" w:hAnsi="Arial" w:cs="Arial"/>
          <w:sz w:val="24"/>
          <w:szCs w:val="24"/>
        </w:rPr>
        <w:t xml:space="preserve">I will consider in more detail the extent and impact of this evidence when I deal specifically with the application for the discharge of </w:t>
      </w:r>
      <w:r w:rsidR="009656CC">
        <w:rPr>
          <w:rFonts w:ascii="Arial" w:hAnsi="Arial" w:cs="Arial"/>
          <w:sz w:val="24"/>
          <w:szCs w:val="24"/>
        </w:rPr>
        <w:t>a</w:t>
      </w:r>
      <w:r w:rsidR="00CA11CB">
        <w:rPr>
          <w:rFonts w:ascii="Arial" w:hAnsi="Arial" w:cs="Arial"/>
          <w:sz w:val="24"/>
          <w:szCs w:val="24"/>
        </w:rPr>
        <w:t>ccused 1.</w:t>
      </w:r>
    </w:p>
    <w:p w:rsidR="000445A4" w:rsidRDefault="000445A4" w:rsidP="0099115A">
      <w:pPr>
        <w:spacing w:after="0" w:line="360" w:lineRule="auto"/>
        <w:jc w:val="both"/>
        <w:rPr>
          <w:rFonts w:ascii="Arial" w:hAnsi="Arial" w:cs="Arial"/>
          <w:sz w:val="24"/>
          <w:szCs w:val="24"/>
        </w:rPr>
      </w:pPr>
    </w:p>
    <w:p w:rsidR="00E97CA7" w:rsidRDefault="00CE6218" w:rsidP="00B428F2">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656CC">
        <w:rPr>
          <w:rFonts w:ascii="Arial" w:hAnsi="Arial" w:cs="Arial"/>
          <w:sz w:val="24"/>
          <w:szCs w:val="24"/>
        </w:rPr>
        <w:t xml:space="preserve">Accused 6 and </w:t>
      </w:r>
      <w:r w:rsidR="00FB6984" w:rsidRPr="00044CE7">
        <w:rPr>
          <w:rFonts w:ascii="Arial" w:hAnsi="Arial" w:cs="Arial"/>
          <w:sz w:val="24"/>
          <w:szCs w:val="24"/>
        </w:rPr>
        <w:t xml:space="preserve">14 were arrested at a later stage as </w:t>
      </w:r>
      <w:r w:rsidR="009656CC">
        <w:rPr>
          <w:rFonts w:ascii="Arial" w:hAnsi="Arial" w:cs="Arial"/>
          <w:sz w:val="24"/>
          <w:szCs w:val="24"/>
        </w:rPr>
        <w:t xml:space="preserve">the </w:t>
      </w:r>
      <w:r w:rsidR="00FB6984" w:rsidRPr="00044CE7">
        <w:rPr>
          <w:rFonts w:ascii="Arial" w:hAnsi="Arial" w:cs="Arial"/>
          <w:sz w:val="24"/>
          <w:szCs w:val="24"/>
        </w:rPr>
        <w:t>investigat</w:t>
      </w:r>
      <w:r w:rsidR="00CA11CB">
        <w:rPr>
          <w:rFonts w:ascii="Arial" w:hAnsi="Arial" w:cs="Arial"/>
          <w:sz w:val="24"/>
          <w:szCs w:val="24"/>
        </w:rPr>
        <w:t>ion unfolded and I will</w:t>
      </w:r>
      <w:r w:rsidR="00FB6984" w:rsidRPr="00044CE7">
        <w:rPr>
          <w:rFonts w:ascii="Arial" w:hAnsi="Arial" w:cs="Arial"/>
          <w:sz w:val="24"/>
          <w:szCs w:val="24"/>
        </w:rPr>
        <w:t xml:space="preserve"> deal with that in more detail when </w:t>
      </w:r>
      <w:r>
        <w:rPr>
          <w:rFonts w:ascii="Arial" w:hAnsi="Arial" w:cs="Arial"/>
          <w:sz w:val="24"/>
          <w:szCs w:val="24"/>
        </w:rPr>
        <w:t>I conside</w:t>
      </w:r>
      <w:r w:rsidR="009656CC">
        <w:rPr>
          <w:rFonts w:ascii="Arial" w:hAnsi="Arial" w:cs="Arial"/>
          <w:sz w:val="24"/>
          <w:szCs w:val="24"/>
        </w:rPr>
        <w:t>r their application</w:t>
      </w:r>
      <w:r>
        <w:rPr>
          <w:rFonts w:ascii="Arial" w:hAnsi="Arial" w:cs="Arial"/>
          <w:sz w:val="24"/>
          <w:szCs w:val="24"/>
        </w:rPr>
        <w:t>.</w:t>
      </w:r>
    </w:p>
    <w:p w:rsidR="00B428F2" w:rsidRDefault="00B428F2" w:rsidP="00B428F2">
      <w:pPr>
        <w:spacing w:after="0" w:line="360" w:lineRule="auto"/>
        <w:jc w:val="both"/>
        <w:rPr>
          <w:rFonts w:ascii="Arial" w:hAnsi="Arial" w:cs="Arial"/>
          <w:sz w:val="24"/>
          <w:szCs w:val="24"/>
        </w:rPr>
      </w:pPr>
    </w:p>
    <w:p w:rsidR="00B428F2" w:rsidRPr="00B428F2" w:rsidRDefault="00B428F2" w:rsidP="00B428F2">
      <w:pPr>
        <w:spacing w:after="0" w:line="360" w:lineRule="auto"/>
        <w:jc w:val="both"/>
        <w:rPr>
          <w:rFonts w:ascii="Arial" w:hAnsi="Arial" w:cs="Arial"/>
          <w:sz w:val="24"/>
          <w:szCs w:val="24"/>
          <w:u w:val="single"/>
        </w:rPr>
      </w:pPr>
      <w:r w:rsidRPr="00B428F2">
        <w:rPr>
          <w:rFonts w:ascii="Arial" w:hAnsi="Arial" w:cs="Arial"/>
          <w:sz w:val="24"/>
          <w:szCs w:val="24"/>
          <w:u w:val="single"/>
        </w:rPr>
        <w:t xml:space="preserve">The case against accused no. 2, 3, 4, 5, 7, 8, 9, 11 </w:t>
      </w:r>
      <w:r>
        <w:rPr>
          <w:rFonts w:ascii="Arial" w:hAnsi="Arial" w:cs="Arial"/>
          <w:sz w:val="24"/>
          <w:szCs w:val="24"/>
          <w:u w:val="single"/>
        </w:rPr>
        <w:t>and</w:t>
      </w:r>
      <w:r w:rsidRPr="00B428F2">
        <w:rPr>
          <w:rFonts w:ascii="Arial" w:hAnsi="Arial" w:cs="Arial"/>
          <w:sz w:val="24"/>
          <w:szCs w:val="24"/>
          <w:u w:val="single"/>
        </w:rPr>
        <w:t xml:space="preserve"> 12</w:t>
      </w:r>
    </w:p>
    <w:p w:rsidR="00B428F2" w:rsidRDefault="00B428F2" w:rsidP="00B428F2">
      <w:pPr>
        <w:spacing w:after="0" w:line="360" w:lineRule="auto"/>
        <w:jc w:val="both"/>
        <w:rPr>
          <w:rFonts w:ascii="Arial" w:hAnsi="Arial" w:cs="Arial"/>
          <w:sz w:val="24"/>
          <w:szCs w:val="24"/>
        </w:rPr>
      </w:pPr>
    </w:p>
    <w:p w:rsidR="00CB54DE" w:rsidRDefault="00CE6218" w:rsidP="0099115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B6984" w:rsidRPr="00044CE7">
        <w:rPr>
          <w:rFonts w:ascii="Arial" w:hAnsi="Arial" w:cs="Arial"/>
          <w:sz w:val="24"/>
          <w:szCs w:val="24"/>
        </w:rPr>
        <w:t>I turn to deal with th</w:t>
      </w:r>
      <w:r w:rsidR="009656CC">
        <w:rPr>
          <w:rFonts w:ascii="Arial" w:hAnsi="Arial" w:cs="Arial"/>
          <w:sz w:val="24"/>
          <w:szCs w:val="24"/>
        </w:rPr>
        <w:t>e application for discharge of a</w:t>
      </w:r>
      <w:r w:rsidR="00FB6984" w:rsidRPr="00044CE7">
        <w:rPr>
          <w:rFonts w:ascii="Arial" w:hAnsi="Arial" w:cs="Arial"/>
          <w:sz w:val="24"/>
          <w:szCs w:val="24"/>
        </w:rPr>
        <w:t>ccused 2, 3, 4, 5, 7,</w:t>
      </w:r>
      <w:r>
        <w:rPr>
          <w:rFonts w:ascii="Arial" w:hAnsi="Arial" w:cs="Arial"/>
          <w:sz w:val="24"/>
          <w:szCs w:val="24"/>
        </w:rPr>
        <w:t xml:space="preserve"> 8, 9</w:t>
      </w:r>
      <w:r w:rsidR="00FB6984" w:rsidRPr="00044CE7">
        <w:rPr>
          <w:rFonts w:ascii="Arial" w:hAnsi="Arial" w:cs="Arial"/>
          <w:sz w:val="24"/>
          <w:szCs w:val="24"/>
        </w:rPr>
        <w:t>, 11 and 12. It is convenient and sufficient for present purposes to deal wit</w:t>
      </w:r>
      <w:r w:rsidR="00B428F2">
        <w:rPr>
          <w:rFonts w:ascii="Arial" w:hAnsi="Arial" w:cs="Arial"/>
          <w:sz w:val="24"/>
          <w:szCs w:val="24"/>
        </w:rPr>
        <w:t xml:space="preserve">h these applications together. </w:t>
      </w:r>
      <w:r w:rsidR="00FB6984" w:rsidRPr="00044CE7">
        <w:rPr>
          <w:rFonts w:ascii="Arial" w:hAnsi="Arial" w:cs="Arial"/>
          <w:sz w:val="24"/>
          <w:szCs w:val="24"/>
        </w:rPr>
        <w:t>Th</w:t>
      </w:r>
      <w:r w:rsidR="009656CC">
        <w:rPr>
          <w:rFonts w:ascii="Arial" w:hAnsi="Arial" w:cs="Arial"/>
          <w:sz w:val="24"/>
          <w:szCs w:val="24"/>
        </w:rPr>
        <w:t>e evidence in respect of these a</w:t>
      </w:r>
      <w:r w:rsidR="00FB6984" w:rsidRPr="00044CE7">
        <w:rPr>
          <w:rFonts w:ascii="Arial" w:hAnsi="Arial" w:cs="Arial"/>
          <w:sz w:val="24"/>
          <w:szCs w:val="24"/>
        </w:rPr>
        <w:t>ccused follows by and large a similar pattern. In respect of each of them, the</w:t>
      </w:r>
      <w:r w:rsidR="00235E6C">
        <w:rPr>
          <w:rFonts w:ascii="Arial" w:hAnsi="Arial" w:cs="Arial"/>
          <w:sz w:val="24"/>
          <w:szCs w:val="24"/>
        </w:rPr>
        <w:t xml:space="preserve"> evidence establishes that value-added t</w:t>
      </w:r>
      <w:r w:rsidR="00FB6984" w:rsidRPr="00044CE7">
        <w:rPr>
          <w:rFonts w:ascii="Arial" w:hAnsi="Arial" w:cs="Arial"/>
          <w:sz w:val="24"/>
          <w:szCs w:val="24"/>
        </w:rPr>
        <w:t>ax refund claim</w:t>
      </w:r>
      <w:r w:rsidR="00235E6C">
        <w:rPr>
          <w:rFonts w:ascii="Arial" w:hAnsi="Arial" w:cs="Arial"/>
          <w:sz w:val="24"/>
          <w:szCs w:val="24"/>
        </w:rPr>
        <w:t>s were</w:t>
      </w:r>
      <w:r w:rsidR="00FB6984" w:rsidRPr="00044CE7">
        <w:rPr>
          <w:rFonts w:ascii="Arial" w:hAnsi="Arial" w:cs="Arial"/>
          <w:sz w:val="24"/>
          <w:szCs w:val="24"/>
        </w:rPr>
        <w:t xml:space="preserve"> submitted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together with the VAT24 form bearing at least the names</w:t>
      </w:r>
      <w:r w:rsidR="00235E6C">
        <w:rPr>
          <w:rFonts w:ascii="Arial" w:hAnsi="Arial" w:cs="Arial"/>
          <w:sz w:val="24"/>
          <w:szCs w:val="24"/>
        </w:rPr>
        <w:t xml:space="preserve"> and particulars of the a</w:t>
      </w:r>
      <w:r w:rsidR="00CB7AEC">
        <w:rPr>
          <w:rFonts w:ascii="Arial" w:hAnsi="Arial" w:cs="Arial"/>
          <w:sz w:val="24"/>
          <w:szCs w:val="24"/>
        </w:rPr>
        <w:t xml:space="preserve">ccused, the </w:t>
      </w:r>
      <w:r w:rsidR="00FB6984" w:rsidRPr="00044CE7">
        <w:rPr>
          <w:rFonts w:ascii="Arial" w:hAnsi="Arial" w:cs="Arial"/>
          <w:sz w:val="24"/>
          <w:szCs w:val="24"/>
        </w:rPr>
        <w:t>relevant sales invoices, copies of their passports and in respect of each</w:t>
      </w:r>
      <w:r w:rsidR="00CB7AEC">
        <w:rPr>
          <w:rFonts w:ascii="Arial" w:hAnsi="Arial" w:cs="Arial"/>
          <w:sz w:val="24"/>
          <w:szCs w:val="24"/>
        </w:rPr>
        <w:t xml:space="preserve"> claim an</w:t>
      </w:r>
      <w:r w:rsidR="00B428F2">
        <w:rPr>
          <w:rFonts w:ascii="Arial" w:hAnsi="Arial" w:cs="Arial"/>
          <w:sz w:val="24"/>
          <w:szCs w:val="24"/>
        </w:rPr>
        <w:t>d</w:t>
      </w:r>
      <w:r w:rsidR="00CB54DE">
        <w:rPr>
          <w:rFonts w:ascii="Arial" w:hAnsi="Arial" w:cs="Arial"/>
          <w:sz w:val="24"/>
          <w:szCs w:val="24"/>
        </w:rPr>
        <w:t xml:space="preserve"> SAD500 Declaration.</w:t>
      </w:r>
    </w:p>
    <w:p w:rsidR="00B428F2" w:rsidRDefault="00B428F2" w:rsidP="0099115A">
      <w:pPr>
        <w:spacing w:after="0" w:line="360" w:lineRule="auto"/>
        <w:jc w:val="both"/>
        <w:rPr>
          <w:rFonts w:ascii="Arial" w:hAnsi="Arial" w:cs="Arial"/>
          <w:sz w:val="24"/>
          <w:szCs w:val="24"/>
        </w:rPr>
      </w:pPr>
    </w:p>
    <w:p w:rsidR="00CE6218" w:rsidRDefault="00CB54DE" w:rsidP="0099115A">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B6984" w:rsidRPr="00044CE7">
        <w:rPr>
          <w:rFonts w:ascii="Arial" w:hAnsi="Arial" w:cs="Arial"/>
          <w:sz w:val="24"/>
          <w:szCs w:val="24"/>
        </w:rPr>
        <w:t>It wa</w:t>
      </w:r>
      <w:r w:rsidR="00235E6C">
        <w:rPr>
          <w:rFonts w:ascii="Arial" w:hAnsi="Arial" w:cs="Arial"/>
          <w:sz w:val="24"/>
          <w:szCs w:val="24"/>
        </w:rPr>
        <w:t>s contented on behalf of these accused that there is</w:t>
      </w:r>
      <w:r w:rsidR="00FB6984" w:rsidRPr="00044CE7">
        <w:rPr>
          <w:rFonts w:ascii="Arial" w:hAnsi="Arial" w:cs="Arial"/>
          <w:sz w:val="24"/>
          <w:szCs w:val="24"/>
        </w:rPr>
        <w:t xml:space="preserve"> no sufficient evidence </w:t>
      </w:r>
      <w:r w:rsidR="00FB6984" w:rsidRPr="002B581E">
        <w:rPr>
          <w:rFonts w:ascii="Arial" w:hAnsi="Arial" w:cs="Arial"/>
          <w:sz w:val="24"/>
          <w:szCs w:val="24"/>
        </w:rPr>
        <w:t xml:space="preserve">adduced that </w:t>
      </w:r>
      <w:r w:rsidR="00235E6C" w:rsidRPr="002B581E">
        <w:rPr>
          <w:rFonts w:ascii="Arial" w:hAnsi="Arial" w:cs="Arial"/>
          <w:sz w:val="24"/>
          <w:szCs w:val="24"/>
        </w:rPr>
        <w:t xml:space="preserve">the </w:t>
      </w:r>
      <w:r w:rsidR="00FB6984" w:rsidRPr="002B581E">
        <w:rPr>
          <w:rFonts w:ascii="Arial" w:hAnsi="Arial" w:cs="Arial"/>
          <w:sz w:val="24"/>
          <w:szCs w:val="24"/>
        </w:rPr>
        <w:t>SAD50</w:t>
      </w:r>
      <w:r w:rsidR="00585257" w:rsidRPr="002B581E">
        <w:rPr>
          <w:rFonts w:ascii="Arial" w:hAnsi="Arial" w:cs="Arial"/>
          <w:sz w:val="24"/>
          <w:szCs w:val="24"/>
        </w:rPr>
        <w:t>0 Declaration</w:t>
      </w:r>
      <w:r w:rsidR="00235E6C" w:rsidRPr="002B581E">
        <w:rPr>
          <w:rFonts w:ascii="Arial" w:hAnsi="Arial" w:cs="Arial"/>
          <w:sz w:val="24"/>
          <w:szCs w:val="24"/>
        </w:rPr>
        <w:t>s</w:t>
      </w:r>
      <w:r w:rsidR="00585257" w:rsidRPr="002B581E">
        <w:rPr>
          <w:rFonts w:ascii="Arial" w:hAnsi="Arial" w:cs="Arial"/>
          <w:sz w:val="24"/>
          <w:szCs w:val="24"/>
        </w:rPr>
        <w:t xml:space="preserve"> submitted by the a</w:t>
      </w:r>
      <w:r w:rsidR="00FB6984" w:rsidRPr="002B581E">
        <w:rPr>
          <w:rFonts w:ascii="Arial" w:hAnsi="Arial" w:cs="Arial"/>
          <w:sz w:val="24"/>
          <w:szCs w:val="24"/>
        </w:rPr>
        <w:t>ccused concerned were false</w:t>
      </w:r>
      <w:r w:rsidR="00235E6C" w:rsidRPr="002B581E">
        <w:rPr>
          <w:rFonts w:ascii="Arial" w:hAnsi="Arial" w:cs="Arial"/>
          <w:sz w:val="24"/>
          <w:szCs w:val="24"/>
        </w:rPr>
        <w:t>,</w:t>
      </w:r>
      <w:r w:rsidR="00FB6984" w:rsidRPr="002B581E">
        <w:rPr>
          <w:rFonts w:ascii="Arial" w:hAnsi="Arial" w:cs="Arial"/>
          <w:sz w:val="24"/>
          <w:szCs w:val="24"/>
        </w:rPr>
        <w:t xml:space="preserve"> and for t</w:t>
      </w:r>
      <w:r w:rsidR="00585257" w:rsidRPr="002B581E">
        <w:rPr>
          <w:rFonts w:ascii="Arial" w:hAnsi="Arial" w:cs="Arial"/>
          <w:sz w:val="24"/>
          <w:szCs w:val="24"/>
        </w:rPr>
        <w:t>hat matter</w:t>
      </w:r>
      <w:r w:rsidR="00235E6C" w:rsidRPr="002B581E">
        <w:rPr>
          <w:rFonts w:ascii="Arial" w:hAnsi="Arial" w:cs="Arial"/>
          <w:sz w:val="24"/>
          <w:szCs w:val="24"/>
        </w:rPr>
        <w:t>,</w:t>
      </w:r>
      <w:r w:rsidR="00585257" w:rsidRPr="002B581E">
        <w:rPr>
          <w:rFonts w:ascii="Arial" w:hAnsi="Arial" w:cs="Arial"/>
          <w:sz w:val="24"/>
          <w:szCs w:val="24"/>
        </w:rPr>
        <w:t xml:space="preserve"> that the a</w:t>
      </w:r>
      <w:r w:rsidR="00901C68" w:rsidRPr="002B581E">
        <w:rPr>
          <w:rFonts w:ascii="Arial" w:hAnsi="Arial" w:cs="Arial"/>
          <w:sz w:val="24"/>
          <w:szCs w:val="24"/>
        </w:rPr>
        <w:t>ccused</w:t>
      </w:r>
      <w:r w:rsidR="00FB6984" w:rsidRPr="002B581E">
        <w:rPr>
          <w:rFonts w:ascii="Arial" w:hAnsi="Arial" w:cs="Arial"/>
          <w:sz w:val="24"/>
          <w:szCs w:val="24"/>
        </w:rPr>
        <w:t xml:space="preserve"> in fact s</w:t>
      </w:r>
      <w:r w:rsidR="002B581E" w:rsidRPr="002B581E">
        <w:rPr>
          <w:rFonts w:ascii="Arial" w:hAnsi="Arial" w:cs="Arial"/>
          <w:sz w:val="24"/>
          <w:szCs w:val="24"/>
        </w:rPr>
        <w:t xml:space="preserve">ubmitted the claims to </w:t>
      </w:r>
      <w:proofErr w:type="spellStart"/>
      <w:r w:rsidR="002B581E" w:rsidRPr="002B581E">
        <w:rPr>
          <w:rFonts w:ascii="Arial" w:hAnsi="Arial" w:cs="Arial"/>
          <w:sz w:val="24"/>
          <w:szCs w:val="24"/>
        </w:rPr>
        <w:t>Aveshe</w:t>
      </w:r>
      <w:proofErr w:type="spellEnd"/>
      <w:r w:rsidR="002B581E" w:rsidRPr="002B581E">
        <w:rPr>
          <w:rFonts w:ascii="Arial" w:hAnsi="Arial" w:cs="Arial"/>
          <w:sz w:val="24"/>
          <w:szCs w:val="24"/>
        </w:rPr>
        <w:t xml:space="preserve">. </w:t>
      </w:r>
      <w:r w:rsidR="00FB6984" w:rsidRPr="002B581E">
        <w:rPr>
          <w:rFonts w:ascii="Arial" w:hAnsi="Arial" w:cs="Arial"/>
          <w:sz w:val="24"/>
          <w:szCs w:val="24"/>
        </w:rPr>
        <w:t xml:space="preserve">In regard to the first aspect, the State called </w:t>
      </w:r>
      <w:proofErr w:type="spellStart"/>
      <w:r w:rsidR="00FB6984" w:rsidRPr="002B581E">
        <w:rPr>
          <w:rFonts w:ascii="Arial" w:hAnsi="Arial" w:cs="Arial"/>
          <w:sz w:val="24"/>
          <w:szCs w:val="24"/>
        </w:rPr>
        <w:t>Mr</w:t>
      </w:r>
      <w:proofErr w:type="spellEnd"/>
      <w:r w:rsidR="00BE6ED7" w:rsidRPr="002B581E">
        <w:rPr>
          <w:rFonts w:ascii="Arial" w:hAnsi="Arial" w:cs="Arial"/>
          <w:sz w:val="24"/>
          <w:szCs w:val="24"/>
        </w:rPr>
        <w:t xml:space="preserve"> Paul </w:t>
      </w:r>
      <w:proofErr w:type="spellStart"/>
      <w:r w:rsidR="00BE6ED7" w:rsidRPr="002B581E">
        <w:rPr>
          <w:rFonts w:ascii="Arial" w:hAnsi="Arial" w:cs="Arial"/>
          <w:sz w:val="24"/>
          <w:szCs w:val="24"/>
        </w:rPr>
        <w:t>Lorencius</w:t>
      </w:r>
      <w:proofErr w:type="spellEnd"/>
      <w:r w:rsidR="00BE6ED7" w:rsidRPr="002B581E">
        <w:rPr>
          <w:rFonts w:ascii="Arial" w:hAnsi="Arial" w:cs="Arial"/>
          <w:sz w:val="24"/>
          <w:szCs w:val="24"/>
        </w:rPr>
        <w:t xml:space="preserve"> </w:t>
      </w:r>
      <w:proofErr w:type="spellStart"/>
      <w:r w:rsidR="00BE6ED7" w:rsidRPr="002B581E">
        <w:rPr>
          <w:rFonts w:ascii="Arial" w:hAnsi="Arial" w:cs="Arial"/>
          <w:sz w:val="24"/>
          <w:szCs w:val="24"/>
        </w:rPr>
        <w:t>Nakhom</w:t>
      </w:r>
      <w:proofErr w:type="spellEnd"/>
      <w:r w:rsidR="00FB6984" w:rsidRPr="002B581E">
        <w:rPr>
          <w:rFonts w:ascii="Arial" w:hAnsi="Arial" w:cs="Arial"/>
          <w:sz w:val="24"/>
          <w:szCs w:val="24"/>
        </w:rPr>
        <w:t xml:space="preserve"> as one </w:t>
      </w:r>
      <w:r w:rsidR="00235E6C" w:rsidRPr="002B581E">
        <w:rPr>
          <w:rFonts w:ascii="Arial" w:hAnsi="Arial" w:cs="Arial"/>
          <w:sz w:val="24"/>
          <w:szCs w:val="24"/>
        </w:rPr>
        <w:t>of its w</w:t>
      </w:r>
      <w:r w:rsidR="00FB6984" w:rsidRPr="002B581E">
        <w:rPr>
          <w:rFonts w:ascii="Arial" w:hAnsi="Arial" w:cs="Arial"/>
          <w:sz w:val="24"/>
          <w:szCs w:val="24"/>
        </w:rPr>
        <w:t xml:space="preserve">itnesses. </w:t>
      </w:r>
      <w:proofErr w:type="spellStart"/>
      <w:r w:rsidR="00BE6ED7" w:rsidRPr="002B581E">
        <w:rPr>
          <w:rFonts w:ascii="Arial" w:hAnsi="Arial" w:cs="Arial"/>
          <w:sz w:val="24"/>
          <w:szCs w:val="24"/>
        </w:rPr>
        <w:t>Mr</w:t>
      </w:r>
      <w:proofErr w:type="spellEnd"/>
      <w:r w:rsidR="00BE6ED7" w:rsidRPr="002B581E">
        <w:rPr>
          <w:rFonts w:ascii="Arial" w:hAnsi="Arial" w:cs="Arial"/>
          <w:sz w:val="24"/>
          <w:szCs w:val="24"/>
        </w:rPr>
        <w:t xml:space="preserve"> </w:t>
      </w:r>
      <w:proofErr w:type="spellStart"/>
      <w:r w:rsidR="00BE6ED7" w:rsidRPr="002B581E">
        <w:rPr>
          <w:rFonts w:ascii="Arial" w:hAnsi="Arial" w:cs="Arial"/>
          <w:sz w:val="24"/>
          <w:szCs w:val="24"/>
        </w:rPr>
        <w:t>Nakhom</w:t>
      </w:r>
      <w:proofErr w:type="spellEnd"/>
      <w:r w:rsidR="00BE6ED7" w:rsidRPr="002B581E">
        <w:rPr>
          <w:rFonts w:ascii="Arial" w:hAnsi="Arial" w:cs="Arial"/>
          <w:sz w:val="24"/>
          <w:szCs w:val="24"/>
        </w:rPr>
        <w:t xml:space="preserve"> </w:t>
      </w:r>
      <w:r w:rsidR="00FB6984" w:rsidRPr="002B581E">
        <w:rPr>
          <w:rFonts w:ascii="Arial" w:hAnsi="Arial" w:cs="Arial"/>
          <w:sz w:val="24"/>
          <w:szCs w:val="24"/>
        </w:rPr>
        <w:t>is employed by the M</w:t>
      </w:r>
      <w:r w:rsidR="00585257" w:rsidRPr="002B581E">
        <w:rPr>
          <w:rFonts w:ascii="Arial" w:hAnsi="Arial" w:cs="Arial"/>
          <w:sz w:val="24"/>
          <w:szCs w:val="24"/>
        </w:rPr>
        <w:t>inistry of Finance as the System’s</w:t>
      </w:r>
      <w:r w:rsidR="00FB6984" w:rsidRPr="002B581E">
        <w:rPr>
          <w:rFonts w:ascii="Arial" w:hAnsi="Arial" w:cs="Arial"/>
          <w:sz w:val="24"/>
          <w:szCs w:val="24"/>
        </w:rPr>
        <w:t xml:space="preserve"> Administrator of the so-called </w:t>
      </w:r>
      <w:proofErr w:type="spellStart"/>
      <w:r w:rsidR="00FB6984" w:rsidRPr="002B581E">
        <w:rPr>
          <w:rFonts w:ascii="Arial" w:hAnsi="Arial" w:cs="Arial"/>
          <w:sz w:val="24"/>
          <w:szCs w:val="24"/>
        </w:rPr>
        <w:t>As</w:t>
      </w:r>
      <w:r w:rsidR="00585257" w:rsidRPr="002B581E">
        <w:rPr>
          <w:rFonts w:ascii="Arial" w:hAnsi="Arial" w:cs="Arial"/>
          <w:sz w:val="24"/>
          <w:szCs w:val="24"/>
        </w:rPr>
        <w:t>s</w:t>
      </w:r>
      <w:r w:rsidR="002B581E" w:rsidRPr="002B581E">
        <w:rPr>
          <w:rFonts w:ascii="Arial" w:hAnsi="Arial" w:cs="Arial"/>
          <w:sz w:val="24"/>
          <w:szCs w:val="24"/>
        </w:rPr>
        <w:t>ycuda</w:t>
      </w:r>
      <w:proofErr w:type="spellEnd"/>
      <w:r w:rsidR="002B581E" w:rsidRPr="002B581E">
        <w:rPr>
          <w:rFonts w:ascii="Arial" w:hAnsi="Arial" w:cs="Arial"/>
          <w:sz w:val="24"/>
          <w:szCs w:val="24"/>
        </w:rPr>
        <w:t xml:space="preserve"> System. </w:t>
      </w:r>
      <w:r w:rsidR="00FB6984" w:rsidRPr="002B581E">
        <w:rPr>
          <w:rFonts w:ascii="Arial" w:hAnsi="Arial" w:cs="Arial"/>
          <w:sz w:val="24"/>
          <w:szCs w:val="24"/>
        </w:rPr>
        <w:t xml:space="preserve">The </w:t>
      </w:r>
      <w:proofErr w:type="spellStart"/>
      <w:r w:rsidR="00FB6984" w:rsidRPr="002B581E">
        <w:rPr>
          <w:rFonts w:ascii="Arial" w:hAnsi="Arial" w:cs="Arial"/>
          <w:sz w:val="24"/>
          <w:szCs w:val="24"/>
        </w:rPr>
        <w:t>As</w:t>
      </w:r>
      <w:r w:rsidR="00585257" w:rsidRPr="002B581E">
        <w:rPr>
          <w:rFonts w:ascii="Arial" w:hAnsi="Arial" w:cs="Arial"/>
          <w:sz w:val="24"/>
          <w:szCs w:val="24"/>
        </w:rPr>
        <w:t>s</w:t>
      </w:r>
      <w:r w:rsidR="00FB6984" w:rsidRPr="002B581E">
        <w:rPr>
          <w:rFonts w:ascii="Arial" w:hAnsi="Arial" w:cs="Arial"/>
          <w:sz w:val="24"/>
          <w:szCs w:val="24"/>
        </w:rPr>
        <w:t>ycuda</w:t>
      </w:r>
      <w:proofErr w:type="spellEnd"/>
      <w:r w:rsidR="00FB6984" w:rsidRPr="002B581E">
        <w:rPr>
          <w:rFonts w:ascii="Arial" w:hAnsi="Arial" w:cs="Arial"/>
          <w:sz w:val="24"/>
          <w:szCs w:val="24"/>
        </w:rPr>
        <w:t xml:space="preserve"> System is a </w:t>
      </w:r>
      <w:r w:rsidR="00585257" w:rsidRPr="002B581E">
        <w:rPr>
          <w:rFonts w:ascii="Arial" w:hAnsi="Arial" w:cs="Arial"/>
          <w:sz w:val="24"/>
          <w:szCs w:val="24"/>
        </w:rPr>
        <w:t>computerized</w:t>
      </w:r>
      <w:r w:rsidR="00FB6984" w:rsidRPr="002B581E">
        <w:rPr>
          <w:rFonts w:ascii="Arial" w:hAnsi="Arial" w:cs="Arial"/>
          <w:sz w:val="24"/>
          <w:szCs w:val="24"/>
        </w:rPr>
        <w:t xml:space="preserve"> program which generates and stores SAD500 Declarations and the particulars recorded on them. It is not freely available and only persons such as custo</w:t>
      </w:r>
      <w:r w:rsidR="00235E6C" w:rsidRPr="002B581E">
        <w:rPr>
          <w:rFonts w:ascii="Arial" w:hAnsi="Arial" w:cs="Arial"/>
          <w:sz w:val="24"/>
          <w:szCs w:val="24"/>
        </w:rPr>
        <w:t>ms officials and clearing a</w:t>
      </w:r>
      <w:r w:rsidR="00585257" w:rsidRPr="002B581E">
        <w:rPr>
          <w:rFonts w:ascii="Arial" w:hAnsi="Arial" w:cs="Arial"/>
          <w:sz w:val="24"/>
          <w:szCs w:val="24"/>
        </w:rPr>
        <w:t>gents</w:t>
      </w:r>
      <w:r w:rsidR="00FB6984" w:rsidRPr="002B581E">
        <w:rPr>
          <w:rFonts w:ascii="Arial" w:hAnsi="Arial" w:cs="Arial"/>
          <w:sz w:val="24"/>
          <w:szCs w:val="24"/>
        </w:rPr>
        <w:t xml:space="preserve"> had </w:t>
      </w:r>
      <w:r w:rsidR="00FB6984" w:rsidRPr="00044CE7">
        <w:rPr>
          <w:rFonts w:ascii="Arial" w:hAnsi="Arial" w:cs="Arial"/>
          <w:sz w:val="24"/>
          <w:szCs w:val="24"/>
        </w:rPr>
        <w:t>access to this system once</w:t>
      </w:r>
      <w:r w:rsidR="00235E6C">
        <w:rPr>
          <w:rFonts w:ascii="Arial" w:hAnsi="Arial" w:cs="Arial"/>
          <w:sz w:val="24"/>
          <w:szCs w:val="24"/>
        </w:rPr>
        <w:t xml:space="preserve"> they ar</w:t>
      </w:r>
      <w:r w:rsidR="00CE6218">
        <w:rPr>
          <w:rFonts w:ascii="Arial" w:hAnsi="Arial" w:cs="Arial"/>
          <w:sz w:val="24"/>
          <w:szCs w:val="24"/>
        </w:rPr>
        <w:t xml:space="preserve">e </w:t>
      </w:r>
      <w:r w:rsidR="00585257">
        <w:rPr>
          <w:rFonts w:ascii="Arial" w:hAnsi="Arial" w:cs="Arial"/>
          <w:sz w:val="24"/>
          <w:szCs w:val="24"/>
        </w:rPr>
        <w:t>authorized</w:t>
      </w:r>
      <w:r w:rsidR="00CE6218">
        <w:rPr>
          <w:rFonts w:ascii="Arial" w:hAnsi="Arial" w:cs="Arial"/>
          <w:sz w:val="24"/>
          <w:szCs w:val="24"/>
        </w:rPr>
        <w:t xml:space="preserve"> to do so.</w:t>
      </w:r>
    </w:p>
    <w:p w:rsidR="002B581E" w:rsidRDefault="002B581E" w:rsidP="0099115A">
      <w:pPr>
        <w:spacing w:after="0" w:line="360" w:lineRule="auto"/>
        <w:jc w:val="both"/>
        <w:rPr>
          <w:rFonts w:ascii="Arial" w:hAnsi="Arial" w:cs="Arial"/>
          <w:sz w:val="24"/>
          <w:szCs w:val="24"/>
        </w:rPr>
      </w:pPr>
    </w:p>
    <w:p w:rsidR="00CB54DE" w:rsidRDefault="00CB54DE" w:rsidP="002B581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B6984" w:rsidRPr="00044CE7">
        <w:rPr>
          <w:rFonts w:ascii="Arial" w:hAnsi="Arial" w:cs="Arial"/>
          <w:sz w:val="24"/>
          <w:szCs w:val="24"/>
        </w:rPr>
        <w:t xml:space="preserve">The evidence of </w:t>
      </w:r>
      <w:proofErr w:type="spellStart"/>
      <w:r w:rsidR="00BE6ED7" w:rsidRPr="00044CE7">
        <w:rPr>
          <w:rFonts w:ascii="Arial" w:hAnsi="Arial" w:cs="Arial"/>
          <w:sz w:val="24"/>
          <w:szCs w:val="24"/>
        </w:rPr>
        <w:t>Mr</w:t>
      </w:r>
      <w:proofErr w:type="spellEnd"/>
      <w:r w:rsidR="00BE6ED7">
        <w:rPr>
          <w:rFonts w:ascii="Arial" w:hAnsi="Arial" w:cs="Arial"/>
          <w:sz w:val="24"/>
          <w:szCs w:val="24"/>
        </w:rPr>
        <w:t xml:space="preserve"> </w:t>
      </w:r>
      <w:proofErr w:type="spellStart"/>
      <w:r w:rsidR="00BE6ED7">
        <w:rPr>
          <w:rFonts w:ascii="Arial" w:hAnsi="Arial" w:cs="Arial"/>
          <w:sz w:val="24"/>
          <w:szCs w:val="24"/>
        </w:rPr>
        <w:t>Nakhom</w:t>
      </w:r>
      <w:proofErr w:type="spellEnd"/>
      <w:r w:rsidR="00BE6ED7" w:rsidRPr="00044CE7">
        <w:rPr>
          <w:rFonts w:ascii="Arial" w:hAnsi="Arial" w:cs="Arial"/>
          <w:sz w:val="24"/>
          <w:szCs w:val="24"/>
        </w:rPr>
        <w:t xml:space="preserve"> </w:t>
      </w:r>
      <w:r w:rsidR="00FB6984" w:rsidRPr="00044CE7">
        <w:rPr>
          <w:rFonts w:ascii="Arial" w:hAnsi="Arial" w:cs="Arial"/>
          <w:sz w:val="24"/>
          <w:szCs w:val="24"/>
        </w:rPr>
        <w:t>is to the effect that he was asked by the AC</w:t>
      </w:r>
      <w:r w:rsidR="002B581E">
        <w:rPr>
          <w:rFonts w:ascii="Arial" w:hAnsi="Arial" w:cs="Arial"/>
          <w:sz w:val="24"/>
          <w:szCs w:val="24"/>
        </w:rPr>
        <w:t>C</w:t>
      </w:r>
      <w:r w:rsidR="00FB6984" w:rsidRPr="00044CE7">
        <w:rPr>
          <w:rFonts w:ascii="Arial" w:hAnsi="Arial" w:cs="Arial"/>
          <w:sz w:val="24"/>
          <w:szCs w:val="24"/>
        </w:rPr>
        <w:t xml:space="preserve"> to compare the SAD500 Declarations submitted when the claims were lodged with </w:t>
      </w:r>
      <w:proofErr w:type="spellStart"/>
      <w:r w:rsidR="00FB6984" w:rsidRPr="00044CE7">
        <w:rPr>
          <w:rFonts w:ascii="Arial" w:hAnsi="Arial" w:cs="Arial"/>
          <w:sz w:val="24"/>
          <w:szCs w:val="24"/>
        </w:rPr>
        <w:t>Aveshe</w:t>
      </w:r>
      <w:proofErr w:type="spellEnd"/>
      <w:r w:rsidR="00235E6C">
        <w:rPr>
          <w:rFonts w:ascii="Arial" w:hAnsi="Arial" w:cs="Arial"/>
          <w:sz w:val="24"/>
          <w:szCs w:val="24"/>
        </w:rPr>
        <w:t>,</w:t>
      </w:r>
      <w:r w:rsidR="00FB6984" w:rsidRPr="00044CE7">
        <w:rPr>
          <w:rFonts w:ascii="Arial" w:hAnsi="Arial" w:cs="Arial"/>
          <w:sz w:val="24"/>
          <w:szCs w:val="24"/>
        </w:rPr>
        <w:t xml:space="preserve"> to what appears on the </w:t>
      </w:r>
      <w:proofErr w:type="spellStart"/>
      <w:r w:rsidR="00FB6984" w:rsidRPr="00044CE7">
        <w:rPr>
          <w:rFonts w:ascii="Arial" w:hAnsi="Arial" w:cs="Arial"/>
          <w:sz w:val="24"/>
          <w:szCs w:val="24"/>
        </w:rPr>
        <w:t>As</w:t>
      </w:r>
      <w:r w:rsidR="00E97CA7">
        <w:rPr>
          <w:rFonts w:ascii="Arial" w:hAnsi="Arial" w:cs="Arial"/>
          <w:sz w:val="24"/>
          <w:szCs w:val="24"/>
        </w:rPr>
        <w:t>s</w:t>
      </w:r>
      <w:r w:rsidR="00FB6984" w:rsidRPr="00044CE7">
        <w:rPr>
          <w:rFonts w:ascii="Arial" w:hAnsi="Arial" w:cs="Arial"/>
          <w:sz w:val="24"/>
          <w:szCs w:val="24"/>
        </w:rPr>
        <w:t>ycuda</w:t>
      </w:r>
      <w:proofErr w:type="spellEnd"/>
      <w:r w:rsidR="002B581E">
        <w:rPr>
          <w:rFonts w:ascii="Arial" w:hAnsi="Arial" w:cs="Arial"/>
          <w:sz w:val="24"/>
          <w:szCs w:val="24"/>
        </w:rPr>
        <w:t xml:space="preserve"> System.</w:t>
      </w:r>
      <w:r w:rsidR="00FB6984" w:rsidRPr="00044CE7">
        <w:rPr>
          <w:rFonts w:ascii="Arial" w:hAnsi="Arial" w:cs="Arial"/>
          <w:sz w:val="24"/>
          <w:szCs w:val="24"/>
        </w:rPr>
        <w:t xml:space="preserve"> His evidence is that once he undertook that exercise, it became apparent that the SAD500 Declaration</w:t>
      </w:r>
      <w:r w:rsidR="00B54E0D">
        <w:rPr>
          <w:rFonts w:ascii="Arial" w:hAnsi="Arial" w:cs="Arial"/>
          <w:sz w:val="24"/>
          <w:szCs w:val="24"/>
        </w:rPr>
        <w:t>s</w:t>
      </w:r>
      <w:r w:rsidR="00FB6984" w:rsidRPr="00044CE7">
        <w:rPr>
          <w:rFonts w:ascii="Arial" w:hAnsi="Arial" w:cs="Arial"/>
          <w:sz w:val="24"/>
          <w:szCs w:val="24"/>
        </w:rPr>
        <w:t xml:space="preserve"> submitted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w:t>
      </w:r>
      <w:r w:rsidR="00B54E0D">
        <w:rPr>
          <w:rFonts w:ascii="Arial" w:hAnsi="Arial" w:cs="Arial"/>
          <w:sz w:val="24"/>
          <w:szCs w:val="24"/>
        </w:rPr>
        <w:t>differ</w:t>
      </w:r>
      <w:r w:rsidR="00FB6984" w:rsidRPr="00044CE7">
        <w:rPr>
          <w:rFonts w:ascii="Arial" w:hAnsi="Arial" w:cs="Arial"/>
          <w:sz w:val="24"/>
          <w:szCs w:val="24"/>
        </w:rPr>
        <w:t xml:space="preserve"> in several respects to the corresponding SAD500 Declarations on the </w:t>
      </w:r>
      <w:proofErr w:type="spellStart"/>
      <w:r w:rsidR="00FB6984" w:rsidRPr="00044CE7">
        <w:rPr>
          <w:rFonts w:ascii="Arial" w:hAnsi="Arial" w:cs="Arial"/>
          <w:sz w:val="24"/>
          <w:szCs w:val="24"/>
        </w:rPr>
        <w:t>As</w:t>
      </w:r>
      <w:r w:rsidR="00585257">
        <w:rPr>
          <w:rFonts w:ascii="Arial" w:hAnsi="Arial" w:cs="Arial"/>
          <w:sz w:val="24"/>
          <w:szCs w:val="24"/>
        </w:rPr>
        <w:t>s</w:t>
      </w:r>
      <w:r w:rsidR="00FB6984" w:rsidRPr="00044CE7">
        <w:rPr>
          <w:rFonts w:ascii="Arial" w:hAnsi="Arial" w:cs="Arial"/>
          <w:sz w:val="24"/>
          <w:szCs w:val="24"/>
        </w:rPr>
        <w:t>ycuda</w:t>
      </w:r>
      <w:proofErr w:type="spellEnd"/>
      <w:r w:rsidR="00FB6984" w:rsidRPr="00044CE7">
        <w:rPr>
          <w:rFonts w:ascii="Arial" w:hAnsi="Arial" w:cs="Arial"/>
          <w:sz w:val="24"/>
          <w:szCs w:val="24"/>
        </w:rPr>
        <w:t xml:space="preserve"> System. </w:t>
      </w:r>
      <w:proofErr w:type="spellStart"/>
      <w:r w:rsidR="00BE6ED7" w:rsidRPr="00044CE7">
        <w:rPr>
          <w:rFonts w:ascii="Arial" w:hAnsi="Arial" w:cs="Arial"/>
          <w:sz w:val="24"/>
          <w:szCs w:val="24"/>
        </w:rPr>
        <w:lastRenderedPageBreak/>
        <w:t>Mr</w:t>
      </w:r>
      <w:proofErr w:type="spellEnd"/>
      <w:r w:rsidR="00BE6ED7">
        <w:rPr>
          <w:rFonts w:ascii="Arial" w:hAnsi="Arial" w:cs="Arial"/>
          <w:sz w:val="24"/>
          <w:szCs w:val="24"/>
        </w:rPr>
        <w:t xml:space="preserve"> </w:t>
      </w:r>
      <w:proofErr w:type="spellStart"/>
      <w:r w:rsidR="00BE6ED7">
        <w:rPr>
          <w:rFonts w:ascii="Arial" w:hAnsi="Arial" w:cs="Arial"/>
          <w:sz w:val="24"/>
          <w:szCs w:val="24"/>
        </w:rPr>
        <w:t>Nakhom</w:t>
      </w:r>
      <w:proofErr w:type="spellEnd"/>
      <w:r w:rsidR="00BE6ED7" w:rsidRPr="00044CE7">
        <w:rPr>
          <w:rFonts w:ascii="Arial" w:hAnsi="Arial" w:cs="Arial"/>
          <w:sz w:val="24"/>
          <w:szCs w:val="24"/>
        </w:rPr>
        <w:t xml:space="preserve"> </w:t>
      </w:r>
      <w:r w:rsidR="00FB6984" w:rsidRPr="00044CE7">
        <w:rPr>
          <w:rFonts w:ascii="Arial" w:hAnsi="Arial" w:cs="Arial"/>
          <w:sz w:val="24"/>
          <w:szCs w:val="24"/>
        </w:rPr>
        <w:t>testified in res</w:t>
      </w:r>
      <w:r w:rsidR="00585257">
        <w:rPr>
          <w:rFonts w:ascii="Arial" w:hAnsi="Arial" w:cs="Arial"/>
          <w:sz w:val="24"/>
          <w:szCs w:val="24"/>
        </w:rPr>
        <w:t>pect of each SAD500 Declaration</w:t>
      </w:r>
      <w:r w:rsidR="00FB6984" w:rsidRPr="00044CE7">
        <w:rPr>
          <w:rFonts w:ascii="Arial" w:hAnsi="Arial" w:cs="Arial"/>
          <w:sz w:val="24"/>
          <w:szCs w:val="24"/>
        </w:rPr>
        <w:t xml:space="preserve"> submitted and pointed out the differences between what appeared on the </w:t>
      </w:r>
      <w:proofErr w:type="spellStart"/>
      <w:r w:rsidR="00FB6984" w:rsidRPr="00044CE7">
        <w:rPr>
          <w:rFonts w:ascii="Arial" w:hAnsi="Arial" w:cs="Arial"/>
          <w:sz w:val="24"/>
          <w:szCs w:val="24"/>
        </w:rPr>
        <w:t>As</w:t>
      </w:r>
      <w:r w:rsidR="00585257">
        <w:rPr>
          <w:rFonts w:ascii="Arial" w:hAnsi="Arial" w:cs="Arial"/>
          <w:sz w:val="24"/>
          <w:szCs w:val="24"/>
        </w:rPr>
        <w:t>s</w:t>
      </w:r>
      <w:r w:rsidR="00FB6984" w:rsidRPr="00044CE7">
        <w:rPr>
          <w:rFonts w:ascii="Arial" w:hAnsi="Arial" w:cs="Arial"/>
          <w:sz w:val="24"/>
          <w:szCs w:val="24"/>
        </w:rPr>
        <w:t>ycuda</w:t>
      </w:r>
      <w:proofErr w:type="spellEnd"/>
      <w:r w:rsidR="00FB6984" w:rsidRPr="00044CE7">
        <w:rPr>
          <w:rFonts w:ascii="Arial" w:hAnsi="Arial" w:cs="Arial"/>
          <w:sz w:val="24"/>
          <w:szCs w:val="24"/>
        </w:rPr>
        <w:t xml:space="preserve"> System and the </w:t>
      </w:r>
      <w:r w:rsidR="00235E6C" w:rsidRPr="00044CE7">
        <w:rPr>
          <w:rFonts w:ascii="Arial" w:hAnsi="Arial" w:cs="Arial"/>
          <w:sz w:val="24"/>
          <w:szCs w:val="24"/>
        </w:rPr>
        <w:t>SAD500</w:t>
      </w:r>
      <w:r w:rsidR="00235E6C">
        <w:rPr>
          <w:rFonts w:ascii="Arial" w:hAnsi="Arial" w:cs="Arial"/>
          <w:sz w:val="24"/>
          <w:szCs w:val="24"/>
        </w:rPr>
        <w:t xml:space="preserve"> </w:t>
      </w:r>
      <w:r w:rsidR="00FB6984" w:rsidRPr="00044CE7">
        <w:rPr>
          <w:rFonts w:ascii="Arial" w:hAnsi="Arial" w:cs="Arial"/>
          <w:sz w:val="24"/>
          <w:szCs w:val="24"/>
        </w:rPr>
        <w:t>Dec</w:t>
      </w:r>
      <w:r w:rsidR="002B581E">
        <w:rPr>
          <w:rFonts w:ascii="Arial" w:hAnsi="Arial" w:cs="Arial"/>
          <w:sz w:val="24"/>
          <w:szCs w:val="24"/>
        </w:rPr>
        <w:t xml:space="preserve">larations submitted to </w:t>
      </w:r>
      <w:proofErr w:type="spellStart"/>
      <w:r w:rsidR="002B581E">
        <w:rPr>
          <w:rFonts w:ascii="Arial" w:hAnsi="Arial" w:cs="Arial"/>
          <w:sz w:val="24"/>
          <w:szCs w:val="24"/>
        </w:rPr>
        <w:t>Aveshe</w:t>
      </w:r>
      <w:proofErr w:type="spellEnd"/>
      <w:r w:rsidR="002B581E">
        <w:rPr>
          <w:rFonts w:ascii="Arial" w:hAnsi="Arial" w:cs="Arial"/>
          <w:sz w:val="24"/>
          <w:szCs w:val="24"/>
        </w:rPr>
        <w:t xml:space="preserve">. </w:t>
      </w:r>
      <w:r w:rsidR="00FB6984" w:rsidRPr="00044CE7">
        <w:rPr>
          <w:rFonts w:ascii="Arial" w:hAnsi="Arial" w:cs="Arial"/>
          <w:sz w:val="24"/>
          <w:szCs w:val="24"/>
        </w:rPr>
        <w:t xml:space="preserve">They include </w:t>
      </w:r>
      <w:r w:rsidR="00FB6984" w:rsidRPr="00044CE7">
        <w:rPr>
          <w:rFonts w:ascii="Arial" w:hAnsi="Arial" w:cs="Arial"/>
          <w:i/>
          <w:sz w:val="24"/>
          <w:szCs w:val="24"/>
        </w:rPr>
        <w:t>inter alia</w:t>
      </w:r>
      <w:r w:rsidR="00FB6984" w:rsidRPr="00044CE7">
        <w:rPr>
          <w:rFonts w:ascii="Arial" w:hAnsi="Arial" w:cs="Arial"/>
          <w:sz w:val="24"/>
          <w:szCs w:val="24"/>
        </w:rPr>
        <w:t xml:space="preserve"> the particular </w:t>
      </w:r>
      <w:r w:rsidR="002B581E">
        <w:rPr>
          <w:rFonts w:ascii="Arial" w:hAnsi="Arial" w:cs="Arial"/>
          <w:sz w:val="24"/>
          <w:szCs w:val="24"/>
        </w:rPr>
        <w:t>‘</w:t>
      </w:r>
      <w:r w:rsidR="00FB6984" w:rsidRPr="00044CE7">
        <w:rPr>
          <w:rFonts w:ascii="Arial" w:hAnsi="Arial" w:cs="Arial"/>
          <w:sz w:val="24"/>
          <w:szCs w:val="24"/>
        </w:rPr>
        <w:t>C</w:t>
      </w:r>
      <w:r w:rsidR="002B581E">
        <w:rPr>
          <w:rFonts w:ascii="Arial" w:hAnsi="Arial" w:cs="Arial"/>
          <w:sz w:val="24"/>
          <w:szCs w:val="24"/>
        </w:rPr>
        <w:t>’</w:t>
      </w:r>
      <w:r w:rsidR="00FB6984" w:rsidRPr="00044CE7">
        <w:rPr>
          <w:rFonts w:ascii="Arial" w:hAnsi="Arial" w:cs="Arial"/>
          <w:sz w:val="24"/>
          <w:szCs w:val="24"/>
        </w:rPr>
        <w:t xml:space="preserve"> number allo</w:t>
      </w:r>
      <w:r w:rsidR="00CE4266">
        <w:rPr>
          <w:rFonts w:ascii="Arial" w:hAnsi="Arial" w:cs="Arial"/>
          <w:sz w:val="24"/>
          <w:szCs w:val="24"/>
        </w:rPr>
        <w:t>cated to each Declaration, the particulars of the c</w:t>
      </w:r>
      <w:r w:rsidR="00FB6984" w:rsidRPr="00044CE7">
        <w:rPr>
          <w:rFonts w:ascii="Arial" w:hAnsi="Arial" w:cs="Arial"/>
          <w:sz w:val="24"/>
          <w:szCs w:val="24"/>
        </w:rPr>
        <w:t>laims, the goods purchased, the supplier</w:t>
      </w:r>
      <w:r w:rsidR="00CE4266">
        <w:rPr>
          <w:rFonts w:ascii="Arial" w:hAnsi="Arial" w:cs="Arial"/>
          <w:sz w:val="24"/>
          <w:szCs w:val="24"/>
        </w:rPr>
        <w:t>s and the particulars of the clearing a</w:t>
      </w:r>
      <w:r w:rsidR="00FB6984" w:rsidRPr="00044CE7">
        <w:rPr>
          <w:rFonts w:ascii="Arial" w:hAnsi="Arial" w:cs="Arial"/>
          <w:sz w:val="24"/>
          <w:szCs w:val="24"/>
        </w:rPr>
        <w:t>gents. Moreover</w:t>
      </w:r>
      <w:r w:rsidR="00CE4266">
        <w:rPr>
          <w:rFonts w:ascii="Arial" w:hAnsi="Arial" w:cs="Arial"/>
          <w:sz w:val="24"/>
          <w:szCs w:val="24"/>
        </w:rPr>
        <w:t>,</w:t>
      </w:r>
      <w:r w:rsidR="00FB6984" w:rsidRPr="00044CE7">
        <w:rPr>
          <w:rFonts w:ascii="Arial" w:hAnsi="Arial" w:cs="Arial"/>
          <w:sz w:val="24"/>
          <w:szCs w:val="24"/>
        </w:rPr>
        <w:t xml:space="preserve"> his evidence is that in respect of each Declaration on the </w:t>
      </w:r>
      <w:proofErr w:type="spellStart"/>
      <w:r w:rsidR="00FB6984" w:rsidRPr="00044CE7">
        <w:rPr>
          <w:rFonts w:ascii="Arial" w:hAnsi="Arial" w:cs="Arial"/>
          <w:sz w:val="24"/>
          <w:szCs w:val="24"/>
        </w:rPr>
        <w:t>As</w:t>
      </w:r>
      <w:r w:rsidR="00585257">
        <w:rPr>
          <w:rFonts w:ascii="Arial" w:hAnsi="Arial" w:cs="Arial"/>
          <w:sz w:val="24"/>
          <w:szCs w:val="24"/>
        </w:rPr>
        <w:t>s</w:t>
      </w:r>
      <w:r w:rsidR="00B54E0D">
        <w:rPr>
          <w:rFonts w:ascii="Arial" w:hAnsi="Arial" w:cs="Arial"/>
          <w:sz w:val="24"/>
          <w:szCs w:val="24"/>
        </w:rPr>
        <w:t>ycuda</w:t>
      </w:r>
      <w:proofErr w:type="spellEnd"/>
      <w:r w:rsidR="00B54E0D">
        <w:rPr>
          <w:rFonts w:ascii="Arial" w:hAnsi="Arial" w:cs="Arial"/>
          <w:sz w:val="24"/>
          <w:szCs w:val="24"/>
        </w:rPr>
        <w:t xml:space="preserve"> System</w:t>
      </w:r>
      <w:r w:rsidR="00CE4266">
        <w:rPr>
          <w:rFonts w:ascii="Arial" w:hAnsi="Arial" w:cs="Arial"/>
          <w:sz w:val="24"/>
          <w:szCs w:val="24"/>
        </w:rPr>
        <w:t>,</w:t>
      </w:r>
      <w:r w:rsidR="00B54E0D">
        <w:rPr>
          <w:rFonts w:ascii="Arial" w:hAnsi="Arial" w:cs="Arial"/>
          <w:sz w:val="24"/>
          <w:szCs w:val="24"/>
        </w:rPr>
        <w:t xml:space="preserve"> there</w:t>
      </w:r>
      <w:r w:rsidR="00FB6984" w:rsidRPr="00044CE7">
        <w:rPr>
          <w:rFonts w:ascii="Arial" w:hAnsi="Arial" w:cs="Arial"/>
          <w:sz w:val="24"/>
          <w:szCs w:val="24"/>
        </w:rPr>
        <w:t xml:space="preserve"> appears an assessment number or as he put it</w:t>
      </w:r>
      <w:r w:rsidR="00CE4266">
        <w:rPr>
          <w:rFonts w:ascii="Arial" w:hAnsi="Arial" w:cs="Arial"/>
          <w:sz w:val="24"/>
          <w:szCs w:val="24"/>
        </w:rPr>
        <w:t>,</w:t>
      </w:r>
      <w:r w:rsidR="00FB6984" w:rsidRPr="00044CE7">
        <w:rPr>
          <w:rFonts w:ascii="Arial" w:hAnsi="Arial" w:cs="Arial"/>
          <w:sz w:val="24"/>
          <w:szCs w:val="24"/>
        </w:rPr>
        <w:t xml:space="preserve"> an </w:t>
      </w:r>
      <w:r w:rsidR="002B581E">
        <w:rPr>
          <w:rFonts w:ascii="Arial" w:hAnsi="Arial" w:cs="Arial"/>
          <w:sz w:val="24"/>
          <w:szCs w:val="24"/>
        </w:rPr>
        <w:t>‘</w:t>
      </w:r>
      <w:r w:rsidR="00FB6984" w:rsidRPr="00044CE7">
        <w:rPr>
          <w:rFonts w:ascii="Arial" w:hAnsi="Arial" w:cs="Arial"/>
          <w:sz w:val="24"/>
          <w:szCs w:val="24"/>
        </w:rPr>
        <w:t>A</w:t>
      </w:r>
      <w:r w:rsidR="002B581E">
        <w:rPr>
          <w:rFonts w:ascii="Arial" w:hAnsi="Arial" w:cs="Arial"/>
          <w:sz w:val="24"/>
          <w:szCs w:val="24"/>
        </w:rPr>
        <w:t>’</w:t>
      </w:r>
      <w:r w:rsidR="00FB6984" w:rsidRPr="00044CE7">
        <w:rPr>
          <w:rFonts w:ascii="Arial" w:hAnsi="Arial" w:cs="Arial"/>
          <w:sz w:val="24"/>
          <w:szCs w:val="24"/>
        </w:rPr>
        <w:t xml:space="preserve"> number. That number according to him is allocated once the goods are physically exported. The assessment number is</w:t>
      </w:r>
      <w:r w:rsidR="00CE4266">
        <w:rPr>
          <w:rFonts w:ascii="Arial" w:hAnsi="Arial" w:cs="Arial"/>
          <w:sz w:val="24"/>
          <w:szCs w:val="24"/>
        </w:rPr>
        <w:t>,</w:t>
      </w:r>
      <w:r w:rsidR="00FB6984" w:rsidRPr="00044CE7">
        <w:rPr>
          <w:rFonts w:ascii="Arial" w:hAnsi="Arial" w:cs="Arial"/>
          <w:sz w:val="24"/>
          <w:szCs w:val="24"/>
        </w:rPr>
        <w:t xml:space="preserve"> according to his evidence</w:t>
      </w:r>
      <w:r w:rsidR="00CE4266">
        <w:rPr>
          <w:rFonts w:ascii="Arial" w:hAnsi="Arial" w:cs="Arial"/>
          <w:sz w:val="24"/>
          <w:szCs w:val="24"/>
        </w:rPr>
        <w:t>,</w:t>
      </w:r>
      <w:r w:rsidR="00FB6984" w:rsidRPr="00044CE7">
        <w:rPr>
          <w:rFonts w:ascii="Arial" w:hAnsi="Arial" w:cs="Arial"/>
          <w:sz w:val="24"/>
          <w:szCs w:val="24"/>
        </w:rPr>
        <w:t xml:space="preserve"> absent from the Declarations submitted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whereas they appear on the SAD500 Decla</w:t>
      </w:r>
      <w:r>
        <w:rPr>
          <w:rFonts w:ascii="Arial" w:hAnsi="Arial" w:cs="Arial"/>
          <w:sz w:val="24"/>
          <w:szCs w:val="24"/>
        </w:rPr>
        <w:t xml:space="preserve">rations on the </w:t>
      </w:r>
      <w:proofErr w:type="spellStart"/>
      <w:r>
        <w:rPr>
          <w:rFonts w:ascii="Arial" w:hAnsi="Arial" w:cs="Arial"/>
          <w:sz w:val="24"/>
          <w:szCs w:val="24"/>
        </w:rPr>
        <w:t>As</w:t>
      </w:r>
      <w:r w:rsidR="00585257">
        <w:rPr>
          <w:rFonts w:ascii="Arial" w:hAnsi="Arial" w:cs="Arial"/>
          <w:sz w:val="24"/>
          <w:szCs w:val="24"/>
        </w:rPr>
        <w:t>s</w:t>
      </w:r>
      <w:r w:rsidR="00CE4266">
        <w:rPr>
          <w:rFonts w:ascii="Arial" w:hAnsi="Arial" w:cs="Arial"/>
          <w:sz w:val="24"/>
          <w:szCs w:val="24"/>
        </w:rPr>
        <w:t>ycuda</w:t>
      </w:r>
      <w:proofErr w:type="spellEnd"/>
      <w:r w:rsidR="00CE4266">
        <w:rPr>
          <w:rFonts w:ascii="Arial" w:hAnsi="Arial" w:cs="Arial"/>
          <w:sz w:val="24"/>
          <w:szCs w:val="24"/>
        </w:rPr>
        <w:t xml:space="preserve"> System.</w:t>
      </w:r>
    </w:p>
    <w:p w:rsidR="002B581E" w:rsidRDefault="002B581E" w:rsidP="002B581E">
      <w:pPr>
        <w:spacing w:after="0" w:line="360" w:lineRule="auto"/>
        <w:jc w:val="both"/>
        <w:rPr>
          <w:rFonts w:ascii="Arial" w:hAnsi="Arial" w:cs="Arial"/>
          <w:sz w:val="24"/>
          <w:szCs w:val="24"/>
        </w:rPr>
      </w:pPr>
    </w:p>
    <w:p w:rsidR="00CB54DE" w:rsidRDefault="00CB54DE" w:rsidP="002B581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E4266">
        <w:rPr>
          <w:rFonts w:ascii="Arial" w:hAnsi="Arial" w:cs="Arial"/>
          <w:sz w:val="24"/>
          <w:szCs w:val="24"/>
        </w:rPr>
        <w:t>Counsel for the a</w:t>
      </w:r>
      <w:r w:rsidR="00FB6984" w:rsidRPr="00044CE7">
        <w:rPr>
          <w:rFonts w:ascii="Arial" w:hAnsi="Arial" w:cs="Arial"/>
          <w:sz w:val="24"/>
          <w:szCs w:val="24"/>
        </w:rPr>
        <w:t xml:space="preserve">ccused submitted that it was incumbent on the State </w:t>
      </w:r>
      <w:r w:rsidR="00CE4266">
        <w:rPr>
          <w:rFonts w:ascii="Arial" w:hAnsi="Arial" w:cs="Arial"/>
          <w:sz w:val="24"/>
          <w:szCs w:val="24"/>
        </w:rPr>
        <w:t xml:space="preserve">to </w:t>
      </w:r>
      <w:r w:rsidR="00FB6984" w:rsidRPr="00044CE7">
        <w:rPr>
          <w:rFonts w:ascii="Arial" w:hAnsi="Arial" w:cs="Arial"/>
          <w:sz w:val="24"/>
          <w:szCs w:val="24"/>
        </w:rPr>
        <w:t xml:space="preserve">produce the </w:t>
      </w:r>
      <w:r w:rsidR="00585257">
        <w:rPr>
          <w:rFonts w:ascii="Arial" w:hAnsi="Arial" w:cs="Arial"/>
          <w:sz w:val="24"/>
          <w:szCs w:val="24"/>
        </w:rPr>
        <w:t>original SAD500 Declarations</w:t>
      </w:r>
      <w:r w:rsidR="00B54E0D">
        <w:rPr>
          <w:rFonts w:ascii="Arial" w:hAnsi="Arial" w:cs="Arial"/>
          <w:sz w:val="24"/>
          <w:szCs w:val="24"/>
        </w:rPr>
        <w:t>. B</w:t>
      </w:r>
      <w:r w:rsidR="00585257">
        <w:rPr>
          <w:rFonts w:ascii="Arial" w:hAnsi="Arial" w:cs="Arial"/>
          <w:sz w:val="24"/>
          <w:szCs w:val="24"/>
        </w:rPr>
        <w:t>y</w:t>
      </w:r>
      <w:r w:rsidR="00B54E0D">
        <w:rPr>
          <w:rFonts w:ascii="Arial" w:hAnsi="Arial" w:cs="Arial"/>
          <w:sz w:val="24"/>
          <w:szCs w:val="24"/>
        </w:rPr>
        <w:t xml:space="preserve"> that</w:t>
      </w:r>
      <w:r w:rsidR="00CE4266">
        <w:rPr>
          <w:rFonts w:ascii="Arial" w:hAnsi="Arial" w:cs="Arial"/>
          <w:sz w:val="24"/>
          <w:szCs w:val="24"/>
        </w:rPr>
        <w:t>,</w:t>
      </w:r>
      <w:r w:rsidR="00B54E0D">
        <w:rPr>
          <w:rFonts w:ascii="Arial" w:hAnsi="Arial" w:cs="Arial"/>
          <w:sz w:val="24"/>
          <w:szCs w:val="24"/>
        </w:rPr>
        <w:t xml:space="preserve"> I understand them</w:t>
      </w:r>
      <w:r w:rsidR="00FB6984" w:rsidRPr="00044CE7">
        <w:rPr>
          <w:rFonts w:ascii="Arial" w:hAnsi="Arial" w:cs="Arial"/>
          <w:sz w:val="24"/>
          <w:szCs w:val="24"/>
        </w:rPr>
        <w:t xml:space="preserve"> to mean the printed document rather than what appears on the </w:t>
      </w:r>
      <w:r w:rsidR="00BE6ED7" w:rsidRPr="00044CE7">
        <w:rPr>
          <w:rFonts w:ascii="Arial" w:hAnsi="Arial" w:cs="Arial"/>
          <w:sz w:val="24"/>
          <w:szCs w:val="24"/>
        </w:rPr>
        <w:t>computerized</w:t>
      </w:r>
      <w:r w:rsidR="00FB6984" w:rsidRPr="00044CE7">
        <w:rPr>
          <w:rFonts w:ascii="Arial" w:hAnsi="Arial" w:cs="Arial"/>
          <w:sz w:val="24"/>
          <w:szCs w:val="24"/>
        </w:rPr>
        <w:t xml:space="preserve"> system. It w</w:t>
      </w:r>
      <w:r w:rsidR="00CE4266">
        <w:rPr>
          <w:rFonts w:ascii="Arial" w:hAnsi="Arial" w:cs="Arial"/>
          <w:sz w:val="24"/>
          <w:szCs w:val="24"/>
        </w:rPr>
        <w:t>as also submitted that the c</w:t>
      </w:r>
      <w:r w:rsidR="00585257">
        <w:rPr>
          <w:rFonts w:ascii="Arial" w:hAnsi="Arial" w:cs="Arial"/>
          <w:sz w:val="24"/>
          <w:szCs w:val="24"/>
        </w:rPr>
        <w:t>lear</w:t>
      </w:r>
      <w:r w:rsidR="00CE4266">
        <w:rPr>
          <w:rFonts w:ascii="Arial" w:hAnsi="Arial" w:cs="Arial"/>
          <w:sz w:val="24"/>
          <w:szCs w:val="24"/>
        </w:rPr>
        <w:t>ing a</w:t>
      </w:r>
      <w:r w:rsidR="00FB6984" w:rsidRPr="00044CE7">
        <w:rPr>
          <w:rFonts w:ascii="Arial" w:hAnsi="Arial" w:cs="Arial"/>
          <w:sz w:val="24"/>
          <w:szCs w:val="24"/>
        </w:rPr>
        <w:t xml:space="preserve">gents whose particulars appear in </w:t>
      </w:r>
      <w:r w:rsidR="00CE4266">
        <w:rPr>
          <w:rFonts w:ascii="Arial" w:hAnsi="Arial" w:cs="Arial"/>
          <w:sz w:val="24"/>
          <w:szCs w:val="24"/>
        </w:rPr>
        <w:t xml:space="preserve">the </w:t>
      </w:r>
      <w:r w:rsidR="00FB6984" w:rsidRPr="00044CE7">
        <w:rPr>
          <w:rFonts w:ascii="Arial" w:hAnsi="Arial" w:cs="Arial"/>
          <w:sz w:val="24"/>
          <w:szCs w:val="24"/>
        </w:rPr>
        <w:t xml:space="preserve">Declarations submitted should have been called. </w:t>
      </w:r>
      <w:r w:rsidR="00FB6984" w:rsidRPr="000445A4">
        <w:rPr>
          <w:rFonts w:ascii="Arial" w:hAnsi="Arial" w:cs="Arial"/>
          <w:sz w:val="24"/>
          <w:szCs w:val="24"/>
        </w:rPr>
        <w:t>Absent this evidence,</w:t>
      </w:r>
      <w:r w:rsidR="00585257" w:rsidRPr="000445A4">
        <w:rPr>
          <w:rFonts w:ascii="Arial" w:hAnsi="Arial" w:cs="Arial"/>
          <w:sz w:val="24"/>
          <w:szCs w:val="24"/>
        </w:rPr>
        <w:t xml:space="preserve"> it was</w:t>
      </w:r>
      <w:r w:rsidR="00585257">
        <w:rPr>
          <w:rFonts w:ascii="Arial" w:hAnsi="Arial" w:cs="Arial"/>
          <w:sz w:val="24"/>
          <w:szCs w:val="24"/>
        </w:rPr>
        <w:t xml:space="preserve"> submitted the State had</w:t>
      </w:r>
      <w:r w:rsidR="00FB6984" w:rsidRPr="00044CE7">
        <w:rPr>
          <w:rFonts w:ascii="Arial" w:hAnsi="Arial" w:cs="Arial"/>
          <w:sz w:val="24"/>
          <w:szCs w:val="24"/>
        </w:rPr>
        <w:t xml:space="preserve"> failed to make </w:t>
      </w:r>
      <w:r w:rsidR="00585257">
        <w:rPr>
          <w:rFonts w:ascii="Arial" w:hAnsi="Arial" w:cs="Arial"/>
          <w:sz w:val="24"/>
          <w:szCs w:val="24"/>
        </w:rPr>
        <w:t xml:space="preserve">out </w:t>
      </w:r>
      <w:r w:rsidR="004E3FD1">
        <w:rPr>
          <w:rFonts w:ascii="Arial" w:hAnsi="Arial" w:cs="Arial"/>
          <w:sz w:val="24"/>
          <w:szCs w:val="24"/>
        </w:rPr>
        <w:t>a case on that score.</w:t>
      </w:r>
      <w:r w:rsidR="00FB6984" w:rsidRPr="00044CE7">
        <w:rPr>
          <w:rFonts w:ascii="Arial" w:hAnsi="Arial" w:cs="Arial"/>
          <w:sz w:val="24"/>
          <w:szCs w:val="24"/>
        </w:rPr>
        <w:t xml:space="preserve"> It was also submitted that the State had failed to prove that in r</w:t>
      </w:r>
      <w:r w:rsidR="00CE4266">
        <w:rPr>
          <w:rFonts w:ascii="Arial" w:hAnsi="Arial" w:cs="Arial"/>
          <w:sz w:val="24"/>
          <w:szCs w:val="24"/>
        </w:rPr>
        <w:t>espect of at least some of the a</w:t>
      </w:r>
      <w:r w:rsidR="00FB6984" w:rsidRPr="00044CE7">
        <w:rPr>
          <w:rFonts w:ascii="Arial" w:hAnsi="Arial" w:cs="Arial"/>
          <w:sz w:val="24"/>
          <w:szCs w:val="24"/>
        </w:rPr>
        <w:t>ccused</w:t>
      </w:r>
      <w:r w:rsidR="00CE4266">
        <w:rPr>
          <w:rFonts w:ascii="Arial" w:hAnsi="Arial" w:cs="Arial"/>
          <w:sz w:val="24"/>
          <w:szCs w:val="24"/>
        </w:rPr>
        <w:t>,</w:t>
      </w:r>
      <w:r w:rsidR="00FB6984" w:rsidRPr="00044CE7">
        <w:rPr>
          <w:rFonts w:ascii="Arial" w:hAnsi="Arial" w:cs="Arial"/>
          <w:sz w:val="24"/>
          <w:szCs w:val="24"/>
        </w:rPr>
        <w:t xml:space="preserve"> that t</w:t>
      </w:r>
      <w:r w:rsidR="00CE4266">
        <w:rPr>
          <w:rFonts w:ascii="Arial" w:hAnsi="Arial" w:cs="Arial"/>
          <w:sz w:val="24"/>
          <w:szCs w:val="24"/>
        </w:rPr>
        <w:t>he a</w:t>
      </w:r>
      <w:r w:rsidR="00FB6984" w:rsidRPr="00044CE7">
        <w:rPr>
          <w:rFonts w:ascii="Arial" w:hAnsi="Arial" w:cs="Arial"/>
          <w:sz w:val="24"/>
          <w:szCs w:val="24"/>
        </w:rPr>
        <w:t xml:space="preserve">ccused submitted the claims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w:t>
      </w:r>
      <w:r w:rsidR="00605FC0">
        <w:rPr>
          <w:rFonts w:ascii="Arial" w:hAnsi="Arial" w:cs="Arial"/>
          <w:sz w:val="24"/>
          <w:szCs w:val="24"/>
        </w:rPr>
        <w:t xml:space="preserve">or </w:t>
      </w:r>
      <w:r w:rsidR="00FB6984" w:rsidRPr="00044CE7">
        <w:rPr>
          <w:rFonts w:ascii="Arial" w:hAnsi="Arial" w:cs="Arial"/>
          <w:sz w:val="24"/>
          <w:szCs w:val="24"/>
        </w:rPr>
        <w:t>were instrumental in one way or ano</w:t>
      </w:r>
      <w:r w:rsidR="00605FC0">
        <w:rPr>
          <w:rFonts w:ascii="Arial" w:hAnsi="Arial" w:cs="Arial"/>
          <w:sz w:val="24"/>
          <w:szCs w:val="24"/>
        </w:rPr>
        <w:t>ther for</w:t>
      </w:r>
      <w:r>
        <w:rPr>
          <w:rFonts w:ascii="Arial" w:hAnsi="Arial" w:cs="Arial"/>
          <w:sz w:val="24"/>
          <w:szCs w:val="24"/>
        </w:rPr>
        <w:t xml:space="preserve"> the claim </w:t>
      </w:r>
      <w:r w:rsidR="00605FC0">
        <w:rPr>
          <w:rFonts w:ascii="Arial" w:hAnsi="Arial" w:cs="Arial"/>
          <w:sz w:val="24"/>
          <w:szCs w:val="24"/>
        </w:rPr>
        <w:t xml:space="preserve">being </w:t>
      </w:r>
      <w:r w:rsidR="002B581E">
        <w:rPr>
          <w:rFonts w:ascii="Arial" w:hAnsi="Arial" w:cs="Arial"/>
          <w:sz w:val="24"/>
          <w:szCs w:val="24"/>
        </w:rPr>
        <w:t>submitted.</w:t>
      </w:r>
    </w:p>
    <w:p w:rsidR="002B581E" w:rsidRDefault="002B581E" w:rsidP="002B581E">
      <w:pPr>
        <w:spacing w:after="0" w:line="360" w:lineRule="auto"/>
        <w:jc w:val="both"/>
        <w:rPr>
          <w:rFonts w:ascii="Arial" w:hAnsi="Arial" w:cs="Arial"/>
          <w:sz w:val="24"/>
          <w:szCs w:val="24"/>
        </w:rPr>
      </w:pPr>
    </w:p>
    <w:p w:rsidR="00CB54DE" w:rsidRDefault="00CB54DE" w:rsidP="0099115A">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B6984" w:rsidRPr="00044CE7">
        <w:rPr>
          <w:rFonts w:ascii="Arial" w:hAnsi="Arial" w:cs="Arial"/>
          <w:sz w:val="24"/>
          <w:szCs w:val="24"/>
        </w:rPr>
        <w:t xml:space="preserve">As far as the SAD500 Declarations on the </w:t>
      </w:r>
      <w:proofErr w:type="spellStart"/>
      <w:r w:rsidR="00FB6984" w:rsidRPr="00044CE7">
        <w:rPr>
          <w:rFonts w:ascii="Arial" w:hAnsi="Arial" w:cs="Arial"/>
          <w:sz w:val="24"/>
          <w:szCs w:val="24"/>
        </w:rPr>
        <w:t>As</w:t>
      </w:r>
      <w:r w:rsidR="00605FC0">
        <w:rPr>
          <w:rFonts w:ascii="Arial" w:hAnsi="Arial" w:cs="Arial"/>
          <w:sz w:val="24"/>
          <w:szCs w:val="24"/>
        </w:rPr>
        <w:t>s</w:t>
      </w:r>
      <w:r w:rsidR="00FB6984" w:rsidRPr="00044CE7">
        <w:rPr>
          <w:rFonts w:ascii="Arial" w:hAnsi="Arial" w:cs="Arial"/>
          <w:sz w:val="24"/>
          <w:szCs w:val="24"/>
        </w:rPr>
        <w:t>ycuda</w:t>
      </w:r>
      <w:proofErr w:type="spellEnd"/>
      <w:r w:rsidR="00FB6984" w:rsidRPr="00044CE7">
        <w:rPr>
          <w:rFonts w:ascii="Arial" w:hAnsi="Arial" w:cs="Arial"/>
          <w:sz w:val="24"/>
          <w:szCs w:val="24"/>
        </w:rPr>
        <w:t xml:space="preserve"> System are concerned, I am inclined to follow the rea</w:t>
      </w:r>
      <w:r w:rsidR="005563C4">
        <w:rPr>
          <w:rFonts w:ascii="Arial" w:hAnsi="Arial" w:cs="Arial"/>
          <w:sz w:val="24"/>
          <w:szCs w:val="24"/>
        </w:rPr>
        <w:t xml:space="preserve">soning adopted by </w:t>
      </w:r>
      <w:r w:rsidR="004E3FD1">
        <w:rPr>
          <w:rFonts w:ascii="Arial" w:hAnsi="Arial" w:cs="Arial"/>
          <w:sz w:val="24"/>
          <w:szCs w:val="24"/>
        </w:rPr>
        <w:t>this C</w:t>
      </w:r>
      <w:r w:rsidR="005563C4" w:rsidRPr="005563C4">
        <w:rPr>
          <w:rFonts w:ascii="Arial" w:hAnsi="Arial" w:cs="Arial"/>
          <w:sz w:val="24"/>
          <w:szCs w:val="24"/>
        </w:rPr>
        <w:t xml:space="preserve">ourt in </w:t>
      </w:r>
      <w:r w:rsidR="005563C4">
        <w:rPr>
          <w:rFonts w:ascii="Arial" w:hAnsi="Arial" w:cs="Arial"/>
          <w:i/>
          <w:iCs/>
          <w:sz w:val="24"/>
          <w:szCs w:val="24"/>
        </w:rPr>
        <w:t>S v De Villiers</w:t>
      </w:r>
      <w:r w:rsidR="005563C4">
        <w:rPr>
          <w:rStyle w:val="FootnoteReference"/>
          <w:rFonts w:ascii="Arial" w:hAnsi="Arial" w:cs="Arial"/>
          <w:i/>
          <w:iCs/>
          <w:sz w:val="24"/>
          <w:szCs w:val="24"/>
        </w:rPr>
        <w:footnoteReference w:id="8"/>
      </w:r>
      <w:r w:rsidR="005563C4">
        <w:rPr>
          <w:rFonts w:ascii="Arial" w:hAnsi="Arial" w:cs="Arial"/>
          <w:i/>
          <w:iCs/>
          <w:sz w:val="24"/>
          <w:szCs w:val="24"/>
        </w:rPr>
        <w:t xml:space="preserve"> </w:t>
      </w:r>
      <w:r w:rsidR="00605FC0">
        <w:rPr>
          <w:rFonts w:ascii="Arial" w:hAnsi="Arial" w:cs="Arial"/>
          <w:sz w:val="24"/>
          <w:szCs w:val="24"/>
        </w:rPr>
        <w:t xml:space="preserve">and </w:t>
      </w:r>
      <w:r w:rsidR="005563C4">
        <w:rPr>
          <w:rFonts w:ascii="Arial" w:hAnsi="Arial" w:cs="Arial"/>
          <w:sz w:val="24"/>
          <w:szCs w:val="24"/>
        </w:rPr>
        <w:t>I conclude</w:t>
      </w:r>
      <w:r w:rsidR="00FB6984" w:rsidRPr="00044CE7">
        <w:rPr>
          <w:rFonts w:ascii="Arial" w:hAnsi="Arial" w:cs="Arial"/>
          <w:sz w:val="24"/>
          <w:szCs w:val="24"/>
        </w:rPr>
        <w:t xml:space="preserve"> </w:t>
      </w:r>
      <w:r w:rsidR="00CE4266">
        <w:rPr>
          <w:rFonts w:ascii="Arial" w:hAnsi="Arial" w:cs="Arial"/>
          <w:sz w:val="24"/>
          <w:szCs w:val="24"/>
        </w:rPr>
        <w:t xml:space="preserve">that </w:t>
      </w:r>
      <w:r w:rsidR="00FB6984" w:rsidRPr="00044CE7">
        <w:rPr>
          <w:rFonts w:ascii="Arial" w:hAnsi="Arial" w:cs="Arial"/>
          <w:sz w:val="24"/>
          <w:szCs w:val="24"/>
        </w:rPr>
        <w:t xml:space="preserve">the evidence of </w:t>
      </w:r>
      <w:proofErr w:type="spellStart"/>
      <w:r w:rsidR="00BE6ED7" w:rsidRPr="00044CE7">
        <w:rPr>
          <w:rFonts w:ascii="Arial" w:hAnsi="Arial" w:cs="Arial"/>
          <w:sz w:val="24"/>
          <w:szCs w:val="24"/>
        </w:rPr>
        <w:t>Mr</w:t>
      </w:r>
      <w:proofErr w:type="spellEnd"/>
      <w:r w:rsidR="00BE6ED7">
        <w:rPr>
          <w:rFonts w:ascii="Arial" w:hAnsi="Arial" w:cs="Arial"/>
          <w:sz w:val="24"/>
          <w:szCs w:val="24"/>
        </w:rPr>
        <w:t xml:space="preserve"> </w:t>
      </w:r>
      <w:proofErr w:type="spellStart"/>
      <w:r w:rsidR="00BE6ED7">
        <w:rPr>
          <w:rFonts w:ascii="Arial" w:hAnsi="Arial" w:cs="Arial"/>
          <w:sz w:val="24"/>
          <w:szCs w:val="24"/>
        </w:rPr>
        <w:t>Nakhom</w:t>
      </w:r>
      <w:proofErr w:type="spellEnd"/>
      <w:r w:rsidR="00BE6ED7" w:rsidRPr="00044CE7">
        <w:rPr>
          <w:rFonts w:ascii="Arial" w:hAnsi="Arial" w:cs="Arial"/>
          <w:sz w:val="24"/>
          <w:szCs w:val="24"/>
        </w:rPr>
        <w:t xml:space="preserve"> </w:t>
      </w:r>
      <w:r w:rsidR="00605FC0">
        <w:rPr>
          <w:rFonts w:ascii="Arial" w:hAnsi="Arial" w:cs="Arial"/>
          <w:sz w:val="24"/>
          <w:szCs w:val="24"/>
        </w:rPr>
        <w:t>establishes at least on a</w:t>
      </w:r>
      <w:r w:rsidR="00FB6984" w:rsidRPr="00044CE7">
        <w:rPr>
          <w:rFonts w:ascii="Arial" w:hAnsi="Arial" w:cs="Arial"/>
          <w:sz w:val="24"/>
          <w:szCs w:val="24"/>
        </w:rPr>
        <w:t xml:space="preserve"> </w:t>
      </w:r>
      <w:r w:rsidR="00FB6984" w:rsidRPr="00044CE7">
        <w:rPr>
          <w:rFonts w:ascii="Arial" w:hAnsi="Arial" w:cs="Arial"/>
          <w:i/>
          <w:sz w:val="24"/>
          <w:szCs w:val="24"/>
        </w:rPr>
        <w:t>prim</w:t>
      </w:r>
      <w:r w:rsidR="004E3FD1">
        <w:rPr>
          <w:rFonts w:ascii="Arial" w:hAnsi="Arial" w:cs="Arial"/>
          <w:i/>
          <w:sz w:val="24"/>
          <w:szCs w:val="24"/>
        </w:rPr>
        <w:t>a</w:t>
      </w:r>
      <w:r w:rsidR="00FB6984" w:rsidRPr="00044CE7">
        <w:rPr>
          <w:rFonts w:ascii="Arial" w:hAnsi="Arial" w:cs="Arial"/>
          <w:i/>
          <w:sz w:val="24"/>
          <w:szCs w:val="24"/>
        </w:rPr>
        <w:t xml:space="preserve"> facie</w:t>
      </w:r>
      <w:r w:rsidR="005D14ED">
        <w:rPr>
          <w:rFonts w:ascii="Arial" w:hAnsi="Arial" w:cs="Arial"/>
          <w:sz w:val="24"/>
          <w:szCs w:val="24"/>
        </w:rPr>
        <w:t xml:space="preserve"> basis that the D</w:t>
      </w:r>
      <w:r w:rsidR="00FB6984" w:rsidRPr="00044CE7">
        <w:rPr>
          <w:rFonts w:ascii="Arial" w:hAnsi="Arial" w:cs="Arial"/>
          <w:sz w:val="24"/>
          <w:szCs w:val="24"/>
        </w:rPr>
        <w:t xml:space="preserve">eclarations submitted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we</w:t>
      </w:r>
      <w:r w:rsidR="00605FC0">
        <w:rPr>
          <w:rFonts w:ascii="Arial" w:hAnsi="Arial" w:cs="Arial"/>
          <w:sz w:val="24"/>
          <w:szCs w:val="24"/>
        </w:rPr>
        <w:t>re false. There is further corro</w:t>
      </w:r>
      <w:r w:rsidR="00FB6984" w:rsidRPr="00044CE7">
        <w:rPr>
          <w:rFonts w:ascii="Arial" w:hAnsi="Arial" w:cs="Arial"/>
          <w:sz w:val="24"/>
          <w:szCs w:val="24"/>
        </w:rPr>
        <w:t xml:space="preserve">boration for this fact in the sense that several of </w:t>
      </w:r>
      <w:r w:rsidR="00B54E0D">
        <w:rPr>
          <w:rFonts w:ascii="Arial" w:hAnsi="Arial" w:cs="Arial"/>
          <w:sz w:val="24"/>
          <w:szCs w:val="24"/>
        </w:rPr>
        <w:t xml:space="preserve">the </w:t>
      </w:r>
      <w:r w:rsidR="00FB6984" w:rsidRPr="00044CE7">
        <w:rPr>
          <w:rFonts w:ascii="Arial" w:hAnsi="Arial" w:cs="Arial"/>
          <w:sz w:val="24"/>
          <w:szCs w:val="24"/>
        </w:rPr>
        <w:t>suppliers testified that they did not sell the goods whi</w:t>
      </w:r>
      <w:r w:rsidR="00605FC0">
        <w:rPr>
          <w:rFonts w:ascii="Arial" w:hAnsi="Arial" w:cs="Arial"/>
          <w:sz w:val="24"/>
          <w:szCs w:val="24"/>
        </w:rPr>
        <w:t>ch were purportedly exported as</w:t>
      </w:r>
      <w:r w:rsidR="00FB6984" w:rsidRPr="00044CE7">
        <w:rPr>
          <w:rFonts w:ascii="Arial" w:hAnsi="Arial" w:cs="Arial"/>
          <w:sz w:val="24"/>
          <w:szCs w:val="24"/>
        </w:rPr>
        <w:t xml:space="preserve"> indicated on the invoices and the SAD500 De</w:t>
      </w:r>
      <w:r w:rsidR="004E3FD1">
        <w:rPr>
          <w:rFonts w:ascii="Arial" w:hAnsi="Arial" w:cs="Arial"/>
          <w:sz w:val="24"/>
          <w:szCs w:val="24"/>
        </w:rPr>
        <w:t xml:space="preserve">clarations submitted to </w:t>
      </w:r>
      <w:proofErr w:type="spellStart"/>
      <w:r w:rsidR="004E3FD1">
        <w:rPr>
          <w:rFonts w:ascii="Arial" w:hAnsi="Arial" w:cs="Arial"/>
          <w:sz w:val="24"/>
          <w:szCs w:val="24"/>
        </w:rPr>
        <w:t>Aveshe</w:t>
      </w:r>
      <w:proofErr w:type="spellEnd"/>
      <w:r w:rsidR="004E3FD1">
        <w:rPr>
          <w:rFonts w:ascii="Arial" w:hAnsi="Arial" w:cs="Arial"/>
          <w:sz w:val="24"/>
          <w:szCs w:val="24"/>
        </w:rPr>
        <w:t>.</w:t>
      </w:r>
      <w:r w:rsidR="00FB6984" w:rsidRPr="00044CE7">
        <w:rPr>
          <w:rFonts w:ascii="Arial" w:hAnsi="Arial" w:cs="Arial"/>
          <w:sz w:val="24"/>
          <w:szCs w:val="24"/>
        </w:rPr>
        <w:t xml:space="preserve"> I do not agree that the failure to call the </w:t>
      </w:r>
      <w:r w:rsidR="00CE4266">
        <w:rPr>
          <w:rFonts w:ascii="Arial" w:hAnsi="Arial" w:cs="Arial"/>
          <w:sz w:val="24"/>
          <w:szCs w:val="24"/>
        </w:rPr>
        <w:t>clearing a</w:t>
      </w:r>
      <w:r w:rsidR="00605FC0">
        <w:rPr>
          <w:rFonts w:ascii="Arial" w:hAnsi="Arial" w:cs="Arial"/>
          <w:sz w:val="24"/>
          <w:szCs w:val="24"/>
        </w:rPr>
        <w:t>gents is fatal to the</w:t>
      </w:r>
      <w:r w:rsidR="00FB6984" w:rsidRPr="00044CE7">
        <w:rPr>
          <w:rFonts w:ascii="Arial" w:hAnsi="Arial" w:cs="Arial"/>
          <w:sz w:val="24"/>
          <w:szCs w:val="24"/>
        </w:rPr>
        <w:t xml:space="preserve"> State’s case. Once it is accepted that the SAD500 Declarations submitted are false in one</w:t>
      </w:r>
      <w:r w:rsidR="00605FC0">
        <w:rPr>
          <w:rFonts w:ascii="Arial" w:hAnsi="Arial" w:cs="Arial"/>
          <w:sz w:val="24"/>
          <w:szCs w:val="24"/>
        </w:rPr>
        <w:t xml:space="preserve"> or more respects, the inference</w:t>
      </w:r>
      <w:r w:rsidR="00FB6984" w:rsidRPr="00044CE7">
        <w:rPr>
          <w:rFonts w:ascii="Arial" w:hAnsi="Arial" w:cs="Arial"/>
          <w:sz w:val="24"/>
          <w:szCs w:val="24"/>
        </w:rPr>
        <w:t xml:space="preserve"> may well be </w:t>
      </w:r>
      <w:r w:rsidR="00605FC0">
        <w:rPr>
          <w:rFonts w:ascii="Arial" w:hAnsi="Arial" w:cs="Arial"/>
          <w:sz w:val="24"/>
          <w:szCs w:val="24"/>
        </w:rPr>
        <w:t>drawn that they</w:t>
      </w:r>
      <w:r w:rsidR="00FB6984" w:rsidRPr="00044CE7">
        <w:rPr>
          <w:rFonts w:ascii="Arial" w:hAnsi="Arial" w:cs="Arial"/>
          <w:sz w:val="24"/>
          <w:szCs w:val="24"/>
        </w:rPr>
        <w:t xml:space="preserve"> are false in other respects as well</w:t>
      </w:r>
      <w:r w:rsidR="00CE4266">
        <w:rPr>
          <w:rFonts w:ascii="Arial" w:hAnsi="Arial" w:cs="Arial"/>
          <w:sz w:val="24"/>
          <w:szCs w:val="24"/>
        </w:rPr>
        <w:t>, including the details of the clearing a</w:t>
      </w:r>
      <w:r w:rsidR="00FB6984" w:rsidRPr="00044CE7">
        <w:rPr>
          <w:rFonts w:ascii="Arial" w:hAnsi="Arial" w:cs="Arial"/>
          <w:sz w:val="24"/>
          <w:szCs w:val="24"/>
        </w:rPr>
        <w:t xml:space="preserve">gents appearing </w:t>
      </w:r>
      <w:r w:rsidR="00605FC0">
        <w:rPr>
          <w:rFonts w:ascii="Arial" w:hAnsi="Arial" w:cs="Arial"/>
          <w:sz w:val="24"/>
          <w:szCs w:val="24"/>
        </w:rPr>
        <w:t>on them. There is further corro</w:t>
      </w:r>
      <w:r w:rsidR="00FB6984" w:rsidRPr="00044CE7">
        <w:rPr>
          <w:rFonts w:ascii="Arial" w:hAnsi="Arial" w:cs="Arial"/>
          <w:sz w:val="24"/>
          <w:szCs w:val="24"/>
        </w:rPr>
        <w:t>boration on this scor</w:t>
      </w:r>
      <w:r w:rsidR="00CE4266">
        <w:rPr>
          <w:rFonts w:ascii="Arial" w:hAnsi="Arial" w:cs="Arial"/>
          <w:sz w:val="24"/>
          <w:szCs w:val="24"/>
        </w:rPr>
        <w:t>e in as much as the SAD500 Declarations</w:t>
      </w:r>
      <w:r w:rsidR="00FB6984" w:rsidRPr="00044CE7">
        <w:rPr>
          <w:rFonts w:ascii="Arial" w:hAnsi="Arial" w:cs="Arial"/>
          <w:sz w:val="24"/>
          <w:szCs w:val="24"/>
        </w:rPr>
        <w:t xml:space="preserve"> </w:t>
      </w:r>
      <w:r w:rsidR="00CE4266">
        <w:rPr>
          <w:rFonts w:ascii="Arial" w:hAnsi="Arial" w:cs="Arial"/>
          <w:sz w:val="24"/>
          <w:szCs w:val="24"/>
        </w:rPr>
        <w:t xml:space="preserve">found in the </w:t>
      </w:r>
      <w:r w:rsidR="00CE4266">
        <w:rPr>
          <w:rFonts w:ascii="Arial" w:hAnsi="Arial" w:cs="Arial"/>
          <w:sz w:val="24"/>
          <w:szCs w:val="24"/>
        </w:rPr>
        <w:lastRenderedPageBreak/>
        <w:t>possession of the a</w:t>
      </w:r>
      <w:r w:rsidR="00FB6984" w:rsidRPr="00044CE7">
        <w:rPr>
          <w:rFonts w:ascii="Arial" w:hAnsi="Arial" w:cs="Arial"/>
          <w:sz w:val="24"/>
          <w:szCs w:val="24"/>
        </w:rPr>
        <w:t>ccused were identical to SAD500 Declarations used to submit claims in other instances</w:t>
      </w:r>
      <w:r w:rsidR="00CE4266">
        <w:rPr>
          <w:rFonts w:ascii="Arial" w:hAnsi="Arial" w:cs="Arial"/>
          <w:sz w:val="24"/>
          <w:szCs w:val="24"/>
        </w:rPr>
        <w:t xml:space="preserve">, for example </w:t>
      </w:r>
      <w:r w:rsidR="004E3FD1">
        <w:rPr>
          <w:rFonts w:ascii="Arial" w:hAnsi="Arial" w:cs="Arial"/>
          <w:sz w:val="24"/>
          <w:szCs w:val="24"/>
        </w:rPr>
        <w:t>‘</w:t>
      </w:r>
      <w:r w:rsidR="00CE4266">
        <w:rPr>
          <w:rFonts w:ascii="Arial" w:hAnsi="Arial" w:cs="Arial"/>
          <w:sz w:val="24"/>
          <w:szCs w:val="24"/>
        </w:rPr>
        <w:t>Exhibit</w:t>
      </w:r>
      <w:r w:rsidR="004E3FD1">
        <w:rPr>
          <w:rFonts w:ascii="Arial" w:hAnsi="Arial" w:cs="Arial"/>
          <w:sz w:val="24"/>
          <w:szCs w:val="24"/>
        </w:rPr>
        <w:t xml:space="preserve"> YYYY18’ and ‘Exhibit DD5’.</w:t>
      </w:r>
    </w:p>
    <w:p w:rsidR="004E3FD1" w:rsidRPr="005563C4" w:rsidRDefault="004E3FD1" w:rsidP="0099115A">
      <w:pPr>
        <w:spacing w:after="0" w:line="360" w:lineRule="auto"/>
        <w:jc w:val="both"/>
        <w:rPr>
          <w:rFonts w:ascii="Arial" w:hAnsi="Arial" w:cs="Arial"/>
          <w:sz w:val="24"/>
          <w:szCs w:val="24"/>
          <w:u w:val="single"/>
        </w:rPr>
      </w:pPr>
    </w:p>
    <w:p w:rsidR="000202BB" w:rsidRDefault="00CB54DE" w:rsidP="0099115A">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B6984" w:rsidRPr="00044CE7">
        <w:rPr>
          <w:rFonts w:ascii="Arial" w:hAnsi="Arial" w:cs="Arial"/>
          <w:sz w:val="24"/>
          <w:szCs w:val="24"/>
        </w:rPr>
        <w:t xml:space="preserve">There is also evidence that more than one SAD500 Declaration was </w:t>
      </w:r>
      <w:r w:rsidR="00CE33EF">
        <w:rPr>
          <w:rFonts w:ascii="Arial" w:hAnsi="Arial" w:cs="Arial"/>
          <w:sz w:val="24"/>
          <w:szCs w:val="24"/>
        </w:rPr>
        <w:t>used in some cases to export</w:t>
      </w:r>
      <w:r w:rsidR="00FB6984" w:rsidRPr="00044CE7">
        <w:rPr>
          <w:rFonts w:ascii="Arial" w:hAnsi="Arial" w:cs="Arial"/>
          <w:sz w:val="24"/>
          <w:szCs w:val="24"/>
        </w:rPr>
        <w:t xml:space="preserve"> identical go</w:t>
      </w:r>
      <w:r w:rsidR="004E3FD1">
        <w:rPr>
          <w:rFonts w:ascii="Arial" w:hAnsi="Arial" w:cs="Arial"/>
          <w:sz w:val="24"/>
          <w:szCs w:val="24"/>
        </w:rPr>
        <w:t xml:space="preserve">ods on more than one occasion. </w:t>
      </w:r>
      <w:r w:rsidR="00FB6984" w:rsidRPr="00044CE7">
        <w:rPr>
          <w:rFonts w:ascii="Arial" w:hAnsi="Arial" w:cs="Arial"/>
          <w:sz w:val="24"/>
          <w:szCs w:val="24"/>
        </w:rPr>
        <w:t xml:space="preserve">I find that in respect of these </w:t>
      </w:r>
      <w:r w:rsidR="00BE6ED7" w:rsidRPr="00044CE7">
        <w:rPr>
          <w:rFonts w:ascii="Arial" w:hAnsi="Arial" w:cs="Arial"/>
          <w:sz w:val="24"/>
          <w:szCs w:val="24"/>
        </w:rPr>
        <w:t>accused</w:t>
      </w:r>
      <w:r w:rsidR="00CE33EF">
        <w:rPr>
          <w:rFonts w:ascii="Arial" w:hAnsi="Arial" w:cs="Arial"/>
          <w:sz w:val="24"/>
          <w:szCs w:val="24"/>
        </w:rPr>
        <w:t>,</w:t>
      </w:r>
      <w:r w:rsidR="00605FC0">
        <w:rPr>
          <w:rFonts w:ascii="Arial" w:hAnsi="Arial" w:cs="Arial"/>
          <w:sz w:val="24"/>
          <w:szCs w:val="24"/>
        </w:rPr>
        <w:t xml:space="preserve"> a</w:t>
      </w:r>
      <w:r w:rsidR="004E3FD1">
        <w:rPr>
          <w:rFonts w:ascii="Arial" w:hAnsi="Arial" w:cs="Arial"/>
          <w:sz w:val="24"/>
          <w:szCs w:val="24"/>
        </w:rPr>
        <w:t xml:space="preserve"> reasonable C</w:t>
      </w:r>
      <w:r w:rsidR="00FB6984" w:rsidRPr="00044CE7">
        <w:rPr>
          <w:rFonts w:ascii="Arial" w:hAnsi="Arial" w:cs="Arial"/>
          <w:sz w:val="24"/>
          <w:szCs w:val="24"/>
        </w:rPr>
        <w:t xml:space="preserve">ourt may find that the claims submitted to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were false</w:t>
      </w:r>
      <w:r w:rsidR="00CE33EF">
        <w:rPr>
          <w:rFonts w:ascii="Arial" w:hAnsi="Arial" w:cs="Arial"/>
          <w:sz w:val="24"/>
          <w:szCs w:val="24"/>
        </w:rPr>
        <w:t>,</w:t>
      </w:r>
      <w:r w:rsidR="00FB6984" w:rsidRPr="00044CE7">
        <w:rPr>
          <w:rFonts w:ascii="Arial" w:hAnsi="Arial" w:cs="Arial"/>
          <w:sz w:val="24"/>
          <w:szCs w:val="24"/>
        </w:rPr>
        <w:t xml:space="preserve"> in as much as the goods specified were </w:t>
      </w:r>
      <w:r w:rsidR="00C4719F" w:rsidRPr="00044CE7">
        <w:rPr>
          <w:rFonts w:ascii="Arial" w:hAnsi="Arial" w:cs="Arial"/>
          <w:sz w:val="24"/>
          <w:szCs w:val="24"/>
        </w:rPr>
        <w:t>either never purchased or</w:t>
      </w:r>
      <w:r w:rsidR="00FB6984" w:rsidRPr="00044CE7">
        <w:rPr>
          <w:rFonts w:ascii="Arial" w:hAnsi="Arial" w:cs="Arial"/>
          <w:sz w:val="24"/>
          <w:szCs w:val="24"/>
        </w:rPr>
        <w:t xml:space="preserve"> in any event never exported. It is correct that in some cases th</w:t>
      </w:r>
      <w:r w:rsidR="00C4719F">
        <w:rPr>
          <w:rFonts w:ascii="Arial" w:hAnsi="Arial" w:cs="Arial"/>
          <w:sz w:val="24"/>
          <w:szCs w:val="24"/>
        </w:rPr>
        <w:t>e VAT24 documents submitted do</w:t>
      </w:r>
      <w:r w:rsidR="00605FC0">
        <w:rPr>
          <w:rFonts w:ascii="Arial" w:hAnsi="Arial" w:cs="Arial"/>
          <w:sz w:val="24"/>
          <w:szCs w:val="24"/>
        </w:rPr>
        <w:t xml:space="preserve"> not bear the signature of a </w:t>
      </w:r>
      <w:r w:rsidR="00FB6984" w:rsidRPr="00044CE7">
        <w:rPr>
          <w:rFonts w:ascii="Arial" w:hAnsi="Arial" w:cs="Arial"/>
          <w:sz w:val="24"/>
          <w:szCs w:val="24"/>
        </w:rPr>
        <w:t xml:space="preserve">person purporting to be one of the </w:t>
      </w:r>
      <w:r w:rsidR="00CE33EF">
        <w:rPr>
          <w:rFonts w:ascii="Arial" w:hAnsi="Arial" w:cs="Arial"/>
          <w:sz w:val="24"/>
          <w:szCs w:val="24"/>
        </w:rPr>
        <w:t>a</w:t>
      </w:r>
      <w:r w:rsidR="00605FC0">
        <w:rPr>
          <w:rFonts w:ascii="Arial" w:hAnsi="Arial" w:cs="Arial"/>
          <w:sz w:val="24"/>
          <w:szCs w:val="24"/>
        </w:rPr>
        <w:t>ccused. It is however evident</w:t>
      </w:r>
      <w:r w:rsidR="00FB6984" w:rsidRPr="00044CE7">
        <w:rPr>
          <w:rFonts w:ascii="Arial" w:hAnsi="Arial" w:cs="Arial"/>
          <w:sz w:val="24"/>
          <w:szCs w:val="24"/>
        </w:rPr>
        <w:t xml:space="preserve"> that in each ca</w:t>
      </w:r>
      <w:r w:rsidR="00CE33EF">
        <w:rPr>
          <w:rFonts w:ascii="Arial" w:hAnsi="Arial" w:cs="Arial"/>
          <w:sz w:val="24"/>
          <w:szCs w:val="24"/>
        </w:rPr>
        <w:t>se a copy of a passport of the a</w:t>
      </w:r>
      <w:r w:rsidR="00FB6984" w:rsidRPr="00044CE7">
        <w:rPr>
          <w:rFonts w:ascii="Arial" w:hAnsi="Arial" w:cs="Arial"/>
          <w:sz w:val="24"/>
          <w:szCs w:val="24"/>
        </w:rPr>
        <w:t>ccused concerned was submitted togethe</w:t>
      </w:r>
      <w:r w:rsidR="00CE33EF">
        <w:rPr>
          <w:rFonts w:ascii="Arial" w:hAnsi="Arial" w:cs="Arial"/>
          <w:sz w:val="24"/>
          <w:szCs w:val="24"/>
        </w:rPr>
        <w:t>r with the other documentation.</w:t>
      </w:r>
    </w:p>
    <w:p w:rsidR="004E3FD1" w:rsidRDefault="004E3FD1" w:rsidP="0099115A">
      <w:pPr>
        <w:spacing w:after="0" w:line="360" w:lineRule="auto"/>
        <w:jc w:val="both"/>
        <w:rPr>
          <w:rFonts w:ascii="Arial" w:hAnsi="Arial" w:cs="Arial"/>
          <w:sz w:val="24"/>
          <w:szCs w:val="24"/>
        </w:rPr>
      </w:pPr>
    </w:p>
    <w:p w:rsidR="00830C72" w:rsidRDefault="000202BB" w:rsidP="0099115A">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B6984" w:rsidRPr="00044CE7">
        <w:rPr>
          <w:rFonts w:ascii="Arial" w:hAnsi="Arial" w:cs="Arial"/>
          <w:sz w:val="24"/>
          <w:szCs w:val="24"/>
        </w:rPr>
        <w:t>Apart from that, th</w:t>
      </w:r>
      <w:r w:rsidR="00CE33EF">
        <w:rPr>
          <w:rFonts w:ascii="Arial" w:hAnsi="Arial" w:cs="Arial"/>
          <w:sz w:val="24"/>
          <w:szCs w:val="24"/>
        </w:rPr>
        <w:t>e evidence is that each of the a</w:t>
      </w:r>
      <w:r w:rsidR="00FB6984" w:rsidRPr="00044CE7">
        <w:rPr>
          <w:rFonts w:ascii="Arial" w:hAnsi="Arial" w:cs="Arial"/>
          <w:sz w:val="24"/>
          <w:szCs w:val="24"/>
        </w:rPr>
        <w:t xml:space="preserve">ccused attended the meeting at the offices of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on 1</w:t>
      </w:r>
      <w:r w:rsidR="00FB6984" w:rsidRPr="00044CE7">
        <w:rPr>
          <w:rFonts w:ascii="Arial" w:hAnsi="Arial" w:cs="Arial"/>
          <w:sz w:val="24"/>
          <w:szCs w:val="24"/>
          <w:vertAlign w:val="superscript"/>
        </w:rPr>
        <w:t>st</w:t>
      </w:r>
      <w:r w:rsidR="00FB6984" w:rsidRPr="00044CE7">
        <w:rPr>
          <w:rFonts w:ascii="Arial" w:hAnsi="Arial" w:cs="Arial"/>
          <w:sz w:val="24"/>
          <w:szCs w:val="24"/>
        </w:rPr>
        <w:t xml:space="preserve"> </w:t>
      </w:r>
      <w:r w:rsidR="00605FC0">
        <w:rPr>
          <w:rFonts w:ascii="Arial" w:hAnsi="Arial" w:cs="Arial"/>
          <w:sz w:val="24"/>
          <w:szCs w:val="24"/>
        </w:rPr>
        <w:t>December 2015</w:t>
      </w:r>
      <w:r w:rsidR="00CE33EF">
        <w:rPr>
          <w:rFonts w:ascii="Arial" w:hAnsi="Arial" w:cs="Arial"/>
          <w:sz w:val="24"/>
          <w:szCs w:val="24"/>
        </w:rPr>
        <w:t>,</w:t>
      </w:r>
      <w:r w:rsidR="00605FC0">
        <w:rPr>
          <w:rFonts w:ascii="Arial" w:hAnsi="Arial" w:cs="Arial"/>
          <w:sz w:val="24"/>
          <w:szCs w:val="24"/>
        </w:rPr>
        <w:t xml:space="preserve"> ostensibly to receive</w:t>
      </w:r>
      <w:r w:rsidR="00FB6984" w:rsidRPr="00044CE7">
        <w:rPr>
          <w:rFonts w:ascii="Arial" w:hAnsi="Arial" w:cs="Arial"/>
          <w:sz w:val="24"/>
          <w:szCs w:val="24"/>
        </w:rPr>
        <w:t xml:space="preserve"> payment in r</w:t>
      </w:r>
      <w:r w:rsidR="00605FC0">
        <w:rPr>
          <w:rFonts w:ascii="Arial" w:hAnsi="Arial" w:cs="Arial"/>
          <w:sz w:val="24"/>
          <w:szCs w:val="24"/>
        </w:rPr>
        <w:t>espect of claims submitted. In t</w:t>
      </w:r>
      <w:r w:rsidR="00FB6984" w:rsidRPr="00044CE7">
        <w:rPr>
          <w:rFonts w:ascii="Arial" w:hAnsi="Arial" w:cs="Arial"/>
          <w:sz w:val="24"/>
          <w:szCs w:val="24"/>
        </w:rPr>
        <w:t>h</w:t>
      </w:r>
      <w:r w:rsidR="00CE33EF">
        <w:rPr>
          <w:rFonts w:ascii="Arial" w:hAnsi="Arial" w:cs="Arial"/>
          <w:sz w:val="24"/>
          <w:szCs w:val="24"/>
        </w:rPr>
        <w:t xml:space="preserve">ese circumstances, a reasonable </w:t>
      </w:r>
      <w:r w:rsidR="004E3FD1">
        <w:rPr>
          <w:rFonts w:ascii="Arial" w:hAnsi="Arial" w:cs="Arial"/>
          <w:sz w:val="24"/>
          <w:szCs w:val="24"/>
        </w:rPr>
        <w:t>C</w:t>
      </w:r>
      <w:r w:rsidR="00FB6984" w:rsidRPr="00044CE7">
        <w:rPr>
          <w:rFonts w:ascii="Arial" w:hAnsi="Arial" w:cs="Arial"/>
          <w:sz w:val="24"/>
          <w:szCs w:val="24"/>
        </w:rPr>
        <w:t>ou</w:t>
      </w:r>
      <w:r w:rsidR="00CE33EF">
        <w:rPr>
          <w:rFonts w:ascii="Arial" w:hAnsi="Arial" w:cs="Arial"/>
          <w:sz w:val="24"/>
          <w:szCs w:val="24"/>
        </w:rPr>
        <w:t>rt may draw an adverse inference</w:t>
      </w:r>
      <w:r w:rsidR="00FB6984" w:rsidRPr="00044CE7">
        <w:rPr>
          <w:rFonts w:ascii="Arial" w:hAnsi="Arial" w:cs="Arial"/>
          <w:sz w:val="24"/>
          <w:szCs w:val="24"/>
        </w:rPr>
        <w:t xml:space="preserve"> which may</w:t>
      </w:r>
      <w:r w:rsidR="00CE33EF">
        <w:rPr>
          <w:rFonts w:ascii="Arial" w:hAnsi="Arial" w:cs="Arial"/>
          <w:sz w:val="24"/>
          <w:szCs w:val="24"/>
        </w:rPr>
        <w:t xml:space="preserve"> lead to the conviction of the a</w:t>
      </w:r>
      <w:r w:rsidR="00FB6984" w:rsidRPr="00044CE7">
        <w:rPr>
          <w:rFonts w:ascii="Arial" w:hAnsi="Arial" w:cs="Arial"/>
          <w:sz w:val="24"/>
          <w:szCs w:val="24"/>
        </w:rPr>
        <w:t>ccused concerned. It follows in this regard</w:t>
      </w:r>
      <w:r w:rsidR="00CE33EF">
        <w:rPr>
          <w:rFonts w:ascii="Arial" w:hAnsi="Arial" w:cs="Arial"/>
          <w:sz w:val="24"/>
          <w:szCs w:val="24"/>
        </w:rPr>
        <w:t>,</w:t>
      </w:r>
      <w:r w:rsidR="00FB6984" w:rsidRPr="00044CE7">
        <w:rPr>
          <w:rFonts w:ascii="Arial" w:hAnsi="Arial" w:cs="Arial"/>
          <w:sz w:val="24"/>
          <w:szCs w:val="24"/>
        </w:rPr>
        <w:t xml:space="preserve"> subje</w:t>
      </w:r>
      <w:r w:rsidR="00605FC0">
        <w:rPr>
          <w:rFonts w:ascii="Arial" w:hAnsi="Arial" w:cs="Arial"/>
          <w:sz w:val="24"/>
          <w:szCs w:val="24"/>
        </w:rPr>
        <w:t xml:space="preserve">ct to what I may say later, the </w:t>
      </w:r>
      <w:r w:rsidR="00FB6984" w:rsidRPr="00044CE7">
        <w:rPr>
          <w:rFonts w:ascii="Arial" w:hAnsi="Arial" w:cs="Arial"/>
          <w:sz w:val="24"/>
          <w:szCs w:val="24"/>
        </w:rPr>
        <w:t>appli</w:t>
      </w:r>
      <w:r w:rsidR="00CE33EF">
        <w:rPr>
          <w:rFonts w:ascii="Arial" w:hAnsi="Arial" w:cs="Arial"/>
          <w:sz w:val="24"/>
          <w:szCs w:val="24"/>
        </w:rPr>
        <w:t>cations of a</w:t>
      </w:r>
      <w:r w:rsidR="00FB6984" w:rsidRPr="00044CE7">
        <w:rPr>
          <w:rFonts w:ascii="Arial" w:hAnsi="Arial" w:cs="Arial"/>
          <w:sz w:val="24"/>
          <w:szCs w:val="24"/>
        </w:rPr>
        <w:t>ccused 2, 3, 4, 5, 7, 8,</w:t>
      </w:r>
      <w:r w:rsidR="00B54E0D">
        <w:rPr>
          <w:rFonts w:ascii="Arial" w:hAnsi="Arial" w:cs="Arial"/>
          <w:sz w:val="24"/>
          <w:szCs w:val="24"/>
        </w:rPr>
        <w:t xml:space="preserve"> 9</w:t>
      </w:r>
      <w:r w:rsidR="00CE33EF">
        <w:rPr>
          <w:rFonts w:ascii="Arial" w:hAnsi="Arial" w:cs="Arial"/>
          <w:sz w:val="24"/>
          <w:szCs w:val="24"/>
        </w:rPr>
        <w:t>, 11 and 12 are refused.</w:t>
      </w:r>
    </w:p>
    <w:p w:rsidR="00BC3144" w:rsidRDefault="00BC3144" w:rsidP="0099115A">
      <w:pPr>
        <w:spacing w:after="0" w:line="360" w:lineRule="auto"/>
        <w:jc w:val="both"/>
        <w:rPr>
          <w:rFonts w:ascii="Arial" w:hAnsi="Arial" w:cs="Arial"/>
          <w:sz w:val="24"/>
          <w:szCs w:val="24"/>
        </w:rPr>
      </w:pPr>
    </w:p>
    <w:p w:rsidR="004E3FD1" w:rsidRPr="004E3FD1" w:rsidRDefault="004E3FD1" w:rsidP="0099115A">
      <w:pPr>
        <w:spacing w:after="0" w:line="360" w:lineRule="auto"/>
        <w:jc w:val="both"/>
        <w:rPr>
          <w:rFonts w:ascii="Arial" w:hAnsi="Arial" w:cs="Arial"/>
          <w:sz w:val="24"/>
          <w:szCs w:val="24"/>
          <w:u w:val="single"/>
        </w:rPr>
      </w:pPr>
      <w:r w:rsidRPr="004E3FD1">
        <w:rPr>
          <w:rFonts w:ascii="Arial" w:hAnsi="Arial" w:cs="Arial"/>
          <w:sz w:val="24"/>
          <w:szCs w:val="24"/>
          <w:u w:val="single"/>
        </w:rPr>
        <w:t>The case against accused no. 1</w:t>
      </w:r>
    </w:p>
    <w:p w:rsidR="004E3FD1" w:rsidRDefault="004E3FD1" w:rsidP="004E3FD1">
      <w:pPr>
        <w:spacing w:after="0" w:line="360" w:lineRule="auto"/>
        <w:jc w:val="both"/>
        <w:rPr>
          <w:rFonts w:ascii="Arial" w:hAnsi="Arial" w:cs="Arial"/>
          <w:sz w:val="24"/>
          <w:szCs w:val="24"/>
        </w:rPr>
      </w:pPr>
    </w:p>
    <w:p w:rsidR="000C2BE1" w:rsidRDefault="00E84390" w:rsidP="004E3FD1">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B6984" w:rsidRPr="00044CE7">
        <w:rPr>
          <w:rFonts w:ascii="Arial" w:hAnsi="Arial" w:cs="Arial"/>
          <w:sz w:val="24"/>
          <w:szCs w:val="24"/>
        </w:rPr>
        <w:t>I tur</w:t>
      </w:r>
      <w:r w:rsidR="00CE33EF">
        <w:rPr>
          <w:rFonts w:ascii="Arial" w:hAnsi="Arial" w:cs="Arial"/>
          <w:sz w:val="24"/>
          <w:szCs w:val="24"/>
        </w:rPr>
        <w:t>n to consider the case against a</w:t>
      </w:r>
      <w:r w:rsidR="00FB6984" w:rsidRPr="00044CE7">
        <w:rPr>
          <w:rFonts w:ascii="Arial" w:hAnsi="Arial" w:cs="Arial"/>
          <w:sz w:val="24"/>
          <w:szCs w:val="24"/>
        </w:rPr>
        <w:t xml:space="preserve">ccused 1. Accused 1 was employed at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at the time. Her functions included amongst others checking VAT refund claims submitted by clients. The evidence establish</w:t>
      </w:r>
      <w:r w:rsidR="00A17F47">
        <w:rPr>
          <w:rFonts w:ascii="Arial" w:hAnsi="Arial" w:cs="Arial"/>
          <w:sz w:val="24"/>
          <w:szCs w:val="24"/>
        </w:rPr>
        <w:t>ed</w:t>
      </w:r>
      <w:r w:rsidR="00FB6984" w:rsidRPr="00044CE7">
        <w:rPr>
          <w:rFonts w:ascii="Arial" w:hAnsi="Arial" w:cs="Arial"/>
          <w:sz w:val="24"/>
          <w:szCs w:val="24"/>
        </w:rPr>
        <w:t xml:space="preserve"> that she checked some of the claims submitted</w:t>
      </w:r>
      <w:r w:rsidR="00CE33EF">
        <w:rPr>
          <w:rFonts w:ascii="Arial" w:hAnsi="Arial" w:cs="Arial"/>
          <w:sz w:val="24"/>
          <w:szCs w:val="24"/>
        </w:rPr>
        <w:t>,</w:t>
      </w:r>
      <w:r w:rsidR="00FB6984" w:rsidRPr="00044CE7">
        <w:rPr>
          <w:rFonts w:ascii="Arial" w:hAnsi="Arial" w:cs="Arial"/>
          <w:sz w:val="24"/>
          <w:szCs w:val="24"/>
        </w:rPr>
        <w:t xml:space="preserve"> which </w:t>
      </w:r>
      <w:r w:rsidR="004E3FD1">
        <w:rPr>
          <w:rFonts w:ascii="Arial" w:hAnsi="Arial" w:cs="Arial"/>
          <w:sz w:val="24"/>
          <w:szCs w:val="24"/>
        </w:rPr>
        <w:t>form</w:t>
      </w:r>
      <w:r w:rsidR="00A17F47">
        <w:rPr>
          <w:rFonts w:ascii="Arial" w:hAnsi="Arial" w:cs="Arial"/>
          <w:sz w:val="24"/>
          <w:szCs w:val="24"/>
        </w:rPr>
        <w:t xml:space="preserve"> the</w:t>
      </w:r>
      <w:r w:rsidR="00FB6984" w:rsidRPr="00044CE7">
        <w:rPr>
          <w:rFonts w:ascii="Arial" w:hAnsi="Arial" w:cs="Arial"/>
          <w:sz w:val="24"/>
          <w:szCs w:val="24"/>
        </w:rPr>
        <w:t xml:space="preserve"> subject of some of the charges. </w:t>
      </w:r>
      <w:r w:rsidR="00CE33EF">
        <w:rPr>
          <w:rFonts w:ascii="Arial" w:hAnsi="Arial" w:cs="Arial"/>
          <w:sz w:val="24"/>
          <w:szCs w:val="24"/>
        </w:rPr>
        <w:t>However, s</w:t>
      </w:r>
      <w:r w:rsidR="00FB6984" w:rsidRPr="00044CE7">
        <w:rPr>
          <w:rFonts w:ascii="Arial" w:hAnsi="Arial" w:cs="Arial"/>
          <w:sz w:val="24"/>
          <w:szCs w:val="24"/>
        </w:rPr>
        <w:t>he w</w:t>
      </w:r>
      <w:r w:rsidR="00CE33EF">
        <w:rPr>
          <w:rFonts w:ascii="Arial" w:hAnsi="Arial" w:cs="Arial"/>
          <w:sz w:val="24"/>
          <w:szCs w:val="24"/>
        </w:rPr>
        <w:t>as not alone in doing so</w:t>
      </w:r>
      <w:r w:rsidR="00FB6984" w:rsidRPr="00044CE7">
        <w:rPr>
          <w:rFonts w:ascii="Arial" w:hAnsi="Arial" w:cs="Arial"/>
          <w:sz w:val="24"/>
          <w:szCs w:val="24"/>
        </w:rPr>
        <w:t>. Some of the claims we</w:t>
      </w:r>
      <w:r w:rsidR="004E3FD1">
        <w:rPr>
          <w:rFonts w:ascii="Arial" w:hAnsi="Arial" w:cs="Arial"/>
          <w:sz w:val="24"/>
          <w:szCs w:val="24"/>
        </w:rPr>
        <w:t>re checked by other employees.</w:t>
      </w:r>
    </w:p>
    <w:p w:rsidR="004E3FD1" w:rsidRDefault="004E3FD1" w:rsidP="004E3FD1">
      <w:pPr>
        <w:spacing w:after="0" w:line="360" w:lineRule="auto"/>
        <w:jc w:val="both"/>
        <w:rPr>
          <w:rFonts w:ascii="Arial" w:hAnsi="Arial" w:cs="Arial"/>
          <w:sz w:val="24"/>
          <w:szCs w:val="24"/>
        </w:rPr>
      </w:pPr>
    </w:p>
    <w:p w:rsidR="000C2BE1" w:rsidRDefault="000C2BE1" w:rsidP="004E3FD1">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B6984" w:rsidRPr="00044CE7">
        <w:rPr>
          <w:rFonts w:ascii="Arial" w:hAnsi="Arial" w:cs="Arial"/>
          <w:sz w:val="24"/>
          <w:szCs w:val="24"/>
        </w:rPr>
        <w:t xml:space="preserve">The </w:t>
      </w:r>
      <w:r w:rsidR="00FB6984" w:rsidRPr="00044CE7">
        <w:rPr>
          <w:rFonts w:ascii="Arial" w:hAnsi="Arial" w:cs="Arial"/>
          <w:i/>
          <w:sz w:val="24"/>
          <w:szCs w:val="24"/>
        </w:rPr>
        <w:t>modus operandi</w:t>
      </w:r>
      <w:r w:rsidR="00CE33EF">
        <w:rPr>
          <w:rFonts w:ascii="Arial" w:hAnsi="Arial" w:cs="Arial"/>
          <w:sz w:val="24"/>
          <w:szCs w:val="24"/>
        </w:rPr>
        <w:t xml:space="preserve"> applied by accused </w:t>
      </w:r>
      <w:r w:rsidR="00FB6984" w:rsidRPr="00044CE7">
        <w:rPr>
          <w:rFonts w:ascii="Arial" w:hAnsi="Arial" w:cs="Arial"/>
          <w:sz w:val="24"/>
          <w:szCs w:val="24"/>
        </w:rPr>
        <w:t>1 in checkin</w:t>
      </w:r>
      <w:r w:rsidR="00A17F47">
        <w:rPr>
          <w:rFonts w:ascii="Arial" w:hAnsi="Arial" w:cs="Arial"/>
          <w:sz w:val="24"/>
          <w:szCs w:val="24"/>
        </w:rPr>
        <w:t>g the claims submitted followed</w:t>
      </w:r>
      <w:r w:rsidR="00FB6984" w:rsidRPr="00044CE7">
        <w:rPr>
          <w:rFonts w:ascii="Arial" w:hAnsi="Arial" w:cs="Arial"/>
          <w:sz w:val="24"/>
          <w:szCs w:val="24"/>
        </w:rPr>
        <w:t xml:space="preserve"> the same process as that used by the other employees of </w:t>
      </w:r>
      <w:proofErr w:type="spellStart"/>
      <w:r w:rsidR="00FB6984" w:rsidRPr="00044CE7">
        <w:rPr>
          <w:rFonts w:ascii="Arial" w:hAnsi="Arial" w:cs="Arial"/>
          <w:sz w:val="24"/>
          <w:szCs w:val="24"/>
        </w:rPr>
        <w:t>Aveshe</w:t>
      </w:r>
      <w:proofErr w:type="spellEnd"/>
      <w:r w:rsidR="00FB6984" w:rsidRPr="00044CE7">
        <w:rPr>
          <w:rFonts w:ascii="Arial" w:hAnsi="Arial" w:cs="Arial"/>
          <w:sz w:val="24"/>
          <w:szCs w:val="24"/>
        </w:rPr>
        <w:t xml:space="preserve"> who did the same task. On that score, the evidence does not warrant an adverse find</w:t>
      </w:r>
      <w:r w:rsidR="00A17F47">
        <w:rPr>
          <w:rFonts w:ascii="Arial" w:hAnsi="Arial" w:cs="Arial"/>
          <w:sz w:val="24"/>
          <w:szCs w:val="24"/>
        </w:rPr>
        <w:t>ing</w:t>
      </w:r>
      <w:r w:rsidR="00CE33EF">
        <w:rPr>
          <w:rFonts w:ascii="Arial" w:hAnsi="Arial" w:cs="Arial"/>
          <w:sz w:val="24"/>
          <w:szCs w:val="24"/>
        </w:rPr>
        <w:t xml:space="preserve"> against a</w:t>
      </w:r>
      <w:r w:rsidR="00B54E0D">
        <w:rPr>
          <w:rFonts w:ascii="Arial" w:hAnsi="Arial" w:cs="Arial"/>
          <w:sz w:val="24"/>
          <w:szCs w:val="24"/>
        </w:rPr>
        <w:t xml:space="preserve">ccused 1. </w:t>
      </w:r>
      <w:r w:rsidR="00CE33EF">
        <w:rPr>
          <w:rFonts w:ascii="Arial" w:hAnsi="Arial" w:cs="Arial"/>
          <w:sz w:val="24"/>
          <w:szCs w:val="24"/>
        </w:rPr>
        <w:t>However, t</w:t>
      </w:r>
      <w:r w:rsidR="00B54E0D">
        <w:rPr>
          <w:rFonts w:ascii="Arial" w:hAnsi="Arial" w:cs="Arial"/>
          <w:sz w:val="24"/>
          <w:szCs w:val="24"/>
        </w:rPr>
        <w:t>hings</w:t>
      </w:r>
      <w:r w:rsidR="00CE33EF">
        <w:rPr>
          <w:rFonts w:ascii="Arial" w:hAnsi="Arial" w:cs="Arial"/>
          <w:sz w:val="24"/>
          <w:szCs w:val="24"/>
        </w:rPr>
        <w:t xml:space="preserve"> become more complicated for accused 1</w:t>
      </w:r>
      <w:r w:rsidR="00FB6984" w:rsidRPr="00044CE7">
        <w:rPr>
          <w:rFonts w:ascii="Arial" w:hAnsi="Arial" w:cs="Arial"/>
          <w:sz w:val="24"/>
          <w:szCs w:val="24"/>
        </w:rPr>
        <w:t xml:space="preserve"> to successfully seek </w:t>
      </w:r>
      <w:r w:rsidR="00FB6984" w:rsidRPr="00044CE7">
        <w:rPr>
          <w:rFonts w:ascii="Arial" w:hAnsi="Arial" w:cs="Arial"/>
          <w:sz w:val="24"/>
          <w:szCs w:val="24"/>
        </w:rPr>
        <w:lastRenderedPageBreak/>
        <w:t xml:space="preserve">a discharge in terms of </w:t>
      </w:r>
      <w:r w:rsidR="004E3FD1">
        <w:rPr>
          <w:rFonts w:ascii="Arial" w:hAnsi="Arial" w:cs="Arial"/>
          <w:sz w:val="24"/>
          <w:szCs w:val="24"/>
        </w:rPr>
        <w:t>s</w:t>
      </w:r>
      <w:r w:rsidR="00FB6984" w:rsidRPr="00044CE7">
        <w:rPr>
          <w:rFonts w:ascii="Arial" w:hAnsi="Arial" w:cs="Arial"/>
          <w:sz w:val="24"/>
          <w:szCs w:val="24"/>
        </w:rPr>
        <w:t xml:space="preserve"> 174 of the CPA once the evidence regarding the </w:t>
      </w:r>
      <w:r w:rsidR="00B54E0D">
        <w:rPr>
          <w:rFonts w:ascii="Arial" w:hAnsi="Arial" w:cs="Arial"/>
          <w:sz w:val="24"/>
          <w:szCs w:val="24"/>
        </w:rPr>
        <w:t>search at her</w:t>
      </w:r>
      <w:r w:rsidR="00A17F47">
        <w:rPr>
          <w:rFonts w:ascii="Arial" w:hAnsi="Arial" w:cs="Arial"/>
          <w:sz w:val="24"/>
          <w:szCs w:val="24"/>
        </w:rPr>
        <w:t xml:space="preserve"> residence</w:t>
      </w:r>
      <w:r w:rsidR="00FB6984" w:rsidRPr="00044CE7">
        <w:rPr>
          <w:rFonts w:ascii="Arial" w:hAnsi="Arial" w:cs="Arial"/>
          <w:sz w:val="24"/>
          <w:szCs w:val="24"/>
        </w:rPr>
        <w:t xml:space="preserve"> and the documents found i</w:t>
      </w:r>
      <w:r w:rsidR="00B54E0D">
        <w:rPr>
          <w:rFonts w:ascii="Arial" w:hAnsi="Arial" w:cs="Arial"/>
          <w:sz w:val="24"/>
          <w:szCs w:val="24"/>
        </w:rPr>
        <w:t>n her possession is taken into account</w:t>
      </w:r>
      <w:r w:rsidR="00CE33EF">
        <w:rPr>
          <w:rFonts w:ascii="Arial" w:hAnsi="Arial" w:cs="Arial"/>
          <w:sz w:val="24"/>
          <w:szCs w:val="24"/>
        </w:rPr>
        <w:t>.</w:t>
      </w:r>
    </w:p>
    <w:p w:rsidR="004E3FD1" w:rsidRDefault="004E3FD1" w:rsidP="004E3FD1">
      <w:pPr>
        <w:spacing w:after="0" w:line="360" w:lineRule="auto"/>
        <w:jc w:val="both"/>
        <w:rPr>
          <w:rFonts w:ascii="Arial" w:hAnsi="Arial" w:cs="Arial"/>
          <w:sz w:val="24"/>
          <w:szCs w:val="24"/>
        </w:rPr>
      </w:pPr>
    </w:p>
    <w:p w:rsidR="000C2BE1" w:rsidRDefault="000C2BE1" w:rsidP="0099115A">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E33EF">
        <w:rPr>
          <w:rFonts w:ascii="Arial" w:hAnsi="Arial" w:cs="Arial"/>
          <w:sz w:val="24"/>
          <w:szCs w:val="24"/>
        </w:rPr>
        <w:t>This includes the following:</w:t>
      </w:r>
      <w:r w:rsidR="00FB6984" w:rsidRPr="00044CE7">
        <w:rPr>
          <w:rFonts w:ascii="Arial" w:hAnsi="Arial" w:cs="Arial"/>
          <w:sz w:val="24"/>
          <w:szCs w:val="24"/>
        </w:rPr>
        <w:t xml:space="preserve"> The d</w:t>
      </w:r>
      <w:r w:rsidR="00CE33EF">
        <w:rPr>
          <w:rFonts w:ascii="Arial" w:hAnsi="Arial" w:cs="Arial"/>
          <w:sz w:val="24"/>
          <w:szCs w:val="24"/>
        </w:rPr>
        <w:t>ocument found in possession of a</w:t>
      </w:r>
      <w:r w:rsidR="00FB6984" w:rsidRPr="00044CE7">
        <w:rPr>
          <w:rFonts w:ascii="Arial" w:hAnsi="Arial" w:cs="Arial"/>
          <w:sz w:val="24"/>
          <w:szCs w:val="24"/>
        </w:rPr>
        <w:t>ccused 1</w:t>
      </w:r>
      <w:r w:rsidR="00CE33EF">
        <w:rPr>
          <w:rFonts w:ascii="Arial" w:hAnsi="Arial" w:cs="Arial"/>
          <w:sz w:val="24"/>
          <w:szCs w:val="24"/>
        </w:rPr>
        <w:t xml:space="preserve">, </w:t>
      </w:r>
      <w:r w:rsidR="004E3FD1">
        <w:rPr>
          <w:rFonts w:ascii="Arial" w:hAnsi="Arial" w:cs="Arial"/>
          <w:sz w:val="24"/>
          <w:szCs w:val="24"/>
        </w:rPr>
        <w:t>‘</w:t>
      </w:r>
      <w:r w:rsidR="00CE33EF">
        <w:rPr>
          <w:rFonts w:ascii="Arial" w:hAnsi="Arial" w:cs="Arial"/>
          <w:sz w:val="24"/>
          <w:szCs w:val="24"/>
        </w:rPr>
        <w:t>Exhibit YYYY18</w:t>
      </w:r>
      <w:r w:rsidR="004E3FD1">
        <w:rPr>
          <w:rFonts w:ascii="Arial" w:hAnsi="Arial" w:cs="Arial"/>
          <w:sz w:val="24"/>
          <w:szCs w:val="24"/>
        </w:rPr>
        <w:t>’</w:t>
      </w:r>
      <w:r w:rsidR="00CE33EF">
        <w:rPr>
          <w:rFonts w:ascii="Arial" w:hAnsi="Arial" w:cs="Arial"/>
          <w:sz w:val="24"/>
          <w:szCs w:val="24"/>
        </w:rPr>
        <w:t xml:space="preserve"> was used by accused </w:t>
      </w:r>
      <w:r w:rsidR="00FB6984" w:rsidRPr="00044CE7">
        <w:rPr>
          <w:rFonts w:ascii="Arial" w:hAnsi="Arial" w:cs="Arial"/>
          <w:sz w:val="24"/>
          <w:szCs w:val="24"/>
        </w:rPr>
        <w:t xml:space="preserve">3 to claim value added tax </w:t>
      </w:r>
      <w:r w:rsidR="00B54E0D">
        <w:rPr>
          <w:rFonts w:ascii="Arial" w:hAnsi="Arial" w:cs="Arial"/>
          <w:sz w:val="24"/>
          <w:szCs w:val="24"/>
        </w:rPr>
        <w:t>(</w:t>
      </w:r>
      <w:r w:rsidR="004E3FD1">
        <w:rPr>
          <w:rFonts w:ascii="Arial" w:hAnsi="Arial" w:cs="Arial"/>
          <w:sz w:val="24"/>
          <w:szCs w:val="24"/>
        </w:rPr>
        <w:t>‘</w:t>
      </w:r>
      <w:r w:rsidR="00FB6984" w:rsidRPr="00044CE7">
        <w:rPr>
          <w:rFonts w:ascii="Arial" w:hAnsi="Arial" w:cs="Arial"/>
          <w:sz w:val="24"/>
          <w:szCs w:val="24"/>
        </w:rPr>
        <w:t>Exhibit DD5</w:t>
      </w:r>
      <w:r w:rsidR="004E3FD1">
        <w:rPr>
          <w:rFonts w:ascii="Arial" w:hAnsi="Arial" w:cs="Arial"/>
          <w:sz w:val="24"/>
          <w:szCs w:val="24"/>
        </w:rPr>
        <w:t>’</w:t>
      </w:r>
      <w:r w:rsidR="00B54E0D">
        <w:rPr>
          <w:rFonts w:ascii="Arial" w:hAnsi="Arial" w:cs="Arial"/>
          <w:sz w:val="24"/>
          <w:szCs w:val="24"/>
        </w:rPr>
        <w:t>)</w:t>
      </w:r>
      <w:r w:rsidR="00FB6984" w:rsidRPr="00044CE7">
        <w:rPr>
          <w:rFonts w:ascii="Arial" w:hAnsi="Arial" w:cs="Arial"/>
          <w:sz w:val="24"/>
          <w:szCs w:val="24"/>
        </w:rPr>
        <w:t>. A further d</w:t>
      </w:r>
      <w:r w:rsidR="00CE33EF">
        <w:rPr>
          <w:rFonts w:ascii="Arial" w:hAnsi="Arial" w:cs="Arial"/>
          <w:sz w:val="24"/>
          <w:szCs w:val="24"/>
        </w:rPr>
        <w:t xml:space="preserve">ocument found in possession of accused </w:t>
      </w:r>
      <w:r w:rsidR="00FB6984" w:rsidRPr="00044CE7">
        <w:rPr>
          <w:rFonts w:ascii="Arial" w:hAnsi="Arial" w:cs="Arial"/>
          <w:sz w:val="24"/>
          <w:szCs w:val="24"/>
        </w:rPr>
        <w:t xml:space="preserve">1 </w:t>
      </w:r>
      <w:r w:rsidR="00B54E0D">
        <w:rPr>
          <w:rFonts w:ascii="Arial" w:hAnsi="Arial" w:cs="Arial"/>
          <w:sz w:val="24"/>
          <w:szCs w:val="24"/>
        </w:rPr>
        <w:t>(</w:t>
      </w:r>
      <w:r w:rsidR="004E3FD1">
        <w:rPr>
          <w:rFonts w:ascii="Arial" w:hAnsi="Arial" w:cs="Arial"/>
          <w:sz w:val="24"/>
          <w:szCs w:val="24"/>
        </w:rPr>
        <w:t>‘</w:t>
      </w:r>
      <w:r w:rsidR="00FB6984" w:rsidRPr="00044CE7">
        <w:rPr>
          <w:rFonts w:ascii="Arial" w:hAnsi="Arial" w:cs="Arial"/>
          <w:sz w:val="24"/>
          <w:szCs w:val="24"/>
        </w:rPr>
        <w:t>Exhibit YYYY4</w:t>
      </w:r>
      <w:r w:rsidR="004E3FD1">
        <w:rPr>
          <w:rFonts w:ascii="Arial" w:hAnsi="Arial" w:cs="Arial"/>
          <w:sz w:val="24"/>
          <w:szCs w:val="24"/>
        </w:rPr>
        <w:t>’</w:t>
      </w:r>
      <w:r w:rsidR="00B54E0D">
        <w:rPr>
          <w:rFonts w:ascii="Arial" w:hAnsi="Arial" w:cs="Arial"/>
          <w:sz w:val="24"/>
          <w:szCs w:val="24"/>
        </w:rPr>
        <w:t>)</w:t>
      </w:r>
      <w:r w:rsidR="00CE33EF">
        <w:rPr>
          <w:rFonts w:ascii="Arial" w:hAnsi="Arial" w:cs="Arial"/>
          <w:sz w:val="24"/>
          <w:szCs w:val="24"/>
        </w:rPr>
        <w:t xml:space="preserve"> was used by accused </w:t>
      </w:r>
      <w:r w:rsidR="00FB6984" w:rsidRPr="00044CE7">
        <w:rPr>
          <w:rFonts w:ascii="Arial" w:hAnsi="Arial" w:cs="Arial"/>
          <w:sz w:val="24"/>
          <w:szCs w:val="24"/>
        </w:rPr>
        <w:t xml:space="preserve">5 to claim value added tax </w:t>
      </w:r>
      <w:r w:rsidR="00B54E0D">
        <w:rPr>
          <w:rFonts w:ascii="Arial" w:hAnsi="Arial" w:cs="Arial"/>
          <w:sz w:val="24"/>
          <w:szCs w:val="24"/>
        </w:rPr>
        <w:t>(</w:t>
      </w:r>
      <w:r w:rsidR="004E3FD1">
        <w:rPr>
          <w:rFonts w:ascii="Arial" w:hAnsi="Arial" w:cs="Arial"/>
          <w:sz w:val="24"/>
          <w:szCs w:val="24"/>
        </w:rPr>
        <w:t>‘</w:t>
      </w:r>
      <w:r w:rsidR="00FB6984" w:rsidRPr="00044CE7">
        <w:rPr>
          <w:rFonts w:ascii="Arial" w:hAnsi="Arial" w:cs="Arial"/>
          <w:sz w:val="24"/>
          <w:szCs w:val="24"/>
        </w:rPr>
        <w:t>Exhibit GGGG</w:t>
      </w:r>
      <w:r w:rsidR="004E3FD1">
        <w:rPr>
          <w:rFonts w:ascii="Arial" w:hAnsi="Arial" w:cs="Arial"/>
          <w:sz w:val="24"/>
          <w:szCs w:val="24"/>
        </w:rPr>
        <w:t>’</w:t>
      </w:r>
      <w:r w:rsidR="00B54E0D">
        <w:rPr>
          <w:rFonts w:ascii="Arial" w:hAnsi="Arial" w:cs="Arial"/>
          <w:sz w:val="24"/>
          <w:szCs w:val="24"/>
        </w:rPr>
        <w:t>)</w:t>
      </w:r>
      <w:r w:rsidR="004E3FD1">
        <w:rPr>
          <w:rFonts w:ascii="Arial" w:hAnsi="Arial" w:cs="Arial"/>
          <w:sz w:val="24"/>
          <w:szCs w:val="24"/>
        </w:rPr>
        <w:t xml:space="preserve">. </w:t>
      </w:r>
      <w:r w:rsidR="00FB6984" w:rsidRPr="00044CE7">
        <w:rPr>
          <w:rFonts w:ascii="Arial" w:hAnsi="Arial" w:cs="Arial"/>
          <w:sz w:val="24"/>
          <w:szCs w:val="24"/>
        </w:rPr>
        <w:t>Two further invoices found</w:t>
      </w:r>
      <w:r w:rsidR="00CE33EF">
        <w:rPr>
          <w:rFonts w:ascii="Arial" w:hAnsi="Arial" w:cs="Arial"/>
          <w:sz w:val="24"/>
          <w:szCs w:val="24"/>
        </w:rPr>
        <w:t>,</w:t>
      </w:r>
      <w:r w:rsidR="00FB6984" w:rsidRPr="00044CE7">
        <w:rPr>
          <w:rFonts w:ascii="Arial" w:hAnsi="Arial" w:cs="Arial"/>
          <w:sz w:val="24"/>
          <w:szCs w:val="24"/>
        </w:rPr>
        <w:t xml:space="preserve"> being </w:t>
      </w:r>
      <w:r w:rsidR="004E3FD1">
        <w:rPr>
          <w:rFonts w:ascii="Arial" w:hAnsi="Arial" w:cs="Arial"/>
          <w:sz w:val="24"/>
          <w:szCs w:val="24"/>
        </w:rPr>
        <w:t>‘</w:t>
      </w:r>
      <w:r w:rsidR="00FB6984" w:rsidRPr="00044CE7">
        <w:rPr>
          <w:rFonts w:ascii="Arial" w:hAnsi="Arial" w:cs="Arial"/>
          <w:sz w:val="24"/>
          <w:szCs w:val="24"/>
        </w:rPr>
        <w:t>Exhibit YYYYY9</w:t>
      </w:r>
      <w:r w:rsidR="004E3FD1">
        <w:rPr>
          <w:rFonts w:ascii="Arial" w:hAnsi="Arial" w:cs="Arial"/>
          <w:sz w:val="24"/>
          <w:szCs w:val="24"/>
        </w:rPr>
        <w:t>’</w:t>
      </w:r>
      <w:r w:rsidR="00FB6984" w:rsidRPr="00044CE7">
        <w:rPr>
          <w:rFonts w:ascii="Arial" w:hAnsi="Arial" w:cs="Arial"/>
          <w:sz w:val="24"/>
          <w:szCs w:val="24"/>
        </w:rPr>
        <w:t xml:space="preserve"> and </w:t>
      </w:r>
      <w:r w:rsidR="004E3FD1">
        <w:rPr>
          <w:rFonts w:ascii="Arial" w:hAnsi="Arial" w:cs="Arial"/>
          <w:sz w:val="24"/>
          <w:szCs w:val="24"/>
        </w:rPr>
        <w:t>‘</w:t>
      </w:r>
      <w:r w:rsidR="00CE33EF">
        <w:rPr>
          <w:rFonts w:ascii="Arial" w:hAnsi="Arial" w:cs="Arial"/>
          <w:sz w:val="24"/>
          <w:szCs w:val="24"/>
        </w:rPr>
        <w:t>Exhibit YYYYY10</w:t>
      </w:r>
      <w:r w:rsidR="004E3FD1">
        <w:rPr>
          <w:rFonts w:ascii="Arial" w:hAnsi="Arial" w:cs="Arial"/>
          <w:sz w:val="24"/>
          <w:szCs w:val="24"/>
        </w:rPr>
        <w:t>’</w:t>
      </w:r>
      <w:r w:rsidR="00CE33EF">
        <w:rPr>
          <w:rFonts w:ascii="Arial" w:hAnsi="Arial" w:cs="Arial"/>
          <w:sz w:val="24"/>
          <w:szCs w:val="24"/>
        </w:rPr>
        <w:t xml:space="preserve"> were used by accused</w:t>
      </w:r>
      <w:r w:rsidR="00334EEF">
        <w:rPr>
          <w:rFonts w:ascii="Arial" w:hAnsi="Arial" w:cs="Arial"/>
          <w:sz w:val="24"/>
          <w:szCs w:val="24"/>
        </w:rPr>
        <w:t xml:space="preserve"> 5 to claim value-</w:t>
      </w:r>
      <w:r w:rsidR="00FB6984" w:rsidRPr="00044CE7">
        <w:rPr>
          <w:rFonts w:ascii="Arial" w:hAnsi="Arial" w:cs="Arial"/>
          <w:sz w:val="24"/>
          <w:szCs w:val="24"/>
        </w:rPr>
        <w:t>added tax (</w:t>
      </w:r>
      <w:r>
        <w:rPr>
          <w:rFonts w:ascii="Arial" w:hAnsi="Arial" w:cs="Arial"/>
          <w:sz w:val="24"/>
          <w:szCs w:val="24"/>
        </w:rPr>
        <w:t xml:space="preserve">see </w:t>
      </w:r>
      <w:r w:rsidR="004E3FD1">
        <w:rPr>
          <w:rFonts w:ascii="Arial" w:hAnsi="Arial" w:cs="Arial"/>
          <w:sz w:val="24"/>
          <w:szCs w:val="24"/>
        </w:rPr>
        <w:t>‘</w:t>
      </w:r>
      <w:r>
        <w:rPr>
          <w:rFonts w:ascii="Arial" w:hAnsi="Arial" w:cs="Arial"/>
          <w:sz w:val="24"/>
          <w:szCs w:val="24"/>
        </w:rPr>
        <w:t>Exhibits MMMM2</w:t>
      </w:r>
      <w:r w:rsidR="004E3FD1">
        <w:rPr>
          <w:rFonts w:ascii="Arial" w:hAnsi="Arial" w:cs="Arial"/>
          <w:sz w:val="24"/>
          <w:szCs w:val="24"/>
        </w:rPr>
        <w:t>’</w:t>
      </w:r>
      <w:r>
        <w:rPr>
          <w:rFonts w:ascii="Arial" w:hAnsi="Arial" w:cs="Arial"/>
          <w:sz w:val="24"/>
          <w:szCs w:val="24"/>
        </w:rPr>
        <w:t xml:space="preserve"> and </w:t>
      </w:r>
      <w:r w:rsidR="004E3FD1">
        <w:rPr>
          <w:rFonts w:ascii="Arial" w:hAnsi="Arial" w:cs="Arial"/>
          <w:sz w:val="24"/>
          <w:szCs w:val="24"/>
        </w:rPr>
        <w:t>‘</w:t>
      </w:r>
      <w:r>
        <w:rPr>
          <w:rFonts w:ascii="Arial" w:hAnsi="Arial" w:cs="Arial"/>
          <w:sz w:val="24"/>
          <w:szCs w:val="24"/>
        </w:rPr>
        <w:t>MMMM3</w:t>
      </w:r>
      <w:r w:rsidR="004E3FD1">
        <w:rPr>
          <w:rFonts w:ascii="Arial" w:hAnsi="Arial" w:cs="Arial"/>
          <w:sz w:val="24"/>
          <w:szCs w:val="24"/>
        </w:rPr>
        <w:t>’).</w:t>
      </w:r>
    </w:p>
    <w:p w:rsidR="004E3FD1" w:rsidRDefault="004E3FD1" w:rsidP="0099115A">
      <w:pPr>
        <w:spacing w:after="0" w:line="360" w:lineRule="auto"/>
        <w:jc w:val="both"/>
        <w:rPr>
          <w:rFonts w:ascii="Arial" w:hAnsi="Arial" w:cs="Arial"/>
          <w:sz w:val="24"/>
          <w:szCs w:val="24"/>
        </w:rPr>
      </w:pPr>
    </w:p>
    <w:p w:rsidR="000C2BE1" w:rsidRDefault="000C2BE1" w:rsidP="0099115A">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B6984" w:rsidRPr="00044CE7">
        <w:rPr>
          <w:rFonts w:ascii="Arial" w:hAnsi="Arial" w:cs="Arial"/>
          <w:sz w:val="24"/>
          <w:szCs w:val="24"/>
        </w:rPr>
        <w:t xml:space="preserve">Furthermore, </w:t>
      </w:r>
      <w:r w:rsidR="004E3FD1">
        <w:rPr>
          <w:rFonts w:ascii="Arial" w:hAnsi="Arial" w:cs="Arial"/>
          <w:sz w:val="24"/>
          <w:szCs w:val="24"/>
        </w:rPr>
        <w:t>‘</w:t>
      </w:r>
      <w:r w:rsidR="00FB6984" w:rsidRPr="00044CE7">
        <w:rPr>
          <w:rFonts w:ascii="Arial" w:hAnsi="Arial" w:cs="Arial"/>
          <w:sz w:val="24"/>
          <w:szCs w:val="24"/>
        </w:rPr>
        <w:t>Exhibit YYYYY5</w:t>
      </w:r>
      <w:r w:rsidR="004E3FD1">
        <w:rPr>
          <w:rFonts w:ascii="Arial" w:hAnsi="Arial" w:cs="Arial"/>
          <w:sz w:val="24"/>
          <w:szCs w:val="24"/>
        </w:rPr>
        <w:t>’</w:t>
      </w:r>
      <w:r w:rsidR="00FB6984" w:rsidRPr="00044CE7">
        <w:rPr>
          <w:rFonts w:ascii="Arial" w:hAnsi="Arial" w:cs="Arial"/>
          <w:sz w:val="24"/>
          <w:szCs w:val="24"/>
        </w:rPr>
        <w:t xml:space="preserve"> which was also found in posse</w:t>
      </w:r>
      <w:r w:rsidR="00334EEF">
        <w:rPr>
          <w:rFonts w:ascii="Arial" w:hAnsi="Arial" w:cs="Arial"/>
          <w:sz w:val="24"/>
          <w:szCs w:val="24"/>
        </w:rPr>
        <w:t>ssion of accused 1 was used by accused 5 to claim value-</w:t>
      </w:r>
      <w:r w:rsidR="00FB6984" w:rsidRPr="00044CE7">
        <w:rPr>
          <w:rFonts w:ascii="Arial" w:hAnsi="Arial" w:cs="Arial"/>
          <w:sz w:val="24"/>
          <w:szCs w:val="24"/>
        </w:rPr>
        <w:t xml:space="preserve">added tax </w:t>
      </w:r>
      <w:r w:rsidR="00B54E0D">
        <w:rPr>
          <w:rFonts w:ascii="Arial" w:hAnsi="Arial" w:cs="Arial"/>
          <w:sz w:val="24"/>
          <w:szCs w:val="24"/>
        </w:rPr>
        <w:t>(</w:t>
      </w:r>
      <w:r w:rsidR="004E3FD1">
        <w:rPr>
          <w:rFonts w:ascii="Arial" w:hAnsi="Arial" w:cs="Arial"/>
          <w:sz w:val="24"/>
          <w:szCs w:val="24"/>
        </w:rPr>
        <w:t>‘</w:t>
      </w:r>
      <w:r w:rsidR="00FB6984" w:rsidRPr="00044CE7">
        <w:rPr>
          <w:rFonts w:ascii="Arial" w:hAnsi="Arial" w:cs="Arial"/>
          <w:sz w:val="24"/>
          <w:szCs w:val="24"/>
        </w:rPr>
        <w:t>Exhibit QQQQ6</w:t>
      </w:r>
      <w:r w:rsidR="004E3FD1">
        <w:rPr>
          <w:rFonts w:ascii="Arial" w:hAnsi="Arial" w:cs="Arial"/>
          <w:sz w:val="24"/>
          <w:szCs w:val="24"/>
        </w:rPr>
        <w:t>’</w:t>
      </w:r>
      <w:r w:rsidR="00B54E0D">
        <w:rPr>
          <w:rFonts w:ascii="Arial" w:hAnsi="Arial" w:cs="Arial"/>
          <w:sz w:val="24"/>
          <w:szCs w:val="24"/>
        </w:rPr>
        <w:t>)</w:t>
      </w:r>
      <w:r w:rsidR="004E3FD1">
        <w:rPr>
          <w:rFonts w:ascii="Arial" w:hAnsi="Arial" w:cs="Arial"/>
          <w:sz w:val="24"/>
          <w:szCs w:val="24"/>
        </w:rPr>
        <w:t xml:space="preserve">. </w:t>
      </w:r>
      <w:r w:rsidR="00FB6984" w:rsidRPr="00044CE7">
        <w:rPr>
          <w:rFonts w:ascii="Arial" w:hAnsi="Arial" w:cs="Arial"/>
          <w:sz w:val="24"/>
          <w:szCs w:val="24"/>
        </w:rPr>
        <w:t>The invoices of different vendors or supplie</w:t>
      </w:r>
      <w:r w:rsidR="00334EEF">
        <w:rPr>
          <w:rFonts w:ascii="Arial" w:hAnsi="Arial" w:cs="Arial"/>
          <w:sz w:val="24"/>
          <w:szCs w:val="24"/>
        </w:rPr>
        <w:t xml:space="preserve">rs were found in possession of accused </w:t>
      </w:r>
      <w:r w:rsidR="00FB6984" w:rsidRPr="00044CE7">
        <w:rPr>
          <w:rFonts w:ascii="Arial" w:hAnsi="Arial" w:cs="Arial"/>
          <w:sz w:val="24"/>
          <w:szCs w:val="24"/>
        </w:rPr>
        <w:t>1</w:t>
      </w:r>
      <w:r w:rsidR="00334EEF">
        <w:rPr>
          <w:rFonts w:ascii="Arial" w:hAnsi="Arial" w:cs="Arial"/>
          <w:sz w:val="24"/>
          <w:szCs w:val="24"/>
        </w:rPr>
        <w:t>,</w:t>
      </w:r>
      <w:r w:rsidR="00FB6984" w:rsidRPr="00044CE7">
        <w:rPr>
          <w:rFonts w:ascii="Arial" w:hAnsi="Arial" w:cs="Arial"/>
          <w:sz w:val="24"/>
          <w:szCs w:val="24"/>
        </w:rPr>
        <w:t xml:space="preserve"> namely those of </w:t>
      </w:r>
      <w:proofErr w:type="spellStart"/>
      <w:r w:rsidR="00FB6984" w:rsidRPr="00044CE7">
        <w:rPr>
          <w:rFonts w:ascii="Arial" w:hAnsi="Arial" w:cs="Arial"/>
          <w:sz w:val="24"/>
          <w:szCs w:val="24"/>
        </w:rPr>
        <w:t>Pupkewitz</w:t>
      </w:r>
      <w:proofErr w:type="spellEnd"/>
      <w:r w:rsidR="00FB6984" w:rsidRPr="00044CE7">
        <w:rPr>
          <w:rFonts w:ascii="Arial" w:hAnsi="Arial" w:cs="Arial"/>
          <w:sz w:val="24"/>
          <w:szCs w:val="24"/>
        </w:rPr>
        <w:t xml:space="preserve"> </w:t>
      </w:r>
      <w:r w:rsidR="00B54E0D" w:rsidRPr="00044CE7">
        <w:rPr>
          <w:rFonts w:ascii="Arial" w:hAnsi="Arial" w:cs="Arial"/>
          <w:sz w:val="24"/>
          <w:szCs w:val="24"/>
        </w:rPr>
        <w:t>Catering</w:t>
      </w:r>
      <w:r w:rsidR="00B54E0D">
        <w:rPr>
          <w:rFonts w:ascii="Arial" w:hAnsi="Arial" w:cs="Arial"/>
          <w:sz w:val="24"/>
          <w:szCs w:val="24"/>
        </w:rPr>
        <w:t xml:space="preserve"> (Pty) Ltd</w:t>
      </w:r>
      <w:r w:rsidR="00334EEF">
        <w:rPr>
          <w:rFonts w:ascii="Arial" w:hAnsi="Arial" w:cs="Arial"/>
          <w:sz w:val="24"/>
          <w:szCs w:val="24"/>
        </w:rPr>
        <w:t xml:space="preserve">, Mega </w:t>
      </w:r>
      <w:proofErr w:type="spellStart"/>
      <w:r w:rsidR="00334EEF">
        <w:rPr>
          <w:rFonts w:ascii="Arial" w:hAnsi="Arial" w:cs="Arial"/>
          <w:sz w:val="24"/>
          <w:szCs w:val="24"/>
        </w:rPr>
        <w:t>Pupkewitz</w:t>
      </w:r>
      <w:proofErr w:type="spellEnd"/>
      <w:r w:rsidR="00334EEF">
        <w:rPr>
          <w:rFonts w:ascii="Arial" w:hAnsi="Arial" w:cs="Arial"/>
          <w:sz w:val="24"/>
          <w:szCs w:val="24"/>
        </w:rPr>
        <w:t xml:space="preserve"> &amp;</w:t>
      </w:r>
      <w:r w:rsidR="00FB6984" w:rsidRPr="00044CE7">
        <w:rPr>
          <w:rFonts w:ascii="Arial" w:hAnsi="Arial" w:cs="Arial"/>
          <w:sz w:val="24"/>
          <w:szCs w:val="24"/>
        </w:rPr>
        <w:t xml:space="preserve"> Sons </w:t>
      </w:r>
      <w:r w:rsidR="0012186F">
        <w:rPr>
          <w:rFonts w:ascii="Arial" w:hAnsi="Arial" w:cs="Arial"/>
          <w:sz w:val="24"/>
          <w:szCs w:val="24"/>
        </w:rPr>
        <w:t>(</w:t>
      </w:r>
      <w:r w:rsidR="00FB6984" w:rsidRPr="00044CE7">
        <w:rPr>
          <w:rFonts w:ascii="Arial" w:hAnsi="Arial" w:cs="Arial"/>
          <w:sz w:val="24"/>
          <w:szCs w:val="24"/>
        </w:rPr>
        <w:t>Pty</w:t>
      </w:r>
      <w:r w:rsidR="0012186F">
        <w:rPr>
          <w:rFonts w:ascii="Arial" w:hAnsi="Arial" w:cs="Arial"/>
          <w:sz w:val="24"/>
          <w:szCs w:val="24"/>
        </w:rPr>
        <w:t>) Ltd</w:t>
      </w:r>
      <w:r w:rsidR="00FB6984" w:rsidRPr="00044CE7">
        <w:rPr>
          <w:rFonts w:ascii="Arial" w:hAnsi="Arial" w:cs="Arial"/>
          <w:sz w:val="24"/>
          <w:szCs w:val="24"/>
        </w:rPr>
        <w:t xml:space="preserve">, </w:t>
      </w:r>
      <w:proofErr w:type="spellStart"/>
      <w:r w:rsidR="00FB6984" w:rsidRPr="00044CE7">
        <w:rPr>
          <w:rFonts w:ascii="Arial" w:hAnsi="Arial" w:cs="Arial"/>
          <w:sz w:val="24"/>
          <w:szCs w:val="24"/>
        </w:rPr>
        <w:t>Waltons</w:t>
      </w:r>
      <w:proofErr w:type="spellEnd"/>
      <w:r w:rsidR="00FB6984" w:rsidRPr="00044CE7">
        <w:rPr>
          <w:rFonts w:ascii="Arial" w:hAnsi="Arial" w:cs="Arial"/>
          <w:sz w:val="24"/>
          <w:szCs w:val="24"/>
        </w:rPr>
        <w:t xml:space="preserve"> </w:t>
      </w:r>
      <w:r w:rsidR="0012186F">
        <w:rPr>
          <w:rFonts w:ascii="Arial" w:hAnsi="Arial" w:cs="Arial"/>
          <w:sz w:val="24"/>
          <w:szCs w:val="24"/>
        </w:rPr>
        <w:t>(</w:t>
      </w:r>
      <w:r w:rsidR="00FB6984" w:rsidRPr="00044CE7">
        <w:rPr>
          <w:rFonts w:ascii="Arial" w:hAnsi="Arial" w:cs="Arial"/>
          <w:sz w:val="24"/>
          <w:szCs w:val="24"/>
        </w:rPr>
        <w:t>Pty</w:t>
      </w:r>
      <w:r w:rsidR="0012186F">
        <w:rPr>
          <w:rFonts w:ascii="Arial" w:hAnsi="Arial" w:cs="Arial"/>
          <w:sz w:val="24"/>
          <w:szCs w:val="24"/>
        </w:rPr>
        <w:t>) Ltd, Gr</w:t>
      </w:r>
      <w:r w:rsidR="00FB6984" w:rsidRPr="00044CE7">
        <w:rPr>
          <w:rFonts w:ascii="Arial" w:hAnsi="Arial" w:cs="Arial"/>
          <w:sz w:val="24"/>
          <w:szCs w:val="24"/>
        </w:rPr>
        <w:t>e</w:t>
      </w:r>
      <w:r w:rsidR="0012186F">
        <w:rPr>
          <w:rFonts w:ascii="Arial" w:hAnsi="Arial" w:cs="Arial"/>
          <w:sz w:val="24"/>
          <w:szCs w:val="24"/>
        </w:rPr>
        <w:t>g</w:t>
      </w:r>
      <w:r w:rsidR="000E5F57">
        <w:rPr>
          <w:rFonts w:ascii="Arial" w:hAnsi="Arial" w:cs="Arial"/>
          <w:sz w:val="24"/>
          <w:szCs w:val="24"/>
        </w:rPr>
        <w:t>’</w:t>
      </w:r>
      <w:r w:rsidR="0012186F">
        <w:rPr>
          <w:rFonts w:ascii="Arial" w:hAnsi="Arial" w:cs="Arial"/>
          <w:sz w:val="24"/>
          <w:szCs w:val="24"/>
        </w:rPr>
        <w:t>s</w:t>
      </w:r>
      <w:r w:rsidR="00FB6984" w:rsidRPr="00044CE7">
        <w:rPr>
          <w:rFonts w:ascii="Arial" w:hAnsi="Arial" w:cs="Arial"/>
          <w:sz w:val="24"/>
          <w:szCs w:val="24"/>
        </w:rPr>
        <w:t xml:space="preserve"> Motor Spares </w:t>
      </w:r>
      <w:r w:rsidR="0012186F">
        <w:rPr>
          <w:rFonts w:ascii="Arial" w:hAnsi="Arial" w:cs="Arial"/>
          <w:sz w:val="24"/>
          <w:szCs w:val="24"/>
        </w:rPr>
        <w:t>(</w:t>
      </w:r>
      <w:r w:rsidR="00FB6984" w:rsidRPr="00044CE7">
        <w:rPr>
          <w:rFonts w:ascii="Arial" w:hAnsi="Arial" w:cs="Arial"/>
          <w:sz w:val="24"/>
          <w:szCs w:val="24"/>
        </w:rPr>
        <w:t>Pty</w:t>
      </w:r>
      <w:r w:rsidR="0012186F">
        <w:rPr>
          <w:rFonts w:ascii="Arial" w:hAnsi="Arial" w:cs="Arial"/>
          <w:sz w:val="24"/>
          <w:szCs w:val="24"/>
        </w:rPr>
        <w:t>) Ltd</w:t>
      </w:r>
      <w:r w:rsidR="00FB6984" w:rsidRPr="00044CE7">
        <w:rPr>
          <w:rFonts w:ascii="Arial" w:hAnsi="Arial" w:cs="Arial"/>
          <w:sz w:val="24"/>
          <w:szCs w:val="24"/>
        </w:rPr>
        <w:t xml:space="preserve"> and</w:t>
      </w:r>
      <w:r w:rsidR="00DB00B5">
        <w:rPr>
          <w:rFonts w:ascii="Arial" w:hAnsi="Arial" w:cs="Arial"/>
          <w:sz w:val="24"/>
          <w:szCs w:val="24"/>
        </w:rPr>
        <w:t xml:space="preserve"> </w:t>
      </w:r>
      <w:proofErr w:type="spellStart"/>
      <w:r w:rsidR="00DB00B5">
        <w:rPr>
          <w:rFonts w:ascii="Arial" w:hAnsi="Arial" w:cs="Arial"/>
          <w:sz w:val="24"/>
          <w:szCs w:val="24"/>
        </w:rPr>
        <w:t>Powerflow</w:t>
      </w:r>
      <w:proofErr w:type="spellEnd"/>
      <w:r w:rsidR="00DB00B5">
        <w:rPr>
          <w:rFonts w:ascii="Arial" w:hAnsi="Arial" w:cs="Arial"/>
          <w:sz w:val="24"/>
          <w:szCs w:val="24"/>
        </w:rPr>
        <w:t xml:space="preserve"> Exhaust &amp; </w:t>
      </w:r>
      <w:proofErr w:type="spellStart"/>
      <w:r w:rsidR="00DB00B5">
        <w:rPr>
          <w:rFonts w:ascii="Arial" w:hAnsi="Arial" w:cs="Arial"/>
          <w:sz w:val="24"/>
          <w:szCs w:val="24"/>
        </w:rPr>
        <w:t>Tyre</w:t>
      </w:r>
      <w:proofErr w:type="spellEnd"/>
      <w:r w:rsidR="00DB00B5">
        <w:rPr>
          <w:rFonts w:ascii="Arial" w:hAnsi="Arial" w:cs="Arial"/>
          <w:sz w:val="24"/>
          <w:szCs w:val="24"/>
        </w:rPr>
        <w:t xml:space="preserve"> (Pty) Ltd</w:t>
      </w:r>
      <w:r w:rsidR="00334EEF">
        <w:rPr>
          <w:rFonts w:ascii="Arial" w:hAnsi="Arial" w:cs="Arial"/>
          <w:sz w:val="24"/>
          <w:szCs w:val="24"/>
        </w:rPr>
        <w:t>, which are similar</w:t>
      </w:r>
      <w:r w:rsidR="00FB6984" w:rsidRPr="00044CE7">
        <w:rPr>
          <w:rFonts w:ascii="Arial" w:hAnsi="Arial" w:cs="Arial"/>
          <w:sz w:val="24"/>
          <w:szCs w:val="24"/>
        </w:rPr>
        <w:t xml:space="preserve"> in layout, design and appearance</w:t>
      </w:r>
      <w:r w:rsidR="00334EEF">
        <w:rPr>
          <w:rFonts w:ascii="Arial" w:hAnsi="Arial" w:cs="Arial"/>
          <w:sz w:val="24"/>
          <w:szCs w:val="24"/>
        </w:rPr>
        <w:t>,</w:t>
      </w:r>
      <w:r w:rsidR="00FB6984" w:rsidRPr="00044CE7">
        <w:rPr>
          <w:rFonts w:ascii="Arial" w:hAnsi="Arial" w:cs="Arial"/>
          <w:sz w:val="24"/>
          <w:szCs w:val="24"/>
        </w:rPr>
        <w:t xml:space="preserve"> to a</w:t>
      </w:r>
      <w:r w:rsidR="00334EEF">
        <w:rPr>
          <w:rFonts w:ascii="Arial" w:hAnsi="Arial" w:cs="Arial"/>
          <w:sz w:val="24"/>
          <w:szCs w:val="24"/>
        </w:rPr>
        <w:t xml:space="preserve"> total of 118 invoices used by </w:t>
      </w:r>
      <w:r w:rsidR="004E3FD1">
        <w:rPr>
          <w:rFonts w:ascii="Arial" w:hAnsi="Arial" w:cs="Arial"/>
          <w:sz w:val="24"/>
          <w:szCs w:val="24"/>
        </w:rPr>
        <w:t>accused’s</w:t>
      </w:r>
      <w:r w:rsidR="00334EEF">
        <w:rPr>
          <w:rFonts w:ascii="Arial" w:hAnsi="Arial" w:cs="Arial"/>
          <w:sz w:val="24"/>
          <w:szCs w:val="24"/>
        </w:rPr>
        <w:t xml:space="preserve"> 2, 3, 4, </w:t>
      </w:r>
      <w:r w:rsidR="00FB6984" w:rsidRPr="00044CE7">
        <w:rPr>
          <w:rFonts w:ascii="Arial" w:hAnsi="Arial" w:cs="Arial"/>
          <w:sz w:val="24"/>
          <w:szCs w:val="24"/>
        </w:rPr>
        <w:t xml:space="preserve">5, </w:t>
      </w:r>
      <w:r w:rsidR="00334EEF">
        <w:rPr>
          <w:rFonts w:ascii="Arial" w:hAnsi="Arial" w:cs="Arial"/>
          <w:sz w:val="24"/>
          <w:szCs w:val="24"/>
        </w:rPr>
        <w:t xml:space="preserve">8, 9, 10, </w:t>
      </w:r>
      <w:r w:rsidR="004E3FD1">
        <w:rPr>
          <w:rFonts w:ascii="Arial" w:hAnsi="Arial" w:cs="Arial"/>
          <w:sz w:val="24"/>
          <w:szCs w:val="24"/>
        </w:rPr>
        <w:t>12 and so forth.</w:t>
      </w:r>
    </w:p>
    <w:p w:rsidR="004E3FD1" w:rsidRDefault="004E3FD1" w:rsidP="0099115A">
      <w:pPr>
        <w:spacing w:after="0" w:line="360" w:lineRule="auto"/>
        <w:jc w:val="both"/>
        <w:rPr>
          <w:rFonts w:ascii="Arial" w:hAnsi="Arial" w:cs="Arial"/>
          <w:sz w:val="24"/>
          <w:szCs w:val="24"/>
        </w:rPr>
      </w:pPr>
    </w:p>
    <w:p w:rsidR="000C2BE1" w:rsidRDefault="000C2BE1" w:rsidP="0099115A">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B6984" w:rsidRPr="00044CE7">
        <w:rPr>
          <w:rFonts w:ascii="Arial" w:hAnsi="Arial" w:cs="Arial"/>
          <w:sz w:val="24"/>
          <w:szCs w:val="24"/>
        </w:rPr>
        <w:t>A further 17</w:t>
      </w:r>
      <w:r w:rsidR="0092362E">
        <w:rPr>
          <w:rFonts w:ascii="Arial" w:hAnsi="Arial" w:cs="Arial"/>
          <w:sz w:val="24"/>
          <w:szCs w:val="24"/>
        </w:rPr>
        <w:t xml:space="preserve"> invoices bearing </w:t>
      </w:r>
      <w:proofErr w:type="spellStart"/>
      <w:r w:rsidR="0092362E">
        <w:rPr>
          <w:rFonts w:ascii="Arial" w:hAnsi="Arial" w:cs="Arial"/>
          <w:sz w:val="24"/>
          <w:szCs w:val="24"/>
        </w:rPr>
        <w:t>Pupkewitz</w:t>
      </w:r>
      <w:proofErr w:type="spellEnd"/>
      <w:r w:rsidR="0092362E">
        <w:rPr>
          <w:rFonts w:ascii="Arial" w:hAnsi="Arial" w:cs="Arial"/>
          <w:sz w:val="24"/>
          <w:szCs w:val="24"/>
        </w:rPr>
        <w:t xml:space="preserve"> Cate</w:t>
      </w:r>
      <w:r w:rsidR="00FB6984" w:rsidRPr="00044CE7">
        <w:rPr>
          <w:rFonts w:ascii="Arial" w:hAnsi="Arial" w:cs="Arial"/>
          <w:sz w:val="24"/>
          <w:szCs w:val="24"/>
        </w:rPr>
        <w:t xml:space="preserve">ring </w:t>
      </w:r>
      <w:r w:rsidR="00334EEF">
        <w:rPr>
          <w:rFonts w:ascii="Arial" w:hAnsi="Arial" w:cs="Arial"/>
          <w:sz w:val="24"/>
          <w:szCs w:val="24"/>
        </w:rPr>
        <w:t>(Pty) Ltd logos were used by three a</w:t>
      </w:r>
      <w:r w:rsidR="00FB6984" w:rsidRPr="00044CE7">
        <w:rPr>
          <w:rFonts w:ascii="Arial" w:hAnsi="Arial" w:cs="Arial"/>
          <w:sz w:val="24"/>
          <w:szCs w:val="24"/>
        </w:rPr>
        <w:t>ccused persons</w:t>
      </w:r>
      <w:r w:rsidR="00334EEF">
        <w:rPr>
          <w:rFonts w:ascii="Arial" w:hAnsi="Arial" w:cs="Arial"/>
          <w:sz w:val="24"/>
          <w:szCs w:val="24"/>
        </w:rPr>
        <w:t>,</w:t>
      </w:r>
      <w:r w:rsidR="00FB6984" w:rsidRPr="00044CE7">
        <w:rPr>
          <w:rFonts w:ascii="Arial" w:hAnsi="Arial" w:cs="Arial"/>
          <w:sz w:val="24"/>
          <w:szCs w:val="24"/>
        </w:rPr>
        <w:t xml:space="preserve"> </w:t>
      </w:r>
      <w:r w:rsidR="00FB6984" w:rsidRPr="00044CE7">
        <w:rPr>
          <w:rFonts w:ascii="Arial" w:hAnsi="Arial" w:cs="Arial"/>
          <w:i/>
          <w:sz w:val="24"/>
          <w:szCs w:val="24"/>
        </w:rPr>
        <w:t>inter alia</w:t>
      </w:r>
      <w:r w:rsidR="00334EEF">
        <w:rPr>
          <w:rFonts w:ascii="Arial" w:hAnsi="Arial" w:cs="Arial"/>
          <w:sz w:val="24"/>
          <w:szCs w:val="24"/>
        </w:rPr>
        <w:t xml:space="preserve"> a</w:t>
      </w:r>
      <w:r w:rsidR="00FB6984" w:rsidRPr="00044CE7">
        <w:rPr>
          <w:rFonts w:ascii="Arial" w:hAnsi="Arial" w:cs="Arial"/>
          <w:sz w:val="24"/>
          <w:szCs w:val="24"/>
        </w:rPr>
        <w:t>c</w:t>
      </w:r>
      <w:r w:rsidR="0000386B">
        <w:rPr>
          <w:rFonts w:ascii="Arial" w:hAnsi="Arial" w:cs="Arial"/>
          <w:sz w:val="24"/>
          <w:szCs w:val="24"/>
        </w:rPr>
        <w:t>cused 5 and 13</w:t>
      </w:r>
      <w:r w:rsidR="00334EEF">
        <w:rPr>
          <w:rFonts w:ascii="Arial" w:hAnsi="Arial" w:cs="Arial"/>
          <w:sz w:val="24"/>
          <w:szCs w:val="24"/>
        </w:rPr>
        <w:t>,</w:t>
      </w:r>
      <w:r w:rsidR="0000386B">
        <w:rPr>
          <w:rFonts w:ascii="Arial" w:hAnsi="Arial" w:cs="Arial"/>
          <w:sz w:val="24"/>
          <w:szCs w:val="24"/>
        </w:rPr>
        <w:t xml:space="preserve"> and are similar to</w:t>
      </w:r>
      <w:r w:rsidR="00FB6984" w:rsidRPr="00044CE7">
        <w:rPr>
          <w:rFonts w:ascii="Arial" w:hAnsi="Arial" w:cs="Arial"/>
          <w:sz w:val="24"/>
          <w:szCs w:val="24"/>
        </w:rPr>
        <w:t xml:space="preserve"> the three invoices bearing the same </w:t>
      </w:r>
      <w:r w:rsidR="00334EEF">
        <w:rPr>
          <w:rFonts w:ascii="Arial" w:hAnsi="Arial" w:cs="Arial"/>
          <w:sz w:val="24"/>
          <w:szCs w:val="24"/>
        </w:rPr>
        <w:t xml:space="preserve">Mega </w:t>
      </w:r>
      <w:proofErr w:type="spellStart"/>
      <w:r w:rsidR="00334EEF">
        <w:rPr>
          <w:rFonts w:ascii="Arial" w:hAnsi="Arial" w:cs="Arial"/>
          <w:sz w:val="24"/>
          <w:szCs w:val="24"/>
        </w:rPr>
        <w:t>Pupkewitz</w:t>
      </w:r>
      <w:proofErr w:type="spellEnd"/>
      <w:r w:rsidR="00334EEF">
        <w:rPr>
          <w:rFonts w:ascii="Arial" w:hAnsi="Arial" w:cs="Arial"/>
          <w:sz w:val="24"/>
          <w:szCs w:val="24"/>
        </w:rPr>
        <w:t xml:space="preserve"> &amp;</w:t>
      </w:r>
      <w:r w:rsidR="00334EEF" w:rsidRPr="00044CE7">
        <w:rPr>
          <w:rFonts w:ascii="Arial" w:hAnsi="Arial" w:cs="Arial"/>
          <w:sz w:val="24"/>
          <w:szCs w:val="24"/>
        </w:rPr>
        <w:t xml:space="preserve"> Sons </w:t>
      </w:r>
      <w:r w:rsidR="00334EEF">
        <w:rPr>
          <w:rFonts w:ascii="Arial" w:hAnsi="Arial" w:cs="Arial"/>
          <w:sz w:val="24"/>
          <w:szCs w:val="24"/>
        </w:rPr>
        <w:t>(</w:t>
      </w:r>
      <w:r w:rsidR="00334EEF" w:rsidRPr="00044CE7">
        <w:rPr>
          <w:rFonts w:ascii="Arial" w:hAnsi="Arial" w:cs="Arial"/>
          <w:sz w:val="24"/>
          <w:szCs w:val="24"/>
        </w:rPr>
        <w:t>Pty</w:t>
      </w:r>
      <w:r w:rsidR="00334EEF">
        <w:rPr>
          <w:rFonts w:ascii="Arial" w:hAnsi="Arial" w:cs="Arial"/>
          <w:sz w:val="24"/>
          <w:szCs w:val="24"/>
        </w:rPr>
        <w:t>) Ltd</w:t>
      </w:r>
      <w:r w:rsidR="00FB6984" w:rsidRPr="00044CE7">
        <w:rPr>
          <w:rFonts w:ascii="Arial" w:hAnsi="Arial" w:cs="Arial"/>
          <w:sz w:val="24"/>
          <w:szCs w:val="24"/>
        </w:rPr>
        <w:t xml:space="preserve"> logo that was</w:t>
      </w:r>
      <w:r w:rsidR="00334EEF">
        <w:rPr>
          <w:rFonts w:ascii="Arial" w:hAnsi="Arial" w:cs="Arial"/>
          <w:sz w:val="24"/>
          <w:szCs w:val="24"/>
        </w:rPr>
        <w:t xml:space="preserve"> found in possession of accused </w:t>
      </w:r>
      <w:r w:rsidR="004E3FD1">
        <w:rPr>
          <w:rFonts w:ascii="Arial" w:hAnsi="Arial" w:cs="Arial"/>
          <w:sz w:val="24"/>
          <w:szCs w:val="24"/>
        </w:rPr>
        <w:t xml:space="preserve">1. </w:t>
      </w:r>
      <w:r w:rsidR="00334EEF">
        <w:rPr>
          <w:rFonts w:ascii="Arial" w:hAnsi="Arial" w:cs="Arial"/>
          <w:sz w:val="24"/>
          <w:szCs w:val="24"/>
        </w:rPr>
        <w:t>Twenty-three (</w:t>
      </w:r>
      <w:r w:rsidR="00FB6984" w:rsidRPr="00044CE7">
        <w:rPr>
          <w:rFonts w:ascii="Arial" w:hAnsi="Arial" w:cs="Arial"/>
          <w:sz w:val="24"/>
          <w:szCs w:val="24"/>
        </w:rPr>
        <w:t>23</w:t>
      </w:r>
      <w:r w:rsidR="00334EEF">
        <w:rPr>
          <w:rFonts w:ascii="Arial" w:hAnsi="Arial" w:cs="Arial"/>
          <w:sz w:val="24"/>
          <w:szCs w:val="24"/>
        </w:rPr>
        <w:t>)</w:t>
      </w:r>
      <w:r w:rsidR="00FB6984" w:rsidRPr="00044CE7">
        <w:rPr>
          <w:rFonts w:ascii="Arial" w:hAnsi="Arial" w:cs="Arial"/>
          <w:sz w:val="24"/>
          <w:szCs w:val="24"/>
        </w:rPr>
        <w:t xml:space="preserve"> invoices bearing the logo of </w:t>
      </w:r>
      <w:r w:rsidR="00334EEF">
        <w:rPr>
          <w:rFonts w:ascii="Arial" w:hAnsi="Arial" w:cs="Arial"/>
          <w:sz w:val="24"/>
          <w:szCs w:val="24"/>
        </w:rPr>
        <w:t>Mega</w:t>
      </w:r>
      <w:r w:rsidR="00334EEF" w:rsidRPr="00044CE7">
        <w:rPr>
          <w:rFonts w:ascii="Arial" w:hAnsi="Arial" w:cs="Arial"/>
          <w:sz w:val="24"/>
          <w:szCs w:val="24"/>
        </w:rPr>
        <w:t xml:space="preserve"> </w:t>
      </w:r>
      <w:proofErr w:type="spellStart"/>
      <w:r w:rsidR="00FB6984" w:rsidRPr="00044CE7">
        <w:rPr>
          <w:rFonts w:ascii="Arial" w:hAnsi="Arial" w:cs="Arial"/>
          <w:sz w:val="24"/>
          <w:szCs w:val="24"/>
        </w:rPr>
        <w:t>Pupkewitz</w:t>
      </w:r>
      <w:proofErr w:type="spellEnd"/>
      <w:r w:rsidR="00FB6984" w:rsidRPr="00044CE7">
        <w:rPr>
          <w:rFonts w:ascii="Arial" w:hAnsi="Arial" w:cs="Arial"/>
          <w:sz w:val="24"/>
          <w:szCs w:val="24"/>
        </w:rPr>
        <w:t xml:space="preserve"> &amp; Sons </w:t>
      </w:r>
      <w:r w:rsidR="00334EEF">
        <w:rPr>
          <w:rFonts w:ascii="Arial" w:hAnsi="Arial" w:cs="Arial"/>
          <w:sz w:val="24"/>
          <w:szCs w:val="24"/>
        </w:rPr>
        <w:t>(</w:t>
      </w:r>
      <w:r w:rsidR="00FB6984" w:rsidRPr="00044CE7">
        <w:rPr>
          <w:rFonts w:ascii="Arial" w:hAnsi="Arial" w:cs="Arial"/>
          <w:sz w:val="24"/>
          <w:szCs w:val="24"/>
        </w:rPr>
        <w:t>Pty</w:t>
      </w:r>
      <w:r w:rsidR="00334EEF">
        <w:rPr>
          <w:rFonts w:ascii="Arial" w:hAnsi="Arial" w:cs="Arial"/>
          <w:sz w:val="24"/>
          <w:szCs w:val="24"/>
        </w:rPr>
        <w:t>) Ltd were used to claim value-added tax by four persons; accused</w:t>
      </w:r>
      <w:r w:rsidR="000E5F57">
        <w:rPr>
          <w:rFonts w:ascii="Arial" w:hAnsi="Arial" w:cs="Arial"/>
          <w:sz w:val="24"/>
          <w:szCs w:val="24"/>
        </w:rPr>
        <w:t>’s</w:t>
      </w:r>
      <w:r w:rsidR="00334EEF">
        <w:rPr>
          <w:rFonts w:ascii="Arial" w:hAnsi="Arial" w:cs="Arial"/>
          <w:sz w:val="24"/>
          <w:szCs w:val="24"/>
        </w:rPr>
        <w:t xml:space="preserve"> 5, </w:t>
      </w:r>
      <w:r w:rsidR="00FB6984" w:rsidRPr="00044CE7">
        <w:rPr>
          <w:rFonts w:ascii="Arial" w:hAnsi="Arial" w:cs="Arial"/>
          <w:sz w:val="24"/>
          <w:szCs w:val="24"/>
        </w:rPr>
        <w:t xml:space="preserve">8 and 13 </w:t>
      </w:r>
      <w:r w:rsidR="0000386B">
        <w:rPr>
          <w:rFonts w:ascii="Arial" w:hAnsi="Arial" w:cs="Arial"/>
          <w:sz w:val="24"/>
          <w:szCs w:val="24"/>
        </w:rPr>
        <w:t>amongst others</w:t>
      </w:r>
      <w:r w:rsidR="00334EEF">
        <w:rPr>
          <w:rFonts w:ascii="Arial" w:hAnsi="Arial" w:cs="Arial"/>
          <w:sz w:val="24"/>
          <w:szCs w:val="24"/>
        </w:rPr>
        <w:t>,</w:t>
      </w:r>
      <w:r w:rsidR="0000386B">
        <w:rPr>
          <w:rFonts w:ascii="Arial" w:hAnsi="Arial" w:cs="Arial"/>
          <w:sz w:val="24"/>
          <w:szCs w:val="24"/>
        </w:rPr>
        <w:t xml:space="preserve"> and</w:t>
      </w:r>
      <w:r w:rsidR="00334EEF">
        <w:rPr>
          <w:rFonts w:ascii="Arial" w:hAnsi="Arial" w:cs="Arial"/>
          <w:sz w:val="24"/>
          <w:szCs w:val="24"/>
        </w:rPr>
        <w:t xml:space="preserve"> they</w:t>
      </w:r>
      <w:r w:rsidR="0000386B">
        <w:rPr>
          <w:rFonts w:ascii="Arial" w:hAnsi="Arial" w:cs="Arial"/>
          <w:sz w:val="24"/>
          <w:szCs w:val="24"/>
        </w:rPr>
        <w:t xml:space="preserve"> are</w:t>
      </w:r>
      <w:r w:rsidR="00334EEF">
        <w:rPr>
          <w:rFonts w:ascii="Arial" w:hAnsi="Arial" w:cs="Arial"/>
          <w:sz w:val="24"/>
          <w:szCs w:val="24"/>
        </w:rPr>
        <w:t xml:space="preserve"> similar to four invoices</w:t>
      </w:r>
      <w:r w:rsidR="00FB6984" w:rsidRPr="00044CE7">
        <w:rPr>
          <w:rFonts w:ascii="Arial" w:hAnsi="Arial" w:cs="Arial"/>
          <w:sz w:val="24"/>
          <w:szCs w:val="24"/>
        </w:rPr>
        <w:t xml:space="preserve"> found in p</w:t>
      </w:r>
      <w:r w:rsidR="006D2ABD">
        <w:rPr>
          <w:rFonts w:ascii="Arial" w:hAnsi="Arial" w:cs="Arial"/>
          <w:sz w:val="24"/>
          <w:szCs w:val="24"/>
        </w:rPr>
        <w:t>ossessio</w:t>
      </w:r>
      <w:r w:rsidR="00334EEF">
        <w:rPr>
          <w:rFonts w:ascii="Arial" w:hAnsi="Arial" w:cs="Arial"/>
          <w:sz w:val="24"/>
          <w:szCs w:val="24"/>
        </w:rPr>
        <w:t xml:space="preserve">n of accused </w:t>
      </w:r>
      <w:r w:rsidR="000E5F57">
        <w:rPr>
          <w:rFonts w:ascii="Arial" w:hAnsi="Arial" w:cs="Arial"/>
          <w:sz w:val="24"/>
          <w:szCs w:val="24"/>
        </w:rPr>
        <w:t>1.</w:t>
      </w:r>
    </w:p>
    <w:p w:rsidR="000E5F57" w:rsidRDefault="000E5F57" w:rsidP="0099115A">
      <w:pPr>
        <w:spacing w:after="0" w:line="360" w:lineRule="auto"/>
        <w:jc w:val="both"/>
        <w:rPr>
          <w:rFonts w:ascii="Arial" w:hAnsi="Arial" w:cs="Arial"/>
          <w:sz w:val="24"/>
          <w:szCs w:val="24"/>
        </w:rPr>
      </w:pPr>
    </w:p>
    <w:p w:rsidR="000C2BE1" w:rsidRDefault="000C2BE1" w:rsidP="0099115A">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B6984" w:rsidRPr="00044CE7">
        <w:rPr>
          <w:rFonts w:ascii="Arial" w:hAnsi="Arial" w:cs="Arial"/>
          <w:sz w:val="24"/>
          <w:szCs w:val="24"/>
        </w:rPr>
        <w:t xml:space="preserve">Similar invoices belonging purportedly to </w:t>
      </w:r>
      <w:proofErr w:type="spellStart"/>
      <w:r w:rsidR="00FB6984" w:rsidRPr="00044CE7">
        <w:rPr>
          <w:rFonts w:ascii="Arial" w:hAnsi="Arial" w:cs="Arial"/>
          <w:sz w:val="24"/>
          <w:szCs w:val="24"/>
        </w:rPr>
        <w:t>Waltons</w:t>
      </w:r>
      <w:proofErr w:type="spellEnd"/>
      <w:r w:rsidR="00FB6984" w:rsidRPr="00044CE7">
        <w:rPr>
          <w:rFonts w:ascii="Arial" w:hAnsi="Arial" w:cs="Arial"/>
          <w:sz w:val="24"/>
          <w:szCs w:val="24"/>
        </w:rPr>
        <w:t xml:space="preserve"> </w:t>
      </w:r>
      <w:r w:rsidR="0000386B">
        <w:rPr>
          <w:rFonts w:ascii="Arial" w:hAnsi="Arial" w:cs="Arial"/>
          <w:sz w:val="24"/>
          <w:szCs w:val="24"/>
        </w:rPr>
        <w:t>(</w:t>
      </w:r>
      <w:r w:rsidR="00FB6984" w:rsidRPr="00044CE7">
        <w:rPr>
          <w:rFonts w:ascii="Arial" w:hAnsi="Arial" w:cs="Arial"/>
          <w:sz w:val="24"/>
          <w:szCs w:val="24"/>
        </w:rPr>
        <w:t>Pty</w:t>
      </w:r>
      <w:r w:rsidR="0000386B">
        <w:rPr>
          <w:rFonts w:ascii="Arial" w:hAnsi="Arial" w:cs="Arial"/>
          <w:sz w:val="24"/>
          <w:szCs w:val="24"/>
        </w:rPr>
        <w:t>) Ltd</w:t>
      </w:r>
      <w:r w:rsidR="00FB6984" w:rsidRPr="00044CE7">
        <w:rPr>
          <w:rFonts w:ascii="Arial" w:hAnsi="Arial" w:cs="Arial"/>
          <w:sz w:val="24"/>
          <w:szCs w:val="24"/>
        </w:rPr>
        <w:t>, Greg</w:t>
      </w:r>
      <w:r w:rsidR="000E5F57">
        <w:rPr>
          <w:rFonts w:ascii="Arial" w:hAnsi="Arial" w:cs="Arial"/>
          <w:sz w:val="24"/>
          <w:szCs w:val="24"/>
        </w:rPr>
        <w:t>’</w:t>
      </w:r>
      <w:r w:rsidR="00FB6984" w:rsidRPr="00044CE7">
        <w:rPr>
          <w:rFonts w:ascii="Arial" w:hAnsi="Arial" w:cs="Arial"/>
          <w:sz w:val="24"/>
          <w:szCs w:val="24"/>
        </w:rPr>
        <w:t xml:space="preserve">s Motor Spares </w:t>
      </w:r>
      <w:r w:rsidR="0000386B">
        <w:rPr>
          <w:rFonts w:ascii="Arial" w:hAnsi="Arial" w:cs="Arial"/>
          <w:sz w:val="24"/>
          <w:szCs w:val="24"/>
        </w:rPr>
        <w:t>(</w:t>
      </w:r>
      <w:r w:rsidR="00FB6984" w:rsidRPr="00044CE7">
        <w:rPr>
          <w:rFonts w:ascii="Arial" w:hAnsi="Arial" w:cs="Arial"/>
          <w:sz w:val="24"/>
          <w:szCs w:val="24"/>
        </w:rPr>
        <w:t>Pty</w:t>
      </w:r>
      <w:r w:rsidR="0000386B">
        <w:rPr>
          <w:rFonts w:ascii="Arial" w:hAnsi="Arial" w:cs="Arial"/>
          <w:sz w:val="24"/>
          <w:szCs w:val="24"/>
        </w:rPr>
        <w:t>) Ltd</w:t>
      </w:r>
      <w:r w:rsidR="00FB6984" w:rsidRPr="00044CE7">
        <w:rPr>
          <w:rFonts w:ascii="Arial" w:hAnsi="Arial" w:cs="Arial"/>
          <w:sz w:val="24"/>
          <w:szCs w:val="24"/>
        </w:rPr>
        <w:t xml:space="preserve"> and </w:t>
      </w:r>
      <w:proofErr w:type="spellStart"/>
      <w:r w:rsidR="006D2ABD">
        <w:rPr>
          <w:rFonts w:ascii="Arial" w:hAnsi="Arial" w:cs="Arial"/>
          <w:sz w:val="24"/>
          <w:szCs w:val="24"/>
        </w:rPr>
        <w:t>Powerflow</w:t>
      </w:r>
      <w:proofErr w:type="spellEnd"/>
      <w:r w:rsidR="006D2ABD">
        <w:rPr>
          <w:rFonts w:ascii="Arial" w:hAnsi="Arial" w:cs="Arial"/>
          <w:sz w:val="24"/>
          <w:szCs w:val="24"/>
        </w:rPr>
        <w:t xml:space="preserve"> Exhaust &amp; </w:t>
      </w:r>
      <w:proofErr w:type="spellStart"/>
      <w:r w:rsidR="006D2ABD">
        <w:rPr>
          <w:rFonts w:ascii="Arial" w:hAnsi="Arial" w:cs="Arial"/>
          <w:sz w:val="24"/>
          <w:szCs w:val="24"/>
        </w:rPr>
        <w:t>Tyre</w:t>
      </w:r>
      <w:proofErr w:type="spellEnd"/>
      <w:r w:rsidR="006D2ABD">
        <w:rPr>
          <w:rFonts w:ascii="Arial" w:hAnsi="Arial" w:cs="Arial"/>
          <w:sz w:val="24"/>
          <w:szCs w:val="24"/>
        </w:rPr>
        <w:t xml:space="preserve"> (Pty) Ltd</w:t>
      </w:r>
      <w:r w:rsidR="006D2ABD" w:rsidRPr="00044CE7">
        <w:rPr>
          <w:rFonts w:ascii="Arial" w:hAnsi="Arial" w:cs="Arial"/>
          <w:sz w:val="24"/>
          <w:szCs w:val="24"/>
        </w:rPr>
        <w:t xml:space="preserve"> </w:t>
      </w:r>
      <w:r w:rsidR="00FB6984" w:rsidRPr="00044CE7">
        <w:rPr>
          <w:rFonts w:ascii="Arial" w:hAnsi="Arial" w:cs="Arial"/>
          <w:sz w:val="24"/>
          <w:szCs w:val="24"/>
        </w:rPr>
        <w:t>we</w:t>
      </w:r>
      <w:r w:rsidR="00FB6984">
        <w:rPr>
          <w:rFonts w:ascii="Arial" w:hAnsi="Arial" w:cs="Arial"/>
          <w:sz w:val="24"/>
          <w:szCs w:val="24"/>
        </w:rPr>
        <w:t>re also found in her possession</w:t>
      </w:r>
      <w:r w:rsidR="00334EEF">
        <w:rPr>
          <w:rFonts w:ascii="Arial" w:hAnsi="Arial" w:cs="Arial"/>
          <w:sz w:val="24"/>
          <w:szCs w:val="24"/>
        </w:rPr>
        <w:t>,</w:t>
      </w:r>
      <w:r w:rsidR="00FB6984">
        <w:rPr>
          <w:rFonts w:ascii="Arial" w:hAnsi="Arial" w:cs="Arial"/>
          <w:sz w:val="24"/>
          <w:szCs w:val="24"/>
        </w:rPr>
        <w:t xml:space="preserve"> </w:t>
      </w:r>
      <w:r w:rsidR="00FB6984" w:rsidRPr="00044CE7">
        <w:rPr>
          <w:rFonts w:ascii="Arial" w:hAnsi="Arial" w:cs="Arial"/>
          <w:sz w:val="24"/>
          <w:szCs w:val="24"/>
        </w:rPr>
        <w:t>which in this case</w:t>
      </w:r>
      <w:r w:rsidR="004079F8">
        <w:rPr>
          <w:rFonts w:ascii="Arial" w:hAnsi="Arial" w:cs="Arial"/>
          <w:sz w:val="24"/>
          <w:szCs w:val="24"/>
        </w:rPr>
        <w:t>,</w:t>
      </w:r>
      <w:r w:rsidR="00FB6984" w:rsidRPr="00044CE7">
        <w:rPr>
          <w:rFonts w:ascii="Arial" w:hAnsi="Arial" w:cs="Arial"/>
          <w:sz w:val="24"/>
          <w:szCs w:val="24"/>
        </w:rPr>
        <w:t xml:space="preserve"> of which similar invoices</w:t>
      </w:r>
      <w:r w:rsidR="004079F8">
        <w:rPr>
          <w:rFonts w:ascii="Arial" w:hAnsi="Arial" w:cs="Arial"/>
          <w:sz w:val="24"/>
          <w:szCs w:val="24"/>
        </w:rPr>
        <w:t xml:space="preserve"> were submitted by some of the a</w:t>
      </w:r>
      <w:r w:rsidR="00FB6984" w:rsidRPr="00044CE7">
        <w:rPr>
          <w:rFonts w:ascii="Arial" w:hAnsi="Arial" w:cs="Arial"/>
          <w:sz w:val="24"/>
          <w:szCs w:val="24"/>
        </w:rPr>
        <w:t xml:space="preserve">ccused </w:t>
      </w:r>
      <w:r w:rsidR="004079F8">
        <w:rPr>
          <w:rFonts w:ascii="Arial" w:hAnsi="Arial" w:cs="Arial"/>
          <w:sz w:val="24"/>
          <w:szCs w:val="24"/>
        </w:rPr>
        <w:t>to make claims to recover value-</w:t>
      </w:r>
      <w:r w:rsidR="00FB6984" w:rsidRPr="00044CE7">
        <w:rPr>
          <w:rFonts w:ascii="Arial" w:hAnsi="Arial" w:cs="Arial"/>
          <w:sz w:val="24"/>
          <w:szCs w:val="24"/>
        </w:rPr>
        <w:t>added tax. There is</w:t>
      </w:r>
      <w:r w:rsidR="004079F8">
        <w:rPr>
          <w:rFonts w:ascii="Arial" w:hAnsi="Arial" w:cs="Arial"/>
          <w:sz w:val="24"/>
          <w:szCs w:val="24"/>
        </w:rPr>
        <w:t xml:space="preserve"> no reason on the evidence for a</w:t>
      </w:r>
      <w:r w:rsidR="00FB6984" w:rsidRPr="00044CE7">
        <w:rPr>
          <w:rFonts w:ascii="Arial" w:hAnsi="Arial" w:cs="Arial"/>
          <w:sz w:val="24"/>
          <w:szCs w:val="24"/>
        </w:rPr>
        <w:t>ccused 1 to have been lawfu</w:t>
      </w:r>
      <w:r w:rsidR="004079F8">
        <w:rPr>
          <w:rFonts w:ascii="Arial" w:hAnsi="Arial" w:cs="Arial"/>
          <w:sz w:val="24"/>
          <w:szCs w:val="24"/>
        </w:rPr>
        <w:t>lly in possession of any of thos</w:t>
      </w:r>
      <w:r w:rsidR="00FB6984" w:rsidRPr="00044CE7">
        <w:rPr>
          <w:rFonts w:ascii="Arial" w:hAnsi="Arial" w:cs="Arial"/>
          <w:sz w:val="24"/>
          <w:szCs w:val="24"/>
        </w:rPr>
        <w:t>e documents. The fact that they were found in her pos</w:t>
      </w:r>
      <w:r w:rsidR="004079F8">
        <w:rPr>
          <w:rFonts w:ascii="Arial" w:hAnsi="Arial" w:cs="Arial"/>
          <w:sz w:val="24"/>
          <w:szCs w:val="24"/>
        </w:rPr>
        <w:t xml:space="preserve">session may cause a reasonable </w:t>
      </w:r>
      <w:r w:rsidR="000E5F57">
        <w:rPr>
          <w:rFonts w:ascii="Arial" w:hAnsi="Arial" w:cs="Arial"/>
          <w:sz w:val="24"/>
          <w:szCs w:val="24"/>
        </w:rPr>
        <w:t>C</w:t>
      </w:r>
      <w:r w:rsidR="004079F8">
        <w:rPr>
          <w:rFonts w:ascii="Arial" w:hAnsi="Arial" w:cs="Arial"/>
          <w:sz w:val="24"/>
          <w:szCs w:val="24"/>
        </w:rPr>
        <w:t xml:space="preserve">ourt to infer that accused </w:t>
      </w:r>
      <w:r w:rsidR="00FB6984" w:rsidRPr="00044CE7">
        <w:rPr>
          <w:rFonts w:ascii="Arial" w:hAnsi="Arial" w:cs="Arial"/>
          <w:sz w:val="24"/>
          <w:szCs w:val="24"/>
        </w:rPr>
        <w:t xml:space="preserve">1 was </w:t>
      </w:r>
      <w:r w:rsidR="00FB6984" w:rsidRPr="00044CE7">
        <w:rPr>
          <w:rFonts w:ascii="Arial" w:hAnsi="Arial" w:cs="Arial"/>
          <w:sz w:val="24"/>
          <w:szCs w:val="24"/>
        </w:rPr>
        <w:lastRenderedPageBreak/>
        <w:t xml:space="preserve">involved </w:t>
      </w:r>
      <w:r w:rsidR="006D2ABD">
        <w:rPr>
          <w:rFonts w:ascii="Arial" w:hAnsi="Arial" w:cs="Arial"/>
          <w:sz w:val="24"/>
          <w:szCs w:val="24"/>
        </w:rPr>
        <w:t>or</w:t>
      </w:r>
      <w:r w:rsidR="00FB6984" w:rsidRPr="00044CE7">
        <w:rPr>
          <w:rFonts w:ascii="Arial" w:hAnsi="Arial" w:cs="Arial"/>
          <w:sz w:val="24"/>
          <w:szCs w:val="24"/>
        </w:rPr>
        <w:t xml:space="preserve"> instrument</w:t>
      </w:r>
      <w:r w:rsidR="004079F8">
        <w:rPr>
          <w:rFonts w:ascii="Arial" w:hAnsi="Arial" w:cs="Arial"/>
          <w:sz w:val="24"/>
          <w:szCs w:val="24"/>
        </w:rPr>
        <w:t>al in the</w:t>
      </w:r>
      <w:r w:rsidR="00CA3FDF">
        <w:rPr>
          <w:rFonts w:ascii="Arial" w:hAnsi="Arial" w:cs="Arial"/>
          <w:sz w:val="24"/>
          <w:szCs w:val="24"/>
        </w:rPr>
        <w:t xml:space="preserve"> </w:t>
      </w:r>
      <w:r w:rsidR="00FB6984" w:rsidRPr="00044CE7">
        <w:rPr>
          <w:rFonts w:ascii="Arial" w:hAnsi="Arial" w:cs="Arial"/>
          <w:sz w:val="24"/>
          <w:szCs w:val="24"/>
        </w:rPr>
        <w:t>false claim</w:t>
      </w:r>
      <w:r w:rsidR="006D2ABD">
        <w:rPr>
          <w:rFonts w:ascii="Arial" w:hAnsi="Arial" w:cs="Arial"/>
          <w:sz w:val="24"/>
          <w:szCs w:val="24"/>
        </w:rPr>
        <w:t>s</w:t>
      </w:r>
      <w:r w:rsidR="004079F8">
        <w:rPr>
          <w:rFonts w:ascii="Arial" w:hAnsi="Arial" w:cs="Arial"/>
          <w:sz w:val="24"/>
          <w:szCs w:val="24"/>
        </w:rPr>
        <w:t xml:space="preserve"> submitted by accused</w:t>
      </w:r>
      <w:r w:rsidR="00FB6984" w:rsidRPr="00044CE7">
        <w:rPr>
          <w:rFonts w:ascii="Arial" w:hAnsi="Arial" w:cs="Arial"/>
          <w:sz w:val="24"/>
          <w:szCs w:val="24"/>
        </w:rPr>
        <w:t xml:space="preserve"> 2, 3</w:t>
      </w:r>
      <w:r w:rsidR="004079F8">
        <w:rPr>
          <w:rFonts w:ascii="Arial" w:hAnsi="Arial" w:cs="Arial"/>
          <w:sz w:val="24"/>
          <w:szCs w:val="24"/>
        </w:rPr>
        <w:t>, 4, 5, 7, 8, 9, 10, 11 and 12.</w:t>
      </w:r>
    </w:p>
    <w:p w:rsidR="000E5F57" w:rsidRDefault="000E5F57" w:rsidP="0099115A">
      <w:pPr>
        <w:spacing w:after="0" w:line="360" w:lineRule="auto"/>
        <w:jc w:val="both"/>
        <w:rPr>
          <w:rFonts w:ascii="Arial" w:hAnsi="Arial" w:cs="Arial"/>
          <w:sz w:val="24"/>
          <w:szCs w:val="24"/>
        </w:rPr>
      </w:pPr>
    </w:p>
    <w:p w:rsidR="00252D5B" w:rsidRDefault="000C2BE1" w:rsidP="0099115A">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079F8">
        <w:rPr>
          <w:rFonts w:ascii="Arial" w:hAnsi="Arial" w:cs="Arial"/>
          <w:sz w:val="24"/>
          <w:szCs w:val="24"/>
        </w:rPr>
        <w:t xml:space="preserve">It follows that in so far as accused </w:t>
      </w:r>
      <w:r w:rsidR="00FB6984" w:rsidRPr="00044CE7">
        <w:rPr>
          <w:rFonts w:ascii="Arial" w:hAnsi="Arial" w:cs="Arial"/>
          <w:sz w:val="24"/>
          <w:szCs w:val="24"/>
        </w:rPr>
        <w:t>1 i</w:t>
      </w:r>
      <w:r w:rsidR="00C41158">
        <w:rPr>
          <w:rFonts w:ascii="Arial" w:hAnsi="Arial" w:cs="Arial"/>
          <w:sz w:val="24"/>
          <w:szCs w:val="24"/>
        </w:rPr>
        <w:t>s charged together with the latter</w:t>
      </w:r>
      <w:r w:rsidR="00FB6984" w:rsidRPr="00044CE7">
        <w:rPr>
          <w:rFonts w:ascii="Arial" w:hAnsi="Arial" w:cs="Arial"/>
          <w:sz w:val="24"/>
          <w:szCs w:val="24"/>
        </w:rPr>
        <w:t xml:space="preserve"> </w:t>
      </w:r>
      <w:r w:rsidR="004079F8">
        <w:rPr>
          <w:rFonts w:ascii="Arial" w:hAnsi="Arial" w:cs="Arial"/>
          <w:sz w:val="24"/>
          <w:szCs w:val="24"/>
        </w:rPr>
        <w:t>a</w:t>
      </w:r>
      <w:r w:rsidR="00C41158" w:rsidRPr="00044CE7">
        <w:rPr>
          <w:rFonts w:ascii="Arial" w:hAnsi="Arial" w:cs="Arial"/>
          <w:sz w:val="24"/>
          <w:szCs w:val="24"/>
        </w:rPr>
        <w:t>ccused;</w:t>
      </w:r>
      <w:r w:rsidR="00FB6984" w:rsidRPr="00044CE7">
        <w:rPr>
          <w:rFonts w:ascii="Arial" w:hAnsi="Arial" w:cs="Arial"/>
          <w:sz w:val="24"/>
          <w:szCs w:val="24"/>
        </w:rPr>
        <w:t xml:space="preserve"> the application for a dischar</w:t>
      </w:r>
      <w:r w:rsidR="00C41158">
        <w:rPr>
          <w:rFonts w:ascii="Arial" w:hAnsi="Arial" w:cs="Arial"/>
          <w:sz w:val="24"/>
          <w:szCs w:val="24"/>
        </w:rPr>
        <w:t xml:space="preserve">ge on that issue </w:t>
      </w:r>
      <w:r w:rsidR="00FB6984" w:rsidRPr="00044CE7">
        <w:rPr>
          <w:rFonts w:ascii="Arial" w:hAnsi="Arial" w:cs="Arial"/>
          <w:sz w:val="24"/>
          <w:szCs w:val="24"/>
        </w:rPr>
        <w:t>should be refused. I will h</w:t>
      </w:r>
      <w:r w:rsidR="004079F8">
        <w:rPr>
          <w:rFonts w:ascii="Arial" w:hAnsi="Arial" w:cs="Arial"/>
          <w:sz w:val="24"/>
          <w:szCs w:val="24"/>
        </w:rPr>
        <w:t>owever grant the discharge of accused</w:t>
      </w:r>
      <w:r w:rsidR="00FB6984" w:rsidRPr="00044CE7">
        <w:rPr>
          <w:rFonts w:ascii="Arial" w:hAnsi="Arial" w:cs="Arial"/>
          <w:sz w:val="24"/>
          <w:szCs w:val="24"/>
        </w:rPr>
        <w:t xml:space="preserve"> 1 on count 623</w:t>
      </w:r>
      <w:r w:rsidR="004079F8">
        <w:rPr>
          <w:rFonts w:ascii="Arial" w:hAnsi="Arial" w:cs="Arial"/>
          <w:sz w:val="24"/>
          <w:szCs w:val="24"/>
        </w:rPr>
        <w:t>,</w:t>
      </w:r>
      <w:r w:rsidR="00FB6984" w:rsidRPr="00044CE7">
        <w:rPr>
          <w:rFonts w:ascii="Arial" w:hAnsi="Arial" w:cs="Arial"/>
          <w:sz w:val="24"/>
          <w:szCs w:val="24"/>
        </w:rPr>
        <w:t xml:space="preserve"> which relates to a </w:t>
      </w:r>
      <w:r w:rsidR="004079F8" w:rsidRPr="00044CE7">
        <w:rPr>
          <w:rFonts w:ascii="Arial" w:hAnsi="Arial" w:cs="Arial"/>
          <w:sz w:val="24"/>
          <w:szCs w:val="24"/>
        </w:rPr>
        <w:t>Volkswagen</w:t>
      </w:r>
      <w:r w:rsidR="004079F8">
        <w:rPr>
          <w:rFonts w:ascii="Arial" w:hAnsi="Arial" w:cs="Arial"/>
          <w:sz w:val="24"/>
          <w:szCs w:val="24"/>
        </w:rPr>
        <w:t xml:space="preserve"> GTI</w:t>
      </w:r>
      <w:r w:rsidR="00FB6984" w:rsidRPr="00044CE7">
        <w:rPr>
          <w:rFonts w:ascii="Arial" w:hAnsi="Arial" w:cs="Arial"/>
          <w:sz w:val="24"/>
          <w:szCs w:val="24"/>
        </w:rPr>
        <w:t xml:space="preserve"> which was allegedly purchased fr</w:t>
      </w:r>
      <w:r w:rsidR="00C41158">
        <w:rPr>
          <w:rFonts w:ascii="Arial" w:hAnsi="Arial" w:cs="Arial"/>
          <w:sz w:val="24"/>
          <w:szCs w:val="24"/>
        </w:rPr>
        <w:t>om the w</w:t>
      </w:r>
      <w:r w:rsidR="00C66D92">
        <w:rPr>
          <w:rFonts w:ascii="Arial" w:hAnsi="Arial" w:cs="Arial"/>
          <w:sz w:val="24"/>
          <w:szCs w:val="24"/>
        </w:rPr>
        <w:t>itness,</w:t>
      </w:r>
      <w:r w:rsidR="006D2ABD">
        <w:rPr>
          <w:rFonts w:ascii="Arial" w:hAnsi="Arial" w:cs="Arial"/>
          <w:sz w:val="24"/>
          <w:szCs w:val="24"/>
        </w:rPr>
        <w:t xml:space="preserve"> </w:t>
      </w:r>
      <w:proofErr w:type="spellStart"/>
      <w:r w:rsidR="006D2ABD">
        <w:rPr>
          <w:rFonts w:ascii="Arial" w:hAnsi="Arial" w:cs="Arial"/>
          <w:sz w:val="24"/>
          <w:szCs w:val="24"/>
        </w:rPr>
        <w:t>Ms</w:t>
      </w:r>
      <w:proofErr w:type="spellEnd"/>
      <w:r w:rsidR="006D2ABD">
        <w:rPr>
          <w:rFonts w:ascii="Arial" w:hAnsi="Arial" w:cs="Arial"/>
          <w:sz w:val="24"/>
          <w:szCs w:val="24"/>
        </w:rPr>
        <w:t xml:space="preserve"> </w:t>
      </w:r>
      <w:proofErr w:type="spellStart"/>
      <w:r w:rsidR="006D2ABD">
        <w:rPr>
          <w:rFonts w:ascii="Arial" w:hAnsi="Arial" w:cs="Arial"/>
          <w:sz w:val="24"/>
          <w:szCs w:val="24"/>
        </w:rPr>
        <w:t>Di</w:t>
      </w:r>
      <w:r>
        <w:rPr>
          <w:rFonts w:ascii="Arial" w:hAnsi="Arial" w:cs="Arial"/>
          <w:sz w:val="24"/>
          <w:szCs w:val="24"/>
        </w:rPr>
        <w:t>llish</w:t>
      </w:r>
      <w:proofErr w:type="spellEnd"/>
      <w:r>
        <w:rPr>
          <w:rFonts w:ascii="Arial" w:hAnsi="Arial" w:cs="Arial"/>
          <w:sz w:val="24"/>
          <w:szCs w:val="24"/>
        </w:rPr>
        <w:t xml:space="preserve"> </w:t>
      </w:r>
      <w:proofErr w:type="spellStart"/>
      <w:r w:rsidR="006D2ABD">
        <w:rPr>
          <w:rFonts w:ascii="Arial" w:hAnsi="Arial" w:cs="Arial"/>
          <w:sz w:val="24"/>
          <w:szCs w:val="24"/>
        </w:rPr>
        <w:t>Peyavali</w:t>
      </w:r>
      <w:proofErr w:type="spellEnd"/>
      <w:r w:rsidR="006D2ABD">
        <w:rPr>
          <w:rFonts w:ascii="Arial" w:hAnsi="Arial" w:cs="Arial"/>
          <w:sz w:val="24"/>
          <w:szCs w:val="24"/>
        </w:rPr>
        <w:t xml:space="preserve"> Helena </w:t>
      </w:r>
      <w:r>
        <w:rPr>
          <w:rFonts w:ascii="Arial" w:hAnsi="Arial" w:cs="Arial"/>
          <w:sz w:val="24"/>
          <w:szCs w:val="24"/>
        </w:rPr>
        <w:t>Mathews.</w:t>
      </w:r>
    </w:p>
    <w:p w:rsidR="00C66D92" w:rsidRDefault="00C66D92" w:rsidP="0099115A">
      <w:pPr>
        <w:spacing w:after="0" w:line="360" w:lineRule="auto"/>
        <w:jc w:val="both"/>
        <w:rPr>
          <w:rFonts w:ascii="Arial" w:hAnsi="Arial" w:cs="Arial"/>
          <w:sz w:val="24"/>
          <w:szCs w:val="24"/>
        </w:rPr>
      </w:pPr>
    </w:p>
    <w:p w:rsidR="00BC3144" w:rsidRPr="000E5F57" w:rsidRDefault="000E5F57" w:rsidP="0099115A">
      <w:pPr>
        <w:spacing w:after="0" w:line="360" w:lineRule="auto"/>
        <w:jc w:val="both"/>
        <w:rPr>
          <w:rFonts w:ascii="Arial" w:hAnsi="Arial" w:cs="Arial"/>
          <w:sz w:val="24"/>
          <w:szCs w:val="24"/>
          <w:u w:val="single"/>
        </w:rPr>
      </w:pPr>
      <w:r w:rsidRPr="000E5F57">
        <w:rPr>
          <w:rFonts w:ascii="Arial" w:hAnsi="Arial" w:cs="Arial"/>
          <w:sz w:val="24"/>
          <w:szCs w:val="24"/>
          <w:u w:val="single"/>
        </w:rPr>
        <w:t>The case against accused no. 6</w:t>
      </w:r>
    </w:p>
    <w:p w:rsidR="000E5F57" w:rsidRDefault="000E5F57" w:rsidP="0099115A">
      <w:pPr>
        <w:spacing w:after="0" w:line="360" w:lineRule="auto"/>
        <w:jc w:val="both"/>
        <w:rPr>
          <w:rFonts w:ascii="Arial" w:hAnsi="Arial" w:cs="Arial"/>
          <w:sz w:val="24"/>
          <w:szCs w:val="24"/>
        </w:rPr>
      </w:pPr>
    </w:p>
    <w:p w:rsidR="00E40CBB" w:rsidRDefault="000E5F57" w:rsidP="0099115A">
      <w:pPr>
        <w:spacing w:after="0" w:line="360" w:lineRule="auto"/>
        <w:jc w:val="both"/>
        <w:rPr>
          <w:rFonts w:ascii="Arial" w:hAnsi="Arial" w:cs="Arial"/>
          <w:sz w:val="24"/>
          <w:szCs w:val="24"/>
        </w:rPr>
      </w:pPr>
      <w:r>
        <w:rPr>
          <w:rFonts w:ascii="Arial" w:hAnsi="Arial" w:cs="Arial"/>
          <w:sz w:val="24"/>
          <w:szCs w:val="24"/>
        </w:rPr>
        <w:t>[</w:t>
      </w:r>
      <w:r w:rsidR="000C2BE1">
        <w:rPr>
          <w:rFonts w:ascii="Arial" w:hAnsi="Arial" w:cs="Arial"/>
          <w:sz w:val="24"/>
          <w:szCs w:val="24"/>
        </w:rPr>
        <w:t>30]</w:t>
      </w:r>
      <w:r w:rsidR="000C2BE1">
        <w:rPr>
          <w:rFonts w:ascii="Arial" w:hAnsi="Arial" w:cs="Arial"/>
          <w:sz w:val="24"/>
          <w:szCs w:val="24"/>
        </w:rPr>
        <w:tab/>
      </w:r>
      <w:r w:rsidR="00FB6984" w:rsidRPr="00044CE7">
        <w:rPr>
          <w:rFonts w:ascii="Arial" w:hAnsi="Arial" w:cs="Arial"/>
          <w:sz w:val="24"/>
          <w:szCs w:val="24"/>
        </w:rPr>
        <w:t>I tur</w:t>
      </w:r>
      <w:r w:rsidR="00C80924">
        <w:rPr>
          <w:rFonts w:ascii="Arial" w:hAnsi="Arial" w:cs="Arial"/>
          <w:sz w:val="24"/>
          <w:szCs w:val="24"/>
        </w:rPr>
        <w:t>n to consider the case against a</w:t>
      </w:r>
      <w:r w:rsidR="00FB6984" w:rsidRPr="00044CE7">
        <w:rPr>
          <w:rFonts w:ascii="Arial" w:hAnsi="Arial" w:cs="Arial"/>
          <w:sz w:val="24"/>
          <w:szCs w:val="24"/>
        </w:rPr>
        <w:t>cc</w:t>
      </w:r>
      <w:r w:rsidR="00C80924">
        <w:rPr>
          <w:rFonts w:ascii="Arial" w:hAnsi="Arial" w:cs="Arial"/>
          <w:sz w:val="24"/>
          <w:szCs w:val="24"/>
        </w:rPr>
        <w:t xml:space="preserve">used 6. Accused </w:t>
      </w:r>
      <w:r w:rsidR="00FB6984" w:rsidRPr="00044CE7">
        <w:rPr>
          <w:rFonts w:ascii="Arial" w:hAnsi="Arial" w:cs="Arial"/>
          <w:sz w:val="24"/>
          <w:szCs w:val="24"/>
        </w:rPr>
        <w:t xml:space="preserve">6 is charged on one count of contravening </w:t>
      </w:r>
      <w:r w:rsidR="009B25A1">
        <w:rPr>
          <w:rFonts w:ascii="Arial" w:hAnsi="Arial" w:cs="Arial"/>
          <w:sz w:val="24"/>
          <w:szCs w:val="24"/>
        </w:rPr>
        <w:t>s</w:t>
      </w:r>
      <w:r w:rsidR="00FB6984" w:rsidRPr="00044CE7">
        <w:rPr>
          <w:rFonts w:ascii="Arial" w:hAnsi="Arial" w:cs="Arial"/>
          <w:sz w:val="24"/>
          <w:szCs w:val="24"/>
        </w:rPr>
        <w:t xml:space="preserve"> 4(</w:t>
      </w:r>
      <w:r w:rsidR="009B25A1">
        <w:rPr>
          <w:rFonts w:ascii="Arial" w:hAnsi="Arial" w:cs="Arial"/>
          <w:sz w:val="24"/>
          <w:szCs w:val="24"/>
        </w:rPr>
        <w:t>A</w:t>
      </w:r>
      <w:proofErr w:type="gramStart"/>
      <w:r w:rsidR="00FB6984" w:rsidRPr="00044CE7">
        <w:rPr>
          <w:rFonts w:ascii="Arial" w:hAnsi="Arial" w:cs="Arial"/>
          <w:sz w:val="24"/>
          <w:szCs w:val="24"/>
        </w:rPr>
        <w:t>)(</w:t>
      </w:r>
      <w:proofErr w:type="gramEnd"/>
      <w:r w:rsidR="00FB6984" w:rsidRPr="00044CE7">
        <w:rPr>
          <w:rFonts w:ascii="Arial" w:hAnsi="Arial" w:cs="Arial"/>
          <w:sz w:val="24"/>
          <w:szCs w:val="24"/>
        </w:rPr>
        <w:t>1) of POCA</w:t>
      </w:r>
      <w:r w:rsidR="00C80924">
        <w:rPr>
          <w:rFonts w:ascii="Arial" w:hAnsi="Arial" w:cs="Arial"/>
          <w:sz w:val="24"/>
          <w:szCs w:val="24"/>
        </w:rPr>
        <w:t>,</w:t>
      </w:r>
      <w:r w:rsidR="00FB6984" w:rsidRPr="00044CE7">
        <w:rPr>
          <w:rFonts w:ascii="Arial" w:hAnsi="Arial" w:cs="Arial"/>
          <w:sz w:val="24"/>
          <w:szCs w:val="24"/>
        </w:rPr>
        <w:t xml:space="preserve"> alternatively contravention of </w:t>
      </w:r>
      <w:r w:rsidR="009B25A1">
        <w:rPr>
          <w:rFonts w:ascii="Arial" w:hAnsi="Arial" w:cs="Arial"/>
          <w:sz w:val="24"/>
          <w:szCs w:val="24"/>
        </w:rPr>
        <w:t>s</w:t>
      </w:r>
      <w:r w:rsidR="00FB6984" w:rsidRPr="00044CE7">
        <w:rPr>
          <w:rFonts w:ascii="Arial" w:hAnsi="Arial" w:cs="Arial"/>
          <w:sz w:val="24"/>
          <w:szCs w:val="24"/>
        </w:rPr>
        <w:t xml:space="preserve"> 4(B)(</w:t>
      </w:r>
      <w:r w:rsidR="00C41158">
        <w:rPr>
          <w:rFonts w:ascii="Arial" w:hAnsi="Arial" w:cs="Arial"/>
          <w:sz w:val="24"/>
          <w:szCs w:val="24"/>
        </w:rPr>
        <w:t>1) of POCA. The charge turns on</w:t>
      </w:r>
      <w:r w:rsidR="00FB6984" w:rsidRPr="00044CE7">
        <w:rPr>
          <w:rFonts w:ascii="Arial" w:hAnsi="Arial" w:cs="Arial"/>
          <w:sz w:val="24"/>
          <w:szCs w:val="24"/>
        </w:rPr>
        <w:t xml:space="preserve"> an amount of approximately one million five hundred thousand Dollars (N$1 500 000) </w:t>
      </w:r>
      <w:r w:rsidR="00C80924">
        <w:rPr>
          <w:rFonts w:ascii="Arial" w:hAnsi="Arial" w:cs="Arial"/>
          <w:sz w:val="24"/>
          <w:szCs w:val="24"/>
        </w:rPr>
        <w:t xml:space="preserve">which </w:t>
      </w:r>
      <w:r w:rsidR="009B25A1">
        <w:rPr>
          <w:rFonts w:ascii="Arial" w:hAnsi="Arial" w:cs="Arial"/>
          <w:sz w:val="24"/>
          <w:szCs w:val="24"/>
        </w:rPr>
        <w:t>accused</w:t>
      </w:r>
      <w:r w:rsidR="00FB6984" w:rsidRPr="00044CE7">
        <w:rPr>
          <w:rFonts w:ascii="Arial" w:hAnsi="Arial" w:cs="Arial"/>
          <w:sz w:val="24"/>
          <w:szCs w:val="24"/>
        </w:rPr>
        <w:t xml:space="preserve"> 5</w:t>
      </w:r>
      <w:r w:rsidR="00C80924">
        <w:rPr>
          <w:rFonts w:ascii="Arial" w:hAnsi="Arial" w:cs="Arial"/>
          <w:sz w:val="24"/>
          <w:szCs w:val="24"/>
        </w:rPr>
        <w:t xml:space="preserve"> deposited into the bank account of a</w:t>
      </w:r>
      <w:r w:rsidR="00FB6984" w:rsidRPr="00044CE7">
        <w:rPr>
          <w:rFonts w:ascii="Arial" w:hAnsi="Arial" w:cs="Arial"/>
          <w:sz w:val="24"/>
          <w:szCs w:val="24"/>
        </w:rPr>
        <w:t>ccused 6. The money was deposited into her account in pursuance of an otherwise legal transact</w:t>
      </w:r>
      <w:r w:rsidR="00C80924">
        <w:rPr>
          <w:rFonts w:ascii="Arial" w:hAnsi="Arial" w:cs="Arial"/>
          <w:sz w:val="24"/>
          <w:szCs w:val="24"/>
        </w:rPr>
        <w:t>ion when a</w:t>
      </w:r>
      <w:r w:rsidR="00C41158">
        <w:rPr>
          <w:rFonts w:ascii="Arial" w:hAnsi="Arial" w:cs="Arial"/>
          <w:sz w:val="24"/>
          <w:szCs w:val="24"/>
        </w:rPr>
        <w:t>ccused 5 purchased a</w:t>
      </w:r>
      <w:r w:rsidR="00FB6984" w:rsidRPr="00044CE7">
        <w:rPr>
          <w:rFonts w:ascii="Arial" w:hAnsi="Arial" w:cs="Arial"/>
          <w:sz w:val="24"/>
          <w:szCs w:val="24"/>
        </w:rPr>
        <w:t xml:space="preserve"> residential prop</w:t>
      </w:r>
      <w:r w:rsidR="00C80924">
        <w:rPr>
          <w:rFonts w:ascii="Arial" w:hAnsi="Arial" w:cs="Arial"/>
          <w:sz w:val="24"/>
          <w:szCs w:val="24"/>
        </w:rPr>
        <w:t>erty in Windhoek. The deed of s</w:t>
      </w:r>
      <w:r w:rsidR="00FB6984" w:rsidRPr="00044CE7">
        <w:rPr>
          <w:rFonts w:ascii="Arial" w:hAnsi="Arial" w:cs="Arial"/>
          <w:sz w:val="24"/>
          <w:szCs w:val="24"/>
        </w:rPr>
        <w:t>ale reflects</w:t>
      </w:r>
      <w:r w:rsidR="00C41158">
        <w:rPr>
          <w:rFonts w:ascii="Arial" w:hAnsi="Arial" w:cs="Arial"/>
          <w:sz w:val="24"/>
          <w:szCs w:val="24"/>
        </w:rPr>
        <w:t>,</w:t>
      </w:r>
      <w:r w:rsidR="00FB6984" w:rsidRPr="00044CE7">
        <w:rPr>
          <w:rFonts w:ascii="Arial" w:hAnsi="Arial" w:cs="Arial"/>
          <w:sz w:val="24"/>
          <w:szCs w:val="24"/>
        </w:rPr>
        <w:t xml:space="preserve"> initially it seems</w:t>
      </w:r>
      <w:r w:rsidR="00C80924">
        <w:rPr>
          <w:rFonts w:ascii="Arial" w:hAnsi="Arial" w:cs="Arial"/>
          <w:sz w:val="24"/>
          <w:szCs w:val="24"/>
        </w:rPr>
        <w:t xml:space="preserve"> that accused</w:t>
      </w:r>
      <w:r w:rsidR="00FB6984" w:rsidRPr="00044CE7">
        <w:rPr>
          <w:rFonts w:ascii="Arial" w:hAnsi="Arial" w:cs="Arial"/>
          <w:sz w:val="24"/>
          <w:szCs w:val="24"/>
        </w:rPr>
        <w:t xml:space="preserve"> 6 was the purchaser. At some stage however</w:t>
      </w:r>
      <w:r w:rsidR="00C80924">
        <w:rPr>
          <w:rFonts w:ascii="Arial" w:hAnsi="Arial" w:cs="Arial"/>
          <w:sz w:val="24"/>
          <w:szCs w:val="24"/>
        </w:rPr>
        <w:t>,</w:t>
      </w:r>
      <w:r w:rsidR="00FB6984" w:rsidRPr="00044CE7">
        <w:rPr>
          <w:rFonts w:ascii="Arial" w:hAnsi="Arial" w:cs="Arial"/>
          <w:sz w:val="24"/>
          <w:szCs w:val="24"/>
        </w:rPr>
        <w:t xml:space="preserve"> her name was del</w:t>
      </w:r>
      <w:r w:rsidR="00C80924">
        <w:rPr>
          <w:rFonts w:ascii="Arial" w:hAnsi="Arial" w:cs="Arial"/>
          <w:sz w:val="24"/>
          <w:szCs w:val="24"/>
        </w:rPr>
        <w:t xml:space="preserve">eted and replaced with that of accused </w:t>
      </w:r>
      <w:r w:rsidR="00FB6984" w:rsidRPr="00044CE7">
        <w:rPr>
          <w:rFonts w:ascii="Arial" w:hAnsi="Arial" w:cs="Arial"/>
          <w:sz w:val="24"/>
          <w:szCs w:val="24"/>
        </w:rPr>
        <w:t xml:space="preserve">5. There is no evidence to indicate the </w:t>
      </w:r>
      <w:r w:rsidR="009B25A1">
        <w:rPr>
          <w:rFonts w:ascii="Arial" w:hAnsi="Arial" w:cs="Arial"/>
          <w:sz w:val="24"/>
          <w:szCs w:val="24"/>
        </w:rPr>
        <w:t xml:space="preserve">reason for that. </w:t>
      </w:r>
      <w:r w:rsidR="00C80924">
        <w:rPr>
          <w:rFonts w:ascii="Arial" w:hAnsi="Arial" w:cs="Arial"/>
          <w:sz w:val="24"/>
          <w:szCs w:val="24"/>
        </w:rPr>
        <w:t>Accused</w:t>
      </w:r>
      <w:r w:rsidR="00FB6984" w:rsidRPr="00044CE7">
        <w:rPr>
          <w:rFonts w:ascii="Arial" w:hAnsi="Arial" w:cs="Arial"/>
          <w:sz w:val="24"/>
          <w:szCs w:val="24"/>
        </w:rPr>
        <w:t xml:space="preserve"> 6 paid the amount deposited into her </w:t>
      </w:r>
      <w:r w:rsidR="00C80924">
        <w:rPr>
          <w:rFonts w:ascii="Arial" w:hAnsi="Arial" w:cs="Arial"/>
          <w:sz w:val="24"/>
          <w:szCs w:val="24"/>
        </w:rPr>
        <w:t xml:space="preserve">bank </w:t>
      </w:r>
      <w:r w:rsidR="00FB6984" w:rsidRPr="00044CE7">
        <w:rPr>
          <w:rFonts w:ascii="Arial" w:hAnsi="Arial" w:cs="Arial"/>
          <w:sz w:val="24"/>
          <w:szCs w:val="24"/>
        </w:rPr>
        <w:t>acc</w:t>
      </w:r>
      <w:r w:rsidR="00C80924">
        <w:rPr>
          <w:rFonts w:ascii="Arial" w:hAnsi="Arial" w:cs="Arial"/>
          <w:sz w:val="24"/>
          <w:szCs w:val="24"/>
        </w:rPr>
        <w:t>ount by a</w:t>
      </w:r>
      <w:r w:rsidR="00872548">
        <w:rPr>
          <w:rFonts w:ascii="Arial" w:hAnsi="Arial" w:cs="Arial"/>
          <w:sz w:val="24"/>
          <w:szCs w:val="24"/>
        </w:rPr>
        <w:t>cc</w:t>
      </w:r>
      <w:r w:rsidR="00C80924">
        <w:rPr>
          <w:rFonts w:ascii="Arial" w:hAnsi="Arial" w:cs="Arial"/>
          <w:sz w:val="24"/>
          <w:szCs w:val="24"/>
        </w:rPr>
        <w:t xml:space="preserve">used </w:t>
      </w:r>
      <w:r w:rsidR="00872548">
        <w:rPr>
          <w:rFonts w:ascii="Arial" w:hAnsi="Arial" w:cs="Arial"/>
          <w:sz w:val="24"/>
          <w:szCs w:val="24"/>
        </w:rPr>
        <w:t>5 to</w:t>
      </w:r>
      <w:r w:rsidR="00FB6984" w:rsidRPr="00044CE7">
        <w:rPr>
          <w:rFonts w:ascii="Arial" w:hAnsi="Arial" w:cs="Arial"/>
          <w:sz w:val="24"/>
          <w:szCs w:val="24"/>
        </w:rPr>
        <w:t xml:space="preserve"> the conveyance</w:t>
      </w:r>
      <w:r w:rsidR="00872548">
        <w:rPr>
          <w:rFonts w:ascii="Arial" w:hAnsi="Arial" w:cs="Arial"/>
          <w:sz w:val="24"/>
          <w:szCs w:val="24"/>
        </w:rPr>
        <w:t>r</w:t>
      </w:r>
      <w:r w:rsidR="00FB6984" w:rsidRPr="00044CE7">
        <w:rPr>
          <w:rFonts w:ascii="Arial" w:hAnsi="Arial" w:cs="Arial"/>
          <w:sz w:val="24"/>
          <w:szCs w:val="24"/>
        </w:rPr>
        <w:t>s who attended to t</w:t>
      </w:r>
      <w:r w:rsidR="00C80924">
        <w:rPr>
          <w:rFonts w:ascii="Arial" w:hAnsi="Arial" w:cs="Arial"/>
          <w:sz w:val="24"/>
          <w:szCs w:val="24"/>
        </w:rPr>
        <w:t xml:space="preserve">he transfer of the property to accused </w:t>
      </w:r>
      <w:r w:rsidR="00FB6984" w:rsidRPr="00044CE7">
        <w:rPr>
          <w:rFonts w:ascii="Arial" w:hAnsi="Arial" w:cs="Arial"/>
          <w:sz w:val="24"/>
          <w:szCs w:val="24"/>
        </w:rPr>
        <w:t>5. I</w:t>
      </w:r>
      <w:r w:rsidR="00C80924">
        <w:rPr>
          <w:rFonts w:ascii="Arial" w:hAnsi="Arial" w:cs="Arial"/>
          <w:sz w:val="24"/>
          <w:szCs w:val="24"/>
        </w:rPr>
        <w:t xml:space="preserve">t is further common cause that </w:t>
      </w:r>
      <w:r w:rsidR="009B25A1">
        <w:rPr>
          <w:rFonts w:ascii="Arial" w:hAnsi="Arial" w:cs="Arial"/>
          <w:sz w:val="24"/>
          <w:szCs w:val="24"/>
        </w:rPr>
        <w:t>accused’s</w:t>
      </w:r>
      <w:r w:rsidR="00C80924">
        <w:rPr>
          <w:rFonts w:ascii="Arial" w:hAnsi="Arial" w:cs="Arial"/>
          <w:sz w:val="24"/>
          <w:szCs w:val="24"/>
        </w:rPr>
        <w:t xml:space="preserve"> </w:t>
      </w:r>
      <w:r w:rsidR="00FB6984" w:rsidRPr="00044CE7">
        <w:rPr>
          <w:rFonts w:ascii="Arial" w:hAnsi="Arial" w:cs="Arial"/>
          <w:sz w:val="24"/>
          <w:szCs w:val="24"/>
        </w:rPr>
        <w:t>5 and</w:t>
      </w:r>
      <w:r w:rsidR="00C80924">
        <w:rPr>
          <w:rFonts w:ascii="Arial" w:hAnsi="Arial" w:cs="Arial"/>
          <w:sz w:val="24"/>
          <w:szCs w:val="24"/>
        </w:rPr>
        <w:t xml:space="preserve"> </w:t>
      </w:r>
      <w:r w:rsidR="009B25A1">
        <w:rPr>
          <w:rFonts w:ascii="Arial" w:hAnsi="Arial" w:cs="Arial"/>
          <w:sz w:val="24"/>
          <w:szCs w:val="24"/>
        </w:rPr>
        <w:t>6 are related.</w:t>
      </w:r>
    </w:p>
    <w:p w:rsidR="009B25A1" w:rsidRDefault="009B25A1" w:rsidP="0099115A">
      <w:pPr>
        <w:spacing w:after="0" w:line="360" w:lineRule="auto"/>
        <w:jc w:val="both"/>
        <w:rPr>
          <w:rFonts w:ascii="Arial" w:hAnsi="Arial" w:cs="Arial"/>
          <w:sz w:val="24"/>
          <w:szCs w:val="24"/>
        </w:rPr>
      </w:pPr>
    </w:p>
    <w:p w:rsidR="00BC3144" w:rsidRDefault="00E40CBB" w:rsidP="0099115A">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72548">
        <w:rPr>
          <w:rFonts w:ascii="Arial" w:hAnsi="Arial" w:cs="Arial"/>
          <w:sz w:val="24"/>
          <w:szCs w:val="24"/>
        </w:rPr>
        <w:t>The cri</w:t>
      </w:r>
      <w:r w:rsidR="00FB6984" w:rsidRPr="00044CE7">
        <w:rPr>
          <w:rFonts w:ascii="Arial" w:hAnsi="Arial" w:cs="Arial"/>
          <w:sz w:val="24"/>
          <w:szCs w:val="24"/>
        </w:rPr>
        <w:t>s</w:t>
      </w:r>
      <w:r w:rsidR="00872548">
        <w:rPr>
          <w:rFonts w:ascii="Arial" w:hAnsi="Arial" w:cs="Arial"/>
          <w:sz w:val="24"/>
          <w:szCs w:val="24"/>
        </w:rPr>
        <w:t>p</w:t>
      </w:r>
      <w:r w:rsidR="00FB6984" w:rsidRPr="00044CE7">
        <w:rPr>
          <w:rFonts w:ascii="Arial" w:hAnsi="Arial" w:cs="Arial"/>
          <w:sz w:val="24"/>
          <w:szCs w:val="24"/>
        </w:rPr>
        <w:t xml:space="preserve"> question </w:t>
      </w:r>
      <w:r w:rsidR="00C80924">
        <w:rPr>
          <w:rFonts w:ascii="Arial" w:hAnsi="Arial" w:cs="Arial"/>
          <w:sz w:val="24"/>
          <w:szCs w:val="24"/>
        </w:rPr>
        <w:t xml:space="preserve">is whether it can be said that accused </w:t>
      </w:r>
      <w:r w:rsidR="00FB6984" w:rsidRPr="00044CE7">
        <w:rPr>
          <w:rFonts w:ascii="Arial" w:hAnsi="Arial" w:cs="Arial"/>
          <w:sz w:val="24"/>
          <w:szCs w:val="24"/>
        </w:rPr>
        <w:t>6</w:t>
      </w:r>
      <w:r w:rsidR="00C80924">
        <w:rPr>
          <w:rFonts w:ascii="Arial" w:hAnsi="Arial" w:cs="Arial"/>
          <w:sz w:val="24"/>
          <w:szCs w:val="24"/>
        </w:rPr>
        <w:t>,</w:t>
      </w:r>
      <w:r w:rsidR="00FB6984" w:rsidRPr="00044CE7">
        <w:rPr>
          <w:rFonts w:ascii="Arial" w:hAnsi="Arial" w:cs="Arial"/>
          <w:sz w:val="24"/>
          <w:szCs w:val="24"/>
        </w:rPr>
        <w:t xml:space="preserve"> at the time the money</w:t>
      </w:r>
      <w:r w:rsidR="00872548">
        <w:rPr>
          <w:rFonts w:ascii="Arial" w:hAnsi="Arial" w:cs="Arial"/>
          <w:sz w:val="24"/>
          <w:szCs w:val="24"/>
        </w:rPr>
        <w:t xml:space="preserve"> was </w:t>
      </w:r>
      <w:r w:rsidR="006D2ABD">
        <w:rPr>
          <w:rFonts w:ascii="Arial" w:hAnsi="Arial" w:cs="Arial"/>
          <w:sz w:val="24"/>
          <w:szCs w:val="24"/>
        </w:rPr>
        <w:t xml:space="preserve">deposited into her </w:t>
      </w:r>
      <w:r w:rsidR="00C80924">
        <w:rPr>
          <w:rFonts w:ascii="Arial" w:hAnsi="Arial" w:cs="Arial"/>
          <w:sz w:val="24"/>
          <w:szCs w:val="24"/>
        </w:rPr>
        <w:t xml:space="preserve">bank </w:t>
      </w:r>
      <w:r w:rsidR="006D2ABD">
        <w:rPr>
          <w:rFonts w:ascii="Arial" w:hAnsi="Arial" w:cs="Arial"/>
          <w:sz w:val="24"/>
          <w:szCs w:val="24"/>
        </w:rPr>
        <w:t xml:space="preserve">account, </w:t>
      </w:r>
      <w:r w:rsidR="00FB6984" w:rsidRPr="00044CE7">
        <w:rPr>
          <w:rFonts w:ascii="Arial" w:hAnsi="Arial" w:cs="Arial"/>
          <w:sz w:val="24"/>
          <w:szCs w:val="24"/>
        </w:rPr>
        <w:t xml:space="preserve">knew or reasonably ought to have known that the money was the proceeds of crime. The evidence tendered by the State neither establishes </w:t>
      </w:r>
      <w:r w:rsidR="00C80924">
        <w:rPr>
          <w:rFonts w:ascii="Arial" w:hAnsi="Arial" w:cs="Arial"/>
          <w:sz w:val="24"/>
          <w:szCs w:val="24"/>
        </w:rPr>
        <w:t>that</w:t>
      </w:r>
      <w:r w:rsidR="00872548">
        <w:rPr>
          <w:rFonts w:ascii="Arial" w:hAnsi="Arial" w:cs="Arial"/>
          <w:sz w:val="24"/>
          <w:szCs w:val="24"/>
        </w:rPr>
        <w:t xml:space="preserve"> fact nor negates </w:t>
      </w:r>
      <w:r w:rsidR="006D2ABD">
        <w:rPr>
          <w:rFonts w:ascii="Arial" w:hAnsi="Arial" w:cs="Arial"/>
          <w:sz w:val="24"/>
          <w:szCs w:val="24"/>
        </w:rPr>
        <w:t>it</w:t>
      </w:r>
      <w:r w:rsidR="00C80924">
        <w:rPr>
          <w:rFonts w:ascii="Arial" w:hAnsi="Arial" w:cs="Arial"/>
          <w:sz w:val="24"/>
          <w:szCs w:val="24"/>
        </w:rPr>
        <w:t>,</w:t>
      </w:r>
      <w:r w:rsidR="006D2ABD">
        <w:rPr>
          <w:rFonts w:ascii="Arial" w:hAnsi="Arial" w:cs="Arial"/>
          <w:sz w:val="24"/>
          <w:szCs w:val="24"/>
        </w:rPr>
        <w:t xml:space="preserve"> </w:t>
      </w:r>
      <w:r w:rsidR="00872548">
        <w:rPr>
          <w:rFonts w:ascii="Arial" w:hAnsi="Arial" w:cs="Arial"/>
          <w:sz w:val="24"/>
          <w:szCs w:val="24"/>
        </w:rPr>
        <w:t>even on a</w:t>
      </w:r>
      <w:r w:rsidR="00FB6984" w:rsidRPr="00044CE7">
        <w:rPr>
          <w:rFonts w:ascii="Arial" w:hAnsi="Arial" w:cs="Arial"/>
          <w:sz w:val="24"/>
          <w:szCs w:val="24"/>
        </w:rPr>
        <w:t xml:space="preserve"> </w:t>
      </w:r>
      <w:r w:rsidR="00FB6984" w:rsidRPr="00044CE7">
        <w:rPr>
          <w:rFonts w:ascii="Arial" w:hAnsi="Arial" w:cs="Arial"/>
          <w:i/>
          <w:sz w:val="24"/>
          <w:szCs w:val="24"/>
        </w:rPr>
        <w:t>prima faci</w:t>
      </w:r>
      <w:r w:rsidR="009B25A1">
        <w:rPr>
          <w:rFonts w:ascii="Arial" w:hAnsi="Arial" w:cs="Arial"/>
          <w:sz w:val="24"/>
          <w:szCs w:val="24"/>
        </w:rPr>
        <w:t xml:space="preserve">e basis. </w:t>
      </w:r>
      <w:r w:rsidR="00FB6984" w:rsidRPr="00044CE7">
        <w:rPr>
          <w:rFonts w:ascii="Arial" w:hAnsi="Arial" w:cs="Arial"/>
          <w:sz w:val="24"/>
          <w:szCs w:val="24"/>
        </w:rPr>
        <w:t>During the course of the Sta</w:t>
      </w:r>
      <w:r w:rsidR="00C80924">
        <w:rPr>
          <w:rFonts w:ascii="Arial" w:hAnsi="Arial" w:cs="Arial"/>
          <w:sz w:val="24"/>
          <w:szCs w:val="24"/>
        </w:rPr>
        <w:t>te’s case, the State handed in affidavits deposed to by accused</w:t>
      </w:r>
      <w:r w:rsidR="009B25A1">
        <w:rPr>
          <w:rFonts w:ascii="Arial" w:hAnsi="Arial" w:cs="Arial"/>
          <w:sz w:val="24"/>
          <w:szCs w:val="24"/>
        </w:rPr>
        <w:t>’s</w:t>
      </w:r>
      <w:r w:rsidR="00C80924">
        <w:rPr>
          <w:rFonts w:ascii="Arial" w:hAnsi="Arial" w:cs="Arial"/>
          <w:sz w:val="24"/>
          <w:szCs w:val="24"/>
        </w:rPr>
        <w:t xml:space="preserve"> 5 and </w:t>
      </w:r>
      <w:r w:rsidR="006D2ABD">
        <w:rPr>
          <w:rFonts w:ascii="Arial" w:hAnsi="Arial" w:cs="Arial"/>
          <w:sz w:val="24"/>
          <w:szCs w:val="24"/>
        </w:rPr>
        <w:t>6 respectively</w:t>
      </w:r>
      <w:r w:rsidR="00C80924">
        <w:rPr>
          <w:rFonts w:ascii="Arial" w:hAnsi="Arial" w:cs="Arial"/>
          <w:sz w:val="24"/>
          <w:szCs w:val="24"/>
        </w:rPr>
        <w:t>,</w:t>
      </w:r>
      <w:r w:rsidR="006D2ABD">
        <w:rPr>
          <w:rFonts w:ascii="Arial" w:hAnsi="Arial" w:cs="Arial"/>
          <w:sz w:val="24"/>
          <w:szCs w:val="24"/>
        </w:rPr>
        <w:t xml:space="preserve"> which were </w:t>
      </w:r>
      <w:r w:rsidR="00FB6984" w:rsidRPr="00044CE7">
        <w:rPr>
          <w:rFonts w:ascii="Arial" w:hAnsi="Arial" w:cs="Arial"/>
          <w:sz w:val="24"/>
          <w:szCs w:val="24"/>
        </w:rPr>
        <w:t>part of the bail applications. I</w:t>
      </w:r>
      <w:r w:rsidR="00C80924">
        <w:rPr>
          <w:rFonts w:ascii="Arial" w:hAnsi="Arial" w:cs="Arial"/>
          <w:sz w:val="24"/>
          <w:szCs w:val="24"/>
        </w:rPr>
        <w:t xml:space="preserve"> am alive to the fact that the a</w:t>
      </w:r>
      <w:r w:rsidR="00FB6984" w:rsidRPr="00044CE7">
        <w:rPr>
          <w:rFonts w:ascii="Arial" w:hAnsi="Arial" w:cs="Arial"/>
          <w:sz w:val="24"/>
          <w:szCs w:val="24"/>
        </w:rPr>
        <w:t>ffidavits contain uncontested evidence and evidence which is not subjected to cross-examination. However, it appears to me that the State has no better evidence to present. As I indicated i</w:t>
      </w:r>
      <w:r w:rsidR="006167F1">
        <w:rPr>
          <w:rFonts w:ascii="Arial" w:hAnsi="Arial" w:cs="Arial"/>
          <w:sz w:val="24"/>
          <w:szCs w:val="24"/>
        </w:rPr>
        <w:t>n deciding the issue as far as accused</w:t>
      </w:r>
      <w:r w:rsidR="00FB6984" w:rsidRPr="00044CE7">
        <w:rPr>
          <w:rFonts w:ascii="Arial" w:hAnsi="Arial" w:cs="Arial"/>
          <w:sz w:val="24"/>
          <w:szCs w:val="24"/>
        </w:rPr>
        <w:t xml:space="preserve"> 6 is concerned, I am ultimately to exercise</w:t>
      </w:r>
      <w:r w:rsidR="006167F1">
        <w:rPr>
          <w:rFonts w:ascii="Arial" w:hAnsi="Arial" w:cs="Arial"/>
          <w:sz w:val="24"/>
          <w:szCs w:val="24"/>
        </w:rPr>
        <w:t xml:space="preserve"> a </w:t>
      </w:r>
      <w:r w:rsidR="006167F1">
        <w:rPr>
          <w:rFonts w:ascii="Arial" w:hAnsi="Arial" w:cs="Arial"/>
          <w:sz w:val="24"/>
          <w:szCs w:val="24"/>
        </w:rPr>
        <w:lastRenderedPageBreak/>
        <w:t>discretion whether to place accused</w:t>
      </w:r>
      <w:r w:rsidR="00FB6984" w:rsidRPr="00044CE7">
        <w:rPr>
          <w:rFonts w:ascii="Arial" w:hAnsi="Arial" w:cs="Arial"/>
          <w:sz w:val="24"/>
          <w:szCs w:val="24"/>
        </w:rPr>
        <w:t xml:space="preserve"> 6 on her </w:t>
      </w:r>
      <w:proofErr w:type="spellStart"/>
      <w:r w:rsidR="00FB6984" w:rsidRPr="00044CE7">
        <w:rPr>
          <w:rFonts w:ascii="Arial" w:hAnsi="Arial" w:cs="Arial"/>
          <w:sz w:val="24"/>
          <w:szCs w:val="24"/>
        </w:rPr>
        <w:t>defence</w:t>
      </w:r>
      <w:proofErr w:type="spellEnd"/>
      <w:r w:rsidR="00FB6984" w:rsidRPr="00044CE7">
        <w:rPr>
          <w:rFonts w:ascii="Arial" w:hAnsi="Arial" w:cs="Arial"/>
          <w:sz w:val="24"/>
          <w:szCs w:val="24"/>
        </w:rPr>
        <w:t xml:space="preserve"> or not. In exercising that</w:t>
      </w:r>
      <w:r w:rsidR="006D2ABD">
        <w:rPr>
          <w:rFonts w:ascii="Arial" w:hAnsi="Arial" w:cs="Arial"/>
          <w:sz w:val="24"/>
          <w:szCs w:val="24"/>
        </w:rPr>
        <w:t xml:space="preserve"> discretion</w:t>
      </w:r>
      <w:r w:rsidR="009B25A1">
        <w:rPr>
          <w:rFonts w:ascii="Arial" w:hAnsi="Arial" w:cs="Arial"/>
          <w:sz w:val="24"/>
          <w:szCs w:val="24"/>
        </w:rPr>
        <w:t>,</w:t>
      </w:r>
      <w:r w:rsidR="006D2ABD">
        <w:rPr>
          <w:rFonts w:ascii="Arial" w:hAnsi="Arial" w:cs="Arial"/>
          <w:sz w:val="24"/>
          <w:szCs w:val="24"/>
        </w:rPr>
        <w:t xml:space="preserve"> I fi</w:t>
      </w:r>
      <w:r w:rsidR="006167F1">
        <w:rPr>
          <w:rFonts w:ascii="Arial" w:hAnsi="Arial" w:cs="Arial"/>
          <w:sz w:val="24"/>
          <w:szCs w:val="24"/>
        </w:rPr>
        <w:t xml:space="preserve">nd in </w:t>
      </w:r>
      <w:proofErr w:type="spellStart"/>
      <w:r w:rsidR="006167F1">
        <w:rPr>
          <w:rFonts w:ascii="Arial" w:hAnsi="Arial" w:cs="Arial"/>
          <w:sz w:val="24"/>
          <w:szCs w:val="24"/>
        </w:rPr>
        <w:t>favour</w:t>
      </w:r>
      <w:proofErr w:type="spellEnd"/>
      <w:r w:rsidR="006167F1">
        <w:rPr>
          <w:rFonts w:ascii="Arial" w:hAnsi="Arial" w:cs="Arial"/>
          <w:sz w:val="24"/>
          <w:szCs w:val="24"/>
        </w:rPr>
        <w:t xml:space="preserve"> of a</w:t>
      </w:r>
      <w:r w:rsidR="00FB6984" w:rsidRPr="00044CE7">
        <w:rPr>
          <w:rFonts w:ascii="Arial" w:hAnsi="Arial" w:cs="Arial"/>
          <w:sz w:val="24"/>
          <w:szCs w:val="24"/>
        </w:rPr>
        <w:t>ccused 6</w:t>
      </w:r>
      <w:r w:rsidR="006167F1">
        <w:rPr>
          <w:rFonts w:ascii="Arial" w:hAnsi="Arial" w:cs="Arial"/>
          <w:sz w:val="24"/>
          <w:szCs w:val="24"/>
        </w:rPr>
        <w:t>,</w:t>
      </w:r>
      <w:r w:rsidR="00FB6984" w:rsidRPr="00044CE7">
        <w:rPr>
          <w:rFonts w:ascii="Arial" w:hAnsi="Arial" w:cs="Arial"/>
          <w:sz w:val="24"/>
          <w:szCs w:val="24"/>
        </w:rPr>
        <w:t xml:space="preserve"> and she is discharg</w:t>
      </w:r>
      <w:r>
        <w:rPr>
          <w:rFonts w:ascii="Arial" w:hAnsi="Arial" w:cs="Arial"/>
          <w:sz w:val="24"/>
          <w:szCs w:val="24"/>
        </w:rPr>
        <w:t>ed in respect of these counts.</w:t>
      </w:r>
    </w:p>
    <w:p w:rsidR="00471F3A" w:rsidRDefault="00471F3A" w:rsidP="0099115A">
      <w:pPr>
        <w:spacing w:after="0" w:line="360" w:lineRule="auto"/>
        <w:jc w:val="both"/>
        <w:rPr>
          <w:rFonts w:ascii="Arial" w:hAnsi="Arial" w:cs="Arial"/>
          <w:sz w:val="24"/>
          <w:szCs w:val="24"/>
        </w:rPr>
      </w:pPr>
    </w:p>
    <w:p w:rsidR="009B25A1" w:rsidRPr="009B25A1" w:rsidRDefault="009B25A1" w:rsidP="0099115A">
      <w:pPr>
        <w:spacing w:after="0" w:line="360" w:lineRule="auto"/>
        <w:jc w:val="both"/>
        <w:rPr>
          <w:rFonts w:ascii="Arial" w:hAnsi="Arial" w:cs="Arial"/>
          <w:sz w:val="24"/>
          <w:szCs w:val="24"/>
          <w:u w:val="single"/>
        </w:rPr>
      </w:pPr>
      <w:r w:rsidRPr="009B25A1">
        <w:rPr>
          <w:rFonts w:ascii="Arial" w:hAnsi="Arial" w:cs="Arial"/>
          <w:sz w:val="24"/>
          <w:szCs w:val="24"/>
          <w:u w:val="single"/>
        </w:rPr>
        <w:t>The case against accused no. 14</w:t>
      </w:r>
    </w:p>
    <w:p w:rsidR="009B25A1" w:rsidRDefault="009B25A1" w:rsidP="0099115A">
      <w:pPr>
        <w:spacing w:after="0" w:line="360" w:lineRule="auto"/>
        <w:jc w:val="both"/>
        <w:rPr>
          <w:rFonts w:ascii="Arial" w:hAnsi="Arial" w:cs="Arial"/>
          <w:sz w:val="24"/>
          <w:szCs w:val="24"/>
        </w:rPr>
      </w:pPr>
    </w:p>
    <w:p w:rsidR="00E40CBB" w:rsidRDefault="00E40CBB" w:rsidP="0099115A">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FB6984" w:rsidRPr="00044CE7">
        <w:rPr>
          <w:rFonts w:ascii="Arial" w:hAnsi="Arial" w:cs="Arial"/>
          <w:sz w:val="24"/>
          <w:szCs w:val="24"/>
        </w:rPr>
        <w:t>I turn finally</w:t>
      </w:r>
      <w:r w:rsidR="006167F1">
        <w:rPr>
          <w:rFonts w:ascii="Arial" w:hAnsi="Arial" w:cs="Arial"/>
          <w:sz w:val="24"/>
          <w:szCs w:val="24"/>
        </w:rPr>
        <w:t xml:space="preserve"> to deal with the case against accused 14. Accused </w:t>
      </w:r>
      <w:r w:rsidR="00FB6984" w:rsidRPr="00044CE7">
        <w:rPr>
          <w:rFonts w:ascii="Arial" w:hAnsi="Arial" w:cs="Arial"/>
          <w:sz w:val="24"/>
          <w:szCs w:val="24"/>
        </w:rPr>
        <w:t>14 is indicted on the following charges, counts 135 to 186 in respect of wh</w:t>
      </w:r>
      <w:r w:rsidR="006167F1">
        <w:rPr>
          <w:rFonts w:ascii="Arial" w:hAnsi="Arial" w:cs="Arial"/>
          <w:sz w:val="24"/>
          <w:szCs w:val="24"/>
        </w:rPr>
        <w:t xml:space="preserve">ich he is charged jointly with accused 1 and accused </w:t>
      </w:r>
      <w:r w:rsidR="00872548">
        <w:rPr>
          <w:rFonts w:ascii="Arial" w:hAnsi="Arial" w:cs="Arial"/>
          <w:sz w:val="24"/>
          <w:szCs w:val="24"/>
        </w:rPr>
        <w:t>5. In a further</w:t>
      </w:r>
      <w:r w:rsidR="00FB6984" w:rsidRPr="00044CE7">
        <w:rPr>
          <w:rFonts w:ascii="Arial" w:hAnsi="Arial" w:cs="Arial"/>
          <w:sz w:val="24"/>
          <w:szCs w:val="24"/>
        </w:rPr>
        <w:t xml:space="preserve"> charge contain</w:t>
      </w:r>
      <w:r w:rsidR="00872548">
        <w:rPr>
          <w:rFonts w:ascii="Arial" w:hAnsi="Arial" w:cs="Arial"/>
          <w:sz w:val="24"/>
          <w:szCs w:val="24"/>
        </w:rPr>
        <w:t>ed in count 628</w:t>
      </w:r>
      <w:r w:rsidR="006167F1">
        <w:rPr>
          <w:rFonts w:ascii="Arial" w:hAnsi="Arial" w:cs="Arial"/>
          <w:sz w:val="24"/>
          <w:szCs w:val="24"/>
        </w:rPr>
        <w:t xml:space="preserve"> he is charged with accused </w:t>
      </w:r>
      <w:r w:rsidR="00872548">
        <w:rPr>
          <w:rFonts w:ascii="Arial" w:hAnsi="Arial" w:cs="Arial"/>
          <w:sz w:val="24"/>
          <w:szCs w:val="24"/>
        </w:rPr>
        <w:t>1 and a further charge (</w:t>
      </w:r>
      <w:r w:rsidR="00FB6984" w:rsidRPr="00044CE7">
        <w:rPr>
          <w:rFonts w:ascii="Arial" w:hAnsi="Arial" w:cs="Arial"/>
          <w:sz w:val="24"/>
          <w:szCs w:val="24"/>
        </w:rPr>
        <w:t>count 629</w:t>
      </w:r>
      <w:r w:rsidR="00872548">
        <w:rPr>
          <w:rFonts w:ascii="Arial" w:hAnsi="Arial" w:cs="Arial"/>
          <w:sz w:val="24"/>
          <w:szCs w:val="24"/>
        </w:rPr>
        <w:t>)</w:t>
      </w:r>
      <w:r w:rsidR="00FB6984" w:rsidRPr="00044CE7">
        <w:rPr>
          <w:rFonts w:ascii="Arial" w:hAnsi="Arial" w:cs="Arial"/>
          <w:sz w:val="24"/>
          <w:szCs w:val="24"/>
        </w:rPr>
        <w:t xml:space="preserve"> in wh</w:t>
      </w:r>
      <w:r w:rsidR="006167F1">
        <w:rPr>
          <w:rFonts w:ascii="Arial" w:hAnsi="Arial" w:cs="Arial"/>
          <w:sz w:val="24"/>
          <w:szCs w:val="24"/>
        </w:rPr>
        <w:t xml:space="preserve">ich he is charged jointly with accused </w:t>
      </w:r>
      <w:r w:rsidR="00FB6984" w:rsidRPr="00044CE7">
        <w:rPr>
          <w:rFonts w:ascii="Arial" w:hAnsi="Arial" w:cs="Arial"/>
          <w:sz w:val="24"/>
          <w:szCs w:val="24"/>
        </w:rPr>
        <w:t>1.</w:t>
      </w:r>
    </w:p>
    <w:p w:rsidR="009B25A1" w:rsidRDefault="009B25A1" w:rsidP="0099115A">
      <w:pPr>
        <w:spacing w:after="0" w:line="360" w:lineRule="auto"/>
        <w:jc w:val="both"/>
        <w:rPr>
          <w:rFonts w:ascii="Arial" w:hAnsi="Arial" w:cs="Arial"/>
          <w:sz w:val="24"/>
          <w:szCs w:val="24"/>
        </w:rPr>
      </w:pPr>
    </w:p>
    <w:p w:rsidR="00E40CBB" w:rsidRDefault="00E40CBB" w:rsidP="0099115A">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B6984" w:rsidRPr="00044CE7">
        <w:rPr>
          <w:rFonts w:ascii="Arial" w:hAnsi="Arial" w:cs="Arial"/>
          <w:sz w:val="24"/>
          <w:szCs w:val="24"/>
        </w:rPr>
        <w:t xml:space="preserve">As far as count 629 is concerned this relates to the alleged purchase of the </w:t>
      </w:r>
      <w:r w:rsidR="006167F1" w:rsidRPr="00044CE7">
        <w:rPr>
          <w:rFonts w:ascii="Arial" w:hAnsi="Arial" w:cs="Arial"/>
          <w:sz w:val="24"/>
          <w:szCs w:val="24"/>
        </w:rPr>
        <w:t>Volkswagen</w:t>
      </w:r>
      <w:r w:rsidR="006167F1">
        <w:rPr>
          <w:rFonts w:ascii="Arial" w:hAnsi="Arial" w:cs="Arial"/>
          <w:sz w:val="24"/>
          <w:szCs w:val="24"/>
        </w:rPr>
        <w:t xml:space="preserve"> GTI</w:t>
      </w:r>
      <w:r w:rsidR="00FB6984" w:rsidRPr="00044CE7">
        <w:rPr>
          <w:rFonts w:ascii="Arial" w:hAnsi="Arial" w:cs="Arial"/>
          <w:sz w:val="24"/>
          <w:szCs w:val="24"/>
        </w:rPr>
        <w:t xml:space="preserve"> fr</w:t>
      </w:r>
      <w:r w:rsidR="006D2ABD">
        <w:rPr>
          <w:rFonts w:ascii="Arial" w:hAnsi="Arial" w:cs="Arial"/>
          <w:sz w:val="24"/>
          <w:szCs w:val="24"/>
        </w:rPr>
        <w:t xml:space="preserve">om a certain </w:t>
      </w:r>
      <w:proofErr w:type="spellStart"/>
      <w:r w:rsidR="002F4FDB">
        <w:rPr>
          <w:rFonts w:ascii="Arial" w:hAnsi="Arial" w:cs="Arial"/>
          <w:sz w:val="24"/>
          <w:szCs w:val="24"/>
        </w:rPr>
        <w:t>Ms</w:t>
      </w:r>
      <w:proofErr w:type="spellEnd"/>
      <w:r w:rsidR="002F4FDB">
        <w:rPr>
          <w:rFonts w:ascii="Arial" w:hAnsi="Arial" w:cs="Arial"/>
          <w:sz w:val="24"/>
          <w:szCs w:val="24"/>
        </w:rPr>
        <w:t xml:space="preserve"> </w:t>
      </w:r>
      <w:proofErr w:type="spellStart"/>
      <w:r w:rsidR="002F4FDB">
        <w:rPr>
          <w:rFonts w:ascii="Arial" w:hAnsi="Arial" w:cs="Arial"/>
          <w:sz w:val="24"/>
          <w:szCs w:val="24"/>
        </w:rPr>
        <w:t>Dillish</w:t>
      </w:r>
      <w:proofErr w:type="spellEnd"/>
      <w:r w:rsidR="002F4FDB">
        <w:rPr>
          <w:rFonts w:ascii="Arial" w:hAnsi="Arial" w:cs="Arial"/>
          <w:sz w:val="24"/>
          <w:szCs w:val="24"/>
        </w:rPr>
        <w:t xml:space="preserve"> </w:t>
      </w:r>
      <w:proofErr w:type="spellStart"/>
      <w:r w:rsidR="002F4FDB">
        <w:rPr>
          <w:rFonts w:ascii="Arial" w:hAnsi="Arial" w:cs="Arial"/>
          <w:sz w:val="24"/>
          <w:szCs w:val="24"/>
        </w:rPr>
        <w:t>Peyavali</w:t>
      </w:r>
      <w:proofErr w:type="spellEnd"/>
      <w:r w:rsidR="002F4FDB">
        <w:rPr>
          <w:rFonts w:ascii="Arial" w:hAnsi="Arial" w:cs="Arial"/>
          <w:sz w:val="24"/>
          <w:szCs w:val="24"/>
        </w:rPr>
        <w:t xml:space="preserve"> Helena Mathews </w:t>
      </w:r>
      <w:r w:rsidR="006D2ABD">
        <w:rPr>
          <w:rFonts w:ascii="Arial" w:hAnsi="Arial" w:cs="Arial"/>
          <w:sz w:val="24"/>
          <w:szCs w:val="24"/>
        </w:rPr>
        <w:t>to whose</w:t>
      </w:r>
      <w:r w:rsidR="00FB6984" w:rsidRPr="00044CE7">
        <w:rPr>
          <w:rFonts w:ascii="Arial" w:hAnsi="Arial" w:cs="Arial"/>
          <w:sz w:val="24"/>
          <w:szCs w:val="24"/>
        </w:rPr>
        <w:t xml:space="preserve"> evidence I have r</w:t>
      </w:r>
      <w:r w:rsidR="00002926">
        <w:rPr>
          <w:rFonts w:ascii="Arial" w:hAnsi="Arial" w:cs="Arial"/>
          <w:sz w:val="24"/>
          <w:szCs w:val="24"/>
        </w:rPr>
        <w:t xml:space="preserve">eferred. </w:t>
      </w:r>
      <w:r w:rsidR="00FB6984" w:rsidRPr="00044CE7">
        <w:rPr>
          <w:rFonts w:ascii="Arial" w:hAnsi="Arial" w:cs="Arial"/>
          <w:sz w:val="24"/>
          <w:szCs w:val="24"/>
        </w:rPr>
        <w:t xml:space="preserve">The evidence is to the effect that the vehicle was purchased by a certain </w:t>
      </w:r>
      <w:proofErr w:type="spellStart"/>
      <w:r w:rsidR="00FB6984" w:rsidRPr="00044CE7">
        <w:rPr>
          <w:rFonts w:ascii="Arial" w:hAnsi="Arial" w:cs="Arial"/>
          <w:sz w:val="24"/>
          <w:szCs w:val="24"/>
        </w:rPr>
        <w:t>Mr</w:t>
      </w:r>
      <w:proofErr w:type="spellEnd"/>
      <w:r w:rsidR="00FB6984" w:rsidRPr="00044CE7">
        <w:rPr>
          <w:rFonts w:ascii="Arial" w:hAnsi="Arial" w:cs="Arial"/>
          <w:sz w:val="24"/>
          <w:szCs w:val="24"/>
        </w:rPr>
        <w:t xml:space="preserve"> </w:t>
      </w:r>
      <w:proofErr w:type="spellStart"/>
      <w:r w:rsidR="00FB6984" w:rsidRPr="00044CE7">
        <w:rPr>
          <w:rFonts w:ascii="Arial" w:hAnsi="Arial" w:cs="Arial"/>
          <w:sz w:val="24"/>
          <w:szCs w:val="24"/>
        </w:rPr>
        <w:t>Nuuyoma</w:t>
      </w:r>
      <w:proofErr w:type="spellEnd"/>
      <w:r w:rsidR="00FB6984" w:rsidRPr="00044CE7">
        <w:rPr>
          <w:rFonts w:ascii="Arial" w:hAnsi="Arial" w:cs="Arial"/>
          <w:sz w:val="24"/>
          <w:szCs w:val="24"/>
        </w:rPr>
        <w:t xml:space="preserve"> who paid</w:t>
      </w:r>
      <w:r w:rsidR="00002926">
        <w:rPr>
          <w:rFonts w:ascii="Arial" w:hAnsi="Arial" w:cs="Arial"/>
          <w:sz w:val="24"/>
          <w:szCs w:val="24"/>
        </w:rPr>
        <w:t xml:space="preserve"> the purchase price. </w:t>
      </w:r>
      <w:r w:rsidR="006458B0">
        <w:rPr>
          <w:rFonts w:ascii="Arial" w:hAnsi="Arial" w:cs="Arial"/>
          <w:sz w:val="24"/>
          <w:szCs w:val="24"/>
        </w:rPr>
        <w:t>Although a</w:t>
      </w:r>
      <w:r w:rsidR="00FB6984" w:rsidRPr="00044CE7">
        <w:rPr>
          <w:rFonts w:ascii="Arial" w:hAnsi="Arial" w:cs="Arial"/>
          <w:sz w:val="24"/>
          <w:szCs w:val="24"/>
        </w:rPr>
        <w:t>ccused 14 was present at the time, there is in my view</w:t>
      </w:r>
      <w:r w:rsidR="006458B0">
        <w:rPr>
          <w:rFonts w:ascii="Arial" w:hAnsi="Arial" w:cs="Arial"/>
          <w:sz w:val="24"/>
          <w:szCs w:val="24"/>
        </w:rPr>
        <w:t>,</w:t>
      </w:r>
      <w:r w:rsidR="00FB6984" w:rsidRPr="00044CE7">
        <w:rPr>
          <w:rFonts w:ascii="Arial" w:hAnsi="Arial" w:cs="Arial"/>
          <w:sz w:val="24"/>
          <w:szCs w:val="24"/>
        </w:rPr>
        <w:t xml:space="preserve"> insufficient evidence that he </w:t>
      </w:r>
      <w:r w:rsidR="00002926">
        <w:rPr>
          <w:rFonts w:ascii="Arial" w:hAnsi="Arial" w:cs="Arial"/>
          <w:sz w:val="24"/>
          <w:szCs w:val="24"/>
        </w:rPr>
        <w:t xml:space="preserve">in fact purchased the vehicle. </w:t>
      </w:r>
      <w:r w:rsidR="00FB6984" w:rsidRPr="00044CE7">
        <w:rPr>
          <w:rFonts w:ascii="Arial" w:hAnsi="Arial" w:cs="Arial"/>
          <w:sz w:val="24"/>
          <w:szCs w:val="24"/>
        </w:rPr>
        <w:t xml:space="preserve">There is further no evidence as to the identity of </w:t>
      </w:r>
      <w:proofErr w:type="spellStart"/>
      <w:r w:rsidR="00FB6984" w:rsidRPr="00044CE7">
        <w:rPr>
          <w:rFonts w:ascii="Arial" w:hAnsi="Arial" w:cs="Arial"/>
          <w:sz w:val="24"/>
          <w:szCs w:val="24"/>
        </w:rPr>
        <w:t>Mr</w:t>
      </w:r>
      <w:proofErr w:type="spellEnd"/>
      <w:r w:rsidR="00FB6984" w:rsidRPr="00044CE7">
        <w:rPr>
          <w:rFonts w:ascii="Arial" w:hAnsi="Arial" w:cs="Arial"/>
          <w:sz w:val="24"/>
          <w:szCs w:val="24"/>
        </w:rPr>
        <w:t xml:space="preserve"> </w:t>
      </w:r>
      <w:proofErr w:type="spellStart"/>
      <w:r w:rsidR="00FB6984" w:rsidRPr="00044CE7">
        <w:rPr>
          <w:rFonts w:ascii="Arial" w:hAnsi="Arial" w:cs="Arial"/>
          <w:sz w:val="24"/>
          <w:szCs w:val="24"/>
        </w:rPr>
        <w:t>Nuuyoma</w:t>
      </w:r>
      <w:proofErr w:type="spellEnd"/>
      <w:r w:rsidR="00FB6984" w:rsidRPr="00044CE7">
        <w:rPr>
          <w:rFonts w:ascii="Arial" w:hAnsi="Arial" w:cs="Arial"/>
          <w:sz w:val="24"/>
          <w:szCs w:val="24"/>
        </w:rPr>
        <w:t xml:space="preserve"> or whethe</w:t>
      </w:r>
      <w:r w:rsidR="006458B0">
        <w:rPr>
          <w:rFonts w:ascii="Arial" w:hAnsi="Arial" w:cs="Arial"/>
          <w:sz w:val="24"/>
          <w:szCs w:val="24"/>
        </w:rPr>
        <w:t>r he bears any relationship to accused</w:t>
      </w:r>
      <w:r w:rsidR="00002926">
        <w:rPr>
          <w:rFonts w:ascii="Arial" w:hAnsi="Arial" w:cs="Arial"/>
          <w:sz w:val="24"/>
          <w:szCs w:val="24"/>
        </w:rPr>
        <w:t>’s</w:t>
      </w:r>
      <w:r w:rsidR="006458B0">
        <w:rPr>
          <w:rFonts w:ascii="Arial" w:hAnsi="Arial" w:cs="Arial"/>
          <w:sz w:val="24"/>
          <w:szCs w:val="24"/>
        </w:rPr>
        <w:t xml:space="preserve"> 1 or </w:t>
      </w:r>
      <w:r w:rsidR="00872548">
        <w:rPr>
          <w:rFonts w:ascii="Arial" w:hAnsi="Arial" w:cs="Arial"/>
          <w:sz w:val="24"/>
          <w:szCs w:val="24"/>
        </w:rPr>
        <w:t>14. No</w:t>
      </w:r>
      <w:r w:rsidR="00FB6984" w:rsidRPr="00044CE7">
        <w:rPr>
          <w:rFonts w:ascii="Arial" w:hAnsi="Arial" w:cs="Arial"/>
          <w:sz w:val="24"/>
          <w:szCs w:val="24"/>
        </w:rPr>
        <w:t>r is there any evidence as to what happened to the vehicle and in whose possession it was once i</w:t>
      </w:r>
      <w:r w:rsidR="00903D2C">
        <w:rPr>
          <w:rFonts w:ascii="Arial" w:hAnsi="Arial" w:cs="Arial"/>
          <w:sz w:val="24"/>
          <w:szCs w:val="24"/>
        </w:rPr>
        <w:t>t was purchased and delivered</w:t>
      </w:r>
      <w:r w:rsidR="00FB6984" w:rsidRPr="00044CE7">
        <w:rPr>
          <w:rFonts w:ascii="Arial" w:hAnsi="Arial" w:cs="Arial"/>
          <w:sz w:val="24"/>
          <w:szCs w:val="24"/>
        </w:rPr>
        <w:t xml:space="preserve"> </w:t>
      </w:r>
      <w:r w:rsidR="004E3778">
        <w:rPr>
          <w:rFonts w:ascii="Arial" w:hAnsi="Arial" w:cs="Arial"/>
          <w:sz w:val="24"/>
          <w:szCs w:val="24"/>
        </w:rPr>
        <w:t>to the purchaser</w:t>
      </w:r>
      <w:r w:rsidR="00FB6984" w:rsidRPr="004E3778">
        <w:rPr>
          <w:rFonts w:ascii="Arial" w:hAnsi="Arial" w:cs="Arial"/>
          <w:sz w:val="24"/>
          <w:szCs w:val="24"/>
        </w:rPr>
        <w:t xml:space="preserve">. </w:t>
      </w:r>
      <w:r w:rsidR="00FB6984" w:rsidRPr="00044CE7">
        <w:rPr>
          <w:rFonts w:ascii="Arial" w:hAnsi="Arial" w:cs="Arial"/>
          <w:sz w:val="24"/>
          <w:szCs w:val="24"/>
        </w:rPr>
        <w:t>For the remainder of the charges, these a</w:t>
      </w:r>
      <w:r w:rsidR="006458B0">
        <w:rPr>
          <w:rFonts w:ascii="Arial" w:hAnsi="Arial" w:cs="Arial"/>
          <w:sz w:val="24"/>
          <w:szCs w:val="24"/>
        </w:rPr>
        <w:t>ll flow from the activities of accused</w:t>
      </w:r>
      <w:r w:rsidR="00FB6984" w:rsidRPr="00044CE7">
        <w:rPr>
          <w:rFonts w:ascii="Arial" w:hAnsi="Arial" w:cs="Arial"/>
          <w:sz w:val="24"/>
          <w:szCs w:val="24"/>
        </w:rPr>
        <w:t xml:space="preserve"> 5 and as a consequence where</w:t>
      </w:r>
      <w:r w:rsidR="00903D2C">
        <w:rPr>
          <w:rFonts w:ascii="Arial" w:hAnsi="Arial" w:cs="Arial"/>
          <w:sz w:val="24"/>
          <w:szCs w:val="24"/>
        </w:rPr>
        <w:t>of various cash deposits found their</w:t>
      </w:r>
      <w:r w:rsidR="006458B0">
        <w:rPr>
          <w:rFonts w:ascii="Arial" w:hAnsi="Arial" w:cs="Arial"/>
          <w:sz w:val="24"/>
          <w:szCs w:val="24"/>
        </w:rPr>
        <w:t xml:space="preserve"> way into the bank account of accused</w:t>
      </w:r>
      <w:r w:rsidR="00FB6984" w:rsidRPr="00044CE7">
        <w:rPr>
          <w:rFonts w:ascii="Arial" w:hAnsi="Arial" w:cs="Arial"/>
          <w:sz w:val="24"/>
          <w:szCs w:val="24"/>
        </w:rPr>
        <w:t xml:space="preserve"> 14</w:t>
      </w:r>
      <w:r w:rsidR="006458B0">
        <w:rPr>
          <w:rFonts w:ascii="Arial" w:hAnsi="Arial" w:cs="Arial"/>
          <w:sz w:val="24"/>
          <w:szCs w:val="24"/>
        </w:rPr>
        <w:t xml:space="preserve">, having been deposited by accused </w:t>
      </w:r>
      <w:r w:rsidR="00002926">
        <w:rPr>
          <w:rFonts w:ascii="Arial" w:hAnsi="Arial" w:cs="Arial"/>
          <w:sz w:val="24"/>
          <w:szCs w:val="24"/>
        </w:rPr>
        <w:t>5.</w:t>
      </w:r>
    </w:p>
    <w:p w:rsidR="00002926" w:rsidRDefault="00002926" w:rsidP="0099115A">
      <w:pPr>
        <w:spacing w:after="0" w:line="360" w:lineRule="auto"/>
        <w:jc w:val="both"/>
        <w:rPr>
          <w:rFonts w:ascii="Arial" w:hAnsi="Arial" w:cs="Arial"/>
          <w:sz w:val="24"/>
          <w:szCs w:val="24"/>
        </w:rPr>
      </w:pPr>
    </w:p>
    <w:p w:rsidR="00E40CBB" w:rsidRDefault="00E40CBB" w:rsidP="0099115A">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FB6984" w:rsidRPr="00044CE7">
        <w:rPr>
          <w:rFonts w:ascii="Arial" w:hAnsi="Arial" w:cs="Arial"/>
          <w:sz w:val="24"/>
          <w:szCs w:val="24"/>
        </w:rPr>
        <w:t xml:space="preserve">It was argued by the State that based on the evidence of </w:t>
      </w:r>
      <w:proofErr w:type="spellStart"/>
      <w:r w:rsidR="00FB6984" w:rsidRPr="00044CE7">
        <w:rPr>
          <w:rFonts w:ascii="Arial" w:hAnsi="Arial" w:cs="Arial"/>
          <w:sz w:val="24"/>
          <w:szCs w:val="24"/>
        </w:rPr>
        <w:t>Mr</w:t>
      </w:r>
      <w:proofErr w:type="spellEnd"/>
      <w:r w:rsidR="00FB6984" w:rsidRPr="00044CE7">
        <w:rPr>
          <w:rFonts w:ascii="Arial" w:hAnsi="Arial" w:cs="Arial"/>
          <w:sz w:val="24"/>
          <w:szCs w:val="24"/>
        </w:rPr>
        <w:t xml:space="preserve"> </w:t>
      </w:r>
      <w:r w:rsidR="00102481">
        <w:rPr>
          <w:rFonts w:ascii="Arial" w:hAnsi="Arial" w:cs="Arial"/>
          <w:sz w:val="24"/>
          <w:szCs w:val="24"/>
        </w:rPr>
        <w:t>Karl Patric</w:t>
      </w:r>
      <w:r w:rsidR="00002926">
        <w:rPr>
          <w:rFonts w:ascii="Arial" w:hAnsi="Arial" w:cs="Arial"/>
          <w:sz w:val="24"/>
          <w:szCs w:val="24"/>
        </w:rPr>
        <w:t>k</w:t>
      </w:r>
      <w:r w:rsidR="00102481">
        <w:rPr>
          <w:rFonts w:ascii="Arial" w:hAnsi="Arial" w:cs="Arial"/>
          <w:sz w:val="24"/>
          <w:szCs w:val="24"/>
        </w:rPr>
        <w:t xml:space="preserve"> </w:t>
      </w:r>
      <w:proofErr w:type="spellStart"/>
      <w:r w:rsidR="00FB6984" w:rsidRPr="00044CE7">
        <w:rPr>
          <w:rFonts w:ascii="Arial" w:hAnsi="Arial" w:cs="Arial"/>
          <w:sz w:val="24"/>
          <w:szCs w:val="24"/>
        </w:rPr>
        <w:t>Cloete</w:t>
      </w:r>
      <w:proofErr w:type="spellEnd"/>
      <w:r w:rsidR="006458B0">
        <w:rPr>
          <w:rFonts w:ascii="Arial" w:hAnsi="Arial" w:cs="Arial"/>
          <w:sz w:val="24"/>
          <w:szCs w:val="24"/>
        </w:rPr>
        <w:t xml:space="preserve">, accused </w:t>
      </w:r>
      <w:r w:rsidR="00FB6984" w:rsidRPr="00044CE7">
        <w:rPr>
          <w:rFonts w:ascii="Arial" w:hAnsi="Arial" w:cs="Arial"/>
          <w:sz w:val="24"/>
          <w:szCs w:val="24"/>
        </w:rPr>
        <w:t xml:space="preserve">5 had told him that he had deposited </w:t>
      </w:r>
      <w:r w:rsidR="006458B0">
        <w:rPr>
          <w:rFonts w:ascii="Arial" w:hAnsi="Arial" w:cs="Arial"/>
          <w:sz w:val="24"/>
          <w:szCs w:val="24"/>
        </w:rPr>
        <w:t xml:space="preserve">the amounts for the benefit of accused </w:t>
      </w:r>
      <w:r w:rsidR="00FB6984" w:rsidRPr="00044CE7">
        <w:rPr>
          <w:rFonts w:ascii="Arial" w:hAnsi="Arial" w:cs="Arial"/>
          <w:sz w:val="24"/>
          <w:szCs w:val="24"/>
        </w:rPr>
        <w:t xml:space="preserve">1. I bear in mind that this is an extra-curial admission </w:t>
      </w:r>
      <w:r w:rsidR="00903D2C">
        <w:rPr>
          <w:rFonts w:ascii="Arial" w:hAnsi="Arial" w:cs="Arial"/>
          <w:sz w:val="24"/>
          <w:szCs w:val="24"/>
        </w:rPr>
        <w:t xml:space="preserve">which </w:t>
      </w:r>
      <w:r w:rsidR="006458B0">
        <w:rPr>
          <w:rFonts w:ascii="Arial" w:hAnsi="Arial" w:cs="Arial"/>
          <w:sz w:val="24"/>
          <w:szCs w:val="24"/>
        </w:rPr>
        <w:t>may implicate accused</w:t>
      </w:r>
      <w:r w:rsidR="00FB6984" w:rsidRPr="00044CE7">
        <w:rPr>
          <w:rFonts w:ascii="Arial" w:hAnsi="Arial" w:cs="Arial"/>
          <w:sz w:val="24"/>
          <w:szCs w:val="24"/>
        </w:rPr>
        <w:t xml:space="preserve"> 5 but in itself does not imp</w:t>
      </w:r>
      <w:r w:rsidR="006458B0">
        <w:rPr>
          <w:rFonts w:ascii="Arial" w:hAnsi="Arial" w:cs="Arial"/>
          <w:sz w:val="24"/>
          <w:szCs w:val="24"/>
        </w:rPr>
        <w:t xml:space="preserve">licate accused </w:t>
      </w:r>
      <w:r w:rsidR="00903D2C">
        <w:rPr>
          <w:rFonts w:ascii="Arial" w:hAnsi="Arial" w:cs="Arial"/>
          <w:sz w:val="24"/>
          <w:szCs w:val="24"/>
        </w:rPr>
        <w:t>1</w:t>
      </w:r>
      <w:r w:rsidR="006D2ABD">
        <w:rPr>
          <w:rFonts w:ascii="Arial" w:hAnsi="Arial" w:cs="Arial"/>
          <w:sz w:val="24"/>
          <w:szCs w:val="24"/>
        </w:rPr>
        <w:t>4</w:t>
      </w:r>
      <w:r w:rsidR="00903D2C">
        <w:rPr>
          <w:rFonts w:ascii="Arial" w:hAnsi="Arial" w:cs="Arial"/>
          <w:sz w:val="24"/>
          <w:szCs w:val="24"/>
        </w:rPr>
        <w:t>. It remains a</w:t>
      </w:r>
      <w:r w:rsidR="00FB6984" w:rsidRPr="00044CE7">
        <w:rPr>
          <w:rFonts w:ascii="Arial" w:hAnsi="Arial" w:cs="Arial"/>
          <w:sz w:val="24"/>
          <w:szCs w:val="24"/>
        </w:rPr>
        <w:t xml:space="preserve"> fact how</w:t>
      </w:r>
      <w:r w:rsidR="006458B0">
        <w:rPr>
          <w:rFonts w:ascii="Arial" w:hAnsi="Arial" w:cs="Arial"/>
          <w:sz w:val="24"/>
          <w:szCs w:val="24"/>
        </w:rPr>
        <w:t>ever that on various occasions a</w:t>
      </w:r>
      <w:r w:rsidR="00FB6984" w:rsidRPr="00044CE7">
        <w:rPr>
          <w:rFonts w:ascii="Arial" w:hAnsi="Arial" w:cs="Arial"/>
          <w:sz w:val="24"/>
          <w:szCs w:val="24"/>
        </w:rPr>
        <w:t>ccuse</w:t>
      </w:r>
      <w:r w:rsidR="006458B0">
        <w:rPr>
          <w:rFonts w:ascii="Arial" w:hAnsi="Arial" w:cs="Arial"/>
          <w:sz w:val="24"/>
          <w:szCs w:val="24"/>
        </w:rPr>
        <w:t xml:space="preserve">d </w:t>
      </w:r>
      <w:r w:rsidR="00903D2C">
        <w:rPr>
          <w:rFonts w:ascii="Arial" w:hAnsi="Arial" w:cs="Arial"/>
          <w:sz w:val="24"/>
          <w:szCs w:val="24"/>
        </w:rPr>
        <w:t xml:space="preserve">5 had deposited </w:t>
      </w:r>
      <w:r w:rsidR="006458B0">
        <w:rPr>
          <w:rFonts w:ascii="Arial" w:hAnsi="Arial" w:cs="Arial"/>
          <w:sz w:val="24"/>
          <w:szCs w:val="24"/>
        </w:rPr>
        <w:t>sums of money into the bank account of accused 14.</w:t>
      </w:r>
      <w:r w:rsidR="00FB6984" w:rsidRPr="00044CE7">
        <w:rPr>
          <w:rFonts w:ascii="Arial" w:hAnsi="Arial" w:cs="Arial"/>
          <w:sz w:val="24"/>
          <w:szCs w:val="24"/>
        </w:rPr>
        <w:t xml:space="preserve"> </w:t>
      </w:r>
      <w:r w:rsidR="00903D2C">
        <w:rPr>
          <w:rFonts w:ascii="Arial" w:hAnsi="Arial" w:cs="Arial"/>
          <w:sz w:val="24"/>
          <w:szCs w:val="24"/>
        </w:rPr>
        <w:t>There does not appear</w:t>
      </w:r>
      <w:r w:rsidR="008F44EA">
        <w:rPr>
          <w:rFonts w:ascii="Arial" w:hAnsi="Arial" w:cs="Arial"/>
          <w:sz w:val="24"/>
          <w:szCs w:val="24"/>
        </w:rPr>
        <w:t>,</w:t>
      </w:r>
      <w:r w:rsidR="00FB6984" w:rsidRPr="00044CE7">
        <w:rPr>
          <w:rFonts w:ascii="Arial" w:hAnsi="Arial" w:cs="Arial"/>
          <w:sz w:val="24"/>
          <w:szCs w:val="24"/>
        </w:rPr>
        <w:t xml:space="preserve"> on the evidence</w:t>
      </w:r>
      <w:r w:rsidR="008F44EA">
        <w:rPr>
          <w:rFonts w:ascii="Arial" w:hAnsi="Arial" w:cs="Arial"/>
          <w:sz w:val="24"/>
          <w:szCs w:val="24"/>
        </w:rPr>
        <w:t>,</w:t>
      </w:r>
      <w:r w:rsidR="00FB6984" w:rsidRPr="00044CE7">
        <w:rPr>
          <w:rFonts w:ascii="Arial" w:hAnsi="Arial" w:cs="Arial"/>
          <w:sz w:val="24"/>
          <w:szCs w:val="24"/>
        </w:rPr>
        <w:t xml:space="preserve"> to be a</w:t>
      </w:r>
      <w:r w:rsidR="008F44EA">
        <w:rPr>
          <w:rFonts w:ascii="Arial" w:hAnsi="Arial" w:cs="Arial"/>
          <w:sz w:val="24"/>
          <w:szCs w:val="24"/>
        </w:rPr>
        <w:t>ny direct relationship between accused</w:t>
      </w:r>
      <w:r w:rsidR="00002926">
        <w:rPr>
          <w:rFonts w:ascii="Arial" w:hAnsi="Arial" w:cs="Arial"/>
          <w:sz w:val="24"/>
          <w:szCs w:val="24"/>
        </w:rPr>
        <w:t>’s</w:t>
      </w:r>
      <w:r w:rsidR="008F44EA">
        <w:rPr>
          <w:rFonts w:ascii="Arial" w:hAnsi="Arial" w:cs="Arial"/>
          <w:sz w:val="24"/>
          <w:szCs w:val="24"/>
        </w:rPr>
        <w:t xml:space="preserve"> 5 and </w:t>
      </w:r>
      <w:r w:rsidR="00FB6984" w:rsidRPr="00044CE7">
        <w:rPr>
          <w:rFonts w:ascii="Arial" w:hAnsi="Arial" w:cs="Arial"/>
          <w:sz w:val="24"/>
          <w:szCs w:val="24"/>
        </w:rPr>
        <w:t>14</w:t>
      </w:r>
      <w:r w:rsidR="008F44EA">
        <w:rPr>
          <w:rFonts w:ascii="Arial" w:hAnsi="Arial" w:cs="Arial"/>
          <w:sz w:val="24"/>
          <w:szCs w:val="24"/>
        </w:rPr>
        <w:t>,</w:t>
      </w:r>
      <w:r w:rsidR="00FB6984" w:rsidRPr="00044CE7">
        <w:rPr>
          <w:rFonts w:ascii="Arial" w:hAnsi="Arial" w:cs="Arial"/>
          <w:sz w:val="24"/>
          <w:szCs w:val="24"/>
        </w:rPr>
        <w:t xml:space="preserve"> and the evidence does not est</w:t>
      </w:r>
      <w:r w:rsidR="008F44EA">
        <w:rPr>
          <w:rFonts w:ascii="Arial" w:hAnsi="Arial" w:cs="Arial"/>
          <w:sz w:val="24"/>
          <w:szCs w:val="24"/>
        </w:rPr>
        <w:t xml:space="preserve">ablish any apparent reason why accused </w:t>
      </w:r>
      <w:r w:rsidR="00FB6984" w:rsidRPr="00044CE7">
        <w:rPr>
          <w:rFonts w:ascii="Arial" w:hAnsi="Arial" w:cs="Arial"/>
          <w:sz w:val="24"/>
          <w:szCs w:val="24"/>
        </w:rPr>
        <w:t>5 would in the first</w:t>
      </w:r>
      <w:r w:rsidR="008F44EA">
        <w:rPr>
          <w:rFonts w:ascii="Arial" w:hAnsi="Arial" w:cs="Arial"/>
          <w:sz w:val="24"/>
          <w:szCs w:val="24"/>
        </w:rPr>
        <w:t xml:space="preserve"> place be in possession of the bank details of accused</w:t>
      </w:r>
      <w:r w:rsidR="00FB6984" w:rsidRPr="00044CE7">
        <w:rPr>
          <w:rFonts w:ascii="Arial" w:hAnsi="Arial" w:cs="Arial"/>
          <w:sz w:val="24"/>
          <w:szCs w:val="24"/>
        </w:rPr>
        <w:t xml:space="preserve"> 14 </w:t>
      </w:r>
      <w:r w:rsidR="00903D2C">
        <w:rPr>
          <w:rFonts w:ascii="Arial" w:hAnsi="Arial" w:cs="Arial"/>
          <w:sz w:val="24"/>
          <w:szCs w:val="24"/>
        </w:rPr>
        <w:t>n</w:t>
      </w:r>
      <w:r w:rsidR="00FB6984" w:rsidRPr="00044CE7">
        <w:rPr>
          <w:rFonts w:ascii="Arial" w:hAnsi="Arial" w:cs="Arial"/>
          <w:sz w:val="24"/>
          <w:szCs w:val="24"/>
        </w:rPr>
        <w:t>or does the evi</w:t>
      </w:r>
      <w:r w:rsidR="008F44EA">
        <w:rPr>
          <w:rFonts w:ascii="Arial" w:hAnsi="Arial" w:cs="Arial"/>
          <w:sz w:val="24"/>
          <w:szCs w:val="24"/>
        </w:rPr>
        <w:t xml:space="preserve">dence establish any reason why accused </w:t>
      </w:r>
      <w:r w:rsidR="00FB6984" w:rsidRPr="00044CE7">
        <w:rPr>
          <w:rFonts w:ascii="Arial" w:hAnsi="Arial" w:cs="Arial"/>
          <w:sz w:val="24"/>
          <w:szCs w:val="24"/>
        </w:rPr>
        <w:t>5 would deposit large amount</w:t>
      </w:r>
      <w:r w:rsidR="008F44EA">
        <w:rPr>
          <w:rFonts w:ascii="Arial" w:hAnsi="Arial" w:cs="Arial"/>
          <w:sz w:val="24"/>
          <w:szCs w:val="24"/>
        </w:rPr>
        <w:t xml:space="preserve">s of money into the account of accused </w:t>
      </w:r>
      <w:r w:rsidR="00FB6984" w:rsidRPr="00044CE7">
        <w:rPr>
          <w:rFonts w:ascii="Arial" w:hAnsi="Arial" w:cs="Arial"/>
          <w:sz w:val="24"/>
          <w:szCs w:val="24"/>
        </w:rPr>
        <w:t>14 on</w:t>
      </w:r>
      <w:r w:rsidR="008F44EA">
        <w:rPr>
          <w:rFonts w:ascii="Arial" w:hAnsi="Arial" w:cs="Arial"/>
          <w:sz w:val="24"/>
          <w:szCs w:val="24"/>
        </w:rPr>
        <w:t xml:space="preserve"> different dates and occasions.</w:t>
      </w:r>
    </w:p>
    <w:p w:rsidR="00002926" w:rsidRDefault="00002926" w:rsidP="0099115A">
      <w:pPr>
        <w:spacing w:after="0" w:line="360" w:lineRule="auto"/>
        <w:jc w:val="both"/>
        <w:rPr>
          <w:rFonts w:ascii="Arial" w:hAnsi="Arial" w:cs="Arial"/>
          <w:sz w:val="24"/>
          <w:szCs w:val="24"/>
        </w:rPr>
      </w:pPr>
    </w:p>
    <w:p w:rsidR="00BC3144" w:rsidRDefault="00E40CBB" w:rsidP="0099115A">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proofErr w:type="spellStart"/>
      <w:r w:rsidR="008F44EA">
        <w:rPr>
          <w:rFonts w:ascii="Arial" w:hAnsi="Arial" w:cs="Arial"/>
          <w:sz w:val="24"/>
          <w:szCs w:val="24"/>
        </w:rPr>
        <w:t>Mr</w:t>
      </w:r>
      <w:proofErr w:type="spellEnd"/>
      <w:r w:rsidR="008F44EA">
        <w:rPr>
          <w:rFonts w:ascii="Arial" w:hAnsi="Arial" w:cs="Arial"/>
          <w:sz w:val="24"/>
          <w:szCs w:val="24"/>
        </w:rPr>
        <w:t xml:space="preserve"> </w:t>
      </w:r>
      <w:proofErr w:type="spellStart"/>
      <w:r w:rsidR="008F44EA">
        <w:rPr>
          <w:rFonts w:ascii="Arial" w:hAnsi="Arial" w:cs="Arial"/>
          <w:sz w:val="24"/>
          <w:szCs w:val="24"/>
        </w:rPr>
        <w:t>Brockerhoff</w:t>
      </w:r>
      <w:proofErr w:type="spellEnd"/>
      <w:r w:rsidR="008F44EA">
        <w:rPr>
          <w:rFonts w:ascii="Arial" w:hAnsi="Arial" w:cs="Arial"/>
          <w:sz w:val="24"/>
          <w:szCs w:val="24"/>
        </w:rPr>
        <w:t xml:space="preserve"> who represents accused 14 submitted that accused</w:t>
      </w:r>
      <w:r w:rsidR="00FB6984" w:rsidRPr="00044CE7">
        <w:rPr>
          <w:rFonts w:ascii="Arial" w:hAnsi="Arial" w:cs="Arial"/>
          <w:sz w:val="24"/>
          <w:szCs w:val="24"/>
        </w:rPr>
        <w:t xml:space="preserve"> 14</w:t>
      </w:r>
      <w:r w:rsidR="008F44EA">
        <w:rPr>
          <w:rFonts w:ascii="Arial" w:hAnsi="Arial" w:cs="Arial"/>
          <w:sz w:val="24"/>
          <w:szCs w:val="24"/>
        </w:rPr>
        <w:t>,</w:t>
      </w:r>
      <w:r w:rsidR="00FB6984" w:rsidRPr="00044CE7">
        <w:rPr>
          <w:rFonts w:ascii="Arial" w:hAnsi="Arial" w:cs="Arial"/>
          <w:sz w:val="24"/>
          <w:szCs w:val="24"/>
        </w:rPr>
        <w:t xml:space="preserve"> once the money had been deposited into his account in a manner ring-fenced the money so deposited, he did not use any of the proceeds. If that is the case, it is fo</w:t>
      </w:r>
      <w:r w:rsidR="008F44EA">
        <w:rPr>
          <w:rFonts w:ascii="Arial" w:hAnsi="Arial" w:cs="Arial"/>
          <w:sz w:val="24"/>
          <w:szCs w:val="24"/>
        </w:rPr>
        <w:t xml:space="preserve">r accused </w:t>
      </w:r>
      <w:r w:rsidR="00903D2C">
        <w:rPr>
          <w:rFonts w:ascii="Arial" w:hAnsi="Arial" w:cs="Arial"/>
          <w:sz w:val="24"/>
          <w:szCs w:val="24"/>
        </w:rPr>
        <w:t xml:space="preserve">14 to give evidence to that effect. </w:t>
      </w:r>
      <w:r w:rsidR="00FB6984" w:rsidRPr="00044CE7">
        <w:rPr>
          <w:rFonts w:ascii="Arial" w:hAnsi="Arial" w:cs="Arial"/>
          <w:sz w:val="24"/>
          <w:szCs w:val="24"/>
        </w:rPr>
        <w:t>I cannot in the circumstances place</w:t>
      </w:r>
      <w:r w:rsidR="006D2ABD">
        <w:rPr>
          <w:rFonts w:ascii="Arial" w:hAnsi="Arial" w:cs="Arial"/>
          <w:sz w:val="24"/>
          <w:szCs w:val="24"/>
        </w:rPr>
        <w:t xml:space="preserve"> any reliance on what was sug</w:t>
      </w:r>
      <w:r w:rsidR="00903D2C">
        <w:rPr>
          <w:rFonts w:ascii="Arial" w:hAnsi="Arial" w:cs="Arial"/>
          <w:sz w:val="24"/>
          <w:szCs w:val="24"/>
        </w:rPr>
        <w:t>gested</w:t>
      </w:r>
      <w:r w:rsidR="00FB6984" w:rsidRPr="00044CE7">
        <w:rPr>
          <w:rFonts w:ascii="Arial" w:hAnsi="Arial" w:cs="Arial"/>
          <w:sz w:val="24"/>
          <w:szCs w:val="24"/>
        </w:rPr>
        <w:t xml:space="preserve"> during the course of cross-examination since i</w:t>
      </w:r>
      <w:r w:rsidR="008F44EA">
        <w:rPr>
          <w:rFonts w:ascii="Arial" w:hAnsi="Arial" w:cs="Arial"/>
          <w:sz w:val="24"/>
          <w:szCs w:val="24"/>
        </w:rPr>
        <w:t xml:space="preserve">t does not constitute evidence. It follows that as far as accused </w:t>
      </w:r>
      <w:r w:rsidR="00FB6984" w:rsidRPr="00044CE7">
        <w:rPr>
          <w:rFonts w:ascii="Arial" w:hAnsi="Arial" w:cs="Arial"/>
          <w:sz w:val="24"/>
          <w:szCs w:val="24"/>
        </w:rPr>
        <w:t>14 is concerned</w:t>
      </w:r>
      <w:r w:rsidR="008F44EA">
        <w:rPr>
          <w:rFonts w:ascii="Arial" w:hAnsi="Arial" w:cs="Arial"/>
          <w:sz w:val="24"/>
          <w:szCs w:val="24"/>
        </w:rPr>
        <w:t>,</w:t>
      </w:r>
      <w:r w:rsidR="00FB6984" w:rsidRPr="00044CE7">
        <w:rPr>
          <w:rFonts w:ascii="Arial" w:hAnsi="Arial" w:cs="Arial"/>
          <w:sz w:val="24"/>
          <w:szCs w:val="24"/>
        </w:rPr>
        <w:t xml:space="preserve"> that he is discharged on count 629 but for the remainder o</w:t>
      </w:r>
      <w:bookmarkStart w:id="0" w:name="_GoBack"/>
      <w:bookmarkEnd w:id="0"/>
      <w:r w:rsidR="00FB6984" w:rsidRPr="00044CE7">
        <w:rPr>
          <w:rFonts w:ascii="Arial" w:hAnsi="Arial" w:cs="Arial"/>
          <w:sz w:val="24"/>
          <w:szCs w:val="24"/>
        </w:rPr>
        <w:t>f the charges he faces, t</w:t>
      </w:r>
      <w:r w:rsidR="00903D2C">
        <w:rPr>
          <w:rFonts w:ascii="Arial" w:hAnsi="Arial" w:cs="Arial"/>
          <w:sz w:val="24"/>
          <w:szCs w:val="24"/>
        </w:rPr>
        <w:t>he application is dismissed.</w:t>
      </w:r>
    </w:p>
    <w:p w:rsidR="008F44EA" w:rsidRDefault="008F44EA" w:rsidP="0099115A">
      <w:pPr>
        <w:spacing w:after="0" w:line="360" w:lineRule="auto"/>
        <w:jc w:val="both"/>
        <w:rPr>
          <w:rFonts w:ascii="Arial" w:hAnsi="Arial" w:cs="Arial"/>
          <w:sz w:val="24"/>
          <w:szCs w:val="24"/>
        </w:rPr>
      </w:pPr>
    </w:p>
    <w:p w:rsidR="00002926" w:rsidRPr="00002926" w:rsidRDefault="00002926" w:rsidP="0099115A">
      <w:pPr>
        <w:spacing w:after="0" w:line="360" w:lineRule="auto"/>
        <w:jc w:val="both"/>
        <w:rPr>
          <w:rFonts w:ascii="Arial" w:hAnsi="Arial" w:cs="Arial"/>
          <w:sz w:val="24"/>
          <w:szCs w:val="24"/>
          <w:u w:val="single"/>
        </w:rPr>
      </w:pPr>
      <w:r w:rsidRPr="00002926">
        <w:rPr>
          <w:rFonts w:ascii="Arial" w:hAnsi="Arial" w:cs="Arial"/>
          <w:sz w:val="24"/>
          <w:szCs w:val="24"/>
          <w:u w:val="single"/>
        </w:rPr>
        <w:t>Conclusion</w:t>
      </w:r>
    </w:p>
    <w:p w:rsidR="00002926" w:rsidRDefault="00002926" w:rsidP="0099115A">
      <w:pPr>
        <w:spacing w:after="0" w:line="360" w:lineRule="auto"/>
        <w:jc w:val="both"/>
        <w:rPr>
          <w:rFonts w:ascii="Arial" w:hAnsi="Arial" w:cs="Arial"/>
          <w:sz w:val="24"/>
          <w:szCs w:val="24"/>
        </w:rPr>
      </w:pPr>
    </w:p>
    <w:p w:rsidR="00FD467E" w:rsidRDefault="00903D2C" w:rsidP="0099115A">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FB6984" w:rsidRPr="00044CE7">
        <w:rPr>
          <w:rFonts w:ascii="Arial" w:hAnsi="Arial" w:cs="Arial"/>
          <w:sz w:val="24"/>
          <w:szCs w:val="24"/>
        </w:rPr>
        <w:t>I indicate in conclusion that it is ap</w:t>
      </w:r>
      <w:r w:rsidR="008F44EA">
        <w:rPr>
          <w:rFonts w:ascii="Arial" w:hAnsi="Arial" w:cs="Arial"/>
          <w:sz w:val="24"/>
          <w:szCs w:val="24"/>
        </w:rPr>
        <w:t>parent from the reading of the i</w:t>
      </w:r>
      <w:r w:rsidR="00FB6984" w:rsidRPr="00044CE7">
        <w:rPr>
          <w:rFonts w:ascii="Arial" w:hAnsi="Arial" w:cs="Arial"/>
          <w:sz w:val="24"/>
          <w:szCs w:val="24"/>
        </w:rPr>
        <w:t xml:space="preserve">ndictment that to some extent some of the charges </w:t>
      </w:r>
      <w:r w:rsidR="00C4719F" w:rsidRPr="00044CE7">
        <w:rPr>
          <w:rFonts w:ascii="Arial" w:hAnsi="Arial" w:cs="Arial"/>
          <w:sz w:val="24"/>
          <w:szCs w:val="24"/>
        </w:rPr>
        <w:t>appear</w:t>
      </w:r>
      <w:r w:rsidR="00FB6984" w:rsidRPr="00044CE7">
        <w:rPr>
          <w:rFonts w:ascii="Arial" w:hAnsi="Arial" w:cs="Arial"/>
          <w:sz w:val="24"/>
          <w:szCs w:val="24"/>
        </w:rPr>
        <w:t xml:space="preserve"> to have</w:t>
      </w:r>
      <w:r w:rsidR="006D2ABD">
        <w:rPr>
          <w:rFonts w:ascii="Arial" w:hAnsi="Arial" w:cs="Arial"/>
          <w:sz w:val="24"/>
          <w:szCs w:val="24"/>
        </w:rPr>
        <w:t xml:space="preserve"> been duplicated in the sense that</w:t>
      </w:r>
      <w:r w:rsidR="00FB6984" w:rsidRPr="00044CE7">
        <w:rPr>
          <w:rFonts w:ascii="Arial" w:hAnsi="Arial" w:cs="Arial"/>
          <w:sz w:val="24"/>
          <w:szCs w:val="24"/>
        </w:rPr>
        <w:t xml:space="preserve"> the same facts give rise to different charges </w:t>
      </w:r>
      <w:r w:rsidR="0089040B">
        <w:rPr>
          <w:rFonts w:ascii="Arial" w:hAnsi="Arial" w:cs="Arial"/>
          <w:sz w:val="24"/>
          <w:szCs w:val="24"/>
        </w:rPr>
        <w:t xml:space="preserve">being </w:t>
      </w:r>
      <w:r w:rsidR="00FB6984" w:rsidRPr="00044CE7">
        <w:rPr>
          <w:rFonts w:ascii="Arial" w:hAnsi="Arial" w:cs="Arial"/>
          <w:sz w:val="24"/>
          <w:szCs w:val="24"/>
        </w:rPr>
        <w:t>charged</w:t>
      </w:r>
      <w:r w:rsidR="008F44EA">
        <w:rPr>
          <w:rFonts w:ascii="Arial" w:hAnsi="Arial" w:cs="Arial"/>
          <w:sz w:val="24"/>
          <w:szCs w:val="24"/>
        </w:rPr>
        <w:t>,</w:t>
      </w:r>
      <w:r w:rsidR="00FB6984" w:rsidRPr="00044CE7">
        <w:rPr>
          <w:rFonts w:ascii="Arial" w:hAnsi="Arial" w:cs="Arial"/>
          <w:sz w:val="24"/>
          <w:szCs w:val="24"/>
        </w:rPr>
        <w:t xml:space="preserve"> not in the alternative but rather a</w:t>
      </w:r>
      <w:r w:rsidR="00C4719F">
        <w:rPr>
          <w:rFonts w:ascii="Arial" w:hAnsi="Arial" w:cs="Arial"/>
          <w:sz w:val="24"/>
          <w:szCs w:val="24"/>
        </w:rPr>
        <w:t>s</w:t>
      </w:r>
      <w:r w:rsidR="00FB6984" w:rsidRPr="00044CE7">
        <w:rPr>
          <w:rFonts w:ascii="Arial" w:hAnsi="Arial" w:cs="Arial"/>
          <w:sz w:val="24"/>
          <w:szCs w:val="24"/>
        </w:rPr>
        <w:t xml:space="preserve"> separate charges. I am of the view that</w:t>
      </w:r>
      <w:r w:rsidR="0089040B">
        <w:rPr>
          <w:rFonts w:ascii="Arial" w:hAnsi="Arial" w:cs="Arial"/>
          <w:sz w:val="24"/>
          <w:szCs w:val="24"/>
        </w:rPr>
        <w:t>,</w:t>
      </w:r>
      <w:r w:rsidR="00FB6984" w:rsidRPr="00044CE7">
        <w:rPr>
          <w:rFonts w:ascii="Arial" w:hAnsi="Arial" w:cs="Arial"/>
          <w:sz w:val="24"/>
          <w:szCs w:val="24"/>
        </w:rPr>
        <w:t xml:space="preserve"> it is not appropriate to deal w</w:t>
      </w:r>
      <w:r w:rsidR="00AE73A2">
        <w:rPr>
          <w:rFonts w:ascii="Arial" w:hAnsi="Arial" w:cs="Arial"/>
          <w:sz w:val="24"/>
          <w:szCs w:val="24"/>
        </w:rPr>
        <w:t xml:space="preserve">ith that aspect at this stage. </w:t>
      </w:r>
      <w:r w:rsidR="00FB6984" w:rsidRPr="00044CE7">
        <w:rPr>
          <w:rFonts w:ascii="Arial" w:hAnsi="Arial" w:cs="Arial"/>
          <w:sz w:val="24"/>
          <w:szCs w:val="24"/>
        </w:rPr>
        <w:t xml:space="preserve">It would be more proper to deal with that aspect at the conclusion of the trial once I have the benefit of all </w:t>
      </w:r>
      <w:r>
        <w:rPr>
          <w:rFonts w:ascii="Arial" w:hAnsi="Arial" w:cs="Arial"/>
          <w:sz w:val="24"/>
          <w:szCs w:val="24"/>
        </w:rPr>
        <w:t xml:space="preserve">the evidence placed before me. </w:t>
      </w:r>
      <w:r w:rsidR="00FB6984" w:rsidRPr="00044CE7">
        <w:rPr>
          <w:rFonts w:ascii="Arial" w:hAnsi="Arial" w:cs="Arial"/>
          <w:sz w:val="24"/>
          <w:szCs w:val="24"/>
        </w:rPr>
        <w:t>Accused 6 is discharged from prosecuti</w:t>
      </w:r>
      <w:r w:rsidR="00AE73A2">
        <w:rPr>
          <w:rFonts w:ascii="Arial" w:hAnsi="Arial" w:cs="Arial"/>
          <w:sz w:val="24"/>
          <w:szCs w:val="24"/>
        </w:rPr>
        <w:t xml:space="preserve">on and he is at liberty to go. </w:t>
      </w:r>
      <w:r w:rsidR="00E97CA7">
        <w:rPr>
          <w:rFonts w:ascii="Arial" w:hAnsi="Arial" w:cs="Arial"/>
          <w:sz w:val="24"/>
          <w:szCs w:val="24"/>
        </w:rPr>
        <w:t>As far as the remainder of the a</w:t>
      </w:r>
      <w:r w:rsidR="00FB6984" w:rsidRPr="00044CE7">
        <w:rPr>
          <w:rFonts w:ascii="Arial" w:hAnsi="Arial" w:cs="Arial"/>
          <w:sz w:val="24"/>
          <w:szCs w:val="24"/>
        </w:rPr>
        <w:t xml:space="preserve">ccused </w:t>
      </w:r>
      <w:r w:rsidR="00E97CA7">
        <w:rPr>
          <w:rFonts w:ascii="Arial" w:hAnsi="Arial" w:cs="Arial"/>
          <w:sz w:val="24"/>
          <w:szCs w:val="24"/>
        </w:rPr>
        <w:t xml:space="preserve">persons </w:t>
      </w:r>
      <w:r w:rsidR="00FB6984" w:rsidRPr="00044CE7">
        <w:rPr>
          <w:rFonts w:ascii="Arial" w:hAnsi="Arial" w:cs="Arial"/>
          <w:sz w:val="24"/>
          <w:szCs w:val="24"/>
        </w:rPr>
        <w:t>are concerned, they are discharged on those counts which I have mentioned but for the remainder of the charges they face, the application</w:t>
      </w:r>
      <w:r w:rsidR="00E97CA7">
        <w:rPr>
          <w:rFonts w:ascii="Arial" w:hAnsi="Arial" w:cs="Arial"/>
          <w:sz w:val="24"/>
          <w:szCs w:val="24"/>
        </w:rPr>
        <w:t>s</w:t>
      </w:r>
      <w:r w:rsidR="008F44EA">
        <w:rPr>
          <w:rFonts w:ascii="Arial" w:hAnsi="Arial" w:cs="Arial"/>
          <w:sz w:val="24"/>
          <w:szCs w:val="24"/>
        </w:rPr>
        <w:t xml:space="preserve"> for discharge</w:t>
      </w:r>
      <w:r w:rsidR="00FB6984" w:rsidRPr="00044CE7">
        <w:rPr>
          <w:rFonts w:ascii="Arial" w:hAnsi="Arial" w:cs="Arial"/>
          <w:sz w:val="24"/>
          <w:szCs w:val="24"/>
        </w:rPr>
        <w:t xml:space="preserve"> are refused.</w:t>
      </w:r>
    </w:p>
    <w:p w:rsidR="0099115A" w:rsidRDefault="0099115A" w:rsidP="0099115A">
      <w:pPr>
        <w:spacing w:after="0" w:line="360" w:lineRule="auto"/>
        <w:jc w:val="both"/>
        <w:rPr>
          <w:rFonts w:ascii="Arial" w:hAnsi="Arial" w:cs="Arial"/>
          <w:sz w:val="24"/>
          <w:szCs w:val="24"/>
        </w:rPr>
      </w:pPr>
    </w:p>
    <w:p w:rsidR="0099115A" w:rsidRPr="00645646" w:rsidRDefault="00AE73A2" w:rsidP="0099115A">
      <w:pPr>
        <w:spacing w:after="0" w:line="360" w:lineRule="auto"/>
        <w:jc w:val="both"/>
        <w:rPr>
          <w:rFonts w:ascii="Arial" w:hAnsi="Arial" w:cs="Arial"/>
          <w:sz w:val="24"/>
          <w:szCs w:val="24"/>
        </w:rPr>
      </w:pPr>
      <w:r w:rsidRPr="00645646">
        <w:rPr>
          <w:rFonts w:ascii="Arial" w:hAnsi="Arial" w:cs="Arial"/>
          <w:sz w:val="24"/>
          <w:szCs w:val="24"/>
        </w:rPr>
        <w:t>[37]</w:t>
      </w:r>
      <w:r w:rsidRPr="00645646">
        <w:rPr>
          <w:rFonts w:ascii="Arial" w:hAnsi="Arial" w:cs="Arial"/>
          <w:sz w:val="24"/>
          <w:szCs w:val="24"/>
        </w:rPr>
        <w:tab/>
      </w:r>
      <w:r w:rsidR="0099115A" w:rsidRPr="00645646">
        <w:rPr>
          <w:rFonts w:ascii="Arial" w:hAnsi="Arial" w:cs="Arial"/>
          <w:sz w:val="24"/>
          <w:szCs w:val="24"/>
        </w:rPr>
        <w:t>In the result, I make the following order:</w:t>
      </w:r>
    </w:p>
    <w:p w:rsidR="0099115A" w:rsidRPr="00645646" w:rsidRDefault="0099115A" w:rsidP="0099115A">
      <w:pPr>
        <w:spacing w:after="0" w:line="360" w:lineRule="auto"/>
        <w:jc w:val="both"/>
        <w:rPr>
          <w:rFonts w:ascii="Arial" w:hAnsi="Arial" w:cs="Arial"/>
          <w:sz w:val="24"/>
          <w:szCs w:val="24"/>
        </w:rPr>
      </w:pPr>
    </w:p>
    <w:p w:rsidR="0089040B" w:rsidRPr="00645646" w:rsidRDefault="0089040B" w:rsidP="00645646">
      <w:pPr>
        <w:pStyle w:val="ListParagraph"/>
        <w:numPr>
          <w:ilvl w:val="0"/>
          <w:numId w:val="27"/>
        </w:numPr>
        <w:spacing w:after="0" w:line="360" w:lineRule="auto"/>
        <w:ind w:left="1134" w:hanging="414"/>
        <w:jc w:val="both"/>
        <w:rPr>
          <w:rFonts w:ascii="Arial" w:hAnsi="Arial" w:cs="Arial"/>
          <w:sz w:val="24"/>
          <w:szCs w:val="24"/>
        </w:rPr>
      </w:pPr>
      <w:r w:rsidRPr="00645646">
        <w:rPr>
          <w:rFonts w:ascii="Arial" w:hAnsi="Arial" w:cs="Arial"/>
          <w:sz w:val="24"/>
          <w:szCs w:val="24"/>
        </w:rPr>
        <w:t>Accused 6 is discharged on count 286 and from prosecution in this case in terms of s 174 of the Criminal Procedure Act 51 of 1977.</w:t>
      </w:r>
    </w:p>
    <w:p w:rsidR="0089040B" w:rsidRPr="00645646" w:rsidRDefault="0089040B" w:rsidP="00645646">
      <w:pPr>
        <w:spacing w:after="0" w:line="360" w:lineRule="auto"/>
        <w:ind w:left="1134" w:hanging="414"/>
        <w:jc w:val="both"/>
        <w:rPr>
          <w:rFonts w:ascii="Arial" w:hAnsi="Arial" w:cs="Arial"/>
          <w:sz w:val="24"/>
          <w:szCs w:val="24"/>
        </w:rPr>
      </w:pPr>
    </w:p>
    <w:p w:rsidR="0089040B" w:rsidRPr="00645646" w:rsidRDefault="0089040B" w:rsidP="00645646">
      <w:pPr>
        <w:pStyle w:val="ListParagraph"/>
        <w:numPr>
          <w:ilvl w:val="0"/>
          <w:numId w:val="27"/>
        </w:numPr>
        <w:spacing w:after="0" w:line="360" w:lineRule="auto"/>
        <w:ind w:left="1134" w:hanging="414"/>
        <w:jc w:val="both"/>
        <w:rPr>
          <w:rFonts w:ascii="Arial" w:hAnsi="Arial" w:cs="Arial"/>
          <w:sz w:val="24"/>
          <w:szCs w:val="24"/>
        </w:rPr>
      </w:pPr>
      <w:r w:rsidRPr="00645646">
        <w:rPr>
          <w:rFonts w:ascii="Arial" w:hAnsi="Arial" w:cs="Arial"/>
          <w:sz w:val="24"/>
          <w:szCs w:val="24"/>
        </w:rPr>
        <w:t>Accused 1 and 4 are discharged on count 286, but for the remainder of the charges of the application to be discharged in terms s 174 of the Criminal procedure Act 51 of 197 is dismissed.</w:t>
      </w:r>
    </w:p>
    <w:p w:rsidR="0089040B" w:rsidRPr="00645646" w:rsidRDefault="0089040B" w:rsidP="00645646">
      <w:pPr>
        <w:spacing w:after="0" w:line="360" w:lineRule="auto"/>
        <w:ind w:left="1134" w:hanging="414"/>
        <w:jc w:val="both"/>
        <w:rPr>
          <w:rFonts w:ascii="Arial" w:hAnsi="Arial" w:cs="Arial"/>
          <w:sz w:val="24"/>
          <w:szCs w:val="24"/>
        </w:rPr>
      </w:pPr>
    </w:p>
    <w:p w:rsidR="0089040B" w:rsidRPr="00645646" w:rsidRDefault="0089040B" w:rsidP="00645646">
      <w:pPr>
        <w:pStyle w:val="ListParagraph"/>
        <w:numPr>
          <w:ilvl w:val="0"/>
          <w:numId w:val="27"/>
        </w:numPr>
        <w:spacing w:after="0" w:line="360" w:lineRule="auto"/>
        <w:ind w:left="1134" w:hanging="414"/>
        <w:jc w:val="both"/>
        <w:rPr>
          <w:rFonts w:ascii="Arial" w:hAnsi="Arial" w:cs="Arial"/>
          <w:sz w:val="24"/>
          <w:szCs w:val="24"/>
        </w:rPr>
      </w:pPr>
      <w:r w:rsidRPr="00645646">
        <w:rPr>
          <w:rFonts w:ascii="Arial" w:hAnsi="Arial" w:cs="Arial"/>
          <w:sz w:val="24"/>
          <w:szCs w:val="24"/>
        </w:rPr>
        <w:lastRenderedPageBreak/>
        <w:t>Accused 5 is discharged on count 625 and count 626, but for the remainder of the charges the application to be discharged in terms s 174 of the Criminal procedure Act 51 of 197 is dismissed.</w:t>
      </w:r>
    </w:p>
    <w:p w:rsidR="0089040B" w:rsidRPr="00645646" w:rsidRDefault="0089040B" w:rsidP="00645646">
      <w:pPr>
        <w:spacing w:after="0" w:line="360" w:lineRule="auto"/>
        <w:ind w:left="1134" w:hanging="414"/>
        <w:jc w:val="both"/>
        <w:rPr>
          <w:rFonts w:ascii="Arial" w:hAnsi="Arial" w:cs="Arial"/>
          <w:sz w:val="24"/>
          <w:szCs w:val="24"/>
        </w:rPr>
      </w:pPr>
    </w:p>
    <w:p w:rsidR="0089040B" w:rsidRPr="00645646" w:rsidRDefault="0089040B" w:rsidP="00645646">
      <w:pPr>
        <w:pStyle w:val="ListParagraph"/>
        <w:numPr>
          <w:ilvl w:val="0"/>
          <w:numId w:val="27"/>
        </w:numPr>
        <w:spacing w:after="0" w:line="360" w:lineRule="auto"/>
        <w:ind w:left="1134" w:hanging="414"/>
        <w:jc w:val="both"/>
        <w:rPr>
          <w:rFonts w:ascii="Arial" w:hAnsi="Arial" w:cs="Arial"/>
          <w:sz w:val="24"/>
          <w:szCs w:val="24"/>
        </w:rPr>
      </w:pPr>
      <w:r w:rsidRPr="00645646">
        <w:rPr>
          <w:rFonts w:ascii="Arial" w:hAnsi="Arial" w:cs="Arial"/>
          <w:sz w:val="24"/>
          <w:szCs w:val="24"/>
        </w:rPr>
        <w:t>Accused 14 is discharged on count 629 but for the remainder of the charges, the application to be discharged in terms s 174 of the Criminal procedure Act 51 of 197 is dismissed.</w:t>
      </w:r>
    </w:p>
    <w:p w:rsidR="0089040B" w:rsidRPr="00645646" w:rsidRDefault="0089040B" w:rsidP="00645646">
      <w:pPr>
        <w:spacing w:after="0" w:line="360" w:lineRule="auto"/>
        <w:ind w:left="1134" w:hanging="414"/>
        <w:jc w:val="both"/>
        <w:rPr>
          <w:rFonts w:ascii="Arial" w:hAnsi="Arial" w:cs="Arial"/>
          <w:sz w:val="24"/>
          <w:szCs w:val="24"/>
        </w:rPr>
      </w:pPr>
    </w:p>
    <w:p w:rsidR="0089040B" w:rsidRPr="00645646" w:rsidRDefault="0089040B" w:rsidP="00645646">
      <w:pPr>
        <w:pStyle w:val="ListParagraph"/>
        <w:numPr>
          <w:ilvl w:val="0"/>
          <w:numId w:val="27"/>
        </w:numPr>
        <w:spacing w:after="0" w:line="360" w:lineRule="auto"/>
        <w:ind w:left="1134" w:hanging="414"/>
        <w:jc w:val="both"/>
        <w:rPr>
          <w:rFonts w:ascii="Arial" w:hAnsi="Arial" w:cs="Arial"/>
          <w:sz w:val="24"/>
          <w:szCs w:val="24"/>
        </w:rPr>
      </w:pPr>
      <w:r w:rsidRPr="00645646">
        <w:rPr>
          <w:rFonts w:ascii="Arial" w:hAnsi="Arial" w:cs="Arial"/>
          <w:sz w:val="24"/>
          <w:szCs w:val="24"/>
        </w:rPr>
        <w:t>Application for accused 2, 3, 7, 8, 9, 11 and 12 to be discharged in terms s 174 of the Criminal procedure Act 51 of 1977 is dismissed.</w:t>
      </w:r>
    </w:p>
    <w:p w:rsidR="0089040B" w:rsidRPr="00645646" w:rsidRDefault="0089040B" w:rsidP="00645646">
      <w:pPr>
        <w:spacing w:after="0" w:line="360" w:lineRule="auto"/>
        <w:ind w:left="1134" w:hanging="414"/>
        <w:jc w:val="both"/>
        <w:rPr>
          <w:rFonts w:ascii="Arial" w:hAnsi="Arial" w:cs="Arial"/>
          <w:sz w:val="24"/>
          <w:szCs w:val="24"/>
        </w:rPr>
      </w:pPr>
    </w:p>
    <w:p w:rsidR="0089040B" w:rsidRPr="00645646" w:rsidRDefault="0089040B" w:rsidP="00645646">
      <w:pPr>
        <w:pStyle w:val="ListParagraph"/>
        <w:numPr>
          <w:ilvl w:val="0"/>
          <w:numId w:val="27"/>
        </w:numPr>
        <w:spacing w:after="0" w:line="360" w:lineRule="auto"/>
        <w:ind w:left="1134" w:hanging="414"/>
        <w:jc w:val="both"/>
        <w:rPr>
          <w:rFonts w:ascii="Arial" w:hAnsi="Arial" w:cs="Arial"/>
          <w:sz w:val="24"/>
          <w:szCs w:val="24"/>
        </w:rPr>
      </w:pPr>
      <w:r w:rsidRPr="00645646">
        <w:rPr>
          <w:rFonts w:ascii="Arial" w:hAnsi="Arial" w:cs="Arial"/>
          <w:sz w:val="24"/>
          <w:szCs w:val="24"/>
        </w:rPr>
        <w:t xml:space="preserve">The matter is postponed to </w:t>
      </w:r>
      <w:r w:rsidRPr="00645646">
        <w:rPr>
          <w:rFonts w:ascii="Arial" w:hAnsi="Arial" w:cs="Arial"/>
          <w:b/>
          <w:sz w:val="24"/>
          <w:szCs w:val="24"/>
        </w:rPr>
        <w:t>24 August 2020</w:t>
      </w:r>
      <w:r w:rsidRPr="00645646">
        <w:rPr>
          <w:rFonts w:ascii="Arial" w:hAnsi="Arial" w:cs="Arial"/>
          <w:sz w:val="24"/>
          <w:szCs w:val="24"/>
        </w:rPr>
        <w:t xml:space="preserve">, at </w:t>
      </w:r>
      <w:r w:rsidRPr="00645646">
        <w:rPr>
          <w:rFonts w:ascii="Arial" w:hAnsi="Arial" w:cs="Arial"/>
          <w:b/>
          <w:sz w:val="24"/>
          <w:szCs w:val="24"/>
        </w:rPr>
        <w:t>09h00</w:t>
      </w:r>
      <w:r w:rsidRPr="00645646">
        <w:rPr>
          <w:rFonts w:ascii="Arial" w:hAnsi="Arial" w:cs="Arial"/>
          <w:sz w:val="24"/>
          <w:szCs w:val="24"/>
        </w:rPr>
        <w:t xml:space="preserve"> for continuation of trial.</w:t>
      </w:r>
    </w:p>
    <w:p w:rsidR="0099115A" w:rsidRDefault="0099115A" w:rsidP="0089040B">
      <w:pPr>
        <w:spacing w:after="0" w:line="360" w:lineRule="auto"/>
        <w:jc w:val="both"/>
        <w:rPr>
          <w:rFonts w:ascii="Arial" w:hAnsi="Arial" w:cs="Arial"/>
          <w:sz w:val="24"/>
          <w:szCs w:val="24"/>
        </w:rPr>
      </w:pPr>
    </w:p>
    <w:p w:rsidR="0099115A" w:rsidRDefault="0099115A" w:rsidP="0089040B">
      <w:pPr>
        <w:spacing w:after="0" w:line="360" w:lineRule="auto"/>
        <w:jc w:val="both"/>
        <w:rPr>
          <w:rFonts w:ascii="Arial" w:hAnsi="Arial" w:cs="Arial"/>
          <w:sz w:val="24"/>
          <w:szCs w:val="24"/>
        </w:rPr>
      </w:pPr>
    </w:p>
    <w:p w:rsidR="00645646" w:rsidRDefault="00645646" w:rsidP="0089040B">
      <w:pPr>
        <w:spacing w:after="0" w:line="360" w:lineRule="auto"/>
        <w:jc w:val="both"/>
        <w:rPr>
          <w:rFonts w:ascii="Arial" w:hAnsi="Arial" w:cs="Arial"/>
          <w:sz w:val="24"/>
          <w:szCs w:val="24"/>
        </w:rPr>
      </w:pPr>
    </w:p>
    <w:p w:rsidR="0099115A" w:rsidRPr="00FD467E" w:rsidRDefault="0099115A" w:rsidP="0089040B">
      <w:pPr>
        <w:spacing w:after="0" w:line="360" w:lineRule="auto"/>
        <w:jc w:val="both"/>
        <w:rPr>
          <w:rFonts w:ascii="Arial" w:hAnsi="Arial" w:cs="Arial"/>
          <w:sz w:val="24"/>
          <w:szCs w:val="24"/>
        </w:rPr>
      </w:pPr>
    </w:p>
    <w:p w:rsidR="00F465EF" w:rsidRDefault="00F465EF" w:rsidP="00D83513">
      <w:pPr>
        <w:spacing w:after="0" w:line="360" w:lineRule="auto"/>
        <w:jc w:val="right"/>
        <w:rPr>
          <w:rFonts w:ascii="Arial" w:hAnsi="Arial" w:cs="Arial"/>
          <w:sz w:val="24"/>
          <w:szCs w:val="24"/>
        </w:rPr>
      </w:pPr>
      <w:r>
        <w:rPr>
          <w:rFonts w:ascii="Arial" w:hAnsi="Arial" w:cs="Arial"/>
          <w:sz w:val="24"/>
          <w:szCs w:val="24"/>
        </w:rPr>
        <w:t>_________________</w:t>
      </w:r>
    </w:p>
    <w:p w:rsidR="00F465EF" w:rsidRDefault="005C4CF1" w:rsidP="00D83513">
      <w:pPr>
        <w:spacing w:after="0" w:line="360" w:lineRule="auto"/>
        <w:jc w:val="right"/>
        <w:rPr>
          <w:rFonts w:ascii="Arial" w:hAnsi="Arial" w:cs="Arial"/>
          <w:sz w:val="24"/>
          <w:szCs w:val="24"/>
        </w:rPr>
      </w:pPr>
      <w:r>
        <w:rPr>
          <w:rFonts w:ascii="Arial" w:hAnsi="Arial" w:cs="Arial"/>
          <w:sz w:val="24"/>
          <w:szCs w:val="24"/>
        </w:rPr>
        <w:t>K Miller</w:t>
      </w:r>
    </w:p>
    <w:p w:rsidR="00733412" w:rsidRDefault="00F465EF" w:rsidP="00D83513">
      <w:pPr>
        <w:spacing w:after="0" w:line="360" w:lineRule="auto"/>
        <w:jc w:val="right"/>
        <w:rPr>
          <w:rFonts w:ascii="Arial" w:hAnsi="Arial" w:cs="Arial"/>
          <w:sz w:val="24"/>
          <w:szCs w:val="24"/>
        </w:rPr>
      </w:pPr>
      <w:r>
        <w:rPr>
          <w:rFonts w:ascii="Arial" w:hAnsi="Arial" w:cs="Arial"/>
          <w:sz w:val="24"/>
          <w:szCs w:val="24"/>
        </w:rPr>
        <w:t>Acting Judge</w:t>
      </w:r>
    </w:p>
    <w:p w:rsidR="00645646" w:rsidRDefault="00645646" w:rsidP="00645646">
      <w:pPr>
        <w:spacing w:after="0" w:line="360" w:lineRule="auto"/>
        <w:jc w:val="both"/>
        <w:rPr>
          <w:rFonts w:ascii="Arial" w:hAnsi="Arial" w:cs="Arial"/>
          <w:sz w:val="24"/>
          <w:szCs w:val="24"/>
        </w:rPr>
      </w:pPr>
    </w:p>
    <w:p w:rsidR="00645646" w:rsidRDefault="00645646" w:rsidP="00645646">
      <w:pPr>
        <w:spacing w:after="0" w:line="360" w:lineRule="auto"/>
        <w:jc w:val="both"/>
        <w:rPr>
          <w:rFonts w:ascii="Arial" w:hAnsi="Arial" w:cs="Arial"/>
          <w:sz w:val="24"/>
          <w:szCs w:val="24"/>
        </w:rPr>
      </w:pPr>
    </w:p>
    <w:p w:rsidR="00645646" w:rsidRDefault="00645646" w:rsidP="00645646">
      <w:pPr>
        <w:spacing w:after="0" w:line="360" w:lineRule="auto"/>
        <w:jc w:val="both"/>
        <w:rPr>
          <w:rFonts w:ascii="Arial" w:hAnsi="Arial" w:cs="Arial"/>
          <w:sz w:val="24"/>
          <w:szCs w:val="24"/>
        </w:rPr>
        <w:sectPr w:rsidR="00645646" w:rsidSect="009B25A1">
          <w:headerReference w:type="default" r:id="rId12"/>
          <w:pgSz w:w="12240" w:h="15840"/>
          <w:pgMar w:top="851" w:right="1440" w:bottom="1135" w:left="1440" w:header="720" w:footer="720" w:gutter="0"/>
          <w:cols w:space="720"/>
          <w:titlePg/>
          <w:docGrid w:linePitch="360"/>
        </w:sectPr>
      </w:pPr>
    </w:p>
    <w:p w:rsidR="00CC4E46" w:rsidRPr="00645646" w:rsidRDefault="00CC4E46" w:rsidP="00645646">
      <w:pPr>
        <w:spacing w:after="0" w:line="360" w:lineRule="auto"/>
        <w:jc w:val="both"/>
        <w:rPr>
          <w:rFonts w:ascii="Arial" w:hAnsi="Arial" w:cs="Arial"/>
          <w:sz w:val="24"/>
          <w:szCs w:val="24"/>
        </w:rPr>
      </w:pPr>
    </w:p>
    <w:p w:rsidR="00F465EF" w:rsidRPr="00645646" w:rsidRDefault="00F465EF" w:rsidP="00645646">
      <w:pPr>
        <w:spacing w:after="0" w:line="360" w:lineRule="auto"/>
        <w:jc w:val="both"/>
        <w:rPr>
          <w:rFonts w:ascii="Arial" w:hAnsi="Arial" w:cs="Arial"/>
          <w:sz w:val="24"/>
          <w:szCs w:val="24"/>
          <w:u w:val="single"/>
        </w:rPr>
      </w:pPr>
      <w:r w:rsidRPr="00645646">
        <w:rPr>
          <w:rFonts w:ascii="Arial" w:hAnsi="Arial" w:cs="Arial"/>
          <w:sz w:val="24"/>
          <w:szCs w:val="24"/>
          <w:u w:val="single"/>
        </w:rPr>
        <w:t>APPEARANCES:</w:t>
      </w:r>
    </w:p>
    <w:p w:rsidR="00F465EF" w:rsidRPr="00645646" w:rsidRDefault="00F465EF" w:rsidP="00645646">
      <w:pPr>
        <w:pStyle w:val="BodyText"/>
        <w:autoSpaceDE w:val="0"/>
        <w:autoSpaceDN w:val="0"/>
        <w:adjustRightInd w:val="0"/>
        <w:spacing w:line="360" w:lineRule="auto"/>
        <w:jc w:val="both"/>
        <w:rPr>
          <w:rFonts w:ascii="Arial" w:hAnsi="Arial" w:cs="Arial"/>
        </w:rPr>
      </w:pPr>
    </w:p>
    <w:p w:rsidR="00A46A91" w:rsidRPr="00645646" w:rsidRDefault="00645646" w:rsidP="00645646">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1</w:t>
      </w:r>
      <w:r w:rsidRPr="00645646">
        <w:rPr>
          <w:rFonts w:ascii="Arial" w:hAnsi="Arial" w:cs="Arial"/>
          <w:sz w:val="24"/>
          <w:szCs w:val="24"/>
          <w:vertAlign w:val="superscript"/>
        </w:rPr>
        <w:t>ST</w:t>
      </w:r>
      <w:r>
        <w:rPr>
          <w:rFonts w:ascii="Arial" w:hAnsi="Arial" w:cs="Arial"/>
          <w:sz w:val="24"/>
          <w:szCs w:val="24"/>
        </w:rPr>
        <w:t xml:space="preserve"> </w:t>
      </w:r>
      <w:r w:rsidR="00A46A91" w:rsidRPr="00645646">
        <w:rPr>
          <w:rFonts w:ascii="Arial" w:hAnsi="Arial" w:cs="Arial"/>
          <w:sz w:val="24"/>
          <w:szCs w:val="24"/>
        </w:rPr>
        <w:t>ACCUSED</w:t>
      </w:r>
      <w:r w:rsidR="00A46A91" w:rsidRPr="00645646">
        <w:rPr>
          <w:rFonts w:ascii="Arial" w:hAnsi="Arial" w:cs="Arial"/>
          <w:sz w:val="24"/>
          <w:szCs w:val="24"/>
        </w:rPr>
        <w:tab/>
      </w:r>
      <w:r w:rsidR="00A46A91" w:rsidRPr="00645646">
        <w:rPr>
          <w:rFonts w:ascii="Arial" w:hAnsi="Arial" w:cs="Arial"/>
          <w:sz w:val="24"/>
          <w:szCs w:val="24"/>
        </w:rPr>
        <w:tab/>
      </w:r>
      <w:r w:rsidR="00A46A91" w:rsidRPr="00645646">
        <w:rPr>
          <w:rFonts w:ascii="Arial" w:hAnsi="Arial" w:cs="Arial"/>
          <w:sz w:val="24"/>
          <w:szCs w:val="24"/>
        </w:rPr>
        <w:tab/>
      </w:r>
      <w:r>
        <w:rPr>
          <w:rFonts w:ascii="Arial" w:hAnsi="Arial" w:cs="Arial"/>
          <w:sz w:val="24"/>
          <w:szCs w:val="24"/>
        </w:rPr>
        <w:t>W T CHRISTIANS</w:t>
      </w:r>
    </w:p>
    <w:p w:rsidR="006D2ABD" w:rsidRPr="00645646" w:rsidRDefault="00A46A91" w:rsidP="00645646">
      <w:pPr>
        <w:tabs>
          <w:tab w:val="left" w:pos="1394"/>
          <w:tab w:val="left" w:pos="2528"/>
          <w:tab w:val="left" w:pos="2970"/>
        </w:tabs>
        <w:spacing w:after="0" w:line="360" w:lineRule="auto"/>
        <w:jc w:val="both"/>
        <w:rPr>
          <w:rFonts w:ascii="Arial" w:hAnsi="Arial" w:cs="Arial"/>
          <w:sz w:val="24"/>
          <w:szCs w:val="24"/>
        </w:rPr>
      </w:pPr>
      <w:r w:rsidRPr="00645646">
        <w:rPr>
          <w:rFonts w:ascii="Arial" w:hAnsi="Arial" w:cs="Arial"/>
          <w:sz w:val="24"/>
          <w:szCs w:val="24"/>
        </w:rPr>
        <w:tab/>
      </w:r>
      <w:r w:rsidRPr="00645646">
        <w:rPr>
          <w:rFonts w:ascii="Arial" w:hAnsi="Arial" w:cs="Arial"/>
          <w:sz w:val="24"/>
          <w:szCs w:val="24"/>
        </w:rPr>
        <w:tab/>
      </w:r>
      <w:r w:rsidRPr="00645646">
        <w:rPr>
          <w:rFonts w:ascii="Arial" w:hAnsi="Arial" w:cs="Arial"/>
          <w:sz w:val="24"/>
          <w:szCs w:val="24"/>
        </w:rPr>
        <w:tab/>
      </w:r>
      <w:r w:rsidRPr="00645646">
        <w:rPr>
          <w:rFonts w:ascii="Arial" w:hAnsi="Arial" w:cs="Arial"/>
          <w:sz w:val="24"/>
          <w:szCs w:val="24"/>
        </w:rPr>
        <w:tab/>
      </w:r>
      <w:r w:rsidR="00645646">
        <w:rPr>
          <w:rFonts w:ascii="Arial" w:hAnsi="Arial" w:cs="Arial"/>
          <w:sz w:val="24"/>
          <w:szCs w:val="24"/>
        </w:rPr>
        <w:t xml:space="preserve">Of </w:t>
      </w:r>
      <w:r w:rsidRPr="00645646">
        <w:rPr>
          <w:rFonts w:ascii="Arial" w:hAnsi="Arial" w:cs="Arial"/>
          <w:sz w:val="24"/>
          <w:szCs w:val="24"/>
        </w:rPr>
        <w:t>WT</w:t>
      </w:r>
      <w:r w:rsidR="00645646">
        <w:rPr>
          <w:rFonts w:ascii="Arial" w:hAnsi="Arial" w:cs="Arial"/>
          <w:sz w:val="24"/>
          <w:szCs w:val="24"/>
        </w:rPr>
        <w:t xml:space="preserve"> Christians Legal Practitioners, </w:t>
      </w:r>
      <w:r w:rsidRPr="00645646">
        <w:rPr>
          <w:rFonts w:ascii="Arial" w:hAnsi="Arial" w:cs="Arial"/>
          <w:sz w:val="24"/>
          <w:szCs w:val="24"/>
        </w:rPr>
        <w:t>Rehoboth</w:t>
      </w:r>
    </w:p>
    <w:p w:rsidR="00645646" w:rsidRDefault="00645646" w:rsidP="00645646">
      <w:pPr>
        <w:tabs>
          <w:tab w:val="left" w:pos="1394"/>
          <w:tab w:val="left" w:pos="2528"/>
          <w:tab w:val="left" w:pos="2970"/>
        </w:tabs>
        <w:spacing w:after="0" w:line="360" w:lineRule="auto"/>
        <w:jc w:val="both"/>
        <w:rPr>
          <w:rFonts w:ascii="Arial" w:hAnsi="Arial" w:cs="Arial"/>
          <w:sz w:val="24"/>
          <w:szCs w:val="24"/>
        </w:rPr>
      </w:pPr>
    </w:p>
    <w:p w:rsidR="00645646" w:rsidRPr="00645646" w:rsidRDefault="00645646" w:rsidP="00645646">
      <w:pPr>
        <w:pStyle w:val="NoSpacing"/>
        <w:spacing w:line="360" w:lineRule="auto"/>
        <w:rPr>
          <w:rFonts w:ascii="Arial" w:hAnsi="Arial" w:cs="Arial"/>
          <w:sz w:val="24"/>
          <w:szCs w:val="24"/>
        </w:rPr>
      </w:pPr>
      <w:r>
        <w:rPr>
          <w:rFonts w:ascii="Arial" w:hAnsi="Arial" w:cs="Arial"/>
          <w:sz w:val="24"/>
          <w:szCs w:val="24"/>
        </w:rPr>
        <w:t>2</w:t>
      </w:r>
      <w:r w:rsidRPr="00645646">
        <w:rPr>
          <w:rFonts w:ascii="Arial" w:hAnsi="Arial" w:cs="Arial"/>
          <w:sz w:val="24"/>
          <w:szCs w:val="24"/>
          <w:vertAlign w:val="superscript"/>
        </w:rPr>
        <w:t>ND</w:t>
      </w:r>
      <w:r w:rsidRPr="00645646">
        <w:rPr>
          <w:rFonts w:ascii="Arial" w:hAnsi="Arial" w:cs="Arial"/>
          <w:sz w:val="24"/>
          <w:szCs w:val="24"/>
        </w:rPr>
        <w:t xml:space="preserve">, </w:t>
      </w:r>
      <w:r>
        <w:rPr>
          <w:rFonts w:ascii="Arial" w:hAnsi="Arial" w:cs="Arial"/>
          <w:sz w:val="24"/>
          <w:szCs w:val="24"/>
        </w:rPr>
        <w:t>3</w:t>
      </w:r>
      <w:r w:rsidRPr="00645646">
        <w:rPr>
          <w:rFonts w:ascii="Arial" w:hAnsi="Arial" w:cs="Arial"/>
          <w:sz w:val="24"/>
          <w:szCs w:val="24"/>
          <w:vertAlign w:val="superscript"/>
        </w:rPr>
        <w:t>RD</w:t>
      </w:r>
      <w:r>
        <w:rPr>
          <w:rFonts w:ascii="Arial" w:hAnsi="Arial" w:cs="Arial"/>
          <w:sz w:val="24"/>
          <w:szCs w:val="24"/>
        </w:rPr>
        <w:t xml:space="preserve"> and 7</w:t>
      </w:r>
      <w:r w:rsidRPr="00645646">
        <w:rPr>
          <w:rFonts w:ascii="Arial" w:hAnsi="Arial" w:cs="Arial"/>
          <w:sz w:val="24"/>
          <w:szCs w:val="24"/>
          <w:vertAlign w:val="superscript"/>
        </w:rPr>
        <w:t>TH</w:t>
      </w:r>
      <w:r>
        <w:rPr>
          <w:rFonts w:ascii="Arial" w:hAnsi="Arial" w:cs="Arial"/>
          <w:sz w:val="24"/>
          <w:szCs w:val="24"/>
        </w:rPr>
        <w:t xml:space="preserve"> </w:t>
      </w:r>
      <w:r w:rsidRPr="00645646">
        <w:rPr>
          <w:rFonts w:ascii="Arial" w:hAnsi="Arial" w:cs="Arial"/>
          <w:sz w:val="24"/>
          <w:szCs w:val="24"/>
        </w:rPr>
        <w:t>ACCUSED</w:t>
      </w:r>
      <w:r>
        <w:rPr>
          <w:rFonts w:ascii="Arial" w:hAnsi="Arial" w:cs="Arial"/>
          <w:sz w:val="24"/>
          <w:szCs w:val="24"/>
        </w:rPr>
        <w:t>S</w:t>
      </w:r>
      <w:r w:rsidRPr="00645646">
        <w:rPr>
          <w:rFonts w:ascii="Arial" w:hAnsi="Arial" w:cs="Arial"/>
          <w:sz w:val="24"/>
          <w:szCs w:val="24"/>
        </w:rPr>
        <w:tab/>
      </w:r>
      <w:r>
        <w:rPr>
          <w:rFonts w:ascii="Arial" w:hAnsi="Arial" w:cs="Arial"/>
          <w:sz w:val="24"/>
          <w:szCs w:val="24"/>
        </w:rPr>
        <w:t>M N</w:t>
      </w:r>
      <w:r w:rsidRPr="00645646">
        <w:rPr>
          <w:rFonts w:ascii="Arial" w:hAnsi="Arial" w:cs="Arial"/>
          <w:sz w:val="24"/>
          <w:szCs w:val="24"/>
        </w:rPr>
        <w:t xml:space="preserve"> K</w:t>
      </w:r>
      <w:r>
        <w:rPr>
          <w:rFonts w:ascii="Arial" w:hAnsi="Arial" w:cs="Arial"/>
          <w:sz w:val="24"/>
          <w:szCs w:val="24"/>
        </w:rPr>
        <w:t>ATUVESIRAVENA</w:t>
      </w:r>
    </w:p>
    <w:p w:rsidR="00645646" w:rsidRPr="00645646" w:rsidRDefault="00645646" w:rsidP="00645646">
      <w:pPr>
        <w:pStyle w:val="NoSpacing"/>
        <w:spacing w:line="360" w:lineRule="auto"/>
        <w:ind w:left="2880" w:firstLine="720"/>
        <w:rPr>
          <w:rFonts w:ascii="Arial" w:hAnsi="Arial" w:cs="Arial"/>
          <w:sz w:val="24"/>
          <w:szCs w:val="24"/>
        </w:rPr>
      </w:pPr>
      <w:r>
        <w:rPr>
          <w:rFonts w:ascii="Arial" w:hAnsi="Arial" w:cs="Arial"/>
          <w:sz w:val="24"/>
          <w:szCs w:val="24"/>
        </w:rPr>
        <w:t xml:space="preserve">Of </w:t>
      </w:r>
      <w:proofErr w:type="spellStart"/>
      <w:r w:rsidRPr="00645646">
        <w:rPr>
          <w:rFonts w:ascii="Arial" w:hAnsi="Arial" w:cs="Arial"/>
          <w:sz w:val="24"/>
          <w:szCs w:val="24"/>
        </w:rPr>
        <w:t>Uanivi-Gaes</w:t>
      </w:r>
      <w:proofErr w:type="spellEnd"/>
      <w:r w:rsidRPr="00645646">
        <w:rPr>
          <w:rFonts w:ascii="Arial" w:hAnsi="Arial" w:cs="Arial"/>
          <w:sz w:val="24"/>
          <w:szCs w:val="24"/>
        </w:rPr>
        <w:t xml:space="preserve"> Inc</w:t>
      </w:r>
      <w:r>
        <w:rPr>
          <w:rFonts w:ascii="Arial" w:hAnsi="Arial" w:cs="Arial"/>
          <w:sz w:val="24"/>
          <w:szCs w:val="24"/>
        </w:rPr>
        <w:t>., Windhoek</w:t>
      </w:r>
    </w:p>
    <w:p w:rsidR="00645646" w:rsidRPr="00645646" w:rsidRDefault="00645646" w:rsidP="00645646">
      <w:pPr>
        <w:tabs>
          <w:tab w:val="left" w:pos="1394"/>
          <w:tab w:val="left" w:pos="2528"/>
          <w:tab w:val="left" w:pos="2970"/>
        </w:tabs>
        <w:spacing w:after="0" w:line="360" w:lineRule="auto"/>
        <w:jc w:val="both"/>
        <w:rPr>
          <w:rFonts w:ascii="Arial" w:hAnsi="Arial" w:cs="Arial"/>
          <w:sz w:val="24"/>
          <w:szCs w:val="24"/>
        </w:rPr>
      </w:pPr>
    </w:p>
    <w:p w:rsidR="00645646" w:rsidRPr="00645646" w:rsidRDefault="00645646" w:rsidP="00645646">
      <w:pPr>
        <w:pStyle w:val="NoSpacing"/>
        <w:spacing w:line="360" w:lineRule="auto"/>
        <w:rPr>
          <w:rFonts w:ascii="Arial" w:hAnsi="Arial" w:cs="Arial"/>
          <w:sz w:val="24"/>
          <w:szCs w:val="24"/>
        </w:rPr>
      </w:pPr>
      <w:r>
        <w:rPr>
          <w:rFonts w:ascii="Arial" w:hAnsi="Arial" w:cs="Arial"/>
          <w:sz w:val="24"/>
          <w:szCs w:val="24"/>
        </w:rPr>
        <w:t>5</w:t>
      </w:r>
      <w:r w:rsidRPr="00645646">
        <w:rPr>
          <w:rFonts w:ascii="Arial" w:hAnsi="Arial" w:cs="Arial"/>
          <w:sz w:val="24"/>
          <w:szCs w:val="24"/>
          <w:vertAlign w:val="superscript"/>
        </w:rPr>
        <w:t>TH</w:t>
      </w:r>
      <w:r>
        <w:rPr>
          <w:rFonts w:ascii="Arial" w:hAnsi="Arial" w:cs="Arial"/>
          <w:sz w:val="24"/>
          <w:szCs w:val="24"/>
        </w:rPr>
        <w:t xml:space="preserve"> </w:t>
      </w:r>
      <w:r w:rsidRPr="00645646">
        <w:rPr>
          <w:rFonts w:ascii="Arial" w:hAnsi="Arial" w:cs="Arial"/>
          <w:sz w:val="24"/>
          <w:szCs w:val="24"/>
        </w:rPr>
        <w:t>ACCUSED</w:t>
      </w:r>
      <w:r w:rsidRPr="00645646">
        <w:rPr>
          <w:rFonts w:ascii="Arial" w:hAnsi="Arial" w:cs="Arial"/>
          <w:sz w:val="24"/>
          <w:szCs w:val="24"/>
        </w:rPr>
        <w:tab/>
      </w:r>
      <w:r>
        <w:rPr>
          <w:rFonts w:ascii="Arial" w:hAnsi="Arial" w:cs="Arial"/>
          <w:sz w:val="24"/>
          <w:szCs w:val="24"/>
        </w:rPr>
        <w:tab/>
      </w:r>
      <w:r>
        <w:rPr>
          <w:rFonts w:ascii="Arial" w:hAnsi="Arial" w:cs="Arial"/>
          <w:sz w:val="24"/>
          <w:szCs w:val="24"/>
        </w:rPr>
        <w:tab/>
        <w:t>K KAMWI</w:t>
      </w:r>
    </w:p>
    <w:p w:rsidR="00C4719F" w:rsidRPr="00645646" w:rsidRDefault="00645646" w:rsidP="00645646">
      <w:pPr>
        <w:pStyle w:val="NoSpacing"/>
        <w:spacing w:line="360" w:lineRule="auto"/>
        <w:ind w:left="3600"/>
        <w:rPr>
          <w:rFonts w:ascii="Arial" w:hAnsi="Arial" w:cs="Arial"/>
          <w:sz w:val="24"/>
          <w:szCs w:val="24"/>
        </w:rPr>
      </w:pPr>
      <w:r>
        <w:rPr>
          <w:rFonts w:ascii="Arial" w:hAnsi="Arial" w:cs="Arial"/>
          <w:sz w:val="24"/>
          <w:szCs w:val="24"/>
        </w:rPr>
        <w:t xml:space="preserve">Of </w:t>
      </w:r>
      <w:r w:rsidR="00A46A91" w:rsidRPr="00645646">
        <w:rPr>
          <w:rFonts w:ascii="Arial" w:hAnsi="Arial" w:cs="Arial"/>
          <w:sz w:val="24"/>
          <w:szCs w:val="24"/>
        </w:rPr>
        <w:t xml:space="preserve">K </w:t>
      </w:r>
      <w:proofErr w:type="spellStart"/>
      <w:r w:rsidR="00A46A91" w:rsidRPr="00645646">
        <w:rPr>
          <w:rFonts w:ascii="Arial" w:hAnsi="Arial" w:cs="Arial"/>
          <w:sz w:val="24"/>
          <w:szCs w:val="24"/>
        </w:rPr>
        <w:t>Kamwi</w:t>
      </w:r>
      <w:proofErr w:type="spellEnd"/>
      <w:r w:rsidR="00A46A91" w:rsidRPr="00645646">
        <w:rPr>
          <w:rFonts w:ascii="Arial" w:hAnsi="Arial" w:cs="Arial"/>
          <w:sz w:val="24"/>
          <w:szCs w:val="24"/>
        </w:rPr>
        <w:t xml:space="preserve"> Law Chambers</w:t>
      </w:r>
      <w:r>
        <w:rPr>
          <w:rFonts w:ascii="Arial" w:hAnsi="Arial" w:cs="Arial"/>
          <w:sz w:val="24"/>
          <w:szCs w:val="24"/>
        </w:rPr>
        <w:t>, Windhoek</w:t>
      </w:r>
    </w:p>
    <w:p w:rsidR="00C4719F" w:rsidRPr="00645646" w:rsidRDefault="00C4719F" w:rsidP="00645646">
      <w:pPr>
        <w:pStyle w:val="NoSpacing"/>
        <w:spacing w:line="360" w:lineRule="auto"/>
        <w:rPr>
          <w:rFonts w:ascii="Arial" w:hAnsi="Arial" w:cs="Arial"/>
          <w:sz w:val="24"/>
          <w:szCs w:val="24"/>
        </w:rPr>
      </w:pPr>
    </w:p>
    <w:p w:rsidR="00C4719F" w:rsidRPr="00645646" w:rsidRDefault="00645646" w:rsidP="00645646">
      <w:pPr>
        <w:pStyle w:val="NoSpacing"/>
        <w:spacing w:line="360" w:lineRule="auto"/>
        <w:rPr>
          <w:rFonts w:ascii="Arial" w:hAnsi="Arial" w:cs="Arial"/>
          <w:sz w:val="24"/>
          <w:szCs w:val="24"/>
        </w:rPr>
      </w:pPr>
      <w:r>
        <w:rPr>
          <w:rFonts w:ascii="Arial" w:hAnsi="Arial" w:cs="Arial"/>
          <w:sz w:val="24"/>
          <w:szCs w:val="24"/>
        </w:rPr>
        <w:t>6</w:t>
      </w:r>
      <w:r w:rsidRPr="00645646">
        <w:rPr>
          <w:rFonts w:ascii="Arial" w:hAnsi="Arial" w:cs="Arial"/>
          <w:sz w:val="24"/>
          <w:szCs w:val="24"/>
          <w:vertAlign w:val="superscript"/>
        </w:rPr>
        <w:t>TH</w:t>
      </w:r>
      <w:r>
        <w:rPr>
          <w:rFonts w:ascii="Arial" w:hAnsi="Arial" w:cs="Arial"/>
          <w:sz w:val="24"/>
          <w:szCs w:val="24"/>
        </w:rPr>
        <w:t xml:space="preserve"> </w:t>
      </w:r>
      <w:r w:rsidR="00A46A91" w:rsidRPr="00645646">
        <w:rPr>
          <w:rFonts w:ascii="Arial" w:hAnsi="Arial" w:cs="Arial"/>
          <w:sz w:val="24"/>
          <w:szCs w:val="24"/>
        </w:rPr>
        <w:t>ACCUSED</w:t>
      </w:r>
      <w:r w:rsidR="00A46A91" w:rsidRPr="00645646">
        <w:rPr>
          <w:rFonts w:ascii="Arial" w:hAnsi="Arial" w:cs="Arial"/>
          <w:sz w:val="24"/>
          <w:szCs w:val="24"/>
        </w:rPr>
        <w:tab/>
      </w:r>
      <w:r w:rsidR="00A46A91" w:rsidRPr="00645646">
        <w:rPr>
          <w:rFonts w:ascii="Arial" w:hAnsi="Arial" w:cs="Arial"/>
          <w:sz w:val="24"/>
          <w:szCs w:val="24"/>
        </w:rPr>
        <w:tab/>
      </w:r>
      <w:r w:rsidR="00A46A91" w:rsidRPr="00645646">
        <w:rPr>
          <w:rFonts w:ascii="Arial" w:hAnsi="Arial" w:cs="Arial"/>
          <w:sz w:val="24"/>
          <w:szCs w:val="24"/>
        </w:rPr>
        <w:tab/>
      </w:r>
      <w:r>
        <w:rPr>
          <w:rFonts w:ascii="Arial" w:hAnsi="Arial" w:cs="Arial"/>
          <w:sz w:val="24"/>
          <w:szCs w:val="24"/>
        </w:rPr>
        <w:t xml:space="preserve">T M </w:t>
      </w:r>
      <w:r w:rsidR="00C4719F" w:rsidRPr="00645646">
        <w:rPr>
          <w:rFonts w:ascii="Arial" w:hAnsi="Arial" w:cs="Arial"/>
          <w:sz w:val="24"/>
          <w:szCs w:val="24"/>
        </w:rPr>
        <w:t>C</w:t>
      </w:r>
      <w:r>
        <w:rPr>
          <w:rFonts w:ascii="Arial" w:hAnsi="Arial" w:cs="Arial"/>
          <w:sz w:val="24"/>
          <w:szCs w:val="24"/>
        </w:rPr>
        <w:t>AROLUS</w:t>
      </w:r>
    </w:p>
    <w:p w:rsidR="00C4719F" w:rsidRPr="00645646" w:rsidRDefault="00645646" w:rsidP="00645646">
      <w:pPr>
        <w:pStyle w:val="NoSpacing"/>
        <w:spacing w:line="360" w:lineRule="auto"/>
        <w:ind w:left="2880" w:firstLine="720"/>
        <w:rPr>
          <w:rFonts w:ascii="Arial" w:hAnsi="Arial" w:cs="Arial"/>
          <w:sz w:val="24"/>
          <w:szCs w:val="24"/>
        </w:rPr>
      </w:pPr>
      <w:r>
        <w:rPr>
          <w:rFonts w:ascii="Arial" w:hAnsi="Arial" w:cs="Arial"/>
          <w:sz w:val="24"/>
          <w:szCs w:val="24"/>
        </w:rPr>
        <w:t xml:space="preserve">Of </w:t>
      </w:r>
      <w:r w:rsidR="00C4719F" w:rsidRPr="00645646">
        <w:rPr>
          <w:rFonts w:ascii="Arial" w:hAnsi="Arial" w:cs="Arial"/>
          <w:sz w:val="24"/>
          <w:szCs w:val="24"/>
        </w:rPr>
        <w:t>Neves Legal Practitioners</w:t>
      </w:r>
      <w:r>
        <w:rPr>
          <w:rFonts w:ascii="Arial" w:hAnsi="Arial" w:cs="Arial"/>
          <w:sz w:val="24"/>
          <w:szCs w:val="24"/>
        </w:rPr>
        <w:t>, Windhoek</w:t>
      </w:r>
    </w:p>
    <w:p w:rsidR="00645646" w:rsidRPr="00645646" w:rsidRDefault="00645646" w:rsidP="00645646">
      <w:pPr>
        <w:pStyle w:val="NoSpacing"/>
        <w:spacing w:line="360" w:lineRule="auto"/>
        <w:rPr>
          <w:rFonts w:ascii="Arial" w:hAnsi="Arial" w:cs="Arial"/>
          <w:sz w:val="24"/>
          <w:szCs w:val="24"/>
        </w:rPr>
      </w:pPr>
    </w:p>
    <w:p w:rsidR="00A46A91" w:rsidRPr="00645646" w:rsidRDefault="00645646" w:rsidP="00645646">
      <w:pPr>
        <w:pStyle w:val="NoSpacing"/>
        <w:spacing w:line="360" w:lineRule="auto"/>
        <w:rPr>
          <w:rFonts w:ascii="Arial" w:hAnsi="Arial" w:cs="Arial"/>
          <w:sz w:val="24"/>
          <w:szCs w:val="24"/>
        </w:rPr>
      </w:pPr>
      <w:r>
        <w:rPr>
          <w:rFonts w:ascii="Arial" w:hAnsi="Arial" w:cs="Arial"/>
          <w:sz w:val="24"/>
          <w:szCs w:val="24"/>
        </w:rPr>
        <w:t>8</w:t>
      </w:r>
      <w:r w:rsidRPr="00645646">
        <w:rPr>
          <w:rFonts w:ascii="Arial" w:hAnsi="Arial" w:cs="Arial"/>
          <w:sz w:val="24"/>
          <w:szCs w:val="24"/>
          <w:vertAlign w:val="superscript"/>
        </w:rPr>
        <w:t>TH</w:t>
      </w:r>
      <w:r w:rsidR="00A46A91" w:rsidRPr="00645646">
        <w:rPr>
          <w:rFonts w:ascii="Arial" w:hAnsi="Arial" w:cs="Arial"/>
          <w:sz w:val="24"/>
          <w:szCs w:val="24"/>
        </w:rPr>
        <w:t xml:space="preserve">, </w:t>
      </w:r>
      <w:r>
        <w:rPr>
          <w:rFonts w:ascii="Arial" w:hAnsi="Arial" w:cs="Arial"/>
          <w:sz w:val="24"/>
          <w:szCs w:val="24"/>
        </w:rPr>
        <w:t>9</w:t>
      </w:r>
      <w:r w:rsidRPr="00645646">
        <w:rPr>
          <w:rFonts w:ascii="Arial" w:hAnsi="Arial" w:cs="Arial"/>
          <w:sz w:val="24"/>
          <w:szCs w:val="24"/>
          <w:vertAlign w:val="superscript"/>
        </w:rPr>
        <w:t>TH</w:t>
      </w:r>
      <w:r w:rsidR="00A46A91" w:rsidRPr="00645646">
        <w:rPr>
          <w:rFonts w:ascii="Arial" w:hAnsi="Arial" w:cs="Arial"/>
          <w:sz w:val="24"/>
          <w:szCs w:val="24"/>
        </w:rPr>
        <w:t xml:space="preserve">, </w:t>
      </w:r>
      <w:r>
        <w:rPr>
          <w:rFonts w:ascii="Arial" w:hAnsi="Arial" w:cs="Arial"/>
          <w:sz w:val="24"/>
          <w:szCs w:val="24"/>
        </w:rPr>
        <w:t>12</w:t>
      </w:r>
      <w:r w:rsidRPr="00645646">
        <w:rPr>
          <w:rFonts w:ascii="Arial" w:hAnsi="Arial" w:cs="Arial"/>
          <w:sz w:val="24"/>
          <w:szCs w:val="24"/>
          <w:vertAlign w:val="superscript"/>
        </w:rPr>
        <w:t>TH</w:t>
      </w:r>
      <w:r>
        <w:rPr>
          <w:rFonts w:ascii="Arial" w:hAnsi="Arial" w:cs="Arial"/>
          <w:sz w:val="24"/>
          <w:szCs w:val="24"/>
        </w:rPr>
        <w:t xml:space="preserve"> and</w:t>
      </w:r>
      <w:r w:rsidR="00A46A91" w:rsidRPr="00645646">
        <w:rPr>
          <w:rFonts w:ascii="Arial" w:hAnsi="Arial" w:cs="Arial"/>
          <w:sz w:val="24"/>
          <w:szCs w:val="24"/>
        </w:rPr>
        <w:t xml:space="preserve"> </w:t>
      </w:r>
      <w:r>
        <w:rPr>
          <w:rFonts w:ascii="Arial" w:hAnsi="Arial" w:cs="Arial"/>
          <w:sz w:val="24"/>
          <w:szCs w:val="24"/>
        </w:rPr>
        <w:t>14</w:t>
      </w:r>
      <w:r w:rsidRPr="00645646">
        <w:rPr>
          <w:rFonts w:ascii="Arial" w:hAnsi="Arial" w:cs="Arial"/>
          <w:sz w:val="24"/>
          <w:szCs w:val="24"/>
          <w:vertAlign w:val="superscript"/>
        </w:rPr>
        <w:t>TH</w:t>
      </w:r>
    </w:p>
    <w:p w:rsidR="00C4719F" w:rsidRPr="00645646" w:rsidRDefault="00A46A91" w:rsidP="00645646">
      <w:pPr>
        <w:pStyle w:val="NoSpacing"/>
        <w:spacing w:line="360" w:lineRule="auto"/>
        <w:rPr>
          <w:rFonts w:ascii="Arial" w:hAnsi="Arial" w:cs="Arial"/>
          <w:sz w:val="24"/>
          <w:szCs w:val="24"/>
        </w:rPr>
      </w:pPr>
      <w:r w:rsidRPr="00645646">
        <w:rPr>
          <w:rFonts w:ascii="Arial" w:hAnsi="Arial" w:cs="Arial"/>
          <w:sz w:val="24"/>
          <w:szCs w:val="24"/>
        </w:rPr>
        <w:t>ACCUSED</w:t>
      </w:r>
      <w:r w:rsidR="00295533">
        <w:rPr>
          <w:rFonts w:ascii="Arial" w:hAnsi="Arial" w:cs="Arial"/>
          <w:sz w:val="24"/>
          <w:szCs w:val="24"/>
        </w:rPr>
        <w:t>S</w:t>
      </w:r>
      <w:r w:rsidRPr="00645646">
        <w:rPr>
          <w:rFonts w:ascii="Arial" w:hAnsi="Arial" w:cs="Arial"/>
          <w:sz w:val="24"/>
          <w:szCs w:val="24"/>
        </w:rPr>
        <w:tab/>
      </w:r>
      <w:r w:rsidRPr="00645646">
        <w:rPr>
          <w:rFonts w:ascii="Arial" w:hAnsi="Arial" w:cs="Arial"/>
          <w:sz w:val="24"/>
          <w:szCs w:val="24"/>
        </w:rPr>
        <w:tab/>
      </w:r>
      <w:r w:rsidRPr="00645646">
        <w:rPr>
          <w:rFonts w:ascii="Arial" w:hAnsi="Arial" w:cs="Arial"/>
          <w:sz w:val="24"/>
          <w:szCs w:val="24"/>
        </w:rPr>
        <w:tab/>
      </w:r>
      <w:r w:rsidRPr="00645646">
        <w:rPr>
          <w:rFonts w:ascii="Arial" w:hAnsi="Arial" w:cs="Arial"/>
          <w:sz w:val="24"/>
          <w:szCs w:val="24"/>
        </w:rPr>
        <w:tab/>
      </w:r>
      <w:r w:rsidR="00645646">
        <w:rPr>
          <w:rFonts w:ascii="Arial" w:hAnsi="Arial" w:cs="Arial"/>
          <w:sz w:val="24"/>
          <w:szCs w:val="24"/>
        </w:rPr>
        <w:t xml:space="preserve">T P </w:t>
      </w:r>
      <w:r w:rsidR="00C4719F" w:rsidRPr="00645646">
        <w:rPr>
          <w:rFonts w:ascii="Arial" w:hAnsi="Arial" w:cs="Arial"/>
          <w:sz w:val="24"/>
          <w:szCs w:val="24"/>
        </w:rPr>
        <w:t>B</w:t>
      </w:r>
      <w:r w:rsidR="00645646">
        <w:rPr>
          <w:rFonts w:ascii="Arial" w:hAnsi="Arial" w:cs="Arial"/>
          <w:sz w:val="24"/>
          <w:szCs w:val="24"/>
        </w:rPr>
        <w:t>ROCKERHOFF</w:t>
      </w:r>
    </w:p>
    <w:p w:rsidR="00C4719F" w:rsidRPr="00645646" w:rsidRDefault="00645646" w:rsidP="00645646">
      <w:pPr>
        <w:pStyle w:val="NoSpacing"/>
        <w:spacing w:line="360" w:lineRule="auto"/>
        <w:ind w:left="2880" w:firstLine="720"/>
        <w:rPr>
          <w:rFonts w:ascii="Arial" w:hAnsi="Arial" w:cs="Arial"/>
          <w:sz w:val="24"/>
          <w:szCs w:val="24"/>
        </w:rPr>
      </w:pPr>
      <w:r>
        <w:rPr>
          <w:rFonts w:ascii="Arial" w:hAnsi="Arial" w:cs="Arial"/>
          <w:sz w:val="24"/>
          <w:szCs w:val="24"/>
        </w:rPr>
        <w:t xml:space="preserve">Of </w:t>
      </w:r>
      <w:proofErr w:type="spellStart"/>
      <w:r w:rsidR="00C4719F" w:rsidRPr="00645646">
        <w:rPr>
          <w:rFonts w:ascii="Arial" w:hAnsi="Arial" w:cs="Arial"/>
          <w:sz w:val="24"/>
          <w:szCs w:val="24"/>
        </w:rPr>
        <w:t>Brockerhoff</w:t>
      </w:r>
      <w:proofErr w:type="spellEnd"/>
      <w:r w:rsidR="00C4719F" w:rsidRPr="00645646">
        <w:rPr>
          <w:rFonts w:ascii="Arial" w:hAnsi="Arial" w:cs="Arial"/>
          <w:sz w:val="24"/>
          <w:szCs w:val="24"/>
        </w:rPr>
        <w:t xml:space="preserve"> &amp; Associates</w:t>
      </w:r>
      <w:r>
        <w:rPr>
          <w:rFonts w:ascii="Arial" w:hAnsi="Arial" w:cs="Arial"/>
          <w:sz w:val="24"/>
          <w:szCs w:val="24"/>
        </w:rPr>
        <w:t>, Windhoek</w:t>
      </w:r>
    </w:p>
    <w:p w:rsidR="00645646" w:rsidRPr="00645646" w:rsidRDefault="00645646" w:rsidP="00645646">
      <w:pPr>
        <w:pStyle w:val="NoSpacing"/>
        <w:spacing w:line="360" w:lineRule="auto"/>
        <w:rPr>
          <w:rFonts w:ascii="Arial" w:hAnsi="Arial" w:cs="Arial"/>
          <w:sz w:val="24"/>
          <w:szCs w:val="24"/>
        </w:rPr>
      </w:pPr>
    </w:p>
    <w:p w:rsidR="00C4719F" w:rsidRPr="00645646" w:rsidRDefault="00645646" w:rsidP="00645646">
      <w:pPr>
        <w:pStyle w:val="NoSpacing"/>
        <w:spacing w:line="360" w:lineRule="auto"/>
        <w:rPr>
          <w:rFonts w:ascii="Arial" w:hAnsi="Arial" w:cs="Arial"/>
          <w:sz w:val="24"/>
          <w:szCs w:val="24"/>
        </w:rPr>
      </w:pPr>
      <w:r>
        <w:rPr>
          <w:rFonts w:ascii="Arial" w:hAnsi="Arial" w:cs="Arial"/>
          <w:sz w:val="24"/>
          <w:szCs w:val="24"/>
        </w:rPr>
        <w:t>11</w:t>
      </w:r>
      <w:r w:rsidRPr="00645646">
        <w:rPr>
          <w:rFonts w:ascii="Arial" w:hAnsi="Arial" w:cs="Arial"/>
          <w:sz w:val="24"/>
          <w:szCs w:val="24"/>
          <w:vertAlign w:val="superscript"/>
        </w:rPr>
        <w:t>TH</w:t>
      </w:r>
      <w:r>
        <w:rPr>
          <w:rFonts w:ascii="Arial" w:hAnsi="Arial" w:cs="Arial"/>
          <w:sz w:val="24"/>
          <w:szCs w:val="24"/>
        </w:rPr>
        <w:t xml:space="preserve"> and 13</w:t>
      </w:r>
      <w:r w:rsidRPr="00645646">
        <w:rPr>
          <w:rFonts w:ascii="Arial" w:hAnsi="Arial" w:cs="Arial"/>
          <w:sz w:val="24"/>
          <w:szCs w:val="24"/>
          <w:vertAlign w:val="superscript"/>
        </w:rPr>
        <w:t>TH</w:t>
      </w:r>
      <w:r>
        <w:rPr>
          <w:rFonts w:ascii="Arial" w:hAnsi="Arial" w:cs="Arial"/>
          <w:sz w:val="24"/>
          <w:szCs w:val="24"/>
        </w:rPr>
        <w:t xml:space="preserve"> </w:t>
      </w:r>
      <w:r w:rsidR="00A46A91" w:rsidRPr="00645646">
        <w:rPr>
          <w:rFonts w:ascii="Arial" w:hAnsi="Arial" w:cs="Arial"/>
          <w:sz w:val="24"/>
          <w:szCs w:val="24"/>
        </w:rPr>
        <w:t>ACCUSED</w:t>
      </w:r>
      <w:r w:rsidR="00295533">
        <w:rPr>
          <w:rFonts w:ascii="Arial" w:hAnsi="Arial" w:cs="Arial"/>
          <w:sz w:val="24"/>
          <w:szCs w:val="24"/>
        </w:rPr>
        <w:t>S</w:t>
      </w:r>
      <w:r w:rsidR="00A46A91" w:rsidRPr="00645646">
        <w:rPr>
          <w:rFonts w:ascii="Arial" w:hAnsi="Arial" w:cs="Arial"/>
          <w:sz w:val="24"/>
          <w:szCs w:val="24"/>
        </w:rPr>
        <w:tab/>
      </w:r>
      <w:r w:rsidR="00C4719F" w:rsidRPr="00645646">
        <w:rPr>
          <w:rFonts w:ascii="Arial" w:hAnsi="Arial" w:cs="Arial"/>
          <w:sz w:val="24"/>
          <w:szCs w:val="24"/>
        </w:rPr>
        <w:t>M T</w:t>
      </w:r>
      <w:r w:rsidR="00295533">
        <w:rPr>
          <w:rFonts w:ascii="Arial" w:hAnsi="Arial" w:cs="Arial"/>
          <w:sz w:val="24"/>
          <w:szCs w:val="24"/>
        </w:rPr>
        <w:t>JITEERE</w:t>
      </w:r>
    </w:p>
    <w:p w:rsidR="00C4719F" w:rsidRPr="00645646" w:rsidRDefault="00295533" w:rsidP="00645646">
      <w:pPr>
        <w:pStyle w:val="NoSpacing"/>
        <w:spacing w:line="360" w:lineRule="auto"/>
        <w:ind w:left="2880" w:firstLine="720"/>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Inc., </w:t>
      </w:r>
      <w:proofErr w:type="spellStart"/>
      <w:r w:rsidR="00C4719F" w:rsidRPr="00645646">
        <w:rPr>
          <w:rFonts w:ascii="Arial" w:hAnsi="Arial" w:cs="Arial"/>
          <w:sz w:val="24"/>
          <w:szCs w:val="24"/>
        </w:rPr>
        <w:t>Swakopmund</w:t>
      </w:r>
      <w:proofErr w:type="spellEnd"/>
    </w:p>
    <w:p w:rsidR="00CC4E46" w:rsidRDefault="00CC4E46" w:rsidP="00645646">
      <w:pPr>
        <w:pStyle w:val="BodyText"/>
        <w:autoSpaceDE w:val="0"/>
        <w:autoSpaceDN w:val="0"/>
        <w:adjustRightInd w:val="0"/>
        <w:spacing w:line="360" w:lineRule="auto"/>
        <w:jc w:val="both"/>
        <w:rPr>
          <w:rFonts w:ascii="Arial" w:hAnsi="Arial" w:cs="Arial"/>
        </w:rPr>
      </w:pPr>
    </w:p>
    <w:p w:rsidR="00295533" w:rsidRPr="00645646" w:rsidRDefault="00295533" w:rsidP="00645646">
      <w:pPr>
        <w:pStyle w:val="BodyText"/>
        <w:autoSpaceDE w:val="0"/>
        <w:autoSpaceDN w:val="0"/>
        <w:adjustRightInd w:val="0"/>
        <w:spacing w:line="360" w:lineRule="auto"/>
        <w:jc w:val="both"/>
        <w:rPr>
          <w:rFonts w:ascii="Arial" w:hAnsi="Arial" w:cs="Arial"/>
        </w:rPr>
      </w:pPr>
    </w:p>
    <w:p w:rsidR="00902956" w:rsidRPr="00645646" w:rsidRDefault="00C4719F" w:rsidP="00645646">
      <w:pPr>
        <w:pStyle w:val="NoSpacing"/>
        <w:spacing w:line="360" w:lineRule="auto"/>
        <w:rPr>
          <w:rFonts w:ascii="Arial" w:hAnsi="Arial" w:cs="Arial"/>
          <w:sz w:val="24"/>
          <w:szCs w:val="24"/>
        </w:rPr>
      </w:pPr>
      <w:r w:rsidRPr="00645646">
        <w:rPr>
          <w:rFonts w:ascii="Arial" w:hAnsi="Arial" w:cs="Arial"/>
          <w:sz w:val="24"/>
          <w:szCs w:val="24"/>
        </w:rPr>
        <w:t>RESPONDENT:</w:t>
      </w:r>
      <w:r w:rsidRPr="00645646">
        <w:rPr>
          <w:rFonts w:ascii="Arial" w:hAnsi="Arial" w:cs="Arial"/>
          <w:sz w:val="24"/>
          <w:szCs w:val="24"/>
        </w:rPr>
        <w:tab/>
      </w:r>
      <w:r w:rsidR="00A46A91" w:rsidRPr="00645646">
        <w:rPr>
          <w:rFonts w:ascii="Arial" w:hAnsi="Arial" w:cs="Arial"/>
          <w:sz w:val="24"/>
          <w:szCs w:val="24"/>
        </w:rPr>
        <w:tab/>
      </w:r>
      <w:r w:rsidR="00A46A91" w:rsidRPr="00645646">
        <w:rPr>
          <w:rFonts w:ascii="Arial" w:hAnsi="Arial" w:cs="Arial"/>
          <w:sz w:val="24"/>
          <w:szCs w:val="24"/>
        </w:rPr>
        <w:tab/>
      </w:r>
      <w:r w:rsidR="00902956" w:rsidRPr="00645646">
        <w:rPr>
          <w:rFonts w:ascii="Arial" w:hAnsi="Arial" w:cs="Arial"/>
          <w:sz w:val="24"/>
          <w:szCs w:val="24"/>
        </w:rPr>
        <w:t>M</w:t>
      </w:r>
      <w:r w:rsidR="00295533">
        <w:rPr>
          <w:rFonts w:ascii="Arial" w:hAnsi="Arial" w:cs="Arial"/>
          <w:sz w:val="24"/>
          <w:szCs w:val="24"/>
        </w:rPr>
        <w:t xml:space="preserve"> H</w:t>
      </w:r>
      <w:r w:rsidR="00902956" w:rsidRPr="00645646">
        <w:rPr>
          <w:rFonts w:ascii="Arial" w:hAnsi="Arial" w:cs="Arial"/>
          <w:sz w:val="24"/>
          <w:szCs w:val="24"/>
        </w:rPr>
        <w:t xml:space="preserve"> M</w:t>
      </w:r>
      <w:r w:rsidR="00295533">
        <w:rPr>
          <w:rFonts w:ascii="Arial" w:hAnsi="Arial" w:cs="Arial"/>
          <w:sz w:val="24"/>
          <w:szCs w:val="24"/>
        </w:rPr>
        <w:t>UHONGO</w:t>
      </w:r>
    </w:p>
    <w:p w:rsidR="00902956" w:rsidRPr="00645646" w:rsidRDefault="00295533" w:rsidP="00645646">
      <w:pPr>
        <w:pStyle w:val="NoSpacing"/>
        <w:spacing w:line="360" w:lineRule="auto"/>
        <w:ind w:left="2880" w:firstLine="720"/>
        <w:rPr>
          <w:rFonts w:ascii="Arial" w:hAnsi="Arial" w:cs="Arial"/>
          <w:sz w:val="24"/>
          <w:szCs w:val="24"/>
        </w:rPr>
      </w:pPr>
      <w:r>
        <w:rPr>
          <w:rFonts w:ascii="Arial" w:hAnsi="Arial" w:cs="Arial"/>
          <w:sz w:val="24"/>
          <w:szCs w:val="24"/>
        </w:rPr>
        <w:t xml:space="preserve">Of </w:t>
      </w:r>
      <w:r w:rsidR="00902956" w:rsidRPr="00645646">
        <w:rPr>
          <w:rFonts w:ascii="Arial" w:hAnsi="Arial" w:cs="Arial"/>
          <w:sz w:val="24"/>
          <w:szCs w:val="24"/>
        </w:rPr>
        <w:t>Office of the Prosecutor-General</w:t>
      </w:r>
      <w:r>
        <w:rPr>
          <w:rFonts w:ascii="Arial" w:hAnsi="Arial" w:cs="Arial"/>
          <w:sz w:val="24"/>
          <w:szCs w:val="24"/>
        </w:rPr>
        <w:t>, Windhoek</w:t>
      </w:r>
    </w:p>
    <w:sectPr w:rsidR="00902956" w:rsidRPr="00645646" w:rsidSect="00CC4E46">
      <w:pgSz w:w="12240" w:h="15840"/>
      <w:pgMar w:top="851"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1C" w:rsidRDefault="005F231C" w:rsidP="006243B6">
      <w:pPr>
        <w:spacing w:after="0" w:line="240" w:lineRule="auto"/>
      </w:pPr>
      <w:r>
        <w:separator/>
      </w:r>
    </w:p>
  </w:endnote>
  <w:endnote w:type="continuationSeparator" w:id="0">
    <w:p w:rsidR="005F231C" w:rsidRDefault="005F231C"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1C" w:rsidRDefault="005F231C" w:rsidP="006243B6">
      <w:pPr>
        <w:spacing w:after="0" w:line="240" w:lineRule="auto"/>
      </w:pPr>
      <w:r>
        <w:separator/>
      </w:r>
    </w:p>
  </w:footnote>
  <w:footnote w:type="continuationSeparator" w:id="0">
    <w:p w:rsidR="005F231C" w:rsidRDefault="005F231C" w:rsidP="006243B6">
      <w:pPr>
        <w:spacing w:after="0" w:line="240" w:lineRule="auto"/>
      </w:pPr>
      <w:r>
        <w:continuationSeparator/>
      </w:r>
    </w:p>
  </w:footnote>
  <w:footnote w:id="1">
    <w:p w:rsidR="00334EEF" w:rsidRPr="0099115A" w:rsidRDefault="00334EEF" w:rsidP="0099115A">
      <w:pPr>
        <w:pStyle w:val="FootnoteText"/>
        <w:jc w:val="both"/>
        <w:rPr>
          <w:rFonts w:ascii="Arial" w:hAnsi="Arial" w:cs="Arial"/>
          <w:lang w:val="en-US"/>
        </w:rPr>
      </w:pPr>
      <w:r w:rsidRPr="0099115A">
        <w:rPr>
          <w:rStyle w:val="FootnoteReference"/>
          <w:rFonts w:ascii="Arial" w:hAnsi="Arial" w:cs="Arial"/>
        </w:rPr>
        <w:footnoteRef/>
      </w:r>
      <w:r w:rsidRPr="0099115A">
        <w:rPr>
          <w:rFonts w:ascii="Arial" w:hAnsi="Arial" w:cs="Arial"/>
        </w:rPr>
        <w:t xml:space="preserve"> </w:t>
      </w:r>
      <w:r w:rsidRPr="0099115A">
        <w:rPr>
          <w:rFonts w:ascii="Arial" w:hAnsi="Arial" w:cs="Arial"/>
          <w:lang w:val="en-US"/>
        </w:rPr>
        <w:t>2006 (2) NR 455 (HC).</w:t>
      </w:r>
    </w:p>
  </w:footnote>
  <w:footnote w:id="2">
    <w:p w:rsidR="00334EEF" w:rsidRPr="0099115A" w:rsidRDefault="00334EEF" w:rsidP="0099115A">
      <w:pPr>
        <w:pStyle w:val="FootnoteText"/>
        <w:jc w:val="both"/>
        <w:rPr>
          <w:rFonts w:ascii="Arial" w:hAnsi="Arial" w:cs="Arial"/>
          <w:lang w:val="en-US"/>
        </w:rPr>
      </w:pPr>
      <w:r w:rsidRPr="0099115A">
        <w:rPr>
          <w:rStyle w:val="FootnoteReference"/>
          <w:rFonts w:ascii="Arial" w:hAnsi="Arial" w:cs="Arial"/>
        </w:rPr>
        <w:footnoteRef/>
      </w:r>
      <w:r w:rsidRPr="0099115A">
        <w:rPr>
          <w:rFonts w:ascii="Arial" w:hAnsi="Arial" w:cs="Arial"/>
        </w:rPr>
        <w:t xml:space="preserve"> </w:t>
      </w:r>
      <w:r w:rsidRPr="0099115A">
        <w:rPr>
          <w:rFonts w:ascii="Arial" w:hAnsi="Arial" w:cs="Arial"/>
          <w:lang w:val="en-US"/>
        </w:rPr>
        <w:t>2009 (1) NR 127 (SC).</w:t>
      </w:r>
    </w:p>
  </w:footnote>
  <w:footnote w:id="3">
    <w:p w:rsidR="00334EEF" w:rsidRPr="00107D82" w:rsidRDefault="00334EEF" w:rsidP="009F270F">
      <w:pPr>
        <w:pStyle w:val="FootnoteText"/>
        <w:jc w:val="both"/>
        <w:rPr>
          <w:rFonts w:ascii="Arial" w:hAnsi="Arial" w:cs="Arial"/>
          <w:lang w:val="en-US"/>
        </w:rPr>
      </w:pPr>
      <w:r w:rsidRPr="00107D82">
        <w:rPr>
          <w:rStyle w:val="FootnoteReference"/>
          <w:rFonts w:ascii="Arial" w:hAnsi="Arial" w:cs="Arial"/>
        </w:rPr>
        <w:footnoteRef/>
      </w:r>
      <w:r w:rsidRPr="00107D82">
        <w:rPr>
          <w:rFonts w:ascii="Arial" w:hAnsi="Arial" w:cs="Arial"/>
        </w:rPr>
        <w:t xml:space="preserve"> 1955 (3) SA 557 (N).</w:t>
      </w:r>
    </w:p>
  </w:footnote>
  <w:footnote w:id="4">
    <w:p w:rsidR="00334EEF" w:rsidRPr="00107D82" w:rsidRDefault="00334EEF" w:rsidP="009F270F">
      <w:pPr>
        <w:pStyle w:val="FootnoteText"/>
        <w:jc w:val="both"/>
        <w:rPr>
          <w:rFonts w:ascii="Arial" w:hAnsi="Arial" w:cs="Arial"/>
          <w:lang w:val="en-US"/>
        </w:rPr>
      </w:pPr>
      <w:r w:rsidRPr="00107D82">
        <w:rPr>
          <w:rStyle w:val="FootnoteReference"/>
          <w:rFonts w:ascii="Arial" w:hAnsi="Arial" w:cs="Arial"/>
        </w:rPr>
        <w:footnoteRef/>
      </w:r>
      <w:r w:rsidRPr="00107D82">
        <w:rPr>
          <w:rFonts w:ascii="Arial" w:hAnsi="Arial" w:cs="Arial"/>
        </w:rPr>
        <w:t xml:space="preserve"> 1984 (2) SA 314 (N).</w:t>
      </w:r>
    </w:p>
  </w:footnote>
  <w:footnote w:id="5">
    <w:p w:rsidR="00334EEF" w:rsidRPr="007B2045" w:rsidRDefault="00334EEF" w:rsidP="009F270F">
      <w:pPr>
        <w:pStyle w:val="FootnoteText"/>
        <w:jc w:val="both"/>
        <w:rPr>
          <w:rFonts w:ascii="Arial" w:hAnsi="Arial" w:cs="Arial"/>
          <w:lang w:val="en-US"/>
        </w:rPr>
      </w:pPr>
      <w:r w:rsidRPr="007B2045">
        <w:rPr>
          <w:rStyle w:val="FootnoteReference"/>
          <w:rFonts w:ascii="Arial" w:hAnsi="Arial" w:cs="Arial"/>
        </w:rPr>
        <w:footnoteRef/>
      </w:r>
      <w:r w:rsidRPr="007B2045">
        <w:rPr>
          <w:rFonts w:ascii="Arial" w:hAnsi="Arial" w:cs="Arial"/>
        </w:rPr>
        <w:t xml:space="preserve"> </w:t>
      </w:r>
      <w:r w:rsidRPr="007B2045">
        <w:rPr>
          <w:rFonts w:ascii="Arial" w:hAnsi="Arial" w:cs="Arial"/>
          <w:lang w:val="en-US"/>
        </w:rPr>
        <w:t>2006 (2) NR 455 (HC).</w:t>
      </w:r>
    </w:p>
  </w:footnote>
  <w:footnote w:id="6">
    <w:p w:rsidR="00334EEF" w:rsidRPr="007B2045" w:rsidRDefault="00334EEF" w:rsidP="009F270F">
      <w:pPr>
        <w:pStyle w:val="FootnoteText"/>
        <w:jc w:val="both"/>
        <w:rPr>
          <w:rFonts w:ascii="Arial" w:hAnsi="Arial" w:cs="Arial"/>
          <w:lang w:val="en-US"/>
        </w:rPr>
      </w:pPr>
      <w:r w:rsidRPr="007B2045">
        <w:rPr>
          <w:rStyle w:val="FootnoteReference"/>
          <w:rFonts w:ascii="Arial" w:hAnsi="Arial" w:cs="Arial"/>
        </w:rPr>
        <w:footnoteRef/>
      </w:r>
      <w:r w:rsidRPr="007B2045">
        <w:rPr>
          <w:rFonts w:ascii="Arial" w:hAnsi="Arial" w:cs="Arial"/>
        </w:rPr>
        <w:t xml:space="preserve"> </w:t>
      </w:r>
      <w:r w:rsidRPr="007B2045">
        <w:rPr>
          <w:rFonts w:ascii="Arial" w:hAnsi="Arial" w:cs="Arial"/>
          <w:lang w:val="en-US"/>
        </w:rPr>
        <w:t>2009 (1) NR 127 (SC).</w:t>
      </w:r>
    </w:p>
  </w:footnote>
  <w:footnote w:id="7">
    <w:p w:rsidR="00334EEF" w:rsidRPr="007B2045" w:rsidRDefault="00334EEF" w:rsidP="009F270F">
      <w:pPr>
        <w:pStyle w:val="FootnoteText"/>
        <w:jc w:val="both"/>
        <w:rPr>
          <w:rFonts w:ascii="Arial" w:hAnsi="Arial" w:cs="Arial"/>
          <w:lang w:val="en-US"/>
        </w:rPr>
      </w:pPr>
      <w:r w:rsidRPr="007B2045">
        <w:rPr>
          <w:rStyle w:val="FootnoteReference"/>
          <w:rFonts w:ascii="Arial" w:hAnsi="Arial" w:cs="Arial"/>
        </w:rPr>
        <w:footnoteRef/>
      </w:r>
      <w:r w:rsidRPr="007B2045">
        <w:rPr>
          <w:rFonts w:ascii="Arial" w:hAnsi="Arial" w:cs="Arial"/>
        </w:rPr>
        <w:t xml:space="preserve"> </w:t>
      </w:r>
      <w:r w:rsidRPr="007B2045">
        <w:rPr>
          <w:rFonts w:ascii="Arial" w:hAnsi="Arial" w:cs="Arial"/>
          <w:lang w:val="en-US"/>
        </w:rPr>
        <w:t>2006 (2) NR 455 (HC).</w:t>
      </w:r>
    </w:p>
  </w:footnote>
  <w:footnote w:id="8">
    <w:p w:rsidR="00334EEF" w:rsidRPr="007B2045" w:rsidRDefault="00334EEF" w:rsidP="004E3FD1">
      <w:pPr>
        <w:pStyle w:val="FootnoteText"/>
        <w:jc w:val="both"/>
        <w:rPr>
          <w:rFonts w:ascii="Arial" w:hAnsi="Arial" w:cs="Arial"/>
          <w:lang w:val="en-US"/>
        </w:rPr>
      </w:pPr>
      <w:r w:rsidRPr="007B2045">
        <w:rPr>
          <w:rStyle w:val="FootnoteReference"/>
          <w:rFonts w:ascii="Arial" w:hAnsi="Arial" w:cs="Arial"/>
        </w:rPr>
        <w:footnoteRef/>
      </w:r>
      <w:r w:rsidRPr="007B2045">
        <w:rPr>
          <w:rFonts w:ascii="Arial" w:hAnsi="Arial" w:cs="Arial"/>
        </w:rPr>
        <w:t xml:space="preserve"> 1992 NR 363 (HC)</w:t>
      </w:r>
      <w:r w:rsidR="004E3FD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89653"/>
      <w:docPartObj>
        <w:docPartGallery w:val="Page Numbers (Top of Page)"/>
        <w:docPartUnique/>
      </w:docPartObj>
    </w:sdtPr>
    <w:sdtEndPr>
      <w:rPr>
        <w:noProof/>
      </w:rPr>
    </w:sdtEndPr>
    <w:sdtContent>
      <w:p w:rsidR="00334EEF" w:rsidRDefault="00334EEF">
        <w:pPr>
          <w:pStyle w:val="Header"/>
          <w:jc w:val="right"/>
        </w:pPr>
        <w:r>
          <w:fldChar w:fldCharType="begin"/>
        </w:r>
        <w:r>
          <w:instrText xml:space="preserve"> PAGE   \* MERGEFORMAT </w:instrText>
        </w:r>
        <w:r>
          <w:fldChar w:fldCharType="separate"/>
        </w:r>
        <w:r w:rsidR="008703EC">
          <w:rPr>
            <w:noProof/>
          </w:rPr>
          <w:t>15</w:t>
        </w:r>
        <w:r>
          <w:rPr>
            <w:noProof/>
          </w:rPr>
          <w:fldChar w:fldCharType="end"/>
        </w:r>
      </w:p>
    </w:sdtContent>
  </w:sdt>
  <w:p w:rsidR="00334EEF" w:rsidRDefault="0033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5"/>
    <w:multiLevelType w:val="hybridMultilevel"/>
    <w:tmpl w:val="3EC0C4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A85EA5"/>
    <w:multiLevelType w:val="hybridMultilevel"/>
    <w:tmpl w:val="7786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D465B"/>
    <w:multiLevelType w:val="hybridMultilevel"/>
    <w:tmpl w:val="A8D80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36940"/>
    <w:multiLevelType w:val="hybridMultilevel"/>
    <w:tmpl w:val="21E2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A0913"/>
    <w:multiLevelType w:val="hybridMultilevel"/>
    <w:tmpl w:val="A0683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014C1"/>
    <w:multiLevelType w:val="hybridMultilevel"/>
    <w:tmpl w:val="CF9E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6B7904"/>
    <w:multiLevelType w:val="hybridMultilevel"/>
    <w:tmpl w:val="C1EE68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1D468B"/>
    <w:multiLevelType w:val="hybridMultilevel"/>
    <w:tmpl w:val="A8CE666C"/>
    <w:lvl w:ilvl="0" w:tplc="E75088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26072A7"/>
    <w:multiLevelType w:val="hybridMultilevel"/>
    <w:tmpl w:val="A396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A17EB"/>
    <w:multiLevelType w:val="hybridMultilevel"/>
    <w:tmpl w:val="C292E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90FF3"/>
    <w:multiLevelType w:val="hybridMultilevel"/>
    <w:tmpl w:val="0C0EBD40"/>
    <w:lvl w:ilvl="0" w:tplc="E9AC23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2617E5"/>
    <w:multiLevelType w:val="hybridMultilevel"/>
    <w:tmpl w:val="89FC1C9C"/>
    <w:lvl w:ilvl="0" w:tplc="63D670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17"/>
  </w:num>
  <w:num w:numId="8">
    <w:abstractNumId w:val="7"/>
  </w:num>
  <w:num w:numId="9">
    <w:abstractNumId w:val="23"/>
  </w:num>
  <w:num w:numId="10">
    <w:abstractNumId w:val="2"/>
  </w:num>
  <w:num w:numId="11">
    <w:abstractNumId w:val="24"/>
  </w:num>
  <w:num w:numId="12">
    <w:abstractNumId w:val="13"/>
  </w:num>
  <w:num w:numId="13">
    <w:abstractNumId w:val="11"/>
  </w:num>
  <w:num w:numId="14">
    <w:abstractNumId w:val="16"/>
  </w:num>
  <w:num w:numId="15">
    <w:abstractNumId w:val="18"/>
  </w:num>
  <w:num w:numId="16">
    <w:abstractNumId w:val="4"/>
  </w:num>
  <w:num w:numId="17">
    <w:abstractNumId w:val="8"/>
  </w:num>
  <w:num w:numId="18">
    <w:abstractNumId w:val="10"/>
  </w:num>
  <w:num w:numId="19">
    <w:abstractNumId w:val="15"/>
  </w:num>
  <w:num w:numId="20">
    <w:abstractNumId w:val="19"/>
  </w:num>
  <w:num w:numId="21">
    <w:abstractNumId w:val="5"/>
  </w:num>
  <w:num w:numId="22">
    <w:abstractNumId w:val="9"/>
  </w:num>
  <w:num w:numId="23">
    <w:abstractNumId w:val="3"/>
  </w:num>
  <w:num w:numId="24">
    <w:abstractNumId w:val="14"/>
  </w:num>
  <w:num w:numId="25">
    <w:abstractNumId w:val="20"/>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2678"/>
    <w:rsid w:val="00002926"/>
    <w:rsid w:val="0000386B"/>
    <w:rsid w:val="00004B52"/>
    <w:rsid w:val="00005423"/>
    <w:rsid w:val="0000632F"/>
    <w:rsid w:val="000134D9"/>
    <w:rsid w:val="000202BB"/>
    <w:rsid w:val="0002108A"/>
    <w:rsid w:val="000266ED"/>
    <w:rsid w:val="00033D9A"/>
    <w:rsid w:val="00042218"/>
    <w:rsid w:val="000430CE"/>
    <w:rsid w:val="000445A4"/>
    <w:rsid w:val="00044D46"/>
    <w:rsid w:val="00047210"/>
    <w:rsid w:val="00054C72"/>
    <w:rsid w:val="00061065"/>
    <w:rsid w:val="000629A8"/>
    <w:rsid w:val="00064808"/>
    <w:rsid w:val="000651B1"/>
    <w:rsid w:val="000661DF"/>
    <w:rsid w:val="00070427"/>
    <w:rsid w:val="00081630"/>
    <w:rsid w:val="00082E27"/>
    <w:rsid w:val="00091BDD"/>
    <w:rsid w:val="00096677"/>
    <w:rsid w:val="00096A46"/>
    <w:rsid w:val="000A2F14"/>
    <w:rsid w:val="000A5363"/>
    <w:rsid w:val="000C2BE1"/>
    <w:rsid w:val="000D0342"/>
    <w:rsid w:val="000D0F40"/>
    <w:rsid w:val="000D698B"/>
    <w:rsid w:val="000E0123"/>
    <w:rsid w:val="000E2FD8"/>
    <w:rsid w:val="000E5F57"/>
    <w:rsid w:val="000F2F3C"/>
    <w:rsid w:val="000F3C6D"/>
    <w:rsid w:val="001018CF"/>
    <w:rsid w:val="00102481"/>
    <w:rsid w:val="00104500"/>
    <w:rsid w:val="00107D82"/>
    <w:rsid w:val="00110D4A"/>
    <w:rsid w:val="00112DD2"/>
    <w:rsid w:val="00114AE5"/>
    <w:rsid w:val="00120068"/>
    <w:rsid w:val="0012186F"/>
    <w:rsid w:val="00123F1F"/>
    <w:rsid w:val="001325A3"/>
    <w:rsid w:val="001427A1"/>
    <w:rsid w:val="00145DED"/>
    <w:rsid w:val="0014630D"/>
    <w:rsid w:val="00146E4D"/>
    <w:rsid w:val="00154CA1"/>
    <w:rsid w:val="00162163"/>
    <w:rsid w:val="00164B86"/>
    <w:rsid w:val="001665E0"/>
    <w:rsid w:val="00166A1F"/>
    <w:rsid w:val="001A2243"/>
    <w:rsid w:val="001A6583"/>
    <w:rsid w:val="001D175C"/>
    <w:rsid w:val="001D4E43"/>
    <w:rsid w:val="001D6A1C"/>
    <w:rsid w:val="001E3474"/>
    <w:rsid w:val="001E503D"/>
    <w:rsid w:val="001E593F"/>
    <w:rsid w:val="001E695D"/>
    <w:rsid w:val="001F0EB0"/>
    <w:rsid w:val="001F31CA"/>
    <w:rsid w:val="001F4209"/>
    <w:rsid w:val="001F5177"/>
    <w:rsid w:val="001F6BAB"/>
    <w:rsid w:val="001F7095"/>
    <w:rsid w:val="002014B3"/>
    <w:rsid w:val="00207573"/>
    <w:rsid w:val="00223366"/>
    <w:rsid w:val="00235E6C"/>
    <w:rsid w:val="00236A5C"/>
    <w:rsid w:val="002376B5"/>
    <w:rsid w:val="00252D5B"/>
    <w:rsid w:val="00257DEA"/>
    <w:rsid w:val="00262BB9"/>
    <w:rsid w:val="002764E7"/>
    <w:rsid w:val="002831A8"/>
    <w:rsid w:val="00283E89"/>
    <w:rsid w:val="00284EEB"/>
    <w:rsid w:val="00290137"/>
    <w:rsid w:val="00295533"/>
    <w:rsid w:val="00297CD9"/>
    <w:rsid w:val="002A2F71"/>
    <w:rsid w:val="002A7CF5"/>
    <w:rsid w:val="002B4FAA"/>
    <w:rsid w:val="002B581E"/>
    <w:rsid w:val="002B7B57"/>
    <w:rsid w:val="002B7E29"/>
    <w:rsid w:val="002C13FC"/>
    <w:rsid w:val="002C4FD3"/>
    <w:rsid w:val="002C6EB2"/>
    <w:rsid w:val="002D07B2"/>
    <w:rsid w:val="002D245D"/>
    <w:rsid w:val="002D3645"/>
    <w:rsid w:val="002D6DA6"/>
    <w:rsid w:val="002E4375"/>
    <w:rsid w:val="002E4C06"/>
    <w:rsid w:val="002E5B4D"/>
    <w:rsid w:val="002E673B"/>
    <w:rsid w:val="002F3098"/>
    <w:rsid w:val="002F4FDB"/>
    <w:rsid w:val="00302BA6"/>
    <w:rsid w:val="00303A0B"/>
    <w:rsid w:val="00311CBC"/>
    <w:rsid w:val="00321CBF"/>
    <w:rsid w:val="003243A8"/>
    <w:rsid w:val="00325374"/>
    <w:rsid w:val="00334EEF"/>
    <w:rsid w:val="00335950"/>
    <w:rsid w:val="003447FA"/>
    <w:rsid w:val="0035624A"/>
    <w:rsid w:val="00363A46"/>
    <w:rsid w:val="003743FF"/>
    <w:rsid w:val="0039778E"/>
    <w:rsid w:val="003A1DE5"/>
    <w:rsid w:val="003A1E28"/>
    <w:rsid w:val="003B1A72"/>
    <w:rsid w:val="003C0659"/>
    <w:rsid w:val="003C0CF3"/>
    <w:rsid w:val="003C5667"/>
    <w:rsid w:val="003D05E4"/>
    <w:rsid w:val="003D0F28"/>
    <w:rsid w:val="003D28A0"/>
    <w:rsid w:val="003D70E2"/>
    <w:rsid w:val="003E1279"/>
    <w:rsid w:val="003E611C"/>
    <w:rsid w:val="003F0248"/>
    <w:rsid w:val="003F4802"/>
    <w:rsid w:val="003F6D0D"/>
    <w:rsid w:val="003F71C6"/>
    <w:rsid w:val="00400F0E"/>
    <w:rsid w:val="00405DE2"/>
    <w:rsid w:val="004079F8"/>
    <w:rsid w:val="00410D07"/>
    <w:rsid w:val="00415D77"/>
    <w:rsid w:val="004175E5"/>
    <w:rsid w:val="00420E65"/>
    <w:rsid w:val="004217A1"/>
    <w:rsid w:val="00433352"/>
    <w:rsid w:val="0043444D"/>
    <w:rsid w:val="00442C82"/>
    <w:rsid w:val="00445448"/>
    <w:rsid w:val="004517CD"/>
    <w:rsid w:val="00460FC6"/>
    <w:rsid w:val="00461289"/>
    <w:rsid w:val="00464B51"/>
    <w:rsid w:val="00471F3A"/>
    <w:rsid w:val="00485D1B"/>
    <w:rsid w:val="004901C4"/>
    <w:rsid w:val="00492925"/>
    <w:rsid w:val="004934DB"/>
    <w:rsid w:val="004A0D29"/>
    <w:rsid w:val="004A2C18"/>
    <w:rsid w:val="004A3498"/>
    <w:rsid w:val="004B65E5"/>
    <w:rsid w:val="004C680A"/>
    <w:rsid w:val="004D23B4"/>
    <w:rsid w:val="004D770A"/>
    <w:rsid w:val="004E3778"/>
    <w:rsid w:val="004E3FD1"/>
    <w:rsid w:val="004E4F09"/>
    <w:rsid w:val="004E5836"/>
    <w:rsid w:val="004F4014"/>
    <w:rsid w:val="004F5FB2"/>
    <w:rsid w:val="00503BF4"/>
    <w:rsid w:val="005137E3"/>
    <w:rsid w:val="00515F2A"/>
    <w:rsid w:val="005211E4"/>
    <w:rsid w:val="00523202"/>
    <w:rsid w:val="00527883"/>
    <w:rsid w:val="00530534"/>
    <w:rsid w:val="0053538B"/>
    <w:rsid w:val="00536564"/>
    <w:rsid w:val="00537CA2"/>
    <w:rsid w:val="005409BB"/>
    <w:rsid w:val="00543F3E"/>
    <w:rsid w:val="00546E76"/>
    <w:rsid w:val="0055405A"/>
    <w:rsid w:val="005563C4"/>
    <w:rsid w:val="00561A0D"/>
    <w:rsid w:val="0056219F"/>
    <w:rsid w:val="00567426"/>
    <w:rsid w:val="00575F56"/>
    <w:rsid w:val="00576B76"/>
    <w:rsid w:val="00585257"/>
    <w:rsid w:val="005912FA"/>
    <w:rsid w:val="00591BCF"/>
    <w:rsid w:val="0059681E"/>
    <w:rsid w:val="005A0BF7"/>
    <w:rsid w:val="005A611F"/>
    <w:rsid w:val="005A7638"/>
    <w:rsid w:val="005B2643"/>
    <w:rsid w:val="005B58F1"/>
    <w:rsid w:val="005C2B25"/>
    <w:rsid w:val="005C4CF1"/>
    <w:rsid w:val="005D093A"/>
    <w:rsid w:val="005D14ED"/>
    <w:rsid w:val="005D66C7"/>
    <w:rsid w:val="005E0A57"/>
    <w:rsid w:val="005E39E2"/>
    <w:rsid w:val="005F231C"/>
    <w:rsid w:val="006011BB"/>
    <w:rsid w:val="00605FC0"/>
    <w:rsid w:val="006167F1"/>
    <w:rsid w:val="00616C12"/>
    <w:rsid w:val="006243B6"/>
    <w:rsid w:val="00624E9B"/>
    <w:rsid w:val="006340A5"/>
    <w:rsid w:val="0063573B"/>
    <w:rsid w:val="00644AAE"/>
    <w:rsid w:val="00645646"/>
    <w:rsid w:val="006458B0"/>
    <w:rsid w:val="00647CC5"/>
    <w:rsid w:val="00651B81"/>
    <w:rsid w:val="006528B9"/>
    <w:rsid w:val="00653649"/>
    <w:rsid w:val="00654645"/>
    <w:rsid w:val="006562B7"/>
    <w:rsid w:val="0065744A"/>
    <w:rsid w:val="006600F3"/>
    <w:rsid w:val="0067252D"/>
    <w:rsid w:val="00673D0F"/>
    <w:rsid w:val="00680CBE"/>
    <w:rsid w:val="00690407"/>
    <w:rsid w:val="00693C4D"/>
    <w:rsid w:val="00693E85"/>
    <w:rsid w:val="00696789"/>
    <w:rsid w:val="006976E5"/>
    <w:rsid w:val="006A2D44"/>
    <w:rsid w:val="006A6B08"/>
    <w:rsid w:val="006B44BA"/>
    <w:rsid w:val="006B4516"/>
    <w:rsid w:val="006C03EC"/>
    <w:rsid w:val="006C480F"/>
    <w:rsid w:val="006C7399"/>
    <w:rsid w:val="006C7E9D"/>
    <w:rsid w:val="006D171D"/>
    <w:rsid w:val="006D2135"/>
    <w:rsid w:val="006D2ABD"/>
    <w:rsid w:val="006E192F"/>
    <w:rsid w:val="006E2BD3"/>
    <w:rsid w:val="006F6A9E"/>
    <w:rsid w:val="00705BD5"/>
    <w:rsid w:val="00723010"/>
    <w:rsid w:val="007263F2"/>
    <w:rsid w:val="007276D8"/>
    <w:rsid w:val="00733412"/>
    <w:rsid w:val="00735959"/>
    <w:rsid w:val="00742863"/>
    <w:rsid w:val="0075099D"/>
    <w:rsid w:val="00750E19"/>
    <w:rsid w:val="00762780"/>
    <w:rsid w:val="0076324A"/>
    <w:rsid w:val="0076666E"/>
    <w:rsid w:val="00770FA1"/>
    <w:rsid w:val="00772E5E"/>
    <w:rsid w:val="00774C3B"/>
    <w:rsid w:val="00780AF8"/>
    <w:rsid w:val="00781FD5"/>
    <w:rsid w:val="00782C3E"/>
    <w:rsid w:val="007854A7"/>
    <w:rsid w:val="007927B0"/>
    <w:rsid w:val="00794EAE"/>
    <w:rsid w:val="007A2D00"/>
    <w:rsid w:val="007A4D43"/>
    <w:rsid w:val="007A4F64"/>
    <w:rsid w:val="007A5F64"/>
    <w:rsid w:val="007B2045"/>
    <w:rsid w:val="007B34DE"/>
    <w:rsid w:val="007B4B39"/>
    <w:rsid w:val="007C3012"/>
    <w:rsid w:val="007D17D7"/>
    <w:rsid w:val="007E2112"/>
    <w:rsid w:val="007F2DA4"/>
    <w:rsid w:val="007F3326"/>
    <w:rsid w:val="008030D6"/>
    <w:rsid w:val="008119A2"/>
    <w:rsid w:val="00811C5D"/>
    <w:rsid w:val="008121AD"/>
    <w:rsid w:val="00814037"/>
    <w:rsid w:val="00816574"/>
    <w:rsid w:val="0082048C"/>
    <w:rsid w:val="0082289D"/>
    <w:rsid w:val="00823945"/>
    <w:rsid w:val="0082487D"/>
    <w:rsid w:val="008258E2"/>
    <w:rsid w:val="00830C72"/>
    <w:rsid w:val="008376A2"/>
    <w:rsid w:val="008413CA"/>
    <w:rsid w:val="008436CE"/>
    <w:rsid w:val="00847F15"/>
    <w:rsid w:val="008574B3"/>
    <w:rsid w:val="008670C0"/>
    <w:rsid w:val="008703EC"/>
    <w:rsid w:val="00872548"/>
    <w:rsid w:val="00872920"/>
    <w:rsid w:val="00882657"/>
    <w:rsid w:val="00887C7A"/>
    <w:rsid w:val="0089040B"/>
    <w:rsid w:val="008B7774"/>
    <w:rsid w:val="008C2F7A"/>
    <w:rsid w:val="008C430E"/>
    <w:rsid w:val="008E0E1B"/>
    <w:rsid w:val="008F155A"/>
    <w:rsid w:val="008F2582"/>
    <w:rsid w:val="008F44EA"/>
    <w:rsid w:val="008F599F"/>
    <w:rsid w:val="00901C68"/>
    <w:rsid w:val="00902956"/>
    <w:rsid w:val="00903D2C"/>
    <w:rsid w:val="00905F72"/>
    <w:rsid w:val="00916703"/>
    <w:rsid w:val="0092362E"/>
    <w:rsid w:val="00940EDD"/>
    <w:rsid w:val="009616C4"/>
    <w:rsid w:val="009656CC"/>
    <w:rsid w:val="0099115A"/>
    <w:rsid w:val="00996169"/>
    <w:rsid w:val="009A294D"/>
    <w:rsid w:val="009A590C"/>
    <w:rsid w:val="009B25A1"/>
    <w:rsid w:val="009B2DCD"/>
    <w:rsid w:val="009B4DD9"/>
    <w:rsid w:val="009B76C1"/>
    <w:rsid w:val="009C0620"/>
    <w:rsid w:val="009C46C3"/>
    <w:rsid w:val="009E3605"/>
    <w:rsid w:val="009F10E8"/>
    <w:rsid w:val="009F210A"/>
    <w:rsid w:val="009F270F"/>
    <w:rsid w:val="009F2CCE"/>
    <w:rsid w:val="00A00F1E"/>
    <w:rsid w:val="00A17F47"/>
    <w:rsid w:val="00A20336"/>
    <w:rsid w:val="00A2066B"/>
    <w:rsid w:val="00A24CCF"/>
    <w:rsid w:val="00A31EA7"/>
    <w:rsid w:val="00A436E7"/>
    <w:rsid w:val="00A44BF8"/>
    <w:rsid w:val="00A45EF5"/>
    <w:rsid w:val="00A46A91"/>
    <w:rsid w:val="00A540E8"/>
    <w:rsid w:val="00A557DB"/>
    <w:rsid w:val="00A71AEA"/>
    <w:rsid w:val="00A82241"/>
    <w:rsid w:val="00A8451C"/>
    <w:rsid w:val="00A84D88"/>
    <w:rsid w:val="00AA0D7A"/>
    <w:rsid w:val="00AA304E"/>
    <w:rsid w:val="00AA5569"/>
    <w:rsid w:val="00AA6B05"/>
    <w:rsid w:val="00AB2901"/>
    <w:rsid w:val="00AC3F29"/>
    <w:rsid w:val="00AC5352"/>
    <w:rsid w:val="00AC5533"/>
    <w:rsid w:val="00AC76F4"/>
    <w:rsid w:val="00AD576D"/>
    <w:rsid w:val="00AE2824"/>
    <w:rsid w:val="00AE372D"/>
    <w:rsid w:val="00AE4AE5"/>
    <w:rsid w:val="00AE55FF"/>
    <w:rsid w:val="00AE73A2"/>
    <w:rsid w:val="00B060A2"/>
    <w:rsid w:val="00B10E7D"/>
    <w:rsid w:val="00B16CBC"/>
    <w:rsid w:val="00B207DE"/>
    <w:rsid w:val="00B22303"/>
    <w:rsid w:val="00B339FC"/>
    <w:rsid w:val="00B37966"/>
    <w:rsid w:val="00B40675"/>
    <w:rsid w:val="00B41876"/>
    <w:rsid w:val="00B41BB2"/>
    <w:rsid w:val="00B428F2"/>
    <w:rsid w:val="00B43870"/>
    <w:rsid w:val="00B45AF9"/>
    <w:rsid w:val="00B52171"/>
    <w:rsid w:val="00B54E0D"/>
    <w:rsid w:val="00B55F53"/>
    <w:rsid w:val="00B71687"/>
    <w:rsid w:val="00B844BF"/>
    <w:rsid w:val="00B845D2"/>
    <w:rsid w:val="00B96E30"/>
    <w:rsid w:val="00B97AE7"/>
    <w:rsid w:val="00BA0EDC"/>
    <w:rsid w:val="00BC3144"/>
    <w:rsid w:val="00BD00DB"/>
    <w:rsid w:val="00BD07A9"/>
    <w:rsid w:val="00BE3CEF"/>
    <w:rsid w:val="00BE44DE"/>
    <w:rsid w:val="00BE6ED7"/>
    <w:rsid w:val="00C01D8B"/>
    <w:rsid w:val="00C03BEC"/>
    <w:rsid w:val="00C07662"/>
    <w:rsid w:val="00C317C5"/>
    <w:rsid w:val="00C37ADE"/>
    <w:rsid w:val="00C41158"/>
    <w:rsid w:val="00C44694"/>
    <w:rsid w:val="00C4719F"/>
    <w:rsid w:val="00C517ED"/>
    <w:rsid w:val="00C54FE9"/>
    <w:rsid w:val="00C557CA"/>
    <w:rsid w:val="00C60D6B"/>
    <w:rsid w:val="00C61A09"/>
    <w:rsid w:val="00C62CB5"/>
    <w:rsid w:val="00C6340E"/>
    <w:rsid w:val="00C66D92"/>
    <w:rsid w:val="00C67E0C"/>
    <w:rsid w:val="00C80924"/>
    <w:rsid w:val="00C815DC"/>
    <w:rsid w:val="00C87349"/>
    <w:rsid w:val="00C979FF"/>
    <w:rsid w:val="00CA11CB"/>
    <w:rsid w:val="00CA1955"/>
    <w:rsid w:val="00CA3FDF"/>
    <w:rsid w:val="00CA4DFA"/>
    <w:rsid w:val="00CB00E9"/>
    <w:rsid w:val="00CB54DE"/>
    <w:rsid w:val="00CB7AEC"/>
    <w:rsid w:val="00CC3E07"/>
    <w:rsid w:val="00CC41DB"/>
    <w:rsid w:val="00CC4E46"/>
    <w:rsid w:val="00CC5D43"/>
    <w:rsid w:val="00CD2AB8"/>
    <w:rsid w:val="00CD309D"/>
    <w:rsid w:val="00CE2C39"/>
    <w:rsid w:val="00CE33EF"/>
    <w:rsid w:val="00CE4266"/>
    <w:rsid w:val="00CE5FC7"/>
    <w:rsid w:val="00CE6218"/>
    <w:rsid w:val="00CE6FE1"/>
    <w:rsid w:val="00CF0A45"/>
    <w:rsid w:val="00CF25AA"/>
    <w:rsid w:val="00CF395D"/>
    <w:rsid w:val="00CF4A34"/>
    <w:rsid w:val="00CF4F79"/>
    <w:rsid w:val="00CF5E34"/>
    <w:rsid w:val="00D1289B"/>
    <w:rsid w:val="00D21138"/>
    <w:rsid w:val="00D234DE"/>
    <w:rsid w:val="00D30557"/>
    <w:rsid w:val="00D31249"/>
    <w:rsid w:val="00D32919"/>
    <w:rsid w:val="00D34A2C"/>
    <w:rsid w:val="00D40683"/>
    <w:rsid w:val="00D51D40"/>
    <w:rsid w:val="00D564DE"/>
    <w:rsid w:val="00D6265C"/>
    <w:rsid w:val="00D762F0"/>
    <w:rsid w:val="00D83513"/>
    <w:rsid w:val="00D85CF9"/>
    <w:rsid w:val="00D91A7D"/>
    <w:rsid w:val="00DA2544"/>
    <w:rsid w:val="00DB00B5"/>
    <w:rsid w:val="00DB197C"/>
    <w:rsid w:val="00DB6FC7"/>
    <w:rsid w:val="00DD20D6"/>
    <w:rsid w:val="00DD21BB"/>
    <w:rsid w:val="00DE58FA"/>
    <w:rsid w:val="00DE6AE9"/>
    <w:rsid w:val="00DF53B5"/>
    <w:rsid w:val="00E15843"/>
    <w:rsid w:val="00E27D15"/>
    <w:rsid w:val="00E34492"/>
    <w:rsid w:val="00E40CBB"/>
    <w:rsid w:val="00E517CE"/>
    <w:rsid w:val="00E66246"/>
    <w:rsid w:val="00E7428D"/>
    <w:rsid w:val="00E77589"/>
    <w:rsid w:val="00E805D0"/>
    <w:rsid w:val="00E84390"/>
    <w:rsid w:val="00E85C9F"/>
    <w:rsid w:val="00E969C1"/>
    <w:rsid w:val="00E97CA7"/>
    <w:rsid w:val="00EA4843"/>
    <w:rsid w:val="00EB0C50"/>
    <w:rsid w:val="00EB413C"/>
    <w:rsid w:val="00EB751C"/>
    <w:rsid w:val="00EC1881"/>
    <w:rsid w:val="00EC1B39"/>
    <w:rsid w:val="00EC4DBC"/>
    <w:rsid w:val="00ED2FFC"/>
    <w:rsid w:val="00ED4074"/>
    <w:rsid w:val="00EE2F59"/>
    <w:rsid w:val="00EF0A18"/>
    <w:rsid w:val="00EF1923"/>
    <w:rsid w:val="00F00C8D"/>
    <w:rsid w:val="00F0125B"/>
    <w:rsid w:val="00F05D7E"/>
    <w:rsid w:val="00F14733"/>
    <w:rsid w:val="00F15D1C"/>
    <w:rsid w:val="00F24B90"/>
    <w:rsid w:val="00F26FC7"/>
    <w:rsid w:val="00F35B41"/>
    <w:rsid w:val="00F35E9F"/>
    <w:rsid w:val="00F465EF"/>
    <w:rsid w:val="00F512C1"/>
    <w:rsid w:val="00F538E1"/>
    <w:rsid w:val="00F56C17"/>
    <w:rsid w:val="00F64530"/>
    <w:rsid w:val="00F654F9"/>
    <w:rsid w:val="00F65AE1"/>
    <w:rsid w:val="00F810CC"/>
    <w:rsid w:val="00F86656"/>
    <w:rsid w:val="00F92A27"/>
    <w:rsid w:val="00FA2B67"/>
    <w:rsid w:val="00FB43F7"/>
    <w:rsid w:val="00FB6984"/>
    <w:rsid w:val="00FB6D63"/>
    <w:rsid w:val="00FC1D35"/>
    <w:rsid w:val="00FC677A"/>
    <w:rsid w:val="00FD467E"/>
    <w:rsid w:val="00FD4E5A"/>
    <w:rsid w:val="00FD6381"/>
    <w:rsid w:val="00FE27EF"/>
    <w:rsid w:val="00FE485E"/>
    <w:rsid w:val="00FF287C"/>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9C433-4A82-4082-911E-52EFF322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 w:type="paragraph" w:styleId="FootnoteText">
    <w:name w:val="footnote text"/>
    <w:basedOn w:val="Normal"/>
    <w:link w:val="FootnoteTextChar"/>
    <w:rsid w:val="001325A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rsid w:val="001325A3"/>
    <w:rPr>
      <w:rFonts w:ascii="Times New Roman" w:eastAsia="Times New Roman" w:hAnsi="Times New Roman" w:cs="Times New Roman"/>
      <w:sz w:val="20"/>
      <w:szCs w:val="20"/>
      <w:lang w:val="en-GB" w:eastAsia="en-GB"/>
    </w:rPr>
  </w:style>
  <w:style w:type="character" w:styleId="FootnoteReference">
    <w:name w:val="footnote reference"/>
    <w:rsid w:val="001325A3"/>
    <w:rPr>
      <w:vertAlign w:val="superscript"/>
    </w:rPr>
  </w:style>
  <w:style w:type="paragraph" w:customStyle="1" w:styleId="Style5">
    <w:name w:val="Style5"/>
    <w:basedOn w:val="Normal"/>
    <w:next w:val="Normal"/>
    <w:uiPriority w:val="99"/>
    <w:rsid w:val="008121AD"/>
    <w:pPr>
      <w:widowControl w:val="0"/>
      <w:autoSpaceDE w:val="0"/>
      <w:autoSpaceDN w:val="0"/>
      <w:adjustRightInd w:val="0"/>
      <w:spacing w:after="0" w:line="388" w:lineRule="exact"/>
      <w:jc w:val="both"/>
    </w:pPr>
    <w:rPr>
      <w:rFonts w:ascii="Bookman Old Style" w:eastAsia="Times New Roman" w:hAnsi="Bookman Old Style" w:cs="Bookman Old Style"/>
      <w:sz w:val="24"/>
      <w:szCs w:val="24"/>
      <w:lang w:eastAsia="zh-CN" w:bidi="hi-IN"/>
    </w:rPr>
  </w:style>
  <w:style w:type="character" w:customStyle="1" w:styleId="FontStyle13">
    <w:name w:val="Font Style13"/>
    <w:basedOn w:val="DefaultParagraphFont"/>
    <w:uiPriority w:val="99"/>
    <w:rsid w:val="008121AD"/>
    <w:rPr>
      <w:rFonts w:ascii="Bookman Old Style" w:eastAsia="Times New Roman" w:hAnsi="Bookman Old Style" w:cs="Bookman Old Style"/>
      <w:sz w:val="22"/>
      <w:szCs w:val="22"/>
      <w:lang w:eastAsia="zh-CN" w:bidi="hi-IN"/>
    </w:rPr>
  </w:style>
  <w:style w:type="character" w:styleId="Emphasis">
    <w:name w:val="Emphasis"/>
    <w:basedOn w:val="DefaultParagraphFont"/>
    <w:uiPriority w:val="20"/>
    <w:qFormat/>
    <w:rsid w:val="00647CC5"/>
    <w:rPr>
      <w:i/>
      <w:iCs/>
    </w:rPr>
  </w:style>
  <w:style w:type="paragraph" w:styleId="NoSpacing">
    <w:name w:val="No Spacing"/>
    <w:uiPriority w:val="1"/>
    <w:qFormat/>
    <w:rsid w:val="009029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1561">
      <w:bodyDiv w:val="1"/>
      <w:marLeft w:val="0"/>
      <w:marRight w:val="0"/>
      <w:marTop w:val="0"/>
      <w:marBottom w:val="0"/>
      <w:divBdr>
        <w:top w:val="none" w:sz="0" w:space="0" w:color="auto"/>
        <w:left w:val="none" w:sz="0" w:space="0" w:color="auto"/>
        <w:bottom w:val="none" w:sz="0" w:space="0" w:color="auto"/>
        <w:right w:val="none" w:sz="0" w:space="0" w:color="auto"/>
      </w:divBdr>
    </w:div>
    <w:div w:id="1661039854">
      <w:bodyDiv w:val="1"/>
      <w:marLeft w:val="0"/>
      <w:marRight w:val="0"/>
      <w:marTop w:val="0"/>
      <w:marBottom w:val="0"/>
      <w:divBdr>
        <w:top w:val="none" w:sz="0" w:space="0" w:color="auto"/>
        <w:left w:val="none" w:sz="0" w:space="0" w:color="auto"/>
        <w:bottom w:val="none" w:sz="0" w:space="0" w:color="auto"/>
        <w:right w:val="none" w:sz="0" w:space="0" w:color="auto"/>
      </w:divBdr>
    </w:div>
    <w:div w:id="1864199764">
      <w:bodyDiv w:val="1"/>
      <w:marLeft w:val="0"/>
      <w:marRight w:val="0"/>
      <w:marTop w:val="0"/>
      <w:marBottom w:val="0"/>
      <w:divBdr>
        <w:top w:val="none" w:sz="0" w:space="0" w:color="auto"/>
        <w:left w:val="none" w:sz="0" w:space="0" w:color="auto"/>
        <w:bottom w:val="none" w:sz="0" w:space="0" w:color="auto"/>
        <w:right w:val="none" w:sz="0" w:space="0" w:color="auto"/>
      </w:divBdr>
    </w:div>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a036617c-f1b0-4353-ab0a-456b3885ee3b">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BB673-22C1-48E4-8B8F-97D9FA5E8249}"/>
</file>

<file path=customXml/itemProps2.xml><?xml version="1.0" encoding="utf-8"?>
<ds:datastoreItem xmlns:ds="http://schemas.openxmlformats.org/officeDocument/2006/customXml" ds:itemID="{1EA36113-0D1D-455F-9D37-A12511EE4E00}"/>
</file>

<file path=customXml/itemProps3.xml><?xml version="1.0" encoding="utf-8"?>
<ds:datastoreItem xmlns:ds="http://schemas.openxmlformats.org/officeDocument/2006/customXml" ds:itemID="{8770A48C-74B4-4008-BC94-8ECCB7BCE143}"/>
</file>

<file path=customXml/itemProps4.xml><?xml version="1.0" encoding="utf-8"?>
<ds:datastoreItem xmlns:ds="http://schemas.openxmlformats.org/officeDocument/2006/customXml" ds:itemID="{92E6C976-FAD0-4BC9-9F94-13DE1DAA9D59}"/>
</file>

<file path=docProps/app.xml><?xml version="1.0" encoding="utf-8"?>
<Properties xmlns="http://schemas.openxmlformats.org/officeDocument/2006/extended-properties" xmlns:vt="http://schemas.openxmlformats.org/officeDocument/2006/docPropsVTypes">
  <Template>Normal</Template>
  <TotalTime>1</TotalTime>
  <Pages>16</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
  <LinksUpToDate>false</LinksUpToDate>
  <CharactersWithSpaces>28106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Nuuyoma v S (CC 17-2018) [2020] NAHCMD 277 (30 June  2020)</dc:title>
  <dc:creator>Victoria Sem</dc:creator>
  <cp:lastModifiedBy>Administrator</cp:lastModifiedBy>
  <cp:revision>2</cp:revision>
  <cp:lastPrinted>2020-07-10T07:10:00Z</cp:lastPrinted>
  <dcterms:created xsi:type="dcterms:W3CDTF">2020-07-30T07:54:00Z</dcterms:created>
  <dcterms:modified xsi:type="dcterms:W3CDTF">2020-07-30T07:54:00Z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