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1" w:type="dxa"/>
        <w:tblInd w:w="-275" w:type="dxa"/>
        <w:tblLook w:val="04A0" w:firstRow="1" w:lastRow="0" w:firstColumn="1" w:lastColumn="0" w:noHBand="0" w:noVBand="1"/>
      </w:tblPr>
      <w:tblGrid>
        <w:gridCol w:w="4770"/>
        <w:gridCol w:w="627"/>
        <w:gridCol w:w="4654"/>
      </w:tblGrid>
      <w:tr w:rsidR="00D35047" w:rsidRPr="001B0FDD" w:rsidTr="00B070BA">
        <w:trPr>
          <w:trHeight w:val="744"/>
        </w:trPr>
        <w:tc>
          <w:tcPr>
            <w:tcW w:w="5397" w:type="dxa"/>
            <w:gridSpan w:val="2"/>
          </w:tcPr>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Case Title:</w:t>
            </w:r>
          </w:p>
          <w:p w:rsidR="00D35047" w:rsidRPr="00664D21" w:rsidRDefault="00290365" w:rsidP="00EC3147">
            <w:pPr>
              <w:spacing w:line="360" w:lineRule="auto"/>
              <w:jc w:val="both"/>
              <w:rPr>
                <w:rFonts w:ascii="Arial" w:hAnsi="Arial" w:cs="Arial"/>
                <w:i/>
                <w:sz w:val="24"/>
                <w:szCs w:val="24"/>
              </w:rPr>
            </w:pPr>
            <w:r w:rsidRPr="00664D21">
              <w:rPr>
                <w:rFonts w:ascii="Arial" w:hAnsi="Arial" w:cs="Arial"/>
                <w:i/>
                <w:sz w:val="24"/>
                <w:szCs w:val="24"/>
              </w:rPr>
              <w:t xml:space="preserve">The State v </w:t>
            </w:r>
            <w:r w:rsidR="00EC3147">
              <w:rPr>
                <w:rFonts w:ascii="Arial" w:hAnsi="Arial" w:cs="Arial"/>
                <w:i/>
                <w:sz w:val="24"/>
                <w:szCs w:val="24"/>
              </w:rPr>
              <w:t xml:space="preserve">Cuna </w:t>
            </w:r>
            <w:proofErr w:type="spellStart"/>
            <w:r w:rsidR="00EC3147">
              <w:rPr>
                <w:rFonts w:ascii="Arial" w:hAnsi="Arial" w:cs="Arial"/>
                <w:i/>
                <w:sz w:val="24"/>
                <w:szCs w:val="24"/>
              </w:rPr>
              <w:t>Issuf</w:t>
            </w:r>
            <w:proofErr w:type="spellEnd"/>
            <w:r w:rsidR="00EC3147">
              <w:rPr>
                <w:rFonts w:ascii="Arial" w:hAnsi="Arial" w:cs="Arial"/>
                <w:i/>
                <w:sz w:val="24"/>
                <w:szCs w:val="24"/>
              </w:rPr>
              <w:t xml:space="preserve"> Omar</w:t>
            </w:r>
          </w:p>
        </w:tc>
        <w:tc>
          <w:tcPr>
            <w:tcW w:w="4654" w:type="dxa"/>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Case No:</w:t>
            </w:r>
          </w:p>
          <w:p w:rsidR="00D35047" w:rsidRPr="00664D21" w:rsidRDefault="00B13BE8" w:rsidP="00A76DBA">
            <w:pPr>
              <w:spacing w:line="360" w:lineRule="auto"/>
              <w:jc w:val="both"/>
              <w:rPr>
                <w:rFonts w:ascii="Arial" w:hAnsi="Arial" w:cs="Arial"/>
                <w:sz w:val="24"/>
                <w:szCs w:val="24"/>
              </w:rPr>
            </w:pPr>
            <w:r w:rsidRPr="00664D21">
              <w:rPr>
                <w:rFonts w:ascii="Arial" w:hAnsi="Arial" w:cs="Arial"/>
                <w:sz w:val="24"/>
                <w:szCs w:val="24"/>
              </w:rPr>
              <w:t xml:space="preserve">CR </w:t>
            </w:r>
            <w:r w:rsidR="00B65437">
              <w:rPr>
                <w:rFonts w:ascii="Arial" w:hAnsi="Arial" w:cs="Arial"/>
                <w:sz w:val="24"/>
                <w:szCs w:val="24"/>
              </w:rPr>
              <w:t>50</w:t>
            </w:r>
            <w:r w:rsidR="00256EF3">
              <w:rPr>
                <w:rFonts w:ascii="Arial" w:hAnsi="Arial" w:cs="Arial"/>
                <w:sz w:val="24"/>
                <w:szCs w:val="24"/>
              </w:rPr>
              <w:t>/2020</w:t>
            </w:r>
          </w:p>
        </w:tc>
      </w:tr>
      <w:tr w:rsidR="00D35047" w:rsidRPr="001B0FDD" w:rsidTr="00B070BA">
        <w:trPr>
          <w:trHeight w:val="844"/>
        </w:trPr>
        <w:tc>
          <w:tcPr>
            <w:tcW w:w="5397" w:type="dxa"/>
            <w:gridSpan w:val="2"/>
          </w:tcPr>
          <w:p w:rsidR="00D35047" w:rsidRPr="00664D21" w:rsidRDefault="00B13BE8" w:rsidP="00B13BE8">
            <w:pPr>
              <w:spacing w:line="360" w:lineRule="auto"/>
              <w:jc w:val="both"/>
              <w:rPr>
                <w:rFonts w:ascii="Arial" w:hAnsi="Arial" w:cs="Arial"/>
                <w:b/>
                <w:sz w:val="24"/>
                <w:szCs w:val="24"/>
              </w:rPr>
            </w:pPr>
            <w:r w:rsidRPr="00664D21">
              <w:rPr>
                <w:rFonts w:ascii="Arial" w:hAnsi="Arial" w:cs="Arial"/>
                <w:b/>
                <w:sz w:val="24"/>
                <w:szCs w:val="24"/>
              </w:rPr>
              <w:t>High Court MD Review No:</w:t>
            </w:r>
          </w:p>
          <w:p w:rsidR="00B13BE8" w:rsidRPr="00664D21" w:rsidRDefault="00EC3147" w:rsidP="00B13BE8">
            <w:pPr>
              <w:spacing w:line="360" w:lineRule="auto"/>
              <w:jc w:val="both"/>
              <w:rPr>
                <w:rFonts w:ascii="Arial" w:hAnsi="Arial" w:cs="Arial"/>
                <w:sz w:val="24"/>
                <w:szCs w:val="24"/>
              </w:rPr>
            </w:pPr>
            <w:r>
              <w:rPr>
                <w:rFonts w:ascii="Arial" w:hAnsi="Arial" w:cs="Arial"/>
                <w:sz w:val="24"/>
                <w:szCs w:val="24"/>
              </w:rPr>
              <w:t>133/2020</w:t>
            </w:r>
          </w:p>
        </w:tc>
        <w:tc>
          <w:tcPr>
            <w:tcW w:w="4654" w:type="dxa"/>
          </w:tcPr>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Division of Court:</w:t>
            </w:r>
          </w:p>
          <w:p w:rsidR="00D35047" w:rsidRPr="00664D21" w:rsidRDefault="00D35047" w:rsidP="00A76DBA">
            <w:pPr>
              <w:spacing w:line="360" w:lineRule="auto"/>
              <w:jc w:val="both"/>
              <w:rPr>
                <w:rFonts w:ascii="Arial" w:hAnsi="Arial" w:cs="Arial"/>
                <w:sz w:val="24"/>
                <w:szCs w:val="24"/>
              </w:rPr>
            </w:pPr>
            <w:r w:rsidRPr="00664D21">
              <w:rPr>
                <w:rFonts w:ascii="Arial" w:hAnsi="Arial" w:cs="Arial"/>
                <w:sz w:val="24"/>
                <w:szCs w:val="24"/>
              </w:rPr>
              <w:t>Main Division</w:t>
            </w:r>
          </w:p>
        </w:tc>
      </w:tr>
      <w:tr w:rsidR="00D35047" w:rsidRPr="001B0FDD" w:rsidTr="00B070BA">
        <w:trPr>
          <w:trHeight w:val="1662"/>
        </w:trPr>
        <w:tc>
          <w:tcPr>
            <w:tcW w:w="5397" w:type="dxa"/>
            <w:gridSpan w:val="2"/>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Heard before:</w:t>
            </w:r>
          </w:p>
          <w:p w:rsidR="00D35047" w:rsidRPr="00664D21" w:rsidRDefault="00D35047" w:rsidP="00A76DBA">
            <w:pPr>
              <w:spacing w:line="360" w:lineRule="auto"/>
              <w:jc w:val="both"/>
              <w:rPr>
                <w:rFonts w:ascii="Arial" w:hAnsi="Arial" w:cs="Arial"/>
                <w:i/>
                <w:sz w:val="24"/>
                <w:szCs w:val="24"/>
              </w:rPr>
            </w:pPr>
            <w:r w:rsidRPr="00664D21">
              <w:rPr>
                <w:rFonts w:ascii="Arial" w:hAnsi="Arial" w:cs="Arial"/>
                <w:sz w:val="24"/>
                <w:szCs w:val="24"/>
              </w:rPr>
              <w:t xml:space="preserve">Mr Justice </w:t>
            </w:r>
            <w:r w:rsidR="00EC6886" w:rsidRPr="00664D21">
              <w:rPr>
                <w:rFonts w:ascii="Arial" w:hAnsi="Arial" w:cs="Arial"/>
                <w:sz w:val="24"/>
                <w:szCs w:val="24"/>
              </w:rPr>
              <w:t>Liebenberg</w:t>
            </w:r>
            <w:r w:rsidRPr="00664D21">
              <w:rPr>
                <w:rFonts w:ascii="Arial" w:hAnsi="Arial" w:cs="Arial"/>
                <w:sz w:val="24"/>
                <w:szCs w:val="24"/>
              </w:rPr>
              <w:t xml:space="preserve"> </w:t>
            </w:r>
            <w:r w:rsidRPr="00664D21">
              <w:rPr>
                <w:rFonts w:ascii="Arial" w:hAnsi="Arial" w:cs="Arial"/>
                <w:i/>
                <w:sz w:val="24"/>
                <w:szCs w:val="24"/>
              </w:rPr>
              <w:t>et</w:t>
            </w:r>
          </w:p>
          <w:p w:rsidR="00D35047" w:rsidRPr="00664D21" w:rsidRDefault="00973505" w:rsidP="00973505">
            <w:pPr>
              <w:spacing w:line="360" w:lineRule="auto"/>
              <w:jc w:val="both"/>
              <w:rPr>
                <w:rFonts w:ascii="Arial" w:hAnsi="Arial" w:cs="Arial"/>
                <w:sz w:val="24"/>
                <w:szCs w:val="24"/>
              </w:rPr>
            </w:pPr>
            <w:r>
              <w:rPr>
                <w:rFonts w:ascii="Arial" w:hAnsi="Arial" w:cs="Arial"/>
                <w:sz w:val="24"/>
                <w:szCs w:val="24"/>
              </w:rPr>
              <w:t xml:space="preserve">Lady </w:t>
            </w:r>
            <w:r w:rsidR="005B2EF5" w:rsidRPr="00664D21">
              <w:rPr>
                <w:rFonts w:ascii="Arial" w:hAnsi="Arial" w:cs="Arial"/>
                <w:sz w:val="24"/>
                <w:szCs w:val="24"/>
              </w:rPr>
              <w:t xml:space="preserve">Justice </w:t>
            </w:r>
            <w:proofErr w:type="spellStart"/>
            <w:r>
              <w:rPr>
                <w:rFonts w:ascii="Arial" w:hAnsi="Arial" w:cs="Arial"/>
                <w:sz w:val="24"/>
                <w:szCs w:val="24"/>
              </w:rPr>
              <w:t>Claasen</w:t>
            </w:r>
            <w:proofErr w:type="spellEnd"/>
            <w:r>
              <w:rPr>
                <w:rFonts w:ascii="Arial" w:hAnsi="Arial" w:cs="Arial"/>
                <w:sz w:val="24"/>
                <w:szCs w:val="24"/>
              </w:rPr>
              <w:t xml:space="preserve"> </w:t>
            </w:r>
          </w:p>
        </w:tc>
        <w:tc>
          <w:tcPr>
            <w:tcW w:w="4654" w:type="dxa"/>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Delivered on:</w:t>
            </w:r>
          </w:p>
          <w:p w:rsidR="00D35047" w:rsidRPr="00664D21" w:rsidRDefault="00B13BE8" w:rsidP="00EC3147">
            <w:pPr>
              <w:spacing w:line="360" w:lineRule="auto"/>
              <w:jc w:val="both"/>
              <w:rPr>
                <w:rFonts w:ascii="Arial" w:hAnsi="Arial" w:cs="Arial"/>
                <w:sz w:val="24"/>
                <w:szCs w:val="24"/>
              </w:rPr>
            </w:pPr>
            <w:r w:rsidRPr="00664D21">
              <w:rPr>
                <w:rFonts w:ascii="Arial" w:hAnsi="Arial" w:cs="Arial"/>
                <w:sz w:val="24"/>
                <w:szCs w:val="24"/>
              </w:rPr>
              <w:t xml:space="preserve"> </w:t>
            </w:r>
            <w:r w:rsidR="00973505">
              <w:rPr>
                <w:rFonts w:ascii="Arial" w:hAnsi="Arial" w:cs="Arial"/>
                <w:sz w:val="24"/>
                <w:szCs w:val="24"/>
              </w:rPr>
              <w:t>17</w:t>
            </w:r>
            <w:r w:rsidR="00001DAC" w:rsidRPr="00664D21">
              <w:rPr>
                <w:rFonts w:ascii="Arial" w:hAnsi="Arial" w:cs="Arial"/>
                <w:sz w:val="24"/>
                <w:szCs w:val="24"/>
              </w:rPr>
              <w:t xml:space="preserve"> Ju</w:t>
            </w:r>
            <w:r w:rsidR="00EC3147">
              <w:rPr>
                <w:rFonts w:ascii="Arial" w:hAnsi="Arial" w:cs="Arial"/>
                <w:sz w:val="24"/>
                <w:szCs w:val="24"/>
              </w:rPr>
              <w:t>ly</w:t>
            </w:r>
            <w:r w:rsidR="00001DAC" w:rsidRPr="00664D21">
              <w:rPr>
                <w:rFonts w:ascii="Arial" w:hAnsi="Arial" w:cs="Arial"/>
                <w:sz w:val="24"/>
                <w:szCs w:val="24"/>
              </w:rPr>
              <w:t xml:space="preserve"> 2020</w:t>
            </w:r>
          </w:p>
        </w:tc>
      </w:tr>
      <w:tr w:rsidR="00D35047" w:rsidRPr="001B0FDD" w:rsidTr="00B070BA">
        <w:tc>
          <w:tcPr>
            <w:tcW w:w="10051" w:type="dxa"/>
            <w:gridSpan w:val="3"/>
          </w:tcPr>
          <w:p w:rsidR="00A25521" w:rsidRPr="00664D21" w:rsidRDefault="00A25521" w:rsidP="00A76DBA">
            <w:pPr>
              <w:spacing w:line="360" w:lineRule="auto"/>
              <w:jc w:val="both"/>
              <w:rPr>
                <w:rFonts w:ascii="Arial" w:hAnsi="Arial" w:cs="Arial"/>
                <w:b/>
                <w:sz w:val="24"/>
                <w:szCs w:val="24"/>
              </w:rPr>
            </w:pPr>
          </w:p>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 xml:space="preserve">Neutral citation: </w:t>
            </w:r>
            <w:r w:rsidRPr="00664D21">
              <w:rPr>
                <w:rFonts w:ascii="Arial" w:hAnsi="Arial" w:cs="Arial"/>
                <w:i/>
                <w:sz w:val="24"/>
                <w:szCs w:val="24"/>
              </w:rPr>
              <w:t>S v</w:t>
            </w:r>
            <w:r w:rsidR="00290365" w:rsidRPr="00664D21">
              <w:rPr>
                <w:rFonts w:ascii="Arial" w:hAnsi="Arial" w:cs="Arial"/>
                <w:i/>
                <w:sz w:val="24"/>
                <w:szCs w:val="24"/>
              </w:rPr>
              <w:t xml:space="preserve"> </w:t>
            </w:r>
            <w:r w:rsidR="00EC3147">
              <w:rPr>
                <w:rFonts w:ascii="Arial" w:hAnsi="Arial" w:cs="Arial"/>
                <w:i/>
                <w:sz w:val="24"/>
                <w:szCs w:val="24"/>
              </w:rPr>
              <w:t xml:space="preserve">Omar </w:t>
            </w:r>
            <w:r w:rsidRPr="00664D21">
              <w:rPr>
                <w:rFonts w:ascii="Arial" w:hAnsi="Arial" w:cs="Arial"/>
                <w:sz w:val="24"/>
                <w:szCs w:val="24"/>
              </w:rPr>
              <w:t>(</w:t>
            </w:r>
            <w:r w:rsidR="00EC6886" w:rsidRPr="00664D21">
              <w:rPr>
                <w:rFonts w:ascii="Arial" w:hAnsi="Arial" w:cs="Arial"/>
                <w:sz w:val="24"/>
                <w:szCs w:val="24"/>
              </w:rPr>
              <w:t>CR</w:t>
            </w:r>
            <w:r w:rsidR="00B13BE8" w:rsidRPr="00664D21">
              <w:rPr>
                <w:rFonts w:ascii="Arial" w:hAnsi="Arial" w:cs="Arial"/>
                <w:sz w:val="24"/>
                <w:szCs w:val="24"/>
              </w:rPr>
              <w:t xml:space="preserve"> </w:t>
            </w:r>
            <w:bookmarkStart w:id="0" w:name="_GoBack"/>
            <w:bookmarkEnd w:id="0"/>
            <w:r w:rsidR="00B65437">
              <w:rPr>
                <w:rFonts w:ascii="Arial" w:hAnsi="Arial" w:cs="Arial"/>
                <w:sz w:val="24"/>
                <w:szCs w:val="24"/>
              </w:rPr>
              <w:t>50</w:t>
            </w:r>
            <w:r w:rsidR="00256EF3">
              <w:rPr>
                <w:rFonts w:ascii="Arial" w:hAnsi="Arial" w:cs="Arial"/>
                <w:sz w:val="24"/>
                <w:szCs w:val="24"/>
              </w:rPr>
              <w:t>/2020</w:t>
            </w:r>
            <w:r w:rsidR="00A25521" w:rsidRPr="00664D21">
              <w:rPr>
                <w:rFonts w:ascii="Arial" w:hAnsi="Arial" w:cs="Arial"/>
                <w:sz w:val="24"/>
                <w:szCs w:val="24"/>
              </w:rPr>
              <w:t>) [2020</w:t>
            </w:r>
            <w:r w:rsidR="00B13BE8" w:rsidRPr="00664D21">
              <w:rPr>
                <w:rFonts w:ascii="Arial" w:hAnsi="Arial" w:cs="Arial"/>
                <w:sz w:val="24"/>
                <w:szCs w:val="24"/>
              </w:rPr>
              <w:t xml:space="preserve">] NAHCMD </w:t>
            </w:r>
            <w:r w:rsidR="00B65437">
              <w:rPr>
                <w:rFonts w:ascii="Arial" w:hAnsi="Arial" w:cs="Arial"/>
                <w:sz w:val="24"/>
                <w:szCs w:val="24"/>
              </w:rPr>
              <w:t>297</w:t>
            </w:r>
            <w:r w:rsidR="008124BD">
              <w:rPr>
                <w:rFonts w:ascii="Arial" w:hAnsi="Arial" w:cs="Arial"/>
                <w:sz w:val="24"/>
                <w:szCs w:val="24"/>
              </w:rPr>
              <w:t xml:space="preserve"> </w:t>
            </w:r>
            <w:r w:rsidR="005C1D1B">
              <w:rPr>
                <w:rFonts w:ascii="Arial" w:hAnsi="Arial" w:cs="Arial"/>
                <w:sz w:val="24"/>
                <w:szCs w:val="24"/>
              </w:rPr>
              <w:t>(</w:t>
            </w:r>
            <w:r w:rsidR="00973505">
              <w:rPr>
                <w:rFonts w:ascii="Arial" w:hAnsi="Arial" w:cs="Arial"/>
                <w:sz w:val="24"/>
                <w:szCs w:val="24"/>
              </w:rPr>
              <w:t>17</w:t>
            </w:r>
            <w:r w:rsidR="00EC3147">
              <w:rPr>
                <w:rFonts w:ascii="Arial" w:hAnsi="Arial" w:cs="Arial"/>
                <w:sz w:val="24"/>
                <w:szCs w:val="24"/>
              </w:rPr>
              <w:t xml:space="preserve"> July</w:t>
            </w:r>
            <w:r w:rsidR="00290365" w:rsidRPr="00664D21">
              <w:rPr>
                <w:rFonts w:ascii="Arial" w:hAnsi="Arial" w:cs="Arial"/>
                <w:sz w:val="24"/>
                <w:szCs w:val="24"/>
              </w:rPr>
              <w:t xml:space="preserve"> </w:t>
            </w:r>
            <w:r w:rsidR="00A25521" w:rsidRPr="00664D21">
              <w:rPr>
                <w:rFonts w:ascii="Arial" w:hAnsi="Arial" w:cs="Arial"/>
                <w:sz w:val="24"/>
                <w:szCs w:val="24"/>
              </w:rPr>
              <w:t>2020</w:t>
            </w:r>
            <w:r w:rsidRPr="00664D21">
              <w:rPr>
                <w:rFonts w:ascii="Arial" w:hAnsi="Arial" w:cs="Arial"/>
                <w:sz w:val="24"/>
                <w:szCs w:val="24"/>
              </w:rPr>
              <w:t>)</w:t>
            </w:r>
          </w:p>
          <w:p w:rsidR="00A25521" w:rsidRPr="00664D21" w:rsidRDefault="00A25521" w:rsidP="00A76DBA">
            <w:pPr>
              <w:spacing w:line="360" w:lineRule="auto"/>
              <w:jc w:val="both"/>
              <w:rPr>
                <w:rFonts w:ascii="Arial" w:hAnsi="Arial" w:cs="Arial"/>
                <w:sz w:val="24"/>
                <w:szCs w:val="24"/>
              </w:rPr>
            </w:pPr>
          </w:p>
        </w:tc>
      </w:tr>
      <w:tr w:rsidR="00D35047" w:rsidRPr="00ED330E" w:rsidTr="00B070BA">
        <w:tc>
          <w:tcPr>
            <w:tcW w:w="10051" w:type="dxa"/>
            <w:gridSpan w:val="3"/>
          </w:tcPr>
          <w:p w:rsidR="00001DAC" w:rsidRPr="00664D21" w:rsidRDefault="00001DAC" w:rsidP="00A52DB4">
            <w:pPr>
              <w:spacing w:line="360" w:lineRule="auto"/>
              <w:jc w:val="both"/>
              <w:rPr>
                <w:rFonts w:ascii="Arial" w:hAnsi="Arial" w:cs="Arial"/>
                <w:b/>
                <w:sz w:val="24"/>
                <w:szCs w:val="24"/>
              </w:rPr>
            </w:pPr>
          </w:p>
          <w:p w:rsidR="00283F77" w:rsidRDefault="00D35047" w:rsidP="00A52DB4">
            <w:pPr>
              <w:spacing w:line="360" w:lineRule="auto"/>
              <w:jc w:val="both"/>
              <w:rPr>
                <w:rFonts w:ascii="Arial" w:hAnsi="Arial" w:cs="Arial"/>
                <w:b/>
                <w:sz w:val="24"/>
                <w:szCs w:val="24"/>
              </w:rPr>
            </w:pPr>
            <w:r w:rsidRPr="00664D21">
              <w:rPr>
                <w:rFonts w:ascii="Arial" w:hAnsi="Arial" w:cs="Arial"/>
                <w:b/>
                <w:sz w:val="24"/>
                <w:szCs w:val="24"/>
              </w:rPr>
              <w:t>The order:</w:t>
            </w:r>
          </w:p>
          <w:p w:rsidR="00283F77" w:rsidRPr="00664D21" w:rsidRDefault="00283F77" w:rsidP="00A52DB4">
            <w:pPr>
              <w:spacing w:line="360" w:lineRule="auto"/>
              <w:jc w:val="both"/>
              <w:rPr>
                <w:rFonts w:ascii="Arial" w:hAnsi="Arial" w:cs="Arial"/>
                <w:b/>
                <w:sz w:val="24"/>
                <w:szCs w:val="24"/>
              </w:rPr>
            </w:pPr>
          </w:p>
          <w:p w:rsidR="00283F77" w:rsidRDefault="00001DAC" w:rsidP="00E17112">
            <w:pPr>
              <w:pStyle w:val="ListParagraph"/>
              <w:numPr>
                <w:ilvl w:val="0"/>
                <w:numId w:val="19"/>
              </w:numPr>
              <w:spacing w:line="360" w:lineRule="auto"/>
              <w:ind w:left="1077" w:right="318"/>
              <w:jc w:val="both"/>
              <w:rPr>
                <w:rFonts w:ascii="Arial" w:hAnsi="Arial" w:cs="Arial"/>
                <w:sz w:val="24"/>
                <w:szCs w:val="24"/>
              </w:rPr>
            </w:pPr>
            <w:r w:rsidRPr="00664D21">
              <w:rPr>
                <w:rFonts w:ascii="Arial" w:hAnsi="Arial" w:cs="Arial"/>
                <w:sz w:val="24"/>
                <w:szCs w:val="24"/>
              </w:rPr>
              <w:t>The conviction</w:t>
            </w:r>
            <w:r w:rsidR="00A10B44">
              <w:rPr>
                <w:rFonts w:ascii="Arial" w:hAnsi="Arial" w:cs="Arial"/>
                <w:sz w:val="24"/>
                <w:szCs w:val="24"/>
              </w:rPr>
              <w:t>s</w:t>
            </w:r>
            <w:r w:rsidRPr="00664D21">
              <w:rPr>
                <w:rFonts w:ascii="Arial" w:hAnsi="Arial" w:cs="Arial"/>
                <w:sz w:val="24"/>
                <w:szCs w:val="24"/>
              </w:rPr>
              <w:t xml:space="preserve"> </w:t>
            </w:r>
            <w:r w:rsidR="00EC3147">
              <w:rPr>
                <w:rFonts w:ascii="Arial" w:hAnsi="Arial" w:cs="Arial"/>
                <w:sz w:val="24"/>
                <w:szCs w:val="24"/>
              </w:rPr>
              <w:t>and sentence</w:t>
            </w:r>
            <w:r w:rsidR="00A10B44">
              <w:rPr>
                <w:rFonts w:ascii="Arial" w:hAnsi="Arial" w:cs="Arial"/>
                <w:sz w:val="24"/>
                <w:szCs w:val="24"/>
              </w:rPr>
              <w:t xml:space="preserve">s </w:t>
            </w:r>
            <w:r w:rsidR="005C1D1B">
              <w:rPr>
                <w:rFonts w:ascii="Arial" w:hAnsi="Arial" w:cs="Arial"/>
                <w:sz w:val="24"/>
                <w:szCs w:val="24"/>
              </w:rPr>
              <w:t xml:space="preserve">on counts 1 and 2 </w:t>
            </w:r>
            <w:r w:rsidR="00A10B44">
              <w:rPr>
                <w:rFonts w:ascii="Arial" w:hAnsi="Arial" w:cs="Arial"/>
                <w:sz w:val="24"/>
                <w:szCs w:val="24"/>
              </w:rPr>
              <w:t xml:space="preserve">are </w:t>
            </w:r>
            <w:r w:rsidR="00EC3147">
              <w:rPr>
                <w:rFonts w:ascii="Arial" w:hAnsi="Arial" w:cs="Arial"/>
                <w:sz w:val="24"/>
                <w:szCs w:val="24"/>
              </w:rPr>
              <w:t>set aside</w:t>
            </w:r>
            <w:r w:rsidRPr="00EC3147">
              <w:rPr>
                <w:rFonts w:ascii="Arial" w:hAnsi="Arial" w:cs="Arial"/>
                <w:sz w:val="24"/>
                <w:szCs w:val="24"/>
              </w:rPr>
              <w:t>.</w:t>
            </w:r>
          </w:p>
          <w:p w:rsidR="00E17112" w:rsidRPr="00E17112" w:rsidRDefault="00E17112" w:rsidP="00E17112">
            <w:pPr>
              <w:pStyle w:val="ListParagraph"/>
              <w:spacing w:line="360" w:lineRule="auto"/>
              <w:ind w:left="1077" w:right="318"/>
              <w:jc w:val="both"/>
              <w:rPr>
                <w:rFonts w:ascii="Arial" w:hAnsi="Arial" w:cs="Arial"/>
                <w:sz w:val="24"/>
                <w:szCs w:val="24"/>
              </w:rPr>
            </w:pPr>
          </w:p>
          <w:p w:rsidR="00E17112" w:rsidRPr="00E17112" w:rsidRDefault="00283F77" w:rsidP="00E17112">
            <w:pPr>
              <w:pStyle w:val="ListParagraph"/>
              <w:numPr>
                <w:ilvl w:val="0"/>
                <w:numId w:val="19"/>
              </w:numPr>
              <w:spacing w:line="360" w:lineRule="auto"/>
              <w:ind w:left="1077" w:right="318"/>
              <w:jc w:val="both"/>
              <w:rPr>
                <w:rFonts w:ascii="Arial" w:hAnsi="Arial" w:cs="Arial"/>
                <w:sz w:val="24"/>
                <w:szCs w:val="24"/>
                <w:shd w:val="clear" w:color="auto" w:fill="FFFFFF"/>
              </w:rPr>
            </w:pPr>
            <w:r w:rsidRPr="00283F77">
              <w:rPr>
                <w:rFonts w:ascii="Arial" w:hAnsi="Arial" w:cs="Arial"/>
                <w:sz w:val="24"/>
                <w:szCs w:val="24"/>
              </w:rPr>
              <w:t xml:space="preserve">In terms of s 312 of the CPA, the accused should henceforth be brought before the trial court and the magistrate is directed to comply with the provisions of </w:t>
            </w:r>
            <w:r w:rsidR="005C1D1B">
              <w:rPr>
                <w:rFonts w:ascii="Arial" w:hAnsi="Arial" w:cs="Arial"/>
                <w:sz w:val="24"/>
                <w:szCs w:val="24"/>
              </w:rPr>
              <w:t xml:space="preserve">                   </w:t>
            </w:r>
            <w:r w:rsidRPr="005C1D1B">
              <w:rPr>
                <w:rFonts w:ascii="Arial" w:hAnsi="Arial" w:cs="Arial"/>
                <w:sz w:val="24"/>
                <w:szCs w:val="24"/>
              </w:rPr>
              <w:t>s</w:t>
            </w:r>
            <w:r w:rsidR="008124BD">
              <w:rPr>
                <w:rFonts w:ascii="Arial" w:hAnsi="Arial" w:cs="Arial"/>
                <w:sz w:val="24"/>
                <w:szCs w:val="24"/>
              </w:rPr>
              <w:t xml:space="preserve"> 112</w:t>
            </w:r>
            <w:r w:rsidRPr="005C1D1B">
              <w:rPr>
                <w:rFonts w:ascii="Arial" w:hAnsi="Arial" w:cs="Arial"/>
                <w:sz w:val="24"/>
                <w:szCs w:val="24"/>
              </w:rPr>
              <w:t xml:space="preserve">(1) </w:t>
            </w:r>
            <w:r w:rsidRPr="005C1D1B">
              <w:rPr>
                <w:rFonts w:ascii="Arial" w:hAnsi="Arial" w:cs="Arial"/>
                <w:i/>
                <w:sz w:val="24"/>
                <w:szCs w:val="24"/>
              </w:rPr>
              <w:t>(b)</w:t>
            </w:r>
            <w:r w:rsidRPr="005C1D1B">
              <w:rPr>
                <w:rFonts w:ascii="Arial" w:hAnsi="Arial" w:cs="Arial"/>
                <w:sz w:val="24"/>
                <w:szCs w:val="24"/>
              </w:rPr>
              <w:t xml:space="preserve"> and </w:t>
            </w:r>
            <w:r w:rsidR="00CE0160" w:rsidRPr="005C1D1B">
              <w:rPr>
                <w:rFonts w:ascii="Arial" w:hAnsi="Arial" w:cs="Arial"/>
                <w:sz w:val="24"/>
                <w:szCs w:val="24"/>
                <w:shd w:val="clear" w:color="auto" w:fill="FFFFFF"/>
              </w:rPr>
              <w:t xml:space="preserve">bring the matter to </w:t>
            </w:r>
            <w:r w:rsidR="003305E2" w:rsidRPr="005C1D1B">
              <w:rPr>
                <w:rFonts w:ascii="Arial" w:hAnsi="Arial" w:cs="Arial"/>
                <w:sz w:val="24"/>
                <w:szCs w:val="24"/>
                <w:shd w:val="clear" w:color="auto" w:fill="FFFFFF"/>
              </w:rPr>
              <w:t>it</w:t>
            </w:r>
            <w:r w:rsidR="003305E2">
              <w:rPr>
                <w:rFonts w:ascii="Arial" w:hAnsi="Arial" w:cs="Arial"/>
                <w:sz w:val="24"/>
                <w:szCs w:val="24"/>
                <w:shd w:val="clear" w:color="auto" w:fill="FFFFFF"/>
              </w:rPr>
              <w:t>s</w:t>
            </w:r>
            <w:r w:rsidR="00CE0160" w:rsidRPr="005C1D1B">
              <w:rPr>
                <w:rFonts w:ascii="Arial" w:hAnsi="Arial" w:cs="Arial"/>
                <w:sz w:val="24"/>
                <w:szCs w:val="24"/>
                <w:shd w:val="clear" w:color="auto" w:fill="FFFFFF"/>
              </w:rPr>
              <w:t xml:space="preserve"> natural conclusion.</w:t>
            </w:r>
            <w:r w:rsidR="003903E0" w:rsidRPr="005C1D1B">
              <w:rPr>
                <w:rFonts w:ascii="Arial" w:eastAsia="Times New Roman" w:hAnsi="Arial" w:cs="Arial"/>
                <w:i/>
                <w:sz w:val="24"/>
                <w:szCs w:val="24"/>
                <w:lang w:val="en-GB" w:eastAsia="en-GB"/>
              </w:rPr>
              <w:t xml:space="preserve"> </w:t>
            </w:r>
          </w:p>
          <w:p w:rsidR="00E17112" w:rsidRPr="00E17112" w:rsidRDefault="00E17112" w:rsidP="00E17112">
            <w:pPr>
              <w:pStyle w:val="ListParagraph"/>
              <w:spacing w:after="200" w:line="360" w:lineRule="auto"/>
              <w:ind w:left="1080" w:right="317"/>
              <w:jc w:val="both"/>
              <w:rPr>
                <w:rFonts w:ascii="Arial" w:hAnsi="Arial" w:cs="Arial"/>
                <w:sz w:val="24"/>
                <w:szCs w:val="24"/>
                <w:shd w:val="clear" w:color="auto" w:fill="FFFFFF"/>
              </w:rPr>
            </w:pPr>
          </w:p>
          <w:p w:rsidR="00283F77" w:rsidRPr="00664D21" w:rsidRDefault="00283F77" w:rsidP="00283F77">
            <w:pPr>
              <w:pStyle w:val="ListParagraph"/>
              <w:numPr>
                <w:ilvl w:val="0"/>
                <w:numId w:val="19"/>
              </w:numPr>
              <w:spacing w:line="360" w:lineRule="auto"/>
              <w:ind w:right="317"/>
              <w:jc w:val="both"/>
              <w:rPr>
                <w:rFonts w:ascii="Arial" w:hAnsi="Arial" w:cs="Arial"/>
                <w:sz w:val="24"/>
                <w:szCs w:val="24"/>
              </w:rPr>
            </w:pPr>
            <w:r w:rsidRPr="00664D21">
              <w:rPr>
                <w:rFonts w:ascii="Arial" w:hAnsi="Arial" w:cs="Arial"/>
                <w:sz w:val="24"/>
                <w:szCs w:val="24"/>
              </w:rPr>
              <w:t>In the event of a conviction, the magistrate</w:t>
            </w:r>
            <w:r>
              <w:rPr>
                <w:rFonts w:ascii="Arial" w:hAnsi="Arial" w:cs="Arial"/>
                <w:sz w:val="24"/>
                <w:szCs w:val="24"/>
              </w:rPr>
              <w:t>,</w:t>
            </w:r>
            <w:r w:rsidRPr="00664D21">
              <w:rPr>
                <w:rFonts w:ascii="Arial" w:hAnsi="Arial" w:cs="Arial"/>
                <w:sz w:val="24"/>
                <w:szCs w:val="24"/>
              </w:rPr>
              <w:t xml:space="preserve"> in considering an appropriate sentence</w:t>
            </w:r>
            <w:r>
              <w:rPr>
                <w:rFonts w:ascii="Arial" w:hAnsi="Arial" w:cs="Arial"/>
                <w:sz w:val="24"/>
                <w:szCs w:val="24"/>
              </w:rPr>
              <w:t>,</w:t>
            </w:r>
            <w:r w:rsidR="00CE0160">
              <w:rPr>
                <w:rFonts w:ascii="Arial" w:hAnsi="Arial" w:cs="Arial"/>
                <w:sz w:val="24"/>
                <w:szCs w:val="24"/>
              </w:rPr>
              <w:t xml:space="preserve"> should</w:t>
            </w:r>
            <w:r w:rsidRPr="00664D21">
              <w:rPr>
                <w:rFonts w:ascii="Arial" w:hAnsi="Arial" w:cs="Arial"/>
                <w:sz w:val="24"/>
                <w:szCs w:val="24"/>
              </w:rPr>
              <w:t xml:space="preserve"> have regard to the time the accused has spent in custody.</w:t>
            </w:r>
          </w:p>
          <w:p w:rsidR="00283F77" w:rsidRPr="00283F77" w:rsidRDefault="00283F77" w:rsidP="00283F77">
            <w:pPr>
              <w:spacing w:after="200" w:line="360" w:lineRule="auto"/>
              <w:ind w:right="317"/>
              <w:jc w:val="both"/>
              <w:rPr>
                <w:rFonts w:ascii="Arial" w:hAnsi="Arial" w:cs="Arial"/>
                <w:sz w:val="24"/>
                <w:szCs w:val="24"/>
                <w:shd w:val="clear" w:color="auto" w:fill="FFFFFF"/>
              </w:rPr>
            </w:pPr>
          </w:p>
          <w:p w:rsidR="00D35047" w:rsidRPr="00664D21" w:rsidRDefault="00D35047" w:rsidP="00A25521">
            <w:pPr>
              <w:pStyle w:val="ListParagraph"/>
              <w:spacing w:line="360" w:lineRule="auto"/>
              <w:ind w:left="1800"/>
              <w:jc w:val="both"/>
              <w:rPr>
                <w:rFonts w:ascii="Arial" w:hAnsi="Arial" w:cs="Arial"/>
                <w:sz w:val="24"/>
                <w:szCs w:val="24"/>
              </w:rPr>
            </w:pPr>
          </w:p>
        </w:tc>
      </w:tr>
      <w:tr w:rsidR="00D35047" w:rsidRPr="001B0FDD" w:rsidTr="00B070BA">
        <w:tc>
          <w:tcPr>
            <w:tcW w:w="10051" w:type="dxa"/>
            <w:gridSpan w:val="3"/>
          </w:tcPr>
          <w:p w:rsidR="000D3FC6" w:rsidRPr="00664D21" w:rsidRDefault="000D3FC6" w:rsidP="00A25521">
            <w:pPr>
              <w:jc w:val="both"/>
              <w:rPr>
                <w:rFonts w:ascii="Arial" w:hAnsi="Arial" w:cs="Arial"/>
                <w:b/>
                <w:sz w:val="24"/>
                <w:szCs w:val="24"/>
              </w:rPr>
            </w:pPr>
          </w:p>
          <w:p w:rsidR="000D3FC6" w:rsidRPr="00664D21" w:rsidRDefault="00D35047" w:rsidP="00A25521">
            <w:pPr>
              <w:jc w:val="both"/>
              <w:rPr>
                <w:rFonts w:ascii="Arial" w:hAnsi="Arial" w:cs="Arial"/>
                <w:b/>
                <w:sz w:val="24"/>
                <w:szCs w:val="24"/>
              </w:rPr>
            </w:pPr>
            <w:r w:rsidRPr="00664D21">
              <w:rPr>
                <w:rFonts w:ascii="Arial" w:hAnsi="Arial" w:cs="Arial"/>
                <w:b/>
                <w:sz w:val="24"/>
                <w:szCs w:val="24"/>
              </w:rPr>
              <w:t>Reasons for order:</w:t>
            </w:r>
          </w:p>
          <w:p w:rsidR="00A25521" w:rsidRPr="00664D21" w:rsidRDefault="00A25521" w:rsidP="00A25521">
            <w:pPr>
              <w:jc w:val="both"/>
              <w:rPr>
                <w:rFonts w:ascii="Arial" w:hAnsi="Arial" w:cs="Arial"/>
                <w:b/>
                <w:sz w:val="24"/>
                <w:szCs w:val="24"/>
              </w:rPr>
            </w:pPr>
          </w:p>
        </w:tc>
      </w:tr>
      <w:tr w:rsidR="00D35047" w:rsidRPr="00FE65E1" w:rsidTr="00B070BA">
        <w:tc>
          <w:tcPr>
            <w:tcW w:w="10051" w:type="dxa"/>
            <w:gridSpan w:val="3"/>
          </w:tcPr>
          <w:p w:rsidR="003C3D85" w:rsidRPr="00664D21" w:rsidRDefault="003C3D85" w:rsidP="00A76DBA">
            <w:pPr>
              <w:spacing w:line="360" w:lineRule="auto"/>
              <w:jc w:val="both"/>
              <w:rPr>
                <w:rFonts w:ascii="Arial" w:hAnsi="Arial" w:cs="Arial"/>
                <w:sz w:val="24"/>
                <w:szCs w:val="24"/>
              </w:rPr>
            </w:pPr>
          </w:p>
          <w:p w:rsidR="00D35047" w:rsidRPr="00664D21" w:rsidRDefault="00D35047" w:rsidP="00A76DBA">
            <w:pPr>
              <w:spacing w:line="360" w:lineRule="auto"/>
              <w:jc w:val="both"/>
              <w:rPr>
                <w:rFonts w:ascii="Arial" w:hAnsi="Arial" w:cs="Arial"/>
                <w:sz w:val="24"/>
                <w:szCs w:val="24"/>
              </w:rPr>
            </w:pPr>
            <w:r w:rsidRPr="00664D21">
              <w:rPr>
                <w:rFonts w:ascii="Arial" w:hAnsi="Arial" w:cs="Arial"/>
                <w:sz w:val="24"/>
                <w:szCs w:val="24"/>
              </w:rPr>
              <w:t>LIEBENBERG J (concurring</w:t>
            </w:r>
            <w:r w:rsidR="006A39F0" w:rsidRPr="00664D21">
              <w:rPr>
                <w:rFonts w:ascii="Arial" w:hAnsi="Arial" w:cs="Arial"/>
                <w:sz w:val="24"/>
                <w:szCs w:val="24"/>
              </w:rPr>
              <w:t xml:space="preserve"> </w:t>
            </w:r>
            <w:proofErr w:type="spellStart"/>
            <w:r w:rsidR="00973505">
              <w:rPr>
                <w:rFonts w:ascii="Arial" w:hAnsi="Arial" w:cs="Arial"/>
                <w:sz w:val="24"/>
                <w:szCs w:val="24"/>
              </w:rPr>
              <w:t>Claasen</w:t>
            </w:r>
            <w:proofErr w:type="spellEnd"/>
            <w:r w:rsidR="00973505">
              <w:rPr>
                <w:rFonts w:ascii="Arial" w:hAnsi="Arial" w:cs="Arial"/>
                <w:sz w:val="24"/>
                <w:szCs w:val="24"/>
              </w:rPr>
              <w:t xml:space="preserve"> J</w:t>
            </w:r>
            <w:r w:rsidRPr="00664D21">
              <w:rPr>
                <w:rFonts w:ascii="Arial" w:hAnsi="Arial" w:cs="Arial"/>
                <w:sz w:val="24"/>
                <w:szCs w:val="24"/>
              </w:rPr>
              <w:t>)</w:t>
            </w:r>
          </w:p>
          <w:p w:rsidR="00D35047" w:rsidRPr="00664D21" w:rsidRDefault="00D35047" w:rsidP="00A76DBA">
            <w:pPr>
              <w:spacing w:line="360" w:lineRule="auto"/>
              <w:jc w:val="both"/>
              <w:rPr>
                <w:rFonts w:ascii="Arial" w:hAnsi="Arial" w:cs="Arial"/>
                <w:sz w:val="24"/>
                <w:szCs w:val="24"/>
              </w:rPr>
            </w:pPr>
          </w:p>
          <w:p w:rsidR="001B0C6F" w:rsidRDefault="001B0C6F" w:rsidP="001B0C6F">
            <w:pPr>
              <w:pStyle w:val="AS-H1a"/>
              <w:spacing w:line="360" w:lineRule="auto"/>
              <w:ind w:left="304" w:right="459"/>
              <w:jc w:val="both"/>
              <w:rPr>
                <w:b w:val="0"/>
                <w:sz w:val="24"/>
                <w:szCs w:val="24"/>
                <w:lang w:val="en-ZA"/>
              </w:rPr>
            </w:pPr>
          </w:p>
          <w:p w:rsidR="00CE0160" w:rsidRDefault="00CE0160" w:rsidP="001B0C6F">
            <w:pPr>
              <w:pStyle w:val="AS-H1a"/>
              <w:spacing w:line="360" w:lineRule="auto"/>
              <w:ind w:left="304" w:right="459"/>
              <w:jc w:val="both"/>
              <w:rPr>
                <w:b w:val="0"/>
                <w:sz w:val="24"/>
                <w:szCs w:val="24"/>
                <w:lang w:val="en-ZA"/>
              </w:rPr>
            </w:pPr>
          </w:p>
          <w:p w:rsidR="00001DAC" w:rsidRDefault="00236BCE" w:rsidP="00A1300A">
            <w:pPr>
              <w:pStyle w:val="AS-H1a"/>
              <w:numPr>
                <w:ilvl w:val="0"/>
                <w:numId w:val="25"/>
              </w:numPr>
              <w:spacing w:line="360" w:lineRule="auto"/>
              <w:ind w:left="304" w:right="459" w:firstLine="0"/>
              <w:jc w:val="both"/>
              <w:rPr>
                <w:b w:val="0"/>
                <w:sz w:val="24"/>
                <w:szCs w:val="24"/>
                <w:lang w:val="en-ZA"/>
              </w:rPr>
            </w:pPr>
            <w:r w:rsidRPr="00236BCE">
              <w:rPr>
                <w:b w:val="0"/>
                <w:sz w:val="24"/>
                <w:szCs w:val="24"/>
                <w:lang w:val="en-ZA"/>
              </w:rPr>
              <w:t xml:space="preserve">The </w:t>
            </w:r>
            <w:r w:rsidR="00CE0160">
              <w:rPr>
                <w:b w:val="0"/>
                <w:sz w:val="24"/>
                <w:szCs w:val="24"/>
                <w:lang w:val="en-ZA"/>
              </w:rPr>
              <w:t xml:space="preserve">unrepresented </w:t>
            </w:r>
            <w:r w:rsidRPr="00236BCE">
              <w:rPr>
                <w:b w:val="0"/>
                <w:sz w:val="24"/>
                <w:szCs w:val="24"/>
                <w:lang w:val="en-ZA"/>
              </w:rPr>
              <w:t xml:space="preserve">accused appeared in the magistrate’s court for the district of </w:t>
            </w:r>
            <w:r>
              <w:rPr>
                <w:b w:val="0"/>
                <w:sz w:val="24"/>
                <w:szCs w:val="24"/>
                <w:lang w:val="en-ZA"/>
              </w:rPr>
              <w:t>Katima Mulilo</w:t>
            </w:r>
            <w:r w:rsidRPr="00236BCE">
              <w:rPr>
                <w:b w:val="0"/>
                <w:sz w:val="24"/>
                <w:szCs w:val="24"/>
                <w:lang w:val="en-ZA"/>
              </w:rPr>
              <w:t xml:space="preserve"> on 2 (two) counts</w:t>
            </w:r>
            <w:r w:rsidR="00CE0160">
              <w:rPr>
                <w:b w:val="0"/>
                <w:sz w:val="24"/>
                <w:szCs w:val="24"/>
                <w:lang w:val="en-ZA"/>
              </w:rPr>
              <w:t>,</w:t>
            </w:r>
            <w:r w:rsidR="0036487E">
              <w:rPr>
                <w:b w:val="0"/>
                <w:sz w:val="24"/>
                <w:szCs w:val="24"/>
                <w:lang w:val="en-ZA"/>
              </w:rPr>
              <w:t xml:space="preserve">  </w:t>
            </w:r>
            <w:r w:rsidRPr="00236BCE">
              <w:rPr>
                <w:b w:val="0"/>
                <w:sz w:val="24"/>
                <w:szCs w:val="24"/>
                <w:lang w:val="en-ZA"/>
              </w:rPr>
              <w:t>contraven</w:t>
            </w:r>
            <w:r w:rsidR="0036487E">
              <w:rPr>
                <w:b w:val="0"/>
                <w:sz w:val="24"/>
                <w:szCs w:val="24"/>
                <w:lang w:val="en-ZA"/>
              </w:rPr>
              <w:t>ing section</w:t>
            </w:r>
            <w:r w:rsidR="004752D1">
              <w:rPr>
                <w:b w:val="0"/>
                <w:sz w:val="24"/>
                <w:szCs w:val="24"/>
                <w:lang w:val="en-ZA"/>
              </w:rPr>
              <w:t xml:space="preserve"> 2(c) and 2(a</w:t>
            </w:r>
            <w:r w:rsidRPr="00236BCE">
              <w:rPr>
                <w:b w:val="0"/>
                <w:sz w:val="24"/>
                <w:szCs w:val="24"/>
                <w:lang w:val="en-ZA"/>
              </w:rPr>
              <w:t>) of the Abuse of Dependence Producing Substances and Rehabilitations Centres Act 41 of 1</w:t>
            </w:r>
            <w:r w:rsidR="0036487E">
              <w:rPr>
                <w:b w:val="0"/>
                <w:sz w:val="24"/>
                <w:szCs w:val="24"/>
                <w:lang w:val="en-ZA"/>
              </w:rPr>
              <w:t xml:space="preserve">971(the </w:t>
            </w:r>
            <w:r w:rsidRPr="004752D1">
              <w:rPr>
                <w:b w:val="0"/>
                <w:sz w:val="24"/>
                <w:szCs w:val="24"/>
                <w:lang w:val="en-ZA"/>
              </w:rPr>
              <w:t>Act)</w:t>
            </w:r>
            <w:r w:rsidR="004752D1" w:rsidRPr="004752D1">
              <w:rPr>
                <w:b w:val="0"/>
                <w:sz w:val="24"/>
                <w:szCs w:val="24"/>
                <w:lang w:val="en-ZA"/>
              </w:rPr>
              <w:t xml:space="preserve"> respectively</w:t>
            </w:r>
            <w:r w:rsidRPr="004752D1">
              <w:rPr>
                <w:b w:val="0"/>
                <w:sz w:val="24"/>
                <w:szCs w:val="24"/>
                <w:lang w:val="en-ZA"/>
              </w:rPr>
              <w:t>.</w:t>
            </w:r>
            <w:r w:rsidR="004752D1" w:rsidRPr="004752D1">
              <w:rPr>
                <w:b w:val="0"/>
                <w:sz w:val="24"/>
                <w:szCs w:val="24"/>
                <w:lang w:val="en-ZA"/>
              </w:rPr>
              <w:t xml:space="preserve"> </w:t>
            </w:r>
            <w:r w:rsidR="00CE0160">
              <w:rPr>
                <w:b w:val="0"/>
                <w:sz w:val="24"/>
                <w:szCs w:val="24"/>
                <w:lang w:val="en-ZA"/>
              </w:rPr>
              <w:t>He</w:t>
            </w:r>
            <w:r w:rsidRPr="004752D1">
              <w:rPr>
                <w:b w:val="0"/>
                <w:sz w:val="24"/>
                <w:szCs w:val="24"/>
                <w:lang w:val="en-ZA"/>
              </w:rPr>
              <w:t xml:space="preserve"> pleaded guilty </w:t>
            </w:r>
            <w:r w:rsidR="004752D1" w:rsidRPr="004752D1">
              <w:rPr>
                <w:b w:val="0"/>
                <w:sz w:val="24"/>
                <w:szCs w:val="24"/>
              </w:rPr>
              <w:t xml:space="preserve">and was questioned by the magistrate in terms of the provisions of s 112(1) </w:t>
            </w:r>
            <w:r w:rsidR="004752D1" w:rsidRPr="00945F40">
              <w:rPr>
                <w:b w:val="0"/>
                <w:i/>
                <w:sz w:val="24"/>
                <w:szCs w:val="24"/>
              </w:rPr>
              <w:t>(b)</w:t>
            </w:r>
            <w:r w:rsidR="004752D1" w:rsidRPr="004752D1">
              <w:rPr>
                <w:b w:val="0"/>
                <w:sz w:val="24"/>
                <w:szCs w:val="24"/>
              </w:rPr>
              <w:t xml:space="preserve"> of the </w:t>
            </w:r>
            <w:r w:rsidR="0036487E">
              <w:rPr>
                <w:b w:val="0"/>
                <w:sz w:val="24"/>
                <w:szCs w:val="24"/>
              </w:rPr>
              <w:t xml:space="preserve">Criminal Procedure Act 51 of 1977 (the </w:t>
            </w:r>
            <w:r w:rsidR="004752D1" w:rsidRPr="004752D1">
              <w:rPr>
                <w:b w:val="0"/>
                <w:sz w:val="24"/>
                <w:szCs w:val="24"/>
              </w:rPr>
              <w:t>CPA</w:t>
            </w:r>
            <w:r w:rsidR="0036487E">
              <w:rPr>
                <w:b w:val="0"/>
                <w:sz w:val="24"/>
                <w:szCs w:val="24"/>
              </w:rPr>
              <w:t>)</w:t>
            </w:r>
            <w:r w:rsidR="004752D1" w:rsidRPr="004752D1">
              <w:rPr>
                <w:b w:val="0"/>
                <w:sz w:val="24"/>
                <w:szCs w:val="24"/>
                <w:lang w:val="en-ZA"/>
              </w:rPr>
              <w:t xml:space="preserve"> </w:t>
            </w:r>
            <w:r w:rsidR="00945F40">
              <w:rPr>
                <w:b w:val="0"/>
                <w:sz w:val="24"/>
                <w:szCs w:val="24"/>
                <w:lang w:val="en-ZA"/>
              </w:rPr>
              <w:t>on</w:t>
            </w:r>
            <w:r w:rsidRPr="004752D1">
              <w:rPr>
                <w:b w:val="0"/>
                <w:sz w:val="24"/>
                <w:szCs w:val="24"/>
                <w:lang w:val="en-ZA"/>
              </w:rPr>
              <w:t xml:space="preserve"> </w:t>
            </w:r>
            <w:r w:rsidRPr="00236BCE">
              <w:rPr>
                <w:b w:val="0"/>
                <w:sz w:val="24"/>
                <w:szCs w:val="24"/>
                <w:lang w:val="en-ZA"/>
              </w:rPr>
              <w:t>both counts and was accordingly convicted and sentenced.</w:t>
            </w:r>
          </w:p>
          <w:p w:rsidR="003903E0" w:rsidRDefault="003903E0" w:rsidP="001B0C6F">
            <w:pPr>
              <w:pStyle w:val="AS-H1a"/>
              <w:spacing w:line="360" w:lineRule="auto"/>
              <w:ind w:right="459"/>
              <w:jc w:val="both"/>
              <w:rPr>
                <w:b w:val="0"/>
                <w:sz w:val="24"/>
                <w:szCs w:val="24"/>
                <w:lang w:val="en-ZA"/>
              </w:rPr>
            </w:pPr>
          </w:p>
          <w:p w:rsidR="007F051E" w:rsidRPr="007247FF" w:rsidRDefault="00AB1C40" w:rsidP="00022770">
            <w:pPr>
              <w:pStyle w:val="AS-H1a"/>
              <w:numPr>
                <w:ilvl w:val="0"/>
                <w:numId w:val="25"/>
              </w:numPr>
              <w:spacing w:line="360" w:lineRule="auto"/>
              <w:ind w:left="304" w:right="459" w:firstLine="0"/>
              <w:jc w:val="both"/>
              <w:rPr>
                <w:b w:val="0"/>
                <w:sz w:val="24"/>
                <w:szCs w:val="24"/>
                <w:lang w:val="en-ZA"/>
              </w:rPr>
            </w:pPr>
            <w:r w:rsidRPr="007247FF">
              <w:rPr>
                <w:b w:val="0"/>
                <w:sz w:val="24"/>
                <w:szCs w:val="24"/>
                <w:lang w:val="en-ZA"/>
              </w:rPr>
              <w:t xml:space="preserve">There are </w:t>
            </w:r>
            <w:r w:rsidR="008779F4" w:rsidRPr="007247FF">
              <w:rPr>
                <w:b w:val="0"/>
                <w:sz w:val="24"/>
                <w:szCs w:val="24"/>
                <w:lang w:val="en-ZA"/>
              </w:rPr>
              <w:t>a number</w:t>
            </w:r>
            <w:r w:rsidRPr="007247FF">
              <w:rPr>
                <w:b w:val="0"/>
                <w:sz w:val="24"/>
                <w:szCs w:val="24"/>
                <w:lang w:val="en-ZA"/>
              </w:rPr>
              <w:t xml:space="preserve"> of issues that appear from the review record</w:t>
            </w:r>
            <w:r w:rsidR="00A1300A" w:rsidRPr="007247FF">
              <w:rPr>
                <w:b w:val="0"/>
                <w:sz w:val="24"/>
                <w:szCs w:val="24"/>
                <w:lang w:val="en-ZA"/>
              </w:rPr>
              <w:t>.</w:t>
            </w:r>
            <w:r w:rsidR="007F051E" w:rsidRPr="007247FF">
              <w:rPr>
                <w:b w:val="0"/>
                <w:sz w:val="24"/>
                <w:szCs w:val="24"/>
                <w:lang w:val="en-ZA"/>
              </w:rPr>
              <w:t xml:space="preserve"> Although </w:t>
            </w:r>
            <w:r w:rsidR="00CE0160">
              <w:rPr>
                <w:b w:val="0"/>
                <w:sz w:val="24"/>
                <w:szCs w:val="24"/>
                <w:lang w:val="en-ZA"/>
              </w:rPr>
              <w:t>a query was</w:t>
            </w:r>
            <w:r w:rsidR="007F051E" w:rsidRPr="007247FF">
              <w:rPr>
                <w:b w:val="0"/>
                <w:sz w:val="24"/>
                <w:szCs w:val="24"/>
                <w:lang w:val="en-ZA"/>
              </w:rPr>
              <w:t xml:space="preserve"> </w:t>
            </w:r>
            <w:r w:rsidR="00F87119" w:rsidRPr="007247FF">
              <w:rPr>
                <w:b w:val="0"/>
                <w:sz w:val="24"/>
                <w:szCs w:val="24"/>
                <w:lang w:val="en-ZA"/>
              </w:rPr>
              <w:t xml:space="preserve">initially </w:t>
            </w:r>
            <w:r w:rsidR="00CE0160">
              <w:rPr>
                <w:b w:val="0"/>
                <w:sz w:val="24"/>
                <w:szCs w:val="24"/>
                <w:lang w:val="en-ZA"/>
              </w:rPr>
              <w:t>directed</w:t>
            </w:r>
            <w:r w:rsidR="007F051E" w:rsidRPr="007247FF">
              <w:rPr>
                <w:b w:val="0"/>
                <w:sz w:val="24"/>
                <w:szCs w:val="24"/>
                <w:lang w:val="en-ZA"/>
              </w:rPr>
              <w:t xml:space="preserve"> </w:t>
            </w:r>
            <w:r w:rsidR="00CE0160">
              <w:rPr>
                <w:b w:val="0"/>
                <w:sz w:val="24"/>
                <w:szCs w:val="24"/>
                <w:lang w:val="en-ZA"/>
              </w:rPr>
              <w:t xml:space="preserve">to </w:t>
            </w:r>
            <w:r w:rsidR="007F051E" w:rsidRPr="007247FF">
              <w:rPr>
                <w:b w:val="0"/>
                <w:sz w:val="24"/>
                <w:szCs w:val="24"/>
                <w:lang w:val="en-ZA"/>
              </w:rPr>
              <w:t xml:space="preserve">the magistrate on </w:t>
            </w:r>
            <w:r w:rsidR="00CE0160">
              <w:rPr>
                <w:b w:val="0"/>
                <w:sz w:val="24"/>
                <w:szCs w:val="24"/>
                <w:lang w:val="en-ZA"/>
              </w:rPr>
              <w:t>the</w:t>
            </w:r>
            <w:r w:rsidR="007F051E" w:rsidRPr="007247FF">
              <w:rPr>
                <w:b w:val="0"/>
                <w:sz w:val="24"/>
                <w:szCs w:val="24"/>
                <w:lang w:val="en-ZA"/>
              </w:rPr>
              <w:t xml:space="preserve"> difference between the charge sheet </w:t>
            </w:r>
            <w:r w:rsidR="00CE0160">
              <w:rPr>
                <w:b w:val="0"/>
                <w:sz w:val="24"/>
                <w:szCs w:val="24"/>
                <w:lang w:val="en-ZA"/>
              </w:rPr>
              <w:t xml:space="preserve">of </w:t>
            </w:r>
            <w:r w:rsidR="007F051E" w:rsidRPr="007247FF">
              <w:rPr>
                <w:b w:val="0"/>
                <w:sz w:val="24"/>
                <w:szCs w:val="24"/>
                <w:lang w:val="en-ZA"/>
              </w:rPr>
              <w:t>the typed record and the charge to which the accused plea</w:t>
            </w:r>
            <w:r w:rsidR="00CE0160">
              <w:rPr>
                <w:b w:val="0"/>
                <w:sz w:val="24"/>
                <w:szCs w:val="24"/>
                <w:lang w:val="en-ZA"/>
              </w:rPr>
              <w:t>ded,</w:t>
            </w:r>
            <w:r w:rsidR="007F051E" w:rsidRPr="007247FF">
              <w:rPr>
                <w:b w:val="0"/>
                <w:sz w:val="24"/>
                <w:szCs w:val="24"/>
                <w:lang w:val="en-ZA"/>
              </w:rPr>
              <w:t xml:space="preserve"> </w:t>
            </w:r>
            <w:r w:rsidR="00F87119" w:rsidRPr="007247FF">
              <w:rPr>
                <w:b w:val="0"/>
                <w:sz w:val="24"/>
                <w:szCs w:val="24"/>
                <w:lang w:val="en-ZA"/>
              </w:rPr>
              <w:t xml:space="preserve">the ensuing </w:t>
            </w:r>
            <w:r w:rsidR="007F051E" w:rsidRPr="007247FF">
              <w:rPr>
                <w:b w:val="0"/>
                <w:sz w:val="24"/>
                <w:szCs w:val="24"/>
                <w:lang w:val="en-ZA"/>
              </w:rPr>
              <w:t xml:space="preserve">issues outlined </w:t>
            </w:r>
            <w:r w:rsidR="0036487E" w:rsidRPr="007247FF">
              <w:rPr>
                <w:b w:val="0"/>
                <w:sz w:val="24"/>
                <w:szCs w:val="24"/>
                <w:lang w:val="en-ZA"/>
              </w:rPr>
              <w:t xml:space="preserve">herein </w:t>
            </w:r>
            <w:r w:rsidR="00F87119" w:rsidRPr="007247FF">
              <w:rPr>
                <w:b w:val="0"/>
                <w:sz w:val="24"/>
                <w:szCs w:val="24"/>
                <w:lang w:val="en-ZA"/>
              </w:rPr>
              <w:t>roused the court to form the view that</w:t>
            </w:r>
            <w:r w:rsidR="0036487E" w:rsidRPr="007247FF">
              <w:rPr>
                <w:b w:val="0"/>
                <w:sz w:val="24"/>
                <w:szCs w:val="24"/>
                <w:lang w:val="en-ZA"/>
              </w:rPr>
              <w:t xml:space="preserve"> the</w:t>
            </w:r>
            <w:r w:rsidR="007F051E" w:rsidRPr="007247FF">
              <w:rPr>
                <w:b w:val="0"/>
                <w:sz w:val="24"/>
                <w:szCs w:val="24"/>
                <w:lang w:val="en-ZA"/>
              </w:rPr>
              <w:t xml:space="preserve"> proceedings are </w:t>
            </w:r>
            <w:r w:rsidR="00F87119" w:rsidRPr="007247FF">
              <w:rPr>
                <w:b w:val="0"/>
                <w:sz w:val="24"/>
                <w:szCs w:val="24"/>
                <w:lang w:val="en-ZA"/>
              </w:rPr>
              <w:t xml:space="preserve">clearly </w:t>
            </w:r>
            <w:r w:rsidR="007F051E" w:rsidRPr="007247FF">
              <w:rPr>
                <w:b w:val="0"/>
                <w:sz w:val="24"/>
                <w:szCs w:val="24"/>
                <w:lang w:val="en-ZA"/>
              </w:rPr>
              <w:t xml:space="preserve">not in accordance with justice </w:t>
            </w:r>
            <w:r w:rsidR="0036487E" w:rsidRPr="007247FF">
              <w:rPr>
                <w:b w:val="0"/>
                <w:sz w:val="24"/>
                <w:szCs w:val="24"/>
                <w:lang w:val="en-ZA"/>
              </w:rPr>
              <w:t>and</w:t>
            </w:r>
            <w:r w:rsidR="007F051E" w:rsidRPr="007247FF">
              <w:rPr>
                <w:b w:val="0"/>
                <w:sz w:val="24"/>
                <w:szCs w:val="24"/>
                <w:lang w:val="en-ZA"/>
              </w:rPr>
              <w:t xml:space="preserve"> the </w:t>
            </w:r>
            <w:r w:rsidR="0036487E" w:rsidRPr="007247FF">
              <w:rPr>
                <w:b w:val="0"/>
                <w:sz w:val="24"/>
                <w:szCs w:val="24"/>
                <w:lang w:val="en-ZA"/>
              </w:rPr>
              <w:t xml:space="preserve">delay </w:t>
            </w:r>
            <w:r w:rsidR="001B0C6F">
              <w:rPr>
                <w:b w:val="0"/>
                <w:sz w:val="24"/>
                <w:szCs w:val="24"/>
                <w:lang w:val="en-ZA"/>
              </w:rPr>
              <w:t>which is likely to be caus</w:t>
            </w:r>
            <w:r w:rsidR="0036487E" w:rsidRPr="007247FF">
              <w:rPr>
                <w:b w:val="0"/>
                <w:sz w:val="24"/>
                <w:szCs w:val="24"/>
                <w:lang w:val="en-ZA"/>
              </w:rPr>
              <w:t>ed by</w:t>
            </w:r>
            <w:r w:rsidR="004E3663">
              <w:rPr>
                <w:b w:val="0"/>
                <w:sz w:val="24"/>
                <w:szCs w:val="24"/>
                <w:lang w:val="en-ZA"/>
              </w:rPr>
              <w:t xml:space="preserve"> the</w:t>
            </w:r>
            <w:r w:rsidR="0036487E" w:rsidRPr="007247FF">
              <w:rPr>
                <w:b w:val="0"/>
                <w:sz w:val="24"/>
                <w:szCs w:val="24"/>
                <w:lang w:val="en-ZA"/>
              </w:rPr>
              <w:t xml:space="preserve"> submitting of a further query to the magistrate would </w:t>
            </w:r>
            <w:r w:rsidR="007247FF">
              <w:rPr>
                <w:b w:val="0"/>
                <w:sz w:val="24"/>
                <w:szCs w:val="24"/>
                <w:lang w:val="en-ZA"/>
              </w:rPr>
              <w:t xml:space="preserve">prejudice the convicted person. </w:t>
            </w:r>
            <w:r w:rsidR="0036487E" w:rsidRPr="007247FF">
              <w:rPr>
                <w:b w:val="0"/>
                <w:sz w:val="24"/>
                <w:szCs w:val="24"/>
                <w:lang w:val="en-ZA"/>
              </w:rPr>
              <w:t xml:space="preserve">For reasons </w:t>
            </w:r>
            <w:r w:rsidR="00CE0160">
              <w:rPr>
                <w:b w:val="0"/>
                <w:sz w:val="24"/>
                <w:szCs w:val="24"/>
                <w:lang w:val="en-ZA"/>
              </w:rPr>
              <w:t>to</w:t>
            </w:r>
            <w:r w:rsidR="0036487E" w:rsidRPr="007247FF">
              <w:rPr>
                <w:b w:val="0"/>
                <w:sz w:val="24"/>
                <w:szCs w:val="24"/>
                <w:lang w:val="en-ZA"/>
              </w:rPr>
              <w:t xml:space="preserve"> follow, the court will</w:t>
            </w:r>
            <w:r w:rsidR="007247FF" w:rsidRPr="007247FF">
              <w:rPr>
                <w:b w:val="0"/>
                <w:sz w:val="24"/>
                <w:szCs w:val="24"/>
                <w:lang w:val="en-ZA"/>
              </w:rPr>
              <w:t xml:space="preserve"> dispense with such requirement.</w:t>
            </w:r>
            <w:r w:rsidR="007247FF" w:rsidRPr="007247FF">
              <w:rPr>
                <w:rStyle w:val="FootnoteReference"/>
                <w:b w:val="0"/>
                <w:sz w:val="24"/>
                <w:szCs w:val="24"/>
                <w:lang w:val="en-ZA"/>
              </w:rPr>
              <w:t xml:space="preserve"> </w:t>
            </w:r>
            <w:r w:rsidR="007247FF" w:rsidRPr="007247FF">
              <w:rPr>
                <w:rStyle w:val="FootnoteReference"/>
                <w:b w:val="0"/>
                <w:sz w:val="24"/>
                <w:szCs w:val="24"/>
                <w:lang w:val="en-ZA"/>
              </w:rPr>
              <w:footnoteReference w:id="1"/>
            </w:r>
            <w:r w:rsidR="007247FF" w:rsidRPr="007247FF">
              <w:rPr>
                <w:b w:val="0"/>
                <w:sz w:val="24"/>
                <w:szCs w:val="24"/>
                <w:lang w:val="en-ZA"/>
              </w:rPr>
              <w:t xml:space="preserve"> </w:t>
            </w:r>
          </w:p>
          <w:p w:rsidR="00A1300A" w:rsidRPr="00A1300A" w:rsidRDefault="00A1300A" w:rsidP="00A1300A">
            <w:pPr>
              <w:spacing w:line="360" w:lineRule="auto"/>
              <w:ind w:right="459"/>
              <w:jc w:val="both"/>
              <w:rPr>
                <w:rFonts w:ascii="Arial" w:hAnsi="Arial" w:cs="Arial"/>
                <w:sz w:val="24"/>
                <w:szCs w:val="24"/>
              </w:rPr>
            </w:pPr>
          </w:p>
          <w:p w:rsidR="00BB6727" w:rsidRDefault="00BB6727" w:rsidP="00BB6727">
            <w:pPr>
              <w:pStyle w:val="ListParagraph"/>
              <w:numPr>
                <w:ilvl w:val="0"/>
                <w:numId w:val="25"/>
              </w:numPr>
              <w:spacing w:line="360" w:lineRule="auto"/>
              <w:ind w:left="304" w:right="459" w:firstLine="0"/>
              <w:jc w:val="both"/>
              <w:rPr>
                <w:rFonts w:ascii="Arial" w:hAnsi="Arial" w:cs="Arial"/>
                <w:sz w:val="24"/>
                <w:szCs w:val="24"/>
              </w:rPr>
            </w:pPr>
            <w:r>
              <w:rPr>
                <w:rFonts w:ascii="Arial" w:hAnsi="Arial" w:cs="Arial"/>
                <w:sz w:val="24"/>
                <w:szCs w:val="24"/>
              </w:rPr>
              <w:t xml:space="preserve">   </w:t>
            </w:r>
            <w:r w:rsidR="008779F4" w:rsidRPr="00BB6727">
              <w:rPr>
                <w:rFonts w:ascii="Arial" w:hAnsi="Arial" w:cs="Arial"/>
                <w:sz w:val="24"/>
                <w:szCs w:val="24"/>
              </w:rPr>
              <w:t xml:space="preserve">It is trite that </w:t>
            </w:r>
            <w:r w:rsidR="00A40C18" w:rsidRPr="00BB6727">
              <w:rPr>
                <w:rFonts w:ascii="Arial" w:hAnsi="Arial" w:cs="Arial"/>
                <w:sz w:val="24"/>
                <w:szCs w:val="24"/>
              </w:rPr>
              <w:t xml:space="preserve">a magistrate is under a duty to comprehensively check review records before same is certified. This duty cannot be said to be upheld by the magistrate </w:t>
            </w:r>
            <w:r w:rsidR="0017400B" w:rsidRPr="00BB6727">
              <w:rPr>
                <w:rFonts w:ascii="Arial" w:hAnsi="Arial" w:cs="Arial"/>
                <w:sz w:val="24"/>
                <w:szCs w:val="24"/>
              </w:rPr>
              <w:t xml:space="preserve">in this instance. </w:t>
            </w:r>
            <w:r w:rsidR="00A324D9" w:rsidRPr="00BB6727">
              <w:rPr>
                <w:rFonts w:ascii="Arial" w:hAnsi="Arial" w:cs="Arial"/>
                <w:sz w:val="24"/>
                <w:szCs w:val="24"/>
              </w:rPr>
              <w:t>Not only was the review record</w:t>
            </w:r>
            <w:r w:rsidR="0017400B" w:rsidRPr="00BB6727">
              <w:rPr>
                <w:rFonts w:ascii="Arial" w:hAnsi="Arial" w:cs="Arial"/>
                <w:sz w:val="24"/>
                <w:szCs w:val="24"/>
              </w:rPr>
              <w:t xml:space="preserve"> not number</w:t>
            </w:r>
            <w:r w:rsidR="007247FF">
              <w:rPr>
                <w:rFonts w:ascii="Arial" w:hAnsi="Arial" w:cs="Arial"/>
                <w:sz w:val="24"/>
                <w:szCs w:val="24"/>
              </w:rPr>
              <w:t>ed</w:t>
            </w:r>
            <w:r w:rsidR="0017400B" w:rsidRPr="00BB6727">
              <w:rPr>
                <w:rFonts w:ascii="Arial" w:hAnsi="Arial" w:cs="Arial"/>
                <w:sz w:val="24"/>
                <w:szCs w:val="24"/>
              </w:rPr>
              <w:t xml:space="preserve"> correctly and chronologically</w:t>
            </w:r>
            <w:r w:rsidR="00945F40">
              <w:rPr>
                <w:rFonts w:ascii="Arial" w:hAnsi="Arial" w:cs="Arial"/>
                <w:sz w:val="24"/>
                <w:szCs w:val="24"/>
              </w:rPr>
              <w:t>,</w:t>
            </w:r>
            <w:r w:rsidR="00A324D9" w:rsidRPr="00BB6727">
              <w:rPr>
                <w:rFonts w:ascii="Arial" w:hAnsi="Arial" w:cs="Arial"/>
                <w:sz w:val="24"/>
                <w:szCs w:val="24"/>
              </w:rPr>
              <w:t xml:space="preserve"> but </w:t>
            </w:r>
            <w:r w:rsidR="0017400B" w:rsidRPr="00BB6727">
              <w:rPr>
                <w:rFonts w:ascii="Arial" w:hAnsi="Arial" w:cs="Arial"/>
                <w:sz w:val="24"/>
                <w:szCs w:val="24"/>
              </w:rPr>
              <w:t xml:space="preserve">the charge annexures to which the accused pleaded do not correspond </w:t>
            </w:r>
            <w:r w:rsidR="00A324D9" w:rsidRPr="00BB6727">
              <w:rPr>
                <w:rFonts w:ascii="Arial" w:hAnsi="Arial" w:cs="Arial"/>
                <w:sz w:val="24"/>
                <w:szCs w:val="24"/>
              </w:rPr>
              <w:t>with the</w:t>
            </w:r>
            <w:r w:rsidR="0017400B" w:rsidRPr="00BB6727">
              <w:rPr>
                <w:rFonts w:ascii="Arial" w:hAnsi="Arial" w:cs="Arial"/>
                <w:sz w:val="24"/>
                <w:szCs w:val="24"/>
              </w:rPr>
              <w:t xml:space="preserve"> charges stipulated on the revie</w:t>
            </w:r>
            <w:r w:rsidR="00A324D9" w:rsidRPr="00BB6727">
              <w:rPr>
                <w:rFonts w:ascii="Arial" w:hAnsi="Arial" w:cs="Arial"/>
                <w:sz w:val="24"/>
                <w:szCs w:val="24"/>
              </w:rPr>
              <w:t xml:space="preserve">w cover sheet. The review cover sheet </w:t>
            </w:r>
            <w:r w:rsidR="007247FF">
              <w:rPr>
                <w:rFonts w:ascii="Arial" w:hAnsi="Arial" w:cs="Arial"/>
                <w:sz w:val="24"/>
                <w:szCs w:val="24"/>
              </w:rPr>
              <w:t xml:space="preserve">outlined that </w:t>
            </w:r>
            <w:r w:rsidR="00A324D9" w:rsidRPr="00BB6727">
              <w:rPr>
                <w:rFonts w:ascii="Arial" w:hAnsi="Arial" w:cs="Arial"/>
                <w:sz w:val="24"/>
                <w:szCs w:val="24"/>
              </w:rPr>
              <w:t>the accused was convicted under two counts of contravening section 2(c)</w:t>
            </w:r>
            <w:r w:rsidR="007247FF">
              <w:rPr>
                <w:rFonts w:ascii="Arial" w:hAnsi="Arial" w:cs="Arial"/>
                <w:sz w:val="24"/>
                <w:szCs w:val="24"/>
              </w:rPr>
              <w:t xml:space="preserve"> of </w:t>
            </w:r>
            <w:r w:rsidR="00A324D9" w:rsidRPr="00BB6727">
              <w:rPr>
                <w:rFonts w:ascii="Arial" w:hAnsi="Arial" w:cs="Arial"/>
                <w:sz w:val="24"/>
                <w:szCs w:val="24"/>
              </w:rPr>
              <w:t>the Act</w:t>
            </w:r>
            <w:r w:rsidR="007247FF">
              <w:rPr>
                <w:rFonts w:ascii="Arial" w:hAnsi="Arial" w:cs="Arial"/>
                <w:sz w:val="24"/>
                <w:szCs w:val="24"/>
              </w:rPr>
              <w:t xml:space="preserve"> which</w:t>
            </w:r>
            <w:r w:rsidR="00830039">
              <w:rPr>
                <w:rFonts w:ascii="Arial" w:hAnsi="Arial" w:cs="Arial"/>
                <w:sz w:val="24"/>
                <w:szCs w:val="24"/>
              </w:rPr>
              <w:t>,</w:t>
            </w:r>
            <w:r w:rsidR="007247FF">
              <w:rPr>
                <w:rFonts w:ascii="Arial" w:hAnsi="Arial" w:cs="Arial"/>
                <w:sz w:val="24"/>
                <w:szCs w:val="24"/>
              </w:rPr>
              <w:t xml:space="preserve"> from the charge annexures</w:t>
            </w:r>
            <w:r w:rsidR="00830039">
              <w:rPr>
                <w:rFonts w:ascii="Arial" w:hAnsi="Arial" w:cs="Arial"/>
                <w:sz w:val="24"/>
                <w:szCs w:val="24"/>
              </w:rPr>
              <w:t>,</w:t>
            </w:r>
            <w:r w:rsidR="007247FF">
              <w:rPr>
                <w:rFonts w:ascii="Arial" w:hAnsi="Arial" w:cs="Arial"/>
                <w:sz w:val="24"/>
                <w:szCs w:val="24"/>
              </w:rPr>
              <w:t xml:space="preserve"> is not the case</w:t>
            </w:r>
            <w:r w:rsidR="00A324D9" w:rsidRPr="00BB6727">
              <w:rPr>
                <w:rFonts w:ascii="Arial" w:hAnsi="Arial" w:cs="Arial"/>
                <w:sz w:val="24"/>
                <w:szCs w:val="24"/>
              </w:rPr>
              <w:t>.</w:t>
            </w:r>
            <w:r w:rsidR="004E3663">
              <w:rPr>
                <w:rFonts w:ascii="Arial" w:hAnsi="Arial" w:cs="Arial"/>
                <w:sz w:val="24"/>
                <w:szCs w:val="24"/>
              </w:rPr>
              <w:t xml:space="preserve"> Care should be </w:t>
            </w:r>
            <w:r w:rsidR="00830039">
              <w:rPr>
                <w:rFonts w:ascii="Arial" w:hAnsi="Arial" w:cs="Arial"/>
                <w:sz w:val="24"/>
                <w:szCs w:val="24"/>
              </w:rPr>
              <w:t>taken</w:t>
            </w:r>
            <w:r w:rsidR="004E3663">
              <w:rPr>
                <w:rFonts w:ascii="Arial" w:hAnsi="Arial" w:cs="Arial"/>
                <w:sz w:val="24"/>
                <w:szCs w:val="24"/>
              </w:rPr>
              <w:t xml:space="preserve"> in the future to avoid such errors.</w:t>
            </w:r>
          </w:p>
          <w:p w:rsidR="00BB6727" w:rsidRPr="00BB6727" w:rsidRDefault="00BB6727" w:rsidP="00BB6727">
            <w:pPr>
              <w:pStyle w:val="ListParagraph"/>
              <w:rPr>
                <w:rFonts w:ascii="Arial" w:hAnsi="Arial" w:cs="Arial"/>
                <w:sz w:val="24"/>
                <w:szCs w:val="24"/>
              </w:rPr>
            </w:pPr>
          </w:p>
          <w:p w:rsidR="004E3663" w:rsidRDefault="00A324D9" w:rsidP="00022770">
            <w:pPr>
              <w:pStyle w:val="ListParagraph"/>
              <w:numPr>
                <w:ilvl w:val="0"/>
                <w:numId w:val="25"/>
              </w:numPr>
              <w:spacing w:line="360" w:lineRule="auto"/>
              <w:ind w:left="304" w:right="459" w:firstLine="0"/>
              <w:jc w:val="both"/>
              <w:rPr>
                <w:rFonts w:ascii="Arial" w:eastAsia="Times New Roman" w:hAnsi="Arial" w:cs="Arial"/>
                <w:sz w:val="24"/>
                <w:szCs w:val="24"/>
                <w:lang w:val="en-GB" w:eastAsia="en-GB"/>
              </w:rPr>
            </w:pPr>
            <w:r w:rsidRPr="00830039">
              <w:rPr>
                <w:rFonts w:ascii="Arial" w:hAnsi="Arial" w:cs="Arial"/>
                <w:sz w:val="24"/>
                <w:szCs w:val="24"/>
              </w:rPr>
              <w:t xml:space="preserve"> </w:t>
            </w:r>
            <w:r w:rsidR="00BB6727" w:rsidRPr="00830039">
              <w:rPr>
                <w:rFonts w:ascii="Arial" w:hAnsi="Arial" w:cs="Arial"/>
                <w:sz w:val="24"/>
                <w:szCs w:val="24"/>
              </w:rPr>
              <w:t xml:space="preserve">   </w:t>
            </w:r>
            <w:r w:rsidR="007247FF" w:rsidRPr="00830039">
              <w:rPr>
                <w:rFonts w:ascii="Arial" w:eastAsia="Times New Roman" w:hAnsi="Arial" w:cs="Arial"/>
                <w:sz w:val="24"/>
                <w:szCs w:val="24"/>
                <w:lang w:val="en-GB" w:eastAsia="en-GB"/>
              </w:rPr>
              <w:t>M</w:t>
            </w:r>
            <w:r w:rsidRPr="00830039">
              <w:rPr>
                <w:rFonts w:ascii="Arial" w:eastAsia="Times New Roman" w:hAnsi="Arial" w:cs="Arial"/>
                <w:sz w:val="24"/>
                <w:szCs w:val="24"/>
                <w:lang w:val="en-GB" w:eastAsia="en-GB"/>
              </w:rPr>
              <w:t>oreover</w:t>
            </w:r>
            <w:r w:rsidR="007247FF" w:rsidRPr="00830039">
              <w:rPr>
                <w:rFonts w:ascii="Arial" w:eastAsia="Times New Roman" w:hAnsi="Arial" w:cs="Arial"/>
                <w:sz w:val="24"/>
                <w:szCs w:val="24"/>
                <w:lang w:val="en-GB" w:eastAsia="en-GB"/>
              </w:rPr>
              <w:t xml:space="preserve">, </w:t>
            </w:r>
            <w:r w:rsidRPr="00830039">
              <w:rPr>
                <w:rFonts w:ascii="Arial" w:eastAsia="Times New Roman" w:hAnsi="Arial" w:cs="Arial"/>
                <w:sz w:val="24"/>
                <w:szCs w:val="24"/>
                <w:lang w:val="en-GB" w:eastAsia="en-GB"/>
              </w:rPr>
              <w:t xml:space="preserve">the manner in which the </w:t>
            </w:r>
            <w:r w:rsidR="00FA79D4" w:rsidRPr="00830039">
              <w:rPr>
                <w:rFonts w:ascii="Arial" w:eastAsia="Times New Roman" w:hAnsi="Arial" w:cs="Arial"/>
                <w:sz w:val="24"/>
                <w:szCs w:val="24"/>
                <w:lang w:val="en-GB" w:eastAsia="en-GB"/>
              </w:rPr>
              <w:t>first charge has</w:t>
            </w:r>
            <w:r w:rsidRPr="00830039">
              <w:rPr>
                <w:rFonts w:ascii="Arial" w:eastAsia="Times New Roman" w:hAnsi="Arial" w:cs="Arial"/>
                <w:sz w:val="24"/>
                <w:szCs w:val="24"/>
                <w:lang w:val="en-GB" w:eastAsia="en-GB"/>
              </w:rPr>
              <w:t xml:space="preserve"> been drawn up by the prosecutor, </w:t>
            </w:r>
            <w:r w:rsidR="007247FF" w:rsidRPr="00830039">
              <w:rPr>
                <w:rFonts w:ascii="Arial" w:eastAsia="Times New Roman" w:hAnsi="Arial" w:cs="Arial"/>
                <w:sz w:val="24"/>
                <w:szCs w:val="24"/>
                <w:lang w:val="en-GB" w:eastAsia="en-GB"/>
              </w:rPr>
              <w:t>is</w:t>
            </w:r>
            <w:r w:rsidRPr="00830039">
              <w:rPr>
                <w:rFonts w:ascii="Arial" w:eastAsia="Times New Roman" w:hAnsi="Arial" w:cs="Arial"/>
                <w:sz w:val="24"/>
                <w:szCs w:val="24"/>
                <w:lang w:val="en-GB" w:eastAsia="en-GB"/>
              </w:rPr>
              <w:t xml:space="preserve"> materially defe</w:t>
            </w:r>
            <w:r w:rsidR="00830039" w:rsidRPr="00830039">
              <w:rPr>
                <w:rFonts w:ascii="Arial" w:eastAsia="Times New Roman" w:hAnsi="Arial" w:cs="Arial"/>
                <w:sz w:val="24"/>
                <w:szCs w:val="24"/>
                <w:lang w:val="en-GB" w:eastAsia="en-GB"/>
              </w:rPr>
              <w:t>ctive. I</w:t>
            </w:r>
            <w:r w:rsidR="007247FF" w:rsidRPr="00830039">
              <w:rPr>
                <w:rFonts w:ascii="Arial" w:eastAsia="Times New Roman" w:hAnsi="Arial" w:cs="Arial"/>
                <w:sz w:val="24"/>
                <w:szCs w:val="24"/>
                <w:lang w:val="en-GB" w:eastAsia="en-GB"/>
              </w:rPr>
              <w:t xml:space="preserve">n addition, </w:t>
            </w:r>
            <w:r w:rsidR="00830039" w:rsidRPr="00830039">
              <w:rPr>
                <w:rFonts w:ascii="Arial" w:eastAsia="Times New Roman" w:hAnsi="Arial" w:cs="Arial"/>
                <w:sz w:val="24"/>
                <w:szCs w:val="24"/>
                <w:lang w:val="en-GB" w:eastAsia="en-GB"/>
              </w:rPr>
              <w:t>this court further takes issue with the manner in which the</w:t>
            </w:r>
            <w:r w:rsidRPr="00830039">
              <w:rPr>
                <w:rFonts w:ascii="Arial" w:eastAsia="Times New Roman" w:hAnsi="Arial" w:cs="Arial"/>
                <w:sz w:val="24"/>
                <w:szCs w:val="24"/>
                <w:lang w:val="en-GB" w:eastAsia="en-GB"/>
              </w:rPr>
              <w:t xml:space="preserve"> magistrate omitted to deal with a material issue under the</w:t>
            </w:r>
            <w:r w:rsidR="00945F40">
              <w:rPr>
                <w:rFonts w:ascii="Arial" w:eastAsia="Times New Roman" w:hAnsi="Arial" w:cs="Arial"/>
                <w:sz w:val="24"/>
                <w:szCs w:val="24"/>
                <w:lang w:val="en-GB" w:eastAsia="en-GB"/>
              </w:rPr>
              <w:t xml:space="preserve"> court’s</w:t>
            </w:r>
            <w:r w:rsidRPr="00830039">
              <w:rPr>
                <w:rFonts w:ascii="Arial" w:eastAsia="Times New Roman" w:hAnsi="Arial" w:cs="Arial"/>
                <w:sz w:val="24"/>
                <w:szCs w:val="24"/>
                <w:lang w:val="en-GB" w:eastAsia="en-GB"/>
              </w:rPr>
              <w:t xml:space="preserve"> s </w:t>
            </w:r>
            <w:r w:rsidR="008124BD">
              <w:rPr>
                <w:rFonts w:ascii="Arial" w:eastAsia="Times New Roman" w:hAnsi="Arial" w:cs="Arial"/>
                <w:sz w:val="24"/>
                <w:szCs w:val="24"/>
                <w:lang w:val="en-GB" w:eastAsia="en-GB"/>
              </w:rPr>
              <w:t>112</w:t>
            </w:r>
            <w:r w:rsidR="004D21DE" w:rsidRPr="00830039">
              <w:rPr>
                <w:rFonts w:ascii="Arial" w:eastAsia="Times New Roman" w:hAnsi="Arial" w:cs="Arial"/>
                <w:sz w:val="24"/>
                <w:szCs w:val="24"/>
                <w:lang w:val="en-GB" w:eastAsia="en-GB"/>
              </w:rPr>
              <w:t xml:space="preserve">(1) (b) </w:t>
            </w:r>
            <w:r w:rsidR="007247FF" w:rsidRPr="00830039">
              <w:rPr>
                <w:rFonts w:ascii="Arial" w:eastAsia="Times New Roman" w:hAnsi="Arial" w:cs="Arial"/>
                <w:sz w:val="24"/>
                <w:szCs w:val="24"/>
                <w:lang w:val="en-GB" w:eastAsia="en-GB"/>
              </w:rPr>
              <w:t>questioning</w:t>
            </w:r>
            <w:r w:rsidRPr="00830039">
              <w:rPr>
                <w:rFonts w:ascii="Arial" w:eastAsia="Times New Roman" w:hAnsi="Arial" w:cs="Arial"/>
                <w:sz w:val="24"/>
                <w:szCs w:val="24"/>
                <w:lang w:val="en-GB" w:eastAsia="en-GB"/>
              </w:rPr>
              <w:t xml:space="preserve"> of the accused</w:t>
            </w:r>
            <w:r w:rsidR="00FA79D4" w:rsidRPr="00830039">
              <w:rPr>
                <w:rFonts w:ascii="Arial" w:eastAsia="Times New Roman" w:hAnsi="Arial" w:cs="Arial"/>
                <w:sz w:val="24"/>
                <w:szCs w:val="24"/>
                <w:lang w:val="en-GB" w:eastAsia="en-GB"/>
              </w:rPr>
              <w:t xml:space="preserve"> in respect </w:t>
            </w:r>
            <w:r w:rsidR="00830039">
              <w:rPr>
                <w:rFonts w:ascii="Arial" w:eastAsia="Times New Roman" w:hAnsi="Arial" w:cs="Arial"/>
                <w:sz w:val="24"/>
                <w:szCs w:val="24"/>
                <w:lang w:val="en-GB" w:eastAsia="en-GB"/>
              </w:rPr>
              <w:t>thereof.</w:t>
            </w:r>
          </w:p>
          <w:p w:rsidR="00830039" w:rsidRPr="00830039" w:rsidRDefault="00830039" w:rsidP="00830039">
            <w:pPr>
              <w:pStyle w:val="ListParagraph"/>
              <w:rPr>
                <w:rFonts w:ascii="Arial" w:eastAsia="Times New Roman" w:hAnsi="Arial" w:cs="Arial"/>
                <w:sz w:val="24"/>
                <w:szCs w:val="24"/>
                <w:lang w:val="en-GB" w:eastAsia="en-GB"/>
              </w:rPr>
            </w:pPr>
          </w:p>
          <w:p w:rsidR="00830039" w:rsidRDefault="00830039" w:rsidP="00830039">
            <w:pPr>
              <w:pStyle w:val="ListParagraph"/>
              <w:spacing w:line="360" w:lineRule="auto"/>
              <w:ind w:left="304" w:right="459"/>
              <w:jc w:val="both"/>
              <w:rPr>
                <w:rFonts w:ascii="Arial" w:eastAsia="Times New Roman" w:hAnsi="Arial" w:cs="Arial"/>
                <w:sz w:val="24"/>
                <w:szCs w:val="24"/>
                <w:lang w:val="en-GB" w:eastAsia="en-GB"/>
              </w:rPr>
            </w:pPr>
          </w:p>
          <w:p w:rsidR="00830039" w:rsidRPr="00830039" w:rsidRDefault="00830039" w:rsidP="00830039">
            <w:pPr>
              <w:pStyle w:val="ListParagraph"/>
              <w:rPr>
                <w:rFonts w:ascii="Arial" w:eastAsia="Times New Roman" w:hAnsi="Arial" w:cs="Arial"/>
                <w:sz w:val="24"/>
                <w:szCs w:val="24"/>
                <w:lang w:val="en-GB" w:eastAsia="en-GB"/>
              </w:rPr>
            </w:pPr>
          </w:p>
          <w:p w:rsidR="004D21DE" w:rsidRPr="00830039" w:rsidRDefault="00830039" w:rsidP="00830039">
            <w:pPr>
              <w:pStyle w:val="ListParagraph"/>
              <w:numPr>
                <w:ilvl w:val="0"/>
                <w:numId w:val="25"/>
              </w:numPr>
              <w:spacing w:line="360" w:lineRule="auto"/>
              <w:ind w:left="304" w:right="459" w:firstLine="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FA79D4" w:rsidRPr="00830039">
              <w:rPr>
                <w:rFonts w:ascii="Arial" w:eastAsia="Times New Roman" w:hAnsi="Arial" w:cs="Arial"/>
                <w:sz w:val="24"/>
                <w:szCs w:val="24"/>
                <w:lang w:val="en-GB" w:eastAsia="en-GB"/>
              </w:rPr>
              <w:t xml:space="preserve">The first charge relates to contravening section 2 (c) of the Act, </w:t>
            </w:r>
            <w:r w:rsidR="004D21DE" w:rsidRPr="00830039">
              <w:rPr>
                <w:rFonts w:ascii="Arial" w:eastAsia="Times New Roman" w:hAnsi="Arial" w:cs="Arial"/>
                <w:sz w:val="24"/>
                <w:szCs w:val="24"/>
                <w:lang w:val="en-GB" w:eastAsia="en-GB"/>
              </w:rPr>
              <w:t>i.e.</w:t>
            </w:r>
            <w:r w:rsidR="00FA79D4" w:rsidRPr="00830039">
              <w:rPr>
                <w:rFonts w:ascii="Arial" w:eastAsia="Times New Roman" w:hAnsi="Arial" w:cs="Arial"/>
                <w:sz w:val="24"/>
                <w:szCs w:val="24"/>
                <w:lang w:val="en-GB" w:eastAsia="en-GB"/>
              </w:rPr>
              <w:t xml:space="preserve"> dealing in dangerous dependence producing drugs.</w:t>
            </w:r>
            <w:r w:rsidR="00A70EFE" w:rsidRPr="00830039">
              <w:rPr>
                <w:rFonts w:ascii="Arial" w:eastAsia="Times New Roman" w:hAnsi="Arial" w:cs="Arial"/>
                <w:sz w:val="24"/>
                <w:szCs w:val="24"/>
                <w:lang w:val="en-GB" w:eastAsia="en-GB"/>
              </w:rPr>
              <w:t xml:space="preserve"> According to the Act, substances listed under </w:t>
            </w:r>
            <w:r>
              <w:rPr>
                <w:rFonts w:ascii="Arial" w:eastAsia="Times New Roman" w:hAnsi="Arial" w:cs="Arial"/>
                <w:sz w:val="24"/>
                <w:szCs w:val="24"/>
                <w:lang w:val="en-GB" w:eastAsia="en-GB"/>
              </w:rPr>
              <w:t>P</w:t>
            </w:r>
            <w:r w:rsidR="00F91510" w:rsidRPr="00830039">
              <w:rPr>
                <w:rFonts w:ascii="Arial" w:eastAsia="Times New Roman" w:hAnsi="Arial" w:cs="Arial"/>
                <w:sz w:val="24"/>
                <w:szCs w:val="24"/>
                <w:lang w:val="en-GB" w:eastAsia="en-GB"/>
              </w:rPr>
              <w:t xml:space="preserve">art 2 of the </w:t>
            </w:r>
            <w:r>
              <w:rPr>
                <w:rFonts w:ascii="Arial" w:eastAsia="Times New Roman" w:hAnsi="Arial" w:cs="Arial"/>
                <w:sz w:val="24"/>
                <w:szCs w:val="24"/>
                <w:lang w:val="en-GB" w:eastAsia="en-GB"/>
              </w:rPr>
              <w:t>S</w:t>
            </w:r>
            <w:r w:rsidR="00A70EFE" w:rsidRPr="00830039">
              <w:rPr>
                <w:rFonts w:ascii="Arial" w:eastAsia="Times New Roman" w:hAnsi="Arial" w:cs="Arial"/>
                <w:sz w:val="24"/>
                <w:szCs w:val="24"/>
                <w:lang w:val="en-GB" w:eastAsia="en-GB"/>
              </w:rPr>
              <w:t>chedule</w:t>
            </w:r>
            <w:r w:rsidR="00F91510" w:rsidRPr="00830039">
              <w:rPr>
                <w:rFonts w:ascii="Arial" w:eastAsia="Times New Roman" w:hAnsi="Arial" w:cs="Arial"/>
                <w:sz w:val="24"/>
                <w:szCs w:val="24"/>
                <w:lang w:val="en-GB" w:eastAsia="en-GB"/>
              </w:rPr>
              <w:t xml:space="preserve"> </w:t>
            </w:r>
            <w:r w:rsidR="00A70EFE" w:rsidRPr="00830039">
              <w:rPr>
                <w:rFonts w:ascii="Arial" w:eastAsia="Times New Roman" w:hAnsi="Arial" w:cs="Arial"/>
                <w:sz w:val="24"/>
                <w:szCs w:val="24"/>
                <w:lang w:val="en-GB" w:eastAsia="en-GB"/>
              </w:rPr>
              <w:t xml:space="preserve">of the Act are listed as </w:t>
            </w:r>
            <w:r w:rsidR="00945F40">
              <w:rPr>
                <w:rFonts w:ascii="Arial" w:eastAsia="Times New Roman" w:hAnsi="Arial" w:cs="Arial"/>
                <w:sz w:val="24"/>
                <w:szCs w:val="24"/>
                <w:lang w:val="en-GB" w:eastAsia="en-GB"/>
              </w:rPr>
              <w:t>‘</w:t>
            </w:r>
            <w:r w:rsidR="00A70EFE" w:rsidRPr="00830039">
              <w:rPr>
                <w:rFonts w:ascii="Arial" w:eastAsia="Times New Roman" w:hAnsi="Arial" w:cs="Arial"/>
                <w:sz w:val="24"/>
                <w:szCs w:val="24"/>
                <w:lang w:val="en-GB" w:eastAsia="en-GB"/>
              </w:rPr>
              <w:t>dangerous dependence producing drugs</w:t>
            </w:r>
            <w:r>
              <w:rPr>
                <w:rFonts w:ascii="Arial" w:eastAsia="Times New Roman" w:hAnsi="Arial" w:cs="Arial"/>
                <w:sz w:val="24"/>
                <w:szCs w:val="24"/>
                <w:lang w:val="en-GB" w:eastAsia="en-GB"/>
              </w:rPr>
              <w:t>’</w:t>
            </w:r>
            <w:r w:rsidR="00A70EFE" w:rsidRPr="00830039">
              <w:rPr>
                <w:rFonts w:ascii="Arial" w:eastAsia="Times New Roman" w:hAnsi="Arial" w:cs="Arial"/>
                <w:sz w:val="24"/>
                <w:szCs w:val="24"/>
                <w:lang w:val="en-GB" w:eastAsia="en-GB"/>
              </w:rPr>
              <w:t xml:space="preserve"> and</w:t>
            </w:r>
            <w:r w:rsidR="00F91510" w:rsidRPr="0083003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is </w:t>
            </w:r>
            <w:r w:rsidR="00F91510" w:rsidRPr="00830039">
              <w:rPr>
                <w:rFonts w:ascii="Arial" w:eastAsia="Times New Roman" w:hAnsi="Arial" w:cs="Arial"/>
                <w:sz w:val="24"/>
                <w:szCs w:val="24"/>
                <w:lang w:val="en-GB" w:eastAsia="en-GB"/>
              </w:rPr>
              <w:t>prohibited under</w:t>
            </w:r>
            <w:r w:rsidR="004D21DE" w:rsidRPr="00830039">
              <w:rPr>
                <w:rFonts w:ascii="Arial" w:eastAsia="Times New Roman" w:hAnsi="Arial" w:cs="Arial"/>
                <w:sz w:val="24"/>
                <w:szCs w:val="24"/>
                <w:lang w:val="en-GB" w:eastAsia="en-GB"/>
              </w:rPr>
              <w:t xml:space="preserve"> the above-mentioned section</w:t>
            </w:r>
            <w:r w:rsidR="00F91510" w:rsidRPr="00830039">
              <w:rPr>
                <w:rFonts w:ascii="Arial" w:eastAsia="Times New Roman" w:hAnsi="Arial" w:cs="Arial"/>
                <w:sz w:val="24"/>
                <w:szCs w:val="24"/>
                <w:lang w:val="en-GB" w:eastAsia="en-GB"/>
              </w:rPr>
              <w:t>.</w:t>
            </w:r>
            <w:r w:rsidR="00A70EFE" w:rsidRPr="00830039">
              <w:rPr>
                <w:rFonts w:ascii="Arial" w:eastAsia="Times New Roman" w:hAnsi="Arial" w:cs="Arial"/>
                <w:sz w:val="24"/>
                <w:szCs w:val="24"/>
                <w:lang w:val="en-GB" w:eastAsia="en-GB"/>
              </w:rPr>
              <w:t xml:space="preserve"> </w:t>
            </w:r>
            <w:r w:rsidR="00A324D9" w:rsidRPr="0083003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It</w:t>
            </w:r>
            <w:r w:rsidR="00A324D9" w:rsidRPr="00830039">
              <w:rPr>
                <w:rFonts w:ascii="Arial" w:eastAsia="Times New Roman" w:hAnsi="Arial" w:cs="Arial"/>
                <w:sz w:val="24"/>
                <w:szCs w:val="24"/>
                <w:lang w:val="en-GB" w:eastAsia="en-GB"/>
              </w:rPr>
              <w:t xml:space="preserve"> is trite that the charge sheet </w:t>
            </w:r>
            <w:r w:rsidR="004D21DE" w:rsidRPr="00830039">
              <w:rPr>
                <w:rFonts w:ascii="Arial" w:eastAsia="Times New Roman" w:hAnsi="Arial" w:cs="Arial"/>
                <w:sz w:val="24"/>
                <w:szCs w:val="24"/>
                <w:lang w:val="en-GB" w:eastAsia="en-GB"/>
              </w:rPr>
              <w:t xml:space="preserve">necessitates </w:t>
            </w:r>
            <w:r w:rsidR="00A324D9" w:rsidRPr="00830039">
              <w:rPr>
                <w:rFonts w:ascii="Arial" w:eastAsia="Times New Roman" w:hAnsi="Arial" w:cs="Arial"/>
                <w:sz w:val="24"/>
                <w:szCs w:val="24"/>
                <w:lang w:val="en-GB" w:eastAsia="en-GB"/>
              </w:rPr>
              <w:t>certain minimum requirements,</w:t>
            </w:r>
            <w:r w:rsidR="004D21DE" w:rsidRPr="0083003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Section 84 of </w:t>
            </w:r>
            <w:r w:rsidR="00945F40">
              <w:rPr>
                <w:rFonts w:ascii="Arial" w:eastAsia="Times New Roman" w:hAnsi="Arial" w:cs="Arial"/>
                <w:sz w:val="24"/>
                <w:szCs w:val="24"/>
                <w:lang w:val="en-GB" w:eastAsia="en-GB"/>
              </w:rPr>
              <w:t>the CPA provides the following:</w:t>
            </w:r>
          </w:p>
          <w:p w:rsidR="0017400B" w:rsidRPr="0017400B" w:rsidRDefault="0017400B" w:rsidP="0017400B">
            <w:pPr>
              <w:pStyle w:val="ListParagraph"/>
              <w:rPr>
                <w:rFonts w:ascii="Arial" w:eastAsia="Times New Roman" w:hAnsi="Arial" w:cs="Arial"/>
                <w:sz w:val="24"/>
                <w:szCs w:val="24"/>
                <w:lang w:val="en-GB" w:eastAsia="en-GB"/>
              </w:rPr>
            </w:pPr>
          </w:p>
          <w:p w:rsidR="0017400B" w:rsidRPr="007E74F6" w:rsidRDefault="00830039" w:rsidP="00BB6727">
            <w:pPr>
              <w:spacing w:line="480" w:lineRule="auto"/>
              <w:ind w:left="1438" w:hanging="446"/>
              <w:rPr>
                <w:rFonts w:ascii="Arial" w:hAnsi="Arial" w:cs="Arial"/>
                <w:b/>
              </w:rPr>
            </w:pPr>
            <w:r w:rsidRPr="00BB6727">
              <w:rPr>
                <w:rFonts w:ascii="Arial" w:hAnsi="Arial" w:cs="Arial"/>
              </w:rPr>
              <w:t xml:space="preserve"> </w:t>
            </w:r>
            <w:r w:rsidR="0017400B" w:rsidRPr="00BB6727">
              <w:rPr>
                <w:rFonts w:ascii="Arial" w:hAnsi="Arial" w:cs="Arial"/>
              </w:rPr>
              <w:t>‘</w:t>
            </w:r>
            <w:r w:rsidR="0017400B" w:rsidRPr="007E74F6">
              <w:rPr>
                <w:rFonts w:ascii="Arial" w:hAnsi="Arial" w:cs="Arial"/>
                <w:b/>
              </w:rPr>
              <w:t>84</w:t>
            </w:r>
            <w:r w:rsidR="0017400B" w:rsidRPr="007E74F6">
              <w:rPr>
                <w:rFonts w:ascii="Arial" w:hAnsi="Arial" w:cs="Arial"/>
                <w:b/>
              </w:rPr>
              <w:tab/>
              <w:t xml:space="preserve">Essentials of charge </w:t>
            </w:r>
          </w:p>
          <w:p w:rsidR="00BB6727" w:rsidRDefault="0017400B" w:rsidP="000D7626">
            <w:pPr>
              <w:widowControl w:val="0"/>
              <w:numPr>
                <w:ilvl w:val="0"/>
                <w:numId w:val="21"/>
              </w:numPr>
              <w:spacing w:line="360" w:lineRule="auto"/>
              <w:ind w:left="1438" w:right="1309" w:hanging="446"/>
              <w:jc w:val="both"/>
              <w:rPr>
                <w:rFonts w:ascii="Arial" w:hAnsi="Arial" w:cs="Arial"/>
              </w:rPr>
            </w:pPr>
            <w:r w:rsidRPr="007E74F6">
              <w:rPr>
                <w:rFonts w:ascii="Arial" w:hAnsi="Arial" w:cs="Arial"/>
              </w:rPr>
              <w:t xml:space="preserve">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t>
            </w:r>
          </w:p>
          <w:p w:rsidR="0017400B" w:rsidRPr="004D21DE" w:rsidRDefault="0017400B" w:rsidP="00830039">
            <w:pPr>
              <w:widowControl w:val="0"/>
              <w:spacing w:line="360" w:lineRule="auto"/>
              <w:ind w:left="1438" w:right="1309"/>
              <w:jc w:val="both"/>
              <w:rPr>
                <w:rFonts w:ascii="Arial" w:hAnsi="Arial" w:cs="Arial"/>
              </w:rPr>
            </w:pPr>
            <w:r w:rsidRPr="007E74F6">
              <w:rPr>
                <w:rFonts w:ascii="Arial" w:hAnsi="Arial" w:cs="Arial"/>
              </w:rPr>
              <w:t xml:space="preserve">whom and the property, if any, in respect of which the offence is alleged to have been committed, as </w:t>
            </w:r>
            <w:r w:rsidRPr="0064615C">
              <w:rPr>
                <w:rFonts w:ascii="Arial" w:hAnsi="Arial" w:cs="Arial"/>
                <w:u w:val="single"/>
              </w:rPr>
              <w:t>may be reasonably sufficient to inform the accused of the nature of the charge</w:t>
            </w:r>
            <w:r w:rsidRPr="007E74F6">
              <w:rPr>
                <w:rFonts w:ascii="Arial" w:hAnsi="Arial" w:cs="Arial"/>
              </w:rPr>
              <w:t>.</w:t>
            </w:r>
          </w:p>
          <w:p w:rsidR="007E74F6" w:rsidRPr="004D21DE" w:rsidRDefault="0017400B" w:rsidP="004D21DE">
            <w:pPr>
              <w:pStyle w:val="ListParagraph"/>
              <w:numPr>
                <w:ilvl w:val="0"/>
                <w:numId w:val="21"/>
              </w:numPr>
              <w:spacing w:line="360" w:lineRule="auto"/>
              <w:ind w:left="1438" w:right="1309"/>
              <w:rPr>
                <w:rFonts w:ascii="Arial" w:hAnsi="Arial" w:cs="Arial"/>
              </w:rPr>
            </w:pPr>
            <w:r w:rsidRPr="007E74F6">
              <w:rPr>
                <w:rFonts w:ascii="Arial" w:hAnsi="Arial" w:cs="Arial"/>
              </w:rPr>
              <w:t>Where any of the particulars referred to in subsection (1) are unknown to the prosecutor it shall be sufficient to state that fact in the charge.</w:t>
            </w:r>
          </w:p>
          <w:p w:rsidR="0017400B" w:rsidRDefault="0017400B" w:rsidP="000D7626">
            <w:pPr>
              <w:pStyle w:val="ListParagraph"/>
              <w:numPr>
                <w:ilvl w:val="0"/>
                <w:numId w:val="21"/>
              </w:numPr>
              <w:spacing w:line="360" w:lineRule="auto"/>
              <w:ind w:left="1438" w:right="1309"/>
              <w:rPr>
                <w:rFonts w:ascii="Arial" w:hAnsi="Arial" w:cs="Arial"/>
              </w:rPr>
            </w:pPr>
            <w:r w:rsidRPr="007E74F6">
              <w:rPr>
                <w:rFonts w:ascii="Arial" w:hAnsi="Arial" w:cs="Arial"/>
              </w:rPr>
              <w:t>In criminal proceedings the description of any st</w:t>
            </w:r>
            <w:r w:rsidR="00A324D9" w:rsidRPr="007E74F6">
              <w:rPr>
                <w:rFonts w:ascii="Arial" w:hAnsi="Arial" w:cs="Arial"/>
              </w:rPr>
              <w:t xml:space="preserve">atutory offence in the words of the law creating the offence, or in similar words, shall be sufficient.’  </w:t>
            </w:r>
          </w:p>
          <w:p w:rsidR="0064615C" w:rsidRPr="0064615C" w:rsidRDefault="0064615C" w:rsidP="0064615C">
            <w:pPr>
              <w:pStyle w:val="ListParagraph"/>
              <w:spacing w:line="360" w:lineRule="auto"/>
              <w:ind w:left="1438" w:right="1309"/>
              <w:rPr>
                <w:rFonts w:ascii="Arial" w:hAnsi="Arial" w:cs="Arial"/>
                <w:sz w:val="24"/>
                <w:szCs w:val="24"/>
              </w:rPr>
            </w:pPr>
            <w:r w:rsidRPr="0064615C">
              <w:rPr>
                <w:rFonts w:ascii="Arial" w:hAnsi="Arial" w:cs="Arial"/>
                <w:sz w:val="24"/>
                <w:szCs w:val="24"/>
              </w:rPr>
              <w:t>(My Emphasis)</w:t>
            </w:r>
          </w:p>
          <w:p w:rsidR="007E74F6" w:rsidRPr="007E74F6" w:rsidRDefault="007E74F6" w:rsidP="000D7626">
            <w:pPr>
              <w:ind w:right="1309"/>
              <w:rPr>
                <w:rFonts w:cs="Arial"/>
              </w:rPr>
            </w:pPr>
          </w:p>
          <w:p w:rsidR="007E74F6" w:rsidRPr="00A1300A" w:rsidRDefault="004D21DE" w:rsidP="000D7626">
            <w:pPr>
              <w:spacing w:line="480" w:lineRule="auto"/>
              <w:ind w:left="1155" w:right="1309" w:hanging="851"/>
              <w:rPr>
                <w:rFonts w:ascii="Arial" w:hAnsi="Arial" w:cs="Arial"/>
                <w:sz w:val="24"/>
                <w:szCs w:val="24"/>
              </w:rPr>
            </w:pPr>
            <w:r>
              <w:rPr>
                <w:rFonts w:ascii="Arial" w:hAnsi="Arial" w:cs="Arial"/>
                <w:sz w:val="24"/>
                <w:szCs w:val="24"/>
              </w:rPr>
              <w:t>Furthermore, s</w:t>
            </w:r>
            <w:r w:rsidR="007E74F6" w:rsidRPr="007E74F6">
              <w:rPr>
                <w:rFonts w:ascii="Arial" w:hAnsi="Arial" w:cs="Arial"/>
                <w:sz w:val="24"/>
                <w:szCs w:val="24"/>
              </w:rPr>
              <w:t>ecti</w:t>
            </w:r>
            <w:r>
              <w:rPr>
                <w:rFonts w:ascii="Arial" w:hAnsi="Arial" w:cs="Arial"/>
                <w:sz w:val="24"/>
                <w:szCs w:val="24"/>
              </w:rPr>
              <w:t>on 88 of the CPA</w:t>
            </w:r>
            <w:r w:rsidR="00BB6727">
              <w:rPr>
                <w:rFonts w:ascii="Arial" w:hAnsi="Arial" w:cs="Arial"/>
                <w:sz w:val="24"/>
                <w:szCs w:val="24"/>
              </w:rPr>
              <w:t xml:space="preserve"> </w:t>
            </w:r>
            <w:r w:rsidR="007E74F6" w:rsidRPr="007E74F6">
              <w:rPr>
                <w:rFonts w:ascii="Arial" w:hAnsi="Arial" w:cs="Arial"/>
                <w:sz w:val="24"/>
                <w:szCs w:val="24"/>
              </w:rPr>
              <w:t>p</w:t>
            </w:r>
            <w:r w:rsidR="0064615C">
              <w:rPr>
                <w:rFonts w:ascii="Arial" w:hAnsi="Arial" w:cs="Arial"/>
                <w:sz w:val="24"/>
                <w:szCs w:val="24"/>
              </w:rPr>
              <w:t>rovides</w:t>
            </w:r>
            <w:r w:rsidR="007E74F6" w:rsidRPr="007E74F6">
              <w:rPr>
                <w:rFonts w:ascii="Arial" w:hAnsi="Arial" w:cs="Arial"/>
                <w:sz w:val="24"/>
                <w:szCs w:val="24"/>
              </w:rPr>
              <w:t>:</w:t>
            </w:r>
          </w:p>
          <w:p w:rsidR="007E74F6" w:rsidRDefault="007E74F6" w:rsidP="000D7626">
            <w:pPr>
              <w:spacing w:line="360" w:lineRule="auto"/>
              <w:ind w:left="1438" w:right="1309" w:hanging="23"/>
              <w:jc w:val="both"/>
              <w:rPr>
                <w:rFonts w:ascii="Arial" w:hAnsi="Arial" w:cs="Arial"/>
              </w:rPr>
            </w:pPr>
            <w:r w:rsidRPr="00A1300A">
              <w:rPr>
                <w:rFonts w:ascii="Arial" w:hAnsi="Arial" w:cs="Arial"/>
              </w:rPr>
              <w:t xml:space="preserve">‘Where a charge is defective for the want of an averment which is an essential ingredient of the relevant offence, the defect shall, unless </w:t>
            </w:r>
            <w:r w:rsidRPr="0064615C">
              <w:rPr>
                <w:rFonts w:ascii="Arial" w:hAnsi="Arial" w:cs="Arial"/>
                <w:u w:val="single"/>
              </w:rPr>
              <w:t>brought to the notice of the court before judgment</w:t>
            </w:r>
            <w:r w:rsidRPr="00A1300A">
              <w:rPr>
                <w:rFonts w:ascii="Arial" w:hAnsi="Arial" w:cs="Arial"/>
              </w:rPr>
              <w:t xml:space="preserve">, be cured by evidence </w:t>
            </w:r>
            <w:r w:rsidRPr="0064615C">
              <w:rPr>
                <w:rFonts w:ascii="Arial" w:hAnsi="Arial" w:cs="Arial"/>
                <w:u w:val="single"/>
              </w:rPr>
              <w:t>at the trial</w:t>
            </w:r>
            <w:r w:rsidRPr="00A1300A">
              <w:rPr>
                <w:rFonts w:ascii="Arial" w:hAnsi="Arial" w:cs="Arial"/>
              </w:rPr>
              <w:t xml:space="preserve"> proving the matter which should have been averred.’</w:t>
            </w:r>
          </w:p>
          <w:p w:rsidR="0064615C" w:rsidRPr="0064615C" w:rsidRDefault="0064615C" w:rsidP="0064615C">
            <w:pPr>
              <w:pStyle w:val="ListParagraph"/>
              <w:spacing w:line="360" w:lineRule="auto"/>
              <w:ind w:left="1438" w:right="1309"/>
              <w:rPr>
                <w:rFonts w:ascii="Arial" w:hAnsi="Arial" w:cs="Arial"/>
                <w:sz w:val="24"/>
                <w:szCs w:val="24"/>
              </w:rPr>
            </w:pPr>
            <w:r w:rsidRPr="0064615C">
              <w:rPr>
                <w:rFonts w:ascii="Arial" w:hAnsi="Arial" w:cs="Arial"/>
                <w:sz w:val="24"/>
                <w:szCs w:val="24"/>
              </w:rPr>
              <w:t>(</w:t>
            </w:r>
            <w:r w:rsidR="008124BD">
              <w:rPr>
                <w:rFonts w:ascii="Arial" w:eastAsia="Times New Roman" w:hAnsi="Arial" w:cs="Arial"/>
                <w:sz w:val="24"/>
                <w:szCs w:val="24"/>
                <w:lang w:val="en-GB" w:eastAsia="en-GB"/>
              </w:rPr>
              <w:t>Emphasis provided</w:t>
            </w:r>
            <w:r w:rsidRPr="0064615C">
              <w:rPr>
                <w:rFonts w:ascii="Arial" w:hAnsi="Arial" w:cs="Arial"/>
                <w:sz w:val="24"/>
                <w:szCs w:val="24"/>
              </w:rPr>
              <w:t>)</w:t>
            </w:r>
          </w:p>
          <w:p w:rsidR="007E74F6" w:rsidRDefault="007E74F6" w:rsidP="00BB6727">
            <w:pPr>
              <w:rPr>
                <w:rFonts w:cs="Arial"/>
              </w:rPr>
            </w:pPr>
          </w:p>
          <w:p w:rsidR="004E3663" w:rsidRDefault="004E3663" w:rsidP="004E3663">
            <w:pPr>
              <w:pStyle w:val="ListParagraph"/>
              <w:spacing w:line="360" w:lineRule="auto"/>
              <w:ind w:left="304" w:right="459"/>
              <w:jc w:val="both"/>
              <w:rPr>
                <w:rFonts w:ascii="Arial" w:hAnsi="Arial" w:cs="Arial"/>
                <w:sz w:val="24"/>
                <w:szCs w:val="24"/>
              </w:rPr>
            </w:pPr>
          </w:p>
          <w:p w:rsidR="004E3663" w:rsidRDefault="004E3663" w:rsidP="004E3663">
            <w:pPr>
              <w:pStyle w:val="ListParagraph"/>
              <w:spacing w:line="360" w:lineRule="auto"/>
              <w:ind w:left="304" w:right="459"/>
              <w:jc w:val="both"/>
              <w:rPr>
                <w:rFonts w:ascii="Arial" w:hAnsi="Arial" w:cs="Arial"/>
                <w:sz w:val="24"/>
                <w:szCs w:val="24"/>
              </w:rPr>
            </w:pPr>
          </w:p>
          <w:p w:rsidR="004E3663" w:rsidRDefault="004E3663" w:rsidP="004E3663">
            <w:pPr>
              <w:pStyle w:val="ListParagraph"/>
              <w:spacing w:line="360" w:lineRule="auto"/>
              <w:ind w:left="304" w:right="459"/>
              <w:jc w:val="both"/>
              <w:rPr>
                <w:rFonts w:ascii="Arial" w:hAnsi="Arial" w:cs="Arial"/>
                <w:sz w:val="24"/>
                <w:szCs w:val="24"/>
              </w:rPr>
            </w:pPr>
          </w:p>
          <w:p w:rsidR="004E3663" w:rsidRPr="004E3663" w:rsidRDefault="004E3663" w:rsidP="004E3663">
            <w:pPr>
              <w:spacing w:line="360" w:lineRule="auto"/>
              <w:ind w:right="459"/>
              <w:jc w:val="both"/>
              <w:rPr>
                <w:rFonts w:ascii="Arial" w:hAnsi="Arial" w:cs="Arial"/>
                <w:sz w:val="24"/>
                <w:szCs w:val="24"/>
              </w:rPr>
            </w:pPr>
          </w:p>
          <w:p w:rsidR="00FA79D4" w:rsidRPr="004E3663" w:rsidRDefault="00BB6727" w:rsidP="004E3663">
            <w:pPr>
              <w:pStyle w:val="ListParagraph"/>
              <w:numPr>
                <w:ilvl w:val="0"/>
                <w:numId w:val="25"/>
              </w:numPr>
              <w:spacing w:line="360" w:lineRule="auto"/>
              <w:ind w:left="304" w:right="459" w:firstLine="0"/>
              <w:jc w:val="both"/>
              <w:rPr>
                <w:rFonts w:ascii="Arial" w:hAnsi="Arial" w:cs="Arial"/>
                <w:sz w:val="24"/>
                <w:szCs w:val="24"/>
              </w:rPr>
            </w:pPr>
            <w:r>
              <w:rPr>
                <w:rFonts w:ascii="Arial" w:hAnsi="Arial" w:cs="Arial"/>
                <w:sz w:val="24"/>
                <w:szCs w:val="24"/>
              </w:rPr>
              <w:t xml:space="preserve"> </w:t>
            </w:r>
            <w:r w:rsidR="0064615C">
              <w:rPr>
                <w:rFonts w:ascii="Arial" w:hAnsi="Arial" w:cs="Arial"/>
                <w:sz w:val="24"/>
                <w:szCs w:val="24"/>
              </w:rPr>
              <w:t>Clear</w:t>
            </w:r>
            <w:r w:rsidR="00A70EFE" w:rsidRPr="00BB6727">
              <w:rPr>
                <w:rFonts w:ascii="Arial" w:hAnsi="Arial" w:cs="Arial"/>
                <w:sz w:val="24"/>
                <w:szCs w:val="24"/>
              </w:rPr>
              <w:t xml:space="preserve"> from the above sections are that the </w:t>
            </w:r>
            <w:r w:rsidR="007E74F6" w:rsidRPr="00BB6727">
              <w:rPr>
                <w:rFonts w:ascii="Arial" w:hAnsi="Arial" w:cs="Arial"/>
                <w:sz w:val="24"/>
                <w:szCs w:val="24"/>
              </w:rPr>
              <w:t>charge must contain such particular</w:t>
            </w:r>
            <w:r w:rsidR="0064615C">
              <w:rPr>
                <w:rFonts w:ascii="Arial" w:hAnsi="Arial" w:cs="Arial"/>
                <w:sz w:val="24"/>
                <w:szCs w:val="24"/>
              </w:rPr>
              <w:t>s</w:t>
            </w:r>
            <w:r w:rsidR="007E74F6" w:rsidRPr="00BB6727">
              <w:rPr>
                <w:rFonts w:ascii="Arial" w:hAnsi="Arial" w:cs="Arial"/>
                <w:sz w:val="24"/>
                <w:szCs w:val="24"/>
              </w:rPr>
              <w:t xml:space="preserve"> which may be reasonable to inform an ac</w:t>
            </w:r>
            <w:r w:rsidR="0064615C">
              <w:rPr>
                <w:rFonts w:ascii="Arial" w:hAnsi="Arial" w:cs="Arial"/>
                <w:sz w:val="24"/>
                <w:szCs w:val="24"/>
              </w:rPr>
              <w:t>cused</w:t>
            </w:r>
            <w:r w:rsidR="004E3663">
              <w:rPr>
                <w:rFonts w:ascii="Arial" w:hAnsi="Arial" w:cs="Arial"/>
                <w:sz w:val="24"/>
                <w:szCs w:val="24"/>
              </w:rPr>
              <w:t xml:space="preserve"> of</w:t>
            </w:r>
            <w:r w:rsidR="0064615C">
              <w:rPr>
                <w:rFonts w:ascii="Arial" w:hAnsi="Arial" w:cs="Arial"/>
                <w:sz w:val="24"/>
                <w:szCs w:val="24"/>
              </w:rPr>
              <w:t xml:space="preserve"> the nature of the charge. </w:t>
            </w:r>
            <w:r w:rsidR="007E74F6" w:rsidRPr="007E74F6">
              <w:rPr>
                <w:rStyle w:val="FootnoteReference"/>
                <w:rFonts w:ascii="Arial" w:hAnsi="Arial" w:cs="Arial"/>
                <w:sz w:val="24"/>
                <w:szCs w:val="24"/>
              </w:rPr>
              <w:footnoteReference w:id="2"/>
            </w:r>
            <w:r w:rsidR="00A70EFE" w:rsidRPr="00BB6727">
              <w:rPr>
                <w:rFonts w:ascii="Arial" w:hAnsi="Arial" w:cs="Arial"/>
                <w:sz w:val="24"/>
                <w:szCs w:val="24"/>
              </w:rPr>
              <w:t xml:space="preserve"> </w:t>
            </w:r>
            <w:r w:rsidR="0064615C">
              <w:rPr>
                <w:rFonts w:ascii="Arial" w:hAnsi="Arial" w:cs="Arial"/>
                <w:sz w:val="24"/>
                <w:szCs w:val="24"/>
              </w:rPr>
              <w:t>Moreover</w:t>
            </w:r>
            <w:r w:rsidR="00A70EFE" w:rsidRPr="00BB6727">
              <w:rPr>
                <w:rFonts w:ascii="Arial" w:hAnsi="Arial" w:cs="Arial"/>
                <w:sz w:val="24"/>
                <w:szCs w:val="24"/>
              </w:rPr>
              <w:t>,</w:t>
            </w:r>
            <w:r w:rsidR="004E3663">
              <w:rPr>
                <w:rFonts w:ascii="Arial" w:hAnsi="Arial" w:cs="Arial"/>
                <w:sz w:val="24"/>
                <w:szCs w:val="24"/>
              </w:rPr>
              <w:t xml:space="preserve"> </w:t>
            </w:r>
            <w:r w:rsidR="00A70EFE" w:rsidRPr="004E3663">
              <w:rPr>
                <w:rFonts w:ascii="Arial" w:hAnsi="Arial" w:cs="Arial"/>
                <w:sz w:val="24"/>
                <w:szCs w:val="24"/>
              </w:rPr>
              <w:t xml:space="preserve">should there be a defect for want of an essential averment, same may be cured during </w:t>
            </w:r>
            <w:r w:rsidR="00A70EFE" w:rsidRPr="004E3663">
              <w:rPr>
                <w:rFonts w:ascii="Arial" w:hAnsi="Arial" w:cs="Arial"/>
                <w:i/>
                <w:sz w:val="24"/>
                <w:szCs w:val="24"/>
              </w:rPr>
              <w:t>trial</w:t>
            </w:r>
            <w:r w:rsidR="00A70EFE" w:rsidRPr="004E3663">
              <w:rPr>
                <w:rFonts w:ascii="Arial" w:hAnsi="Arial" w:cs="Arial"/>
                <w:sz w:val="24"/>
                <w:szCs w:val="24"/>
              </w:rPr>
              <w:t xml:space="preserve">. </w:t>
            </w:r>
            <w:r w:rsidR="0064615C" w:rsidRPr="004E3663">
              <w:rPr>
                <w:rFonts w:ascii="Arial" w:hAnsi="Arial" w:cs="Arial"/>
                <w:sz w:val="24"/>
                <w:szCs w:val="24"/>
              </w:rPr>
              <w:t>It</w:t>
            </w:r>
            <w:r w:rsidR="00A70EFE" w:rsidRPr="004E3663">
              <w:rPr>
                <w:rFonts w:ascii="Arial" w:hAnsi="Arial" w:cs="Arial"/>
                <w:sz w:val="24"/>
                <w:szCs w:val="24"/>
              </w:rPr>
              <w:t xml:space="preserve"> is prudent to note that tr</w:t>
            </w:r>
            <w:r w:rsidR="0064615C" w:rsidRPr="004E3663">
              <w:rPr>
                <w:rFonts w:ascii="Arial" w:hAnsi="Arial" w:cs="Arial"/>
                <w:sz w:val="24"/>
                <w:szCs w:val="24"/>
              </w:rPr>
              <w:t>ia</w:t>
            </w:r>
            <w:r w:rsidR="00A70EFE" w:rsidRPr="004E3663">
              <w:rPr>
                <w:rFonts w:ascii="Arial" w:hAnsi="Arial" w:cs="Arial"/>
                <w:sz w:val="24"/>
                <w:szCs w:val="24"/>
              </w:rPr>
              <w:t xml:space="preserve">l proceedings did not begin in this matter as the accused pleaded guilty, therefore the fortification provided by s 88 would not be applicable in these proceedings. Going to the charge </w:t>
            </w:r>
            <w:r w:rsidR="0064615C" w:rsidRPr="004E3663">
              <w:rPr>
                <w:rFonts w:ascii="Arial" w:hAnsi="Arial" w:cs="Arial"/>
                <w:sz w:val="24"/>
                <w:szCs w:val="24"/>
              </w:rPr>
              <w:t xml:space="preserve">annexure </w:t>
            </w:r>
            <w:r w:rsidR="00A70EFE" w:rsidRPr="004E3663">
              <w:rPr>
                <w:rFonts w:ascii="Arial" w:hAnsi="Arial" w:cs="Arial"/>
                <w:sz w:val="24"/>
                <w:szCs w:val="24"/>
              </w:rPr>
              <w:t>itself, t</w:t>
            </w:r>
            <w:r w:rsidR="007E74F6" w:rsidRPr="004E3663">
              <w:rPr>
                <w:rFonts w:ascii="Arial" w:hAnsi="Arial" w:cs="Arial"/>
                <w:sz w:val="24"/>
                <w:szCs w:val="24"/>
              </w:rPr>
              <w:t xml:space="preserve">he </w:t>
            </w:r>
            <w:r w:rsidR="00FA79D4" w:rsidRPr="004E3663">
              <w:rPr>
                <w:rFonts w:ascii="Arial" w:hAnsi="Arial" w:cs="Arial"/>
                <w:sz w:val="24"/>
                <w:szCs w:val="24"/>
              </w:rPr>
              <w:t xml:space="preserve">relevant portion </w:t>
            </w:r>
            <w:r w:rsidR="00A70EFE" w:rsidRPr="004E3663">
              <w:rPr>
                <w:rFonts w:ascii="Arial" w:hAnsi="Arial" w:cs="Arial"/>
                <w:sz w:val="24"/>
                <w:szCs w:val="24"/>
              </w:rPr>
              <w:t>thereof</w:t>
            </w:r>
            <w:r w:rsidR="007E74F6" w:rsidRPr="004E3663">
              <w:rPr>
                <w:rFonts w:ascii="Arial" w:hAnsi="Arial" w:cs="Arial"/>
                <w:sz w:val="24"/>
                <w:szCs w:val="24"/>
              </w:rPr>
              <w:t xml:space="preserve"> </w:t>
            </w:r>
            <w:r w:rsidR="00FA79D4" w:rsidRPr="004E3663">
              <w:rPr>
                <w:rFonts w:ascii="Arial" w:hAnsi="Arial" w:cs="Arial"/>
                <w:sz w:val="24"/>
                <w:szCs w:val="24"/>
              </w:rPr>
              <w:t>reads</w:t>
            </w:r>
            <w:r w:rsidR="00A70EFE" w:rsidRPr="004E3663">
              <w:rPr>
                <w:rFonts w:ascii="Arial" w:hAnsi="Arial" w:cs="Arial"/>
                <w:sz w:val="24"/>
                <w:szCs w:val="24"/>
              </w:rPr>
              <w:t xml:space="preserve"> as follows</w:t>
            </w:r>
            <w:r w:rsidR="00830039">
              <w:rPr>
                <w:rFonts w:ascii="Arial" w:hAnsi="Arial" w:cs="Arial"/>
                <w:sz w:val="24"/>
                <w:szCs w:val="24"/>
              </w:rPr>
              <w:t>:</w:t>
            </w:r>
            <w:r w:rsidR="00FA79D4" w:rsidRPr="004E3663">
              <w:rPr>
                <w:rFonts w:ascii="Arial" w:hAnsi="Arial" w:cs="Arial"/>
                <w:sz w:val="24"/>
                <w:szCs w:val="24"/>
              </w:rPr>
              <w:t xml:space="preserve"> </w:t>
            </w:r>
          </w:p>
          <w:p w:rsidR="0064615C" w:rsidRPr="0064615C" w:rsidRDefault="0064615C" w:rsidP="0064615C">
            <w:pPr>
              <w:spacing w:line="360" w:lineRule="auto"/>
              <w:ind w:left="304" w:right="459"/>
              <w:jc w:val="both"/>
              <w:rPr>
                <w:rFonts w:ascii="Arial" w:hAnsi="Arial" w:cs="Arial"/>
                <w:sz w:val="24"/>
                <w:szCs w:val="24"/>
              </w:rPr>
            </w:pPr>
          </w:p>
          <w:p w:rsidR="0064615C" w:rsidRDefault="00FA79D4" w:rsidP="0064615C">
            <w:pPr>
              <w:spacing w:line="360" w:lineRule="auto"/>
              <w:ind w:left="1438" w:right="1309"/>
              <w:jc w:val="both"/>
              <w:rPr>
                <w:rFonts w:ascii="Arial" w:hAnsi="Arial" w:cs="Arial"/>
              </w:rPr>
            </w:pPr>
            <w:r w:rsidRPr="00FA79D4">
              <w:rPr>
                <w:rFonts w:ascii="Arial" w:hAnsi="Arial" w:cs="Arial"/>
              </w:rPr>
              <w:t>‘The said accused did wrongfully and unlawfully deal in a dangerous dependence-producing drug, or plant from which such drug can be manufactured, to wit 6 x white crystals with total weight of 43,8207 g valued at N$17 800.00 and 1 x white crystal powder with total weight of 6,8477 g valued at N$ 950.00’</w:t>
            </w:r>
          </w:p>
          <w:p w:rsidR="0064615C" w:rsidRPr="0064615C" w:rsidRDefault="0064615C" w:rsidP="0064615C">
            <w:pPr>
              <w:spacing w:line="360" w:lineRule="auto"/>
              <w:ind w:left="1438" w:right="1309"/>
              <w:jc w:val="both"/>
              <w:rPr>
                <w:rFonts w:cs="Arial"/>
              </w:rPr>
            </w:pPr>
          </w:p>
          <w:p w:rsidR="00FA79D4" w:rsidRPr="00830039" w:rsidRDefault="00E311CB" w:rsidP="00E311CB">
            <w:pPr>
              <w:pStyle w:val="ListParagraph"/>
              <w:numPr>
                <w:ilvl w:val="0"/>
                <w:numId w:val="25"/>
              </w:numPr>
              <w:spacing w:line="360" w:lineRule="auto"/>
              <w:ind w:left="304" w:right="459" w:firstLine="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64615C" w:rsidRPr="00830039">
              <w:rPr>
                <w:rFonts w:ascii="Arial" w:eastAsia="Times New Roman" w:hAnsi="Arial" w:cs="Arial"/>
                <w:sz w:val="24"/>
                <w:szCs w:val="24"/>
                <w:lang w:val="en-GB" w:eastAsia="en-GB"/>
              </w:rPr>
              <w:t>Lucidly</w:t>
            </w:r>
            <w:r w:rsidR="00A70EFE" w:rsidRPr="00830039">
              <w:rPr>
                <w:rFonts w:ascii="Arial" w:eastAsia="Times New Roman" w:hAnsi="Arial" w:cs="Arial"/>
                <w:sz w:val="24"/>
                <w:szCs w:val="24"/>
                <w:lang w:val="en-GB" w:eastAsia="en-GB"/>
              </w:rPr>
              <w:t xml:space="preserve">, the description given within the body of </w:t>
            </w:r>
            <w:r w:rsidRPr="00830039">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 xml:space="preserve">first </w:t>
            </w:r>
            <w:r w:rsidR="00A70EFE" w:rsidRPr="00830039">
              <w:rPr>
                <w:rFonts w:ascii="Arial" w:eastAsia="Times New Roman" w:hAnsi="Arial" w:cs="Arial"/>
                <w:sz w:val="24"/>
                <w:szCs w:val="24"/>
                <w:lang w:val="en-GB" w:eastAsia="en-GB"/>
              </w:rPr>
              <w:t>charge does not specify what the prohibited sub</w:t>
            </w:r>
            <w:r w:rsidR="0064615C" w:rsidRPr="00830039">
              <w:rPr>
                <w:rFonts w:ascii="Arial" w:eastAsia="Times New Roman" w:hAnsi="Arial" w:cs="Arial"/>
                <w:sz w:val="24"/>
                <w:szCs w:val="24"/>
                <w:lang w:val="en-GB" w:eastAsia="en-GB"/>
              </w:rPr>
              <w:t xml:space="preserve">stance is </w:t>
            </w:r>
            <w:r w:rsidR="00A70EFE" w:rsidRPr="00830039">
              <w:rPr>
                <w:rFonts w:ascii="Arial" w:eastAsia="Times New Roman" w:hAnsi="Arial" w:cs="Arial"/>
                <w:sz w:val="24"/>
                <w:szCs w:val="24"/>
                <w:lang w:val="en-GB" w:eastAsia="en-GB"/>
              </w:rPr>
              <w:t>under section 2 (c)</w:t>
            </w:r>
            <w:r w:rsidR="004E3663" w:rsidRPr="00830039">
              <w:rPr>
                <w:rFonts w:ascii="Arial" w:eastAsia="Times New Roman" w:hAnsi="Arial" w:cs="Arial"/>
                <w:sz w:val="24"/>
                <w:szCs w:val="24"/>
                <w:lang w:val="en-GB" w:eastAsia="en-GB"/>
              </w:rPr>
              <w:t xml:space="preserve"> of the Act</w:t>
            </w:r>
            <w:r w:rsidR="00F91510" w:rsidRPr="00830039">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00F91510" w:rsidRPr="00830039">
              <w:rPr>
                <w:rFonts w:ascii="Arial" w:eastAsia="Times New Roman" w:hAnsi="Arial" w:cs="Arial"/>
                <w:sz w:val="24"/>
                <w:szCs w:val="24"/>
                <w:lang w:val="en-GB" w:eastAsia="en-GB"/>
              </w:rPr>
              <w:t xml:space="preserve">On the charge annexure, the words </w:t>
            </w:r>
            <w:r w:rsidR="004E3663" w:rsidRPr="00830039">
              <w:rPr>
                <w:rFonts w:ascii="Arial" w:eastAsia="Times New Roman" w:hAnsi="Arial" w:cs="Arial"/>
                <w:sz w:val="24"/>
                <w:szCs w:val="24"/>
                <w:lang w:val="en-GB" w:eastAsia="en-GB"/>
              </w:rPr>
              <w:t>‘</w:t>
            </w:r>
            <w:r w:rsidR="00F91510" w:rsidRPr="00830039">
              <w:rPr>
                <w:rFonts w:ascii="Arial" w:eastAsia="Times New Roman" w:hAnsi="Arial" w:cs="Arial"/>
                <w:sz w:val="24"/>
                <w:szCs w:val="24"/>
                <w:lang w:val="en-GB" w:eastAsia="en-GB"/>
              </w:rPr>
              <w:t>cocaine</w:t>
            </w:r>
            <w:r w:rsidR="004E3663" w:rsidRPr="00830039">
              <w:rPr>
                <w:rFonts w:ascii="Arial" w:eastAsia="Times New Roman" w:hAnsi="Arial" w:cs="Arial"/>
                <w:sz w:val="24"/>
                <w:szCs w:val="24"/>
                <w:lang w:val="en-GB" w:eastAsia="en-GB"/>
              </w:rPr>
              <w:t>’</w:t>
            </w:r>
            <w:r w:rsidR="00F91510" w:rsidRPr="00830039">
              <w:rPr>
                <w:rFonts w:ascii="Arial" w:eastAsia="Times New Roman" w:hAnsi="Arial" w:cs="Arial"/>
                <w:sz w:val="24"/>
                <w:szCs w:val="24"/>
                <w:lang w:val="en-GB" w:eastAsia="en-GB"/>
              </w:rPr>
              <w:t xml:space="preserve"> is written </w:t>
            </w:r>
            <w:r w:rsidR="00F91510" w:rsidRPr="00830039">
              <w:rPr>
                <w:rFonts w:ascii="Arial" w:eastAsia="Times New Roman" w:hAnsi="Arial" w:cs="Arial"/>
                <w:i/>
                <w:sz w:val="24"/>
                <w:szCs w:val="24"/>
                <w:lang w:val="en-GB" w:eastAsia="en-GB"/>
              </w:rPr>
              <w:t>in pen</w:t>
            </w:r>
            <w:r w:rsidR="0064615C" w:rsidRPr="00830039">
              <w:rPr>
                <w:rFonts w:ascii="Arial" w:eastAsia="Times New Roman" w:hAnsi="Arial" w:cs="Arial"/>
                <w:sz w:val="24"/>
                <w:szCs w:val="24"/>
                <w:lang w:val="en-GB" w:eastAsia="en-GB"/>
              </w:rPr>
              <w:t xml:space="preserve"> on top of the label</w:t>
            </w:r>
            <w:r w:rsidR="001879FA" w:rsidRPr="00830039">
              <w:rPr>
                <w:rFonts w:ascii="Arial" w:eastAsia="Times New Roman" w:hAnsi="Arial" w:cs="Arial"/>
                <w:sz w:val="24"/>
                <w:szCs w:val="24"/>
                <w:lang w:val="en-GB" w:eastAsia="en-GB"/>
              </w:rPr>
              <w:t>/description</w:t>
            </w:r>
            <w:r w:rsidR="0064615C" w:rsidRPr="00830039">
              <w:rPr>
                <w:rFonts w:ascii="Arial" w:eastAsia="Times New Roman" w:hAnsi="Arial" w:cs="Arial"/>
                <w:sz w:val="24"/>
                <w:szCs w:val="24"/>
                <w:lang w:val="en-GB" w:eastAsia="en-GB"/>
              </w:rPr>
              <w:t xml:space="preserve"> of the charge</w:t>
            </w:r>
            <w:r w:rsidR="00945F40">
              <w:rPr>
                <w:rFonts w:ascii="Arial" w:eastAsia="Times New Roman" w:hAnsi="Arial" w:cs="Arial"/>
                <w:sz w:val="24"/>
                <w:szCs w:val="24"/>
                <w:lang w:val="en-GB" w:eastAsia="en-GB"/>
              </w:rPr>
              <w:t xml:space="preserve"> whereas t</w:t>
            </w:r>
            <w:r w:rsidRPr="00BB6727">
              <w:rPr>
                <w:rFonts w:ascii="Arial" w:eastAsia="Times New Roman" w:hAnsi="Arial" w:cs="Arial"/>
                <w:sz w:val="24"/>
                <w:szCs w:val="24"/>
                <w:lang w:val="en-GB" w:eastAsia="en-GB"/>
              </w:rPr>
              <w:t>he magistrate h</w:t>
            </w:r>
            <w:r>
              <w:rPr>
                <w:rFonts w:ascii="Arial" w:eastAsia="Times New Roman" w:hAnsi="Arial" w:cs="Arial"/>
                <w:sz w:val="24"/>
                <w:szCs w:val="24"/>
                <w:lang w:val="en-GB" w:eastAsia="en-GB"/>
              </w:rPr>
              <w:t>ad no issue with the formulation</w:t>
            </w:r>
            <w:r w:rsidRPr="00BB6727">
              <w:rPr>
                <w:rFonts w:ascii="Arial" w:eastAsia="Times New Roman" w:hAnsi="Arial" w:cs="Arial"/>
                <w:sz w:val="24"/>
                <w:szCs w:val="24"/>
                <w:lang w:val="en-GB" w:eastAsia="en-GB"/>
              </w:rPr>
              <w:t xml:space="preserve"> of the </w:t>
            </w:r>
            <w:r>
              <w:rPr>
                <w:rFonts w:ascii="Arial" w:eastAsia="Times New Roman" w:hAnsi="Arial" w:cs="Arial"/>
                <w:sz w:val="24"/>
                <w:szCs w:val="24"/>
                <w:lang w:val="en-GB" w:eastAsia="en-GB"/>
              </w:rPr>
              <w:t xml:space="preserve">first charge, it must be </w:t>
            </w:r>
            <w:r w:rsidRPr="00BB6727">
              <w:rPr>
                <w:rFonts w:ascii="Arial" w:eastAsia="Times New Roman" w:hAnsi="Arial" w:cs="Arial"/>
                <w:sz w:val="24"/>
                <w:szCs w:val="24"/>
                <w:lang w:val="en-GB" w:eastAsia="en-GB"/>
              </w:rPr>
              <w:t>infer</w:t>
            </w:r>
            <w:r>
              <w:rPr>
                <w:rFonts w:ascii="Arial" w:eastAsia="Times New Roman" w:hAnsi="Arial" w:cs="Arial"/>
                <w:sz w:val="24"/>
                <w:szCs w:val="24"/>
                <w:lang w:val="en-GB" w:eastAsia="en-GB"/>
              </w:rPr>
              <w:t>red</w:t>
            </w:r>
            <w:r w:rsidRPr="00BB6727">
              <w:rPr>
                <w:rFonts w:ascii="Arial" w:eastAsia="Times New Roman" w:hAnsi="Arial" w:cs="Arial"/>
                <w:sz w:val="24"/>
                <w:szCs w:val="24"/>
                <w:lang w:val="en-GB" w:eastAsia="en-GB"/>
              </w:rPr>
              <w:t xml:space="preserve"> that the </w:t>
            </w:r>
            <w:r>
              <w:rPr>
                <w:rFonts w:ascii="Arial" w:eastAsia="Times New Roman" w:hAnsi="Arial" w:cs="Arial"/>
                <w:sz w:val="24"/>
                <w:szCs w:val="24"/>
                <w:lang w:val="en-GB" w:eastAsia="en-GB"/>
              </w:rPr>
              <w:t>court</w:t>
            </w:r>
            <w:r w:rsidRPr="00BB6727">
              <w:rPr>
                <w:rFonts w:ascii="Arial" w:eastAsia="Times New Roman" w:hAnsi="Arial" w:cs="Arial"/>
                <w:sz w:val="24"/>
                <w:szCs w:val="24"/>
                <w:lang w:val="en-GB" w:eastAsia="en-GB"/>
              </w:rPr>
              <w:t xml:space="preserve"> was satisfied that the word ‘cocaine’ written on top of the description of the </w:t>
            </w:r>
            <w:r>
              <w:rPr>
                <w:rFonts w:ascii="Arial" w:eastAsia="Times New Roman" w:hAnsi="Arial" w:cs="Arial"/>
                <w:sz w:val="24"/>
                <w:szCs w:val="24"/>
                <w:lang w:val="en-GB" w:eastAsia="en-GB"/>
              </w:rPr>
              <w:t xml:space="preserve">first </w:t>
            </w:r>
            <w:r w:rsidRPr="00BB6727">
              <w:rPr>
                <w:rFonts w:ascii="Arial" w:eastAsia="Times New Roman" w:hAnsi="Arial" w:cs="Arial"/>
                <w:sz w:val="24"/>
                <w:szCs w:val="24"/>
                <w:lang w:val="en-GB" w:eastAsia="en-GB"/>
              </w:rPr>
              <w:t>charge disclosed the offence of dealing in cocaine</w:t>
            </w:r>
            <w:r w:rsidR="00945F40">
              <w:rPr>
                <w:rFonts w:ascii="Arial" w:eastAsia="Times New Roman" w:hAnsi="Arial" w:cs="Arial"/>
                <w:sz w:val="24"/>
                <w:szCs w:val="24"/>
                <w:lang w:val="en-GB" w:eastAsia="en-GB"/>
              </w:rPr>
              <w:t>.</w:t>
            </w:r>
            <w:r w:rsidRPr="00830039">
              <w:rPr>
                <w:rFonts w:ascii="Arial" w:eastAsia="Times New Roman" w:hAnsi="Arial" w:cs="Arial"/>
                <w:sz w:val="24"/>
                <w:szCs w:val="24"/>
                <w:lang w:val="en-GB" w:eastAsia="en-GB"/>
              </w:rPr>
              <w:t xml:space="preserve"> </w:t>
            </w:r>
            <w:r w:rsidR="00F91510" w:rsidRPr="00830039">
              <w:rPr>
                <w:rFonts w:ascii="Arial" w:eastAsia="Times New Roman" w:hAnsi="Arial" w:cs="Arial"/>
                <w:sz w:val="24"/>
                <w:szCs w:val="24"/>
                <w:lang w:val="en-GB" w:eastAsia="en-GB"/>
              </w:rPr>
              <w:t>This is however not encapsul</w:t>
            </w:r>
            <w:r w:rsidR="00830039">
              <w:rPr>
                <w:rFonts w:ascii="Arial" w:eastAsia="Times New Roman" w:hAnsi="Arial" w:cs="Arial"/>
                <w:sz w:val="24"/>
                <w:szCs w:val="24"/>
                <w:lang w:val="en-GB" w:eastAsia="en-GB"/>
              </w:rPr>
              <w:t xml:space="preserve">ated either in the description </w:t>
            </w:r>
            <w:r w:rsidR="00F91510" w:rsidRPr="00830039">
              <w:rPr>
                <w:rFonts w:ascii="Arial" w:eastAsia="Times New Roman" w:hAnsi="Arial" w:cs="Arial"/>
                <w:sz w:val="24"/>
                <w:szCs w:val="24"/>
                <w:lang w:val="en-GB" w:eastAsia="en-GB"/>
              </w:rPr>
              <w:t>or the body of the charge</w:t>
            </w:r>
            <w:r w:rsidR="00945F40">
              <w:rPr>
                <w:rFonts w:ascii="Arial" w:eastAsia="Times New Roman" w:hAnsi="Arial" w:cs="Arial"/>
                <w:sz w:val="24"/>
                <w:szCs w:val="24"/>
                <w:lang w:val="en-GB" w:eastAsia="en-GB"/>
              </w:rPr>
              <w:t>. T</w:t>
            </w:r>
            <w:r w:rsidR="000F3819" w:rsidRPr="00830039">
              <w:rPr>
                <w:rFonts w:ascii="Arial" w:eastAsia="Times New Roman" w:hAnsi="Arial" w:cs="Arial"/>
                <w:sz w:val="24"/>
                <w:szCs w:val="24"/>
                <w:lang w:val="en-GB" w:eastAsia="en-GB"/>
              </w:rPr>
              <w:t>he words ‘cocaine’ loosely written on top of the description of the charge, does not disclose an offence</w:t>
            </w:r>
            <w:r w:rsidR="00F91510" w:rsidRPr="00830039">
              <w:rPr>
                <w:rFonts w:ascii="Arial" w:eastAsia="Times New Roman" w:hAnsi="Arial" w:cs="Arial"/>
                <w:sz w:val="24"/>
                <w:szCs w:val="24"/>
                <w:lang w:val="en-GB" w:eastAsia="en-GB"/>
              </w:rPr>
              <w:t>. The court is therefore of the view that</w:t>
            </w:r>
            <w:r w:rsidR="004E3663" w:rsidRPr="00830039">
              <w:rPr>
                <w:rFonts w:ascii="Arial" w:eastAsia="Times New Roman" w:hAnsi="Arial" w:cs="Arial"/>
                <w:sz w:val="24"/>
                <w:szCs w:val="24"/>
                <w:lang w:val="en-GB" w:eastAsia="en-GB"/>
              </w:rPr>
              <w:t xml:space="preserve"> the charge</w:t>
            </w:r>
            <w:r w:rsidR="00945F40">
              <w:rPr>
                <w:rFonts w:ascii="Arial" w:eastAsia="Times New Roman" w:hAnsi="Arial" w:cs="Arial"/>
                <w:sz w:val="24"/>
                <w:szCs w:val="24"/>
                <w:lang w:val="en-GB" w:eastAsia="en-GB"/>
              </w:rPr>
              <w:t>,</w:t>
            </w:r>
            <w:r w:rsidR="004E3663" w:rsidRPr="00830039">
              <w:rPr>
                <w:rFonts w:ascii="Arial" w:eastAsia="Times New Roman" w:hAnsi="Arial" w:cs="Arial"/>
                <w:sz w:val="24"/>
                <w:szCs w:val="24"/>
                <w:lang w:val="en-GB" w:eastAsia="en-GB"/>
              </w:rPr>
              <w:t xml:space="preserve"> as it currently stands,</w:t>
            </w:r>
            <w:r w:rsidR="00945F40">
              <w:rPr>
                <w:rFonts w:ascii="Arial" w:eastAsia="Times New Roman" w:hAnsi="Arial" w:cs="Arial"/>
                <w:sz w:val="24"/>
                <w:szCs w:val="24"/>
                <w:lang w:val="en-GB" w:eastAsia="en-GB"/>
              </w:rPr>
              <w:t xml:space="preserve"> i.e.</w:t>
            </w:r>
            <w:r w:rsidR="00F91510" w:rsidRPr="00830039">
              <w:rPr>
                <w:rFonts w:ascii="Arial" w:eastAsia="Times New Roman" w:hAnsi="Arial" w:cs="Arial"/>
                <w:sz w:val="24"/>
                <w:szCs w:val="24"/>
                <w:lang w:val="en-GB" w:eastAsia="en-GB"/>
              </w:rPr>
              <w:t xml:space="preserve"> dealing in or in possession of ‘white crystals</w:t>
            </w:r>
            <w:r w:rsidR="004E3663" w:rsidRPr="00830039">
              <w:rPr>
                <w:rFonts w:ascii="Arial" w:eastAsia="Times New Roman" w:hAnsi="Arial" w:cs="Arial"/>
                <w:sz w:val="24"/>
                <w:szCs w:val="24"/>
                <w:lang w:val="en-GB" w:eastAsia="en-GB"/>
              </w:rPr>
              <w:t>’</w:t>
            </w:r>
            <w:r w:rsidR="00F91510" w:rsidRPr="00830039">
              <w:rPr>
                <w:rFonts w:ascii="Arial" w:eastAsia="Times New Roman" w:hAnsi="Arial" w:cs="Arial"/>
                <w:sz w:val="24"/>
                <w:szCs w:val="24"/>
                <w:lang w:val="en-GB" w:eastAsia="en-GB"/>
              </w:rPr>
              <w:t xml:space="preserve"> or </w:t>
            </w:r>
            <w:r w:rsidR="004E3663" w:rsidRPr="00830039">
              <w:rPr>
                <w:rFonts w:ascii="Arial" w:eastAsia="Times New Roman" w:hAnsi="Arial" w:cs="Arial"/>
                <w:sz w:val="24"/>
                <w:szCs w:val="24"/>
                <w:lang w:val="en-GB" w:eastAsia="en-GB"/>
              </w:rPr>
              <w:t>‘</w:t>
            </w:r>
            <w:r w:rsidR="00F91510" w:rsidRPr="00830039">
              <w:rPr>
                <w:rFonts w:ascii="Arial" w:eastAsia="Times New Roman" w:hAnsi="Arial" w:cs="Arial"/>
                <w:sz w:val="24"/>
                <w:szCs w:val="24"/>
                <w:lang w:val="en-GB" w:eastAsia="en-GB"/>
              </w:rPr>
              <w:t xml:space="preserve">white </w:t>
            </w:r>
            <w:r w:rsidR="000F3819" w:rsidRPr="00830039">
              <w:rPr>
                <w:rFonts w:ascii="Arial" w:eastAsia="Times New Roman" w:hAnsi="Arial" w:cs="Arial"/>
                <w:sz w:val="24"/>
                <w:szCs w:val="24"/>
                <w:lang w:val="en-GB" w:eastAsia="en-GB"/>
              </w:rPr>
              <w:t>powder</w:t>
            </w:r>
            <w:r w:rsidR="00F91510" w:rsidRPr="00830039">
              <w:rPr>
                <w:rFonts w:ascii="Arial" w:eastAsia="Times New Roman" w:hAnsi="Arial" w:cs="Arial"/>
                <w:sz w:val="24"/>
                <w:szCs w:val="24"/>
                <w:lang w:val="en-GB" w:eastAsia="en-GB"/>
              </w:rPr>
              <w:t>’</w:t>
            </w:r>
            <w:r w:rsidR="00945F40">
              <w:rPr>
                <w:rFonts w:ascii="Arial" w:eastAsia="Times New Roman" w:hAnsi="Arial" w:cs="Arial"/>
                <w:sz w:val="24"/>
                <w:szCs w:val="24"/>
                <w:lang w:val="en-GB" w:eastAsia="en-GB"/>
              </w:rPr>
              <w:t>,</w:t>
            </w:r>
            <w:r w:rsidR="00F91510" w:rsidRPr="00830039">
              <w:rPr>
                <w:rFonts w:ascii="Arial" w:eastAsia="Times New Roman" w:hAnsi="Arial" w:cs="Arial"/>
                <w:sz w:val="24"/>
                <w:szCs w:val="24"/>
                <w:lang w:val="en-GB" w:eastAsia="en-GB"/>
              </w:rPr>
              <w:t xml:space="preserve"> is not an offence under the Act and certainly not under any law in Namibia. </w:t>
            </w:r>
            <w:r w:rsidR="00785116" w:rsidRPr="00830039">
              <w:rPr>
                <w:rFonts w:ascii="Arial" w:eastAsia="Times New Roman" w:hAnsi="Arial" w:cs="Arial"/>
                <w:sz w:val="24"/>
                <w:szCs w:val="24"/>
                <w:lang w:val="en-GB" w:eastAsia="en-GB"/>
              </w:rPr>
              <w:t>The first charge</w:t>
            </w:r>
            <w:r w:rsidR="00945F40">
              <w:rPr>
                <w:rFonts w:ascii="Arial" w:eastAsia="Times New Roman" w:hAnsi="Arial" w:cs="Arial"/>
                <w:sz w:val="24"/>
                <w:szCs w:val="24"/>
                <w:lang w:val="en-GB" w:eastAsia="en-GB"/>
              </w:rPr>
              <w:t>,</w:t>
            </w:r>
            <w:r w:rsidR="00785116" w:rsidRPr="00830039">
              <w:rPr>
                <w:rFonts w:ascii="Arial" w:eastAsia="Times New Roman" w:hAnsi="Arial" w:cs="Arial"/>
                <w:sz w:val="24"/>
                <w:szCs w:val="24"/>
                <w:lang w:val="en-GB" w:eastAsia="en-GB"/>
              </w:rPr>
              <w:t xml:space="preserve"> </w:t>
            </w:r>
            <w:r w:rsidR="00945F40">
              <w:rPr>
                <w:rFonts w:ascii="Arial" w:eastAsia="Times New Roman" w:hAnsi="Arial" w:cs="Arial"/>
                <w:sz w:val="24"/>
                <w:szCs w:val="24"/>
                <w:lang w:val="en-GB" w:eastAsia="en-GB"/>
              </w:rPr>
              <w:t xml:space="preserve">therefore </w:t>
            </w:r>
            <w:r w:rsidR="00785116" w:rsidRPr="00830039">
              <w:rPr>
                <w:rFonts w:ascii="Arial" w:eastAsia="Times New Roman" w:hAnsi="Arial" w:cs="Arial"/>
                <w:sz w:val="24"/>
                <w:szCs w:val="24"/>
                <w:lang w:val="en-GB" w:eastAsia="en-GB"/>
              </w:rPr>
              <w:t xml:space="preserve">is defective. </w:t>
            </w:r>
          </w:p>
          <w:p w:rsidR="00563EED" w:rsidRDefault="00563EED" w:rsidP="003C5515">
            <w:pPr>
              <w:spacing w:line="360" w:lineRule="auto"/>
              <w:jc w:val="both"/>
              <w:rPr>
                <w:rFonts w:ascii="Arial" w:eastAsia="Times New Roman" w:hAnsi="Arial" w:cs="Arial"/>
                <w:sz w:val="24"/>
                <w:szCs w:val="24"/>
                <w:lang w:val="en-GB" w:eastAsia="en-GB"/>
              </w:rPr>
            </w:pPr>
          </w:p>
          <w:p w:rsidR="004E3663" w:rsidRDefault="004E3663" w:rsidP="004E3663">
            <w:pPr>
              <w:pStyle w:val="ListParagraph"/>
              <w:spacing w:line="360" w:lineRule="auto"/>
              <w:ind w:left="306" w:right="459"/>
              <w:jc w:val="both"/>
              <w:rPr>
                <w:rFonts w:ascii="Arial" w:eastAsia="Times New Roman" w:hAnsi="Arial" w:cs="Arial"/>
                <w:sz w:val="24"/>
                <w:szCs w:val="24"/>
                <w:lang w:val="en-GB" w:eastAsia="en-GB"/>
              </w:rPr>
            </w:pPr>
          </w:p>
          <w:p w:rsidR="000F3819" w:rsidRDefault="006279D2" w:rsidP="00E311CB">
            <w:pPr>
              <w:pStyle w:val="ListParagraph"/>
              <w:numPr>
                <w:ilvl w:val="0"/>
                <w:numId w:val="25"/>
              </w:numPr>
              <w:spacing w:line="360" w:lineRule="auto"/>
              <w:ind w:left="304" w:right="459" w:firstLine="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 respect of count 1, u</w:t>
            </w:r>
            <w:r w:rsidR="000F3819" w:rsidRPr="00BB6727">
              <w:rPr>
                <w:rFonts w:ascii="Arial" w:eastAsia="Times New Roman" w:hAnsi="Arial" w:cs="Arial"/>
                <w:sz w:val="24"/>
                <w:szCs w:val="24"/>
                <w:lang w:val="en-GB" w:eastAsia="en-GB"/>
              </w:rPr>
              <w:t xml:space="preserve">nder </w:t>
            </w:r>
            <w:r w:rsidR="00945F40">
              <w:rPr>
                <w:rFonts w:ascii="Arial" w:eastAsia="Times New Roman" w:hAnsi="Arial" w:cs="Arial"/>
                <w:sz w:val="24"/>
                <w:szCs w:val="24"/>
                <w:lang w:val="en-GB" w:eastAsia="en-GB"/>
              </w:rPr>
              <w:t>Part 2</w:t>
            </w:r>
            <w:r w:rsidR="000F3819" w:rsidRPr="00BB6727">
              <w:rPr>
                <w:rFonts w:ascii="Arial" w:eastAsia="Times New Roman" w:hAnsi="Arial" w:cs="Arial"/>
                <w:sz w:val="24"/>
                <w:szCs w:val="24"/>
                <w:lang w:val="en-GB" w:eastAsia="en-GB"/>
              </w:rPr>
              <w:t xml:space="preserve"> o</w:t>
            </w:r>
            <w:r w:rsidR="001879FA">
              <w:rPr>
                <w:rFonts w:ascii="Arial" w:eastAsia="Times New Roman" w:hAnsi="Arial" w:cs="Arial"/>
                <w:sz w:val="24"/>
                <w:szCs w:val="24"/>
                <w:lang w:val="en-GB" w:eastAsia="en-GB"/>
              </w:rPr>
              <w:t xml:space="preserve">f the schedule, </w:t>
            </w:r>
            <w:r w:rsidR="000F3819" w:rsidRPr="00BB6727">
              <w:rPr>
                <w:rFonts w:ascii="Arial" w:eastAsia="Times New Roman" w:hAnsi="Arial" w:cs="Arial"/>
                <w:sz w:val="24"/>
                <w:szCs w:val="24"/>
                <w:lang w:val="en-GB" w:eastAsia="en-GB"/>
              </w:rPr>
              <w:t xml:space="preserve">the description of cocaine reads as follows, </w:t>
            </w:r>
          </w:p>
          <w:p w:rsidR="006279D2" w:rsidRDefault="006279D2" w:rsidP="001879FA">
            <w:pPr>
              <w:tabs>
                <w:tab w:val="left" w:pos="7250"/>
              </w:tabs>
              <w:spacing w:line="360" w:lineRule="auto"/>
              <w:ind w:left="1438" w:right="1309"/>
              <w:jc w:val="both"/>
              <w:rPr>
                <w:rFonts w:ascii="Arial" w:hAnsi="Arial" w:cs="Arial"/>
              </w:rPr>
            </w:pPr>
          </w:p>
          <w:p w:rsidR="006279D2" w:rsidRDefault="000F3819" w:rsidP="00022770">
            <w:pPr>
              <w:tabs>
                <w:tab w:val="left" w:pos="7250"/>
              </w:tabs>
              <w:spacing w:line="360" w:lineRule="auto"/>
              <w:ind w:left="1438" w:right="1309"/>
              <w:jc w:val="both"/>
              <w:rPr>
                <w:rFonts w:ascii="Arial" w:hAnsi="Arial" w:cs="Arial"/>
              </w:rPr>
            </w:pPr>
            <w:r>
              <w:rPr>
                <w:rFonts w:ascii="Arial" w:hAnsi="Arial" w:cs="Arial"/>
              </w:rPr>
              <w:t>‘</w:t>
            </w:r>
            <w:r w:rsidRPr="000F3819">
              <w:rPr>
                <w:rFonts w:ascii="Arial" w:hAnsi="Arial" w:cs="Arial"/>
              </w:rPr>
              <w:t>Cocaine, excluding admixtures containing not more than 0</w:t>
            </w:r>
            <w:r w:rsidR="00556D8F" w:rsidRPr="000F3819">
              <w:rPr>
                <w:rFonts w:ascii="Arial" w:hAnsi="Arial" w:cs="Arial"/>
              </w:rPr>
              <w:t>, 1</w:t>
            </w:r>
            <w:r w:rsidRPr="000F3819">
              <w:rPr>
                <w:rFonts w:ascii="Arial" w:hAnsi="Arial" w:cs="Arial"/>
              </w:rPr>
              <w:t xml:space="preserve"> per cent of </w:t>
            </w:r>
            <w:r w:rsidR="001879FA">
              <w:rPr>
                <w:rFonts w:ascii="Arial" w:hAnsi="Arial" w:cs="Arial"/>
              </w:rPr>
              <w:t xml:space="preserve">   </w:t>
            </w:r>
            <w:r w:rsidRPr="000F3819">
              <w:rPr>
                <w:rFonts w:ascii="Arial" w:hAnsi="Arial" w:cs="Arial"/>
              </w:rPr>
              <w:t>cocaine, calculated as cocaine alkaloid.</w:t>
            </w:r>
            <w:r>
              <w:rPr>
                <w:rFonts w:ascii="Arial" w:hAnsi="Arial" w:cs="Arial"/>
              </w:rPr>
              <w:t>’</w:t>
            </w:r>
          </w:p>
          <w:p w:rsidR="00BB6727" w:rsidRDefault="00BB6727" w:rsidP="00283F77">
            <w:pPr>
              <w:spacing w:line="360" w:lineRule="auto"/>
              <w:ind w:right="742"/>
              <w:jc w:val="both"/>
              <w:rPr>
                <w:rFonts w:ascii="Arial" w:hAnsi="Arial" w:cs="Arial"/>
              </w:rPr>
            </w:pPr>
          </w:p>
          <w:p w:rsidR="000F3819" w:rsidRPr="00E311CB" w:rsidRDefault="00945F40" w:rsidP="00E311CB">
            <w:pPr>
              <w:pStyle w:val="ListParagraph"/>
              <w:spacing w:line="360" w:lineRule="auto"/>
              <w:ind w:left="304" w:right="742"/>
              <w:jc w:val="both"/>
              <w:rPr>
                <w:rFonts w:ascii="Arial" w:hAnsi="Arial" w:cs="Arial"/>
                <w:sz w:val="24"/>
                <w:szCs w:val="24"/>
              </w:rPr>
            </w:pPr>
            <w:r>
              <w:rPr>
                <w:rFonts w:ascii="Arial" w:hAnsi="Arial" w:cs="Arial"/>
                <w:sz w:val="24"/>
                <w:szCs w:val="24"/>
              </w:rPr>
              <w:t>From the extract, the L</w:t>
            </w:r>
            <w:r w:rsidR="000F3819" w:rsidRPr="00BB6727">
              <w:rPr>
                <w:rFonts w:ascii="Arial" w:hAnsi="Arial" w:cs="Arial"/>
                <w:sz w:val="24"/>
                <w:szCs w:val="24"/>
              </w:rPr>
              <w:t xml:space="preserve">egislature </w:t>
            </w:r>
            <w:r w:rsidR="001879FA">
              <w:rPr>
                <w:rFonts w:ascii="Arial" w:hAnsi="Arial" w:cs="Arial"/>
                <w:sz w:val="24"/>
                <w:szCs w:val="24"/>
              </w:rPr>
              <w:t xml:space="preserve">clearly </w:t>
            </w:r>
            <w:r w:rsidR="004E742D" w:rsidRPr="00BB6727">
              <w:rPr>
                <w:rFonts w:ascii="Arial" w:hAnsi="Arial" w:cs="Arial"/>
                <w:sz w:val="24"/>
                <w:szCs w:val="24"/>
              </w:rPr>
              <w:t>intended to exclude</w:t>
            </w:r>
            <w:r w:rsidR="001879FA">
              <w:rPr>
                <w:rFonts w:ascii="Arial" w:hAnsi="Arial" w:cs="Arial"/>
                <w:sz w:val="24"/>
                <w:szCs w:val="24"/>
              </w:rPr>
              <w:t xml:space="preserve"> a mixture of no more than 0.1 </w:t>
            </w:r>
            <w:r w:rsidR="004E742D" w:rsidRPr="00BB6727">
              <w:rPr>
                <w:rFonts w:ascii="Arial" w:hAnsi="Arial" w:cs="Arial"/>
                <w:sz w:val="24"/>
                <w:szCs w:val="24"/>
              </w:rPr>
              <w:t>per cent of cocaine, calcu</w:t>
            </w:r>
            <w:r w:rsidR="00556D8F" w:rsidRPr="00BB6727">
              <w:rPr>
                <w:rFonts w:ascii="Arial" w:hAnsi="Arial" w:cs="Arial"/>
                <w:sz w:val="24"/>
                <w:szCs w:val="24"/>
              </w:rPr>
              <w:t xml:space="preserve">lated as cocaine alkaloid. </w:t>
            </w:r>
            <w:r w:rsidR="001879FA">
              <w:rPr>
                <w:rFonts w:ascii="Arial" w:hAnsi="Arial" w:cs="Arial"/>
                <w:sz w:val="24"/>
                <w:szCs w:val="24"/>
              </w:rPr>
              <w:t xml:space="preserve">Notwithstanding </w:t>
            </w:r>
            <w:r w:rsidR="001879FA" w:rsidRPr="00E311CB">
              <w:rPr>
                <w:rFonts w:ascii="Arial" w:hAnsi="Arial" w:cs="Arial"/>
                <w:sz w:val="24"/>
                <w:szCs w:val="24"/>
              </w:rPr>
              <w:t xml:space="preserve">the fact </w:t>
            </w:r>
            <w:r w:rsidR="00556D8F" w:rsidRPr="00E311CB">
              <w:rPr>
                <w:rFonts w:ascii="Arial" w:hAnsi="Arial" w:cs="Arial"/>
                <w:sz w:val="24"/>
                <w:szCs w:val="24"/>
              </w:rPr>
              <w:t>the accused pleaded guilty and admitted</w:t>
            </w:r>
            <w:r>
              <w:rPr>
                <w:rFonts w:ascii="Arial" w:hAnsi="Arial" w:cs="Arial"/>
                <w:sz w:val="24"/>
                <w:szCs w:val="24"/>
              </w:rPr>
              <w:t>,</w:t>
            </w:r>
            <w:r w:rsidR="00022770">
              <w:rPr>
                <w:rFonts w:ascii="Arial" w:hAnsi="Arial" w:cs="Arial"/>
                <w:sz w:val="24"/>
                <w:szCs w:val="24"/>
              </w:rPr>
              <w:t xml:space="preserve"> on a leading question posed by the magistrate</w:t>
            </w:r>
            <w:r>
              <w:rPr>
                <w:rFonts w:ascii="Arial" w:hAnsi="Arial" w:cs="Arial"/>
                <w:sz w:val="24"/>
                <w:szCs w:val="24"/>
              </w:rPr>
              <w:t>,</w:t>
            </w:r>
            <w:r w:rsidR="00022770">
              <w:rPr>
                <w:rFonts w:ascii="Arial" w:hAnsi="Arial" w:cs="Arial"/>
                <w:sz w:val="24"/>
                <w:szCs w:val="24"/>
              </w:rPr>
              <w:t xml:space="preserve"> </w:t>
            </w:r>
            <w:r w:rsidR="00556D8F" w:rsidRPr="00E311CB">
              <w:rPr>
                <w:rFonts w:ascii="Arial" w:hAnsi="Arial" w:cs="Arial"/>
                <w:sz w:val="24"/>
                <w:szCs w:val="24"/>
              </w:rPr>
              <w:t>the substance to be cocaine</w:t>
            </w:r>
            <w:r w:rsidR="00022770">
              <w:rPr>
                <w:rFonts w:ascii="Arial" w:hAnsi="Arial" w:cs="Arial"/>
                <w:sz w:val="24"/>
                <w:szCs w:val="24"/>
              </w:rPr>
              <w:t>,</w:t>
            </w:r>
            <w:r w:rsidR="00556D8F" w:rsidRPr="00E311CB">
              <w:rPr>
                <w:rFonts w:ascii="Arial" w:hAnsi="Arial" w:cs="Arial"/>
                <w:sz w:val="24"/>
                <w:szCs w:val="24"/>
              </w:rPr>
              <w:t xml:space="preserve"> there was no scientific evidence produced by </w:t>
            </w:r>
            <w:r w:rsidR="001879FA" w:rsidRPr="00E311CB">
              <w:rPr>
                <w:rFonts w:ascii="Arial" w:hAnsi="Arial" w:cs="Arial"/>
                <w:sz w:val="24"/>
                <w:szCs w:val="24"/>
              </w:rPr>
              <w:t xml:space="preserve">the </w:t>
            </w:r>
            <w:r w:rsidR="00556D8F" w:rsidRPr="00E311CB">
              <w:rPr>
                <w:rFonts w:ascii="Arial" w:hAnsi="Arial" w:cs="Arial"/>
                <w:sz w:val="24"/>
                <w:szCs w:val="24"/>
              </w:rPr>
              <w:t xml:space="preserve">state, establishing that the substance the accused allegedly dealt in was in fact a substance </w:t>
            </w:r>
            <w:r w:rsidR="00556D8F" w:rsidRPr="00022770">
              <w:rPr>
                <w:rFonts w:ascii="Arial" w:hAnsi="Arial" w:cs="Arial"/>
                <w:sz w:val="24"/>
                <w:szCs w:val="24"/>
                <w:u w:val="single"/>
              </w:rPr>
              <w:t>tested and calculated as cocaine alkaloid</w:t>
            </w:r>
            <w:r w:rsidR="00556D8F" w:rsidRPr="00E311CB">
              <w:rPr>
                <w:rFonts w:ascii="Arial" w:hAnsi="Arial" w:cs="Arial"/>
                <w:sz w:val="24"/>
                <w:szCs w:val="24"/>
              </w:rPr>
              <w:t xml:space="preserve"> and whether or not it falls outside the </w:t>
            </w:r>
            <w:r w:rsidR="00425D66" w:rsidRPr="00E311CB">
              <w:rPr>
                <w:rFonts w:ascii="Arial" w:hAnsi="Arial" w:cs="Arial"/>
                <w:sz w:val="24"/>
                <w:szCs w:val="24"/>
              </w:rPr>
              <w:t xml:space="preserve">prohibition and within the </w:t>
            </w:r>
            <w:r w:rsidR="00556D8F" w:rsidRPr="00E311CB">
              <w:rPr>
                <w:rFonts w:ascii="Arial" w:hAnsi="Arial" w:cs="Arial"/>
                <w:sz w:val="24"/>
                <w:szCs w:val="24"/>
              </w:rPr>
              <w:t xml:space="preserve">category of a mixture containing not more than 0.1 percent of cocaine, calculated as cocaine alkaloid. </w:t>
            </w:r>
          </w:p>
          <w:p w:rsidR="00BB6727" w:rsidRDefault="00BB6727" w:rsidP="00BB6727">
            <w:pPr>
              <w:pStyle w:val="ListParagraph"/>
              <w:spacing w:line="360" w:lineRule="auto"/>
              <w:ind w:left="304" w:right="742"/>
              <w:jc w:val="both"/>
              <w:rPr>
                <w:rFonts w:ascii="Arial" w:hAnsi="Arial" w:cs="Arial"/>
                <w:sz w:val="24"/>
                <w:szCs w:val="24"/>
              </w:rPr>
            </w:pPr>
          </w:p>
          <w:p w:rsidR="0058079B" w:rsidRPr="000D7626" w:rsidRDefault="00BB6727" w:rsidP="000D7626">
            <w:pPr>
              <w:pStyle w:val="ListParagraph"/>
              <w:numPr>
                <w:ilvl w:val="0"/>
                <w:numId w:val="25"/>
              </w:numPr>
              <w:spacing w:line="360" w:lineRule="auto"/>
              <w:ind w:left="304" w:right="742" w:firstLine="0"/>
              <w:jc w:val="both"/>
              <w:rPr>
                <w:rFonts w:ascii="Arial" w:hAnsi="Arial" w:cs="Arial"/>
                <w:sz w:val="24"/>
                <w:szCs w:val="24"/>
              </w:rPr>
            </w:pPr>
            <w:r>
              <w:rPr>
                <w:rFonts w:ascii="Arial" w:eastAsia="Times New Roman" w:hAnsi="Arial" w:cs="Arial"/>
                <w:sz w:val="24"/>
                <w:szCs w:val="24"/>
                <w:lang w:val="en-GB" w:eastAsia="en-GB"/>
              </w:rPr>
              <w:t xml:space="preserve">   </w:t>
            </w:r>
            <w:r w:rsidR="00425D66">
              <w:rPr>
                <w:rFonts w:ascii="Arial" w:eastAsia="Times New Roman" w:hAnsi="Arial" w:cs="Arial"/>
                <w:sz w:val="24"/>
                <w:szCs w:val="24"/>
                <w:lang w:val="en-GB" w:eastAsia="en-GB"/>
              </w:rPr>
              <w:t>I</w:t>
            </w:r>
            <w:r w:rsidR="0058079B" w:rsidRPr="00BB6727">
              <w:rPr>
                <w:rFonts w:ascii="Arial" w:eastAsia="Times New Roman" w:hAnsi="Arial" w:cs="Arial"/>
                <w:sz w:val="24"/>
                <w:szCs w:val="24"/>
                <w:lang w:val="en-GB" w:eastAsia="en-GB"/>
              </w:rPr>
              <w:t>n these circumstance</w:t>
            </w:r>
            <w:r w:rsidR="00022770">
              <w:rPr>
                <w:rFonts w:ascii="Arial" w:eastAsia="Times New Roman" w:hAnsi="Arial" w:cs="Arial"/>
                <w:sz w:val="24"/>
                <w:szCs w:val="24"/>
                <w:lang w:val="en-GB" w:eastAsia="en-GB"/>
              </w:rPr>
              <w:t>s</w:t>
            </w:r>
            <w:r w:rsidR="0058079B" w:rsidRPr="00BB6727">
              <w:rPr>
                <w:rFonts w:ascii="Arial" w:eastAsia="Times New Roman" w:hAnsi="Arial" w:cs="Arial"/>
                <w:sz w:val="24"/>
                <w:szCs w:val="24"/>
                <w:lang w:val="en-GB" w:eastAsia="en-GB"/>
              </w:rPr>
              <w:t xml:space="preserve"> the magistrate</w:t>
            </w:r>
            <w:r w:rsidR="001879FA">
              <w:rPr>
                <w:rFonts w:ascii="Arial" w:eastAsia="Times New Roman" w:hAnsi="Arial" w:cs="Arial"/>
                <w:sz w:val="24"/>
                <w:szCs w:val="24"/>
                <w:lang w:val="en-GB" w:eastAsia="en-GB"/>
              </w:rPr>
              <w:t xml:space="preserve"> was</w:t>
            </w:r>
            <w:r w:rsidR="0058079B" w:rsidRPr="00BB6727">
              <w:rPr>
                <w:rFonts w:ascii="Arial" w:eastAsia="Times New Roman" w:hAnsi="Arial" w:cs="Arial"/>
                <w:sz w:val="24"/>
                <w:szCs w:val="24"/>
                <w:lang w:val="en-GB" w:eastAsia="en-GB"/>
              </w:rPr>
              <w:t xml:space="preserve"> under a duty to ensure that the unrepresented accused is afforded a fair trial. Fairness in this regard would require from the </w:t>
            </w:r>
            <w:r w:rsidR="0058079B" w:rsidRPr="000D7626">
              <w:rPr>
                <w:rFonts w:ascii="Arial" w:eastAsia="Times New Roman" w:hAnsi="Arial" w:cs="Arial"/>
                <w:sz w:val="24"/>
                <w:szCs w:val="24"/>
                <w:lang w:val="en-GB" w:eastAsia="en-GB"/>
              </w:rPr>
              <w:t>magistrate to</w:t>
            </w:r>
            <w:r w:rsidR="00945F40">
              <w:rPr>
                <w:rFonts w:ascii="Arial" w:eastAsia="Times New Roman" w:hAnsi="Arial" w:cs="Arial"/>
                <w:sz w:val="24"/>
                <w:szCs w:val="24"/>
                <w:lang w:val="en-GB" w:eastAsia="en-GB"/>
              </w:rPr>
              <w:t xml:space="preserve"> not simply accept the mere say-</w:t>
            </w:r>
            <w:r w:rsidR="0058079B" w:rsidRPr="000D7626">
              <w:rPr>
                <w:rFonts w:ascii="Arial" w:eastAsia="Times New Roman" w:hAnsi="Arial" w:cs="Arial"/>
                <w:sz w:val="24"/>
                <w:szCs w:val="24"/>
                <w:lang w:val="en-GB" w:eastAsia="en-GB"/>
              </w:rPr>
              <w:t>so by the accused, but require from the state to</w:t>
            </w:r>
            <w:r w:rsidR="00022770">
              <w:rPr>
                <w:rFonts w:ascii="Arial" w:eastAsia="Times New Roman" w:hAnsi="Arial" w:cs="Arial"/>
                <w:sz w:val="24"/>
                <w:szCs w:val="24"/>
                <w:lang w:val="en-GB" w:eastAsia="en-GB"/>
              </w:rPr>
              <w:t xml:space="preserve"> show or hand up acceptable documentation stating</w:t>
            </w:r>
            <w:r w:rsidR="0058079B" w:rsidRPr="000D7626">
              <w:rPr>
                <w:rFonts w:ascii="Arial" w:eastAsia="Times New Roman" w:hAnsi="Arial" w:cs="Arial"/>
                <w:sz w:val="24"/>
                <w:szCs w:val="24"/>
                <w:lang w:val="en-GB" w:eastAsia="en-GB"/>
              </w:rPr>
              <w:t xml:space="preserve"> that the substance is indeed co</w:t>
            </w:r>
            <w:r w:rsidRPr="000D7626">
              <w:rPr>
                <w:rFonts w:ascii="Arial" w:eastAsia="Times New Roman" w:hAnsi="Arial" w:cs="Arial"/>
                <w:sz w:val="24"/>
                <w:szCs w:val="24"/>
                <w:lang w:val="en-GB" w:eastAsia="en-GB"/>
              </w:rPr>
              <w:t>caine</w:t>
            </w:r>
            <w:r w:rsidR="00022770">
              <w:rPr>
                <w:rFonts w:ascii="Arial" w:eastAsia="Times New Roman" w:hAnsi="Arial" w:cs="Arial"/>
                <w:sz w:val="24"/>
                <w:szCs w:val="24"/>
                <w:lang w:val="en-GB" w:eastAsia="en-GB"/>
              </w:rPr>
              <w:t>. This is normally done through a scientific analyst’s report which the state hands up after an accused pleads guilty. The same procedure is adopted when the state is in possession of a blood alcohol analysis report in matters involving specific contraventions of the Road Traffic and Transportation Act.</w:t>
            </w:r>
            <w:r w:rsidR="00022770">
              <w:rPr>
                <w:rStyle w:val="FootnoteReference"/>
                <w:rFonts w:ascii="Arial" w:eastAsia="Times New Roman" w:hAnsi="Arial" w:cs="Arial"/>
                <w:sz w:val="24"/>
                <w:szCs w:val="24"/>
                <w:lang w:val="en-GB" w:eastAsia="en-GB"/>
              </w:rPr>
              <w:footnoteReference w:id="3"/>
            </w:r>
            <w:r w:rsidR="00022770">
              <w:rPr>
                <w:rFonts w:ascii="Arial" w:eastAsia="Times New Roman" w:hAnsi="Arial" w:cs="Arial"/>
                <w:sz w:val="24"/>
                <w:szCs w:val="24"/>
                <w:lang w:val="en-GB" w:eastAsia="en-GB"/>
              </w:rPr>
              <w:t xml:space="preserve"> In this instance, if </w:t>
            </w:r>
            <w:r w:rsidRPr="000D7626">
              <w:rPr>
                <w:rFonts w:ascii="Arial" w:eastAsia="Times New Roman" w:hAnsi="Arial" w:cs="Arial"/>
                <w:sz w:val="24"/>
                <w:szCs w:val="24"/>
                <w:lang w:val="en-GB" w:eastAsia="en-GB"/>
              </w:rPr>
              <w:t xml:space="preserve">the </w:t>
            </w:r>
            <w:r w:rsidR="001879FA">
              <w:rPr>
                <w:rFonts w:ascii="Arial" w:eastAsia="Times New Roman" w:hAnsi="Arial" w:cs="Arial"/>
                <w:sz w:val="24"/>
                <w:szCs w:val="24"/>
                <w:lang w:val="en-GB" w:eastAsia="en-GB"/>
              </w:rPr>
              <w:t>state was</w:t>
            </w:r>
            <w:r w:rsidR="0058079B" w:rsidRPr="000D7626">
              <w:rPr>
                <w:rFonts w:ascii="Arial" w:eastAsia="Times New Roman" w:hAnsi="Arial" w:cs="Arial"/>
                <w:sz w:val="24"/>
                <w:szCs w:val="24"/>
                <w:lang w:val="en-GB" w:eastAsia="en-GB"/>
              </w:rPr>
              <w:t xml:space="preserve"> unwilling to do so, </w:t>
            </w:r>
            <w:r w:rsidR="00022770">
              <w:rPr>
                <w:rFonts w:ascii="Arial" w:eastAsia="Times New Roman" w:hAnsi="Arial" w:cs="Arial"/>
                <w:sz w:val="24"/>
                <w:szCs w:val="24"/>
                <w:lang w:val="en-GB" w:eastAsia="en-GB"/>
              </w:rPr>
              <w:t xml:space="preserve">the court must </w:t>
            </w:r>
            <w:r w:rsidR="0058079B" w:rsidRPr="000D7626">
              <w:rPr>
                <w:rFonts w:ascii="Arial" w:eastAsia="Times New Roman" w:hAnsi="Arial" w:cs="Arial"/>
                <w:sz w:val="24"/>
                <w:szCs w:val="24"/>
                <w:lang w:val="en-GB" w:eastAsia="en-GB"/>
              </w:rPr>
              <w:t xml:space="preserve">enter </w:t>
            </w:r>
            <w:proofErr w:type="gramStart"/>
            <w:r w:rsidR="0058079B" w:rsidRPr="000D7626">
              <w:rPr>
                <w:rFonts w:ascii="Arial" w:eastAsia="Times New Roman" w:hAnsi="Arial" w:cs="Arial"/>
                <w:sz w:val="24"/>
                <w:szCs w:val="24"/>
                <w:lang w:val="en-GB" w:eastAsia="en-GB"/>
              </w:rPr>
              <w:t>a</w:t>
            </w:r>
            <w:proofErr w:type="gramEnd"/>
            <w:r w:rsidR="0058079B" w:rsidRPr="000D7626">
              <w:rPr>
                <w:rFonts w:ascii="Arial" w:eastAsia="Times New Roman" w:hAnsi="Arial" w:cs="Arial"/>
                <w:sz w:val="24"/>
                <w:szCs w:val="24"/>
                <w:lang w:val="en-GB" w:eastAsia="en-GB"/>
              </w:rPr>
              <w:t xml:space="preserve"> s 113 </w:t>
            </w:r>
            <w:r w:rsidR="008124BD">
              <w:rPr>
                <w:rFonts w:ascii="Arial" w:eastAsia="Times New Roman" w:hAnsi="Arial" w:cs="Arial"/>
                <w:sz w:val="24"/>
                <w:szCs w:val="24"/>
                <w:lang w:val="en-GB" w:eastAsia="en-GB"/>
              </w:rPr>
              <w:t xml:space="preserve">plea of </w:t>
            </w:r>
            <w:r w:rsidR="0058079B" w:rsidRPr="000D7626">
              <w:rPr>
                <w:rFonts w:ascii="Arial" w:eastAsia="Times New Roman" w:hAnsi="Arial" w:cs="Arial"/>
                <w:sz w:val="24"/>
                <w:szCs w:val="24"/>
                <w:lang w:val="en-GB" w:eastAsia="en-GB"/>
              </w:rPr>
              <w:t xml:space="preserve">not guilty on behalf of the accused. Although decided in the context of methaqualone, the court </w:t>
            </w:r>
            <w:r w:rsidR="0058079B" w:rsidRPr="000D7626">
              <w:rPr>
                <w:rFonts w:ascii="Arial" w:eastAsia="Times New Roman" w:hAnsi="Arial" w:cs="Arial"/>
                <w:i/>
                <w:sz w:val="24"/>
                <w:szCs w:val="24"/>
                <w:lang w:val="en-GB" w:eastAsia="en-GB"/>
              </w:rPr>
              <w:t xml:space="preserve">in  S v </w:t>
            </w:r>
            <w:proofErr w:type="spellStart"/>
            <w:r w:rsidR="0058079B" w:rsidRPr="000D7626">
              <w:rPr>
                <w:rFonts w:ascii="Arial" w:eastAsia="Times New Roman" w:hAnsi="Arial" w:cs="Arial"/>
                <w:i/>
                <w:sz w:val="24"/>
                <w:szCs w:val="24"/>
                <w:lang w:val="en-GB" w:eastAsia="en-GB"/>
              </w:rPr>
              <w:t>Iipumbu</w:t>
            </w:r>
            <w:proofErr w:type="spellEnd"/>
            <w:r w:rsidR="0058079B" w:rsidRPr="000D7626">
              <w:rPr>
                <w:rFonts w:ascii="Arial" w:eastAsia="Times New Roman" w:hAnsi="Arial" w:cs="Arial"/>
                <w:i/>
                <w:sz w:val="24"/>
                <w:szCs w:val="24"/>
                <w:lang w:val="en-GB" w:eastAsia="en-GB"/>
              </w:rPr>
              <w:t xml:space="preserve"> </w:t>
            </w:r>
            <w:r w:rsidR="00A1300A" w:rsidRPr="00A1300A">
              <w:rPr>
                <w:rStyle w:val="FootnoteReference"/>
                <w:rFonts w:ascii="Arial" w:eastAsia="Times New Roman" w:hAnsi="Arial" w:cs="Arial"/>
                <w:sz w:val="24"/>
                <w:szCs w:val="24"/>
                <w:lang w:val="en-GB" w:eastAsia="en-GB"/>
              </w:rPr>
              <w:footnoteReference w:id="4"/>
            </w:r>
            <w:r w:rsidR="00A1300A" w:rsidRPr="000D7626">
              <w:rPr>
                <w:rFonts w:ascii="Arial" w:eastAsia="Times New Roman" w:hAnsi="Arial" w:cs="Arial"/>
                <w:i/>
                <w:sz w:val="24"/>
                <w:szCs w:val="24"/>
                <w:lang w:val="en-GB" w:eastAsia="en-GB"/>
              </w:rPr>
              <w:t xml:space="preserve"> </w:t>
            </w:r>
            <w:r w:rsidR="0058079B" w:rsidRPr="000D7626">
              <w:rPr>
                <w:rFonts w:ascii="Arial" w:eastAsia="Times New Roman" w:hAnsi="Arial" w:cs="Arial"/>
                <w:sz w:val="24"/>
                <w:szCs w:val="24"/>
                <w:lang w:val="en-GB" w:eastAsia="en-GB"/>
              </w:rPr>
              <w:t>at para 6 stat</w:t>
            </w:r>
            <w:r w:rsidR="00945F40">
              <w:rPr>
                <w:rFonts w:ascii="Arial" w:eastAsia="Times New Roman" w:hAnsi="Arial" w:cs="Arial"/>
                <w:sz w:val="24"/>
                <w:szCs w:val="24"/>
                <w:lang w:val="en-GB" w:eastAsia="en-GB"/>
              </w:rPr>
              <w:t>ed:</w:t>
            </w:r>
            <w:r w:rsidR="0058079B" w:rsidRPr="000D7626">
              <w:rPr>
                <w:rFonts w:ascii="Arial" w:eastAsia="Times New Roman" w:hAnsi="Arial" w:cs="Arial"/>
                <w:sz w:val="24"/>
                <w:szCs w:val="24"/>
                <w:lang w:val="en-GB" w:eastAsia="en-GB"/>
              </w:rPr>
              <w:t xml:space="preserve"> </w:t>
            </w:r>
          </w:p>
          <w:p w:rsidR="00BB6727" w:rsidRPr="00BB6727" w:rsidRDefault="00BB6727" w:rsidP="00BB6727">
            <w:pPr>
              <w:pStyle w:val="ListParagraph"/>
              <w:spacing w:line="360" w:lineRule="auto"/>
              <w:ind w:left="304" w:right="742"/>
              <w:jc w:val="both"/>
              <w:rPr>
                <w:rFonts w:ascii="Arial" w:hAnsi="Arial" w:cs="Arial"/>
                <w:sz w:val="24"/>
                <w:szCs w:val="24"/>
              </w:rPr>
            </w:pPr>
          </w:p>
          <w:p w:rsidR="00022770" w:rsidRDefault="00022770" w:rsidP="00BB6727">
            <w:pPr>
              <w:spacing w:line="360" w:lineRule="auto"/>
              <w:ind w:left="1438" w:right="1309" w:hanging="20"/>
              <w:jc w:val="both"/>
              <w:rPr>
                <w:rFonts w:ascii="Arial" w:hAnsi="Arial" w:cs="Arial"/>
                <w:color w:val="000000"/>
                <w:shd w:val="clear" w:color="auto" w:fill="FFFFFF"/>
              </w:rPr>
            </w:pPr>
          </w:p>
          <w:p w:rsidR="00022770" w:rsidRDefault="00022770" w:rsidP="00BB6727">
            <w:pPr>
              <w:spacing w:line="360" w:lineRule="auto"/>
              <w:ind w:left="1438" w:right="1309" w:hanging="20"/>
              <w:jc w:val="both"/>
              <w:rPr>
                <w:rFonts w:ascii="Arial" w:hAnsi="Arial" w:cs="Arial"/>
                <w:color w:val="000000"/>
                <w:shd w:val="clear" w:color="auto" w:fill="FFFFFF"/>
              </w:rPr>
            </w:pPr>
          </w:p>
          <w:p w:rsidR="0058079B" w:rsidRPr="0058079B" w:rsidRDefault="0058079B" w:rsidP="00BB6727">
            <w:pPr>
              <w:spacing w:line="360" w:lineRule="auto"/>
              <w:ind w:left="1438" w:right="1309" w:hanging="20"/>
              <w:jc w:val="both"/>
              <w:rPr>
                <w:rFonts w:ascii="Arial" w:eastAsia="Times New Roman" w:hAnsi="Arial" w:cs="Arial"/>
                <w:sz w:val="24"/>
                <w:szCs w:val="24"/>
                <w:lang w:val="en-GB" w:eastAsia="en-GB"/>
              </w:rPr>
            </w:pPr>
            <w:r w:rsidRPr="0058079B">
              <w:rPr>
                <w:rFonts w:ascii="Arial" w:hAnsi="Arial" w:cs="Arial"/>
                <w:color w:val="000000"/>
                <w:shd w:val="clear" w:color="auto" w:fill="FFFFFF"/>
              </w:rPr>
              <w:t xml:space="preserve">‘What is prohibited is the drug called </w:t>
            </w:r>
            <w:r w:rsidR="00A1300A" w:rsidRPr="0058079B">
              <w:rPr>
                <w:rFonts w:ascii="Arial" w:hAnsi="Arial" w:cs="Arial"/>
                <w:color w:val="000000"/>
                <w:shd w:val="clear" w:color="auto" w:fill="FFFFFF"/>
              </w:rPr>
              <w:t>Methaqualone</w:t>
            </w:r>
            <w:r w:rsidRPr="0058079B">
              <w:rPr>
                <w:rFonts w:ascii="Arial" w:hAnsi="Arial" w:cs="Arial"/>
                <w:color w:val="000000"/>
                <w:shd w:val="clear" w:color="auto" w:fill="FFFFFF"/>
              </w:rPr>
              <w:t xml:space="preserve"> and where an accused is charged with dealing in, use or being in possession of </w:t>
            </w:r>
            <w:proofErr w:type="spellStart"/>
            <w:r w:rsidRPr="0058079B">
              <w:rPr>
                <w:rFonts w:ascii="Arial" w:hAnsi="Arial" w:cs="Arial"/>
                <w:color w:val="000000"/>
                <w:shd w:val="clear" w:color="auto" w:fill="FFFFFF"/>
              </w:rPr>
              <w:t>mandrax</w:t>
            </w:r>
            <w:proofErr w:type="spellEnd"/>
            <w:r w:rsidRPr="0058079B">
              <w:rPr>
                <w:rFonts w:ascii="Arial" w:hAnsi="Arial" w:cs="Arial"/>
                <w:color w:val="000000"/>
                <w:shd w:val="clear" w:color="auto" w:fill="FFFFFF"/>
              </w:rPr>
              <w:t xml:space="preserve">, the onus is on the State to prove that what the accused was dealing in, used or had in his possession, contained Methaqualone. </w:t>
            </w:r>
            <w:r w:rsidRPr="0058079B">
              <w:rPr>
                <w:rFonts w:ascii="Arial" w:hAnsi="Arial" w:cs="Arial"/>
                <w:color w:val="000000"/>
                <w:u w:val="single"/>
                <w:shd w:val="clear" w:color="auto" w:fill="FFFFFF"/>
              </w:rPr>
              <w:t>Ordinarily, this will require scientific evidence</w:t>
            </w:r>
            <w:r w:rsidRPr="0058079B">
              <w:rPr>
                <w:rFonts w:ascii="Arial" w:hAnsi="Arial" w:cs="Arial"/>
                <w:color w:val="000000"/>
                <w:shd w:val="clear" w:color="auto" w:fill="FFFFFF"/>
              </w:rPr>
              <w:t>.’</w:t>
            </w:r>
          </w:p>
          <w:p w:rsidR="0058079B" w:rsidRDefault="0058079B" w:rsidP="00BB6727">
            <w:pPr>
              <w:spacing w:line="360" w:lineRule="auto"/>
              <w:ind w:left="1438" w:right="74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24BD">
              <w:rPr>
                <w:rFonts w:ascii="Arial" w:eastAsia="Times New Roman" w:hAnsi="Arial" w:cs="Arial"/>
                <w:sz w:val="24"/>
                <w:szCs w:val="24"/>
                <w:lang w:val="en-GB" w:eastAsia="en-GB"/>
              </w:rPr>
              <w:t>Emphasis provided</w:t>
            </w:r>
            <w:r>
              <w:rPr>
                <w:rFonts w:ascii="Arial" w:eastAsia="Times New Roman" w:hAnsi="Arial" w:cs="Arial"/>
                <w:sz w:val="24"/>
                <w:szCs w:val="24"/>
                <w:lang w:val="en-GB" w:eastAsia="en-GB"/>
              </w:rPr>
              <w:t>)</w:t>
            </w:r>
          </w:p>
          <w:p w:rsidR="00F65549" w:rsidRPr="00A1300A" w:rsidRDefault="00F65549" w:rsidP="00A1300A">
            <w:pPr>
              <w:spacing w:line="360" w:lineRule="auto"/>
              <w:ind w:right="459"/>
              <w:jc w:val="both"/>
              <w:rPr>
                <w:rFonts w:ascii="Arial" w:eastAsia="Times New Roman" w:hAnsi="Arial" w:cs="Arial"/>
                <w:sz w:val="24"/>
                <w:szCs w:val="24"/>
                <w:lang w:val="en-GB" w:eastAsia="en-GB"/>
              </w:rPr>
            </w:pPr>
          </w:p>
          <w:p w:rsidR="0058079B" w:rsidRDefault="0058079B" w:rsidP="000D7626">
            <w:pPr>
              <w:spacing w:line="360" w:lineRule="auto"/>
              <w:ind w:left="304" w:right="459"/>
              <w:jc w:val="both"/>
              <w:rPr>
                <w:rFonts w:ascii="Arial" w:eastAsia="Times New Roman" w:hAnsi="Arial" w:cs="Arial"/>
                <w:sz w:val="24"/>
                <w:szCs w:val="24"/>
                <w:lang w:val="en-GB" w:eastAsia="en-GB"/>
              </w:rPr>
            </w:pPr>
            <w:r w:rsidRPr="000D7626">
              <w:rPr>
                <w:rFonts w:ascii="Arial" w:eastAsia="Times New Roman" w:hAnsi="Arial" w:cs="Arial"/>
                <w:sz w:val="24"/>
                <w:szCs w:val="24"/>
                <w:lang w:val="en-GB" w:eastAsia="en-GB"/>
              </w:rPr>
              <w:t xml:space="preserve">In addition, the court in </w:t>
            </w:r>
            <w:r w:rsidRPr="000D7626">
              <w:rPr>
                <w:rFonts w:ascii="Arial" w:eastAsia="Times New Roman" w:hAnsi="Arial" w:cs="Arial"/>
                <w:i/>
                <w:sz w:val="24"/>
                <w:szCs w:val="24"/>
                <w:lang w:val="en-GB" w:eastAsia="en-GB"/>
              </w:rPr>
              <w:t xml:space="preserve">S v </w:t>
            </w:r>
            <w:proofErr w:type="spellStart"/>
            <w:r w:rsidRPr="000D7626">
              <w:rPr>
                <w:rFonts w:ascii="Arial" w:eastAsia="Times New Roman" w:hAnsi="Arial" w:cs="Arial"/>
                <w:i/>
                <w:sz w:val="24"/>
                <w:szCs w:val="24"/>
                <w:lang w:val="en-GB" w:eastAsia="en-GB"/>
              </w:rPr>
              <w:t>Maniping</w:t>
            </w:r>
            <w:proofErr w:type="spellEnd"/>
            <w:r w:rsidRPr="000D7626">
              <w:rPr>
                <w:rFonts w:ascii="Arial" w:eastAsia="Times New Roman" w:hAnsi="Arial" w:cs="Arial"/>
                <w:i/>
                <w:sz w:val="24"/>
                <w:szCs w:val="24"/>
                <w:lang w:val="en-GB" w:eastAsia="en-GB"/>
              </w:rPr>
              <w:t xml:space="preserve">; S v </w:t>
            </w:r>
            <w:proofErr w:type="spellStart"/>
            <w:r w:rsidRPr="000D7626">
              <w:rPr>
                <w:rFonts w:ascii="Arial" w:eastAsia="Times New Roman" w:hAnsi="Arial" w:cs="Arial"/>
                <w:i/>
                <w:sz w:val="24"/>
                <w:szCs w:val="24"/>
                <w:lang w:val="en-GB" w:eastAsia="en-GB"/>
              </w:rPr>
              <w:t>Thwala</w:t>
            </w:r>
            <w:proofErr w:type="spellEnd"/>
            <w:r w:rsidR="00022770">
              <w:rPr>
                <w:rFonts w:ascii="Arial" w:eastAsia="Times New Roman" w:hAnsi="Arial" w:cs="Arial"/>
                <w:sz w:val="24"/>
                <w:szCs w:val="24"/>
                <w:lang w:val="en-GB" w:eastAsia="en-GB"/>
              </w:rPr>
              <w:t>,</w:t>
            </w:r>
            <w:r w:rsidR="00F65549">
              <w:rPr>
                <w:rStyle w:val="FootnoteReference"/>
                <w:rFonts w:ascii="Arial" w:eastAsia="Times New Roman" w:hAnsi="Arial" w:cs="Arial"/>
                <w:sz w:val="24"/>
                <w:szCs w:val="24"/>
                <w:lang w:val="en-GB" w:eastAsia="en-GB"/>
              </w:rPr>
              <w:footnoteReference w:id="5"/>
            </w:r>
            <w:r w:rsidR="000D7626">
              <w:rPr>
                <w:rFonts w:ascii="Arial" w:eastAsia="Times New Roman" w:hAnsi="Arial" w:cs="Arial"/>
                <w:sz w:val="24"/>
                <w:szCs w:val="24"/>
                <w:lang w:val="en-GB" w:eastAsia="en-GB"/>
              </w:rPr>
              <w:t xml:space="preserve"> on this point</w:t>
            </w:r>
            <w:r w:rsidR="00022770">
              <w:rPr>
                <w:rFonts w:ascii="Arial" w:eastAsia="Times New Roman" w:hAnsi="Arial" w:cs="Arial"/>
                <w:sz w:val="24"/>
                <w:szCs w:val="24"/>
                <w:lang w:val="en-GB" w:eastAsia="en-GB"/>
              </w:rPr>
              <w:t xml:space="preserve"> stated at </w:t>
            </w:r>
            <w:r w:rsidR="0004556D" w:rsidRPr="000D7626">
              <w:rPr>
                <w:rFonts w:ascii="Arial" w:eastAsia="Times New Roman" w:hAnsi="Arial" w:cs="Arial"/>
                <w:sz w:val="24"/>
                <w:szCs w:val="24"/>
                <w:lang w:val="en-GB" w:eastAsia="en-GB"/>
              </w:rPr>
              <w:t>75</w:t>
            </w:r>
            <w:r w:rsidR="00022770">
              <w:rPr>
                <w:rFonts w:ascii="Arial" w:eastAsia="Times New Roman" w:hAnsi="Arial" w:cs="Arial"/>
                <w:sz w:val="24"/>
                <w:szCs w:val="24"/>
                <w:lang w:val="en-GB" w:eastAsia="en-GB"/>
              </w:rPr>
              <w:t xml:space="preserve"> </w:t>
            </w:r>
            <w:r w:rsidR="00945F40">
              <w:rPr>
                <w:rFonts w:ascii="Arial" w:eastAsia="Times New Roman" w:hAnsi="Arial" w:cs="Arial"/>
                <w:sz w:val="24"/>
                <w:szCs w:val="24"/>
                <w:lang w:val="en-GB" w:eastAsia="en-GB"/>
              </w:rPr>
              <w:t>C:</w:t>
            </w:r>
          </w:p>
          <w:p w:rsidR="000D7626" w:rsidRPr="000D7626" w:rsidRDefault="000D7626" w:rsidP="000D7626">
            <w:pPr>
              <w:spacing w:line="360" w:lineRule="auto"/>
              <w:ind w:left="304" w:right="459"/>
              <w:jc w:val="both"/>
              <w:rPr>
                <w:rFonts w:ascii="Arial" w:eastAsia="Times New Roman" w:hAnsi="Arial" w:cs="Arial"/>
                <w:sz w:val="24"/>
                <w:szCs w:val="24"/>
                <w:lang w:val="en-GB" w:eastAsia="en-GB"/>
              </w:rPr>
            </w:pPr>
          </w:p>
          <w:p w:rsidR="00283F77" w:rsidRPr="00BD171B" w:rsidRDefault="0004556D" w:rsidP="00BD171B">
            <w:pPr>
              <w:pStyle w:val="ListParagraph"/>
              <w:spacing w:line="360" w:lineRule="auto"/>
              <w:ind w:left="1438" w:right="1309"/>
              <w:jc w:val="both"/>
              <w:rPr>
                <w:rFonts w:ascii="Arial" w:eastAsia="Times New Roman" w:hAnsi="Arial" w:cs="Arial"/>
                <w:lang w:val="en-GB" w:eastAsia="en-GB"/>
              </w:rPr>
            </w:pPr>
            <w:r w:rsidRPr="0004556D">
              <w:rPr>
                <w:rFonts w:ascii="Arial" w:eastAsia="Times New Roman" w:hAnsi="Arial" w:cs="Arial"/>
                <w:lang w:val="en-GB" w:eastAsia="en-GB"/>
              </w:rPr>
              <w:t>‘In a case where the charge is one of dealing in or possessing a prohibited drug</w:t>
            </w:r>
            <w:r w:rsidR="001879FA">
              <w:rPr>
                <w:rFonts w:ascii="Arial" w:eastAsia="Times New Roman" w:hAnsi="Arial" w:cs="Arial"/>
                <w:lang w:val="en-GB" w:eastAsia="en-GB"/>
              </w:rPr>
              <w:t>s</w:t>
            </w:r>
            <w:r w:rsidRPr="0004556D">
              <w:rPr>
                <w:rFonts w:ascii="Arial" w:eastAsia="Times New Roman" w:hAnsi="Arial" w:cs="Arial"/>
                <w:lang w:val="en-GB" w:eastAsia="en-GB"/>
              </w:rPr>
              <w:t xml:space="preserve"> common sense dictates that is almost inevitab</w:t>
            </w:r>
            <w:r w:rsidR="001879FA">
              <w:rPr>
                <w:rFonts w:ascii="Arial" w:eastAsia="Times New Roman" w:hAnsi="Arial" w:cs="Arial"/>
                <w:lang w:val="en-GB" w:eastAsia="en-GB"/>
              </w:rPr>
              <w:t>le that an admission made as to</w:t>
            </w:r>
            <w:r w:rsidRPr="0004556D">
              <w:rPr>
                <w:rFonts w:ascii="Arial" w:eastAsia="Times New Roman" w:hAnsi="Arial" w:cs="Arial"/>
                <w:lang w:val="en-GB" w:eastAsia="en-GB"/>
              </w:rPr>
              <w:t xml:space="preserve"> the nature of the substance which is subject of the charge will </w:t>
            </w:r>
          </w:p>
          <w:p w:rsidR="0004556D" w:rsidRPr="00BD171B" w:rsidRDefault="0004556D" w:rsidP="00BD171B">
            <w:pPr>
              <w:pStyle w:val="ListParagraph"/>
              <w:spacing w:line="360" w:lineRule="auto"/>
              <w:ind w:left="1438" w:right="1309"/>
              <w:jc w:val="both"/>
              <w:rPr>
                <w:rFonts w:ascii="Arial" w:eastAsia="Times New Roman" w:hAnsi="Arial" w:cs="Arial"/>
                <w:u w:val="single"/>
                <w:lang w:val="en-GB" w:eastAsia="en-GB"/>
              </w:rPr>
            </w:pPr>
            <w:proofErr w:type="gramStart"/>
            <w:r w:rsidRPr="0004556D">
              <w:rPr>
                <w:rFonts w:ascii="Arial" w:eastAsia="Times New Roman" w:hAnsi="Arial" w:cs="Arial"/>
                <w:lang w:val="en-GB" w:eastAsia="en-GB"/>
              </w:rPr>
              <w:t>be</w:t>
            </w:r>
            <w:proofErr w:type="gramEnd"/>
            <w:r w:rsidRPr="0004556D">
              <w:rPr>
                <w:rFonts w:ascii="Arial" w:eastAsia="Times New Roman" w:hAnsi="Arial" w:cs="Arial"/>
                <w:lang w:val="en-GB" w:eastAsia="en-GB"/>
              </w:rPr>
              <w:t xml:space="preserve"> based on previous illegal associations with that substance. In such a case the normal course to take should therefore be to refrain from asking further questions. And it follows from this that in such cases </w:t>
            </w:r>
            <w:r w:rsidRPr="001879FA">
              <w:rPr>
                <w:rFonts w:ascii="Arial" w:eastAsia="Times New Roman" w:hAnsi="Arial" w:cs="Arial"/>
                <w:u w:val="single"/>
                <w:lang w:val="en-GB" w:eastAsia="en-GB"/>
              </w:rPr>
              <w:t xml:space="preserve">the state </w:t>
            </w:r>
            <w:r w:rsidRPr="00BD171B">
              <w:rPr>
                <w:rFonts w:ascii="Arial" w:eastAsia="Times New Roman" w:hAnsi="Arial" w:cs="Arial"/>
                <w:u w:val="single"/>
                <w:lang w:val="en-GB" w:eastAsia="en-GB"/>
              </w:rPr>
              <w:t>should be in a position to produce an analyst’s certificate or adduce other acceptable evidence of the nature of the substance</w:t>
            </w:r>
            <w:r w:rsidRPr="00BD171B">
              <w:rPr>
                <w:rFonts w:ascii="Arial" w:eastAsia="Times New Roman" w:hAnsi="Arial" w:cs="Arial"/>
                <w:lang w:val="en-GB" w:eastAsia="en-GB"/>
              </w:rPr>
              <w:t>.’</w:t>
            </w:r>
          </w:p>
          <w:p w:rsidR="000D7626" w:rsidRDefault="001879FA" w:rsidP="001879FA">
            <w:pPr>
              <w:pStyle w:val="ListParagraph"/>
              <w:spacing w:line="360" w:lineRule="auto"/>
              <w:ind w:left="1438" w:right="1309"/>
              <w:jc w:val="both"/>
              <w:rPr>
                <w:rFonts w:ascii="Arial" w:eastAsia="Times New Roman" w:hAnsi="Arial" w:cs="Arial"/>
                <w:sz w:val="24"/>
                <w:szCs w:val="24"/>
                <w:lang w:val="en-GB" w:eastAsia="en-GB"/>
              </w:rPr>
            </w:pPr>
            <w:r w:rsidRPr="001879FA">
              <w:rPr>
                <w:rFonts w:ascii="Arial" w:eastAsia="Times New Roman" w:hAnsi="Arial" w:cs="Arial"/>
                <w:sz w:val="24"/>
                <w:szCs w:val="24"/>
                <w:lang w:val="en-GB" w:eastAsia="en-GB"/>
              </w:rPr>
              <w:t>(</w:t>
            </w:r>
            <w:r w:rsidR="008124BD">
              <w:rPr>
                <w:rFonts w:ascii="Arial" w:eastAsia="Times New Roman" w:hAnsi="Arial" w:cs="Arial"/>
                <w:sz w:val="24"/>
                <w:szCs w:val="24"/>
                <w:lang w:val="en-GB" w:eastAsia="en-GB"/>
              </w:rPr>
              <w:t>Emphasis provided</w:t>
            </w:r>
            <w:r w:rsidRPr="001879FA">
              <w:rPr>
                <w:rFonts w:ascii="Arial" w:eastAsia="Times New Roman" w:hAnsi="Arial" w:cs="Arial"/>
                <w:sz w:val="24"/>
                <w:szCs w:val="24"/>
                <w:lang w:val="en-GB" w:eastAsia="en-GB"/>
              </w:rPr>
              <w:t>)</w:t>
            </w:r>
          </w:p>
          <w:p w:rsidR="00785116" w:rsidRDefault="00785116" w:rsidP="001879FA">
            <w:pPr>
              <w:pStyle w:val="ListParagraph"/>
              <w:spacing w:line="360" w:lineRule="auto"/>
              <w:ind w:left="1438" w:right="1309"/>
              <w:jc w:val="both"/>
              <w:rPr>
                <w:rFonts w:ascii="Arial" w:eastAsia="Times New Roman" w:hAnsi="Arial" w:cs="Arial"/>
                <w:sz w:val="24"/>
                <w:szCs w:val="24"/>
                <w:lang w:val="en-GB" w:eastAsia="en-GB"/>
              </w:rPr>
            </w:pPr>
          </w:p>
          <w:p w:rsidR="00F65549" w:rsidRDefault="000D7626" w:rsidP="000D7626">
            <w:pPr>
              <w:pStyle w:val="ListParagraph"/>
              <w:numPr>
                <w:ilvl w:val="0"/>
                <w:numId w:val="25"/>
              </w:numPr>
              <w:spacing w:line="360" w:lineRule="auto"/>
              <w:ind w:left="304" w:right="742" w:firstLine="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F65549" w:rsidRPr="000D7626">
              <w:rPr>
                <w:rFonts w:ascii="Arial" w:eastAsia="Times New Roman" w:hAnsi="Arial" w:cs="Arial"/>
                <w:sz w:val="24"/>
                <w:szCs w:val="24"/>
                <w:lang w:val="en-GB" w:eastAsia="en-GB"/>
              </w:rPr>
              <w:t xml:space="preserve">The heedless approach taken by the court in accepting the mere </w:t>
            </w:r>
            <w:r w:rsidRPr="000D7626">
              <w:rPr>
                <w:rFonts w:ascii="Arial" w:eastAsia="Times New Roman" w:hAnsi="Arial" w:cs="Arial"/>
                <w:sz w:val="24"/>
                <w:szCs w:val="24"/>
                <w:lang w:val="en-GB" w:eastAsia="en-GB"/>
              </w:rPr>
              <w:t>admission by</w:t>
            </w:r>
            <w:r w:rsidR="00F65549" w:rsidRPr="000D7626">
              <w:rPr>
                <w:rFonts w:ascii="Arial" w:eastAsia="Times New Roman" w:hAnsi="Arial" w:cs="Arial"/>
                <w:sz w:val="24"/>
                <w:szCs w:val="24"/>
                <w:lang w:val="en-GB" w:eastAsia="en-GB"/>
              </w:rPr>
              <w:t xml:space="preserve"> the accused to stand as evidence of such element of the offence</w:t>
            </w:r>
            <w:r w:rsidR="00785116">
              <w:rPr>
                <w:rFonts w:ascii="Arial" w:eastAsia="Times New Roman" w:hAnsi="Arial" w:cs="Arial"/>
                <w:sz w:val="24"/>
                <w:szCs w:val="24"/>
                <w:lang w:val="en-GB" w:eastAsia="en-GB"/>
              </w:rPr>
              <w:t xml:space="preserve"> during the 112 (1) </w:t>
            </w:r>
            <w:r w:rsidR="00785116" w:rsidRPr="00945F40">
              <w:rPr>
                <w:rFonts w:ascii="Arial" w:eastAsia="Times New Roman" w:hAnsi="Arial" w:cs="Arial"/>
                <w:i/>
                <w:sz w:val="24"/>
                <w:szCs w:val="24"/>
                <w:lang w:val="en-GB" w:eastAsia="en-GB"/>
              </w:rPr>
              <w:t>(b)</w:t>
            </w:r>
            <w:r w:rsidR="00F65549" w:rsidRPr="000D7626">
              <w:rPr>
                <w:rFonts w:ascii="Arial" w:eastAsia="Times New Roman" w:hAnsi="Arial" w:cs="Arial"/>
                <w:sz w:val="24"/>
                <w:szCs w:val="24"/>
                <w:lang w:val="en-GB" w:eastAsia="en-GB"/>
              </w:rPr>
              <w:t xml:space="preserve"> </w:t>
            </w:r>
            <w:r w:rsidR="00785116">
              <w:rPr>
                <w:rFonts w:ascii="Arial" w:eastAsia="Times New Roman" w:hAnsi="Arial" w:cs="Arial"/>
                <w:sz w:val="24"/>
                <w:szCs w:val="24"/>
                <w:lang w:val="en-GB" w:eastAsia="en-GB"/>
              </w:rPr>
              <w:t xml:space="preserve">questioning </w:t>
            </w:r>
            <w:r w:rsidR="00F65549" w:rsidRPr="000D7626">
              <w:rPr>
                <w:rFonts w:ascii="Arial" w:eastAsia="Times New Roman" w:hAnsi="Arial" w:cs="Arial"/>
                <w:sz w:val="24"/>
                <w:szCs w:val="24"/>
                <w:lang w:val="en-GB" w:eastAsia="en-GB"/>
              </w:rPr>
              <w:t>cannot be endorsed</w:t>
            </w:r>
            <w:r w:rsidR="00945F40">
              <w:rPr>
                <w:rFonts w:ascii="Arial" w:eastAsia="Times New Roman" w:hAnsi="Arial" w:cs="Arial"/>
                <w:sz w:val="24"/>
                <w:szCs w:val="24"/>
                <w:lang w:val="en-GB" w:eastAsia="en-GB"/>
              </w:rPr>
              <w:t xml:space="preserve">. </w:t>
            </w:r>
            <w:r w:rsidR="00BD171B">
              <w:rPr>
                <w:rFonts w:ascii="Arial" w:eastAsia="Times New Roman" w:hAnsi="Arial" w:cs="Arial"/>
                <w:sz w:val="24"/>
                <w:szCs w:val="24"/>
                <w:lang w:val="en-GB" w:eastAsia="en-GB"/>
              </w:rPr>
              <w:t xml:space="preserve">In this regard it seems necessary to restate </w:t>
            </w:r>
            <w:r w:rsidR="00F65549" w:rsidRPr="000D7626">
              <w:rPr>
                <w:rFonts w:ascii="Arial" w:eastAsia="Times New Roman" w:hAnsi="Arial" w:cs="Arial"/>
                <w:sz w:val="24"/>
                <w:szCs w:val="24"/>
                <w:lang w:val="en-GB" w:eastAsia="en-GB"/>
              </w:rPr>
              <w:t xml:space="preserve"> </w:t>
            </w:r>
            <w:r w:rsidR="00BD171B">
              <w:rPr>
                <w:rFonts w:ascii="Arial" w:eastAsia="Times New Roman" w:hAnsi="Arial" w:cs="Arial"/>
                <w:sz w:val="24"/>
                <w:szCs w:val="24"/>
                <w:lang w:val="en-GB" w:eastAsia="en-GB"/>
              </w:rPr>
              <w:t xml:space="preserve">what </w:t>
            </w:r>
            <w:r w:rsidR="00F65549" w:rsidRPr="000D7626">
              <w:rPr>
                <w:rFonts w:ascii="Arial" w:eastAsia="Times New Roman" w:hAnsi="Arial" w:cs="Arial"/>
                <w:sz w:val="24"/>
                <w:szCs w:val="24"/>
                <w:lang w:val="en-GB" w:eastAsia="en-GB"/>
              </w:rPr>
              <w:t>the</w:t>
            </w:r>
            <w:r w:rsidR="0004556D" w:rsidRPr="000D7626">
              <w:rPr>
                <w:rFonts w:ascii="Arial" w:eastAsia="Times New Roman" w:hAnsi="Arial" w:cs="Arial"/>
                <w:sz w:val="24"/>
                <w:szCs w:val="24"/>
                <w:lang w:val="en-GB" w:eastAsia="en-GB"/>
              </w:rPr>
              <w:t xml:space="preserve"> court</w:t>
            </w:r>
            <w:r w:rsidR="00425D66">
              <w:rPr>
                <w:rFonts w:ascii="Arial" w:eastAsia="Times New Roman" w:hAnsi="Arial" w:cs="Arial"/>
                <w:sz w:val="24"/>
                <w:szCs w:val="24"/>
                <w:lang w:val="en-GB" w:eastAsia="en-GB"/>
              </w:rPr>
              <w:t xml:space="preserve"> in</w:t>
            </w:r>
            <w:r w:rsidR="0004556D" w:rsidRPr="000D7626">
              <w:rPr>
                <w:rFonts w:ascii="Arial" w:eastAsia="Times New Roman" w:hAnsi="Arial" w:cs="Arial"/>
                <w:sz w:val="24"/>
                <w:szCs w:val="24"/>
                <w:lang w:val="en-GB" w:eastAsia="en-GB"/>
              </w:rPr>
              <w:t xml:space="preserve"> </w:t>
            </w:r>
            <w:r w:rsidR="00785116" w:rsidRPr="000D7626">
              <w:rPr>
                <w:rFonts w:ascii="Arial" w:eastAsia="Times New Roman" w:hAnsi="Arial" w:cs="Arial"/>
                <w:i/>
                <w:sz w:val="24"/>
                <w:szCs w:val="24"/>
                <w:lang w:val="en-GB" w:eastAsia="en-GB"/>
              </w:rPr>
              <w:t xml:space="preserve">S v </w:t>
            </w:r>
            <w:proofErr w:type="spellStart"/>
            <w:r w:rsidR="00785116" w:rsidRPr="000D7626">
              <w:rPr>
                <w:rFonts w:ascii="Arial" w:eastAsia="Times New Roman" w:hAnsi="Arial" w:cs="Arial"/>
                <w:i/>
                <w:sz w:val="24"/>
                <w:szCs w:val="24"/>
                <w:lang w:val="en-GB" w:eastAsia="en-GB"/>
              </w:rPr>
              <w:t>Maniping</w:t>
            </w:r>
            <w:proofErr w:type="spellEnd"/>
            <w:r w:rsidR="00785116" w:rsidRPr="000D7626">
              <w:rPr>
                <w:rFonts w:ascii="Arial" w:eastAsia="Times New Roman" w:hAnsi="Arial" w:cs="Arial"/>
                <w:i/>
                <w:sz w:val="24"/>
                <w:szCs w:val="24"/>
                <w:lang w:val="en-GB" w:eastAsia="en-GB"/>
              </w:rPr>
              <w:t xml:space="preserve">; S v </w:t>
            </w:r>
            <w:proofErr w:type="spellStart"/>
            <w:r w:rsidR="00785116" w:rsidRPr="000D7626">
              <w:rPr>
                <w:rFonts w:ascii="Arial" w:eastAsia="Times New Roman" w:hAnsi="Arial" w:cs="Arial"/>
                <w:i/>
                <w:sz w:val="24"/>
                <w:szCs w:val="24"/>
                <w:lang w:val="en-GB" w:eastAsia="en-GB"/>
              </w:rPr>
              <w:t>Thwala</w:t>
            </w:r>
            <w:proofErr w:type="spellEnd"/>
            <w:r w:rsidR="00785116" w:rsidRPr="000D7626">
              <w:rPr>
                <w:rFonts w:ascii="Arial" w:eastAsia="Times New Roman" w:hAnsi="Arial" w:cs="Arial"/>
                <w:sz w:val="24"/>
                <w:szCs w:val="24"/>
                <w:lang w:val="en-GB" w:eastAsia="en-GB"/>
              </w:rPr>
              <w:t xml:space="preserve"> </w:t>
            </w:r>
            <w:r w:rsidR="00BD171B">
              <w:rPr>
                <w:rFonts w:ascii="Arial" w:eastAsia="Times New Roman" w:hAnsi="Arial" w:cs="Arial"/>
                <w:sz w:val="24"/>
                <w:szCs w:val="24"/>
                <w:lang w:val="en-GB" w:eastAsia="en-GB"/>
              </w:rPr>
              <w:t>(</w:t>
            </w:r>
            <w:r w:rsidR="00785116">
              <w:rPr>
                <w:rFonts w:ascii="Arial" w:eastAsia="Times New Roman" w:hAnsi="Arial" w:cs="Arial"/>
                <w:sz w:val="24"/>
                <w:szCs w:val="24"/>
                <w:lang w:val="en-GB" w:eastAsia="en-GB"/>
              </w:rPr>
              <w:t>supra</w:t>
            </w:r>
            <w:r w:rsidR="00BD171B">
              <w:rPr>
                <w:rFonts w:ascii="Arial" w:eastAsia="Times New Roman" w:hAnsi="Arial" w:cs="Arial"/>
                <w:sz w:val="24"/>
                <w:szCs w:val="24"/>
                <w:lang w:val="en-GB" w:eastAsia="en-GB"/>
              </w:rPr>
              <w:t>)</w:t>
            </w:r>
            <w:r w:rsidR="00785116">
              <w:rPr>
                <w:rFonts w:ascii="Arial" w:eastAsia="Times New Roman" w:hAnsi="Arial" w:cs="Arial"/>
                <w:sz w:val="24"/>
                <w:szCs w:val="24"/>
                <w:lang w:val="en-GB" w:eastAsia="en-GB"/>
              </w:rPr>
              <w:t xml:space="preserve"> </w:t>
            </w:r>
            <w:r w:rsidR="00BD171B">
              <w:rPr>
                <w:rFonts w:ascii="Arial" w:eastAsia="Times New Roman" w:hAnsi="Arial" w:cs="Arial"/>
                <w:sz w:val="24"/>
                <w:szCs w:val="24"/>
                <w:lang w:val="en-GB" w:eastAsia="en-GB"/>
              </w:rPr>
              <w:t xml:space="preserve">said about the court’s duty </w:t>
            </w:r>
            <w:r w:rsidR="0004556D" w:rsidRPr="000D7626">
              <w:rPr>
                <w:rFonts w:ascii="Arial" w:eastAsia="Times New Roman" w:hAnsi="Arial" w:cs="Arial"/>
                <w:sz w:val="24"/>
                <w:szCs w:val="24"/>
                <w:lang w:val="en-GB" w:eastAsia="en-GB"/>
              </w:rPr>
              <w:t>when dealing with a guilty plea under s 112 (1) (b)</w:t>
            </w:r>
            <w:r w:rsidR="00BD171B">
              <w:rPr>
                <w:rFonts w:ascii="Arial" w:eastAsia="Times New Roman" w:hAnsi="Arial" w:cs="Arial"/>
                <w:sz w:val="24"/>
                <w:szCs w:val="24"/>
                <w:lang w:val="en-GB" w:eastAsia="en-GB"/>
              </w:rPr>
              <w:t>:</w:t>
            </w:r>
          </w:p>
          <w:p w:rsidR="00785116" w:rsidRPr="000D7626" w:rsidRDefault="00785116" w:rsidP="00785116">
            <w:pPr>
              <w:pStyle w:val="ListParagraph"/>
              <w:spacing w:line="360" w:lineRule="auto"/>
              <w:ind w:left="304" w:right="742"/>
              <w:jc w:val="both"/>
              <w:rPr>
                <w:rFonts w:ascii="Arial" w:eastAsia="Times New Roman" w:hAnsi="Arial" w:cs="Arial"/>
                <w:sz w:val="24"/>
                <w:szCs w:val="24"/>
                <w:lang w:val="en-GB" w:eastAsia="en-GB"/>
              </w:rPr>
            </w:pPr>
          </w:p>
          <w:p w:rsidR="00F65549" w:rsidRDefault="00F65549" w:rsidP="000D7626">
            <w:pPr>
              <w:spacing w:line="360" w:lineRule="auto"/>
              <w:ind w:left="1296" w:right="1309"/>
              <w:jc w:val="both"/>
              <w:rPr>
                <w:rFonts w:ascii="Arial" w:hAnsi="Arial" w:cs="Arial"/>
              </w:rPr>
            </w:pPr>
            <w:r w:rsidRPr="00F65549">
              <w:rPr>
                <w:rFonts w:ascii="Arial" w:eastAsia="Times New Roman" w:hAnsi="Arial" w:cs="Arial"/>
                <w:lang w:val="en-GB" w:eastAsia="en-GB"/>
              </w:rPr>
              <w:t>‘</w:t>
            </w:r>
            <w:r w:rsidRPr="00F65549">
              <w:rPr>
                <w:rFonts w:ascii="Arial" w:hAnsi="Arial" w:cs="Arial"/>
              </w:rPr>
              <w:t>To summarise, where an accused who pleads guilty makes an admission when questioned  pursuant to s 112(1)(b) of a fact which is palpably outside his personal knowledge</w:t>
            </w:r>
            <w:r w:rsidR="008124BD">
              <w:rPr>
                <w:rFonts w:ascii="Arial" w:hAnsi="Arial" w:cs="Arial"/>
              </w:rPr>
              <w:t>:</w:t>
            </w:r>
          </w:p>
          <w:p w:rsidR="008124BD" w:rsidRDefault="008124BD" w:rsidP="000D7626">
            <w:pPr>
              <w:spacing w:line="360" w:lineRule="auto"/>
              <w:ind w:left="1296" w:right="1309"/>
              <w:jc w:val="both"/>
              <w:rPr>
                <w:rFonts w:ascii="Arial" w:hAnsi="Arial" w:cs="Arial"/>
              </w:rPr>
            </w:pPr>
          </w:p>
          <w:p w:rsidR="00BD171B" w:rsidRDefault="00BD171B" w:rsidP="000D7626">
            <w:pPr>
              <w:spacing w:line="360" w:lineRule="auto"/>
              <w:ind w:left="1296" w:right="1309"/>
              <w:jc w:val="both"/>
              <w:rPr>
                <w:rFonts w:ascii="Arial" w:hAnsi="Arial" w:cs="Arial"/>
              </w:rPr>
            </w:pPr>
          </w:p>
          <w:p w:rsidR="00BD171B" w:rsidRPr="00F65549" w:rsidRDefault="00BD171B" w:rsidP="000D7626">
            <w:pPr>
              <w:spacing w:line="360" w:lineRule="auto"/>
              <w:ind w:left="1296" w:right="1309"/>
              <w:jc w:val="both"/>
              <w:rPr>
                <w:rFonts w:ascii="Arial" w:hAnsi="Arial" w:cs="Arial"/>
              </w:rPr>
            </w:pPr>
          </w:p>
          <w:p w:rsidR="00F65549" w:rsidRPr="00F65549" w:rsidRDefault="00F65549" w:rsidP="000D7626">
            <w:pPr>
              <w:spacing w:line="360" w:lineRule="auto"/>
              <w:ind w:left="1296" w:right="1309" w:hanging="729"/>
              <w:jc w:val="both"/>
              <w:rPr>
                <w:rFonts w:ascii="Arial" w:hAnsi="Arial" w:cs="Arial"/>
              </w:rPr>
            </w:pPr>
            <w:r w:rsidRPr="00F65549">
              <w:rPr>
                <w:rFonts w:ascii="Arial" w:hAnsi="Arial" w:cs="Arial"/>
              </w:rPr>
              <w:tab/>
              <w:t>(a)</w:t>
            </w:r>
            <w:r w:rsidRPr="00F65549">
              <w:rPr>
                <w:rFonts w:ascii="Arial" w:hAnsi="Arial" w:cs="Arial"/>
              </w:rPr>
              <w:tab/>
            </w:r>
            <w:r w:rsidRPr="00F65549">
              <w:rPr>
                <w:rFonts w:ascii="Arial" w:hAnsi="Arial" w:cs="Arial"/>
                <w:u w:val="single"/>
              </w:rPr>
              <w:t>the court has a duty to satisfy itself of the reliability of that admission where the accused is not legally represented</w:t>
            </w:r>
            <w:r w:rsidRPr="00F65549">
              <w:rPr>
                <w:rFonts w:ascii="Arial" w:hAnsi="Arial" w:cs="Arial"/>
              </w:rPr>
              <w:t>;</w:t>
            </w:r>
          </w:p>
          <w:p w:rsidR="00F65549" w:rsidRPr="00F65549" w:rsidRDefault="00F65549" w:rsidP="008124BD">
            <w:pPr>
              <w:spacing w:line="360" w:lineRule="auto"/>
              <w:ind w:left="1296" w:right="1309" w:hanging="283"/>
              <w:jc w:val="both"/>
              <w:rPr>
                <w:rFonts w:ascii="Arial" w:hAnsi="Arial" w:cs="Arial"/>
              </w:rPr>
            </w:pPr>
            <w:r w:rsidRPr="00F65549">
              <w:rPr>
                <w:rFonts w:ascii="Arial" w:hAnsi="Arial" w:cs="Arial"/>
              </w:rPr>
              <w:tab/>
              <w:t>(b)</w:t>
            </w:r>
            <w:r w:rsidRPr="00F65549">
              <w:rPr>
                <w:rFonts w:ascii="Arial" w:hAnsi="Arial" w:cs="Arial"/>
              </w:rPr>
              <w:tab/>
              <w:t>if there appears to be any real risk that the exercise of testing the reliabili</w:t>
            </w:r>
            <w:r w:rsidR="00BD171B">
              <w:rPr>
                <w:rFonts w:ascii="Arial" w:hAnsi="Arial" w:cs="Arial"/>
              </w:rPr>
              <w:t xml:space="preserve">ty of such an admission will </w:t>
            </w:r>
            <w:r w:rsidRPr="00F65549">
              <w:rPr>
                <w:rFonts w:ascii="Arial" w:hAnsi="Arial" w:cs="Arial"/>
              </w:rPr>
              <w:t xml:space="preserve"> result in the accused having to admit to previous criminal conduct the </w:t>
            </w:r>
            <w:r w:rsidRPr="00F65549">
              <w:rPr>
                <w:rFonts w:ascii="Arial" w:hAnsi="Arial" w:cs="Arial"/>
                <w:u w:val="single"/>
              </w:rPr>
              <w:t>court should refrain from asking further questions</w:t>
            </w:r>
            <w:r w:rsidRPr="00F65549">
              <w:rPr>
                <w:rFonts w:ascii="Arial" w:hAnsi="Arial" w:cs="Arial"/>
              </w:rPr>
              <w:t>;</w:t>
            </w:r>
          </w:p>
          <w:p w:rsidR="00F65549" w:rsidRPr="00F65549" w:rsidRDefault="00F65549" w:rsidP="000D7626">
            <w:pPr>
              <w:spacing w:line="360" w:lineRule="auto"/>
              <w:ind w:left="1296" w:right="1309" w:hanging="729"/>
              <w:jc w:val="both"/>
              <w:rPr>
                <w:rFonts w:ascii="Arial" w:hAnsi="Arial" w:cs="Arial"/>
              </w:rPr>
            </w:pPr>
            <w:r w:rsidRPr="00F65549">
              <w:rPr>
                <w:rFonts w:ascii="Arial" w:hAnsi="Arial" w:cs="Arial"/>
              </w:rPr>
              <w:tab/>
              <w:t>(c)</w:t>
            </w:r>
            <w:r w:rsidRPr="00F65549">
              <w:rPr>
                <w:rFonts w:ascii="Arial" w:hAnsi="Arial" w:cs="Arial"/>
              </w:rPr>
              <w:tab/>
            </w:r>
            <w:r w:rsidRPr="00F65549">
              <w:rPr>
                <w:rFonts w:ascii="Arial" w:hAnsi="Arial" w:cs="Arial"/>
                <w:u w:val="single"/>
              </w:rPr>
              <w:t>instead, the court should simply record the admission and invite the prosecutor to present evidence on that aspect of the charge and, if the prosecutor declines to do so, the court should record a plea of not guilty an</w:t>
            </w:r>
            <w:r>
              <w:rPr>
                <w:rFonts w:ascii="Arial" w:hAnsi="Arial" w:cs="Arial"/>
                <w:u w:val="single"/>
              </w:rPr>
              <w:t>d leave it to the prosecutor</w:t>
            </w:r>
            <w:r w:rsidRPr="00F65549">
              <w:rPr>
                <w:rFonts w:ascii="Arial" w:hAnsi="Arial" w:cs="Arial"/>
                <w:u w:val="single"/>
              </w:rPr>
              <w:t xml:space="preserve"> to prove that particular element</w:t>
            </w:r>
            <w:r w:rsidRPr="00F65549">
              <w:rPr>
                <w:rFonts w:ascii="Arial" w:hAnsi="Arial" w:cs="Arial"/>
              </w:rPr>
              <w:t>;</w:t>
            </w:r>
          </w:p>
          <w:p w:rsidR="000D7626" w:rsidRDefault="00F65549" w:rsidP="000D7626">
            <w:pPr>
              <w:spacing w:line="360" w:lineRule="auto"/>
              <w:ind w:left="1296" w:right="1309" w:hanging="729"/>
              <w:jc w:val="both"/>
              <w:rPr>
                <w:rFonts w:ascii="Arial" w:hAnsi="Arial" w:cs="Arial"/>
              </w:rPr>
            </w:pPr>
            <w:r w:rsidRPr="00F65549">
              <w:rPr>
                <w:rFonts w:ascii="Arial" w:hAnsi="Arial" w:cs="Arial"/>
              </w:rPr>
              <w:tab/>
              <w:t>(d)</w:t>
            </w:r>
            <w:r w:rsidRPr="00F65549">
              <w:rPr>
                <w:rFonts w:ascii="Arial" w:hAnsi="Arial" w:cs="Arial"/>
              </w:rPr>
              <w:tab/>
              <w:t xml:space="preserve">where the charge is one of dealing in or possessing a prohibited drug the </w:t>
            </w:r>
            <w:r w:rsidRPr="00F65549">
              <w:rPr>
                <w:rFonts w:ascii="Arial" w:hAnsi="Arial" w:cs="Arial"/>
                <w:u w:val="single"/>
              </w:rPr>
              <w:t>State should be in a position to produce an analyst's certificate and the accused should</w:t>
            </w:r>
            <w:r>
              <w:rPr>
                <w:rFonts w:ascii="Arial" w:hAnsi="Arial" w:cs="Arial"/>
                <w:u w:val="single"/>
              </w:rPr>
              <w:t xml:space="preserve"> be given the opportunity of </w:t>
            </w:r>
            <w:r w:rsidRPr="00F65549">
              <w:rPr>
                <w:rFonts w:ascii="Arial" w:hAnsi="Arial" w:cs="Arial"/>
                <w:u w:val="single"/>
              </w:rPr>
              <w:t xml:space="preserve"> examining such certificate</w:t>
            </w:r>
            <w:r w:rsidRPr="00F65549">
              <w:rPr>
                <w:rFonts w:ascii="Arial" w:hAnsi="Arial" w:cs="Arial"/>
              </w:rPr>
              <w:t>;</w:t>
            </w:r>
          </w:p>
          <w:p w:rsidR="00283F77" w:rsidRDefault="00283F77" w:rsidP="00F65549">
            <w:pPr>
              <w:spacing w:line="360" w:lineRule="auto"/>
              <w:ind w:left="1296" w:right="459"/>
              <w:jc w:val="both"/>
              <w:rPr>
                <w:rFonts w:ascii="Arial" w:hAnsi="Arial" w:cs="Arial"/>
              </w:rPr>
            </w:pPr>
          </w:p>
          <w:p w:rsidR="00F65549" w:rsidRPr="00F65549" w:rsidRDefault="00F65549" w:rsidP="00BD171B">
            <w:pPr>
              <w:spacing w:line="360" w:lineRule="auto"/>
              <w:ind w:left="1296" w:right="1309"/>
              <w:jc w:val="both"/>
              <w:rPr>
                <w:rFonts w:ascii="Arial" w:hAnsi="Arial" w:cs="Arial"/>
              </w:rPr>
            </w:pPr>
            <w:r w:rsidRPr="00F65549">
              <w:rPr>
                <w:rFonts w:ascii="Arial" w:hAnsi="Arial" w:cs="Arial"/>
              </w:rPr>
              <w:t>(e)</w:t>
            </w:r>
            <w:r w:rsidRPr="00F65549">
              <w:rPr>
                <w:rFonts w:ascii="Arial" w:hAnsi="Arial" w:cs="Arial"/>
              </w:rPr>
              <w:tab/>
              <w:t>where the charge is one of dealing in or possessing dagga the State should be in a position to prove by any acceptable means that the substance in question is dagga; and</w:t>
            </w:r>
          </w:p>
          <w:p w:rsidR="00F65549" w:rsidRPr="00F65549" w:rsidRDefault="00F65549" w:rsidP="00BD171B">
            <w:pPr>
              <w:spacing w:line="360" w:lineRule="auto"/>
              <w:ind w:left="1296" w:right="1309" w:hanging="729"/>
              <w:jc w:val="both"/>
              <w:rPr>
                <w:rFonts w:ascii="Arial" w:hAnsi="Arial" w:cs="Arial"/>
              </w:rPr>
            </w:pPr>
            <w:r w:rsidRPr="00F65549">
              <w:rPr>
                <w:rFonts w:ascii="Arial" w:hAnsi="Arial" w:cs="Arial"/>
              </w:rPr>
              <w:tab/>
              <w:t>(f)</w:t>
            </w:r>
            <w:r w:rsidRPr="00F65549">
              <w:rPr>
                <w:rFonts w:ascii="Arial" w:hAnsi="Arial" w:cs="Arial"/>
              </w:rPr>
              <w:tab/>
            </w:r>
            <w:r w:rsidRPr="00F65549">
              <w:rPr>
                <w:rFonts w:ascii="Arial" w:hAnsi="Arial" w:cs="Arial"/>
                <w:u w:val="single"/>
              </w:rPr>
              <w:t>where the admission is made by the accused's legal representative more weight can usually be attached to such an admission</w:t>
            </w:r>
            <w:r w:rsidRPr="00F65549">
              <w:rPr>
                <w:rFonts w:ascii="Arial" w:hAnsi="Arial" w:cs="Arial"/>
              </w:rPr>
              <w:t xml:space="preserve"> and normally the court would be justified in accepting that the legal representative has satisfied himself that the admission can properly be made.’</w:t>
            </w:r>
            <w:r>
              <w:rPr>
                <w:rFonts w:ascii="Arial" w:hAnsi="Arial" w:cs="Arial"/>
              </w:rPr>
              <w:t xml:space="preserve"> </w:t>
            </w:r>
            <w:r>
              <w:rPr>
                <w:rStyle w:val="FootnoteReference"/>
                <w:rFonts w:ascii="Arial" w:hAnsi="Arial" w:cs="Arial"/>
              </w:rPr>
              <w:footnoteReference w:id="6"/>
            </w:r>
          </w:p>
          <w:p w:rsidR="00377217" w:rsidRDefault="00945F40" w:rsidP="000567E0">
            <w:pPr>
              <w:spacing w:line="360" w:lineRule="auto"/>
              <w:ind w:left="1296"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F65549">
              <w:rPr>
                <w:rFonts w:ascii="Arial" w:eastAsia="Times New Roman" w:hAnsi="Arial" w:cs="Arial"/>
                <w:sz w:val="24"/>
                <w:szCs w:val="24"/>
                <w:lang w:val="en-GB" w:eastAsia="en-GB"/>
              </w:rPr>
              <w:t>Emphasis</w:t>
            </w:r>
            <w:r>
              <w:rPr>
                <w:rFonts w:ascii="Arial" w:eastAsia="Times New Roman" w:hAnsi="Arial" w:cs="Arial"/>
                <w:sz w:val="24"/>
                <w:szCs w:val="24"/>
                <w:lang w:val="en-GB" w:eastAsia="en-GB"/>
              </w:rPr>
              <w:t xml:space="preserve"> provided</w:t>
            </w:r>
            <w:r w:rsidR="00F65549">
              <w:rPr>
                <w:rFonts w:ascii="Arial" w:eastAsia="Times New Roman" w:hAnsi="Arial" w:cs="Arial"/>
                <w:sz w:val="24"/>
                <w:szCs w:val="24"/>
                <w:lang w:val="en-GB" w:eastAsia="en-GB"/>
              </w:rPr>
              <w:t>)</w:t>
            </w:r>
          </w:p>
          <w:p w:rsidR="000567E0" w:rsidRPr="00664D21" w:rsidRDefault="000567E0" w:rsidP="000567E0">
            <w:pPr>
              <w:spacing w:line="360" w:lineRule="auto"/>
              <w:ind w:left="1296" w:right="459"/>
              <w:jc w:val="both"/>
              <w:rPr>
                <w:rFonts w:ascii="Arial" w:eastAsia="Times New Roman" w:hAnsi="Arial" w:cs="Arial"/>
                <w:sz w:val="24"/>
                <w:szCs w:val="24"/>
                <w:lang w:val="en-GB" w:eastAsia="en-GB"/>
              </w:rPr>
            </w:pPr>
          </w:p>
          <w:p w:rsidR="00BD171B" w:rsidRDefault="000567E0" w:rsidP="002C1F46">
            <w:pPr>
              <w:pStyle w:val="ListParagraph"/>
              <w:numPr>
                <w:ilvl w:val="0"/>
                <w:numId w:val="25"/>
              </w:numPr>
              <w:spacing w:line="360" w:lineRule="auto"/>
              <w:ind w:left="304" w:right="317" w:firstLine="0"/>
              <w:jc w:val="both"/>
              <w:rPr>
                <w:rFonts w:ascii="Arial" w:hAnsi="Arial" w:cs="Arial"/>
                <w:sz w:val="24"/>
                <w:szCs w:val="24"/>
              </w:rPr>
            </w:pPr>
            <w:r>
              <w:rPr>
                <w:rFonts w:ascii="Arial" w:hAnsi="Arial" w:cs="Arial"/>
                <w:sz w:val="24"/>
                <w:szCs w:val="24"/>
              </w:rPr>
              <w:t xml:space="preserve">    </w:t>
            </w:r>
            <w:r w:rsidR="000D7626" w:rsidRPr="000567E0">
              <w:rPr>
                <w:rFonts w:ascii="Arial" w:hAnsi="Arial" w:cs="Arial"/>
                <w:sz w:val="24"/>
                <w:szCs w:val="24"/>
              </w:rPr>
              <w:t>When applying the abovementioned princ</w:t>
            </w:r>
            <w:r>
              <w:rPr>
                <w:rFonts w:ascii="Arial" w:hAnsi="Arial" w:cs="Arial"/>
                <w:sz w:val="24"/>
                <w:szCs w:val="24"/>
              </w:rPr>
              <w:t>ip</w:t>
            </w:r>
            <w:r w:rsidR="00BD171B">
              <w:rPr>
                <w:rFonts w:ascii="Arial" w:hAnsi="Arial" w:cs="Arial"/>
                <w:sz w:val="24"/>
                <w:szCs w:val="24"/>
              </w:rPr>
              <w:t>les to the facts of this case, t</w:t>
            </w:r>
            <w:r w:rsidR="000D7626" w:rsidRPr="000567E0">
              <w:rPr>
                <w:rFonts w:ascii="Arial" w:hAnsi="Arial" w:cs="Arial"/>
                <w:sz w:val="24"/>
                <w:szCs w:val="24"/>
              </w:rPr>
              <w:t>he magistrate</w:t>
            </w:r>
            <w:r w:rsidR="00BD171B">
              <w:rPr>
                <w:rFonts w:ascii="Arial" w:hAnsi="Arial" w:cs="Arial"/>
                <w:sz w:val="24"/>
                <w:szCs w:val="24"/>
              </w:rPr>
              <w:t>, in respect of both counts,</w:t>
            </w:r>
            <w:r w:rsidR="000D7626" w:rsidRPr="000567E0">
              <w:rPr>
                <w:rFonts w:ascii="Arial" w:hAnsi="Arial" w:cs="Arial"/>
                <w:sz w:val="24"/>
                <w:szCs w:val="24"/>
              </w:rPr>
              <w:t xml:space="preserve"> did not</w:t>
            </w:r>
            <w:r w:rsidR="00A10B44">
              <w:rPr>
                <w:rFonts w:ascii="Arial" w:hAnsi="Arial" w:cs="Arial"/>
                <w:sz w:val="24"/>
                <w:szCs w:val="24"/>
              </w:rPr>
              <w:t xml:space="preserve"> </w:t>
            </w:r>
            <w:r w:rsidR="000D7626" w:rsidRPr="000567E0">
              <w:rPr>
                <w:rFonts w:ascii="Arial" w:hAnsi="Arial" w:cs="Arial"/>
                <w:sz w:val="24"/>
                <w:szCs w:val="24"/>
              </w:rPr>
              <w:t xml:space="preserve">put questions to the </w:t>
            </w:r>
            <w:r>
              <w:rPr>
                <w:rFonts w:ascii="Arial" w:hAnsi="Arial" w:cs="Arial"/>
                <w:sz w:val="24"/>
                <w:szCs w:val="24"/>
              </w:rPr>
              <w:t xml:space="preserve">unrepresented </w:t>
            </w:r>
            <w:r w:rsidR="000D7626" w:rsidRPr="000567E0">
              <w:rPr>
                <w:rFonts w:ascii="Arial" w:hAnsi="Arial" w:cs="Arial"/>
                <w:sz w:val="24"/>
                <w:szCs w:val="24"/>
              </w:rPr>
              <w:t>accused to ascertain the reliability of the admission</w:t>
            </w:r>
            <w:r w:rsidR="00785116">
              <w:rPr>
                <w:rFonts w:ascii="Arial" w:hAnsi="Arial" w:cs="Arial"/>
                <w:sz w:val="24"/>
                <w:szCs w:val="24"/>
              </w:rPr>
              <w:t>s</w:t>
            </w:r>
            <w:r w:rsidR="000D7626" w:rsidRPr="000567E0">
              <w:rPr>
                <w:rFonts w:ascii="Arial" w:hAnsi="Arial" w:cs="Arial"/>
                <w:sz w:val="24"/>
                <w:szCs w:val="24"/>
              </w:rPr>
              <w:t xml:space="preserve"> </w:t>
            </w:r>
            <w:r>
              <w:rPr>
                <w:rFonts w:ascii="Arial" w:hAnsi="Arial" w:cs="Arial"/>
                <w:sz w:val="24"/>
                <w:szCs w:val="24"/>
              </w:rPr>
              <w:t xml:space="preserve">made </w:t>
            </w:r>
            <w:r w:rsidR="00BD171B">
              <w:rPr>
                <w:rFonts w:ascii="Arial" w:hAnsi="Arial" w:cs="Arial"/>
                <w:sz w:val="24"/>
                <w:szCs w:val="24"/>
              </w:rPr>
              <w:t>as regards the substances dealt in. Th</w:t>
            </w:r>
            <w:r w:rsidR="000D7626" w:rsidRPr="000567E0">
              <w:rPr>
                <w:rFonts w:ascii="Arial" w:hAnsi="Arial" w:cs="Arial"/>
                <w:sz w:val="24"/>
                <w:szCs w:val="24"/>
              </w:rPr>
              <w:t xml:space="preserve">us </w:t>
            </w:r>
            <w:r>
              <w:rPr>
                <w:rFonts w:ascii="Arial" w:hAnsi="Arial" w:cs="Arial"/>
                <w:sz w:val="24"/>
                <w:szCs w:val="24"/>
              </w:rPr>
              <w:t xml:space="preserve">the court </w:t>
            </w:r>
            <w:r w:rsidR="00BD171B">
              <w:rPr>
                <w:rFonts w:ascii="Arial" w:hAnsi="Arial" w:cs="Arial"/>
                <w:sz w:val="24"/>
                <w:szCs w:val="24"/>
              </w:rPr>
              <w:t>could not</w:t>
            </w:r>
            <w:r w:rsidR="000D7626" w:rsidRPr="000567E0">
              <w:rPr>
                <w:rFonts w:ascii="Arial" w:hAnsi="Arial" w:cs="Arial"/>
                <w:sz w:val="24"/>
                <w:szCs w:val="24"/>
              </w:rPr>
              <w:t xml:space="preserve"> have </w:t>
            </w:r>
            <w:r>
              <w:rPr>
                <w:rFonts w:ascii="Arial" w:hAnsi="Arial" w:cs="Arial"/>
                <w:sz w:val="24"/>
                <w:szCs w:val="24"/>
              </w:rPr>
              <w:t>satisfied itself</w:t>
            </w:r>
            <w:r w:rsidRPr="000567E0">
              <w:rPr>
                <w:rFonts w:ascii="Arial" w:hAnsi="Arial" w:cs="Arial"/>
                <w:sz w:val="24"/>
                <w:szCs w:val="24"/>
              </w:rPr>
              <w:t xml:space="preserve"> thereto </w:t>
            </w:r>
            <w:r w:rsidR="000D7626" w:rsidRPr="000567E0">
              <w:rPr>
                <w:rFonts w:ascii="Arial" w:hAnsi="Arial" w:cs="Arial"/>
                <w:sz w:val="24"/>
                <w:szCs w:val="24"/>
              </w:rPr>
              <w:t>judiciously</w:t>
            </w:r>
            <w:r w:rsidRPr="000567E0">
              <w:rPr>
                <w:rFonts w:ascii="Arial" w:hAnsi="Arial" w:cs="Arial"/>
                <w:sz w:val="24"/>
                <w:szCs w:val="24"/>
              </w:rPr>
              <w:t>.</w:t>
            </w:r>
            <w:r w:rsidR="006279D2">
              <w:rPr>
                <w:rFonts w:ascii="Arial" w:hAnsi="Arial" w:cs="Arial"/>
                <w:sz w:val="24"/>
                <w:szCs w:val="24"/>
              </w:rPr>
              <w:t xml:space="preserve"> It was</w:t>
            </w:r>
            <w:r w:rsidR="002C1F46">
              <w:rPr>
                <w:rFonts w:ascii="Arial" w:hAnsi="Arial" w:cs="Arial"/>
                <w:sz w:val="24"/>
                <w:szCs w:val="24"/>
              </w:rPr>
              <w:t xml:space="preserve"> incumbent on the magistrate to</w:t>
            </w:r>
            <w:r w:rsidR="00945F40">
              <w:rPr>
                <w:rFonts w:ascii="Arial" w:hAnsi="Arial" w:cs="Arial"/>
                <w:sz w:val="24"/>
                <w:szCs w:val="24"/>
              </w:rPr>
              <w:t>,</w:t>
            </w:r>
            <w:r w:rsidR="006279D2">
              <w:rPr>
                <w:rFonts w:ascii="Arial" w:hAnsi="Arial" w:cs="Arial"/>
                <w:sz w:val="24"/>
                <w:szCs w:val="24"/>
              </w:rPr>
              <w:t xml:space="preserve"> at the very least</w:t>
            </w:r>
            <w:r w:rsidR="002C1F46">
              <w:rPr>
                <w:rFonts w:ascii="Arial" w:hAnsi="Arial" w:cs="Arial"/>
                <w:sz w:val="24"/>
                <w:szCs w:val="24"/>
              </w:rPr>
              <w:t>,</w:t>
            </w:r>
            <w:r w:rsidR="006279D2">
              <w:rPr>
                <w:rFonts w:ascii="Arial" w:hAnsi="Arial" w:cs="Arial"/>
                <w:sz w:val="24"/>
                <w:szCs w:val="24"/>
              </w:rPr>
              <w:t xml:space="preserve"> have asked the accused person</w:t>
            </w:r>
            <w:r w:rsidR="002C1F46">
              <w:rPr>
                <w:rFonts w:ascii="Arial" w:hAnsi="Arial" w:cs="Arial"/>
                <w:sz w:val="24"/>
                <w:szCs w:val="24"/>
              </w:rPr>
              <w:t xml:space="preserve"> how he came to know that the substances </w:t>
            </w:r>
            <w:r w:rsidR="00BD171B">
              <w:rPr>
                <w:rFonts w:ascii="Arial" w:hAnsi="Arial" w:cs="Arial"/>
                <w:sz w:val="24"/>
                <w:szCs w:val="24"/>
              </w:rPr>
              <w:t>which he</w:t>
            </w:r>
            <w:r w:rsidR="002C1F46">
              <w:rPr>
                <w:rFonts w:ascii="Arial" w:hAnsi="Arial" w:cs="Arial"/>
                <w:sz w:val="24"/>
                <w:szCs w:val="24"/>
              </w:rPr>
              <w:t xml:space="preserve"> </w:t>
            </w:r>
            <w:r w:rsidR="00BD171B">
              <w:rPr>
                <w:rFonts w:ascii="Arial" w:hAnsi="Arial" w:cs="Arial"/>
                <w:sz w:val="24"/>
                <w:szCs w:val="24"/>
              </w:rPr>
              <w:t>dealt</w:t>
            </w:r>
            <w:r w:rsidR="002C1F46">
              <w:rPr>
                <w:rFonts w:ascii="Arial" w:hAnsi="Arial" w:cs="Arial"/>
                <w:sz w:val="24"/>
                <w:szCs w:val="24"/>
              </w:rPr>
              <w:t xml:space="preserve"> in was cocaine/dagga and further </w:t>
            </w:r>
          </w:p>
          <w:p w:rsidR="00BD171B" w:rsidRDefault="00BD171B" w:rsidP="00BD171B">
            <w:pPr>
              <w:pStyle w:val="ListParagraph"/>
              <w:spacing w:line="360" w:lineRule="auto"/>
              <w:ind w:left="304" w:right="317"/>
              <w:jc w:val="both"/>
              <w:rPr>
                <w:rFonts w:ascii="Arial" w:hAnsi="Arial" w:cs="Arial"/>
                <w:sz w:val="24"/>
                <w:szCs w:val="24"/>
              </w:rPr>
            </w:pPr>
          </w:p>
          <w:p w:rsidR="00ED7342" w:rsidRPr="00973505" w:rsidRDefault="002C1F46" w:rsidP="00973505">
            <w:pPr>
              <w:pStyle w:val="ListParagraph"/>
              <w:spacing w:line="360" w:lineRule="auto"/>
              <w:ind w:left="304" w:right="317"/>
              <w:jc w:val="both"/>
              <w:rPr>
                <w:rFonts w:ascii="Arial" w:hAnsi="Arial" w:cs="Arial"/>
                <w:sz w:val="24"/>
                <w:szCs w:val="24"/>
              </w:rPr>
            </w:pPr>
            <w:proofErr w:type="gramStart"/>
            <w:r>
              <w:rPr>
                <w:rFonts w:ascii="Arial" w:hAnsi="Arial" w:cs="Arial"/>
                <w:sz w:val="24"/>
                <w:szCs w:val="24"/>
              </w:rPr>
              <w:t>enquire</w:t>
            </w:r>
            <w:proofErr w:type="gramEnd"/>
            <w:r>
              <w:rPr>
                <w:rFonts w:ascii="Arial" w:hAnsi="Arial" w:cs="Arial"/>
                <w:sz w:val="24"/>
                <w:szCs w:val="24"/>
              </w:rPr>
              <w:t xml:space="preserve"> whether in respect of the cocaine, he knew the percentage of the cocaine alkaloid. </w:t>
            </w:r>
            <w:r w:rsidR="000567E0" w:rsidRPr="000567E0">
              <w:rPr>
                <w:rFonts w:ascii="Arial" w:hAnsi="Arial" w:cs="Arial"/>
                <w:sz w:val="24"/>
                <w:szCs w:val="24"/>
              </w:rPr>
              <w:t>Moreover, the magistrate did not invite the state to pres</w:t>
            </w:r>
            <w:r>
              <w:rPr>
                <w:rFonts w:ascii="Arial" w:hAnsi="Arial" w:cs="Arial"/>
                <w:sz w:val="24"/>
                <w:szCs w:val="24"/>
              </w:rPr>
              <w:t xml:space="preserve">ent evidence on that aspect, </w:t>
            </w:r>
            <w:r w:rsidR="000567E0" w:rsidRPr="000567E0">
              <w:rPr>
                <w:rFonts w:ascii="Arial" w:hAnsi="Arial" w:cs="Arial"/>
                <w:sz w:val="24"/>
                <w:szCs w:val="24"/>
              </w:rPr>
              <w:t>result</w:t>
            </w:r>
            <w:r>
              <w:rPr>
                <w:rFonts w:ascii="Arial" w:hAnsi="Arial" w:cs="Arial"/>
                <w:sz w:val="24"/>
                <w:szCs w:val="24"/>
              </w:rPr>
              <w:t xml:space="preserve">ing in </w:t>
            </w:r>
            <w:r w:rsidR="00425D66">
              <w:rPr>
                <w:rFonts w:ascii="Arial" w:hAnsi="Arial" w:cs="Arial"/>
                <w:sz w:val="24"/>
                <w:szCs w:val="24"/>
              </w:rPr>
              <w:t xml:space="preserve">the </w:t>
            </w:r>
            <w:r>
              <w:rPr>
                <w:rFonts w:ascii="Arial" w:hAnsi="Arial" w:cs="Arial"/>
                <w:sz w:val="24"/>
                <w:szCs w:val="24"/>
              </w:rPr>
              <w:t>accused being deprived of the</w:t>
            </w:r>
            <w:r w:rsidR="000567E0" w:rsidRPr="000567E0">
              <w:rPr>
                <w:rFonts w:ascii="Arial" w:hAnsi="Arial" w:cs="Arial"/>
                <w:sz w:val="24"/>
                <w:szCs w:val="24"/>
              </w:rPr>
              <w:t xml:space="preserve"> opportunity to examine same. Justice, in this regard will dictate that when an accused </w:t>
            </w:r>
            <w:r w:rsidR="000567E0" w:rsidRPr="002C1F46">
              <w:rPr>
                <w:rFonts w:ascii="Arial" w:hAnsi="Arial" w:cs="Arial"/>
                <w:sz w:val="24"/>
                <w:szCs w:val="24"/>
              </w:rPr>
              <w:t xml:space="preserve">is charged with a drug offence under the Act </w:t>
            </w:r>
            <w:r>
              <w:rPr>
                <w:rFonts w:ascii="Arial" w:hAnsi="Arial" w:cs="Arial"/>
                <w:sz w:val="24"/>
                <w:szCs w:val="24"/>
              </w:rPr>
              <w:t>involving</w:t>
            </w:r>
            <w:r w:rsidR="000567E0" w:rsidRPr="002C1F46">
              <w:rPr>
                <w:rFonts w:ascii="Arial" w:hAnsi="Arial" w:cs="Arial"/>
                <w:sz w:val="24"/>
                <w:szCs w:val="24"/>
              </w:rPr>
              <w:t xml:space="preserve"> a prohibited substance which can only be proven </w:t>
            </w:r>
            <w:r>
              <w:rPr>
                <w:rFonts w:ascii="Arial" w:hAnsi="Arial" w:cs="Arial"/>
                <w:sz w:val="24"/>
                <w:szCs w:val="24"/>
              </w:rPr>
              <w:t xml:space="preserve">by scientific evidence </w:t>
            </w:r>
            <w:r w:rsidR="000567E0" w:rsidRPr="002C1F46">
              <w:rPr>
                <w:rFonts w:ascii="Arial" w:hAnsi="Arial" w:cs="Arial"/>
                <w:sz w:val="24"/>
                <w:szCs w:val="24"/>
              </w:rPr>
              <w:t xml:space="preserve">or </w:t>
            </w:r>
            <w:r w:rsidR="000567E0" w:rsidRPr="00973505">
              <w:rPr>
                <w:rFonts w:ascii="Arial" w:hAnsi="Arial" w:cs="Arial"/>
                <w:sz w:val="24"/>
                <w:szCs w:val="24"/>
              </w:rPr>
              <w:t>by other acceptable means, such evidence must be disclosed to the accused and placed on record for the court to judiciously satisfy itself that the substance so possessed or dealt in, is indeed a prohibited substance in the Act.</w:t>
            </w:r>
          </w:p>
          <w:p w:rsidR="00ED7342" w:rsidRPr="00ED7342" w:rsidRDefault="00ED7342" w:rsidP="00ED7342">
            <w:pPr>
              <w:spacing w:line="360" w:lineRule="auto"/>
              <w:ind w:right="317"/>
              <w:jc w:val="both"/>
              <w:rPr>
                <w:rFonts w:ascii="Arial" w:hAnsi="Arial" w:cs="Arial"/>
                <w:sz w:val="24"/>
                <w:szCs w:val="24"/>
              </w:rPr>
            </w:pPr>
          </w:p>
          <w:p w:rsidR="00ED7342" w:rsidRPr="00ED7342" w:rsidRDefault="000567E0" w:rsidP="00ED7342">
            <w:pPr>
              <w:pStyle w:val="ListParagraph"/>
              <w:numPr>
                <w:ilvl w:val="0"/>
                <w:numId w:val="25"/>
              </w:numPr>
              <w:spacing w:line="360" w:lineRule="auto"/>
              <w:ind w:left="304" w:right="317" w:firstLine="0"/>
              <w:jc w:val="both"/>
              <w:rPr>
                <w:rFonts w:ascii="Arial" w:hAnsi="Arial" w:cs="Arial"/>
                <w:sz w:val="24"/>
                <w:szCs w:val="24"/>
              </w:rPr>
            </w:pPr>
            <w:r w:rsidRPr="002C1F46">
              <w:rPr>
                <w:rFonts w:ascii="Arial" w:hAnsi="Arial" w:cs="Arial"/>
                <w:sz w:val="24"/>
                <w:szCs w:val="24"/>
              </w:rPr>
              <w:t xml:space="preserve"> </w:t>
            </w:r>
            <w:r w:rsidR="00ED7342">
              <w:rPr>
                <w:rFonts w:ascii="Arial" w:hAnsi="Arial" w:cs="Arial"/>
                <w:sz w:val="24"/>
                <w:szCs w:val="24"/>
              </w:rPr>
              <w:t xml:space="preserve">   </w:t>
            </w:r>
            <w:r w:rsidR="003903E0" w:rsidRPr="00ED7342">
              <w:rPr>
                <w:rFonts w:ascii="Arial" w:hAnsi="Arial" w:cs="Arial"/>
                <w:sz w:val="24"/>
                <w:szCs w:val="24"/>
              </w:rPr>
              <w:t xml:space="preserve">The accused </w:t>
            </w:r>
            <w:r w:rsidR="00BD171B">
              <w:rPr>
                <w:rFonts w:ascii="Arial" w:hAnsi="Arial" w:cs="Arial"/>
                <w:sz w:val="24"/>
                <w:szCs w:val="24"/>
              </w:rPr>
              <w:t>only at sentencing testified</w:t>
            </w:r>
            <w:r w:rsidR="00973505">
              <w:rPr>
                <w:rFonts w:ascii="Arial" w:hAnsi="Arial" w:cs="Arial"/>
                <w:sz w:val="24"/>
                <w:szCs w:val="24"/>
              </w:rPr>
              <w:t xml:space="preserve"> that</w:t>
            </w:r>
            <w:r w:rsidR="00ED7342" w:rsidRPr="00ED7342">
              <w:rPr>
                <w:rFonts w:ascii="Arial" w:hAnsi="Arial" w:cs="Arial"/>
                <w:sz w:val="24"/>
                <w:szCs w:val="24"/>
              </w:rPr>
              <w:t xml:space="preserve"> </w:t>
            </w:r>
            <w:r w:rsidR="00425D66">
              <w:rPr>
                <w:rFonts w:ascii="Arial" w:hAnsi="Arial" w:cs="Arial"/>
                <w:sz w:val="24"/>
                <w:szCs w:val="24"/>
              </w:rPr>
              <w:t>he</w:t>
            </w:r>
            <w:r w:rsidR="00ED7342" w:rsidRPr="00ED7342">
              <w:rPr>
                <w:rFonts w:ascii="Arial" w:hAnsi="Arial" w:cs="Arial"/>
                <w:sz w:val="24"/>
                <w:szCs w:val="24"/>
              </w:rPr>
              <w:t xml:space="preserve"> used to smoke cannabis and that he did not know that cocaine was dangerous because he didn’t have experience with it. Notwithstanding the above averments, justice demands that the court cannot have regard thereto in order to vitiat</w:t>
            </w:r>
            <w:r w:rsidR="008124BD">
              <w:rPr>
                <w:rFonts w:ascii="Arial" w:hAnsi="Arial" w:cs="Arial"/>
                <w:sz w:val="24"/>
                <w:szCs w:val="24"/>
              </w:rPr>
              <w:t>e a tainted and irregular s 112</w:t>
            </w:r>
            <w:r w:rsidR="00ED7342" w:rsidRPr="00ED7342">
              <w:rPr>
                <w:rFonts w:ascii="Arial" w:hAnsi="Arial" w:cs="Arial"/>
                <w:sz w:val="24"/>
                <w:szCs w:val="24"/>
              </w:rPr>
              <w:t xml:space="preserve">(1) </w:t>
            </w:r>
            <w:r w:rsidR="00ED7342" w:rsidRPr="00945F40">
              <w:rPr>
                <w:rFonts w:ascii="Arial" w:hAnsi="Arial" w:cs="Arial"/>
                <w:i/>
                <w:sz w:val="24"/>
                <w:szCs w:val="24"/>
              </w:rPr>
              <w:t>(b)</w:t>
            </w:r>
            <w:r w:rsidR="00ED7342" w:rsidRPr="00ED7342">
              <w:rPr>
                <w:rFonts w:ascii="Arial" w:hAnsi="Arial" w:cs="Arial"/>
                <w:sz w:val="24"/>
                <w:szCs w:val="24"/>
              </w:rPr>
              <w:t xml:space="preserve"> procedure. Therefore, the conviction</w:t>
            </w:r>
            <w:r w:rsidR="00ED7342">
              <w:rPr>
                <w:rFonts w:ascii="Arial" w:hAnsi="Arial" w:cs="Arial"/>
                <w:sz w:val="24"/>
                <w:szCs w:val="24"/>
              </w:rPr>
              <w:t>s</w:t>
            </w:r>
            <w:r w:rsidR="00ED7342" w:rsidRPr="00ED7342">
              <w:rPr>
                <w:rFonts w:ascii="Arial" w:hAnsi="Arial" w:cs="Arial"/>
                <w:sz w:val="24"/>
                <w:szCs w:val="24"/>
              </w:rPr>
              <w:t xml:space="preserve"> cannot be allowed to stand. </w:t>
            </w:r>
          </w:p>
          <w:p w:rsidR="00ED7342" w:rsidRPr="00ED7342" w:rsidRDefault="00ED7342" w:rsidP="00283F77">
            <w:pPr>
              <w:spacing w:line="360" w:lineRule="auto"/>
              <w:ind w:right="317"/>
              <w:jc w:val="both"/>
              <w:rPr>
                <w:rFonts w:ascii="Arial" w:hAnsi="Arial" w:cs="Arial"/>
                <w:sz w:val="24"/>
                <w:szCs w:val="24"/>
              </w:rPr>
            </w:pPr>
          </w:p>
          <w:p w:rsidR="003C3D85" w:rsidRPr="00973505" w:rsidRDefault="00ED7342" w:rsidP="003C3D85">
            <w:pPr>
              <w:pStyle w:val="ListParagraph"/>
              <w:numPr>
                <w:ilvl w:val="0"/>
                <w:numId w:val="25"/>
              </w:numPr>
              <w:spacing w:line="360" w:lineRule="auto"/>
              <w:ind w:left="304" w:right="317" w:firstLine="0"/>
              <w:jc w:val="both"/>
              <w:rPr>
                <w:rFonts w:ascii="Arial" w:hAnsi="Arial" w:cs="Arial"/>
                <w:sz w:val="24"/>
                <w:szCs w:val="24"/>
              </w:rPr>
            </w:pPr>
            <w:r>
              <w:rPr>
                <w:rFonts w:ascii="Arial" w:hAnsi="Arial" w:cs="Arial"/>
                <w:sz w:val="24"/>
                <w:szCs w:val="24"/>
              </w:rPr>
              <w:t xml:space="preserve">    </w:t>
            </w:r>
            <w:r w:rsidR="00B070BA" w:rsidRPr="00ED7342">
              <w:rPr>
                <w:rFonts w:ascii="Arial" w:hAnsi="Arial" w:cs="Arial"/>
                <w:sz w:val="24"/>
                <w:szCs w:val="24"/>
              </w:rPr>
              <w:t>In the result, the following order is made:</w:t>
            </w:r>
          </w:p>
          <w:p w:rsidR="00973505" w:rsidRPr="00973505" w:rsidRDefault="00973505" w:rsidP="00E17112">
            <w:pPr>
              <w:spacing w:line="360" w:lineRule="auto"/>
              <w:jc w:val="both"/>
              <w:rPr>
                <w:rFonts w:ascii="Palatino Linotype" w:hAnsi="Palatino Linotype"/>
              </w:rPr>
            </w:pPr>
          </w:p>
          <w:p w:rsidR="00973505" w:rsidRDefault="00973505" w:rsidP="00E17112">
            <w:pPr>
              <w:pStyle w:val="ListParagraph"/>
              <w:numPr>
                <w:ilvl w:val="0"/>
                <w:numId w:val="37"/>
              </w:numPr>
              <w:spacing w:line="360" w:lineRule="auto"/>
              <w:ind w:left="1440" w:right="318"/>
              <w:jc w:val="both"/>
              <w:rPr>
                <w:rFonts w:ascii="Arial" w:hAnsi="Arial" w:cs="Arial"/>
                <w:sz w:val="24"/>
                <w:szCs w:val="24"/>
                <w:lang w:val="en-US"/>
              </w:rPr>
            </w:pPr>
            <w:r w:rsidRPr="00973505">
              <w:rPr>
                <w:rFonts w:ascii="Arial" w:hAnsi="Arial" w:cs="Arial"/>
                <w:sz w:val="24"/>
                <w:szCs w:val="24"/>
                <w:lang w:val="en-US"/>
              </w:rPr>
              <w:t>The convictions and sentences</w:t>
            </w:r>
            <w:r w:rsidR="00945F40">
              <w:rPr>
                <w:rFonts w:ascii="Arial" w:hAnsi="Arial" w:cs="Arial"/>
                <w:sz w:val="24"/>
                <w:szCs w:val="24"/>
                <w:lang w:val="en-US"/>
              </w:rPr>
              <w:t xml:space="preserve"> on counts 1 and 2</w:t>
            </w:r>
            <w:r w:rsidRPr="00973505">
              <w:rPr>
                <w:rFonts w:ascii="Arial" w:hAnsi="Arial" w:cs="Arial"/>
                <w:sz w:val="24"/>
                <w:szCs w:val="24"/>
                <w:lang w:val="en-US"/>
              </w:rPr>
              <w:t xml:space="preserve"> are set aside.</w:t>
            </w:r>
          </w:p>
          <w:p w:rsidR="00E17112" w:rsidRPr="00E17112" w:rsidRDefault="00E17112" w:rsidP="00E17112">
            <w:pPr>
              <w:pStyle w:val="ListParagraph"/>
              <w:spacing w:line="360" w:lineRule="auto"/>
              <w:ind w:left="1440" w:right="318"/>
              <w:jc w:val="both"/>
              <w:rPr>
                <w:rFonts w:ascii="Arial" w:hAnsi="Arial" w:cs="Arial"/>
                <w:sz w:val="24"/>
                <w:szCs w:val="24"/>
                <w:lang w:val="en-US"/>
              </w:rPr>
            </w:pPr>
          </w:p>
          <w:p w:rsidR="00E17112" w:rsidRPr="00E17112" w:rsidRDefault="00973505" w:rsidP="00E17112">
            <w:pPr>
              <w:pStyle w:val="ListParagraph"/>
              <w:numPr>
                <w:ilvl w:val="0"/>
                <w:numId w:val="37"/>
              </w:numPr>
              <w:spacing w:line="360" w:lineRule="auto"/>
              <w:ind w:left="1440" w:right="318"/>
              <w:jc w:val="both"/>
              <w:rPr>
                <w:rFonts w:ascii="Arial" w:hAnsi="Arial" w:cs="Arial"/>
                <w:sz w:val="24"/>
                <w:szCs w:val="24"/>
                <w:shd w:val="clear" w:color="auto" w:fill="FFFFFF"/>
                <w:lang w:val="en-US"/>
              </w:rPr>
            </w:pPr>
            <w:r w:rsidRPr="00973505">
              <w:rPr>
                <w:rFonts w:ascii="Arial" w:hAnsi="Arial" w:cs="Arial"/>
                <w:sz w:val="24"/>
                <w:szCs w:val="24"/>
                <w:lang w:val="en-US"/>
              </w:rPr>
              <w:t xml:space="preserve">In terms of s 312 of the CPA, the accused should henceforth be brought before the trial court and the magistrate is directed to comply with the provisions of s 112 (1) (b) and </w:t>
            </w:r>
            <w:r w:rsidRPr="00973505">
              <w:rPr>
                <w:rFonts w:ascii="Arial" w:hAnsi="Arial" w:cs="Arial"/>
                <w:sz w:val="24"/>
                <w:szCs w:val="24"/>
                <w:shd w:val="clear" w:color="auto" w:fill="FFFFFF"/>
                <w:lang w:val="en-US"/>
              </w:rPr>
              <w:t>bring the matter to it natural conclusion.</w:t>
            </w:r>
            <w:r w:rsidRPr="00973505">
              <w:rPr>
                <w:rFonts w:ascii="Arial" w:eastAsia="Times New Roman" w:hAnsi="Arial" w:cs="Arial"/>
                <w:i/>
                <w:sz w:val="24"/>
                <w:szCs w:val="24"/>
                <w:lang w:val="en-GB" w:eastAsia="en-GB"/>
              </w:rPr>
              <w:t xml:space="preserve"> </w:t>
            </w:r>
          </w:p>
          <w:p w:rsidR="00E17112" w:rsidRPr="00E17112" w:rsidRDefault="00E17112" w:rsidP="00E17112">
            <w:pPr>
              <w:pStyle w:val="ListParagraph"/>
              <w:rPr>
                <w:rFonts w:ascii="Arial" w:hAnsi="Arial" w:cs="Arial"/>
                <w:sz w:val="24"/>
                <w:szCs w:val="24"/>
                <w:shd w:val="clear" w:color="auto" w:fill="FFFFFF"/>
                <w:lang w:val="en-US"/>
              </w:rPr>
            </w:pPr>
          </w:p>
          <w:p w:rsidR="00E17112" w:rsidRPr="00E17112" w:rsidRDefault="00E17112" w:rsidP="00E17112">
            <w:pPr>
              <w:pStyle w:val="ListParagraph"/>
              <w:spacing w:line="360" w:lineRule="auto"/>
              <w:ind w:left="1440" w:right="318"/>
              <w:jc w:val="both"/>
              <w:rPr>
                <w:rFonts w:ascii="Arial" w:hAnsi="Arial" w:cs="Arial"/>
                <w:sz w:val="24"/>
                <w:szCs w:val="24"/>
                <w:shd w:val="clear" w:color="auto" w:fill="FFFFFF"/>
                <w:lang w:val="en-US"/>
              </w:rPr>
            </w:pPr>
          </w:p>
          <w:p w:rsidR="00973505" w:rsidRPr="00973505" w:rsidRDefault="00973505" w:rsidP="00E17112">
            <w:pPr>
              <w:pStyle w:val="ListParagraph"/>
              <w:numPr>
                <w:ilvl w:val="0"/>
                <w:numId w:val="37"/>
              </w:numPr>
              <w:spacing w:line="360" w:lineRule="auto"/>
              <w:ind w:left="1438" w:right="317"/>
              <w:jc w:val="both"/>
              <w:rPr>
                <w:rFonts w:ascii="Arial" w:hAnsi="Arial" w:cs="Arial"/>
                <w:sz w:val="24"/>
                <w:szCs w:val="24"/>
                <w:lang w:val="en-US"/>
              </w:rPr>
            </w:pPr>
            <w:r w:rsidRPr="00973505">
              <w:rPr>
                <w:rFonts w:ascii="Arial" w:hAnsi="Arial" w:cs="Arial"/>
                <w:sz w:val="24"/>
                <w:szCs w:val="24"/>
                <w:lang w:val="en-US"/>
              </w:rPr>
              <w:t>In the event of a conviction, the magistrate, in considering an appropriate sentence, should have regard to the time the accused has spent in custody.</w:t>
            </w:r>
          </w:p>
          <w:p w:rsidR="00BB444D" w:rsidRDefault="00BB444D" w:rsidP="00E17112">
            <w:pPr>
              <w:pStyle w:val="ListParagraph"/>
              <w:spacing w:line="360" w:lineRule="auto"/>
              <w:ind w:left="1080" w:right="317"/>
              <w:jc w:val="both"/>
              <w:rPr>
                <w:rFonts w:ascii="Arial" w:hAnsi="Arial" w:cs="Arial"/>
                <w:sz w:val="24"/>
                <w:szCs w:val="24"/>
              </w:rPr>
            </w:pPr>
          </w:p>
          <w:p w:rsidR="005C1D1B" w:rsidRDefault="005C1D1B" w:rsidP="00E17112">
            <w:pPr>
              <w:pStyle w:val="ListParagraph"/>
              <w:spacing w:line="360" w:lineRule="auto"/>
              <w:ind w:left="1080" w:right="317"/>
              <w:jc w:val="both"/>
              <w:rPr>
                <w:rFonts w:ascii="Arial" w:hAnsi="Arial" w:cs="Arial"/>
                <w:sz w:val="24"/>
                <w:szCs w:val="24"/>
              </w:rPr>
            </w:pPr>
          </w:p>
          <w:p w:rsidR="005C1D1B" w:rsidRPr="00664D21" w:rsidRDefault="005C1D1B" w:rsidP="00BB444D">
            <w:pPr>
              <w:pStyle w:val="ListParagraph"/>
              <w:spacing w:line="360" w:lineRule="auto"/>
              <w:ind w:left="1080" w:right="317"/>
              <w:jc w:val="both"/>
              <w:rPr>
                <w:rFonts w:ascii="Arial" w:hAnsi="Arial" w:cs="Arial"/>
                <w:sz w:val="24"/>
                <w:szCs w:val="24"/>
              </w:rPr>
            </w:pPr>
          </w:p>
          <w:p w:rsidR="00402042" w:rsidRPr="00664D21" w:rsidRDefault="00402042" w:rsidP="00402042">
            <w:pPr>
              <w:pStyle w:val="ListParagraph"/>
              <w:spacing w:line="360" w:lineRule="auto"/>
              <w:ind w:left="1080"/>
              <w:jc w:val="both"/>
              <w:rPr>
                <w:rFonts w:ascii="Arial" w:hAnsi="Arial" w:cs="Arial"/>
              </w:rPr>
            </w:pPr>
          </w:p>
        </w:tc>
      </w:tr>
      <w:tr w:rsidR="00D35047" w:rsidRPr="001B0FDD" w:rsidTr="00B070BA">
        <w:tc>
          <w:tcPr>
            <w:tcW w:w="4770" w:type="dxa"/>
          </w:tcPr>
          <w:p w:rsidR="00D35047" w:rsidRDefault="00D35047" w:rsidP="00A76DBA">
            <w:pPr>
              <w:spacing w:line="360" w:lineRule="auto"/>
              <w:jc w:val="center"/>
              <w:rPr>
                <w:rFonts w:ascii="Arial" w:hAnsi="Arial" w:cs="Arial"/>
                <w:b/>
                <w:sz w:val="24"/>
                <w:szCs w:val="24"/>
              </w:rPr>
            </w:pPr>
          </w:p>
          <w:p w:rsidR="005C1D1B" w:rsidRDefault="005C1D1B" w:rsidP="00A76DBA">
            <w:pPr>
              <w:spacing w:line="360" w:lineRule="auto"/>
              <w:jc w:val="center"/>
              <w:rPr>
                <w:rFonts w:ascii="Arial" w:hAnsi="Arial" w:cs="Arial"/>
                <w:b/>
                <w:sz w:val="24"/>
                <w:szCs w:val="24"/>
              </w:rPr>
            </w:pPr>
          </w:p>
          <w:p w:rsidR="005C1D1B" w:rsidRDefault="005C1D1B" w:rsidP="00A76DBA">
            <w:pPr>
              <w:spacing w:line="360" w:lineRule="auto"/>
              <w:jc w:val="center"/>
              <w:rPr>
                <w:rFonts w:ascii="Arial" w:hAnsi="Arial" w:cs="Arial"/>
                <w:b/>
                <w:sz w:val="24"/>
                <w:szCs w:val="24"/>
              </w:rPr>
            </w:pPr>
          </w:p>
          <w:p w:rsidR="005C1D1B" w:rsidRPr="00664D21" w:rsidRDefault="005C1D1B" w:rsidP="005C1D1B">
            <w:pPr>
              <w:spacing w:line="360" w:lineRule="auto"/>
              <w:rPr>
                <w:rFonts w:ascii="Arial" w:hAnsi="Arial" w:cs="Arial"/>
                <w:b/>
                <w:sz w:val="24"/>
                <w:szCs w:val="24"/>
              </w:rPr>
            </w:pPr>
          </w:p>
        </w:tc>
        <w:tc>
          <w:tcPr>
            <w:tcW w:w="5281" w:type="dxa"/>
            <w:gridSpan w:val="2"/>
          </w:tcPr>
          <w:p w:rsidR="00D35047" w:rsidRPr="00664D21" w:rsidRDefault="00D35047" w:rsidP="00A76DBA">
            <w:pPr>
              <w:spacing w:line="360" w:lineRule="auto"/>
              <w:jc w:val="center"/>
              <w:rPr>
                <w:rFonts w:ascii="Arial" w:hAnsi="Arial" w:cs="Arial"/>
                <w:b/>
                <w:sz w:val="24"/>
                <w:szCs w:val="24"/>
              </w:rPr>
            </w:pPr>
          </w:p>
          <w:p w:rsidR="00D35047" w:rsidRPr="00664D21" w:rsidRDefault="00D35047" w:rsidP="00D92DB9">
            <w:pPr>
              <w:spacing w:line="360" w:lineRule="auto"/>
              <w:rPr>
                <w:rFonts w:ascii="Arial" w:hAnsi="Arial" w:cs="Arial"/>
                <w:b/>
                <w:sz w:val="24"/>
                <w:szCs w:val="24"/>
              </w:rPr>
            </w:pPr>
          </w:p>
        </w:tc>
      </w:tr>
      <w:tr w:rsidR="00D35047" w:rsidRPr="001B0FDD" w:rsidTr="00B070BA">
        <w:trPr>
          <w:trHeight w:val="827"/>
        </w:trPr>
        <w:tc>
          <w:tcPr>
            <w:tcW w:w="4770" w:type="dxa"/>
          </w:tcPr>
          <w:p w:rsidR="00D35047" w:rsidRPr="00664D21" w:rsidRDefault="00D35047" w:rsidP="00A76DBA">
            <w:pPr>
              <w:spacing w:line="360" w:lineRule="auto"/>
              <w:jc w:val="center"/>
              <w:rPr>
                <w:rFonts w:ascii="Arial" w:hAnsi="Arial" w:cs="Arial"/>
                <w:b/>
                <w:sz w:val="24"/>
                <w:szCs w:val="24"/>
              </w:rPr>
            </w:pPr>
            <w:r w:rsidRPr="00664D21">
              <w:rPr>
                <w:rFonts w:ascii="Arial" w:hAnsi="Arial" w:cs="Arial"/>
                <w:b/>
                <w:sz w:val="24"/>
                <w:szCs w:val="24"/>
              </w:rPr>
              <w:t>J C LIEBENBERG</w:t>
            </w:r>
          </w:p>
          <w:p w:rsidR="00D35047" w:rsidRPr="00664D21" w:rsidRDefault="00D35047" w:rsidP="00A76DBA">
            <w:pPr>
              <w:spacing w:line="360" w:lineRule="auto"/>
              <w:jc w:val="center"/>
              <w:rPr>
                <w:rFonts w:ascii="Arial" w:hAnsi="Arial" w:cs="Arial"/>
                <w:b/>
                <w:sz w:val="24"/>
                <w:szCs w:val="24"/>
              </w:rPr>
            </w:pPr>
            <w:r w:rsidRPr="00664D21">
              <w:rPr>
                <w:rFonts w:ascii="Arial" w:hAnsi="Arial" w:cs="Arial"/>
                <w:b/>
                <w:sz w:val="24"/>
                <w:szCs w:val="24"/>
              </w:rPr>
              <w:t>JUDGE</w:t>
            </w:r>
          </w:p>
        </w:tc>
        <w:tc>
          <w:tcPr>
            <w:tcW w:w="5281" w:type="dxa"/>
            <w:gridSpan w:val="2"/>
          </w:tcPr>
          <w:p w:rsidR="00402042" w:rsidRPr="00664D21" w:rsidRDefault="00973505" w:rsidP="00A76DBA">
            <w:pPr>
              <w:spacing w:line="360" w:lineRule="auto"/>
              <w:jc w:val="center"/>
              <w:rPr>
                <w:rFonts w:ascii="Arial" w:hAnsi="Arial" w:cs="Arial"/>
                <w:b/>
                <w:sz w:val="24"/>
                <w:szCs w:val="24"/>
              </w:rPr>
            </w:pPr>
            <w:r>
              <w:rPr>
                <w:rFonts w:ascii="Arial" w:hAnsi="Arial" w:cs="Arial"/>
                <w:b/>
                <w:sz w:val="24"/>
                <w:szCs w:val="24"/>
              </w:rPr>
              <w:t>C CLAASEN</w:t>
            </w:r>
          </w:p>
          <w:p w:rsidR="00D35047" w:rsidRPr="00664D21" w:rsidRDefault="00D35047" w:rsidP="00A76DBA">
            <w:pPr>
              <w:spacing w:line="360" w:lineRule="auto"/>
              <w:jc w:val="center"/>
              <w:rPr>
                <w:rFonts w:ascii="Arial" w:hAnsi="Arial" w:cs="Arial"/>
                <w:sz w:val="24"/>
                <w:szCs w:val="24"/>
              </w:rPr>
            </w:pPr>
            <w:r w:rsidRPr="00664D21">
              <w:rPr>
                <w:rFonts w:ascii="Arial" w:hAnsi="Arial" w:cs="Arial"/>
                <w:b/>
                <w:sz w:val="24"/>
                <w:szCs w:val="24"/>
              </w:rPr>
              <w:t>JUDGE</w:t>
            </w:r>
          </w:p>
        </w:tc>
      </w:tr>
    </w:tbl>
    <w:p w:rsidR="00B97A95" w:rsidRDefault="00B97A95" w:rsidP="00D92DB9"/>
    <w:sectPr w:rsidR="00B97A95" w:rsidSect="002778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0C" w:rsidRDefault="007D270C" w:rsidP="00436FB0">
      <w:pPr>
        <w:spacing w:after="0" w:line="240" w:lineRule="auto"/>
      </w:pPr>
      <w:r>
        <w:separator/>
      </w:r>
    </w:p>
  </w:endnote>
  <w:endnote w:type="continuationSeparator" w:id="0">
    <w:p w:rsidR="007D270C" w:rsidRDefault="007D270C"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0C" w:rsidRDefault="007D270C" w:rsidP="00436FB0">
      <w:pPr>
        <w:spacing w:after="0" w:line="240" w:lineRule="auto"/>
      </w:pPr>
      <w:r>
        <w:separator/>
      </w:r>
    </w:p>
  </w:footnote>
  <w:footnote w:type="continuationSeparator" w:id="0">
    <w:p w:rsidR="007D270C" w:rsidRDefault="007D270C" w:rsidP="00436FB0">
      <w:pPr>
        <w:spacing w:after="0" w:line="240" w:lineRule="auto"/>
      </w:pPr>
      <w:r>
        <w:continuationSeparator/>
      </w:r>
    </w:p>
  </w:footnote>
  <w:footnote w:id="1">
    <w:p w:rsidR="00022770" w:rsidRPr="007247FF" w:rsidRDefault="00022770" w:rsidP="007247FF">
      <w:pPr>
        <w:pStyle w:val="FootnoteText"/>
        <w:rPr>
          <w:rFonts w:ascii="Arial" w:hAnsi="Arial" w:cs="Arial"/>
          <w:lang w:val="en-ZA"/>
        </w:rPr>
      </w:pPr>
      <w:r w:rsidRPr="007247FF">
        <w:rPr>
          <w:rStyle w:val="FootnoteReference"/>
          <w:rFonts w:ascii="Arial" w:hAnsi="Arial" w:cs="Arial"/>
        </w:rPr>
        <w:footnoteRef/>
      </w:r>
      <w:r w:rsidRPr="007247FF">
        <w:rPr>
          <w:rFonts w:ascii="Arial" w:hAnsi="Arial" w:cs="Arial"/>
        </w:rPr>
        <w:t xml:space="preserve"> </w:t>
      </w:r>
      <w:r w:rsidRPr="007247FF">
        <w:rPr>
          <w:rFonts w:ascii="Arial" w:hAnsi="Arial" w:cs="Arial"/>
          <w:lang w:val="en-ZA"/>
        </w:rPr>
        <w:t>s 304(2)</w:t>
      </w:r>
      <w:r w:rsidRPr="007247FF">
        <w:rPr>
          <w:rFonts w:ascii="Arial" w:hAnsi="Arial" w:cs="Arial"/>
        </w:rPr>
        <w:t xml:space="preserve"> Criminal Procedure Act 51 of 1977</w:t>
      </w:r>
    </w:p>
  </w:footnote>
  <w:footnote w:id="2">
    <w:p w:rsidR="00022770" w:rsidRPr="00BB6727" w:rsidRDefault="00022770" w:rsidP="007E74F6">
      <w:pPr>
        <w:spacing w:line="360" w:lineRule="auto"/>
        <w:jc w:val="both"/>
        <w:rPr>
          <w:rFonts w:ascii="Arial" w:eastAsia="Times New Roman" w:hAnsi="Arial" w:cs="Arial"/>
          <w:sz w:val="20"/>
          <w:szCs w:val="20"/>
          <w:lang w:val="en-GB" w:eastAsia="en-GB"/>
        </w:rPr>
      </w:pPr>
      <w:r w:rsidRPr="00BB6727">
        <w:rPr>
          <w:rStyle w:val="FootnoteReference"/>
          <w:rFonts w:ascii="Arial" w:hAnsi="Arial" w:cs="Arial"/>
          <w:sz w:val="20"/>
          <w:szCs w:val="20"/>
        </w:rPr>
        <w:footnoteRef/>
      </w:r>
      <w:r w:rsidRPr="00BB6727">
        <w:rPr>
          <w:rFonts w:ascii="Arial" w:hAnsi="Arial" w:cs="Arial"/>
          <w:sz w:val="20"/>
          <w:szCs w:val="20"/>
        </w:rPr>
        <w:t xml:space="preserve"> </w:t>
      </w:r>
      <w:r w:rsidRPr="00BB6727">
        <w:rPr>
          <w:rFonts w:ascii="Arial" w:hAnsi="Arial" w:cs="Arial"/>
          <w:i/>
          <w:sz w:val="20"/>
          <w:szCs w:val="20"/>
        </w:rPr>
        <w:t xml:space="preserve">S v </w:t>
      </w:r>
      <w:proofErr w:type="spellStart"/>
      <w:r w:rsidRPr="00BB6727">
        <w:rPr>
          <w:rFonts w:ascii="Arial" w:hAnsi="Arial" w:cs="Arial"/>
          <w:i/>
          <w:sz w:val="20"/>
          <w:szCs w:val="20"/>
        </w:rPr>
        <w:t>Katari</w:t>
      </w:r>
      <w:proofErr w:type="spellEnd"/>
      <w:r w:rsidRPr="00BB6727">
        <w:rPr>
          <w:rFonts w:ascii="Arial" w:hAnsi="Arial" w:cs="Arial"/>
          <w:sz w:val="20"/>
          <w:szCs w:val="20"/>
        </w:rPr>
        <w:t xml:space="preserve"> 2006 (1) NR 205 (HC) 206</w:t>
      </w:r>
      <w:r w:rsidRPr="00BB6727">
        <w:rPr>
          <w:rFonts w:ascii="Arial" w:hAnsi="Arial" w:cs="Arial"/>
          <w:color w:val="000000"/>
          <w:sz w:val="20"/>
          <w:szCs w:val="20"/>
        </w:rPr>
        <w:t>J – 207A</w:t>
      </w:r>
      <w:r w:rsidR="00BD171B">
        <w:rPr>
          <w:rFonts w:ascii="Arial" w:hAnsi="Arial" w:cs="Arial"/>
          <w:color w:val="000000"/>
          <w:sz w:val="20"/>
          <w:szCs w:val="20"/>
        </w:rPr>
        <w:t>.</w:t>
      </w:r>
    </w:p>
    <w:p w:rsidR="00022770" w:rsidRPr="007E74F6" w:rsidRDefault="00022770">
      <w:pPr>
        <w:pStyle w:val="FootnoteText"/>
        <w:rPr>
          <w:lang w:val="en-ZA"/>
        </w:rPr>
      </w:pPr>
    </w:p>
  </w:footnote>
  <w:footnote w:id="3">
    <w:p w:rsidR="00022770" w:rsidRPr="00BD171B" w:rsidRDefault="00022770">
      <w:pPr>
        <w:pStyle w:val="FootnoteText"/>
        <w:rPr>
          <w:rFonts w:ascii="Arial" w:hAnsi="Arial" w:cs="Arial"/>
          <w:lang w:val="en-ZA"/>
        </w:rPr>
      </w:pPr>
      <w:r w:rsidRPr="00BD171B">
        <w:rPr>
          <w:rStyle w:val="FootnoteReference"/>
          <w:rFonts w:ascii="Arial" w:hAnsi="Arial" w:cs="Arial"/>
        </w:rPr>
        <w:footnoteRef/>
      </w:r>
      <w:r w:rsidRPr="00BD171B">
        <w:rPr>
          <w:rFonts w:ascii="Arial" w:hAnsi="Arial" w:cs="Arial"/>
        </w:rPr>
        <w:t xml:space="preserve"> </w:t>
      </w:r>
      <w:r w:rsidR="00E17112" w:rsidRPr="00E17112">
        <w:rPr>
          <w:rFonts w:ascii="Arial" w:eastAsia="Times New Roman" w:hAnsi="Arial" w:cs="Arial"/>
          <w:lang w:val="en-GB" w:eastAsia="en-GB"/>
        </w:rPr>
        <w:t>Road Traffic and Transportation Act</w:t>
      </w:r>
      <w:r w:rsidR="00E17112" w:rsidRPr="00BD171B">
        <w:rPr>
          <w:rFonts w:ascii="Arial" w:hAnsi="Arial" w:cs="Arial"/>
          <w:lang w:val="en-ZA"/>
        </w:rPr>
        <w:t xml:space="preserve"> </w:t>
      </w:r>
      <w:r w:rsidRPr="00BD171B">
        <w:rPr>
          <w:rFonts w:ascii="Arial" w:hAnsi="Arial" w:cs="Arial"/>
          <w:lang w:val="en-ZA"/>
        </w:rPr>
        <w:t>22 of 1999.</w:t>
      </w:r>
    </w:p>
  </w:footnote>
  <w:footnote w:id="4">
    <w:p w:rsidR="00022770" w:rsidRPr="00A1300A" w:rsidRDefault="00022770">
      <w:pPr>
        <w:pStyle w:val="FootnoteText"/>
        <w:rPr>
          <w:rFonts w:ascii="Arial" w:hAnsi="Arial" w:cs="Arial"/>
          <w:lang w:val="en-ZA"/>
        </w:rPr>
      </w:pPr>
      <w:r w:rsidRPr="00BD171B">
        <w:rPr>
          <w:rStyle w:val="FootnoteReference"/>
          <w:rFonts w:ascii="Arial" w:hAnsi="Arial" w:cs="Arial"/>
        </w:rPr>
        <w:footnoteRef/>
      </w:r>
      <w:r w:rsidRPr="00BD171B">
        <w:rPr>
          <w:rFonts w:ascii="Arial" w:hAnsi="Arial" w:cs="Arial"/>
        </w:rPr>
        <w:t xml:space="preserve"> </w:t>
      </w:r>
      <w:r w:rsidRPr="00BD171B">
        <w:rPr>
          <w:rFonts w:ascii="Arial" w:eastAsia="Times New Roman" w:hAnsi="Arial" w:cs="Arial"/>
          <w:i/>
          <w:lang w:val="en-GB" w:eastAsia="en-GB"/>
        </w:rPr>
        <w:t xml:space="preserve">S v </w:t>
      </w:r>
      <w:proofErr w:type="spellStart"/>
      <w:r w:rsidRPr="00BD171B">
        <w:rPr>
          <w:rFonts w:ascii="Arial" w:eastAsia="Times New Roman" w:hAnsi="Arial" w:cs="Arial"/>
          <w:i/>
          <w:lang w:val="en-GB" w:eastAsia="en-GB"/>
        </w:rPr>
        <w:t>Iipumbu</w:t>
      </w:r>
      <w:proofErr w:type="spellEnd"/>
      <w:r w:rsidRPr="00BD171B">
        <w:rPr>
          <w:rFonts w:ascii="Arial" w:eastAsia="Times New Roman" w:hAnsi="Arial" w:cs="Arial"/>
          <w:i/>
          <w:lang w:val="en-GB" w:eastAsia="en-GB"/>
        </w:rPr>
        <w:t xml:space="preserve"> </w:t>
      </w:r>
      <w:r w:rsidRPr="00BD171B">
        <w:rPr>
          <w:rFonts w:ascii="Arial" w:eastAsia="Times New Roman" w:hAnsi="Arial" w:cs="Arial"/>
          <w:lang w:val="en-GB" w:eastAsia="en-GB"/>
        </w:rPr>
        <w:t>2009 (2) NR 546</w:t>
      </w:r>
      <w:r w:rsidR="00BD171B" w:rsidRPr="00BD171B">
        <w:rPr>
          <w:rFonts w:ascii="Arial" w:eastAsia="Times New Roman" w:hAnsi="Arial" w:cs="Arial"/>
          <w:lang w:val="en-GB" w:eastAsia="en-GB"/>
        </w:rPr>
        <w:t>.</w:t>
      </w:r>
    </w:p>
  </w:footnote>
  <w:footnote w:id="5">
    <w:p w:rsidR="00022770" w:rsidRPr="00F65549" w:rsidRDefault="00022770">
      <w:pPr>
        <w:pStyle w:val="FootnoteText"/>
        <w:rPr>
          <w:rFonts w:ascii="Arial" w:hAnsi="Arial" w:cs="Arial"/>
          <w:lang w:val="en-ZA"/>
        </w:rPr>
      </w:pPr>
      <w:r w:rsidRPr="00F65549">
        <w:rPr>
          <w:rStyle w:val="FootnoteReference"/>
          <w:rFonts w:ascii="Arial" w:hAnsi="Arial" w:cs="Arial"/>
        </w:rPr>
        <w:footnoteRef/>
      </w:r>
      <w:r w:rsidRPr="00F65549">
        <w:rPr>
          <w:rFonts w:ascii="Arial" w:hAnsi="Arial" w:cs="Arial"/>
        </w:rPr>
        <w:t xml:space="preserve"> </w:t>
      </w:r>
      <w:r w:rsidRPr="00A1300A">
        <w:rPr>
          <w:rFonts w:ascii="Arial" w:eastAsia="Times New Roman" w:hAnsi="Arial" w:cs="Arial"/>
          <w:i/>
          <w:lang w:val="en-GB" w:eastAsia="en-GB"/>
        </w:rPr>
        <w:t xml:space="preserve">S v </w:t>
      </w:r>
      <w:proofErr w:type="spellStart"/>
      <w:r w:rsidRPr="00A1300A">
        <w:rPr>
          <w:rFonts w:ascii="Arial" w:eastAsia="Times New Roman" w:hAnsi="Arial" w:cs="Arial"/>
          <w:i/>
          <w:lang w:val="en-GB" w:eastAsia="en-GB"/>
        </w:rPr>
        <w:t>Maniping</w:t>
      </w:r>
      <w:proofErr w:type="spellEnd"/>
      <w:r w:rsidRPr="00A1300A">
        <w:rPr>
          <w:rFonts w:ascii="Arial" w:eastAsia="Times New Roman" w:hAnsi="Arial" w:cs="Arial"/>
          <w:i/>
          <w:lang w:val="en-GB" w:eastAsia="en-GB"/>
        </w:rPr>
        <w:t xml:space="preserve">; S v </w:t>
      </w:r>
      <w:proofErr w:type="spellStart"/>
      <w:r w:rsidRPr="00A1300A">
        <w:rPr>
          <w:rFonts w:ascii="Arial" w:eastAsia="Times New Roman" w:hAnsi="Arial" w:cs="Arial"/>
          <w:i/>
          <w:lang w:val="en-GB" w:eastAsia="en-GB"/>
        </w:rPr>
        <w:t>Thwala</w:t>
      </w:r>
      <w:proofErr w:type="spellEnd"/>
      <w:r w:rsidRPr="00F65549">
        <w:rPr>
          <w:rFonts w:ascii="Arial" w:eastAsia="Times New Roman" w:hAnsi="Arial" w:cs="Arial"/>
          <w:lang w:val="en-GB" w:eastAsia="en-GB"/>
        </w:rPr>
        <w:t xml:space="preserve"> 1994 NR 69</w:t>
      </w:r>
      <w:r w:rsidR="00BD171B">
        <w:rPr>
          <w:rFonts w:ascii="Arial" w:eastAsia="Times New Roman" w:hAnsi="Arial" w:cs="Arial"/>
          <w:lang w:val="en-GB" w:eastAsia="en-GB"/>
        </w:rPr>
        <w:t>.</w:t>
      </w:r>
    </w:p>
  </w:footnote>
  <w:footnote w:id="6">
    <w:p w:rsidR="00022770" w:rsidRPr="00A1300A" w:rsidRDefault="00022770">
      <w:pPr>
        <w:pStyle w:val="FootnoteText"/>
        <w:rPr>
          <w:rFonts w:ascii="Arial" w:hAnsi="Arial" w:cs="Arial"/>
          <w:lang w:val="en-ZA"/>
        </w:rPr>
      </w:pPr>
      <w:r w:rsidRPr="00A1300A">
        <w:rPr>
          <w:rStyle w:val="FootnoteReference"/>
          <w:rFonts w:ascii="Arial" w:hAnsi="Arial" w:cs="Arial"/>
        </w:rPr>
        <w:footnoteRef/>
      </w:r>
      <w:r w:rsidRPr="00A1300A">
        <w:rPr>
          <w:rFonts w:ascii="Arial" w:hAnsi="Arial" w:cs="Arial"/>
        </w:rPr>
        <w:t xml:space="preserve"> </w:t>
      </w:r>
      <w:r w:rsidRPr="00A1300A">
        <w:rPr>
          <w:rFonts w:ascii="Arial" w:eastAsia="Times New Roman" w:hAnsi="Arial" w:cs="Arial"/>
          <w:i/>
          <w:lang w:val="en-GB" w:eastAsia="en-GB"/>
        </w:rPr>
        <w:t xml:space="preserve">S v </w:t>
      </w:r>
      <w:proofErr w:type="spellStart"/>
      <w:r w:rsidRPr="00A1300A">
        <w:rPr>
          <w:rFonts w:ascii="Arial" w:eastAsia="Times New Roman" w:hAnsi="Arial" w:cs="Arial"/>
          <w:i/>
          <w:lang w:val="en-GB" w:eastAsia="en-GB"/>
        </w:rPr>
        <w:t>Maniping</w:t>
      </w:r>
      <w:proofErr w:type="spellEnd"/>
      <w:r w:rsidRPr="00A1300A">
        <w:rPr>
          <w:rFonts w:ascii="Arial" w:eastAsia="Times New Roman" w:hAnsi="Arial" w:cs="Arial"/>
          <w:i/>
          <w:lang w:val="en-GB" w:eastAsia="en-GB"/>
        </w:rPr>
        <w:t xml:space="preserve">; S v </w:t>
      </w:r>
      <w:proofErr w:type="spellStart"/>
      <w:r w:rsidRPr="00A1300A">
        <w:rPr>
          <w:rFonts w:ascii="Arial" w:eastAsia="Times New Roman" w:hAnsi="Arial" w:cs="Arial"/>
          <w:i/>
          <w:lang w:val="en-GB" w:eastAsia="en-GB"/>
        </w:rPr>
        <w:t>Thwala</w:t>
      </w:r>
      <w:proofErr w:type="spellEnd"/>
      <w:r w:rsidRPr="00A1300A">
        <w:rPr>
          <w:rFonts w:ascii="Arial" w:eastAsia="Times New Roman" w:hAnsi="Arial" w:cs="Arial"/>
          <w:lang w:val="en-GB" w:eastAsia="en-GB"/>
        </w:rPr>
        <w:t xml:space="preserve"> Supra, </w:t>
      </w:r>
      <w:r w:rsidR="00BD171B">
        <w:rPr>
          <w:rFonts w:ascii="Arial" w:eastAsia="Times New Roman" w:hAnsi="Arial" w:cs="Arial"/>
          <w:lang w:val="en-GB" w:eastAsia="en-GB"/>
        </w:rPr>
        <w:t>at 75</w:t>
      </w:r>
      <w:r w:rsidRPr="00A1300A">
        <w:rPr>
          <w:rFonts w:ascii="Arial" w:eastAsia="Times New Roman" w:hAnsi="Arial" w:cs="Arial"/>
          <w:lang w:val="en-GB" w:eastAsia="en-GB"/>
        </w:rPr>
        <w:t>H</w:t>
      </w:r>
      <w:r w:rsidR="00BD171B">
        <w:rPr>
          <w:rFonts w:ascii="Arial" w:eastAsia="Times New Roman" w:hAnsi="Arial" w:cs="Arial"/>
          <w:lang w:val="en-GB"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864835"/>
      <w:docPartObj>
        <w:docPartGallery w:val="Page Numbers (Top of Page)"/>
        <w:docPartUnique/>
      </w:docPartObj>
    </w:sdtPr>
    <w:sdtEndPr>
      <w:rPr>
        <w:noProof/>
      </w:rPr>
    </w:sdtEndPr>
    <w:sdtContent>
      <w:p w:rsidR="002778AE" w:rsidRDefault="002778AE">
        <w:pPr>
          <w:pStyle w:val="Header"/>
          <w:jc w:val="right"/>
        </w:pPr>
        <w:r>
          <w:fldChar w:fldCharType="begin"/>
        </w:r>
        <w:r>
          <w:instrText xml:space="preserve"> PAGE   \* MERGEFORMAT </w:instrText>
        </w:r>
        <w:r>
          <w:fldChar w:fldCharType="separate"/>
        </w:r>
        <w:r w:rsidR="00D125E0">
          <w:rPr>
            <w:noProof/>
          </w:rPr>
          <w:t>9</w:t>
        </w:r>
        <w:r>
          <w:rPr>
            <w:noProof/>
          </w:rPr>
          <w:fldChar w:fldCharType="end"/>
        </w:r>
      </w:p>
    </w:sdtContent>
  </w:sdt>
  <w:p w:rsidR="002778AE" w:rsidRDefault="00277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396D"/>
    <w:multiLevelType w:val="hybridMultilevel"/>
    <w:tmpl w:val="855C8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83E55"/>
    <w:multiLevelType w:val="hybridMultilevel"/>
    <w:tmpl w:val="753AA15A"/>
    <w:lvl w:ilvl="0" w:tplc="8E94291C">
      <w:start w:val="3"/>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54A8B"/>
    <w:multiLevelType w:val="hybridMultilevel"/>
    <w:tmpl w:val="9A789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9072C"/>
    <w:multiLevelType w:val="hybridMultilevel"/>
    <w:tmpl w:val="249A79E6"/>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9D0BE7"/>
    <w:multiLevelType w:val="hybridMultilevel"/>
    <w:tmpl w:val="0C92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4179"/>
    <w:multiLevelType w:val="hybridMultilevel"/>
    <w:tmpl w:val="3376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451A5"/>
    <w:multiLevelType w:val="hybridMultilevel"/>
    <w:tmpl w:val="755A8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347BF"/>
    <w:multiLevelType w:val="hybridMultilevel"/>
    <w:tmpl w:val="21F2AA84"/>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423517"/>
    <w:multiLevelType w:val="hybridMultilevel"/>
    <w:tmpl w:val="FB4EA924"/>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2F6D05"/>
    <w:multiLevelType w:val="hybridMultilevel"/>
    <w:tmpl w:val="AE64C4D4"/>
    <w:lvl w:ilvl="0" w:tplc="A7E211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4D77B5"/>
    <w:multiLevelType w:val="hybridMultilevel"/>
    <w:tmpl w:val="41B8B6A4"/>
    <w:lvl w:ilvl="0" w:tplc="D75A4170">
      <w:start w:val="1"/>
      <w:numFmt w:val="decimal"/>
      <w:lvlText w:val="[%1]"/>
      <w:lvlJc w:val="left"/>
      <w:pPr>
        <w:ind w:left="1024" w:hanging="360"/>
      </w:pPr>
      <w:rPr>
        <w:rFonts w:hint="default"/>
      </w:rPr>
    </w:lvl>
    <w:lvl w:ilvl="1" w:tplc="1C090019" w:tentative="1">
      <w:start w:val="1"/>
      <w:numFmt w:val="lowerLetter"/>
      <w:lvlText w:val="%2."/>
      <w:lvlJc w:val="left"/>
      <w:pPr>
        <w:ind w:left="1744" w:hanging="360"/>
      </w:pPr>
    </w:lvl>
    <w:lvl w:ilvl="2" w:tplc="1C09001B" w:tentative="1">
      <w:start w:val="1"/>
      <w:numFmt w:val="lowerRoman"/>
      <w:lvlText w:val="%3."/>
      <w:lvlJc w:val="right"/>
      <w:pPr>
        <w:ind w:left="2464" w:hanging="180"/>
      </w:pPr>
    </w:lvl>
    <w:lvl w:ilvl="3" w:tplc="1C09000F" w:tentative="1">
      <w:start w:val="1"/>
      <w:numFmt w:val="decimal"/>
      <w:lvlText w:val="%4."/>
      <w:lvlJc w:val="left"/>
      <w:pPr>
        <w:ind w:left="3184" w:hanging="360"/>
      </w:pPr>
    </w:lvl>
    <w:lvl w:ilvl="4" w:tplc="1C090019" w:tentative="1">
      <w:start w:val="1"/>
      <w:numFmt w:val="lowerLetter"/>
      <w:lvlText w:val="%5."/>
      <w:lvlJc w:val="left"/>
      <w:pPr>
        <w:ind w:left="3904" w:hanging="360"/>
      </w:pPr>
    </w:lvl>
    <w:lvl w:ilvl="5" w:tplc="1C09001B" w:tentative="1">
      <w:start w:val="1"/>
      <w:numFmt w:val="lowerRoman"/>
      <w:lvlText w:val="%6."/>
      <w:lvlJc w:val="right"/>
      <w:pPr>
        <w:ind w:left="4624" w:hanging="180"/>
      </w:pPr>
    </w:lvl>
    <w:lvl w:ilvl="6" w:tplc="1C09000F" w:tentative="1">
      <w:start w:val="1"/>
      <w:numFmt w:val="decimal"/>
      <w:lvlText w:val="%7."/>
      <w:lvlJc w:val="left"/>
      <w:pPr>
        <w:ind w:left="5344" w:hanging="360"/>
      </w:pPr>
    </w:lvl>
    <w:lvl w:ilvl="7" w:tplc="1C090019" w:tentative="1">
      <w:start w:val="1"/>
      <w:numFmt w:val="lowerLetter"/>
      <w:lvlText w:val="%8."/>
      <w:lvlJc w:val="left"/>
      <w:pPr>
        <w:ind w:left="6064" w:hanging="360"/>
      </w:pPr>
    </w:lvl>
    <w:lvl w:ilvl="8" w:tplc="1C09001B" w:tentative="1">
      <w:start w:val="1"/>
      <w:numFmt w:val="lowerRoman"/>
      <w:lvlText w:val="%9."/>
      <w:lvlJc w:val="right"/>
      <w:pPr>
        <w:ind w:left="6784" w:hanging="180"/>
      </w:pPr>
    </w:lvl>
  </w:abstractNum>
  <w:abstractNum w:abstractNumId="14"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1346"/>
    <w:multiLevelType w:val="hybridMultilevel"/>
    <w:tmpl w:val="A44A19D0"/>
    <w:lvl w:ilvl="0" w:tplc="044E8FA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92821"/>
    <w:multiLevelType w:val="hybridMultilevel"/>
    <w:tmpl w:val="7A80245C"/>
    <w:lvl w:ilvl="0" w:tplc="D75A4170">
      <w:start w:val="1"/>
      <w:numFmt w:val="decimal"/>
      <w:lvlText w:val="[%1]"/>
      <w:lvlJc w:val="left"/>
      <w:pPr>
        <w:ind w:left="1024" w:hanging="360"/>
      </w:pPr>
      <w:rPr>
        <w:rFonts w:hint="default"/>
      </w:rPr>
    </w:lvl>
    <w:lvl w:ilvl="1" w:tplc="1C090019" w:tentative="1">
      <w:start w:val="1"/>
      <w:numFmt w:val="lowerLetter"/>
      <w:lvlText w:val="%2."/>
      <w:lvlJc w:val="left"/>
      <w:pPr>
        <w:ind w:left="1744" w:hanging="360"/>
      </w:pPr>
    </w:lvl>
    <w:lvl w:ilvl="2" w:tplc="1C09001B" w:tentative="1">
      <w:start w:val="1"/>
      <w:numFmt w:val="lowerRoman"/>
      <w:lvlText w:val="%3."/>
      <w:lvlJc w:val="right"/>
      <w:pPr>
        <w:ind w:left="2464" w:hanging="180"/>
      </w:pPr>
    </w:lvl>
    <w:lvl w:ilvl="3" w:tplc="1C09000F" w:tentative="1">
      <w:start w:val="1"/>
      <w:numFmt w:val="decimal"/>
      <w:lvlText w:val="%4."/>
      <w:lvlJc w:val="left"/>
      <w:pPr>
        <w:ind w:left="3184" w:hanging="360"/>
      </w:pPr>
    </w:lvl>
    <w:lvl w:ilvl="4" w:tplc="1C090019" w:tentative="1">
      <w:start w:val="1"/>
      <w:numFmt w:val="lowerLetter"/>
      <w:lvlText w:val="%5."/>
      <w:lvlJc w:val="left"/>
      <w:pPr>
        <w:ind w:left="3904" w:hanging="360"/>
      </w:pPr>
    </w:lvl>
    <w:lvl w:ilvl="5" w:tplc="1C09001B" w:tentative="1">
      <w:start w:val="1"/>
      <w:numFmt w:val="lowerRoman"/>
      <w:lvlText w:val="%6."/>
      <w:lvlJc w:val="right"/>
      <w:pPr>
        <w:ind w:left="4624" w:hanging="180"/>
      </w:pPr>
    </w:lvl>
    <w:lvl w:ilvl="6" w:tplc="1C09000F" w:tentative="1">
      <w:start w:val="1"/>
      <w:numFmt w:val="decimal"/>
      <w:lvlText w:val="%7."/>
      <w:lvlJc w:val="left"/>
      <w:pPr>
        <w:ind w:left="5344" w:hanging="360"/>
      </w:pPr>
    </w:lvl>
    <w:lvl w:ilvl="7" w:tplc="1C090019" w:tentative="1">
      <w:start w:val="1"/>
      <w:numFmt w:val="lowerLetter"/>
      <w:lvlText w:val="%8."/>
      <w:lvlJc w:val="left"/>
      <w:pPr>
        <w:ind w:left="6064" w:hanging="360"/>
      </w:pPr>
    </w:lvl>
    <w:lvl w:ilvl="8" w:tplc="1C09001B" w:tentative="1">
      <w:start w:val="1"/>
      <w:numFmt w:val="lowerRoman"/>
      <w:lvlText w:val="%9."/>
      <w:lvlJc w:val="right"/>
      <w:pPr>
        <w:ind w:left="6784" w:hanging="180"/>
      </w:pPr>
    </w:lvl>
  </w:abstractNum>
  <w:abstractNum w:abstractNumId="19" w15:restartNumberingAfterBreak="0">
    <w:nsid w:val="3FE57498"/>
    <w:multiLevelType w:val="hybridMultilevel"/>
    <w:tmpl w:val="9D8A3A9E"/>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81412"/>
    <w:multiLevelType w:val="hybridMultilevel"/>
    <w:tmpl w:val="57D4E3B6"/>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A73401"/>
    <w:multiLevelType w:val="hybridMultilevel"/>
    <w:tmpl w:val="71F429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5691D"/>
    <w:multiLevelType w:val="hybridMultilevel"/>
    <w:tmpl w:val="B78E6A6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390754"/>
    <w:multiLevelType w:val="hybridMultilevel"/>
    <w:tmpl w:val="9168D8D2"/>
    <w:lvl w:ilvl="0" w:tplc="8E38877E">
      <w:start w:val="2"/>
      <w:numFmt w:val="decimal"/>
      <w:lvlText w:val="%1."/>
      <w:lvlJc w:val="left"/>
      <w:pPr>
        <w:ind w:left="1024" w:hanging="360"/>
      </w:pPr>
      <w:rPr>
        <w:rFonts w:hint="default"/>
      </w:rPr>
    </w:lvl>
    <w:lvl w:ilvl="1" w:tplc="1C090019" w:tentative="1">
      <w:start w:val="1"/>
      <w:numFmt w:val="lowerLetter"/>
      <w:lvlText w:val="%2."/>
      <w:lvlJc w:val="left"/>
      <w:pPr>
        <w:ind w:left="1744" w:hanging="360"/>
      </w:pPr>
    </w:lvl>
    <w:lvl w:ilvl="2" w:tplc="1C09001B" w:tentative="1">
      <w:start w:val="1"/>
      <w:numFmt w:val="lowerRoman"/>
      <w:lvlText w:val="%3."/>
      <w:lvlJc w:val="right"/>
      <w:pPr>
        <w:ind w:left="2464" w:hanging="180"/>
      </w:pPr>
    </w:lvl>
    <w:lvl w:ilvl="3" w:tplc="1C09000F" w:tentative="1">
      <w:start w:val="1"/>
      <w:numFmt w:val="decimal"/>
      <w:lvlText w:val="%4."/>
      <w:lvlJc w:val="left"/>
      <w:pPr>
        <w:ind w:left="3184" w:hanging="360"/>
      </w:pPr>
    </w:lvl>
    <w:lvl w:ilvl="4" w:tplc="1C090019" w:tentative="1">
      <w:start w:val="1"/>
      <w:numFmt w:val="lowerLetter"/>
      <w:lvlText w:val="%5."/>
      <w:lvlJc w:val="left"/>
      <w:pPr>
        <w:ind w:left="3904" w:hanging="360"/>
      </w:pPr>
    </w:lvl>
    <w:lvl w:ilvl="5" w:tplc="1C09001B" w:tentative="1">
      <w:start w:val="1"/>
      <w:numFmt w:val="lowerRoman"/>
      <w:lvlText w:val="%6."/>
      <w:lvlJc w:val="right"/>
      <w:pPr>
        <w:ind w:left="4624" w:hanging="180"/>
      </w:pPr>
    </w:lvl>
    <w:lvl w:ilvl="6" w:tplc="1C09000F" w:tentative="1">
      <w:start w:val="1"/>
      <w:numFmt w:val="decimal"/>
      <w:lvlText w:val="%7."/>
      <w:lvlJc w:val="left"/>
      <w:pPr>
        <w:ind w:left="5344" w:hanging="360"/>
      </w:pPr>
    </w:lvl>
    <w:lvl w:ilvl="7" w:tplc="1C090019" w:tentative="1">
      <w:start w:val="1"/>
      <w:numFmt w:val="lowerLetter"/>
      <w:lvlText w:val="%8."/>
      <w:lvlJc w:val="left"/>
      <w:pPr>
        <w:ind w:left="6064" w:hanging="360"/>
      </w:pPr>
    </w:lvl>
    <w:lvl w:ilvl="8" w:tplc="1C09001B" w:tentative="1">
      <w:start w:val="1"/>
      <w:numFmt w:val="lowerRoman"/>
      <w:lvlText w:val="%9."/>
      <w:lvlJc w:val="right"/>
      <w:pPr>
        <w:ind w:left="6784" w:hanging="180"/>
      </w:pPr>
    </w:lvl>
  </w:abstractNum>
  <w:abstractNum w:abstractNumId="25"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617D74"/>
    <w:multiLevelType w:val="hybridMultilevel"/>
    <w:tmpl w:val="5B76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20130"/>
    <w:multiLevelType w:val="hybridMultilevel"/>
    <w:tmpl w:val="6F36CCE8"/>
    <w:lvl w:ilvl="0" w:tplc="D75A4170">
      <w:start w:val="1"/>
      <w:numFmt w:val="decimal"/>
      <w:lvlText w:val="[%1]"/>
      <w:lvlJc w:val="left"/>
      <w:pPr>
        <w:ind w:left="1024" w:hanging="360"/>
      </w:pPr>
      <w:rPr>
        <w:rFonts w:hint="default"/>
      </w:rPr>
    </w:lvl>
    <w:lvl w:ilvl="1" w:tplc="1C090019" w:tentative="1">
      <w:start w:val="1"/>
      <w:numFmt w:val="lowerLetter"/>
      <w:lvlText w:val="%2."/>
      <w:lvlJc w:val="left"/>
      <w:pPr>
        <w:ind w:left="1744" w:hanging="360"/>
      </w:pPr>
    </w:lvl>
    <w:lvl w:ilvl="2" w:tplc="1C09001B" w:tentative="1">
      <w:start w:val="1"/>
      <w:numFmt w:val="lowerRoman"/>
      <w:lvlText w:val="%3."/>
      <w:lvlJc w:val="right"/>
      <w:pPr>
        <w:ind w:left="2464" w:hanging="180"/>
      </w:pPr>
    </w:lvl>
    <w:lvl w:ilvl="3" w:tplc="1C09000F" w:tentative="1">
      <w:start w:val="1"/>
      <w:numFmt w:val="decimal"/>
      <w:lvlText w:val="%4."/>
      <w:lvlJc w:val="left"/>
      <w:pPr>
        <w:ind w:left="3184" w:hanging="360"/>
      </w:pPr>
    </w:lvl>
    <w:lvl w:ilvl="4" w:tplc="1C090019" w:tentative="1">
      <w:start w:val="1"/>
      <w:numFmt w:val="lowerLetter"/>
      <w:lvlText w:val="%5."/>
      <w:lvlJc w:val="left"/>
      <w:pPr>
        <w:ind w:left="3904" w:hanging="360"/>
      </w:pPr>
    </w:lvl>
    <w:lvl w:ilvl="5" w:tplc="1C09001B" w:tentative="1">
      <w:start w:val="1"/>
      <w:numFmt w:val="lowerRoman"/>
      <w:lvlText w:val="%6."/>
      <w:lvlJc w:val="right"/>
      <w:pPr>
        <w:ind w:left="4624" w:hanging="180"/>
      </w:pPr>
    </w:lvl>
    <w:lvl w:ilvl="6" w:tplc="1C09000F" w:tentative="1">
      <w:start w:val="1"/>
      <w:numFmt w:val="decimal"/>
      <w:lvlText w:val="%7."/>
      <w:lvlJc w:val="left"/>
      <w:pPr>
        <w:ind w:left="5344" w:hanging="360"/>
      </w:pPr>
    </w:lvl>
    <w:lvl w:ilvl="7" w:tplc="1C090019" w:tentative="1">
      <w:start w:val="1"/>
      <w:numFmt w:val="lowerLetter"/>
      <w:lvlText w:val="%8."/>
      <w:lvlJc w:val="left"/>
      <w:pPr>
        <w:ind w:left="6064" w:hanging="360"/>
      </w:pPr>
    </w:lvl>
    <w:lvl w:ilvl="8" w:tplc="1C09001B" w:tentative="1">
      <w:start w:val="1"/>
      <w:numFmt w:val="lowerRoman"/>
      <w:lvlText w:val="%9."/>
      <w:lvlJc w:val="right"/>
      <w:pPr>
        <w:ind w:left="6784" w:hanging="180"/>
      </w:pPr>
    </w:lvl>
  </w:abstractNum>
  <w:abstractNum w:abstractNumId="29" w15:restartNumberingAfterBreak="0">
    <w:nsid w:val="5B9D59E0"/>
    <w:multiLevelType w:val="hybridMultilevel"/>
    <w:tmpl w:val="F080F380"/>
    <w:lvl w:ilvl="0" w:tplc="D75A4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5C09A1"/>
    <w:multiLevelType w:val="hybridMultilevel"/>
    <w:tmpl w:val="FEC8DEE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07644F"/>
    <w:multiLevelType w:val="hybridMultilevel"/>
    <w:tmpl w:val="18A02E18"/>
    <w:lvl w:ilvl="0" w:tplc="07A49142">
      <w:start w:val="1"/>
      <w:numFmt w:val="lowerLetter"/>
      <w:lvlText w:val="(%1)"/>
      <w:lvlJc w:val="left"/>
      <w:pPr>
        <w:ind w:left="3216" w:hanging="360"/>
      </w:pPr>
      <w:rPr>
        <w:rFonts w:hint="default"/>
      </w:rPr>
    </w:lvl>
    <w:lvl w:ilvl="1" w:tplc="1C090019" w:tentative="1">
      <w:start w:val="1"/>
      <w:numFmt w:val="lowerLetter"/>
      <w:lvlText w:val="%2."/>
      <w:lvlJc w:val="left"/>
      <w:pPr>
        <w:ind w:left="3936" w:hanging="360"/>
      </w:pPr>
    </w:lvl>
    <w:lvl w:ilvl="2" w:tplc="1C09001B" w:tentative="1">
      <w:start w:val="1"/>
      <w:numFmt w:val="lowerRoman"/>
      <w:lvlText w:val="%3."/>
      <w:lvlJc w:val="right"/>
      <w:pPr>
        <w:ind w:left="4656" w:hanging="180"/>
      </w:pPr>
    </w:lvl>
    <w:lvl w:ilvl="3" w:tplc="1C09000F" w:tentative="1">
      <w:start w:val="1"/>
      <w:numFmt w:val="decimal"/>
      <w:lvlText w:val="%4."/>
      <w:lvlJc w:val="left"/>
      <w:pPr>
        <w:ind w:left="5376" w:hanging="360"/>
      </w:pPr>
    </w:lvl>
    <w:lvl w:ilvl="4" w:tplc="1C090019" w:tentative="1">
      <w:start w:val="1"/>
      <w:numFmt w:val="lowerLetter"/>
      <w:lvlText w:val="%5."/>
      <w:lvlJc w:val="left"/>
      <w:pPr>
        <w:ind w:left="6096" w:hanging="360"/>
      </w:pPr>
    </w:lvl>
    <w:lvl w:ilvl="5" w:tplc="1C09001B" w:tentative="1">
      <w:start w:val="1"/>
      <w:numFmt w:val="lowerRoman"/>
      <w:lvlText w:val="%6."/>
      <w:lvlJc w:val="right"/>
      <w:pPr>
        <w:ind w:left="6816" w:hanging="180"/>
      </w:pPr>
    </w:lvl>
    <w:lvl w:ilvl="6" w:tplc="1C09000F" w:tentative="1">
      <w:start w:val="1"/>
      <w:numFmt w:val="decimal"/>
      <w:lvlText w:val="%7."/>
      <w:lvlJc w:val="left"/>
      <w:pPr>
        <w:ind w:left="7536" w:hanging="360"/>
      </w:pPr>
    </w:lvl>
    <w:lvl w:ilvl="7" w:tplc="1C090019" w:tentative="1">
      <w:start w:val="1"/>
      <w:numFmt w:val="lowerLetter"/>
      <w:lvlText w:val="%8."/>
      <w:lvlJc w:val="left"/>
      <w:pPr>
        <w:ind w:left="8256" w:hanging="360"/>
      </w:pPr>
    </w:lvl>
    <w:lvl w:ilvl="8" w:tplc="1C09001B" w:tentative="1">
      <w:start w:val="1"/>
      <w:numFmt w:val="lowerRoman"/>
      <w:lvlText w:val="%9."/>
      <w:lvlJc w:val="right"/>
      <w:pPr>
        <w:ind w:left="8976" w:hanging="180"/>
      </w:pPr>
    </w:lvl>
  </w:abstractNum>
  <w:abstractNum w:abstractNumId="33" w15:restartNumberingAfterBreak="0">
    <w:nsid w:val="6D9E04B8"/>
    <w:multiLevelType w:val="hybridMultilevel"/>
    <w:tmpl w:val="38A0DAC6"/>
    <w:lvl w:ilvl="0" w:tplc="8E38877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F001E3"/>
    <w:multiLevelType w:val="hybridMultilevel"/>
    <w:tmpl w:val="921E32AE"/>
    <w:lvl w:ilvl="0" w:tplc="8E38877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F33E1E"/>
    <w:multiLevelType w:val="hybridMultilevel"/>
    <w:tmpl w:val="8B7CA946"/>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F775362"/>
    <w:multiLevelType w:val="hybridMultilevel"/>
    <w:tmpl w:val="5CF23614"/>
    <w:lvl w:ilvl="0" w:tplc="805E27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4"/>
  </w:num>
  <w:num w:numId="3">
    <w:abstractNumId w:val="9"/>
  </w:num>
  <w:num w:numId="4">
    <w:abstractNumId w:val="31"/>
  </w:num>
  <w:num w:numId="5">
    <w:abstractNumId w:val="14"/>
  </w:num>
  <w:num w:numId="6">
    <w:abstractNumId w:val="0"/>
  </w:num>
  <w:num w:numId="7">
    <w:abstractNumId w:val="15"/>
  </w:num>
  <w:num w:numId="8">
    <w:abstractNumId w:val="6"/>
  </w:num>
  <w:num w:numId="9">
    <w:abstractNumId w:val="25"/>
  </w:num>
  <w:num w:numId="10">
    <w:abstractNumId w:val="17"/>
  </w:num>
  <w:num w:numId="11">
    <w:abstractNumId w:val="27"/>
  </w:num>
  <w:num w:numId="12">
    <w:abstractNumId w:val="30"/>
  </w:num>
  <w:num w:numId="13">
    <w:abstractNumId w:val="26"/>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
  </w:num>
  <w:num w:numId="18">
    <w:abstractNumId w:val="35"/>
  </w:num>
  <w:num w:numId="19">
    <w:abstractNumId w:val="23"/>
  </w:num>
  <w:num w:numId="20">
    <w:abstractNumId w:val="1"/>
  </w:num>
  <w:num w:numId="21">
    <w:abstractNumId w:val="16"/>
  </w:num>
  <w:num w:numId="22">
    <w:abstractNumId w:val="10"/>
  </w:num>
  <w:num w:numId="23">
    <w:abstractNumId w:val="34"/>
  </w:num>
  <w:num w:numId="24">
    <w:abstractNumId w:val="24"/>
  </w:num>
  <w:num w:numId="25">
    <w:abstractNumId w:val="12"/>
  </w:num>
  <w:num w:numId="26">
    <w:abstractNumId w:val="33"/>
  </w:num>
  <w:num w:numId="27">
    <w:abstractNumId w:val="2"/>
  </w:num>
  <w:num w:numId="28">
    <w:abstractNumId w:val="29"/>
  </w:num>
  <w:num w:numId="29">
    <w:abstractNumId w:val="21"/>
  </w:num>
  <w:num w:numId="30">
    <w:abstractNumId w:val="19"/>
  </w:num>
  <w:num w:numId="31">
    <w:abstractNumId w:val="36"/>
  </w:num>
  <w:num w:numId="32">
    <w:abstractNumId w:val="11"/>
  </w:num>
  <w:num w:numId="33">
    <w:abstractNumId w:val="5"/>
  </w:num>
  <w:num w:numId="34">
    <w:abstractNumId w:val="28"/>
  </w:num>
  <w:num w:numId="35">
    <w:abstractNumId w:val="13"/>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1DAC"/>
    <w:rsid w:val="0000244F"/>
    <w:rsid w:val="00005330"/>
    <w:rsid w:val="00005DC5"/>
    <w:rsid w:val="000141CC"/>
    <w:rsid w:val="00015F3A"/>
    <w:rsid w:val="00022770"/>
    <w:rsid w:val="00026264"/>
    <w:rsid w:val="0004556D"/>
    <w:rsid w:val="000567E0"/>
    <w:rsid w:val="00060560"/>
    <w:rsid w:val="00073BCA"/>
    <w:rsid w:val="00075F29"/>
    <w:rsid w:val="0007693F"/>
    <w:rsid w:val="000B1388"/>
    <w:rsid w:val="000B7E26"/>
    <w:rsid w:val="000C4569"/>
    <w:rsid w:val="000D3FC6"/>
    <w:rsid w:val="000D7626"/>
    <w:rsid w:val="000F3819"/>
    <w:rsid w:val="00153832"/>
    <w:rsid w:val="0017400B"/>
    <w:rsid w:val="001846BA"/>
    <w:rsid w:val="001879FA"/>
    <w:rsid w:val="001B0C6F"/>
    <w:rsid w:val="001C0AAB"/>
    <w:rsid w:val="001D5CC6"/>
    <w:rsid w:val="001D5E3C"/>
    <w:rsid w:val="001F4D98"/>
    <w:rsid w:val="001F6A71"/>
    <w:rsid w:val="00206A29"/>
    <w:rsid w:val="00210372"/>
    <w:rsid w:val="00223FBB"/>
    <w:rsid w:val="00233A67"/>
    <w:rsid w:val="00236BCE"/>
    <w:rsid w:val="00247CF9"/>
    <w:rsid w:val="00247E6B"/>
    <w:rsid w:val="00252DCB"/>
    <w:rsid w:val="00256EF3"/>
    <w:rsid w:val="00261686"/>
    <w:rsid w:val="00272214"/>
    <w:rsid w:val="002745F1"/>
    <w:rsid w:val="002778AE"/>
    <w:rsid w:val="00283F77"/>
    <w:rsid w:val="00284372"/>
    <w:rsid w:val="00290365"/>
    <w:rsid w:val="002C1F46"/>
    <w:rsid w:val="0031055E"/>
    <w:rsid w:val="0031127C"/>
    <w:rsid w:val="003305E2"/>
    <w:rsid w:val="00344CBF"/>
    <w:rsid w:val="003523F7"/>
    <w:rsid w:val="00357928"/>
    <w:rsid w:val="0036487E"/>
    <w:rsid w:val="00370E0F"/>
    <w:rsid w:val="00373553"/>
    <w:rsid w:val="00377217"/>
    <w:rsid w:val="00383BA9"/>
    <w:rsid w:val="00387CB1"/>
    <w:rsid w:val="003903E0"/>
    <w:rsid w:val="003C070D"/>
    <w:rsid w:val="003C1BA2"/>
    <w:rsid w:val="003C3D85"/>
    <w:rsid w:val="003C5515"/>
    <w:rsid w:val="003D4293"/>
    <w:rsid w:val="003F2177"/>
    <w:rsid w:val="00402042"/>
    <w:rsid w:val="00421539"/>
    <w:rsid w:val="00425D66"/>
    <w:rsid w:val="00436FB0"/>
    <w:rsid w:val="004429FE"/>
    <w:rsid w:val="00470F56"/>
    <w:rsid w:val="004731F3"/>
    <w:rsid w:val="004752D1"/>
    <w:rsid w:val="00476BA5"/>
    <w:rsid w:val="00485297"/>
    <w:rsid w:val="0049101A"/>
    <w:rsid w:val="004B6940"/>
    <w:rsid w:val="004B6D3F"/>
    <w:rsid w:val="004D21DE"/>
    <w:rsid w:val="004D22CB"/>
    <w:rsid w:val="004E3663"/>
    <w:rsid w:val="004E742D"/>
    <w:rsid w:val="004F77F9"/>
    <w:rsid w:val="0050248C"/>
    <w:rsid w:val="00513D98"/>
    <w:rsid w:val="00556D8F"/>
    <w:rsid w:val="00563EED"/>
    <w:rsid w:val="00571F6D"/>
    <w:rsid w:val="0058079B"/>
    <w:rsid w:val="00581FC4"/>
    <w:rsid w:val="00585FD6"/>
    <w:rsid w:val="005A3949"/>
    <w:rsid w:val="005B2EF5"/>
    <w:rsid w:val="005C1D1B"/>
    <w:rsid w:val="005D5006"/>
    <w:rsid w:val="005D7CD3"/>
    <w:rsid w:val="00614B39"/>
    <w:rsid w:val="006279D2"/>
    <w:rsid w:val="00637AA2"/>
    <w:rsid w:val="0064615C"/>
    <w:rsid w:val="00663419"/>
    <w:rsid w:val="00664D21"/>
    <w:rsid w:val="006A0156"/>
    <w:rsid w:val="006A39F0"/>
    <w:rsid w:val="006A5B17"/>
    <w:rsid w:val="006B359A"/>
    <w:rsid w:val="006C501A"/>
    <w:rsid w:val="006D43D3"/>
    <w:rsid w:val="006D5E9B"/>
    <w:rsid w:val="006E0F94"/>
    <w:rsid w:val="006F1BE0"/>
    <w:rsid w:val="007106DC"/>
    <w:rsid w:val="007247FF"/>
    <w:rsid w:val="00754E95"/>
    <w:rsid w:val="00756337"/>
    <w:rsid w:val="00785116"/>
    <w:rsid w:val="00794AA7"/>
    <w:rsid w:val="007D270C"/>
    <w:rsid w:val="007E74F6"/>
    <w:rsid w:val="007F051E"/>
    <w:rsid w:val="008124BD"/>
    <w:rsid w:val="00817483"/>
    <w:rsid w:val="0082025B"/>
    <w:rsid w:val="00830039"/>
    <w:rsid w:val="00872684"/>
    <w:rsid w:val="008779F4"/>
    <w:rsid w:val="008B0460"/>
    <w:rsid w:val="00910736"/>
    <w:rsid w:val="00933AAD"/>
    <w:rsid w:val="00945F40"/>
    <w:rsid w:val="00973505"/>
    <w:rsid w:val="00976788"/>
    <w:rsid w:val="009850EE"/>
    <w:rsid w:val="009A0F10"/>
    <w:rsid w:val="009E3C38"/>
    <w:rsid w:val="00A10B44"/>
    <w:rsid w:val="00A1300A"/>
    <w:rsid w:val="00A25521"/>
    <w:rsid w:val="00A30658"/>
    <w:rsid w:val="00A32185"/>
    <w:rsid w:val="00A324D9"/>
    <w:rsid w:val="00A40C18"/>
    <w:rsid w:val="00A52DB4"/>
    <w:rsid w:val="00A675EE"/>
    <w:rsid w:val="00A70EFE"/>
    <w:rsid w:val="00A76068"/>
    <w:rsid w:val="00A76DBA"/>
    <w:rsid w:val="00A86903"/>
    <w:rsid w:val="00A87523"/>
    <w:rsid w:val="00A9197C"/>
    <w:rsid w:val="00AA0B82"/>
    <w:rsid w:val="00AA10C7"/>
    <w:rsid w:val="00AA3327"/>
    <w:rsid w:val="00AA3631"/>
    <w:rsid w:val="00AB1C40"/>
    <w:rsid w:val="00B070BA"/>
    <w:rsid w:val="00B13BE8"/>
    <w:rsid w:val="00B305FE"/>
    <w:rsid w:val="00B4143A"/>
    <w:rsid w:val="00B42B79"/>
    <w:rsid w:val="00B45CEA"/>
    <w:rsid w:val="00B65437"/>
    <w:rsid w:val="00B8111E"/>
    <w:rsid w:val="00B81FFC"/>
    <w:rsid w:val="00B8321C"/>
    <w:rsid w:val="00B97A95"/>
    <w:rsid w:val="00BB37FC"/>
    <w:rsid w:val="00BB444D"/>
    <w:rsid w:val="00BB6727"/>
    <w:rsid w:val="00BD171B"/>
    <w:rsid w:val="00BE21EF"/>
    <w:rsid w:val="00BF6D42"/>
    <w:rsid w:val="00BF6FF3"/>
    <w:rsid w:val="00C23FE5"/>
    <w:rsid w:val="00C53729"/>
    <w:rsid w:val="00C77991"/>
    <w:rsid w:val="00C8006D"/>
    <w:rsid w:val="00CA70E5"/>
    <w:rsid w:val="00CB007B"/>
    <w:rsid w:val="00CC5B0A"/>
    <w:rsid w:val="00CE0160"/>
    <w:rsid w:val="00CF3570"/>
    <w:rsid w:val="00CF5102"/>
    <w:rsid w:val="00D05CED"/>
    <w:rsid w:val="00D125E0"/>
    <w:rsid w:val="00D35047"/>
    <w:rsid w:val="00D37E2C"/>
    <w:rsid w:val="00D57A7D"/>
    <w:rsid w:val="00D7572F"/>
    <w:rsid w:val="00D90A31"/>
    <w:rsid w:val="00D92DB9"/>
    <w:rsid w:val="00D9375F"/>
    <w:rsid w:val="00E0209D"/>
    <w:rsid w:val="00E17112"/>
    <w:rsid w:val="00E20720"/>
    <w:rsid w:val="00E311CB"/>
    <w:rsid w:val="00E35B3A"/>
    <w:rsid w:val="00E445D2"/>
    <w:rsid w:val="00E607E6"/>
    <w:rsid w:val="00E63192"/>
    <w:rsid w:val="00EC3147"/>
    <w:rsid w:val="00EC6886"/>
    <w:rsid w:val="00ED7342"/>
    <w:rsid w:val="00F06035"/>
    <w:rsid w:val="00F24074"/>
    <w:rsid w:val="00F32176"/>
    <w:rsid w:val="00F44320"/>
    <w:rsid w:val="00F50E38"/>
    <w:rsid w:val="00F510D3"/>
    <w:rsid w:val="00F65549"/>
    <w:rsid w:val="00F74C8E"/>
    <w:rsid w:val="00F87119"/>
    <w:rsid w:val="00F91510"/>
    <w:rsid w:val="00FA79D4"/>
    <w:rsid w:val="00FD5943"/>
    <w:rsid w:val="00FD6519"/>
    <w:rsid w:val="00FE400E"/>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91FF-C682-4EF0-86EB-7C74430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customStyle="1" w:styleId="AS-H1a">
    <w:name w:val="AS-H1a"/>
    <w:basedOn w:val="Normal"/>
    <w:link w:val="AS-H1aChar"/>
    <w:qFormat/>
    <w:rsid w:val="00D57A7D"/>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AS-H1aChar">
    <w:name w:val="AS-H1a Char"/>
    <w:basedOn w:val="DefaultParagraphFont"/>
    <w:link w:val="AS-H1a"/>
    <w:rsid w:val="00D57A7D"/>
    <w:rPr>
      <w:rFonts w:ascii="Arial" w:hAnsi="Arial" w:cs="Arial"/>
      <w:b/>
      <w:noProof/>
      <w:sz w:val="36"/>
      <w:szCs w:val="36"/>
      <w:lang w:val="en-GB" w:eastAsia="en-GB"/>
    </w:rPr>
  </w:style>
  <w:style w:type="paragraph" w:styleId="NoSpacing">
    <w:name w:val="No Spacing"/>
    <w:uiPriority w:val="1"/>
    <w:qFormat/>
    <w:rsid w:val="00D57A7D"/>
    <w:pPr>
      <w:spacing w:after="0" w:line="240" w:lineRule="auto"/>
    </w:pPr>
  </w:style>
  <w:style w:type="paragraph" w:customStyle="1" w:styleId="AS-P0">
    <w:name w:val="AS-P(0)"/>
    <w:basedOn w:val="Normal"/>
    <w:link w:val="AS-P0Char"/>
    <w:qFormat/>
    <w:rsid w:val="003C5515"/>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3C5515"/>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3C5515"/>
    <w:rPr>
      <w:rFonts w:ascii="Times New Roman" w:eastAsia="Times New Roman" w:hAnsi="Times New Roman" w:cs="Times New Roman"/>
      <w:noProof/>
      <w:lang w:val="en-GB" w:eastAsia="en-GB"/>
    </w:rPr>
  </w:style>
  <w:style w:type="paragraph" w:customStyle="1" w:styleId="AS-Pa">
    <w:name w:val="AS-P(a)"/>
    <w:basedOn w:val="Normal"/>
    <w:link w:val="AS-PaChar"/>
    <w:qFormat/>
    <w:rsid w:val="003C5515"/>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3C5515"/>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3C5515"/>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1D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C6"/>
    <w:rPr>
      <w:rFonts w:ascii="Segoe UI" w:hAnsi="Segoe UI" w:cs="Segoe UI"/>
      <w:sz w:val="18"/>
      <w:szCs w:val="18"/>
    </w:rPr>
  </w:style>
  <w:style w:type="paragraph" w:styleId="Header">
    <w:name w:val="header"/>
    <w:basedOn w:val="Normal"/>
    <w:link w:val="HeaderChar"/>
    <w:uiPriority w:val="99"/>
    <w:unhideWhenUsed/>
    <w:rsid w:val="0027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AE"/>
  </w:style>
  <w:style w:type="paragraph" w:styleId="Footer">
    <w:name w:val="footer"/>
    <w:basedOn w:val="Normal"/>
    <w:link w:val="FooterChar"/>
    <w:uiPriority w:val="99"/>
    <w:unhideWhenUsed/>
    <w:rsid w:val="0027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781">
      <w:bodyDiv w:val="1"/>
      <w:marLeft w:val="0"/>
      <w:marRight w:val="0"/>
      <w:marTop w:val="0"/>
      <w:marBottom w:val="0"/>
      <w:divBdr>
        <w:top w:val="none" w:sz="0" w:space="0" w:color="auto"/>
        <w:left w:val="none" w:sz="0" w:space="0" w:color="auto"/>
        <w:bottom w:val="none" w:sz="0" w:space="0" w:color="auto"/>
        <w:right w:val="none" w:sz="0" w:space="0" w:color="auto"/>
      </w:divBdr>
    </w:div>
    <w:div w:id="549918580">
      <w:bodyDiv w:val="1"/>
      <w:marLeft w:val="0"/>
      <w:marRight w:val="0"/>
      <w:marTop w:val="0"/>
      <w:marBottom w:val="0"/>
      <w:divBdr>
        <w:top w:val="none" w:sz="0" w:space="0" w:color="auto"/>
        <w:left w:val="none" w:sz="0" w:space="0" w:color="auto"/>
        <w:bottom w:val="none" w:sz="0" w:space="0" w:color="auto"/>
        <w:right w:val="none" w:sz="0" w:space="0" w:color="auto"/>
      </w:divBdr>
    </w:div>
    <w:div w:id="1524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Props1.xml><?xml version="1.0" encoding="utf-8"?>
<ds:datastoreItem xmlns:ds="http://schemas.openxmlformats.org/officeDocument/2006/customXml" ds:itemID="{701A9444-A438-4F39-A1B5-8C9DA36B45D1}"/>
</file>

<file path=customXml/itemProps2.xml><?xml version="1.0" encoding="utf-8"?>
<ds:datastoreItem xmlns:ds="http://schemas.openxmlformats.org/officeDocument/2006/customXml" ds:itemID="{C8B6F7AD-FA2E-4DB7-8696-77E1163644FA}"/>
</file>

<file path=customXml/itemProps3.xml><?xml version="1.0" encoding="utf-8"?>
<ds:datastoreItem xmlns:ds="http://schemas.openxmlformats.org/officeDocument/2006/customXml" ds:itemID="{E40B199D-09EF-48DD-8739-EF50B43CE46C}"/>
</file>

<file path=customXml/itemProps4.xml><?xml version="1.0" encoding="utf-8"?>
<ds:datastoreItem xmlns:ds="http://schemas.openxmlformats.org/officeDocument/2006/customXml" ds:itemID="{038AC31E-F102-4DC1-B7F6-448D4288A32F}"/>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Omar (CR 50-2020) [2020] NAHCMD 297 (17 July 2020)</dc:title>
  <dc:subject/>
  <dc:creator>Thomas Kasita</dc:creator>
  <cp:keywords/>
  <dc:description/>
  <cp:lastModifiedBy>Administrator</cp:lastModifiedBy>
  <cp:revision>4</cp:revision>
  <cp:lastPrinted>2020-07-17T06:57:00Z</cp:lastPrinted>
  <dcterms:created xsi:type="dcterms:W3CDTF">2020-07-17T09:28:00Z</dcterms:created>
  <dcterms:modified xsi:type="dcterms:W3CDTF">2020-07-17T09:29:00Z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