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F1" w:rsidRPr="00E7764F" w:rsidRDefault="002364F1" w:rsidP="002364F1">
      <w:pPr>
        <w:spacing w:after="0" w:line="360" w:lineRule="auto"/>
        <w:jc w:val="center"/>
        <w:rPr>
          <w:rFonts w:ascii="Arial" w:eastAsia="Calibri" w:hAnsi="Arial" w:cs="Arial"/>
          <w:b/>
          <w:sz w:val="24"/>
          <w:szCs w:val="24"/>
          <w:lang w:val="en-US"/>
        </w:rPr>
      </w:pPr>
      <w:r w:rsidRPr="00E7764F">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2975B578" wp14:editId="23BF73E5">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E106C" w:rsidRDefault="004E106C" w:rsidP="002364F1">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5B578"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4E106C" w:rsidRDefault="004E106C" w:rsidP="002364F1">
                      <w:pPr>
                        <w:jc w:val="center"/>
                      </w:pPr>
                      <w:r>
                        <w:t>NOT REPORTABLE</w:t>
                      </w:r>
                    </w:p>
                  </w:txbxContent>
                </v:textbox>
              </v:shape>
            </w:pict>
          </mc:Fallback>
        </mc:AlternateContent>
      </w:r>
      <w:r w:rsidRPr="00E7764F">
        <w:rPr>
          <w:rFonts w:ascii="Arial" w:eastAsia="Calibri" w:hAnsi="Arial" w:cs="Arial"/>
          <w:b/>
          <w:sz w:val="24"/>
          <w:szCs w:val="24"/>
          <w:lang w:val="en-US"/>
        </w:rPr>
        <w:t>REPUBLIC OF NAMIBIA</w:t>
      </w:r>
    </w:p>
    <w:p w:rsidR="002364F1" w:rsidRPr="00E7764F" w:rsidRDefault="002364F1" w:rsidP="002364F1">
      <w:pPr>
        <w:spacing w:after="0" w:line="360" w:lineRule="auto"/>
        <w:jc w:val="center"/>
        <w:rPr>
          <w:rFonts w:ascii="Calibri" w:eastAsia="Calibri" w:hAnsi="Calibri" w:cs="Times New Roman"/>
          <w:b/>
          <w:sz w:val="32"/>
          <w:szCs w:val="32"/>
          <w:lang w:val="en-US"/>
        </w:rPr>
      </w:pPr>
      <w:r w:rsidRPr="00E7764F">
        <w:rPr>
          <w:rFonts w:ascii="Calibri" w:eastAsia="Calibri" w:hAnsi="Calibri" w:cs="Times New Roman"/>
          <w:b/>
          <w:noProof/>
          <w:sz w:val="32"/>
          <w:szCs w:val="32"/>
          <w:lang w:val="en-US"/>
        </w:rPr>
        <w:drawing>
          <wp:inline distT="0" distB="0" distL="0" distR="0" wp14:anchorId="02CDCD9F" wp14:editId="2C55ED6F">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364F1" w:rsidRPr="00E7764F" w:rsidRDefault="002364F1" w:rsidP="002364F1">
      <w:pPr>
        <w:spacing w:after="0" w:line="360" w:lineRule="auto"/>
        <w:jc w:val="center"/>
        <w:rPr>
          <w:rFonts w:ascii="Arial" w:eastAsia="Calibri" w:hAnsi="Arial" w:cs="Arial"/>
          <w:bCs/>
          <w:sz w:val="24"/>
          <w:szCs w:val="24"/>
          <w:lang w:val="en-US"/>
        </w:rPr>
      </w:pPr>
      <w:r w:rsidRPr="00E7764F">
        <w:rPr>
          <w:rFonts w:ascii="Arial" w:eastAsia="Calibri" w:hAnsi="Arial" w:cs="Arial"/>
          <w:b/>
          <w:sz w:val="24"/>
          <w:szCs w:val="24"/>
          <w:lang w:val="en-US"/>
        </w:rPr>
        <w:t>HIGH COURT OF NAMIBIA MAIN DIVISION, WINDHOEK</w:t>
      </w:r>
    </w:p>
    <w:p w:rsidR="002364F1" w:rsidRPr="00E7764F" w:rsidRDefault="002364F1" w:rsidP="002364F1">
      <w:pPr>
        <w:spacing w:after="0" w:line="360" w:lineRule="auto"/>
        <w:jc w:val="center"/>
        <w:rPr>
          <w:rFonts w:ascii="Arial" w:eastAsia="Calibri" w:hAnsi="Arial" w:cs="Arial"/>
          <w:b/>
          <w:bCs/>
          <w:sz w:val="24"/>
          <w:szCs w:val="24"/>
          <w:lang w:val="en-US"/>
        </w:rPr>
      </w:pPr>
      <w:r w:rsidRPr="00E7764F">
        <w:rPr>
          <w:rFonts w:ascii="Arial" w:eastAsia="Calibri" w:hAnsi="Arial" w:cs="Arial"/>
          <w:b/>
          <w:bCs/>
          <w:sz w:val="24"/>
          <w:szCs w:val="24"/>
          <w:lang w:val="en-US"/>
        </w:rPr>
        <w:t>JUDGMENT</w:t>
      </w:r>
      <w:r w:rsidRPr="00B176EF">
        <w:rPr>
          <w:rFonts w:ascii="Arial" w:eastAsia="Calibri" w:hAnsi="Arial" w:cs="Arial"/>
          <w:b/>
          <w:bCs/>
          <w:sz w:val="24"/>
          <w:szCs w:val="24"/>
          <w:lang w:val="en-US"/>
        </w:rPr>
        <w:t xml:space="preserve"> </w:t>
      </w:r>
    </w:p>
    <w:p w:rsidR="002364F1" w:rsidRPr="00E7764F" w:rsidRDefault="002364F1" w:rsidP="002364F1">
      <w:pPr>
        <w:tabs>
          <w:tab w:val="right" w:pos="9000"/>
        </w:tabs>
        <w:spacing w:after="0" w:line="360" w:lineRule="auto"/>
        <w:jc w:val="both"/>
        <w:rPr>
          <w:rFonts w:ascii="Arial" w:eastAsia="Calibri" w:hAnsi="Arial" w:cs="Arial"/>
          <w:b/>
          <w:sz w:val="24"/>
          <w:szCs w:val="24"/>
          <w:lang w:val="en-US"/>
        </w:rPr>
      </w:pPr>
      <w:r w:rsidRPr="00E7764F">
        <w:rPr>
          <w:rFonts w:ascii="Arial" w:eastAsia="Calibri" w:hAnsi="Arial" w:cs="Arial"/>
          <w:b/>
          <w:sz w:val="24"/>
          <w:szCs w:val="24"/>
          <w:lang w:val="en-US"/>
        </w:rPr>
        <w:tab/>
      </w:r>
    </w:p>
    <w:p w:rsidR="002364F1" w:rsidRPr="00E7764F" w:rsidRDefault="002364F1" w:rsidP="002364F1">
      <w:pPr>
        <w:spacing w:after="0" w:line="360" w:lineRule="auto"/>
        <w:jc w:val="right"/>
        <w:rPr>
          <w:rFonts w:ascii="Arial" w:eastAsia="Calibri" w:hAnsi="Arial" w:cs="Arial"/>
          <w:sz w:val="24"/>
          <w:szCs w:val="24"/>
          <w:lang w:val="en-US"/>
        </w:rPr>
      </w:pPr>
      <w:r>
        <w:rPr>
          <w:rFonts w:ascii="Arial" w:hAnsi="Arial" w:cs="Arial"/>
          <w:sz w:val="24"/>
          <w:szCs w:val="24"/>
          <w:shd w:val="clear" w:color="auto" w:fill="FFFFFF"/>
        </w:rPr>
        <w:t>HC-MD-CIV-ACT-CON-2018/03628</w:t>
      </w:r>
    </w:p>
    <w:p w:rsidR="002364F1" w:rsidRPr="00E7764F" w:rsidRDefault="002364F1" w:rsidP="002364F1">
      <w:pPr>
        <w:spacing w:after="0" w:line="360" w:lineRule="auto"/>
        <w:jc w:val="both"/>
        <w:rPr>
          <w:rFonts w:ascii="Arial" w:eastAsia="Calibri" w:hAnsi="Arial" w:cs="Arial"/>
          <w:sz w:val="24"/>
          <w:szCs w:val="24"/>
          <w:lang w:val="en-US"/>
        </w:rPr>
      </w:pPr>
      <w:r w:rsidRPr="00E7764F">
        <w:rPr>
          <w:rFonts w:ascii="Arial" w:eastAsia="Calibri" w:hAnsi="Arial" w:cs="Arial"/>
          <w:sz w:val="24"/>
          <w:szCs w:val="24"/>
          <w:lang w:val="en-US"/>
        </w:rPr>
        <w:t>In the matter between:</w:t>
      </w:r>
    </w:p>
    <w:p w:rsidR="002364F1" w:rsidRPr="00E7764F" w:rsidRDefault="002364F1" w:rsidP="002364F1">
      <w:pPr>
        <w:keepNext/>
        <w:tabs>
          <w:tab w:val="right" w:pos="9000"/>
        </w:tabs>
        <w:spacing w:after="0" w:line="360" w:lineRule="auto"/>
        <w:jc w:val="both"/>
        <w:outlineLvl w:val="3"/>
        <w:rPr>
          <w:rFonts w:ascii="Arial" w:eastAsia="Times New Roman" w:hAnsi="Arial" w:cs="Arial"/>
          <w:b/>
          <w:sz w:val="28"/>
          <w:szCs w:val="24"/>
        </w:rPr>
      </w:pPr>
      <w:r w:rsidRPr="00E7764F">
        <w:rPr>
          <w:rFonts w:ascii="Arial" w:eastAsia="Times New Roman" w:hAnsi="Arial" w:cs="Arial"/>
          <w:b/>
          <w:sz w:val="24"/>
          <w:szCs w:val="24"/>
        </w:rPr>
        <w:t xml:space="preserve"> </w:t>
      </w:r>
    </w:p>
    <w:p w:rsidR="002364F1" w:rsidRPr="00E7764F" w:rsidRDefault="002364F1" w:rsidP="002364F1">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ENDOBO PROPERTIES CC </w:t>
      </w:r>
      <w:r w:rsidRPr="00E7764F">
        <w:rPr>
          <w:rFonts w:ascii="Arial" w:eastAsia="Calibri" w:hAnsi="Arial" w:cs="Arial"/>
          <w:b/>
          <w:sz w:val="24"/>
          <w:szCs w:val="24"/>
          <w:lang w:val="en-US"/>
        </w:rPr>
        <w:tab/>
        <w:t>PLAINTIFF</w:t>
      </w:r>
    </w:p>
    <w:p w:rsidR="002364F1" w:rsidRPr="00E7764F" w:rsidRDefault="002364F1" w:rsidP="002364F1">
      <w:pPr>
        <w:tabs>
          <w:tab w:val="right" w:pos="9000"/>
        </w:tabs>
        <w:spacing w:after="0" w:line="360" w:lineRule="auto"/>
        <w:jc w:val="both"/>
        <w:rPr>
          <w:rFonts w:ascii="Arial" w:eastAsia="Calibri" w:hAnsi="Arial" w:cs="Arial"/>
          <w:b/>
          <w:sz w:val="24"/>
          <w:szCs w:val="24"/>
          <w:lang w:val="en-US"/>
        </w:rPr>
      </w:pPr>
    </w:p>
    <w:p w:rsidR="002364F1" w:rsidRPr="00E7764F" w:rsidRDefault="002364F1" w:rsidP="002364F1">
      <w:pPr>
        <w:tabs>
          <w:tab w:val="right" w:pos="9000"/>
        </w:tabs>
        <w:spacing w:after="0" w:line="360" w:lineRule="auto"/>
        <w:jc w:val="both"/>
        <w:rPr>
          <w:rFonts w:ascii="Arial" w:eastAsia="Calibri" w:hAnsi="Arial" w:cs="Arial"/>
          <w:sz w:val="24"/>
          <w:szCs w:val="24"/>
          <w:lang w:val="en-US"/>
        </w:rPr>
      </w:pPr>
      <w:r w:rsidRPr="00E7764F">
        <w:rPr>
          <w:rFonts w:ascii="Arial" w:eastAsia="Calibri" w:hAnsi="Arial" w:cs="Arial"/>
          <w:sz w:val="24"/>
          <w:szCs w:val="24"/>
          <w:lang w:val="en-US"/>
        </w:rPr>
        <w:t xml:space="preserve">and </w:t>
      </w:r>
    </w:p>
    <w:p w:rsidR="002364F1" w:rsidRPr="006801EC" w:rsidRDefault="002364F1" w:rsidP="002364F1">
      <w:pPr>
        <w:tabs>
          <w:tab w:val="right" w:pos="9000"/>
        </w:tabs>
        <w:spacing w:after="0" w:line="360" w:lineRule="auto"/>
        <w:jc w:val="both"/>
        <w:rPr>
          <w:rFonts w:ascii="Arial" w:eastAsia="Calibri" w:hAnsi="Arial" w:cs="Arial"/>
          <w:b/>
          <w:sz w:val="24"/>
          <w:szCs w:val="24"/>
          <w:lang w:val="en-US"/>
        </w:rPr>
      </w:pP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PETRUS MUREMI NAMBUNDU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79D">
        <w:rPr>
          <w:rFonts w:ascii="Arial" w:hAnsi="Arial" w:cs="Arial"/>
          <w:b/>
          <w:sz w:val="24"/>
          <w:szCs w:val="24"/>
        </w:rPr>
        <w:t xml:space="preserve"> 1</w:t>
      </w:r>
      <w:r w:rsidRPr="0096779D">
        <w:rPr>
          <w:rFonts w:ascii="Arial" w:hAnsi="Arial" w:cs="Arial"/>
          <w:b/>
          <w:sz w:val="24"/>
          <w:szCs w:val="24"/>
          <w:vertAlign w:val="superscript"/>
        </w:rPr>
        <w:t>st</w:t>
      </w:r>
      <w:r w:rsidR="0096779D">
        <w:rPr>
          <w:rFonts w:ascii="Arial" w:hAnsi="Arial" w:cs="Arial"/>
          <w:b/>
          <w:sz w:val="24"/>
          <w:szCs w:val="24"/>
        </w:rPr>
        <w:t xml:space="preserve"> </w:t>
      </w:r>
      <w:r w:rsidRPr="006801EC">
        <w:rPr>
          <w:rFonts w:ascii="Arial" w:hAnsi="Arial" w:cs="Arial"/>
          <w:b/>
          <w:sz w:val="24"/>
          <w:szCs w:val="24"/>
        </w:rPr>
        <w:t xml:space="preserve">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SELMA NELAO ALPHEUS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79D">
        <w:rPr>
          <w:rFonts w:ascii="Arial" w:hAnsi="Arial" w:cs="Arial"/>
          <w:b/>
          <w:sz w:val="24"/>
          <w:szCs w:val="24"/>
        </w:rPr>
        <w:t>2</w:t>
      </w:r>
      <w:r w:rsidRPr="006801EC">
        <w:rPr>
          <w:rFonts w:ascii="Arial" w:hAnsi="Arial" w:cs="Arial"/>
          <w:b/>
          <w:sz w:val="24"/>
          <w:szCs w:val="24"/>
        </w:rPr>
        <w:t xml:space="preserve">nd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MARTIN MARTINO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79D">
        <w:rPr>
          <w:rFonts w:ascii="Arial" w:hAnsi="Arial" w:cs="Arial"/>
          <w:b/>
          <w:sz w:val="24"/>
          <w:szCs w:val="24"/>
        </w:rPr>
        <w:t>3</w:t>
      </w:r>
      <w:r w:rsidRPr="006801EC">
        <w:rPr>
          <w:rFonts w:ascii="Arial" w:hAnsi="Arial" w:cs="Arial"/>
          <w:b/>
          <w:sz w:val="24"/>
          <w:szCs w:val="24"/>
        </w:rPr>
        <w:t xml:space="preserve">rd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GUSTAV A GARISEB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79D">
        <w:rPr>
          <w:rFonts w:ascii="Arial" w:hAnsi="Arial" w:cs="Arial"/>
          <w:b/>
          <w:sz w:val="24"/>
          <w:szCs w:val="24"/>
        </w:rPr>
        <w:t xml:space="preserve"> 4</w:t>
      </w:r>
      <w:r w:rsidRPr="006801EC">
        <w:rPr>
          <w:rFonts w:ascii="Arial" w:hAnsi="Arial" w:cs="Arial"/>
          <w:b/>
          <w:sz w:val="24"/>
          <w:szCs w:val="24"/>
        </w:rPr>
        <w:t xml:space="preserve">th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MASONDE VIWANGU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79D">
        <w:rPr>
          <w:rFonts w:ascii="Arial" w:hAnsi="Arial" w:cs="Arial"/>
          <w:b/>
          <w:sz w:val="24"/>
          <w:szCs w:val="24"/>
        </w:rPr>
        <w:t>5</w:t>
      </w:r>
      <w:r w:rsidRPr="006801EC">
        <w:rPr>
          <w:rFonts w:ascii="Arial" w:hAnsi="Arial" w:cs="Arial"/>
          <w:b/>
          <w:sz w:val="24"/>
          <w:szCs w:val="24"/>
        </w:rPr>
        <w:t xml:space="preserve">th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BASILIUM KAGUWO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79D">
        <w:rPr>
          <w:rFonts w:ascii="Arial" w:hAnsi="Arial" w:cs="Arial"/>
          <w:b/>
          <w:sz w:val="24"/>
          <w:szCs w:val="24"/>
        </w:rPr>
        <w:t xml:space="preserve"> 6</w:t>
      </w:r>
      <w:r w:rsidRPr="006801EC">
        <w:rPr>
          <w:rFonts w:ascii="Arial" w:hAnsi="Arial" w:cs="Arial"/>
          <w:b/>
          <w:sz w:val="24"/>
          <w:szCs w:val="24"/>
        </w:rPr>
        <w:t xml:space="preserve">th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JOHANNES KANYANGA NDYAMBA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79D">
        <w:rPr>
          <w:rFonts w:ascii="Arial" w:hAnsi="Arial" w:cs="Arial"/>
          <w:b/>
          <w:sz w:val="24"/>
          <w:szCs w:val="24"/>
        </w:rPr>
        <w:t xml:space="preserve"> 7</w:t>
      </w:r>
      <w:r w:rsidRPr="006801EC">
        <w:rPr>
          <w:rFonts w:ascii="Arial" w:hAnsi="Arial" w:cs="Arial"/>
          <w:b/>
          <w:sz w:val="24"/>
          <w:szCs w:val="24"/>
        </w:rPr>
        <w:t xml:space="preserve">th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CHRISTOLINE KAMBAMBA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79D">
        <w:rPr>
          <w:rFonts w:ascii="Arial" w:hAnsi="Arial" w:cs="Arial"/>
          <w:b/>
          <w:sz w:val="24"/>
          <w:szCs w:val="24"/>
        </w:rPr>
        <w:t xml:space="preserve">  8</w:t>
      </w:r>
      <w:r w:rsidRPr="006801EC">
        <w:rPr>
          <w:rFonts w:ascii="Arial" w:hAnsi="Arial" w:cs="Arial"/>
          <w:b/>
          <w:sz w:val="24"/>
          <w:szCs w:val="24"/>
        </w:rPr>
        <w:t xml:space="preserve">th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SELONIKA UPINGASANA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79D">
        <w:rPr>
          <w:rFonts w:ascii="Arial" w:hAnsi="Arial" w:cs="Arial"/>
          <w:b/>
          <w:sz w:val="24"/>
          <w:szCs w:val="24"/>
        </w:rPr>
        <w:t xml:space="preserve">  9</w:t>
      </w:r>
      <w:r w:rsidRPr="006801EC">
        <w:rPr>
          <w:rFonts w:ascii="Arial" w:hAnsi="Arial" w:cs="Arial"/>
          <w:b/>
          <w:sz w:val="24"/>
          <w:szCs w:val="24"/>
        </w:rPr>
        <w:t xml:space="preserve">th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BERNHARD HIKUMUA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79D">
        <w:rPr>
          <w:rFonts w:ascii="Arial" w:hAnsi="Arial" w:cs="Arial"/>
          <w:b/>
          <w:sz w:val="24"/>
          <w:szCs w:val="24"/>
        </w:rPr>
        <w:t xml:space="preserve"> </w:t>
      </w:r>
      <w:r w:rsidRPr="006801EC">
        <w:rPr>
          <w:rFonts w:ascii="Arial" w:hAnsi="Arial" w:cs="Arial"/>
          <w:b/>
          <w:sz w:val="24"/>
          <w:szCs w:val="24"/>
        </w:rPr>
        <w:t xml:space="preserve">10th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FILLIP LOUIS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79D">
        <w:rPr>
          <w:rFonts w:ascii="Arial" w:hAnsi="Arial" w:cs="Arial"/>
          <w:b/>
          <w:sz w:val="24"/>
          <w:szCs w:val="24"/>
        </w:rPr>
        <w:t xml:space="preserve"> </w:t>
      </w:r>
      <w:r w:rsidRPr="006801EC">
        <w:rPr>
          <w:rFonts w:ascii="Arial" w:hAnsi="Arial" w:cs="Arial"/>
          <w:b/>
          <w:sz w:val="24"/>
          <w:szCs w:val="24"/>
        </w:rPr>
        <w:t xml:space="preserve">11th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FILLIPINE GOMUSAS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79D">
        <w:rPr>
          <w:rFonts w:ascii="Arial" w:hAnsi="Arial" w:cs="Arial"/>
          <w:b/>
          <w:sz w:val="24"/>
          <w:szCs w:val="24"/>
        </w:rPr>
        <w:t xml:space="preserve"> </w:t>
      </w:r>
      <w:r w:rsidRPr="006801EC">
        <w:rPr>
          <w:rFonts w:ascii="Arial" w:hAnsi="Arial" w:cs="Arial"/>
          <w:b/>
          <w:sz w:val="24"/>
          <w:szCs w:val="24"/>
        </w:rPr>
        <w:t xml:space="preserve">12th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IMMANUEL KATIVA SHILONDA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79D">
        <w:rPr>
          <w:rFonts w:ascii="Arial" w:hAnsi="Arial" w:cs="Arial"/>
          <w:b/>
          <w:sz w:val="24"/>
          <w:szCs w:val="24"/>
        </w:rPr>
        <w:t xml:space="preserve"> </w:t>
      </w:r>
      <w:r w:rsidRPr="006801EC">
        <w:rPr>
          <w:rFonts w:ascii="Arial" w:hAnsi="Arial" w:cs="Arial"/>
          <w:b/>
          <w:sz w:val="24"/>
          <w:szCs w:val="24"/>
        </w:rPr>
        <w:t xml:space="preserve">13th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EFAT PEJAMATJIKE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79D">
        <w:rPr>
          <w:rFonts w:ascii="Arial" w:hAnsi="Arial" w:cs="Arial"/>
          <w:b/>
          <w:sz w:val="24"/>
          <w:szCs w:val="24"/>
        </w:rPr>
        <w:t xml:space="preserve"> </w:t>
      </w:r>
      <w:r w:rsidRPr="006801EC">
        <w:rPr>
          <w:rFonts w:ascii="Arial" w:hAnsi="Arial" w:cs="Arial"/>
          <w:b/>
          <w:sz w:val="24"/>
          <w:szCs w:val="24"/>
        </w:rPr>
        <w:t xml:space="preserve">14th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lastRenderedPageBreak/>
        <w:t xml:space="preserve">LUCIA SABATHA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801EC">
        <w:rPr>
          <w:rFonts w:ascii="Arial" w:hAnsi="Arial" w:cs="Arial"/>
          <w:b/>
          <w:sz w:val="24"/>
          <w:szCs w:val="24"/>
        </w:rPr>
        <w:t xml:space="preserve">15th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NORMAN FILIYATI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801EC">
        <w:rPr>
          <w:rFonts w:ascii="Arial" w:hAnsi="Arial" w:cs="Arial"/>
          <w:b/>
          <w:sz w:val="24"/>
          <w:szCs w:val="24"/>
        </w:rPr>
        <w:t xml:space="preserve">16th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HELARIUS GOSBEB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801EC">
        <w:rPr>
          <w:rFonts w:ascii="Arial" w:hAnsi="Arial" w:cs="Arial"/>
          <w:b/>
          <w:sz w:val="24"/>
          <w:szCs w:val="24"/>
        </w:rPr>
        <w:t xml:space="preserve">17th DEFENDANT </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ANDREAS NDIMBA THIMBUNGA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801EC">
        <w:rPr>
          <w:rFonts w:ascii="Arial" w:hAnsi="Arial" w:cs="Arial"/>
          <w:b/>
          <w:sz w:val="24"/>
          <w:szCs w:val="24"/>
        </w:rPr>
        <w:t>18th DEFENDANT</w:t>
      </w:r>
    </w:p>
    <w:p w:rsidR="006801EC" w:rsidRPr="006801EC"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MARTINO MBIMBI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79D">
        <w:rPr>
          <w:rFonts w:ascii="Arial" w:hAnsi="Arial" w:cs="Arial"/>
          <w:b/>
          <w:sz w:val="24"/>
          <w:szCs w:val="24"/>
        </w:rPr>
        <w:tab/>
      </w:r>
      <w:r w:rsidRPr="006801EC">
        <w:rPr>
          <w:rFonts w:ascii="Arial" w:hAnsi="Arial" w:cs="Arial"/>
          <w:b/>
          <w:sz w:val="24"/>
          <w:szCs w:val="24"/>
        </w:rPr>
        <w:t xml:space="preserve">19th DEFENDANT </w:t>
      </w:r>
    </w:p>
    <w:p w:rsidR="002364F1" w:rsidRDefault="006801EC" w:rsidP="002364F1">
      <w:pPr>
        <w:spacing w:after="0" w:line="360" w:lineRule="auto"/>
        <w:jc w:val="both"/>
        <w:rPr>
          <w:rFonts w:ascii="Arial" w:hAnsi="Arial" w:cs="Arial"/>
          <w:b/>
          <w:sz w:val="24"/>
          <w:szCs w:val="24"/>
        </w:rPr>
      </w:pPr>
      <w:r w:rsidRPr="006801EC">
        <w:rPr>
          <w:rFonts w:ascii="Arial" w:hAnsi="Arial" w:cs="Arial"/>
          <w:b/>
          <w:sz w:val="24"/>
          <w:szCs w:val="24"/>
        </w:rPr>
        <w:t xml:space="preserve">SARA HASEB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801EC">
        <w:rPr>
          <w:rFonts w:ascii="Arial" w:hAnsi="Arial" w:cs="Arial"/>
          <w:b/>
          <w:sz w:val="24"/>
          <w:szCs w:val="24"/>
        </w:rPr>
        <w:t>20th DEFENDANT</w:t>
      </w:r>
    </w:p>
    <w:p w:rsidR="006801EC" w:rsidRPr="006801EC" w:rsidRDefault="006801EC" w:rsidP="002364F1">
      <w:pPr>
        <w:spacing w:after="0" w:line="360" w:lineRule="auto"/>
        <w:jc w:val="both"/>
        <w:rPr>
          <w:rFonts w:ascii="Arial" w:eastAsia="Calibri" w:hAnsi="Arial" w:cs="Arial"/>
          <w:b/>
          <w:sz w:val="24"/>
          <w:szCs w:val="24"/>
          <w:lang w:val="en-US"/>
        </w:rPr>
      </w:pPr>
    </w:p>
    <w:p w:rsidR="002364F1" w:rsidRPr="00E7764F" w:rsidRDefault="002364F1" w:rsidP="002364F1">
      <w:pPr>
        <w:spacing w:after="0" w:line="360" w:lineRule="auto"/>
        <w:rPr>
          <w:rFonts w:ascii="Arial" w:eastAsia="Calibri" w:hAnsi="Arial" w:cs="Arial"/>
          <w:sz w:val="24"/>
          <w:szCs w:val="24"/>
          <w:lang w:val="en-US"/>
        </w:rPr>
      </w:pPr>
      <w:r w:rsidRPr="00E7764F">
        <w:rPr>
          <w:rFonts w:ascii="Arial" w:eastAsia="Calibri" w:hAnsi="Arial" w:cs="Arial"/>
          <w:b/>
          <w:sz w:val="24"/>
          <w:szCs w:val="24"/>
          <w:lang w:val="en-US"/>
        </w:rPr>
        <w:t>Neutral citation:</w:t>
      </w:r>
      <w:r w:rsidRPr="00E7764F">
        <w:rPr>
          <w:rFonts w:ascii="Arial" w:eastAsia="Calibri" w:hAnsi="Arial" w:cs="Arial"/>
          <w:b/>
          <w:sz w:val="24"/>
          <w:szCs w:val="24"/>
          <w:lang w:val="en-US"/>
        </w:rPr>
        <w:tab/>
      </w:r>
      <w:r w:rsidR="006801EC">
        <w:rPr>
          <w:rFonts w:ascii="Arial" w:eastAsia="Calibri" w:hAnsi="Arial" w:cs="Arial"/>
          <w:i/>
          <w:sz w:val="24"/>
          <w:szCs w:val="24"/>
          <w:lang w:val="en-US"/>
        </w:rPr>
        <w:t>Endobo Properties CC</w:t>
      </w:r>
      <w:r>
        <w:rPr>
          <w:rFonts w:ascii="Arial" w:eastAsia="Calibri" w:hAnsi="Arial" w:cs="Arial"/>
          <w:i/>
          <w:sz w:val="24"/>
          <w:szCs w:val="24"/>
          <w:lang w:val="en-US"/>
        </w:rPr>
        <w:t xml:space="preserve"> v </w:t>
      </w:r>
      <w:r w:rsidR="0096779D">
        <w:rPr>
          <w:rFonts w:ascii="Arial" w:eastAsia="Calibri" w:hAnsi="Arial" w:cs="Arial"/>
          <w:i/>
          <w:sz w:val="24"/>
          <w:szCs w:val="24"/>
          <w:lang w:val="en-US"/>
        </w:rPr>
        <w:t>Nambundu</w:t>
      </w:r>
      <w:r w:rsidR="006801EC">
        <w:rPr>
          <w:rFonts w:ascii="Arial" w:eastAsia="Calibri" w:hAnsi="Arial" w:cs="Arial"/>
          <w:i/>
          <w:sz w:val="24"/>
          <w:szCs w:val="24"/>
          <w:lang w:val="en-US"/>
        </w:rPr>
        <w:t xml:space="preserve"> </w:t>
      </w:r>
      <w:r w:rsidRPr="00E7764F">
        <w:rPr>
          <w:rFonts w:ascii="Arial" w:eastAsia="Calibri" w:hAnsi="Arial" w:cs="Arial"/>
          <w:i/>
          <w:sz w:val="24"/>
          <w:szCs w:val="24"/>
          <w:lang w:val="en-US"/>
        </w:rPr>
        <w:t>(</w:t>
      </w:r>
      <w:r w:rsidRPr="00E7764F">
        <w:rPr>
          <w:rFonts w:ascii="Arial" w:eastAsia="Calibri" w:hAnsi="Arial" w:cs="Arial"/>
          <w:sz w:val="24"/>
          <w:szCs w:val="24"/>
          <w:lang w:val="en-US"/>
        </w:rPr>
        <w:t>HC-MD-CIV-ACT-</w:t>
      </w:r>
      <w:r w:rsidR="006801EC">
        <w:rPr>
          <w:rFonts w:ascii="Arial" w:eastAsia="Calibri" w:hAnsi="Arial" w:cs="Arial"/>
          <w:sz w:val="24"/>
          <w:szCs w:val="24"/>
          <w:lang w:val="en-US"/>
        </w:rPr>
        <w:t>CON</w:t>
      </w:r>
      <w:r w:rsidRPr="00E7764F">
        <w:rPr>
          <w:rFonts w:ascii="Arial" w:eastAsia="Calibri" w:hAnsi="Arial" w:cs="Arial"/>
          <w:sz w:val="24"/>
          <w:szCs w:val="24"/>
          <w:lang w:val="en-US"/>
        </w:rPr>
        <w:t>-</w:t>
      </w:r>
      <w:r w:rsidR="006801EC">
        <w:rPr>
          <w:rFonts w:ascii="Arial" w:eastAsia="Calibri" w:hAnsi="Arial" w:cs="Arial"/>
          <w:sz w:val="24"/>
          <w:szCs w:val="24"/>
          <w:lang w:val="en-US"/>
        </w:rPr>
        <w:t>2018</w:t>
      </w:r>
      <w:r>
        <w:rPr>
          <w:rFonts w:ascii="Arial" w:eastAsia="Calibri" w:hAnsi="Arial" w:cs="Arial"/>
          <w:sz w:val="24"/>
          <w:szCs w:val="24"/>
          <w:lang w:val="en-US"/>
        </w:rPr>
        <w:t>/0</w:t>
      </w:r>
      <w:r w:rsidR="006801EC">
        <w:rPr>
          <w:rFonts w:ascii="Arial" w:eastAsia="Calibri" w:hAnsi="Arial" w:cs="Arial"/>
          <w:sz w:val="24"/>
          <w:szCs w:val="24"/>
          <w:lang w:val="en-US"/>
        </w:rPr>
        <w:t>3628</w:t>
      </w:r>
      <w:r w:rsidRPr="00E7764F">
        <w:rPr>
          <w:rFonts w:ascii="Arial" w:eastAsia="Calibri" w:hAnsi="Arial" w:cs="Arial"/>
          <w:sz w:val="24"/>
          <w:szCs w:val="24"/>
          <w:lang w:val="en-US"/>
        </w:rPr>
        <w:t>) [2020] NAHCMD</w:t>
      </w:r>
      <w:r>
        <w:rPr>
          <w:rFonts w:ascii="Arial" w:eastAsia="Calibri" w:hAnsi="Arial" w:cs="Arial"/>
          <w:sz w:val="24"/>
          <w:szCs w:val="24"/>
          <w:lang w:val="en-US"/>
        </w:rPr>
        <w:t xml:space="preserve"> </w:t>
      </w:r>
      <w:r w:rsidR="002E4009">
        <w:rPr>
          <w:rFonts w:ascii="Arial" w:eastAsia="Calibri" w:hAnsi="Arial" w:cs="Arial"/>
          <w:sz w:val="24"/>
          <w:szCs w:val="24"/>
          <w:lang w:val="en-US"/>
        </w:rPr>
        <w:t>405</w:t>
      </w:r>
      <w:r w:rsidRPr="00E7764F">
        <w:rPr>
          <w:rFonts w:ascii="Arial" w:eastAsia="Calibri" w:hAnsi="Arial" w:cs="Arial"/>
          <w:sz w:val="24"/>
          <w:szCs w:val="24"/>
          <w:lang w:val="en-US"/>
        </w:rPr>
        <w:t xml:space="preserve"> (</w:t>
      </w:r>
      <w:r w:rsidR="006801EC">
        <w:rPr>
          <w:rFonts w:ascii="Arial" w:eastAsia="Calibri" w:hAnsi="Arial" w:cs="Arial"/>
          <w:sz w:val="24"/>
          <w:szCs w:val="24"/>
          <w:lang w:val="en-US"/>
        </w:rPr>
        <w:t>11 September</w:t>
      </w:r>
      <w:r w:rsidRPr="00E7764F">
        <w:rPr>
          <w:rFonts w:ascii="Arial" w:eastAsia="Calibri" w:hAnsi="Arial" w:cs="Arial"/>
          <w:sz w:val="24"/>
          <w:szCs w:val="24"/>
          <w:lang w:val="en-US"/>
        </w:rPr>
        <w:t xml:space="preserve"> 2020)</w:t>
      </w:r>
    </w:p>
    <w:p w:rsidR="002364F1" w:rsidRPr="00E7764F" w:rsidRDefault="002364F1" w:rsidP="002364F1">
      <w:pPr>
        <w:spacing w:after="0" w:line="360" w:lineRule="auto"/>
        <w:ind w:left="2160" w:hanging="2160"/>
        <w:jc w:val="both"/>
        <w:rPr>
          <w:rFonts w:ascii="Arial" w:eastAsia="Calibri" w:hAnsi="Arial" w:cs="Arial"/>
          <w:sz w:val="24"/>
          <w:szCs w:val="24"/>
          <w:lang w:val="en-US"/>
        </w:rPr>
      </w:pPr>
    </w:p>
    <w:p w:rsidR="002364F1" w:rsidRPr="00E7764F" w:rsidRDefault="002364F1" w:rsidP="002364F1">
      <w:pPr>
        <w:spacing w:after="0" w:line="360" w:lineRule="auto"/>
        <w:ind w:left="1440" w:hanging="1440"/>
        <w:jc w:val="both"/>
        <w:rPr>
          <w:rFonts w:ascii="Arial" w:eastAsia="Calibri" w:hAnsi="Arial" w:cs="Arial"/>
          <w:i/>
          <w:sz w:val="24"/>
          <w:szCs w:val="24"/>
          <w:lang w:val="en-US"/>
        </w:rPr>
      </w:pPr>
      <w:r w:rsidRPr="00E7764F">
        <w:rPr>
          <w:rFonts w:ascii="Arial" w:eastAsia="Calibri" w:hAnsi="Arial" w:cs="Arial"/>
          <w:b/>
          <w:sz w:val="24"/>
          <w:szCs w:val="24"/>
          <w:lang w:val="en-US"/>
        </w:rPr>
        <w:t>Coram:</w:t>
      </w:r>
      <w:r w:rsidRPr="00E7764F">
        <w:rPr>
          <w:rFonts w:ascii="Arial" w:eastAsia="Calibri" w:hAnsi="Arial" w:cs="Arial"/>
          <w:sz w:val="24"/>
          <w:szCs w:val="24"/>
          <w:lang w:val="en-US"/>
        </w:rPr>
        <w:tab/>
        <w:t>USIKU, J</w:t>
      </w:r>
      <w:r w:rsidRPr="00E7764F">
        <w:rPr>
          <w:rFonts w:ascii="Arial" w:eastAsia="Calibri" w:hAnsi="Arial" w:cs="Arial"/>
          <w:i/>
          <w:sz w:val="24"/>
          <w:szCs w:val="24"/>
          <w:lang w:val="en-US"/>
        </w:rPr>
        <w:t xml:space="preserve"> </w:t>
      </w:r>
    </w:p>
    <w:p w:rsidR="002364F1" w:rsidRPr="00E7764F" w:rsidRDefault="002364F1" w:rsidP="002364F1">
      <w:pPr>
        <w:spacing w:after="0" w:line="360" w:lineRule="auto"/>
        <w:ind w:left="1440" w:hanging="1440"/>
        <w:jc w:val="both"/>
        <w:rPr>
          <w:rFonts w:ascii="Arial" w:eastAsia="Calibri" w:hAnsi="Arial" w:cs="Arial"/>
          <w:b/>
          <w:sz w:val="24"/>
          <w:szCs w:val="24"/>
          <w:lang w:val="en-US"/>
        </w:rPr>
      </w:pPr>
      <w:r w:rsidRPr="00E7764F">
        <w:rPr>
          <w:rFonts w:ascii="Arial" w:eastAsia="Calibri" w:hAnsi="Arial" w:cs="Arial"/>
          <w:b/>
          <w:sz w:val="24"/>
          <w:szCs w:val="24"/>
          <w:lang w:val="en-US"/>
        </w:rPr>
        <w:t>Heard:</w:t>
      </w:r>
      <w:r w:rsidRPr="00E7764F">
        <w:rPr>
          <w:rFonts w:ascii="Arial" w:eastAsia="Calibri" w:hAnsi="Arial" w:cs="Arial"/>
          <w:b/>
          <w:sz w:val="24"/>
          <w:szCs w:val="24"/>
          <w:lang w:val="en-US"/>
        </w:rPr>
        <w:tab/>
      </w:r>
      <w:r w:rsidR="00577963">
        <w:rPr>
          <w:rFonts w:ascii="Arial" w:eastAsia="Calibri" w:hAnsi="Arial" w:cs="Arial"/>
          <w:b/>
          <w:sz w:val="24"/>
          <w:szCs w:val="24"/>
          <w:lang w:val="en-US"/>
        </w:rPr>
        <w:t>11,12,14,15 &amp;</w:t>
      </w:r>
      <w:bookmarkStart w:id="0" w:name="_GoBack"/>
      <w:bookmarkEnd w:id="0"/>
      <w:r w:rsidR="0015199D">
        <w:rPr>
          <w:rFonts w:ascii="Arial" w:eastAsia="Calibri" w:hAnsi="Arial" w:cs="Arial"/>
          <w:b/>
          <w:sz w:val="24"/>
          <w:szCs w:val="24"/>
          <w:lang w:val="en-US"/>
        </w:rPr>
        <w:t xml:space="preserve"> 19 May 2020</w:t>
      </w:r>
    </w:p>
    <w:p w:rsidR="002364F1" w:rsidRPr="00E7764F" w:rsidRDefault="002364F1" w:rsidP="002364F1">
      <w:pPr>
        <w:spacing w:after="0" w:line="360" w:lineRule="auto"/>
        <w:jc w:val="both"/>
        <w:rPr>
          <w:rFonts w:ascii="Arial" w:eastAsia="Calibri" w:hAnsi="Arial" w:cs="Arial"/>
          <w:b/>
          <w:sz w:val="24"/>
          <w:szCs w:val="24"/>
          <w:lang w:val="en-US"/>
        </w:rPr>
      </w:pPr>
      <w:r w:rsidRPr="00E7764F">
        <w:rPr>
          <w:rFonts w:ascii="Arial" w:eastAsia="Calibri" w:hAnsi="Arial" w:cs="Arial"/>
          <w:b/>
          <w:bCs/>
          <w:sz w:val="24"/>
          <w:szCs w:val="24"/>
          <w:lang w:val="en-US"/>
        </w:rPr>
        <w:t>Delivered</w:t>
      </w:r>
      <w:r w:rsidRPr="00E7764F">
        <w:rPr>
          <w:rFonts w:ascii="Arial" w:eastAsia="Calibri" w:hAnsi="Arial" w:cs="Arial"/>
          <w:sz w:val="24"/>
          <w:szCs w:val="24"/>
          <w:lang w:val="en-US"/>
        </w:rPr>
        <w:t>:</w:t>
      </w:r>
      <w:r w:rsidRPr="00E7764F">
        <w:rPr>
          <w:rFonts w:ascii="Arial" w:eastAsia="Calibri" w:hAnsi="Arial" w:cs="Arial"/>
          <w:sz w:val="24"/>
          <w:szCs w:val="24"/>
          <w:lang w:val="en-US"/>
        </w:rPr>
        <w:tab/>
      </w:r>
      <w:r w:rsidR="0015199D">
        <w:rPr>
          <w:rFonts w:ascii="Arial" w:eastAsia="Calibri" w:hAnsi="Arial" w:cs="Arial"/>
          <w:b/>
          <w:sz w:val="24"/>
          <w:szCs w:val="24"/>
          <w:lang w:val="en-US"/>
        </w:rPr>
        <w:t>11 September 2020</w:t>
      </w:r>
    </w:p>
    <w:p w:rsidR="002364F1" w:rsidRDefault="002364F1" w:rsidP="002364F1">
      <w:pPr>
        <w:spacing w:after="0" w:line="240" w:lineRule="auto"/>
        <w:jc w:val="both"/>
        <w:rPr>
          <w:rFonts w:ascii="Arial" w:eastAsia="Calibri" w:hAnsi="Arial" w:cs="Arial"/>
          <w:sz w:val="24"/>
          <w:szCs w:val="24"/>
          <w:lang w:val="en-US"/>
        </w:rPr>
      </w:pPr>
    </w:p>
    <w:p w:rsidR="002364F1" w:rsidRDefault="002364F1" w:rsidP="002364F1">
      <w:pPr>
        <w:spacing w:after="0" w:line="360" w:lineRule="auto"/>
        <w:jc w:val="both"/>
        <w:rPr>
          <w:rFonts w:ascii="Arial" w:eastAsia="Calibri" w:hAnsi="Arial" w:cs="Arial"/>
          <w:sz w:val="24"/>
          <w:szCs w:val="24"/>
          <w:lang w:val="en-US"/>
        </w:rPr>
      </w:pPr>
      <w:r>
        <w:rPr>
          <w:rFonts w:ascii="Arial" w:eastAsia="Calibri" w:hAnsi="Arial" w:cs="Arial"/>
          <w:b/>
          <w:sz w:val="24"/>
          <w:szCs w:val="24"/>
          <w:lang w:val="en-US"/>
        </w:rPr>
        <w:t>Flynote:</w:t>
      </w:r>
      <w:r>
        <w:rPr>
          <w:rFonts w:ascii="Arial" w:eastAsia="Calibri" w:hAnsi="Arial" w:cs="Arial"/>
          <w:b/>
          <w:sz w:val="24"/>
          <w:szCs w:val="24"/>
          <w:lang w:val="en-US"/>
        </w:rPr>
        <w:tab/>
      </w:r>
      <w:r w:rsidR="0015199D">
        <w:rPr>
          <w:rFonts w:ascii="Arial" w:eastAsia="Calibri" w:hAnsi="Arial" w:cs="Arial"/>
          <w:sz w:val="24"/>
          <w:szCs w:val="24"/>
          <w:lang w:val="en-US"/>
        </w:rPr>
        <w:t xml:space="preserve">Landlord and tenant </w:t>
      </w:r>
      <w:r>
        <w:rPr>
          <w:rFonts w:ascii="Arial" w:eastAsia="Calibri" w:hAnsi="Arial" w:cs="Arial"/>
          <w:sz w:val="24"/>
          <w:szCs w:val="24"/>
          <w:lang w:val="en-US"/>
        </w:rPr>
        <w:t xml:space="preserve">‒ </w:t>
      </w:r>
      <w:r w:rsidR="0015199D">
        <w:rPr>
          <w:rFonts w:ascii="Arial" w:eastAsia="Calibri" w:hAnsi="Arial" w:cs="Arial"/>
          <w:sz w:val="24"/>
          <w:szCs w:val="24"/>
          <w:lang w:val="en-US"/>
        </w:rPr>
        <w:t xml:space="preserve">Eviction from leased premises </w:t>
      </w:r>
      <w:r>
        <w:rPr>
          <w:rFonts w:ascii="Arial" w:eastAsia="Calibri" w:hAnsi="Arial" w:cs="Arial"/>
          <w:sz w:val="24"/>
          <w:szCs w:val="24"/>
          <w:lang w:val="en-US"/>
        </w:rPr>
        <w:t>‒</w:t>
      </w:r>
      <w:r w:rsidR="0015199D">
        <w:rPr>
          <w:rFonts w:ascii="Arial" w:eastAsia="Calibri" w:hAnsi="Arial" w:cs="Arial"/>
          <w:sz w:val="24"/>
          <w:szCs w:val="24"/>
          <w:lang w:val="en-US"/>
        </w:rPr>
        <w:t xml:space="preserve"> Plaintiff terminating lease agreement due to tenant not paying rent</w:t>
      </w:r>
      <w:r>
        <w:rPr>
          <w:rFonts w:ascii="Arial" w:eastAsia="Calibri" w:hAnsi="Arial" w:cs="Arial"/>
          <w:sz w:val="24"/>
          <w:szCs w:val="24"/>
          <w:lang w:val="en-US"/>
        </w:rPr>
        <w:t xml:space="preserve"> ‒ </w:t>
      </w:r>
      <w:r w:rsidR="0015199D">
        <w:rPr>
          <w:rFonts w:ascii="Arial" w:eastAsia="Calibri" w:hAnsi="Arial" w:cs="Arial"/>
          <w:sz w:val="24"/>
          <w:szCs w:val="24"/>
          <w:lang w:val="en-US"/>
        </w:rPr>
        <w:t xml:space="preserve">Tenant having decided to stop paying rent </w:t>
      </w:r>
      <w:r>
        <w:rPr>
          <w:rFonts w:ascii="Arial" w:eastAsia="Calibri" w:hAnsi="Arial" w:cs="Arial"/>
          <w:sz w:val="24"/>
          <w:szCs w:val="24"/>
          <w:lang w:val="en-US"/>
        </w:rPr>
        <w:t xml:space="preserve">‒ </w:t>
      </w:r>
      <w:r w:rsidR="0015199D">
        <w:rPr>
          <w:rFonts w:ascii="Arial" w:eastAsia="Calibri" w:hAnsi="Arial" w:cs="Arial"/>
          <w:sz w:val="24"/>
          <w:szCs w:val="24"/>
          <w:lang w:val="en-US"/>
        </w:rPr>
        <w:t xml:space="preserve">Tenant has to justify lawfulness of continued occupation of the premises </w:t>
      </w:r>
      <w:r>
        <w:rPr>
          <w:rFonts w:ascii="Arial" w:eastAsia="Calibri" w:hAnsi="Arial" w:cs="Arial"/>
          <w:sz w:val="24"/>
          <w:szCs w:val="24"/>
          <w:lang w:val="en-US"/>
        </w:rPr>
        <w:t xml:space="preserve">‒ </w:t>
      </w:r>
      <w:r w:rsidR="0015199D">
        <w:rPr>
          <w:rFonts w:ascii="Arial" w:eastAsia="Calibri" w:hAnsi="Arial" w:cs="Arial"/>
          <w:sz w:val="24"/>
          <w:szCs w:val="24"/>
          <w:lang w:val="en-US"/>
        </w:rPr>
        <w:t>Eviction granted.</w:t>
      </w:r>
    </w:p>
    <w:p w:rsidR="0015199D" w:rsidRDefault="0015199D" w:rsidP="002364F1">
      <w:pPr>
        <w:spacing w:after="0" w:line="360" w:lineRule="auto"/>
        <w:jc w:val="both"/>
        <w:rPr>
          <w:rFonts w:ascii="Arial" w:eastAsia="Calibri" w:hAnsi="Arial" w:cs="Arial"/>
          <w:sz w:val="24"/>
          <w:szCs w:val="24"/>
          <w:lang w:val="en-US"/>
        </w:rPr>
      </w:pPr>
    </w:p>
    <w:p w:rsidR="002364F1" w:rsidRPr="00747AFA" w:rsidRDefault="002364F1" w:rsidP="002364F1">
      <w:pPr>
        <w:spacing w:after="0" w:line="360" w:lineRule="auto"/>
        <w:jc w:val="both"/>
        <w:rPr>
          <w:rFonts w:ascii="Arial" w:eastAsia="Calibri" w:hAnsi="Arial" w:cs="Arial"/>
          <w:sz w:val="24"/>
          <w:szCs w:val="24"/>
          <w:lang w:val="en-US"/>
        </w:rPr>
      </w:pPr>
      <w:r w:rsidRPr="00747AFA">
        <w:rPr>
          <w:rFonts w:ascii="Arial" w:eastAsia="Calibri" w:hAnsi="Arial" w:cs="Arial"/>
          <w:b/>
          <w:sz w:val="24"/>
          <w:szCs w:val="24"/>
          <w:lang w:val="en-US"/>
        </w:rPr>
        <w:t>Summary:</w:t>
      </w:r>
      <w:r w:rsidRPr="00747AFA">
        <w:rPr>
          <w:rFonts w:ascii="Arial" w:eastAsia="Calibri" w:hAnsi="Arial" w:cs="Arial"/>
          <w:b/>
          <w:sz w:val="24"/>
          <w:szCs w:val="24"/>
          <w:lang w:val="en-US"/>
        </w:rPr>
        <w:tab/>
      </w:r>
      <w:r w:rsidR="00B65383">
        <w:rPr>
          <w:rFonts w:ascii="Arial" w:eastAsia="Calibri" w:hAnsi="Arial" w:cs="Arial"/>
          <w:sz w:val="24"/>
          <w:szCs w:val="24"/>
          <w:lang w:val="en-US"/>
        </w:rPr>
        <w:t>The plaintiff instituted</w:t>
      </w:r>
      <w:r w:rsidR="0015199D">
        <w:rPr>
          <w:rFonts w:ascii="Arial" w:eastAsia="Calibri" w:hAnsi="Arial" w:cs="Arial"/>
          <w:sz w:val="24"/>
          <w:szCs w:val="24"/>
          <w:lang w:val="en-US"/>
        </w:rPr>
        <w:t xml:space="preserve"> action for the eviction of the defendants from certain premises owned by</w:t>
      </w:r>
      <w:r w:rsidR="00B65383">
        <w:rPr>
          <w:rFonts w:ascii="Arial" w:eastAsia="Calibri" w:hAnsi="Arial" w:cs="Arial"/>
          <w:sz w:val="24"/>
          <w:szCs w:val="24"/>
          <w:lang w:val="en-US"/>
        </w:rPr>
        <w:t xml:space="preserve"> the plaintiff.  The defendants</w:t>
      </w:r>
      <w:r w:rsidR="0015199D">
        <w:rPr>
          <w:rFonts w:ascii="Arial" w:eastAsia="Calibri" w:hAnsi="Arial" w:cs="Arial"/>
          <w:sz w:val="24"/>
          <w:szCs w:val="24"/>
          <w:lang w:val="en-US"/>
        </w:rPr>
        <w:t xml:space="preserve"> defended the action and resisted the eviction on the ground</w:t>
      </w:r>
      <w:r w:rsidR="00AA37B3">
        <w:rPr>
          <w:rFonts w:ascii="Arial" w:eastAsia="Calibri" w:hAnsi="Arial" w:cs="Arial"/>
          <w:sz w:val="24"/>
          <w:szCs w:val="24"/>
          <w:lang w:val="en-US"/>
        </w:rPr>
        <w:t>,</w:t>
      </w:r>
      <w:r w:rsidR="0015199D">
        <w:rPr>
          <w:rFonts w:ascii="Arial" w:eastAsia="Calibri" w:hAnsi="Arial" w:cs="Arial"/>
          <w:sz w:val="24"/>
          <w:szCs w:val="24"/>
          <w:lang w:val="en-US"/>
        </w:rPr>
        <w:t xml:space="preserve"> among other things, that the plaintiff is</w:t>
      </w:r>
      <w:r w:rsidR="00B65383">
        <w:rPr>
          <w:rFonts w:ascii="Arial" w:eastAsia="Calibri" w:hAnsi="Arial" w:cs="Arial"/>
          <w:sz w:val="24"/>
          <w:szCs w:val="24"/>
          <w:lang w:val="en-US"/>
        </w:rPr>
        <w:t xml:space="preserve"> not</w:t>
      </w:r>
      <w:r w:rsidR="0015199D">
        <w:rPr>
          <w:rFonts w:ascii="Arial" w:eastAsia="Calibri" w:hAnsi="Arial" w:cs="Arial"/>
          <w:sz w:val="24"/>
          <w:szCs w:val="24"/>
          <w:lang w:val="en-US"/>
        </w:rPr>
        <w:t xml:space="preserve"> the owner of the premises.  The court held that the plaintiff has discharged its onus of proving ownership.  The court further held that the defendants have f</w:t>
      </w:r>
      <w:r w:rsidR="00B65383">
        <w:rPr>
          <w:rFonts w:ascii="Arial" w:eastAsia="Calibri" w:hAnsi="Arial" w:cs="Arial"/>
          <w:sz w:val="24"/>
          <w:szCs w:val="24"/>
          <w:lang w:val="en-US"/>
        </w:rPr>
        <w:t>ailed to discharge the</w:t>
      </w:r>
      <w:r w:rsidR="0015199D">
        <w:rPr>
          <w:rFonts w:ascii="Arial" w:eastAsia="Calibri" w:hAnsi="Arial" w:cs="Arial"/>
          <w:sz w:val="24"/>
          <w:szCs w:val="24"/>
          <w:lang w:val="en-US"/>
        </w:rPr>
        <w:t xml:space="preserve"> onus of establishing legal basis to occupy the premises against the will of the plaintiff.</w:t>
      </w:r>
    </w:p>
    <w:p w:rsidR="002364F1" w:rsidRPr="00E7764F" w:rsidRDefault="007D5168" w:rsidP="002364F1">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5" style="width:468pt;height:1.5pt" o:hralign="center" o:hrstd="t" o:hr="t" fillcolor="#a0a0a0" stroked="f"/>
        </w:pict>
      </w:r>
    </w:p>
    <w:p w:rsidR="002364F1" w:rsidRPr="00E7764F" w:rsidRDefault="002364F1" w:rsidP="002364F1">
      <w:pPr>
        <w:spacing w:after="0" w:line="360" w:lineRule="auto"/>
        <w:jc w:val="center"/>
        <w:rPr>
          <w:rFonts w:ascii="Arial" w:eastAsia="Calibri" w:hAnsi="Arial" w:cs="Arial"/>
          <w:b/>
          <w:bCs/>
          <w:sz w:val="24"/>
          <w:szCs w:val="24"/>
          <w:lang w:val="en-US"/>
        </w:rPr>
      </w:pPr>
      <w:r w:rsidRPr="00E7764F">
        <w:rPr>
          <w:rFonts w:ascii="Arial" w:eastAsia="Calibri" w:hAnsi="Arial" w:cs="Arial"/>
          <w:b/>
          <w:bCs/>
          <w:sz w:val="24"/>
          <w:szCs w:val="24"/>
          <w:lang w:val="en-US"/>
        </w:rPr>
        <w:t>ORDER</w:t>
      </w:r>
    </w:p>
    <w:p w:rsidR="002364F1" w:rsidRPr="00E7764F" w:rsidRDefault="007D5168" w:rsidP="002364F1">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68pt;height:1.5pt" o:hralign="center" o:hrstd="t" o:hr="t" fillcolor="#a0a0a0" stroked="f"/>
        </w:pict>
      </w:r>
    </w:p>
    <w:p w:rsidR="002364F1" w:rsidRDefault="002364F1" w:rsidP="00C366D6">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15199D">
        <w:rPr>
          <w:rFonts w:ascii="Arial" w:eastAsia="Calibri" w:hAnsi="Arial" w:cs="Arial"/>
          <w:sz w:val="24"/>
          <w:szCs w:val="24"/>
          <w:lang w:val="en-US"/>
        </w:rPr>
        <w:t>The cancellation by</w:t>
      </w:r>
      <w:r w:rsidR="001038DE">
        <w:rPr>
          <w:rFonts w:ascii="Arial" w:eastAsia="Calibri" w:hAnsi="Arial" w:cs="Arial"/>
          <w:sz w:val="24"/>
          <w:szCs w:val="24"/>
          <w:lang w:val="en-US"/>
        </w:rPr>
        <w:t xml:space="preserve"> the plaintiff of the defendant</w:t>
      </w:r>
      <w:r w:rsidR="0015199D">
        <w:rPr>
          <w:rFonts w:ascii="Arial" w:eastAsia="Calibri" w:hAnsi="Arial" w:cs="Arial"/>
          <w:sz w:val="24"/>
          <w:szCs w:val="24"/>
          <w:lang w:val="en-US"/>
        </w:rPr>
        <w:t>s</w:t>
      </w:r>
      <w:r w:rsidR="001038DE">
        <w:rPr>
          <w:rFonts w:ascii="Arial" w:eastAsia="Calibri" w:hAnsi="Arial" w:cs="Arial"/>
          <w:sz w:val="24"/>
          <w:szCs w:val="24"/>
          <w:lang w:val="en-US"/>
        </w:rPr>
        <w:t>’</w:t>
      </w:r>
      <w:r w:rsidR="0015199D">
        <w:rPr>
          <w:rFonts w:ascii="Arial" w:eastAsia="Calibri" w:hAnsi="Arial" w:cs="Arial"/>
          <w:sz w:val="24"/>
          <w:szCs w:val="24"/>
          <w:lang w:val="en-US"/>
        </w:rPr>
        <w:t xml:space="preserve"> lease agreements, is hereby confirmed.</w:t>
      </w:r>
    </w:p>
    <w:p w:rsidR="0015199D" w:rsidRPr="0015199D" w:rsidRDefault="0015199D" w:rsidP="00C366D6">
      <w:pPr>
        <w:spacing w:after="0" w:line="360" w:lineRule="auto"/>
        <w:ind w:left="720" w:hanging="720"/>
        <w:jc w:val="both"/>
        <w:rPr>
          <w:rFonts w:ascii="Arial" w:eastAsia="Calibri" w:hAnsi="Arial" w:cs="Arial"/>
          <w:i/>
          <w:sz w:val="24"/>
          <w:szCs w:val="24"/>
          <w:lang w:val="en-US"/>
        </w:rPr>
      </w:pPr>
      <w:r>
        <w:rPr>
          <w:rFonts w:ascii="Arial" w:eastAsia="Calibri" w:hAnsi="Arial" w:cs="Arial"/>
          <w:sz w:val="24"/>
          <w:szCs w:val="24"/>
          <w:lang w:val="en-US"/>
        </w:rPr>
        <w:lastRenderedPageBreak/>
        <w:t>2.</w:t>
      </w:r>
      <w:r>
        <w:rPr>
          <w:rFonts w:ascii="Arial" w:eastAsia="Calibri" w:hAnsi="Arial" w:cs="Arial"/>
          <w:sz w:val="24"/>
          <w:szCs w:val="24"/>
          <w:lang w:val="en-US"/>
        </w:rPr>
        <w:tab/>
        <w:t xml:space="preserve">The defendants and all persons holding under them, are evicted from the respective units listed in column 4 of annexure </w:t>
      </w:r>
      <w:r w:rsidRPr="0015199D">
        <w:rPr>
          <w:rFonts w:ascii="Arial" w:eastAsia="Calibri" w:hAnsi="Arial" w:cs="Arial"/>
          <w:i/>
          <w:sz w:val="24"/>
          <w:szCs w:val="24"/>
          <w:lang w:val="en-US"/>
        </w:rPr>
        <w:t>‘PO</w:t>
      </w:r>
      <w:r w:rsidR="001F48A4">
        <w:rPr>
          <w:rFonts w:ascii="Arial" w:eastAsia="Calibri" w:hAnsi="Arial" w:cs="Arial"/>
          <w:i/>
          <w:sz w:val="24"/>
          <w:szCs w:val="24"/>
          <w:lang w:val="en-US"/>
        </w:rPr>
        <w:t>C</w:t>
      </w:r>
      <w:r w:rsidRPr="0015199D">
        <w:rPr>
          <w:rFonts w:ascii="Arial" w:eastAsia="Calibri" w:hAnsi="Arial" w:cs="Arial"/>
          <w:i/>
          <w:sz w:val="24"/>
          <w:szCs w:val="24"/>
          <w:lang w:val="en-US"/>
        </w:rPr>
        <w:t>2’</w:t>
      </w:r>
      <w:r>
        <w:rPr>
          <w:rFonts w:ascii="Arial" w:eastAsia="Calibri" w:hAnsi="Arial" w:cs="Arial"/>
          <w:sz w:val="24"/>
          <w:szCs w:val="24"/>
          <w:lang w:val="en-US"/>
        </w:rPr>
        <w:t xml:space="preserve"> (annexed to the plaintiff’s particulars of claim) and from the immovable property as more fully described in </w:t>
      </w:r>
      <w:r>
        <w:rPr>
          <w:rFonts w:ascii="Arial" w:eastAsia="Calibri" w:hAnsi="Arial" w:cs="Arial"/>
          <w:i/>
          <w:sz w:val="24"/>
          <w:szCs w:val="24"/>
          <w:lang w:val="en-US"/>
        </w:rPr>
        <w:t>Deed of Transfer No.T.3258/2006.</w:t>
      </w:r>
    </w:p>
    <w:p w:rsidR="002364F1" w:rsidRDefault="002364F1" w:rsidP="00C366D6">
      <w:pPr>
        <w:spacing w:after="0" w:line="360" w:lineRule="auto"/>
        <w:ind w:left="720" w:hanging="720"/>
        <w:jc w:val="both"/>
        <w:rPr>
          <w:rFonts w:ascii="Arial" w:eastAsia="Calibri" w:hAnsi="Arial" w:cs="Arial"/>
          <w:sz w:val="24"/>
          <w:szCs w:val="24"/>
          <w:lang w:val="en-US"/>
        </w:rPr>
      </w:pPr>
    </w:p>
    <w:p w:rsidR="002364F1" w:rsidRDefault="00C366D6" w:rsidP="00C366D6">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3</w:t>
      </w:r>
      <w:r w:rsidR="002364F1">
        <w:rPr>
          <w:rFonts w:ascii="Arial" w:eastAsia="Calibri" w:hAnsi="Arial" w:cs="Arial"/>
          <w:sz w:val="24"/>
          <w:szCs w:val="24"/>
          <w:lang w:val="en-US"/>
        </w:rPr>
        <w:t>.</w:t>
      </w:r>
      <w:r w:rsidR="002364F1">
        <w:rPr>
          <w:rFonts w:ascii="Arial" w:eastAsia="Calibri" w:hAnsi="Arial" w:cs="Arial"/>
          <w:sz w:val="24"/>
          <w:szCs w:val="24"/>
          <w:lang w:val="en-US"/>
        </w:rPr>
        <w:tab/>
      </w:r>
      <w:r>
        <w:rPr>
          <w:rFonts w:ascii="Arial" w:eastAsia="Calibri" w:hAnsi="Arial" w:cs="Arial"/>
          <w:sz w:val="24"/>
          <w:szCs w:val="24"/>
          <w:lang w:val="en-US"/>
        </w:rPr>
        <w:t>Each defendant must vacate the property on or before 30 September 2020, failing which the deputy sheriff for the district of Tsumeb is hereby authorised and directed to evict the defendants and all persons holding under them.</w:t>
      </w:r>
    </w:p>
    <w:p w:rsidR="00C366D6" w:rsidRDefault="00C366D6" w:rsidP="00C366D6">
      <w:pPr>
        <w:spacing w:after="0" w:line="360" w:lineRule="auto"/>
        <w:ind w:left="720" w:hanging="720"/>
        <w:jc w:val="both"/>
        <w:rPr>
          <w:rFonts w:ascii="Arial" w:eastAsia="Calibri" w:hAnsi="Arial" w:cs="Arial"/>
          <w:sz w:val="24"/>
          <w:szCs w:val="24"/>
          <w:lang w:val="en-US"/>
        </w:rPr>
      </w:pPr>
    </w:p>
    <w:p w:rsidR="002364F1" w:rsidRDefault="00C366D6" w:rsidP="00C366D6">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defendants are ordered, jointly and severally, the one paying, the other to be absolved, to pay the costs of suit of the plaintiff, including wasted costs of the 11 and 12 May 2020 and such costs include costs of one instructing and one instructed counsel.</w:t>
      </w:r>
    </w:p>
    <w:p w:rsidR="00C366D6" w:rsidRDefault="00C366D6" w:rsidP="00C366D6">
      <w:pPr>
        <w:spacing w:after="0" w:line="360" w:lineRule="auto"/>
        <w:ind w:left="720" w:hanging="720"/>
        <w:jc w:val="both"/>
        <w:rPr>
          <w:rFonts w:ascii="Arial" w:eastAsia="Calibri" w:hAnsi="Arial" w:cs="Arial"/>
          <w:sz w:val="24"/>
          <w:szCs w:val="24"/>
          <w:lang w:val="en-US"/>
        </w:rPr>
      </w:pPr>
    </w:p>
    <w:p w:rsidR="00C366D6" w:rsidRDefault="00C366D6" w:rsidP="00C366D6">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The matter is removed from the roll and regarded finalised.</w:t>
      </w:r>
    </w:p>
    <w:p w:rsidR="002364F1" w:rsidRPr="00E7764F" w:rsidRDefault="007D5168" w:rsidP="002364F1">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68pt;height:1.5pt" o:hralign="center" o:hrstd="t" o:hr="t" fillcolor="#a0a0a0" stroked="f"/>
        </w:pict>
      </w:r>
    </w:p>
    <w:p w:rsidR="002364F1" w:rsidRPr="00E7764F" w:rsidRDefault="002364F1" w:rsidP="002364F1">
      <w:pPr>
        <w:spacing w:after="0" w:line="360" w:lineRule="auto"/>
        <w:jc w:val="center"/>
        <w:rPr>
          <w:rFonts w:ascii="Arial" w:eastAsia="Calibri" w:hAnsi="Arial" w:cs="Arial"/>
          <w:b/>
          <w:bCs/>
          <w:sz w:val="24"/>
          <w:szCs w:val="24"/>
          <w:lang w:val="en-US"/>
        </w:rPr>
      </w:pPr>
      <w:r w:rsidRPr="00E7764F">
        <w:rPr>
          <w:rFonts w:ascii="Arial" w:eastAsia="Calibri" w:hAnsi="Arial" w:cs="Arial"/>
          <w:b/>
          <w:bCs/>
          <w:sz w:val="24"/>
          <w:szCs w:val="24"/>
          <w:lang w:val="en-US"/>
        </w:rPr>
        <w:t>JUDGMENT</w:t>
      </w:r>
      <w:r>
        <w:rPr>
          <w:rFonts w:ascii="Arial" w:eastAsia="Calibri" w:hAnsi="Arial" w:cs="Arial"/>
          <w:b/>
          <w:bCs/>
          <w:sz w:val="24"/>
          <w:szCs w:val="24"/>
          <w:lang w:val="en-US"/>
        </w:rPr>
        <w:t xml:space="preserve"> </w:t>
      </w:r>
    </w:p>
    <w:p w:rsidR="002364F1" w:rsidRPr="00E7764F" w:rsidRDefault="007D5168" w:rsidP="002364F1">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8" style="width:468pt;height:1.5pt" o:hralign="center" o:hrstd="t" o:hr="t" fillcolor="#a0a0a0" stroked="f"/>
        </w:pict>
      </w:r>
    </w:p>
    <w:p w:rsidR="002364F1" w:rsidRPr="00E7764F" w:rsidRDefault="002364F1" w:rsidP="002364F1">
      <w:pPr>
        <w:spacing w:after="0" w:line="240" w:lineRule="auto"/>
        <w:ind w:left="1440" w:hanging="1440"/>
        <w:jc w:val="both"/>
        <w:rPr>
          <w:rFonts w:ascii="Arial" w:eastAsia="Calibri" w:hAnsi="Arial" w:cs="Arial"/>
          <w:sz w:val="24"/>
          <w:szCs w:val="24"/>
          <w:lang w:val="en-US"/>
        </w:rPr>
      </w:pPr>
    </w:p>
    <w:p w:rsidR="002364F1" w:rsidRPr="00E7764F" w:rsidRDefault="002364F1" w:rsidP="002364F1">
      <w:pPr>
        <w:spacing w:after="0" w:line="360" w:lineRule="auto"/>
        <w:ind w:left="1440" w:hanging="1440"/>
        <w:jc w:val="both"/>
        <w:rPr>
          <w:rFonts w:ascii="Arial" w:eastAsia="Calibri" w:hAnsi="Arial" w:cs="Arial"/>
          <w:b/>
          <w:i/>
          <w:sz w:val="24"/>
          <w:szCs w:val="24"/>
          <w:lang w:val="en-US"/>
        </w:rPr>
      </w:pPr>
      <w:r w:rsidRPr="00E7764F">
        <w:rPr>
          <w:rFonts w:ascii="Arial" w:eastAsia="Calibri" w:hAnsi="Arial" w:cs="Arial"/>
          <w:sz w:val="24"/>
          <w:szCs w:val="24"/>
          <w:lang w:val="en-US"/>
        </w:rPr>
        <w:t>USIKU, J:</w:t>
      </w:r>
    </w:p>
    <w:p w:rsidR="002364F1" w:rsidRPr="00E7764F" w:rsidRDefault="002364F1" w:rsidP="002364F1">
      <w:pPr>
        <w:spacing w:after="0" w:line="240" w:lineRule="auto"/>
        <w:jc w:val="both"/>
        <w:rPr>
          <w:rFonts w:ascii="Arial" w:eastAsia="Calibri" w:hAnsi="Arial" w:cs="Arial"/>
          <w:sz w:val="24"/>
          <w:szCs w:val="24"/>
          <w:lang w:val="en-US"/>
        </w:rPr>
      </w:pPr>
    </w:p>
    <w:p w:rsidR="002364F1" w:rsidRPr="00E7764F" w:rsidRDefault="002364F1" w:rsidP="002364F1">
      <w:pPr>
        <w:spacing w:after="0" w:line="360" w:lineRule="auto"/>
        <w:jc w:val="both"/>
        <w:rPr>
          <w:rFonts w:ascii="Arial" w:eastAsia="Calibri" w:hAnsi="Arial" w:cs="Arial"/>
          <w:sz w:val="24"/>
          <w:szCs w:val="24"/>
          <w:u w:val="single"/>
          <w:lang w:val="en-US"/>
        </w:rPr>
      </w:pPr>
      <w:r w:rsidRPr="00E7764F">
        <w:rPr>
          <w:rFonts w:ascii="Arial" w:eastAsia="Calibri" w:hAnsi="Arial" w:cs="Arial"/>
          <w:sz w:val="24"/>
          <w:szCs w:val="24"/>
          <w:u w:val="single"/>
          <w:lang w:val="en-US"/>
        </w:rPr>
        <w:t>Introduction</w:t>
      </w:r>
    </w:p>
    <w:p w:rsidR="002364F1" w:rsidRPr="00E7764F" w:rsidRDefault="002364F1" w:rsidP="002364F1">
      <w:pPr>
        <w:spacing w:after="0" w:line="240" w:lineRule="auto"/>
        <w:jc w:val="both"/>
        <w:rPr>
          <w:rFonts w:ascii="Arial" w:eastAsia="Calibri" w:hAnsi="Arial" w:cs="Arial"/>
          <w:sz w:val="24"/>
          <w:szCs w:val="24"/>
          <w:lang w:val="en-US"/>
        </w:rPr>
      </w:pPr>
    </w:p>
    <w:p w:rsidR="002364F1" w:rsidRDefault="002364F1" w:rsidP="0015199D">
      <w:pPr>
        <w:spacing w:line="360" w:lineRule="auto"/>
        <w:contextualSpacing/>
        <w:jc w:val="both"/>
        <w:rPr>
          <w:rFonts w:ascii="Arial" w:eastAsia="Calibri" w:hAnsi="Arial" w:cs="Arial"/>
          <w:sz w:val="24"/>
          <w:szCs w:val="24"/>
          <w:lang w:val="en-US"/>
        </w:rPr>
      </w:pPr>
      <w:r w:rsidRPr="00E7764F">
        <w:rPr>
          <w:rFonts w:ascii="Arial" w:eastAsia="Calibri" w:hAnsi="Arial" w:cs="Arial"/>
          <w:sz w:val="24"/>
          <w:szCs w:val="24"/>
          <w:lang w:val="en-US"/>
        </w:rPr>
        <w:t>[1]</w:t>
      </w:r>
      <w:r w:rsidRPr="00E7764F">
        <w:rPr>
          <w:rFonts w:ascii="Arial" w:eastAsia="Calibri" w:hAnsi="Arial" w:cs="Arial"/>
          <w:sz w:val="24"/>
          <w:szCs w:val="24"/>
          <w:lang w:val="en-US"/>
        </w:rPr>
        <w:tab/>
      </w:r>
      <w:r w:rsidR="00AB2A58">
        <w:rPr>
          <w:rFonts w:ascii="Arial" w:eastAsia="Calibri" w:hAnsi="Arial" w:cs="Arial"/>
          <w:sz w:val="24"/>
          <w:szCs w:val="24"/>
          <w:lang w:val="en-US"/>
        </w:rPr>
        <w:t xml:space="preserve">This is an action by the plaintiff for the eviction of twenty defendants from certain immovable property, as more fully described in column 4 of </w:t>
      </w:r>
      <w:r w:rsidR="00AB2A58" w:rsidRPr="00AB2A58">
        <w:rPr>
          <w:rFonts w:ascii="Arial" w:eastAsia="Calibri" w:hAnsi="Arial" w:cs="Arial"/>
          <w:i/>
          <w:sz w:val="24"/>
          <w:szCs w:val="24"/>
          <w:lang w:val="en-US"/>
        </w:rPr>
        <w:t>‘POC2’</w:t>
      </w:r>
      <w:r w:rsidR="00AB2A58">
        <w:rPr>
          <w:rFonts w:ascii="Arial" w:eastAsia="Calibri" w:hAnsi="Arial" w:cs="Arial"/>
          <w:sz w:val="24"/>
          <w:szCs w:val="24"/>
          <w:lang w:val="en-US"/>
        </w:rPr>
        <w:t xml:space="preserve"> annexed to the plaintiff’s particulars of claim.</w:t>
      </w:r>
    </w:p>
    <w:p w:rsidR="00AB2A58" w:rsidRDefault="00AB2A58" w:rsidP="0015199D">
      <w:pPr>
        <w:spacing w:line="360" w:lineRule="auto"/>
        <w:contextualSpacing/>
        <w:jc w:val="both"/>
        <w:rPr>
          <w:rFonts w:ascii="Arial" w:eastAsia="Calibri" w:hAnsi="Arial" w:cs="Arial"/>
          <w:sz w:val="24"/>
          <w:szCs w:val="24"/>
          <w:lang w:val="en-US"/>
        </w:rPr>
      </w:pPr>
    </w:p>
    <w:p w:rsidR="00AB2A58" w:rsidRPr="00AB2A58" w:rsidRDefault="00AB2A58" w:rsidP="0015199D">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plaintiff alleges that it is the owner of the immovable prope</w:t>
      </w:r>
      <w:r w:rsidR="007F4924">
        <w:rPr>
          <w:rFonts w:ascii="Arial" w:eastAsia="Calibri" w:hAnsi="Arial" w:cs="Arial"/>
          <w:sz w:val="24"/>
          <w:szCs w:val="24"/>
          <w:lang w:val="en-US"/>
        </w:rPr>
        <w:t>rty in question by virtue of it</w:t>
      </w:r>
      <w:r>
        <w:rPr>
          <w:rFonts w:ascii="Arial" w:eastAsia="Calibri" w:hAnsi="Arial" w:cs="Arial"/>
          <w:sz w:val="24"/>
          <w:szCs w:val="24"/>
          <w:lang w:val="en-US"/>
        </w:rPr>
        <w:t xml:space="preserve"> being the registered owner under </w:t>
      </w:r>
      <w:r>
        <w:rPr>
          <w:rFonts w:ascii="Arial" w:eastAsia="Calibri" w:hAnsi="Arial" w:cs="Arial"/>
          <w:i/>
          <w:sz w:val="24"/>
          <w:szCs w:val="24"/>
          <w:lang w:val="en-US"/>
        </w:rPr>
        <w:t xml:space="preserve">Deed of Transfer No.T.3258/2006.  </w:t>
      </w:r>
      <w:r>
        <w:rPr>
          <w:rFonts w:ascii="Arial" w:eastAsia="Calibri" w:hAnsi="Arial" w:cs="Arial"/>
          <w:sz w:val="24"/>
          <w:szCs w:val="24"/>
          <w:lang w:val="en-US"/>
        </w:rPr>
        <w:t xml:space="preserve">The plaintiff and each of the defendants entered into </w:t>
      </w:r>
      <w:r w:rsidR="003E0389">
        <w:rPr>
          <w:rFonts w:ascii="Arial" w:eastAsia="Calibri" w:hAnsi="Arial" w:cs="Arial"/>
          <w:sz w:val="24"/>
          <w:szCs w:val="24"/>
          <w:lang w:val="en-US"/>
        </w:rPr>
        <w:t xml:space="preserve">written lease agreements in respect of </w:t>
      </w:r>
      <w:r>
        <w:rPr>
          <w:rFonts w:ascii="Arial" w:eastAsia="Calibri" w:hAnsi="Arial" w:cs="Arial"/>
          <w:sz w:val="24"/>
          <w:szCs w:val="24"/>
          <w:lang w:val="en-US"/>
        </w:rPr>
        <w:t xml:space="preserve">respective units listed in column 4 of </w:t>
      </w:r>
      <w:r w:rsidRPr="00AB2A58">
        <w:rPr>
          <w:rFonts w:ascii="Arial" w:eastAsia="Calibri" w:hAnsi="Arial" w:cs="Arial"/>
          <w:i/>
          <w:sz w:val="24"/>
          <w:szCs w:val="24"/>
          <w:lang w:val="en-US"/>
        </w:rPr>
        <w:t>POC2</w:t>
      </w:r>
      <w:r>
        <w:rPr>
          <w:rFonts w:ascii="Arial" w:eastAsia="Calibri" w:hAnsi="Arial" w:cs="Arial"/>
          <w:i/>
          <w:sz w:val="24"/>
          <w:szCs w:val="24"/>
          <w:lang w:val="en-US"/>
        </w:rPr>
        <w:t>.</w:t>
      </w:r>
      <w:r w:rsidRPr="00AB2A58">
        <w:rPr>
          <w:rFonts w:ascii="Arial" w:eastAsia="Calibri" w:hAnsi="Arial" w:cs="Arial"/>
          <w:sz w:val="24"/>
          <w:szCs w:val="24"/>
          <w:lang w:val="en-US"/>
        </w:rPr>
        <w:t xml:space="preserve">  </w:t>
      </w:r>
      <w:r>
        <w:rPr>
          <w:rFonts w:ascii="Arial" w:eastAsia="Calibri" w:hAnsi="Arial" w:cs="Arial"/>
          <w:sz w:val="24"/>
          <w:szCs w:val="24"/>
          <w:lang w:val="en-US"/>
        </w:rPr>
        <w:t>In terms of the lease agreements each defendant was obliged to pay a monthly rental to the plaintiff in the amount agreed</w:t>
      </w:r>
      <w:r w:rsidR="00156929">
        <w:rPr>
          <w:rFonts w:ascii="Arial" w:eastAsia="Calibri" w:hAnsi="Arial" w:cs="Arial"/>
          <w:sz w:val="24"/>
          <w:szCs w:val="24"/>
          <w:lang w:val="en-US"/>
        </w:rPr>
        <w:t>,</w:t>
      </w:r>
      <w:r>
        <w:rPr>
          <w:rFonts w:ascii="Arial" w:eastAsia="Calibri" w:hAnsi="Arial" w:cs="Arial"/>
          <w:sz w:val="24"/>
          <w:szCs w:val="24"/>
          <w:lang w:val="en-US"/>
        </w:rPr>
        <w:t xml:space="preserve"> as </w:t>
      </w:r>
      <w:r>
        <w:rPr>
          <w:rFonts w:ascii="Arial" w:eastAsia="Calibri" w:hAnsi="Arial" w:cs="Arial"/>
          <w:sz w:val="24"/>
          <w:szCs w:val="24"/>
          <w:lang w:val="en-US"/>
        </w:rPr>
        <w:lastRenderedPageBreak/>
        <w:t xml:space="preserve">set out in column 7 of </w:t>
      </w:r>
      <w:r w:rsidRPr="00AB2A58">
        <w:rPr>
          <w:rFonts w:ascii="Arial" w:eastAsia="Calibri" w:hAnsi="Arial" w:cs="Arial"/>
          <w:i/>
          <w:sz w:val="24"/>
          <w:szCs w:val="24"/>
          <w:lang w:val="en-US"/>
        </w:rPr>
        <w:t>POC2</w:t>
      </w:r>
      <w:r>
        <w:rPr>
          <w:rFonts w:ascii="Arial" w:eastAsia="Calibri" w:hAnsi="Arial" w:cs="Arial"/>
          <w:i/>
          <w:sz w:val="24"/>
          <w:szCs w:val="24"/>
          <w:lang w:val="en-US"/>
        </w:rPr>
        <w:t>,</w:t>
      </w:r>
      <w:r>
        <w:rPr>
          <w:rFonts w:ascii="Arial" w:eastAsia="Calibri" w:hAnsi="Arial" w:cs="Arial"/>
          <w:sz w:val="24"/>
          <w:szCs w:val="24"/>
          <w:lang w:val="en-US"/>
        </w:rPr>
        <w:t xml:space="preserve"> which amount </w:t>
      </w:r>
      <w:r w:rsidR="008D3F78">
        <w:rPr>
          <w:rFonts w:ascii="Arial" w:eastAsia="Calibri" w:hAnsi="Arial" w:cs="Arial"/>
          <w:sz w:val="24"/>
          <w:szCs w:val="24"/>
          <w:lang w:val="en-US"/>
        </w:rPr>
        <w:t xml:space="preserve">escalates from time to time.  Failure to pay rent entitles the plaintiff to cancel the lease agreement.  In breach of their obligations in terms of the lease agreements, the defendants are in arrears with the rental, in respect of their respective units, as reflected in column 14 of </w:t>
      </w:r>
      <w:r w:rsidR="008D3F78" w:rsidRPr="008D3F78">
        <w:rPr>
          <w:rFonts w:ascii="Arial" w:eastAsia="Calibri" w:hAnsi="Arial" w:cs="Arial"/>
          <w:i/>
          <w:sz w:val="24"/>
          <w:szCs w:val="24"/>
          <w:lang w:val="en-US"/>
        </w:rPr>
        <w:t>POC2</w:t>
      </w:r>
      <w:r w:rsidR="008D3F78">
        <w:rPr>
          <w:rFonts w:ascii="Arial" w:eastAsia="Calibri" w:hAnsi="Arial" w:cs="Arial"/>
          <w:sz w:val="24"/>
          <w:szCs w:val="24"/>
          <w:lang w:val="en-US"/>
        </w:rPr>
        <w:t>, made up as per column 8 to 13 thereof.</w:t>
      </w:r>
    </w:p>
    <w:p w:rsidR="002364F1" w:rsidRDefault="002364F1" w:rsidP="002364F1">
      <w:pPr>
        <w:spacing w:after="0" w:line="360" w:lineRule="auto"/>
        <w:rPr>
          <w:rFonts w:ascii="Arial" w:eastAsia="Calibri" w:hAnsi="Arial" w:cs="Arial"/>
          <w:sz w:val="24"/>
          <w:szCs w:val="24"/>
          <w:lang w:val="en-US"/>
        </w:rPr>
      </w:pPr>
    </w:p>
    <w:p w:rsidR="002364F1" w:rsidRDefault="008D3F78"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plaintiff further avers that it herewith cancels the lease agreements and the defendants are required to vacate the premises.  The plaintiff</w:t>
      </w:r>
      <w:r w:rsidR="00285B21">
        <w:rPr>
          <w:rFonts w:ascii="Arial" w:eastAsia="Calibri" w:hAnsi="Arial" w:cs="Arial"/>
          <w:sz w:val="24"/>
          <w:szCs w:val="24"/>
          <w:lang w:val="en-US"/>
        </w:rPr>
        <w:t>,</w:t>
      </w:r>
      <w:r>
        <w:rPr>
          <w:rFonts w:ascii="Arial" w:eastAsia="Calibri" w:hAnsi="Arial" w:cs="Arial"/>
          <w:sz w:val="24"/>
          <w:szCs w:val="24"/>
          <w:lang w:val="en-US"/>
        </w:rPr>
        <w:t xml:space="preserve"> therefore</w:t>
      </w:r>
      <w:r w:rsidR="00285B21">
        <w:rPr>
          <w:rFonts w:ascii="Arial" w:eastAsia="Calibri" w:hAnsi="Arial" w:cs="Arial"/>
          <w:sz w:val="24"/>
          <w:szCs w:val="24"/>
          <w:lang w:val="en-US"/>
        </w:rPr>
        <w:t>,</w:t>
      </w:r>
      <w:r>
        <w:rPr>
          <w:rFonts w:ascii="Arial" w:eastAsia="Calibri" w:hAnsi="Arial" w:cs="Arial"/>
          <w:sz w:val="24"/>
          <w:szCs w:val="24"/>
          <w:lang w:val="en-US"/>
        </w:rPr>
        <w:t xml:space="preserve"> prays for an order:</w:t>
      </w:r>
    </w:p>
    <w:p w:rsidR="008D3F78" w:rsidRDefault="008D3F78"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(a) confirming the cancellation of the lease agreements;</w:t>
      </w:r>
    </w:p>
    <w:p w:rsidR="008D3F78" w:rsidRDefault="008D3F78"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(b) evicting each defendant from respective units listed in column 4 of POC2 and from the immovable property;</w:t>
      </w:r>
    </w:p>
    <w:p w:rsidR="008D3F78" w:rsidRDefault="008D3F78"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(c) costs of suit, and,</w:t>
      </w:r>
    </w:p>
    <w:p w:rsidR="008D3F78" w:rsidRDefault="008D3F78"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(d) further and/or alternative relief.</w:t>
      </w:r>
    </w:p>
    <w:p w:rsidR="005A4618" w:rsidRDefault="005A4618" w:rsidP="002364F1">
      <w:pPr>
        <w:spacing w:line="360" w:lineRule="auto"/>
        <w:contextualSpacing/>
        <w:jc w:val="both"/>
        <w:rPr>
          <w:rFonts w:ascii="Arial" w:eastAsia="Calibri" w:hAnsi="Arial" w:cs="Arial"/>
          <w:sz w:val="24"/>
          <w:szCs w:val="24"/>
          <w:lang w:val="en-US"/>
        </w:rPr>
      </w:pPr>
    </w:p>
    <w:p w:rsidR="005A4618" w:rsidRDefault="005A4618"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 xml:space="preserve">The defendants defend the action.  In their pleas, the defendants dispute that the plaintiff is the lawful owner of the immovable property in question and put the plaintiff to proof thereof.  The defendants further allege that </w:t>
      </w:r>
      <w:r w:rsidRPr="005A4618">
        <w:rPr>
          <w:rFonts w:ascii="Arial" w:eastAsia="Calibri" w:hAnsi="Arial" w:cs="Arial"/>
          <w:i/>
          <w:sz w:val="24"/>
          <w:szCs w:val="24"/>
          <w:lang w:val="en-US"/>
        </w:rPr>
        <w:t>Deed of Transfer No.T.3258/2006</w:t>
      </w:r>
      <w:r>
        <w:rPr>
          <w:rFonts w:ascii="Arial" w:eastAsia="Calibri" w:hAnsi="Arial" w:cs="Arial"/>
          <w:sz w:val="24"/>
          <w:szCs w:val="24"/>
          <w:lang w:val="en-US"/>
        </w:rPr>
        <w:t>, under which the plaintiff hold</w:t>
      </w:r>
      <w:r w:rsidR="00285B21">
        <w:rPr>
          <w:rFonts w:ascii="Arial" w:eastAsia="Calibri" w:hAnsi="Arial" w:cs="Arial"/>
          <w:sz w:val="24"/>
          <w:szCs w:val="24"/>
          <w:lang w:val="en-US"/>
        </w:rPr>
        <w:t>s</w:t>
      </w:r>
      <w:r>
        <w:rPr>
          <w:rFonts w:ascii="Arial" w:eastAsia="Calibri" w:hAnsi="Arial" w:cs="Arial"/>
          <w:sz w:val="24"/>
          <w:szCs w:val="24"/>
          <w:lang w:val="en-US"/>
        </w:rPr>
        <w:t xml:space="preserve"> the property, is void and of no effect.  The defendants allege </w:t>
      </w:r>
      <w:r w:rsidR="009B7532">
        <w:rPr>
          <w:rFonts w:ascii="Arial" w:eastAsia="Calibri" w:hAnsi="Arial" w:cs="Arial"/>
          <w:sz w:val="24"/>
          <w:szCs w:val="24"/>
          <w:lang w:val="en-US"/>
        </w:rPr>
        <w:t>that the entity which transferred the property to the plaintiff (namely</w:t>
      </w:r>
      <w:r w:rsidR="00285B21">
        <w:rPr>
          <w:rFonts w:ascii="Arial" w:eastAsia="Calibri" w:hAnsi="Arial" w:cs="Arial"/>
          <w:sz w:val="24"/>
          <w:szCs w:val="24"/>
          <w:lang w:val="en-US"/>
        </w:rPr>
        <w:t>:</w:t>
      </w:r>
      <w:r w:rsidR="009B7532">
        <w:rPr>
          <w:rFonts w:ascii="Arial" w:eastAsia="Calibri" w:hAnsi="Arial" w:cs="Arial"/>
          <w:sz w:val="24"/>
          <w:szCs w:val="24"/>
          <w:lang w:val="en-US"/>
        </w:rPr>
        <w:t xml:space="preserve"> Ongopolo Mining Limited) was not the lawful owner of the property and could not lawfully transfer the property.</w:t>
      </w:r>
    </w:p>
    <w:p w:rsidR="009B7532" w:rsidRDefault="009B7532" w:rsidP="002364F1">
      <w:pPr>
        <w:spacing w:line="360" w:lineRule="auto"/>
        <w:contextualSpacing/>
        <w:jc w:val="both"/>
        <w:rPr>
          <w:rFonts w:ascii="Arial" w:eastAsia="Calibri" w:hAnsi="Arial" w:cs="Arial"/>
          <w:sz w:val="24"/>
          <w:szCs w:val="24"/>
          <w:lang w:val="en-US"/>
        </w:rPr>
      </w:pPr>
    </w:p>
    <w:p w:rsidR="009B7532" w:rsidRPr="009B7532" w:rsidRDefault="009B7532"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 xml:space="preserve">In the alternative, the defendants plead that the property is leased by the plaintiff to the defendants, as a </w:t>
      </w:r>
      <w:r w:rsidRPr="009B7532">
        <w:rPr>
          <w:rFonts w:ascii="Arial" w:eastAsia="Calibri" w:hAnsi="Arial" w:cs="Arial"/>
          <w:i/>
          <w:sz w:val="24"/>
          <w:szCs w:val="24"/>
          <w:lang w:val="en-US"/>
        </w:rPr>
        <w:t>‘dwelling’</w:t>
      </w:r>
      <w:r>
        <w:rPr>
          <w:rFonts w:ascii="Arial" w:eastAsia="Calibri" w:hAnsi="Arial" w:cs="Arial"/>
          <w:i/>
          <w:sz w:val="24"/>
          <w:szCs w:val="24"/>
          <w:lang w:val="en-US"/>
        </w:rPr>
        <w:t xml:space="preserve"> </w:t>
      </w:r>
      <w:r>
        <w:rPr>
          <w:rFonts w:ascii="Arial" w:eastAsia="Calibri" w:hAnsi="Arial" w:cs="Arial"/>
          <w:sz w:val="24"/>
          <w:szCs w:val="24"/>
          <w:lang w:val="en-US"/>
        </w:rPr>
        <w:t xml:space="preserve">within the meaning of section 1 of the </w:t>
      </w:r>
      <w:r w:rsidRPr="009B7532">
        <w:rPr>
          <w:rFonts w:ascii="Arial" w:eastAsia="Calibri" w:hAnsi="Arial" w:cs="Arial"/>
          <w:i/>
          <w:sz w:val="24"/>
          <w:szCs w:val="24"/>
          <w:lang w:val="en-US"/>
        </w:rPr>
        <w:t>Rents Ordinance 13 of 1977</w:t>
      </w:r>
      <w:r>
        <w:rPr>
          <w:rFonts w:ascii="Arial" w:eastAsia="Calibri" w:hAnsi="Arial" w:cs="Arial"/>
          <w:sz w:val="24"/>
          <w:szCs w:val="24"/>
          <w:lang w:val="en-US"/>
        </w:rPr>
        <w:t xml:space="preserve"> (‘</w:t>
      </w:r>
      <w:r w:rsidRPr="009B7532">
        <w:rPr>
          <w:rFonts w:ascii="Arial" w:eastAsia="Calibri" w:hAnsi="Arial" w:cs="Arial"/>
          <w:i/>
          <w:sz w:val="24"/>
          <w:szCs w:val="24"/>
          <w:lang w:val="en-US"/>
        </w:rPr>
        <w:t>the Ordinance’</w:t>
      </w:r>
      <w:r>
        <w:rPr>
          <w:rFonts w:ascii="Arial" w:eastAsia="Calibri" w:hAnsi="Arial" w:cs="Arial"/>
          <w:sz w:val="24"/>
          <w:szCs w:val="24"/>
          <w:lang w:val="en-US"/>
        </w:rPr>
        <w:t xml:space="preserve">).  In terms of </w:t>
      </w:r>
      <w:r w:rsidRPr="009B7532">
        <w:rPr>
          <w:rFonts w:ascii="Arial" w:eastAsia="Calibri" w:hAnsi="Arial" w:cs="Arial"/>
          <w:i/>
          <w:sz w:val="24"/>
          <w:szCs w:val="24"/>
          <w:lang w:val="en-US"/>
        </w:rPr>
        <w:t>section 32(1)</w:t>
      </w:r>
      <w:r>
        <w:rPr>
          <w:rFonts w:ascii="Arial" w:eastAsia="Calibri" w:hAnsi="Arial" w:cs="Arial"/>
          <w:sz w:val="24"/>
          <w:szCs w:val="24"/>
          <w:lang w:val="en-US"/>
        </w:rPr>
        <w:t xml:space="preserve"> of the </w:t>
      </w:r>
      <w:r w:rsidRPr="009B7532">
        <w:rPr>
          <w:rFonts w:ascii="Arial" w:eastAsia="Calibri" w:hAnsi="Arial" w:cs="Arial"/>
          <w:i/>
          <w:sz w:val="24"/>
          <w:szCs w:val="24"/>
          <w:lang w:val="en-US"/>
        </w:rPr>
        <w:t>Ordinance</w:t>
      </w:r>
      <w:r>
        <w:rPr>
          <w:rFonts w:ascii="Arial" w:eastAsia="Calibri" w:hAnsi="Arial" w:cs="Arial"/>
          <w:sz w:val="24"/>
          <w:szCs w:val="24"/>
          <w:lang w:val="en-US"/>
        </w:rPr>
        <w:t xml:space="preserve">, the plaintiff is required to give the defendants at least three (3) months’ notice, to vacate the premises.  The notice to vacate the premises given by the plaintiff to the defendants falls short of the requirements of </w:t>
      </w:r>
      <w:r w:rsidR="00285B21">
        <w:rPr>
          <w:rFonts w:ascii="Arial" w:eastAsia="Calibri" w:hAnsi="Arial" w:cs="Arial"/>
          <w:i/>
          <w:sz w:val="24"/>
          <w:szCs w:val="24"/>
          <w:lang w:val="en-US"/>
        </w:rPr>
        <w:t xml:space="preserve">section </w:t>
      </w:r>
      <w:r w:rsidRPr="009F6F47">
        <w:rPr>
          <w:rFonts w:ascii="Arial" w:eastAsia="Calibri" w:hAnsi="Arial" w:cs="Arial"/>
          <w:i/>
          <w:sz w:val="24"/>
          <w:szCs w:val="24"/>
          <w:lang w:val="en-US"/>
        </w:rPr>
        <w:t>3</w:t>
      </w:r>
      <w:r w:rsidR="00285B21">
        <w:rPr>
          <w:rFonts w:ascii="Arial" w:eastAsia="Calibri" w:hAnsi="Arial" w:cs="Arial"/>
          <w:i/>
          <w:sz w:val="24"/>
          <w:szCs w:val="24"/>
          <w:lang w:val="en-US"/>
        </w:rPr>
        <w:t>2</w:t>
      </w:r>
      <w:r w:rsidRPr="009F6F47">
        <w:rPr>
          <w:rFonts w:ascii="Arial" w:eastAsia="Calibri" w:hAnsi="Arial" w:cs="Arial"/>
          <w:i/>
          <w:sz w:val="24"/>
          <w:szCs w:val="24"/>
          <w:lang w:val="en-US"/>
        </w:rPr>
        <w:t>(1)</w:t>
      </w:r>
      <w:r>
        <w:rPr>
          <w:rFonts w:ascii="Arial" w:eastAsia="Calibri" w:hAnsi="Arial" w:cs="Arial"/>
          <w:sz w:val="24"/>
          <w:szCs w:val="24"/>
          <w:lang w:val="en-US"/>
        </w:rPr>
        <w:t xml:space="preserve"> and such notice is of no legal effect or consequence.</w:t>
      </w:r>
    </w:p>
    <w:p w:rsidR="005A4618" w:rsidRDefault="005A4618" w:rsidP="002364F1">
      <w:pPr>
        <w:spacing w:line="360" w:lineRule="auto"/>
        <w:contextualSpacing/>
        <w:jc w:val="both"/>
        <w:rPr>
          <w:rFonts w:ascii="Arial" w:eastAsia="Calibri" w:hAnsi="Arial" w:cs="Arial"/>
          <w:sz w:val="24"/>
          <w:szCs w:val="24"/>
          <w:lang w:val="en-US"/>
        </w:rPr>
      </w:pPr>
    </w:p>
    <w:p w:rsidR="005A4618" w:rsidRDefault="00826BF1"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lastRenderedPageBreak/>
        <w:t>[6]</w:t>
      </w:r>
      <w:r>
        <w:rPr>
          <w:rFonts w:ascii="Arial" w:eastAsia="Calibri" w:hAnsi="Arial" w:cs="Arial"/>
          <w:sz w:val="24"/>
          <w:szCs w:val="24"/>
          <w:lang w:val="en-US"/>
        </w:rPr>
        <w:tab/>
        <w:t>In the further alternative, the defendants plead that when the defendants executed their respective lease agreements, the plaintiff was not the lawful owner or possessor of the property and, therefore, the defendants are entitled to resist the eviction.</w:t>
      </w:r>
    </w:p>
    <w:p w:rsidR="00826BF1" w:rsidRDefault="00826BF1" w:rsidP="002364F1">
      <w:pPr>
        <w:spacing w:line="360" w:lineRule="auto"/>
        <w:contextualSpacing/>
        <w:jc w:val="both"/>
        <w:rPr>
          <w:rFonts w:ascii="Arial" w:eastAsia="Calibri" w:hAnsi="Arial" w:cs="Arial"/>
          <w:sz w:val="24"/>
          <w:szCs w:val="24"/>
          <w:lang w:val="en-US"/>
        </w:rPr>
      </w:pPr>
    </w:p>
    <w:p w:rsidR="00826BF1" w:rsidRPr="001B13C0" w:rsidRDefault="00826BF1" w:rsidP="002364F1">
      <w:pPr>
        <w:spacing w:line="360" w:lineRule="auto"/>
        <w:contextualSpacing/>
        <w:jc w:val="both"/>
        <w:rPr>
          <w:rFonts w:ascii="Arial" w:eastAsia="Calibri" w:hAnsi="Arial" w:cs="Arial"/>
          <w:sz w:val="24"/>
          <w:szCs w:val="24"/>
          <w:u w:val="single"/>
          <w:lang w:val="en-US"/>
        </w:rPr>
      </w:pPr>
      <w:r w:rsidRPr="001B13C0">
        <w:rPr>
          <w:rFonts w:ascii="Arial" w:eastAsia="Calibri" w:hAnsi="Arial" w:cs="Arial"/>
          <w:sz w:val="24"/>
          <w:szCs w:val="24"/>
          <w:u w:val="single"/>
          <w:lang w:val="en-US"/>
        </w:rPr>
        <w:t>Background leading to trial</w:t>
      </w:r>
    </w:p>
    <w:p w:rsidR="00826BF1" w:rsidRDefault="00826BF1" w:rsidP="002364F1">
      <w:pPr>
        <w:spacing w:line="360" w:lineRule="auto"/>
        <w:contextualSpacing/>
        <w:jc w:val="both"/>
        <w:rPr>
          <w:rFonts w:ascii="Arial" w:eastAsia="Calibri" w:hAnsi="Arial" w:cs="Arial"/>
          <w:sz w:val="24"/>
          <w:szCs w:val="24"/>
          <w:lang w:val="en-US"/>
        </w:rPr>
      </w:pPr>
    </w:p>
    <w:p w:rsidR="00826BF1" w:rsidRDefault="00826BF1"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On the 05</w:t>
      </w:r>
      <w:r w:rsidRPr="00826BF1">
        <w:rPr>
          <w:rFonts w:ascii="Arial" w:eastAsia="Calibri" w:hAnsi="Arial" w:cs="Arial"/>
          <w:sz w:val="24"/>
          <w:szCs w:val="24"/>
          <w:vertAlign w:val="superscript"/>
          <w:lang w:val="en-US"/>
        </w:rPr>
        <w:t>th</w:t>
      </w:r>
      <w:r>
        <w:rPr>
          <w:rFonts w:ascii="Arial" w:eastAsia="Calibri" w:hAnsi="Arial" w:cs="Arial"/>
          <w:sz w:val="24"/>
          <w:szCs w:val="24"/>
          <w:lang w:val="en-US"/>
        </w:rPr>
        <w:t xml:space="preserve"> November 2019, the matter was set down for trial for the 11</w:t>
      </w:r>
      <w:r w:rsidRPr="00826BF1">
        <w:rPr>
          <w:rFonts w:ascii="Arial" w:eastAsia="Calibri" w:hAnsi="Arial" w:cs="Arial"/>
          <w:sz w:val="24"/>
          <w:szCs w:val="24"/>
          <w:vertAlign w:val="superscript"/>
          <w:lang w:val="en-US"/>
        </w:rPr>
        <w:t>th</w:t>
      </w:r>
      <w:r>
        <w:rPr>
          <w:rFonts w:ascii="Arial" w:eastAsia="Calibri" w:hAnsi="Arial" w:cs="Arial"/>
          <w:sz w:val="24"/>
          <w:szCs w:val="24"/>
          <w:lang w:val="en-US"/>
        </w:rPr>
        <w:t xml:space="preserve"> to 15</w:t>
      </w:r>
      <w:r w:rsidRPr="00826BF1">
        <w:rPr>
          <w:rFonts w:ascii="Arial" w:eastAsia="Calibri" w:hAnsi="Arial" w:cs="Arial"/>
          <w:sz w:val="24"/>
          <w:szCs w:val="24"/>
          <w:vertAlign w:val="superscript"/>
          <w:lang w:val="en-US"/>
        </w:rPr>
        <w:t>th</w:t>
      </w:r>
      <w:r>
        <w:rPr>
          <w:rFonts w:ascii="Arial" w:eastAsia="Calibri" w:hAnsi="Arial" w:cs="Arial"/>
          <w:sz w:val="24"/>
          <w:szCs w:val="24"/>
          <w:lang w:val="en-US"/>
        </w:rPr>
        <w:t xml:space="preserve"> May 2020.  On the 16</w:t>
      </w:r>
      <w:r w:rsidRPr="00826BF1">
        <w:rPr>
          <w:rFonts w:ascii="Arial" w:eastAsia="Calibri" w:hAnsi="Arial" w:cs="Arial"/>
          <w:sz w:val="24"/>
          <w:szCs w:val="24"/>
          <w:vertAlign w:val="superscript"/>
          <w:lang w:val="en-US"/>
        </w:rPr>
        <w:t>th</w:t>
      </w:r>
      <w:r>
        <w:rPr>
          <w:rFonts w:ascii="Arial" w:eastAsia="Calibri" w:hAnsi="Arial" w:cs="Arial"/>
          <w:sz w:val="24"/>
          <w:szCs w:val="24"/>
          <w:lang w:val="en-US"/>
        </w:rPr>
        <w:t xml:space="preserve"> December 2019</w:t>
      </w:r>
      <w:r w:rsidR="00986276">
        <w:rPr>
          <w:rFonts w:ascii="Arial" w:eastAsia="Calibri" w:hAnsi="Arial" w:cs="Arial"/>
          <w:sz w:val="24"/>
          <w:szCs w:val="24"/>
          <w:lang w:val="en-US"/>
        </w:rPr>
        <w:t>,</w:t>
      </w:r>
      <w:r>
        <w:rPr>
          <w:rFonts w:ascii="Arial" w:eastAsia="Calibri" w:hAnsi="Arial" w:cs="Arial"/>
          <w:sz w:val="24"/>
          <w:szCs w:val="24"/>
          <w:lang w:val="en-US"/>
        </w:rPr>
        <w:t xml:space="preserve"> Messrs Adv. SS Makando Chamber</w:t>
      </w:r>
      <w:r w:rsidR="00986276">
        <w:rPr>
          <w:rFonts w:ascii="Arial" w:eastAsia="Calibri" w:hAnsi="Arial" w:cs="Arial"/>
          <w:sz w:val="24"/>
          <w:szCs w:val="24"/>
          <w:lang w:val="en-US"/>
        </w:rPr>
        <w:t>s</w:t>
      </w:r>
      <w:r>
        <w:rPr>
          <w:rFonts w:ascii="Arial" w:eastAsia="Calibri" w:hAnsi="Arial" w:cs="Arial"/>
          <w:sz w:val="24"/>
          <w:szCs w:val="24"/>
          <w:lang w:val="en-US"/>
        </w:rPr>
        <w:t xml:space="preserve"> filed </w:t>
      </w:r>
      <w:r w:rsidR="00986276">
        <w:rPr>
          <w:rFonts w:ascii="Arial" w:eastAsia="Calibri" w:hAnsi="Arial" w:cs="Arial"/>
          <w:sz w:val="24"/>
          <w:szCs w:val="24"/>
          <w:lang w:val="en-US"/>
        </w:rPr>
        <w:t xml:space="preserve">a </w:t>
      </w:r>
      <w:r>
        <w:rPr>
          <w:rFonts w:ascii="Arial" w:eastAsia="Calibri" w:hAnsi="Arial" w:cs="Arial"/>
          <w:sz w:val="24"/>
          <w:szCs w:val="24"/>
          <w:lang w:val="en-US"/>
        </w:rPr>
        <w:t>notice of withdrawal as defendants’ legal practitioners of record.  According to the return of service</w:t>
      </w:r>
      <w:r w:rsidR="00986276">
        <w:rPr>
          <w:rFonts w:ascii="Arial" w:eastAsia="Calibri" w:hAnsi="Arial" w:cs="Arial"/>
          <w:sz w:val="24"/>
          <w:szCs w:val="24"/>
          <w:lang w:val="en-US"/>
        </w:rPr>
        <w:t>,</w:t>
      </w:r>
      <w:r>
        <w:rPr>
          <w:rFonts w:ascii="Arial" w:eastAsia="Calibri" w:hAnsi="Arial" w:cs="Arial"/>
          <w:sz w:val="24"/>
          <w:szCs w:val="24"/>
          <w:lang w:val="en-US"/>
        </w:rPr>
        <w:t xml:space="preserve"> the notice of withdrawal was served on the defendants on 16 January 2020.</w:t>
      </w:r>
    </w:p>
    <w:p w:rsidR="00826BF1" w:rsidRDefault="00826BF1" w:rsidP="002364F1">
      <w:pPr>
        <w:spacing w:line="360" w:lineRule="auto"/>
        <w:contextualSpacing/>
        <w:jc w:val="both"/>
        <w:rPr>
          <w:rFonts w:ascii="Arial" w:eastAsia="Calibri" w:hAnsi="Arial" w:cs="Arial"/>
          <w:sz w:val="24"/>
          <w:szCs w:val="24"/>
          <w:lang w:val="en-US"/>
        </w:rPr>
      </w:pPr>
    </w:p>
    <w:p w:rsidR="00826BF1" w:rsidRDefault="00CB3D91"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On 11 May 2020, the date of trial, the plaintiff indicated their readiness to proceed with the trial.</w:t>
      </w:r>
    </w:p>
    <w:p w:rsidR="00CB3D91" w:rsidRDefault="00CB3D91" w:rsidP="002364F1">
      <w:pPr>
        <w:spacing w:line="360" w:lineRule="auto"/>
        <w:contextualSpacing/>
        <w:jc w:val="both"/>
        <w:rPr>
          <w:rFonts w:ascii="Arial" w:eastAsia="Calibri" w:hAnsi="Arial" w:cs="Arial"/>
          <w:sz w:val="24"/>
          <w:szCs w:val="24"/>
          <w:lang w:val="en-US"/>
        </w:rPr>
      </w:pPr>
    </w:p>
    <w:p w:rsidR="005A4618" w:rsidRDefault="00CB3D91"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The defendants on the other hand, indicated that they had engaged the services of Messrs Mbaeva and Associates.  However, Mr Mbaeva, the defendant’s new legal practitioner of record has withdrawn in the evening of Friday the 8</w:t>
      </w:r>
      <w:r w:rsidRPr="00CB3D91">
        <w:rPr>
          <w:rFonts w:ascii="Arial" w:eastAsia="Calibri" w:hAnsi="Arial" w:cs="Arial"/>
          <w:sz w:val="24"/>
          <w:szCs w:val="24"/>
          <w:vertAlign w:val="superscript"/>
          <w:lang w:val="en-US"/>
        </w:rPr>
        <w:t>th</w:t>
      </w:r>
      <w:r w:rsidR="0096779D">
        <w:rPr>
          <w:rFonts w:ascii="Arial" w:eastAsia="Calibri" w:hAnsi="Arial" w:cs="Arial"/>
          <w:sz w:val="24"/>
          <w:szCs w:val="24"/>
          <w:lang w:val="en-US"/>
        </w:rPr>
        <w:t xml:space="preserve"> May 2020. </w:t>
      </w:r>
      <w:r>
        <w:rPr>
          <w:rFonts w:ascii="Arial" w:eastAsia="Calibri" w:hAnsi="Arial" w:cs="Arial"/>
          <w:sz w:val="24"/>
          <w:szCs w:val="24"/>
          <w:lang w:val="en-US"/>
        </w:rPr>
        <w:t>Ms Chris</w:t>
      </w:r>
      <w:r w:rsidR="00805627">
        <w:rPr>
          <w:rFonts w:ascii="Arial" w:eastAsia="Calibri" w:hAnsi="Arial" w:cs="Arial"/>
          <w:sz w:val="24"/>
          <w:szCs w:val="24"/>
          <w:lang w:val="en-US"/>
        </w:rPr>
        <w:t>toli</w:t>
      </w:r>
      <w:r>
        <w:rPr>
          <w:rFonts w:ascii="Arial" w:eastAsia="Calibri" w:hAnsi="Arial" w:cs="Arial"/>
          <w:sz w:val="24"/>
          <w:szCs w:val="24"/>
          <w:lang w:val="en-US"/>
        </w:rPr>
        <w:t>ne Kambamba (the 8</w:t>
      </w:r>
      <w:r w:rsidRPr="00CB3D91">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speaking on behalf of the defendants present in court, requested the vacation of trial dates and for the matter to be postponed</w:t>
      </w:r>
      <w:r w:rsidR="00986276">
        <w:rPr>
          <w:rFonts w:ascii="Arial" w:eastAsia="Calibri" w:hAnsi="Arial" w:cs="Arial"/>
          <w:sz w:val="24"/>
          <w:szCs w:val="24"/>
          <w:lang w:val="en-US"/>
        </w:rPr>
        <w:t>,</w:t>
      </w:r>
      <w:r>
        <w:rPr>
          <w:rFonts w:ascii="Arial" w:eastAsia="Calibri" w:hAnsi="Arial" w:cs="Arial"/>
          <w:sz w:val="24"/>
          <w:szCs w:val="24"/>
          <w:lang w:val="en-US"/>
        </w:rPr>
        <w:t xml:space="preserve"> to afford the defendants opportunity to obtain alternative legal representation.</w:t>
      </w:r>
    </w:p>
    <w:p w:rsidR="00CB3D91" w:rsidRDefault="00CB3D91" w:rsidP="002364F1">
      <w:pPr>
        <w:spacing w:line="360" w:lineRule="auto"/>
        <w:contextualSpacing/>
        <w:jc w:val="both"/>
        <w:rPr>
          <w:rFonts w:ascii="Arial" w:eastAsia="Calibri" w:hAnsi="Arial" w:cs="Arial"/>
          <w:sz w:val="24"/>
          <w:szCs w:val="24"/>
          <w:lang w:val="en-US"/>
        </w:rPr>
      </w:pPr>
    </w:p>
    <w:p w:rsidR="00CB3D91" w:rsidRDefault="00CB3D91"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 xml:space="preserve">In view of the fact that the record still reflected Messrs Mbaeva and Associates as the defendants’ legal representative of record, and there was no notice of withdrawal filed, the court directed that Merssrs Mbaeva and Associates – specifically </w:t>
      </w:r>
      <w:r w:rsidR="00EF293E">
        <w:rPr>
          <w:rFonts w:ascii="Arial" w:eastAsia="Calibri" w:hAnsi="Arial" w:cs="Arial"/>
          <w:sz w:val="24"/>
          <w:szCs w:val="24"/>
          <w:lang w:val="en-US"/>
        </w:rPr>
        <w:t xml:space="preserve">that </w:t>
      </w:r>
      <w:r>
        <w:rPr>
          <w:rFonts w:ascii="Arial" w:eastAsia="Calibri" w:hAnsi="Arial" w:cs="Arial"/>
          <w:sz w:val="24"/>
          <w:szCs w:val="24"/>
          <w:lang w:val="en-US"/>
        </w:rPr>
        <w:t>Mr Titus Mbaeva appears in court  the following day,  the 12 May 2020</w:t>
      </w:r>
      <w:r w:rsidR="00986276">
        <w:rPr>
          <w:rFonts w:ascii="Arial" w:eastAsia="Calibri" w:hAnsi="Arial" w:cs="Arial"/>
          <w:sz w:val="24"/>
          <w:szCs w:val="24"/>
          <w:lang w:val="en-US"/>
        </w:rPr>
        <w:t>,</w:t>
      </w:r>
      <w:r>
        <w:rPr>
          <w:rFonts w:ascii="Arial" w:eastAsia="Calibri" w:hAnsi="Arial" w:cs="Arial"/>
          <w:sz w:val="24"/>
          <w:szCs w:val="24"/>
          <w:lang w:val="en-US"/>
        </w:rPr>
        <w:t xml:space="preserve"> to show cause why he should not be deemed, in terms of </w:t>
      </w:r>
      <w:r w:rsidRPr="00CB3D91">
        <w:rPr>
          <w:rFonts w:ascii="Arial" w:eastAsia="Calibri" w:hAnsi="Arial" w:cs="Arial"/>
          <w:i/>
          <w:sz w:val="24"/>
          <w:szCs w:val="24"/>
          <w:lang w:val="en-US"/>
        </w:rPr>
        <w:t>practice direction 50(2)</w:t>
      </w:r>
      <w:r>
        <w:rPr>
          <w:rFonts w:ascii="Arial" w:eastAsia="Calibri" w:hAnsi="Arial" w:cs="Arial"/>
          <w:sz w:val="24"/>
          <w:szCs w:val="24"/>
          <w:lang w:val="en-US"/>
        </w:rPr>
        <w:t xml:space="preserve"> to have agreed to appear on behalf of the defendants during the period for which the matter was set down.</w:t>
      </w:r>
    </w:p>
    <w:p w:rsidR="005A4618" w:rsidRDefault="005A4618" w:rsidP="002364F1">
      <w:pPr>
        <w:spacing w:line="360" w:lineRule="auto"/>
        <w:contextualSpacing/>
        <w:jc w:val="both"/>
        <w:rPr>
          <w:rFonts w:ascii="Arial" w:eastAsia="Calibri" w:hAnsi="Arial" w:cs="Arial"/>
          <w:sz w:val="24"/>
          <w:szCs w:val="24"/>
          <w:lang w:val="en-US"/>
        </w:rPr>
      </w:pPr>
    </w:p>
    <w:p w:rsidR="005A4618" w:rsidRDefault="00CB3D91"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 xml:space="preserve">On the 12 May 2020, after hearing Mr Mbaeva, the court directed that Mr Mbaeva is deemed under </w:t>
      </w:r>
      <w:r w:rsidRPr="00CB3D91">
        <w:rPr>
          <w:rFonts w:ascii="Arial" w:eastAsia="Calibri" w:hAnsi="Arial" w:cs="Arial"/>
          <w:i/>
          <w:sz w:val="24"/>
          <w:szCs w:val="24"/>
          <w:lang w:val="en-US"/>
        </w:rPr>
        <w:t>practice direction 50(2)</w:t>
      </w:r>
      <w:r>
        <w:rPr>
          <w:rFonts w:ascii="Arial" w:eastAsia="Calibri" w:hAnsi="Arial" w:cs="Arial"/>
          <w:sz w:val="24"/>
          <w:szCs w:val="24"/>
          <w:lang w:val="en-US"/>
        </w:rPr>
        <w:t xml:space="preserve"> to have agree</w:t>
      </w:r>
      <w:r w:rsidR="00986276">
        <w:rPr>
          <w:rFonts w:ascii="Arial" w:eastAsia="Calibri" w:hAnsi="Arial" w:cs="Arial"/>
          <w:sz w:val="24"/>
          <w:szCs w:val="24"/>
          <w:lang w:val="en-US"/>
        </w:rPr>
        <w:t>d</w:t>
      </w:r>
      <w:r>
        <w:rPr>
          <w:rFonts w:ascii="Arial" w:eastAsia="Calibri" w:hAnsi="Arial" w:cs="Arial"/>
          <w:sz w:val="24"/>
          <w:szCs w:val="24"/>
          <w:lang w:val="en-US"/>
        </w:rPr>
        <w:t xml:space="preserve"> to appear on behalf of the </w:t>
      </w:r>
      <w:r>
        <w:rPr>
          <w:rFonts w:ascii="Arial" w:eastAsia="Calibri" w:hAnsi="Arial" w:cs="Arial"/>
          <w:sz w:val="24"/>
          <w:szCs w:val="24"/>
          <w:lang w:val="en-US"/>
        </w:rPr>
        <w:lastRenderedPageBreak/>
        <w:t>defendants for the period for which the matter is set down for trial.  There being no further impediment for the trial to proceed, the court ordered that trial proceeds.</w:t>
      </w:r>
    </w:p>
    <w:p w:rsidR="002351D5" w:rsidRDefault="002351D5" w:rsidP="002364F1">
      <w:pPr>
        <w:spacing w:line="360" w:lineRule="auto"/>
        <w:contextualSpacing/>
        <w:jc w:val="both"/>
        <w:rPr>
          <w:rFonts w:ascii="Arial" w:eastAsia="Calibri" w:hAnsi="Arial" w:cs="Arial"/>
          <w:sz w:val="24"/>
          <w:szCs w:val="24"/>
          <w:lang w:val="en-US"/>
        </w:rPr>
      </w:pPr>
    </w:p>
    <w:p w:rsidR="002351D5" w:rsidRDefault="002351D5"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t>The plaintiff called its first witness Mr Hermanus Christoffel Groenewald (“Mr Groenewald”) to give evidence.  As Mr Groen</w:t>
      </w:r>
      <w:r w:rsidR="00805627">
        <w:rPr>
          <w:rFonts w:ascii="Arial" w:eastAsia="Calibri" w:hAnsi="Arial" w:cs="Arial"/>
          <w:sz w:val="24"/>
          <w:szCs w:val="24"/>
          <w:lang w:val="en-US"/>
        </w:rPr>
        <w:t>e</w:t>
      </w:r>
      <w:r>
        <w:rPr>
          <w:rFonts w:ascii="Arial" w:eastAsia="Calibri" w:hAnsi="Arial" w:cs="Arial"/>
          <w:sz w:val="24"/>
          <w:szCs w:val="24"/>
          <w:lang w:val="en-US"/>
        </w:rPr>
        <w:t xml:space="preserve">wald was reading the first or second paragraph of his witness statement into the record, Ms Christolene Kambamba (the eighth defendant), rose and indicated she had something to say.  She stated that she was speaking on behalf of all defendants, and that the defendants are not happy with the services of their legal representative, Mr Mbaeva.  The reason for the </w:t>
      </w:r>
      <w:r w:rsidR="000B6D46">
        <w:rPr>
          <w:rFonts w:ascii="Arial" w:eastAsia="Calibri" w:hAnsi="Arial" w:cs="Arial"/>
          <w:sz w:val="24"/>
          <w:szCs w:val="24"/>
          <w:lang w:val="en-US"/>
        </w:rPr>
        <w:t>un</w:t>
      </w:r>
      <w:r>
        <w:rPr>
          <w:rFonts w:ascii="Arial" w:eastAsia="Calibri" w:hAnsi="Arial" w:cs="Arial"/>
          <w:sz w:val="24"/>
          <w:szCs w:val="24"/>
          <w:lang w:val="en-US"/>
        </w:rPr>
        <w:t>happiness, Ms Kamb</w:t>
      </w:r>
      <w:r w:rsidR="000B6D46">
        <w:rPr>
          <w:rFonts w:ascii="Arial" w:eastAsia="Calibri" w:hAnsi="Arial" w:cs="Arial"/>
          <w:sz w:val="24"/>
          <w:szCs w:val="24"/>
          <w:lang w:val="en-US"/>
        </w:rPr>
        <w:t>amba said, is that on Friday, 8 M</w:t>
      </w:r>
      <w:r>
        <w:rPr>
          <w:rFonts w:ascii="Arial" w:eastAsia="Calibri" w:hAnsi="Arial" w:cs="Arial"/>
          <w:sz w:val="24"/>
          <w:szCs w:val="24"/>
          <w:lang w:val="en-US"/>
        </w:rPr>
        <w:t>ay 2020, Mr Mbaeva had asked the defendants to pay him N$ 20,000 so that he could represent them. Ms Kambamba stated that the defendants are not in position to give that much money to Mr Mbaeva at such short notice.  The defendants</w:t>
      </w:r>
      <w:r w:rsidR="000B6D46">
        <w:rPr>
          <w:rFonts w:ascii="Arial" w:eastAsia="Calibri" w:hAnsi="Arial" w:cs="Arial"/>
          <w:sz w:val="24"/>
          <w:szCs w:val="24"/>
          <w:lang w:val="en-US"/>
        </w:rPr>
        <w:t>,</w:t>
      </w:r>
      <w:r>
        <w:rPr>
          <w:rFonts w:ascii="Arial" w:eastAsia="Calibri" w:hAnsi="Arial" w:cs="Arial"/>
          <w:sz w:val="24"/>
          <w:szCs w:val="24"/>
          <w:lang w:val="en-US"/>
        </w:rPr>
        <w:t xml:space="preserve"> therefore</w:t>
      </w:r>
      <w:r w:rsidR="000B6D46">
        <w:rPr>
          <w:rFonts w:ascii="Arial" w:eastAsia="Calibri" w:hAnsi="Arial" w:cs="Arial"/>
          <w:sz w:val="24"/>
          <w:szCs w:val="24"/>
          <w:lang w:val="en-US"/>
        </w:rPr>
        <w:t>,</w:t>
      </w:r>
      <w:r>
        <w:rPr>
          <w:rFonts w:ascii="Arial" w:eastAsia="Calibri" w:hAnsi="Arial" w:cs="Arial"/>
          <w:sz w:val="24"/>
          <w:szCs w:val="24"/>
          <w:lang w:val="en-US"/>
        </w:rPr>
        <w:t xml:space="preserve"> want the matter to be postponed to enable them to find another lawyer.  The defendants insisted that Mr Mbaeva ceases to represent them.  After the court had explained to the defendants their rights in terms of the law and procedure, and having confirmed they have understood such rights and that they insist on terminating the mandate of Mr Mbaeva to represent them, the court granted Mr Mbaeva</w:t>
      </w:r>
      <w:r w:rsidR="00E948B6">
        <w:rPr>
          <w:rFonts w:ascii="Arial" w:eastAsia="Calibri" w:hAnsi="Arial" w:cs="Arial"/>
          <w:sz w:val="24"/>
          <w:szCs w:val="24"/>
          <w:lang w:val="en-US"/>
        </w:rPr>
        <w:t xml:space="preserve"> leave to withdraw as defendant</w:t>
      </w:r>
      <w:r>
        <w:rPr>
          <w:rFonts w:ascii="Arial" w:eastAsia="Calibri" w:hAnsi="Arial" w:cs="Arial"/>
          <w:sz w:val="24"/>
          <w:szCs w:val="24"/>
          <w:lang w:val="en-US"/>
        </w:rPr>
        <w:t>s</w:t>
      </w:r>
      <w:r w:rsidR="00E948B6">
        <w:rPr>
          <w:rFonts w:ascii="Arial" w:eastAsia="Calibri" w:hAnsi="Arial" w:cs="Arial"/>
          <w:sz w:val="24"/>
          <w:szCs w:val="24"/>
          <w:lang w:val="en-US"/>
        </w:rPr>
        <w:t>’</w:t>
      </w:r>
      <w:r>
        <w:rPr>
          <w:rFonts w:ascii="Arial" w:eastAsia="Calibri" w:hAnsi="Arial" w:cs="Arial"/>
          <w:sz w:val="24"/>
          <w:szCs w:val="24"/>
          <w:lang w:val="en-US"/>
        </w:rPr>
        <w:t xml:space="preserve"> legal representative.</w:t>
      </w:r>
    </w:p>
    <w:p w:rsidR="002351D5" w:rsidRDefault="002351D5" w:rsidP="002364F1">
      <w:pPr>
        <w:spacing w:line="360" w:lineRule="auto"/>
        <w:contextualSpacing/>
        <w:jc w:val="both"/>
        <w:rPr>
          <w:rFonts w:ascii="Arial" w:eastAsia="Calibri" w:hAnsi="Arial" w:cs="Arial"/>
          <w:sz w:val="24"/>
          <w:szCs w:val="24"/>
          <w:lang w:val="en-US"/>
        </w:rPr>
      </w:pPr>
    </w:p>
    <w:p w:rsidR="002351D5" w:rsidRDefault="002351D5"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t>Thereafter the defendants requested postponement of the trial on account that they are not legally represented and wish to have opportunity to engage services of a legal practitioner.  The court invited the defendants to show cause why a postponement should be granted in the circumstances</w:t>
      </w:r>
      <w:r w:rsidR="001B13C0">
        <w:rPr>
          <w:rFonts w:ascii="Arial" w:eastAsia="Calibri" w:hAnsi="Arial" w:cs="Arial"/>
          <w:sz w:val="24"/>
          <w:szCs w:val="24"/>
          <w:lang w:val="en-US"/>
        </w:rPr>
        <w:t>.  After hearing both parties on the issue</w:t>
      </w:r>
      <w:r w:rsidR="000C2A72">
        <w:rPr>
          <w:rFonts w:ascii="Arial" w:eastAsia="Calibri" w:hAnsi="Arial" w:cs="Arial"/>
          <w:sz w:val="24"/>
          <w:szCs w:val="24"/>
          <w:lang w:val="en-US"/>
        </w:rPr>
        <w:t>,</w:t>
      </w:r>
      <w:r w:rsidR="001B13C0">
        <w:rPr>
          <w:rFonts w:ascii="Arial" w:eastAsia="Calibri" w:hAnsi="Arial" w:cs="Arial"/>
          <w:sz w:val="24"/>
          <w:szCs w:val="24"/>
          <w:lang w:val="en-US"/>
        </w:rPr>
        <w:t xml:space="preserve"> the court declined to grant a postponement on account that the defendants have not shown reasonable cause for granting a postponement in the circumstances.  The court</w:t>
      </w:r>
      <w:r w:rsidR="000C2A72">
        <w:rPr>
          <w:rFonts w:ascii="Arial" w:eastAsia="Calibri" w:hAnsi="Arial" w:cs="Arial"/>
          <w:sz w:val="24"/>
          <w:szCs w:val="24"/>
          <w:lang w:val="en-US"/>
        </w:rPr>
        <w:t>,</w:t>
      </w:r>
      <w:r w:rsidR="001B13C0">
        <w:rPr>
          <w:rFonts w:ascii="Arial" w:eastAsia="Calibri" w:hAnsi="Arial" w:cs="Arial"/>
          <w:sz w:val="24"/>
          <w:szCs w:val="24"/>
          <w:lang w:val="en-US"/>
        </w:rPr>
        <w:t xml:space="preserve"> therefore</w:t>
      </w:r>
      <w:r w:rsidR="000C2A72">
        <w:rPr>
          <w:rFonts w:ascii="Arial" w:eastAsia="Calibri" w:hAnsi="Arial" w:cs="Arial"/>
          <w:sz w:val="24"/>
          <w:szCs w:val="24"/>
          <w:lang w:val="en-US"/>
        </w:rPr>
        <w:t>,</w:t>
      </w:r>
      <w:r w:rsidR="001B13C0">
        <w:rPr>
          <w:rFonts w:ascii="Arial" w:eastAsia="Calibri" w:hAnsi="Arial" w:cs="Arial"/>
          <w:sz w:val="24"/>
          <w:szCs w:val="24"/>
          <w:lang w:val="en-US"/>
        </w:rPr>
        <w:t xml:space="preserve"> directed that trial proceeds.</w:t>
      </w:r>
    </w:p>
    <w:p w:rsidR="001B13C0" w:rsidRDefault="001B13C0" w:rsidP="002364F1">
      <w:pPr>
        <w:spacing w:line="360" w:lineRule="auto"/>
        <w:contextualSpacing/>
        <w:jc w:val="both"/>
        <w:rPr>
          <w:rFonts w:ascii="Arial" w:eastAsia="Calibri" w:hAnsi="Arial" w:cs="Arial"/>
          <w:sz w:val="24"/>
          <w:szCs w:val="24"/>
          <w:lang w:val="en-US"/>
        </w:rPr>
      </w:pPr>
    </w:p>
    <w:p w:rsidR="001B13C0" w:rsidRDefault="001B13C0"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After hearing some submissions regarding interpretation services in respect of some defendants, the matter was postponed to 14 May 2020 for continuation of trial.</w:t>
      </w:r>
    </w:p>
    <w:p w:rsidR="002364F1" w:rsidRDefault="002364F1" w:rsidP="002364F1">
      <w:pPr>
        <w:spacing w:line="360" w:lineRule="auto"/>
        <w:contextualSpacing/>
        <w:jc w:val="both"/>
        <w:rPr>
          <w:rFonts w:ascii="Arial" w:eastAsia="Calibri" w:hAnsi="Arial" w:cs="Arial"/>
          <w:sz w:val="24"/>
          <w:szCs w:val="24"/>
          <w:lang w:val="en-US"/>
        </w:rPr>
      </w:pPr>
    </w:p>
    <w:p w:rsidR="001B13C0" w:rsidRDefault="001B13C0"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lastRenderedPageBreak/>
        <w:t>[15]</w:t>
      </w:r>
      <w:r>
        <w:rPr>
          <w:rFonts w:ascii="Arial" w:eastAsia="Calibri" w:hAnsi="Arial" w:cs="Arial"/>
          <w:sz w:val="24"/>
          <w:szCs w:val="24"/>
          <w:lang w:val="en-US"/>
        </w:rPr>
        <w:tab/>
        <w:t>On the 14 May 2020, it was reported that the defendant</w:t>
      </w:r>
      <w:r w:rsidR="000C2A72">
        <w:rPr>
          <w:rFonts w:ascii="Arial" w:eastAsia="Calibri" w:hAnsi="Arial" w:cs="Arial"/>
          <w:sz w:val="24"/>
          <w:szCs w:val="24"/>
          <w:lang w:val="en-US"/>
        </w:rPr>
        <w:t>s</w:t>
      </w:r>
      <w:r>
        <w:rPr>
          <w:rFonts w:ascii="Arial" w:eastAsia="Calibri" w:hAnsi="Arial" w:cs="Arial"/>
          <w:sz w:val="24"/>
          <w:szCs w:val="24"/>
          <w:lang w:val="en-US"/>
        </w:rPr>
        <w:t xml:space="preserve"> have enlisted the services of Mr Awaseb as their legal representative of record.  In his address to the court, Mr Awaseb requested that the trial dates be vacated and a postponement of trial be granted in favour of the defendants to enable him to prepare for tria</w:t>
      </w:r>
      <w:r w:rsidR="00215028">
        <w:rPr>
          <w:rFonts w:ascii="Arial" w:eastAsia="Calibri" w:hAnsi="Arial" w:cs="Arial"/>
          <w:sz w:val="24"/>
          <w:szCs w:val="24"/>
          <w:lang w:val="en-US"/>
        </w:rPr>
        <w:t>l.  After hearing submissions on</w:t>
      </w:r>
      <w:r>
        <w:rPr>
          <w:rFonts w:ascii="Arial" w:eastAsia="Calibri" w:hAnsi="Arial" w:cs="Arial"/>
          <w:sz w:val="24"/>
          <w:szCs w:val="24"/>
          <w:lang w:val="en-US"/>
        </w:rPr>
        <w:t xml:space="preserve"> the issue, from both sides, the court decided that no acceptable reasons have been put forth on the part of the defendants, entitling them to a postponement, in the circumstances.  The court then ordered that trial proceeds as was previously scheduled.</w:t>
      </w:r>
    </w:p>
    <w:p w:rsidR="001B13C0" w:rsidRDefault="001B13C0" w:rsidP="002364F1">
      <w:pPr>
        <w:spacing w:line="360" w:lineRule="auto"/>
        <w:contextualSpacing/>
        <w:jc w:val="both"/>
        <w:rPr>
          <w:rFonts w:ascii="Arial" w:eastAsia="Calibri" w:hAnsi="Arial" w:cs="Arial"/>
          <w:sz w:val="24"/>
          <w:szCs w:val="24"/>
          <w:lang w:val="en-US"/>
        </w:rPr>
      </w:pPr>
    </w:p>
    <w:p w:rsidR="001B13C0" w:rsidRPr="001B13C0" w:rsidRDefault="001B13C0" w:rsidP="002364F1">
      <w:pPr>
        <w:spacing w:line="360" w:lineRule="auto"/>
        <w:contextualSpacing/>
        <w:jc w:val="both"/>
        <w:rPr>
          <w:rFonts w:ascii="Arial" w:eastAsia="Calibri" w:hAnsi="Arial" w:cs="Arial"/>
          <w:sz w:val="24"/>
          <w:szCs w:val="24"/>
          <w:u w:val="single"/>
          <w:lang w:val="en-US"/>
        </w:rPr>
      </w:pPr>
      <w:r w:rsidRPr="001B13C0">
        <w:rPr>
          <w:rFonts w:ascii="Arial" w:eastAsia="Calibri" w:hAnsi="Arial" w:cs="Arial"/>
          <w:sz w:val="24"/>
          <w:szCs w:val="24"/>
          <w:u w:val="single"/>
          <w:lang w:val="en-US"/>
        </w:rPr>
        <w:t>The evidence</w:t>
      </w:r>
    </w:p>
    <w:p w:rsidR="001B13C0" w:rsidRDefault="001B13C0" w:rsidP="002364F1">
      <w:pPr>
        <w:spacing w:line="360" w:lineRule="auto"/>
        <w:contextualSpacing/>
        <w:jc w:val="both"/>
        <w:rPr>
          <w:rFonts w:ascii="Arial" w:eastAsia="Calibri" w:hAnsi="Arial" w:cs="Arial"/>
          <w:sz w:val="24"/>
          <w:szCs w:val="24"/>
          <w:lang w:val="en-US"/>
        </w:rPr>
      </w:pPr>
    </w:p>
    <w:p w:rsidR="001B13C0" w:rsidRDefault="001B13C0"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t>The plaintiff, Endobo Properties CC, called three witnesses, namely He</w:t>
      </w:r>
      <w:r w:rsidR="000C2A72">
        <w:rPr>
          <w:rFonts w:ascii="Arial" w:eastAsia="Calibri" w:hAnsi="Arial" w:cs="Arial"/>
          <w:sz w:val="24"/>
          <w:szCs w:val="24"/>
          <w:lang w:val="en-US"/>
        </w:rPr>
        <w:t>rmanus Christoffel Groenewald (“</w:t>
      </w:r>
      <w:r>
        <w:rPr>
          <w:rFonts w:ascii="Arial" w:eastAsia="Calibri" w:hAnsi="Arial" w:cs="Arial"/>
          <w:sz w:val="24"/>
          <w:szCs w:val="24"/>
          <w:lang w:val="en-US"/>
        </w:rPr>
        <w:t>Mr Groenewald”), Robert Siyave (“Mr Siyave”) and Francois Adries Pretorius (“Mr Pretorius”).</w:t>
      </w:r>
    </w:p>
    <w:p w:rsidR="001B13C0" w:rsidRDefault="001B13C0" w:rsidP="002364F1">
      <w:pPr>
        <w:spacing w:line="360" w:lineRule="auto"/>
        <w:contextualSpacing/>
        <w:jc w:val="both"/>
        <w:rPr>
          <w:rFonts w:ascii="Arial" w:eastAsia="Calibri" w:hAnsi="Arial" w:cs="Arial"/>
          <w:sz w:val="24"/>
          <w:szCs w:val="24"/>
          <w:lang w:val="en-US"/>
        </w:rPr>
      </w:pPr>
    </w:p>
    <w:p w:rsidR="00B63FDB" w:rsidRDefault="00B63FDB"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t xml:space="preserve">Mr </w:t>
      </w:r>
      <w:r w:rsidR="000C2A72">
        <w:rPr>
          <w:rFonts w:ascii="Arial" w:eastAsia="Calibri" w:hAnsi="Arial" w:cs="Arial"/>
          <w:sz w:val="24"/>
          <w:szCs w:val="24"/>
          <w:lang w:val="en-US"/>
        </w:rPr>
        <w:t>Groenewald</w:t>
      </w:r>
      <w:r>
        <w:rPr>
          <w:rFonts w:ascii="Arial" w:eastAsia="Calibri" w:hAnsi="Arial" w:cs="Arial"/>
          <w:sz w:val="24"/>
          <w:szCs w:val="24"/>
          <w:lang w:val="en-US"/>
        </w:rPr>
        <w:t xml:space="preserve"> testified that he is the sole member of the plaintiff.  The plaintiff is the owner of the following immovable property, namely:</w:t>
      </w:r>
    </w:p>
    <w:p w:rsidR="00B63FDB" w:rsidRDefault="00B63FDB" w:rsidP="002364F1">
      <w:pPr>
        <w:spacing w:line="360" w:lineRule="auto"/>
        <w:contextualSpacing/>
        <w:jc w:val="both"/>
        <w:rPr>
          <w:rFonts w:ascii="Arial" w:eastAsia="Calibri" w:hAnsi="Arial" w:cs="Arial"/>
          <w:sz w:val="24"/>
          <w:szCs w:val="24"/>
          <w:lang w:val="en-US"/>
        </w:rPr>
      </w:pPr>
    </w:p>
    <w:p w:rsidR="00B63FDB" w:rsidRDefault="00B63FDB" w:rsidP="00B63FDB">
      <w:pPr>
        <w:spacing w:line="360" w:lineRule="auto"/>
        <w:ind w:left="2160" w:hanging="1440"/>
        <w:contextualSpacing/>
        <w:jc w:val="both"/>
        <w:rPr>
          <w:rFonts w:ascii="Arial" w:eastAsia="Calibri" w:hAnsi="Arial" w:cs="Arial"/>
          <w:sz w:val="24"/>
          <w:szCs w:val="24"/>
          <w:lang w:val="en-US"/>
        </w:rPr>
      </w:pPr>
      <w:r w:rsidRPr="00B63FDB">
        <w:rPr>
          <w:rFonts w:ascii="Arial" w:eastAsia="Calibri" w:hAnsi="Arial" w:cs="Arial"/>
          <w:i/>
          <w:sz w:val="24"/>
          <w:szCs w:val="24"/>
          <w:lang w:val="en-US"/>
        </w:rPr>
        <w:t>Certain</w:t>
      </w:r>
      <w:r>
        <w:rPr>
          <w:rFonts w:ascii="Arial" w:eastAsia="Calibri" w:hAnsi="Arial" w:cs="Arial"/>
          <w:sz w:val="24"/>
          <w:szCs w:val="24"/>
          <w:lang w:val="en-US"/>
        </w:rPr>
        <w:t xml:space="preserve">: </w:t>
      </w:r>
      <w:r>
        <w:rPr>
          <w:rFonts w:ascii="Arial" w:eastAsia="Calibri" w:hAnsi="Arial" w:cs="Arial"/>
          <w:sz w:val="24"/>
          <w:szCs w:val="24"/>
          <w:lang w:val="en-US"/>
        </w:rPr>
        <w:tab/>
      </w:r>
      <w:r w:rsidR="000C2A72">
        <w:rPr>
          <w:rFonts w:ascii="Arial" w:eastAsia="Calibri" w:hAnsi="Arial" w:cs="Arial"/>
          <w:sz w:val="24"/>
          <w:szCs w:val="24"/>
          <w:lang w:val="en-US"/>
        </w:rPr>
        <w:t>Portion 64 (a portion of p</w:t>
      </w:r>
      <w:r>
        <w:rPr>
          <w:rFonts w:ascii="Arial" w:eastAsia="Calibri" w:hAnsi="Arial" w:cs="Arial"/>
          <w:sz w:val="24"/>
          <w:szCs w:val="24"/>
          <w:lang w:val="en-US"/>
        </w:rPr>
        <w:t>ortion B) of the farm Town of Tsumeb No.103</w:t>
      </w:r>
    </w:p>
    <w:p w:rsidR="00B63FDB" w:rsidRDefault="00B63FDB"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ab/>
      </w:r>
      <w:r w:rsidRPr="00B63FDB">
        <w:rPr>
          <w:rFonts w:ascii="Arial" w:eastAsia="Calibri" w:hAnsi="Arial" w:cs="Arial"/>
          <w:i/>
          <w:sz w:val="24"/>
          <w:szCs w:val="24"/>
          <w:lang w:val="en-US"/>
        </w:rPr>
        <w:t>Situate:</w:t>
      </w:r>
      <w:r>
        <w:rPr>
          <w:rFonts w:ascii="Arial" w:eastAsia="Calibri" w:hAnsi="Arial" w:cs="Arial"/>
          <w:sz w:val="24"/>
          <w:szCs w:val="24"/>
          <w:lang w:val="en-US"/>
        </w:rPr>
        <w:tab/>
        <w:t>In the Registration Division “B”</w:t>
      </w:r>
      <w:r w:rsidR="000C2A72">
        <w:rPr>
          <w:rFonts w:ascii="Arial" w:eastAsia="Calibri" w:hAnsi="Arial" w:cs="Arial"/>
          <w:sz w:val="24"/>
          <w:szCs w:val="24"/>
          <w:lang w:val="en-US"/>
        </w:rPr>
        <w:t>, Oshikoto Region,</w:t>
      </w:r>
    </w:p>
    <w:p w:rsidR="00B63FDB" w:rsidRDefault="00B63FDB"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ab/>
      </w:r>
      <w:r w:rsidRPr="00B63FDB">
        <w:rPr>
          <w:rFonts w:ascii="Arial" w:eastAsia="Calibri" w:hAnsi="Arial" w:cs="Arial"/>
          <w:i/>
          <w:sz w:val="24"/>
          <w:szCs w:val="24"/>
          <w:lang w:val="en-US"/>
        </w:rPr>
        <w:t>Measuring</w:t>
      </w:r>
      <w:r>
        <w:rPr>
          <w:rFonts w:ascii="Arial" w:eastAsia="Calibri" w:hAnsi="Arial" w:cs="Arial"/>
          <w:sz w:val="24"/>
          <w:szCs w:val="24"/>
          <w:lang w:val="en-US"/>
        </w:rPr>
        <w:t>:</w:t>
      </w:r>
      <w:r>
        <w:rPr>
          <w:rFonts w:ascii="Arial" w:eastAsia="Calibri" w:hAnsi="Arial" w:cs="Arial"/>
          <w:sz w:val="24"/>
          <w:szCs w:val="24"/>
          <w:lang w:val="en-US"/>
        </w:rPr>
        <w:tab/>
        <w:t>7,5953 hectares,</w:t>
      </w:r>
    </w:p>
    <w:p w:rsidR="00B63FDB" w:rsidRDefault="00B63FDB"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ab/>
      </w:r>
      <w:r w:rsidRPr="00B63FDB">
        <w:rPr>
          <w:rFonts w:ascii="Arial" w:eastAsia="Calibri" w:hAnsi="Arial" w:cs="Arial"/>
          <w:i/>
          <w:sz w:val="24"/>
          <w:szCs w:val="24"/>
          <w:lang w:val="en-US"/>
        </w:rPr>
        <w:t>Held under</w:t>
      </w:r>
      <w:r>
        <w:rPr>
          <w:rFonts w:ascii="Arial" w:eastAsia="Calibri" w:hAnsi="Arial" w:cs="Arial"/>
          <w:sz w:val="24"/>
          <w:szCs w:val="24"/>
          <w:lang w:val="en-US"/>
        </w:rPr>
        <w:t>:</w:t>
      </w:r>
      <w:r>
        <w:rPr>
          <w:rFonts w:ascii="Arial" w:eastAsia="Calibri" w:hAnsi="Arial" w:cs="Arial"/>
          <w:sz w:val="24"/>
          <w:szCs w:val="24"/>
          <w:lang w:val="en-US"/>
        </w:rPr>
        <w:tab/>
        <w:t>Deed of Transfer No.T.3258/2006.</w:t>
      </w:r>
    </w:p>
    <w:p w:rsidR="00B63FDB" w:rsidRDefault="00B63FDB" w:rsidP="002364F1">
      <w:pPr>
        <w:spacing w:line="360" w:lineRule="auto"/>
        <w:contextualSpacing/>
        <w:jc w:val="both"/>
        <w:rPr>
          <w:rFonts w:ascii="Arial" w:eastAsia="Calibri" w:hAnsi="Arial" w:cs="Arial"/>
          <w:sz w:val="24"/>
          <w:szCs w:val="24"/>
          <w:lang w:val="en-US"/>
        </w:rPr>
      </w:pPr>
    </w:p>
    <w:p w:rsidR="00B63FDB" w:rsidRDefault="00B63FDB"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t xml:space="preserve">The aforesaid land has been laid out as a township in accordance with </w:t>
      </w:r>
      <w:r w:rsidRPr="00B63FDB">
        <w:rPr>
          <w:rFonts w:ascii="Arial" w:eastAsia="Calibri" w:hAnsi="Arial" w:cs="Arial"/>
          <w:i/>
          <w:sz w:val="24"/>
          <w:szCs w:val="24"/>
          <w:lang w:val="en-US"/>
        </w:rPr>
        <w:t>General Plan S.G No.A821/2001</w:t>
      </w:r>
      <w:r>
        <w:rPr>
          <w:rFonts w:ascii="Arial" w:eastAsia="Calibri" w:hAnsi="Arial" w:cs="Arial"/>
          <w:sz w:val="24"/>
          <w:szCs w:val="24"/>
          <w:lang w:val="en-US"/>
        </w:rPr>
        <w:t xml:space="preserve">, as more full appears under an endorsement in terms of </w:t>
      </w:r>
      <w:r w:rsidRPr="00B63FDB">
        <w:rPr>
          <w:rFonts w:ascii="Arial" w:eastAsia="Calibri" w:hAnsi="Arial" w:cs="Arial"/>
          <w:i/>
          <w:sz w:val="24"/>
          <w:szCs w:val="24"/>
          <w:lang w:val="en-US"/>
        </w:rPr>
        <w:t>section 46(3)</w:t>
      </w:r>
      <w:r>
        <w:rPr>
          <w:rFonts w:ascii="Arial" w:eastAsia="Calibri" w:hAnsi="Arial" w:cs="Arial"/>
          <w:sz w:val="24"/>
          <w:szCs w:val="24"/>
          <w:lang w:val="en-US"/>
        </w:rPr>
        <w:t xml:space="preserve"> of the </w:t>
      </w:r>
      <w:r w:rsidRPr="00B63FDB">
        <w:rPr>
          <w:rFonts w:ascii="Arial" w:eastAsia="Calibri" w:hAnsi="Arial" w:cs="Arial"/>
          <w:i/>
          <w:sz w:val="24"/>
          <w:szCs w:val="24"/>
          <w:lang w:val="en-US"/>
        </w:rPr>
        <w:t>Dee</w:t>
      </w:r>
      <w:r w:rsidR="000C2A72">
        <w:rPr>
          <w:rFonts w:ascii="Arial" w:eastAsia="Calibri" w:hAnsi="Arial" w:cs="Arial"/>
          <w:i/>
          <w:sz w:val="24"/>
          <w:szCs w:val="24"/>
          <w:lang w:val="en-US"/>
        </w:rPr>
        <w:t>ds Registries Act No. 47 of 1937,</w:t>
      </w:r>
      <w:r>
        <w:rPr>
          <w:rFonts w:ascii="Arial" w:eastAsia="Calibri" w:hAnsi="Arial" w:cs="Arial"/>
          <w:sz w:val="24"/>
          <w:szCs w:val="24"/>
          <w:lang w:val="en-US"/>
        </w:rPr>
        <w:t xml:space="preserve"> endorsed on the aforesaid title.  According to Mr Groenewald, there are about 159 residential units on the property and that the plaintiff obtains annual compliance certificates from the Municipal Council of Tsumeb in respect of the premises and he tendered proof of the same</w:t>
      </w:r>
      <w:r w:rsidR="000C2A72">
        <w:rPr>
          <w:rFonts w:ascii="Arial" w:eastAsia="Calibri" w:hAnsi="Arial" w:cs="Arial"/>
          <w:sz w:val="24"/>
          <w:szCs w:val="24"/>
          <w:lang w:val="en-US"/>
        </w:rPr>
        <w:t xml:space="preserve"> in</w:t>
      </w:r>
      <w:r>
        <w:rPr>
          <w:rFonts w:ascii="Arial" w:eastAsia="Calibri" w:hAnsi="Arial" w:cs="Arial"/>
          <w:sz w:val="24"/>
          <w:szCs w:val="24"/>
          <w:lang w:val="en-US"/>
        </w:rPr>
        <w:t xml:space="preserve"> </w:t>
      </w:r>
      <w:r w:rsidR="005D1FD6">
        <w:rPr>
          <w:rFonts w:ascii="Arial" w:eastAsia="Calibri" w:hAnsi="Arial" w:cs="Arial"/>
          <w:sz w:val="24"/>
          <w:szCs w:val="24"/>
          <w:lang w:val="en-US"/>
        </w:rPr>
        <w:t>evidence</w:t>
      </w:r>
      <w:r>
        <w:rPr>
          <w:rFonts w:ascii="Arial" w:eastAsia="Calibri" w:hAnsi="Arial" w:cs="Arial"/>
          <w:sz w:val="24"/>
          <w:szCs w:val="24"/>
          <w:lang w:val="en-US"/>
        </w:rPr>
        <w:t>.</w:t>
      </w:r>
    </w:p>
    <w:p w:rsidR="00B63FDB" w:rsidRDefault="00B63FDB" w:rsidP="002364F1">
      <w:pPr>
        <w:spacing w:line="360" w:lineRule="auto"/>
        <w:contextualSpacing/>
        <w:jc w:val="both"/>
        <w:rPr>
          <w:rFonts w:ascii="Arial" w:eastAsia="Calibri" w:hAnsi="Arial" w:cs="Arial"/>
          <w:sz w:val="24"/>
          <w:szCs w:val="24"/>
          <w:lang w:val="en-US"/>
        </w:rPr>
      </w:pPr>
    </w:p>
    <w:p w:rsidR="00B63FDB" w:rsidRDefault="006C165B"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lastRenderedPageBreak/>
        <w:t>[19]</w:t>
      </w:r>
      <w:r>
        <w:rPr>
          <w:rFonts w:ascii="Arial" w:eastAsia="Calibri" w:hAnsi="Arial" w:cs="Arial"/>
          <w:sz w:val="24"/>
          <w:szCs w:val="24"/>
          <w:lang w:val="en-US"/>
        </w:rPr>
        <w:tab/>
        <w:t>As proof of plaintiff’s ownership of the property, Mr Groenewald tendered into evidence a copy of Deed of Transfer No T.3258/2006, reflecting the plaintiff as the registered owner of the immovable property in question.</w:t>
      </w:r>
    </w:p>
    <w:p w:rsidR="006C165B" w:rsidRDefault="006C165B" w:rsidP="002364F1">
      <w:pPr>
        <w:spacing w:line="360" w:lineRule="auto"/>
        <w:contextualSpacing/>
        <w:jc w:val="both"/>
        <w:rPr>
          <w:rFonts w:ascii="Arial" w:eastAsia="Calibri" w:hAnsi="Arial" w:cs="Arial"/>
          <w:sz w:val="24"/>
          <w:szCs w:val="24"/>
          <w:lang w:val="en-US"/>
        </w:rPr>
      </w:pPr>
    </w:p>
    <w:p w:rsidR="006C165B" w:rsidRDefault="006C165B"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[20]</w:t>
      </w:r>
      <w:r>
        <w:rPr>
          <w:rFonts w:ascii="Arial" w:eastAsia="Calibri" w:hAnsi="Arial" w:cs="Arial"/>
          <w:sz w:val="24"/>
          <w:szCs w:val="24"/>
          <w:lang w:val="en-US"/>
        </w:rPr>
        <w:tab/>
        <w:t>Mr Groenewald testified that the plaintiff had entered into a written lease agreement with each of the defendants.  In terms of each lease agreement</w:t>
      </w:r>
      <w:r w:rsidR="00242AFB">
        <w:rPr>
          <w:rFonts w:ascii="Arial" w:eastAsia="Calibri" w:hAnsi="Arial" w:cs="Arial"/>
          <w:sz w:val="24"/>
          <w:szCs w:val="24"/>
          <w:lang w:val="en-US"/>
        </w:rPr>
        <w:t>,</w:t>
      </w:r>
      <w:r>
        <w:rPr>
          <w:rFonts w:ascii="Arial" w:eastAsia="Calibri" w:hAnsi="Arial" w:cs="Arial"/>
          <w:sz w:val="24"/>
          <w:szCs w:val="24"/>
          <w:lang w:val="en-US"/>
        </w:rPr>
        <w:t xml:space="preserve"> each of the defendants agreed to pay monthly rental as stipulated under column 7 of annexure </w:t>
      </w:r>
      <w:r w:rsidRPr="006C165B">
        <w:rPr>
          <w:rFonts w:ascii="Arial" w:eastAsia="Calibri" w:hAnsi="Arial" w:cs="Arial"/>
          <w:i/>
          <w:sz w:val="24"/>
          <w:szCs w:val="24"/>
          <w:lang w:val="en-US"/>
        </w:rPr>
        <w:t>POC 2</w:t>
      </w:r>
      <w:r>
        <w:rPr>
          <w:rFonts w:ascii="Arial" w:eastAsia="Calibri" w:hAnsi="Arial" w:cs="Arial"/>
          <w:sz w:val="24"/>
          <w:szCs w:val="24"/>
          <w:lang w:val="en-US"/>
        </w:rPr>
        <w:t xml:space="preserve">.  Rent is payable monthly, in advance on or before the first day of each month, free of any deductions.  In the event of breach of the lease agreement, in particular, with regard to payment of rent, the plaintiff is entitled to cancel the lease.  In such </w:t>
      </w:r>
      <w:r w:rsidR="0048616C">
        <w:rPr>
          <w:rFonts w:ascii="Arial" w:eastAsia="Calibri" w:hAnsi="Arial" w:cs="Arial"/>
          <w:sz w:val="24"/>
          <w:szCs w:val="24"/>
          <w:lang w:val="en-US"/>
        </w:rPr>
        <w:t>event each defendant, as tenant, undertook to vacate the premises on the termination date.</w:t>
      </w:r>
    </w:p>
    <w:p w:rsidR="0048616C" w:rsidRDefault="0048616C" w:rsidP="002364F1">
      <w:pPr>
        <w:spacing w:line="360" w:lineRule="auto"/>
        <w:contextualSpacing/>
        <w:jc w:val="both"/>
        <w:rPr>
          <w:rFonts w:ascii="Arial" w:eastAsia="Calibri" w:hAnsi="Arial" w:cs="Arial"/>
          <w:sz w:val="24"/>
          <w:szCs w:val="24"/>
          <w:lang w:val="en-US"/>
        </w:rPr>
      </w:pPr>
    </w:p>
    <w:p w:rsidR="0048616C" w:rsidRDefault="0048616C"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[21]</w:t>
      </w:r>
      <w:r>
        <w:rPr>
          <w:rFonts w:ascii="Arial" w:eastAsia="Calibri" w:hAnsi="Arial" w:cs="Arial"/>
          <w:sz w:val="24"/>
          <w:szCs w:val="24"/>
          <w:lang w:val="en-US"/>
        </w:rPr>
        <w:tab/>
        <w:t>According to Mr Groenewald</w:t>
      </w:r>
      <w:r w:rsidR="00242AFB">
        <w:rPr>
          <w:rFonts w:ascii="Arial" w:eastAsia="Calibri" w:hAnsi="Arial" w:cs="Arial"/>
          <w:sz w:val="24"/>
          <w:szCs w:val="24"/>
          <w:lang w:val="en-US"/>
        </w:rPr>
        <w:t>,</w:t>
      </w:r>
      <w:r>
        <w:rPr>
          <w:rFonts w:ascii="Arial" w:eastAsia="Calibri" w:hAnsi="Arial" w:cs="Arial"/>
          <w:sz w:val="24"/>
          <w:szCs w:val="24"/>
          <w:lang w:val="en-US"/>
        </w:rPr>
        <w:t xml:space="preserve"> all defendants are in default of payment of their respective rentals as set out in column 14 of annexure</w:t>
      </w:r>
      <w:r w:rsidRPr="0048616C">
        <w:rPr>
          <w:rFonts w:ascii="Arial" w:eastAsia="Calibri" w:hAnsi="Arial" w:cs="Arial"/>
          <w:i/>
          <w:sz w:val="24"/>
          <w:szCs w:val="24"/>
          <w:lang w:val="en-US"/>
        </w:rPr>
        <w:t xml:space="preserve"> POC2</w:t>
      </w:r>
      <w:r>
        <w:rPr>
          <w:rFonts w:ascii="Arial" w:eastAsia="Calibri" w:hAnsi="Arial" w:cs="Arial"/>
          <w:sz w:val="24"/>
          <w:szCs w:val="24"/>
          <w:lang w:val="en-US"/>
        </w:rPr>
        <w:t>.  Most of the defendants fell in default of paying rent in May 2017.  Mr Groenewald asserted that the in</w:t>
      </w:r>
      <w:r w:rsidR="00242AFB">
        <w:rPr>
          <w:rFonts w:ascii="Arial" w:eastAsia="Calibri" w:hAnsi="Arial" w:cs="Arial"/>
          <w:sz w:val="24"/>
          <w:szCs w:val="24"/>
          <w:lang w:val="en-US"/>
        </w:rPr>
        <w:t>stigators</w:t>
      </w:r>
      <w:r>
        <w:rPr>
          <w:rFonts w:ascii="Arial" w:eastAsia="Calibri" w:hAnsi="Arial" w:cs="Arial"/>
          <w:sz w:val="24"/>
          <w:szCs w:val="24"/>
          <w:lang w:val="en-US"/>
        </w:rPr>
        <w:t xml:space="preserve"> of rent-boycott were some tenants and third-parties influencing tenants not to pay rent</w:t>
      </w:r>
      <w:r w:rsidR="00242AFB">
        <w:rPr>
          <w:rFonts w:ascii="Arial" w:eastAsia="Calibri" w:hAnsi="Arial" w:cs="Arial"/>
          <w:sz w:val="24"/>
          <w:szCs w:val="24"/>
          <w:lang w:val="en-US"/>
        </w:rPr>
        <w:t>,</w:t>
      </w:r>
      <w:r>
        <w:rPr>
          <w:rFonts w:ascii="Arial" w:eastAsia="Calibri" w:hAnsi="Arial" w:cs="Arial"/>
          <w:sz w:val="24"/>
          <w:szCs w:val="24"/>
          <w:lang w:val="en-US"/>
        </w:rPr>
        <w:t xml:space="preserve"> on account that the plaintiff is allegedly not the owner of the leased premises.</w:t>
      </w:r>
    </w:p>
    <w:p w:rsidR="0048616C" w:rsidRDefault="0048616C" w:rsidP="002364F1">
      <w:pPr>
        <w:spacing w:line="360" w:lineRule="auto"/>
        <w:contextualSpacing/>
        <w:jc w:val="both"/>
        <w:rPr>
          <w:rFonts w:ascii="Arial" w:eastAsia="Calibri" w:hAnsi="Arial" w:cs="Arial"/>
          <w:sz w:val="24"/>
          <w:szCs w:val="24"/>
          <w:lang w:val="en-US"/>
        </w:rPr>
      </w:pPr>
    </w:p>
    <w:p w:rsidR="0048616C" w:rsidRDefault="0048616C"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[22]</w:t>
      </w:r>
      <w:r>
        <w:rPr>
          <w:rFonts w:ascii="Arial" w:eastAsia="Calibri" w:hAnsi="Arial" w:cs="Arial"/>
          <w:sz w:val="24"/>
          <w:szCs w:val="24"/>
          <w:lang w:val="en-US"/>
        </w:rPr>
        <w:tab/>
        <w:t>The plaintiff had served notices on the defendants, calling upon the defendants to honour their lease obligations.  None of the defendants complied.  Thereaf</w:t>
      </w:r>
      <w:r w:rsidR="00242AFB">
        <w:rPr>
          <w:rFonts w:ascii="Arial" w:eastAsia="Calibri" w:hAnsi="Arial" w:cs="Arial"/>
          <w:sz w:val="24"/>
          <w:szCs w:val="24"/>
          <w:lang w:val="en-US"/>
        </w:rPr>
        <w:t>ter, the plaintiff issued lease-</w:t>
      </w:r>
      <w:r>
        <w:rPr>
          <w:rFonts w:ascii="Arial" w:eastAsia="Calibri" w:hAnsi="Arial" w:cs="Arial"/>
          <w:sz w:val="24"/>
          <w:szCs w:val="24"/>
          <w:lang w:val="en-US"/>
        </w:rPr>
        <w:t>termination notices</w:t>
      </w:r>
      <w:r w:rsidR="00242AFB">
        <w:rPr>
          <w:rFonts w:ascii="Arial" w:eastAsia="Calibri" w:hAnsi="Arial" w:cs="Arial"/>
          <w:sz w:val="24"/>
          <w:szCs w:val="24"/>
          <w:lang w:val="en-US"/>
        </w:rPr>
        <w:t>,</w:t>
      </w:r>
      <w:r>
        <w:rPr>
          <w:rFonts w:ascii="Arial" w:eastAsia="Calibri" w:hAnsi="Arial" w:cs="Arial"/>
          <w:sz w:val="24"/>
          <w:szCs w:val="24"/>
          <w:lang w:val="en-US"/>
        </w:rPr>
        <w:t xml:space="preserve"> on the defendants.</w:t>
      </w:r>
    </w:p>
    <w:p w:rsidR="0048616C" w:rsidRDefault="0048616C" w:rsidP="002364F1">
      <w:pPr>
        <w:spacing w:line="360" w:lineRule="auto"/>
        <w:contextualSpacing/>
        <w:jc w:val="both"/>
        <w:rPr>
          <w:rFonts w:ascii="Arial" w:eastAsia="Calibri" w:hAnsi="Arial" w:cs="Arial"/>
          <w:sz w:val="24"/>
          <w:szCs w:val="24"/>
          <w:lang w:val="en-US"/>
        </w:rPr>
      </w:pPr>
    </w:p>
    <w:p w:rsidR="0048616C" w:rsidRDefault="0048616C"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[23]</w:t>
      </w:r>
      <w:r>
        <w:rPr>
          <w:rFonts w:ascii="Arial" w:eastAsia="Calibri" w:hAnsi="Arial" w:cs="Arial"/>
          <w:sz w:val="24"/>
          <w:szCs w:val="24"/>
          <w:lang w:val="en-US"/>
        </w:rPr>
        <w:tab/>
        <w:t>Mr Groenewald further testified that all that the plaintiff is claiming is an order for eviction.  He further adds that as at 6 May 2020, the total outstanding unpaid rental owed by the defendants stands at N$ 684,360, and the amount increases with N$ 17 000 per month.</w:t>
      </w:r>
    </w:p>
    <w:p w:rsidR="00B63FDB" w:rsidRDefault="00B63FDB" w:rsidP="002364F1">
      <w:pPr>
        <w:spacing w:line="360" w:lineRule="auto"/>
        <w:contextualSpacing/>
        <w:jc w:val="both"/>
        <w:rPr>
          <w:rFonts w:ascii="Arial" w:eastAsia="Calibri" w:hAnsi="Arial" w:cs="Arial"/>
          <w:sz w:val="24"/>
          <w:szCs w:val="24"/>
          <w:lang w:val="en-US"/>
        </w:rPr>
      </w:pPr>
    </w:p>
    <w:p w:rsidR="00154E5B" w:rsidRDefault="00154E5B"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[25]</w:t>
      </w:r>
      <w:r>
        <w:rPr>
          <w:rFonts w:ascii="Arial" w:eastAsia="Calibri" w:hAnsi="Arial" w:cs="Arial"/>
          <w:sz w:val="24"/>
          <w:szCs w:val="24"/>
          <w:lang w:val="en-US"/>
        </w:rPr>
        <w:tab/>
        <w:t>The se</w:t>
      </w:r>
      <w:r w:rsidR="00242AFB">
        <w:rPr>
          <w:rFonts w:ascii="Arial" w:eastAsia="Calibri" w:hAnsi="Arial" w:cs="Arial"/>
          <w:sz w:val="24"/>
          <w:szCs w:val="24"/>
          <w:lang w:val="en-US"/>
        </w:rPr>
        <w:t>cond witness for the plaintiff,</w:t>
      </w:r>
      <w:r>
        <w:rPr>
          <w:rFonts w:ascii="Arial" w:eastAsia="Calibri" w:hAnsi="Arial" w:cs="Arial"/>
          <w:sz w:val="24"/>
          <w:szCs w:val="24"/>
          <w:lang w:val="en-US"/>
        </w:rPr>
        <w:t xml:space="preserve"> Mr Siyave</w:t>
      </w:r>
      <w:r w:rsidR="00242AFB">
        <w:rPr>
          <w:rFonts w:ascii="Arial" w:eastAsia="Calibri" w:hAnsi="Arial" w:cs="Arial"/>
          <w:sz w:val="24"/>
          <w:szCs w:val="24"/>
          <w:lang w:val="en-US"/>
        </w:rPr>
        <w:t>,</w:t>
      </w:r>
      <w:r>
        <w:rPr>
          <w:rFonts w:ascii="Arial" w:eastAsia="Calibri" w:hAnsi="Arial" w:cs="Arial"/>
          <w:sz w:val="24"/>
          <w:szCs w:val="24"/>
          <w:lang w:val="en-US"/>
        </w:rPr>
        <w:t xml:space="preserve"> testified that he is employed by Rubicon Security Services as a security manager.  The owner of Rubicon Security Services is Mr Christo Groenewald.</w:t>
      </w:r>
    </w:p>
    <w:p w:rsidR="00154E5B" w:rsidRDefault="00154E5B" w:rsidP="002364F1">
      <w:pPr>
        <w:spacing w:line="360" w:lineRule="auto"/>
        <w:contextualSpacing/>
        <w:jc w:val="both"/>
        <w:rPr>
          <w:rFonts w:ascii="Arial" w:eastAsia="Calibri" w:hAnsi="Arial" w:cs="Arial"/>
          <w:sz w:val="24"/>
          <w:szCs w:val="24"/>
          <w:lang w:val="en-US"/>
        </w:rPr>
      </w:pPr>
    </w:p>
    <w:p w:rsidR="00154E5B" w:rsidRDefault="004276A1"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lastRenderedPageBreak/>
        <w:t>[26]</w:t>
      </w:r>
      <w:r>
        <w:rPr>
          <w:rFonts w:ascii="Arial" w:eastAsia="Calibri" w:hAnsi="Arial" w:cs="Arial"/>
          <w:sz w:val="24"/>
          <w:szCs w:val="24"/>
          <w:lang w:val="en-US"/>
        </w:rPr>
        <w:tab/>
        <w:t>On 20 October 2017 Mr Siyave was tasked by Mr Groenewald to deliver payment</w:t>
      </w:r>
      <w:r w:rsidR="00242AFB">
        <w:rPr>
          <w:rFonts w:ascii="Arial" w:eastAsia="Calibri" w:hAnsi="Arial" w:cs="Arial"/>
          <w:sz w:val="24"/>
          <w:szCs w:val="24"/>
          <w:lang w:val="en-US"/>
        </w:rPr>
        <w:t>-</w:t>
      </w:r>
      <w:r>
        <w:rPr>
          <w:rFonts w:ascii="Arial" w:eastAsia="Calibri" w:hAnsi="Arial" w:cs="Arial"/>
          <w:sz w:val="24"/>
          <w:szCs w:val="24"/>
          <w:lang w:val="en-US"/>
        </w:rPr>
        <w:t xml:space="preserve"> demand notices to the defendants in this matter at the premises owned by the plaintiff.  Upon his arrival at the premises, he was approached by Mr Andreas Thimbunga (the 18</w:t>
      </w:r>
      <w:r w:rsidRPr="004276A1">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who is also the Chairman of Endobo Hostel Committee, who told him to hand-over the notices to him for distribution to the respective defendants.  Mr Siyave handed the notices over to Mr Thimbunga.</w:t>
      </w:r>
    </w:p>
    <w:p w:rsidR="004276A1" w:rsidRDefault="004276A1" w:rsidP="002364F1">
      <w:pPr>
        <w:spacing w:line="360" w:lineRule="auto"/>
        <w:contextualSpacing/>
        <w:jc w:val="both"/>
        <w:rPr>
          <w:rFonts w:ascii="Arial" w:eastAsia="Calibri" w:hAnsi="Arial" w:cs="Arial"/>
          <w:sz w:val="24"/>
          <w:szCs w:val="24"/>
          <w:lang w:val="en-US"/>
        </w:rPr>
      </w:pPr>
    </w:p>
    <w:p w:rsidR="004276A1" w:rsidRDefault="004276A1"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[27]</w:t>
      </w:r>
      <w:r>
        <w:rPr>
          <w:rFonts w:ascii="Arial" w:eastAsia="Calibri" w:hAnsi="Arial" w:cs="Arial"/>
          <w:sz w:val="24"/>
          <w:szCs w:val="24"/>
          <w:lang w:val="en-US"/>
        </w:rPr>
        <w:tab/>
        <w:t>On 31 October 2017, Mr Siyave was detailed by Mr Groenewald to deliver lease-cancellation notices on the twenty defendants in this matter.  He did that however, he was later confronted by a group of angry tenants.  He called Mr Groenewald who later arrived.  Thereafter, the police was summoned and the police later defused the situation.</w:t>
      </w:r>
    </w:p>
    <w:p w:rsidR="004276A1" w:rsidRDefault="004276A1" w:rsidP="002364F1">
      <w:pPr>
        <w:spacing w:line="360" w:lineRule="auto"/>
        <w:contextualSpacing/>
        <w:jc w:val="both"/>
        <w:rPr>
          <w:rFonts w:ascii="Arial" w:eastAsia="Calibri" w:hAnsi="Arial" w:cs="Arial"/>
          <w:sz w:val="24"/>
          <w:szCs w:val="24"/>
          <w:lang w:val="en-US"/>
        </w:rPr>
      </w:pPr>
    </w:p>
    <w:p w:rsidR="004276A1" w:rsidRDefault="004276A1"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[2</w:t>
      </w:r>
      <w:r w:rsidR="00242AFB">
        <w:rPr>
          <w:rFonts w:ascii="Arial" w:eastAsia="Calibri" w:hAnsi="Arial" w:cs="Arial"/>
          <w:sz w:val="24"/>
          <w:szCs w:val="24"/>
          <w:lang w:val="en-US"/>
        </w:rPr>
        <w:t>8]</w:t>
      </w:r>
      <w:r w:rsidR="00242AFB">
        <w:rPr>
          <w:rFonts w:ascii="Arial" w:eastAsia="Calibri" w:hAnsi="Arial" w:cs="Arial"/>
          <w:sz w:val="24"/>
          <w:szCs w:val="24"/>
          <w:lang w:val="en-US"/>
        </w:rPr>
        <w:tab/>
        <w:t>The third and last witness for</w:t>
      </w:r>
      <w:r>
        <w:rPr>
          <w:rFonts w:ascii="Arial" w:eastAsia="Calibri" w:hAnsi="Arial" w:cs="Arial"/>
          <w:sz w:val="24"/>
          <w:szCs w:val="24"/>
          <w:lang w:val="en-US"/>
        </w:rPr>
        <w:t xml:space="preserve"> the plaintiff was Mr Pretorius.  Mr Pretorius testified that he is a legal practitioner based at Tsumeb.  He has been the plaintiff’s legal practitioner in respect </w:t>
      </w:r>
      <w:r w:rsidR="00C925AF">
        <w:rPr>
          <w:rFonts w:ascii="Arial" w:eastAsia="Calibri" w:hAnsi="Arial" w:cs="Arial"/>
          <w:sz w:val="24"/>
          <w:szCs w:val="24"/>
          <w:lang w:val="en-US"/>
        </w:rPr>
        <w:t xml:space="preserve">of </w:t>
      </w:r>
      <w:r>
        <w:rPr>
          <w:rFonts w:ascii="Arial" w:eastAsia="Calibri" w:hAnsi="Arial" w:cs="Arial"/>
          <w:sz w:val="24"/>
          <w:szCs w:val="24"/>
          <w:lang w:val="en-US"/>
        </w:rPr>
        <w:t>plaintiff’s litigation against defaulting tenants at the Endobo property.</w:t>
      </w:r>
    </w:p>
    <w:p w:rsidR="004276A1" w:rsidRDefault="004276A1" w:rsidP="002364F1">
      <w:pPr>
        <w:spacing w:line="360" w:lineRule="auto"/>
        <w:contextualSpacing/>
        <w:jc w:val="both"/>
        <w:rPr>
          <w:rFonts w:ascii="Arial" w:eastAsia="Calibri" w:hAnsi="Arial" w:cs="Arial"/>
          <w:sz w:val="24"/>
          <w:szCs w:val="24"/>
          <w:lang w:val="en-US"/>
        </w:rPr>
      </w:pPr>
    </w:p>
    <w:p w:rsidR="004276A1" w:rsidRPr="00605CAC" w:rsidRDefault="004276A1"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[29]</w:t>
      </w:r>
      <w:r>
        <w:rPr>
          <w:rFonts w:ascii="Arial" w:eastAsia="Calibri" w:hAnsi="Arial" w:cs="Arial"/>
          <w:sz w:val="24"/>
          <w:szCs w:val="24"/>
          <w:lang w:val="en-US"/>
        </w:rPr>
        <w:tab/>
        <w:t xml:space="preserve">Mr Pretorius related that he has been practising law in Tsumeb </w:t>
      </w:r>
      <w:r w:rsidR="00605CAC">
        <w:rPr>
          <w:rFonts w:ascii="Arial" w:eastAsia="Calibri" w:hAnsi="Arial" w:cs="Arial"/>
          <w:sz w:val="24"/>
          <w:szCs w:val="24"/>
          <w:lang w:val="en-US"/>
        </w:rPr>
        <w:t xml:space="preserve">for the past 37 years.  Initially he started as a prosecutor, from 1982 to 1986.  Thereafter he opened his law firm, FA Pretorius and Company where he still practices.  He averred that to his knowledge, there is no </w:t>
      </w:r>
      <w:r w:rsidR="00605CAC" w:rsidRPr="00605CAC">
        <w:rPr>
          <w:rFonts w:ascii="Arial" w:eastAsia="Calibri" w:hAnsi="Arial" w:cs="Arial"/>
          <w:i/>
          <w:sz w:val="24"/>
          <w:szCs w:val="24"/>
          <w:lang w:val="en-US"/>
        </w:rPr>
        <w:t>rent board</w:t>
      </w:r>
      <w:r w:rsidR="00605CAC">
        <w:rPr>
          <w:rFonts w:ascii="Arial" w:eastAsia="Calibri" w:hAnsi="Arial" w:cs="Arial"/>
          <w:sz w:val="24"/>
          <w:szCs w:val="24"/>
          <w:lang w:val="en-US"/>
        </w:rPr>
        <w:t xml:space="preserve"> established for the area of Tsumeb.  In terms of </w:t>
      </w:r>
      <w:r w:rsidR="00605CAC" w:rsidRPr="00605CAC">
        <w:rPr>
          <w:rFonts w:ascii="Arial" w:eastAsia="Calibri" w:hAnsi="Arial" w:cs="Arial"/>
          <w:i/>
          <w:sz w:val="24"/>
          <w:szCs w:val="24"/>
          <w:lang w:val="en-US"/>
        </w:rPr>
        <w:t>section 35</w:t>
      </w:r>
      <w:r w:rsidR="00605CAC">
        <w:rPr>
          <w:rFonts w:ascii="Arial" w:eastAsia="Calibri" w:hAnsi="Arial" w:cs="Arial"/>
          <w:sz w:val="24"/>
          <w:szCs w:val="24"/>
          <w:lang w:val="en-US"/>
        </w:rPr>
        <w:t xml:space="preserve"> of the </w:t>
      </w:r>
      <w:r w:rsidR="00605CAC" w:rsidRPr="00605CAC">
        <w:rPr>
          <w:rFonts w:ascii="Arial" w:eastAsia="Calibri" w:hAnsi="Arial" w:cs="Arial"/>
          <w:i/>
          <w:sz w:val="24"/>
          <w:szCs w:val="24"/>
          <w:lang w:val="en-US"/>
        </w:rPr>
        <w:t>Rents Ordinance</w:t>
      </w:r>
      <w:r w:rsidR="00605CAC">
        <w:rPr>
          <w:rFonts w:ascii="Arial" w:eastAsia="Calibri" w:hAnsi="Arial" w:cs="Arial"/>
          <w:sz w:val="24"/>
          <w:szCs w:val="24"/>
          <w:lang w:val="en-US"/>
        </w:rPr>
        <w:t xml:space="preserve">, the provisions of the Ordinance only apply to a dwelling situated in an area for which a </w:t>
      </w:r>
      <w:r w:rsidR="00605CAC" w:rsidRPr="00605CAC">
        <w:rPr>
          <w:rFonts w:ascii="Arial" w:eastAsia="Calibri" w:hAnsi="Arial" w:cs="Arial"/>
          <w:i/>
          <w:sz w:val="24"/>
          <w:szCs w:val="24"/>
          <w:lang w:val="en-US"/>
        </w:rPr>
        <w:t>rent board</w:t>
      </w:r>
      <w:r w:rsidR="00605CAC">
        <w:rPr>
          <w:rFonts w:ascii="Arial" w:eastAsia="Calibri" w:hAnsi="Arial" w:cs="Arial"/>
          <w:sz w:val="24"/>
          <w:szCs w:val="24"/>
          <w:lang w:val="en-US"/>
        </w:rPr>
        <w:t xml:space="preserve"> has been established.</w:t>
      </w:r>
    </w:p>
    <w:p w:rsidR="004276A1" w:rsidRDefault="004276A1" w:rsidP="002364F1">
      <w:pPr>
        <w:spacing w:line="360" w:lineRule="auto"/>
        <w:contextualSpacing/>
        <w:jc w:val="both"/>
        <w:rPr>
          <w:rFonts w:ascii="Arial" w:eastAsia="Calibri" w:hAnsi="Arial" w:cs="Arial"/>
          <w:sz w:val="24"/>
          <w:szCs w:val="24"/>
          <w:lang w:val="en-US"/>
        </w:rPr>
      </w:pPr>
    </w:p>
    <w:p w:rsidR="004276A1" w:rsidRDefault="00605CAC"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[30]</w:t>
      </w:r>
      <w:r>
        <w:rPr>
          <w:rFonts w:ascii="Arial" w:eastAsia="Calibri" w:hAnsi="Arial" w:cs="Arial"/>
          <w:sz w:val="24"/>
          <w:szCs w:val="24"/>
          <w:lang w:val="en-US"/>
        </w:rPr>
        <w:tab/>
        <w:t>The defendants called four witnesses, namely Christolene Kambamba (“Ms Kambamba”), Hewatt Beuk</w:t>
      </w:r>
      <w:r w:rsidR="00080349">
        <w:rPr>
          <w:rFonts w:ascii="Arial" w:eastAsia="Calibri" w:hAnsi="Arial" w:cs="Arial"/>
          <w:sz w:val="24"/>
          <w:szCs w:val="24"/>
          <w:lang w:val="en-US"/>
        </w:rPr>
        <w:t>es (“Mr Beukes”), Immanuel Kativ</w:t>
      </w:r>
      <w:r>
        <w:rPr>
          <w:rFonts w:ascii="Arial" w:eastAsia="Calibri" w:hAnsi="Arial" w:cs="Arial"/>
          <w:sz w:val="24"/>
          <w:szCs w:val="24"/>
          <w:lang w:val="en-US"/>
        </w:rPr>
        <w:t>a Shilonda (“Mr Shilonda”) and Willem Machayi (“Mr Machayi”).</w:t>
      </w:r>
    </w:p>
    <w:p w:rsidR="00605CAC" w:rsidRDefault="00605CAC" w:rsidP="002364F1">
      <w:pPr>
        <w:spacing w:line="360" w:lineRule="auto"/>
        <w:contextualSpacing/>
        <w:jc w:val="both"/>
        <w:rPr>
          <w:rFonts w:ascii="Arial" w:eastAsia="Calibri" w:hAnsi="Arial" w:cs="Arial"/>
          <w:sz w:val="24"/>
          <w:szCs w:val="24"/>
          <w:lang w:val="en-US"/>
        </w:rPr>
      </w:pPr>
    </w:p>
    <w:p w:rsidR="00605CAC" w:rsidRDefault="00605CAC"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[31]</w:t>
      </w:r>
      <w:r>
        <w:rPr>
          <w:rFonts w:ascii="Arial" w:eastAsia="Calibri" w:hAnsi="Arial" w:cs="Arial"/>
          <w:sz w:val="24"/>
          <w:szCs w:val="24"/>
          <w:lang w:val="en-US"/>
        </w:rPr>
        <w:tab/>
        <w:t xml:space="preserve">Ms Kambamba is the eighth defendant in this matter.  She testified that she is a resident of Endobo compound (the premises) since 2016.  Her father had resided on the premises since 2007.  He passed away in November 2016. Ms Kambamba approached </w:t>
      </w:r>
      <w:r>
        <w:rPr>
          <w:rFonts w:ascii="Arial" w:eastAsia="Calibri" w:hAnsi="Arial" w:cs="Arial"/>
          <w:sz w:val="24"/>
          <w:szCs w:val="24"/>
          <w:lang w:val="en-US"/>
        </w:rPr>
        <w:lastRenderedPageBreak/>
        <w:t>Mr Groenewald’s office in December 2016, in order to lease the unit which</w:t>
      </w:r>
      <w:r w:rsidR="00242AFB">
        <w:rPr>
          <w:rFonts w:ascii="Arial" w:eastAsia="Calibri" w:hAnsi="Arial" w:cs="Arial"/>
          <w:sz w:val="24"/>
          <w:szCs w:val="24"/>
          <w:lang w:val="en-US"/>
        </w:rPr>
        <w:t xml:space="preserve"> was previously let to her late</w:t>
      </w:r>
      <w:r>
        <w:rPr>
          <w:rFonts w:ascii="Arial" w:eastAsia="Calibri" w:hAnsi="Arial" w:cs="Arial"/>
          <w:sz w:val="24"/>
          <w:szCs w:val="24"/>
          <w:lang w:val="en-US"/>
        </w:rPr>
        <w:t xml:space="preserve"> father.  She was successful in her quest.</w:t>
      </w:r>
    </w:p>
    <w:p w:rsidR="00605CAC" w:rsidRDefault="00605CAC" w:rsidP="002364F1">
      <w:pPr>
        <w:spacing w:line="360" w:lineRule="auto"/>
        <w:contextualSpacing/>
        <w:jc w:val="both"/>
        <w:rPr>
          <w:rFonts w:ascii="Arial" w:eastAsia="Calibri" w:hAnsi="Arial" w:cs="Arial"/>
          <w:sz w:val="24"/>
          <w:szCs w:val="24"/>
          <w:lang w:val="en-US"/>
        </w:rPr>
      </w:pPr>
    </w:p>
    <w:p w:rsidR="00605CAC" w:rsidRDefault="00605CAC"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[32]</w:t>
      </w:r>
      <w:r>
        <w:rPr>
          <w:rFonts w:ascii="Arial" w:eastAsia="Calibri" w:hAnsi="Arial" w:cs="Arial"/>
          <w:sz w:val="24"/>
          <w:szCs w:val="24"/>
          <w:lang w:val="en-US"/>
        </w:rPr>
        <w:tab/>
        <w:t xml:space="preserve">In February 2017, Mr Groenewald distributed notices notifying tenants of rent-increases, to come in effect in April 2017. Upon receipt of those notices, she together with other tenants held a meeting to discuss the issue.  According to Ms Kambamba, the meeting </w:t>
      </w:r>
      <w:r w:rsidR="00712425">
        <w:rPr>
          <w:rFonts w:ascii="Arial" w:eastAsia="Calibri" w:hAnsi="Arial" w:cs="Arial"/>
          <w:sz w:val="24"/>
          <w:szCs w:val="24"/>
          <w:lang w:val="en-US"/>
        </w:rPr>
        <w:t>resolved to approach Mr Groenewald to request that he renovates the leased premises.</w:t>
      </w:r>
    </w:p>
    <w:p w:rsidR="00712425" w:rsidRDefault="00712425" w:rsidP="002364F1">
      <w:pPr>
        <w:spacing w:line="360" w:lineRule="auto"/>
        <w:contextualSpacing/>
        <w:jc w:val="both"/>
        <w:rPr>
          <w:rFonts w:ascii="Arial" w:eastAsia="Calibri" w:hAnsi="Arial" w:cs="Arial"/>
          <w:sz w:val="24"/>
          <w:szCs w:val="24"/>
          <w:lang w:val="en-US"/>
        </w:rPr>
      </w:pPr>
    </w:p>
    <w:p w:rsidR="00712425" w:rsidRDefault="00712425"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[33]</w:t>
      </w:r>
      <w:r>
        <w:rPr>
          <w:rFonts w:ascii="Arial" w:eastAsia="Calibri" w:hAnsi="Arial" w:cs="Arial"/>
          <w:sz w:val="24"/>
          <w:szCs w:val="24"/>
          <w:lang w:val="en-US"/>
        </w:rPr>
        <w:tab/>
        <w:t>A meeting was later arranged.  Mr Groenewald refused and/or failed to renovate the premises.  According to Ms Kambamba</w:t>
      </w:r>
      <w:r w:rsidR="00AD13F8">
        <w:rPr>
          <w:rFonts w:ascii="Arial" w:eastAsia="Calibri" w:hAnsi="Arial" w:cs="Arial"/>
          <w:sz w:val="24"/>
          <w:szCs w:val="24"/>
          <w:lang w:val="en-US"/>
        </w:rPr>
        <w:t>,</w:t>
      </w:r>
      <w:r>
        <w:rPr>
          <w:rFonts w:ascii="Arial" w:eastAsia="Calibri" w:hAnsi="Arial" w:cs="Arial"/>
          <w:sz w:val="24"/>
          <w:szCs w:val="24"/>
          <w:lang w:val="en-US"/>
        </w:rPr>
        <w:t xml:space="preserve"> she together with some tenants, decided they would no longer pay rent on account that Mr Groenewald refuses to renovate the leased premises.</w:t>
      </w:r>
    </w:p>
    <w:p w:rsidR="00712425" w:rsidRDefault="00712425" w:rsidP="002364F1">
      <w:pPr>
        <w:spacing w:line="360" w:lineRule="auto"/>
        <w:contextualSpacing/>
        <w:jc w:val="both"/>
        <w:rPr>
          <w:rFonts w:ascii="Arial" w:eastAsia="Calibri" w:hAnsi="Arial" w:cs="Arial"/>
          <w:sz w:val="24"/>
          <w:szCs w:val="24"/>
          <w:lang w:val="en-US"/>
        </w:rPr>
      </w:pPr>
    </w:p>
    <w:p w:rsidR="00712425" w:rsidRDefault="00712425"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[34]</w:t>
      </w:r>
      <w:r>
        <w:rPr>
          <w:rFonts w:ascii="Arial" w:eastAsia="Calibri" w:hAnsi="Arial" w:cs="Arial"/>
          <w:sz w:val="24"/>
          <w:szCs w:val="24"/>
          <w:lang w:val="en-US"/>
        </w:rPr>
        <w:tab/>
        <w:t>When cross-examined, Ms Kambamba conceded that she had entered into a lease agreement with the plaintiff on 5 December 2016.  She also conceded that in terms of the lease agreement rent is payable monthly, without deduction.</w:t>
      </w:r>
    </w:p>
    <w:p w:rsidR="00712425" w:rsidRDefault="00712425" w:rsidP="002364F1">
      <w:pPr>
        <w:spacing w:line="360" w:lineRule="auto"/>
        <w:contextualSpacing/>
        <w:jc w:val="both"/>
        <w:rPr>
          <w:rFonts w:ascii="Arial" w:eastAsia="Calibri" w:hAnsi="Arial" w:cs="Arial"/>
          <w:sz w:val="24"/>
          <w:szCs w:val="24"/>
          <w:lang w:val="en-US"/>
        </w:rPr>
      </w:pPr>
    </w:p>
    <w:p w:rsidR="00712425" w:rsidRDefault="00712425"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[35]</w:t>
      </w:r>
      <w:r>
        <w:rPr>
          <w:rFonts w:ascii="Arial" w:eastAsia="Calibri" w:hAnsi="Arial" w:cs="Arial"/>
          <w:sz w:val="24"/>
          <w:szCs w:val="24"/>
          <w:lang w:val="en-US"/>
        </w:rPr>
        <w:tab/>
        <w:t>The next witness for the defendants was Mr Beukes.  Mr Beukes testified that he is a consultant with the Workers Advice Centre, a registered proprietor</w:t>
      </w:r>
      <w:r w:rsidR="007F10C1">
        <w:rPr>
          <w:rFonts w:ascii="Arial" w:eastAsia="Calibri" w:hAnsi="Arial" w:cs="Arial"/>
          <w:sz w:val="24"/>
          <w:szCs w:val="24"/>
          <w:lang w:val="en-US"/>
        </w:rPr>
        <w:t>ship.  In 2018 the Workers Advic</w:t>
      </w:r>
      <w:r>
        <w:rPr>
          <w:rFonts w:ascii="Arial" w:eastAsia="Calibri" w:hAnsi="Arial" w:cs="Arial"/>
          <w:sz w:val="24"/>
          <w:szCs w:val="24"/>
          <w:lang w:val="en-US"/>
        </w:rPr>
        <w:t xml:space="preserve">e Centre was instructed by occupants of Endobo Hostel to investigate the validity of the claim of ownership by Mr Groenewald, in respect of Endobo Hostel.  The summarized findings of the Workers Advice Centre are that:  the hostel previously belonged to Tsumeb Corporation Limited (“TCL”).  The purpose of the hostel was to house contractual mine-workers.  </w:t>
      </w:r>
      <w:r w:rsidRPr="00712425">
        <w:rPr>
          <w:rFonts w:ascii="Arial" w:eastAsia="Calibri" w:hAnsi="Arial" w:cs="Arial"/>
          <w:i/>
          <w:sz w:val="24"/>
          <w:szCs w:val="24"/>
          <w:lang w:val="en-US"/>
        </w:rPr>
        <w:t>TCL</w:t>
      </w:r>
      <w:r>
        <w:rPr>
          <w:rFonts w:ascii="Arial" w:eastAsia="Calibri" w:hAnsi="Arial" w:cs="Arial"/>
          <w:sz w:val="24"/>
          <w:szCs w:val="24"/>
          <w:lang w:val="en-US"/>
        </w:rPr>
        <w:t xml:space="preserve"> was liquidated in 1998. All assets of TCL were taken over by Ongopolo Mining and </w:t>
      </w:r>
      <w:r w:rsidR="00805627">
        <w:rPr>
          <w:rFonts w:ascii="Arial" w:eastAsia="Calibri" w:hAnsi="Arial" w:cs="Arial"/>
          <w:sz w:val="24"/>
          <w:szCs w:val="24"/>
          <w:lang w:val="en-US"/>
        </w:rPr>
        <w:t>Processing</w:t>
      </w:r>
      <w:r>
        <w:rPr>
          <w:rFonts w:ascii="Arial" w:eastAsia="Calibri" w:hAnsi="Arial" w:cs="Arial"/>
          <w:sz w:val="24"/>
          <w:szCs w:val="24"/>
          <w:lang w:val="en-US"/>
        </w:rPr>
        <w:t xml:space="preserve"> Limited Company.</w:t>
      </w:r>
      <w:r>
        <w:rPr>
          <w:rStyle w:val="FootnoteReference"/>
          <w:rFonts w:ascii="Arial" w:eastAsia="Calibri" w:hAnsi="Arial" w:cs="Arial"/>
          <w:sz w:val="24"/>
          <w:szCs w:val="24"/>
          <w:lang w:val="en-US"/>
        </w:rPr>
        <w:footnoteReference w:id="1"/>
      </w:r>
      <w:r>
        <w:rPr>
          <w:rFonts w:ascii="Arial" w:eastAsia="Calibri" w:hAnsi="Arial" w:cs="Arial"/>
          <w:sz w:val="24"/>
          <w:szCs w:val="24"/>
          <w:lang w:val="en-US"/>
        </w:rPr>
        <w:t xml:space="preserve">  The same investigation further revealed that the hostel has no approved municipality plans, no compliance certificate, is not designated </w:t>
      </w:r>
      <w:r w:rsidR="0028310A">
        <w:rPr>
          <w:rFonts w:ascii="Arial" w:eastAsia="Calibri" w:hAnsi="Arial" w:cs="Arial"/>
          <w:sz w:val="24"/>
          <w:szCs w:val="24"/>
          <w:lang w:val="en-US"/>
        </w:rPr>
        <w:t xml:space="preserve">as habitable and that it is criminal to put people in such a building.  When </w:t>
      </w:r>
      <w:r w:rsidR="0028310A">
        <w:rPr>
          <w:rFonts w:ascii="Arial" w:eastAsia="Calibri" w:hAnsi="Arial" w:cs="Arial"/>
          <w:sz w:val="24"/>
          <w:szCs w:val="24"/>
          <w:lang w:val="en-US"/>
        </w:rPr>
        <w:lastRenderedPageBreak/>
        <w:t>cross-examined, Mr Beukes does not dispute that the plaintiff is the registered owner of the leased premises.</w:t>
      </w:r>
      <w:r w:rsidR="007F10C1">
        <w:rPr>
          <w:rStyle w:val="FootnoteReference"/>
          <w:rFonts w:ascii="Arial" w:eastAsia="Calibri" w:hAnsi="Arial" w:cs="Arial"/>
          <w:sz w:val="24"/>
          <w:szCs w:val="24"/>
          <w:lang w:val="en-US"/>
        </w:rPr>
        <w:footnoteReference w:id="2"/>
      </w:r>
    </w:p>
    <w:p w:rsidR="004276A1" w:rsidRDefault="004276A1" w:rsidP="002364F1">
      <w:pPr>
        <w:spacing w:line="360" w:lineRule="auto"/>
        <w:contextualSpacing/>
        <w:jc w:val="both"/>
        <w:rPr>
          <w:rFonts w:ascii="Arial" w:eastAsia="Calibri" w:hAnsi="Arial" w:cs="Arial"/>
          <w:sz w:val="24"/>
          <w:szCs w:val="24"/>
          <w:lang w:val="en-US"/>
        </w:rPr>
      </w:pPr>
    </w:p>
    <w:p w:rsidR="004276A1" w:rsidRDefault="0028310A"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[36]</w:t>
      </w:r>
      <w:r>
        <w:rPr>
          <w:rFonts w:ascii="Arial" w:eastAsia="Calibri" w:hAnsi="Arial" w:cs="Arial"/>
          <w:sz w:val="24"/>
          <w:szCs w:val="24"/>
          <w:lang w:val="en-US"/>
        </w:rPr>
        <w:tab/>
        <w:t>Mr Shilonda is the 13</w:t>
      </w:r>
      <w:r w:rsidRPr="0028310A">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 He testified that he is a resident of Endobo compound and has been such resident since 2008.  He averred that he used to live with his uncle who worked for a local mine.  He described Endobo compound as an old building which was built to house mine-workers during the pre-independence era.  Apart from mine-workers, the building also houses employees of other companies such as security guards.  In 2012</w:t>
      </w:r>
      <w:r w:rsidR="007F10C1">
        <w:rPr>
          <w:rFonts w:ascii="Arial" w:eastAsia="Calibri" w:hAnsi="Arial" w:cs="Arial"/>
          <w:sz w:val="24"/>
          <w:szCs w:val="24"/>
          <w:lang w:val="en-US"/>
        </w:rPr>
        <w:t>,</w:t>
      </w:r>
      <w:r>
        <w:rPr>
          <w:rFonts w:ascii="Arial" w:eastAsia="Calibri" w:hAnsi="Arial" w:cs="Arial"/>
          <w:sz w:val="24"/>
          <w:szCs w:val="24"/>
          <w:lang w:val="en-US"/>
        </w:rPr>
        <w:t xml:space="preserve"> Mr Shilonda managed to secure accommodation as a tenant of room 188.  He as well as some other tenants are unhappy with annual rental increments charg</w:t>
      </w:r>
      <w:r w:rsidR="007F10C1">
        <w:rPr>
          <w:rFonts w:ascii="Arial" w:eastAsia="Calibri" w:hAnsi="Arial" w:cs="Arial"/>
          <w:sz w:val="24"/>
          <w:szCs w:val="24"/>
          <w:lang w:val="en-US"/>
        </w:rPr>
        <w:t>ed by the plaintiff as land</w:t>
      </w:r>
      <w:r>
        <w:rPr>
          <w:rFonts w:ascii="Arial" w:eastAsia="Calibri" w:hAnsi="Arial" w:cs="Arial"/>
          <w:sz w:val="24"/>
          <w:szCs w:val="24"/>
          <w:lang w:val="en-US"/>
        </w:rPr>
        <w:t xml:space="preserve">lord, without corresponding renovation being effected to the leased premises.  He and other tenants decided to stop paying rent altogether and use the rental money to maintain leased premises.  Under cross-examination, Mr Shilonda </w:t>
      </w:r>
      <w:r w:rsidR="00790C87">
        <w:rPr>
          <w:rFonts w:ascii="Arial" w:eastAsia="Calibri" w:hAnsi="Arial" w:cs="Arial"/>
          <w:sz w:val="24"/>
          <w:szCs w:val="24"/>
          <w:lang w:val="en-US"/>
        </w:rPr>
        <w:t>does not dispute the fact that the plaintiff is holder of the registered title deed in respect of the leased premises.  However, he still maintains that the plaintiff is not the owner of the leased premises.</w:t>
      </w:r>
    </w:p>
    <w:p w:rsidR="00790C87" w:rsidRDefault="00790C87" w:rsidP="002364F1">
      <w:pPr>
        <w:spacing w:line="360" w:lineRule="auto"/>
        <w:contextualSpacing/>
        <w:jc w:val="both"/>
        <w:rPr>
          <w:rFonts w:ascii="Arial" w:eastAsia="Calibri" w:hAnsi="Arial" w:cs="Arial"/>
          <w:sz w:val="24"/>
          <w:szCs w:val="24"/>
          <w:lang w:val="en-US"/>
        </w:rPr>
      </w:pPr>
    </w:p>
    <w:p w:rsidR="00790C87" w:rsidRDefault="00790C87"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[37]</w:t>
      </w:r>
      <w:r>
        <w:rPr>
          <w:rFonts w:ascii="Arial" w:eastAsia="Calibri" w:hAnsi="Arial" w:cs="Arial"/>
          <w:sz w:val="24"/>
          <w:szCs w:val="24"/>
          <w:lang w:val="en-US"/>
        </w:rPr>
        <w:tab/>
        <w:t xml:space="preserve">The fourth and last witness for the defendants is Mr Machayi. Mr Machayi is not a tenant, but </w:t>
      </w:r>
      <w:r w:rsidR="00C57F83">
        <w:rPr>
          <w:rFonts w:ascii="Arial" w:eastAsia="Calibri" w:hAnsi="Arial" w:cs="Arial"/>
          <w:sz w:val="24"/>
          <w:szCs w:val="24"/>
          <w:lang w:val="en-US"/>
        </w:rPr>
        <w:t>reside</w:t>
      </w:r>
      <w:r w:rsidR="007F10C1">
        <w:rPr>
          <w:rFonts w:ascii="Arial" w:eastAsia="Calibri" w:hAnsi="Arial" w:cs="Arial"/>
          <w:sz w:val="24"/>
          <w:szCs w:val="24"/>
          <w:lang w:val="en-US"/>
        </w:rPr>
        <w:t>s</w:t>
      </w:r>
      <w:r w:rsidR="00C57F83">
        <w:rPr>
          <w:rFonts w:ascii="Arial" w:eastAsia="Calibri" w:hAnsi="Arial" w:cs="Arial"/>
          <w:sz w:val="24"/>
          <w:szCs w:val="24"/>
          <w:lang w:val="en-US"/>
        </w:rPr>
        <w:t xml:space="preserve"> in Endobo hostel in unit number 10B. He testified that he has been a resident of the hostel since 2008. The room he occupies is allocated to his father.  His father has been a resident of the hostel since the </w:t>
      </w:r>
      <w:r w:rsidR="00C57F83" w:rsidRPr="00C57F83">
        <w:rPr>
          <w:rFonts w:ascii="Arial" w:eastAsia="Calibri" w:hAnsi="Arial" w:cs="Arial"/>
          <w:i/>
          <w:sz w:val="24"/>
          <w:szCs w:val="24"/>
          <w:lang w:val="en-US"/>
        </w:rPr>
        <w:t xml:space="preserve">TCL </w:t>
      </w:r>
      <w:r w:rsidR="00C57F83">
        <w:rPr>
          <w:rFonts w:ascii="Arial" w:eastAsia="Calibri" w:hAnsi="Arial" w:cs="Arial"/>
          <w:sz w:val="24"/>
          <w:szCs w:val="24"/>
          <w:lang w:val="en-US"/>
        </w:rPr>
        <w:t>years, when he was employed as a mine-worker.</w:t>
      </w:r>
    </w:p>
    <w:p w:rsidR="00C57F83" w:rsidRDefault="00C57F83" w:rsidP="002364F1">
      <w:pPr>
        <w:spacing w:line="360" w:lineRule="auto"/>
        <w:contextualSpacing/>
        <w:jc w:val="both"/>
        <w:rPr>
          <w:rFonts w:ascii="Arial" w:eastAsia="Calibri" w:hAnsi="Arial" w:cs="Arial"/>
          <w:sz w:val="24"/>
          <w:szCs w:val="24"/>
          <w:lang w:val="en-US"/>
        </w:rPr>
      </w:pPr>
    </w:p>
    <w:p w:rsidR="00C57F83" w:rsidRDefault="00C57F83"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[38]</w:t>
      </w:r>
      <w:r>
        <w:rPr>
          <w:rFonts w:ascii="Arial" w:eastAsia="Calibri" w:hAnsi="Arial" w:cs="Arial"/>
          <w:sz w:val="24"/>
          <w:szCs w:val="24"/>
          <w:lang w:val="en-US"/>
        </w:rPr>
        <w:tab/>
        <w:t>Mr Machayi narrated that the residents of Endobo hostel comprise of mine-workers, security guards and other low-income households.  The inhabitants have established a committee, called Endobo Hostel Committee to cater for their interests.  Mr Machayi testified that he is a member of this committee.  There are about 266 units whose occupants share communal showers and communal toilets.  He describes the general conditions of the hostel as unhygienic.</w:t>
      </w:r>
    </w:p>
    <w:p w:rsidR="00C57F83" w:rsidRDefault="00C57F83" w:rsidP="002364F1">
      <w:pPr>
        <w:spacing w:line="360" w:lineRule="auto"/>
        <w:contextualSpacing/>
        <w:jc w:val="both"/>
        <w:rPr>
          <w:rFonts w:ascii="Arial" w:eastAsia="Calibri" w:hAnsi="Arial" w:cs="Arial"/>
          <w:sz w:val="24"/>
          <w:szCs w:val="24"/>
          <w:lang w:val="en-US"/>
        </w:rPr>
      </w:pPr>
    </w:p>
    <w:p w:rsidR="00C57F83" w:rsidRDefault="00C57F83"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lastRenderedPageBreak/>
        <w:t>[39]</w:t>
      </w:r>
      <w:r>
        <w:rPr>
          <w:rFonts w:ascii="Arial" w:eastAsia="Calibri" w:hAnsi="Arial" w:cs="Arial"/>
          <w:sz w:val="24"/>
          <w:szCs w:val="24"/>
          <w:lang w:val="en-US"/>
        </w:rPr>
        <w:tab/>
        <w:t xml:space="preserve">According to Mr Machayi, in 2009 the Endobo Hostel Committee and other tenants held a meeting with Mr Groenewald to discuss the state of the leased premises.  The intention was to request Mr Groenewald to effect renovations on the premises especially the toilets.  Mr Groenewald agreed to attend to the renovations.  However, </w:t>
      </w:r>
      <w:r w:rsidR="007F10C1">
        <w:rPr>
          <w:rFonts w:ascii="Arial" w:eastAsia="Calibri" w:hAnsi="Arial" w:cs="Arial"/>
          <w:sz w:val="24"/>
          <w:szCs w:val="24"/>
          <w:lang w:val="en-US"/>
        </w:rPr>
        <w:t xml:space="preserve">the </w:t>
      </w:r>
      <w:r>
        <w:rPr>
          <w:rFonts w:ascii="Arial" w:eastAsia="Calibri" w:hAnsi="Arial" w:cs="Arial"/>
          <w:sz w:val="24"/>
          <w:szCs w:val="24"/>
          <w:lang w:val="en-US"/>
        </w:rPr>
        <w:t>renovations were not effected.  Further</w:t>
      </w:r>
      <w:r w:rsidR="007F10C1">
        <w:rPr>
          <w:rFonts w:ascii="Arial" w:eastAsia="Calibri" w:hAnsi="Arial" w:cs="Arial"/>
          <w:sz w:val="24"/>
          <w:szCs w:val="24"/>
          <w:lang w:val="en-US"/>
        </w:rPr>
        <w:t>,</w:t>
      </w:r>
      <w:r>
        <w:rPr>
          <w:rFonts w:ascii="Arial" w:eastAsia="Calibri" w:hAnsi="Arial" w:cs="Arial"/>
          <w:sz w:val="24"/>
          <w:szCs w:val="24"/>
          <w:lang w:val="en-US"/>
        </w:rPr>
        <w:t xml:space="preserve"> similar meeting were held in 2010 and 2011 with no progress on the required renovations.  Some tenants decided to refuse paying rent until renovations were effected.</w:t>
      </w:r>
    </w:p>
    <w:p w:rsidR="00C57F83" w:rsidRDefault="00C57F83" w:rsidP="002364F1">
      <w:pPr>
        <w:spacing w:line="360" w:lineRule="auto"/>
        <w:contextualSpacing/>
        <w:jc w:val="both"/>
        <w:rPr>
          <w:rFonts w:ascii="Arial" w:eastAsia="Calibri" w:hAnsi="Arial" w:cs="Arial"/>
          <w:sz w:val="24"/>
          <w:szCs w:val="24"/>
          <w:lang w:val="en-US"/>
        </w:rPr>
      </w:pPr>
    </w:p>
    <w:p w:rsidR="00C57F83" w:rsidRDefault="00C57F83"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[40]</w:t>
      </w:r>
      <w:r>
        <w:rPr>
          <w:rFonts w:ascii="Arial" w:eastAsia="Calibri" w:hAnsi="Arial" w:cs="Arial"/>
          <w:sz w:val="24"/>
          <w:szCs w:val="24"/>
          <w:lang w:val="en-US"/>
        </w:rPr>
        <w:tab/>
      </w:r>
      <w:r w:rsidR="006F47F4">
        <w:rPr>
          <w:rFonts w:ascii="Arial" w:eastAsia="Calibri" w:hAnsi="Arial" w:cs="Arial"/>
          <w:sz w:val="24"/>
          <w:szCs w:val="24"/>
          <w:lang w:val="en-US"/>
        </w:rPr>
        <w:t>During closing submissions the plaintiff’s counsel Mr Dicks submitted that the plaintiff has discharged the onus resting on it and is entitled to the relief it claims.  Counsel further submitted that the defendants be ordered to pay costs including wasted costs of Monday</w:t>
      </w:r>
      <w:r w:rsidR="007F10C1">
        <w:rPr>
          <w:rFonts w:ascii="Arial" w:eastAsia="Calibri" w:hAnsi="Arial" w:cs="Arial"/>
          <w:sz w:val="24"/>
          <w:szCs w:val="24"/>
          <w:lang w:val="en-US"/>
        </w:rPr>
        <w:t xml:space="preserve"> 11 May</w:t>
      </w:r>
      <w:r w:rsidR="006F47F4">
        <w:rPr>
          <w:rFonts w:ascii="Arial" w:eastAsia="Calibri" w:hAnsi="Arial" w:cs="Arial"/>
          <w:sz w:val="24"/>
          <w:szCs w:val="24"/>
          <w:lang w:val="en-US"/>
        </w:rPr>
        <w:t xml:space="preserve"> 2020, Tuesday 12 May 2020 and the afternoon of 14 May 2020 when the trial could not proceed on account of defendants’ unpreparedness.</w:t>
      </w:r>
    </w:p>
    <w:p w:rsidR="006F47F4" w:rsidRDefault="006F47F4" w:rsidP="002364F1">
      <w:pPr>
        <w:spacing w:line="360" w:lineRule="auto"/>
        <w:contextualSpacing/>
        <w:jc w:val="both"/>
        <w:rPr>
          <w:rFonts w:ascii="Arial" w:eastAsia="Calibri" w:hAnsi="Arial" w:cs="Arial"/>
          <w:sz w:val="24"/>
          <w:szCs w:val="24"/>
          <w:lang w:val="en-US"/>
        </w:rPr>
      </w:pPr>
    </w:p>
    <w:p w:rsidR="006F47F4" w:rsidRDefault="006F47F4"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[41]</w:t>
      </w:r>
      <w:r>
        <w:rPr>
          <w:rFonts w:ascii="Arial" w:eastAsia="Calibri" w:hAnsi="Arial" w:cs="Arial"/>
          <w:sz w:val="24"/>
          <w:szCs w:val="24"/>
          <w:lang w:val="en-US"/>
        </w:rPr>
        <w:tab/>
        <w:t>The defendants’ counsel Mr Awaseb, submitted that the plaintiff did not discharge the onus on it and that its claim be dismissed with costs.  Mr Awaseb further called upon the court to, among other things, order an ‘investigation’ into the ownership of the leased premises.</w:t>
      </w:r>
    </w:p>
    <w:p w:rsidR="006F47F4" w:rsidRDefault="006F47F4" w:rsidP="002364F1">
      <w:pPr>
        <w:spacing w:line="360" w:lineRule="auto"/>
        <w:contextualSpacing/>
        <w:jc w:val="both"/>
        <w:rPr>
          <w:rFonts w:ascii="Arial" w:eastAsia="Calibri" w:hAnsi="Arial" w:cs="Arial"/>
          <w:sz w:val="24"/>
          <w:szCs w:val="24"/>
          <w:lang w:val="en-US"/>
        </w:rPr>
      </w:pPr>
    </w:p>
    <w:p w:rsidR="006F47F4" w:rsidRPr="00805627" w:rsidRDefault="006F47F4" w:rsidP="002364F1">
      <w:pPr>
        <w:spacing w:line="360" w:lineRule="auto"/>
        <w:contextualSpacing/>
        <w:jc w:val="both"/>
        <w:rPr>
          <w:rFonts w:ascii="Arial" w:eastAsia="Calibri" w:hAnsi="Arial" w:cs="Arial"/>
          <w:sz w:val="24"/>
          <w:szCs w:val="24"/>
          <w:u w:val="single"/>
          <w:lang w:val="en-US"/>
        </w:rPr>
      </w:pPr>
      <w:r w:rsidRPr="00805627">
        <w:rPr>
          <w:rFonts w:ascii="Arial" w:eastAsia="Calibri" w:hAnsi="Arial" w:cs="Arial"/>
          <w:sz w:val="24"/>
          <w:szCs w:val="24"/>
          <w:u w:val="single"/>
          <w:lang w:val="en-US"/>
        </w:rPr>
        <w:t>Legal principles</w:t>
      </w:r>
    </w:p>
    <w:p w:rsidR="006F47F4" w:rsidRDefault="006F47F4" w:rsidP="002364F1">
      <w:pPr>
        <w:spacing w:line="360" w:lineRule="auto"/>
        <w:contextualSpacing/>
        <w:jc w:val="both"/>
        <w:rPr>
          <w:rFonts w:ascii="Arial" w:eastAsia="Calibri" w:hAnsi="Arial" w:cs="Arial"/>
          <w:sz w:val="24"/>
          <w:szCs w:val="24"/>
          <w:lang w:val="en-US"/>
        </w:rPr>
      </w:pPr>
    </w:p>
    <w:p w:rsidR="006F47F4" w:rsidRPr="00C57F83" w:rsidRDefault="006F47F4"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[42]</w:t>
      </w:r>
      <w:r>
        <w:rPr>
          <w:rFonts w:ascii="Arial" w:eastAsia="Calibri" w:hAnsi="Arial" w:cs="Arial"/>
          <w:sz w:val="24"/>
          <w:szCs w:val="24"/>
          <w:lang w:val="en-US"/>
        </w:rPr>
        <w:tab/>
        <w:t>An action for eviction may be based on the owner’s ownership of a property or on a contract.  Where a plaintiffs’ claim for eviction is based on ownership, the plaintiff merely has to allege and prove his ownership and the fact that the property is held by another person.  The onus is then on that other person (the defendant) to allege and prove a right to stay in possession of the property.</w:t>
      </w:r>
      <w:r>
        <w:rPr>
          <w:rStyle w:val="FootnoteReference"/>
          <w:rFonts w:ascii="Arial" w:eastAsia="Calibri" w:hAnsi="Arial" w:cs="Arial"/>
          <w:sz w:val="24"/>
          <w:szCs w:val="24"/>
          <w:lang w:val="en-US"/>
        </w:rPr>
        <w:footnoteReference w:id="3"/>
      </w:r>
    </w:p>
    <w:p w:rsidR="004276A1" w:rsidRDefault="004276A1" w:rsidP="002364F1">
      <w:pPr>
        <w:spacing w:line="360" w:lineRule="auto"/>
        <w:contextualSpacing/>
        <w:jc w:val="both"/>
        <w:rPr>
          <w:rFonts w:ascii="Arial" w:eastAsia="Calibri" w:hAnsi="Arial" w:cs="Arial"/>
          <w:sz w:val="24"/>
          <w:szCs w:val="24"/>
          <w:lang w:val="en-US"/>
        </w:rPr>
      </w:pPr>
    </w:p>
    <w:p w:rsidR="004276A1" w:rsidRDefault="006F47F4" w:rsidP="002364F1">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[43]</w:t>
      </w:r>
      <w:r>
        <w:rPr>
          <w:rFonts w:ascii="Arial" w:eastAsia="Calibri" w:hAnsi="Arial" w:cs="Arial"/>
          <w:sz w:val="24"/>
          <w:szCs w:val="24"/>
          <w:lang w:val="en-US"/>
        </w:rPr>
        <w:tab/>
        <w:t xml:space="preserve">It is inherent in the nature of ownership that </w:t>
      </w:r>
      <w:r w:rsidR="008D055C">
        <w:rPr>
          <w:rFonts w:ascii="Arial" w:eastAsia="Calibri" w:hAnsi="Arial" w:cs="Arial"/>
          <w:sz w:val="24"/>
          <w:szCs w:val="24"/>
          <w:lang w:val="en-US"/>
        </w:rPr>
        <w:t xml:space="preserve">possession of a property should normally be with the owner thereof and as a corollary, no other person may withhold it </w:t>
      </w:r>
      <w:r w:rsidR="008D055C">
        <w:rPr>
          <w:rFonts w:ascii="Arial" w:eastAsia="Calibri" w:hAnsi="Arial" w:cs="Arial"/>
          <w:sz w:val="24"/>
          <w:szCs w:val="24"/>
          <w:lang w:val="en-US"/>
        </w:rPr>
        <w:lastRenderedPageBreak/>
        <w:t>from the owner, unless that other person is vested with some right enforceable against the owner.</w:t>
      </w:r>
      <w:r w:rsidR="008D055C">
        <w:rPr>
          <w:rStyle w:val="FootnoteReference"/>
          <w:rFonts w:ascii="Arial" w:eastAsia="Calibri" w:hAnsi="Arial" w:cs="Arial"/>
          <w:sz w:val="24"/>
          <w:szCs w:val="24"/>
          <w:lang w:val="en-US"/>
        </w:rPr>
        <w:footnoteReference w:id="4"/>
      </w:r>
    </w:p>
    <w:p w:rsidR="008D055C" w:rsidRDefault="008D055C" w:rsidP="002364F1">
      <w:pPr>
        <w:spacing w:line="360" w:lineRule="auto"/>
        <w:contextualSpacing/>
        <w:jc w:val="both"/>
        <w:rPr>
          <w:rFonts w:ascii="Arial" w:eastAsia="Calibri" w:hAnsi="Arial" w:cs="Arial"/>
          <w:sz w:val="24"/>
          <w:szCs w:val="24"/>
          <w:lang w:val="en-US"/>
        </w:rPr>
      </w:pPr>
    </w:p>
    <w:p w:rsidR="008D055C" w:rsidRDefault="008D055C"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[44]</w:t>
      </w:r>
      <w:r>
        <w:rPr>
          <w:rFonts w:ascii="Arial" w:eastAsia="Calibri" w:hAnsi="Arial" w:cs="Arial"/>
          <w:sz w:val="24"/>
          <w:szCs w:val="24"/>
          <w:lang w:val="en-US"/>
        </w:rPr>
        <w:tab/>
        <w:t>In the case of eviction based on owner’s ownership, the owner p</w:t>
      </w:r>
      <w:r w:rsidR="00B50C23">
        <w:rPr>
          <w:rFonts w:ascii="Arial" w:eastAsia="Calibri" w:hAnsi="Arial" w:cs="Arial"/>
          <w:sz w:val="24"/>
          <w:szCs w:val="24"/>
          <w:lang w:val="en-US"/>
        </w:rPr>
        <w:t>roves his ownership by handing-</w:t>
      </w:r>
      <w:r>
        <w:rPr>
          <w:rFonts w:ascii="Arial" w:eastAsia="Calibri" w:hAnsi="Arial" w:cs="Arial"/>
          <w:sz w:val="24"/>
          <w:szCs w:val="24"/>
          <w:lang w:val="en-US"/>
        </w:rPr>
        <w:t>in his title deed, indicating that the property is registered in his name.  Once the plaintiff succeeds in proving ownership and that the defendant is in occupation of the property, the onus shifts to the defend</w:t>
      </w:r>
      <w:r w:rsidR="00B50C23">
        <w:rPr>
          <w:rFonts w:ascii="Arial" w:eastAsia="Calibri" w:hAnsi="Arial" w:cs="Arial"/>
          <w:sz w:val="24"/>
          <w:szCs w:val="24"/>
          <w:lang w:val="en-US"/>
        </w:rPr>
        <w:t>ant to show that his occupation</w:t>
      </w:r>
      <w:r>
        <w:rPr>
          <w:rFonts w:ascii="Arial" w:eastAsia="Calibri" w:hAnsi="Arial" w:cs="Arial"/>
          <w:sz w:val="24"/>
          <w:szCs w:val="24"/>
          <w:lang w:val="en-US"/>
        </w:rPr>
        <w:t xml:space="preserve"> is lawful.</w:t>
      </w:r>
      <w:r>
        <w:rPr>
          <w:rStyle w:val="FootnoteReference"/>
          <w:rFonts w:ascii="Arial" w:eastAsia="Calibri" w:hAnsi="Arial" w:cs="Arial"/>
          <w:sz w:val="24"/>
          <w:szCs w:val="24"/>
          <w:lang w:val="en-US"/>
        </w:rPr>
        <w:footnoteReference w:id="5"/>
      </w:r>
    </w:p>
    <w:p w:rsidR="008D055C" w:rsidRDefault="008D055C" w:rsidP="008D055C">
      <w:pPr>
        <w:spacing w:line="360" w:lineRule="auto"/>
        <w:contextualSpacing/>
        <w:jc w:val="both"/>
        <w:rPr>
          <w:rFonts w:ascii="Arial" w:eastAsia="Calibri" w:hAnsi="Arial" w:cs="Arial"/>
          <w:sz w:val="24"/>
          <w:szCs w:val="24"/>
          <w:lang w:val="en-US"/>
        </w:rPr>
      </w:pPr>
    </w:p>
    <w:p w:rsidR="008D055C" w:rsidRDefault="008D055C"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[45]</w:t>
      </w:r>
      <w:r>
        <w:rPr>
          <w:rFonts w:ascii="Arial" w:eastAsia="Calibri" w:hAnsi="Arial" w:cs="Arial"/>
          <w:sz w:val="24"/>
          <w:szCs w:val="24"/>
          <w:lang w:val="en-US"/>
        </w:rPr>
        <w:tab/>
        <w:t>Where an owner acknowledges that the occupier has or had a right of occupation, such as a lease, the onus is on the owner to prove that the right no longer exists or is not enforceable.</w:t>
      </w:r>
      <w:r>
        <w:rPr>
          <w:rStyle w:val="FootnoteReference"/>
          <w:rFonts w:ascii="Arial" w:eastAsia="Calibri" w:hAnsi="Arial" w:cs="Arial"/>
          <w:sz w:val="24"/>
          <w:szCs w:val="24"/>
          <w:lang w:val="en-US"/>
        </w:rPr>
        <w:footnoteReference w:id="6"/>
      </w:r>
    </w:p>
    <w:p w:rsidR="008D055C" w:rsidRDefault="008D055C" w:rsidP="008D055C">
      <w:pPr>
        <w:spacing w:line="360" w:lineRule="auto"/>
        <w:contextualSpacing/>
        <w:jc w:val="both"/>
        <w:rPr>
          <w:rFonts w:ascii="Arial" w:eastAsia="Calibri" w:hAnsi="Arial" w:cs="Arial"/>
          <w:sz w:val="24"/>
          <w:szCs w:val="24"/>
          <w:lang w:val="en-US"/>
        </w:rPr>
      </w:pPr>
    </w:p>
    <w:p w:rsidR="008D055C" w:rsidRPr="00730D03" w:rsidRDefault="00730D03" w:rsidP="008D055C">
      <w:pPr>
        <w:spacing w:line="360" w:lineRule="auto"/>
        <w:contextualSpacing/>
        <w:jc w:val="both"/>
        <w:rPr>
          <w:rFonts w:ascii="Arial" w:eastAsia="Calibri" w:hAnsi="Arial" w:cs="Arial"/>
          <w:sz w:val="24"/>
          <w:szCs w:val="24"/>
          <w:u w:val="single"/>
          <w:lang w:val="en-US"/>
        </w:rPr>
      </w:pPr>
      <w:r w:rsidRPr="00730D03">
        <w:rPr>
          <w:rFonts w:ascii="Arial" w:eastAsia="Calibri" w:hAnsi="Arial" w:cs="Arial"/>
          <w:sz w:val="24"/>
          <w:szCs w:val="24"/>
          <w:u w:val="single"/>
          <w:lang w:val="en-US"/>
        </w:rPr>
        <w:t xml:space="preserve">Application of the legal principles to the facts </w:t>
      </w:r>
    </w:p>
    <w:p w:rsidR="00730D03" w:rsidRDefault="00730D03" w:rsidP="008D055C">
      <w:pPr>
        <w:spacing w:line="360" w:lineRule="auto"/>
        <w:contextualSpacing/>
        <w:jc w:val="both"/>
        <w:rPr>
          <w:rFonts w:ascii="Arial" w:eastAsia="Calibri" w:hAnsi="Arial" w:cs="Arial"/>
          <w:sz w:val="24"/>
          <w:szCs w:val="24"/>
          <w:lang w:val="en-US"/>
        </w:rPr>
      </w:pPr>
    </w:p>
    <w:p w:rsidR="00730D03" w:rsidRDefault="00730D03"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[46]</w:t>
      </w:r>
      <w:r>
        <w:rPr>
          <w:rFonts w:ascii="Arial" w:eastAsia="Calibri" w:hAnsi="Arial" w:cs="Arial"/>
          <w:sz w:val="24"/>
          <w:szCs w:val="24"/>
          <w:lang w:val="en-US"/>
        </w:rPr>
        <w:tab/>
        <w:t>On the evidence presented before the court, the plaintiff claims that it is the owner of the leased premises.  The plaintiff further alleges that it has entered into lease agreements with the defendants and that the defendants are in default of rent-payments since 2017.  As a result of such default, the plaintiff has cancelled defendants’ leases.</w:t>
      </w:r>
    </w:p>
    <w:p w:rsidR="008D055C" w:rsidRDefault="008D055C" w:rsidP="008D055C">
      <w:pPr>
        <w:spacing w:line="360" w:lineRule="auto"/>
        <w:contextualSpacing/>
        <w:jc w:val="both"/>
        <w:rPr>
          <w:rFonts w:ascii="Arial" w:eastAsia="Calibri" w:hAnsi="Arial" w:cs="Arial"/>
          <w:sz w:val="24"/>
          <w:szCs w:val="24"/>
          <w:lang w:val="en-US"/>
        </w:rPr>
      </w:pPr>
    </w:p>
    <w:p w:rsidR="008D055C" w:rsidRDefault="00730D03"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[47]</w:t>
      </w:r>
      <w:r>
        <w:rPr>
          <w:rFonts w:ascii="Arial" w:eastAsia="Calibri" w:hAnsi="Arial" w:cs="Arial"/>
          <w:sz w:val="24"/>
          <w:szCs w:val="24"/>
          <w:lang w:val="en-US"/>
        </w:rPr>
        <w:tab/>
        <w:t>The crux of the defendants’ defence is that, the defendants dispute plaintiff’s ownership of the property.  As a second ground of defence, the defendants, in the alternative, allege that the plaintiff did not comply with section 32(1) of the Rent Ordinance, in that the plaintiff did not give the defendants at least 3 (three) months’ notice, to vacate the property.</w:t>
      </w:r>
    </w:p>
    <w:p w:rsidR="00730D03" w:rsidRDefault="00730D03" w:rsidP="008D055C">
      <w:pPr>
        <w:spacing w:line="360" w:lineRule="auto"/>
        <w:contextualSpacing/>
        <w:jc w:val="both"/>
        <w:rPr>
          <w:rFonts w:ascii="Arial" w:eastAsia="Calibri" w:hAnsi="Arial" w:cs="Arial"/>
          <w:sz w:val="24"/>
          <w:szCs w:val="24"/>
          <w:lang w:val="en-US"/>
        </w:rPr>
      </w:pPr>
    </w:p>
    <w:p w:rsidR="00730D03" w:rsidRDefault="00730D03"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[48]</w:t>
      </w:r>
      <w:r>
        <w:rPr>
          <w:rFonts w:ascii="Arial" w:eastAsia="Calibri" w:hAnsi="Arial" w:cs="Arial"/>
          <w:sz w:val="24"/>
          <w:szCs w:val="24"/>
          <w:lang w:val="en-US"/>
        </w:rPr>
        <w:tab/>
        <w:t>Insofar as the issue of ownership is concerned, the plaintiff has tendered into evide</w:t>
      </w:r>
      <w:r w:rsidR="00914299">
        <w:rPr>
          <w:rFonts w:ascii="Arial" w:eastAsia="Calibri" w:hAnsi="Arial" w:cs="Arial"/>
          <w:sz w:val="24"/>
          <w:szCs w:val="24"/>
          <w:lang w:val="en-US"/>
        </w:rPr>
        <w:t>nce a copy of Deed of Transfer N</w:t>
      </w:r>
      <w:r>
        <w:rPr>
          <w:rFonts w:ascii="Arial" w:eastAsia="Calibri" w:hAnsi="Arial" w:cs="Arial"/>
          <w:sz w:val="24"/>
          <w:szCs w:val="24"/>
          <w:lang w:val="en-US"/>
        </w:rPr>
        <w:t xml:space="preserve">o.T3258/2006 indicating that the premises in </w:t>
      </w:r>
      <w:r>
        <w:rPr>
          <w:rFonts w:ascii="Arial" w:eastAsia="Calibri" w:hAnsi="Arial" w:cs="Arial"/>
          <w:sz w:val="24"/>
          <w:szCs w:val="24"/>
          <w:lang w:val="en-US"/>
        </w:rPr>
        <w:lastRenderedPageBreak/>
        <w:t xml:space="preserve">question are registered its name.  There is no evidence adduced to the contrary that there </w:t>
      </w:r>
      <w:r w:rsidR="00062062">
        <w:rPr>
          <w:rFonts w:ascii="Arial" w:eastAsia="Calibri" w:hAnsi="Arial" w:cs="Arial"/>
          <w:sz w:val="24"/>
          <w:szCs w:val="24"/>
          <w:lang w:val="en-US"/>
        </w:rPr>
        <w:t xml:space="preserve">is </w:t>
      </w:r>
      <w:r>
        <w:rPr>
          <w:rFonts w:ascii="Arial" w:eastAsia="Calibri" w:hAnsi="Arial" w:cs="Arial"/>
          <w:sz w:val="24"/>
          <w:szCs w:val="24"/>
          <w:lang w:val="en-US"/>
        </w:rPr>
        <w:t>someone else other than the plaintiff who owns the property.</w:t>
      </w:r>
    </w:p>
    <w:p w:rsidR="00730D03" w:rsidRDefault="00730D03" w:rsidP="008D055C">
      <w:pPr>
        <w:spacing w:line="360" w:lineRule="auto"/>
        <w:contextualSpacing/>
        <w:jc w:val="both"/>
        <w:rPr>
          <w:rFonts w:ascii="Arial" w:eastAsia="Calibri" w:hAnsi="Arial" w:cs="Arial"/>
          <w:sz w:val="24"/>
          <w:szCs w:val="24"/>
          <w:lang w:val="en-US"/>
        </w:rPr>
      </w:pPr>
    </w:p>
    <w:p w:rsidR="00730D03" w:rsidRDefault="00730D03"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[49]</w:t>
      </w:r>
      <w:r>
        <w:rPr>
          <w:rFonts w:ascii="Arial" w:eastAsia="Calibri" w:hAnsi="Arial" w:cs="Arial"/>
          <w:sz w:val="24"/>
          <w:szCs w:val="24"/>
          <w:lang w:val="en-US"/>
        </w:rPr>
        <w:tab/>
        <w:t>In my view, the existence of the title deed in the name of the plaintiff puts paid to the question of ownership.  The plaintiff is the owner of the leased property.</w:t>
      </w:r>
    </w:p>
    <w:p w:rsidR="00730D03" w:rsidRDefault="00730D03" w:rsidP="008D055C">
      <w:pPr>
        <w:spacing w:line="360" w:lineRule="auto"/>
        <w:contextualSpacing/>
        <w:jc w:val="both"/>
        <w:rPr>
          <w:rFonts w:ascii="Arial" w:eastAsia="Calibri" w:hAnsi="Arial" w:cs="Arial"/>
          <w:sz w:val="24"/>
          <w:szCs w:val="24"/>
          <w:lang w:val="en-US"/>
        </w:rPr>
      </w:pPr>
    </w:p>
    <w:p w:rsidR="00730D03" w:rsidRDefault="00730D03"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[50]</w:t>
      </w:r>
      <w:r>
        <w:rPr>
          <w:rFonts w:ascii="Arial" w:eastAsia="Calibri" w:hAnsi="Arial" w:cs="Arial"/>
          <w:sz w:val="24"/>
          <w:szCs w:val="24"/>
          <w:lang w:val="en-US"/>
        </w:rPr>
        <w:tab/>
        <w:t>It is common cause that the defendants are in occupation of the premises.  The plaintiff, having established ownership of the property, it is then for the defendants to establish their right to be in occupation thereof.</w:t>
      </w:r>
    </w:p>
    <w:p w:rsidR="00730D03" w:rsidRDefault="00730D03" w:rsidP="008D055C">
      <w:pPr>
        <w:spacing w:line="360" w:lineRule="auto"/>
        <w:contextualSpacing/>
        <w:jc w:val="both"/>
        <w:rPr>
          <w:rFonts w:ascii="Arial" w:eastAsia="Calibri" w:hAnsi="Arial" w:cs="Arial"/>
          <w:sz w:val="24"/>
          <w:szCs w:val="24"/>
          <w:lang w:val="en-US"/>
        </w:rPr>
      </w:pPr>
    </w:p>
    <w:p w:rsidR="00730D03" w:rsidRDefault="00730D03"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[51]</w:t>
      </w:r>
      <w:r>
        <w:rPr>
          <w:rFonts w:ascii="Arial" w:eastAsia="Calibri" w:hAnsi="Arial" w:cs="Arial"/>
          <w:sz w:val="24"/>
          <w:szCs w:val="24"/>
          <w:lang w:val="en-US"/>
        </w:rPr>
        <w:tab/>
        <w:t xml:space="preserve">On the evidence, the </w:t>
      </w:r>
      <w:r w:rsidR="00446C6B">
        <w:rPr>
          <w:rFonts w:ascii="Arial" w:eastAsia="Calibri" w:hAnsi="Arial" w:cs="Arial"/>
          <w:sz w:val="24"/>
          <w:szCs w:val="24"/>
          <w:lang w:val="en-US"/>
        </w:rPr>
        <w:t>defendant</w:t>
      </w:r>
      <w:r>
        <w:rPr>
          <w:rFonts w:ascii="Arial" w:eastAsia="Calibri" w:hAnsi="Arial" w:cs="Arial"/>
          <w:sz w:val="24"/>
          <w:szCs w:val="24"/>
          <w:lang w:val="en-US"/>
        </w:rPr>
        <w:t>s</w:t>
      </w:r>
      <w:r w:rsidR="00446C6B">
        <w:rPr>
          <w:rFonts w:ascii="Arial" w:eastAsia="Calibri" w:hAnsi="Arial" w:cs="Arial"/>
          <w:sz w:val="24"/>
          <w:szCs w:val="24"/>
          <w:lang w:val="en-US"/>
        </w:rPr>
        <w:t>’</w:t>
      </w:r>
      <w:r>
        <w:rPr>
          <w:rFonts w:ascii="Arial" w:eastAsia="Calibri" w:hAnsi="Arial" w:cs="Arial"/>
          <w:sz w:val="24"/>
          <w:szCs w:val="24"/>
          <w:lang w:val="en-US"/>
        </w:rPr>
        <w:t xml:space="preserve"> right of occupation was based on lease agreements.  That right was contingent on the defendan</w:t>
      </w:r>
      <w:r w:rsidR="00446C6B">
        <w:rPr>
          <w:rFonts w:ascii="Arial" w:eastAsia="Calibri" w:hAnsi="Arial" w:cs="Arial"/>
          <w:sz w:val="24"/>
          <w:szCs w:val="24"/>
          <w:lang w:val="en-US"/>
        </w:rPr>
        <w:t>ts’ observance of the provisions of the lease agreements, including payment of rent.  In terms of clause 16 of the lease agreements, the plaintiff has the right to cancel the lease agreement</w:t>
      </w:r>
      <w:r w:rsidR="00E07FE6">
        <w:rPr>
          <w:rFonts w:ascii="Arial" w:eastAsia="Calibri" w:hAnsi="Arial" w:cs="Arial"/>
          <w:sz w:val="24"/>
          <w:szCs w:val="24"/>
          <w:lang w:val="en-US"/>
        </w:rPr>
        <w:t xml:space="preserve"> forthwith should the defendant</w:t>
      </w:r>
      <w:r w:rsidR="00446C6B">
        <w:rPr>
          <w:rFonts w:ascii="Arial" w:eastAsia="Calibri" w:hAnsi="Arial" w:cs="Arial"/>
          <w:sz w:val="24"/>
          <w:szCs w:val="24"/>
          <w:lang w:val="en-US"/>
        </w:rPr>
        <w:t>(s) fail to pay rent.  Furthermore, should the lease be terminated, the defendant(s) undertakes to vacate the premises on or before the termination date.  It is not the defendants’ defence that they pay rent.  Indeed the defendants admit they have stopped paying rent.  The plaintiff alleges that it has cancelled the lease agreements on account of the defendants’ breach in not paying rent.  On the evidence, I find that the defendants are in breach of their lease agreements and that the plaintiff was entitled to cancel the lease agreements in terms of clause 16 of the lease agreements.</w:t>
      </w:r>
    </w:p>
    <w:p w:rsidR="00446C6B" w:rsidRDefault="00446C6B" w:rsidP="008D055C">
      <w:pPr>
        <w:spacing w:line="360" w:lineRule="auto"/>
        <w:contextualSpacing/>
        <w:jc w:val="both"/>
        <w:rPr>
          <w:rFonts w:ascii="Arial" w:eastAsia="Calibri" w:hAnsi="Arial" w:cs="Arial"/>
          <w:sz w:val="24"/>
          <w:szCs w:val="24"/>
          <w:lang w:val="en-US"/>
        </w:rPr>
      </w:pPr>
    </w:p>
    <w:p w:rsidR="00446C6B" w:rsidRDefault="00446C6B"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[52]</w:t>
      </w:r>
      <w:r>
        <w:rPr>
          <w:rFonts w:ascii="Arial" w:eastAsia="Calibri" w:hAnsi="Arial" w:cs="Arial"/>
          <w:sz w:val="24"/>
          <w:szCs w:val="24"/>
          <w:lang w:val="en-US"/>
        </w:rPr>
        <w:tab/>
        <w:t>During trial, the evidence given on behalf of the defendant</w:t>
      </w:r>
      <w:r w:rsidR="00062062">
        <w:rPr>
          <w:rFonts w:ascii="Arial" w:eastAsia="Calibri" w:hAnsi="Arial" w:cs="Arial"/>
          <w:sz w:val="24"/>
          <w:szCs w:val="24"/>
          <w:lang w:val="en-US"/>
        </w:rPr>
        <w:t>s</w:t>
      </w:r>
      <w:r>
        <w:rPr>
          <w:rFonts w:ascii="Arial" w:eastAsia="Calibri" w:hAnsi="Arial" w:cs="Arial"/>
          <w:sz w:val="24"/>
          <w:szCs w:val="24"/>
          <w:lang w:val="en-US"/>
        </w:rPr>
        <w:t xml:space="preserve"> seem to raise a new defence (not raised in plea and in the Pre-Trial Order</w:t>
      </w:r>
      <w:r>
        <w:rPr>
          <w:rStyle w:val="FootnoteReference"/>
          <w:rFonts w:ascii="Arial" w:eastAsia="Calibri" w:hAnsi="Arial" w:cs="Arial"/>
          <w:sz w:val="24"/>
          <w:szCs w:val="24"/>
          <w:lang w:val="en-US"/>
        </w:rPr>
        <w:footnoteReference w:id="7"/>
      </w:r>
      <w:r>
        <w:rPr>
          <w:rFonts w:ascii="Arial" w:eastAsia="Calibri" w:hAnsi="Arial" w:cs="Arial"/>
          <w:sz w:val="24"/>
          <w:szCs w:val="24"/>
          <w:lang w:val="en-US"/>
        </w:rPr>
        <w:t xml:space="preserve">), to the effect that they are entitled to remain in occupation of the property, rent-free, till the plaintiff effect certain renovations on the property.  </w:t>
      </w:r>
      <w:r w:rsidR="004B2662">
        <w:rPr>
          <w:rFonts w:ascii="Arial" w:eastAsia="Calibri" w:hAnsi="Arial" w:cs="Arial"/>
          <w:sz w:val="24"/>
          <w:szCs w:val="24"/>
          <w:lang w:val="en-US"/>
        </w:rPr>
        <w:t>A</w:t>
      </w:r>
      <w:r w:rsidR="00E07FE6">
        <w:rPr>
          <w:rFonts w:ascii="Arial" w:eastAsia="Calibri" w:hAnsi="Arial" w:cs="Arial"/>
          <w:sz w:val="24"/>
          <w:szCs w:val="24"/>
          <w:lang w:val="en-US"/>
        </w:rPr>
        <w:t xml:space="preserve"> party has a duty to allege in the pleadings the material facts upon which it relies.  It is not permissible for a defendant to plead a particular defence and seek to establish a different defence at trial.  It is equally not permissible for the trial court to </w:t>
      </w:r>
      <w:r w:rsidR="00E07FE6">
        <w:rPr>
          <w:rFonts w:ascii="Arial" w:eastAsia="Calibri" w:hAnsi="Arial" w:cs="Arial"/>
          <w:sz w:val="24"/>
          <w:szCs w:val="24"/>
          <w:lang w:val="en-US"/>
        </w:rPr>
        <w:lastRenderedPageBreak/>
        <w:t>have recourse to issues falling outside the pleadings when deciding a case.</w:t>
      </w:r>
      <w:r w:rsidR="00E07FE6">
        <w:rPr>
          <w:rStyle w:val="FootnoteReference"/>
          <w:rFonts w:ascii="Arial" w:eastAsia="Calibri" w:hAnsi="Arial" w:cs="Arial"/>
          <w:sz w:val="24"/>
          <w:szCs w:val="24"/>
          <w:lang w:val="en-US"/>
        </w:rPr>
        <w:footnoteReference w:id="8"/>
      </w:r>
      <w:r w:rsidR="00E07FE6">
        <w:rPr>
          <w:rFonts w:ascii="Arial" w:eastAsia="Calibri" w:hAnsi="Arial" w:cs="Arial"/>
          <w:sz w:val="24"/>
          <w:szCs w:val="24"/>
          <w:lang w:val="en-US"/>
        </w:rPr>
        <w:t xml:space="preserve">  </w:t>
      </w:r>
      <w:r w:rsidR="004B2662">
        <w:rPr>
          <w:rFonts w:ascii="Arial" w:eastAsia="Calibri" w:hAnsi="Arial" w:cs="Arial"/>
          <w:sz w:val="24"/>
          <w:szCs w:val="24"/>
          <w:lang w:val="en-US"/>
        </w:rPr>
        <w:t>In the present matter, t</w:t>
      </w:r>
      <w:r>
        <w:rPr>
          <w:rFonts w:ascii="Arial" w:eastAsia="Calibri" w:hAnsi="Arial" w:cs="Arial"/>
          <w:sz w:val="24"/>
          <w:szCs w:val="24"/>
          <w:lang w:val="en-US"/>
        </w:rPr>
        <w:t xml:space="preserve">he defendants do not allege that their </w:t>
      </w:r>
      <w:r w:rsidR="00E97676">
        <w:rPr>
          <w:rFonts w:ascii="Arial" w:eastAsia="Calibri" w:hAnsi="Arial" w:cs="Arial"/>
          <w:sz w:val="24"/>
          <w:szCs w:val="24"/>
          <w:lang w:val="en-US"/>
        </w:rPr>
        <w:t>continued occupation of the property is in terms of an agreement with the owner of the property.  Nor do they advance any legal basis for their continued occupation of the property on rent-free terms.</w:t>
      </w:r>
    </w:p>
    <w:p w:rsidR="00E97676" w:rsidRDefault="00E97676" w:rsidP="008D055C">
      <w:pPr>
        <w:spacing w:line="360" w:lineRule="auto"/>
        <w:contextualSpacing/>
        <w:jc w:val="both"/>
        <w:rPr>
          <w:rFonts w:ascii="Arial" w:eastAsia="Calibri" w:hAnsi="Arial" w:cs="Arial"/>
          <w:sz w:val="24"/>
          <w:szCs w:val="24"/>
          <w:lang w:val="en-US"/>
        </w:rPr>
      </w:pPr>
    </w:p>
    <w:p w:rsidR="00E97676" w:rsidRDefault="00E97676"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[53]</w:t>
      </w:r>
      <w:r>
        <w:rPr>
          <w:rFonts w:ascii="Arial" w:eastAsia="Calibri" w:hAnsi="Arial" w:cs="Arial"/>
          <w:sz w:val="24"/>
          <w:szCs w:val="24"/>
          <w:lang w:val="en-US"/>
        </w:rPr>
        <w:tab/>
        <w:t xml:space="preserve">As regards the applicability, or otherwise, of </w:t>
      </w:r>
      <w:r w:rsidRPr="00E97676">
        <w:rPr>
          <w:rFonts w:ascii="Arial" w:eastAsia="Calibri" w:hAnsi="Arial" w:cs="Arial"/>
          <w:i/>
          <w:sz w:val="24"/>
          <w:szCs w:val="24"/>
          <w:lang w:val="en-US"/>
        </w:rPr>
        <w:t>section 32(</w:t>
      </w:r>
      <w:r>
        <w:rPr>
          <w:rFonts w:ascii="Arial" w:eastAsia="Calibri" w:hAnsi="Arial" w:cs="Arial"/>
          <w:sz w:val="24"/>
          <w:szCs w:val="24"/>
          <w:lang w:val="en-US"/>
        </w:rPr>
        <w:t xml:space="preserve">1) of the </w:t>
      </w:r>
      <w:r w:rsidRPr="00E97676">
        <w:rPr>
          <w:rFonts w:ascii="Arial" w:eastAsia="Calibri" w:hAnsi="Arial" w:cs="Arial"/>
          <w:i/>
          <w:sz w:val="24"/>
          <w:szCs w:val="24"/>
          <w:lang w:val="en-US"/>
        </w:rPr>
        <w:t>Rent Ordinance,</w:t>
      </w:r>
      <w:r>
        <w:rPr>
          <w:rFonts w:ascii="Arial" w:eastAsia="Calibri" w:hAnsi="Arial" w:cs="Arial"/>
          <w:sz w:val="24"/>
          <w:szCs w:val="24"/>
          <w:lang w:val="en-US"/>
        </w:rPr>
        <w:t xml:space="preserve"> </w:t>
      </w:r>
      <w:r w:rsidRPr="00E97676">
        <w:rPr>
          <w:rFonts w:ascii="Arial" w:eastAsia="Calibri" w:hAnsi="Arial" w:cs="Arial"/>
          <w:i/>
          <w:sz w:val="24"/>
          <w:szCs w:val="24"/>
          <w:lang w:val="en-US"/>
        </w:rPr>
        <w:t>section 35(a)</w:t>
      </w:r>
      <w:r>
        <w:rPr>
          <w:rFonts w:ascii="Arial" w:eastAsia="Calibri" w:hAnsi="Arial" w:cs="Arial"/>
          <w:sz w:val="24"/>
          <w:szCs w:val="24"/>
          <w:lang w:val="en-US"/>
        </w:rPr>
        <w:t xml:space="preserve"> of the same </w:t>
      </w:r>
      <w:r w:rsidRPr="00E97676">
        <w:rPr>
          <w:rFonts w:ascii="Arial" w:eastAsia="Calibri" w:hAnsi="Arial" w:cs="Arial"/>
          <w:i/>
          <w:sz w:val="24"/>
          <w:szCs w:val="24"/>
          <w:lang w:val="en-US"/>
        </w:rPr>
        <w:t>Ordinance</w:t>
      </w:r>
      <w:r>
        <w:rPr>
          <w:rFonts w:ascii="Arial" w:eastAsia="Calibri" w:hAnsi="Arial" w:cs="Arial"/>
          <w:sz w:val="24"/>
          <w:szCs w:val="24"/>
          <w:lang w:val="en-US"/>
        </w:rPr>
        <w:t xml:space="preserve"> provides that the provisions of the </w:t>
      </w:r>
      <w:r w:rsidR="00805627">
        <w:rPr>
          <w:rFonts w:ascii="Arial" w:eastAsia="Calibri" w:hAnsi="Arial" w:cs="Arial"/>
          <w:sz w:val="24"/>
          <w:szCs w:val="24"/>
          <w:lang w:val="en-US"/>
        </w:rPr>
        <w:t>Ordinance</w:t>
      </w:r>
      <w:r>
        <w:rPr>
          <w:rFonts w:ascii="Arial" w:eastAsia="Calibri" w:hAnsi="Arial" w:cs="Arial"/>
          <w:sz w:val="24"/>
          <w:szCs w:val="24"/>
          <w:lang w:val="en-US"/>
        </w:rPr>
        <w:t xml:space="preserve"> shall not apply to a </w:t>
      </w:r>
      <w:r w:rsidRPr="00E97676">
        <w:rPr>
          <w:rFonts w:ascii="Arial" w:eastAsia="Calibri" w:hAnsi="Arial" w:cs="Arial"/>
          <w:i/>
          <w:sz w:val="24"/>
          <w:szCs w:val="24"/>
          <w:lang w:val="en-US"/>
        </w:rPr>
        <w:t>“dwelling”</w:t>
      </w:r>
      <w:r>
        <w:rPr>
          <w:rFonts w:ascii="Arial" w:eastAsia="Calibri" w:hAnsi="Arial" w:cs="Arial"/>
          <w:i/>
          <w:sz w:val="24"/>
          <w:szCs w:val="24"/>
          <w:lang w:val="en-US"/>
        </w:rPr>
        <w:t xml:space="preserve"> </w:t>
      </w:r>
      <w:r>
        <w:rPr>
          <w:rFonts w:ascii="Arial" w:eastAsia="Calibri" w:hAnsi="Arial" w:cs="Arial"/>
          <w:sz w:val="24"/>
          <w:szCs w:val="24"/>
          <w:lang w:val="en-US"/>
        </w:rPr>
        <w:t>situated in an area for which no rent board has been established.  Evidence was led on behalf of the plaintiff that no rent board has been established for the area of Tsumeb.  Such evidenc</w:t>
      </w:r>
      <w:r w:rsidR="00E07FE6">
        <w:rPr>
          <w:rFonts w:ascii="Arial" w:eastAsia="Calibri" w:hAnsi="Arial" w:cs="Arial"/>
          <w:sz w:val="24"/>
          <w:szCs w:val="24"/>
          <w:lang w:val="en-US"/>
        </w:rPr>
        <w:t>e has not been contradicted.  I</w:t>
      </w:r>
      <w:r>
        <w:rPr>
          <w:rFonts w:ascii="Arial" w:eastAsia="Calibri" w:hAnsi="Arial" w:cs="Arial"/>
          <w:sz w:val="24"/>
          <w:szCs w:val="24"/>
          <w:lang w:val="en-US"/>
        </w:rPr>
        <w:t xml:space="preserve"> therefore accept it as a fact that there is no rent </w:t>
      </w:r>
      <w:r w:rsidR="00631AA7">
        <w:rPr>
          <w:rFonts w:ascii="Arial" w:eastAsia="Calibri" w:hAnsi="Arial" w:cs="Arial"/>
          <w:sz w:val="24"/>
          <w:szCs w:val="24"/>
          <w:lang w:val="en-US"/>
        </w:rPr>
        <w:t xml:space="preserve">board </w:t>
      </w:r>
      <w:r>
        <w:rPr>
          <w:rFonts w:ascii="Arial" w:eastAsia="Calibri" w:hAnsi="Arial" w:cs="Arial"/>
          <w:sz w:val="24"/>
          <w:szCs w:val="24"/>
          <w:lang w:val="en-US"/>
        </w:rPr>
        <w:t>established for Tsumeb area and therefore the provisions of the Ordinance are not applicable to the present matter.</w:t>
      </w:r>
    </w:p>
    <w:p w:rsidR="002E34A1" w:rsidRDefault="002E34A1" w:rsidP="008D055C">
      <w:pPr>
        <w:spacing w:line="360" w:lineRule="auto"/>
        <w:contextualSpacing/>
        <w:jc w:val="both"/>
        <w:rPr>
          <w:rFonts w:ascii="Arial" w:eastAsia="Calibri" w:hAnsi="Arial" w:cs="Arial"/>
          <w:sz w:val="24"/>
          <w:szCs w:val="24"/>
          <w:lang w:val="en-US"/>
        </w:rPr>
      </w:pPr>
    </w:p>
    <w:p w:rsidR="002E34A1" w:rsidRDefault="002E34A1"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[54]</w:t>
      </w:r>
      <w:r>
        <w:rPr>
          <w:rFonts w:ascii="Arial" w:eastAsia="Calibri" w:hAnsi="Arial" w:cs="Arial"/>
          <w:sz w:val="24"/>
          <w:szCs w:val="24"/>
          <w:lang w:val="en-US"/>
        </w:rPr>
        <w:tab/>
        <w:t>A further defence was raised by the defendants, in a further-alternative, is to the effect that the defendants are entitled to resist the eviction on the ground that the plaintiff was not the owner of the property at the time that the defendants executed their lease agreements.  This defence has no merit.  I do not know any authority and none was cited to me</w:t>
      </w:r>
      <w:r w:rsidR="00631AA7">
        <w:rPr>
          <w:rFonts w:ascii="Arial" w:eastAsia="Calibri" w:hAnsi="Arial" w:cs="Arial"/>
          <w:sz w:val="24"/>
          <w:szCs w:val="24"/>
          <w:lang w:val="en-US"/>
        </w:rPr>
        <w:t>,</w:t>
      </w:r>
      <w:r>
        <w:rPr>
          <w:rFonts w:ascii="Arial" w:eastAsia="Calibri" w:hAnsi="Arial" w:cs="Arial"/>
          <w:sz w:val="24"/>
          <w:szCs w:val="24"/>
          <w:lang w:val="en-US"/>
        </w:rPr>
        <w:t xml:space="preserve"> in support of the proposition that an owner must have been the owner of the property at the time when a lease agreement is entered into</w:t>
      </w:r>
      <w:r w:rsidR="00631AA7">
        <w:rPr>
          <w:rFonts w:ascii="Arial" w:eastAsia="Calibri" w:hAnsi="Arial" w:cs="Arial"/>
          <w:sz w:val="24"/>
          <w:szCs w:val="24"/>
          <w:lang w:val="en-US"/>
        </w:rPr>
        <w:t>,</w:t>
      </w:r>
      <w:r>
        <w:rPr>
          <w:rFonts w:ascii="Arial" w:eastAsia="Calibri" w:hAnsi="Arial" w:cs="Arial"/>
          <w:sz w:val="24"/>
          <w:szCs w:val="24"/>
          <w:lang w:val="en-US"/>
        </w:rPr>
        <w:t xml:space="preserve"> so that he could succeed in evicting defaulting tenants who occupy his property.  That defence has no substance and falls to be rejected.</w:t>
      </w:r>
    </w:p>
    <w:p w:rsidR="002E34A1" w:rsidRDefault="002E34A1" w:rsidP="008D055C">
      <w:pPr>
        <w:spacing w:line="360" w:lineRule="auto"/>
        <w:contextualSpacing/>
        <w:jc w:val="both"/>
        <w:rPr>
          <w:rFonts w:ascii="Arial" w:eastAsia="Calibri" w:hAnsi="Arial" w:cs="Arial"/>
          <w:sz w:val="24"/>
          <w:szCs w:val="24"/>
          <w:lang w:val="en-US"/>
        </w:rPr>
      </w:pPr>
    </w:p>
    <w:p w:rsidR="002E34A1" w:rsidRDefault="007524FF"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[55]</w:t>
      </w:r>
      <w:r>
        <w:rPr>
          <w:rFonts w:ascii="Arial" w:eastAsia="Calibri" w:hAnsi="Arial" w:cs="Arial"/>
          <w:sz w:val="24"/>
          <w:szCs w:val="24"/>
          <w:lang w:val="en-US"/>
        </w:rPr>
        <w:tab/>
        <w:t>In regard to the question of costs of suit</w:t>
      </w:r>
      <w:r w:rsidR="002412B0">
        <w:rPr>
          <w:rFonts w:ascii="Arial" w:eastAsia="Calibri" w:hAnsi="Arial" w:cs="Arial"/>
          <w:sz w:val="24"/>
          <w:szCs w:val="24"/>
          <w:lang w:val="en-US"/>
        </w:rPr>
        <w:t>,</w:t>
      </w:r>
      <w:r>
        <w:rPr>
          <w:rFonts w:ascii="Arial" w:eastAsia="Calibri" w:hAnsi="Arial" w:cs="Arial"/>
          <w:sz w:val="24"/>
          <w:szCs w:val="24"/>
          <w:lang w:val="en-US"/>
        </w:rPr>
        <w:t xml:space="preserve"> I am of the view that the general principle that costs follow the event must fi</w:t>
      </w:r>
      <w:r w:rsidR="007167B6">
        <w:rPr>
          <w:rFonts w:ascii="Arial" w:eastAsia="Calibri" w:hAnsi="Arial" w:cs="Arial"/>
          <w:sz w:val="24"/>
          <w:szCs w:val="24"/>
          <w:lang w:val="en-US"/>
        </w:rPr>
        <w:t xml:space="preserve">nd application in this matter. </w:t>
      </w:r>
      <w:r>
        <w:rPr>
          <w:rFonts w:ascii="Arial" w:eastAsia="Calibri" w:hAnsi="Arial" w:cs="Arial"/>
          <w:sz w:val="24"/>
          <w:szCs w:val="24"/>
          <w:lang w:val="en-US"/>
        </w:rPr>
        <w:t xml:space="preserve"> The plaintiff, in addition to costs of suit</w:t>
      </w:r>
      <w:r w:rsidR="00F423F0">
        <w:rPr>
          <w:rFonts w:ascii="Arial" w:eastAsia="Calibri" w:hAnsi="Arial" w:cs="Arial"/>
          <w:sz w:val="24"/>
          <w:szCs w:val="24"/>
          <w:lang w:val="en-US"/>
        </w:rPr>
        <w:t>, prays</w:t>
      </w:r>
      <w:r>
        <w:rPr>
          <w:rFonts w:ascii="Arial" w:eastAsia="Calibri" w:hAnsi="Arial" w:cs="Arial"/>
          <w:sz w:val="24"/>
          <w:szCs w:val="24"/>
          <w:lang w:val="en-US"/>
        </w:rPr>
        <w:t xml:space="preserve"> for wasted costs for the 11 and 12 May 2020 and the afternoon of 14 May 2020, occasioned by defendants’ lack of preparedness to proceed to trial.</w:t>
      </w:r>
    </w:p>
    <w:p w:rsidR="007524FF" w:rsidRDefault="007524FF" w:rsidP="008D055C">
      <w:pPr>
        <w:spacing w:line="360" w:lineRule="auto"/>
        <w:contextualSpacing/>
        <w:jc w:val="both"/>
        <w:rPr>
          <w:rFonts w:ascii="Arial" w:eastAsia="Calibri" w:hAnsi="Arial" w:cs="Arial"/>
          <w:sz w:val="24"/>
          <w:szCs w:val="24"/>
          <w:lang w:val="en-US"/>
        </w:rPr>
      </w:pPr>
    </w:p>
    <w:p w:rsidR="002E34A1" w:rsidRDefault="00F423F0"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[56]</w:t>
      </w:r>
      <w:r>
        <w:rPr>
          <w:rFonts w:ascii="Arial" w:eastAsia="Calibri" w:hAnsi="Arial" w:cs="Arial"/>
          <w:sz w:val="24"/>
          <w:szCs w:val="24"/>
          <w:lang w:val="en-US"/>
        </w:rPr>
        <w:tab/>
        <w:t>It is common cause that trial in this matter could not proceed on the 11 and 12 May 2020 due to the defendants not being read</w:t>
      </w:r>
      <w:r w:rsidR="00580AE5">
        <w:rPr>
          <w:rFonts w:ascii="Arial" w:eastAsia="Calibri" w:hAnsi="Arial" w:cs="Arial"/>
          <w:sz w:val="24"/>
          <w:szCs w:val="24"/>
          <w:lang w:val="en-US"/>
        </w:rPr>
        <w:t>y</w:t>
      </w:r>
      <w:r>
        <w:rPr>
          <w:rFonts w:ascii="Arial" w:eastAsia="Calibri" w:hAnsi="Arial" w:cs="Arial"/>
          <w:sz w:val="24"/>
          <w:szCs w:val="24"/>
          <w:lang w:val="en-US"/>
        </w:rPr>
        <w:t xml:space="preserve"> to proceed to trial.  Such time was thus taken-up with multiple applications by the defendants for postponement of trial.  </w:t>
      </w:r>
    </w:p>
    <w:p w:rsidR="00F423F0" w:rsidRDefault="00F423F0" w:rsidP="008D055C">
      <w:pPr>
        <w:spacing w:line="360" w:lineRule="auto"/>
        <w:contextualSpacing/>
        <w:jc w:val="both"/>
        <w:rPr>
          <w:rFonts w:ascii="Arial" w:eastAsia="Calibri" w:hAnsi="Arial" w:cs="Arial"/>
          <w:sz w:val="24"/>
          <w:szCs w:val="24"/>
          <w:lang w:val="en-US"/>
        </w:rPr>
      </w:pPr>
    </w:p>
    <w:p w:rsidR="00F423F0" w:rsidRPr="0096779D" w:rsidRDefault="00F423F0"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[57]</w:t>
      </w:r>
      <w:r>
        <w:rPr>
          <w:rFonts w:ascii="Arial" w:eastAsia="Calibri" w:hAnsi="Arial" w:cs="Arial"/>
          <w:sz w:val="24"/>
          <w:szCs w:val="24"/>
          <w:lang w:val="en-US"/>
        </w:rPr>
        <w:tab/>
      </w:r>
      <w:r w:rsidRPr="0096779D">
        <w:rPr>
          <w:rFonts w:ascii="Arial" w:eastAsia="Calibri" w:hAnsi="Arial" w:cs="Arial"/>
          <w:sz w:val="24"/>
          <w:szCs w:val="24"/>
          <w:lang w:val="en-US"/>
        </w:rPr>
        <w:t>Rule 96(3) states:</w:t>
      </w:r>
    </w:p>
    <w:p w:rsidR="0096779D" w:rsidRDefault="0096779D" w:rsidP="00F423F0">
      <w:pPr>
        <w:spacing w:line="360" w:lineRule="auto"/>
        <w:ind w:left="720"/>
        <w:contextualSpacing/>
        <w:jc w:val="both"/>
        <w:rPr>
          <w:rFonts w:ascii="Arial" w:eastAsia="Calibri" w:hAnsi="Arial" w:cs="Arial"/>
          <w:lang w:val="en-US"/>
        </w:rPr>
      </w:pPr>
    </w:p>
    <w:p w:rsidR="00F423F0" w:rsidRPr="0096779D" w:rsidRDefault="0096779D" w:rsidP="00F423F0">
      <w:pPr>
        <w:spacing w:line="360" w:lineRule="auto"/>
        <w:ind w:left="720"/>
        <w:contextualSpacing/>
        <w:jc w:val="both"/>
        <w:rPr>
          <w:rFonts w:ascii="Arial" w:eastAsia="Calibri" w:hAnsi="Arial" w:cs="Arial"/>
          <w:lang w:val="en-US"/>
        </w:rPr>
      </w:pPr>
      <w:r>
        <w:rPr>
          <w:rFonts w:ascii="Arial" w:eastAsia="Calibri" w:hAnsi="Arial" w:cs="Arial"/>
          <w:lang w:val="en-US"/>
        </w:rPr>
        <w:t>‘W</w:t>
      </w:r>
      <w:r w:rsidR="00F423F0" w:rsidRPr="0096779D">
        <w:rPr>
          <w:rFonts w:ascii="Arial" w:eastAsia="Calibri" w:hAnsi="Arial" w:cs="Arial"/>
          <w:lang w:val="en-US"/>
        </w:rPr>
        <w:t>hen a matter has been set down for hearing, a party may, on good cause shown, apply to the judge, no less than 10 court days before the date of hearing to have the set down changed or set aside.</w:t>
      </w:r>
      <w:r w:rsidR="00262BD7" w:rsidRPr="0096779D">
        <w:rPr>
          <w:rFonts w:ascii="Arial" w:eastAsia="Calibri" w:hAnsi="Arial" w:cs="Arial"/>
          <w:lang w:val="en-US"/>
        </w:rPr>
        <w:t>’</w:t>
      </w:r>
    </w:p>
    <w:p w:rsidR="002E34A1" w:rsidRPr="00F423F0" w:rsidRDefault="002E34A1" w:rsidP="008D055C">
      <w:pPr>
        <w:spacing w:line="360" w:lineRule="auto"/>
        <w:contextualSpacing/>
        <w:jc w:val="both"/>
        <w:rPr>
          <w:rFonts w:ascii="Arial" w:eastAsia="Calibri" w:hAnsi="Arial" w:cs="Arial"/>
          <w:i/>
          <w:sz w:val="24"/>
          <w:szCs w:val="24"/>
          <w:lang w:val="en-US"/>
        </w:rPr>
      </w:pPr>
    </w:p>
    <w:p w:rsidR="002E34A1" w:rsidRDefault="00262BD7"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[58]</w:t>
      </w:r>
      <w:r>
        <w:rPr>
          <w:rFonts w:ascii="Arial" w:eastAsia="Calibri" w:hAnsi="Arial" w:cs="Arial"/>
          <w:sz w:val="24"/>
          <w:szCs w:val="24"/>
          <w:lang w:val="en-US"/>
        </w:rPr>
        <w:tab/>
        <w:t>In his recent treatise</w:t>
      </w:r>
      <w:r w:rsidR="00F423F0">
        <w:rPr>
          <w:rFonts w:ascii="Arial" w:eastAsia="Calibri" w:hAnsi="Arial" w:cs="Arial"/>
          <w:sz w:val="24"/>
          <w:szCs w:val="24"/>
          <w:lang w:val="en-US"/>
        </w:rPr>
        <w:t xml:space="preserve"> on Civil Procedure, the </w:t>
      </w:r>
      <w:r w:rsidR="00F423F0" w:rsidRPr="00F423F0">
        <w:rPr>
          <w:rFonts w:ascii="Arial" w:eastAsia="Calibri" w:hAnsi="Arial" w:cs="Arial"/>
          <w:i/>
          <w:sz w:val="24"/>
          <w:szCs w:val="24"/>
          <w:lang w:val="en-US"/>
        </w:rPr>
        <w:t>Hon PT Damaseb</w:t>
      </w:r>
      <w:r w:rsidR="00BD422F">
        <w:rPr>
          <w:rFonts w:ascii="Arial" w:eastAsia="Calibri" w:hAnsi="Arial" w:cs="Arial"/>
          <w:sz w:val="24"/>
          <w:szCs w:val="24"/>
          <w:lang w:val="en-US"/>
        </w:rPr>
        <w:t xml:space="preserve"> has</w:t>
      </w:r>
      <w:r w:rsidR="00F423F0">
        <w:rPr>
          <w:rFonts w:ascii="Arial" w:eastAsia="Calibri" w:hAnsi="Arial" w:cs="Arial"/>
          <w:sz w:val="24"/>
          <w:szCs w:val="24"/>
          <w:lang w:val="en-US"/>
        </w:rPr>
        <w:t xml:space="preserve"> the following to say on the subject of postponements:</w:t>
      </w:r>
    </w:p>
    <w:p w:rsidR="0096779D" w:rsidRDefault="0096779D" w:rsidP="0096779D">
      <w:pPr>
        <w:spacing w:line="360" w:lineRule="auto"/>
        <w:contextualSpacing/>
        <w:jc w:val="both"/>
        <w:rPr>
          <w:rFonts w:ascii="Arial" w:eastAsia="Calibri" w:hAnsi="Arial" w:cs="Arial"/>
          <w:sz w:val="24"/>
          <w:szCs w:val="24"/>
          <w:lang w:val="en-US"/>
        </w:rPr>
      </w:pPr>
    </w:p>
    <w:p w:rsidR="008D055C" w:rsidRDefault="00F423F0" w:rsidP="0096779D">
      <w:pPr>
        <w:spacing w:line="360" w:lineRule="auto"/>
        <w:ind w:firstLine="720"/>
        <w:contextualSpacing/>
        <w:jc w:val="both"/>
        <w:rPr>
          <w:rFonts w:ascii="Arial" w:eastAsia="Calibri" w:hAnsi="Arial" w:cs="Arial"/>
          <w:i/>
          <w:sz w:val="24"/>
          <w:szCs w:val="24"/>
          <w:lang w:val="en-US"/>
        </w:rPr>
      </w:pPr>
      <w:r w:rsidRPr="0096779D">
        <w:rPr>
          <w:rFonts w:ascii="Arial" w:eastAsia="Calibri" w:hAnsi="Arial" w:cs="Arial"/>
          <w:lang w:val="en-US"/>
        </w:rPr>
        <w:t>‘</w:t>
      </w:r>
      <w:r w:rsidR="004E106C" w:rsidRPr="0096779D">
        <w:rPr>
          <w:rFonts w:ascii="Arial" w:eastAsia="Calibri" w:hAnsi="Arial" w:cs="Arial"/>
          <w:lang w:val="en-US"/>
        </w:rPr>
        <w:t>The overridi</w:t>
      </w:r>
      <w:r w:rsidR="00262BD7" w:rsidRPr="0096779D">
        <w:rPr>
          <w:rFonts w:ascii="Arial" w:eastAsia="Calibri" w:hAnsi="Arial" w:cs="Arial"/>
          <w:lang w:val="en-US"/>
        </w:rPr>
        <w:t>ng objective emphasis</w:t>
      </w:r>
      <w:r w:rsidR="004E106C" w:rsidRPr="0096779D">
        <w:rPr>
          <w:rFonts w:ascii="Arial" w:eastAsia="Calibri" w:hAnsi="Arial" w:cs="Arial"/>
          <w:lang w:val="en-US"/>
        </w:rPr>
        <w:t>es finalization of matters speedily and at minimum cost.  In an environment where the parties themselves determine the time they need to exchange pleadings; where discovery takes place at an early stage and the parties, through witness statements, are fully informed of each party’s case, the occasion must be rare where a party is caught by surprise and need more time to prepare.  Equally important is the fact the new rules</w:t>
      </w:r>
      <w:r w:rsidR="00262BD7" w:rsidRPr="0096779D">
        <w:rPr>
          <w:rFonts w:ascii="Arial" w:eastAsia="Calibri" w:hAnsi="Arial" w:cs="Arial"/>
          <w:lang w:val="en-US"/>
        </w:rPr>
        <w:t xml:space="preserve"> emphasise</w:t>
      </w:r>
      <w:r w:rsidR="004E106C" w:rsidRPr="0096779D">
        <w:rPr>
          <w:rFonts w:ascii="Arial" w:eastAsia="Calibri" w:hAnsi="Arial" w:cs="Arial"/>
          <w:lang w:val="en-US"/>
        </w:rPr>
        <w:t xml:space="preserve"> early preparation and narrowing of the areas of dispute.  Postponement must therefore be frowned upon and should be granted only exceptionally</w:t>
      </w:r>
      <w:r w:rsidR="004E106C">
        <w:rPr>
          <w:rFonts w:ascii="Arial" w:eastAsia="Calibri" w:hAnsi="Arial" w:cs="Arial"/>
          <w:i/>
          <w:sz w:val="24"/>
          <w:szCs w:val="24"/>
          <w:lang w:val="en-US"/>
        </w:rPr>
        <w:t xml:space="preserve">.’ </w:t>
      </w:r>
      <w:r w:rsidR="004E106C">
        <w:rPr>
          <w:rStyle w:val="FootnoteReference"/>
          <w:rFonts w:ascii="Arial" w:eastAsia="Calibri" w:hAnsi="Arial" w:cs="Arial"/>
          <w:i/>
          <w:sz w:val="24"/>
          <w:szCs w:val="24"/>
          <w:lang w:val="en-US"/>
        </w:rPr>
        <w:footnoteReference w:id="9"/>
      </w:r>
    </w:p>
    <w:p w:rsidR="004E106C" w:rsidRDefault="004E106C" w:rsidP="008D055C">
      <w:pPr>
        <w:spacing w:line="360" w:lineRule="auto"/>
        <w:contextualSpacing/>
        <w:jc w:val="both"/>
        <w:rPr>
          <w:rFonts w:ascii="Arial" w:eastAsia="Calibri" w:hAnsi="Arial" w:cs="Arial"/>
          <w:sz w:val="24"/>
          <w:szCs w:val="24"/>
          <w:lang w:val="en-US"/>
        </w:rPr>
      </w:pPr>
    </w:p>
    <w:p w:rsidR="004E106C" w:rsidRDefault="004E106C"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[59]</w:t>
      </w:r>
      <w:r>
        <w:rPr>
          <w:rFonts w:ascii="Arial" w:eastAsia="Calibri" w:hAnsi="Arial" w:cs="Arial"/>
          <w:sz w:val="24"/>
          <w:szCs w:val="24"/>
          <w:lang w:val="en-US"/>
        </w:rPr>
        <w:tab/>
        <w:t>The learned author further observes:</w:t>
      </w:r>
    </w:p>
    <w:p w:rsidR="0096779D" w:rsidRDefault="0096779D" w:rsidP="004E106C">
      <w:pPr>
        <w:spacing w:line="360" w:lineRule="auto"/>
        <w:ind w:left="720"/>
        <w:contextualSpacing/>
        <w:jc w:val="both"/>
        <w:rPr>
          <w:rFonts w:ascii="Arial" w:eastAsia="Calibri" w:hAnsi="Arial" w:cs="Arial"/>
          <w:i/>
          <w:sz w:val="24"/>
          <w:szCs w:val="24"/>
          <w:lang w:val="en-US"/>
        </w:rPr>
      </w:pPr>
    </w:p>
    <w:p w:rsidR="004E106C" w:rsidRPr="004E106C" w:rsidRDefault="004E106C" w:rsidP="0096779D">
      <w:pPr>
        <w:spacing w:line="360" w:lineRule="auto"/>
        <w:ind w:firstLine="720"/>
        <w:contextualSpacing/>
        <w:jc w:val="both"/>
        <w:rPr>
          <w:rFonts w:ascii="Arial" w:eastAsia="Calibri" w:hAnsi="Arial" w:cs="Arial"/>
          <w:i/>
          <w:sz w:val="24"/>
          <w:szCs w:val="24"/>
          <w:lang w:val="en-US"/>
        </w:rPr>
      </w:pPr>
      <w:r w:rsidRPr="0096779D">
        <w:rPr>
          <w:rFonts w:ascii="Arial" w:eastAsia="Calibri" w:hAnsi="Arial" w:cs="Arial"/>
          <w:lang w:val="en-US"/>
        </w:rPr>
        <w:t>‘In</w:t>
      </w:r>
      <w:r w:rsidR="00262BD7" w:rsidRPr="0096779D">
        <w:rPr>
          <w:rFonts w:ascii="Arial" w:eastAsia="Calibri" w:hAnsi="Arial" w:cs="Arial"/>
          <w:lang w:val="en-US"/>
        </w:rPr>
        <w:t xml:space="preserve"> practice</w:t>
      </w:r>
      <w:r w:rsidRPr="0096779D">
        <w:rPr>
          <w:rFonts w:ascii="Arial" w:eastAsia="Calibri" w:hAnsi="Arial" w:cs="Arial"/>
          <w:lang w:val="en-US"/>
        </w:rPr>
        <w:t>, the reason for seeking a postponement is often the unavailability of instructed counsel, especially where counsel from outside Namibia is engaged.  Since Ecker v Dean in 1939, Namibia</w:t>
      </w:r>
      <w:r w:rsidR="00262BD7" w:rsidRPr="0096779D">
        <w:rPr>
          <w:rFonts w:ascii="Arial" w:eastAsia="Calibri" w:hAnsi="Arial" w:cs="Arial"/>
          <w:lang w:val="en-US"/>
        </w:rPr>
        <w:t>n</w:t>
      </w:r>
      <w:r w:rsidRPr="0096779D">
        <w:rPr>
          <w:rFonts w:ascii="Arial" w:eastAsia="Calibri" w:hAnsi="Arial" w:cs="Arial"/>
          <w:lang w:val="en-US"/>
        </w:rPr>
        <w:t xml:space="preserve"> courts have been reluctant to accept that a litigant is entitled to insist on being </w:t>
      </w:r>
      <w:r w:rsidR="00370111" w:rsidRPr="0096779D">
        <w:rPr>
          <w:rFonts w:ascii="Arial" w:eastAsia="Calibri" w:hAnsi="Arial" w:cs="Arial"/>
          <w:lang w:val="en-US"/>
        </w:rPr>
        <w:t>represented by a particular counsel.  Therefore, it will rarely avail a litigant to seek a postponement of a matter solely on the ground that his or her chosen counsel, especially instructed counsel was unavailable to conduct the trial or hearing.</w:t>
      </w:r>
      <w:r w:rsidR="00370111">
        <w:rPr>
          <w:rFonts w:ascii="Arial" w:eastAsia="Calibri" w:hAnsi="Arial" w:cs="Arial"/>
          <w:i/>
          <w:sz w:val="24"/>
          <w:szCs w:val="24"/>
          <w:lang w:val="en-US"/>
        </w:rPr>
        <w:t>’</w:t>
      </w:r>
      <w:r w:rsidR="00370111">
        <w:rPr>
          <w:rStyle w:val="FootnoteReference"/>
          <w:rFonts w:ascii="Arial" w:eastAsia="Calibri" w:hAnsi="Arial" w:cs="Arial"/>
          <w:i/>
          <w:sz w:val="24"/>
          <w:szCs w:val="24"/>
          <w:lang w:val="en-US"/>
        </w:rPr>
        <w:footnoteReference w:id="10"/>
      </w:r>
    </w:p>
    <w:p w:rsidR="004E106C" w:rsidRDefault="004E106C" w:rsidP="008D055C">
      <w:pPr>
        <w:spacing w:line="360" w:lineRule="auto"/>
        <w:contextualSpacing/>
        <w:jc w:val="both"/>
        <w:rPr>
          <w:rFonts w:ascii="Arial" w:eastAsia="Calibri" w:hAnsi="Arial" w:cs="Arial"/>
          <w:sz w:val="24"/>
          <w:szCs w:val="24"/>
          <w:lang w:val="en-US"/>
        </w:rPr>
      </w:pPr>
    </w:p>
    <w:p w:rsidR="004E106C" w:rsidRDefault="00370111"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[60]</w:t>
      </w:r>
      <w:r>
        <w:rPr>
          <w:rFonts w:ascii="Arial" w:eastAsia="Calibri" w:hAnsi="Arial" w:cs="Arial"/>
          <w:sz w:val="24"/>
          <w:szCs w:val="24"/>
          <w:lang w:val="en-US"/>
        </w:rPr>
        <w:tab/>
        <w:t xml:space="preserve">Moreover, </w:t>
      </w:r>
      <w:r w:rsidRPr="00370111">
        <w:rPr>
          <w:rFonts w:ascii="Arial" w:eastAsia="Calibri" w:hAnsi="Arial" w:cs="Arial"/>
          <w:i/>
          <w:sz w:val="24"/>
          <w:szCs w:val="24"/>
          <w:lang w:val="en-US"/>
        </w:rPr>
        <w:t xml:space="preserve">practice direction 62(5) </w:t>
      </w:r>
      <w:r>
        <w:rPr>
          <w:rFonts w:ascii="Arial" w:eastAsia="Calibri" w:hAnsi="Arial" w:cs="Arial"/>
          <w:sz w:val="24"/>
          <w:szCs w:val="24"/>
          <w:lang w:val="en-US"/>
        </w:rPr>
        <w:t>provides as follows:</w:t>
      </w:r>
    </w:p>
    <w:p w:rsidR="0096779D" w:rsidRDefault="0096779D" w:rsidP="008D055C">
      <w:pPr>
        <w:spacing w:line="360" w:lineRule="auto"/>
        <w:contextualSpacing/>
        <w:jc w:val="both"/>
        <w:rPr>
          <w:rFonts w:ascii="Arial" w:eastAsia="Calibri" w:hAnsi="Arial" w:cs="Arial"/>
          <w:sz w:val="24"/>
          <w:szCs w:val="24"/>
          <w:lang w:val="en-US"/>
        </w:rPr>
      </w:pPr>
    </w:p>
    <w:p w:rsidR="00370111" w:rsidRPr="0096779D" w:rsidRDefault="00370111" w:rsidP="0096779D">
      <w:pPr>
        <w:spacing w:line="360" w:lineRule="auto"/>
        <w:ind w:firstLine="720"/>
        <w:contextualSpacing/>
        <w:jc w:val="both"/>
        <w:rPr>
          <w:rFonts w:ascii="Arial" w:eastAsia="Calibri" w:hAnsi="Arial" w:cs="Arial"/>
          <w:lang w:val="en-US"/>
        </w:rPr>
      </w:pPr>
      <w:r w:rsidRPr="0096779D">
        <w:rPr>
          <w:rFonts w:ascii="Arial" w:eastAsia="Calibri" w:hAnsi="Arial" w:cs="Arial"/>
          <w:lang w:val="en-US"/>
        </w:rPr>
        <w:lastRenderedPageBreak/>
        <w:t>‘The High Court pursues a 100% clearance rate policy, and in pursuit of the policy, the court must, unless there are compelling reasons to adjourn or vacate, apply a strict non-adjournment or non-vacation policy on matters set down for trial or hearing.’</w:t>
      </w:r>
    </w:p>
    <w:p w:rsidR="00370111" w:rsidRDefault="00370111" w:rsidP="008D055C">
      <w:pPr>
        <w:spacing w:line="360" w:lineRule="auto"/>
        <w:contextualSpacing/>
        <w:jc w:val="both"/>
        <w:rPr>
          <w:rFonts w:ascii="Arial" w:eastAsia="Calibri" w:hAnsi="Arial" w:cs="Arial"/>
          <w:sz w:val="24"/>
          <w:szCs w:val="24"/>
          <w:lang w:val="en-US"/>
        </w:rPr>
      </w:pPr>
    </w:p>
    <w:p w:rsidR="007733B7" w:rsidRDefault="00403980"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[61]</w:t>
      </w:r>
      <w:r>
        <w:rPr>
          <w:rFonts w:ascii="Arial" w:eastAsia="Calibri" w:hAnsi="Arial" w:cs="Arial"/>
          <w:sz w:val="24"/>
          <w:szCs w:val="24"/>
          <w:lang w:val="en-US"/>
        </w:rPr>
        <w:tab/>
      </w:r>
      <w:r w:rsidR="00BD422F">
        <w:rPr>
          <w:rFonts w:ascii="Arial" w:eastAsia="Calibri" w:hAnsi="Arial" w:cs="Arial"/>
          <w:sz w:val="24"/>
          <w:szCs w:val="24"/>
          <w:lang w:val="en-US"/>
        </w:rPr>
        <w:t>From the aforegoing consideration</w:t>
      </w:r>
      <w:r w:rsidR="00393969">
        <w:rPr>
          <w:rFonts w:ascii="Arial" w:eastAsia="Calibri" w:hAnsi="Arial" w:cs="Arial"/>
          <w:sz w:val="24"/>
          <w:szCs w:val="24"/>
          <w:lang w:val="en-US"/>
        </w:rPr>
        <w:t>s</w:t>
      </w:r>
      <w:r w:rsidR="00BD422F">
        <w:rPr>
          <w:rFonts w:ascii="Arial" w:eastAsia="Calibri" w:hAnsi="Arial" w:cs="Arial"/>
          <w:sz w:val="24"/>
          <w:szCs w:val="24"/>
          <w:lang w:val="en-US"/>
        </w:rPr>
        <w:t>, it is apparent that parties have a legitimate expectation that trial dates will be met and not be postponed without good reason.  Therefore,</w:t>
      </w:r>
      <w:r>
        <w:rPr>
          <w:rFonts w:ascii="Arial" w:eastAsia="Calibri" w:hAnsi="Arial" w:cs="Arial"/>
          <w:sz w:val="24"/>
          <w:szCs w:val="24"/>
          <w:lang w:val="en-US"/>
        </w:rPr>
        <w:t xml:space="preserve"> I am persuaded that the defendants were not justified in their conduct which resul</w:t>
      </w:r>
      <w:r w:rsidR="00393969">
        <w:rPr>
          <w:rFonts w:ascii="Arial" w:eastAsia="Calibri" w:hAnsi="Arial" w:cs="Arial"/>
          <w:sz w:val="24"/>
          <w:szCs w:val="24"/>
          <w:lang w:val="en-US"/>
        </w:rPr>
        <w:t>ted in the trial not proceeding</w:t>
      </w:r>
      <w:r>
        <w:rPr>
          <w:rFonts w:ascii="Arial" w:eastAsia="Calibri" w:hAnsi="Arial" w:cs="Arial"/>
          <w:sz w:val="24"/>
          <w:szCs w:val="24"/>
          <w:lang w:val="en-US"/>
        </w:rPr>
        <w:t xml:space="preserve"> on the 11 and 12 May 2020.  I am therefore satisfied that the plaintiff is entitled to an order for wasted costs against the defendants in respect of the 11 and 12 May 2020.  Insofar as the matter did not proceed in the afternoon of 14 May 2020, I am of the opinion that counsel for the defendants gave a reasonable and acceptable explanation why he was not available for the afternoon.  For that reason I will not grant an order against the defendants for wasted costs in respect of the afternoon of the 14 May 2020.</w:t>
      </w:r>
    </w:p>
    <w:p w:rsidR="00DD5783" w:rsidRDefault="00DD5783" w:rsidP="008D055C">
      <w:pPr>
        <w:spacing w:line="360" w:lineRule="auto"/>
        <w:contextualSpacing/>
        <w:jc w:val="both"/>
        <w:rPr>
          <w:rFonts w:ascii="Arial" w:eastAsia="Calibri" w:hAnsi="Arial" w:cs="Arial"/>
          <w:sz w:val="24"/>
          <w:szCs w:val="24"/>
          <w:lang w:val="en-US"/>
        </w:rPr>
      </w:pPr>
    </w:p>
    <w:p w:rsidR="007733B7" w:rsidRPr="007733B7" w:rsidRDefault="007733B7" w:rsidP="008D055C">
      <w:pPr>
        <w:spacing w:line="360" w:lineRule="auto"/>
        <w:contextualSpacing/>
        <w:jc w:val="both"/>
        <w:rPr>
          <w:rFonts w:ascii="Arial" w:eastAsia="Calibri" w:hAnsi="Arial" w:cs="Arial"/>
          <w:sz w:val="24"/>
          <w:szCs w:val="24"/>
          <w:u w:val="single"/>
          <w:lang w:val="en-US"/>
        </w:rPr>
      </w:pPr>
      <w:r w:rsidRPr="007733B7">
        <w:rPr>
          <w:rFonts w:ascii="Arial" w:eastAsia="Calibri" w:hAnsi="Arial" w:cs="Arial"/>
          <w:sz w:val="24"/>
          <w:szCs w:val="24"/>
          <w:u w:val="single"/>
          <w:lang w:val="en-US"/>
        </w:rPr>
        <w:t>Conclusions</w:t>
      </w:r>
    </w:p>
    <w:p w:rsidR="007733B7" w:rsidRDefault="007733B7" w:rsidP="008D055C">
      <w:pPr>
        <w:spacing w:line="360" w:lineRule="auto"/>
        <w:contextualSpacing/>
        <w:jc w:val="both"/>
        <w:rPr>
          <w:rFonts w:ascii="Arial" w:eastAsia="Calibri" w:hAnsi="Arial" w:cs="Arial"/>
          <w:sz w:val="24"/>
          <w:szCs w:val="24"/>
          <w:lang w:val="en-US"/>
        </w:rPr>
      </w:pPr>
    </w:p>
    <w:p w:rsidR="007733B7" w:rsidRDefault="007733B7"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[62]</w:t>
      </w:r>
      <w:r>
        <w:rPr>
          <w:rFonts w:ascii="Arial" w:eastAsia="Calibri" w:hAnsi="Arial" w:cs="Arial"/>
          <w:sz w:val="24"/>
          <w:szCs w:val="24"/>
          <w:lang w:val="en-US"/>
        </w:rPr>
        <w:tab/>
        <w:t>In the premises, and subject to what has been stated in the aforegoing paragraphs, I am satisfied that on the evidence before court, the plaintiff is entitled to the relief it seeks.</w:t>
      </w:r>
    </w:p>
    <w:p w:rsidR="007733B7" w:rsidRDefault="007733B7" w:rsidP="008D055C">
      <w:pPr>
        <w:spacing w:line="360" w:lineRule="auto"/>
        <w:contextualSpacing/>
        <w:jc w:val="both"/>
        <w:rPr>
          <w:rFonts w:ascii="Arial" w:eastAsia="Calibri" w:hAnsi="Arial" w:cs="Arial"/>
          <w:sz w:val="24"/>
          <w:szCs w:val="24"/>
          <w:lang w:val="en-US"/>
        </w:rPr>
      </w:pPr>
    </w:p>
    <w:p w:rsidR="007733B7" w:rsidRDefault="007733B7" w:rsidP="008D055C">
      <w:pPr>
        <w:spacing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[63]</w:t>
      </w:r>
      <w:r>
        <w:rPr>
          <w:rFonts w:ascii="Arial" w:eastAsia="Calibri" w:hAnsi="Arial" w:cs="Arial"/>
          <w:sz w:val="24"/>
          <w:szCs w:val="24"/>
          <w:lang w:val="en-US"/>
        </w:rPr>
        <w:tab/>
        <w:t>In the result, I make the following order:</w:t>
      </w:r>
    </w:p>
    <w:p w:rsidR="00370111" w:rsidRDefault="00370111" w:rsidP="008D055C">
      <w:pPr>
        <w:spacing w:line="360" w:lineRule="auto"/>
        <w:contextualSpacing/>
        <w:jc w:val="both"/>
        <w:rPr>
          <w:rFonts w:ascii="Arial" w:eastAsia="Calibri" w:hAnsi="Arial" w:cs="Arial"/>
          <w:sz w:val="24"/>
          <w:szCs w:val="24"/>
          <w:lang w:val="en-US"/>
        </w:rPr>
      </w:pPr>
    </w:p>
    <w:p w:rsidR="007733B7" w:rsidRDefault="007733B7" w:rsidP="007733B7">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t>The cancellation by the plaintiff of the defendant’s lease agreements, is hereby confirmed.</w:t>
      </w:r>
    </w:p>
    <w:p w:rsidR="007733B7" w:rsidRPr="0015199D" w:rsidRDefault="007733B7" w:rsidP="007733B7">
      <w:pPr>
        <w:spacing w:after="0" w:line="360" w:lineRule="auto"/>
        <w:ind w:left="720" w:hanging="720"/>
        <w:jc w:val="both"/>
        <w:rPr>
          <w:rFonts w:ascii="Arial" w:eastAsia="Calibri" w:hAnsi="Arial" w:cs="Arial"/>
          <w:i/>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 xml:space="preserve">The defendants and all persons holding under them, are evicted from the respective units listed in column 4 of annexure </w:t>
      </w:r>
      <w:r w:rsidRPr="0015199D">
        <w:rPr>
          <w:rFonts w:ascii="Arial" w:eastAsia="Calibri" w:hAnsi="Arial" w:cs="Arial"/>
          <w:i/>
          <w:sz w:val="24"/>
          <w:szCs w:val="24"/>
          <w:lang w:val="en-US"/>
        </w:rPr>
        <w:t>‘PO</w:t>
      </w:r>
      <w:r w:rsidR="00B55303">
        <w:rPr>
          <w:rFonts w:ascii="Arial" w:eastAsia="Calibri" w:hAnsi="Arial" w:cs="Arial"/>
          <w:i/>
          <w:sz w:val="24"/>
          <w:szCs w:val="24"/>
          <w:lang w:val="en-US"/>
        </w:rPr>
        <w:t>C</w:t>
      </w:r>
      <w:r w:rsidRPr="0015199D">
        <w:rPr>
          <w:rFonts w:ascii="Arial" w:eastAsia="Calibri" w:hAnsi="Arial" w:cs="Arial"/>
          <w:i/>
          <w:sz w:val="24"/>
          <w:szCs w:val="24"/>
          <w:lang w:val="en-US"/>
        </w:rPr>
        <w:t>2’</w:t>
      </w:r>
      <w:r>
        <w:rPr>
          <w:rFonts w:ascii="Arial" w:eastAsia="Calibri" w:hAnsi="Arial" w:cs="Arial"/>
          <w:sz w:val="24"/>
          <w:szCs w:val="24"/>
          <w:lang w:val="en-US"/>
        </w:rPr>
        <w:t xml:space="preserve"> (annexed to the plaintiff’s particulars of claim) and from the immovable property as more fully described in </w:t>
      </w:r>
      <w:r>
        <w:rPr>
          <w:rFonts w:ascii="Arial" w:eastAsia="Calibri" w:hAnsi="Arial" w:cs="Arial"/>
          <w:i/>
          <w:sz w:val="24"/>
          <w:szCs w:val="24"/>
          <w:lang w:val="en-US"/>
        </w:rPr>
        <w:t>Deed of Transfer No.T.3258/2006.</w:t>
      </w:r>
    </w:p>
    <w:p w:rsidR="007733B7" w:rsidRDefault="007733B7" w:rsidP="007733B7">
      <w:pPr>
        <w:spacing w:after="0" w:line="360" w:lineRule="auto"/>
        <w:ind w:left="720" w:hanging="720"/>
        <w:jc w:val="both"/>
        <w:rPr>
          <w:rFonts w:ascii="Arial" w:eastAsia="Calibri" w:hAnsi="Arial" w:cs="Arial"/>
          <w:sz w:val="24"/>
          <w:szCs w:val="24"/>
          <w:lang w:val="en-US"/>
        </w:rPr>
      </w:pPr>
    </w:p>
    <w:p w:rsidR="007733B7" w:rsidRDefault="007733B7" w:rsidP="007733B7">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lastRenderedPageBreak/>
        <w:t>3.</w:t>
      </w:r>
      <w:r>
        <w:rPr>
          <w:rFonts w:ascii="Arial" w:eastAsia="Calibri" w:hAnsi="Arial" w:cs="Arial"/>
          <w:sz w:val="24"/>
          <w:szCs w:val="24"/>
          <w:lang w:val="en-US"/>
        </w:rPr>
        <w:tab/>
        <w:t>Each defendant must vacate the property on or before 30 September 2020, failing which the deputy sheriff for the district of Tsumeb is hereby authorised and directed to evict the defendants and all persons holding under them.</w:t>
      </w:r>
    </w:p>
    <w:p w:rsidR="007733B7" w:rsidRDefault="007733B7" w:rsidP="007733B7">
      <w:pPr>
        <w:spacing w:after="0" w:line="360" w:lineRule="auto"/>
        <w:ind w:left="720" w:hanging="720"/>
        <w:jc w:val="both"/>
        <w:rPr>
          <w:rFonts w:ascii="Arial" w:eastAsia="Calibri" w:hAnsi="Arial" w:cs="Arial"/>
          <w:sz w:val="24"/>
          <w:szCs w:val="24"/>
          <w:lang w:val="en-US"/>
        </w:rPr>
      </w:pPr>
    </w:p>
    <w:p w:rsidR="007733B7" w:rsidRDefault="007733B7" w:rsidP="007733B7">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defendants are ordered, jointly and severally, the one paying, the other to be absolved, to pay the costs of suit of the plaintiff, including wasted costs of the 11 and 12 May 2020 and such costs include costs of one instructing and one instructed counsel.</w:t>
      </w:r>
    </w:p>
    <w:p w:rsidR="007733B7" w:rsidRDefault="007733B7" w:rsidP="007733B7">
      <w:pPr>
        <w:spacing w:after="0" w:line="360" w:lineRule="auto"/>
        <w:ind w:left="720" w:hanging="720"/>
        <w:jc w:val="both"/>
        <w:rPr>
          <w:rFonts w:ascii="Arial" w:eastAsia="Calibri" w:hAnsi="Arial" w:cs="Arial"/>
          <w:sz w:val="24"/>
          <w:szCs w:val="24"/>
          <w:lang w:val="en-US"/>
        </w:rPr>
      </w:pPr>
    </w:p>
    <w:p w:rsidR="007733B7" w:rsidRDefault="007733B7" w:rsidP="007733B7">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The matter is removed from the roll and regarded finalised.</w:t>
      </w:r>
    </w:p>
    <w:p w:rsidR="00370111" w:rsidRDefault="00370111" w:rsidP="008D055C">
      <w:pPr>
        <w:spacing w:line="360" w:lineRule="auto"/>
        <w:contextualSpacing/>
        <w:jc w:val="both"/>
        <w:rPr>
          <w:rFonts w:ascii="Arial" w:eastAsia="Calibri" w:hAnsi="Arial" w:cs="Arial"/>
          <w:sz w:val="24"/>
          <w:szCs w:val="24"/>
          <w:lang w:val="en-US"/>
        </w:rPr>
      </w:pPr>
    </w:p>
    <w:p w:rsidR="00370111" w:rsidRDefault="00370111" w:rsidP="008D055C">
      <w:pPr>
        <w:spacing w:line="360" w:lineRule="auto"/>
        <w:contextualSpacing/>
        <w:jc w:val="both"/>
        <w:rPr>
          <w:rFonts w:ascii="Arial" w:eastAsia="Calibri" w:hAnsi="Arial" w:cs="Arial"/>
          <w:sz w:val="24"/>
          <w:szCs w:val="24"/>
          <w:lang w:val="en-US"/>
        </w:rPr>
      </w:pPr>
    </w:p>
    <w:p w:rsidR="00370111" w:rsidRDefault="00370111" w:rsidP="008D055C">
      <w:pPr>
        <w:spacing w:line="360" w:lineRule="auto"/>
        <w:contextualSpacing/>
        <w:jc w:val="both"/>
        <w:rPr>
          <w:rFonts w:ascii="Arial" w:eastAsia="Calibri" w:hAnsi="Arial" w:cs="Arial"/>
          <w:sz w:val="24"/>
          <w:szCs w:val="24"/>
          <w:lang w:val="en-US"/>
        </w:rPr>
      </w:pPr>
    </w:p>
    <w:p w:rsidR="00370111" w:rsidRDefault="00370111" w:rsidP="008D055C">
      <w:pPr>
        <w:spacing w:line="360" w:lineRule="auto"/>
        <w:contextualSpacing/>
        <w:jc w:val="both"/>
        <w:rPr>
          <w:rFonts w:ascii="Arial" w:eastAsia="Calibri" w:hAnsi="Arial" w:cs="Arial"/>
          <w:sz w:val="24"/>
          <w:szCs w:val="24"/>
          <w:lang w:val="en-US"/>
        </w:rPr>
      </w:pPr>
    </w:p>
    <w:p w:rsidR="002364F1" w:rsidRPr="00E7764F" w:rsidRDefault="007733B7" w:rsidP="007733B7">
      <w:pPr>
        <w:spacing w:line="360" w:lineRule="auto"/>
        <w:ind w:left="6480"/>
        <w:contextualSpacing/>
        <w:jc w:val="both"/>
        <w:rPr>
          <w:rFonts w:ascii="Arial" w:eastAsia="Calibri" w:hAnsi="Arial" w:cs="Arial"/>
          <w:sz w:val="24"/>
          <w:szCs w:val="24"/>
          <w:lang w:val="en-US"/>
        </w:rPr>
      </w:pPr>
      <w:r>
        <w:rPr>
          <w:rFonts w:ascii="Arial" w:eastAsia="Calibri" w:hAnsi="Arial" w:cs="Arial"/>
          <w:sz w:val="24"/>
          <w:szCs w:val="24"/>
          <w:lang w:val="en-US"/>
        </w:rPr>
        <w:t xml:space="preserve">        </w:t>
      </w:r>
      <w:r w:rsidR="002364F1" w:rsidRPr="00E7764F">
        <w:rPr>
          <w:rFonts w:ascii="Arial" w:eastAsia="Calibri" w:hAnsi="Arial" w:cs="Arial"/>
          <w:sz w:val="24"/>
          <w:szCs w:val="24"/>
          <w:lang w:val="en-US"/>
        </w:rPr>
        <w:t>-----------------------------</w:t>
      </w:r>
    </w:p>
    <w:p w:rsidR="002364F1" w:rsidRPr="00E7764F" w:rsidRDefault="002364F1" w:rsidP="002364F1">
      <w:pPr>
        <w:spacing w:after="0" w:line="360" w:lineRule="auto"/>
        <w:jc w:val="right"/>
        <w:rPr>
          <w:rFonts w:ascii="Arial" w:eastAsia="Calibri" w:hAnsi="Arial" w:cs="Arial"/>
          <w:sz w:val="24"/>
          <w:szCs w:val="24"/>
          <w:lang w:val="en-US"/>
        </w:rPr>
      </w:pPr>
      <w:r w:rsidRPr="00E7764F">
        <w:rPr>
          <w:rFonts w:ascii="Arial" w:eastAsia="Calibri" w:hAnsi="Arial" w:cs="Arial"/>
          <w:sz w:val="24"/>
          <w:szCs w:val="24"/>
          <w:lang w:val="en-US"/>
        </w:rPr>
        <w:t>B Usiku</w:t>
      </w:r>
    </w:p>
    <w:p w:rsidR="002364F1" w:rsidRPr="00E7764F" w:rsidRDefault="002364F1" w:rsidP="007733B7">
      <w:pPr>
        <w:spacing w:after="0" w:line="360" w:lineRule="auto"/>
        <w:jc w:val="right"/>
        <w:rPr>
          <w:rFonts w:ascii="Arial" w:eastAsia="Calibri" w:hAnsi="Arial" w:cs="Arial"/>
          <w:sz w:val="24"/>
          <w:szCs w:val="24"/>
          <w:lang w:val="en-US"/>
        </w:rPr>
      </w:pPr>
      <w:r w:rsidRPr="00E7764F">
        <w:rPr>
          <w:rFonts w:ascii="Arial" w:eastAsia="Calibri" w:hAnsi="Arial" w:cs="Arial"/>
          <w:sz w:val="24"/>
          <w:szCs w:val="24"/>
          <w:lang w:val="en-US"/>
        </w:rPr>
        <w:t>Judge</w:t>
      </w:r>
    </w:p>
    <w:p w:rsidR="00D32987" w:rsidRDefault="00D32987" w:rsidP="002364F1">
      <w:pPr>
        <w:spacing w:after="0" w:line="360" w:lineRule="auto"/>
        <w:jc w:val="both"/>
        <w:rPr>
          <w:rFonts w:ascii="Arial" w:eastAsia="Calibri" w:hAnsi="Arial" w:cs="Arial"/>
          <w:sz w:val="24"/>
          <w:szCs w:val="24"/>
          <w:lang w:val="en-US"/>
        </w:rPr>
      </w:pPr>
    </w:p>
    <w:p w:rsidR="00D32987" w:rsidRDefault="00D32987" w:rsidP="002364F1">
      <w:pPr>
        <w:spacing w:after="0" w:line="360" w:lineRule="auto"/>
        <w:jc w:val="both"/>
        <w:rPr>
          <w:rFonts w:ascii="Arial" w:eastAsia="Calibri" w:hAnsi="Arial" w:cs="Arial"/>
          <w:sz w:val="24"/>
          <w:szCs w:val="24"/>
          <w:lang w:val="en-US"/>
        </w:rPr>
      </w:pPr>
    </w:p>
    <w:p w:rsidR="00D32987" w:rsidRDefault="00D32987" w:rsidP="002364F1">
      <w:pPr>
        <w:spacing w:after="0" w:line="360" w:lineRule="auto"/>
        <w:jc w:val="both"/>
        <w:rPr>
          <w:rFonts w:ascii="Arial" w:eastAsia="Calibri" w:hAnsi="Arial" w:cs="Arial"/>
          <w:sz w:val="24"/>
          <w:szCs w:val="24"/>
          <w:lang w:val="en-US"/>
        </w:rPr>
      </w:pPr>
    </w:p>
    <w:p w:rsidR="00D32987" w:rsidRDefault="00D32987" w:rsidP="002364F1">
      <w:pPr>
        <w:spacing w:after="0" w:line="360" w:lineRule="auto"/>
        <w:jc w:val="both"/>
        <w:rPr>
          <w:rFonts w:ascii="Arial" w:eastAsia="Calibri" w:hAnsi="Arial" w:cs="Arial"/>
          <w:sz w:val="24"/>
          <w:szCs w:val="24"/>
          <w:lang w:val="en-US"/>
        </w:rPr>
      </w:pPr>
    </w:p>
    <w:p w:rsidR="00D32987" w:rsidRDefault="00D32987" w:rsidP="002364F1">
      <w:pPr>
        <w:spacing w:after="0" w:line="360" w:lineRule="auto"/>
        <w:jc w:val="both"/>
        <w:rPr>
          <w:rFonts w:ascii="Arial" w:eastAsia="Calibri" w:hAnsi="Arial" w:cs="Arial"/>
          <w:sz w:val="24"/>
          <w:szCs w:val="24"/>
          <w:lang w:val="en-US"/>
        </w:rPr>
      </w:pPr>
    </w:p>
    <w:p w:rsidR="00D32987" w:rsidRDefault="00D32987" w:rsidP="002364F1">
      <w:pPr>
        <w:spacing w:after="0" w:line="360" w:lineRule="auto"/>
        <w:jc w:val="both"/>
        <w:rPr>
          <w:rFonts w:ascii="Arial" w:eastAsia="Calibri" w:hAnsi="Arial" w:cs="Arial"/>
          <w:sz w:val="24"/>
          <w:szCs w:val="24"/>
          <w:lang w:val="en-US"/>
        </w:rPr>
      </w:pPr>
    </w:p>
    <w:p w:rsidR="00D32987" w:rsidRDefault="00D32987" w:rsidP="002364F1">
      <w:pPr>
        <w:spacing w:after="0" w:line="360" w:lineRule="auto"/>
        <w:jc w:val="both"/>
        <w:rPr>
          <w:rFonts w:ascii="Arial" w:eastAsia="Calibri" w:hAnsi="Arial" w:cs="Arial"/>
          <w:sz w:val="24"/>
          <w:szCs w:val="24"/>
          <w:lang w:val="en-US"/>
        </w:rPr>
      </w:pPr>
    </w:p>
    <w:p w:rsidR="00D32987" w:rsidRDefault="00D32987" w:rsidP="002364F1">
      <w:pPr>
        <w:spacing w:after="0" w:line="360" w:lineRule="auto"/>
        <w:jc w:val="both"/>
        <w:rPr>
          <w:rFonts w:ascii="Arial" w:eastAsia="Calibri" w:hAnsi="Arial" w:cs="Arial"/>
          <w:sz w:val="24"/>
          <w:szCs w:val="24"/>
          <w:lang w:val="en-US"/>
        </w:rPr>
      </w:pPr>
    </w:p>
    <w:p w:rsidR="00D32987" w:rsidRDefault="00D32987" w:rsidP="002364F1">
      <w:pPr>
        <w:spacing w:after="0" w:line="360" w:lineRule="auto"/>
        <w:jc w:val="both"/>
        <w:rPr>
          <w:rFonts w:ascii="Arial" w:eastAsia="Calibri" w:hAnsi="Arial" w:cs="Arial"/>
          <w:sz w:val="24"/>
          <w:szCs w:val="24"/>
          <w:lang w:val="en-US"/>
        </w:rPr>
      </w:pPr>
    </w:p>
    <w:p w:rsidR="00D32987" w:rsidRDefault="00D32987" w:rsidP="002364F1">
      <w:pPr>
        <w:spacing w:after="0" w:line="360" w:lineRule="auto"/>
        <w:jc w:val="both"/>
        <w:rPr>
          <w:rFonts w:ascii="Arial" w:eastAsia="Calibri" w:hAnsi="Arial" w:cs="Arial"/>
          <w:sz w:val="24"/>
          <w:szCs w:val="24"/>
          <w:lang w:val="en-US"/>
        </w:rPr>
      </w:pPr>
    </w:p>
    <w:p w:rsidR="00D32987" w:rsidRDefault="00D32987" w:rsidP="002364F1">
      <w:pPr>
        <w:spacing w:after="0" w:line="360" w:lineRule="auto"/>
        <w:jc w:val="both"/>
        <w:rPr>
          <w:rFonts w:ascii="Arial" w:eastAsia="Calibri" w:hAnsi="Arial" w:cs="Arial"/>
          <w:sz w:val="24"/>
          <w:szCs w:val="24"/>
          <w:lang w:val="en-US"/>
        </w:rPr>
      </w:pPr>
    </w:p>
    <w:p w:rsidR="00D32987" w:rsidRDefault="00D32987" w:rsidP="002364F1">
      <w:pPr>
        <w:spacing w:after="0" w:line="360" w:lineRule="auto"/>
        <w:jc w:val="both"/>
        <w:rPr>
          <w:rFonts w:ascii="Arial" w:eastAsia="Calibri" w:hAnsi="Arial" w:cs="Arial"/>
          <w:sz w:val="24"/>
          <w:szCs w:val="24"/>
          <w:lang w:val="en-US"/>
        </w:rPr>
      </w:pPr>
    </w:p>
    <w:p w:rsidR="00D32987" w:rsidRDefault="00D32987" w:rsidP="002364F1">
      <w:pPr>
        <w:spacing w:after="0" w:line="360" w:lineRule="auto"/>
        <w:jc w:val="both"/>
        <w:rPr>
          <w:rFonts w:ascii="Arial" w:eastAsia="Calibri" w:hAnsi="Arial" w:cs="Arial"/>
          <w:sz w:val="24"/>
          <w:szCs w:val="24"/>
          <w:lang w:val="en-US"/>
        </w:rPr>
      </w:pPr>
    </w:p>
    <w:p w:rsidR="00D32987" w:rsidRDefault="00D32987" w:rsidP="002364F1">
      <w:pPr>
        <w:spacing w:after="0" w:line="360" w:lineRule="auto"/>
        <w:jc w:val="both"/>
        <w:rPr>
          <w:rFonts w:ascii="Arial" w:eastAsia="Calibri" w:hAnsi="Arial" w:cs="Arial"/>
          <w:sz w:val="24"/>
          <w:szCs w:val="24"/>
          <w:lang w:val="en-US"/>
        </w:rPr>
      </w:pPr>
    </w:p>
    <w:p w:rsidR="00D32987" w:rsidRDefault="00D32987" w:rsidP="002364F1">
      <w:pPr>
        <w:spacing w:after="0" w:line="360" w:lineRule="auto"/>
        <w:jc w:val="both"/>
        <w:rPr>
          <w:rFonts w:ascii="Arial" w:eastAsia="Calibri" w:hAnsi="Arial" w:cs="Arial"/>
          <w:sz w:val="24"/>
          <w:szCs w:val="24"/>
          <w:lang w:val="en-US"/>
        </w:rPr>
      </w:pPr>
    </w:p>
    <w:p w:rsidR="002364F1" w:rsidRPr="00E7764F" w:rsidRDefault="002364F1" w:rsidP="002364F1">
      <w:pPr>
        <w:spacing w:after="0" w:line="360" w:lineRule="auto"/>
        <w:jc w:val="both"/>
        <w:rPr>
          <w:rFonts w:ascii="Arial" w:eastAsia="Calibri" w:hAnsi="Arial" w:cs="Arial"/>
          <w:sz w:val="24"/>
          <w:szCs w:val="24"/>
          <w:lang w:val="en-US"/>
        </w:rPr>
      </w:pPr>
      <w:r w:rsidRPr="00E7764F">
        <w:rPr>
          <w:rFonts w:ascii="Arial" w:eastAsia="Calibri" w:hAnsi="Arial" w:cs="Arial"/>
          <w:sz w:val="24"/>
          <w:szCs w:val="24"/>
          <w:lang w:val="en-US"/>
        </w:rPr>
        <w:t>APPEARANCES:</w:t>
      </w:r>
    </w:p>
    <w:p w:rsidR="002364F1" w:rsidRPr="00E7764F" w:rsidRDefault="002364F1" w:rsidP="002364F1">
      <w:pPr>
        <w:spacing w:after="0" w:line="360" w:lineRule="auto"/>
        <w:jc w:val="both"/>
        <w:rPr>
          <w:rFonts w:ascii="Arial" w:eastAsia="Calibri" w:hAnsi="Arial" w:cs="Arial"/>
          <w:sz w:val="24"/>
          <w:szCs w:val="24"/>
          <w:lang w:val="en-US"/>
        </w:rPr>
      </w:pPr>
    </w:p>
    <w:p w:rsidR="002364F1" w:rsidRDefault="002364F1" w:rsidP="002364F1">
      <w:pPr>
        <w:spacing w:after="0" w:line="360" w:lineRule="auto"/>
        <w:ind w:left="720" w:hanging="720"/>
        <w:rPr>
          <w:rFonts w:ascii="Arial" w:hAnsi="Arial" w:cs="Arial"/>
          <w:sz w:val="24"/>
          <w:szCs w:val="24"/>
        </w:rPr>
      </w:pPr>
      <w:r w:rsidRPr="00E7764F">
        <w:rPr>
          <w:rFonts w:ascii="Arial" w:eastAsia="Calibri" w:hAnsi="Arial" w:cs="Arial"/>
          <w:sz w:val="24"/>
          <w:szCs w:val="24"/>
          <w:lang w:val="en-US"/>
        </w:rPr>
        <w:t>PLAINTIFF:</w:t>
      </w:r>
      <w:r w:rsidRPr="00E7764F">
        <w:rPr>
          <w:rFonts w:ascii="Arial" w:eastAsia="Calibri" w:hAnsi="Arial" w:cs="Arial"/>
          <w:sz w:val="24"/>
          <w:szCs w:val="24"/>
          <w:lang w:val="en-US"/>
        </w:rPr>
        <w:tab/>
      </w:r>
      <w:r w:rsidRPr="00E7764F">
        <w:rPr>
          <w:rFonts w:ascii="Arial" w:eastAsia="Calibri" w:hAnsi="Arial" w:cs="Arial"/>
          <w:sz w:val="24"/>
          <w:szCs w:val="24"/>
          <w:lang w:val="en-US"/>
        </w:rPr>
        <w:tab/>
      </w:r>
      <w:r w:rsidRPr="00E7764F">
        <w:rPr>
          <w:rFonts w:ascii="Arial" w:eastAsia="Calibri" w:hAnsi="Arial" w:cs="Arial"/>
          <w:sz w:val="24"/>
          <w:szCs w:val="24"/>
          <w:lang w:val="en-US"/>
        </w:rPr>
        <w:tab/>
      </w:r>
      <w:r w:rsidRPr="00E7764F">
        <w:rPr>
          <w:rFonts w:ascii="Arial" w:eastAsia="Calibri" w:hAnsi="Arial" w:cs="Arial"/>
          <w:sz w:val="24"/>
          <w:szCs w:val="24"/>
          <w:lang w:val="en-US"/>
        </w:rPr>
        <w:tab/>
      </w:r>
      <w:r w:rsidR="006F6E55">
        <w:rPr>
          <w:rFonts w:ascii="Arial" w:hAnsi="Arial" w:cs="Arial"/>
          <w:sz w:val="24"/>
          <w:szCs w:val="24"/>
        </w:rPr>
        <w:t>Adv.</w:t>
      </w:r>
      <w:r w:rsidR="0027418A">
        <w:rPr>
          <w:rFonts w:ascii="Arial" w:hAnsi="Arial" w:cs="Arial"/>
          <w:sz w:val="24"/>
          <w:szCs w:val="24"/>
        </w:rPr>
        <w:t xml:space="preserve"> Dicks</w:t>
      </w:r>
      <w:r w:rsidRPr="0029309A">
        <w:rPr>
          <w:rFonts w:ascii="Arial" w:hAnsi="Arial" w:cs="Arial"/>
          <w:sz w:val="24"/>
          <w:szCs w:val="24"/>
        </w:rPr>
        <w:t xml:space="preserve"> </w:t>
      </w:r>
    </w:p>
    <w:p w:rsidR="002364F1" w:rsidRDefault="007733B7" w:rsidP="002364F1">
      <w:pPr>
        <w:spacing w:after="0" w:line="360" w:lineRule="auto"/>
        <w:ind w:left="2880" w:firstLine="720"/>
        <w:rPr>
          <w:rFonts w:ascii="Arial" w:hAnsi="Arial" w:cs="Arial"/>
          <w:sz w:val="24"/>
          <w:szCs w:val="24"/>
        </w:rPr>
      </w:pPr>
      <w:r>
        <w:rPr>
          <w:rFonts w:ascii="Arial" w:hAnsi="Arial" w:cs="Arial"/>
          <w:sz w:val="24"/>
          <w:szCs w:val="24"/>
        </w:rPr>
        <w:t xml:space="preserve">Instructed by </w:t>
      </w:r>
      <w:r w:rsidR="002364F1" w:rsidRPr="0029309A">
        <w:rPr>
          <w:rFonts w:ascii="Arial" w:hAnsi="Arial" w:cs="Arial"/>
          <w:sz w:val="24"/>
          <w:szCs w:val="24"/>
        </w:rPr>
        <w:t>Francois Erasmus &amp;</w:t>
      </w:r>
      <w:r w:rsidR="002364F1">
        <w:t xml:space="preserve"> </w:t>
      </w:r>
      <w:r w:rsidR="002364F1" w:rsidRPr="0029309A">
        <w:rPr>
          <w:rFonts w:ascii="Arial" w:hAnsi="Arial" w:cs="Arial"/>
          <w:sz w:val="24"/>
          <w:szCs w:val="24"/>
        </w:rPr>
        <w:t>Partners</w:t>
      </w:r>
    </w:p>
    <w:p w:rsidR="002364F1" w:rsidRDefault="002364F1" w:rsidP="002364F1">
      <w:pPr>
        <w:spacing w:after="0" w:line="360" w:lineRule="auto"/>
        <w:ind w:left="720" w:hanging="720"/>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2364F1" w:rsidRPr="00E7764F" w:rsidRDefault="002364F1" w:rsidP="002364F1">
      <w:pPr>
        <w:spacing w:after="0" w:line="360" w:lineRule="auto"/>
        <w:ind w:left="720" w:hanging="720"/>
        <w:rPr>
          <w:rFonts w:ascii="Arial" w:eastAsia="Calibri" w:hAnsi="Arial" w:cs="Arial"/>
          <w:sz w:val="24"/>
          <w:szCs w:val="24"/>
          <w:lang w:val="en-US"/>
        </w:rPr>
      </w:pPr>
    </w:p>
    <w:p w:rsidR="002364F1" w:rsidRDefault="002364F1" w:rsidP="002364F1">
      <w:pPr>
        <w:spacing w:after="0" w:line="360" w:lineRule="auto"/>
        <w:ind w:left="720" w:hanging="720"/>
        <w:jc w:val="both"/>
        <w:rPr>
          <w:rFonts w:ascii="Arial" w:hAnsi="Arial" w:cs="Arial"/>
          <w:sz w:val="24"/>
          <w:szCs w:val="24"/>
        </w:rPr>
      </w:pPr>
      <w:r w:rsidRPr="00E7764F">
        <w:rPr>
          <w:rFonts w:ascii="Arial" w:eastAsia="Calibri" w:hAnsi="Arial" w:cs="Arial"/>
          <w:sz w:val="24"/>
          <w:szCs w:val="24"/>
          <w:lang w:val="en-US"/>
        </w:rPr>
        <w:t>DEFENDANT:</w:t>
      </w:r>
      <w:r w:rsidRPr="00E7764F">
        <w:rPr>
          <w:rFonts w:ascii="Arial" w:eastAsia="Calibri" w:hAnsi="Arial" w:cs="Arial"/>
          <w:sz w:val="24"/>
          <w:szCs w:val="24"/>
          <w:lang w:val="en-US"/>
        </w:rPr>
        <w:tab/>
      </w:r>
      <w:r w:rsidRPr="00E7764F">
        <w:rPr>
          <w:rFonts w:ascii="Arial" w:eastAsia="Calibri" w:hAnsi="Arial" w:cs="Arial"/>
          <w:sz w:val="24"/>
          <w:szCs w:val="24"/>
          <w:lang w:val="en-US"/>
        </w:rPr>
        <w:tab/>
      </w:r>
      <w:r w:rsidRPr="00E7764F">
        <w:rPr>
          <w:rFonts w:ascii="Arial" w:eastAsia="Calibri" w:hAnsi="Arial" w:cs="Arial"/>
          <w:sz w:val="24"/>
          <w:szCs w:val="24"/>
          <w:lang w:val="en-US"/>
        </w:rPr>
        <w:tab/>
      </w:r>
      <w:r w:rsidR="007733B7">
        <w:rPr>
          <w:rFonts w:ascii="Arial" w:hAnsi="Arial" w:cs="Arial"/>
          <w:sz w:val="24"/>
          <w:szCs w:val="24"/>
        </w:rPr>
        <w:t>Mr Awaseb</w:t>
      </w:r>
      <w:r w:rsidRPr="00DC074C">
        <w:rPr>
          <w:rFonts w:ascii="Arial" w:hAnsi="Arial" w:cs="Arial"/>
          <w:sz w:val="24"/>
          <w:szCs w:val="24"/>
        </w:rPr>
        <w:t xml:space="preserve"> </w:t>
      </w:r>
    </w:p>
    <w:p w:rsidR="002364F1" w:rsidRPr="00E7764F" w:rsidRDefault="00101962" w:rsidP="002364F1">
      <w:pPr>
        <w:spacing w:after="0" w:line="360" w:lineRule="auto"/>
        <w:ind w:left="2880" w:firstLine="720"/>
        <w:jc w:val="both"/>
        <w:rPr>
          <w:rFonts w:ascii="Arial" w:eastAsia="Calibri" w:hAnsi="Arial" w:cs="Arial"/>
          <w:sz w:val="24"/>
          <w:szCs w:val="24"/>
          <w:lang w:val="en-US"/>
        </w:rPr>
      </w:pPr>
      <w:r>
        <w:rPr>
          <w:rFonts w:ascii="Arial" w:hAnsi="Arial" w:cs="Arial"/>
          <w:sz w:val="24"/>
          <w:szCs w:val="24"/>
        </w:rPr>
        <w:t xml:space="preserve">Of </w:t>
      </w:r>
      <w:r w:rsidR="00D32987">
        <w:rPr>
          <w:rFonts w:ascii="Arial" w:hAnsi="Arial" w:cs="Arial"/>
          <w:sz w:val="24"/>
          <w:szCs w:val="24"/>
        </w:rPr>
        <w:t>Awaseb Law Chambers</w:t>
      </w:r>
    </w:p>
    <w:p w:rsidR="002364F1" w:rsidRPr="00E7764F" w:rsidRDefault="002364F1" w:rsidP="002364F1">
      <w:pPr>
        <w:spacing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Windhoek</w:t>
      </w:r>
    </w:p>
    <w:p w:rsidR="00923B3B" w:rsidRDefault="00923B3B"/>
    <w:sectPr w:rsidR="00923B3B" w:rsidSect="004E106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168" w:rsidRDefault="007D5168" w:rsidP="002364F1">
      <w:pPr>
        <w:spacing w:after="0" w:line="240" w:lineRule="auto"/>
      </w:pPr>
      <w:r>
        <w:separator/>
      </w:r>
    </w:p>
  </w:endnote>
  <w:endnote w:type="continuationSeparator" w:id="0">
    <w:p w:rsidR="007D5168" w:rsidRDefault="007D5168" w:rsidP="0023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168" w:rsidRDefault="007D5168" w:rsidP="002364F1">
      <w:pPr>
        <w:spacing w:after="0" w:line="240" w:lineRule="auto"/>
      </w:pPr>
      <w:r>
        <w:separator/>
      </w:r>
    </w:p>
  </w:footnote>
  <w:footnote w:type="continuationSeparator" w:id="0">
    <w:p w:rsidR="007D5168" w:rsidRDefault="007D5168" w:rsidP="002364F1">
      <w:pPr>
        <w:spacing w:after="0" w:line="240" w:lineRule="auto"/>
      </w:pPr>
      <w:r>
        <w:continuationSeparator/>
      </w:r>
    </w:p>
  </w:footnote>
  <w:footnote w:id="1">
    <w:p w:rsidR="004E106C" w:rsidRPr="0028310A" w:rsidRDefault="004E106C">
      <w:pPr>
        <w:pStyle w:val="FootnoteText"/>
        <w:rPr>
          <w:rFonts w:ascii="Arial" w:hAnsi="Arial" w:cs="Arial"/>
          <w:lang w:val="en-US"/>
        </w:rPr>
      </w:pPr>
      <w:r w:rsidRPr="0028310A">
        <w:rPr>
          <w:rStyle w:val="FootnoteReference"/>
          <w:rFonts w:ascii="Arial" w:hAnsi="Arial" w:cs="Arial"/>
        </w:rPr>
        <w:footnoteRef/>
      </w:r>
      <w:r w:rsidRPr="0028310A">
        <w:rPr>
          <w:rFonts w:ascii="Arial" w:hAnsi="Arial" w:cs="Arial"/>
        </w:rPr>
        <w:t xml:space="preserve"> Pages 133 to 125 of the transcribed record.</w:t>
      </w:r>
    </w:p>
  </w:footnote>
  <w:footnote w:id="2">
    <w:p w:rsidR="007F10C1" w:rsidRPr="007F10C1" w:rsidRDefault="007F10C1">
      <w:pPr>
        <w:pStyle w:val="FootnoteText"/>
        <w:rPr>
          <w:rFonts w:ascii="Arial" w:hAnsi="Arial" w:cs="Arial"/>
          <w:lang w:val="en-US"/>
        </w:rPr>
      </w:pPr>
      <w:r w:rsidRPr="007F10C1">
        <w:rPr>
          <w:rStyle w:val="FootnoteReference"/>
          <w:rFonts w:ascii="Arial" w:hAnsi="Arial" w:cs="Arial"/>
        </w:rPr>
        <w:footnoteRef/>
      </w:r>
      <w:r w:rsidRPr="007F10C1">
        <w:rPr>
          <w:rFonts w:ascii="Arial" w:hAnsi="Arial" w:cs="Arial"/>
        </w:rPr>
        <w:t xml:space="preserve"> </w:t>
      </w:r>
      <w:r w:rsidRPr="007F10C1">
        <w:rPr>
          <w:rFonts w:ascii="Arial" w:hAnsi="Arial" w:cs="Arial"/>
          <w:lang w:val="en-US"/>
        </w:rPr>
        <w:t>Pages 124 to 128 of the transcribed record.</w:t>
      </w:r>
    </w:p>
  </w:footnote>
  <w:footnote w:id="3">
    <w:p w:rsidR="004E106C" w:rsidRPr="008D055C" w:rsidRDefault="004E106C">
      <w:pPr>
        <w:pStyle w:val="FootnoteText"/>
        <w:rPr>
          <w:rFonts w:ascii="Arial" w:hAnsi="Arial" w:cs="Arial"/>
          <w:lang w:val="en-US"/>
        </w:rPr>
      </w:pPr>
      <w:r w:rsidRPr="008D055C">
        <w:rPr>
          <w:rStyle w:val="FootnoteReference"/>
          <w:rFonts w:ascii="Arial" w:hAnsi="Arial" w:cs="Arial"/>
        </w:rPr>
        <w:footnoteRef/>
      </w:r>
      <w:r w:rsidRPr="008D055C">
        <w:rPr>
          <w:rFonts w:ascii="Arial" w:hAnsi="Arial" w:cs="Arial"/>
        </w:rPr>
        <w:t xml:space="preserve"> </w:t>
      </w:r>
      <w:r>
        <w:rPr>
          <w:rFonts w:ascii="Arial" w:hAnsi="Arial" w:cs="Arial"/>
        </w:rPr>
        <w:t>Angula v Mavulu (I 2690/2010) [2014] NAHCMD 250 (22 August 2014) para 17.</w:t>
      </w:r>
    </w:p>
  </w:footnote>
  <w:footnote w:id="4">
    <w:p w:rsidR="004E106C" w:rsidRPr="008D055C" w:rsidRDefault="004E106C">
      <w:pPr>
        <w:pStyle w:val="FootnoteText"/>
        <w:rPr>
          <w:rFonts w:ascii="Arial" w:hAnsi="Arial" w:cs="Arial"/>
          <w:lang w:val="en-US"/>
        </w:rPr>
      </w:pPr>
      <w:r w:rsidRPr="008D055C">
        <w:rPr>
          <w:rStyle w:val="FootnoteReference"/>
          <w:rFonts w:ascii="Arial" w:hAnsi="Arial" w:cs="Arial"/>
        </w:rPr>
        <w:footnoteRef/>
      </w:r>
      <w:r w:rsidRPr="008D055C">
        <w:rPr>
          <w:rFonts w:ascii="Arial" w:hAnsi="Arial" w:cs="Arial"/>
        </w:rPr>
        <w:t xml:space="preserve"> </w:t>
      </w:r>
      <w:r w:rsidRPr="008D055C">
        <w:rPr>
          <w:rFonts w:ascii="Arial" w:hAnsi="Arial" w:cs="Arial"/>
          <w:i/>
        </w:rPr>
        <w:t>CP Simth:  Eviction and Rental Claims:</w:t>
      </w:r>
      <w:r>
        <w:rPr>
          <w:rFonts w:ascii="Arial" w:hAnsi="Arial" w:cs="Arial"/>
          <w:i/>
        </w:rPr>
        <w:t xml:space="preserve"> A practical guide, para. 1.2.</w:t>
      </w:r>
    </w:p>
  </w:footnote>
  <w:footnote w:id="5">
    <w:p w:rsidR="004E106C" w:rsidRPr="008D055C" w:rsidRDefault="004E106C">
      <w:pPr>
        <w:pStyle w:val="FootnoteText"/>
        <w:rPr>
          <w:rFonts w:ascii="Arial" w:hAnsi="Arial" w:cs="Arial"/>
          <w:lang w:val="en-US"/>
        </w:rPr>
      </w:pPr>
      <w:r w:rsidRPr="008D055C">
        <w:rPr>
          <w:rStyle w:val="FootnoteReference"/>
          <w:rFonts w:ascii="Arial" w:hAnsi="Arial" w:cs="Arial"/>
        </w:rPr>
        <w:footnoteRef/>
      </w:r>
      <w:r w:rsidRPr="008D055C">
        <w:rPr>
          <w:rFonts w:ascii="Arial" w:hAnsi="Arial" w:cs="Arial"/>
        </w:rPr>
        <w:t xml:space="preserve"> </w:t>
      </w:r>
      <w:r w:rsidRPr="008D055C">
        <w:rPr>
          <w:rFonts w:ascii="Arial" w:hAnsi="Arial" w:cs="Arial"/>
          <w:i/>
        </w:rPr>
        <w:t>Chetty v Naidoo 1974 (3) SA 13.</w:t>
      </w:r>
    </w:p>
  </w:footnote>
  <w:footnote w:id="6">
    <w:p w:rsidR="004E106C" w:rsidRPr="008D055C" w:rsidRDefault="004E106C">
      <w:pPr>
        <w:pStyle w:val="FootnoteText"/>
        <w:rPr>
          <w:rFonts w:ascii="Arial" w:hAnsi="Arial" w:cs="Arial"/>
          <w:lang w:val="en-US"/>
        </w:rPr>
      </w:pPr>
      <w:r w:rsidRPr="008D055C">
        <w:rPr>
          <w:rStyle w:val="FootnoteReference"/>
          <w:rFonts w:ascii="Arial" w:hAnsi="Arial" w:cs="Arial"/>
        </w:rPr>
        <w:footnoteRef/>
      </w:r>
      <w:r w:rsidRPr="008D055C">
        <w:rPr>
          <w:rFonts w:ascii="Arial" w:hAnsi="Arial" w:cs="Arial"/>
        </w:rPr>
        <w:t xml:space="preserve"> </w:t>
      </w:r>
      <w:r w:rsidRPr="00730D03">
        <w:rPr>
          <w:rFonts w:ascii="Arial" w:hAnsi="Arial" w:cs="Arial"/>
          <w:i/>
        </w:rPr>
        <w:t xml:space="preserve">CP </w:t>
      </w:r>
      <w:r w:rsidR="00805627" w:rsidRPr="00730D03">
        <w:rPr>
          <w:rFonts w:ascii="Arial" w:hAnsi="Arial" w:cs="Arial"/>
          <w:i/>
        </w:rPr>
        <w:t>Smith</w:t>
      </w:r>
      <w:r w:rsidRPr="00730D03">
        <w:rPr>
          <w:rFonts w:ascii="Arial" w:hAnsi="Arial" w:cs="Arial"/>
          <w:i/>
        </w:rPr>
        <w:t>, Op Cit, para 1.3.</w:t>
      </w:r>
    </w:p>
  </w:footnote>
  <w:footnote w:id="7">
    <w:p w:rsidR="004E106C" w:rsidRPr="00E97676" w:rsidRDefault="004E106C">
      <w:pPr>
        <w:pStyle w:val="FootnoteText"/>
        <w:rPr>
          <w:rFonts w:ascii="Arial" w:hAnsi="Arial" w:cs="Arial"/>
          <w:lang w:val="en-US"/>
        </w:rPr>
      </w:pPr>
      <w:r>
        <w:rPr>
          <w:rStyle w:val="FootnoteReference"/>
        </w:rPr>
        <w:footnoteRef/>
      </w:r>
      <w:r>
        <w:t xml:space="preserve"> </w:t>
      </w:r>
      <w:r>
        <w:rPr>
          <w:rFonts w:ascii="Arial" w:hAnsi="Arial" w:cs="Arial"/>
        </w:rPr>
        <w:t xml:space="preserve">In terms of </w:t>
      </w:r>
      <w:r>
        <w:rPr>
          <w:rFonts w:ascii="Arial" w:hAnsi="Arial" w:cs="Arial"/>
          <w:i/>
        </w:rPr>
        <w:t>rule 26 (10)</w:t>
      </w:r>
      <w:r>
        <w:rPr>
          <w:rFonts w:ascii="Arial" w:hAnsi="Arial" w:cs="Arial"/>
        </w:rPr>
        <w:t>, issues and disputes not set out in the pre-trial order will not be available to the parties, except with leave of the managing judge or court granted on good cause shown.</w:t>
      </w:r>
    </w:p>
  </w:footnote>
  <w:footnote w:id="8">
    <w:p w:rsidR="00E07FE6" w:rsidRPr="00E07FE6" w:rsidRDefault="00E07FE6">
      <w:pPr>
        <w:pStyle w:val="FootnoteText"/>
        <w:rPr>
          <w:rFonts w:ascii="Arial" w:hAnsi="Arial" w:cs="Arial"/>
          <w:lang w:val="en-US"/>
        </w:rPr>
      </w:pPr>
      <w:r w:rsidRPr="00E07FE6">
        <w:rPr>
          <w:rStyle w:val="FootnoteReference"/>
          <w:rFonts w:ascii="Arial" w:hAnsi="Arial" w:cs="Arial"/>
        </w:rPr>
        <w:footnoteRef/>
      </w:r>
      <w:r w:rsidRPr="00E07FE6">
        <w:rPr>
          <w:rFonts w:ascii="Arial" w:hAnsi="Arial" w:cs="Arial"/>
        </w:rPr>
        <w:t xml:space="preserve"> </w:t>
      </w:r>
      <w:r w:rsidRPr="00E07FE6">
        <w:rPr>
          <w:rFonts w:ascii="Arial" w:hAnsi="Arial" w:cs="Arial"/>
          <w:lang w:val="en-US"/>
        </w:rPr>
        <w:t>Mini</w:t>
      </w:r>
      <w:r w:rsidR="000A53A8">
        <w:rPr>
          <w:rFonts w:ascii="Arial" w:hAnsi="Arial" w:cs="Arial"/>
          <w:lang w:val="en-US"/>
        </w:rPr>
        <w:t>ster of Safety and Security v Sl</w:t>
      </w:r>
      <w:r w:rsidRPr="00E07FE6">
        <w:rPr>
          <w:rFonts w:ascii="Arial" w:hAnsi="Arial" w:cs="Arial"/>
          <w:lang w:val="en-US"/>
        </w:rPr>
        <w:t xml:space="preserve">abbert 2010 2 </w:t>
      </w:r>
      <w:r w:rsidR="000A53A8">
        <w:rPr>
          <w:rFonts w:ascii="Arial" w:hAnsi="Arial" w:cs="Arial"/>
          <w:lang w:val="en-US"/>
        </w:rPr>
        <w:t>A</w:t>
      </w:r>
      <w:r w:rsidRPr="00E07FE6">
        <w:rPr>
          <w:rFonts w:ascii="Arial" w:hAnsi="Arial" w:cs="Arial"/>
          <w:lang w:val="en-US"/>
        </w:rPr>
        <w:t>ll SA 474 SCA.</w:t>
      </w:r>
    </w:p>
  </w:footnote>
  <w:footnote w:id="9">
    <w:p w:rsidR="004E106C" w:rsidRPr="004E106C" w:rsidRDefault="004E106C">
      <w:pPr>
        <w:pStyle w:val="FootnoteText"/>
        <w:rPr>
          <w:rFonts w:ascii="Arial" w:hAnsi="Arial" w:cs="Arial"/>
          <w:i/>
          <w:lang w:val="en-US"/>
        </w:rPr>
      </w:pPr>
      <w:r w:rsidRPr="004E106C">
        <w:rPr>
          <w:rStyle w:val="FootnoteReference"/>
          <w:rFonts w:ascii="Arial" w:hAnsi="Arial" w:cs="Arial"/>
          <w:i/>
        </w:rPr>
        <w:footnoteRef/>
      </w:r>
      <w:r w:rsidRPr="004E106C">
        <w:rPr>
          <w:rFonts w:ascii="Arial" w:hAnsi="Arial" w:cs="Arial"/>
          <w:i/>
        </w:rPr>
        <w:t xml:space="preserve"> </w:t>
      </w:r>
      <w:r w:rsidR="005858F3">
        <w:rPr>
          <w:rFonts w:ascii="Arial" w:hAnsi="Arial" w:cs="Arial"/>
          <w:i/>
          <w:lang w:val="en-US"/>
        </w:rPr>
        <w:t>Petrus T</w:t>
      </w:r>
      <w:r w:rsidR="00DA6C98">
        <w:rPr>
          <w:rFonts w:ascii="Arial" w:hAnsi="Arial" w:cs="Arial"/>
          <w:i/>
          <w:lang w:val="en-US"/>
        </w:rPr>
        <w:t>.</w:t>
      </w:r>
      <w:r w:rsidRPr="004E106C">
        <w:rPr>
          <w:rFonts w:ascii="Arial" w:hAnsi="Arial" w:cs="Arial"/>
          <w:i/>
          <w:lang w:val="en-US"/>
        </w:rPr>
        <w:t xml:space="preserve"> Damaseb:  Court-Managed Civil Procedure of the</w:t>
      </w:r>
      <w:r w:rsidR="00147D03">
        <w:rPr>
          <w:rFonts w:ascii="Arial" w:hAnsi="Arial" w:cs="Arial"/>
          <w:i/>
          <w:lang w:val="en-US"/>
        </w:rPr>
        <w:t xml:space="preserve"> High Court of Namibia, p</w:t>
      </w:r>
      <w:r w:rsidRPr="004E106C">
        <w:rPr>
          <w:rFonts w:ascii="Arial" w:hAnsi="Arial" w:cs="Arial"/>
          <w:i/>
          <w:lang w:val="en-US"/>
        </w:rPr>
        <w:t>244 para 9-127.</w:t>
      </w:r>
    </w:p>
  </w:footnote>
  <w:footnote w:id="10">
    <w:p w:rsidR="00370111" w:rsidRPr="00370111" w:rsidRDefault="00370111">
      <w:pPr>
        <w:pStyle w:val="FootnoteText"/>
        <w:rPr>
          <w:rFonts w:ascii="Arial" w:hAnsi="Arial" w:cs="Arial"/>
          <w:i/>
          <w:lang w:val="en-US"/>
        </w:rPr>
      </w:pPr>
      <w:r w:rsidRPr="00370111">
        <w:rPr>
          <w:rStyle w:val="FootnoteReference"/>
          <w:rFonts w:ascii="Arial" w:hAnsi="Arial" w:cs="Arial"/>
          <w:i/>
        </w:rPr>
        <w:footnoteRef/>
      </w:r>
      <w:r w:rsidR="005858F3">
        <w:rPr>
          <w:rFonts w:ascii="Arial" w:hAnsi="Arial" w:cs="Arial"/>
          <w:i/>
        </w:rPr>
        <w:t xml:space="preserve"> Op Cit p</w:t>
      </w:r>
      <w:r w:rsidRPr="00370111">
        <w:rPr>
          <w:rFonts w:ascii="Arial" w:hAnsi="Arial" w:cs="Arial"/>
          <w:i/>
        </w:rPr>
        <w:t>.245, para</w:t>
      </w:r>
      <w:r w:rsidR="00BF1540">
        <w:rPr>
          <w:rFonts w:ascii="Arial" w:hAnsi="Arial" w:cs="Arial"/>
          <w:i/>
        </w:rPr>
        <w:t xml:space="preserve"> </w:t>
      </w:r>
      <w:r w:rsidR="005858F3">
        <w:rPr>
          <w:rFonts w:ascii="Arial" w:hAnsi="Arial" w:cs="Arial"/>
          <w:i/>
        </w:rPr>
        <w:t>9 -</w:t>
      </w:r>
      <w:r w:rsidRPr="00370111">
        <w:rPr>
          <w:rFonts w:ascii="Arial" w:hAnsi="Arial" w:cs="Arial"/>
          <w:i/>
        </w:rPr>
        <w:t xml:space="preserve"> 128 (footnotes omitted).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330910"/>
      <w:docPartObj>
        <w:docPartGallery w:val="Page Numbers (Top of Page)"/>
        <w:docPartUnique/>
      </w:docPartObj>
    </w:sdtPr>
    <w:sdtEndPr>
      <w:rPr>
        <w:noProof/>
      </w:rPr>
    </w:sdtEndPr>
    <w:sdtContent>
      <w:p w:rsidR="0096779D" w:rsidRDefault="0096779D">
        <w:pPr>
          <w:pStyle w:val="Header"/>
          <w:jc w:val="right"/>
        </w:pPr>
        <w:r>
          <w:fldChar w:fldCharType="begin"/>
        </w:r>
        <w:r>
          <w:instrText xml:space="preserve"> PAGE   \* MERGEFORMAT </w:instrText>
        </w:r>
        <w:r>
          <w:fldChar w:fldCharType="separate"/>
        </w:r>
        <w:r w:rsidR="00577963">
          <w:rPr>
            <w:noProof/>
          </w:rPr>
          <w:t>3</w:t>
        </w:r>
        <w:r>
          <w:rPr>
            <w:noProof/>
          </w:rPr>
          <w:fldChar w:fldCharType="end"/>
        </w:r>
      </w:p>
    </w:sdtContent>
  </w:sdt>
  <w:p w:rsidR="004E106C" w:rsidRDefault="004E1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F1"/>
    <w:rsid w:val="00003D4E"/>
    <w:rsid w:val="00062062"/>
    <w:rsid w:val="00080349"/>
    <w:rsid w:val="000A53A8"/>
    <w:rsid w:val="000B6D46"/>
    <w:rsid w:val="000C2A72"/>
    <w:rsid w:val="000F5967"/>
    <w:rsid w:val="00101962"/>
    <w:rsid w:val="001038DE"/>
    <w:rsid w:val="00147D03"/>
    <w:rsid w:val="0015199D"/>
    <w:rsid w:val="00154E5B"/>
    <w:rsid w:val="00156929"/>
    <w:rsid w:val="001B13C0"/>
    <w:rsid w:val="001F48A4"/>
    <w:rsid w:val="00215028"/>
    <w:rsid w:val="002351D5"/>
    <w:rsid w:val="002364F1"/>
    <w:rsid w:val="002412B0"/>
    <w:rsid w:val="00242AFB"/>
    <w:rsid w:val="00262BD7"/>
    <w:rsid w:val="0027418A"/>
    <w:rsid w:val="0028310A"/>
    <w:rsid w:val="00285B21"/>
    <w:rsid w:val="002E1C29"/>
    <w:rsid w:val="002E34A1"/>
    <w:rsid w:val="002E4009"/>
    <w:rsid w:val="00304926"/>
    <w:rsid w:val="00315FB4"/>
    <w:rsid w:val="00370111"/>
    <w:rsid w:val="00393969"/>
    <w:rsid w:val="003E0389"/>
    <w:rsid w:val="00403980"/>
    <w:rsid w:val="00413CB4"/>
    <w:rsid w:val="004276A1"/>
    <w:rsid w:val="00446C6B"/>
    <w:rsid w:val="0048616C"/>
    <w:rsid w:val="004B2662"/>
    <w:rsid w:val="004B4FA9"/>
    <w:rsid w:val="004E106C"/>
    <w:rsid w:val="00577963"/>
    <w:rsid w:val="00580AE5"/>
    <w:rsid w:val="005858F3"/>
    <w:rsid w:val="005A4618"/>
    <w:rsid w:val="005D1FD6"/>
    <w:rsid w:val="00605CAC"/>
    <w:rsid w:val="00631AA7"/>
    <w:rsid w:val="006801EC"/>
    <w:rsid w:val="006C165B"/>
    <w:rsid w:val="006F47F4"/>
    <w:rsid w:val="006F6E55"/>
    <w:rsid w:val="00712425"/>
    <w:rsid w:val="007167B6"/>
    <w:rsid w:val="00730D03"/>
    <w:rsid w:val="007427FC"/>
    <w:rsid w:val="007524FF"/>
    <w:rsid w:val="007733B7"/>
    <w:rsid w:val="00790C87"/>
    <w:rsid w:val="007D5168"/>
    <w:rsid w:val="007F10C1"/>
    <w:rsid w:val="007F4924"/>
    <w:rsid w:val="00805627"/>
    <w:rsid w:val="00826BF1"/>
    <w:rsid w:val="008D055C"/>
    <w:rsid w:val="008D3F78"/>
    <w:rsid w:val="00914299"/>
    <w:rsid w:val="00923B3B"/>
    <w:rsid w:val="0096779D"/>
    <w:rsid w:val="00986276"/>
    <w:rsid w:val="009B7532"/>
    <w:rsid w:val="009F6F47"/>
    <w:rsid w:val="00A052A7"/>
    <w:rsid w:val="00AA37B3"/>
    <w:rsid w:val="00AB2A58"/>
    <w:rsid w:val="00AD13F8"/>
    <w:rsid w:val="00B50C23"/>
    <w:rsid w:val="00B55303"/>
    <w:rsid w:val="00B63FDB"/>
    <w:rsid w:val="00B65383"/>
    <w:rsid w:val="00BD422F"/>
    <w:rsid w:val="00BF1540"/>
    <w:rsid w:val="00C366D6"/>
    <w:rsid w:val="00C57F83"/>
    <w:rsid w:val="00C925AF"/>
    <w:rsid w:val="00CB3D91"/>
    <w:rsid w:val="00CE567C"/>
    <w:rsid w:val="00D1644F"/>
    <w:rsid w:val="00D32987"/>
    <w:rsid w:val="00DA6C98"/>
    <w:rsid w:val="00DD5783"/>
    <w:rsid w:val="00E07FE6"/>
    <w:rsid w:val="00E948B6"/>
    <w:rsid w:val="00E97676"/>
    <w:rsid w:val="00EF293E"/>
    <w:rsid w:val="00F415B9"/>
    <w:rsid w:val="00F423F0"/>
    <w:rsid w:val="00FE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16D8A-235B-4546-BC3C-BB3D8870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6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4F1"/>
    <w:rPr>
      <w:sz w:val="20"/>
      <w:szCs w:val="20"/>
      <w:lang w:val="en-GB"/>
    </w:rPr>
  </w:style>
  <w:style w:type="character" w:styleId="FootnoteReference">
    <w:name w:val="footnote reference"/>
    <w:basedOn w:val="DefaultParagraphFont"/>
    <w:uiPriority w:val="99"/>
    <w:semiHidden/>
    <w:unhideWhenUsed/>
    <w:rsid w:val="002364F1"/>
    <w:rPr>
      <w:vertAlign w:val="superscript"/>
    </w:rPr>
  </w:style>
  <w:style w:type="paragraph" w:styleId="Header">
    <w:name w:val="header"/>
    <w:basedOn w:val="Normal"/>
    <w:link w:val="HeaderChar"/>
    <w:uiPriority w:val="99"/>
    <w:unhideWhenUsed/>
    <w:rsid w:val="00236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4F1"/>
    <w:rPr>
      <w:lang w:val="en-GB"/>
    </w:rPr>
  </w:style>
  <w:style w:type="paragraph" w:styleId="BalloonText">
    <w:name w:val="Balloon Text"/>
    <w:basedOn w:val="Normal"/>
    <w:link w:val="BalloonTextChar"/>
    <w:uiPriority w:val="99"/>
    <w:semiHidden/>
    <w:unhideWhenUsed/>
    <w:rsid w:val="00080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49"/>
    <w:rPr>
      <w:rFonts w:ascii="Segoe UI" w:hAnsi="Segoe UI" w:cs="Segoe UI"/>
      <w:sz w:val="18"/>
      <w:szCs w:val="18"/>
      <w:lang w:val="en-GB"/>
    </w:rPr>
  </w:style>
  <w:style w:type="paragraph" w:styleId="Footer">
    <w:name w:val="footer"/>
    <w:basedOn w:val="Normal"/>
    <w:link w:val="FooterChar"/>
    <w:uiPriority w:val="99"/>
    <w:unhideWhenUsed/>
    <w:rsid w:val="0096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79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2020-09-10T18:30:00+00:00</Judgment_x0020_Date>
    <Year xmlns="c1afb1bd-f2fb-40fd-9abb-aea55b4d7662">2020</Year>
  </documentManagement>
</p:properties>
</file>

<file path=customXml/itemProps1.xml><?xml version="1.0" encoding="utf-8"?>
<ds:datastoreItem xmlns:ds="http://schemas.openxmlformats.org/officeDocument/2006/customXml" ds:itemID="{DFB0AB8D-E41A-4C17-9E74-55AB497CDF8E}"/>
</file>

<file path=customXml/itemProps2.xml><?xml version="1.0" encoding="utf-8"?>
<ds:datastoreItem xmlns:ds="http://schemas.openxmlformats.org/officeDocument/2006/customXml" ds:itemID="{6E5C7C5D-F92E-4096-935B-808411724E86}"/>
</file>

<file path=customXml/itemProps3.xml><?xml version="1.0" encoding="utf-8"?>
<ds:datastoreItem xmlns:ds="http://schemas.openxmlformats.org/officeDocument/2006/customXml" ds:itemID="{2034B9E0-34DA-4C6F-853F-EB19E072F84C}"/>
</file>

<file path=customXml/itemProps4.xml><?xml version="1.0" encoding="utf-8"?>
<ds:datastoreItem xmlns:ds="http://schemas.openxmlformats.org/officeDocument/2006/customXml" ds:itemID="{FCB6B256-8109-4559-8806-E20CC2EC65AF}"/>
</file>

<file path=docProps/app.xml><?xml version="1.0" encoding="utf-8"?>
<Properties xmlns="http://schemas.openxmlformats.org/officeDocument/2006/extended-properties" xmlns:vt="http://schemas.openxmlformats.org/officeDocument/2006/docPropsVTypes">
  <Template>Normal</Template>
  <TotalTime>1</TotalTime>
  <Pages>19</Pages>
  <Words>4605</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Endobo Properties CC v Nambundu (HC-MD-CIV-ACT-CON-2018-03628) [2020] NAHCMD 405 (11 September 2020)</dc:title>
  <dc:subject/>
  <dc:creator>Loide Shilongo</dc:creator>
  <cp:keywords/>
  <dc:description/>
  <cp:lastModifiedBy>Administrator</cp:lastModifiedBy>
  <cp:revision>3</cp:revision>
  <cp:lastPrinted>2020-09-11T06:33:00Z</cp:lastPrinted>
  <dcterms:created xsi:type="dcterms:W3CDTF">2020-09-16T08:03:00Z</dcterms:created>
  <dcterms:modified xsi:type="dcterms:W3CDTF">2020-09-16T08:04:00Z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