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37" w:rsidRPr="00166AB9" w:rsidRDefault="00CD3837" w:rsidP="008A723D">
      <w:pPr>
        <w:spacing w:after="0" w:line="360" w:lineRule="auto"/>
        <w:rPr>
          <w:rFonts w:ascii="Leelawadee" w:eastAsia="Times New Roman" w:hAnsi="Leelawadee" w:cs="Leelawadee"/>
          <w:color w:val="0D0D0D" w:themeColor="text1" w:themeTint="F2"/>
          <w:sz w:val="24"/>
          <w:szCs w:val="24"/>
          <w:lang w:val="en-GB"/>
        </w:rPr>
      </w:pPr>
    </w:p>
    <w:p w:rsidR="00CD3837" w:rsidRPr="00162990" w:rsidRDefault="00CD3837" w:rsidP="00CD3837">
      <w:pPr>
        <w:spacing w:after="0" w:line="36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en-GB"/>
        </w:rPr>
      </w:pPr>
      <w:r w:rsidRPr="00162990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val="en-GB"/>
        </w:rPr>
        <w:t>REPUBLIC OF NAMIBIA</w:t>
      </w:r>
    </w:p>
    <w:p w:rsidR="00CD3837" w:rsidRPr="00162990" w:rsidRDefault="00CD3837" w:rsidP="00CD3837">
      <w:pPr>
        <w:spacing w:after="0" w:line="360" w:lineRule="auto"/>
        <w:jc w:val="center"/>
        <w:rPr>
          <w:rFonts w:ascii="Arial" w:eastAsia="Times New Roman" w:hAnsi="Arial" w:cs="Arial"/>
          <w:color w:val="0D0D0D" w:themeColor="text1" w:themeTint="F2"/>
          <w:lang w:val="en-GB"/>
        </w:rPr>
      </w:pPr>
      <w:r w:rsidRPr="00162990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</w:rPr>
        <w:drawing>
          <wp:inline distT="0" distB="0" distL="0" distR="0" wp14:anchorId="394D8CA6" wp14:editId="6F198582">
            <wp:extent cx="809625" cy="819150"/>
            <wp:effectExtent l="0" t="0" r="9525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37" w:rsidRPr="00162990" w:rsidRDefault="00CD3837" w:rsidP="00CD3837">
      <w:pPr>
        <w:spacing w:after="0" w:line="360" w:lineRule="auto"/>
        <w:jc w:val="center"/>
        <w:rPr>
          <w:rFonts w:ascii="Arial" w:eastAsia="Times New Roman" w:hAnsi="Arial" w:cs="Arial"/>
          <w:color w:val="0D0D0D" w:themeColor="text1" w:themeTint="F2"/>
          <w:lang w:val="en-GB"/>
        </w:rPr>
      </w:pPr>
    </w:p>
    <w:p w:rsidR="00CD3837" w:rsidRPr="00162990" w:rsidRDefault="00CD3837" w:rsidP="00CD3837">
      <w:pPr>
        <w:spacing w:after="0" w:line="360" w:lineRule="auto"/>
        <w:jc w:val="center"/>
        <w:rPr>
          <w:rFonts w:ascii="Arial" w:eastAsia="Times New Roman" w:hAnsi="Arial" w:cs="Arial"/>
          <w:b/>
          <w:color w:val="0D0D0D" w:themeColor="text1" w:themeTint="F2"/>
          <w:lang w:val="en-GB"/>
        </w:rPr>
      </w:pPr>
      <w:r w:rsidRPr="00162990">
        <w:rPr>
          <w:rFonts w:ascii="Arial" w:eastAsia="Times New Roman" w:hAnsi="Arial" w:cs="Arial"/>
          <w:b/>
          <w:color w:val="0D0D0D" w:themeColor="text1" w:themeTint="F2"/>
          <w:lang w:val="en-GB"/>
        </w:rPr>
        <w:t>IN THE HIGH COURT OF NAMIBIA, MAIN DIVISION, WINDHOEK</w:t>
      </w:r>
    </w:p>
    <w:p w:rsidR="00CD3837" w:rsidRPr="00162990" w:rsidRDefault="00CD3837" w:rsidP="00CD3837">
      <w:pPr>
        <w:spacing w:after="0" w:line="360" w:lineRule="auto"/>
        <w:jc w:val="center"/>
        <w:rPr>
          <w:rFonts w:ascii="Arial" w:eastAsia="Times New Roman" w:hAnsi="Arial" w:cs="Arial"/>
          <w:b/>
          <w:color w:val="0D0D0D" w:themeColor="text1" w:themeTint="F2"/>
          <w:lang w:val="en-GB"/>
        </w:rPr>
      </w:pPr>
      <w:r w:rsidRPr="00162990">
        <w:rPr>
          <w:rFonts w:ascii="Arial" w:eastAsia="Times New Roman" w:hAnsi="Arial" w:cs="Arial"/>
          <w:b/>
          <w:color w:val="0D0D0D" w:themeColor="text1" w:themeTint="F2"/>
          <w:lang w:val="en-GB"/>
        </w:rPr>
        <w:t>REVIEW JUDGMENT</w:t>
      </w:r>
    </w:p>
    <w:p w:rsidR="00CD3837" w:rsidRPr="00166AB9" w:rsidRDefault="00CD3837" w:rsidP="00CD3837">
      <w:pPr>
        <w:spacing w:after="0" w:line="36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166AB9" w:rsidRPr="00166AB9" w:rsidTr="00A51615">
        <w:trPr>
          <w:trHeight w:val="744"/>
        </w:trPr>
        <w:tc>
          <w:tcPr>
            <w:tcW w:w="5397" w:type="dxa"/>
            <w:gridSpan w:val="2"/>
          </w:tcPr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Case Title:</w:t>
            </w:r>
          </w:p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</w:pPr>
            <w:r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The State v Heinrich Meintjies</w:t>
            </w:r>
          </w:p>
        </w:tc>
        <w:tc>
          <w:tcPr>
            <w:tcW w:w="4323" w:type="dxa"/>
          </w:tcPr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Case No:</w:t>
            </w:r>
          </w:p>
          <w:p w:rsidR="00CD3837" w:rsidRPr="00410515" w:rsidRDefault="00CD3837" w:rsidP="00686B79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CR</w:t>
            </w:r>
            <w:r w:rsidR="009578A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686B79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73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/2020 </w:t>
            </w:r>
          </w:p>
        </w:tc>
      </w:tr>
      <w:tr w:rsidR="00166AB9" w:rsidRPr="00166AB9" w:rsidTr="00A51615">
        <w:trPr>
          <w:trHeight w:val="844"/>
        </w:trPr>
        <w:tc>
          <w:tcPr>
            <w:tcW w:w="5397" w:type="dxa"/>
            <w:gridSpan w:val="2"/>
          </w:tcPr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High Court MD Review No:</w:t>
            </w:r>
          </w:p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1101/2020</w:t>
            </w:r>
          </w:p>
        </w:tc>
        <w:tc>
          <w:tcPr>
            <w:tcW w:w="4323" w:type="dxa"/>
          </w:tcPr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Division of Court:</w:t>
            </w:r>
          </w:p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Main Division</w:t>
            </w:r>
          </w:p>
        </w:tc>
      </w:tr>
      <w:tr w:rsidR="00166AB9" w:rsidRPr="00166AB9" w:rsidTr="00CD3837">
        <w:trPr>
          <w:trHeight w:val="825"/>
        </w:trPr>
        <w:tc>
          <w:tcPr>
            <w:tcW w:w="5397" w:type="dxa"/>
            <w:gridSpan w:val="2"/>
          </w:tcPr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Heard before:</w:t>
            </w:r>
          </w:p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Judge </w:t>
            </w:r>
            <w:r w:rsidR="004E4952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Salionga </w:t>
            </w:r>
            <w:r w:rsidR="004E4952"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</w:rPr>
              <w:t>et</w:t>
            </w:r>
            <w:r w:rsidR="004E4952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Judge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Claasen</w:t>
            </w:r>
          </w:p>
        </w:tc>
        <w:tc>
          <w:tcPr>
            <w:tcW w:w="4323" w:type="dxa"/>
          </w:tcPr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Delivered on:</w:t>
            </w:r>
          </w:p>
          <w:p w:rsidR="00CD3837" w:rsidRPr="00410515" w:rsidRDefault="00686B79" w:rsidP="00CD383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28</w:t>
            </w:r>
            <w:r w:rsidR="00F76B52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CD383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September 2020</w:t>
            </w:r>
          </w:p>
        </w:tc>
      </w:tr>
      <w:tr w:rsidR="00166AB9" w:rsidRPr="00166AB9" w:rsidTr="00A51615">
        <w:tc>
          <w:tcPr>
            <w:tcW w:w="9720" w:type="dxa"/>
            <w:gridSpan w:val="3"/>
          </w:tcPr>
          <w:p w:rsidR="00F76B52" w:rsidRPr="00410515" w:rsidRDefault="00F76B52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Neutral citation: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S v Meintjies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(CR</w:t>
            </w:r>
            <w:r w:rsidR="009578A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686B79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73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/2020) [2020] NAHCMD</w:t>
            </w:r>
            <w:r w:rsidR="009578A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686B79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444</w:t>
            </w:r>
            <w:r w:rsidR="00162990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(</w:t>
            </w:r>
            <w:r w:rsidR="00410515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28 September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2020)</w:t>
            </w:r>
          </w:p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66AB9" w:rsidRPr="00166AB9" w:rsidTr="00A51615">
        <w:tc>
          <w:tcPr>
            <w:tcW w:w="9720" w:type="dxa"/>
            <w:gridSpan w:val="3"/>
          </w:tcPr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The order:</w:t>
            </w:r>
          </w:p>
          <w:p w:rsidR="009578AC" w:rsidRPr="00410515" w:rsidRDefault="009578AC" w:rsidP="009578AC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9578AC" w:rsidRPr="00410515" w:rsidRDefault="009578AC" w:rsidP="009578AC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convictions in respect of both counts are confirmed.</w:t>
            </w:r>
          </w:p>
          <w:p w:rsidR="009578AC" w:rsidRPr="00410515" w:rsidRDefault="009578AC" w:rsidP="009578AC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sentences are substituted to read as follows:</w:t>
            </w:r>
          </w:p>
          <w:p w:rsidR="009578AC" w:rsidRPr="00410515" w:rsidRDefault="009578AC" w:rsidP="009578AC">
            <w:pPr>
              <w:pStyle w:val="ListParagraph"/>
              <w:spacing w:line="360" w:lineRule="auto"/>
              <w:ind w:left="144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Coun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 1: A fine of N$2000 or 8 months</w:t>
            </w:r>
            <w:r w:rsidR="004F4980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’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imprisonment of which N$ 1000 or 4 months</w:t>
            </w:r>
            <w:r w:rsidR="004F4980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’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imprisonment are suspended </w:t>
            </w:r>
            <w:r w:rsidR="00B10FC4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for 5 years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on the condition that the accused is not convicted for assault by threat committed during the period of suspension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.</w:t>
            </w:r>
          </w:p>
          <w:p w:rsidR="009578AC" w:rsidRPr="00410515" w:rsidRDefault="00DF50F1" w:rsidP="009578AC">
            <w:pPr>
              <w:pStyle w:val="ListParagraph"/>
              <w:spacing w:line="360" w:lineRule="auto"/>
              <w:ind w:left="144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Count 2: </w:t>
            </w:r>
            <w:r w:rsidR="009578A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 fine of N$500</w:t>
            </w:r>
            <w:bookmarkStart w:id="0" w:name="_GoBack"/>
            <w:bookmarkEnd w:id="0"/>
            <w:r w:rsidR="009578A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or 60 days imprisonment.</w:t>
            </w:r>
          </w:p>
          <w:p w:rsidR="00CD3837" w:rsidRPr="00410515" w:rsidRDefault="001F1B92" w:rsidP="009578AC">
            <w:pPr>
              <w:pStyle w:val="ListParagraph"/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       </w:t>
            </w:r>
            <w:r w:rsidR="009578A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sentences are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antedated</w:t>
            </w:r>
            <w:r w:rsidR="009578A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to 22 July 2020.</w:t>
            </w:r>
          </w:p>
        </w:tc>
      </w:tr>
      <w:tr w:rsidR="00166AB9" w:rsidRPr="00166AB9" w:rsidTr="00A51615">
        <w:tc>
          <w:tcPr>
            <w:tcW w:w="9720" w:type="dxa"/>
            <w:gridSpan w:val="3"/>
          </w:tcPr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410515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  <w:lang w:val="en-GB"/>
              </w:rPr>
              <w:t>Reasons for order:</w:t>
            </w:r>
          </w:p>
        </w:tc>
      </w:tr>
      <w:tr w:rsidR="00166AB9" w:rsidRPr="00166AB9" w:rsidTr="00A51615">
        <w:tc>
          <w:tcPr>
            <w:tcW w:w="9720" w:type="dxa"/>
            <w:gridSpan w:val="3"/>
          </w:tcPr>
          <w:p w:rsidR="00F76B52" w:rsidRPr="00410515" w:rsidRDefault="00F76B52" w:rsidP="00CD383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lastRenderedPageBreak/>
              <w:t>Claasen J</w:t>
            </w:r>
            <w:r w:rsidR="00232134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(concurring Salionga J )</w:t>
            </w:r>
          </w:p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CD3837" w:rsidRPr="00410515" w:rsidRDefault="00CD3837" w:rsidP="00CD383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This is a review in terms of section 302(1) of the Criminal Procedu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re Act 51 of 1977 as amended, (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CPA).</w:t>
            </w:r>
          </w:p>
          <w:p w:rsidR="00CD3837" w:rsidRPr="00410515" w:rsidRDefault="00CD3837" w:rsidP="00CD3837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CD3837" w:rsidRPr="00410515" w:rsidRDefault="00CD3837" w:rsidP="00CD3837">
            <w:pPr>
              <w:pStyle w:val="BodyText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accused </w:t>
            </w:r>
            <w:r w:rsidR="00232134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appeared before the Magistrate </w:t>
            </w:r>
            <w:r w:rsidR="00162990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of Keetmanshoop on two counts. </w:t>
            </w:r>
            <w:r w:rsidR="00232134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first charge was that of a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ssault by threat, read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with </w:t>
            </w:r>
            <w:r w:rsidR="004E4952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Combating of Violence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Act 4 of 2003</w:t>
            </w:r>
            <w:r w:rsidR="00162990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. </w:t>
            </w:r>
            <w:r w:rsidR="00232134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He pleaded guilty and after questioning the ma</w:t>
            </w:r>
            <w:r w:rsidR="00422B4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gistrate altered his </w:t>
            </w:r>
            <w:r w:rsidR="00232134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plea in terms of s 113 of the CPA. </w:t>
            </w:r>
            <w:r w:rsidR="00422B4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After evidence was led he was convi</w:t>
            </w:r>
            <w:r w:rsidR="00AE0AC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cted accordingly. The sentence i</w:t>
            </w:r>
            <w:r w:rsidR="00422B4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n 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respect of </w:t>
            </w:r>
            <w:r w:rsidR="00422B4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this count was a </w:t>
            </w:r>
            <w:r w:rsid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fine of N$ 2000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or 24 months imprisonment 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of </w:t>
            </w:r>
            <w:r w:rsid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which N$ 1000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or 12 months imprisonment are suspended on the condition that the accused is not convicted for assault by threat committed during the period of suspension. </w:t>
            </w:r>
            <w:r w:rsidR="00422B4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</w:t>
            </w:r>
            <w:r w:rsidR="00AE0AC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second count was a charge of </w:t>
            </w:r>
            <w:r w:rsidR="00422B4A"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c</w:t>
            </w:r>
            <w:r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 xml:space="preserve">rimen </w:t>
            </w:r>
            <w:r w:rsidR="00422B4A"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in</w:t>
            </w:r>
            <w:r w:rsidR="00162990"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j</w:t>
            </w:r>
            <w:r w:rsidR="00422B4A"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 xml:space="preserve">uria. </w:t>
            </w:r>
            <w:r w:rsidR="00422B4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Before the evidence was led, the accused pleaded guilty to </w:t>
            </w:r>
            <w:r w:rsidR="00AE0AC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count 2 </w:t>
            </w:r>
            <w:r w:rsidR="00422B4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and was convicted in terms 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of s 112(1</w:t>
            </w:r>
            <w:proofErr w:type="gramStart"/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)</w:t>
            </w:r>
            <w:r w:rsidR="00DF50F1"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(</w:t>
            </w:r>
            <w:proofErr w:type="gramEnd"/>
            <w:r w:rsidR="00DF50F1"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a)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of the CPA. The </w:t>
            </w:r>
            <w:r w:rsidR="00422B4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sentence on count 2 was a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fine of N$ </w:t>
            </w:r>
            <w:r w:rsid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500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or 6 months imprisonment.</w:t>
            </w:r>
          </w:p>
          <w:p w:rsidR="00CD3837" w:rsidRPr="00410515" w:rsidRDefault="00CD3837" w:rsidP="00CD3837">
            <w:pPr>
              <w:pStyle w:val="ListParagraph"/>
              <w:spacing w:line="36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CD3837" w:rsidRPr="00410515" w:rsidRDefault="00422B4A" w:rsidP="00CD383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No issues arose in respect of the convictions, bu</w:t>
            </w:r>
            <w:r w:rsidR="008C12E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 the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r</w:t>
            </w:r>
            <w:r w:rsidR="00CD383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eview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ing judge </w:t>
            </w:r>
            <w:r w:rsidR="006553CF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addressed a query regarding the sentence, in particular </w:t>
            </w:r>
            <w:r w:rsidR="00CD383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about the ratio/proportionality of the fine an</w:t>
            </w:r>
            <w:r w:rsidR="00F4699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d the ter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m of imprisonment which was imposed in the alternative. </w:t>
            </w:r>
            <w:r w:rsidR="006553CF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Though the question was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posed in re</w:t>
            </w:r>
            <w:r w:rsidR="00F4699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spect of the sentence on count 2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, </w:t>
            </w:r>
            <w:r w:rsidR="00F4699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magistrate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’s reply</w:t>
            </w:r>
            <w:r w:rsidR="00F4699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predominantly focused on domestic violence, which according to the charge sheet</w:t>
            </w:r>
            <w:r w:rsidR="008C12E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,</w:t>
            </w:r>
            <w:r w:rsidR="00F4699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was only in respect of count 1. </w:t>
            </w:r>
            <w:r w:rsidR="008C12E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4C282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In view of that,</w:t>
            </w:r>
            <w:r w:rsidR="00F4761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i</w:t>
            </w:r>
            <w:r w:rsidR="008C12E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 is accepted that she motivated the sentences in respect of both counts. </w:t>
            </w:r>
            <w:r w:rsidR="00D92746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Evidently, the same issue is notable in respect of the senten</w:t>
            </w:r>
            <w:r w:rsidR="008C12E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ce on count 1 </w:t>
            </w:r>
            <w:r w:rsidR="007F7B0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and thus forms part of the is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sue before the reviewing court.</w:t>
            </w:r>
          </w:p>
          <w:p w:rsidR="00D90618" w:rsidRPr="00410515" w:rsidRDefault="00D90618" w:rsidP="00D90618">
            <w:pPr>
              <w:pStyle w:val="ListParagrap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115AEA" w:rsidRPr="00410515" w:rsidRDefault="00D90618" w:rsidP="00CD383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In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AE0AC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reply to the query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magistrate referred to two murder cases that were committed in a domestic violence 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setting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and which emphasised domestic violence a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s a factor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justifying </w:t>
            </w:r>
            <w:r w:rsidR="00F4761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more robust 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sentences.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reviewing court has no issue with tha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 principle at all</w:t>
            </w:r>
            <w:r w:rsidR="008536EB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.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It is apparent that the </w:t>
            </w:r>
            <w:r w:rsidR="00CD383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magistrate 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missed </w:t>
            </w:r>
            <w:r w:rsidR="004C282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point of the query </w:t>
            </w:r>
            <w:r w:rsidR="004C282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lastRenderedPageBreak/>
              <w:t>w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hich simply was whether the monetary part of the sentence was proportional to the 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period of imprisonment? Thus</w:t>
            </w:r>
            <w:r w:rsidR="004C2828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,</w:t>
            </w:r>
            <w:r w:rsidR="00115AEA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the question was not answered</w:t>
            </w:r>
            <w:r w:rsidR="001F1B92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.</w:t>
            </w:r>
          </w:p>
          <w:p w:rsidR="00115AEA" w:rsidRPr="00410515" w:rsidRDefault="00115AEA" w:rsidP="00115AEA">
            <w:pPr>
              <w:pStyle w:val="ListParagrap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CD3837" w:rsidRPr="00410515" w:rsidRDefault="008536EB" w:rsidP="00410515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</w:t>
            </w:r>
            <w:r w:rsidR="0091006C"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court a quo</w:t>
            </w:r>
            <w:r w:rsidR="0091006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0556DB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gave elaborate reasons for the respective sentence</w:t>
            </w:r>
            <w:r w:rsidR="0091006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s</w:t>
            </w:r>
            <w:r w:rsidR="000556DB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from which it can be gathered that the complainant and </w:t>
            </w:r>
            <w:r w:rsidR="001F1B92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the </w:t>
            </w:r>
            <w:r w:rsidR="000556DB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accused are mother and son respectively, which was a factor in aggravation</w:t>
            </w:r>
            <w:r w:rsidR="00F52F85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.</w:t>
            </w:r>
            <w:r w:rsidR="00EF718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F52F85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However</w:t>
            </w:r>
            <w:r w:rsidR="0091006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,</w:t>
            </w:r>
            <w:r w:rsidR="00F52F85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the </w:t>
            </w:r>
            <w:r w:rsidR="00EF718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court </w:t>
            </w:r>
            <w:r w:rsidR="00F52F85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also e</w:t>
            </w:r>
            <w:r w:rsidR="00EF718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xpress</w:t>
            </w:r>
            <w:r w:rsidR="00F52F85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ed amongst others that the accused was not a danger</w:t>
            </w:r>
            <w:r w:rsid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r w:rsidR="00F52F85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to the community and that a custodial sentence would be inappropriate and gravely shocking. In respect of count 1, the court </w:t>
            </w:r>
            <w:r w:rsidR="00F52F85"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a quo’s</w:t>
            </w:r>
            <w:r w:rsidR="00F52F85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point of departure was a fi</w:t>
            </w:r>
            <w:r w:rsidR="0091006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ne of N$ 2000 </w:t>
            </w:r>
            <w:r w:rsidR="00B10FC4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and a fine of 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N$ 500 </w:t>
            </w:r>
            <w:r w:rsidR="00B10FC4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was imposed 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in respect of count 2.</w:t>
            </w:r>
          </w:p>
          <w:p w:rsidR="00CD3837" w:rsidRPr="00410515" w:rsidRDefault="00CD3837" w:rsidP="00CD3837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CD3837" w:rsidRPr="00410515" w:rsidRDefault="00250DF5" w:rsidP="00CD383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Valuable general guidelines were set out in </w:t>
            </w:r>
            <w:r w:rsidRPr="00410515">
              <w:rPr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t>S v Mynhard; S v Kuinab</w:t>
            </w:r>
            <w:r w:rsidRPr="00410515">
              <w:rPr>
                <w:rStyle w:val="FootnoteReference"/>
                <w:rFonts w:ascii="Arial" w:hAnsi="Arial" w:cs="Arial"/>
                <w:i/>
                <w:color w:val="0D0D0D" w:themeColor="text1" w:themeTint="F2"/>
                <w:sz w:val="24"/>
                <w:szCs w:val="24"/>
                <w:lang w:val="en-GB"/>
              </w:rPr>
              <w:footnoteReference w:id="1"/>
            </w:r>
            <w:r w:rsidR="00162990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at para H as follows:</w:t>
            </w:r>
          </w:p>
          <w:p w:rsidR="00CD3837" w:rsidRPr="00410515" w:rsidRDefault="00CD3837" w:rsidP="00CD3837">
            <w:pPr>
              <w:pStyle w:val="wester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</w:pP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Fines should be used mainly as punishment for lesser offences.</w:t>
            </w:r>
          </w:p>
          <w:p w:rsidR="00CD3837" w:rsidRPr="00410515" w:rsidRDefault="00CD3837" w:rsidP="00CD3837">
            <w:pPr>
              <w:pStyle w:val="wester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</w:pP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The imposition of a fine is an alternative punishment i.e. the purpose of a fine is to punish an accu</w:t>
            </w:r>
            <w:r w:rsidR="00162990"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sed without incarcerating him. </w:t>
            </w: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To impose a fine which an accused can obviously not pay is to impose direct imprisonment in the guise of an alternative term of imprisonment.</w:t>
            </w:r>
          </w:p>
          <w:p w:rsidR="00CD3837" w:rsidRPr="00410515" w:rsidRDefault="00CD3837" w:rsidP="00CD3837">
            <w:pPr>
              <w:pStyle w:val="wester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</w:pP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Although not capable of exact calculation, the alternative of imprisonment much be proportionate to the fine and the gravity of the offence.</w:t>
            </w:r>
          </w:p>
          <w:p w:rsidR="00CD3837" w:rsidRPr="00410515" w:rsidRDefault="00CD3837" w:rsidP="00CD3837">
            <w:pPr>
              <w:pStyle w:val="wester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</w:pP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The presiding officer must obtain the necessary facts before deciding upon a fine. Without the facts he cannot exerc</w:t>
            </w:r>
            <w:r w:rsidR="00162990"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ise his discretion judicially. </w:t>
            </w: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Of vital importance is the ability of the accused to pay a fine. Here, not only the accused’s income is of importance, but also his assets and liabilities and other means of obtaining funds.</w:t>
            </w:r>
          </w:p>
          <w:p w:rsidR="00CD3837" w:rsidRPr="00410515" w:rsidRDefault="00CD3837" w:rsidP="00CD3837">
            <w:pPr>
              <w:pStyle w:val="wester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</w:pP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The amount should usually fall wi</w:t>
            </w:r>
            <w:r w:rsidR="00162990"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thin the means of the accused. </w:t>
            </w: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Exceptions to the rule would be prevalence of a particular offence as well as high fines prescribed in statutes indicating the seriousness of the offence.</w:t>
            </w:r>
          </w:p>
          <w:p w:rsidR="00CD3837" w:rsidRPr="00410515" w:rsidRDefault="00CD3837" w:rsidP="00CD3837">
            <w:pPr>
              <w:pStyle w:val="wester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</w:pP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A dilemma might arise in the situation where a fine would be an appropriate sentence but because of the gravity of the offence or a legislative injunction </w:t>
            </w: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lastRenderedPageBreak/>
              <w:t>the amount of the fine must be set so high that the accused, on the facts before the Court, cannot pay it.</w:t>
            </w:r>
          </w:p>
          <w:p w:rsidR="00CD3837" w:rsidRPr="00410515" w:rsidRDefault="00CD3837" w:rsidP="00CD3837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val="en-US"/>
              </w:rPr>
            </w:pPr>
          </w:p>
          <w:p w:rsidR="004E4952" w:rsidRPr="00410515" w:rsidRDefault="00250DF5" w:rsidP="00CD3837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</w:pP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In </w:t>
            </w:r>
            <w:r w:rsidR="0067574C"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the case at hand, there is no problem in respect of the magistrate’s assessment that fines were appropriate</w:t>
            </w:r>
            <w:r w:rsidR="001F1B92"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. </w:t>
            </w: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The only problem was that the imprisonment terms were </w:t>
            </w:r>
            <w:r w:rsidR="001F1B92"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heavier in relation to the fines. It thus stands to be set aside on account of being</w:t>
            </w:r>
            <w:r w:rsidR="00DF50F1"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 disproportionate to the fines.</w:t>
            </w:r>
          </w:p>
          <w:p w:rsidR="004E4952" w:rsidRPr="00410515" w:rsidRDefault="004E4952" w:rsidP="004E4952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720"/>
              <w:contextualSpacing/>
              <w:jc w:val="both"/>
              <w:rPr>
                <w:rFonts w:ascii="Arial" w:hAnsi="Arial" w:cs="Arial"/>
                <w:color w:val="0D0D0D" w:themeColor="text1" w:themeTint="F2"/>
                <w:lang w:val="en-GB"/>
              </w:rPr>
            </w:pPr>
          </w:p>
          <w:p w:rsidR="001F1B92" w:rsidRPr="00410515" w:rsidRDefault="00CD3837" w:rsidP="001F1B92">
            <w:pPr>
              <w:pStyle w:val="western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  <w:color w:val="0D0D0D" w:themeColor="text1" w:themeTint="F2"/>
                <w:lang w:val="en-GB"/>
              </w:rPr>
            </w:pPr>
            <w:r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>For these reasons,</w:t>
            </w:r>
            <w:r w:rsidR="00DF50F1" w:rsidRPr="00410515">
              <w:rPr>
                <w:rFonts w:ascii="Arial" w:eastAsiaTheme="minorHAnsi" w:hAnsi="Arial" w:cs="Arial"/>
                <w:color w:val="0D0D0D" w:themeColor="text1" w:themeTint="F2"/>
                <w:lang w:val="en-GB"/>
              </w:rPr>
              <w:t xml:space="preserve"> I make the following orders:</w:t>
            </w:r>
          </w:p>
          <w:p w:rsidR="00F12743" w:rsidRPr="00410515" w:rsidRDefault="00F12743" w:rsidP="00F12743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720"/>
              <w:contextualSpacing/>
              <w:jc w:val="both"/>
              <w:rPr>
                <w:rFonts w:ascii="Arial" w:hAnsi="Arial" w:cs="Arial"/>
                <w:color w:val="0D0D0D" w:themeColor="text1" w:themeTint="F2"/>
                <w:lang w:val="en-GB"/>
              </w:rPr>
            </w:pPr>
          </w:p>
          <w:p w:rsidR="00CD3837" w:rsidRPr="00410515" w:rsidRDefault="00CD3837" w:rsidP="001F1B92">
            <w:pPr>
              <w:pStyle w:val="western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rFonts w:ascii="Arial" w:hAnsi="Arial" w:cs="Arial"/>
                <w:color w:val="0D0D0D" w:themeColor="text1" w:themeTint="F2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lang w:val="en-GB"/>
              </w:rPr>
              <w:t>The conviction</w:t>
            </w:r>
            <w:r w:rsidR="0067574C" w:rsidRPr="00410515">
              <w:rPr>
                <w:rFonts w:ascii="Arial" w:hAnsi="Arial" w:cs="Arial"/>
                <w:color w:val="0D0D0D" w:themeColor="text1" w:themeTint="F2"/>
                <w:lang w:val="en-GB"/>
              </w:rPr>
              <w:t>s on both counts are confirmed.</w:t>
            </w:r>
          </w:p>
          <w:p w:rsidR="00F12743" w:rsidRPr="00410515" w:rsidRDefault="00F12743" w:rsidP="00F12743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ind w:left="1080"/>
              <w:contextualSpacing/>
              <w:jc w:val="both"/>
              <w:rPr>
                <w:rFonts w:ascii="Arial" w:hAnsi="Arial" w:cs="Arial"/>
                <w:color w:val="0D0D0D" w:themeColor="text1" w:themeTint="F2"/>
                <w:lang w:val="en-GB"/>
              </w:rPr>
            </w:pPr>
          </w:p>
          <w:p w:rsidR="00CD3837" w:rsidRPr="00410515" w:rsidRDefault="00CD3837" w:rsidP="001F1B92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sentence</w:t>
            </w:r>
            <w:r w:rsidR="0067574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s are </w:t>
            </w: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substituted to read as follows:</w:t>
            </w:r>
          </w:p>
          <w:p w:rsidR="00CD3837" w:rsidRPr="00410515" w:rsidRDefault="00CD3837" w:rsidP="00CD3837">
            <w:pPr>
              <w:pStyle w:val="ListParagraph"/>
              <w:spacing w:line="360" w:lineRule="auto"/>
              <w:ind w:left="144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Coun</w:t>
            </w:r>
            <w:r w:rsidR="00162990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t 1: </w:t>
            </w:r>
            <w:r w:rsid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 fine of N$2000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or </w:t>
            </w:r>
            <w:r w:rsidR="0067574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8 months</w:t>
            </w:r>
            <w:r w:rsidR="00A70253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’</w:t>
            </w:r>
            <w:r w:rsidR="0067574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imprisonment of 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which N$</w:t>
            </w:r>
            <w:r w:rsidR="0067574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1000</w:t>
            </w:r>
            <w:r w:rsidR="009578A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or 4</w:t>
            </w:r>
            <w:r w:rsidR="0067574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months</w:t>
            </w:r>
            <w:r w:rsidR="00A70253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’</w:t>
            </w:r>
            <w:r w:rsidR="0067574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imprisonment are suspended </w:t>
            </w:r>
            <w:r w:rsidR="00B10FC4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for 5 years </w:t>
            </w:r>
            <w:r w:rsid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on</w:t>
            </w:r>
            <w:r w:rsidR="0067574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condition that the accused is not convicted for assault by threat committed during the period of suspension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.</w:t>
            </w:r>
          </w:p>
          <w:p w:rsidR="00F12743" w:rsidRPr="00410515" w:rsidRDefault="00F12743" w:rsidP="00CD3837">
            <w:pPr>
              <w:pStyle w:val="ListParagraph"/>
              <w:spacing w:line="360" w:lineRule="auto"/>
              <w:ind w:left="144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CD3837" w:rsidRPr="00410515" w:rsidRDefault="00162990" w:rsidP="00CD3837">
            <w:pPr>
              <w:pStyle w:val="ListParagraph"/>
              <w:spacing w:line="360" w:lineRule="auto"/>
              <w:ind w:left="144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Count 2: </w:t>
            </w:r>
            <w:r w:rsid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A fine of N$500</w:t>
            </w:r>
            <w:r w:rsidR="00CD383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or </w:t>
            </w:r>
            <w:r w:rsidR="0067574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60 days </w:t>
            </w:r>
            <w:r w:rsidR="00CD383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imprisonment.</w:t>
            </w:r>
          </w:p>
          <w:p w:rsidR="00F12743" w:rsidRPr="00410515" w:rsidRDefault="00F12743" w:rsidP="00CD3837">
            <w:pPr>
              <w:pStyle w:val="ListParagraph"/>
              <w:spacing w:line="360" w:lineRule="auto"/>
              <w:ind w:left="144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</w:pPr>
          </w:p>
          <w:p w:rsidR="00CD3837" w:rsidRPr="00410515" w:rsidRDefault="00162990" w:rsidP="00162990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             </w:t>
            </w:r>
            <w:r w:rsidR="00CD3837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The sentence</w:t>
            </w:r>
            <w:r w:rsidR="0067574C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s are </w:t>
            </w:r>
            <w:r w:rsidR="00DF50F1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 xml:space="preserve">antedated </w:t>
            </w:r>
            <w:r w:rsidR="00E77A3E"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GB"/>
              </w:rPr>
              <w:t>to 22 July 2020.</w:t>
            </w:r>
          </w:p>
          <w:p w:rsidR="00215BAF" w:rsidRPr="00410515" w:rsidRDefault="00215BAF" w:rsidP="00215BAF">
            <w:pPr>
              <w:pStyle w:val="ListParagraph"/>
              <w:spacing w:line="360" w:lineRule="auto"/>
              <w:ind w:left="1080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166AB9" w:rsidRPr="00166AB9" w:rsidTr="00A51615">
        <w:tc>
          <w:tcPr>
            <w:tcW w:w="4770" w:type="dxa"/>
          </w:tcPr>
          <w:p w:rsidR="00CD3837" w:rsidRPr="00410515" w:rsidRDefault="00CD3837" w:rsidP="00CD383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215BAF" w:rsidRPr="00410515" w:rsidRDefault="00215BAF" w:rsidP="00CD383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gridSpan w:val="2"/>
          </w:tcPr>
          <w:p w:rsidR="00CD3837" w:rsidRPr="00410515" w:rsidRDefault="00CD3837" w:rsidP="00CD383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CD3837" w:rsidRPr="00410515" w:rsidRDefault="00CD3837" w:rsidP="00CD3837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166AB9" w:rsidRPr="00166AB9" w:rsidTr="00A51615">
        <w:trPr>
          <w:trHeight w:val="827"/>
        </w:trPr>
        <w:tc>
          <w:tcPr>
            <w:tcW w:w="4770" w:type="dxa"/>
          </w:tcPr>
          <w:p w:rsidR="00CD3837" w:rsidRPr="00410515" w:rsidRDefault="00CD3837" w:rsidP="00CD383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  <w:t>C CLAASEN</w:t>
            </w:r>
          </w:p>
          <w:p w:rsidR="00CD3837" w:rsidRPr="00410515" w:rsidRDefault="00CD3837" w:rsidP="00CD383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  <w:t>JUDGE</w:t>
            </w:r>
          </w:p>
        </w:tc>
        <w:tc>
          <w:tcPr>
            <w:tcW w:w="4950" w:type="dxa"/>
            <w:gridSpan w:val="2"/>
          </w:tcPr>
          <w:p w:rsidR="00CD3837" w:rsidRPr="00410515" w:rsidRDefault="00162990" w:rsidP="00CD383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  <w:t>J SALIONGA</w:t>
            </w:r>
          </w:p>
          <w:p w:rsidR="00CD3837" w:rsidRPr="00410515" w:rsidRDefault="00CD3837" w:rsidP="00CD3837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410515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en-US"/>
              </w:rPr>
              <w:t>JUDGE</w:t>
            </w:r>
          </w:p>
        </w:tc>
      </w:tr>
    </w:tbl>
    <w:p w:rsidR="00CD3837" w:rsidRPr="00166AB9" w:rsidRDefault="00CD3837" w:rsidP="00CD3837">
      <w:pPr>
        <w:spacing w:after="0" w:line="360" w:lineRule="auto"/>
        <w:rPr>
          <w:rFonts w:ascii="Arial Narrow" w:hAnsi="Arial Narrow" w:cs="Arial"/>
          <w:color w:val="0D0D0D" w:themeColor="text1" w:themeTint="F2"/>
          <w:sz w:val="24"/>
          <w:szCs w:val="24"/>
        </w:rPr>
      </w:pPr>
    </w:p>
    <w:sectPr w:rsidR="00CD3837" w:rsidRPr="0016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2F" w:rsidRDefault="00074E2F" w:rsidP="00436FB0">
      <w:pPr>
        <w:spacing w:after="0" w:line="240" w:lineRule="auto"/>
      </w:pPr>
      <w:r>
        <w:separator/>
      </w:r>
    </w:p>
  </w:endnote>
  <w:endnote w:type="continuationSeparator" w:id="0">
    <w:p w:rsidR="00074E2F" w:rsidRDefault="00074E2F" w:rsidP="0043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2F" w:rsidRDefault="00074E2F" w:rsidP="00436FB0">
      <w:pPr>
        <w:spacing w:after="0" w:line="240" w:lineRule="auto"/>
      </w:pPr>
      <w:r>
        <w:separator/>
      </w:r>
    </w:p>
  </w:footnote>
  <w:footnote w:type="continuationSeparator" w:id="0">
    <w:p w:rsidR="00074E2F" w:rsidRDefault="00074E2F" w:rsidP="00436FB0">
      <w:pPr>
        <w:spacing w:after="0" w:line="240" w:lineRule="auto"/>
      </w:pPr>
      <w:r>
        <w:continuationSeparator/>
      </w:r>
    </w:p>
  </w:footnote>
  <w:footnote w:id="1">
    <w:p w:rsidR="00250DF5" w:rsidRPr="00250DF5" w:rsidRDefault="00250DF5">
      <w:pPr>
        <w:pStyle w:val="FootnoteText"/>
        <w:rPr>
          <w:rFonts w:ascii="Arial Narrow" w:hAnsi="Arial Narrow"/>
        </w:rPr>
      </w:pPr>
      <w:r w:rsidRPr="00250DF5">
        <w:rPr>
          <w:rStyle w:val="FootnoteReference"/>
          <w:rFonts w:ascii="Arial Narrow" w:hAnsi="Arial Narrow"/>
        </w:rPr>
        <w:footnoteRef/>
      </w:r>
      <w:r>
        <w:rPr>
          <w:rFonts w:ascii="Arial Narrow" w:hAnsi="Arial Narrow" w:cs="Arial"/>
          <w:iCs/>
          <w:color w:val="404040" w:themeColor="text1" w:themeTint="BF"/>
          <w:lang w:val="en-ZW"/>
        </w:rPr>
        <w:t xml:space="preserve"> </w:t>
      </w:r>
      <w:r w:rsidRPr="00250DF5">
        <w:rPr>
          <w:rFonts w:ascii="Arial Narrow" w:hAnsi="Arial Narrow" w:cs="Arial"/>
          <w:iCs/>
          <w:color w:val="404040" w:themeColor="text1" w:themeTint="BF"/>
          <w:lang w:val="en-ZW"/>
        </w:rPr>
        <w:t>1991 NR 336 (HC).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5AE"/>
    <w:multiLevelType w:val="hybridMultilevel"/>
    <w:tmpl w:val="9648E84C"/>
    <w:lvl w:ilvl="0" w:tplc="53160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3362E"/>
    <w:multiLevelType w:val="hybridMultilevel"/>
    <w:tmpl w:val="1C8EBABA"/>
    <w:lvl w:ilvl="0" w:tplc="37D4379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81977"/>
    <w:multiLevelType w:val="hybridMultilevel"/>
    <w:tmpl w:val="DB98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7C0"/>
    <w:multiLevelType w:val="hybridMultilevel"/>
    <w:tmpl w:val="03E846D8"/>
    <w:lvl w:ilvl="0" w:tplc="C28059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F6CF5"/>
    <w:multiLevelType w:val="hybridMultilevel"/>
    <w:tmpl w:val="672C9092"/>
    <w:lvl w:ilvl="0" w:tplc="8284A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A59DB"/>
    <w:multiLevelType w:val="hybridMultilevel"/>
    <w:tmpl w:val="AFE8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03302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84E21"/>
    <w:multiLevelType w:val="hybridMultilevel"/>
    <w:tmpl w:val="99885D94"/>
    <w:lvl w:ilvl="0" w:tplc="B0A2C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A1BC2"/>
    <w:multiLevelType w:val="hybridMultilevel"/>
    <w:tmpl w:val="ECC87138"/>
    <w:lvl w:ilvl="0" w:tplc="EACE9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4AFF"/>
    <w:multiLevelType w:val="hybridMultilevel"/>
    <w:tmpl w:val="80A83158"/>
    <w:lvl w:ilvl="0" w:tplc="04FA3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229E"/>
    <w:multiLevelType w:val="hybridMultilevel"/>
    <w:tmpl w:val="B47EE412"/>
    <w:lvl w:ilvl="0" w:tplc="85720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40828"/>
    <w:multiLevelType w:val="hybridMultilevel"/>
    <w:tmpl w:val="42482CC2"/>
    <w:lvl w:ilvl="0" w:tplc="1C09000F">
      <w:start w:val="1"/>
      <w:numFmt w:val="decimal"/>
      <w:lvlText w:val="%1."/>
      <w:lvlJc w:val="left"/>
      <w:pPr>
        <w:ind w:left="630" w:hanging="360"/>
      </w:pPr>
    </w:lvl>
    <w:lvl w:ilvl="1" w:tplc="1C090019">
      <w:start w:val="1"/>
      <w:numFmt w:val="lowerLetter"/>
      <w:lvlText w:val="%2."/>
      <w:lvlJc w:val="left"/>
      <w:pPr>
        <w:ind w:left="1350" w:hanging="360"/>
      </w:pPr>
    </w:lvl>
    <w:lvl w:ilvl="2" w:tplc="1C09001B">
      <w:start w:val="1"/>
      <w:numFmt w:val="lowerRoman"/>
      <w:lvlText w:val="%3."/>
      <w:lvlJc w:val="right"/>
      <w:pPr>
        <w:ind w:left="2070" w:hanging="180"/>
      </w:pPr>
    </w:lvl>
    <w:lvl w:ilvl="3" w:tplc="1C09000F">
      <w:start w:val="1"/>
      <w:numFmt w:val="decimal"/>
      <w:lvlText w:val="%4."/>
      <w:lvlJc w:val="left"/>
      <w:pPr>
        <w:ind w:left="2790" w:hanging="360"/>
      </w:pPr>
    </w:lvl>
    <w:lvl w:ilvl="4" w:tplc="1C090019">
      <w:start w:val="1"/>
      <w:numFmt w:val="lowerLetter"/>
      <w:lvlText w:val="%5."/>
      <w:lvlJc w:val="left"/>
      <w:pPr>
        <w:ind w:left="3510" w:hanging="360"/>
      </w:pPr>
    </w:lvl>
    <w:lvl w:ilvl="5" w:tplc="1C09001B">
      <w:start w:val="1"/>
      <w:numFmt w:val="lowerRoman"/>
      <w:lvlText w:val="%6."/>
      <w:lvlJc w:val="right"/>
      <w:pPr>
        <w:ind w:left="4230" w:hanging="180"/>
      </w:pPr>
    </w:lvl>
    <w:lvl w:ilvl="6" w:tplc="1C09000F">
      <w:start w:val="1"/>
      <w:numFmt w:val="decimal"/>
      <w:lvlText w:val="%7."/>
      <w:lvlJc w:val="left"/>
      <w:pPr>
        <w:ind w:left="4950" w:hanging="360"/>
      </w:pPr>
    </w:lvl>
    <w:lvl w:ilvl="7" w:tplc="1C090019">
      <w:start w:val="1"/>
      <w:numFmt w:val="lowerLetter"/>
      <w:lvlText w:val="%8."/>
      <w:lvlJc w:val="left"/>
      <w:pPr>
        <w:ind w:left="5670" w:hanging="360"/>
      </w:pPr>
    </w:lvl>
    <w:lvl w:ilvl="8" w:tplc="1C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2A93AD3"/>
    <w:multiLevelType w:val="hybridMultilevel"/>
    <w:tmpl w:val="437A062C"/>
    <w:lvl w:ilvl="0" w:tplc="FE663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13F87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54239"/>
    <w:multiLevelType w:val="hybridMultilevel"/>
    <w:tmpl w:val="C2B64688"/>
    <w:lvl w:ilvl="0" w:tplc="3B942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C1C09"/>
    <w:multiLevelType w:val="hybridMultilevel"/>
    <w:tmpl w:val="9C5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622DB"/>
    <w:multiLevelType w:val="hybridMultilevel"/>
    <w:tmpl w:val="DF08B98E"/>
    <w:lvl w:ilvl="0" w:tplc="1B6C61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52058"/>
    <w:multiLevelType w:val="hybridMultilevel"/>
    <w:tmpl w:val="8C74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347EB"/>
    <w:multiLevelType w:val="hybridMultilevel"/>
    <w:tmpl w:val="EBAE32F6"/>
    <w:lvl w:ilvl="0" w:tplc="53160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892E73"/>
    <w:multiLevelType w:val="hybridMultilevel"/>
    <w:tmpl w:val="FD288916"/>
    <w:lvl w:ilvl="0" w:tplc="E16CA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18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"/>
  </w:num>
  <w:num w:numId="16">
    <w:abstractNumId w:val="10"/>
  </w:num>
  <w:num w:numId="17">
    <w:abstractNumId w:val="2"/>
  </w:num>
  <w:num w:numId="18">
    <w:abstractNumId w:val="1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7"/>
    <w:rsid w:val="0000081E"/>
    <w:rsid w:val="000034E9"/>
    <w:rsid w:val="000141CC"/>
    <w:rsid w:val="000265A0"/>
    <w:rsid w:val="00036B6F"/>
    <w:rsid w:val="00045427"/>
    <w:rsid w:val="000556DB"/>
    <w:rsid w:val="0006669F"/>
    <w:rsid w:val="00070D39"/>
    <w:rsid w:val="00074926"/>
    <w:rsid w:val="00074E2F"/>
    <w:rsid w:val="0007693F"/>
    <w:rsid w:val="000778E7"/>
    <w:rsid w:val="00082798"/>
    <w:rsid w:val="000B3CA3"/>
    <w:rsid w:val="000C0A00"/>
    <w:rsid w:val="000D26E4"/>
    <w:rsid w:val="000F050E"/>
    <w:rsid w:val="00104631"/>
    <w:rsid w:val="00113907"/>
    <w:rsid w:val="00115AEA"/>
    <w:rsid w:val="00117647"/>
    <w:rsid w:val="00124922"/>
    <w:rsid w:val="00136D15"/>
    <w:rsid w:val="00157128"/>
    <w:rsid w:val="00162990"/>
    <w:rsid w:val="00166AB9"/>
    <w:rsid w:val="0018435B"/>
    <w:rsid w:val="001846BA"/>
    <w:rsid w:val="001951AF"/>
    <w:rsid w:val="001A5FFA"/>
    <w:rsid w:val="001A7887"/>
    <w:rsid w:val="001F1B92"/>
    <w:rsid w:val="00210372"/>
    <w:rsid w:val="00215BAF"/>
    <w:rsid w:val="00223FBB"/>
    <w:rsid w:val="00232134"/>
    <w:rsid w:val="00250DF5"/>
    <w:rsid w:val="00252584"/>
    <w:rsid w:val="00263248"/>
    <w:rsid w:val="002745F1"/>
    <w:rsid w:val="002A1619"/>
    <w:rsid w:val="002B12FC"/>
    <w:rsid w:val="002E3E68"/>
    <w:rsid w:val="002F196C"/>
    <w:rsid w:val="002F38F1"/>
    <w:rsid w:val="0030661A"/>
    <w:rsid w:val="0031055E"/>
    <w:rsid w:val="00311158"/>
    <w:rsid w:val="0033417B"/>
    <w:rsid w:val="003604F9"/>
    <w:rsid w:val="003627AE"/>
    <w:rsid w:val="0037048A"/>
    <w:rsid w:val="0037078D"/>
    <w:rsid w:val="00382D73"/>
    <w:rsid w:val="00397320"/>
    <w:rsid w:val="003B5952"/>
    <w:rsid w:val="003D10A9"/>
    <w:rsid w:val="003E1576"/>
    <w:rsid w:val="003E24C7"/>
    <w:rsid w:val="003E2FB6"/>
    <w:rsid w:val="00404142"/>
    <w:rsid w:val="0040535D"/>
    <w:rsid w:val="00410515"/>
    <w:rsid w:val="00421539"/>
    <w:rsid w:val="00422B4A"/>
    <w:rsid w:val="00436FB0"/>
    <w:rsid w:val="004426D2"/>
    <w:rsid w:val="00452EE7"/>
    <w:rsid w:val="00454273"/>
    <w:rsid w:val="00474D86"/>
    <w:rsid w:val="00484D89"/>
    <w:rsid w:val="00494D1D"/>
    <w:rsid w:val="004957CC"/>
    <w:rsid w:val="004A166C"/>
    <w:rsid w:val="004A2AF1"/>
    <w:rsid w:val="004A62D2"/>
    <w:rsid w:val="004B093C"/>
    <w:rsid w:val="004B0B18"/>
    <w:rsid w:val="004B7887"/>
    <w:rsid w:val="004C2828"/>
    <w:rsid w:val="004C48F7"/>
    <w:rsid w:val="004D6B52"/>
    <w:rsid w:val="004E4952"/>
    <w:rsid w:val="004F4980"/>
    <w:rsid w:val="0050248C"/>
    <w:rsid w:val="00517E14"/>
    <w:rsid w:val="00517F74"/>
    <w:rsid w:val="00520A21"/>
    <w:rsid w:val="00527B0F"/>
    <w:rsid w:val="005336F5"/>
    <w:rsid w:val="005409D7"/>
    <w:rsid w:val="0054174F"/>
    <w:rsid w:val="00544A6C"/>
    <w:rsid w:val="00561AD4"/>
    <w:rsid w:val="00563448"/>
    <w:rsid w:val="005930DC"/>
    <w:rsid w:val="005A557E"/>
    <w:rsid w:val="005B3AC8"/>
    <w:rsid w:val="005D5643"/>
    <w:rsid w:val="005D7CD3"/>
    <w:rsid w:val="0060054D"/>
    <w:rsid w:val="00600A61"/>
    <w:rsid w:val="00600E6B"/>
    <w:rsid w:val="00603358"/>
    <w:rsid w:val="006200CC"/>
    <w:rsid w:val="006241DB"/>
    <w:rsid w:val="006553CF"/>
    <w:rsid w:val="006555E0"/>
    <w:rsid w:val="006727AC"/>
    <w:rsid w:val="0067574C"/>
    <w:rsid w:val="00686B79"/>
    <w:rsid w:val="006A28E7"/>
    <w:rsid w:val="006E24A5"/>
    <w:rsid w:val="006F1BE0"/>
    <w:rsid w:val="0070243A"/>
    <w:rsid w:val="00731AF1"/>
    <w:rsid w:val="007433EC"/>
    <w:rsid w:val="0077351A"/>
    <w:rsid w:val="00775181"/>
    <w:rsid w:val="007A2F4D"/>
    <w:rsid w:val="007B2864"/>
    <w:rsid w:val="007C2E9B"/>
    <w:rsid w:val="007D6C94"/>
    <w:rsid w:val="007D70EE"/>
    <w:rsid w:val="007D766F"/>
    <w:rsid w:val="007F7B08"/>
    <w:rsid w:val="008021E8"/>
    <w:rsid w:val="0084011C"/>
    <w:rsid w:val="008405C4"/>
    <w:rsid w:val="008501C2"/>
    <w:rsid w:val="008536EB"/>
    <w:rsid w:val="0085668E"/>
    <w:rsid w:val="00865851"/>
    <w:rsid w:val="00872E00"/>
    <w:rsid w:val="008766ED"/>
    <w:rsid w:val="00877846"/>
    <w:rsid w:val="008A723D"/>
    <w:rsid w:val="008B2551"/>
    <w:rsid w:val="008B2F42"/>
    <w:rsid w:val="008B56FE"/>
    <w:rsid w:val="008C12EC"/>
    <w:rsid w:val="008C75B3"/>
    <w:rsid w:val="008E2519"/>
    <w:rsid w:val="008F3DAC"/>
    <w:rsid w:val="008F5770"/>
    <w:rsid w:val="0091006C"/>
    <w:rsid w:val="00932F9F"/>
    <w:rsid w:val="00934785"/>
    <w:rsid w:val="009578AC"/>
    <w:rsid w:val="00964CCC"/>
    <w:rsid w:val="00971CCC"/>
    <w:rsid w:val="009721F7"/>
    <w:rsid w:val="00975BFF"/>
    <w:rsid w:val="00997A81"/>
    <w:rsid w:val="009B0B53"/>
    <w:rsid w:val="009E3F35"/>
    <w:rsid w:val="00A045F9"/>
    <w:rsid w:val="00A269A8"/>
    <w:rsid w:val="00A311E3"/>
    <w:rsid w:val="00A31EDA"/>
    <w:rsid w:val="00A32474"/>
    <w:rsid w:val="00A3633A"/>
    <w:rsid w:val="00A47203"/>
    <w:rsid w:val="00A52C8D"/>
    <w:rsid w:val="00A52DB4"/>
    <w:rsid w:val="00A6244D"/>
    <w:rsid w:val="00A70253"/>
    <w:rsid w:val="00A74026"/>
    <w:rsid w:val="00A804A5"/>
    <w:rsid w:val="00A8464A"/>
    <w:rsid w:val="00A97C04"/>
    <w:rsid w:val="00AB4345"/>
    <w:rsid w:val="00AD349C"/>
    <w:rsid w:val="00AD7A92"/>
    <w:rsid w:val="00AE0AC7"/>
    <w:rsid w:val="00AE3012"/>
    <w:rsid w:val="00AF0C00"/>
    <w:rsid w:val="00AF18BB"/>
    <w:rsid w:val="00B10FC4"/>
    <w:rsid w:val="00B13BE8"/>
    <w:rsid w:val="00B257D4"/>
    <w:rsid w:val="00B30585"/>
    <w:rsid w:val="00B45CEA"/>
    <w:rsid w:val="00B8519B"/>
    <w:rsid w:val="00B93A83"/>
    <w:rsid w:val="00B975C7"/>
    <w:rsid w:val="00B97A95"/>
    <w:rsid w:val="00BA6525"/>
    <w:rsid w:val="00BB45A5"/>
    <w:rsid w:val="00BB4885"/>
    <w:rsid w:val="00BB50AB"/>
    <w:rsid w:val="00BD3B01"/>
    <w:rsid w:val="00BE21EF"/>
    <w:rsid w:val="00BF6FF3"/>
    <w:rsid w:val="00BF7193"/>
    <w:rsid w:val="00C02F6F"/>
    <w:rsid w:val="00C303EF"/>
    <w:rsid w:val="00C32FCB"/>
    <w:rsid w:val="00C35D07"/>
    <w:rsid w:val="00C53729"/>
    <w:rsid w:val="00C652A7"/>
    <w:rsid w:val="00C72846"/>
    <w:rsid w:val="00CA70E5"/>
    <w:rsid w:val="00CD2D0E"/>
    <w:rsid w:val="00CD3837"/>
    <w:rsid w:val="00D06C14"/>
    <w:rsid w:val="00D13760"/>
    <w:rsid w:val="00D247B6"/>
    <w:rsid w:val="00D35047"/>
    <w:rsid w:val="00D54D2D"/>
    <w:rsid w:val="00D54EB1"/>
    <w:rsid w:val="00D56F8A"/>
    <w:rsid w:val="00D574B8"/>
    <w:rsid w:val="00D70A35"/>
    <w:rsid w:val="00D7551F"/>
    <w:rsid w:val="00D7665C"/>
    <w:rsid w:val="00D90618"/>
    <w:rsid w:val="00D92746"/>
    <w:rsid w:val="00D92DB9"/>
    <w:rsid w:val="00D9375F"/>
    <w:rsid w:val="00DC006A"/>
    <w:rsid w:val="00DC360F"/>
    <w:rsid w:val="00DD6956"/>
    <w:rsid w:val="00DE10AE"/>
    <w:rsid w:val="00DE535D"/>
    <w:rsid w:val="00DE6386"/>
    <w:rsid w:val="00DF50F1"/>
    <w:rsid w:val="00E03F8A"/>
    <w:rsid w:val="00E168A5"/>
    <w:rsid w:val="00E17F15"/>
    <w:rsid w:val="00E34F91"/>
    <w:rsid w:val="00E36A13"/>
    <w:rsid w:val="00E43D35"/>
    <w:rsid w:val="00E44DB0"/>
    <w:rsid w:val="00E45585"/>
    <w:rsid w:val="00E522C9"/>
    <w:rsid w:val="00E63192"/>
    <w:rsid w:val="00E66BC2"/>
    <w:rsid w:val="00E717E2"/>
    <w:rsid w:val="00E73E57"/>
    <w:rsid w:val="00E77A3E"/>
    <w:rsid w:val="00EB1280"/>
    <w:rsid w:val="00EC5CA1"/>
    <w:rsid w:val="00EC6886"/>
    <w:rsid w:val="00EC7ECE"/>
    <w:rsid w:val="00ED37FA"/>
    <w:rsid w:val="00EE6829"/>
    <w:rsid w:val="00EF28D6"/>
    <w:rsid w:val="00EF7181"/>
    <w:rsid w:val="00F12743"/>
    <w:rsid w:val="00F35851"/>
    <w:rsid w:val="00F46998"/>
    <w:rsid w:val="00F47618"/>
    <w:rsid w:val="00F52F85"/>
    <w:rsid w:val="00F60D77"/>
    <w:rsid w:val="00F62967"/>
    <w:rsid w:val="00F64865"/>
    <w:rsid w:val="00F76B52"/>
    <w:rsid w:val="00F81D0C"/>
    <w:rsid w:val="00F867BC"/>
    <w:rsid w:val="00F87E42"/>
    <w:rsid w:val="00FB7A2C"/>
    <w:rsid w:val="00FC2992"/>
    <w:rsid w:val="00FE7667"/>
    <w:rsid w:val="00FF3225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BFF63-28A8-4C4E-A8CC-181CFB0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4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0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6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F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B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58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8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5851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876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66ED"/>
  </w:style>
  <w:style w:type="paragraph" w:customStyle="1" w:styleId="western">
    <w:name w:val="western"/>
    <w:basedOn w:val="Normal"/>
    <w:rsid w:val="002E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2020-09-27T18:30:00+00:00</Judgment_x0020_Date>
  </documentManagement>
</p:properties>
</file>

<file path=customXml/itemProps1.xml><?xml version="1.0" encoding="utf-8"?>
<ds:datastoreItem xmlns:ds="http://schemas.openxmlformats.org/officeDocument/2006/customXml" ds:itemID="{AE2F56C7-242A-4FA5-B200-7F68A88CFD7C}"/>
</file>

<file path=customXml/itemProps2.xml><?xml version="1.0" encoding="utf-8"?>
<ds:datastoreItem xmlns:ds="http://schemas.openxmlformats.org/officeDocument/2006/customXml" ds:itemID="{7DDBED34-2338-44D1-BC73-69035781A1FB}"/>
</file>

<file path=customXml/itemProps3.xml><?xml version="1.0" encoding="utf-8"?>
<ds:datastoreItem xmlns:ds="http://schemas.openxmlformats.org/officeDocument/2006/customXml" ds:itemID="{C1C2A873-354E-41CD-92EF-37F3D1EC9299}"/>
</file>

<file path=customXml/itemProps4.xml><?xml version="1.0" encoding="utf-8"?>
<ds:datastoreItem xmlns:ds="http://schemas.openxmlformats.org/officeDocument/2006/customXml" ds:itemID="{D5311758-C594-40CB-8A4A-E1F01676F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Meintjies (CR 73-2020) [2020] NAHCMD 444 (28 September 2020)</dc:title>
  <dc:subject/>
  <dc:creator>Yvette Hüsselmann</dc:creator>
  <cp:keywords/>
  <dc:description/>
  <cp:lastModifiedBy>Administrator</cp:lastModifiedBy>
  <cp:revision>3</cp:revision>
  <cp:lastPrinted>2020-09-25T09:26:00Z</cp:lastPrinted>
  <dcterms:created xsi:type="dcterms:W3CDTF">2020-10-01T06:27:00Z</dcterms:created>
  <dcterms:modified xsi:type="dcterms:W3CDTF">2020-10-01T06:28:00Z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