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8" w:rsidRPr="001D7C37" w:rsidRDefault="00B83AB8" w:rsidP="00B83AB8">
      <w:pPr>
        <w:spacing w:after="0" w:line="360" w:lineRule="auto"/>
        <w:jc w:val="center"/>
        <w:rPr>
          <w:rFonts w:ascii="Arial" w:hAnsi="Arial" w:cs="Arial"/>
          <w:b/>
          <w:sz w:val="24"/>
          <w:szCs w:val="24"/>
          <w:lang w:val="en-GB"/>
        </w:rPr>
      </w:pPr>
      <w:r w:rsidRPr="001D7C37">
        <w:rPr>
          <w:rFonts w:ascii="Arial" w:hAnsi="Arial" w:cs="Arial"/>
          <w:b/>
          <w:sz w:val="24"/>
          <w:szCs w:val="24"/>
          <w:lang w:val="en-GB"/>
        </w:rPr>
        <w:t>REPUBLIC OF NAMIBIA</w:t>
      </w:r>
    </w:p>
    <w:p w:rsidR="00B83AB8" w:rsidRPr="001D7C37" w:rsidRDefault="00B83AB8" w:rsidP="00B83AB8">
      <w:pPr>
        <w:spacing w:after="0" w:line="360" w:lineRule="auto"/>
        <w:jc w:val="center"/>
        <w:rPr>
          <w:rFonts w:ascii="Arial" w:hAnsi="Arial" w:cs="Arial"/>
          <w:b/>
          <w:sz w:val="24"/>
          <w:szCs w:val="24"/>
          <w:lang w:val="en-GB"/>
        </w:rPr>
      </w:pPr>
      <w:r w:rsidRPr="001D7C37">
        <w:rPr>
          <w:rFonts w:ascii="Arial" w:hAnsi="Arial" w:cs="Arial"/>
          <w:b/>
          <w:noProof/>
          <w:sz w:val="24"/>
          <w:szCs w:val="24"/>
        </w:rPr>
        <w:drawing>
          <wp:inline distT="0" distB="0" distL="0" distR="0" wp14:anchorId="33902E42" wp14:editId="3D4B6043">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B83AB8" w:rsidRPr="001D7C37" w:rsidRDefault="00B83AB8" w:rsidP="00B83AB8">
      <w:pPr>
        <w:spacing w:after="0" w:line="360" w:lineRule="auto"/>
        <w:jc w:val="center"/>
        <w:rPr>
          <w:rFonts w:ascii="Arial" w:hAnsi="Arial" w:cs="Arial"/>
          <w:b/>
          <w:sz w:val="24"/>
          <w:szCs w:val="24"/>
          <w:lang w:val="en-GB"/>
        </w:rPr>
      </w:pPr>
    </w:p>
    <w:p w:rsidR="00B83AB8" w:rsidRPr="001D7C37" w:rsidRDefault="00B83AB8" w:rsidP="00B83AB8">
      <w:pPr>
        <w:spacing w:after="0" w:line="360" w:lineRule="auto"/>
        <w:jc w:val="center"/>
        <w:rPr>
          <w:rFonts w:ascii="Arial" w:hAnsi="Arial" w:cs="Arial"/>
          <w:b/>
          <w:bCs/>
          <w:sz w:val="24"/>
          <w:szCs w:val="24"/>
          <w:lang w:val="en-GB"/>
        </w:rPr>
      </w:pPr>
      <w:r w:rsidRPr="001D7C37">
        <w:rPr>
          <w:rFonts w:ascii="Arial" w:hAnsi="Arial" w:cs="Arial"/>
          <w:b/>
          <w:sz w:val="24"/>
          <w:szCs w:val="24"/>
          <w:lang w:val="en-GB"/>
        </w:rPr>
        <w:t>HIGH COURT OF NAMIBIA MAIN DIVISION, WINDHOEK</w:t>
      </w:r>
    </w:p>
    <w:p w:rsidR="00B83AB8" w:rsidRPr="00CF34F8" w:rsidRDefault="00B83AB8" w:rsidP="00B83AB8">
      <w:pPr>
        <w:spacing w:after="0" w:line="360" w:lineRule="auto"/>
        <w:jc w:val="center"/>
        <w:rPr>
          <w:rFonts w:ascii="Arial" w:hAnsi="Arial" w:cs="Arial"/>
          <w:b/>
          <w:sz w:val="24"/>
          <w:szCs w:val="24"/>
          <w:lang w:val="en-ZA"/>
        </w:rPr>
      </w:pPr>
    </w:p>
    <w:p w:rsidR="00B83AB8" w:rsidRPr="00CF34F8" w:rsidRDefault="00B83AB8" w:rsidP="00B83AB8">
      <w:pPr>
        <w:spacing w:after="0" w:line="360" w:lineRule="auto"/>
        <w:jc w:val="center"/>
        <w:rPr>
          <w:rFonts w:ascii="Arial" w:hAnsi="Arial" w:cs="Arial"/>
          <w:b/>
          <w:sz w:val="24"/>
          <w:szCs w:val="24"/>
          <w:lang w:val="en-ZA"/>
        </w:rPr>
      </w:pPr>
      <w:r w:rsidRPr="00CF34F8">
        <w:rPr>
          <w:rFonts w:ascii="Arial" w:hAnsi="Arial" w:cs="Arial"/>
          <w:b/>
          <w:sz w:val="24"/>
          <w:szCs w:val="24"/>
          <w:lang w:val="en-ZA"/>
        </w:rPr>
        <w:t>JUDGMENT</w:t>
      </w:r>
    </w:p>
    <w:p w:rsidR="00B83AB8" w:rsidRPr="00CF34F8" w:rsidRDefault="00B83AB8" w:rsidP="00B83AB8">
      <w:pPr>
        <w:spacing w:after="0" w:line="360" w:lineRule="auto"/>
        <w:jc w:val="center"/>
        <w:rPr>
          <w:rFonts w:ascii="Arial" w:hAnsi="Arial" w:cs="Arial"/>
          <w:b/>
          <w:sz w:val="24"/>
          <w:szCs w:val="24"/>
          <w:lang w:val="en-ZA"/>
        </w:rPr>
      </w:pPr>
    </w:p>
    <w:p w:rsidR="00B83AB8" w:rsidRDefault="00B83AB8" w:rsidP="00B83AB8">
      <w:pPr>
        <w:spacing w:after="0" w:line="360" w:lineRule="auto"/>
        <w:jc w:val="right"/>
        <w:rPr>
          <w:rFonts w:ascii="Arial" w:hAnsi="Arial" w:cs="Arial"/>
          <w:b/>
          <w:sz w:val="24"/>
          <w:szCs w:val="24"/>
        </w:rPr>
      </w:pPr>
      <w:r w:rsidRPr="00ED0A21">
        <w:rPr>
          <w:rFonts w:ascii="Arial" w:hAnsi="Arial" w:cs="Arial"/>
          <w:b/>
          <w:sz w:val="24"/>
          <w:szCs w:val="24"/>
          <w:lang w:val="en-ZA"/>
        </w:rPr>
        <w:t xml:space="preserve">Case No: </w:t>
      </w:r>
      <w:r w:rsidRPr="00F63CAF">
        <w:rPr>
          <w:rFonts w:ascii="Arial" w:hAnsi="Arial" w:cs="Arial"/>
          <w:b/>
          <w:sz w:val="24"/>
          <w:szCs w:val="24"/>
        </w:rPr>
        <w:t>HC-MD-CIV-</w:t>
      </w:r>
      <w:r>
        <w:rPr>
          <w:rFonts w:ascii="Arial" w:hAnsi="Arial" w:cs="Arial"/>
          <w:b/>
          <w:sz w:val="24"/>
          <w:szCs w:val="24"/>
        </w:rPr>
        <w:t>ACT- OTH-2020/02269</w:t>
      </w:r>
    </w:p>
    <w:p w:rsidR="00B83AB8" w:rsidRPr="00F63CAF" w:rsidRDefault="00B83AB8" w:rsidP="00B83AB8">
      <w:pPr>
        <w:spacing w:after="0" w:line="360" w:lineRule="auto"/>
        <w:jc w:val="right"/>
        <w:rPr>
          <w:rFonts w:ascii="Arial" w:hAnsi="Arial" w:cs="Arial"/>
          <w:b/>
          <w:sz w:val="24"/>
          <w:szCs w:val="24"/>
          <w:lang w:val="en-ZA"/>
        </w:rPr>
      </w:pPr>
    </w:p>
    <w:p w:rsidR="00B83AB8" w:rsidRPr="00F63CAF" w:rsidRDefault="00B83AB8" w:rsidP="00B83AB8">
      <w:pPr>
        <w:spacing w:after="0" w:line="360" w:lineRule="auto"/>
        <w:jc w:val="both"/>
        <w:rPr>
          <w:rFonts w:ascii="Arial" w:hAnsi="Arial" w:cs="Arial"/>
          <w:sz w:val="24"/>
          <w:szCs w:val="24"/>
          <w:lang w:val="en-ZA"/>
        </w:rPr>
      </w:pPr>
      <w:r w:rsidRPr="00F63CAF">
        <w:rPr>
          <w:rFonts w:ascii="Arial" w:hAnsi="Arial" w:cs="Arial"/>
          <w:sz w:val="24"/>
          <w:szCs w:val="24"/>
          <w:lang w:val="en-ZA"/>
        </w:rPr>
        <w:t>In the matter between:</w:t>
      </w:r>
    </w:p>
    <w:p w:rsidR="00B83AB8" w:rsidRPr="00F63CAF" w:rsidRDefault="00B83AB8" w:rsidP="00B83AB8">
      <w:pPr>
        <w:spacing w:after="0" w:line="360" w:lineRule="auto"/>
        <w:jc w:val="both"/>
        <w:rPr>
          <w:rFonts w:ascii="Arial" w:hAnsi="Arial" w:cs="Arial"/>
          <w:b/>
          <w:sz w:val="24"/>
          <w:szCs w:val="24"/>
          <w:lang w:val="en-ZA"/>
        </w:rPr>
      </w:pPr>
    </w:p>
    <w:p w:rsidR="00B83AB8" w:rsidRDefault="00B83AB8" w:rsidP="00B83AB8">
      <w:pPr>
        <w:spacing w:after="0" w:line="360" w:lineRule="auto"/>
        <w:jc w:val="both"/>
        <w:rPr>
          <w:rFonts w:ascii="Arial" w:hAnsi="Arial" w:cs="Arial"/>
          <w:b/>
          <w:sz w:val="24"/>
          <w:szCs w:val="24"/>
        </w:rPr>
      </w:pPr>
      <w:r>
        <w:rPr>
          <w:rFonts w:ascii="Arial" w:hAnsi="Arial" w:cs="Arial"/>
          <w:b/>
          <w:sz w:val="24"/>
          <w:szCs w:val="24"/>
        </w:rPr>
        <w:t>DAVID JOHN BRUNI</w:t>
      </w:r>
      <w:r w:rsidRPr="00F63CAF">
        <w:rPr>
          <w:rFonts w:ascii="Arial" w:hAnsi="Arial" w:cs="Arial"/>
          <w:b/>
          <w:sz w:val="24"/>
          <w:szCs w:val="24"/>
        </w:rPr>
        <w:tab/>
      </w:r>
      <w:r w:rsidRPr="00F63CAF">
        <w:rPr>
          <w:rFonts w:ascii="Arial" w:hAnsi="Arial" w:cs="Arial"/>
          <w:b/>
          <w:sz w:val="24"/>
          <w:szCs w:val="24"/>
        </w:rPr>
        <w:tab/>
        <w:t xml:space="preserve">     </w:t>
      </w:r>
      <w:r w:rsidRPr="00F63CAF">
        <w:rPr>
          <w:rFonts w:ascii="Arial" w:hAnsi="Arial" w:cs="Arial"/>
          <w:b/>
          <w:sz w:val="24"/>
          <w:szCs w:val="24"/>
        </w:rPr>
        <w:tab/>
      </w:r>
      <w:r w:rsidRPr="00F63CAF">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B83AB8">
        <w:rPr>
          <w:rFonts w:ascii="Arial" w:hAnsi="Arial" w:cs="Arial"/>
          <w:b/>
          <w:sz w:val="24"/>
          <w:szCs w:val="24"/>
          <w:vertAlign w:val="superscript"/>
        </w:rPr>
        <w:t>ST</w:t>
      </w:r>
      <w:r>
        <w:rPr>
          <w:rFonts w:ascii="Arial" w:hAnsi="Arial" w:cs="Arial"/>
          <w:b/>
          <w:sz w:val="24"/>
          <w:szCs w:val="24"/>
        </w:rPr>
        <w:t xml:space="preserve"> PLAINTIFF</w:t>
      </w:r>
    </w:p>
    <w:p w:rsidR="00B83AB8" w:rsidRDefault="00B83AB8" w:rsidP="00B83AB8">
      <w:pPr>
        <w:spacing w:after="0" w:line="360" w:lineRule="auto"/>
        <w:jc w:val="both"/>
        <w:rPr>
          <w:rFonts w:ascii="Arial" w:hAnsi="Arial" w:cs="Arial"/>
          <w:b/>
          <w:sz w:val="24"/>
          <w:szCs w:val="24"/>
        </w:rPr>
      </w:pPr>
      <w:r>
        <w:rPr>
          <w:rFonts w:ascii="Arial" w:hAnsi="Arial" w:cs="Arial"/>
          <w:b/>
          <w:sz w:val="24"/>
          <w:szCs w:val="24"/>
        </w:rPr>
        <w:t>IAN ROBERT MCLAREN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B83AB8">
        <w:rPr>
          <w:rFonts w:ascii="Arial" w:hAnsi="Arial" w:cs="Arial"/>
          <w:b/>
          <w:sz w:val="24"/>
          <w:szCs w:val="24"/>
          <w:vertAlign w:val="superscript"/>
        </w:rPr>
        <w:t>ND</w:t>
      </w:r>
      <w:r>
        <w:rPr>
          <w:rFonts w:ascii="Arial" w:hAnsi="Arial" w:cs="Arial"/>
          <w:b/>
          <w:sz w:val="24"/>
          <w:szCs w:val="24"/>
        </w:rPr>
        <w:t xml:space="preserve"> PLAINTIFF</w:t>
      </w:r>
    </w:p>
    <w:p w:rsidR="00B83AB8" w:rsidRDefault="00B83AB8" w:rsidP="00B83AB8">
      <w:pPr>
        <w:spacing w:after="0" w:line="360" w:lineRule="auto"/>
        <w:jc w:val="both"/>
        <w:rPr>
          <w:rFonts w:ascii="Arial" w:hAnsi="Arial" w:cs="Arial"/>
          <w:b/>
          <w:sz w:val="24"/>
          <w:szCs w:val="24"/>
          <w:lang w:val="en-ZA"/>
        </w:rPr>
      </w:pPr>
    </w:p>
    <w:p w:rsidR="00B83AB8" w:rsidRPr="00B83AB8" w:rsidRDefault="00B83AB8" w:rsidP="00B83AB8">
      <w:pPr>
        <w:spacing w:after="0" w:line="360" w:lineRule="auto"/>
        <w:jc w:val="both"/>
        <w:rPr>
          <w:rFonts w:ascii="Arial" w:hAnsi="Arial" w:cs="Arial"/>
          <w:b/>
          <w:sz w:val="24"/>
          <w:szCs w:val="24"/>
          <w:lang w:val="en-ZA"/>
        </w:rPr>
      </w:pPr>
      <w:r w:rsidRPr="009D7AFE">
        <w:rPr>
          <w:rFonts w:ascii="Arial" w:hAnsi="Arial" w:cs="Arial"/>
          <w:sz w:val="24"/>
          <w:szCs w:val="24"/>
          <w:lang w:val="en-ZA"/>
        </w:rPr>
        <w:t>and</w:t>
      </w:r>
    </w:p>
    <w:p w:rsidR="00B83AB8" w:rsidRPr="00F63CAF" w:rsidRDefault="00B83AB8" w:rsidP="00B83AB8">
      <w:pPr>
        <w:spacing w:after="0" w:line="360" w:lineRule="auto"/>
        <w:jc w:val="both"/>
        <w:rPr>
          <w:rFonts w:ascii="Arial" w:hAnsi="Arial" w:cs="Arial"/>
          <w:b/>
          <w:sz w:val="24"/>
          <w:szCs w:val="24"/>
          <w:lang w:val="en-ZA"/>
        </w:rPr>
      </w:pPr>
    </w:p>
    <w:p w:rsidR="00B83AB8" w:rsidRDefault="00B83AB8" w:rsidP="00B83AB8">
      <w:pPr>
        <w:spacing w:after="0" w:line="360" w:lineRule="auto"/>
        <w:jc w:val="both"/>
        <w:rPr>
          <w:rFonts w:ascii="Arial" w:hAnsi="Arial" w:cs="Arial"/>
          <w:b/>
          <w:sz w:val="24"/>
          <w:szCs w:val="24"/>
        </w:rPr>
      </w:pPr>
      <w:r>
        <w:rPr>
          <w:rFonts w:ascii="Arial" w:hAnsi="Arial" w:cs="Arial"/>
          <w:b/>
          <w:sz w:val="24"/>
          <w:szCs w:val="24"/>
        </w:rPr>
        <w:t xml:space="preserve">BEATRICE KAHUNDA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sidR="00F7452D">
        <w:rPr>
          <w:rFonts w:ascii="Arial" w:hAnsi="Arial" w:cs="Arial"/>
          <w:b/>
          <w:sz w:val="24"/>
          <w:szCs w:val="24"/>
        </w:rPr>
        <w:t xml:space="preserve">      </w:t>
      </w:r>
      <w:r>
        <w:rPr>
          <w:rFonts w:ascii="Arial" w:hAnsi="Arial" w:cs="Arial"/>
          <w:b/>
          <w:sz w:val="24"/>
          <w:szCs w:val="24"/>
        </w:rPr>
        <w:t>1</w:t>
      </w:r>
      <w:r w:rsidRPr="00B83AB8">
        <w:rPr>
          <w:rFonts w:ascii="Arial" w:hAnsi="Arial" w:cs="Arial"/>
          <w:b/>
          <w:sz w:val="24"/>
          <w:szCs w:val="24"/>
          <w:vertAlign w:val="superscript"/>
        </w:rPr>
        <w:t>ST</w:t>
      </w:r>
      <w:r>
        <w:rPr>
          <w:rFonts w:ascii="Arial" w:hAnsi="Arial" w:cs="Arial"/>
          <w:b/>
          <w:sz w:val="24"/>
          <w:szCs w:val="24"/>
        </w:rPr>
        <w:t xml:space="preserve"> DEFENDANT </w:t>
      </w:r>
    </w:p>
    <w:p w:rsidR="00B83AB8" w:rsidRDefault="00B83AB8" w:rsidP="00B83AB8">
      <w:pPr>
        <w:spacing w:after="0" w:line="360" w:lineRule="auto"/>
        <w:jc w:val="both"/>
        <w:rPr>
          <w:rFonts w:ascii="Arial" w:hAnsi="Arial" w:cs="Arial"/>
          <w:b/>
          <w:sz w:val="24"/>
          <w:szCs w:val="24"/>
        </w:rPr>
      </w:pPr>
      <w:r>
        <w:rPr>
          <w:rFonts w:ascii="Arial" w:hAnsi="Arial" w:cs="Arial"/>
          <w:b/>
          <w:sz w:val="24"/>
          <w:szCs w:val="24"/>
        </w:rPr>
        <w:t>REBECCA HANGADA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7452D">
        <w:rPr>
          <w:rFonts w:ascii="Arial" w:hAnsi="Arial" w:cs="Arial"/>
          <w:b/>
          <w:sz w:val="24"/>
          <w:szCs w:val="24"/>
        </w:rPr>
        <w:t xml:space="preserve">   </w:t>
      </w:r>
      <w:r>
        <w:rPr>
          <w:rFonts w:ascii="Arial" w:hAnsi="Arial" w:cs="Arial"/>
          <w:b/>
          <w:sz w:val="24"/>
          <w:szCs w:val="24"/>
        </w:rPr>
        <w:t>2</w:t>
      </w:r>
      <w:r w:rsidRPr="00B83AB8">
        <w:rPr>
          <w:rFonts w:ascii="Arial" w:hAnsi="Arial" w:cs="Arial"/>
          <w:b/>
          <w:sz w:val="24"/>
          <w:szCs w:val="24"/>
          <w:vertAlign w:val="superscript"/>
        </w:rPr>
        <w:t>ND</w:t>
      </w:r>
      <w:r>
        <w:rPr>
          <w:rFonts w:ascii="Arial" w:hAnsi="Arial" w:cs="Arial"/>
          <w:b/>
          <w:sz w:val="24"/>
          <w:szCs w:val="24"/>
        </w:rPr>
        <w:t xml:space="preserve"> DEFENDANT</w:t>
      </w:r>
    </w:p>
    <w:p w:rsidR="00B83AB8" w:rsidRPr="00B83AB8" w:rsidRDefault="00B83AB8" w:rsidP="00B83AB8">
      <w:pPr>
        <w:spacing w:after="0" w:line="360" w:lineRule="auto"/>
        <w:jc w:val="both"/>
        <w:rPr>
          <w:rFonts w:ascii="Arial" w:hAnsi="Arial" w:cs="Arial"/>
          <w:b/>
          <w:sz w:val="24"/>
          <w:szCs w:val="24"/>
        </w:rPr>
      </w:pPr>
      <w:r>
        <w:rPr>
          <w:rFonts w:ascii="Arial" w:hAnsi="Arial" w:cs="Arial"/>
          <w:b/>
          <w:sz w:val="24"/>
          <w:szCs w:val="24"/>
        </w:rPr>
        <w:t>DOREEN MATEMBA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7452D">
        <w:rPr>
          <w:rFonts w:ascii="Arial" w:hAnsi="Arial" w:cs="Arial"/>
          <w:b/>
          <w:sz w:val="24"/>
          <w:szCs w:val="24"/>
        </w:rPr>
        <w:t xml:space="preserve">   </w:t>
      </w:r>
      <w:r w:rsidR="00E55EA6">
        <w:rPr>
          <w:rFonts w:ascii="Arial" w:hAnsi="Arial" w:cs="Arial"/>
          <w:b/>
          <w:sz w:val="24"/>
          <w:szCs w:val="24"/>
        </w:rPr>
        <w:t xml:space="preserve"> </w:t>
      </w:r>
      <w:bookmarkStart w:id="0" w:name="_GoBack"/>
      <w:bookmarkEnd w:id="0"/>
      <w:r>
        <w:rPr>
          <w:rFonts w:ascii="Arial" w:hAnsi="Arial" w:cs="Arial"/>
          <w:b/>
          <w:sz w:val="24"/>
          <w:szCs w:val="24"/>
        </w:rPr>
        <w:t>3</w:t>
      </w:r>
      <w:r w:rsidRPr="00B83AB8">
        <w:rPr>
          <w:rFonts w:ascii="Arial" w:hAnsi="Arial" w:cs="Arial"/>
          <w:b/>
          <w:sz w:val="24"/>
          <w:szCs w:val="24"/>
          <w:vertAlign w:val="superscript"/>
        </w:rPr>
        <w:t>RD</w:t>
      </w:r>
      <w:r>
        <w:rPr>
          <w:rFonts w:ascii="Arial" w:hAnsi="Arial" w:cs="Arial"/>
          <w:b/>
          <w:sz w:val="24"/>
          <w:szCs w:val="24"/>
        </w:rPr>
        <w:t>DEFENDANT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3AB8" w:rsidRPr="00F63CAF" w:rsidRDefault="00B83AB8" w:rsidP="00B83AB8">
      <w:pPr>
        <w:spacing w:after="0" w:line="360" w:lineRule="auto"/>
        <w:jc w:val="both"/>
        <w:rPr>
          <w:rFonts w:ascii="Arial" w:hAnsi="Arial" w:cs="Arial"/>
          <w:b/>
          <w:sz w:val="24"/>
          <w:szCs w:val="24"/>
          <w:lang w:val="en-ZA"/>
        </w:rPr>
      </w:pPr>
      <w:r w:rsidRPr="00F63CAF">
        <w:rPr>
          <w:rFonts w:ascii="Arial" w:hAnsi="Arial" w:cs="Arial"/>
          <w:b/>
          <w:sz w:val="24"/>
          <w:szCs w:val="24"/>
          <w:lang w:val="en-ZA"/>
        </w:rPr>
        <w:t xml:space="preserve"> </w:t>
      </w:r>
    </w:p>
    <w:p w:rsidR="00B83AB8" w:rsidRPr="002B435A" w:rsidRDefault="00B83AB8" w:rsidP="00B83AB8">
      <w:pPr>
        <w:spacing w:after="0" w:line="360" w:lineRule="auto"/>
        <w:jc w:val="both"/>
        <w:rPr>
          <w:rFonts w:ascii="Arial" w:hAnsi="Arial" w:cs="Arial"/>
          <w:sz w:val="24"/>
          <w:szCs w:val="24"/>
          <w:lang w:val="en-ZA"/>
        </w:rPr>
      </w:pPr>
      <w:r w:rsidRPr="00F63CAF">
        <w:rPr>
          <w:rFonts w:ascii="Arial" w:hAnsi="Arial" w:cs="Arial"/>
          <w:b/>
          <w:sz w:val="24"/>
          <w:szCs w:val="24"/>
          <w:lang w:val="en-ZA"/>
        </w:rPr>
        <w:t xml:space="preserve">Neutral Citation: </w:t>
      </w:r>
      <w:r w:rsidR="000351E3">
        <w:rPr>
          <w:rFonts w:ascii="Arial" w:hAnsi="Arial" w:cs="Arial"/>
          <w:b/>
          <w:sz w:val="24"/>
          <w:szCs w:val="24"/>
          <w:lang w:val="en-ZA"/>
        </w:rPr>
        <w:tab/>
      </w:r>
      <w:r>
        <w:rPr>
          <w:rFonts w:ascii="Arial" w:hAnsi="Arial" w:cs="Arial"/>
          <w:i/>
          <w:sz w:val="24"/>
          <w:szCs w:val="24"/>
          <w:lang w:val="en-ZA"/>
        </w:rPr>
        <w:t>Bruni</w:t>
      </w:r>
      <w:r w:rsidRPr="002B435A">
        <w:rPr>
          <w:rFonts w:ascii="Arial" w:hAnsi="Arial" w:cs="Arial"/>
          <w:i/>
          <w:sz w:val="24"/>
          <w:szCs w:val="24"/>
          <w:lang w:val="en-ZA"/>
        </w:rPr>
        <w:t xml:space="preserve"> v </w:t>
      </w:r>
      <w:r>
        <w:rPr>
          <w:rFonts w:ascii="Arial" w:hAnsi="Arial" w:cs="Arial"/>
          <w:i/>
          <w:sz w:val="24"/>
          <w:szCs w:val="24"/>
          <w:lang w:val="en-ZA"/>
        </w:rPr>
        <w:t>Kahunda</w:t>
      </w:r>
      <w:r>
        <w:rPr>
          <w:rFonts w:ascii="Arial" w:hAnsi="Arial" w:cs="Arial"/>
          <w:sz w:val="24"/>
          <w:szCs w:val="24"/>
          <w:lang w:val="en-ZA"/>
        </w:rPr>
        <w:t xml:space="preserve"> (</w:t>
      </w:r>
      <w:r w:rsidRPr="002B435A">
        <w:rPr>
          <w:rFonts w:ascii="Arial" w:hAnsi="Arial" w:cs="Arial"/>
          <w:sz w:val="24"/>
          <w:szCs w:val="24"/>
          <w:lang w:val="en-ZA"/>
        </w:rPr>
        <w:t>HC-MD-CIV-</w:t>
      </w:r>
      <w:r>
        <w:rPr>
          <w:rFonts w:ascii="Arial" w:hAnsi="Arial" w:cs="Arial"/>
          <w:sz w:val="24"/>
          <w:szCs w:val="24"/>
        </w:rPr>
        <w:t>ACT-</w:t>
      </w:r>
      <w:r w:rsidRPr="00B83AB8">
        <w:rPr>
          <w:rFonts w:ascii="Arial" w:hAnsi="Arial" w:cs="Arial"/>
          <w:sz w:val="24"/>
          <w:szCs w:val="24"/>
        </w:rPr>
        <w:t>OTH-2020/02269</w:t>
      </w:r>
      <w:r w:rsidR="00077F15">
        <w:rPr>
          <w:rFonts w:ascii="Arial" w:hAnsi="Arial" w:cs="Arial"/>
          <w:sz w:val="24"/>
          <w:szCs w:val="24"/>
          <w:lang w:val="en-ZA"/>
        </w:rPr>
        <w:t>) [2020] NAHCMD 591</w:t>
      </w:r>
      <w:r w:rsidR="000006B7">
        <w:rPr>
          <w:rFonts w:ascii="Arial" w:hAnsi="Arial" w:cs="Arial"/>
          <w:sz w:val="24"/>
          <w:szCs w:val="24"/>
          <w:lang w:val="en-ZA"/>
        </w:rPr>
        <w:t xml:space="preserve"> (28 October</w:t>
      </w:r>
      <w:r>
        <w:rPr>
          <w:rFonts w:ascii="Arial" w:hAnsi="Arial" w:cs="Arial"/>
          <w:sz w:val="24"/>
          <w:szCs w:val="24"/>
          <w:lang w:val="en-ZA"/>
        </w:rPr>
        <w:t xml:space="preserve"> 2020)</w:t>
      </w:r>
    </w:p>
    <w:p w:rsidR="00B83AB8" w:rsidRPr="00F63CAF" w:rsidRDefault="00B83AB8" w:rsidP="00B83AB8">
      <w:pPr>
        <w:spacing w:after="0" w:line="360" w:lineRule="auto"/>
        <w:jc w:val="both"/>
        <w:rPr>
          <w:rFonts w:ascii="Arial" w:hAnsi="Arial" w:cs="Arial"/>
          <w:b/>
          <w:sz w:val="24"/>
          <w:szCs w:val="24"/>
          <w:lang w:val="en-ZA"/>
        </w:rPr>
      </w:pPr>
    </w:p>
    <w:p w:rsidR="00B83AB8" w:rsidRPr="00F63CAF" w:rsidRDefault="00B83AB8" w:rsidP="00B83AB8">
      <w:pPr>
        <w:spacing w:after="0" w:line="360" w:lineRule="auto"/>
        <w:jc w:val="both"/>
        <w:rPr>
          <w:rFonts w:ascii="Arial" w:hAnsi="Arial" w:cs="Arial"/>
          <w:b/>
          <w:sz w:val="24"/>
          <w:szCs w:val="24"/>
          <w:lang w:val="en-ZA"/>
        </w:rPr>
      </w:pPr>
      <w:r w:rsidRPr="009D7AFE">
        <w:rPr>
          <w:rFonts w:ascii="Arial" w:hAnsi="Arial" w:cs="Arial"/>
          <w:sz w:val="24"/>
          <w:szCs w:val="24"/>
          <w:lang w:val="en-ZA"/>
        </w:rPr>
        <w:t>CORAM:</w:t>
      </w:r>
      <w:r w:rsidRPr="00F63CAF">
        <w:rPr>
          <w:rFonts w:ascii="Arial" w:hAnsi="Arial" w:cs="Arial"/>
          <w:b/>
          <w:sz w:val="24"/>
          <w:szCs w:val="24"/>
          <w:lang w:val="en-ZA"/>
        </w:rPr>
        <w:tab/>
        <w:t>PRINSLOO J</w:t>
      </w:r>
    </w:p>
    <w:p w:rsidR="00B83AB8" w:rsidRPr="00F63CAF" w:rsidRDefault="00B83AB8" w:rsidP="00B83AB8">
      <w:pPr>
        <w:spacing w:after="0" w:line="360" w:lineRule="auto"/>
        <w:jc w:val="both"/>
        <w:rPr>
          <w:rFonts w:ascii="Arial" w:hAnsi="Arial" w:cs="Arial"/>
          <w:b/>
          <w:sz w:val="24"/>
          <w:szCs w:val="24"/>
          <w:lang w:val="en-ZA"/>
        </w:rPr>
      </w:pPr>
    </w:p>
    <w:p w:rsidR="00B83AB8" w:rsidRPr="009D7AFE" w:rsidRDefault="00B83AB8" w:rsidP="00B83AB8">
      <w:pPr>
        <w:spacing w:after="0" w:line="360" w:lineRule="auto"/>
        <w:ind w:left="1440" w:hanging="1440"/>
        <w:jc w:val="both"/>
        <w:rPr>
          <w:rFonts w:ascii="Arial" w:hAnsi="Arial" w:cs="Arial"/>
          <w:sz w:val="24"/>
          <w:szCs w:val="24"/>
          <w:lang w:val="en-ZA"/>
        </w:rPr>
      </w:pPr>
      <w:r w:rsidRPr="009D7AFE">
        <w:rPr>
          <w:rFonts w:ascii="Arial" w:hAnsi="Arial" w:cs="Arial"/>
          <w:sz w:val="24"/>
          <w:szCs w:val="24"/>
          <w:lang w:val="en-ZA"/>
        </w:rPr>
        <w:t>Heard:</w:t>
      </w:r>
      <w:r>
        <w:rPr>
          <w:rFonts w:ascii="Arial" w:hAnsi="Arial" w:cs="Arial"/>
          <w:sz w:val="24"/>
          <w:szCs w:val="24"/>
          <w:lang w:val="en-ZA"/>
        </w:rPr>
        <w:tab/>
      </w:r>
      <w:r w:rsidR="000006B7">
        <w:rPr>
          <w:rFonts w:ascii="Arial" w:hAnsi="Arial" w:cs="Arial"/>
          <w:sz w:val="24"/>
          <w:szCs w:val="24"/>
          <w:lang w:val="en-ZA"/>
        </w:rPr>
        <w:t>28 October 2020</w:t>
      </w:r>
    </w:p>
    <w:p w:rsidR="00B83AB8" w:rsidRPr="000006B7" w:rsidRDefault="00B83AB8" w:rsidP="00B83AB8">
      <w:pPr>
        <w:spacing w:after="0" w:line="360" w:lineRule="auto"/>
        <w:jc w:val="both"/>
        <w:rPr>
          <w:rFonts w:ascii="Arial" w:hAnsi="Arial" w:cs="Arial"/>
          <w:b/>
          <w:sz w:val="24"/>
          <w:szCs w:val="24"/>
          <w:lang w:val="en-ZA"/>
        </w:rPr>
      </w:pPr>
      <w:r w:rsidRPr="000006B7">
        <w:rPr>
          <w:rFonts w:ascii="Arial" w:hAnsi="Arial" w:cs="Arial"/>
          <w:b/>
          <w:sz w:val="24"/>
          <w:szCs w:val="24"/>
          <w:lang w:val="en-ZA"/>
        </w:rPr>
        <w:t>Delivered:</w:t>
      </w:r>
      <w:r w:rsidRPr="000006B7">
        <w:rPr>
          <w:rFonts w:ascii="Arial" w:hAnsi="Arial" w:cs="Arial"/>
          <w:b/>
          <w:sz w:val="24"/>
          <w:szCs w:val="24"/>
          <w:lang w:val="en-ZA"/>
        </w:rPr>
        <w:tab/>
        <w:t>28 October 2020</w:t>
      </w:r>
    </w:p>
    <w:p w:rsidR="00B83AB8" w:rsidRPr="000006B7" w:rsidRDefault="00B83AB8" w:rsidP="00B83AB8">
      <w:pPr>
        <w:spacing w:after="0" w:line="360" w:lineRule="auto"/>
        <w:jc w:val="both"/>
        <w:rPr>
          <w:rFonts w:ascii="Arial" w:hAnsi="Arial" w:cs="Arial"/>
          <w:b/>
          <w:sz w:val="24"/>
          <w:szCs w:val="24"/>
          <w:lang w:val="en-ZA"/>
        </w:rPr>
      </w:pPr>
      <w:r w:rsidRPr="000006B7">
        <w:rPr>
          <w:rFonts w:ascii="Arial" w:hAnsi="Arial" w:cs="Arial"/>
          <w:b/>
          <w:sz w:val="24"/>
          <w:szCs w:val="24"/>
          <w:lang w:val="en-ZA"/>
        </w:rPr>
        <w:t>Reasons:</w:t>
      </w:r>
      <w:r w:rsidRPr="000006B7">
        <w:rPr>
          <w:rFonts w:ascii="Arial" w:hAnsi="Arial" w:cs="Arial"/>
          <w:b/>
          <w:sz w:val="24"/>
          <w:szCs w:val="24"/>
          <w:lang w:val="en-ZA"/>
        </w:rPr>
        <w:tab/>
        <w:t>9 December 2020</w:t>
      </w:r>
    </w:p>
    <w:p w:rsidR="00B83AB8" w:rsidRDefault="00B83AB8" w:rsidP="00B83AB8">
      <w:pPr>
        <w:spacing w:after="0" w:line="360" w:lineRule="auto"/>
        <w:jc w:val="both"/>
        <w:rPr>
          <w:rFonts w:ascii="Arial" w:hAnsi="Arial" w:cs="Arial"/>
          <w:sz w:val="24"/>
          <w:szCs w:val="24"/>
          <w:lang w:val="en-ZA"/>
        </w:rPr>
      </w:pPr>
    </w:p>
    <w:p w:rsidR="00077F15" w:rsidRPr="00C7083E" w:rsidRDefault="00B83AB8" w:rsidP="00077F15">
      <w:pPr>
        <w:spacing w:after="0" w:line="360" w:lineRule="auto"/>
        <w:jc w:val="both"/>
        <w:rPr>
          <w:rFonts w:ascii="Arial" w:eastAsia="Times New Roman" w:hAnsi="Arial" w:cs="Arial"/>
          <w:b/>
          <w:sz w:val="24"/>
          <w:szCs w:val="24"/>
          <w:lang w:val="en-GB"/>
        </w:rPr>
      </w:pPr>
      <w:r w:rsidRPr="00077F15">
        <w:rPr>
          <w:rFonts w:ascii="Arial" w:hAnsi="Arial" w:cs="Arial"/>
          <w:b/>
          <w:sz w:val="24"/>
          <w:szCs w:val="24"/>
          <w:lang w:val="en-ZA"/>
        </w:rPr>
        <w:t>Flynote:</w:t>
      </w:r>
      <w:r>
        <w:rPr>
          <w:rFonts w:ascii="Arial" w:hAnsi="Arial" w:cs="Arial"/>
          <w:sz w:val="24"/>
          <w:szCs w:val="24"/>
          <w:lang w:val="en-ZA"/>
        </w:rPr>
        <w:tab/>
      </w:r>
      <w:r w:rsidR="00077F15" w:rsidRPr="00C7083E">
        <w:rPr>
          <w:rFonts w:ascii="Arial" w:eastAsia="Times New Roman" w:hAnsi="Arial" w:cs="Arial"/>
          <w:sz w:val="24"/>
          <w:szCs w:val="24"/>
          <w:lang w:val="en-GB"/>
        </w:rPr>
        <w:t>Civil law – Law of Delict -</w:t>
      </w:r>
      <w:r w:rsidR="00077F15" w:rsidRPr="00C7083E">
        <w:rPr>
          <w:rFonts w:ascii="Arial" w:eastAsia="Times New Roman" w:hAnsi="Arial" w:cs="Arial"/>
          <w:b/>
          <w:sz w:val="24"/>
          <w:szCs w:val="24"/>
          <w:lang w:val="en-GB"/>
        </w:rPr>
        <w:t xml:space="preserve"> </w:t>
      </w:r>
      <w:r w:rsidR="00077F15" w:rsidRPr="00C7083E">
        <w:rPr>
          <w:rFonts w:ascii="Arial" w:eastAsia="Times New Roman" w:hAnsi="Arial" w:cs="Arial"/>
          <w:i/>
          <w:sz w:val="24"/>
          <w:szCs w:val="24"/>
        </w:rPr>
        <w:t>condictio indebiti</w:t>
      </w:r>
      <w:r w:rsidR="00077F15" w:rsidRPr="00C7083E">
        <w:rPr>
          <w:rFonts w:ascii="Arial" w:eastAsia="Times New Roman" w:hAnsi="Arial" w:cs="Arial"/>
          <w:sz w:val="24"/>
          <w:szCs w:val="24"/>
        </w:rPr>
        <w:t xml:space="preserve"> – unjust enrichment – Requirements restated - the </w:t>
      </w:r>
      <w:r w:rsidR="00077F15">
        <w:rPr>
          <w:rFonts w:ascii="Arial" w:eastAsia="Times New Roman" w:hAnsi="Arial" w:cs="Arial"/>
          <w:sz w:val="24"/>
          <w:szCs w:val="24"/>
        </w:rPr>
        <w:t>respondent</w:t>
      </w:r>
      <w:r w:rsidR="00077F15" w:rsidRPr="00C7083E">
        <w:rPr>
          <w:rFonts w:ascii="Arial" w:eastAsia="Times New Roman" w:hAnsi="Arial" w:cs="Arial"/>
          <w:sz w:val="24"/>
          <w:szCs w:val="24"/>
        </w:rPr>
        <w:t xml:space="preserve"> must be enriched - </w:t>
      </w:r>
      <w:r w:rsidR="00077F15" w:rsidRPr="00C7083E">
        <w:rPr>
          <w:rFonts w:ascii="Arial" w:eastAsia="Times New Roman" w:hAnsi="Arial" w:cs="Arial"/>
          <w:iCs/>
          <w:sz w:val="24"/>
          <w:szCs w:val="24"/>
        </w:rPr>
        <w:t xml:space="preserve">the </w:t>
      </w:r>
      <w:r w:rsidR="00077F15">
        <w:rPr>
          <w:rFonts w:ascii="Arial" w:eastAsia="Times New Roman" w:hAnsi="Arial" w:cs="Arial"/>
          <w:iCs/>
          <w:sz w:val="24"/>
          <w:szCs w:val="24"/>
        </w:rPr>
        <w:t>applicants</w:t>
      </w:r>
      <w:r w:rsidR="00077F15" w:rsidRPr="00C7083E">
        <w:rPr>
          <w:rFonts w:ascii="Arial" w:eastAsia="Times New Roman" w:hAnsi="Arial" w:cs="Arial"/>
          <w:iCs/>
          <w:sz w:val="24"/>
          <w:szCs w:val="24"/>
        </w:rPr>
        <w:t xml:space="preserve"> must be impoverished</w:t>
      </w:r>
      <w:r w:rsidR="00077F15" w:rsidRPr="00C7083E">
        <w:rPr>
          <w:rFonts w:ascii="Arial" w:eastAsia="Times New Roman" w:hAnsi="Arial" w:cs="Arial"/>
          <w:sz w:val="24"/>
          <w:szCs w:val="24"/>
        </w:rPr>
        <w:t xml:space="preserve"> - </w:t>
      </w:r>
      <w:r w:rsidR="00077F15" w:rsidRPr="00C7083E">
        <w:rPr>
          <w:rFonts w:ascii="Arial" w:eastAsia="Times New Roman" w:hAnsi="Arial" w:cs="Arial"/>
          <w:iCs/>
          <w:sz w:val="24"/>
          <w:szCs w:val="24"/>
        </w:rPr>
        <w:t xml:space="preserve">the </w:t>
      </w:r>
      <w:r w:rsidR="00077F15">
        <w:rPr>
          <w:rFonts w:ascii="Arial" w:eastAsia="Times New Roman" w:hAnsi="Arial" w:cs="Arial"/>
          <w:iCs/>
          <w:sz w:val="24"/>
          <w:szCs w:val="24"/>
        </w:rPr>
        <w:t>respondent</w:t>
      </w:r>
      <w:r w:rsidR="00077F15" w:rsidRPr="00C7083E">
        <w:rPr>
          <w:rFonts w:ascii="Arial" w:eastAsia="Times New Roman" w:hAnsi="Arial" w:cs="Arial"/>
          <w:iCs/>
          <w:sz w:val="24"/>
          <w:szCs w:val="24"/>
        </w:rPr>
        <w:t xml:space="preserve">’s enrichment must be at the expense of the </w:t>
      </w:r>
      <w:r w:rsidR="00077F15">
        <w:rPr>
          <w:rFonts w:ascii="Arial" w:eastAsia="Times New Roman" w:hAnsi="Arial" w:cs="Arial"/>
          <w:iCs/>
          <w:sz w:val="24"/>
          <w:szCs w:val="24"/>
        </w:rPr>
        <w:t>applicants</w:t>
      </w:r>
      <w:r w:rsidR="00077F15" w:rsidRPr="00C7083E">
        <w:rPr>
          <w:rFonts w:ascii="Arial" w:eastAsia="Times New Roman" w:hAnsi="Arial" w:cs="Arial"/>
          <w:sz w:val="24"/>
          <w:szCs w:val="24"/>
        </w:rPr>
        <w:t xml:space="preserve"> - </w:t>
      </w:r>
      <w:r w:rsidR="00077F15" w:rsidRPr="00C7083E">
        <w:rPr>
          <w:rFonts w:ascii="Arial" w:eastAsia="Times New Roman" w:hAnsi="Arial" w:cs="Arial"/>
          <w:iCs/>
          <w:sz w:val="24"/>
          <w:szCs w:val="24"/>
        </w:rPr>
        <w:t>the enrichment must be unjustified</w:t>
      </w:r>
      <w:r w:rsidR="00077F15" w:rsidRPr="00C7083E">
        <w:rPr>
          <w:rFonts w:ascii="Arial" w:eastAsia="Times New Roman" w:hAnsi="Arial" w:cs="Arial"/>
          <w:sz w:val="24"/>
          <w:szCs w:val="24"/>
        </w:rPr>
        <w:t xml:space="preserve"> - </w:t>
      </w:r>
      <w:r w:rsidR="00077F15" w:rsidRPr="00C7083E">
        <w:rPr>
          <w:rFonts w:ascii="Arial" w:eastAsia="Times New Roman" w:hAnsi="Arial" w:cs="Arial"/>
          <w:sz w:val="24"/>
          <w:szCs w:val="24"/>
          <w:lang w:eastAsia="en-ZA"/>
        </w:rPr>
        <w:t>claimant needs</w:t>
      </w:r>
      <w:r w:rsidR="00077F15">
        <w:rPr>
          <w:rFonts w:ascii="Arial" w:eastAsia="Times New Roman" w:hAnsi="Arial" w:cs="Arial"/>
          <w:sz w:val="24"/>
          <w:szCs w:val="24"/>
          <w:lang w:eastAsia="en-ZA"/>
        </w:rPr>
        <w:t xml:space="preserve"> to prove an 'excusable' error </w:t>
      </w:r>
      <w:r w:rsidR="00077F15" w:rsidRPr="00C7083E">
        <w:rPr>
          <w:rFonts w:ascii="Arial" w:eastAsia="Times New Roman" w:hAnsi="Arial" w:cs="Arial"/>
          <w:sz w:val="24"/>
          <w:szCs w:val="24"/>
        </w:rPr>
        <w:t>– Summary Judgement</w:t>
      </w:r>
      <w:r w:rsidR="00077F15">
        <w:rPr>
          <w:rFonts w:ascii="Arial" w:eastAsia="Times New Roman" w:hAnsi="Arial" w:cs="Arial"/>
          <w:sz w:val="24"/>
          <w:szCs w:val="24"/>
        </w:rPr>
        <w:t>.</w:t>
      </w:r>
    </w:p>
    <w:p w:rsidR="00B83AB8" w:rsidRDefault="00B83AB8" w:rsidP="00B83AB8">
      <w:pPr>
        <w:spacing w:after="0" w:line="360" w:lineRule="auto"/>
        <w:jc w:val="both"/>
        <w:rPr>
          <w:rFonts w:ascii="Arial" w:hAnsi="Arial" w:cs="Arial"/>
          <w:sz w:val="24"/>
          <w:szCs w:val="24"/>
          <w:lang w:val="en-ZA"/>
        </w:rPr>
      </w:pPr>
    </w:p>
    <w:p w:rsidR="00077F15" w:rsidRPr="00C7083E" w:rsidRDefault="00B83AB8" w:rsidP="00077F15">
      <w:pPr>
        <w:spacing w:before="240" w:line="360" w:lineRule="auto"/>
        <w:jc w:val="both"/>
        <w:rPr>
          <w:rFonts w:ascii="Arial" w:hAnsi="Arial" w:cs="Arial"/>
          <w:sz w:val="24"/>
          <w:szCs w:val="24"/>
        </w:rPr>
      </w:pPr>
      <w:r w:rsidRPr="00077F15">
        <w:rPr>
          <w:rFonts w:ascii="Arial" w:hAnsi="Arial" w:cs="Arial"/>
          <w:b/>
          <w:sz w:val="24"/>
          <w:szCs w:val="24"/>
          <w:lang w:val="en-ZA"/>
        </w:rPr>
        <w:t>Summary:</w:t>
      </w:r>
      <w:r>
        <w:rPr>
          <w:rFonts w:ascii="Arial" w:hAnsi="Arial" w:cs="Arial"/>
          <w:sz w:val="24"/>
          <w:szCs w:val="24"/>
          <w:lang w:val="en-ZA"/>
        </w:rPr>
        <w:tab/>
      </w:r>
      <w:r w:rsidR="00077F15" w:rsidRPr="00C7083E">
        <w:rPr>
          <w:rFonts w:ascii="Arial" w:eastAsia="Times New Roman" w:hAnsi="Arial" w:cs="Arial"/>
          <w:sz w:val="24"/>
          <w:szCs w:val="24"/>
        </w:rPr>
        <w:t xml:space="preserve">This is an application for summary judgment in terms of Rule 60 of the Rules of the High Court brought against the </w:t>
      </w:r>
      <w:r w:rsidR="00077F15">
        <w:rPr>
          <w:rFonts w:ascii="Arial" w:eastAsia="Times New Roman" w:hAnsi="Arial" w:cs="Arial"/>
          <w:sz w:val="24"/>
          <w:szCs w:val="24"/>
        </w:rPr>
        <w:t>respondent</w:t>
      </w:r>
      <w:r w:rsidR="00077F15" w:rsidRPr="00C7083E">
        <w:rPr>
          <w:rFonts w:ascii="Arial" w:eastAsia="Times New Roman" w:hAnsi="Arial" w:cs="Arial"/>
          <w:sz w:val="24"/>
          <w:szCs w:val="24"/>
        </w:rPr>
        <w:t xml:space="preserve">s. The </w:t>
      </w:r>
      <w:r w:rsidR="00077F15">
        <w:rPr>
          <w:rFonts w:ascii="Arial" w:eastAsia="Times New Roman" w:hAnsi="Arial" w:cs="Arial"/>
          <w:sz w:val="24"/>
          <w:szCs w:val="24"/>
        </w:rPr>
        <w:t>applicants</w:t>
      </w:r>
      <w:r w:rsidR="00077F15" w:rsidRPr="00C7083E">
        <w:rPr>
          <w:rFonts w:ascii="Arial" w:eastAsia="Times New Roman" w:hAnsi="Arial" w:cs="Arial"/>
          <w:sz w:val="24"/>
          <w:szCs w:val="24"/>
        </w:rPr>
        <w:t xml:space="preserve"> instituted action against the </w:t>
      </w:r>
      <w:r w:rsidR="00077F15">
        <w:rPr>
          <w:rFonts w:ascii="Arial" w:eastAsia="Times New Roman" w:hAnsi="Arial" w:cs="Arial"/>
          <w:sz w:val="24"/>
          <w:szCs w:val="24"/>
        </w:rPr>
        <w:t>respondent</w:t>
      </w:r>
      <w:r w:rsidR="00077F15" w:rsidRPr="00C7083E">
        <w:rPr>
          <w:rFonts w:ascii="Arial" w:eastAsia="Times New Roman" w:hAnsi="Arial" w:cs="Arial"/>
          <w:sz w:val="24"/>
          <w:szCs w:val="24"/>
        </w:rPr>
        <w:t xml:space="preserve">s for monies owed to the now liquidated SME Bank. </w:t>
      </w:r>
      <w:r w:rsidR="00077F15" w:rsidRPr="00C7083E">
        <w:rPr>
          <w:rFonts w:ascii="Arial" w:hAnsi="Arial" w:cs="Arial"/>
          <w:sz w:val="24"/>
          <w:szCs w:val="24"/>
        </w:rPr>
        <w:t xml:space="preserve">The </w:t>
      </w:r>
      <w:r w:rsidR="00077F15">
        <w:rPr>
          <w:rFonts w:ascii="Arial" w:hAnsi="Arial" w:cs="Arial"/>
          <w:sz w:val="24"/>
          <w:szCs w:val="24"/>
        </w:rPr>
        <w:t>applicants</w:t>
      </w:r>
      <w:r w:rsidR="00077F15" w:rsidRPr="00C7083E">
        <w:rPr>
          <w:rFonts w:ascii="Arial" w:hAnsi="Arial" w:cs="Arial"/>
          <w:sz w:val="24"/>
          <w:szCs w:val="24"/>
        </w:rPr>
        <w:t xml:space="preserve"> allege that the monies stolen from the SME Bank were funneled through AMFS (acting as conduit), for the benefit of the </w:t>
      </w:r>
      <w:r w:rsidR="00077F15">
        <w:rPr>
          <w:rFonts w:ascii="Arial" w:hAnsi="Arial" w:cs="Arial"/>
          <w:sz w:val="24"/>
          <w:szCs w:val="24"/>
        </w:rPr>
        <w:t>respondent</w:t>
      </w:r>
      <w:r w:rsidR="00077F15" w:rsidRPr="00C7083E">
        <w:rPr>
          <w:rFonts w:ascii="Arial" w:hAnsi="Arial" w:cs="Arial"/>
          <w:sz w:val="24"/>
          <w:szCs w:val="24"/>
        </w:rPr>
        <w:t xml:space="preserve">s. AMFS was accordingly the conduit, and the money was so funneled for the benefit of the </w:t>
      </w:r>
      <w:r w:rsidR="00077F15">
        <w:rPr>
          <w:rFonts w:ascii="Arial" w:hAnsi="Arial" w:cs="Arial"/>
          <w:sz w:val="24"/>
          <w:szCs w:val="24"/>
        </w:rPr>
        <w:t>respondent</w:t>
      </w:r>
      <w:r w:rsidR="00077F15" w:rsidRPr="00C7083E">
        <w:rPr>
          <w:rFonts w:ascii="Arial" w:hAnsi="Arial" w:cs="Arial"/>
          <w:sz w:val="24"/>
          <w:szCs w:val="24"/>
        </w:rPr>
        <w:t xml:space="preserve">s, being the ultimate recipients. It is the </w:t>
      </w:r>
      <w:r w:rsidR="00077F15">
        <w:rPr>
          <w:rFonts w:ascii="Arial" w:hAnsi="Arial" w:cs="Arial"/>
          <w:sz w:val="24"/>
          <w:szCs w:val="24"/>
        </w:rPr>
        <w:t>applicants</w:t>
      </w:r>
      <w:r w:rsidR="00077F15" w:rsidRPr="00C7083E">
        <w:rPr>
          <w:rFonts w:ascii="Arial" w:hAnsi="Arial" w:cs="Arial"/>
          <w:sz w:val="24"/>
          <w:szCs w:val="24"/>
        </w:rPr>
        <w:t xml:space="preserve">’ position that the </w:t>
      </w:r>
      <w:r w:rsidR="00077F15">
        <w:rPr>
          <w:rFonts w:ascii="Arial" w:hAnsi="Arial" w:cs="Arial"/>
          <w:sz w:val="24"/>
          <w:szCs w:val="24"/>
        </w:rPr>
        <w:t>respondent</w:t>
      </w:r>
      <w:r w:rsidR="00077F15" w:rsidRPr="00C7083E">
        <w:rPr>
          <w:rFonts w:ascii="Arial" w:hAnsi="Arial" w:cs="Arial"/>
          <w:sz w:val="24"/>
          <w:szCs w:val="24"/>
        </w:rPr>
        <w:t xml:space="preserve">s are therefore the recipients of the monies. The </w:t>
      </w:r>
      <w:r w:rsidR="00077F15">
        <w:rPr>
          <w:rFonts w:ascii="Arial" w:hAnsi="Arial" w:cs="Arial"/>
          <w:sz w:val="24"/>
          <w:szCs w:val="24"/>
        </w:rPr>
        <w:t>applicants</w:t>
      </w:r>
      <w:r w:rsidR="00077F15" w:rsidRPr="00C7083E">
        <w:rPr>
          <w:rFonts w:ascii="Arial" w:hAnsi="Arial" w:cs="Arial"/>
          <w:sz w:val="24"/>
          <w:szCs w:val="24"/>
        </w:rPr>
        <w:t xml:space="preserve"> set out the manner in which the money flowed, including the internal procedures of the treasury department of SME Bank.</w:t>
      </w:r>
    </w:p>
    <w:p w:rsidR="00077F15" w:rsidRDefault="00077F15" w:rsidP="00077F15">
      <w:pPr>
        <w:spacing w:before="240" w:line="360" w:lineRule="auto"/>
        <w:jc w:val="both"/>
        <w:rPr>
          <w:rFonts w:ascii="Arial" w:eastAsia="Times New Roman" w:hAnsi="Arial" w:cs="Arial"/>
          <w:sz w:val="24"/>
          <w:szCs w:val="24"/>
          <w:lang w:eastAsia="en-ZA"/>
        </w:rPr>
      </w:pPr>
      <w:r w:rsidRPr="00C7083E">
        <w:rPr>
          <w:rFonts w:ascii="Arial" w:hAnsi="Arial" w:cs="Arial"/>
          <w:sz w:val="24"/>
          <w:szCs w:val="24"/>
        </w:rPr>
        <w:t xml:space="preserve">The third </w:t>
      </w:r>
      <w:r>
        <w:rPr>
          <w:rFonts w:ascii="Arial" w:hAnsi="Arial" w:cs="Arial"/>
          <w:sz w:val="24"/>
          <w:szCs w:val="24"/>
        </w:rPr>
        <w:t>respondent</w:t>
      </w:r>
      <w:r w:rsidRPr="00C7083E">
        <w:rPr>
          <w:rFonts w:ascii="Arial" w:hAnsi="Arial" w:cs="Arial"/>
          <w:sz w:val="24"/>
          <w:szCs w:val="24"/>
        </w:rPr>
        <w:t xml:space="preserve"> opposed the application for summary judgment. The third </w:t>
      </w:r>
      <w:r>
        <w:rPr>
          <w:rFonts w:ascii="Arial" w:hAnsi="Arial" w:cs="Arial"/>
          <w:sz w:val="24"/>
          <w:szCs w:val="24"/>
        </w:rPr>
        <w:t>respondent</w:t>
      </w:r>
      <w:r w:rsidRPr="00C7083E">
        <w:rPr>
          <w:rFonts w:ascii="Arial" w:hAnsi="Arial" w:cs="Arial"/>
          <w:sz w:val="24"/>
          <w:szCs w:val="24"/>
        </w:rPr>
        <w:t xml:space="preserve"> did not deny receiving the alleged funds but however stated that same was received as a loan from a certain Mr Kamushinda and that that he had no relationship with SME Bank. The third </w:t>
      </w:r>
      <w:r>
        <w:rPr>
          <w:rFonts w:ascii="Arial" w:hAnsi="Arial" w:cs="Arial"/>
          <w:sz w:val="24"/>
          <w:szCs w:val="24"/>
        </w:rPr>
        <w:t>respondent</w:t>
      </w:r>
      <w:r w:rsidRPr="00C7083E">
        <w:rPr>
          <w:rFonts w:ascii="Arial" w:hAnsi="Arial" w:cs="Arial"/>
          <w:sz w:val="24"/>
          <w:szCs w:val="24"/>
        </w:rPr>
        <w:t xml:space="preserve"> received different payments, seemingly from SME Bank, which were funneled through from various entities, and a direct payment of </w:t>
      </w:r>
      <w:r w:rsidRPr="00C7083E">
        <w:rPr>
          <w:rFonts w:ascii="Arial" w:eastAsia="Times New Roman" w:hAnsi="Arial" w:cs="Arial"/>
          <w:sz w:val="24"/>
          <w:szCs w:val="24"/>
          <w:lang w:eastAsia="en-ZA"/>
        </w:rPr>
        <w:t>N$60 000 from Mr Kamushinda. The dates of the direct payments were not canvassed in the pleadings.</w:t>
      </w:r>
    </w:p>
    <w:p w:rsidR="000006B7" w:rsidRPr="00C7083E" w:rsidRDefault="000006B7" w:rsidP="00077F15">
      <w:pPr>
        <w:spacing w:before="240" w:line="360" w:lineRule="auto"/>
        <w:jc w:val="both"/>
        <w:rPr>
          <w:rFonts w:ascii="Arial" w:eastAsia="Times New Roman" w:hAnsi="Arial" w:cs="Arial"/>
          <w:sz w:val="24"/>
          <w:szCs w:val="24"/>
          <w:lang w:eastAsia="en-ZA"/>
        </w:rPr>
      </w:pPr>
    </w:p>
    <w:p w:rsidR="00B83AB8" w:rsidRDefault="00077F15" w:rsidP="00077F15">
      <w:pPr>
        <w:spacing w:after="0" w:line="360" w:lineRule="auto"/>
        <w:jc w:val="both"/>
        <w:rPr>
          <w:rFonts w:ascii="Arial" w:hAnsi="Arial" w:cs="Arial"/>
          <w:sz w:val="24"/>
          <w:szCs w:val="24"/>
          <w:lang w:val="en-ZA"/>
        </w:rPr>
      </w:pPr>
      <w:r w:rsidRPr="00C7083E">
        <w:rPr>
          <w:rFonts w:ascii="Arial" w:eastAsia="Times New Roman" w:hAnsi="Arial" w:cs="Arial"/>
          <w:sz w:val="24"/>
          <w:szCs w:val="24"/>
          <w:lang w:eastAsia="en-ZA"/>
        </w:rPr>
        <w:t xml:space="preserve">The </w:t>
      </w:r>
      <w:r>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based its claim on the </w:t>
      </w:r>
      <w:r w:rsidRPr="00C7083E">
        <w:rPr>
          <w:rFonts w:ascii="Arial" w:eastAsia="Times New Roman" w:hAnsi="Arial" w:cs="Arial"/>
          <w:i/>
          <w:sz w:val="24"/>
          <w:szCs w:val="24"/>
          <w:lang w:eastAsia="en-ZA"/>
        </w:rPr>
        <w:t>condictio indebiti</w:t>
      </w:r>
      <w:r w:rsidRPr="00C7083E">
        <w:rPr>
          <w:rFonts w:ascii="Arial" w:hAnsi="Arial" w:cs="Arial"/>
          <w:sz w:val="24"/>
          <w:szCs w:val="24"/>
        </w:rPr>
        <w:t xml:space="preserve"> alternatively, the </w:t>
      </w:r>
      <w:r w:rsidRPr="00C7083E">
        <w:rPr>
          <w:rFonts w:ascii="Arial" w:hAnsi="Arial" w:cs="Arial"/>
          <w:i/>
          <w:sz w:val="24"/>
          <w:szCs w:val="24"/>
        </w:rPr>
        <w:t>condictio furtive</w:t>
      </w:r>
    </w:p>
    <w:p w:rsidR="00B83AB8" w:rsidRPr="009D7AFE" w:rsidRDefault="00B83AB8" w:rsidP="00B83AB8">
      <w:pPr>
        <w:spacing w:after="0" w:line="360" w:lineRule="auto"/>
        <w:jc w:val="both"/>
        <w:rPr>
          <w:rFonts w:ascii="Arial" w:hAnsi="Arial" w:cs="Arial"/>
          <w:sz w:val="24"/>
          <w:szCs w:val="24"/>
          <w:lang w:val="en-ZA"/>
        </w:rPr>
      </w:pPr>
    </w:p>
    <w:p w:rsidR="00B83AB8" w:rsidRPr="006E026B" w:rsidRDefault="00556311" w:rsidP="00B83AB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B83AB8" w:rsidRDefault="000006B7" w:rsidP="00B83AB8">
      <w:pPr>
        <w:spacing w:after="0" w:line="360" w:lineRule="auto"/>
        <w:jc w:val="center"/>
        <w:rPr>
          <w:rFonts w:ascii="Arial" w:hAnsi="Arial" w:cs="Arial"/>
          <w:b/>
          <w:sz w:val="24"/>
          <w:szCs w:val="24"/>
        </w:rPr>
      </w:pPr>
      <w:r>
        <w:rPr>
          <w:rFonts w:ascii="Arial" w:hAnsi="Arial" w:cs="Arial"/>
          <w:b/>
          <w:sz w:val="24"/>
          <w:szCs w:val="24"/>
        </w:rPr>
        <w:t>REASONS</w:t>
      </w:r>
    </w:p>
    <w:p w:rsidR="00B83AB8" w:rsidRPr="006E026B" w:rsidRDefault="00556311" w:rsidP="00B83AB8">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B83AB8" w:rsidRDefault="00B83AB8" w:rsidP="00B83AB8">
      <w:pPr>
        <w:spacing w:line="360" w:lineRule="auto"/>
        <w:jc w:val="both"/>
        <w:rPr>
          <w:rFonts w:ascii="Arial" w:hAnsi="Arial" w:cs="Arial"/>
          <w:u w:val="single"/>
        </w:rPr>
      </w:pPr>
    </w:p>
    <w:p w:rsidR="00B83AB8" w:rsidRPr="00DC7C93" w:rsidRDefault="00B83AB8" w:rsidP="00B83AB8">
      <w:pPr>
        <w:spacing w:after="0" w:line="360" w:lineRule="auto"/>
        <w:jc w:val="both"/>
        <w:rPr>
          <w:rFonts w:ascii="Arial" w:hAnsi="Arial" w:cs="Arial"/>
          <w:sz w:val="24"/>
          <w:szCs w:val="24"/>
          <w:u w:val="single"/>
        </w:rPr>
      </w:pPr>
      <w:r w:rsidRPr="00DC7C93">
        <w:rPr>
          <w:rFonts w:ascii="Arial" w:hAnsi="Arial" w:cs="Arial"/>
          <w:sz w:val="24"/>
          <w:szCs w:val="24"/>
          <w:u w:val="single"/>
        </w:rPr>
        <w:lastRenderedPageBreak/>
        <w:t xml:space="preserve">Introduction: </w:t>
      </w:r>
    </w:p>
    <w:p w:rsidR="00B83AB8" w:rsidRDefault="00B83AB8" w:rsidP="00B83AB8">
      <w:pPr>
        <w:spacing w:after="0" w:line="360" w:lineRule="auto"/>
        <w:contextualSpacing/>
        <w:jc w:val="both"/>
        <w:rPr>
          <w:rFonts w:ascii="Arial" w:hAnsi="Arial" w:cs="Arial"/>
          <w:sz w:val="24"/>
          <w:szCs w:val="24"/>
        </w:rPr>
      </w:pPr>
    </w:p>
    <w:p w:rsidR="00B83AB8" w:rsidRDefault="00B83AB8" w:rsidP="00B83AB8">
      <w:pPr>
        <w:spacing w:line="360" w:lineRule="auto"/>
        <w:contextualSpacing/>
        <w:jc w:val="both"/>
        <w:rPr>
          <w:rFonts w:ascii="Arial" w:hAnsi="Arial" w:cs="Arial"/>
          <w:sz w:val="24"/>
          <w:szCs w:val="24"/>
        </w:rPr>
      </w:pPr>
      <w:r w:rsidRPr="00C902AA">
        <w:rPr>
          <w:rFonts w:ascii="Arial" w:hAnsi="Arial" w:cs="Arial"/>
          <w:sz w:val="24"/>
          <w:szCs w:val="24"/>
        </w:rPr>
        <w:t>[1]</w:t>
      </w:r>
      <w:r w:rsidRPr="00C902AA">
        <w:rPr>
          <w:rFonts w:ascii="Arial" w:hAnsi="Arial" w:cs="Arial"/>
          <w:sz w:val="24"/>
          <w:szCs w:val="24"/>
        </w:rPr>
        <w:tab/>
        <w:t xml:space="preserve">On </w:t>
      </w:r>
      <w:r>
        <w:rPr>
          <w:rFonts w:ascii="Arial" w:hAnsi="Arial" w:cs="Arial"/>
          <w:sz w:val="24"/>
          <w:szCs w:val="24"/>
        </w:rPr>
        <w:t>28 October 2020</w:t>
      </w:r>
      <w:r w:rsidRPr="00C902AA">
        <w:rPr>
          <w:rFonts w:ascii="Arial" w:hAnsi="Arial" w:cs="Arial"/>
          <w:sz w:val="24"/>
          <w:szCs w:val="24"/>
        </w:rPr>
        <w:t xml:space="preserve">, having heard and considered counsels’ arguments </w:t>
      </w:r>
      <w:r>
        <w:rPr>
          <w:rFonts w:ascii="Arial" w:hAnsi="Arial" w:cs="Arial"/>
          <w:sz w:val="24"/>
          <w:szCs w:val="24"/>
        </w:rPr>
        <w:t>on the on the summary judgment application in respect of the first</w:t>
      </w:r>
      <w:r w:rsidR="00B70462">
        <w:rPr>
          <w:rFonts w:ascii="Arial" w:hAnsi="Arial" w:cs="Arial"/>
          <w:sz w:val="24"/>
          <w:szCs w:val="24"/>
        </w:rPr>
        <w:t xml:space="preserve"> defendant</w:t>
      </w:r>
      <w:r>
        <w:rPr>
          <w:rFonts w:ascii="Arial" w:hAnsi="Arial" w:cs="Arial"/>
          <w:sz w:val="24"/>
          <w:szCs w:val="24"/>
        </w:rPr>
        <w:t>,</w:t>
      </w:r>
      <w:r w:rsidRPr="00C902AA">
        <w:rPr>
          <w:rFonts w:ascii="Arial" w:hAnsi="Arial" w:cs="Arial"/>
          <w:sz w:val="24"/>
          <w:szCs w:val="24"/>
        </w:rPr>
        <w:t xml:space="preserve"> the Court made an order in the following terms:</w:t>
      </w:r>
    </w:p>
    <w:p w:rsidR="00B70462" w:rsidRPr="00B70462" w:rsidRDefault="00B83AB8" w:rsidP="000006B7">
      <w:pPr>
        <w:pStyle w:val="bold"/>
        <w:spacing w:line="360" w:lineRule="auto"/>
        <w:ind w:firstLine="720"/>
        <w:jc w:val="both"/>
        <w:rPr>
          <w:rFonts w:ascii="Arial" w:hAnsi="Arial" w:cs="Arial"/>
          <w:b/>
          <w:bCs/>
          <w:color w:val="000000"/>
          <w:sz w:val="22"/>
          <w:szCs w:val="22"/>
        </w:rPr>
      </w:pPr>
      <w:r w:rsidRPr="00B70462">
        <w:rPr>
          <w:rFonts w:ascii="Arial" w:hAnsi="Arial" w:cs="Arial"/>
          <w:sz w:val="22"/>
          <w:szCs w:val="22"/>
        </w:rPr>
        <w:t>‘</w:t>
      </w:r>
      <w:r w:rsidR="00B70462" w:rsidRPr="00B70462">
        <w:rPr>
          <w:rFonts w:ascii="Arial" w:hAnsi="Arial" w:cs="Arial"/>
          <w:b/>
          <w:bCs/>
          <w:color w:val="000000"/>
          <w:sz w:val="22"/>
          <w:szCs w:val="22"/>
        </w:rPr>
        <w:t>Summary judgment is granted in respect of the </w:t>
      </w:r>
      <w:r w:rsidR="00B70462" w:rsidRPr="00B70462">
        <w:rPr>
          <w:rFonts w:ascii="Arial" w:hAnsi="Arial" w:cs="Arial"/>
          <w:b/>
          <w:bCs/>
          <w:color w:val="000000"/>
          <w:sz w:val="22"/>
          <w:szCs w:val="22"/>
          <w:u w:val="single"/>
        </w:rPr>
        <w:t>First Defendant</w:t>
      </w:r>
      <w:r w:rsidR="00B70462" w:rsidRPr="00B70462">
        <w:rPr>
          <w:rFonts w:ascii="Arial" w:hAnsi="Arial" w:cs="Arial"/>
          <w:b/>
          <w:bCs/>
          <w:color w:val="000000"/>
          <w:sz w:val="22"/>
          <w:szCs w:val="22"/>
        </w:rPr>
        <w:t> in the following terms:</w:t>
      </w:r>
    </w:p>
    <w:p w:rsidR="00B70462" w:rsidRPr="00B70462" w:rsidRDefault="00B70462" w:rsidP="000006B7">
      <w:pPr>
        <w:numPr>
          <w:ilvl w:val="0"/>
          <w:numId w:val="1"/>
        </w:numPr>
        <w:spacing w:before="100" w:beforeAutospacing="1" w:after="100" w:afterAutospacing="1" w:line="360" w:lineRule="auto"/>
        <w:ind w:left="180"/>
        <w:jc w:val="both"/>
        <w:rPr>
          <w:rFonts w:ascii="Arial" w:eastAsia="Times New Roman" w:hAnsi="Arial" w:cs="Arial"/>
          <w:color w:val="000000"/>
          <w:lang w:val="en-ZA" w:eastAsia="en-ZA"/>
        </w:rPr>
      </w:pPr>
      <w:r w:rsidRPr="00B70462">
        <w:rPr>
          <w:rFonts w:ascii="Arial" w:eastAsia="Times New Roman" w:hAnsi="Arial" w:cs="Arial"/>
          <w:color w:val="000000"/>
          <w:lang w:val="en-ZA" w:eastAsia="en-ZA"/>
        </w:rPr>
        <w:t>Payment in the amount of N$ 300 000;</w:t>
      </w:r>
    </w:p>
    <w:p w:rsidR="00B70462" w:rsidRPr="00B70462" w:rsidRDefault="00B70462" w:rsidP="000006B7">
      <w:pPr>
        <w:numPr>
          <w:ilvl w:val="0"/>
          <w:numId w:val="1"/>
        </w:numPr>
        <w:spacing w:before="100" w:beforeAutospacing="1" w:after="100" w:afterAutospacing="1" w:line="360" w:lineRule="auto"/>
        <w:ind w:left="180"/>
        <w:jc w:val="both"/>
        <w:rPr>
          <w:rFonts w:ascii="Arial" w:eastAsia="Times New Roman" w:hAnsi="Arial" w:cs="Arial"/>
          <w:color w:val="000000"/>
          <w:lang w:val="en-ZA" w:eastAsia="en-ZA"/>
        </w:rPr>
      </w:pPr>
      <w:r w:rsidRPr="00B70462">
        <w:rPr>
          <w:rFonts w:ascii="Arial" w:eastAsia="Times New Roman" w:hAnsi="Arial" w:cs="Arial"/>
          <w:color w:val="000000"/>
          <w:lang w:val="en-ZA" w:eastAsia="en-ZA"/>
        </w:rPr>
        <w:t>Interest on the amount of N$ 300 000 at the rate of 20% per annum from date of summons until date of payment;</w:t>
      </w:r>
    </w:p>
    <w:p w:rsidR="00B70462" w:rsidRPr="00B70462" w:rsidRDefault="00B70462" w:rsidP="000006B7">
      <w:pPr>
        <w:numPr>
          <w:ilvl w:val="0"/>
          <w:numId w:val="1"/>
        </w:numPr>
        <w:spacing w:before="100" w:beforeAutospacing="1" w:after="100" w:afterAutospacing="1" w:line="360" w:lineRule="auto"/>
        <w:ind w:left="180"/>
        <w:jc w:val="both"/>
        <w:rPr>
          <w:rFonts w:ascii="Arial" w:eastAsia="Times New Roman" w:hAnsi="Arial" w:cs="Arial"/>
          <w:color w:val="000000"/>
          <w:lang w:val="en-ZA" w:eastAsia="en-ZA"/>
        </w:rPr>
      </w:pPr>
      <w:r w:rsidRPr="00B70462">
        <w:rPr>
          <w:rFonts w:ascii="Arial" w:eastAsia="Times New Roman" w:hAnsi="Arial" w:cs="Arial"/>
          <w:color w:val="000000"/>
          <w:lang w:val="en-ZA" w:eastAsia="en-ZA"/>
        </w:rPr>
        <w:t>Cost of suit, such cost to include the cost of one instructing and two instructed counsel. </w:t>
      </w:r>
    </w:p>
    <w:p w:rsidR="00B70462" w:rsidRPr="00B70462" w:rsidRDefault="00B70462" w:rsidP="000006B7">
      <w:pPr>
        <w:spacing w:before="100" w:beforeAutospacing="1" w:after="100" w:afterAutospacing="1" w:line="360" w:lineRule="auto"/>
        <w:jc w:val="both"/>
        <w:rPr>
          <w:rFonts w:ascii="Arial" w:eastAsia="Times New Roman" w:hAnsi="Arial" w:cs="Arial"/>
          <w:color w:val="000000"/>
          <w:lang w:val="en-ZA" w:eastAsia="en-ZA"/>
        </w:rPr>
      </w:pPr>
      <w:r w:rsidRPr="00B70462">
        <w:rPr>
          <w:rFonts w:ascii="Arial" w:eastAsia="Times New Roman" w:hAnsi="Arial" w:cs="Arial"/>
          <w:color w:val="000000"/>
          <w:lang w:val="en-ZA" w:eastAsia="en-ZA"/>
        </w:rPr>
        <w:t>Matter is removed from the roll: Others</w:t>
      </w:r>
      <w:r w:rsidR="000006B7">
        <w:rPr>
          <w:rFonts w:ascii="Arial" w:eastAsia="Times New Roman" w:hAnsi="Arial" w:cs="Arial"/>
          <w:color w:val="000000"/>
          <w:lang w:val="en-ZA" w:eastAsia="en-ZA"/>
        </w:rPr>
        <w:t>’</w:t>
      </w:r>
    </w:p>
    <w:p w:rsidR="00B70462" w:rsidRPr="00B70462" w:rsidRDefault="00B70462" w:rsidP="00B70462">
      <w:pPr>
        <w:spacing w:before="100" w:beforeAutospacing="1" w:after="100" w:afterAutospacing="1" w:line="240" w:lineRule="auto"/>
        <w:jc w:val="both"/>
        <w:rPr>
          <w:rFonts w:ascii="Arial" w:eastAsia="Times New Roman" w:hAnsi="Arial" w:cs="Arial"/>
          <w:color w:val="000000"/>
          <w:lang w:val="en-ZA" w:eastAsia="en-ZA"/>
        </w:rPr>
      </w:pPr>
      <w:r w:rsidRPr="00B70462">
        <w:rPr>
          <w:rFonts w:ascii="Arial" w:eastAsia="Times New Roman" w:hAnsi="Arial" w:cs="Arial"/>
          <w:b/>
          <w:bCs/>
          <w:color w:val="000000"/>
          <w:u w:val="single"/>
          <w:lang w:val="en-ZA" w:eastAsia="en-ZA"/>
        </w:rPr>
        <w:t>Third Defendant</w:t>
      </w:r>
      <w:r w:rsidRPr="00B70462">
        <w:rPr>
          <w:rFonts w:ascii="Arial" w:eastAsia="Times New Roman" w:hAnsi="Arial" w:cs="Arial"/>
          <w:color w:val="000000"/>
          <w:lang w:val="en-ZA" w:eastAsia="en-ZA"/>
        </w:rPr>
        <w:t>: Summons remains unserved.</w:t>
      </w:r>
      <w:r>
        <w:rPr>
          <w:rFonts w:ascii="Arial" w:eastAsia="Times New Roman" w:hAnsi="Arial" w:cs="Arial"/>
          <w:color w:val="000000"/>
          <w:lang w:val="en-ZA" w:eastAsia="en-ZA"/>
        </w:rPr>
        <w:t>’</w:t>
      </w:r>
      <w:r w:rsidRPr="00B70462">
        <w:rPr>
          <w:rFonts w:ascii="Arial" w:eastAsia="Times New Roman" w:hAnsi="Arial" w:cs="Arial"/>
          <w:color w:val="000000"/>
          <w:lang w:val="en-ZA" w:eastAsia="en-ZA"/>
        </w:rPr>
        <w:t>     </w:t>
      </w:r>
    </w:p>
    <w:p w:rsidR="00B83AB8" w:rsidRDefault="00B83AB8" w:rsidP="00B70462">
      <w:pPr>
        <w:spacing w:after="0" w:line="360" w:lineRule="auto"/>
        <w:jc w:val="both"/>
        <w:rPr>
          <w:rFonts w:ascii="Arial" w:hAnsi="Arial" w:cs="Arial"/>
        </w:rPr>
      </w:pPr>
    </w:p>
    <w:p w:rsidR="00B83AB8" w:rsidRPr="00D22B43" w:rsidRDefault="00B83AB8" w:rsidP="00B83AB8">
      <w:pPr>
        <w:spacing w:after="0" w:line="360" w:lineRule="auto"/>
        <w:contextualSpacing/>
        <w:jc w:val="both"/>
        <w:rPr>
          <w:rFonts w:ascii="Arial" w:hAnsi="Arial" w:cs="Arial"/>
        </w:rPr>
      </w:pPr>
      <w:r w:rsidRPr="00D22B43">
        <w:rPr>
          <w:rFonts w:ascii="Arial" w:hAnsi="Arial" w:cs="Arial"/>
        </w:rPr>
        <w:t>[2]</w:t>
      </w:r>
      <w:r w:rsidRPr="00D22B43">
        <w:rPr>
          <w:rFonts w:ascii="Arial" w:hAnsi="Arial" w:cs="Arial"/>
        </w:rPr>
        <w:tab/>
      </w:r>
      <w:r w:rsidRPr="00DC7C93">
        <w:rPr>
          <w:rFonts w:ascii="Arial" w:hAnsi="Arial" w:cs="Arial"/>
          <w:sz w:val="24"/>
          <w:szCs w:val="24"/>
        </w:rPr>
        <w:t xml:space="preserve">Thereafter, the Court received a letter from the </w:t>
      </w:r>
      <w:r w:rsidR="00B70462">
        <w:rPr>
          <w:rFonts w:ascii="Arial" w:hAnsi="Arial" w:cs="Arial"/>
          <w:sz w:val="24"/>
          <w:szCs w:val="24"/>
        </w:rPr>
        <w:t>first defendant’s</w:t>
      </w:r>
      <w:r w:rsidRPr="00DC7C93">
        <w:rPr>
          <w:rFonts w:ascii="Arial" w:hAnsi="Arial" w:cs="Arial"/>
          <w:sz w:val="24"/>
          <w:szCs w:val="24"/>
        </w:rPr>
        <w:t xml:space="preserve"> legal practitioners </w:t>
      </w:r>
      <w:r w:rsidR="00B70462">
        <w:rPr>
          <w:rFonts w:ascii="Arial" w:hAnsi="Arial" w:cs="Arial"/>
          <w:sz w:val="24"/>
          <w:szCs w:val="24"/>
        </w:rPr>
        <w:t>on 12 November 2020</w:t>
      </w:r>
      <w:r w:rsidRPr="00DC7C93">
        <w:rPr>
          <w:rFonts w:ascii="Arial" w:hAnsi="Arial" w:cs="Arial"/>
          <w:sz w:val="24"/>
          <w:szCs w:val="24"/>
        </w:rPr>
        <w:t>, requesting reasons for the above order</w:t>
      </w:r>
      <w:r>
        <w:rPr>
          <w:rFonts w:ascii="Arial" w:hAnsi="Arial" w:cs="Arial"/>
          <w:sz w:val="24"/>
          <w:szCs w:val="24"/>
        </w:rPr>
        <w:t>.</w:t>
      </w:r>
    </w:p>
    <w:p w:rsidR="00B83AB8" w:rsidRDefault="00B83AB8" w:rsidP="00B83AB8">
      <w:pPr>
        <w:spacing w:after="0" w:line="360" w:lineRule="auto"/>
        <w:jc w:val="both"/>
        <w:rPr>
          <w:rFonts w:ascii="Arial" w:hAnsi="Arial" w:cs="Arial"/>
          <w:sz w:val="24"/>
          <w:szCs w:val="24"/>
        </w:rPr>
      </w:pPr>
    </w:p>
    <w:p w:rsidR="00B83AB8" w:rsidRDefault="00B83AB8" w:rsidP="00B83AB8">
      <w:pPr>
        <w:spacing w:after="0" w:line="360" w:lineRule="auto"/>
        <w:jc w:val="both"/>
        <w:rPr>
          <w:rFonts w:ascii="Arial" w:hAnsi="Arial" w:cs="Arial"/>
          <w:sz w:val="24"/>
          <w:szCs w:val="24"/>
        </w:rPr>
      </w:pPr>
      <w:r w:rsidRPr="00DC7C93">
        <w:rPr>
          <w:rFonts w:ascii="Arial" w:hAnsi="Arial" w:cs="Arial"/>
          <w:sz w:val="24"/>
          <w:szCs w:val="24"/>
        </w:rPr>
        <w:t>[3]</w:t>
      </w:r>
      <w:r w:rsidRPr="00DC7C93">
        <w:rPr>
          <w:rFonts w:ascii="Arial" w:hAnsi="Arial" w:cs="Arial"/>
          <w:sz w:val="24"/>
          <w:szCs w:val="24"/>
        </w:rPr>
        <w:tab/>
      </w:r>
      <w:r>
        <w:rPr>
          <w:rFonts w:ascii="Arial" w:hAnsi="Arial" w:cs="Arial"/>
          <w:sz w:val="24"/>
          <w:szCs w:val="24"/>
        </w:rPr>
        <w:t>Herewith</w:t>
      </w:r>
      <w:r w:rsidRPr="00DC7C93">
        <w:rPr>
          <w:rFonts w:ascii="Arial" w:hAnsi="Arial" w:cs="Arial"/>
          <w:sz w:val="24"/>
          <w:szCs w:val="24"/>
        </w:rPr>
        <w:t xml:space="preserve"> the reasons for the </w:t>
      </w:r>
      <w:r w:rsidR="00F7452D" w:rsidRPr="00180B32">
        <w:rPr>
          <w:rFonts w:ascii="Arial" w:hAnsi="Arial" w:cs="Arial"/>
          <w:sz w:val="24"/>
          <w:szCs w:val="24"/>
        </w:rPr>
        <w:t xml:space="preserve">court </w:t>
      </w:r>
      <w:r w:rsidRPr="00180B32">
        <w:rPr>
          <w:rFonts w:ascii="Arial" w:hAnsi="Arial" w:cs="Arial"/>
          <w:sz w:val="24"/>
          <w:szCs w:val="24"/>
        </w:rPr>
        <w:t>o</w:t>
      </w:r>
      <w:r w:rsidRPr="00DC7C93">
        <w:rPr>
          <w:rFonts w:ascii="Arial" w:hAnsi="Arial" w:cs="Arial"/>
          <w:sz w:val="24"/>
          <w:szCs w:val="24"/>
        </w:rPr>
        <w:t xml:space="preserve">rder made on </w:t>
      </w:r>
      <w:r w:rsidR="00B70462">
        <w:rPr>
          <w:rFonts w:ascii="Arial" w:hAnsi="Arial" w:cs="Arial"/>
          <w:sz w:val="24"/>
          <w:szCs w:val="24"/>
        </w:rPr>
        <w:t>28 October 2020</w:t>
      </w:r>
      <w:r>
        <w:rPr>
          <w:rFonts w:ascii="Arial" w:hAnsi="Arial" w:cs="Arial"/>
          <w:sz w:val="24"/>
          <w:szCs w:val="24"/>
        </w:rPr>
        <w:t>.</w:t>
      </w:r>
    </w:p>
    <w:p w:rsidR="00307515" w:rsidRDefault="00556311"/>
    <w:p w:rsidR="00B70462" w:rsidRDefault="00B70462">
      <w:pPr>
        <w:rPr>
          <w:rFonts w:ascii="Arial" w:hAnsi="Arial" w:cs="Arial"/>
          <w:sz w:val="24"/>
          <w:szCs w:val="24"/>
          <w:u w:val="single"/>
        </w:rPr>
      </w:pPr>
      <w:r w:rsidRPr="00B70462">
        <w:rPr>
          <w:rFonts w:ascii="Arial" w:hAnsi="Arial" w:cs="Arial"/>
          <w:sz w:val="24"/>
          <w:szCs w:val="24"/>
          <w:u w:val="single"/>
        </w:rPr>
        <w:t>Background</w:t>
      </w:r>
    </w:p>
    <w:p w:rsidR="00F7452D" w:rsidRDefault="00F7452D">
      <w:pPr>
        <w:rPr>
          <w:rFonts w:ascii="Arial" w:hAnsi="Arial" w:cs="Arial"/>
          <w:sz w:val="24"/>
          <w:szCs w:val="24"/>
          <w:u w:val="single"/>
        </w:rPr>
      </w:pPr>
    </w:p>
    <w:p w:rsidR="00B70462" w:rsidRDefault="00B70462" w:rsidP="00B70462">
      <w:pPr>
        <w:spacing w:after="0" w:line="360" w:lineRule="auto"/>
        <w:jc w:val="both"/>
        <w:rPr>
          <w:rFonts w:ascii="Arial" w:hAnsi="Arial" w:cs="Arial"/>
          <w:sz w:val="24"/>
          <w:szCs w:val="24"/>
        </w:rPr>
      </w:pPr>
      <w:r w:rsidRPr="00B70462">
        <w:rPr>
          <w:rFonts w:ascii="Arial" w:hAnsi="Arial" w:cs="Arial"/>
          <w:sz w:val="24"/>
          <w:szCs w:val="24"/>
        </w:rPr>
        <w:t>[4]</w:t>
      </w:r>
      <w:r w:rsidRPr="00B70462">
        <w:rPr>
          <w:rFonts w:ascii="Arial" w:hAnsi="Arial" w:cs="Arial"/>
          <w:sz w:val="24"/>
          <w:szCs w:val="24"/>
        </w:rPr>
        <w:tab/>
      </w:r>
      <w:r w:rsidRPr="00C331CB">
        <w:rPr>
          <w:rFonts w:ascii="Arial" w:hAnsi="Arial" w:cs="Arial"/>
          <w:sz w:val="24"/>
          <w:szCs w:val="24"/>
        </w:rPr>
        <w:t>The plaintiffs</w:t>
      </w:r>
      <w:r w:rsidR="00F7452D">
        <w:rPr>
          <w:rFonts w:ascii="Arial" w:hAnsi="Arial" w:cs="Arial"/>
          <w:sz w:val="24"/>
          <w:szCs w:val="24"/>
        </w:rPr>
        <w:t xml:space="preserve"> </w:t>
      </w:r>
      <w:r w:rsidR="00F7452D" w:rsidRPr="00180B32">
        <w:rPr>
          <w:rFonts w:ascii="Arial" w:hAnsi="Arial" w:cs="Arial"/>
          <w:sz w:val="24"/>
          <w:szCs w:val="24"/>
        </w:rPr>
        <w:t>who</w:t>
      </w:r>
      <w:r w:rsidRPr="00C331CB">
        <w:rPr>
          <w:rFonts w:ascii="Arial" w:hAnsi="Arial" w:cs="Arial"/>
          <w:sz w:val="24"/>
          <w:szCs w:val="24"/>
        </w:rPr>
        <w:t xml:space="preserve"> are the duly appointed final liquidators of the Small and Medium Enterprise Ba</w:t>
      </w:r>
      <w:r>
        <w:rPr>
          <w:rFonts w:ascii="Arial" w:hAnsi="Arial" w:cs="Arial"/>
          <w:sz w:val="24"/>
          <w:szCs w:val="24"/>
        </w:rPr>
        <w:t>nk (‘SME Bank’) in liquidation moved an application for summary judgment against the first defendant only as the matter became settled between the plaintiff’s and the second defendant</w:t>
      </w:r>
      <w:r w:rsidR="008010DC">
        <w:rPr>
          <w:rFonts w:ascii="Arial" w:hAnsi="Arial" w:cs="Arial"/>
          <w:sz w:val="24"/>
          <w:szCs w:val="24"/>
        </w:rPr>
        <w:t xml:space="preserve"> and the action was withdrawn against her by the plaintiffs. T</w:t>
      </w:r>
      <w:r>
        <w:rPr>
          <w:rFonts w:ascii="Arial" w:hAnsi="Arial" w:cs="Arial"/>
          <w:sz w:val="24"/>
          <w:szCs w:val="24"/>
        </w:rPr>
        <w:t xml:space="preserve">o date the summons could not be served on the third defendant, who apparently left the country. </w:t>
      </w:r>
      <w:r w:rsidR="00DD47F1">
        <w:rPr>
          <w:rFonts w:ascii="Arial" w:hAnsi="Arial" w:cs="Arial"/>
          <w:sz w:val="24"/>
          <w:szCs w:val="24"/>
        </w:rPr>
        <w:t xml:space="preserve">I will therefore limit myself </w:t>
      </w:r>
      <w:r w:rsidR="008010DC">
        <w:rPr>
          <w:rFonts w:ascii="Arial" w:hAnsi="Arial" w:cs="Arial"/>
          <w:sz w:val="24"/>
          <w:szCs w:val="24"/>
        </w:rPr>
        <w:t xml:space="preserve">in this ruling </w:t>
      </w:r>
      <w:r w:rsidR="00DD47F1">
        <w:rPr>
          <w:rFonts w:ascii="Arial" w:hAnsi="Arial" w:cs="Arial"/>
          <w:sz w:val="24"/>
          <w:szCs w:val="24"/>
        </w:rPr>
        <w:t>to the case against the first defendant only and will not deal with the detail of the particulars of claim that relates to the other defendants in this matter.</w:t>
      </w:r>
    </w:p>
    <w:p w:rsidR="00B70462" w:rsidRDefault="00B70462" w:rsidP="00B70462">
      <w:pPr>
        <w:spacing w:after="0" w:line="360" w:lineRule="auto"/>
        <w:jc w:val="both"/>
        <w:rPr>
          <w:rFonts w:ascii="Arial" w:hAnsi="Arial" w:cs="Arial"/>
          <w:sz w:val="24"/>
          <w:szCs w:val="24"/>
        </w:rPr>
      </w:pPr>
    </w:p>
    <w:p w:rsidR="003340B1" w:rsidRDefault="00B70462" w:rsidP="003340B1">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3340B1">
        <w:rPr>
          <w:rFonts w:ascii="Arial" w:hAnsi="Arial" w:cs="Arial"/>
          <w:sz w:val="24"/>
          <w:szCs w:val="24"/>
        </w:rPr>
        <w:t>In the particulars of claim the plaintiffs endeavor to set out the background in this matter in as much detail as possible. The plaintiffs sketched a situation where certain individuals referred to as the ‘</w:t>
      </w:r>
      <w:r w:rsidR="003340B1" w:rsidRPr="004A5B56">
        <w:rPr>
          <w:rFonts w:ascii="Arial" w:hAnsi="Arial" w:cs="Arial"/>
          <w:i/>
          <w:sz w:val="24"/>
          <w:szCs w:val="24"/>
        </w:rPr>
        <w:t>dramatis personae</w:t>
      </w:r>
      <w:r w:rsidR="003340B1">
        <w:rPr>
          <w:rStyle w:val="FootnoteReference"/>
          <w:rFonts w:ascii="Arial" w:hAnsi="Arial" w:cs="Arial"/>
          <w:i/>
          <w:sz w:val="24"/>
          <w:szCs w:val="24"/>
        </w:rPr>
        <w:footnoteReference w:id="1"/>
      </w:r>
      <w:r w:rsidR="003340B1">
        <w:rPr>
          <w:rFonts w:ascii="Arial" w:hAnsi="Arial" w:cs="Arial"/>
          <w:sz w:val="24"/>
          <w:szCs w:val="24"/>
        </w:rPr>
        <w:t>’ in conjunction with third party entities perpetrated fraud on a grand scale. The investigations into the said fraudulent schemes led to the uncovering of approximately N$ 247 545 004 which was misappropriated from the SME Bank. As a result of the theft the SME Bank was forced into liquidation.</w:t>
      </w:r>
    </w:p>
    <w:p w:rsidR="003340B1" w:rsidRDefault="003340B1" w:rsidP="003340B1">
      <w:pPr>
        <w:spacing w:after="0" w:line="360" w:lineRule="auto"/>
        <w:jc w:val="both"/>
        <w:rPr>
          <w:rFonts w:ascii="Arial" w:hAnsi="Arial" w:cs="Arial"/>
          <w:sz w:val="24"/>
          <w:szCs w:val="24"/>
        </w:rPr>
      </w:pPr>
    </w:p>
    <w:p w:rsidR="003340B1" w:rsidRDefault="003340B1" w:rsidP="003340B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only of the ‘</w:t>
      </w:r>
      <w:r w:rsidRPr="005A570C">
        <w:rPr>
          <w:rFonts w:ascii="Arial" w:hAnsi="Arial" w:cs="Arial"/>
          <w:i/>
          <w:sz w:val="24"/>
          <w:szCs w:val="24"/>
        </w:rPr>
        <w:t>dramatis personae</w:t>
      </w:r>
      <w:r>
        <w:rPr>
          <w:rFonts w:ascii="Arial" w:hAnsi="Arial" w:cs="Arial"/>
          <w:sz w:val="24"/>
          <w:szCs w:val="24"/>
        </w:rPr>
        <w:t>’ relevant to the current proceedings is Mr Enock Kamushinda who was the Deputy Chairman of the Board of the SME Bank (11 October 2011 to 29 April 2015 and again 30 April 2015 to 1 September 2015) and the Deputy Chairman of the Board from 2 September 2015 until the Bank of Namibia took over the management of the SME Bank on 1 March 2017.</w:t>
      </w:r>
    </w:p>
    <w:p w:rsidR="00F40025" w:rsidRDefault="00F40025" w:rsidP="003340B1">
      <w:pPr>
        <w:spacing w:after="0" w:line="360" w:lineRule="auto"/>
        <w:jc w:val="both"/>
        <w:rPr>
          <w:rFonts w:ascii="Arial" w:hAnsi="Arial" w:cs="Arial"/>
          <w:sz w:val="24"/>
          <w:szCs w:val="24"/>
        </w:rPr>
      </w:pPr>
    </w:p>
    <w:p w:rsidR="003340B1" w:rsidRDefault="00F40025" w:rsidP="003340B1">
      <w:pPr>
        <w:spacing w:after="0" w:line="360" w:lineRule="auto"/>
        <w:jc w:val="both"/>
        <w:rPr>
          <w:rFonts w:ascii="Arial" w:hAnsi="Arial" w:cs="Arial"/>
          <w:i/>
          <w:sz w:val="24"/>
          <w:szCs w:val="24"/>
        </w:rPr>
      </w:pPr>
      <w:r w:rsidRPr="00F40025">
        <w:rPr>
          <w:rFonts w:ascii="Arial" w:hAnsi="Arial" w:cs="Arial"/>
          <w:i/>
          <w:sz w:val="24"/>
          <w:szCs w:val="24"/>
        </w:rPr>
        <w:t>The fraud perp</w:t>
      </w:r>
      <w:r>
        <w:rPr>
          <w:rFonts w:ascii="Arial" w:hAnsi="Arial" w:cs="Arial"/>
          <w:i/>
          <w:sz w:val="24"/>
          <w:szCs w:val="24"/>
        </w:rPr>
        <w:t>e</w:t>
      </w:r>
      <w:r w:rsidRPr="00F40025">
        <w:rPr>
          <w:rFonts w:ascii="Arial" w:hAnsi="Arial" w:cs="Arial"/>
          <w:i/>
          <w:sz w:val="24"/>
          <w:szCs w:val="24"/>
        </w:rPr>
        <w:t>trated</w:t>
      </w:r>
    </w:p>
    <w:p w:rsidR="00F7452D" w:rsidRPr="00F40025" w:rsidRDefault="00F7452D" w:rsidP="003340B1">
      <w:pPr>
        <w:spacing w:after="0" w:line="360" w:lineRule="auto"/>
        <w:jc w:val="both"/>
        <w:rPr>
          <w:rFonts w:ascii="Arial" w:hAnsi="Arial" w:cs="Arial"/>
          <w:i/>
          <w:sz w:val="24"/>
          <w:szCs w:val="24"/>
        </w:rPr>
      </w:pPr>
    </w:p>
    <w:p w:rsidR="005A570C" w:rsidRDefault="003340B1" w:rsidP="00F4002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During the investigation in the fraud perpetrated by the ‘</w:t>
      </w:r>
      <w:r w:rsidRPr="003340B1">
        <w:rPr>
          <w:rFonts w:ascii="Arial" w:hAnsi="Arial" w:cs="Arial"/>
          <w:i/>
          <w:sz w:val="24"/>
          <w:szCs w:val="24"/>
        </w:rPr>
        <w:t>dramatis personae’</w:t>
      </w:r>
      <w:r>
        <w:rPr>
          <w:rFonts w:ascii="Arial" w:hAnsi="Arial" w:cs="Arial"/>
          <w:sz w:val="24"/>
          <w:szCs w:val="24"/>
        </w:rPr>
        <w:t xml:space="preserve"> Ms Tania Pearson</w:t>
      </w:r>
      <w:r w:rsidR="008D40BF">
        <w:rPr>
          <w:rStyle w:val="FootnoteReference"/>
          <w:rFonts w:ascii="Arial" w:hAnsi="Arial" w:cs="Arial"/>
          <w:sz w:val="24"/>
          <w:szCs w:val="24"/>
        </w:rPr>
        <w:footnoteReference w:id="2"/>
      </w:r>
      <w:r>
        <w:rPr>
          <w:rFonts w:ascii="Arial" w:hAnsi="Arial" w:cs="Arial"/>
          <w:sz w:val="24"/>
          <w:szCs w:val="24"/>
        </w:rPr>
        <w:t xml:space="preserve"> </w:t>
      </w:r>
      <w:r w:rsidR="00D76E97">
        <w:rPr>
          <w:rFonts w:ascii="Arial" w:hAnsi="Arial" w:cs="Arial"/>
          <w:sz w:val="24"/>
          <w:szCs w:val="24"/>
        </w:rPr>
        <w:t xml:space="preserve">uncovered the names and bank accounts of entities in South Africa which received the amounts stolen from the SME Bank, as well as the amounts so received </w:t>
      </w:r>
      <w:r w:rsidR="008D40BF">
        <w:rPr>
          <w:rFonts w:ascii="Arial" w:hAnsi="Arial" w:cs="Arial"/>
          <w:sz w:val="24"/>
          <w:szCs w:val="24"/>
        </w:rPr>
        <w:t>by false beneficiaries</w:t>
      </w:r>
      <w:r w:rsidR="008D40BF">
        <w:rPr>
          <w:rStyle w:val="FootnoteReference"/>
          <w:rFonts w:ascii="Arial" w:hAnsi="Arial" w:cs="Arial"/>
          <w:sz w:val="24"/>
          <w:szCs w:val="24"/>
        </w:rPr>
        <w:footnoteReference w:id="3"/>
      </w:r>
      <w:r w:rsidR="008D40BF">
        <w:rPr>
          <w:rFonts w:ascii="Arial" w:hAnsi="Arial" w:cs="Arial"/>
          <w:sz w:val="24"/>
          <w:szCs w:val="24"/>
        </w:rPr>
        <w:t xml:space="preserve">. </w:t>
      </w:r>
      <w:r w:rsidR="005A570C">
        <w:rPr>
          <w:rFonts w:ascii="Arial" w:hAnsi="Arial" w:cs="Arial"/>
          <w:sz w:val="24"/>
          <w:szCs w:val="24"/>
        </w:rPr>
        <w:t>One of these false beneficiaries was Asset Movement and Financial Services CC (‘AMFS’). The amount of N$ 78 700 000 was paid over to AMFS</w:t>
      </w:r>
      <w:r w:rsidR="00F40025">
        <w:rPr>
          <w:rFonts w:ascii="Arial" w:hAnsi="Arial" w:cs="Arial"/>
          <w:sz w:val="24"/>
          <w:szCs w:val="24"/>
        </w:rPr>
        <w:t xml:space="preserve"> via the Treasury Department of the SME Bank.</w:t>
      </w:r>
    </w:p>
    <w:p w:rsidR="00F40025" w:rsidRDefault="00F40025" w:rsidP="003340B1">
      <w:pPr>
        <w:spacing w:after="0" w:line="360" w:lineRule="auto"/>
        <w:jc w:val="both"/>
        <w:rPr>
          <w:rFonts w:ascii="Arial" w:hAnsi="Arial" w:cs="Arial"/>
          <w:sz w:val="24"/>
          <w:szCs w:val="24"/>
        </w:rPr>
      </w:pPr>
    </w:p>
    <w:p w:rsidR="003340B1" w:rsidRDefault="00F40025" w:rsidP="003340B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D40BF">
        <w:rPr>
          <w:rFonts w:ascii="Arial" w:hAnsi="Arial" w:cs="Arial"/>
          <w:sz w:val="24"/>
          <w:szCs w:val="24"/>
        </w:rPr>
        <w:t>The plaintiff</w:t>
      </w:r>
      <w:r>
        <w:rPr>
          <w:rFonts w:ascii="Arial" w:hAnsi="Arial" w:cs="Arial"/>
          <w:sz w:val="24"/>
          <w:szCs w:val="24"/>
        </w:rPr>
        <w:t>s</w:t>
      </w:r>
      <w:r w:rsidR="008D40BF">
        <w:rPr>
          <w:rFonts w:ascii="Arial" w:hAnsi="Arial" w:cs="Arial"/>
          <w:sz w:val="24"/>
          <w:szCs w:val="24"/>
        </w:rPr>
        <w:t xml:space="preserve"> plead that the main perpetrators of the money laundering were the ‘</w:t>
      </w:r>
      <w:r w:rsidR="008D40BF" w:rsidRPr="008D40BF">
        <w:rPr>
          <w:rFonts w:ascii="Arial" w:hAnsi="Arial" w:cs="Arial"/>
          <w:i/>
          <w:sz w:val="24"/>
          <w:szCs w:val="24"/>
        </w:rPr>
        <w:t>dramatis personae’</w:t>
      </w:r>
      <w:r w:rsidR="008D40BF">
        <w:rPr>
          <w:rFonts w:ascii="Arial" w:hAnsi="Arial" w:cs="Arial"/>
          <w:sz w:val="24"/>
          <w:szCs w:val="24"/>
        </w:rPr>
        <w:t xml:space="preserve"> and one George Markides, who received approximately N$  64 000 000 </w:t>
      </w:r>
      <w:r w:rsidR="005A570C">
        <w:rPr>
          <w:rFonts w:ascii="Arial" w:hAnsi="Arial" w:cs="Arial"/>
          <w:sz w:val="24"/>
          <w:szCs w:val="24"/>
        </w:rPr>
        <w:t>in</w:t>
      </w:r>
      <w:r w:rsidR="008D40BF">
        <w:rPr>
          <w:rFonts w:ascii="Arial" w:hAnsi="Arial" w:cs="Arial"/>
          <w:sz w:val="24"/>
          <w:szCs w:val="24"/>
        </w:rPr>
        <w:t xml:space="preserve"> cash from AMFS. </w:t>
      </w:r>
      <w:r>
        <w:rPr>
          <w:rFonts w:ascii="Arial" w:hAnsi="Arial" w:cs="Arial"/>
          <w:sz w:val="24"/>
          <w:szCs w:val="24"/>
        </w:rPr>
        <w:t>Markides worked in close cooperation with the ‘</w:t>
      </w:r>
      <w:r w:rsidRPr="00F40025">
        <w:rPr>
          <w:rFonts w:ascii="Arial" w:hAnsi="Arial" w:cs="Arial"/>
          <w:i/>
          <w:sz w:val="24"/>
          <w:szCs w:val="24"/>
        </w:rPr>
        <w:t>dramatis personae’</w:t>
      </w:r>
      <w:r>
        <w:rPr>
          <w:rFonts w:ascii="Arial" w:hAnsi="Arial" w:cs="Arial"/>
          <w:sz w:val="24"/>
          <w:szCs w:val="24"/>
        </w:rPr>
        <w:t xml:space="preserve"> by laundering stolen money </w:t>
      </w:r>
      <w:r w:rsidRPr="00180B32">
        <w:rPr>
          <w:rFonts w:ascii="Arial" w:hAnsi="Arial" w:cs="Arial"/>
          <w:sz w:val="24"/>
          <w:szCs w:val="24"/>
        </w:rPr>
        <w:t xml:space="preserve">between the beneficiaries in Table 1 of the particulars of claim. </w:t>
      </w:r>
      <w:r w:rsidR="008D40BF" w:rsidRPr="00180B32">
        <w:rPr>
          <w:rFonts w:ascii="Arial" w:hAnsi="Arial" w:cs="Arial"/>
          <w:sz w:val="24"/>
          <w:szCs w:val="24"/>
        </w:rPr>
        <w:t>A</w:t>
      </w:r>
      <w:r w:rsidR="0040205E" w:rsidRPr="00180B32">
        <w:rPr>
          <w:rFonts w:ascii="Arial" w:hAnsi="Arial" w:cs="Arial"/>
          <w:sz w:val="24"/>
          <w:szCs w:val="24"/>
        </w:rPr>
        <w:t xml:space="preserve">pproximately N$ 250 000 000 was </w:t>
      </w:r>
      <w:r w:rsidR="008D40BF" w:rsidRPr="00180B32">
        <w:rPr>
          <w:rFonts w:ascii="Arial" w:hAnsi="Arial" w:cs="Arial"/>
          <w:sz w:val="24"/>
          <w:szCs w:val="24"/>
        </w:rPr>
        <w:t xml:space="preserve">laundered through the bank accounts of false beneficiaries, where after approximately N$ 50 000 000 </w:t>
      </w:r>
      <w:r w:rsidR="0040205E" w:rsidRPr="00180B32">
        <w:rPr>
          <w:rFonts w:ascii="Arial" w:hAnsi="Arial" w:cs="Arial"/>
          <w:sz w:val="24"/>
          <w:szCs w:val="24"/>
        </w:rPr>
        <w:t>was</w:t>
      </w:r>
      <w:r w:rsidR="008D40BF" w:rsidRPr="00180B32">
        <w:rPr>
          <w:rFonts w:ascii="Arial" w:hAnsi="Arial" w:cs="Arial"/>
          <w:sz w:val="24"/>
          <w:szCs w:val="24"/>
        </w:rPr>
        <w:t xml:space="preserve"> </w:t>
      </w:r>
      <w:r w:rsidR="008D40BF" w:rsidRPr="00180B32">
        <w:rPr>
          <w:rFonts w:ascii="Arial" w:hAnsi="Arial" w:cs="Arial"/>
          <w:sz w:val="24"/>
          <w:szCs w:val="24"/>
        </w:rPr>
        <w:lastRenderedPageBreak/>
        <w:t xml:space="preserve">re-laundered back to Namibia and which </w:t>
      </w:r>
      <w:r w:rsidR="0040205E" w:rsidRPr="00180B32">
        <w:rPr>
          <w:rFonts w:ascii="Arial" w:hAnsi="Arial" w:cs="Arial"/>
          <w:sz w:val="24"/>
          <w:szCs w:val="24"/>
        </w:rPr>
        <w:t xml:space="preserve">was </w:t>
      </w:r>
      <w:r w:rsidR="008D40BF" w:rsidRPr="00180B32">
        <w:rPr>
          <w:rFonts w:ascii="Arial" w:hAnsi="Arial" w:cs="Arial"/>
          <w:sz w:val="24"/>
          <w:szCs w:val="24"/>
        </w:rPr>
        <w:t xml:space="preserve">handed out to the Namibian participants </w:t>
      </w:r>
      <w:r w:rsidR="008D40BF">
        <w:rPr>
          <w:rFonts w:ascii="Arial" w:hAnsi="Arial" w:cs="Arial"/>
          <w:sz w:val="24"/>
          <w:szCs w:val="24"/>
        </w:rPr>
        <w:t xml:space="preserve">to the scheme. </w:t>
      </w:r>
    </w:p>
    <w:p w:rsidR="00F40025" w:rsidRDefault="00F40025" w:rsidP="003340B1">
      <w:pPr>
        <w:spacing w:after="0" w:line="360" w:lineRule="auto"/>
        <w:jc w:val="both"/>
        <w:rPr>
          <w:rFonts w:ascii="Arial" w:hAnsi="Arial" w:cs="Arial"/>
          <w:i/>
          <w:sz w:val="24"/>
          <w:szCs w:val="24"/>
        </w:rPr>
      </w:pPr>
    </w:p>
    <w:p w:rsidR="00BB67E0" w:rsidRPr="00F40025" w:rsidRDefault="00F40025" w:rsidP="003340B1">
      <w:pPr>
        <w:spacing w:after="0" w:line="360" w:lineRule="auto"/>
        <w:jc w:val="both"/>
        <w:rPr>
          <w:rFonts w:ascii="Arial" w:hAnsi="Arial" w:cs="Arial"/>
          <w:i/>
          <w:sz w:val="24"/>
          <w:szCs w:val="24"/>
        </w:rPr>
      </w:pPr>
      <w:r w:rsidRPr="00F40025">
        <w:rPr>
          <w:rFonts w:ascii="Arial" w:hAnsi="Arial" w:cs="Arial"/>
          <w:i/>
          <w:sz w:val="24"/>
          <w:szCs w:val="24"/>
        </w:rPr>
        <w:t>The payment system</w:t>
      </w:r>
    </w:p>
    <w:p w:rsidR="00F40025" w:rsidRDefault="00F40025" w:rsidP="005A570C">
      <w:pPr>
        <w:spacing w:after="0" w:line="360" w:lineRule="auto"/>
        <w:jc w:val="both"/>
        <w:rPr>
          <w:rFonts w:ascii="Arial" w:hAnsi="Arial" w:cs="Arial"/>
          <w:sz w:val="24"/>
          <w:szCs w:val="24"/>
        </w:rPr>
      </w:pPr>
    </w:p>
    <w:p w:rsidR="0040205E" w:rsidRDefault="005A570C" w:rsidP="005A570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4F0D78">
        <w:rPr>
          <w:rFonts w:ascii="Arial" w:hAnsi="Arial" w:cs="Arial"/>
          <w:sz w:val="24"/>
          <w:szCs w:val="24"/>
        </w:rPr>
        <w:t>The payment</w:t>
      </w:r>
      <w:r w:rsidR="00F40025">
        <w:rPr>
          <w:rFonts w:ascii="Arial" w:hAnsi="Arial" w:cs="Arial"/>
          <w:sz w:val="24"/>
          <w:szCs w:val="24"/>
        </w:rPr>
        <w:t xml:space="preserve"> effect</w:t>
      </w:r>
      <w:r w:rsidR="0040205E">
        <w:rPr>
          <w:rFonts w:ascii="Arial" w:hAnsi="Arial" w:cs="Arial"/>
          <w:sz w:val="24"/>
          <w:szCs w:val="24"/>
        </w:rPr>
        <w:t xml:space="preserve">ed to the false beneficiaries </w:t>
      </w:r>
      <w:r w:rsidR="00F40025">
        <w:rPr>
          <w:rFonts w:ascii="Arial" w:hAnsi="Arial" w:cs="Arial"/>
          <w:sz w:val="24"/>
          <w:szCs w:val="24"/>
        </w:rPr>
        <w:t xml:space="preserve">followed its course through the Treasury Department of the Bank and can be </w:t>
      </w:r>
      <w:r>
        <w:rPr>
          <w:rFonts w:ascii="Arial" w:hAnsi="Arial" w:cs="Arial"/>
          <w:sz w:val="24"/>
          <w:szCs w:val="24"/>
        </w:rPr>
        <w:t>briefly set out as follows:</w:t>
      </w:r>
    </w:p>
    <w:p w:rsidR="0040205E" w:rsidRPr="004F0D78" w:rsidRDefault="0040205E" w:rsidP="005A570C">
      <w:pPr>
        <w:spacing w:after="0" w:line="360" w:lineRule="auto"/>
        <w:jc w:val="both"/>
        <w:rPr>
          <w:rFonts w:ascii="Arial" w:hAnsi="Arial" w:cs="Arial"/>
          <w:sz w:val="24"/>
          <w:szCs w:val="24"/>
        </w:rPr>
      </w:pPr>
    </w:p>
    <w:p w:rsidR="005A570C" w:rsidRPr="004F0D78" w:rsidRDefault="005A570C" w:rsidP="005A570C">
      <w:pPr>
        <w:spacing w:line="360" w:lineRule="auto"/>
        <w:ind w:left="720" w:right="237" w:hanging="11"/>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A</w:t>
      </w:r>
      <w:r w:rsidRPr="004F0D78">
        <w:rPr>
          <w:rFonts w:ascii="Arial" w:hAnsi="Arial" w:cs="Arial"/>
          <w:sz w:val="24"/>
          <w:szCs w:val="24"/>
        </w:rPr>
        <w:t>ll preparation for payment would go through the Finance</w:t>
      </w:r>
      <w:r w:rsidR="0040205E">
        <w:rPr>
          <w:rFonts w:ascii="Arial" w:hAnsi="Arial" w:cs="Arial"/>
          <w:sz w:val="24"/>
          <w:szCs w:val="24"/>
        </w:rPr>
        <w:t xml:space="preserve"> D</w:t>
      </w:r>
      <w:r w:rsidRPr="004F0D78">
        <w:rPr>
          <w:rFonts w:ascii="Arial" w:hAnsi="Arial" w:cs="Arial"/>
          <w:sz w:val="24"/>
          <w:szCs w:val="24"/>
        </w:rPr>
        <w:t>epartment</w:t>
      </w:r>
      <w:r>
        <w:rPr>
          <w:rFonts w:ascii="Arial" w:hAnsi="Arial" w:cs="Arial"/>
          <w:sz w:val="24"/>
          <w:szCs w:val="24"/>
        </w:rPr>
        <w:t xml:space="preserve">. Once </w:t>
      </w:r>
      <w:r w:rsidRPr="004F0D78">
        <w:rPr>
          <w:rFonts w:ascii="Arial" w:hAnsi="Arial" w:cs="Arial"/>
          <w:sz w:val="24"/>
          <w:szCs w:val="24"/>
        </w:rPr>
        <w:t>the Finance Department has checked, verified and authorised the CEO must approve the payment</w:t>
      </w:r>
      <w:r>
        <w:rPr>
          <w:rFonts w:ascii="Arial" w:hAnsi="Arial" w:cs="Arial"/>
          <w:sz w:val="24"/>
          <w:szCs w:val="24"/>
        </w:rPr>
        <w:t xml:space="preserve">, and </w:t>
      </w:r>
      <w:r w:rsidRPr="004F0D78">
        <w:rPr>
          <w:rFonts w:ascii="Arial" w:hAnsi="Arial" w:cs="Arial"/>
          <w:sz w:val="24"/>
          <w:szCs w:val="24"/>
        </w:rPr>
        <w:t>once the CEO has approved the payment a document called a “Payment Instruction”” will be forwarded to the Treasury Back Office to effect payment;</w:t>
      </w:r>
    </w:p>
    <w:p w:rsidR="005A570C" w:rsidRPr="004F0D78" w:rsidRDefault="005A570C" w:rsidP="005A570C">
      <w:pPr>
        <w:spacing w:line="360" w:lineRule="auto"/>
        <w:ind w:left="709" w:right="237"/>
        <w:rPr>
          <w:rFonts w:ascii="Arial" w:hAnsi="Arial" w:cs="Arial"/>
          <w:sz w:val="24"/>
          <w:szCs w:val="24"/>
        </w:rPr>
      </w:pPr>
      <w:r>
        <w:rPr>
          <w:rFonts w:ascii="Arial" w:hAnsi="Arial" w:cs="Arial"/>
          <w:sz w:val="24"/>
          <w:szCs w:val="24"/>
        </w:rPr>
        <w:t>b)</w:t>
      </w:r>
      <w:r>
        <w:rPr>
          <w:rFonts w:ascii="Arial" w:hAnsi="Arial" w:cs="Arial"/>
          <w:sz w:val="24"/>
          <w:szCs w:val="24"/>
        </w:rPr>
        <w:tab/>
      </w:r>
      <w:r w:rsidRPr="004F0D78">
        <w:rPr>
          <w:rFonts w:ascii="Arial" w:hAnsi="Arial" w:cs="Arial"/>
          <w:sz w:val="24"/>
          <w:szCs w:val="24"/>
        </w:rPr>
        <w:t>At the Treasury Back Office, the payment instruction will be dealt with by three persons, namely:</w:t>
      </w:r>
    </w:p>
    <w:p w:rsidR="005A570C" w:rsidRPr="004F0D78" w:rsidRDefault="005A570C" w:rsidP="005A570C">
      <w:pPr>
        <w:spacing w:line="360" w:lineRule="auto"/>
        <w:ind w:left="1429" w:right="237"/>
        <w:jc w:val="both"/>
        <w:rPr>
          <w:rFonts w:ascii="Arial" w:hAnsi="Arial" w:cs="Arial"/>
          <w:sz w:val="24"/>
          <w:szCs w:val="24"/>
        </w:rPr>
      </w:pPr>
      <w:r>
        <w:rPr>
          <w:rFonts w:ascii="Arial" w:hAnsi="Arial" w:cs="Arial"/>
          <w:sz w:val="24"/>
          <w:szCs w:val="24"/>
        </w:rPr>
        <w:t>i)</w:t>
      </w:r>
      <w:r w:rsidRPr="004F0D78">
        <w:rPr>
          <w:rFonts w:ascii="Arial" w:hAnsi="Arial" w:cs="Arial"/>
          <w:sz w:val="24"/>
          <w:szCs w:val="24"/>
        </w:rPr>
        <w:t xml:space="preserve"> </w:t>
      </w:r>
      <w:r>
        <w:rPr>
          <w:rFonts w:ascii="Arial" w:hAnsi="Arial" w:cs="Arial"/>
          <w:sz w:val="24"/>
          <w:szCs w:val="24"/>
        </w:rPr>
        <w:t xml:space="preserve"> </w:t>
      </w:r>
      <w:r w:rsidRPr="004F0D78">
        <w:rPr>
          <w:rFonts w:ascii="Arial" w:hAnsi="Arial" w:cs="Arial"/>
          <w:sz w:val="24"/>
          <w:szCs w:val="24"/>
        </w:rPr>
        <w:t>the Treasury Inputter-being the person who physically loads the payment onto the system for payment to be effected;</w:t>
      </w:r>
    </w:p>
    <w:p w:rsidR="005A570C" w:rsidRPr="004F0D78" w:rsidRDefault="005A570C" w:rsidP="005A570C">
      <w:pPr>
        <w:spacing w:line="360" w:lineRule="auto"/>
        <w:ind w:left="1429" w:right="237"/>
        <w:jc w:val="both"/>
        <w:rPr>
          <w:rFonts w:ascii="Arial" w:hAnsi="Arial" w:cs="Arial"/>
          <w:sz w:val="24"/>
          <w:szCs w:val="24"/>
        </w:rPr>
      </w:pPr>
      <w:r>
        <w:rPr>
          <w:rFonts w:ascii="Arial" w:hAnsi="Arial" w:cs="Arial"/>
          <w:sz w:val="24"/>
          <w:szCs w:val="24"/>
        </w:rPr>
        <w:t xml:space="preserve">ii) </w:t>
      </w:r>
      <w:r w:rsidRPr="004F0D78">
        <w:rPr>
          <w:rFonts w:ascii="Arial" w:hAnsi="Arial" w:cs="Arial"/>
          <w:sz w:val="24"/>
          <w:szCs w:val="24"/>
        </w:rPr>
        <w:t>the Treasury Verifier- being the person who checks whether sufficient funds are available in the SME bank’s bank account to meet the payment; and</w:t>
      </w:r>
    </w:p>
    <w:p w:rsidR="005A570C" w:rsidRPr="004F0D78" w:rsidRDefault="005A570C" w:rsidP="005A570C">
      <w:pPr>
        <w:spacing w:line="360" w:lineRule="auto"/>
        <w:ind w:left="1429" w:right="237"/>
        <w:rPr>
          <w:rFonts w:ascii="Arial" w:hAnsi="Arial" w:cs="Arial"/>
          <w:sz w:val="24"/>
          <w:szCs w:val="24"/>
        </w:rPr>
      </w:pPr>
      <w:r>
        <w:rPr>
          <w:rFonts w:ascii="Arial" w:hAnsi="Arial" w:cs="Arial"/>
          <w:sz w:val="24"/>
          <w:szCs w:val="24"/>
        </w:rPr>
        <w:t>iii)</w:t>
      </w:r>
      <w:r w:rsidRPr="004F0D78">
        <w:rPr>
          <w:rFonts w:ascii="Arial" w:hAnsi="Arial" w:cs="Arial"/>
          <w:sz w:val="24"/>
          <w:szCs w:val="24"/>
        </w:rPr>
        <w:t xml:space="preserve"> the Treasury Authoriser</w:t>
      </w:r>
      <w:r>
        <w:rPr>
          <w:rFonts w:ascii="Arial" w:hAnsi="Arial" w:cs="Arial"/>
          <w:sz w:val="24"/>
          <w:szCs w:val="24"/>
        </w:rPr>
        <w:t>,</w:t>
      </w:r>
      <w:r w:rsidRPr="004F0D78">
        <w:rPr>
          <w:rFonts w:ascii="Arial" w:hAnsi="Arial" w:cs="Arial"/>
          <w:sz w:val="24"/>
          <w:szCs w:val="24"/>
        </w:rPr>
        <w:t xml:space="preserve"> the person who physically makes the payment by pressing of a button on the system to effect the actual payment (“the Authorizer”)</w:t>
      </w:r>
    </w:p>
    <w:p w:rsidR="00F40025" w:rsidRDefault="00F40025" w:rsidP="003340B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Any person operating the Treasury Department will only receive a payment instruction indication to whom the payment must be made, the bank account number of the payee and the reason for the payment, all of which is confirmed by the signature of the CEO of the SME Bank or in his absence the Acting CEO. No supporting documents will accompany the payment instructions to the Treasury Department. </w:t>
      </w:r>
    </w:p>
    <w:p w:rsidR="00F40025" w:rsidRDefault="00F40025" w:rsidP="003340B1">
      <w:pPr>
        <w:spacing w:after="0" w:line="360" w:lineRule="auto"/>
        <w:jc w:val="both"/>
        <w:rPr>
          <w:rFonts w:ascii="Arial" w:hAnsi="Arial" w:cs="Arial"/>
          <w:sz w:val="24"/>
          <w:szCs w:val="24"/>
        </w:rPr>
      </w:pPr>
    </w:p>
    <w:p w:rsidR="00F40025" w:rsidRDefault="004F52C4" w:rsidP="003340B1">
      <w:pPr>
        <w:spacing w:after="0" w:line="360" w:lineRule="auto"/>
        <w:jc w:val="both"/>
        <w:rPr>
          <w:rFonts w:ascii="Arial" w:hAnsi="Arial" w:cs="Arial"/>
          <w:i/>
          <w:sz w:val="24"/>
          <w:szCs w:val="24"/>
        </w:rPr>
      </w:pPr>
      <w:r w:rsidRPr="004F52C4">
        <w:rPr>
          <w:rFonts w:ascii="Arial" w:hAnsi="Arial" w:cs="Arial"/>
          <w:i/>
          <w:sz w:val="24"/>
          <w:szCs w:val="24"/>
        </w:rPr>
        <w:t>The facts relevant to the first defendant</w:t>
      </w:r>
    </w:p>
    <w:p w:rsidR="0040205E" w:rsidRPr="004F52C4" w:rsidRDefault="0040205E" w:rsidP="003340B1">
      <w:pPr>
        <w:spacing w:after="0" w:line="360" w:lineRule="auto"/>
        <w:jc w:val="both"/>
        <w:rPr>
          <w:rFonts w:ascii="Arial" w:hAnsi="Arial" w:cs="Arial"/>
          <w:i/>
          <w:sz w:val="24"/>
          <w:szCs w:val="24"/>
        </w:rPr>
      </w:pPr>
    </w:p>
    <w:p w:rsidR="004F52C4" w:rsidRDefault="00F40025" w:rsidP="003340B1">
      <w:pPr>
        <w:spacing w:after="0" w:line="360" w:lineRule="auto"/>
        <w:jc w:val="both"/>
        <w:rPr>
          <w:rFonts w:ascii="Arial" w:hAnsi="Arial" w:cs="Arial"/>
          <w:sz w:val="24"/>
          <w:szCs w:val="24"/>
        </w:rPr>
      </w:pPr>
      <w:r>
        <w:rPr>
          <w:rFonts w:ascii="Arial" w:hAnsi="Arial" w:cs="Arial"/>
          <w:sz w:val="24"/>
          <w:szCs w:val="24"/>
        </w:rPr>
        <w:lastRenderedPageBreak/>
        <w:t>[</w:t>
      </w:r>
      <w:r w:rsidR="004F52C4">
        <w:rPr>
          <w:rFonts w:ascii="Arial" w:hAnsi="Arial" w:cs="Arial"/>
          <w:sz w:val="24"/>
          <w:szCs w:val="24"/>
        </w:rPr>
        <w:t>11</w:t>
      </w:r>
      <w:r>
        <w:rPr>
          <w:rFonts w:ascii="Arial" w:hAnsi="Arial" w:cs="Arial"/>
          <w:sz w:val="24"/>
          <w:szCs w:val="24"/>
        </w:rPr>
        <w:t>]</w:t>
      </w:r>
      <w:r>
        <w:rPr>
          <w:rFonts w:ascii="Arial" w:hAnsi="Arial" w:cs="Arial"/>
          <w:sz w:val="24"/>
          <w:szCs w:val="24"/>
        </w:rPr>
        <w:tab/>
      </w:r>
      <w:r w:rsidR="004F52C4">
        <w:rPr>
          <w:rFonts w:ascii="Arial" w:hAnsi="Arial" w:cs="Arial"/>
          <w:sz w:val="24"/>
          <w:szCs w:val="24"/>
        </w:rPr>
        <w:t xml:space="preserve">During the period 10 April 2015 to 11 August 2016 the </w:t>
      </w:r>
      <w:r w:rsidR="004F52C4" w:rsidRPr="004F52C4">
        <w:rPr>
          <w:rFonts w:ascii="Arial" w:hAnsi="Arial" w:cs="Arial"/>
          <w:i/>
          <w:sz w:val="24"/>
          <w:szCs w:val="24"/>
        </w:rPr>
        <w:t>dramatis personae</w:t>
      </w:r>
      <w:r w:rsidR="004F52C4" w:rsidRPr="0040205E">
        <w:rPr>
          <w:rFonts w:ascii="Arial" w:hAnsi="Arial" w:cs="Arial"/>
          <w:color w:val="FF0000"/>
          <w:sz w:val="24"/>
          <w:szCs w:val="24"/>
        </w:rPr>
        <w:t xml:space="preserve"> </w:t>
      </w:r>
      <w:r w:rsidR="0040205E" w:rsidRPr="00180B32">
        <w:rPr>
          <w:rFonts w:ascii="Arial" w:hAnsi="Arial" w:cs="Arial"/>
          <w:sz w:val="24"/>
          <w:szCs w:val="24"/>
        </w:rPr>
        <w:t xml:space="preserve">made </w:t>
      </w:r>
      <w:r w:rsidR="004F52C4">
        <w:rPr>
          <w:rFonts w:ascii="Arial" w:hAnsi="Arial" w:cs="Arial"/>
          <w:sz w:val="24"/>
          <w:szCs w:val="24"/>
        </w:rPr>
        <w:t>various payments to AMFS and one of these amounts paid over was the amount of N$ 1 750 000, which was paid over on 14 October 2015.</w:t>
      </w:r>
    </w:p>
    <w:p w:rsidR="004F52C4" w:rsidRDefault="004F52C4" w:rsidP="003340B1">
      <w:pPr>
        <w:spacing w:after="0" w:line="360" w:lineRule="auto"/>
        <w:jc w:val="both"/>
        <w:rPr>
          <w:rFonts w:ascii="Arial" w:hAnsi="Arial" w:cs="Arial"/>
          <w:sz w:val="24"/>
          <w:szCs w:val="24"/>
        </w:rPr>
      </w:pPr>
    </w:p>
    <w:p w:rsidR="005A570C" w:rsidRDefault="004F52C4" w:rsidP="003340B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According to the plaintiffs this transfer is of specific significance as on 16 October</w:t>
      </w:r>
      <w:r w:rsidR="005A570C">
        <w:rPr>
          <w:rFonts w:ascii="Arial" w:hAnsi="Arial" w:cs="Arial"/>
          <w:sz w:val="24"/>
          <w:szCs w:val="24"/>
        </w:rPr>
        <w:t xml:space="preserve"> 2015 AMFS paid the amount of N$ 300 000 </w:t>
      </w:r>
      <w:r>
        <w:rPr>
          <w:rFonts w:ascii="Arial" w:hAnsi="Arial" w:cs="Arial"/>
          <w:sz w:val="24"/>
          <w:szCs w:val="24"/>
        </w:rPr>
        <w:t xml:space="preserve">over </w:t>
      </w:r>
      <w:r w:rsidR="005A570C">
        <w:rPr>
          <w:rFonts w:ascii="Arial" w:hAnsi="Arial" w:cs="Arial"/>
          <w:sz w:val="24"/>
          <w:szCs w:val="24"/>
        </w:rPr>
        <w:t>to the first defendant.</w:t>
      </w:r>
    </w:p>
    <w:p w:rsidR="00F40025" w:rsidRDefault="00F40025" w:rsidP="003340B1">
      <w:pPr>
        <w:spacing w:after="0" w:line="360" w:lineRule="auto"/>
        <w:jc w:val="both"/>
        <w:rPr>
          <w:rFonts w:ascii="Arial" w:hAnsi="Arial" w:cs="Arial"/>
          <w:sz w:val="24"/>
          <w:szCs w:val="24"/>
        </w:rPr>
      </w:pPr>
    </w:p>
    <w:p w:rsidR="00BB67E0" w:rsidRDefault="00BB67E0" w:rsidP="003340B1">
      <w:pPr>
        <w:spacing w:after="0" w:line="360" w:lineRule="auto"/>
        <w:jc w:val="both"/>
        <w:rPr>
          <w:rFonts w:ascii="Arial" w:hAnsi="Arial" w:cs="Arial"/>
          <w:sz w:val="24"/>
          <w:szCs w:val="24"/>
        </w:rPr>
      </w:pPr>
      <w:r>
        <w:rPr>
          <w:rFonts w:ascii="Arial" w:hAnsi="Arial" w:cs="Arial"/>
          <w:sz w:val="24"/>
          <w:szCs w:val="24"/>
        </w:rPr>
        <w:t>[</w:t>
      </w:r>
      <w:r w:rsidR="005A570C">
        <w:rPr>
          <w:rFonts w:ascii="Arial" w:hAnsi="Arial" w:cs="Arial"/>
          <w:sz w:val="24"/>
          <w:szCs w:val="24"/>
        </w:rPr>
        <w:t>1</w:t>
      </w:r>
      <w:r w:rsidR="004F52C4">
        <w:rPr>
          <w:rFonts w:ascii="Arial" w:hAnsi="Arial" w:cs="Arial"/>
          <w:sz w:val="24"/>
          <w:szCs w:val="24"/>
        </w:rPr>
        <w:t>3</w:t>
      </w:r>
      <w:r>
        <w:rPr>
          <w:rFonts w:ascii="Arial" w:hAnsi="Arial" w:cs="Arial"/>
          <w:sz w:val="24"/>
          <w:szCs w:val="24"/>
        </w:rPr>
        <w:t>]</w:t>
      </w:r>
      <w:r>
        <w:rPr>
          <w:rFonts w:ascii="Arial" w:hAnsi="Arial" w:cs="Arial"/>
          <w:sz w:val="24"/>
          <w:szCs w:val="24"/>
        </w:rPr>
        <w:tab/>
        <w:t xml:space="preserve">The plaintiffs pleaded that the AMFS acted as a conduit of and in respect of the SME Bank’s stolen funds transferred to the </w:t>
      </w:r>
      <w:r w:rsidR="00DD47F1">
        <w:rPr>
          <w:rFonts w:ascii="Arial" w:hAnsi="Arial" w:cs="Arial"/>
          <w:sz w:val="24"/>
          <w:szCs w:val="24"/>
        </w:rPr>
        <w:t xml:space="preserve">first defendant’s bank account as the final recipient. </w:t>
      </w:r>
    </w:p>
    <w:p w:rsidR="00DD47F1" w:rsidRDefault="00DD47F1" w:rsidP="003340B1">
      <w:pPr>
        <w:spacing w:after="0" w:line="360" w:lineRule="auto"/>
        <w:jc w:val="both"/>
        <w:rPr>
          <w:rFonts w:ascii="Arial" w:hAnsi="Arial" w:cs="Arial"/>
          <w:sz w:val="24"/>
          <w:szCs w:val="24"/>
        </w:rPr>
      </w:pPr>
    </w:p>
    <w:p w:rsidR="00DD47F1" w:rsidRDefault="00DD47F1" w:rsidP="003340B1">
      <w:pPr>
        <w:spacing w:after="0" w:line="360" w:lineRule="auto"/>
        <w:jc w:val="both"/>
        <w:rPr>
          <w:rFonts w:ascii="Arial" w:hAnsi="Arial" w:cs="Arial"/>
          <w:sz w:val="24"/>
          <w:szCs w:val="24"/>
        </w:rPr>
      </w:pPr>
      <w:r>
        <w:rPr>
          <w:rFonts w:ascii="Arial" w:hAnsi="Arial" w:cs="Arial"/>
          <w:sz w:val="24"/>
          <w:szCs w:val="24"/>
        </w:rPr>
        <w:t>[1</w:t>
      </w:r>
      <w:r w:rsidR="004F52C4">
        <w:rPr>
          <w:rFonts w:ascii="Arial" w:hAnsi="Arial" w:cs="Arial"/>
          <w:sz w:val="24"/>
          <w:szCs w:val="24"/>
        </w:rPr>
        <w:t>4</w:t>
      </w:r>
      <w:r>
        <w:rPr>
          <w:rFonts w:ascii="Arial" w:hAnsi="Arial" w:cs="Arial"/>
          <w:sz w:val="24"/>
          <w:szCs w:val="24"/>
        </w:rPr>
        <w:t>]</w:t>
      </w:r>
      <w:r>
        <w:rPr>
          <w:rFonts w:ascii="Arial" w:hAnsi="Arial" w:cs="Arial"/>
          <w:sz w:val="24"/>
          <w:szCs w:val="24"/>
        </w:rPr>
        <w:tab/>
        <w:t>After the liquidation of the SME Bank this court authorized a Commission of Enquiry into the affairs of the SME Bank in terms of s 423 and 424 of the Companies Act, 28 of 2004.</w:t>
      </w:r>
    </w:p>
    <w:p w:rsidR="00DD47F1" w:rsidRDefault="00DD47F1" w:rsidP="003340B1">
      <w:pPr>
        <w:spacing w:after="0" w:line="360" w:lineRule="auto"/>
        <w:jc w:val="both"/>
        <w:rPr>
          <w:rFonts w:ascii="Arial" w:hAnsi="Arial" w:cs="Arial"/>
          <w:sz w:val="24"/>
          <w:szCs w:val="24"/>
        </w:rPr>
      </w:pPr>
    </w:p>
    <w:p w:rsidR="00DD47F1" w:rsidRDefault="00DD47F1" w:rsidP="003340B1">
      <w:pPr>
        <w:spacing w:after="0" w:line="360" w:lineRule="auto"/>
        <w:jc w:val="both"/>
        <w:rPr>
          <w:rFonts w:ascii="Arial" w:hAnsi="Arial" w:cs="Arial"/>
          <w:sz w:val="24"/>
          <w:szCs w:val="24"/>
        </w:rPr>
      </w:pPr>
      <w:r>
        <w:rPr>
          <w:rFonts w:ascii="Arial" w:hAnsi="Arial" w:cs="Arial"/>
          <w:sz w:val="24"/>
          <w:szCs w:val="24"/>
        </w:rPr>
        <w:t>[1</w:t>
      </w:r>
      <w:r w:rsidR="004F52C4">
        <w:rPr>
          <w:rFonts w:ascii="Arial" w:hAnsi="Arial" w:cs="Arial"/>
          <w:sz w:val="24"/>
          <w:szCs w:val="24"/>
        </w:rPr>
        <w:t>5</w:t>
      </w:r>
      <w:r>
        <w:rPr>
          <w:rFonts w:ascii="Arial" w:hAnsi="Arial" w:cs="Arial"/>
          <w:sz w:val="24"/>
          <w:szCs w:val="24"/>
        </w:rPr>
        <w:t>]</w:t>
      </w:r>
      <w:r>
        <w:rPr>
          <w:rFonts w:ascii="Arial" w:hAnsi="Arial" w:cs="Arial"/>
          <w:sz w:val="24"/>
          <w:szCs w:val="24"/>
        </w:rPr>
        <w:tab/>
        <w:t>As a result the first defendant was subpoena</w:t>
      </w:r>
      <w:r w:rsidR="0040205E" w:rsidRPr="00A27D83">
        <w:rPr>
          <w:rFonts w:ascii="Arial" w:hAnsi="Arial" w:cs="Arial"/>
          <w:sz w:val="24"/>
          <w:szCs w:val="24"/>
        </w:rPr>
        <w:t>e</w:t>
      </w:r>
      <w:r>
        <w:rPr>
          <w:rFonts w:ascii="Arial" w:hAnsi="Arial" w:cs="Arial"/>
          <w:sz w:val="24"/>
          <w:szCs w:val="24"/>
        </w:rPr>
        <w:t xml:space="preserve">d to testify at the Commission of Enquiry and at the enquiry the first defendant acknowledged having received N$ 300 000 from Mr Kamushinda, through AMFS, as a gift from Mr Kamushinda. </w:t>
      </w:r>
      <w:r w:rsidR="004F52C4">
        <w:rPr>
          <w:rFonts w:ascii="Arial" w:hAnsi="Arial" w:cs="Arial"/>
          <w:sz w:val="24"/>
          <w:szCs w:val="24"/>
        </w:rPr>
        <w:t>The plaintiffs further plead in this regard that in terms of the first defendant’s own testimony she received as last recipient the amount of N$ 300 000 from the SME Bank through AMFS, acting as conduit of the SME Bank’s stolen funds.</w:t>
      </w:r>
    </w:p>
    <w:p w:rsidR="00BB67E0" w:rsidRDefault="00BB67E0" w:rsidP="003340B1">
      <w:pPr>
        <w:spacing w:after="0" w:line="360" w:lineRule="auto"/>
        <w:jc w:val="both"/>
        <w:rPr>
          <w:rFonts w:ascii="Arial" w:hAnsi="Arial" w:cs="Arial"/>
          <w:sz w:val="24"/>
          <w:szCs w:val="24"/>
        </w:rPr>
      </w:pPr>
    </w:p>
    <w:p w:rsidR="00BB67E0" w:rsidRPr="008010DC" w:rsidRDefault="00DD47F1" w:rsidP="003340B1">
      <w:pPr>
        <w:spacing w:after="0" w:line="360" w:lineRule="auto"/>
        <w:jc w:val="both"/>
        <w:rPr>
          <w:rFonts w:ascii="Arial" w:hAnsi="Arial" w:cs="Arial"/>
          <w:sz w:val="24"/>
          <w:szCs w:val="24"/>
          <w:u w:val="single"/>
        </w:rPr>
      </w:pPr>
      <w:r w:rsidRPr="008010DC">
        <w:rPr>
          <w:rFonts w:ascii="Arial" w:hAnsi="Arial" w:cs="Arial"/>
          <w:sz w:val="24"/>
          <w:szCs w:val="24"/>
          <w:u w:val="single"/>
        </w:rPr>
        <w:t>The claim</w:t>
      </w:r>
      <w:r w:rsidR="008010DC">
        <w:rPr>
          <w:rFonts w:ascii="Arial" w:hAnsi="Arial" w:cs="Arial"/>
          <w:sz w:val="24"/>
          <w:szCs w:val="24"/>
          <w:u w:val="single"/>
        </w:rPr>
        <w:t xml:space="preserve"> against first defendant</w:t>
      </w:r>
    </w:p>
    <w:p w:rsidR="00DD47F1" w:rsidRDefault="00DD47F1" w:rsidP="003340B1">
      <w:pPr>
        <w:spacing w:after="0" w:line="360" w:lineRule="auto"/>
        <w:jc w:val="both"/>
        <w:rPr>
          <w:rFonts w:ascii="Arial" w:hAnsi="Arial" w:cs="Arial"/>
          <w:sz w:val="24"/>
          <w:szCs w:val="24"/>
        </w:rPr>
      </w:pPr>
    </w:p>
    <w:p w:rsidR="00DD47F1" w:rsidRDefault="00DD47F1" w:rsidP="003340B1">
      <w:pPr>
        <w:spacing w:after="0" w:line="360" w:lineRule="auto"/>
        <w:jc w:val="both"/>
        <w:rPr>
          <w:rFonts w:ascii="Arial" w:hAnsi="Arial" w:cs="Arial"/>
          <w:sz w:val="24"/>
          <w:szCs w:val="24"/>
        </w:rPr>
      </w:pPr>
      <w:r>
        <w:rPr>
          <w:rFonts w:ascii="Arial" w:hAnsi="Arial" w:cs="Arial"/>
          <w:sz w:val="24"/>
          <w:szCs w:val="24"/>
        </w:rPr>
        <w:t>[1</w:t>
      </w:r>
      <w:r w:rsidR="00A2075B">
        <w:rPr>
          <w:rFonts w:ascii="Arial" w:hAnsi="Arial" w:cs="Arial"/>
          <w:sz w:val="24"/>
          <w:szCs w:val="24"/>
        </w:rPr>
        <w:t>6</w:t>
      </w:r>
      <w:r>
        <w:rPr>
          <w:rFonts w:ascii="Arial" w:hAnsi="Arial" w:cs="Arial"/>
          <w:sz w:val="24"/>
          <w:szCs w:val="24"/>
        </w:rPr>
        <w:t>]</w:t>
      </w:r>
      <w:r>
        <w:rPr>
          <w:rFonts w:ascii="Arial" w:hAnsi="Arial" w:cs="Arial"/>
          <w:sz w:val="24"/>
          <w:szCs w:val="24"/>
        </w:rPr>
        <w:tab/>
        <w:t xml:space="preserve"> </w:t>
      </w:r>
      <w:r w:rsidRPr="00C331CB">
        <w:rPr>
          <w:rFonts w:ascii="Arial" w:hAnsi="Arial" w:cs="Arial"/>
          <w:sz w:val="24"/>
          <w:szCs w:val="24"/>
        </w:rPr>
        <w:t>The plaintiffs issued summons</w:t>
      </w:r>
      <w:r w:rsidR="008010DC">
        <w:rPr>
          <w:rFonts w:ascii="Arial" w:hAnsi="Arial" w:cs="Arial"/>
          <w:sz w:val="24"/>
          <w:szCs w:val="24"/>
        </w:rPr>
        <w:t xml:space="preserve"> on 17 June 2020 in terms of which they claim from the </w:t>
      </w:r>
      <w:r>
        <w:rPr>
          <w:rFonts w:ascii="Arial" w:hAnsi="Arial" w:cs="Arial"/>
          <w:sz w:val="24"/>
          <w:szCs w:val="24"/>
        </w:rPr>
        <w:t xml:space="preserve">first defendant payment </w:t>
      </w:r>
      <w:r w:rsidR="008010DC">
        <w:rPr>
          <w:rFonts w:ascii="Arial" w:hAnsi="Arial" w:cs="Arial"/>
          <w:sz w:val="24"/>
          <w:szCs w:val="24"/>
        </w:rPr>
        <w:t xml:space="preserve">in the amount </w:t>
      </w:r>
      <w:r>
        <w:rPr>
          <w:rFonts w:ascii="Arial" w:hAnsi="Arial" w:cs="Arial"/>
          <w:sz w:val="24"/>
          <w:szCs w:val="24"/>
        </w:rPr>
        <w:t>of N$ 300 000</w:t>
      </w:r>
      <w:r w:rsidRPr="00C331CB">
        <w:rPr>
          <w:rFonts w:ascii="Arial" w:hAnsi="Arial" w:cs="Arial"/>
          <w:sz w:val="24"/>
          <w:szCs w:val="24"/>
        </w:rPr>
        <w:t xml:space="preserve"> plus interest and costs</w:t>
      </w:r>
      <w:r w:rsidR="008010DC">
        <w:rPr>
          <w:rFonts w:ascii="Arial" w:hAnsi="Arial" w:cs="Arial"/>
          <w:sz w:val="24"/>
          <w:szCs w:val="24"/>
        </w:rPr>
        <w:t>.</w:t>
      </w:r>
      <w:r w:rsidR="00141B1E">
        <w:rPr>
          <w:rFonts w:ascii="Arial" w:hAnsi="Arial" w:cs="Arial"/>
          <w:sz w:val="24"/>
          <w:szCs w:val="24"/>
        </w:rPr>
        <w:t xml:space="preserve"> </w:t>
      </w:r>
      <w:r w:rsidR="008010DC">
        <w:rPr>
          <w:rFonts w:ascii="Arial" w:hAnsi="Arial" w:cs="Arial"/>
          <w:sz w:val="24"/>
          <w:szCs w:val="24"/>
        </w:rPr>
        <w:t>T</w:t>
      </w:r>
      <w:r w:rsidR="00141B1E">
        <w:rPr>
          <w:rFonts w:ascii="Arial" w:hAnsi="Arial" w:cs="Arial"/>
          <w:sz w:val="24"/>
          <w:szCs w:val="24"/>
        </w:rPr>
        <w:t xml:space="preserve">he plaintiff base their claim against the first defendant (and by implication against the rest of the defendants as well), on the following: </w:t>
      </w:r>
    </w:p>
    <w:p w:rsidR="0040205E" w:rsidRDefault="0040205E" w:rsidP="003340B1">
      <w:pPr>
        <w:spacing w:after="0" w:line="360" w:lineRule="auto"/>
        <w:jc w:val="both"/>
        <w:rPr>
          <w:rFonts w:ascii="Arial" w:hAnsi="Arial" w:cs="Arial"/>
          <w:sz w:val="24"/>
          <w:szCs w:val="24"/>
        </w:rPr>
      </w:pPr>
    </w:p>
    <w:p w:rsidR="00141B1E" w:rsidRDefault="00141B1E" w:rsidP="003340B1">
      <w:pPr>
        <w:spacing w:after="0" w:line="360" w:lineRule="auto"/>
        <w:jc w:val="both"/>
        <w:rPr>
          <w:rFonts w:ascii="Arial" w:hAnsi="Arial" w:cs="Arial"/>
          <w:sz w:val="24"/>
          <w:szCs w:val="24"/>
        </w:rPr>
      </w:pPr>
      <w:r>
        <w:rPr>
          <w:rFonts w:ascii="Arial" w:hAnsi="Arial" w:cs="Arial"/>
          <w:sz w:val="24"/>
          <w:szCs w:val="24"/>
        </w:rPr>
        <w:tab/>
        <w:t>a) main claim in terms of s 31 of the Insolvency Act</w:t>
      </w:r>
      <w:r w:rsidR="000006B7">
        <w:rPr>
          <w:rFonts w:ascii="Arial" w:hAnsi="Arial" w:cs="Arial"/>
          <w:sz w:val="24"/>
          <w:szCs w:val="24"/>
        </w:rPr>
        <w:t>;</w:t>
      </w:r>
      <w:r>
        <w:rPr>
          <w:rStyle w:val="FootnoteReference"/>
          <w:rFonts w:ascii="Arial" w:hAnsi="Arial" w:cs="Arial"/>
          <w:sz w:val="24"/>
          <w:szCs w:val="24"/>
        </w:rPr>
        <w:footnoteReference w:id="4"/>
      </w:r>
    </w:p>
    <w:p w:rsidR="00141B1E" w:rsidRDefault="00141B1E" w:rsidP="003340B1">
      <w:pPr>
        <w:spacing w:after="0" w:line="360" w:lineRule="auto"/>
        <w:jc w:val="both"/>
        <w:rPr>
          <w:rFonts w:ascii="Arial" w:hAnsi="Arial" w:cs="Arial"/>
          <w:sz w:val="24"/>
          <w:szCs w:val="24"/>
        </w:rPr>
      </w:pPr>
      <w:r>
        <w:rPr>
          <w:rFonts w:ascii="Arial" w:hAnsi="Arial" w:cs="Arial"/>
          <w:sz w:val="24"/>
          <w:szCs w:val="24"/>
        </w:rPr>
        <w:tab/>
        <w:t xml:space="preserve">b) alternative main claim in terms of s 26 of the Insolvency Act; </w:t>
      </w:r>
    </w:p>
    <w:p w:rsidR="00141B1E" w:rsidRDefault="00141B1E" w:rsidP="003340B1">
      <w:pPr>
        <w:spacing w:after="0" w:line="360" w:lineRule="auto"/>
        <w:jc w:val="both"/>
        <w:rPr>
          <w:rFonts w:ascii="Arial" w:hAnsi="Arial" w:cs="Arial"/>
          <w:sz w:val="24"/>
          <w:szCs w:val="24"/>
        </w:rPr>
      </w:pPr>
      <w:r>
        <w:rPr>
          <w:rFonts w:ascii="Arial" w:hAnsi="Arial" w:cs="Arial"/>
          <w:sz w:val="24"/>
          <w:szCs w:val="24"/>
        </w:rPr>
        <w:tab/>
        <w:t xml:space="preserve">c) </w:t>
      </w:r>
      <w:r w:rsidR="00BE5084">
        <w:rPr>
          <w:rFonts w:ascii="Arial" w:hAnsi="Arial" w:cs="Arial"/>
          <w:sz w:val="24"/>
          <w:szCs w:val="24"/>
        </w:rPr>
        <w:t xml:space="preserve">alternatively </w:t>
      </w:r>
      <w:r w:rsidRPr="00141B1E">
        <w:rPr>
          <w:rFonts w:ascii="Arial" w:hAnsi="Arial" w:cs="Arial"/>
          <w:i/>
          <w:sz w:val="24"/>
          <w:szCs w:val="24"/>
        </w:rPr>
        <w:t>condictio indebiti</w:t>
      </w:r>
      <w:r>
        <w:rPr>
          <w:rFonts w:ascii="Arial" w:hAnsi="Arial" w:cs="Arial"/>
          <w:sz w:val="24"/>
          <w:szCs w:val="24"/>
        </w:rPr>
        <w:t xml:space="preserve"> (unjustified enrichment);</w:t>
      </w:r>
    </w:p>
    <w:p w:rsidR="00141B1E" w:rsidRDefault="00141B1E" w:rsidP="003340B1">
      <w:pPr>
        <w:spacing w:after="0" w:line="360" w:lineRule="auto"/>
        <w:jc w:val="both"/>
        <w:rPr>
          <w:rFonts w:ascii="Arial" w:hAnsi="Arial" w:cs="Arial"/>
          <w:sz w:val="24"/>
          <w:szCs w:val="24"/>
        </w:rPr>
      </w:pPr>
      <w:r>
        <w:rPr>
          <w:rFonts w:ascii="Arial" w:hAnsi="Arial" w:cs="Arial"/>
          <w:sz w:val="24"/>
          <w:szCs w:val="24"/>
        </w:rPr>
        <w:lastRenderedPageBreak/>
        <w:tab/>
        <w:t xml:space="preserve">d) </w:t>
      </w:r>
      <w:r w:rsidR="00BE5084">
        <w:rPr>
          <w:rFonts w:ascii="Arial" w:hAnsi="Arial" w:cs="Arial"/>
          <w:sz w:val="24"/>
          <w:szCs w:val="24"/>
        </w:rPr>
        <w:t xml:space="preserve">alternatively </w:t>
      </w:r>
      <w:r w:rsidRPr="00141B1E">
        <w:rPr>
          <w:rFonts w:ascii="Arial" w:hAnsi="Arial" w:cs="Arial"/>
          <w:i/>
          <w:sz w:val="24"/>
          <w:szCs w:val="24"/>
        </w:rPr>
        <w:t>conditio ob turpem injustam causam</w:t>
      </w:r>
      <w:r>
        <w:rPr>
          <w:rFonts w:ascii="Arial" w:hAnsi="Arial" w:cs="Arial"/>
          <w:sz w:val="24"/>
          <w:szCs w:val="24"/>
        </w:rPr>
        <w:t>;</w:t>
      </w:r>
    </w:p>
    <w:p w:rsidR="00141B1E" w:rsidRDefault="00141B1E" w:rsidP="003340B1">
      <w:pPr>
        <w:spacing w:after="0" w:line="360" w:lineRule="auto"/>
        <w:jc w:val="both"/>
        <w:rPr>
          <w:rFonts w:ascii="Arial" w:hAnsi="Arial" w:cs="Arial"/>
          <w:sz w:val="24"/>
          <w:szCs w:val="24"/>
        </w:rPr>
      </w:pPr>
      <w:r>
        <w:rPr>
          <w:rFonts w:ascii="Arial" w:hAnsi="Arial" w:cs="Arial"/>
          <w:sz w:val="24"/>
          <w:szCs w:val="24"/>
        </w:rPr>
        <w:tab/>
        <w:t xml:space="preserve">e) </w:t>
      </w:r>
      <w:r w:rsidR="00BE5084">
        <w:rPr>
          <w:rFonts w:ascii="Arial" w:hAnsi="Arial" w:cs="Arial"/>
          <w:sz w:val="24"/>
          <w:szCs w:val="24"/>
        </w:rPr>
        <w:t xml:space="preserve">alternatively </w:t>
      </w:r>
      <w:r w:rsidRPr="00141B1E">
        <w:rPr>
          <w:rFonts w:ascii="Arial" w:hAnsi="Arial" w:cs="Arial"/>
          <w:i/>
          <w:sz w:val="24"/>
          <w:szCs w:val="24"/>
        </w:rPr>
        <w:t xml:space="preserve">conditio </w:t>
      </w:r>
      <w:r w:rsidR="008010DC">
        <w:rPr>
          <w:rFonts w:ascii="Arial" w:hAnsi="Arial" w:cs="Arial"/>
          <w:i/>
          <w:sz w:val="24"/>
          <w:szCs w:val="24"/>
        </w:rPr>
        <w:t>furtiv</w:t>
      </w:r>
      <w:r w:rsidR="00BE5084">
        <w:rPr>
          <w:rFonts w:ascii="Arial" w:hAnsi="Arial" w:cs="Arial"/>
          <w:i/>
          <w:sz w:val="24"/>
          <w:szCs w:val="24"/>
        </w:rPr>
        <w:t>a</w:t>
      </w:r>
      <w:r w:rsidR="008010DC">
        <w:rPr>
          <w:rFonts w:ascii="Arial" w:hAnsi="Arial" w:cs="Arial"/>
          <w:i/>
          <w:sz w:val="24"/>
          <w:szCs w:val="24"/>
        </w:rPr>
        <w:t>.</w:t>
      </w:r>
    </w:p>
    <w:p w:rsidR="00141B1E" w:rsidRDefault="00141B1E" w:rsidP="003340B1">
      <w:pPr>
        <w:spacing w:after="0" w:line="360" w:lineRule="auto"/>
        <w:jc w:val="both"/>
        <w:rPr>
          <w:rFonts w:ascii="Arial" w:hAnsi="Arial" w:cs="Arial"/>
          <w:sz w:val="24"/>
          <w:szCs w:val="24"/>
        </w:rPr>
      </w:pPr>
    </w:p>
    <w:p w:rsidR="00E143F8" w:rsidRDefault="00141B1E" w:rsidP="00E143F8">
      <w:pPr>
        <w:spacing w:after="0" w:line="360" w:lineRule="auto"/>
        <w:jc w:val="both"/>
        <w:rPr>
          <w:rFonts w:ascii="Arial" w:hAnsi="Arial" w:cs="Arial"/>
          <w:sz w:val="24"/>
          <w:szCs w:val="24"/>
        </w:rPr>
      </w:pPr>
      <w:r>
        <w:rPr>
          <w:rFonts w:ascii="Arial" w:hAnsi="Arial" w:cs="Arial"/>
          <w:sz w:val="24"/>
          <w:szCs w:val="24"/>
        </w:rPr>
        <w:t>[</w:t>
      </w:r>
      <w:r w:rsidR="008010DC">
        <w:rPr>
          <w:rFonts w:ascii="Arial" w:hAnsi="Arial" w:cs="Arial"/>
          <w:sz w:val="24"/>
          <w:szCs w:val="24"/>
        </w:rPr>
        <w:t>1</w:t>
      </w:r>
      <w:r w:rsidR="00A2075B">
        <w:rPr>
          <w:rFonts w:ascii="Arial" w:hAnsi="Arial" w:cs="Arial"/>
          <w:sz w:val="24"/>
          <w:szCs w:val="24"/>
        </w:rPr>
        <w:t>7</w:t>
      </w:r>
      <w:r>
        <w:rPr>
          <w:rFonts w:ascii="Arial" w:hAnsi="Arial" w:cs="Arial"/>
          <w:sz w:val="24"/>
          <w:szCs w:val="24"/>
        </w:rPr>
        <w:t>]</w:t>
      </w:r>
      <w:r>
        <w:rPr>
          <w:rFonts w:ascii="Arial" w:hAnsi="Arial" w:cs="Arial"/>
          <w:sz w:val="24"/>
          <w:szCs w:val="24"/>
        </w:rPr>
        <w:tab/>
        <w:t xml:space="preserve">The first defendant defended this matter on </w:t>
      </w:r>
      <w:r w:rsidR="008010DC">
        <w:rPr>
          <w:rFonts w:ascii="Arial" w:hAnsi="Arial" w:cs="Arial"/>
          <w:sz w:val="24"/>
          <w:szCs w:val="24"/>
        </w:rPr>
        <w:t>15 July 2020 and the plaintiffs proceeded to file their application for summary judgment in respect of the first defendant which is limited to their claim of</w:t>
      </w:r>
      <w:r w:rsidR="00E143F8">
        <w:rPr>
          <w:rFonts w:ascii="Arial" w:hAnsi="Arial" w:cs="Arial"/>
          <w:sz w:val="24"/>
          <w:szCs w:val="24"/>
        </w:rPr>
        <w:t xml:space="preserve"> alternative claims, ie </w:t>
      </w:r>
      <w:r w:rsidR="00E143F8" w:rsidRPr="00141B1E">
        <w:rPr>
          <w:rFonts w:ascii="Arial" w:hAnsi="Arial" w:cs="Arial"/>
          <w:i/>
          <w:sz w:val="24"/>
          <w:szCs w:val="24"/>
        </w:rPr>
        <w:t>condictio indebiti</w:t>
      </w:r>
      <w:r w:rsidR="00E143F8">
        <w:rPr>
          <w:rFonts w:ascii="Arial" w:hAnsi="Arial" w:cs="Arial"/>
          <w:sz w:val="24"/>
          <w:szCs w:val="24"/>
        </w:rPr>
        <w:t xml:space="preserve"> (unjustified enrichment), alternatively </w:t>
      </w:r>
      <w:r w:rsidR="00E143F8" w:rsidRPr="00141B1E">
        <w:rPr>
          <w:rFonts w:ascii="Arial" w:hAnsi="Arial" w:cs="Arial"/>
          <w:i/>
          <w:sz w:val="24"/>
          <w:szCs w:val="24"/>
        </w:rPr>
        <w:t>condi</w:t>
      </w:r>
      <w:r w:rsidR="00A2075B">
        <w:rPr>
          <w:rFonts w:ascii="Arial" w:hAnsi="Arial" w:cs="Arial"/>
          <w:i/>
          <w:sz w:val="24"/>
          <w:szCs w:val="24"/>
        </w:rPr>
        <w:t>c</w:t>
      </w:r>
      <w:r w:rsidR="00E143F8" w:rsidRPr="00141B1E">
        <w:rPr>
          <w:rFonts w:ascii="Arial" w:hAnsi="Arial" w:cs="Arial"/>
          <w:i/>
          <w:sz w:val="24"/>
          <w:szCs w:val="24"/>
        </w:rPr>
        <w:t>tio ob turpem injustam causam</w:t>
      </w:r>
      <w:r w:rsidR="00E143F8">
        <w:rPr>
          <w:rFonts w:ascii="Arial" w:hAnsi="Arial" w:cs="Arial"/>
          <w:sz w:val="24"/>
          <w:szCs w:val="24"/>
        </w:rPr>
        <w:t xml:space="preserve">,  alternatively </w:t>
      </w:r>
      <w:r w:rsidR="00E143F8" w:rsidRPr="00141B1E">
        <w:rPr>
          <w:rFonts w:ascii="Arial" w:hAnsi="Arial" w:cs="Arial"/>
          <w:i/>
          <w:sz w:val="24"/>
          <w:szCs w:val="24"/>
        </w:rPr>
        <w:t>condi</w:t>
      </w:r>
      <w:r w:rsidR="00A2075B">
        <w:rPr>
          <w:rFonts w:ascii="Arial" w:hAnsi="Arial" w:cs="Arial"/>
          <w:i/>
          <w:sz w:val="24"/>
          <w:szCs w:val="24"/>
        </w:rPr>
        <w:t>c</w:t>
      </w:r>
      <w:r w:rsidR="00E143F8" w:rsidRPr="00141B1E">
        <w:rPr>
          <w:rFonts w:ascii="Arial" w:hAnsi="Arial" w:cs="Arial"/>
          <w:i/>
          <w:sz w:val="24"/>
          <w:szCs w:val="24"/>
        </w:rPr>
        <w:t xml:space="preserve">tio </w:t>
      </w:r>
      <w:r w:rsidR="00E143F8">
        <w:rPr>
          <w:rFonts w:ascii="Arial" w:hAnsi="Arial" w:cs="Arial"/>
          <w:i/>
          <w:sz w:val="24"/>
          <w:szCs w:val="24"/>
        </w:rPr>
        <w:t>furtiva.</w:t>
      </w:r>
    </w:p>
    <w:p w:rsidR="00BB67E0" w:rsidRDefault="00BB67E0" w:rsidP="003340B1">
      <w:pPr>
        <w:spacing w:after="0" w:line="360" w:lineRule="auto"/>
        <w:jc w:val="both"/>
        <w:rPr>
          <w:rFonts w:ascii="Arial" w:hAnsi="Arial" w:cs="Arial"/>
          <w:sz w:val="24"/>
          <w:szCs w:val="24"/>
        </w:rPr>
      </w:pPr>
    </w:p>
    <w:p w:rsidR="00B70462" w:rsidRDefault="008010DC" w:rsidP="00B70462">
      <w:pPr>
        <w:spacing w:after="0" w:line="360" w:lineRule="auto"/>
        <w:jc w:val="both"/>
        <w:rPr>
          <w:rFonts w:ascii="Arial" w:hAnsi="Arial" w:cs="Arial"/>
          <w:sz w:val="24"/>
          <w:szCs w:val="24"/>
          <w:u w:val="single"/>
        </w:rPr>
      </w:pPr>
      <w:r w:rsidRPr="008010DC">
        <w:rPr>
          <w:rFonts w:ascii="Arial" w:hAnsi="Arial" w:cs="Arial"/>
          <w:sz w:val="24"/>
          <w:szCs w:val="24"/>
          <w:u w:val="single"/>
        </w:rPr>
        <w:t xml:space="preserve">The </w:t>
      </w:r>
      <w:r w:rsidR="00090A8C">
        <w:rPr>
          <w:rFonts w:ascii="Arial" w:hAnsi="Arial" w:cs="Arial"/>
          <w:sz w:val="24"/>
          <w:szCs w:val="24"/>
          <w:u w:val="single"/>
        </w:rPr>
        <w:t>opposing</w:t>
      </w:r>
      <w:r w:rsidRPr="008010DC">
        <w:rPr>
          <w:rFonts w:ascii="Arial" w:hAnsi="Arial" w:cs="Arial"/>
          <w:sz w:val="24"/>
          <w:szCs w:val="24"/>
          <w:u w:val="single"/>
        </w:rPr>
        <w:t xml:space="preserve"> affidavit</w:t>
      </w:r>
    </w:p>
    <w:p w:rsidR="0040205E" w:rsidRDefault="0040205E" w:rsidP="00B70462">
      <w:pPr>
        <w:spacing w:after="0" w:line="360" w:lineRule="auto"/>
        <w:jc w:val="both"/>
        <w:rPr>
          <w:rFonts w:ascii="Arial" w:hAnsi="Arial" w:cs="Arial"/>
          <w:sz w:val="24"/>
          <w:szCs w:val="24"/>
          <w:u w:val="single"/>
        </w:rPr>
      </w:pPr>
    </w:p>
    <w:p w:rsidR="008010DC" w:rsidRDefault="008010DC" w:rsidP="00B70462">
      <w:pPr>
        <w:spacing w:after="0" w:line="360" w:lineRule="auto"/>
        <w:jc w:val="both"/>
        <w:rPr>
          <w:rFonts w:ascii="Arial" w:hAnsi="Arial" w:cs="Arial"/>
          <w:i/>
          <w:sz w:val="24"/>
          <w:szCs w:val="24"/>
        </w:rPr>
      </w:pPr>
      <w:r w:rsidRPr="008010DC">
        <w:rPr>
          <w:rFonts w:ascii="Arial" w:hAnsi="Arial" w:cs="Arial"/>
          <w:sz w:val="24"/>
          <w:szCs w:val="24"/>
        </w:rPr>
        <w:t>[1</w:t>
      </w:r>
      <w:r w:rsidR="00A2075B">
        <w:rPr>
          <w:rFonts w:ascii="Arial" w:hAnsi="Arial" w:cs="Arial"/>
          <w:sz w:val="24"/>
          <w:szCs w:val="24"/>
        </w:rPr>
        <w:t>8</w:t>
      </w:r>
      <w:r w:rsidRPr="008010DC">
        <w:rPr>
          <w:rFonts w:ascii="Arial" w:hAnsi="Arial" w:cs="Arial"/>
          <w:sz w:val="24"/>
          <w:szCs w:val="24"/>
        </w:rPr>
        <w:t>]</w:t>
      </w:r>
      <w:r w:rsidRPr="008010DC">
        <w:rPr>
          <w:rFonts w:ascii="Arial" w:hAnsi="Arial" w:cs="Arial"/>
          <w:sz w:val="24"/>
          <w:szCs w:val="24"/>
        </w:rPr>
        <w:tab/>
      </w:r>
      <w:r w:rsidR="00BE5084">
        <w:rPr>
          <w:rFonts w:ascii="Arial" w:hAnsi="Arial" w:cs="Arial"/>
          <w:sz w:val="24"/>
          <w:szCs w:val="24"/>
        </w:rPr>
        <w:t xml:space="preserve">In her answering affidavit the first defendant denies the plaintiffs’ averment that she does not have a bona fide defence against the </w:t>
      </w:r>
      <w:r w:rsidR="00BE5084" w:rsidRPr="00751119">
        <w:rPr>
          <w:rFonts w:ascii="Arial" w:hAnsi="Arial" w:cs="Arial"/>
          <w:i/>
          <w:sz w:val="24"/>
          <w:szCs w:val="24"/>
        </w:rPr>
        <w:t>condi</w:t>
      </w:r>
      <w:r w:rsidR="00A2075B">
        <w:rPr>
          <w:rFonts w:ascii="Arial" w:hAnsi="Arial" w:cs="Arial"/>
          <w:i/>
          <w:sz w:val="24"/>
          <w:szCs w:val="24"/>
        </w:rPr>
        <w:t>c</w:t>
      </w:r>
      <w:r w:rsidR="00BE5084" w:rsidRPr="00751119">
        <w:rPr>
          <w:rFonts w:ascii="Arial" w:hAnsi="Arial" w:cs="Arial"/>
          <w:i/>
          <w:sz w:val="24"/>
          <w:szCs w:val="24"/>
        </w:rPr>
        <w:t>tio indebiti</w:t>
      </w:r>
      <w:r w:rsidR="00BE5084">
        <w:rPr>
          <w:rFonts w:ascii="Arial" w:hAnsi="Arial" w:cs="Arial"/>
          <w:sz w:val="24"/>
          <w:szCs w:val="24"/>
        </w:rPr>
        <w:t xml:space="preserve">, alternatively </w:t>
      </w:r>
      <w:r w:rsidR="00BE5084" w:rsidRPr="00141B1E">
        <w:rPr>
          <w:rFonts w:ascii="Arial" w:hAnsi="Arial" w:cs="Arial"/>
          <w:i/>
          <w:sz w:val="24"/>
          <w:szCs w:val="24"/>
        </w:rPr>
        <w:t>condi</w:t>
      </w:r>
      <w:r w:rsidR="00A2075B">
        <w:rPr>
          <w:rFonts w:ascii="Arial" w:hAnsi="Arial" w:cs="Arial"/>
          <w:i/>
          <w:sz w:val="24"/>
          <w:szCs w:val="24"/>
        </w:rPr>
        <w:t>c</w:t>
      </w:r>
      <w:r w:rsidR="00BE5084" w:rsidRPr="00141B1E">
        <w:rPr>
          <w:rFonts w:ascii="Arial" w:hAnsi="Arial" w:cs="Arial"/>
          <w:i/>
          <w:sz w:val="24"/>
          <w:szCs w:val="24"/>
        </w:rPr>
        <w:t>tio ob turpem injustam causam</w:t>
      </w:r>
      <w:r w:rsidR="00BE5084">
        <w:rPr>
          <w:rFonts w:ascii="Arial" w:hAnsi="Arial" w:cs="Arial"/>
          <w:i/>
          <w:sz w:val="24"/>
          <w:szCs w:val="24"/>
        </w:rPr>
        <w:t xml:space="preserve">, </w:t>
      </w:r>
      <w:r w:rsidR="00BE5084">
        <w:rPr>
          <w:rFonts w:ascii="Arial" w:hAnsi="Arial" w:cs="Arial"/>
          <w:sz w:val="24"/>
          <w:szCs w:val="24"/>
        </w:rPr>
        <w:t xml:space="preserve">alternatively </w:t>
      </w:r>
      <w:r w:rsidR="00BE5084" w:rsidRPr="00141B1E">
        <w:rPr>
          <w:rFonts w:ascii="Arial" w:hAnsi="Arial" w:cs="Arial"/>
          <w:i/>
          <w:sz w:val="24"/>
          <w:szCs w:val="24"/>
        </w:rPr>
        <w:t>condi</w:t>
      </w:r>
      <w:r w:rsidR="00A2075B">
        <w:rPr>
          <w:rFonts w:ascii="Arial" w:hAnsi="Arial" w:cs="Arial"/>
          <w:i/>
          <w:sz w:val="24"/>
          <w:szCs w:val="24"/>
        </w:rPr>
        <w:t>c</w:t>
      </w:r>
      <w:r w:rsidR="00BE5084" w:rsidRPr="00141B1E">
        <w:rPr>
          <w:rFonts w:ascii="Arial" w:hAnsi="Arial" w:cs="Arial"/>
          <w:i/>
          <w:sz w:val="24"/>
          <w:szCs w:val="24"/>
        </w:rPr>
        <w:t xml:space="preserve">tio </w:t>
      </w:r>
      <w:r w:rsidR="00BE5084">
        <w:rPr>
          <w:rFonts w:ascii="Arial" w:hAnsi="Arial" w:cs="Arial"/>
          <w:i/>
          <w:sz w:val="24"/>
          <w:szCs w:val="24"/>
        </w:rPr>
        <w:t>furtiv</w:t>
      </w:r>
      <w:r w:rsidR="00751119">
        <w:rPr>
          <w:rFonts w:ascii="Arial" w:hAnsi="Arial" w:cs="Arial"/>
          <w:i/>
          <w:sz w:val="24"/>
          <w:szCs w:val="24"/>
        </w:rPr>
        <w:t>a</w:t>
      </w:r>
      <w:r w:rsidR="00BE5084">
        <w:rPr>
          <w:rFonts w:ascii="Arial" w:hAnsi="Arial" w:cs="Arial"/>
          <w:i/>
          <w:sz w:val="24"/>
          <w:szCs w:val="24"/>
        </w:rPr>
        <w:t>.</w:t>
      </w:r>
    </w:p>
    <w:p w:rsidR="00BE5084" w:rsidRDefault="00BE5084" w:rsidP="00B70462">
      <w:pPr>
        <w:spacing w:after="0" w:line="360" w:lineRule="auto"/>
        <w:jc w:val="both"/>
        <w:rPr>
          <w:rFonts w:ascii="Arial" w:hAnsi="Arial" w:cs="Arial"/>
          <w:i/>
          <w:sz w:val="24"/>
          <w:szCs w:val="24"/>
        </w:rPr>
      </w:pPr>
    </w:p>
    <w:p w:rsidR="00461C40" w:rsidRDefault="00BE5084" w:rsidP="00B70462">
      <w:pPr>
        <w:spacing w:after="0" w:line="360" w:lineRule="auto"/>
        <w:jc w:val="both"/>
        <w:rPr>
          <w:rFonts w:ascii="Arial" w:hAnsi="Arial" w:cs="Arial"/>
          <w:sz w:val="24"/>
          <w:szCs w:val="24"/>
        </w:rPr>
      </w:pPr>
      <w:r>
        <w:rPr>
          <w:rFonts w:ascii="Arial" w:hAnsi="Arial" w:cs="Arial"/>
          <w:sz w:val="24"/>
          <w:szCs w:val="24"/>
        </w:rPr>
        <w:t>[1</w:t>
      </w:r>
      <w:r w:rsidR="00A2075B">
        <w:rPr>
          <w:rFonts w:ascii="Arial" w:hAnsi="Arial" w:cs="Arial"/>
          <w:sz w:val="24"/>
          <w:szCs w:val="24"/>
        </w:rPr>
        <w:t>9</w:t>
      </w:r>
      <w:r>
        <w:rPr>
          <w:rFonts w:ascii="Arial" w:hAnsi="Arial" w:cs="Arial"/>
          <w:sz w:val="24"/>
          <w:szCs w:val="24"/>
        </w:rPr>
        <w:t>]</w:t>
      </w:r>
      <w:r>
        <w:rPr>
          <w:rFonts w:ascii="Arial" w:hAnsi="Arial" w:cs="Arial"/>
          <w:sz w:val="24"/>
          <w:szCs w:val="24"/>
        </w:rPr>
        <w:tab/>
        <w:t>The first defendant stated that she was employed by the SME Bank from around December 2012 but prior to that she was employed by Standard Bank of Namibia as the Business Banking Relationship Manager. Whilst employed by Standard Bank she met Mr Kamushinda as he was a client</w:t>
      </w:r>
      <w:r w:rsidR="00660B4F">
        <w:rPr>
          <w:rFonts w:ascii="Arial" w:hAnsi="Arial" w:cs="Arial"/>
          <w:sz w:val="24"/>
          <w:szCs w:val="24"/>
        </w:rPr>
        <w:t xml:space="preserve"> as she was managing his portfolio. The first defendant stated that she was approach</w:t>
      </w:r>
      <w:r w:rsidR="00326A04" w:rsidRPr="000006B7">
        <w:rPr>
          <w:rFonts w:ascii="Arial" w:hAnsi="Arial" w:cs="Arial"/>
          <w:sz w:val="24"/>
          <w:szCs w:val="24"/>
        </w:rPr>
        <w:t>ed</w:t>
      </w:r>
      <w:r w:rsidR="00660B4F">
        <w:rPr>
          <w:rFonts w:ascii="Arial" w:hAnsi="Arial" w:cs="Arial"/>
          <w:sz w:val="24"/>
          <w:szCs w:val="24"/>
        </w:rPr>
        <w:t xml:space="preserve"> by Mr Kamushinda </w:t>
      </w:r>
      <w:r w:rsidR="009618A0">
        <w:rPr>
          <w:rFonts w:ascii="Arial" w:hAnsi="Arial" w:cs="Arial"/>
          <w:sz w:val="24"/>
          <w:szCs w:val="24"/>
        </w:rPr>
        <w:t>during the beginning of 2012 with a job offer to join a team of professional</w:t>
      </w:r>
      <w:r w:rsidR="00326A04" w:rsidRPr="000006B7">
        <w:rPr>
          <w:rFonts w:ascii="Arial" w:hAnsi="Arial" w:cs="Arial"/>
          <w:sz w:val="24"/>
          <w:szCs w:val="24"/>
        </w:rPr>
        <w:t>s</w:t>
      </w:r>
      <w:r w:rsidR="009618A0">
        <w:rPr>
          <w:rFonts w:ascii="Arial" w:hAnsi="Arial" w:cs="Arial"/>
          <w:sz w:val="24"/>
          <w:szCs w:val="24"/>
        </w:rPr>
        <w:t xml:space="preserve"> who would attend on the initial phases of setting up the SME Bank, which she accepted. The first defendant proceeded to hand in her resignation but before she was done serving her notice period she was contacted by MD5 Incorporated, an attorney’s firm</w:t>
      </w:r>
      <w:r w:rsidR="00461C40">
        <w:rPr>
          <w:rFonts w:ascii="Arial" w:hAnsi="Arial" w:cs="Arial"/>
          <w:sz w:val="24"/>
          <w:szCs w:val="24"/>
        </w:rPr>
        <w:t xml:space="preserve">, who informed the defendant that they are acting on instructions of Mr Kamushinda and that her services </w:t>
      </w:r>
      <w:r w:rsidR="00326A04" w:rsidRPr="00A27D83">
        <w:rPr>
          <w:rFonts w:ascii="Arial" w:hAnsi="Arial" w:cs="Arial"/>
          <w:sz w:val="24"/>
          <w:szCs w:val="24"/>
        </w:rPr>
        <w:t xml:space="preserve">was </w:t>
      </w:r>
      <w:r w:rsidR="00461C40" w:rsidRPr="00A27D83">
        <w:rPr>
          <w:rFonts w:ascii="Arial" w:hAnsi="Arial" w:cs="Arial"/>
          <w:sz w:val="24"/>
          <w:szCs w:val="24"/>
        </w:rPr>
        <w:t xml:space="preserve">needed </w:t>
      </w:r>
      <w:r w:rsidR="00461C40">
        <w:rPr>
          <w:rFonts w:ascii="Arial" w:hAnsi="Arial" w:cs="Arial"/>
          <w:sz w:val="24"/>
          <w:szCs w:val="24"/>
        </w:rPr>
        <w:t>earlier than anticipated. As a result she only work</w:t>
      </w:r>
      <w:r w:rsidR="00326A04" w:rsidRPr="00A27D83">
        <w:rPr>
          <w:rFonts w:ascii="Arial" w:hAnsi="Arial" w:cs="Arial"/>
          <w:sz w:val="24"/>
          <w:szCs w:val="24"/>
        </w:rPr>
        <w:t>ed</w:t>
      </w:r>
      <w:r w:rsidR="00461C40" w:rsidRPr="00A27D83">
        <w:rPr>
          <w:rFonts w:ascii="Arial" w:hAnsi="Arial" w:cs="Arial"/>
          <w:sz w:val="24"/>
          <w:szCs w:val="24"/>
        </w:rPr>
        <w:t xml:space="preserve"> </w:t>
      </w:r>
      <w:r w:rsidR="00461C40">
        <w:rPr>
          <w:rFonts w:ascii="Arial" w:hAnsi="Arial" w:cs="Arial"/>
          <w:sz w:val="24"/>
          <w:szCs w:val="24"/>
        </w:rPr>
        <w:t>a portion of her notice period with Standard Bank which further had the implication that she w</w:t>
      </w:r>
      <w:r w:rsidR="000F1248">
        <w:rPr>
          <w:rFonts w:ascii="Arial" w:hAnsi="Arial" w:cs="Arial"/>
          <w:sz w:val="24"/>
          <w:szCs w:val="24"/>
        </w:rPr>
        <w:t>as</w:t>
      </w:r>
      <w:r w:rsidR="00461C40">
        <w:rPr>
          <w:rFonts w:ascii="Arial" w:hAnsi="Arial" w:cs="Arial"/>
          <w:sz w:val="24"/>
          <w:szCs w:val="24"/>
        </w:rPr>
        <w:t xml:space="preserve"> liable to Standard Bank for </w:t>
      </w:r>
      <w:r w:rsidR="000F1248">
        <w:rPr>
          <w:rFonts w:ascii="Arial" w:hAnsi="Arial" w:cs="Arial"/>
          <w:sz w:val="24"/>
          <w:szCs w:val="24"/>
        </w:rPr>
        <w:t xml:space="preserve">one month salary calculated on a </w:t>
      </w:r>
      <w:r w:rsidR="000F1248" w:rsidRPr="00751119">
        <w:rPr>
          <w:rFonts w:ascii="Arial" w:hAnsi="Arial" w:cs="Arial"/>
          <w:i/>
          <w:sz w:val="24"/>
          <w:szCs w:val="24"/>
        </w:rPr>
        <w:t>pro rata</w:t>
      </w:r>
      <w:r w:rsidR="000F1248">
        <w:rPr>
          <w:rFonts w:ascii="Arial" w:hAnsi="Arial" w:cs="Arial"/>
          <w:sz w:val="24"/>
          <w:szCs w:val="24"/>
        </w:rPr>
        <w:t xml:space="preserve"> basis </w:t>
      </w:r>
      <w:r w:rsidR="00461C40">
        <w:rPr>
          <w:rFonts w:ascii="Arial" w:hAnsi="Arial" w:cs="Arial"/>
          <w:sz w:val="24"/>
          <w:szCs w:val="24"/>
        </w:rPr>
        <w:t>a number of expenses</w:t>
      </w:r>
      <w:r w:rsidR="000F1248">
        <w:rPr>
          <w:rFonts w:ascii="Arial" w:hAnsi="Arial" w:cs="Arial"/>
          <w:sz w:val="24"/>
          <w:szCs w:val="24"/>
        </w:rPr>
        <w:t>. In addition thereto the first defendant stated that she had other obligations to her former employer</w:t>
      </w:r>
      <w:r w:rsidR="00461C40">
        <w:rPr>
          <w:rFonts w:ascii="Arial" w:hAnsi="Arial" w:cs="Arial"/>
          <w:sz w:val="24"/>
          <w:szCs w:val="24"/>
        </w:rPr>
        <w:t xml:space="preserve"> which included: </w:t>
      </w:r>
    </w:p>
    <w:p w:rsidR="00326A04" w:rsidRDefault="00326A04" w:rsidP="00B70462">
      <w:pPr>
        <w:spacing w:after="0" w:line="360" w:lineRule="auto"/>
        <w:jc w:val="both"/>
        <w:rPr>
          <w:rFonts w:ascii="Arial" w:hAnsi="Arial" w:cs="Arial"/>
          <w:sz w:val="24"/>
          <w:szCs w:val="24"/>
        </w:rPr>
      </w:pPr>
    </w:p>
    <w:p w:rsidR="00BE5084" w:rsidRDefault="000F1248" w:rsidP="000F1248">
      <w:pPr>
        <w:spacing w:after="0" w:line="360" w:lineRule="auto"/>
        <w:ind w:left="720"/>
        <w:jc w:val="both"/>
        <w:rPr>
          <w:rFonts w:ascii="Arial" w:hAnsi="Arial" w:cs="Arial"/>
          <w:sz w:val="24"/>
          <w:szCs w:val="24"/>
        </w:rPr>
      </w:pPr>
      <w:r>
        <w:rPr>
          <w:rFonts w:ascii="Arial" w:hAnsi="Arial" w:cs="Arial"/>
          <w:sz w:val="24"/>
          <w:szCs w:val="24"/>
        </w:rPr>
        <w:t>a</w:t>
      </w:r>
      <w:r w:rsidR="00461C40">
        <w:rPr>
          <w:rFonts w:ascii="Arial" w:hAnsi="Arial" w:cs="Arial"/>
          <w:sz w:val="24"/>
          <w:szCs w:val="24"/>
        </w:rPr>
        <w:t xml:space="preserve">) The outstanding debt accumulated </w:t>
      </w:r>
      <w:r>
        <w:rPr>
          <w:rFonts w:ascii="Arial" w:hAnsi="Arial" w:cs="Arial"/>
          <w:sz w:val="24"/>
          <w:szCs w:val="24"/>
        </w:rPr>
        <w:t xml:space="preserve">for academic courses funded by Standard Bank; </w:t>
      </w:r>
    </w:p>
    <w:p w:rsidR="000F1248" w:rsidRDefault="000F1248" w:rsidP="00B70462">
      <w:pPr>
        <w:spacing w:after="0" w:line="360" w:lineRule="auto"/>
        <w:jc w:val="both"/>
        <w:rPr>
          <w:rFonts w:ascii="Arial" w:hAnsi="Arial" w:cs="Arial"/>
          <w:sz w:val="24"/>
          <w:szCs w:val="24"/>
        </w:rPr>
      </w:pPr>
      <w:r>
        <w:rPr>
          <w:rFonts w:ascii="Arial" w:hAnsi="Arial" w:cs="Arial"/>
          <w:sz w:val="24"/>
          <w:szCs w:val="24"/>
        </w:rPr>
        <w:tab/>
        <w:t xml:space="preserve">b) Other deductible amounts that was deemed necessary by Standard Bank. </w:t>
      </w:r>
    </w:p>
    <w:p w:rsidR="000F1248" w:rsidRDefault="000F1248" w:rsidP="00B70462">
      <w:pPr>
        <w:spacing w:after="0" w:line="360" w:lineRule="auto"/>
        <w:jc w:val="both"/>
        <w:rPr>
          <w:rFonts w:ascii="Arial" w:hAnsi="Arial" w:cs="Arial"/>
          <w:sz w:val="24"/>
          <w:szCs w:val="24"/>
        </w:rPr>
      </w:pPr>
    </w:p>
    <w:p w:rsidR="000F1248" w:rsidRDefault="000F1248" w:rsidP="00B70462">
      <w:pPr>
        <w:spacing w:after="0" w:line="360" w:lineRule="auto"/>
        <w:jc w:val="both"/>
        <w:rPr>
          <w:rFonts w:ascii="Arial" w:hAnsi="Arial" w:cs="Arial"/>
          <w:sz w:val="24"/>
          <w:szCs w:val="24"/>
        </w:rPr>
      </w:pPr>
      <w:r>
        <w:rPr>
          <w:rFonts w:ascii="Arial" w:hAnsi="Arial" w:cs="Arial"/>
          <w:sz w:val="24"/>
          <w:szCs w:val="24"/>
        </w:rPr>
        <w:t>[</w:t>
      </w:r>
      <w:r w:rsidR="00A2075B">
        <w:rPr>
          <w:rFonts w:ascii="Arial" w:hAnsi="Arial" w:cs="Arial"/>
          <w:sz w:val="24"/>
          <w:szCs w:val="24"/>
        </w:rPr>
        <w:t>20</w:t>
      </w:r>
      <w:r>
        <w:rPr>
          <w:rFonts w:ascii="Arial" w:hAnsi="Arial" w:cs="Arial"/>
          <w:sz w:val="24"/>
          <w:szCs w:val="24"/>
        </w:rPr>
        <w:t>]</w:t>
      </w:r>
      <w:r>
        <w:rPr>
          <w:rFonts w:ascii="Arial" w:hAnsi="Arial" w:cs="Arial"/>
          <w:sz w:val="24"/>
          <w:szCs w:val="24"/>
        </w:rPr>
        <w:tab/>
        <w:t xml:space="preserve"> The first defendant stated that she shared her concerns regarding the implications of her resignation with Mr Kamushinda and he assured her that he would refund her for undertaking the deductions and debts due to Standard Bank as a result of her resignation. </w:t>
      </w:r>
    </w:p>
    <w:p w:rsidR="00326A04" w:rsidRDefault="00326A04" w:rsidP="00B70462">
      <w:pPr>
        <w:spacing w:after="0" w:line="360" w:lineRule="auto"/>
        <w:jc w:val="both"/>
        <w:rPr>
          <w:rFonts w:ascii="Arial" w:hAnsi="Arial" w:cs="Arial"/>
          <w:sz w:val="24"/>
          <w:szCs w:val="24"/>
        </w:rPr>
      </w:pPr>
    </w:p>
    <w:p w:rsidR="000F1248" w:rsidRDefault="000F1248" w:rsidP="00B70462">
      <w:pPr>
        <w:spacing w:after="0" w:line="360" w:lineRule="auto"/>
        <w:jc w:val="both"/>
        <w:rPr>
          <w:rFonts w:ascii="Arial" w:hAnsi="Arial" w:cs="Arial"/>
          <w:sz w:val="24"/>
          <w:szCs w:val="24"/>
        </w:rPr>
      </w:pPr>
      <w:r>
        <w:rPr>
          <w:rFonts w:ascii="Arial" w:hAnsi="Arial" w:cs="Arial"/>
          <w:sz w:val="24"/>
          <w:szCs w:val="24"/>
        </w:rPr>
        <w:t>[</w:t>
      </w:r>
      <w:r w:rsidR="00A2075B">
        <w:rPr>
          <w:rFonts w:ascii="Arial" w:hAnsi="Arial" w:cs="Arial"/>
          <w:sz w:val="24"/>
          <w:szCs w:val="24"/>
        </w:rPr>
        <w:t>21</w:t>
      </w:r>
      <w:r>
        <w:rPr>
          <w:rFonts w:ascii="Arial" w:hAnsi="Arial" w:cs="Arial"/>
          <w:sz w:val="24"/>
          <w:szCs w:val="24"/>
        </w:rPr>
        <w:t>]</w:t>
      </w:r>
      <w:r>
        <w:rPr>
          <w:rFonts w:ascii="Arial" w:hAnsi="Arial" w:cs="Arial"/>
          <w:sz w:val="24"/>
          <w:szCs w:val="24"/>
        </w:rPr>
        <w:tab/>
        <w:t xml:space="preserve">The first defendant confirms that she received N$ 300 000 on 16 October 2015 as a refund for the deductions and debts that she incurred at the beginning of 2012 as well as contributing to her further studies, which she is still pursuing. </w:t>
      </w:r>
      <w:r w:rsidR="007D2117">
        <w:rPr>
          <w:rFonts w:ascii="Arial" w:hAnsi="Arial" w:cs="Arial"/>
          <w:sz w:val="24"/>
          <w:szCs w:val="24"/>
        </w:rPr>
        <w:t>The first defendant stated that she accepted the funds on the basis that Mr Kamushinda, as head of the interim office responsible for the set</w:t>
      </w:r>
      <w:r w:rsidR="00326A04">
        <w:rPr>
          <w:rFonts w:ascii="Arial" w:hAnsi="Arial" w:cs="Arial"/>
          <w:sz w:val="24"/>
          <w:szCs w:val="24"/>
        </w:rPr>
        <w:t xml:space="preserve">up of SME Bank, had </w:t>
      </w:r>
      <w:r w:rsidR="00326A04" w:rsidRPr="00A27D83">
        <w:rPr>
          <w:rFonts w:ascii="Arial" w:hAnsi="Arial" w:cs="Arial"/>
          <w:sz w:val="24"/>
          <w:szCs w:val="24"/>
        </w:rPr>
        <w:t xml:space="preserve">refunded her </w:t>
      </w:r>
      <w:r w:rsidR="007D2117" w:rsidRPr="00A27D83">
        <w:rPr>
          <w:rFonts w:ascii="Arial" w:hAnsi="Arial" w:cs="Arial"/>
          <w:sz w:val="24"/>
          <w:szCs w:val="24"/>
        </w:rPr>
        <w:t xml:space="preserve">for </w:t>
      </w:r>
      <w:r w:rsidR="007D2117">
        <w:rPr>
          <w:rFonts w:ascii="Arial" w:hAnsi="Arial" w:cs="Arial"/>
          <w:sz w:val="24"/>
          <w:szCs w:val="24"/>
        </w:rPr>
        <w:t>the deductions, debts and expenditure she incurred</w:t>
      </w:r>
    </w:p>
    <w:p w:rsidR="00A2075B" w:rsidRDefault="00A2075B" w:rsidP="00B70462">
      <w:pPr>
        <w:spacing w:after="0" w:line="360" w:lineRule="auto"/>
        <w:jc w:val="both"/>
        <w:rPr>
          <w:rFonts w:ascii="Arial" w:hAnsi="Arial" w:cs="Arial"/>
          <w:sz w:val="24"/>
          <w:szCs w:val="24"/>
        </w:rPr>
      </w:pPr>
    </w:p>
    <w:p w:rsidR="000F1248" w:rsidRDefault="000F1248" w:rsidP="00B70462">
      <w:pPr>
        <w:spacing w:after="0" w:line="360" w:lineRule="auto"/>
        <w:jc w:val="both"/>
        <w:rPr>
          <w:rFonts w:ascii="Arial" w:hAnsi="Arial" w:cs="Arial"/>
          <w:sz w:val="24"/>
          <w:szCs w:val="24"/>
        </w:rPr>
      </w:pPr>
      <w:r>
        <w:rPr>
          <w:rFonts w:ascii="Arial" w:hAnsi="Arial" w:cs="Arial"/>
          <w:sz w:val="24"/>
          <w:szCs w:val="24"/>
        </w:rPr>
        <w:t>[</w:t>
      </w:r>
      <w:r w:rsidR="00A2075B">
        <w:rPr>
          <w:rFonts w:ascii="Arial" w:hAnsi="Arial" w:cs="Arial"/>
          <w:sz w:val="24"/>
          <w:szCs w:val="24"/>
        </w:rPr>
        <w:t>22</w:t>
      </w:r>
      <w:r>
        <w:rPr>
          <w:rFonts w:ascii="Arial" w:hAnsi="Arial" w:cs="Arial"/>
          <w:sz w:val="24"/>
          <w:szCs w:val="24"/>
        </w:rPr>
        <w:t>]</w:t>
      </w:r>
      <w:r>
        <w:rPr>
          <w:rFonts w:ascii="Arial" w:hAnsi="Arial" w:cs="Arial"/>
          <w:sz w:val="24"/>
          <w:szCs w:val="24"/>
        </w:rPr>
        <w:tab/>
      </w:r>
      <w:r w:rsidR="007D2117">
        <w:rPr>
          <w:rFonts w:ascii="Arial" w:hAnsi="Arial" w:cs="Arial"/>
          <w:sz w:val="24"/>
          <w:szCs w:val="24"/>
        </w:rPr>
        <w:t xml:space="preserve">The first defendant further stated that she came to know Mr Kamushinda on a personal level and he became a sort of an uncle to her and he would from time to time assist the defendant by offering either emotional or financial support. </w:t>
      </w:r>
    </w:p>
    <w:p w:rsidR="007D2117" w:rsidRDefault="007D2117" w:rsidP="00B70462">
      <w:pPr>
        <w:spacing w:after="0" w:line="360" w:lineRule="auto"/>
        <w:jc w:val="both"/>
        <w:rPr>
          <w:rFonts w:ascii="Arial" w:hAnsi="Arial" w:cs="Arial"/>
          <w:sz w:val="24"/>
          <w:szCs w:val="24"/>
        </w:rPr>
      </w:pPr>
    </w:p>
    <w:p w:rsidR="007D2117" w:rsidRDefault="007D2117" w:rsidP="00B70462">
      <w:pPr>
        <w:spacing w:after="0" w:line="360" w:lineRule="auto"/>
        <w:jc w:val="both"/>
        <w:rPr>
          <w:rFonts w:ascii="Arial" w:hAnsi="Arial" w:cs="Arial"/>
          <w:sz w:val="24"/>
          <w:szCs w:val="24"/>
        </w:rPr>
      </w:pPr>
      <w:r>
        <w:rPr>
          <w:rFonts w:ascii="Arial" w:hAnsi="Arial" w:cs="Arial"/>
          <w:sz w:val="24"/>
          <w:szCs w:val="24"/>
        </w:rPr>
        <w:t>[</w:t>
      </w:r>
      <w:r w:rsidR="00A2075B">
        <w:rPr>
          <w:rFonts w:ascii="Arial" w:hAnsi="Arial" w:cs="Arial"/>
          <w:sz w:val="24"/>
          <w:szCs w:val="24"/>
        </w:rPr>
        <w:t>23</w:t>
      </w:r>
      <w:r>
        <w:rPr>
          <w:rFonts w:ascii="Arial" w:hAnsi="Arial" w:cs="Arial"/>
          <w:sz w:val="24"/>
          <w:szCs w:val="24"/>
        </w:rPr>
        <w:t>]</w:t>
      </w:r>
      <w:r>
        <w:rPr>
          <w:rFonts w:ascii="Arial" w:hAnsi="Arial" w:cs="Arial"/>
          <w:sz w:val="24"/>
          <w:szCs w:val="24"/>
        </w:rPr>
        <w:tab/>
        <w:t xml:space="preserve"> The first defendant denied that she was unjustly enriched by receiving the relevant amount nor was any of her actions the cause for the SME Bank to be impoverished</w:t>
      </w:r>
      <w:r w:rsidR="00090A8C">
        <w:rPr>
          <w:rFonts w:ascii="Arial" w:hAnsi="Arial" w:cs="Arial"/>
          <w:sz w:val="24"/>
          <w:szCs w:val="24"/>
        </w:rPr>
        <w:t>.</w:t>
      </w:r>
    </w:p>
    <w:p w:rsidR="00CD7ABB" w:rsidRDefault="00CD7ABB" w:rsidP="00184BCA">
      <w:pPr>
        <w:spacing w:after="0" w:line="360" w:lineRule="auto"/>
        <w:jc w:val="both"/>
        <w:rPr>
          <w:rFonts w:ascii="Arial" w:hAnsi="Arial" w:cs="Arial"/>
          <w:sz w:val="24"/>
          <w:szCs w:val="24"/>
          <w:u w:val="single"/>
        </w:rPr>
      </w:pPr>
    </w:p>
    <w:p w:rsidR="00184BCA" w:rsidRDefault="00184BCA" w:rsidP="00184BCA">
      <w:pPr>
        <w:spacing w:after="0" w:line="360" w:lineRule="auto"/>
        <w:jc w:val="both"/>
        <w:rPr>
          <w:rFonts w:ascii="Arial" w:hAnsi="Arial" w:cs="Arial"/>
          <w:sz w:val="24"/>
          <w:szCs w:val="24"/>
          <w:u w:val="single"/>
        </w:rPr>
      </w:pPr>
      <w:r w:rsidRPr="00090A8C">
        <w:rPr>
          <w:rFonts w:ascii="Arial" w:hAnsi="Arial" w:cs="Arial"/>
          <w:sz w:val="24"/>
          <w:szCs w:val="24"/>
          <w:u w:val="single"/>
        </w:rPr>
        <w:t>Arguments on behalf of the parties</w:t>
      </w:r>
    </w:p>
    <w:p w:rsidR="00CD7ABB" w:rsidRDefault="00CD7ABB" w:rsidP="00184BCA">
      <w:pPr>
        <w:spacing w:after="0" w:line="360" w:lineRule="auto"/>
        <w:jc w:val="both"/>
        <w:rPr>
          <w:rFonts w:ascii="Arial" w:hAnsi="Arial" w:cs="Arial"/>
          <w:i/>
          <w:sz w:val="24"/>
          <w:szCs w:val="24"/>
        </w:rPr>
      </w:pPr>
    </w:p>
    <w:p w:rsidR="00184BCA" w:rsidRDefault="00184BCA" w:rsidP="00184BCA">
      <w:pPr>
        <w:spacing w:after="0" w:line="360" w:lineRule="auto"/>
        <w:jc w:val="both"/>
        <w:rPr>
          <w:rFonts w:ascii="Arial" w:hAnsi="Arial" w:cs="Arial"/>
          <w:i/>
          <w:sz w:val="24"/>
          <w:szCs w:val="24"/>
        </w:rPr>
      </w:pPr>
      <w:r w:rsidRPr="008176B9">
        <w:rPr>
          <w:rFonts w:ascii="Arial" w:hAnsi="Arial" w:cs="Arial"/>
          <w:i/>
          <w:sz w:val="24"/>
          <w:szCs w:val="24"/>
        </w:rPr>
        <w:t>On behalf of the plaintiffs</w:t>
      </w:r>
    </w:p>
    <w:p w:rsidR="00326A04" w:rsidRPr="008176B9" w:rsidRDefault="00326A04" w:rsidP="00184BCA">
      <w:pPr>
        <w:spacing w:after="0" w:line="360" w:lineRule="auto"/>
        <w:jc w:val="both"/>
        <w:rPr>
          <w:rFonts w:ascii="Arial" w:hAnsi="Arial" w:cs="Arial"/>
          <w:i/>
          <w:sz w:val="24"/>
          <w:szCs w:val="24"/>
        </w:rPr>
      </w:pPr>
    </w:p>
    <w:p w:rsidR="00184BCA" w:rsidRDefault="00184BCA" w:rsidP="00184BCA">
      <w:pPr>
        <w:spacing w:after="0" w:line="360" w:lineRule="auto"/>
        <w:jc w:val="both"/>
        <w:rPr>
          <w:rFonts w:ascii="Arial" w:hAnsi="Arial" w:cs="Arial"/>
          <w:sz w:val="24"/>
          <w:szCs w:val="24"/>
        </w:rPr>
      </w:pPr>
      <w:r w:rsidRPr="00090A8C">
        <w:rPr>
          <w:rFonts w:ascii="Arial" w:hAnsi="Arial" w:cs="Arial"/>
          <w:sz w:val="24"/>
          <w:szCs w:val="24"/>
        </w:rPr>
        <w:t>[</w:t>
      </w:r>
      <w:r>
        <w:rPr>
          <w:rFonts w:ascii="Arial" w:hAnsi="Arial" w:cs="Arial"/>
          <w:sz w:val="24"/>
          <w:szCs w:val="24"/>
        </w:rPr>
        <w:t>24</w:t>
      </w:r>
      <w:r w:rsidRPr="00090A8C">
        <w:rPr>
          <w:rFonts w:ascii="Arial" w:hAnsi="Arial" w:cs="Arial"/>
          <w:sz w:val="24"/>
          <w:szCs w:val="24"/>
        </w:rPr>
        <w:t>]</w:t>
      </w:r>
      <w:r w:rsidRPr="00090A8C">
        <w:rPr>
          <w:rFonts w:ascii="Arial" w:hAnsi="Arial" w:cs="Arial"/>
          <w:sz w:val="24"/>
          <w:szCs w:val="24"/>
        </w:rPr>
        <w:tab/>
      </w:r>
      <w:r w:rsidR="000006B7">
        <w:rPr>
          <w:rFonts w:ascii="Arial" w:hAnsi="Arial" w:cs="Arial"/>
          <w:sz w:val="24"/>
          <w:szCs w:val="24"/>
        </w:rPr>
        <w:t xml:space="preserve"> </w:t>
      </w:r>
      <w:r>
        <w:rPr>
          <w:rFonts w:ascii="Arial" w:hAnsi="Arial" w:cs="Arial"/>
          <w:sz w:val="24"/>
          <w:szCs w:val="24"/>
        </w:rPr>
        <w:t xml:space="preserve">From the onset Mr Heathcote, acting on behalf of the plaintiffs argued that the first defendant has no </w:t>
      </w:r>
      <w:r w:rsidRPr="008176B9">
        <w:rPr>
          <w:rFonts w:ascii="Arial" w:hAnsi="Arial" w:cs="Arial"/>
          <w:i/>
          <w:sz w:val="24"/>
          <w:szCs w:val="24"/>
        </w:rPr>
        <w:t>bona fide</w:t>
      </w:r>
      <w:r>
        <w:rPr>
          <w:rFonts w:ascii="Arial" w:hAnsi="Arial" w:cs="Arial"/>
          <w:sz w:val="24"/>
          <w:szCs w:val="24"/>
        </w:rPr>
        <w:t xml:space="preserve"> defence to</w:t>
      </w:r>
      <w:r w:rsidR="000006B7">
        <w:rPr>
          <w:rFonts w:ascii="Arial" w:hAnsi="Arial" w:cs="Arial"/>
          <w:sz w:val="24"/>
          <w:szCs w:val="24"/>
        </w:rPr>
        <w:t xml:space="preserve"> the claim of the plaintiffs.  </w:t>
      </w:r>
      <w:r>
        <w:rPr>
          <w:rFonts w:ascii="Arial" w:hAnsi="Arial" w:cs="Arial"/>
          <w:sz w:val="24"/>
          <w:szCs w:val="24"/>
        </w:rPr>
        <w:t>Mr Heathcote argued that the plaintiffs should succeed with the alternative claim base</w:t>
      </w:r>
      <w:r w:rsidR="00326A04" w:rsidRPr="000006B7">
        <w:rPr>
          <w:rFonts w:ascii="Arial" w:hAnsi="Arial" w:cs="Arial"/>
          <w:sz w:val="24"/>
          <w:szCs w:val="24"/>
        </w:rPr>
        <w:t>d</w:t>
      </w:r>
      <w:r>
        <w:rPr>
          <w:rFonts w:ascii="Arial" w:hAnsi="Arial" w:cs="Arial"/>
          <w:sz w:val="24"/>
          <w:szCs w:val="24"/>
        </w:rPr>
        <w:t xml:space="preserve"> on the enrichment claim and that it lies in the fact that the monies stolen from the SME Bank </w:t>
      </w:r>
      <w:r w:rsidR="00326A04" w:rsidRPr="00A27D83">
        <w:rPr>
          <w:rFonts w:ascii="Arial" w:hAnsi="Arial" w:cs="Arial"/>
          <w:sz w:val="24"/>
          <w:szCs w:val="24"/>
        </w:rPr>
        <w:t xml:space="preserve">were </w:t>
      </w:r>
      <w:r w:rsidRPr="00A27D83">
        <w:rPr>
          <w:rFonts w:ascii="Arial" w:hAnsi="Arial" w:cs="Arial"/>
          <w:sz w:val="24"/>
          <w:szCs w:val="24"/>
        </w:rPr>
        <w:t xml:space="preserve">funneled through AMFS for the benefit of the defendant, being the ultimate recipient without herself giving any value.  Counsel argued that the transfer of the SME Bank’s money to the defendant </w:t>
      </w:r>
      <w:r w:rsidRPr="00A27D83">
        <w:rPr>
          <w:rFonts w:ascii="Arial" w:hAnsi="Arial" w:cs="Arial"/>
          <w:i/>
          <w:sz w:val="24"/>
          <w:szCs w:val="24"/>
        </w:rPr>
        <w:t>prima facie</w:t>
      </w:r>
      <w:r w:rsidRPr="00A27D83">
        <w:rPr>
          <w:rFonts w:ascii="Arial" w:hAnsi="Arial" w:cs="Arial"/>
          <w:sz w:val="24"/>
          <w:szCs w:val="24"/>
        </w:rPr>
        <w:t xml:space="preserve"> establishes </w:t>
      </w:r>
      <w:r>
        <w:rPr>
          <w:rFonts w:ascii="Arial" w:hAnsi="Arial" w:cs="Arial"/>
          <w:sz w:val="24"/>
          <w:szCs w:val="24"/>
        </w:rPr>
        <w:t xml:space="preserve">the first defendant’s enrichment and that proof of the transfer of the money gives rise to a presumption of </w:t>
      </w:r>
      <w:r>
        <w:rPr>
          <w:rFonts w:ascii="Arial" w:hAnsi="Arial" w:cs="Arial"/>
          <w:sz w:val="24"/>
          <w:szCs w:val="24"/>
        </w:rPr>
        <w:lastRenderedPageBreak/>
        <w:t xml:space="preserve">enrichment and the defendant has the onus to prove loss of enrichment, which she did not do. </w:t>
      </w:r>
    </w:p>
    <w:p w:rsidR="00184BCA" w:rsidRDefault="00184BCA" w:rsidP="00184BCA">
      <w:pPr>
        <w:spacing w:after="0" w:line="360" w:lineRule="auto"/>
        <w:jc w:val="both"/>
        <w:rPr>
          <w:rFonts w:ascii="Arial" w:hAnsi="Arial" w:cs="Arial"/>
          <w:sz w:val="24"/>
          <w:szCs w:val="24"/>
        </w:rPr>
      </w:pPr>
    </w:p>
    <w:p w:rsidR="00184BCA" w:rsidRDefault="00184BCA" w:rsidP="00184BCA">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 Mr Heathcote argued that the transfer of the SME Bank’s money to the first defendant </w:t>
      </w:r>
      <w:r w:rsidRPr="00A27D83">
        <w:rPr>
          <w:rFonts w:ascii="Arial" w:hAnsi="Arial" w:cs="Arial"/>
          <w:i/>
          <w:sz w:val="24"/>
          <w:szCs w:val="24"/>
        </w:rPr>
        <w:t>prima facie</w:t>
      </w:r>
      <w:r w:rsidRPr="00A27D83">
        <w:rPr>
          <w:rFonts w:ascii="Arial" w:hAnsi="Arial" w:cs="Arial"/>
          <w:sz w:val="24"/>
          <w:szCs w:val="24"/>
        </w:rPr>
        <w:t xml:space="preserve"> </w:t>
      </w:r>
      <w:r>
        <w:rPr>
          <w:rFonts w:ascii="Arial" w:hAnsi="Arial" w:cs="Arial"/>
          <w:sz w:val="24"/>
          <w:szCs w:val="24"/>
        </w:rPr>
        <w:t>establishes the first defendant’s enrichment. Counsel further argued that proof of the transfer of the money gives rise to the presumption of enrichment and the first defendant has the onus to prove loss of enrichment which she did not do.</w:t>
      </w:r>
    </w:p>
    <w:p w:rsidR="00184BCA" w:rsidRDefault="00184BCA" w:rsidP="00184BCA">
      <w:pPr>
        <w:spacing w:after="0" w:line="360" w:lineRule="auto"/>
        <w:jc w:val="both"/>
        <w:rPr>
          <w:rFonts w:ascii="Arial" w:hAnsi="Arial" w:cs="Arial"/>
          <w:sz w:val="24"/>
          <w:szCs w:val="24"/>
        </w:rPr>
      </w:pPr>
    </w:p>
    <w:p w:rsidR="00184BCA" w:rsidRDefault="00184BCA" w:rsidP="00184BCA">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Mr Heathcote argued that the payment on behalf of the plaintiff must be regarded</w:t>
      </w:r>
      <w:r w:rsidR="0092374D">
        <w:rPr>
          <w:rFonts w:ascii="Arial" w:hAnsi="Arial" w:cs="Arial"/>
          <w:sz w:val="24"/>
          <w:szCs w:val="24"/>
        </w:rPr>
        <w:t xml:space="preserve"> as excusable as the money was </w:t>
      </w:r>
      <w:r>
        <w:rPr>
          <w:rFonts w:ascii="Arial" w:hAnsi="Arial" w:cs="Arial"/>
          <w:sz w:val="24"/>
          <w:szCs w:val="24"/>
        </w:rPr>
        <w:t xml:space="preserve">paid in </w:t>
      </w:r>
      <w:r w:rsidRPr="008176B9">
        <w:rPr>
          <w:rFonts w:ascii="Arial" w:hAnsi="Arial" w:cs="Arial"/>
          <w:i/>
          <w:sz w:val="24"/>
          <w:szCs w:val="24"/>
        </w:rPr>
        <w:t>bona fide</w:t>
      </w:r>
      <w:r>
        <w:rPr>
          <w:rFonts w:ascii="Arial" w:hAnsi="Arial" w:cs="Arial"/>
          <w:sz w:val="24"/>
          <w:szCs w:val="24"/>
        </w:rPr>
        <w:t xml:space="preserve"> but mistaken belief that it was due and that AMFS then proceeded to act as a conduit paying the money over to the first defendant as the final recipient. Mr Heathcote argued that the presumption operating in favour of the plaintiffs is deadly and that the first defendant did not set out any defence in her papers and that the court should grant judgment in favour of the</w:t>
      </w:r>
      <w:r w:rsidR="000006B7">
        <w:rPr>
          <w:rFonts w:ascii="Arial" w:hAnsi="Arial" w:cs="Arial"/>
          <w:sz w:val="24"/>
          <w:szCs w:val="24"/>
        </w:rPr>
        <w:t xml:space="preserve"> plaintiffs as prayed for. </w:t>
      </w:r>
    </w:p>
    <w:p w:rsidR="00184BCA" w:rsidRDefault="00184BCA" w:rsidP="00184BCA">
      <w:pPr>
        <w:spacing w:after="0" w:line="360" w:lineRule="auto"/>
        <w:jc w:val="both"/>
        <w:rPr>
          <w:rFonts w:ascii="Arial" w:hAnsi="Arial" w:cs="Arial"/>
          <w:sz w:val="24"/>
          <w:szCs w:val="24"/>
        </w:rPr>
      </w:pPr>
    </w:p>
    <w:p w:rsidR="00184BCA" w:rsidRDefault="00184BCA" w:rsidP="00184BCA">
      <w:pPr>
        <w:spacing w:after="0" w:line="360" w:lineRule="auto"/>
        <w:jc w:val="both"/>
        <w:rPr>
          <w:rFonts w:ascii="Arial" w:hAnsi="Arial" w:cs="Arial"/>
          <w:i/>
          <w:sz w:val="24"/>
          <w:szCs w:val="24"/>
        </w:rPr>
      </w:pPr>
      <w:r w:rsidRPr="00791835">
        <w:rPr>
          <w:rFonts w:ascii="Arial" w:hAnsi="Arial" w:cs="Arial"/>
          <w:i/>
          <w:sz w:val="24"/>
          <w:szCs w:val="24"/>
        </w:rPr>
        <w:t>On behalf of the first defendant</w:t>
      </w:r>
    </w:p>
    <w:p w:rsidR="0092374D" w:rsidRPr="00791835" w:rsidRDefault="0092374D" w:rsidP="00184BCA">
      <w:pPr>
        <w:spacing w:after="0" w:line="360" w:lineRule="auto"/>
        <w:jc w:val="both"/>
        <w:rPr>
          <w:rFonts w:ascii="Arial" w:hAnsi="Arial" w:cs="Arial"/>
          <w:i/>
          <w:sz w:val="24"/>
          <w:szCs w:val="24"/>
        </w:rPr>
      </w:pPr>
    </w:p>
    <w:p w:rsidR="00184BCA" w:rsidRDefault="00184BCA" w:rsidP="00184BCA">
      <w:pPr>
        <w:spacing w:line="360" w:lineRule="auto"/>
        <w:jc w:val="both"/>
        <w:rPr>
          <w:rFonts w:ascii="Arial" w:hAnsi="Arial" w:cs="Arial"/>
          <w:sz w:val="24"/>
          <w:szCs w:val="24"/>
        </w:rPr>
      </w:pPr>
      <w:r w:rsidRPr="00D96275">
        <w:rPr>
          <w:rFonts w:ascii="Arial" w:hAnsi="Arial" w:cs="Arial"/>
          <w:sz w:val="24"/>
          <w:szCs w:val="24"/>
        </w:rPr>
        <w:t>[</w:t>
      </w:r>
      <w:r>
        <w:rPr>
          <w:rFonts w:ascii="Arial" w:hAnsi="Arial" w:cs="Arial"/>
          <w:sz w:val="24"/>
          <w:szCs w:val="24"/>
        </w:rPr>
        <w:t>27</w:t>
      </w:r>
      <w:r w:rsidRPr="00D96275">
        <w:rPr>
          <w:rFonts w:ascii="Arial" w:hAnsi="Arial" w:cs="Arial"/>
          <w:sz w:val="24"/>
          <w:szCs w:val="24"/>
        </w:rPr>
        <w:t>]</w:t>
      </w:r>
      <w:r w:rsidRPr="00D96275">
        <w:rPr>
          <w:rFonts w:ascii="Arial" w:hAnsi="Arial" w:cs="Arial"/>
          <w:sz w:val="24"/>
          <w:szCs w:val="24"/>
        </w:rPr>
        <w:tab/>
        <w:t xml:space="preserve"> On behalf of the Defendant Mr Rukoro argued that the defendant in her opposing affidavit sets out a triable defence. Mr Rukoro argued that the defendant will deny that the N$ 300 000 received by the defendant is money paid from the SME Bank and that such a fact can only be established by evidenc</w:t>
      </w:r>
      <w:r>
        <w:rPr>
          <w:rFonts w:ascii="Arial" w:hAnsi="Arial" w:cs="Arial"/>
          <w:sz w:val="24"/>
          <w:szCs w:val="24"/>
        </w:rPr>
        <w:t xml:space="preserve">e. </w:t>
      </w:r>
    </w:p>
    <w:p w:rsidR="000006B7" w:rsidRDefault="000006B7" w:rsidP="00184BCA">
      <w:pPr>
        <w:spacing w:line="360" w:lineRule="auto"/>
        <w:jc w:val="both"/>
        <w:rPr>
          <w:rFonts w:ascii="Arial" w:hAnsi="Arial" w:cs="Arial"/>
          <w:sz w:val="24"/>
          <w:szCs w:val="24"/>
        </w:rPr>
      </w:pPr>
    </w:p>
    <w:p w:rsidR="00184BCA" w:rsidRDefault="00184BCA" w:rsidP="00184BCA">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 Mr Rukoro argued that the purported confession by the first defendant regarding receipt of the money</w:t>
      </w:r>
      <w:r w:rsidRPr="00D96275">
        <w:rPr>
          <w:rFonts w:ascii="Arial" w:hAnsi="Arial" w:cs="Arial"/>
          <w:sz w:val="24"/>
          <w:szCs w:val="24"/>
        </w:rPr>
        <w:t xml:space="preserve"> </w:t>
      </w:r>
      <w:r>
        <w:rPr>
          <w:rFonts w:ascii="Arial" w:hAnsi="Arial" w:cs="Arial"/>
          <w:sz w:val="24"/>
          <w:szCs w:val="24"/>
        </w:rPr>
        <w:t>relied upon by the plaintiffs is denied. It</w:t>
      </w:r>
      <w:r w:rsidR="0092374D">
        <w:rPr>
          <w:rFonts w:ascii="Arial" w:hAnsi="Arial" w:cs="Arial"/>
          <w:sz w:val="24"/>
          <w:szCs w:val="24"/>
        </w:rPr>
        <w:t xml:space="preserve"> was however pointed out by the</w:t>
      </w:r>
      <w:r>
        <w:rPr>
          <w:rFonts w:ascii="Arial" w:hAnsi="Arial" w:cs="Arial"/>
          <w:sz w:val="24"/>
          <w:szCs w:val="24"/>
        </w:rPr>
        <w:t xml:space="preserve"> court that this denial was not contained in the opposing papers. </w:t>
      </w:r>
    </w:p>
    <w:p w:rsidR="000006B7" w:rsidRDefault="000006B7" w:rsidP="00184BCA">
      <w:pPr>
        <w:spacing w:line="360" w:lineRule="auto"/>
        <w:jc w:val="both"/>
        <w:rPr>
          <w:rFonts w:ascii="Arial" w:hAnsi="Arial" w:cs="Arial"/>
          <w:sz w:val="24"/>
          <w:szCs w:val="24"/>
        </w:rPr>
      </w:pPr>
    </w:p>
    <w:p w:rsidR="00184BCA" w:rsidRDefault="00184BCA" w:rsidP="00184BCA">
      <w:pPr>
        <w:spacing w:line="360" w:lineRule="auto"/>
        <w:jc w:val="both"/>
        <w:rPr>
          <w:rFonts w:ascii="Arial" w:hAnsi="Arial" w:cs="Arial"/>
          <w:sz w:val="24"/>
          <w:szCs w:val="24"/>
        </w:rPr>
      </w:pPr>
      <w:r>
        <w:rPr>
          <w:rFonts w:ascii="Arial" w:hAnsi="Arial" w:cs="Arial"/>
          <w:sz w:val="24"/>
          <w:szCs w:val="24"/>
        </w:rPr>
        <w:t xml:space="preserve">[29] </w:t>
      </w:r>
      <w:r>
        <w:rPr>
          <w:rFonts w:ascii="Arial" w:hAnsi="Arial" w:cs="Arial"/>
          <w:sz w:val="24"/>
          <w:szCs w:val="24"/>
        </w:rPr>
        <w:tab/>
        <w:t>Mr Rukoro argued that the first defendant raised a bona fide defence to the claim of the plaintiffs. Counsel argued that the bona fide defence of the first defendant  lies in the fact</w:t>
      </w:r>
      <w:r w:rsidRPr="00A27D83">
        <w:rPr>
          <w:rFonts w:ascii="Arial" w:hAnsi="Arial" w:cs="Arial"/>
          <w:sz w:val="24"/>
          <w:szCs w:val="24"/>
        </w:rPr>
        <w:t>s</w:t>
      </w:r>
      <w:r>
        <w:rPr>
          <w:rFonts w:ascii="Arial" w:hAnsi="Arial" w:cs="Arial"/>
          <w:sz w:val="24"/>
          <w:szCs w:val="24"/>
        </w:rPr>
        <w:t xml:space="preserve"> that the first defendant was recruited by Mr Kamushinda, on behalf of the then-new SME Bank, on an urgent basis to assist in the setting of the SME Bank. </w:t>
      </w:r>
      <w:r>
        <w:rPr>
          <w:rFonts w:ascii="Arial" w:hAnsi="Arial" w:cs="Arial"/>
          <w:sz w:val="24"/>
          <w:szCs w:val="24"/>
        </w:rPr>
        <w:lastRenderedPageBreak/>
        <w:t xml:space="preserve">Counsel argued </w:t>
      </w:r>
      <w:r w:rsidR="0092374D" w:rsidRPr="00A27D83">
        <w:rPr>
          <w:rFonts w:ascii="Arial" w:hAnsi="Arial" w:cs="Arial"/>
          <w:sz w:val="24"/>
          <w:szCs w:val="24"/>
        </w:rPr>
        <w:t xml:space="preserve">that she </w:t>
      </w:r>
      <w:r>
        <w:rPr>
          <w:rFonts w:ascii="Arial" w:hAnsi="Arial" w:cs="Arial"/>
          <w:sz w:val="24"/>
          <w:szCs w:val="24"/>
        </w:rPr>
        <w:t>received the N$ 300 000 on good faith as a re</w:t>
      </w:r>
      <w:r w:rsidR="0092374D">
        <w:rPr>
          <w:rFonts w:ascii="Arial" w:hAnsi="Arial" w:cs="Arial"/>
          <w:sz w:val="24"/>
          <w:szCs w:val="24"/>
        </w:rPr>
        <w:t xml:space="preserve">fund that she was entitled to, </w:t>
      </w:r>
      <w:r>
        <w:rPr>
          <w:rFonts w:ascii="Arial" w:hAnsi="Arial" w:cs="Arial"/>
          <w:sz w:val="24"/>
          <w:szCs w:val="24"/>
        </w:rPr>
        <w:t xml:space="preserve">as well as a gift from Mr Kamushinda. He argued that the first defendant was under the true belief that the money she received was money that she was entitled to. The first defendant was and still is unaware of the actual origin of the money she received nor was she aware that the said money was stolen. Counsel argued that the first defendant did not collude with any of the then SME Bank or AMFS to receive money. </w:t>
      </w:r>
    </w:p>
    <w:p w:rsidR="00184BCA" w:rsidRDefault="00184BCA" w:rsidP="00184BCA">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 Mr Rukoro argued that considering the facts upon which the first defendant based her defence</w:t>
      </w:r>
      <w:r w:rsidR="0092374D">
        <w:rPr>
          <w:rFonts w:ascii="Arial" w:hAnsi="Arial" w:cs="Arial"/>
          <w:sz w:val="24"/>
          <w:szCs w:val="24"/>
        </w:rPr>
        <w:t>,</w:t>
      </w:r>
      <w:r>
        <w:rPr>
          <w:rFonts w:ascii="Arial" w:hAnsi="Arial" w:cs="Arial"/>
          <w:sz w:val="24"/>
          <w:szCs w:val="24"/>
        </w:rPr>
        <w:t xml:space="preserve"> it is clear that the plaintiffs are yet to establish and prove that the first defendant received money from the SME Bank and contended that the money she received </w:t>
      </w:r>
      <w:r w:rsidR="0092374D" w:rsidRPr="00A27D83">
        <w:rPr>
          <w:rFonts w:ascii="Arial" w:hAnsi="Arial" w:cs="Arial"/>
          <w:sz w:val="24"/>
          <w:szCs w:val="24"/>
        </w:rPr>
        <w:t xml:space="preserve">was </w:t>
      </w:r>
      <w:r w:rsidRPr="00A27D83">
        <w:rPr>
          <w:rFonts w:ascii="Arial" w:hAnsi="Arial" w:cs="Arial"/>
          <w:sz w:val="24"/>
          <w:szCs w:val="24"/>
        </w:rPr>
        <w:t xml:space="preserve">from </w:t>
      </w:r>
      <w:r>
        <w:rPr>
          <w:rFonts w:ascii="Arial" w:hAnsi="Arial" w:cs="Arial"/>
          <w:sz w:val="24"/>
          <w:szCs w:val="24"/>
        </w:rPr>
        <w:t xml:space="preserve">Mr Kamushinda. </w:t>
      </w:r>
    </w:p>
    <w:p w:rsidR="00184BCA" w:rsidRDefault="00184BCA" w:rsidP="00184BCA">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Mr Rukoro further argued that apart from the alleged findings in the plaintiff’s particulars of claim, there is no proof that the money was indeed transferred as alleged in the plaintiffs’ particulars of claim and if the plaintiffs are in the position to proof this fact then it should be brought before court and tested through the normal course of proceedings. </w:t>
      </w:r>
    </w:p>
    <w:p w:rsidR="00184BCA" w:rsidRDefault="00184BCA" w:rsidP="00184BCA">
      <w:pPr>
        <w:spacing w:line="360" w:lineRule="auto"/>
        <w:jc w:val="both"/>
        <w:rPr>
          <w:rFonts w:ascii="Arial" w:hAnsi="Arial" w:cs="Arial"/>
          <w:i/>
          <w:sz w:val="24"/>
          <w:szCs w:val="24"/>
        </w:rPr>
      </w:pPr>
      <w:r>
        <w:rPr>
          <w:rFonts w:ascii="Arial" w:hAnsi="Arial" w:cs="Arial"/>
          <w:sz w:val="24"/>
          <w:szCs w:val="24"/>
        </w:rPr>
        <w:t>[32]</w:t>
      </w:r>
      <w:r>
        <w:rPr>
          <w:rFonts w:ascii="Arial" w:hAnsi="Arial" w:cs="Arial"/>
          <w:sz w:val="24"/>
          <w:szCs w:val="24"/>
        </w:rPr>
        <w:tab/>
        <w:t xml:space="preserve"> On the alternative claim of </w:t>
      </w:r>
      <w:r w:rsidRPr="008D790F">
        <w:rPr>
          <w:rFonts w:ascii="Arial" w:hAnsi="Arial" w:cs="Arial"/>
          <w:i/>
          <w:sz w:val="24"/>
          <w:szCs w:val="24"/>
        </w:rPr>
        <w:t>condictio indebiti</w:t>
      </w:r>
      <w:r w:rsidR="0092374D">
        <w:rPr>
          <w:rFonts w:ascii="Arial" w:hAnsi="Arial" w:cs="Arial"/>
          <w:sz w:val="24"/>
          <w:szCs w:val="24"/>
        </w:rPr>
        <w:t xml:space="preserve">, </w:t>
      </w:r>
      <w:r>
        <w:rPr>
          <w:rFonts w:ascii="Arial" w:hAnsi="Arial" w:cs="Arial"/>
          <w:sz w:val="24"/>
          <w:szCs w:val="24"/>
        </w:rPr>
        <w:t xml:space="preserve">Mr Rukoro argued that the first defendant contends that she was not enriched through the SME Bank and she received the money that was due to her from Mr Kamushinda. Mr Rukoro further contended that the first defendant will not be in the position to attest to the beliefs of the employees who had authority to access or sanction any processes in the Finance Department of the SME Bank, and neither will the plaintiffs as only those employees will be able to attest to their beliefs or apparent mistaken belief- which is the fourth element of </w:t>
      </w:r>
      <w:r w:rsidRPr="001627BB">
        <w:rPr>
          <w:rFonts w:ascii="Arial" w:hAnsi="Arial" w:cs="Arial"/>
          <w:i/>
          <w:sz w:val="24"/>
          <w:szCs w:val="24"/>
        </w:rPr>
        <w:t>condictio indebiti</w:t>
      </w:r>
      <w:r>
        <w:rPr>
          <w:rFonts w:ascii="Arial" w:hAnsi="Arial" w:cs="Arial"/>
          <w:sz w:val="24"/>
          <w:szCs w:val="24"/>
        </w:rPr>
        <w:t xml:space="preserve"> that must be proven. Mr Rukoro argued that the plaintiffs are unable to proof the elements of the claim of </w:t>
      </w:r>
      <w:r w:rsidRPr="001627BB">
        <w:rPr>
          <w:rFonts w:ascii="Arial" w:hAnsi="Arial" w:cs="Arial"/>
          <w:i/>
          <w:sz w:val="24"/>
          <w:szCs w:val="24"/>
        </w:rPr>
        <w:t>condictio indebiti</w:t>
      </w:r>
    </w:p>
    <w:p w:rsidR="00184BCA" w:rsidRDefault="00184BCA" w:rsidP="00184BCA">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 When the issue was raised with Mr Rukoro whether the statements made by the first defendant in respect of the debt and obligations that she had toward</w:t>
      </w:r>
      <w:r w:rsidR="0092374D" w:rsidRPr="0092374D">
        <w:rPr>
          <w:rFonts w:ascii="Arial" w:hAnsi="Arial" w:cs="Arial"/>
          <w:color w:val="FF0000"/>
          <w:sz w:val="24"/>
          <w:szCs w:val="24"/>
        </w:rPr>
        <w:t>s</w:t>
      </w:r>
      <w:r>
        <w:rPr>
          <w:rFonts w:ascii="Arial" w:hAnsi="Arial" w:cs="Arial"/>
          <w:sz w:val="24"/>
          <w:szCs w:val="24"/>
        </w:rPr>
        <w:t xml:space="preserve"> Standard Bank as no figures are before court Mr Rukoro argued that the issue is not the amounts but how the defendant received the amounts. </w:t>
      </w:r>
    </w:p>
    <w:p w:rsidR="0092374D" w:rsidRPr="001627BB" w:rsidRDefault="0092374D" w:rsidP="00184BCA">
      <w:pPr>
        <w:spacing w:line="360" w:lineRule="auto"/>
        <w:jc w:val="both"/>
        <w:rPr>
          <w:rFonts w:ascii="Arial" w:hAnsi="Arial" w:cs="Arial"/>
          <w:sz w:val="24"/>
          <w:szCs w:val="24"/>
        </w:rPr>
      </w:pPr>
    </w:p>
    <w:p w:rsidR="00184BCA" w:rsidRDefault="00184BCA" w:rsidP="00184BCA">
      <w:pPr>
        <w:rPr>
          <w:rFonts w:ascii="Arial" w:hAnsi="Arial" w:cs="Arial"/>
          <w:sz w:val="24"/>
          <w:szCs w:val="24"/>
          <w:u w:val="single"/>
        </w:rPr>
      </w:pPr>
      <w:r w:rsidRPr="00DD066A">
        <w:rPr>
          <w:rFonts w:ascii="Arial" w:hAnsi="Arial" w:cs="Arial"/>
          <w:sz w:val="24"/>
          <w:szCs w:val="24"/>
          <w:u w:val="single"/>
        </w:rPr>
        <w:t>The applicable legal principles to summary judgment</w:t>
      </w:r>
    </w:p>
    <w:p w:rsidR="0092374D" w:rsidRPr="00DD066A" w:rsidRDefault="0092374D" w:rsidP="00184BCA">
      <w:pPr>
        <w:rPr>
          <w:rFonts w:ascii="Arial" w:hAnsi="Arial" w:cs="Arial"/>
          <w:sz w:val="24"/>
          <w:szCs w:val="24"/>
          <w:u w:val="single"/>
        </w:rPr>
      </w:pPr>
    </w:p>
    <w:p w:rsidR="00184BCA" w:rsidRDefault="00184BCA" w:rsidP="00184BCA">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The principles of the summary judgment is trite and I will only briefly refer to it.      </w:t>
      </w:r>
    </w:p>
    <w:p w:rsidR="00184BCA" w:rsidRDefault="00184BCA" w:rsidP="00184BCA">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 Summary judgment applications are regulated by rule 60 and more specifically rule 60(5), which reads as follows: </w:t>
      </w:r>
    </w:p>
    <w:p w:rsidR="00184BCA" w:rsidRPr="00367A27" w:rsidRDefault="000006B7" w:rsidP="000006B7">
      <w:pPr>
        <w:pStyle w:val="NormalWeb"/>
        <w:spacing w:before="0" w:beforeAutospacing="0" w:line="360" w:lineRule="auto"/>
        <w:ind w:firstLine="720"/>
        <w:rPr>
          <w:rFonts w:ascii="Arial" w:hAnsi="Arial" w:cs="Arial"/>
          <w:sz w:val="22"/>
          <w:szCs w:val="22"/>
        </w:rPr>
      </w:pPr>
      <w:r>
        <w:rPr>
          <w:rFonts w:ascii="Arial" w:hAnsi="Arial" w:cs="Arial"/>
          <w:sz w:val="22"/>
          <w:szCs w:val="22"/>
        </w:rPr>
        <w:t>‘</w:t>
      </w:r>
      <w:r w:rsidR="00184BCA" w:rsidRPr="00367A27">
        <w:rPr>
          <w:rFonts w:ascii="Arial" w:hAnsi="Arial" w:cs="Arial"/>
          <w:sz w:val="22"/>
          <w:szCs w:val="22"/>
        </w:rPr>
        <w:t>(5)       On the hearing of an application for summary judgment the defendant may–</w:t>
      </w:r>
    </w:p>
    <w:p w:rsidR="00184BCA" w:rsidRPr="00367A27" w:rsidRDefault="00184BCA" w:rsidP="000006B7">
      <w:pPr>
        <w:pStyle w:val="rteindent2"/>
        <w:spacing w:before="0" w:beforeAutospacing="0" w:line="360" w:lineRule="auto"/>
        <w:rPr>
          <w:rFonts w:ascii="Arial" w:hAnsi="Arial" w:cs="Arial"/>
          <w:sz w:val="22"/>
          <w:szCs w:val="22"/>
        </w:rPr>
      </w:pPr>
      <w:r w:rsidRPr="00367A27">
        <w:rPr>
          <w:rFonts w:ascii="Arial" w:hAnsi="Arial" w:cs="Arial"/>
          <w:sz w:val="22"/>
          <w:szCs w:val="22"/>
        </w:rPr>
        <w:t>(a)     where applicable give security to the plaintiff to the satisfaction of the registrar for any judgment including interest and costs; or</w:t>
      </w:r>
    </w:p>
    <w:p w:rsidR="00184BCA" w:rsidRPr="00367A27" w:rsidRDefault="00184BCA" w:rsidP="000006B7">
      <w:pPr>
        <w:pStyle w:val="rteindent2"/>
        <w:spacing w:before="0" w:beforeAutospacing="0" w:line="360" w:lineRule="auto"/>
        <w:rPr>
          <w:rFonts w:ascii="Arial" w:hAnsi="Arial" w:cs="Arial"/>
          <w:sz w:val="22"/>
          <w:szCs w:val="22"/>
        </w:rPr>
      </w:pPr>
      <w:r w:rsidRPr="00367A27">
        <w:rPr>
          <w:rFonts w:ascii="Arial" w:hAnsi="Arial" w:cs="Arial"/>
          <w:sz w:val="22"/>
          <w:szCs w:val="22"/>
        </w:rPr>
        <w:t>(b)     satisfy the court by –</w:t>
      </w:r>
    </w:p>
    <w:p w:rsidR="00184BCA" w:rsidRPr="00367A27" w:rsidRDefault="00184BCA" w:rsidP="000006B7">
      <w:pPr>
        <w:pStyle w:val="rteindent3"/>
        <w:spacing w:before="0" w:beforeAutospacing="0" w:line="360" w:lineRule="auto"/>
        <w:rPr>
          <w:rFonts w:ascii="Arial" w:hAnsi="Arial" w:cs="Arial"/>
          <w:sz w:val="22"/>
          <w:szCs w:val="22"/>
        </w:rPr>
      </w:pPr>
      <w:r w:rsidRPr="00367A27">
        <w:rPr>
          <w:rFonts w:ascii="Arial" w:hAnsi="Arial" w:cs="Arial"/>
          <w:sz w:val="22"/>
          <w:szCs w:val="22"/>
        </w:rPr>
        <w:t>(i)      affidavit, which must be delivered before 12h00 on the court day but one before the day on which the application is to be heard; or</w:t>
      </w:r>
    </w:p>
    <w:p w:rsidR="00184BCA" w:rsidRDefault="00184BCA" w:rsidP="000006B7">
      <w:pPr>
        <w:pStyle w:val="rteindent3"/>
        <w:spacing w:before="0" w:beforeAutospacing="0" w:line="360" w:lineRule="auto"/>
        <w:rPr>
          <w:rFonts w:ascii="Arial" w:hAnsi="Arial" w:cs="Arial"/>
          <w:sz w:val="22"/>
          <w:szCs w:val="22"/>
        </w:rPr>
      </w:pPr>
      <w:r w:rsidRPr="00367A27">
        <w:rPr>
          <w:rFonts w:ascii="Arial" w:hAnsi="Arial" w:cs="Arial"/>
          <w:sz w:val="22"/>
          <w:szCs w:val="22"/>
        </w:rPr>
        <w:t>(ii)      oral evidence, given with the leave of the court, of himself or herself or of any other person who can swear positively to the fact, that he or she has a bona fide defence to the action and the affidavit or evidence must disclose fully the nature and grounds of the defence  and the material facts relied on.’</w:t>
      </w:r>
    </w:p>
    <w:p w:rsidR="0092374D" w:rsidRPr="00367A27" w:rsidRDefault="0092374D" w:rsidP="00184BCA">
      <w:pPr>
        <w:pStyle w:val="rteindent3"/>
        <w:spacing w:before="0" w:beforeAutospacing="0"/>
        <w:ind w:left="720"/>
        <w:rPr>
          <w:rFonts w:ascii="Arial" w:hAnsi="Arial" w:cs="Arial"/>
          <w:sz w:val="22"/>
          <w:szCs w:val="22"/>
        </w:rPr>
      </w:pPr>
    </w:p>
    <w:p w:rsidR="00184BCA" w:rsidRPr="00002872" w:rsidRDefault="00184BCA" w:rsidP="00184BCA">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 In </w:t>
      </w:r>
      <w:r w:rsidRPr="00002872">
        <w:rPr>
          <w:rFonts w:ascii="Arial" w:hAnsi="Arial" w:cs="Arial"/>
          <w:i/>
          <w:sz w:val="24"/>
          <w:szCs w:val="24"/>
        </w:rPr>
        <w:t>Radial Truss (Pty) Ltd v Aquatan (Pty) Ltd</w:t>
      </w:r>
      <w:r w:rsidRPr="00D96275">
        <w:rPr>
          <w:rStyle w:val="FootnoteReference"/>
          <w:rFonts w:ascii="Arial" w:hAnsi="Arial" w:cs="Arial"/>
          <w:sz w:val="24"/>
          <w:szCs w:val="24"/>
        </w:rPr>
        <w:footnoteReference w:id="5"/>
      </w:r>
      <w:r w:rsidRPr="00D96275">
        <w:rPr>
          <w:rFonts w:ascii="Arial" w:hAnsi="Arial" w:cs="Arial"/>
          <w:sz w:val="24"/>
          <w:szCs w:val="24"/>
        </w:rPr>
        <w:t xml:space="preserve"> the Supreme Court</w:t>
      </w:r>
      <w:r>
        <w:rPr>
          <w:rFonts w:ascii="Arial" w:hAnsi="Arial" w:cs="Arial"/>
          <w:sz w:val="24"/>
          <w:szCs w:val="24"/>
        </w:rPr>
        <w:t xml:space="preserve"> in </w:t>
      </w:r>
      <w:r w:rsidRPr="00A27D83">
        <w:rPr>
          <w:rFonts w:ascii="Arial" w:hAnsi="Arial" w:cs="Arial"/>
          <w:sz w:val="24"/>
          <w:szCs w:val="24"/>
        </w:rPr>
        <w:t>applying </w:t>
      </w:r>
      <w:r w:rsidRPr="00A27D83">
        <w:rPr>
          <w:rStyle w:val="Emphasis"/>
          <w:rFonts w:ascii="Arial" w:hAnsi="Arial" w:cs="Arial"/>
          <w:sz w:val="24"/>
          <w:szCs w:val="24"/>
        </w:rPr>
        <w:t>Maharaj</w:t>
      </w:r>
      <w:r w:rsidRPr="00A27D83">
        <w:rPr>
          <w:rFonts w:ascii="Arial" w:hAnsi="Arial" w:cs="Arial"/>
          <w:sz w:val="24"/>
          <w:szCs w:val="24"/>
        </w:rPr>
        <w:t> v </w:t>
      </w:r>
      <w:r w:rsidRPr="00A27D83">
        <w:rPr>
          <w:rStyle w:val="Emphasis"/>
          <w:rFonts w:ascii="Arial" w:hAnsi="Arial" w:cs="Arial"/>
          <w:sz w:val="24"/>
          <w:szCs w:val="24"/>
        </w:rPr>
        <w:t>Barclays National Bank Ltd, </w:t>
      </w:r>
      <w:r w:rsidRPr="00A27D83">
        <w:rPr>
          <w:rFonts w:ascii="Arial" w:hAnsi="Arial" w:cs="Arial"/>
          <w:sz w:val="24"/>
          <w:szCs w:val="24"/>
        </w:rPr>
        <w:t xml:space="preserve"> held </w:t>
      </w:r>
      <w:r w:rsidRPr="00002872">
        <w:rPr>
          <w:rFonts w:ascii="Arial" w:hAnsi="Arial" w:cs="Arial"/>
          <w:sz w:val="24"/>
          <w:szCs w:val="24"/>
        </w:rPr>
        <w:t>that, in a summary judgment application, the court is not called upon to decide factual disputes or express any view on the dispute. It is called upon instead to determine firstly whether a defendant has ‘fully’ disclosed the nature and grounds of the defence and the material facts upon which that defence is founded. In the second instance the court is to determine whether on the facts set out by the defendant that it appears to have – as to either the whole or part of the claim – a defence which is </w:t>
      </w:r>
      <w:r w:rsidRPr="00975810">
        <w:rPr>
          <w:rStyle w:val="Emphasis"/>
          <w:rFonts w:ascii="Arial" w:hAnsi="Arial" w:cs="Arial"/>
          <w:sz w:val="24"/>
          <w:szCs w:val="24"/>
          <w:u w:val="single"/>
        </w:rPr>
        <w:t>bona fide</w:t>
      </w:r>
      <w:r w:rsidRPr="00975810">
        <w:rPr>
          <w:rFonts w:ascii="Arial" w:hAnsi="Arial" w:cs="Arial"/>
          <w:sz w:val="24"/>
          <w:szCs w:val="24"/>
          <w:u w:val="single"/>
        </w:rPr>
        <w:t> and good in law</w:t>
      </w:r>
      <w:r w:rsidRPr="00002872">
        <w:rPr>
          <w:rFonts w:ascii="Arial" w:hAnsi="Arial" w:cs="Arial"/>
          <w:sz w:val="24"/>
          <w:szCs w:val="24"/>
        </w:rPr>
        <w:t>. If satisfied upon these two criteria, the court must refuse summary judgment. This position is confirmed in </w:t>
      </w:r>
      <w:r w:rsidRPr="00002872">
        <w:rPr>
          <w:rStyle w:val="Emphasis"/>
          <w:rFonts w:ascii="Arial" w:hAnsi="Arial" w:cs="Arial"/>
          <w:sz w:val="24"/>
          <w:szCs w:val="24"/>
        </w:rPr>
        <w:t>Kukuri v Social Security Commission</w:t>
      </w:r>
      <w:r w:rsidR="000006B7">
        <w:rPr>
          <w:rStyle w:val="Emphasis"/>
          <w:rFonts w:ascii="Arial" w:hAnsi="Arial" w:cs="Arial"/>
          <w:sz w:val="24"/>
          <w:szCs w:val="24"/>
        </w:rPr>
        <w:t>.</w:t>
      </w:r>
      <w:r>
        <w:rPr>
          <w:rStyle w:val="FootnoteReference"/>
          <w:rFonts w:ascii="Arial" w:hAnsi="Arial" w:cs="Arial"/>
          <w:i/>
          <w:iCs/>
          <w:sz w:val="24"/>
          <w:szCs w:val="24"/>
        </w:rPr>
        <w:footnoteReference w:id="6"/>
      </w:r>
    </w:p>
    <w:p w:rsidR="00184BCA" w:rsidRDefault="00184BCA" w:rsidP="00184BCA">
      <w:pPr>
        <w:spacing w:line="360" w:lineRule="auto"/>
        <w:jc w:val="both"/>
        <w:rPr>
          <w:rFonts w:ascii="Arial" w:hAnsi="Arial" w:cs="Arial"/>
          <w:sz w:val="24"/>
          <w:szCs w:val="24"/>
        </w:rPr>
      </w:pPr>
      <w:r w:rsidRPr="004F0D78">
        <w:rPr>
          <w:rFonts w:ascii="Arial" w:hAnsi="Arial" w:cs="Arial"/>
          <w:sz w:val="24"/>
          <w:szCs w:val="24"/>
        </w:rPr>
        <w:t>[</w:t>
      </w:r>
      <w:r>
        <w:rPr>
          <w:rFonts w:ascii="Arial" w:hAnsi="Arial" w:cs="Arial"/>
          <w:sz w:val="24"/>
          <w:szCs w:val="24"/>
        </w:rPr>
        <w:t>37</w:t>
      </w:r>
      <w:r w:rsidRPr="004F0D78">
        <w:rPr>
          <w:rFonts w:ascii="Arial" w:hAnsi="Arial" w:cs="Arial"/>
          <w:sz w:val="24"/>
          <w:szCs w:val="24"/>
        </w:rPr>
        <w:t>]</w:t>
      </w:r>
      <w:r w:rsidRPr="004F0D78">
        <w:rPr>
          <w:rFonts w:ascii="Arial" w:hAnsi="Arial" w:cs="Arial"/>
          <w:sz w:val="24"/>
          <w:szCs w:val="24"/>
        </w:rPr>
        <w:tab/>
        <w:t>The main issue is whether the plaintiffs succeeded to establish the essential elements for granting summary judgment</w:t>
      </w:r>
      <w:r>
        <w:rPr>
          <w:rFonts w:ascii="Arial" w:hAnsi="Arial" w:cs="Arial"/>
          <w:sz w:val="24"/>
          <w:szCs w:val="24"/>
        </w:rPr>
        <w:t xml:space="preserve">. Unlike with many of the matters of a similar </w:t>
      </w:r>
      <w:r>
        <w:rPr>
          <w:rFonts w:ascii="Arial" w:hAnsi="Arial" w:cs="Arial"/>
          <w:sz w:val="24"/>
          <w:szCs w:val="24"/>
        </w:rPr>
        <w:lastRenderedPageBreak/>
        <w:t>nature the first defendan</w:t>
      </w:r>
      <w:r w:rsidR="00F41C10">
        <w:rPr>
          <w:rFonts w:ascii="Arial" w:hAnsi="Arial" w:cs="Arial"/>
          <w:sz w:val="24"/>
          <w:szCs w:val="24"/>
        </w:rPr>
        <w:t>t did not raise</w:t>
      </w:r>
      <w:r w:rsidR="00A27D83">
        <w:rPr>
          <w:rFonts w:ascii="Arial" w:hAnsi="Arial" w:cs="Arial"/>
          <w:sz w:val="24"/>
          <w:szCs w:val="24"/>
        </w:rPr>
        <w:t xml:space="preserve"> </w:t>
      </w:r>
      <w:r>
        <w:rPr>
          <w:rFonts w:ascii="Arial" w:hAnsi="Arial" w:cs="Arial"/>
          <w:sz w:val="24"/>
          <w:szCs w:val="24"/>
        </w:rPr>
        <w:t xml:space="preserve">a host of technical objections. She basically maintains that her defence is bona fide and good in law. </w:t>
      </w:r>
    </w:p>
    <w:p w:rsidR="00184BCA" w:rsidRDefault="00184BCA" w:rsidP="00184BCA">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 The claim that the plaintiffs wish to enforce is one on </w:t>
      </w:r>
      <w:r w:rsidRPr="00975810">
        <w:rPr>
          <w:rFonts w:ascii="Arial" w:hAnsi="Arial" w:cs="Arial"/>
          <w:i/>
          <w:sz w:val="24"/>
          <w:szCs w:val="24"/>
        </w:rPr>
        <w:t>condictio indebiti</w:t>
      </w:r>
      <w:r>
        <w:rPr>
          <w:rFonts w:ascii="Arial" w:hAnsi="Arial" w:cs="Arial"/>
          <w:sz w:val="24"/>
          <w:szCs w:val="24"/>
        </w:rPr>
        <w:t xml:space="preserve"> and in order to determine whether the plaintiffs can be successful in their summary judgment application it is necessary to discuss the legal requirements for a claim based on </w:t>
      </w:r>
      <w:r w:rsidRPr="00956AA2">
        <w:rPr>
          <w:rFonts w:ascii="Arial" w:hAnsi="Arial" w:cs="Arial"/>
          <w:i/>
          <w:sz w:val="24"/>
          <w:szCs w:val="24"/>
        </w:rPr>
        <w:t>condictio indebiti</w:t>
      </w:r>
      <w:r>
        <w:rPr>
          <w:rFonts w:ascii="Arial" w:hAnsi="Arial" w:cs="Arial"/>
          <w:i/>
          <w:sz w:val="24"/>
          <w:szCs w:val="24"/>
        </w:rPr>
        <w:t xml:space="preserve"> </w:t>
      </w:r>
      <w:r w:rsidRPr="00956AA2">
        <w:rPr>
          <w:rFonts w:ascii="Arial" w:hAnsi="Arial" w:cs="Arial"/>
          <w:sz w:val="24"/>
          <w:szCs w:val="24"/>
        </w:rPr>
        <w:t>and whether the</w:t>
      </w:r>
      <w:r>
        <w:rPr>
          <w:rFonts w:ascii="Arial" w:hAnsi="Arial" w:cs="Arial"/>
          <w:i/>
          <w:sz w:val="24"/>
          <w:szCs w:val="24"/>
        </w:rPr>
        <w:t xml:space="preserve"> </w:t>
      </w:r>
      <w:r>
        <w:rPr>
          <w:rFonts w:ascii="Arial" w:hAnsi="Arial" w:cs="Arial"/>
          <w:sz w:val="24"/>
          <w:szCs w:val="24"/>
        </w:rPr>
        <w:t>defence raised by the first defendant, if any, is enough to resist the current application.</w:t>
      </w:r>
    </w:p>
    <w:p w:rsidR="00F41C10" w:rsidRDefault="00F41C10" w:rsidP="00184BCA">
      <w:pPr>
        <w:spacing w:line="360" w:lineRule="auto"/>
        <w:jc w:val="both"/>
        <w:rPr>
          <w:rFonts w:ascii="Arial" w:hAnsi="Arial" w:cs="Arial"/>
          <w:sz w:val="24"/>
          <w:szCs w:val="24"/>
        </w:rPr>
      </w:pPr>
    </w:p>
    <w:p w:rsidR="00184BCA" w:rsidRPr="004C0868" w:rsidRDefault="00184BCA" w:rsidP="00184BCA">
      <w:pPr>
        <w:rPr>
          <w:rFonts w:ascii="Arial" w:hAnsi="Arial" w:cs="Arial"/>
          <w:i/>
          <w:sz w:val="24"/>
          <w:szCs w:val="24"/>
          <w:u w:val="single"/>
        </w:rPr>
      </w:pPr>
      <w:r w:rsidRPr="00794450">
        <w:rPr>
          <w:rFonts w:ascii="Arial" w:hAnsi="Arial" w:cs="Arial"/>
          <w:sz w:val="24"/>
          <w:szCs w:val="24"/>
          <w:u w:val="single"/>
        </w:rPr>
        <w:t>The applicable legal principles</w:t>
      </w:r>
      <w:r>
        <w:rPr>
          <w:rFonts w:ascii="Arial" w:hAnsi="Arial" w:cs="Arial"/>
          <w:sz w:val="24"/>
          <w:szCs w:val="24"/>
          <w:u w:val="single"/>
        </w:rPr>
        <w:t xml:space="preserve"> to </w:t>
      </w:r>
      <w:r w:rsidRPr="004C0868">
        <w:rPr>
          <w:rFonts w:ascii="Arial" w:hAnsi="Arial" w:cs="Arial"/>
          <w:i/>
          <w:sz w:val="24"/>
          <w:szCs w:val="24"/>
          <w:u w:val="single"/>
        </w:rPr>
        <w:t>condictio indebiti</w:t>
      </w:r>
    </w:p>
    <w:p w:rsidR="00184BCA" w:rsidRDefault="00184BCA" w:rsidP="00184BCA">
      <w:pPr>
        <w:rPr>
          <w:rFonts w:ascii="Arial" w:hAnsi="Arial" w:cs="Arial"/>
          <w:sz w:val="24"/>
          <w:szCs w:val="24"/>
        </w:rPr>
      </w:pPr>
    </w:p>
    <w:p w:rsidR="00184BCA" w:rsidRDefault="00184BCA" w:rsidP="001D637A">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Pr="00985225">
        <w:rPr>
          <w:rFonts w:ascii="Arial" w:hAnsi="Arial" w:cs="Arial"/>
          <w:sz w:val="24"/>
          <w:szCs w:val="24"/>
        </w:rPr>
        <w:t xml:space="preserve">In </w:t>
      </w:r>
      <w:r w:rsidRPr="00985225">
        <w:rPr>
          <w:rFonts w:ascii="Arial" w:hAnsi="Arial" w:cs="Arial"/>
          <w:i/>
          <w:sz w:val="24"/>
          <w:szCs w:val="24"/>
        </w:rPr>
        <w:t>Van den Dries v The International University of Management</w:t>
      </w:r>
      <w:r>
        <w:rPr>
          <w:rStyle w:val="FootnoteReference"/>
          <w:rFonts w:ascii="Arial" w:hAnsi="Arial" w:cs="Arial"/>
          <w:i/>
          <w:sz w:val="24"/>
          <w:szCs w:val="24"/>
        </w:rPr>
        <w:footnoteReference w:id="7"/>
      </w:r>
      <w:r w:rsidRPr="00985225">
        <w:rPr>
          <w:rFonts w:ascii="Arial" w:hAnsi="Arial" w:cs="Arial"/>
          <w:i/>
          <w:sz w:val="24"/>
          <w:szCs w:val="24"/>
        </w:rPr>
        <w:t xml:space="preserve"> </w:t>
      </w:r>
      <w:r>
        <w:rPr>
          <w:rFonts w:ascii="Arial" w:hAnsi="Arial" w:cs="Arial"/>
          <w:sz w:val="24"/>
          <w:szCs w:val="24"/>
        </w:rPr>
        <w:t xml:space="preserve">Smuts J set out the principles of </w:t>
      </w:r>
      <w:r w:rsidRPr="00956AA2">
        <w:rPr>
          <w:rFonts w:ascii="Arial" w:hAnsi="Arial" w:cs="Arial"/>
          <w:i/>
          <w:sz w:val="24"/>
          <w:szCs w:val="24"/>
        </w:rPr>
        <w:t>condictio indebiti</w:t>
      </w:r>
      <w:r>
        <w:rPr>
          <w:rFonts w:ascii="Arial" w:hAnsi="Arial" w:cs="Arial"/>
          <w:sz w:val="24"/>
          <w:szCs w:val="24"/>
        </w:rPr>
        <w:t xml:space="preserve"> as follows:</w:t>
      </w:r>
    </w:p>
    <w:p w:rsidR="001D637A" w:rsidRPr="00985225" w:rsidRDefault="001D637A" w:rsidP="001D637A">
      <w:pPr>
        <w:spacing w:line="360" w:lineRule="auto"/>
        <w:jc w:val="both"/>
        <w:rPr>
          <w:rFonts w:ascii="Arial" w:hAnsi="Arial" w:cs="Arial"/>
          <w:sz w:val="20"/>
          <w:szCs w:val="20"/>
        </w:rPr>
      </w:pPr>
    </w:p>
    <w:p w:rsidR="00184BCA" w:rsidRPr="00985225" w:rsidRDefault="00184BCA" w:rsidP="000006B7">
      <w:pPr>
        <w:spacing w:line="360" w:lineRule="auto"/>
        <w:ind w:left="720"/>
        <w:jc w:val="both"/>
        <w:rPr>
          <w:rFonts w:ascii="Arial" w:hAnsi="Arial" w:cs="Arial"/>
          <w:sz w:val="24"/>
          <w:szCs w:val="24"/>
        </w:rPr>
      </w:pPr>
      <w:r w:rsidRPr="00985225">
        <w:rPr>
          <w:rFonts w:ascii="Arial" w:hAnsi="Arial" w:cs="Arial"/>
        </w:rPr>
        <w:t>[27]</w:t>
      </w:r>
      <w:r w:rsidRPr="00985225">
        <w:rPr>
          <w:rFonts w:ascii="Arial" w:hAnsi="Arial" w:cs="Arial"/>
        </w:rPr>
        <w:tab/>
        <w:t xml:space="preserve">The plaintiff’s claim was brought as a </w:t>
      </w:r>
      <w:r w:rsidRPr="00985225">
        <w:rPr>
          <w:rFonts w:ascii="Arial" w:hAnsi="Arial" w:cs="Arial"/>
          <w:i/>
        </w:rPr>
        <w:t>condictio indebiti</w:t>
      </w:r>
      <w:r w:rsidRPr="00985225">
        <w:rPr>
          <w:rFonts w:ascii="Arial" w:hAnsi="Arial" w:cs="Arial"/>
        </w:rPr>
        <w:t>. The essential elements for such an action were recently referred to by this court:</w:t>
      </w:r>
      <w:r w:rsidRPr="00985225">
        <w:rPr>
          <w:rStyle w:val="FootnoteReference"/>
          <w:rFonts w:ascii="Arial" w:hAnsi="Arial" w:cs="Arial"/>
        </w:rPr>
        <w:footnoteReference w:id="8"/>
      </w:r>
    </w:p>
    <w:p w:rsidR="00184BCA" w:rsidRPr="00985225" w:rsidRDefault="00184BCA" w:rsidP="000006B7">
      <w:pPr>
        <w:spacing w:line="360" w:lineRule="auto"/>
        <w:ind w:left="720" w:firstLine="720"/>
        <w:jc w:val="both"/>
        <w:rPr>
          <w:rFonts w:ascii="Arial" w:hAnsi="Arial" w:cs="Arial"/>
        </w:rPr>
      </w:pPr>
      <w:r w:rsidRPr="00985225">
        <w:rPr>
          <w:rFonts w:ascii="Arial" w:hAnsi="Arial" w:cs="Arial"/>
        </w:rPr>
        <w:t>‘[143]</w:t>
      </w:r>
      <w:r w:rsidRPr="00985225">
        <w:rPr>
          <w:rFonts w:ascii="Arial" w:hAnsi="Arial" w:cs="Arial"/>
        </w:rPr>
        <w:tab/>
        <w:t xml:space="preserve">A </w:t>
      </w:r>
      <w:r w:rsidRPr="00985225">
        <w:rPr>
          <w:rFonts w:ascii="Arial" w:hAnsi="Arial" w:cs="Arial"/>
          <w:i/>
        </w:rPr>
        <w:t>condictio indeb</w:t>
      </w:r>
      <w:r>
        <w:rPr>
          <w:rFonts w:ascii="Arial" w:hAnsi="Arial" w:cs="Arial"/>
          <w:i/>
        </w:rPr>
        <w:t>i</w:t>
      </w:r>
      <w:r w:rsidRPr="00985225">
        <w:rPr>
          <w:rFonts w:ascii="Arial" w:hAnsi="Arial" w:cs="Arial"/>
          <w:i/>
        </w:rPr>
        <w:t>ti</w:t>
      </w:r>
      <w:r w:rsidRPr="00985225">
        <w:rPr>
          <w:rFonts w:ascii="Arial" w:hAnsi="Arial" w:cs="Arial"/>
        </w:rPr>
        <w:t xml:space="preserve"> is open to the party who has made payment to another due to an excusable error and believed that the payment was owing whereas it was not. That party may then reclaim payment to the extent that the receiver was enriched at the expense of the former party. The </w:t>
      </w:r>
      <w:r w:rsidRPr="00985225">
        <w:rPr>
          <w:rFonts w:ascii="Arial" w:hAnsi="Arial" w:cs="Arial"/>
          <w:i/>
        </w:rPr>
        <w:t>condictio indebiti</w:t>
      </w:r>
      <w:r w:rsidRPr="00985225">
        <w:rPr>
          <w:rFonts w:ascii="Arial" w:hAnsi="Arial" w:cs="Arial"/>
        </w:rPr>
        <w:t xml:space="preserve"> may also be open to the party to reclaim performance made in terms of an invalid contract, as would be the </w:t>
      </w:r>
      <w:r w:rsidRPr="00985225">
        <w:rPr>
          <w:rFonts w:ascii="Arial" w:hAnsi="Arial" w:cs="Arial"/>
          <w:i/>
        </w:rPr>
        <w:t>condictio sine causa</w:t>
      </w:r>
      <w:r w:rsidRPr="00985225">
        <w:rPr>
          <w:rFonts w:ascii="Arial" w:hAnsi="Arial" w:cs="Arial"/>
        </w:rPr>
        <w:t xml:space="preserve">. It would seem that the latter action is more frequently be used in those circumstances. </w:t>
      </w:r>
    </w:p>
    <w:p w:rsidR="00184BCA" w:rsidRPr="00985225" w:rsidRDefault="00184BCA" w:rsidP="000006B7">
      <w:pPr>
        <w:spacing w:line="360" w:lineRule="auto"/>
        <w:ind w:left="720" w:firstLine="720"/>
        <w:jc w:val="both"/>
        <w:rPr>
          <w:rFonts w:ascii="Arial" w:hAnsi="Arial" w:cs="Arial"/>
        </w:rPr>
      </w:pPr>
      <w:r w:rsidRPr="00985225">
        <w:rPr>
          <w:rFonts w:ascii="Arial" w:hAnsi="Arial" w:cs="Arial"/>
        </w:rPr>
        <w:t>[144]</w:t>
      </w:r>
      <w:r w:rsidRPr="00985225">
        <w:rPr>
          <w:rFonts w:ascii="Arial" w:hAnsi="Arial" w:cs="Arial"/>
        </w:rPr>
        <w:tab/>
        <w:t xml:space="preserve">The essential requirements for a </w:t>
      </w:r>
      <w:r w:rsidRPr="00985225">
        <w:rPr>
          <w:rFonts w:ascii="Arial" w:hAnsi="Arial" w:cs="Arial"/>
          <w:i/>
        </w:rPr>
        <w:t>condictio indebiti</w:t>
      </w:r>
      <w:r w:rsidRPr="00985225">
        <w:rPr>
          <w:rFonts w:ascii="Arial" w:hAnsi="Arial" w:cs="Arial"/>
        </w:rPr>
        <w:t xml:space="preserve"> are:</w:t>
      </w:r>
    </w:p>
    <w:p w:rsidR="00184BCA" w:rsidRPr="00985225" w:rsidRDefault="00184BCA" w:rsidP="000006B7">
      <w:pPr>
        <w:spacing w:line="360" w:lineRule="auto"/>
        <w:ind w:left="720" w:firstLine="720"/>
        <w:jc w:val="both"/>
        <w:rPr>
          <w:rFonts w:ascii="Arial" w:hAnsi="Arial" w:cs="Arial"/>
        </w:rPr>
      </w:pPr>
      <w:r w:rsidRPr="00985225">
        <w:rPr>
          <w:rFonts w:ascii="Arial" w:hAnsi="Arial" w:cs="Arial"/>
        </w:rPr>
        <w:t>a)</w:t>
      </w:r>
      <w:r w:rsidRPr="00985225">
        <w:rPr>
          <w:rFonts w:ascii="Arial" w:hAnsi="Arial" w:cs="Arial"/>
        </w:rPr>
        <w:tab/>
        <w:t>the defendant must be enriched;</w:t>
      </w:r>
    </w:p>
    <w:p w:rsidR="00184BCA" w:rsidRPr="00985225" w:rsidRDefault="00184BCA" w:rsidP="000006B7">
      <w:pPr>
        <w:spacing w:line="360" w:lineRule="auto"/>
        <w:ind w:left="720" w:firstLine="720"/>
        <w:jc w:val="both"/>
        <w:rPr>
          <w:rFonts w:ascii="Arial" w:hAnsi="Arial" w:cs="Arial"/>
        </w:rPr>
      </w:pPr>
      <w:r w:rsidRPr="00985225">
        <w:rPr>
          <w:rFonts w:ascii="Arial" w:hAnsi="Arial" w:cs="Arial"/>
        </w:rPr>
        <w:t>b)</w:t>
      </w:r>
      <w:r w:rsidRPr="00985225">
        <w:rPr>
          <w:rFonts w:ascii="Arial" w:hAnsi="Arial" w:cs="Arial"/>
        </w:rPr>
        <w:tab/>
        <w:t>the plaintiff must be impoverished;</w:t>
      </w:r>
    </w:p>
    <w:p w:rsidR="00184BCA" w:rsidRPr="00985225" w:rsidRDefault="00184BCA" w:rsidP="000006B7">
      <w:pPr>
        <w:spacing w:line="360" w:lineRule="auto"/>
        <w:ind w:left="1440"/>
        <w:jc w:val="both"/>
        <w:rPr>
          <w:rFonts w:ascii="Arial" w:hAnsi="Arial" w:cs="Arial"/>
        </w:rPr>
      </w:pPr>
      <w:r w:rsidRPr="00985225">
        <w:rPr>
          <w:rFonts w:ascii="Arial" w:hAnsi="Arial" w:cs="Arial"/>
        </w:rPr>
        <w:t>c)</w:t>
      </w:r>
      <w:r w:rsidRPr="00985225">
        <w:rPr>
          <w:rFonts w:ascii="Arial" w:hAnsi="Arial" w:cs="Arial"/>
        </w:rPr>
        <w:tab/>
        <w:t>the defendant’s enrichment must be at expense of the plaintiff; and</w:t>
      </w:r>
    </w:p>
    <w:p w:rsidR="00184BCA" w:rsidRDefault="00184BCA" w:rsidP="000006B7">
      <w:pPr>
        <w:spacing w:line="360" w:lineRule="auto"/>
        <w:ind w:left="1440"/>
        <w:jc w:val="both"/>
        <w:rPr>
          <w:rFonts w:ascii="Arial" w:hAnsi="Arial" w:cs="Arial"/>
        </w:rPr>
      </w:pPr>
      <w:r w:rsidRPr="00985225">
        <w:rPr>
          <w:rFonts w:ascii="Arial" w:hAnsi="Arial" w:cs="Arial"/>
        </w:rPr>
        <w:lastRenderedPageBreak/>
        <w:t>d)</w:t>
      </w:r>
      <w:r w:rsidRPr="00985225">
        <w:rPr>
          <w:rFonts w:ascii="Arial" w:hAnsi="Arial" w:cs="Arial"/>
        </w:rPr>
        <w:tab/>
        <w:t>the enrichment must be unjustified in the sense of having been made in a reasonable but mistaken belief that a payment was owing – thus been a reasonable error in the circumstances of the case.’</w:t>
      </w:r>
      <w:r w:rsidRPr="00985225">
        <w:rPr>
          <w:rStyle w:val="FootnoteReference"/>
          <w:rFonts w:ascii="Arial" w:hAnsi="Arial" w:cs="Arial"/>
        </w:rPr>
        <w:footnoteReference w:id="9"/>
      </w:r>
    </w:p>
    <w:p w:rsidR="00C03E43" w:rsidRPr="00985225" w:rsidRDefault="00C03E43" w:rsidP="00184BCA">
      <w:pPr>
        <w:ind w:left="1440"/>
        <w:jc w:val="both"/>
        <w:rPr>
          <w:rFonts w:ascii="Arial" w:hAnsi="Arial" w:cs="Arial"/>
        </w:rPr>
      </w:pPr>
    </w:p>
    <w:p w:rsidR="00184BCA" w:rsidRDefault="00184BCA" w:rsidP="00184BCA">
      <w:pPr>
        <w:pStyle w:val="Heading1"/>
        <w:numPr>
          <w:ilvl w:val="0"/>
          <w:numId w:val="0"/>
        </w:numPr>
        <w:ind w:firstLine="720"/>
        <w:rPr>
          <w:sz w:val="22"/>
          <w:szCs w:val="22"/>
        </w:rPr>
      </w:pPr>
      <w:r>
        <w:rPr>
          <w:rFonts w:eastAsiaTheme="minorHAnsi"/>
          <w:spacing w:val="0"/>
          <w:sz w:val="22"/>
          <w:szCs w:val="22"/>
          <w:lang w:val="en-ZA"/>
        </w:rPr>
        <w:t>[</w:t>
      </w:r>
      <w:r w:rsidRPr="00985225">
        <w:rPr>
          <w:rFonts w:eastAsiaTheme="minorHAnsi"/>
          <w:spacing w:val="0"/>
          <w:sz w:val="22"/>
          <w:szCs w:val="22"/>
          <w:lang w:val="en-ZA"/>
        </w:rPr>
        <w:t>28]</w:t>
      </w:r>
      <w:r w:rsidRPr="00985225">
        <w:rPr>
          <w:rFonts w:eastAsiaTheme="minorHAnsi"/>
          <w:spacing w:val="0"/>
          <w:sz w:val="22"/>
          <w:szCs w:val="22"/>
          <w:lang w:val="en-ZA"/>
        </w:rPr>
        <w:tab/>
      </w:r>
      <w:r w:rsidRPr="00985225">
        <w:rPr>
          <w:sz w:val="22"/>
          <w:szCs w:val="22"/>
        </w:rPr>
        <w:t xml:space="preserve">In respect of a defence of non-enrichment, as was expressly pleaded in this matter, once a transfer </w:t>
      </w:r>
      <w:r w:rsidRPr="00985225">
        <w:rPr>
          <w:i/>
          <w:sz w:val="22"/>
          <w:szCs w:val="22"/>
        </w:rPr>
        <w:t>indebite</w:t>
      </w:r>
      <w:r w:rsidRPr="00985225">
        <w:rPr>
          <w:sz w:val="22"/>
          <w:szCs w:val="22"/>
        </w:rPr>
        <w:t xml:space="preserve"> has been established, the onus would then shift to the defendant to prove that it was not enriched by the transfer.</w:t>
      </w:r>
      <w:r w:rsidRPr="00985225">
        <w:rPr>
          <w:rStyle w:val="FootnoteReference"/>
          <w:sz w:val="22"/>
          <w:szCs w:val="22"/>
        </w:rPr>
        <w:footnoteReference w:id="10"/>
      </w:r>
      <w:r w:rsidRPr="00985225">
        <w:rPr>
          <w:sz w:val="22"/>
          <w:szCs w:val="22"/>
        </w:rPr>
        <w:t xml:space="preserve">  Where a defendant has disposed of a thing, in order succeed with a defence of non-enrichment, the defendant would invariably be required to establish that the disposal was </w:t>
      </w:r>
      <w:r w:rsidRPr="00985225">
        <w:rPr>
          <w:i/>
          <w:sz w:val="22"/>
          <w:szCs w:val="22"/>
        </w:rPr>
        <w:t>bona fide</w:t>
      </w:r>
      <w:r w:rsidRPr="00985225">
        <w:rPr>
          <w:sz w:val="22"/>
          <w:szCs w:val="22"/>
        </w:rPr>
        <w:t>.</w:t>
      </w:r>
      <w:r w:rsidRPr="00985225">
        <w:rPr>
          <w:rStyle w:val="FootnoteReference"/>
          <w:sz w:val="22"/>
          <w:szCs w:val="22"/>
        </w:rPr>
        <w:footnoteReference w:id="11"/>
      </w:r>
      <w:r w:rsidRPr="00985225">
        <w:rPr>
          <w:sz w:val="22"/>
          <w:szCs w:val="22"/>
        </w:rPr>
        <w:t>’</w:t>
      </w:r>
    </w:p>
    <w:p w:rsidR="00184BCA" w:rsidRPr="00002872" w:rsidRDefault="00184BCA" w:rsidP="00184BCA">
      <w:pPr>
        <w:rPr>
          <w:lang w:val="en-GB"/>
        </w:rPr>
      </w:pPr>
    </w:p>
    <w:p w:rsidR="00C03E43" w:rsidRDefault="00184BCA" w:rsidP="00184BCA">
      <w:pPr>
        <w:spacing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t xml:space="preserve"> Where does the enrichment claim lie if one </w:t>
      </w:r>
      <w:r w:rsidR="00C03E43" w:rsidRPr="00A27D83">
        <w:rPr>
          <w:rFonts w:ascii="Arial" w:hAnsi="Arial" w:cs="Arial"/>
          <w:sz w:val="24"/>
          <w:szCs w:val="24"/>
          <w:lang w:val="en-GB"/>
        </w:rPr>
        <w:t xml:space="preserve">has </w:t>
      </w:r>
      <w:r>
        <w:rPr>
          <w:rFonts w:ascii="Arial" w:hAnsi="Arial" w:cs="Arial"/>
          <w:sz w:val="24"/>
          <w:szCs w:val="24"/>
          <w:lang w:val="en-GB"/>
        </w:rPr>
        <w:t xml:space="preserve">regard to the movement of the money as set out in the </w:t>
      </w:r>
      <w:r w:rsidR="00C03E43">
        <w:rPr>
          <w:rFonts w:ascii="Arial" w:hAnsi="Arial" w:cs="Arial"/>
          <w:sz w:val="24"/>
          <w:szCs w:val="24"/>
          <w:lang w:val="en-GB"/>
        </w:rPr>
        <w:t>plaintiffs’</w:t>
      </w:r>
      <w:r>
        <w:rPr>
          <w:rFonts w:ascii="Arial" w:hAnsi="Arial" w:cs="Arial"/>
          <w:sz w:val="24"/>
          <w:szCs w:val="24"/>
          <w:lang w:val="en-GB"/>
        </w:rPr>
        <w:t xml:space="preserve"> particulars of claim? </w:t>
      </w:r>
    </w:p>
    <w:p w:rsidR="00184BCA" w:rsidRDefault="00184BCA" w:rsidP="00184BCA">
      <w:pPr>
        <w:spacing w:line="360" w:lineRule="auto"/>
        <w:jc w:val="both"/>
        <w:rPr>
          <w:rFonts w:ascii="Arial" w:hAnsi="Arial" w:cs="Arial"/>
          <w:color w:val="242121"/>
          <w:sz w:val="24"/>
          <w:szCs w:val="24"/>
        </w:rPr>
      </w:pPr>
      <w:r>
        <w:rPr>
          <w:rFonts w:ascii="Arial" w:hAnsi="Arial" w:cs="Arial"/>
          <w:sz w:val="24"/>
          <w:szCs w:val="24"/>
          <w:lang w:val="en-GB"/>
        </w:rPr>
        <w:t>[41]</w:t>
      </w:r>
      <w:r>
        <w:rPr>
          <w:rFonts w:ascii="Arial" w:hAnsi="Arial" w:cs="Arial"/>
          <w:sz w:val="24"/>
          <w:szCs w:val="24"/>
          <w:lang w:val="en-GB"/>
        </w:rPr>
        <w:tab/>
      </w:r>
      <w:r w:rsidRPr="00216CC6">
        <w:rPr>
          <w:rFonts w:ascii="Arial" w:hAnsi="Arial" w:cs="Arial"/>
          <w:color w:val="242121"/>
          <w:sz w:val="24"/>
          <w:szCs w:val="24"/>
          <w:shd w:val="clear" w:color="auto" w:fill="FFFFFF"/>
        </w:rPr>
        <w:t>Daniel Visser ‘Unjustified enrichment’</w:t>
      </w:r>
      <w:r w:rsidRPr="00216CC6">
        <w:rPr>
          <w:rStyle w:val="FootnoteReference"/>
          <w:rFonts w:ascii="Arial" w:hAnsi="Arial" w:cs="Arial"/>
          <w:color w:val="242121"/>
          <w:sz w:val="24"/>
          <w:szCs w:val="24"/>
          <w:shd w:val="clear" w:color="auto" w:fill="FFFFFF"/>
        </w:rPr>
        <w:footnoteReference w:id="12"/>
      </w:r>
      <w:r w:rsidRPr="00216CC6">
        <w:rPr>
          <w:rFonts w:ascii="Arial" w:hAnsi="Arial" w:cs="Arial"/>
          <w:color w:val="242121"/>
          <w:sz w:val="24"/>
          <w:szCs w:val="24"/>
        </w:rPr>
        <w:t xml:space="preserve">, in dealing with the question of the person or entity against whom an enrichment action lies, says that the person who ‘in the eyes of the law received the </w:t>
      </w:r>
      <w:r>
        <w:rPr>
          <w:rFonts w:ascii="Arial" w:hAnsi="Arial" w:cs="Arial"/>
          <w:color w:val="242121"/>
          <w:sz w:val="24"/>
          <w:szCs w:val="24"/>
        </w:rPr>
        <w:t>payment</w:t>
      </w:r>
      <w:r w:rsidRPr="00216CC6">
        <w:rPr>
          <w:rFonts w:ascii="Arial" w:hAnsi="Arial" w:cs="Arial"/>
          <w:color w:val="242121"/>
          <w:sz w:val="24"/>
          <w:szCs w:val="24"/>
        </w:rPr>
        <w:t>’</w:t>
      </w:r>
      <w:r>
        <w:rPr>
          <w:rFonts w:ascii="Arial" w:hAnsi="Arial" w:cs="Arial"/>
          <w:color w:val="242121"/>
          <w:sz w:val="24"/>
          <w:szCs w:val="24"/>
        </w:rPr>
        <w:t xml:space="preserve"> is liable to return it</w:t>
      </w:r>
      <w:r w:rsidRPr="00216CC6">
        <w:rPr>
          <w:rFonts w:ascii="Arial" w:hAnsi="Arial" w:cs="Arial"/>
          <w:color w:val="242121"/>
          <w:sz w:val="24"/>
          <w:szCs w:val="24"/>
        </w:rPr>
        <w:t xml:space="preserve"> and that while this is usually ‘the person who physically received it . . . it need not be’. </w:t>
      </w:r>
    </w:p>
    <w:p w:rsidR="00184BCA" w:rsidRPr="00216CC6" w:rsidRDefault="00184BCA" w:rsidP="00184BCA">
      <w:pPr>
        <w:spacing w:line="360" w:lineRule="auto"/>
        <w:jc w:val="both"/>
        <w:rPr>
          <w:rFonts w:ascii="Arial" w:hAnsi="Arial" w:cs="Arial"/>
          <w:color w:val="242121"/>
          <w:sz w:val="24"/>
          <w:szCs w:val="24"/>
        </w:rPr>
      </w:pPr>
      <w:r>
        <w:rPr>
          <w:rFonts w:ascii="Arial" w:hAnsi="Arial" w:cs="Arial"/>
          <w:color w:val="242121"/>
          <w:sz w:val="24"/>
          <w:szCs w:val="24"/>
        </w:rPr>
        <w:t>[42]</w:t>
      </w:r>
      <w:r>
        <w:rPr>
          <w:rFonts w:ascii="Arial" w:hAnsi="Arial" w:cs="Arial"/>
          <w:color w:val="242121"/>
          <w:sz w:val="24"/>
          <w:szCs w:val="24"/>
        </w:rPr>
        <w:tab/>
        <w:t>Didcott J</w:t>
      </w:r>
      <w:r w:rsidRPr="00216CC6">
        <w:rPr>
          <w:rFonts w:ascii="Arial" w:hAnsi="Arial" w:cs="Arial"/>
          <w:color w:val="242121"/>
          <w:sz w:val="24"/>
          <w:szCs w:val="24"/>
        </w:rPr>
        <w:t xml:space="preserve"> in </w:t>
      </w:r>
      <w:r w:rsidRPr="00216CC6">
        <w:rPr>
          <w:rFonts w:ascii="Arial" w:hAnsi="Arial" w:cs="Arial"/>
          <w:i/>
          <w:iCs/>
          <w:color w:val="242121"/>
          <w:sz w:val="24"/>
          <w:szCs w:val="24"/>
        </w:rPr>
        <w:t>Phillips v Hughes; Hughes v Maphumulo</w:t>
      </w:r>
      <w:r>
        <w:rPr>
          <w:rStyle w:val="FootnoteReference"/>
          <w:rFonts w:ascii="Arial" w:hAnsi="Arial" w:cs="Arial"/>
          <w:i/>
          <w:iCs/>
          <w:color w:val="242121"/>
          <w:sz w:val="24"/>
          <w:szCs w:val="24"/>
        </w:rPr>
        <w:footnoteReference w:id="13"/>
      </w:r>
      <w:r w:rsidRPr="00216CC6">
        <w:rPr>
          <w:rFonts w:ascii="Arial" w:hAnsi="Arial" w:cs="Arial"/>
          <w:color w:val="242121"/>
          <w:sz w:val="24"/>
          <w:szCs w:val="24"/>
        </w:rPr>
        <w:t> </w:t>
      </w:r>
      <w:r>
        <w:rPr>
          <w:rFonts w:ascii="Arial" w:hAnsi="Arial" w:cs="Arial"/>
          <w:color w:val="242121"/>
          <w:sz w:val="24"/>
          <w:szCs w:val="24"/>
        </w:rPr>
        <w:t xml:space="preserve">set out </w:t>
      </w:r>
      <w:r w:rsidRPr="00216CC6">
        <w:rPr>
          <w:rFonts w:ascii="Arial" w:hAnsi="Arial" w:cs="Arial"/>
          <w:color w:val="242121"/>
          <w:sz w:val="24"/>
          <w:szCs w:val="24"/>
        </w:rPr>
        <w:t>the position with characteristic clarity. The learned judge stated</w:t>
      </w:r>
      <w:r>
        <w:rPr>
          <w:rFonts w:ascii="Arial" w:hAnsi="Arial" w:cs="Arial"/>
          <w:color w:val="242121"/>
          <w:sz w:val="24"/>
          <w:szCs w:val="24"/>
        </w:rPr>
        <w:t xml:space="preserve"> as follows</w:t>
      </w:r>
      <w:r>
        <w:rPr>
          <w:rStyle w:val="FootnoteReference"/>
          <w:rFonts w:ascii="Arial" w:hAnsi="Arial" w:cs="Arial"/>
          <w:color w:val="242121"/>
          <w:sz w:val="24"/>
          <w:szCs w:val="24"/>
        </w:rPr>
        <w:footnoteReference w:id="14"/>
      </w:r>
      <w:r>
        <w:rPr>
          <w:rFonts w:ascii="Arial" w:hAnsi="Arial" w:cs="Arial"/>
          <w:color w:val="242121"/>
          <w:sz w:val="24"/>
          <w:szCs w:val="24"/>
        </w:rPr>
        <w:t xml:space="preserve">: </w:t>
      </w:r>
    </w:p>
    <w:p w:rsidR="00184BCA" w:rsidRPr="000006B7" w:rsidRDefault="00184BCA" w:rsidP="000006B7">
      <w:pPr>
        <w:pStyle w:val="NormalWeb"/>
        <w:shd w:val="clear" w:color="auto" w:fill="FFFFFF"/>
        <w:spacing w:before="144" w:beforeAutospacing="0" w:after="288" w:afterAutospacing="0" w:line="360" w:lineRule="atLeast"/>
        <w:ind w:firstLine="720"/>
        <w:jc w:val="both"/>
        <w:rPr>
          <w:rFonts w:ascii="Arial" w:hAnsi="Arial" w:cs="Arial"/>
          <w:strike/>
          <w:sz w:val="22"/>
          <w:szCs w:val="22"/>
        </w:rPr>
      </w:pPr>
      <w:r w:rsidRPr="00915288">
        <w:rPr>
          <w:rFonts w:ascii="Arial" w:hAnsi="Arial" w:cs="Arial"/>
          <w:color w:val="242121"/>
          <w:sz w:val="27"/>
          <w:szCs w:val="27"/>
        </w:rPr>
        <w:t>‘</w:t>
      </w:r>
      <w:r w:rsidRPr="00915288">
        <w:rPr>
          <w:rFonts w:ascii="Arial" w:hAnsi="Arial" w:cs="Arial"/>
          <w:color w:val="242121"/>
          <w:sz w:val="22"/>
          <w:szCs w:val="22"/>
        </w:rPr>
        <w:t>This means that the </w:t>
      </w:r>
      <w:r w:rsidRPr="00915288">
        <w:rPr>
          <w:rFonts w:ascii="Arial" w:hAnsi="Arial" w:cs="Arial"/>
          <w:i/>
          <w:iCs/>
          <w:color w:val="242121"/>
          <w:sz w:val="22"/>
          <w:szCs w:val="22"/>
        </w:rPr>
        <w:t>condictio indebiti</w:t>
      </w:r>
      <w:r w:rsidRPr="00915288">
        <w:rPr>
          <w:rFonts w:ascii="Arial" w:hAnsi="Arial" w:cs="Arial"/>
          <w:color w:val="242121"/>
          <w:sz w:val="22"/>
          <w:szCs w:val="22"/>
        </w:rPr>
        <w:t> is enforceable against the </w:t>
      </w:r>
      <w:r w:rsidRPr="00915288">
        <w:rPr>
          <w:rFonts w:ascii="Arial" w:hAnsi="Arial" w:cs="Arial"/>
          <w:i/>
          <w:iCs/>
          <w:color w:val="242121"/>
          <w:sz w:val="22"/>
          <w:szCs w:val="22"/>
        </w:rPr>
        <w:t>recipiens</w:t>
      </w:r>
      <w:r w:rsidRPr="00915288">
        <w:rPr>
          <w:rFonts w:ascii="Arial" w:hAnsi="Arial" w:cs="Arial"/>
          <w:color w:val="242121"/>
          <w:sz w:val="22"/>
          <w:szCs w:val="22"/>
        </w:rPr>
        <w:t> of the undue payment, but nobody else. The </w:t>
      </w:r>
      <w:r w:rsidRPr="00915288">
        <w:rPr>
          <w:rFonts w:ascii="Arial" w:hAnsi="Arial" w:cs="Arial"/>
          <w:i/>
          <w:iCs/>
          <w:color w:val="242121"/>
          <w:sz w:val="22"/>
          <w:szCs w:val="22"/>
        </w:rPr>
        <w:t>recipiens</w:t>
      </w:r>
      <w:r w:rsidRPr="00915288">
        <w:rPr>
          <w:rFonts w:ascii="Arial" w:hAnsi="Arial" w:cs="Arial"/>
          <w:color w:val="242121"/>
          <w:sz w:val="22"/>
          <w:szCs w:val="22"/>
        </w:rPr>
        <w:t> is not necessarily the person into whose hands the money was actually put when it was paid. He is the one who must be considered, in all the circumstances of the case, truly to have received the payment. Whenever a payment is made to an agent with authority to accept it, for instance, the </w:t>
      </w:r>
      <w:r w:rsidRPr="00915288">
        <w:rPr>
          <w:rFonts w:ascii="Arial" w:hAnsi="Arial" w:cs="Arial"/>
          <w:i/>
          <w:iCs/>
          <w:color w:val="242121"/>
          <w:sz w:val="22"/>
          <w:szCs w:val="22"/>
        </w:rPr>
        <w:t>recipiens</w:t>
      </w:r>
      <w:r w:rsidRPr="00915288">
        <w:rPr>
          <w:rFonts w:ascii="Arial" w:hAnsi="Arial" w:cs="Arial"/>
          <w:color w:val="242121"/>
          <w:sz w:val="22"/>
          <w:szCs w:val="22"/>
        </w:rPr>
        <w:t xml:space="preserve"> is the principal, not the agent. </w:t>
      </w:r>
      <w:r w:rsidRPr="005B7801">
        <w:rPr>
          <w:rFonts w:ascii="Arial" w:hAnsi="Arial" w:cs="Arial"/>
          <w:color w:val="242121"/>
          <w:sz w:val="22"/>
          <w:szCs w:val="22"/>
          <w:u w:val="single"/>
        </w:rPr>
        <w:t>A conduit through whom payment passes is likewise not its </w:t>
      </w:r>
      <w:r w:rsidRPr="005B7801">
        <w:rPr>
          <w:rFonts w:ascii="Arial" w:hAnsi="Arial" w:cs="Arial"/>
          <w:i/>
          <w:iCs/>
          <w:color w:val="242121"/>
          <w:sz w:val="22"/>
          <w:szCs w:val="22"/>
          <w:u w:val="single"/>
        </w:rPr>
        <w:t>recipiens</w:t>
      </w:r>
      <w:r w:rsidRPr="00915288">
        <w:rPr>
          <w:rFonts w:ascii="Arial" w:hAnsi="Arial" w:cs="Arial"/>
          <w:color w:val="242121"/>
          <w:sz w:val="22"/>
          <w:szCs w:val="22"/>
        </w:rPr>
        <w:t>. Instead he who obtains payment by such means is. One is not the </w:t>
      </w:r>
      <w:r w:rsidRPr="00915288">
        <w:rPr>
          <w:rFonts w:ascii="Arial" w:hAnsi="Arial" w:cs="Arial"/>
          <w:i/>
          <w:iCs/>
          <w:color w:val="242121"/>
          <w:sz w:val="22"/>
          <w:szCs w:val="22"/>
        </w:rPr>
        <w:t>recipiens</w:t>
      </w:r>
      <w:r w:rsidRPr="00915288">
        <w:rPr>
          <w:rFonts w:ascii="Arial" w:hAnsi="Arial" w:cs="Arial"/>
          <w:color w:val="242121"/>
          <w:sz w:val="22"/>
          <w:szCs w:val="22"/>
        </w:rPr>
        <w:t xml:space="preserve"> of a payment, on the other hand, merely because it was intended or happens in the result to benefit one. That, on its own, does not count. All that matters is whether one can appropriately be said to have received the </w:t>
      </w:r>
      <w:r w:rsidRPr="00915288">
        <w:rPr>
          <w:rFonts w:ascii="Arial" w:hAnsi="Arial" w:cs="Arial"/>
          <w:color w:val="242121"/>
          <w:sz w:val="22"/>
          <w:szCs w:val="22"/>
        </w:rPr>
        <w:lastRenderedPageBreak/>
        <w:t>payment in some or other way. Unless one has done so, one is beyond the range of the </w:t>
      </w:r>
      <w:r w:rsidRPr="00915288">
        <w:rPr>
          <w:rFonts w:ascii="Arial" w:hAnsi="Arial" w:cs="Arial"/>
          <w:i/>
          <w:iCs/>
          <w:color w:val="242121"/>
          <w:sz w:val="22"/>
          <w:szCs w:val="22"/>
        </w:rPr>
        <w:t>condictio indebiti</w:t>
      </w:r>
      <w:r w:rsidRPr="00915288">
        <w:rPr>
          <w:rFonts w:ascii="Arial" w:hAnsi="Arial" w:cs="Arial"/>
          <w:color w:val="242121"/>
          <w:sz w:val="22"/>
          <w:szCs w:val="22"/>
        </w:rPr>
        <w:t>, for all the payment's auxiliary advantages to one.’</w:t>
      </w:r>
      <w:r>
        <w:rPr>
          <w:rFonts w:ascii="Arial" w:hAnsi="Arial" w:cs="Arial"/>
          <w:color w:val="242121"/>
          <w:sz w:val="22"/>
          <w:szCs w:val="22"/>
        </w:rPr>
        <w:t xml:space="preserve"> (my underlining) </w:t>
      </w:r>
    </w:p>
    <w:p w:rsidR="00C03E43" w:rsidRPr="00915288" w:rsidRDefault="00C03E43" w:rsidP="000006B7">
      <w:pPr>
        <w:pStyle w:val="NormalWeb"/>
        <w:shd w:val="clear" w:color="auto" w:fill="FFFFFF"/>
        <w:spacing w:before="144" w:beforeAutospacing="0" w:after="288" w:afterAutospacing="0" w:line="360" w:lineRule="atLeast"/>
        <w:jc w:val="both"/>
        <w:rPr>
          <w:rFonts w:ascii="Arial" w:hAnsi="Arial" w:cs="Arial"/>
          <w:color w:val="242121"/>
          <w:sz w:val="22"/>
          <w:szCs w:val="22"/>
        </w:rPr>
      </w:pPr>
    </w:p>
    <w:p w:rsidR="00184BCA" w:rsidRDefault="00184BCA" w:rsidP="00184BCA">
      <w:pPr>
        <w:spacing w:line="360" w:lineRule="auto"/>
        <w:jc w:val="both"/>
        <w:rPr>
          <w:rFonts w:ascii="Arial" w:hAnsi="Arial" w:cs="Arial"/>
          <w:sz w:val="24"/>
          <w:szCs w:val="24"/>
        </w:rPr>
      </w:pPr>
      <w:r w:rsidRPr="005B7801">
        <w:rPr>
          <w:rFonts w:ascii="Arial" w:hAnsi="Arial" w:cs="Arial"/>
          <w:sz w:val="24"/>
          <w:szCs w:val="24"/>
          <w:lang w:val="en-GB"/>
        </w:rPr>
        <w:t>[</w:t>
      </w:r>
      <w:r>
        <w:rPr>
          <w:rFonts w:ascii="Arial" w:hAnsi="Arial" w:cs="Arial"/>
          <w:sz w:val="24"/>
          <w:szCs w:val="24"/>
          <w:lang w:val="en-GB"/>
        </w:rPr>
        <w:t>43</w:t>
      </w:r>
      <w:r w:rsidRPr="005B7801">
        <w:rPr>
          <w:rFonts w:ascii="Arial" w:hAnsi="Arial" w:cs="Arial"/>
          <w:sz w:val="24"/>
          <w:szCs w:val="24"/>
          <w:lang w:val="en-GB"/>
        </w:rPr>
        <w:t>]</w:t>
      </w:r>
      <w:r w:rsidRPr="005B7801">
        <w:rPr>
          <w:rFonts w:ascii="Arial" w:hAnsi="Arial" w:cs="Arial"/>
          <w:sz w:val="24"/>
          <w:szCs w:val="24"/>
          <w:lang w:val="en-GB"/>
        </w:rPr>
        <w:tab/>
      </w:r>
      <w:r w:rsidRPr="00D96275">
        <w:rPr>
          <w:rFonts w:ascii="Arial" w:hAnsi="Arial" w:cs="Arial"/>
          <w:sz w:val="24"/>
          <w:szCs w:val="24"/>
        </w:rPr>
        <w:t xml:space="preserve">Jaques Du Plessis in his book </w:t>
      </w:r>
      <w:r w:rsidRPr="00C32A72">
        <w:rPr>
          <w:rFonts w:ascii="Arial" w:hAnsi="Arial" w:cs="Arial"/>
          <w:i/>
          <w:sz w:val="24"/>
          <w:szCs w:val="24"/>
        </w:rPr>
        <w:t>The South African Law of Unjustified Enrichment</w:t>
      </w:r>
      <w:r w:rsidRPr="00D96275">
        <w:rPr>
          <w:rStyle w:val="FootnoteReference"/>
          <w:rFonts w:ascii="Arial" w:hAnsi="Arial" w:cs="Arial"/>
          <w:sz w:val="24"/>
          <w:szCs w:val="24"/>
        </w:rPr>
        <w:footnoteReference w:id="15"/>
      </w:r>
      <w:r>
        <w:rPr>
          <w:rFonts w:ascii="Arial" w:hAnsi="Arial" w:cs="Arial"/>
          <w:sz w:val="24"/>
          <w:szCs w:val="24"/>
        </w:rPr>
        <w:t xml:space="preserve"> commented as follows on the issue of identifying the recipient from who undue transfer may be reclaimed: </w:t>
      </w:r>
    </w:p>
    <w:p w:rsidR="00C03E43" w:rsidRPr="00E7156C" w:rsidRDefault="00184BCA" w:rsidP="000006B7">
      <w:pPr>
        <w:spacing w:line="360" w:lineRule="auto"/>
        <w:ind w:firstLine="720"/>
        <w:jc w:val="both"/>
        <w:rPr>
          <w:rFonts w:ascii="Arial" w:hAnsi="Arial" w:cs="Arial"/>
        </w:rPr>
      </w:pPr>
      <w:r w:rsidRPr="00E7156C">
        <w:rPr>
          <w:rFonts w:ascii="Arial" w:hAnsi="Arial" w:cs="Arial"/>
        </w:rPr>
        <w:t>‘An undue transfer must be reclaimed from the person ‘who must be considered, in all the circumstances of the case, truly to have received the payment.’</w:t>
      </w:r>
    </w:p>
    <w:p w:rsidR="00184BCA" w:rsidRDefault="00184BCA" w:rsidP="001A58E6">
      <w:pPr>
        <w:spacing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C03E43">
        <w:rPr>
          <w:rFonts w:ascii="Arial" w:hAnsi="Arial" w:cs="Arial"/>
          <w:sz w:val="24"/>
          <w:szCs w:val="24"/>
          <w:lang w:val="en-GB"/>
        </w:rPr>
        <w:t xml:space="preserve"> </w:t>
      </w:r>
      <w:r>
        <w:rPr>
          <w:rFonts w:ascii="Arial" w:hAnsi="Arial" w:cs="Arial"/>
          <w:sz w:val="24"/>
          <w:szCs w:val="24"/>
          <w:lang w:val="en-GB"/>
        </w:rPr>
        <w:t>Once the facts show</w:t>
      </w:r>
      <w:r w:rsidR="00A27D83" w:rsidRPr="00A27D83">
        <w:rPr>
          <w:rFonts w:ascii="Arial" w:hAnsi="Arial" w:cs="Arial"/>
          <w:color w:val="FF0000"/>
          <w:sz w:val="24"/>
          <w:szCs w:val="24"/>
          <w:lang w:val="en-GB"/>
        </w:rPr>
        <w:t xml:space="preserve"> </w:t>
      </w:r>
      <w:r>
        <w:rPr>
          <w:rFonts w:ascii="Arial" w:hAnsi="Arial" w:cs="Arial"/>
          <w:sz w:val="24"/>
          <w:szCs w:val="24"/>
          <w:lang w:val="en-GB"/>
        </w:rPr>
        <w:t>that the money paid or good delivered then a presumption of enrichment arises. A defendant then bears the onus to proof</w:t>
      </w:r>
      <w:r w:rsidRPr="00A27D83">
        <w:rPr>
          <w:rFonts w:ascii="Arial" w:hAnsi="Arial" w:cs="Arial"/>
          <w:sz w:val="24"/>
          <w:szCs w:val="24"/>
          <w:lang w:val="en-GB"/>
        </w:rPr>
        <w:t xml:space="preserve"> </w:t>
      </w:r>
      <w:r w:rsidR="001A58E6" w:rsidRPr="00A27D83">
        <w:rPr>
          <w:rFonts w:ascii="Arial" w:hAnsi="Arial" w:cs="Arial"/>
          <w:sz w:val="24"/>
          <w:szCs w:val="24"/>
          <w:lang w:val="en-GB"/>
        </w:rPr>
        <w:t xml:space="preserve">that </w:t>
      </w:r>
      <w:r>
        <w:rPr>
          <w:rFonts w:ascii="Arial" w:hAnsi="Arial" w:cs="Arial"/>
          <w:sz w:val="24"/>
          <w:szCs w:val="24"/>
          <w:lang w:val="en-GB"/>
        </w:rPr>
        <w:t>he/she has not been enriched</w:t>
      </w:r>
      <w:r>
        <w:rPr>
          <w:rStyle w:val="FootnoteReference"/>
          <w:rFonts w:ascii="Arial" w:hAnsi="Arial" w:cs="Arial"/>
          <w:sz w:val="24"/>
          <w:szCs w:val="24"/>
          <w:lang w:val="en-GB"/>
        </w:rPr>
        <w:footnoteReference w:id="16"/>
      </w:r>
      <w:r>
        <w:rPr>
          <w:rFonts w:ascii="Arial" w:hAnsi="Arial" w:cs="Arial"/>
          <w:sz w:val="24"/>
          <w:szCs w:val="24"/>
          <w:lang w:val="en-GB"/>
        </w:rPr>
        <w:t>.  In the event that the defendant alleges that he/she was not enriched then it should be properly pleaded and say why he/she was not enriched.</w:t>
      </w:r>
    </w:p>
    <w:p w:rsidR="00C03E43" w:rsidRDefault="00C03E43" w:rsidP="001A58E6">
      <w:pPr>
        <w:spacing w:line="360" w:lineRule="auto"/>
        <w:jc w:val="both"/>
        <w:rPr>
          <w:rFonts w:ascii="Arial" w:hAnsi="Arial" w:cs="Arial"/>
          <w:sz w:val="24"/>
          <w:szCs w:val="24"/>
          <w:lang w:val="en-GB"/>
        </w:rPr>
      </w:pPr>
    </w:p>
    <w:p w:rsidR="00184BCA" w:rsidRDefault="00184BCA" w:rsidP="001A58E6">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Pr="00D32C82">
        <w:rPr>
          <w:rFonts w:ascii="Arial" w:hAnsi="Arial" w:cs="Arial"/>
          <w:sz w:val="24"/>
          <w:szCs w:val="24"/>
        </w:rPr>
        <w:t xml:space="preserve">The receiver must prove the circumstances that will relieve it of the obligation to repay. Thus the plaintiff can claim the maximum amount of the enrichment but the defendant can plead that his enrichment has lessened or fallen away, provided that the rules in respect of </w:t>
      </w:r>
      <w:r w:rsidRPr="00D32C82">
        <w:rPr>
          <w:rFonts w:ascii="Arial" w:hAnsi="Arial" w:cs="Arial"/>
          <w:i/>
          <w:sz w:val="24"/>
          <w:szCs w:val="24"/>
        </w:rPr>
        <w:t>mora</w:t>
      </w:r>
      <w:r w:rsidRPr="00D32C82">
        <w:rPr>
          <w:rFonts w:ascii="Arial" w:hAnsi="Arial" w:cs="Arial"/>
          <w:sz w:val="24"/>
          <w:szCs w:val="24"/>
        </w:rPr>
        <w:t xml:space="preserve"> are not applicable. </w:t>
      </w:r>
    </w:p>
    <w:p w:rsidR="000006B7" w:rsidRDefault="000006B7" w:rsidP="001A58E6">
      <w:pPr>
        <w:spacing w:line="360" w:lineRule="auto"/>
        <w:jc w:val="both"/>
        <w:rPr>
          <w:rFonts w:ascii="Arial" w:hAnsi="Arial" w:cs="Arial"/>
          <w:sz w:val="24"/>
          <w:szCs w:val="24"/>
        </w:rPr>
      </w:pPr>
    </w:p>
    <w:p w:rsidR="00184BCA" w:rsidRDefault="00184BCA" w:rsidP="001A58E6">
      <w:pPr>
        <w:spacing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t xml:space="preserve">A further requirement of </w:t>
      </w:r>
      <w:r w:rsidRPr="00A27D83">
        <w:rPr>
          <w:rFonts w:ascii="Arial" w:hAnsi="Arial" w:cs="Arial"/>
          <w:i/>
          <w:sz w:val="24"/>
          <w:szCs w:val="24"/>
          <w:lang w:val="en-GB"/>
        </w:rPr>
        <w:t>indicitio indebiti</w:t>
      </w:r>
      <w:r w:rsidRPr="00A27D83">
        <w:rPr>
          <w:rFonts w:ascii="Arial" w:hAnsi="Arial" w:cs="Arial"/>
          <w:sz w:val="24"/>
          <w:szCs w:val="24"/>
          <w:lang w:val="en-GB"/>
        </w:rPr>
        <w:t xml:space="preserve"> </w:t>
      </w:r>
      <w:r>
        <w:rPr>
          <w:rFonts w:ascii="Arial" w:hAnsi="Arial" w:cs="Arial"/>
          <w:sz w:val="24"/>
          <w:szCs w:val="24"/>
          <w:lang w:val="en-GB"/>
        </w:rPr>
        <w:t>is that the payment on behalf of the plaintiff must be excusable (</w:t>
      </w:r>
      <w:r w:rsidR="001A58E6">
        <w:rPr>
          <w:rFonts w:ascii="Arial" w:hAnsi="Arial" w:cs="Arial"/>
          <w:sz w:val="24"/>
          <w:szCs w:val="24"/>
          <w:lang w:val="en-GB"/>
        </w:rPr>
        <w:t>i.e.</w:t>
      </w:r>
      <w:r>
        <w:rPr>
          <w:rFonts w:ascii="Arial" w:hAnsi="Arial" w:cs="Arial"/>
          <w:sz w:val="24"/>
          <w:szCs w:val="24"/>
          <w:lang w:val="en-GB"/>
        </w:rPr>
        <w:t xml:space="preserve"> paid in the bona fide but mistaken belief that it was due, while it was not. In this regard the court in </w:t>
      </w:r>
      <w:r w:rsidRPr="00A37285">
        <w:rPr>
          <w:rFonts w:ascii="Arial" w:hAnsi="Arial" w:cs="Arial"/>
          <w:i/>
          <w:sz w:val="24"/>
          <w:szCs w:val="24"/>
          <w:lang w:val="en-GB"/>
        </w:rPr>
        <w:t>Yarona Healthcare Network (Pty) Ltd v Medshield Medical Scheme</w:t>
      </w:r>
      <w:r>
        <w:rPr>
          <w:rStyle w:val="FootnoteReference"/>
          <w:rFonts w:ascii="Arial" w:hAnsi="Arial" w:cs="Arial"/>
          <w:i/>
          <w:sz w:val="24"/>
          <w:szCs w:val="24"/>
          <w:lang w:val="en-GB"/>
        </w:rPr>
        <w:footnoteReference w:id="17"/>
      </w:r>
      <w:r>
        <w:rPr>
          <w:rFonts w:ascii="Arial" w:hAnsi="Arial" w:cs="Arial"/>
          <w:sz w:val="24"/>
          <w:szCs w:val="24"/>
          <w:lang w:val="en-GB"/>
        </w:rPr>
        <w:t xml:space="preserve"> stated that:</w:t>
      </w:r>
    </w:p>
    <w:p w:rsidR="00184BCA" w:rsidRDefault="00184BCA" w:rsidP="00184BCA">
      <w:pPr>
        <w:spacing w:line="360" w:lineRule="auto"/>
        <w:jc w:val="both"/>
        <w:rPr>
          <w:rFonts w:ascii="Arial" w:hAnsi="Arial" w:cs="Arial"/>
          <w:color w:val="242121"/>
          <w:shd w:val="clear" w:color="auto" w:fill="FFFFFF"/>
        </w:rPr>
      </w:pPr>
      <w:r>
        <w:rPr>
          <w:rFonts w:ascii="Arial" w:hAnsi="Arial" w:cs="Arial"/>
          <w:sz w:val="24"/>
          <w:szCs w:val="24"/>
          <w:lang w:val="en-GB"/>
        </w:rPr>
        <w:tab/>
        <w:t>‘</w:t>
      </w:r>
      <w:r w:rsidRPr="00A37285">
        <w:rPr>
          <w:rFonts w:ascii="Arial" w:hAnsi="Arial" w:cs="Arial"/>
          <w:color w:val="242121"/>
          <w:shd w:val="clear" w:color="auto" w:fill="FFFFFF"/>
        </w:rPr>
        <w:t>Excusability is concerned with the mistakes made by those persons who actually effected payment,</w:t>
      </w:r>
      <w:r>
        <w:rPr>
          <w:rFonts w:ascii="Arial" w:hAnsi="Arial" w:cs="Arial"/>
          <w:color w:val="242121"/>
          <w:shd w:val="clear" w:color="auto" w:fill="FFFFFF"/>
        </w:rPr>
        <w:t>…’</w:t>
      </w:r>
    </w:p>
    <w:p w:rsidR="00184BCA" w:rsidRDefault="00184BCA" w:rsidP="00184BCA">
      <w:pPr>
        <w:spacing w:line="360" w:lineRule="auto"/>
        <w:jc w:val="both"/>
        <w:rPr>
          <w:rFonts w:ascii="Arial" w:hAnsi="Arial" w:cs="Arial"/>
          <w:color w:val="242121"/>
          <w:sz w:val="24"/>
          <w:szCs w:val="24"/>
          <w:shd w:val="clear" w:color="auto" w:fill="FFFFFF"/>
        </w:rPr>
      </w:pPr>
      <w:r w:rsidRPr="00D32C82">
        <w:rPr>
          <w:rFonts w:ascii="Arial" w:hAnsi="Arial" w:cs="Arial"/>
          <w:color w:val="242121"/>
          <w:sz w:val="24"/>
          <w:szCs w:val="24"/>
          <w:shd w:val="clear" w:color="auto" w:fill="FFFFFF"/>
        </w:rPr>
        <w:lastRenderedPageBreak/>
        <w:t>[</w:t>
      </w:r>
      <w:r>
        <w:rPr>
          <w:rFonts w:ascii="Arial" w:hAnsi="Arial" w:cs="Arial"/>
          <w:color w:val="242121"/>
          <w:sz w:val="24"/>
          <w:szCs w:val="24"/>
          <w:shd w:val="clear" w:color="auto" w:fill="FFFFFF"/>
        </w:rPr>
        <w:t>47</w:t>
      </w:r>
      <w:r w:rsidRPr="00D32C82">
        <w:rPr>
          <w:rFonts w:ascii="Arial" w:hAnsi="Arial" w:cs="Arial"/>
          <w:color w:val="242121"/>
          <w:sz w:val="24"/>
          <w:szCs w:val="24"/>
          <w:shd w:val="clear" w:color="auto" w:fill="FFFFFF"/>
        </w:rPr>
        <w:t>]</w:t>
      </w:r>
      <w:r w:rsidRPr="00D32C82">
        <w:rPr>
          <w:rFonts w:ascii="Arial" w:hAnsi="Arial" w:cs="Arial"/>
          <w:color w:val="242121"/>
          <w:sz w:val="24"/>
          <w:szCs w:val="24"/>
          <w:shd w:val="clear" w:color="auto" w:fill="FFFFFF"/>
        </w:rPr>
        <w:tab/>
        <w:t xml:space="preserve"> In the </w:t>
      </w:r>
      <w:r w:rsidRPr="00D32C82">
        <w:rPr>
          <w:rFonts w:ascii="Arial" w:hAnsi="Arial" w:cs="Arial"/>
          <w:i/>
          <w:color w:val="242121"/>
          <w:sz w:val="24"/>
          <w:szCs w:val="24"/>
          <w:shd w:val="clear" w:color="auto" w:fill="FFFFFF"/>
        </w:rPr>
        <w:t>Yarona</w:t>
      </w:r>
      <w:r w:rsidRPr="00D32C82">
        <w:rPr>
          <w:rFonts w:ascii="Arial" w:hAnsi="Arial" w:cs="Arial"/>
          <w:color w:val="242121"/>
          <w:sz w:val="24"/>
          <w:szCs w:val="24"/>
          <w:shd w:val="clear" w:color="auto" w:fill="FFFFFF"/>
        </w:rPr>
        <w:t xml:space="preserve"> matter the court went further and was in fact willing to waive the excusable mistake requirement on policy grounds (</w:t>
      </w:r>
      <w:r w:rsidR="001A58E6" w:rsidRPr="00D32C82">
        <w:rPr>
          <w:rFonts w:ascii="Arial" w:hAnsi="Arial" w:cs="Arial"/>
          <w:color w:val="242121"/>
          <w:sz w:val="24"/>
          <w:szCs w:val="24"/>
          <w:shd w:val="clear" w:color="auto" w:fill="FFFFFF"/>
        </w:rPr>
        <w:t>e.g.</w:t>
      </w:r>
      <w:r w:rsidRPr="00D32C82">
        <w:rPr>
          <w:rFonts w:ascii="Arial" w:hAnsi="Arial" w:cs="Arial"/>
          <w:color w:val="242121"/>
          <w:sz w:val="24"/>
          <w:szCs w:val="24"/>
          <w:shd w:val="clear" w:color="auto" w:fill="FFFFFF"/>
        </w:rPr>
        <w:t xml:space="preserve"> to protect the members of the medical aid scheme)</w:t>
      </w:r>
    </w:p>
    <w:p w:rsidR="000006B7" w:rsidRPr="00D32C82" w:rsidRDefault="000006B7" w:rsidP="00184BCA">
      <w:pPr>
        <w:spacing w:line="360" w:lineRule="auto"/>
        <w:jc w:val="both"/>
        <w:rPr>
          <w:rFonts w:ascii="Arial" w:hAnsi="Arial" w:cs="Arial"/>
          <w:sz w:val="24"/>
          <w:szCs w:val="24"/>
          <w:lang w:val="en-GB"/>
        </w:rPr>
      </w:pPr>
    </w:p>
    <w:p w:rsidR="001A58E6" w:rsidRPr="00D32C82" w:rsidRDefault="00184BCA" w:rsidP="00184BCA">
      <w:pPr>
        <w:spacing w:line="360" w:lineRule="auto"/>
        <w:jc w:val="both"/>
        <w:rPr>
          <w:rFonts w:ascii="Arial" w:hAnsi="Arial" w:cs="Arial"/>
          <w:sz w:val="24"/>
          <w:szCs w:val="24"/>
          <w:u w:val="single"/>
          <w:lang w:val="en-GB"/>
        </w:rPr>
      </w:pPr>
      <w:r w:rsidRPr="00D32C82">
        <w:rPr>
          <w:rFonts w:ascii="Arial" w:hAnsi="Arial" w:cs="Arial"/>
          <w:sz w:val="24"/>
          <w:szCs w:val="24"/>
          <w:u w:val="single"/>
          <w:lang w:val="en-GB"/>
        </w:rPr>
        <w:t>Application to the facts</w:t>
      </w:r>
    </w:p>
    <w:p w:rsidR="00184BCA" w:rsidRDefault="00184BCA" w:rsidP="00184BCA">
      <w:pPr>
        <w:spacing w:line="360" w:lineRule="auto"/>
        <w:jc w:val="both"/>
        <w:rPr>
          <w:rFonts w:ascii="Arial" w:hAnsi="Arial" w:cs="Arial"/>
          <w:sz w:val="24"/>
          <w:szCs w:val="24"/>
          <w:lang w:val="en-GB"/>
        </w:rPr>
      </w:pPr>
      <w:r w:rsidRPr="00144AC9">
        <w:rPr>
          <w:rFonts w:ascii="Arial" w:hAnsi="Arial" w:cs="Arial"/>
          <w:sz w:val="24"/>
          <w:szCs w:val="24"/>
          <w:lang w:val="en-GB"/>
        </w:rPr>
        <w:t>[</w:t>
      </w:r>
      <w:r>
        <w:rPr>
          <w:rFonts w:ascii="Arial" w:hAnsi="Arial" w:cs="Arial"/>
          <w:sz w:val="24"/>
          <w:szCs w:val="24"/>
          <w:lang w:val="en-GB"/>
        </w:rPr>
        <w:t>48</w:t>
      </w:r>
      <w:r w:rsidRPr="00144AC9">
        <w:rPr>
          <w:rFonts w:ascii="Arial" w:hAnsi="Arial" w:cs="Arial"/>
          <w:sz w:val="24"/>
          <w:szCs w:val="24"/>
          <w:lang w:val="en-GB"/>
        </w:rPr>
        <w:t>]</w:t>
      </w:r>
      <w:r w:rsidRPr="00144AC9">
        <w:rPr>
          <w:rFonts w:ascii="Arial" w:hAnsi="Arial" w:cs="Arial"/>
          <w:sz w:val="24"/>
          <w:szCs w:val="24"/>
          <w:lang w:val="en-GB"/>
        </w:rPr>
        <w:tab/>
        <w:t xml:space="preserve"> It is common cause that the money was transferred in the account of AMFS on the payment instructions of the </w:t>
      </w:r>
      <w:r w:rsidRPr="00956AA2">
        <w:rPr>
          <w:rFonts w:ascii="Arial" w:hAnsi="Arial" w:cs="Arial"/>
          <w:i/>
          <w:sz w:val="24"/>
          <w:szCs w:val="24"/>
          <w:lang w:val="en-GB"/>
        </w:rPr>
        <w:t>personae dramatis</w:t>
      </w:r>
      <w:r w:rsidRPr="00144AC9">
        <w:rPr>
          <w:rFonts w:ascii="Arial" w:hAnsi="Arial" w:cs="Arial"/>
          <w:sz w:val="24"/>
          <w:szCs w:val="24"/>
          <w:lang w:val="en-GB"/>
        </w:rPr>
        <w:t xml:space="preserve"> and that the Treasury Back Office then transferred the funds in bona fide but mistaken belief that AMFS was a valid payee</w:t>
      </w:r>
      <w:r>
        <w:rPr>
          <w:rFonts w:ascii="Arial" w:hAnsi="Arial" w:cs="Arial"/>
          <w:sz w:val="24"/>
          <w:szCs w:val="24"/>
          <w:lang w:val="en-GB"/>
        </w:rPr>
        <w:t xml:space="preserve">, as the account number of the payee and the reason for the payment was confirmed by the signature of the CEO or in his absence the acting CEO. This payment procedure and the actual payment made to AMFS was not disputed and the first defendant only stated that she cannot attest to the circumstances under which the payments referred to in plaintiffs’ particulars of claim was sanctioned and affected. </w:t>
      </w:r>
    </w:p>
    <w:p w:rsidR="001A58E6" w:rsidRDefault="001A58E6"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t xml:space="preserve">On behalf of the first defendant it was argued that it cannot be said that the money received by the first defendant is money from the SME Bank and in effect that she did not know that she </w:t>
      </w:r>
      <w:r w:rsidRPr="00B3399E">
        <w:rPr>
          <w:rFonts w:ascii="Arial" w:hAnsi="Arial" w:cs="Arial"/>
          <w:sz w:val="24"/>
          <w:szCs w:val="24"/>
        </w:rPr>
        <w:t xml:space="preserve">received the </w:t>
      </w:r>
      <w:r>
        <w:rPr>
          <w:rFonts w:ascii="Arial" w:hAnsi="Arial" w:cs="Arial"/>
          <w:sz w:val="24"/>
          <w:szCs w:val="24"/>
        </w:rPr>
        <w:t>money</w:t>
      </w:r>
      <w:r w:rsidRPr="00B3399E">
        <w:rPr>
          <w:rFonts w:ascii="Arial" w:hAnsi="Arial" w:cs="Arial"/>
          <w:sz w:val="24"/>
          <w:szCs w:val="24"/>
        </w:rPr>
        <w:t> </w:t>
      </w:r>
      <w:r w:rsidRPr="00B3399E">
        <w:rPr>
          <w:rFonts w:ascii="Arial" w:hAnsi="Arial" w:cs="Arial"/>
          <w:i/>
          <w:sz w:val="24"/>
          <w:szCs w:val="24"/>
        </w:rPr>
        <w:t>indebite</w:t>
      </w:r>
      <w:r>
        <w:rPr>
          <w:rFonts w:ascii="Arial" w:hAnsi="Arial" w:cs="Arial"/>
          <w:sz w:val="24"/>
          <w:szCs w:val="24"/>
          <w:lang w:val="en-GB"/>
        </w:rPr>
        <w:t xml:space="preserve"> but that argument flies in the face of as to what the first admitted in her answering papers, or stated differently what the first defendant failed to dispute in her answering papers. </w:t>
      </w:r>
    </w:p>
    <w:p w:rsidR="001A58E6" w:rsidRDefault="001A58E6"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t>The plaintiffs pleaded pertinently that the first defendant, on her own testimony admitted during the hearing by the Commission of Enquiry, that she received the N$ 300 000 from Mr Kamushinda, through AMFS as a gift from Mr Kamushinda</w:t>
      </w:r>
      <w:r>
        <w:rPr>
          <w:rStyle w:val="FootnoteReference"/>
          <w:rFonts w:ascii="Arial" w:hAnsi="Arial" w:cs="Arial"/>
          <w:sz w:val="24"/>
          <w:szCs w:val="24"/>
          <w:lang w:val="en-GB"/>
        </w:rPr>
        <w:footnoteReference w:id="18"/>
      </w:r>
      <w:r>
        <w:rPr>
          <w:rFonts w:ascii="Arial" w:hAnsi="Arial" w:cs="Arial"/>
          <w:sz w:val="24"/>
          <w:szCs w:val="24"/>
          <w:lang w:val="en-GB"/>
        </w:rPr>
        <w:t>. The plaintiff further pleaded that in terms of the first defendant’s own testimony, she received, as the last recipient the amount of N$300 000 from the SME Bank through AMFS, acting as a conduit of the SME Bank.</w:t>
      </w:r>
      <w:r>
        <w:rPr>
          <w:rStyle w:val="FootnoteReference"/>
          <w:rFonts w:ascii="Arial" w:hAnsi="Arial" w:cs="Arial"/>
          <w:sz w:val="24"/>
          <w:szCs w:val="24"/>
          <w:lang w:val="en-GB"/>
        </w:rPr>
        <w:footnoteReference w:id="19"/>
      </w:r>
    </w:p>
    <w:p w:rsidR="00A27D83" w:rsidRDefault="00A27D83"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lastRenderedPageBreak/>
        <w:t>[51]</w:t>
      </w:r>
      <w:r>
        <w:rPr>
          <w:rFonts w:ascii="Arial" w:hAnsi="Arial" w:cs="Arial"/>
          <w:sz w:val="24"/>
          <w:szCs w:val="24"/>
          <w:lang w:val="en-GB"/>
        </w:rPr>
        <w:tab/>
        <w:t>These facts as pleaded by the plaintiff were left undisputed by the first defendant. In fact the first defendant admitted in her answering affidavit the receipt of the funds, stating that she thought it was a gift, serving as a refund for the deductions and debts she undertook when she resigned from the previous employer.</w:t>
      </w:r>
    </w:p>
    <w:p w:rsidR="001A58E6" w:rsidRDefault="001A58E6"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t xml:space="preserve">At this point I just must interpose briefly and point out that Mr Rukoro stated that the ‘purported confession’ by the first defendant was denied in her answering affidavit and on a question of the court the court was referred to para 6 of the answering affidavit wherein the first defendant allegedly denies this specific allegation. When I checked it appeared that para 6 of the answering affidavit dealt with para 4 of the particulars of claim only. However, para 4 of the particulars of claim deals with the fact that first and second plaintiffs are joint liquidators of the SME Bank and the fact </w:t>
      </w:r>
      <w:r w:rsidRPr="00A27D83">
        <w:rPr>
          <w:rFonts w:ascii="Arial" w:hAnsi="Arial" w:cs="Arial"/>
          <w:sz w:val="24"/>
          <w:szCs w:val="24"/>
          <w:lang w:val="en-GB"/>
        </w:rPr>
        <w:t xml:space="preserve">that </w:t>
      </w:r>
      <w:r w:rsidR="005540EF" w:rsidRPr="00A27D83">
        <w:rPr>
          <w:rFonts w:ascii="Arial" w:hAnsi="Arial" w:cs="Arial"/>
          <w:sz w:val="24"/>
          <w:szCs w:val="24"/>
          <w:lang w:val="en-GB"/>
        </w:rPr>
        <w:t xml:space="preserve">it was </w:t>
      </w:r>
      <w:r>
        <w:rPr>
          <w:rFonts w:ascii="Arial" w:hAnsi="Arial" w:cs="Arial"/>
          <w:sz w:val="24"/>
          <w:szCs w:val="24"/>
          <w:lang w:val="en-GB"/>
        </w:rPr>
        <w:t>afforded to them by the Master of the High Court to institute the current action. The first defendant’s response to para 4 is completely out of context but in any event the response to para 4 set out in para 6 of the answering affidavit does not dispute the allegations pleaded in paras 20 and 21 of the particulars of claim</w:t>
      </w:r>
      <w:r>
        <w:rPr>
          <w:rStyle w:val="FootnoteReference"/>
          <w:rFonts w:ascii="Arial" w:hAnsi="Arial" w:cs="Arial"/>
          <w:sz w:val="24"/>
          <w:szCs w:val="24"/>
          <w:lang w:val="en-GB"/>
        </w:rPr>
        <w:footnoteReference w:id="20"/>
      </w:r>
      <w:r>
        <w:rPr>
          <w:rFonts w:ascii="Arial" w:hAnsi="Arial" w:cs="Arial"/>
          <w:sz w:val="24"/>
          <w:szCs w:val="24"/>
          <w:lang w:val="en-GB"/>
        </w:rPr>
        <w:t xml:space="preserve">. </w:t>
      </w:r>
    </w:p>
    <w:p w:rsidR="005540EF" w:rsidRDefault="005540EF"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t xml:space="preserve"> In her opposing papers the first defendant does not allege that the amount in question was due to her by the SME Bank. She alleges that the money was due to her as a refund which she received as a gift/refund from Mr Kamushinda, interestingly more than two years after she left the employ of Standard Bank Namibia. The first defendant alleges that she never knowingly received stolen funds and effectively as she was under the impression the funds received </w:t>
      </w:r>
      <w:r w:rsidRPr="005540EF">
        <w:rPr>
          <w:rFonts w:ascii="Arial" w:hAnsi="Arial" w:cs="Arial"/>
          <w:color w:val="000000" w:themeColor="text1"/>
          <w:sz w:val="24"/>
          <w:szCs w:val="24"/>
          <w:lang w:val="en-GB"/>
        </w:rPr>
        <w:t>was</w:t>
      </w:r>
      <w:r w:rsidRPr="005540EF">
        <w:rPr>
          <w:rFonts w:ascii="Arial" w:hAnsi="Arial" w:cs="Arial"/>
          <w:color w:val="FF0000"/>
          <w:sz w:val="24"/>
          <w:szCs w:val="24"/>
          <w:lang w:val="en-GB"/>
        </w:rPr>
        <w:t xml:space="preserve"> </w:t>
      </w:r>
      <w:r>
        <w:rPr>
          <w:rFonts w:ascii="Arial" w:hAnsi="Arial" w:cs="Arial"/>
          <w:sz w:val="24"/>
          <w:szCs w:val="24"/>
          <w:lang w:val="en-GB"/>
        </w:rPr>
        <w:t xml:space="preserve">due and owing to her and that she has a bona fide defence. </w:t>
      </w:r>
    </w:p>
    <w:p w:rsidR="005540EF" w:rsidRDefault="005540EF" w:rsidP="00184BCA">
      <w:pPr>
        <w:spacing w:line="360" w:lineRule="auto"/>
        <w:jc w:val="both"/>
        <w:rPr>
          <w:rFonts w:ascii="Arial" w:hAnsi="Arial" w:cs="Arial"/>
          <w:sz w:val="24"/>
          <w:szCs w:val="24"/>
          <w:lang w:val="en-GB"/>
        </w:rPr>
      </w:pPr>
    </w:p>
    <w:p w:rsidR="00184BCA" w:rsidRDefault="00184BCA" w:rsidP="00184BCA">
      <w:pPr>
        <w:spacing w:line="360" w:lineRule="auto"/>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r>
      <w:r w:rsidRPr="005B7801">
        <w:rPr>
          <w:rFonts w:ascii="Arial" w:hAnsi="Arial" w:cs="Arial"/>
          <w:sz w:val="24"/>
          <w:szCs w:val="24"/>
          <w:lang w:val="en-GB"/>
        </w:rPr>
        <w:t xml:space="preserve">The first defendant </w:t>
      </w:r>
      <w:r>
        <w:rPr>
          <w:rFonts w:ascii="Arial" w:hAnsi="Arial" w:cs="Arial"/>
          <w:sz w:val="24"/>
          <w:szCs w:val="24"/>
          <w:lang w:val="en-GB"/>
        </w:rPr>
        <w:t>admitted that she</w:t>
      </w:r>
      <w:r w:rsidRPr="005B7801">
        <w:rPr>
          <w:rFonts w:ascii="Arial" w:hAnsi="Arial" w:cs="Arial"/>
          <w:sz w:val="24"/>
          <w:szCs w:val="24"/>
          <w:lang w:val="en-GB"/>
        </w:rPr>
        <w:t xml:space="preserve"> received the money </w:t>
      </w:r>
      <w:r>
        <w:rPr>
          <w:rFonts w:ascii="Arial" w:hAnsi="Arial" w:cs="Arial"/>
          <w:sz w:val="24"/>
          <w:szCs w:val="24"/>
          <w:lang w:val="en-GB"/>
        </w:rPr>
        <w:t xml:space="preserve">from the SME Bank, which </w:t>
      </w:r>
      <w:r w:rsidRPr="005B7801">
        <w:rPr>
          <w:rFonts w:ascii="Arial" w:hAnsi="Arial" w:cs="Arial"/>
          <w:sz w:val="24"/>
          <w:szCs w:val="24"/>
          <w:lang w:val="en-GB"/>
        </w:rPr>
        <w:t xml:space="preserve">passed through AMFS as conduit and </w:t>
      </w:r>
      <w:r>
        <w:rPr>
          <w:rFonts w:ascii="Arial" w:hAnsi="Arial" w:cs="Arial"/>
          <w:sz w:val="24"/>
          <w:szCs w:val="24"/>
          <w:lang w:val="en-GB"/>
        </w:rPr>
        <w:t>there can be no doubt that she is the end receiver of the money.</w:t>
      </w:r>
    </w:p>
    <w:p w:rsidR="00184BCA" w:rsidRDefault="00184BCA" w:rsidP="00184BCA">
      <w:pPr>
        <w:spacing w:line="360" w:lineRule="auto"/>
        <w:jc w:val="both"/>
        <w:rPr>
          <w:rFonts w:ascii="Arial" w:hAnsi="Arial" w:cs="Arial"/>
          <w:sz w:val="24"/>
          <w:szCs w:val="24"/>
          <w:lang w:val="en-GB"/>
        </w:rPr>
      </w:pPr>
      <w:r w:rsidRPr="00A27D83">
        <w:rPr>
          <w:rFonts w:ascii="Arial" w:hAnsi="Arial" w:cs="Arial"/>
          <w:sz w:val="24"/>
          <w:szCs w:val="24"/>
          <w:lang w:val="en-GB"/>
        </w:rPr>
        <w:lastRenderedPageBreak/>
        <w:t>[55]</w:t>
      </w:r>
      <w:r>
        <w:rPr>
          <w:rFonts w:ascii="Arial" w:hAnsi="Arial" w:cs="Arial"/>
          <w:sz w:val="24"/>
          <w:szCs w:val="24"/>
          <w:lang w:val="en-GB"/>
        </w:rPr>
        <w:tab/>
        <w:t>As a result of the fact that the funds of the SME Bank was transferred to the first defendant for no value result</w:t>
      </w:r>
      <w:r w:rsidR="005540EF" w:rsidRPr="00A27D83">
        <w:rPr>
          <w:rFonts w:ascii="Arial" w:hAnsi="Arial" w:cs="Arial"/>
          <w:sz w:val="24"/>
          <w:szCs w:val="24"/>
          <w:lang w:val="en-GB"/>
        </w:rPr>
        <w:t>s</w:t>
      </w:r>
      <w:r>
        <w:rPr>
          <w:rFonts w:ascii="Arial" w:hAnsi="Arial" w:cs="Arial"/>
          <w:sz w:val="24"/>
          <w:szCs w:val="24"/>
          <w:lang w:val="en-GB"/>
        </w:rPr>
        <w:t xml:space="preserve"> in the first defendant being enriched at the cost of the SME Bank. </w:t>
      </w:r>
    </w:p>
    <w:p w:rsidR="005540EF" w:rsidRDefault="005540EF"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t>The proof that the money was transferred to the first defendant in turn gives rise to the presumption of enrichment and the first defendant has the onus to prove loss of enrichment, which she did not do in her answering papers.</w:t>
      </w:r>
    </w:p>
    <w:p w:rsidR="005540EF" w:rsidRDefault="005540EF"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[57]</w:t>
      </w:r>
      <w:r>
        <w:rPr>
          <w:rFonts w:ascii="Arial" w:hAnsi="Arial" w:cs="Arial"/>
          <w:sz w:val="24"/>
          <w:szCs w:val="24"/>
          <w:lang w:val="en-GB"/>
        </w:rPr>
        <w:tab/>
        <w:t xml:space="preserve"> If the first defendant wanted to show that she was not enriched one would expect that</w:t>
      </w:r>
      <w:r w:rsidRPr="00854DFE">
        <w:rPr>
          <w:rFonts w:ascii="Arial" w:hAnsi="Arial" w:cs="Arial"/>
          <w:color w:val="FF0000"/>
          <w:sz w:val="24"/>
          <w:szCs w:val="24"/>
          <w:lang w:val="en-GB"/>
        </w:rPr>
        <w:t xml:space="preserve"> </w:t>
      </w:r>
      <w:r w:rsidR="00854DFE" w:rsidRPr="00A27D83">
        <w:rPr>
          <w:rFonts w:ascii="Arial" w:hAnsi="Arial" w:cs="Arial"/>
          <w:sz w:val="24"/>
          <w:szCs w:val="24"/>
          <w:lang w:val="en-GB"/>
        </w:rPr>
        <w:t xml:space="preserve">the </w:t>
      </w:r>
      <w:r w:rsidRPr="00A27D83">
        <w:rPr>
          <w:rFonts w:ascii="Arial" w:hAnsi="Arial" w:cs="Arial"/>
          <w:sz w:val="24"/>
          <w:szCs w:val="24"/>
          <w:lang w:val="en-GB"/>
        </w:rPr>
        <w:t xml:space="preserve">first </w:t>
      </w:r>
      <w:r>
        <w:rPr>
          <w:rFonts w:ascii="Arial" w:hAnsi="Arial" w:cs="Arial"/>
          <w:sz w:val="24"/>
          <w:szCs w:val="24"/>
          <w:lang w:val="en-GB"/>
        </w:rPr>
        <w:t xml:space="preserve">defendant’s papers would set out the details in respect of the </w:t>
      </w:r>
      <w:r w:rsidRPr="007B687E">
        <w:rPr>
          <w:rFonts w:ascii="Arial" w:hAnsi="Arial" w:cs="Arial"/>
          <w:i/>
          <w:sz w:val="24"/>
          <w:szCs w:val="24"/>
          <w:lang w:val="en-GB"/>
        </w:rPr>
        <w:t>pro rata</w:t>
      </w:r>
      <w:r w:rsidR="005540EF">
        <w:rPr>
          <w:rFonts w:ascii="Arial" w:hAnsi="Arial" w:cs="Arial"/>
          <w:sz w:val="24"/>
          <w:szCs w:val="24"/>
          <w:lang w:val="en-GB"/>
        </w:rPr>
        <w:t xml:space="preserve"> payment due to </w:t>
      </w:r>
      <w:r>
        <w:rPr>
          <w:rFonts w:ascii="Arial" w:hAnsi="Arial" w:cs="Arial"/>
          <w:sz w:val="24"/>
          <w:szCs w:val="24"/>
          <w:lang w:val="en-GB"/>
        </w:rPr>
        <w:t xml:space="preserve">Standard Bank Namibia and also details in respect of the accumulated debts regarding the academic courses funded by Standard Bank. The first defendant makes reference of ‘any other deductible amounts’ that was deemed necessary by Standard Bank. None of the amounts were set out nor is there any averment that these amounts were indeed paid to Standard Bank or that Standard Bank indeed insisted on the payment. The </w:t>
      </w:r>
      <w:r w:rsidR="00854DFE" w:rsidRPr="00A27D83">
        <w:rPr>
          <w:rFonts w:ascii="Arial" w:hAnsi="Arial" w:cs="Arial"/>
          <w:sz w:val="24"/>
          <w:szCs w:val="24"/>
          <w:lang w:val="en-GB"/>
        </w:rPr>
        <w:t xml:space="preserve">first </w:t>
      </w:r>
      <w:r w:rsidRPr="00A27D83">
        <w:rPr>
          <w:rFonts w:ascii="Arial" w:hAnsi="Arial" w:cs="Arial"/>
          <w:sz w:val="24"/>
          <w:szCs w:val="24"/>
          <w:lang w:val="en-GB"/>
        </w:rPr>
        <w:t xml:space="preserve">defendant </w:t>
      </w:r>
      <w:r>
        <w:rPr>
          <w:rFonts w:ascii="Arial" w:hAnsi="Arial" w:cs="Arial"/>
          <w:sz w:val="24"/>
          <w:szCs w:val="24"/>
          <w:lang w:val="en-GB"/>
        </w:rPr>
        <w:t xml:space="preserve">also does not give details of the agreement between her and Mr Kamushinda nor did she file a confirmatory affidavit by Mr Kamushinda confirming the facts relating to him as set out in the opposing affidavit. However, whatever was promised to the first defendant by Mr Kamushinda does not affect the </w:t>
      </w:r>
      <w:r w:rsidRPr="00A27D83">
        <w:rPr>
          <w:rFonts w:ascii="Arial" w:hAnsi="Arial" w:cs="Arial"/>
          <w:i/>
          <w:sz w:val="24"/>
          <w:szCs w:val="24"/>
          <w:lang w:val="en-GB"/>
        </w:rPr>
        <w:t xml:space="preserve">condictio indebiti </w:t>
      </w:r>
      <w:r w:rsidRPr="00A27D83">
        <w:rPr>
          <w:rFonts w:ascii="Arial" w:hAnsi="Arial" w:cs="Arial"/>
          <w:sz w:val="24"/>
          <w:szCs w:val="24"/>
          <w:lang w:val="en-GB"/>
        </w:rPr>
        <w:t xml:space="preserve">as </w:t>
      </w:r>
      <w:r>
        <w:rPr>
          <w:rFonts w:ascii="Arial" w:hAnsi="Arial" w:cs="Arial"/>
          <w:sz w:val="24"/>
          <w:szCs w:val="24"/>
          <w:lang w:val="en-GB"/>
        </w:rPr>
        <w:t xml:space="preserve">the promise was not made by the SME Bank. </w:t>
      </w:r>
    </w:p>
    <w:p w:rsidR="00854DFE" w:rsidRDefault="00854DFE"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lang w:val="en-GB"/>
        </w:rPr>
      </w:pPr>
      <w:r>
        <w:rPr>
          <w:rFonts w:ascii="Arial" w:hAnsi="Arial" w:cs="Arial"/>
          <w:sz w:val="24"/>
          <w:szCs w:val="24"/>
          <w:lang w:val="en-GB"/>
        </w:rPr>
        <w:t>[58]</w:t>
      </w:r>
      <w:r>
        <w:rPr>
          <w:rFonts w:ascii="Arial" w:hAnsi="Arial" w:cs="Arial"/>
          <w:sz w:val="24"/>
          <w:szCs w:val="24"/>
          <w:lang w:val="en-GB"/>
        </w:rPr>
        <w:tab/>
        <w:t xml:space="preserve"> The next issue that leaves a question mark is if the money was promised to the first defendant by Mr Kamushinda, why was the payment made via AMFS into</w:t>
      </w:r>
      <w:r w:rsidRPr="00A27D83">
        <w:rPr>
          <w:rFonts w:ascii="Arial" w:hAnsi="Arial" w:cs="Arial"/>
          <w:color w:val="FF0000"/>
          <w:sz w:val="24"/>
          <w:szCs w:val="24"/>
          <w:lang w:val="en-GB"/>
        </w:rPr>
        <w:t xml:space="preserve"> </w:t>
      </w:r>
      <w:r>
        <w:rPr>
          <w:rFonts w:ascii="Arial" w:hAnsi="Arial" w:cs="Arial"/>
          <w:sz w:val="24"/>
          <w:szCs w:val="24"/>
          <w:lang w:val="en-GB"/>
        </w:rPr>
        <w:t xml:space="preserve">her account. And as I pointed out earlier, if the money was going to be paid by Mr Kamushinda in order to refund the first defendant for what was due and owing to Standard Bank, why was payment only made more than two years later and coincidentally within two days from the date that an amount of N$ 1 750 000 was paid over from the SME Bank to AMFS. </w:t>
      </w:r>
    </w:p>
    <w:p w:rsidR="00854DFE" w:rsidRDefault="00854DFE" w:rsidP="00184BCA">
      <w:pPr>
        <w:spacing w:line="360" w:lineRule="auto"/>
        <w:jc w:val="both"/>
        <w:rPr>
          <w:rFonts w:ascii="Arial" w:hAnsi="Arial" w:cs="Arial"/>
          <w:sz w:val="24"/>
          <w:szCs w:val="24"/>
          <w:lang w:val="en-GB"/>
        </w:rPr>
      </w:pPr>
    </w:p>
    <w:p w:rsidR="00184BCA" w:rsidRDefault="00184BCA" w:rsidP="00184BCA">
      <w:pPr>
        <w:spacing w:line="360" w:lineRule="auto"/>
        <w:jc w:val="both"/>
        <w:rPr>
          <w:rFonts w:ascii="Arial" w:hAnsi="Arial" w:cs="Arial"/>
          <w:sz w:val="24"/>
          <w:szCs w:val="24"/>
        </w:rPr>
      </w:pPr>
      <w:r>
        <w:rPr>
          <w:rFonts w:ascii="Arial" w:hAnsi="Arial" w:cs="Arial"/>
          <w:sz w:val="24"/>
          <w:szCs w:val="24"/>
          <w:lang w:val="en-GB"/>
        </w:rPr>
        <w:lastRenderedPageBreak/>
        <w:t>[59]</w:t>
      </w:r>
      <w:r>
        <w:rPr>
          <w:rFonts w:ascii="Arial" w:hAnsi="Arial" w:cs="Arial"/>
          <w:sz w:val="24"/>
          <w:szCs w:val="24"/>
          <w:lang w:val="en-GB"/>
        </w:rPr>
        <w:tab/>
        <w:t xml:space="preserve"> </w:t>
      </w:r>
      <w:r>
        <w:rPr>
          <w:rFonts w:ascii="Arial" w:hAnsi="Arial" w:cs="Arial"/>
          <w:sz w:val="24"/>
          <w:szCs w:val="24"/>
        </w:rPr>
        <w:t>The opposing affidavit</w:t>
      </w:r>
      <w:r w:rsidR="00A27D83" w:rsidRPr="00A27D83">
        <w:rPr>
          <w:rFonts w:ascii="Arial" w:hAnsi="Arial" w:cs="Arial"/>
          <w:color w:val="FF0000"/>
          <w:sz w:val="24"/>
          <w:szCs w:val="24"/>
        </w:rPr>
        <w:t xml:space="preserve"> </w:t>
      </w:r>
      <w:r>
        <w:rPr>
          <w:rFonts w:ascii="Arial" w:hAnsi="Arial" w:cs="Arial"/>
          <w:sz w:val="24"/>
          <w:szCs w:val="24"/>
        </w:rPr>
        <w:t xml:space="preserve">of the first defendant was drafted </w:t>
      </w:r>
      <w:r w:rsidR="00854DFE">
        <w:rPr>
          <w:rFonts w:ascii="Arial" w:hAnsi="Arial" w:cs="Arial"/>
          <w:sz w:val="24"/>
          <w:szCs w:val="24"/>
        </w:rPr>
        <w:t>inadequately and</w:t>
      </w:r>
      <w:r>
        <w:rPr>
          <w:rFonts w:ascii="Arial" w:hAnsi="Arial" w:cs="Arial"/>
          <w:sz w:val="24"/>
          <w:szCs w:val="24"/>
        </w:rPr>
        <w:t xml:space="preserve"> the essentials that the first defendant had to address to make out a defence to the claim of the plaintiffs </w:t>
      </w:r>
      <w:r w:rsidR="00854DFE" w:rsidRPr="00A27D83">
        <w:rPr>
          <w:rFonts w:ascii="Arial" w:hAnsi="Arial" w:cs="Arial"/>
          <w:sz w:val="24"/>
          <w:szCs w:val="24"/>
        </w:rPr>
        <w:t xml:space="preserve">are </w:t>
      </w:r>
      <w:r>
        <w:rPr>
          <w:rFonts w:ascii="Arial" w:hAnsi="Arial" w:cs="Arial"/>
          <w:sz w:val="24"/>
          <w:szCs w:val="24"/>
        </w:rPr>
        <w:t xml:space="preserve">glaringly absent. A number of issues were raised in argument which was not canvassed in the opposing papers, for </w:t>
      </w:r>
      <w:r w:rsidR="00854DFE">
        <w:rPr>
          <w:rFonts w:ascii="Arial" w:hAnsi="Arial" w:cs="Arial"/>
          <w:sz w:val="24"/>
          <w:szCs w:val="24"/>
        </w:rPr>
        <w:t>e.g.</w:t>
      </w:r>
      <w:r>
        <w:rPr>
          <w:rFonts w:ascii="Arial" w:hAnsi="Arial" w:cs="Arial"/>
          <w:sz w:val="24"/>
          <w:szCs w:val="24"/>
        </w:rPr>
        <w:t xml:space="preserve"> the denial that the plaintiffs failed to proof their enrichment claim and denouncing the evidence of the first defendant tendered during the Commission of Enquiry. On this point I must point out that the first defendant’s case is confined to her opposing papers and counsel may not adduce evidence from the bar</w:t>
      </w:r>
      <w:r w:rsidR="000006B7">
        <w:rPr>
          <w:rFonts w:ascii="Arial" w:hAnsi="Arial" w:cs="Arial"/>
          <w:sz w:val="24"/>
          <w:szCs w:val="24"/>
        </w:rPr>
        <w:t>.</w:t>
      </w:r>
      <w:r>
        <w:rPr>
          <w:rStyle w:val="FootnoteReference"/>
          <w:rFonts w:ascii="Arial" w:hAnsi="Arial" w:cs="Arial"/>
          <w:sz w:val="24"/>
          <w:szCs w:val="24"/>
        </w:rPr>
        <w:footnoteReference w:id="21"/>
      </w:r>
    </w:p>
    <w:p w:rsidR="00854DFE" w:rsidRDefault="00854DFE" w:rsidP="00184BCA">
      <w:pPr>
        <w:spacing w:line="360" w:lineRule="auto"/>
        <w:jc w:val="both"/>
        <w:rPr>
          <w:rFonts w:ascii="Arial" w:hAnsi="Arial" w:cs="Arial"/>
          <w:sz w:val="24"/>
          <w:szCs w:val="24"/>
        </w:rPr>
      </w:pPr>
    </w:p>
    <w:p w:rsidR="00854DFE" w:rsidRDefault="00184BCA" w:rsidP="00184BCA">
      <w:pPr>
        <w:spacing w:line="360" w:lineRule="auto"/>
        <w:jc w:val="both"/>
        <w:rPr>
          <w:rFonts w:ascii="Arial" w:hAnsi="Arial" w:cs="Arial"/>
          <w:sz w:val="24"/>
          <w:szCs w:val="24"/>
        </w:rPr>
      </w:pPr>
      <w:r w:rsidRPr="00A27D83">
        <w:rPr>
          <w:rFonts w:ascii="Arial" w:hAnsi="Arial" w:cs="Arial"/>
          <w:sz w:val="24"/>
          <w:szCs w:val="24"/>
        </w:rPr>
        <w:t>[60]</w:t>
      </w:r>
      <w:r>
        <w:rPr>
          <w:rFonts w:ascii="Arial" w:hAnsi="Arial" w:cs="Arial"/>
          <w:sz w:val="24"/>
          <w:szCs w:val="24"/>
        </w:rPr>
        <w:tab/>
        <w:t xml:space="preserve">The first defendant tried to make out a case that she </w:t>
      </w:r>
      <w:r w:rsidR="00854DFE" w:rsidRPr="00A27D83">
        <w:rPr>
          <w:rFonts w:ascii="Arial" w:hAnsi="Arial" w:cs="Arial"/>
          <w:sz w:val="24"/>
          <w:szCs w:val="24"/>
        </w:rPr>
        <w:t xml:space="preserve">has </w:t>
      </w:r>
      <w:r w:rsidRPr="00A27D83">
        <w:rPr>
          <w:rFonts w:ascii="Arial" w:hAnsi="Arial" w:cs="Arial"/>
          <w:sz w:val="24"/>
          <w:szCs w:val="24"/>
        </w:rPr>
        <w:t xml:space="preserve">never knowingly received funds that were stolen but this mind-set that the first defendant apparently had is not relevant for purposes of the claim for unjust enrichment and does not constitute a defence for purposes of claim based on </w:t>
      </w:r>
      <w:r w:rsidRPr="00A27D83">
        <w:rPr>
          <w:rFonts w:ascii="Arial" w:hAnsi="Arial" w:cs="Arial"/>
          <w:i/>
          <w:sz w:val="24"/>
          <w:szCs w:val="24"/>
        </w:rPr>
        <w:t>condictio indebiti.</w:t>
      </w:r>
      <w:r w:rsidRPr="00A27D83">
        <w:rPr>
          <w:rFonts w:ascii="Arial" w:hAnsi="Arial" w:cs="Arial"/>
          <w:sz w:val="24"/>
          <w:szCs w:val="24"/>
        </w:rPr>
        <w:t xml:space="preserve"> </w:t>
      </w:r>
      <w:r>
        <w:rPr>
          <w:rFonts w:ascii="Arial" w:hAnsi="Arial" w:cs="Arial"/>
          <w:sz w:val="24"/>
          <w:szCs w:val="24"/>
        </w:rPr>
        <w:t xml:space="preserve">What is important is what the mind-set of the officials of the bank </w:t>
      </w:r>
      <w:r w:rsidR="00854DFE" w:rsidRPr="00514A9E">
        <w:rPr>
          <w:rFonts w:ascii="Arial" w:hAnsi="Arial" w:cs="Arial"/>
          <w:sz w:val="24"/>
          <w:szCs w:val="24"/>
        </w:rPr>
        <w:t>was</w:t>
      </w:r>
      <w:r w:rsidR="000006B7">
        <w:rPr>
          <w:rFonts w:ascii="Arial" w:hAnsi="Arial" w:cs="Arial"/>
          <w:sz w:val="24"/>
          <w:szCs w:val="24"/>
        </w:rPr>
        <w:t xml:space="preserve"> </w:t>
      </w:r>
      <w:r w:rsidR="00854DFE">
        <w:rPr>
          <w:rFonts w:ascii="Arial" w:hAnsi="Arial" w:cs="Arial"/>
          <w:sz w:val="24"/>
          <w:szCs w:val="24"/>
        </w:rPr>
        <w:t>w</w:t>
      </w:r>
      <w:r>
        <w:rPr>
          <w:rFonts w:ascii="Arial" w:hAnsi="Arial" w:cs="Arial"/>
          <w:sz w:val="24"/>
          <w:szCs w:val="24"/>
        </w:rPr>
        <w:t xml:space="preserve">hen the payment was authorised. </w:t>
      </w:r>
    </w:p>
    <w:p w:rsidR="00184BCA" w:rsidRDefault="00184BCA" w:rsidP="00184BCA">
      <w:pPr>
        <w:spacing w:line="360" w:lineRule="auto"/>
        <w:jc w:val="both"/>
        <w:rPr>
          <w:rFonts w:ascii="Arial" w:hAnsi="Arial" w:cs="Arial"/>
          <w:sz w:val="24"/>
          <w:szCs w:val="24"/>
          <w:lang w:val="en-ZA"/>
        </w:rPr>
      </w:pPr>
      <w:r w:rsidRPr="00A27D83">
        <w:rPr>
          <w:rFonts w:ascii="Arial" w:hAnsi="Arial" w:cs="Arial"/>
          <w:sz w:val="24"/>
          <w:szCs w:val="24"/>
        </w:rPr>
        <w:t>[61]</w:t>
      </w:r>
      <w:r w:rsidRPr="00A27D83">
        <w:rPr>
          <w:rFonts w:ascii="Arial" w:hAnsi="Arial" w:cs="Arial"/>
          <w:sz w:val="24"/>
          <w:szCs w:val="24"/>
        </w:rPr>
        <w:tab/>
      </w:r>
      <w:r w:rsidRPr="00E7156C">
        <w:rPr>
          <w:rFonts w:ascii="Arial" w:hAnsi="Arial" w:cs="Arial"/>
          <w:sz w:val="24"/>
          <w:szCs w:val="24"/>
          <w:lang w:val="en-ZA"/>
        </w:rPr>
        <w:t>While it is not incumbent upon the defendant to formulate</w:t>
      </w:r>
      <w:r>
        <w:rPr>
          <w:rFonts w:ascii="Arial" w:hAnsi="Arial" w:cs="Arial"/>
          <w:sz w:val="24"/>
          <w:szCs w:val="24"/>
        </w:rPr>
        <w:t xml:space="preserve"> her </w:t>
      </w:r>
      <w:r w:rsidRPr="00E7156C">
        <w:rPr>
          <w:rFonts w:ascii="Arial" w:hAnsi="Arial" w:cs="Arial"/>
          <w:sz w:val="24"/>
          <w:szCs w:val="24"/>
          <w:lang w:val="en-ZA"/>
        </w:rPr>
        <w:t xml:space="preserve">opposition to the summary judgment application with the precision that would be required in a plea, nonetheless when </w:t>
      </w:r>
      <w:r>
        <w:rPr>
          <w:rFonts w:ascii="Arial" w:hAnsi="Arial" w:cs="Arial"/>
          <w:sz w:val="24"/>
          <w:szCs w:val="24"/>
        </w:rPr>
        <w:t>she</w:t>
      </w:r>
      <w:r w:rsidRPr="00E7156C">
        <w:rPr>
          <w:rFonts w:ascii="Arial" w:hAnsi="Arial" w:cs="Arial"/>
          <w:sz w:val="24"/>
          <w:szCs w:val="24"/>
          <w:lang w:val="en-ZA"/>
        </w:rPr>
        <w:t xml:space="preserve"> advance</w:t>
      </w:r>
      <w:r>
        <w:rPr>
          <w:rFonts w:ascii="Arial" w:hAnsi="Arial" w:cs="Arial"/>
          <w:sz w:val="24"/>
          <w:szCs w:val="24"/>
        </w:rPr>
        <w:t>s</w:t>
      </w:r>
      <w:r w:rsidRPr="00E7156C">
        <w:rPr>
          <w:rFonts w:ascii="Arial" w:hAnsi="Arial" w:cs="Arial"/>
          <w:sz w:val="24"/>
          <w:szCs w:val="24"/>
          <w:lang w:val="en-ZA"/>
        </w:rPr>
        <w:t xml:space="preserve"> </w:t>
      </w:r>
      <w:r>
        <w:rPr>
          <w:rFonts w:ascii="Arial" w:hAnsi="Arial" w:cs="Arial"/>
          <w:sz w:val="24"/>
          <w:szCs w:val="24"/>
        </w:rPr>
        <w:t>her</w:t>
      </w:r>
      <w:r w:rsidRPr="00E7156C">
        <w:rPr>
          <w:rFonts w:ascii="Arial" w:hAnsi="Arial" w:cs="Arial"/>
          <w:sz w:val="24"/>
          <w:szCs w:val="24"/>
          <w:lang w:val="en-ZA"/>
        </w:rPr>
        <w:t xml:space="preserve"> contentions in resistance to the plaintiffs claim </w:t>
      </w:r>
      <w:r>
        <w:rPr>
          <w:rFonts w:ascii="Arial" w:hAnsi="Arial" w:cs="Arial"/>
          <w:sz w:val="24"/>
          <w:szCs w:val="24"/>
        </w:rPr>
        <w:t xml:space="preserve">she </w:t>
      </w:r>
      <w:r w:rsidRPr="00E7156C">
        <w:rPr>
          <w:rFonts w:ascii="Arial" w:hAnsi="Arial" w:cs="Arial"/>
          <w:sz w:val="24"/>
          <w:szCs w:val="24"/>
          <w:lang w:val="en-ZA"/>
        </w:rPr>
        <w:t>must do so with a sufficient degree of clarity to enable the court to ascertain whether they have deposed to a defence which, if proved at the trial, would constitute a good defence to the action.</w:t>
      </w:r>
    </w:p>
    <w:p w:rsidR="00DF4FF6" w:rsidRDefault="00DF4FF6" w:rsidP="00184BCA">
      <w:pPr>
        <w:spacing w:line="360" w:lineRule="auto"/>
        <w:jc w:val="both"/>
        <w:rPr>
          <w:rFonts w:ascii="Arial" w:hAnsi="Arial" w:cs="Arial"/>
          <w:sz w:val="24"/>
          <w:szCs w:val="24"/>
        </w:rPr>
      </w:pPr>
    </w:p>
    <w:p w:rsidR="00184BCA" w:rsidRPr="00912A89" w:rsidRDefault="00184BCA" w:rsidP="00184BCA">
      <w:pPr>
        <w:pStyle w:val="LegalList1"/>
        <w:spacing w:after="0" w:line="360" w:lineRule="auto"/>
        <w:outlineLvl w:val="9"/>
        <w:rPr>
          <w:rFonts w:cs="Arial"/>
          <w:lang w:val="en-ZA" w:eastAsia="en-US"/>
        </w:rPr>
      </w:pPr>
      <w:r>
        <w:rPr>
          <w:rFonts w:cs="Arial"/>
          <w:lang w:val="en-ZA" w:eastAsia="en-US"/>
        </w:rPr>
        <w:t>[62]</w:t>
      </w:r>
      <w:r>
        <w:rPr>
          <w:rFonts w:cs="Arial"/>
          <w:lang w:val="en-ZA" w:eastAsia="en-US"/>
        </w:rPr>
        <w:tab/>
        <w:t>The first defendant’s affidavit lacks particularity</w:t>
      </w:r>
      <w:r w:rsidRPr="00A33B27">
        <w:rPr>
          <w:rFonts w:cs="Arial"/>
          <w:lang w:val="en-ZA" w:eastAsia="en-US"/>
        </w:rPr>
        <w:t xml:space="preserve"> regarding the material facts</w:t>
      </w:r>
      <w:r>
        <w:rPr>
          <w:rFonts w:cs="Arial"/>
          <w:lang w:val="en-ZA" w:eastAsia="en-US"/>
        </w:rPr>
        <w:t xml:space="preserve"> </w:t>
      </w:r>
      <w:r w:rsidRPr="00912A89">
        <w:rPr>
          <w:rFonts w:cs="Arial"/>
          <w:lang w:val="en-ZA" w:eastAsia="en-US"/>
        </w:rPr>
        <w:t xml:space="preserve">relied upon and falls short of the requirements of </w:t>
      </w:r>
      <w:r>
        <w:rPr>
          <w:rFonts w:cs="Arial"/>
          <w:lang w:val="en-ZA" w:eastAsia="en-US"/>
        </w:rPr>
        <w:t>rule 60(5)(iii)</w:t>
      </w:r>
      <w:r w:rsidRPr="00912A89">
        <w:rPr>
          <w:rFonts w:cs="Arial"/>
          <w:lang w:val="en-ZA" w:eastAsia="en-US"/>
        </w:rPr>
        <w:t>, th</w:t>
      </w:r>
      <w:r>
        <w:rPr>
          <w:rFonts w:cs="Arial"/>
          <w:lang w:val="en-ZA" w:eastAsia="en-US"/>
        </w:rPr>
        <w:t>is</w:t>
      </w:r>
      <w:r w:rsidRPr="00912A89">
        <w:rPr>
          <w:rFonts w:cs="Arial"/>
          <w:lang w:val="en-ZA" w:eastAsia="en-US"/>
        </w:rPr>
        <w:t xml:space="preserve"> court </w:t>
      </w:r>
      <w:r>
        <w:rPr>
          <w:rFonts w:cs="Arial"/>
          <w:lang w:val="en-ZA" w:eastAsia="en-US"/>
        </w:rPr>
        <w:t>is unable to assess the first defendant</w:t>
      </w:r>
      <w:r w:rsidRPr="00912A89">
        <w:rPr>
          <w:rFonts w:cs="Arial"/>
          <w:lang w:val="en-ZA" w:eastAsia="en-US"/>
        </w:rPr>
        <w:t xml:space="preserve">s </w:t>
      </w:r>
      <w:r w:rsidRPr="00912A89">
        <w:rPr>
          <w:rFonts w:cs="Arial"/>
          <w:i/>
          <w:lang w:val="en-ZA" w:eastAsia="en-US"/>
        </w:rPr>
        <w:t>bona fides</w:t>
      </w:r>
      <w:r>
        <w:rPr>
          <w:rFonts w:cs="Arial"/>
          <w:lang w:val="en-ZA" w:eastAsia="en-US"/>
        </w:rPr>
        <w:t>.</w:t>
      </w:r>
      <w:r w:rsidRPr="00912A89">
        <w:rPr>
          <w:rFonts w:cs="Arial"/>
          <w:lang w:val="en-ZA" w:eastAsia="en-US"/>
        </w:rPr>
        <w:t xml:space="preserve"> </w:t>
      </w:r>
      <w:r>
        <w:rPr>
          <w:rFonts w:cs="Arial"/>
          <w:lang w:val="en-ZA" w:eastAsia="en-US"/>
        </w:rPr>
        <w:t xml:space="preserve">In fact having considered the opposing papers I cannot see that there is a factual dispute on the papers. The first defendant has any defence to the plaintiff’s claim, on her own version. </w:t>
      </w:r>
    </w:p>
    <w:p w:rsidR="00184BCA" w:rsidRDefault="00184BCA" w:rsidP="00184BCA">
      <w:pPr>
        <w:jc w:val="both"/>
        <w:rPr>
          <w:rFonts w:ascii="Arial" w:hAnsi="Arial" w:cs="Arial"/>
          <w:sz w:val="24"/>
          <w:szCs w:val="24"/>
        </w:rPr>
      </w:pPr>
    </w:p>
    <w:p w:rsidR="00184BCA" w:rsidRPr="00095FE7" w:rsidRDefault="00184BCA" w:rsidP="00184BCA">
      <w:pPr>
        <w:jc w:val="both"/>
        <w:rPr>
          <w:rFonts w:ascii="Arial" w:hAnsi="Arial" w:cs="Arial"/>
          <w:sz w:val="24"/>
          <w:szCs w:val="24"/>
          <w:u w:val="single"/>
        </w:rPr>
      </w:pPr>
      <w:r w:rsidRPr="00095FE7">
        <w:rPr>
          <w:rFonts w:ascii="Arial" w:hAnsi="Arial" w:cs="Arial"/>
          <w:sz w:val="24"/>
          <w:szCs w:val="24"/>
          <w:u w:val="single"/>
        </w:rPr>
        <w:t>Conclusion</w:t>
      </w:r>
    </w:p>
    <w:p w:rsidR="00184BCA" w:rsidRDefault="00184BCA" w:rsidP="00184BCA">
      <w:pPr>
        <w:jc w:val="both"/>
        <w:rPr>
          <w:rFonts w:ascii="Arial" w:hAnsi="Arial" w:cs="Arial"/>
          <w:sz w:val="24"/>
          <w:szCs w:val="24"/>
        </w:rPr>
      </w:pPr>
    </w:p>
    <w:p w:rsidR="00184BCA" w:rsidRDefault="00184BCA" w:rsidP="00184BCA">
      <w:pPr>
        <w:jc w:val="both"/>
        <w:rPr>
          <w:rFonts w:ascii="Arial" w:hAnsi="Arial" w:cs="Arial"/>
          <w:sz w:val="24"/>
          <w:szCs w:val="24"/>
        </w:rPr>
      </w:pPr>
      <w:r>
        <w:rPr>
          <w:rFonts w:ascii="Arial" w:hAnsi="Arial" w:cs="Arial"/>
          <w:sz w:val="24"/>
          <w:szCs w:val="24"/>
        </w:rPr>
        <w:lastRenderedPageBreak/>
        <w:t>[63]</w:t>
      </w:r>
      <w:r>
        <w:rPr>
          <w:rFonts w:ascii="Arial" w:hAnsi="Arial" w:cs="Arial"/>
          <w:sz w:val="24"/>
          <w:szCs w:val="24"/>
        </w:rPr>
        <w:tab/>
        <w:t xml:space="preserve">In the </w:t>
      </w:r>
      <w:r w:rsidRPr="00095FE7">
        <w:rPr>
          <w:rFonts w:ascii="Arial" w:hAnsi="Arial" w:cs="Arial"/>
          <w:i/>
          <w:sz w:val="24"/>
          <w:szCs w:val="24"/>
        </w:rPr>
        <w:t>Radial Truss</w:t>
      </w:r>
      <w:r>
        <w:rPr>
          <w:rFonts w:ascii="Arial" w:hAnsi="Arial" w:cs="Arial"/>
          <w:sz w:val="24"/>
          <w:szCs w:val="24"/>
        </w:rPr>
        <w:t xml:space="preserve"> matter</w:t>
      </w:r>
      <w:r>
        <w:rPr>
          <w:rStyle w:val="FootnoteReference"/>
          <w:rFonts w:ascii="Arial" w:hAnsi="Arial" w:cs="Arial"/>
          <w:sz w:val="24"/>
          <w:szCs w:val="24"/>
        </w:rPr>
        <w:footnoteReference w:id="22"/>
      </w:r>
      <w:r>
        <w:rPr>
          <w:rFonts w:ascii="Arial" w:hAnsi="Arial" w:cs="Arial"/>
          <w:sz w:val="24"/>
          <w:szCs w:val="24"/>
        </w:rPr>
        <w:t xml:space="preserve"> Smuts J stated as follows:</w:t>
      </w:r>
    </w:p>
    <w:p w:rsidR="00184BCA" w:rsidRDefault="00184BCA" w:rsidP="00184BCA">
      <w:pPr>
        <w:jc w:val="both"/>
        <w:rPr>
          <w:rFonts w:ascii="Arial" w:hAnsi="Arial" w:cs="Arial"/>
          <w:sz w:val="24"/>
          <w:szCs w:val="24"/>
        </w:rPr>
      </w:pPr>
    </w:p>
    <w:p w:rsidR="00184BCA" w:rsidRPr="00184BCA" w:rsidRDefault="00184BCA" w:rsidP="00184BCA">
      <w:pPr>
        <w:pStyle w:val="NormalWeb"/>
        <w:spacing w:before="0" w:beforeAutospacing="0" w:line="360" w:lineRule="auto"/>
        <w:ind w:firstLine="720"/>
        <w:jc w:val="both"/>
        <w:rPr>
          <w:rFonts w:ascii="Arial" w:hAnsi="Arial" w:cs="Arial"/>
          <w:sz w:val="22"/>
          <w:szCs w:val="22"/>
        </w:rPr>
      </w:pPr>
      <w:r w:rsidRPr="00184BCA">
        <w:rPr>
          <w:rFonts w:ascii="Arial" w:hAnsi="Arial" w:cs="Arial"/>
          <w:sz w:val="22"/>
          <w:szCs w:val="22"/>
        </w:rPr>
        <w:t>‘[21]</w:t>
      </w:r>
      <w:r w:rsidRPr="00184BCA">
        <w:rPr>
          <w:rFonts w:ascii="Arial" w:hAnsi="Arial" w:cs="Arial"/>
          <w:sz w:val="22"/>
          <w:szCs w:val="22"/>
        </w:rPr>
        <w:tab/>
      </w:r>
      <w:r w:rsidRPr="00184BCA">
        <w:rPr>
          <w:rFonts w:ascii="Arial" w:hAnsi="Arial" w:cs="Arial"/>
          <w:sz w:val="21"/>
          <w:szCs w:val="21"/>
        </w:rPr>
        <w:t> </w:t>
      </w:r>
      <w:r w:rsidRPr="00184BCA">
        <w:rPr>
          <w:rFonts w:ascii="Arial" w:hAnsi="Arial" w:cs="Arial"/>
          <w:sz w:val="22"/>
          <w:szCs w:val="22"/>
        </w:rPr>
        <w:t>As to the requirement of ‘fully’ disclosing the defence, the court in </w:t>
      </w:r>
      <w:r w:rsidRPr="00184BCA">
        <w:rPr>
          <w:rStyle w:val="Emphasis"/>
          <w:rFonts w:ascii="Arial" w:hAnsi="Arial" w:cs="Arial"/>
          <w:sz w:val="22"/>
          <w:szCs w:val="22"/>
        </w:rPr>
        <w:t>Maharaj</w:t>
      </w:r>
      <w:r w:rsidRPr="00184BCA">
        <w:rPr>
          <w:rFonts w:ascii="Arial" w:hAnsi="Arial" w:cs="Arial"/>
          <w:sz w:val="22"/>
          <w:szCs w:val="22"/>
        </w:rPr>
        <w:t> reiterated that whilst a defendant ‘need not deal exhaustively with the facts and evidence relied upon to substantiate them’, at the very least it is incumbent upon a defendant to disclose its defence and the material facts upon which it is based ‘with sufficient particularity and completeness to enable the court to decide whether the affidavit discloses a </w:t>
      </w:r>
      <w:r w:rsidRPr="00184BCA">
        <w:rPr>
          <w:rStyle w:val="Emphasis"/>
          <w:rFonts w:ascii="Arial" w:hAnsi="Arial" w:cs="Arial"/>
          <w:sz w:val="22"/>
          <w:szCs w:val="22"/>
        </w:rPr>
        <w:t>bona fide</w:t>
      </w:r>
      <w:r w:rsidRPr="00184BCA">
        <w:rPr>
          <w:rFonts w:ascii="Arial" w:hAnsi="Arial" w:cs="Arial"/>
          <w:sz w:val="22"/>
          <w:szCs w:val="22"/>
        </w:rPr>
        <w:t> defence. This is not an onerous threshold for a defendant to meet. A plaintiff has no right to reply. Nor is the procedure intended to deprive a defendant with a triable issue or a sustainable defence of its day in court as was correctly stressed by Navsa JA in </w:t>
      </w:r>
      <w:r w:rsidRPr="00184BCA">
        <w:rPr>
          <w:rStyle w:val="Emphasis"/>
          <w:rFonts w:ascii="Arial" w:hAnsi="Arial" w:cs="Arial"/>
          <w:sz w:val="22"/>
          <w:szCs w:val="22"/>
        </w:rPr>
        <w:t>Joob Joob.</w:t>
      </w:r>
      <w:r w:rsidRPr="00184BCA">
        <w:rPr>
          <w:rFonts w:ascii="Arial" w:hAnsi="Arial" w:cs="Arial"/>
          <w:sz w:val="22"/>
          <w:szCs w:val="22"/>
        </w:rPr>
        <w:t xml:space="preserve"> I agree with Navsa JA that the characterisation of ‘extraordinary’ or ‘drastic’ concerning summary judgment would no longer apply after the successful application of this remedy for some 100 years in our courts and that it cannot be stated as weighted against a defendant, given the threshold a defendant is to meet. </w:t>
      </w:r>
      <w:r w:rsidRPr="00184BCA">
        <w:rPr>
          <w:rFonts w:ascii="Arial" w:hAnsi="Arial" w:cs="Arial"/>
          <w:sz w:val="22"/>
          <w:szCs w:val="22"/>
          <w:u w:val="single"/>
        </w:rPr>
        <w:t>The remedy is only granted against defendants when it is clear that no defence is raised in response to a claim, thus preventing sham defences from defeating a creditor’s rights by delay</w:t>
      </w:r>
      <w:r w:rsidRPr="00184BCA">
        <w:rPr>
          <w:rFonts w:ascii="Arial" w:hAnsi="Arial" w:cs="Arial"/>
          <w:sz w:val="22"/>
          <w:szCs w:val="22"/>
        </w:rPr>
        <w:t xml:space="preserve">. </w:t>
      </w:r>
    </w:p>
    <w:p w:rsidR="00184BCA" w:rsidRDefault="00184BCA" w:rsidP="00184BCA">
      <w:pPr>
        <w:pStyle w:val="NormalWeb"/>
        <w:spacing w:before="0" w:beforeAutospacing="0" w:line="360" w:lineRule="auto"/>
        <w:ind w:firstLine="720"/>
        <w:jc w:val="both"/>
        <w:rPr>
          <w:rFonts w:ascii="Arial" w:hAnsi="Arial" w:cs="Arial"/>
          <w:sz w:val="22"/>
          <w:szCs w:val="22"/>
        </w:rPr>
      </w:pPr>
      <w:r w:rsidRPr="00095FE7">
        <w:rPr>
          <w:rFonts w:ascii="Arial" w:hAnsi="Arial" w:cs="Arial"/>
          <w:sz w:val="22"/>
          <w:szCs w:val="22"/>
        </w:rPr>
        <w:t xml:space="preserve">[22]      </w:t>
      </w:r>
      <w:r w:rsidRPr="00095FE7">
        <w:rPr>
          <w:rFonts w:ascii="Arial" w:hAnsi="Arial" w:cs="Arial"/>
          <w:sz w:val="22"/>
          <w:szCs w:val="22"/>
          <w:u w:val="single"/>
        </w:rPr>
        <w:t>The introduction of judicial case management reinforces the need to disclose the defence and the material facts with sufficient particularity and completeness as it presupposes that parties at an early stage properly disclose their claims and defences to apprise their opponents and the court as to what is in issue in cases and must do so with specificity and not vaguely or evasively</w:t>
      </w:r>
      <w:r w:rsidRPr="00095FE7">
        <w:rPr>
          <w:rFonts w:ascii="Arial" w:hAnsi="Arial" w:cs="Arial"/>
          <w:sz w:val="22"/>
          <w:szCs w:val="22"/>
        </w:rPr>
        <w:t>.</w:t>
      </w:r>
      <w:r>
        <w:rPr>
          <w:rFonts w:ascii="Arial" w:hAnsi="Arial" w:cs="Arial"/>
          <w:sz w:val="22"/>
          <w:szCs w:val="22"/>
        </w:rPr>
        <w:t>’ (my underlining)</w:t>
      </w:r>
    </w:p>
    <w:p w:rsidR="00184BCA" w:rsidRDefault="00184BCA" w:rsidP="00184BCA">
      <w:pPr>
        <w:pStyle w:val="NormalWeb"/>
        <w:spacing w:before="0" w:beforeAutospacing="0" w:line="360" w:lineRule="auto"/>
        <w:jc w:val="both"/>
        <w:rPr>
          <w:rFonts w:ascii="Arial" w:hAnsi="Arial" w:cs="Arial"/>
        </w:rPr>
      </w:pPr>
      <w:r w:rsidRPr="00095FE7">
        <w:rPr>
          <w:rFonts w:ascii="Arial" w:hAnsi="Arial" w:cs="Arial"/>
        </w:rPr>
        <w:t>[63]</w:t>
      </w:r>
      <w:r w:rsidRPr="00095FE7">
        <w:rPr>
          <w:rFonts w:ascii="Arial" w:hAnsi="Arial" w:cs="Arial"/>
        </w:rPr>
        <w:tab/>
      </w:r>
      <w:r>
        <w:rPr>
          <w:rFonts w:ascii="Arial" w:hAnsi="Arial" w:cs="Arial"/>
        </w:rPr>
        <w:t>The current matter is one of those matter that Smuts J in mind. There is clearly no defence raised in response to the plaintiffs claim and this court cannot allow this matter merely on the basis that summary judgment is characterised as an extraordinary or drastic remedy. This is clearly an outdated view to maintain as is evident for Smuts J’s remarks above.</w:t>
      </w:r>
    </w:p>
    <w:p w:rsidR="00184BCA" w:rsidRDefault="00184BCA" w:rsidP="00184BCA">
      <w:pPr>
        <w:pStyle w:val="NormalWeb"/>
        <w:spacing w:before="0" w:beforeAutospacing="0" w:line="360" w:lineRule="auto"/>
        <w:jc w:val="both"/>
        <w:rPr>
          <w:rFonts w:ascii="Arial" w:hAnsi="Arial" w:cs="Arial"/>
        </w:rPr>
      </w:pPr>
      <w:r>
        <w:rPr>
          <w:rFonts w:ascii="Arial" w:hAnsi="Arial" w:cs="Arial"/>
        </w:rPr>
        <w:t>[64]</w:t>
      </w:r>
      <w:r>
        <w:rPr>
          <w:rFonts w:ascii="Arial" w:hAnsi="Arial" w:cs="Arial"/>
        </w:rPr>
        <w:tab/>
        <w:t>Therefore having considered all the facts before me I am of the view that summary judgment must be granted as set out above.</w:t>
      </w:r>
    </w:p>
    <w:p w:rsidR="00184BCA" w:rsidRDefault="00184BCA" w:rsidP="00184BCA">
      <w:pPr>
        <w:pStyle w:val="NormalWeb"/>
        <w:spacing w:before="0" w:beforeAutospacing="0" w:line="360" w:lineRule="auto"/>
        <w:jc w:val="both"/>
        <w:rPr>
          <w:rFonts w:ascii="Arial" w:hAnsi="Arial" w:cs="Arial"/>
        </w:rPr>
      </w:pPr>
    </w:p>
    <w:p w:rsidR="00184BCA" w:rsidRDefault="00184BCA" w:rsidP="00184BCA">
      <w:pPr>
        <w:pStyle w:val="NormalWeb"/>
        <w:spacing w:before="0" w:beforeAutospacing="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w:t>
      </w:r>
    </w:p>
    <w:p w:rsidR="00184BCA" w:rsidRPr="00095FE7" w:rsidRDefault="00184BCA" w:rsidP="00184BCA">
      <w:pPr>
        <w:pStyle w:val="NormalWeb"/>
        <w:spacing w:before="0" w:beforeAutospacing="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S Prinsloo</w:t>
      </w:r>
    </w:p>
    <w:p w:rsidR="00090A8C" w:rsidRDefault="00090A8C" w:rsidP="00B70462">
      <w:pPr>
        <w:spacing w:after="0" w:line="360" w:lineRule="auto"/>
        <w:jc w:val="both"/>
        <w:rPr>
          <w:rFonts w:ascii="Arial" w:hAnsi="Arial" w:cs="Arial"/>
          <w:sz w:val="24"/>
          <w:szCs w:val="24"/>
        </w:rPr>
      </w:pPr>
    </w:p>
    <w:p w:rsidR="00A27D83" w:rsidRDefault="00A27D83"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0006B7" w:rsidRDefault="000006B7" w:rsidP="00B70462">
      <w:pPr>
        <w:spacing w:after="0" w:line="360" w:lineRule="auto"/>
        <w:jc w:val="both"/>
        <w:rPr>
          <w:rFonts w:ascii="Arial" w:hAnsi="Arial" w:cs="Arial"/>
          <w:sz w:val="24"/>
          <w:szCs w:val="24"/>
        </w:rPr>
      </w:pPr>
    </w:p>
    <w:p w:rsidR="00A27D83" w:rsidRPr="004B5E3E" w:rsidRDefault="00A27D83" w:rsidP="00A27D83">
      <w:pPr>
        <w:spacing w:after="0" w:line="360" w:lineRule="auto"/>
        <w:jc w:val="both"/>
        <w:rPr>
          <w:rFonts w:ascii="Arial" w:hAnsi="Arial" w:cs="Arial"/>
          <w:sz w:val="24"/>
          <w:szCs w:val="24"/>
        </w:rPr>
      </w:pPr>
      <w:r w:rsidRPr="004B5E3E">
        <w:rPr>
          <w:rFonts w:ascii="Arial" w:hAnsi="Arial" w:cs="Arial"/>
          <w:sz w:val="24"/>
          <w:szCs w:val="24"/>
        </w:rPr>
        <w:lastRenderedPageBreak/>
        <w:t>APPEARANCES</w:t>
      </w:r>
      <w:r w:rsidR="000006B7">
        <w:rPr>
          <w:rFonts w:ascii="Arial" w:hAnsi="Arial" w:cs="Arial"/>
          <w:sz w:val="24"/>
          <w:szCs w:val="24"/>
        </w:rPr>
        <w:t>:</w:t>
      </w:r>
    </w:p>
    <w:p w:rsidR="00A27D83" w:rsidRPr="004B5E3E" w:rsidRDefault="00A27D83" w:rsidP="00A27D83">
      <w:pPr>
        <w:spacing w:after="0" w:line="360" w:lineRule="auto"/>
        <w:contextualSpacing/>
        <w:rPr>
          <w:rFonts w:ascii="Arial" w:eastAsia="Calibri" w:hAnsi="Arial" w:cs="Arial"/>
          <w:sz w:val="24"/>
          <w:szCs w:val="24"/>
        </w:rPr>
      </w:pPr>
    </w:p>
    <w:p w:rsidR="00A27D83" w:rsidRPr="004B5E3E" w:rsidRDefault="00600551" w:rsidP="00A27D83">
      <w:pPr>
        <w:spacing w:after="0" w:line="360" w:lineRule="auto"/>
        <w:ind w:left="2880" w:hanging="2880"/>
        <w:contextualSpacing/>
        <w:rPr>
          <w:rFonts w:ascii="Arial" w:eastAsia="Calibri" w:hAnsi="Arial" w:cs="Arial"/>
          <w:sz w:val="24"/>
          <w:szCs w:val="24"/>
        </w:rPr>
      </w:pPr>
      <w:r>
        <w:rPr>
          <w:rFonts w:ascii="Arial" w:eastAsia="Calibri" w:hAnsi="Arial" w:cs="Arial"/>
          <w:sz w:val="24"/>
          <w:szCs w:val="24"/>
        </w:rPr>
        <w:t xml:space="preserve">PLAINTIFF: </w:t>
      </w:r>
      <w:r>
        <w:rPr>
          <w:rFonts w:ascii="Arial" w:eastAsia="Calibri" w:hAnsi="Arial" w:cs="Arial"/>
          <w:sz w:val="24"/>
          <w:szCs w:val="24"/>
        </w:rPr>
        <w:tab/>
      </w:r>
      <w:r>
        <w:rPr>
          <w:rFonts w:ascii="Arial" w:eastAsia="Calibri" w:hAnsi="Arial" w:cs="Arial"/>
          <w:sz w:val="24"/>
          <w:szCs w:val="24"/>
        </w:rPr>
        <w:tab/>
      </w:r>
      <w:r w:rsidR="00A27D83" w:rsidRPr="004B5E3E">
        <w:rPr>
          <w:rFonts w:ascii="Arial" w:eastAsia="Calibri" w:hAnsi="Arial" w:cs="Arial"/>
          <w:sz w:val="24"/>
          <w:szCs w:val="24"/>
        </w:rPr>
        <w:t xml:space="preserve">         </w:t>
      </w:r>
      <w:r w:rsidR="00A27D83">
        <w:rPr>
          <w:rFonts w:ascii="Arial" w:eastAsia="Calibri" w:hAnsi="Arial" w:cs="Arial"/>
          <w:sz w:val="24"/>
          <w:szCs w:val="24"/>
        </w:rPr>
        <w:t>R Heathcote</w:t>
      </w:r>
      <w:r w:rsidR="00A27D83" w:rsidRPr="004B5E3E">
        <w:rPr>
          <w:rFonts w:ascii="Arial" w:eastAsia="Calibri" w:hAnsi="Arial" w:cs="Arial"/>
          <w:sz w:val="24"/>
          <w:szCs w:val="24"/>
        </w:rPr>
        <w:tab/>
      </w:r>
      <w:r w:rsidR="00A27D83" w:rsidRPr="004B5E3E">
        <w:rPr>
          <w:rFonts w:ascii="Arial" w:eastAsia="Calibri" w:hAnsi="Arial" w:cs="Arial"/>
          <w:sz w:val="24"/>
          <w:szCs w:val="24"/>
        </w:rPr>
        <w:tab/>
      </w:r>
      <w:r w:rsidR="00A27D83" w:rsidRPr="004B5E3E">
        <w:rPr>
          <w:rFonts w:ascii="Arial" w:eastAsia="Calibri" w:hAnsi="Arial" w:cs="Arial"/>
          <w:sz w:val="24"/>
          <w:szCs w:val="24"/>
        </w:rPr>
        <w:tab/>
      </w:r>
      <w:r w:rsidR="00A27D83">
        <w:rPr>
          <w:rFonts w:ascii="Arial" w:eastAsia="Calibri" w:hAnsi="Arial" w:cs="Arial"/>
          <w:sz w:val="24"/>
          <w:szCs w:val="24"/>
        </w:rPr>
        <w:tab/>
      </w:r>
      <w:r w:rsidR="00A27D83">
        <w:rPr>
          <w:rFonts w:ascii="Arial" w:eastAsia="Calibri" w:hAnsi="Arial" w:cs="Arial"/>
          <w:sz w:val="24"/>
          <w:szCs w:val="24"/>
        </w:rPr>
        <w:tab/>
      </w:r>
      <w:r w:rsidR="00A27D83" w:rsidRPr="004B5E3E">
        <w:rPr>
          <w:rFonts w:ascii="Arial" w:eastAsia="Calibri" w:hAnsi="Arial" w:cs="Arial"/>
          <w:sz w:val="24"/>
          <w:szCs w:val="24"/>
        </w:rPr>
        <w:tab/>
        <w:t xml:space="preserve">         Instructed by </w:t>
      </w:r>
      <w:r w:rsidR="00A27D83">
        <w:rPr>
          <w:rFonts w:ascii="Arial" w:eastAsia="Calibri" w:hAnsi="Arial" w:cs="Arial"/>
          <w:sz w:val="24"/>
          <w:szCs w:val="24"/>
        </w:rPr>
        <w:t>Francios Erasmus</w:t>
      </w:r>
      <w:r>
        <w:rPr>
          <w:rFonts w:ascii="Arial" w:eastAsia="Calibri" w:hAnsi="Arial" w:cs="Arial"/>
          <w:sz w:val="24"/>
          <w:szCs w:val="24"/>
        </w:rPr>
        <w:t xml:space="preserve"> and Partners</w:t>
      </w:r>
    </w:p>
    <w:p w:rsidR="00A27D83" w:rsidRPr="004B5E3E" w:rsidRDefault="00600551" w:rsidP="00A27D83">
      <w:pPr>
        <w:spacing w:after="0"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A27D83" w:rsidRPr="004B5E3E">
        <w:rPr>
          <w:rFonts w:ascii="Arial" w:eastAsia="Calibri" w:hAnsi="Arial" w:cs="Arial"/>
          <w:sz w:val="24"/>
          <w:szCs w:val="24"/>
        </w:rPr>
        <w:t>Windhoek</w:t>
      </w:r>
    </w:p>
    <w:p w:rsidR="00A27D83" w:rsidRPr="004B5E3E" w:rsidRDefault="00A27D83" w:rsidP="00A27D83">
      <w:pPr>
        <w:spacing w:after="0" w:line="360" w:lineRule="auto"/>
        <w:contextualSpacing/>
        <w:rPr>
          <w:rFonts w:ascii="Arial" w:eastAsia="Calibri" w:hAnsi="Arial" w:cs="Arial"/>
          <w:sz w:val="24"/>
          <w:szCs w:val="24"/>
        </w:rPr>
      </w:pPr>
    </w:p>
    <w:p w:rsidR="00A27D83" w:rsidRPr="004B5E3E" w:rsidRDefault="00600551" w:rsidP="00A27D83">
      <w:pPr>
        <w:spacing w:after="0" w:line="360" w:lineRule="auto"/>
        <w:contextualSpacing/>
        <w:rPr>
          <w:rFonts w:ascii="Arial" w:eastAsia="Calibri" w:hAnsi="Arial" w:cs="Arial"/>
          <w:sz w:val="24"/>
          <w:szCs w:val="24"/>
        </w:rPr>
      </w:pPr>
      <w:r>
        <w:rPr>
          <w:rFonts w:ascii="Arial" w:eastAsia="Calibri" w:hAnsi="Arial" w:cs="Arial"/>
          <w:sz w:val="24"/>
          <w:szCs w:val="24"/>
        </w:rPr>
        <w:t>DEFENDANT: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A27D83" w:rsidRPr="004B5E3E">
        <w:rPr>
          <w:rFonts w:ascii="Arial" w:eastAsia="Calibri" w:hAnsi="Arial" w:cs="Arial"/>
          <w:sz w:val="24"/>
          <w:szCs w:val="24"/>
        </w:rPr>
        <w:t xml:space="preserve">         </w:t>
      </w:r>
      <w:r>
        <w:rPr>
          <w:rFonts w:ascii="Arial" w:eastAsia="Calibri" w:hAnsi="Arial" w:cs="Arial"/>
          <w:sz w:val="24"/>
          <w:szCs w:val="24"/>
        </w:rPr>
        <w:t>R Rukoro</w:t>
      </w:r>
    </w:p>
    <w:p w:rsidR="00A27D83" w:rsidRPr="004B5E3E" w:rsidRDefault="00600551" w:rsidP="00A27D8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7D83" w:rsidRPr="004B5E3E">
        <w:rPr>
          <w:rFonts w:ascii="Arial" w:hAnsi="Arial" w:cs="Arial"/>
          <w:sz w:val="24"/>
          <w:szCs w:val="24"/>
        </w:rPr>
        <w:t xml:space="preserve">         </w:t>
      </w:r>
      <w:r>
        <w:rPr>
          <w:rFonts w:ascii="Arial" w:hAnsi="Arial" w:cs="Arial"/>
          <w:sz w:val="24"/>
          <w:szCs w:val="24"/>
        </w:rPr>
        <w:t>ENSAfrica Namibia</w:t>
      </w:r>
    </w:p>
    <w:p w:rsidR="00A27D83" w:rsidRPr="004B5E3E" w:rsidRDefault="00600551" w:rsidP="00A27D83">
      <w:pPr>
        <w:spacing w:after="0" w:line="36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27D83" w:rsidRPr="004B5E3E">
        <w:rPr>
          <w:rFonts w:ascii="Arial" w:hAnsi="Arial" w:cs="Arial"/>
          <w:sz w:val="24"/>
          <w:szCs w:val="24"/>
        </w:rPr>
        <w:t>Windhoek</w:t>
      </w:r>
    </w:p>
    <w:p w:rsidR="00A27D83" w:rsidRDefault="00A27D83" w:rsidP="00B70462">
      <w:pPr>
        <w:spacing w:after="0" w:line="360" w:lineRule="auto"/>
        <w:jc w:val="both"/>
        <w:rPr>
          <w:rFonts w:ascii="Arial" w:hAnsi="Arial" w:cs="Arial"/>
          <w:sz w:val="24"/>
          <w:szCs w:val="24"/>
        </w:rPr>
      </w:pPr>
    </w:p>
    <w:sectPr w:rsidR="00A27D83" w:rsidSect="00514A9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11" w:rsidRDefault="00556311" w:rsidP="003340B1">
      <w:pPr>
        <w:spacing w:after="0" w:line="240" w:lineRule="auto"/>
      </w:pPr>
      <w:r>
        <w:separator/>
      </w:r>
    </w:p>
  </w:endnote>
  <w:endnote w:type="continuationSeparator" w:id="0">
    <w:p w:rsidR="00556311" w:rsidRDefault="00556311" w:rsidP="003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11" w:rsidRDefault="00556311" w:rsidP="003340B1">
      <w:pPr>
        <w:spacing w:after="0" w:line="240" w:lineRule="auto"/>
      </w:pPr>
      <w:r>
        <w:separator/>
      </w:r>
    </w:p>
  </w:footnote>
  <w:footnote w:type="continuationSeparator" w:id="0">
    <w:p w:rsidR="00556311" w:rsidRDefault="00556311" w:rsidP="003340B1">
      <w:pPr>
        <w:spacing w:after="0" w:line="240" w:lineRule="auto"/>
      </w:pPr>
      <w:r>
        <w:continuationSeparator/>
      </w:r>
    </w:p>
  </w:footnote>
  <w:footnote w:id="1">
    <w:p w:rsidR="003340B1" w:rsidRPr="000006B7" w:rsidRDefault="003340B1" w:rsidP="008D40BF">
      <w:pPr>
        <w:pStyle w:val="FootnoteText"/>
        <w:jc w:val="both"/>
        <w:rPr>
          <w:rFonts w:ascii="Arial" w:hAnsi="Arial" w:cs="Arial"/>
          <w:lang w:val="en-ZA"/>
        </w:rPr>
      </w:pPr>
      <w:r w:rsidRPr="008D40BF">
        <w:rPr>
          <w:rStyle w:val="FootnoteReference"/>
          <w:rFonts w:ascii="Arial" w:hAnsi="Arial" w:cs="Arial"/>
        </w:rPr>
        <w:footnoteRef/>
      </w:r>
      <w:r w:rsidRPr="008D40BF">
        <w:rPr>
          <w:rFonts w:ascii="Arial" w:hAnsi="Arial" w:cs="Arial"/>
        </w:rPr>
        <w:t xml:space="preserve"> </w:t>
      </w:r>
      <w:r w:rsidRPr="000006B7">
        <w:rPr>
          <w:rFonts w:ascii="Arial" w:hAnsi="Arial" w:cs="Arial"/>
          <w:lang w:val="en-ZA"/>
        </w:rPr>
        <w:t>Messrs Enock Kamushinda, T</w:t>
      </w:r>
      <w:r w:rsidR="008D40BF" w:rsidRPr="000006B7">
        <w:rPr>
          <w:rFonts w:ascii="Arial" w:hAnsi="Arial" w:cs="Arial"/>
          <w:lang w:val="en-ZA"/>
        </w:rPr>
        <w:t>a</w:t>
      </w:r>
      <w:r w:rsidRPr="000006B7">
        <w:rPr>
          <w:rFonts w:ascii="Arial" w:hAnsi="Arial" w:cs="Arial"/>
          <w:lang w:val="en-ZA"/>
        </w:rPr>
        <w:t>wanda Mumvuma, Joseph Banda, Chiedza Goromonzi and Simbarashe Ma</w:t>
      </w:r>
      <w:r w:rsidR="008D40BF" w:rsidRPr="000006B7">
        <w:rPr>
          <w:rFonts w:ascii="Arial" w:hAnsi="Arial" w:cs="Arial"/>
          <w:lang w:val="en-ZA"/>
        </w:rPr>
        <w:t>g</w:t>
      </w:r>
      <w:r w:rsidRPr="000006B7">
        <w:rPr>
          <w:rFonts w:ascii="Arial" w:hAnsi="Arial" w:cs="Arial"/>
          <w:lang w:val="en-ZA"/>
        </w:rPr>
        <w:t xml:space="preserve">ombeze. </w:t>
      </w:r>
    </w:p>
  </w:footnote>
  <w:footnote w:id="2">
    <w:p w:rsidR="008D40BF" w:rsidRPr="000006B7" w:rsidRDefault="008D40BF" w:rsidP="008D40BF">
      <w:pPr>
        <w:pStyle w:val="FootnoteText"/>
        <w:jc w:val="both"/>
        <w:rPr>
          <w:rFonts w:ascii="Arial" w:hAnsi="Arial" w:cs="Arial"/>
          <w:lang w:val="en-ZA"/>
        </w:rPr>
      </w:pPr>
      <w:r w:rsidRPr="000006B7">
        <w:rPr>
          <w:rStyle w:val="FootnoteReference"/>
          <w:rFonts w:ascii="Arial" w:hAnsi="Arial" w:cs="Arial"/>
        </w:rPr>
        <w:footnoteRef/>
      </w:r>
      <w:r w:rsidRPr="000006B7">
        <w:rPr>
          <w:rFonts w:ascii="Arial" w:hAnsi="Arial" w:cs="Arial"/>
        </w:rPr>
        <w:t xml:space="preserve"> </w:t>
      </w:r>
      <w:r w:rsidRPr="000006B7">
        <w:rPr>
          <w:rFonts w:ascii="Arial" w:hAnsi="Arial" w:cs="Arial"/>
          <w:lang w:val="en-ZA"/>
        </w:rPr>
        <w:t>Duly qualified and admitted legal practitioner in Namibia and the SME Bank’s in-house lawyer.</w:t>
      </w:r>
    </w:p>
  </w:footnote>
  <w:footnote w:id="3">
    <w:p w:rsidR="008D40BF" w:rsidRPr="000006B7" w:rsidRDefault="008D40BF">
      <w:pPr>
        <w:pStyle w:val="FootnoteText"/>
        <w:rPr>
          <w:rFonts w:ascii="Arial" w:hAnsi="Arial" w:cs="Arial"/>
          <w:lang w:val="en-ZA"/>
        </w:rPr>
      </w:pPr>
      <w:r w:rsidRPr="000006B7">
        <w:rPr>
          <w:rStyle w:val="FootnoteReference"/>
          <w:rFonts w:ascii="Arial" w:hAnsi="Arial" w:cs="Arial"/>
        </w:rPr>
        <w:footnoteRef/>
      </w:r>
      <w:r w:rsidRPr="000006B7">
        <w:rPr>
          <w:rFonts w:ascii="Arial" w:hAnsi="Arial" w:cs="Arial"/>
        </w:rPr>
        <w:t xml:space="preserve"> </w:t>
      </w:r>
      <w:r w:rsidRPr="000006B7">
        <w:rPr>
          <w:rFonts w:ascii="Arial" w:hAnsi="Arial" w:cs="Arial"/>
          <w:lang w:val="en-ZA"/>
        </w:rPr>
        <w:t>Table 1 p 5 of particulars of claim.</w:t>
      </w:r>
    </w:p>
  </w:footnote>
  <w:footnote w:id="4">
    <w:p w:rsidR="00141B1E" w:rsidRPr="00141B1E" w:rsidRDefault="00141B1E">
      <w:pPr>
        <w:pStyle w:val="FootnoteText"/>
        <w:rPr>
          <w:lang w:val="en-ZA"/>
        </w:rPr>
      </w:pPr>
      <w:r>
        <w:rPr>
          <w:rStyle w:val="FootnoteReference"/>
        </w:rPr>
        <w:footnoteRef/>
      </w:r>
      <w:r>
        <w:t xml:space="preserve"> </w:t>
      </w:r>
      <w:r w:rsidRPr="00141B1E">
        <w:rPr>
          <w:rFonts w:ascii="Arial" w:hAnsi="Arial" w:cs="Arial"/>
        </w:rPr>
        <w:t>Act 24 of 1936.</w:t>
      </w:r>
    </w:p>
  </w:footnote>
  <w:footnote w:id="5">
    <w:p w:rsidR="00184BCA" w:rsidRPr="000006B7" w:rsidRDefault="00184BCA" w:rsidP="00184BCA">
      <w:pPr>
        <w:pStyle w:val="FootnoteText"/>
        <w:rPr>
          <w:rFonts w:ascii="Arial" w:hAnsi="Arial" w:cs="Arial"/>
        </w:rPr>
      </w:pPr>
      <w:r w:rsidRPr="000006B7">
        <w:rPr>
          <w:rStyle w:val="FootnoteReference"/>
          <w:rFonts w:ascii="Arial" w:hAnsi="Arial" w:cs="Arial"/>
        </w:rPr>
        <w:footnoteRef/>
      </w:r>
      <w:r w:rsidRPr="000006B7">
        <w:rPr>
          <w:rFonts w:ascii="Arial" w:hAnsi="Arial" w:cs="Arial"/>
        </w:rPr>
        <w:t xml:space="preserve"> Headnote </w:t>
      </w:r>
      <w:r w:rsidRPr="000006B7">
        <w:rPr>
          <w:rFonts w:ascii="Arial" w:hAnsi="Arial" w:cs="Arial"/>
          <w:bCs/>
          <w:color w:val="4A4A4A"/>
          <w:shd w:val="clear" w:color="auto" w:fill="FFFFFF"/>
        </w:rPr>
        <w:t>(</w:t>
      </w:r>
      <w:r w:rsidRPr="000006B7">
        <w:rPr>
          <w:rFonts w:ascii="Arial" w:hAnsi="Arial" w:cs="Arial"/>
          <w:bCs/>
          <w:shd w:val="clear" w:color="auto" w:fill="FFFFFF"/>
        </w:rPr>
        <w:t>SA-2017/11) [2019] NASC 6 (10 April 2019).</w:t>
      </w:r>
    </w:p>
  </w:footnote>
  <w:footnote w:id="6">
    <w:p w:rsidR="00184BCA" w:rsidRPr="000006B7" w:rsidRDefault="00184BCA" w:rsidP="00184BCA">
      <w:pPr>
        <w:pStyle w:val="FootnoteText"/>
        <w:rPr>
          <w:rFonts w:ascii="Arial" w:hAnsi="Arial" w:cs="Arial"/>
        </w:rPr>
      </w:pPr>
      <w:r w:rsidRPr="000006B7">
        <w:rPr>
          <w:rStyle w:val="FootnoteReference"/>
          <w:rFonts w:ascii="Arial" w:hAnsi="Arial" w:cs="Arial"/>
        </w:rPr>
        <w:footnoteRef/>
      </w:r>
      <w:r w:rsidRPr="000006B7">
        <w:rPr>
          <w:rFonts w:ascii="Arial" w:hAnsi="Arial" w:cs="Arial"/>
        </w:rPr>
        <w:t xml:space="preserve"> </w:t>
      </w:r>
      <w:r w:rsidRPr="000006B7">
        <w:rPr>
          <w:rFonts w:ascii="Arial" w:hAnsi="Arial" w:cs="Arial"/>
          <w:color w:val="4A4A4A"/>
          <w:sz w:val="21"/>
          <w:szCs w:val="21"/>
          <w:shd w:val="clear" w:color="auto" w:fill="F8F8F8"/>
        </w:rPr>
        <w:t> </w:t>
      </w:r>
      <w:r w:rsidRPr="000006B7">
        <w:rPr>
          <w:rFonts w:ascii="Arial" w:hAnsi="Arial" w:cs="Arial"/>
        </w:rPr>
        <w:t>SA 17/2015 [2016] NASC 29 November 2016 unreported at para 10.</w:t>
      </w:r>
    </w:p>
  </w:footnote>
  <w:footnote w:id="7">
    <w:p w:rsidR="00184BCA" w:rsidRPr="000006B7" w:rsidRDefault="00184BCA" w:rsidP="00184BCA">
      <w:pPr>
        <w:pStyle w:val="FootnoteText"/>
        <w:rPr>
          <w:rFonts w:ascii="Arial" w:hAnsi="Arial" w:cs="Arial"/>
        </w:rPr>
      </w:pPr>
      <w:r w:rsidRPr="00794450">
        <w:rPr>
          <w:rStyle w:val="FootnoteReference"/>
          <w:rFonts w:ascii="Arial" w:hAnsi="Arial" w:cs="Arial"/>
        </w:rPr>
        <w:footnoteRef/>
      </w:r>
      <w:r w:rsidRPr="00794450">
        <w:rPr>
          <w:rFonts w:ascii="Arial" w:hAnsi="Arial" w:cs="Arial"/>
        </w:rPr>
        <w:t xml:space="preserve"> </w:t>
      </w:r>
      <w:r w:rsidRPr="000006B7">
        <w:rPr>
          <w:rFonts w:ascii="Arial" w:hAnsi="Arial" w:cs="Arial"/>
        </w:rPr>
        <w:t>(I 602/2008) [2014] NACHMD 159 (21 May 2014)</w:t>
      </w:r>
    </w:p>
  </w:footnote>
  <w:footnote w:id="8">
    <w:p w:rsidR="00184BCA" w:rsidRPr="00794450" w:rsidRDefault="00184BCA" w:rsidP="00184BCA">
      <w:pPr>
        <w:pStyle w:val="FootnoteText"/>
        <w:rPr>
          <w:rFonts w:ascii="Arial" w:hAnsi="Arial" w:cs="Arial"/>
        </w:rPr>
      </w:pPr>
      <w:r w:rsidRPr="00794450">
        <w:rPr>
          <w:rStyle w:val="FootnoteReference"/>
          <w:rFonts w:ascii="Arial" w:hAnsi="Arial" w:cs="Arial"/>
        </w:rPr>
        <w:footnoteRef/>
      </w:r>
      <w:r w:rsidRPr="00794450">
        <w:rPr>
          <w:rFonts w:ascii="Arial" w:hAnsi="Arial" w:cs="Arial"/>
        </w:rPr>
        <w:t xml:space="preserve"> </w:t>
      </w:r>
      <w:r w:rsidRPr="00794450">
        <w:rPr>
          <w:rFonts w:ascii="Arial" w:hAnsi="Arial" w:cs="Arial"/>
          <w:i/>
        </w:rPr>
        <w:t>Government of the Republic of Namibia (Ministry of Works, Transport and Communication) v The African Civil Aviation Agency (Pty) Ltd</w:t>
      </w:r>
      <w:r w:rsidRPr="00794450">
        <w:rPr>
          <w:rFonts w:ascii="Arial" w:hAnsi="Arial" w:cs="Arial"/>
        </w:rPr>
        <w:t xml:space="preserve"> (I 3298/2009) [2014] NAHCMD 45 (12 February 2014).</w:t>
      </w:r>
    </w:p>
  </w:footnote>
  <w:footnote w:id="9">
    <w:p w:rsidR="00184BCA" w:rsidRPr="00395F21" w:rsidRDefault="00184BCA" w:rsidP="00184BCA">
      <w:pPr>
        <w:pStyle w:val="FootnoteText"/>
      </w:pPr>
      <w:r w:rsidRPr="00794450">
        <w:rPr>
          <w:rStyle w:val="FootnoteReference"/>
          <w:rFonts w:ascii="Arial" w:hAnsi="Arial" w:cs="Arial"/>
        </w:rPr>
        <w:footnoteRef/>
      </w:r>
      <w:r w:rsidRPr="00794450">
        <w:rPr>
          <w:rFonts w:ascii="Arial" w:hAnsi="Arial" w:cs="Arial"/>
        </w:rPr>
        <w:t xml:space="preserve"> </w:t>
      </w:r>
      <w:r w:rsidRPr="00794450">
        <w:rPr>
          <w:rFonts w:ascii="Arial" w:hAnsi="Arial" w:cs="Arial"/>
          <w:i/>
        </w:rPr>
        <w:t xml:space="preserve">Supra </w:t>
      </w:r>
      <w:r w:rsidRPr="00794450">
        <w:rPr>
          <w:rFonts w:ascii="Arial" w:hAnsi="Arial" w:cs="Arial"/>
        </w:rPr>
        <w:t>at pars [143] and [144], footnotes excluded.</w:t>
      </w:r>
    </w:p>
  </w:footnote>
  <w:footnote w:id="10">
    <w:p w:rsidR="00184BCA" w:rsidRPr="005B7801" w:rsidRDefault="00184BCA" w:rsidP="00184BCA">
      <w:pPr>
        <w:pStyle w:val="FootnoteText"/>
        <w:rPr>
          <w:rFonts w:ascii="Arial" w:hAnsi="Arial" w:cs="Arial"/>
        </w:rPr>
      </w:pPr>
      <w:r w:rsidRPr="005B7801">
        <w:rPr>
          <w:rStyle w:val="FootnoteReference"/>
          <w:rFonts w:ascii="Arial" w:hAnsi="Arial" w:cs="Arial"/>
        </w:rPr>
        <w:footnoteRef/>
      </w:r>
      <w:r w:rsidRPr="005B7801">
        <w:rPr>
          <w:rFonts w:ascii="Arial" w:hAnsi="Arial" w:cs="Arial"/>
        </w:rPr>
        <w:t xml:space="preserve"> </w:t>
      </w:r>
      <w:r w:rsidRPr="005B7801">
        <w:rPr>
          <w:rFonts w:ascii="Arial" w:hAnsi="Arial" w:cs="Arial"/>
          <w:i/>
        </w:rPr>
        <w:t>African Diamond Exporters supra</w:t>
      </w:r>
      <w:r w:rsidRPr="005B7801">
        <w:rPr>
          <w:rFonts w:ascii="Arial" w:hAnsi="Arial" w:cs="Arial"/>
        </w:rPr>
        <w:t xml:space="preserve"> at 713 H-J.</w:t>
      </w:r>
    </w:p>
  </w:footnote>
  <w:footnote w:id="11">
    <w:p w:rsidR="00184BCA" w:rsidRPr="005B7801" w:rsidRDefault="00184BCA" w:rsidP="00184BCA">
      <w:pPr>
        <w:pStyle w:val="FootnoteText"/>
        <w:rPr>
          <w:rFonts w:ascii="Arial" w:hAnsi="Arial" w:cs="Arial"/>
        </w:rPr>
      </w:pPr>
      <w:r w:rsidRPr="005B7801">
        <w:rPr>
          <w:rStyle w:val="FootnoteReference"/>
          <w:rFonts w:ascii="Arial" w:hAnsi="Arial" w:cs="Arial"/>
        </w:rPr>
        <w:footnoteRef/>
      </w:r>
      <w:r w:rsidRPr="005B7801">
        <w:rPr>
          <w:rFonts w:ascii="Arial" w:hAnsi="Arial" w:cs="Arial"/>
        </w:rPr>
        <w:t xml:space="preserve"> </w:t>
      </w:r>
      <w:r w:rsidRPr="005B7801">
        <w:rPr>
          <w:rFonts w:ascii="Arial" w:hAnsi="Arial" w:cs="Arial"/>
          <w:i/>
        </w:rPr>
        <w:t>Le Riche v Hamman</w:t>
      </w:r>
      <w:r w:rsidRPr="005B7801">
        <w:rPr>
          <w:rFonts w:ascii="Arial" w:hAnsi="Arial" w:cs="Arial"/>
        </w:rPr>
        <w:t xml:space="preserve"> 1946 AD 648 at 657.</w:t>
      </w:r>
    </w:p>
  </w:footnote>
  <w:footnote w:id="12">
    <w:p w:rsidR="00184BCA" w:rsidRPr="005B7801" w:rsidRDefault="00184BCA" w:rsidP="00184BCA">
      <w:pPr>
        <w:pStyle w:val="FootnoteText"/>
        <w:rPr>
          <w:rFonts w:ascii="Arial" w:hAnsi="Arial" w:cs="Arial"/>
        </w:rPr>
      </w:pPr>
      <w:r w:rsidRPr="005B7801">
        <w:rPr>
          <w:rStyle w:val="FootnoteReference"/>
          <w:rFonts w:ascii="Arial" w:hAnsi="Arial" w:cs="Arial"/>
        </w:rPr>
        <w:footnoteRef/>
      </w:r>
      <w:r w:rsidRPr="005B7801">
        <w:rPr>
          <w:rFonts w:ascii="Arial" w:hAnsi="Arial" w:cs="Arial"/>
        </w:rPr>
        <w:t xml:space="preserve"> </w:t>
      </w:r>
      <w:r w:rsidRPr="005B7801">
        <w:rPr>
          <w:rFonts w:ascii="Arial" w:hAnsi="Arial" w:cs="Arial"/>
          <w:color w:val="242121"/>
          <w:shd w:val="clear" w:color="auto" w:fill="FFFFFF"/>
        </w:rPr>
        <w:t>In Francois du Bois (ed) </w:t>
      </w:r>
      <w:r w:rsidRPr="005B7801">
        <w:rPr>
          <w:rFonts w:ascii="Arial" w:hAnsi="Arial" w:cs="Arial"/>
          <w:i/>
          <w:iCs/>
          <w:color w:val="242121"/>
          <w:shd w:val="clear" w:color="auto" w:fill="FFFFFF"/>
        </w:rPr>
        <w:t>Wille’s Principles of South African Law</w:t>
      </w:r>
      <w:r w:rsidRPr="005B7801">
        <w:rPr>
          <w:rFonts w:ascii="Arial" w:hAnsi="Arial" w:cs="Arial"/>
          <w:color w:val="242121"/>
          <w:shd w:val="clear" w:color="auto" w:fill="FFFFFF"/>
        </w:rPr>
        <w:t> (9 ed) at 10</w:t>
      </w:r>
      <w:r>
        <w:rPr>
          <w:rFonts w:ascii="Arial" w:hAnsi="Arial" w:cs="Arial"/>
          <w:color w:val="242121"/>
          <w:shd w:val="clear" w:color="auto" w:fill="FFFFFF"/>
        </w:rPr>
        <w:t>59</w:t>
      </w:r>
      <w:r w:rsidR="000006B7">
        <w:rPr>
          <w:rFonts w:ascii="Arial" w:hAnsi="Arial" w:cs="Arial"/>
          <w:color w:val="242121"/>
          <w:shd w:val="clear" w:color="auto" w:fill="FFFFFF"/>
        </w:rPr>
        <w:t>.</w:t>
      </w:r>
    </w:p>
  </w:footnote>
  <w:footnote w:id="13">
    <w:p w:rsidR="00184BCA" w:rsidRPr="005B7801" w:rsidRDefault="00184BCA" w:rsidP="00184BCA">
      <w:pPr>
        <w:pStyle w:val="FootnoteText"/>
        <w:rPr>
          <w:rFonts w:ascii="Arial" w:hAnsi="Arial" w:cs="Arial"/>
        </w:rPr>
      </w:pPr>
      <w:r w:rsidRPr="005B7801">
        <w:rPr>
          <w:rStyle w:val="FootnoteReference"/>
          <w:rFonts w:ascii="Arial" w:hAnsi="Arial" w:cs="Arial"/>
        </w:rPr>
        <w:footnoteRef/>
      </w:r>
      <w:r w:rsidRPr="005B7801">
        <w:rPr>
          <w:rFonts w:ascii="Arial" w:hAnsi="Arial" w:cs="Arial"/>
        </w:rPr>
        <w:t xml:space="preserve"> </w:t>
      </w:r>
      <w:r w:rsidRPr="005B7801">
        <w:rPr>
          <w:rFonts w:ascii="Arial" w:hAnsi="Arial" w:cs="Arial"/>
          <w:color w:val="242121"/>
          <w:shd w:val="clear" w:color="auto" w:fill="FFFFFF"/>
        </w:rPr>
        <w:t>1979 (1) SA 225 (N).</w:t>
      </w:r>
    </w:p>
  </w:footnote>
  <w:footnote w:id="14">
    <w:p w:rsidR="00184BCA" w:rsidRPr="005B7801" w:rsidRDefault="00184BCA" w:rsidP="00184BCA">
      <w:pPr>
        <w:pStyle w:val="FootnoteText"/>
        <w:rPr>
          <w:rFonts w:ascii="Arial" w:hAnsi="Arial" w:cs="Arial"/>
        </w:rPr>
      </w:pPr>
      <w:r w:rsidRPr="005B7801">
        <w:rPr>
          <w:rStyle w:val="FootnoteReference"/>
          <w:rFonts w:ascii="Arial" w:hAnsi="Arial" w:cs="Arial"/>
        </w:rPr>
        <w:footnoteRef/>
      </w:r>
      <w:r w:rsidRPr="005B7801">
        <w:rPr>
          <w:rFonts w:ascii="Arial" w:hAnsi="Arial" w:cs="Arial"/>
        </w:rPr>
        <w:t xml:space="preserve"> Supra at </w:t>
      </w:r>
      <w:r w:rsidRPr="005B7801">
        <w:rPr>
          <w:rFonts w:ascii="Arial" w:hAnsi="Arial" w:cs="Arial"/>
          <w:color w:val="242121"/>
          <w:shd w:val="clear" w:color="auto" w:fill="FFFFFF"/>
        </w:rPr>
        <w:t>229B-E. Also see Jacques Du Plessis </w:t>
      </w:r>
      <w:r w:rsidRPr="005B7801">
        <w:rPr>
          <w:rFonts w:ascii="Arial" w:hAnsi="Arial" w:cs="Arial"/>
          <w:i/>
          <w:iCs/>
          <w:color w:val="242121"/>
          <w:shd w:val="clear" w:color="auto" w:fill="FFFFFF"/>
        </w:rPr>
        <w:t>The South African Law of Unjustified Enrichment</w:t>
      </w:r>
      <w:r w:rsidRPr="005B7801">
        <w:rPr>
          <w:rFonts w:ascii="Arial" w:hAnsi="Arial" w:cs="Arial"/>
          <w:color w:val="242121"/>
          <w:shd w:val="clear" w:color="auto" w:fill="FFFFFF"/>
        </w:rPr>
        <w:t> at 159.</w:t>
      </w:r>
    </w:p>
  </w:footnote>
  <w:footnote w:id="15">
    <w:p w:rsidR="00184BCA" w:rsidRPr="001A58E6" w:rsidRDefault="00184BCA" w:rsidP="00184BCA">
      <w:pPr>
        <w:pStyle w:val="FootnoteText"/>
        <w:rPr>
          <w:rFonts w:ascii="Arial" w:hAnsi="Arial" w:cs="Arial"/>
        </w:rPr>
      </w:pPr>
      <w:r w:rsidRPr="001A58E6">
        <w:rPr>
          <w:rStyle w:val="FootnoteReference"/>
          <w:rFonts w:ascii="Arial" w:hAnsi="Arial" w:cs="Arial"/>
        </w:rPr>
        <w:footnoteRef/>
      </w:r>
      <w:r w:rsidRPr="001A58E6">
        <w:rPr>
          <w:rFonts w:ascii="Arial" w:hAnsi="Arial" w:cs="Arial"/>
        </w:rPr>
        <w:t xml:space="preserve"> 1</w:t>
      </w:r>
      <w:r w:rsidRPr="001A58E6">
        <w:rPr>
          <w:rFonts w:ascii="Arial" w:hAnsi="Arial" w:cs="Arial"/>
          <w:vertAlign w:val="superscript"/>
        </w:rPr>
        <w:t>st</w:t>
      </w:r>
      <w:r w:rsidRPr="001A58E6">
        <w:rPr>
          <w:rFonts w:ascii="Arial" w:hAnsi="Arial" w:cs="Arial"/>
        </w:rPr>
        <w:t xml:space="preserve"> Ed (re-print 2015) at p 97</w:t>
      </w:r>
    </w:p>
  </w:footnote>
  <w:footnote w:id="16">
    <w:p w:rsidR="00184BCA" w:rsidRPr="001A58E6" w:rsidRDefault="00184BCA" w:rsidP="00184BCA">
      <w:pPr>
        <w:pStyle w:val="FootnoteText"/>
        <w:rPr>
          <w:rFonts w:ascii="Arial" w:hAnsi="Arial" w:cs="Arial"/>
        </w:rPr>
      </w:pPr>
      <w:r w:rsidRPr="001A58E6">
        <w:rPr>
          <w:rStyle w:val="FootnoteReference"/>
          <w:rFonts w:ascii="Arial" w:hAnsi="Arial" w:cs="Arial"/>
        </w:rPr>
        <w:footnoteRef/>
      </w:r>
      <w:r w:rsidRPr="001A58E6">
        <w:rPr>
          <w:rFonts w:ascii="Arial" w:hAnsi="Arial" w:cs="Arial"/>
        </w:rPr>
        <w:t xml:space="preserve"> De Vos  </w:t>
      </w:r>
      <w:r w:rsidRPr="001A58E6">
        <w:rPr>
          <w:rFonts w:ascii="Arial" w:hAnsi="Arial" w:cs="Arial"/>
          <w:i/>
          <w:iCs/>
          <w:shd w:val="clear" w:color="auto" w:fill="FFFFFF"/>
        </w:rPr>
        <w:t>Verrykingsaanspreeklikheid in die Suid-Afrikaanse Reg</w:t>
      </w:r>
      <w:r w:rsidRPr="001A58E6">
        <w:rPr>
          <w:rFonts w:ascii="Arial" w:hAnsi="Arial" w:cs="Arial"/>
          <w:iCs/>
          <w:shd w:val="clear" w:color="auto" w:fill="FFFFFF"/>
        </w:rPr>
        <w:t xml:space="preserve"> 2</w:t>
      </w:r>
      <w:r w:rsidRPr="001A58E6">
        <w:rPr>
          <w:rFonts w:ascii="Arial" w:hAnsi="Arial" w:cs="Arial"/>
          <w:iCs/>
          <w:shd w:val="clear" w:color="auto" w:fill="FFFFFF"/>
          <w:vertAlign w:val="superscript"/>
        </w:rPr>
        <w:t>nd</w:t>
      </w:r>
      <w:r w:rsidRPr="001A58E6">
        <w:rPr>
          <w:rFonts w:ascii="Arial" w:hAnsi="Arial" w:cs="Arial"/>
          <w:iCs/>
          <w:shd w:val="clear" w:color="auto" w:fill="FFFFFF"/>
        </w:rPr>
        <w:t xml:space="preserve"> ed at 183 quoted with approval in  </w:t>
      </w:r>
      <w:r w:rsidRPr="001A58E6">
        <w:rPr>
          <w:rFonts w:ascii="Arial" w:hAnsi="Arial" w:cs="Arial"/>
          <w:bCs/>
          <w:i/>
          <w:iCs/>
          <w:shd w:val="clear" w:color="auto" w:fill="FFFFFF"/>
        </w:rPr>
        <w:t>African    Diamond    Exporters    (Pty)   ltd    v   Barclays    Bank International Ltd</w:t>
      </w:r>
      <w:r w:rsidRPr="001A58E6">
        <w:rPr>
          <w:rFonts w:ascii="Arial" w:hAnsi="Arial" w:cs="Arial"/>
          <w:bCs/>
          <w:iCs/>
          <w:shd w:val="clear" w:color="auto" w:fill="FFFFFF"/>
        </w:rPr>
        <w:t xml:space="preserve"> 197</w:t>
      </w:r>
      <w:hyperlink r:id="rId1" w:tooltip="View LawCiteRecord" w:history="1">
        <w:r w:rsidRPr="001A58E6">
          <w:rPr>
            <w:rStyle w:val="Hyperlink"/>
            <w:rFonts w:ascii="Arial" w:hAnsi="Arial" w:cs="Arial"/>
            <w:bCs/>
            <w:color w:val="auto"/>
            <w:u w:val="none"/>
            <w:shd w:val="clear" w:color="auto" w:fill="FFFFFF"/>
          </w:rPr>
          <w:t>8</w:t>
        </w:r>
      </w:hyperlink>
      <w:r w:rsidRPr="001A58E6">
        <w:rPr>
          <w:rFonts w:ascii="Arial" w:hAnsi="Arial" w:cs="Arial"/>
          <w:bCs/>
          <w:iCs/>
          <w:shd w:val="clear" w:color="auto" w:fill="FFFFFF"/>
        </w:rPr>
        <w:t xml:space="preserve"> (A) </w:t>
      </w:r>
      <w:r w:rsidRPr="001A58E6">
        <w:rPr>
          <w:rFonts w:ascii="Arial" w:hAnsi="Arial" w:cs="Arial"/>
          <w:iCs/>
          <w:shd w:val="clear" w:color="auto" w:fill="FFFFFF"/>
        </w:rPr>
        <w:t>at 713 G-H</w:t>
      </w:r>
    </w:p>
  </w:footnote>
  <w:footnote w:id="17">
    <w:p w:rsidR="00184BCA" w:rsidRPr="001A58E6" w:rsidRDefault="00184BCA" w:rsidP="00184BCA">
      <w:pPr>
        <w:pStyle w:val="FootnoteText"/>
        <w:rPr>
          <w:rFonts w:ascii="Arial" w:hAnsi="Arial" w:cs="Arial"/>
        </w:rPr>
      </w:pPr>
      <w:r w:rsidRPr="001A58E6">
        <w:rPr>
          <w:rStyle w:val="FootnoteReference"/>
          <w:rFonts w:ascii="Arial" w:hAnsi="Arial" w:cs="Arial"/>
        </w:rPr>
        <w:footnoteRef/>
      </w:r>
      <w:r w:rsidRPr="001A58E6">
        <w:rPr>
          <w:rFonts w:ascii="Arial" w:hAnsi="Arial" w:cs="Arial"/>
        </w:rPr>
        <w:t xml:space="preserve"> 2018(1) SA 513 (SCA) at para 27.</w:t>
      </w:r>
    </w:p>
  </w:footnote>
  <w:footnote w:id="18">
    <w:p w:rsidR="00184BCA" w:rsidRPr="00794450" w:rsidRDefault="00184BCA" w:rsidP="00184BCA">
      <w:pPr>
        <w:pStyle w:val="FootnoteText"/>
        <w:rPr>
          <w:rFonts w:ascii="Arial" w:hAnsi="Arial" w:cs="Arial"/>
        </w:rPr>
      </w:pPr>
      <w:r w:rsidRPr="00794450">
        <w:rPr>
          <w:rStyle w:val="FootnoteReference"/>
          <w:rFonts w:ascii="Arial" w:hAnsi="Arial" w:cs="Arial"/>
        </w:rPr>
        <w:footnoteRef/>
      </w:r>
      <w:r w:rsidRPr="00794450">
        <w:rPr>
          <w:rFonts w:ascii="Arial" w:hAnsi="Arial" w:cs="Arial"/>
        </w:rPr>
        <w:t xml:space="preserve"> Particulars of claim at para 20.</w:t>
      </w:r>
    </w:p>
  </w:footnote>
  <w:footnote w:id="19">
    <w:p w:rsidR="00184BCA" w:rsidRDefault="00184BCA" w:rsidP="00184BCA">
      <w:pPr>
        <w:pStyle w:val="FootnoteText"/>
      </w:pPr>
      <w:r w:rsidRPr="00794450">
        <w:rPr>
          <w:rStyle w:val="FootnoteReference"/>
          <w:rFonts w:ascii="Arial" w:hAnsi="Arial" w:cs="Arial"/>
        </w:rPr>
        <w:footnoteRef/>
      </w:r>
      <w:r w:rsidRPr="00794450">
        <w:rPr>
          <w:rFonts w:ascii="Arial" w:hAnsi="Arial" w:cs="Arial"/>
        </w:rPr>
        <w:t xml:space="preserve"> Par</w:t>
      </w:r>
      <w:r>
        <w:rPr>
          <w:rFonts w:ascii="Arial" w:hAnsi="Arial" w:cs="Arial"/>
        </w:rPr>
        <w:t>t</w:t>
      </w:r>
      <w:r w:rsidRPr="00794450">
        <w:rPr>
          <w:rFonts w:ascii="Arial" w:hAnsi="Arial" w:cs="Arial"/>
        </w:rPr>
        <w:t>iculars of claim at para 21.</w:t>
      </w:r>
    </w:p>
  </w:footnote>
  <w:footnote w:id="20">
    <w:p w:rsidR="00184BCA" w:rsidRDefault="00184BCA" w:rsidP="00184BCA">
      <w:pPr>
        <w:pStyle w:val="FootnoteText"/>
      </w:pPr>
      <w:r>
        <w:rPr>
          <w:rStyle w:val="FootnoteReference"/>
        </w:rPr>
        <w:footnoteRef/>
      </w:r>
      <w:r>
        <w:t xml:space="preserve"> </w:t>
      </w:r>
      <w:r w:rsidRPr="00DD066A">
        <w:rPr>
          <w:rFonts w:ascii="Arial" w:hAnsi="Arial" w:cs="Arial"/>
        </w:rPr>
        <w:t xml:space="preserve">See discussion in para </w:t>
      </w:r>
      <w:r w:rsidR="00A27D83">
        <w:rPr>
          <w:rFonts w:ascii="Arial" w:hAnsi="Arial" w:cs="Arial"/>
        </w:rPr>
        <w:t>15</w:t>
      </w:r>
      <w:r w:rsidRPr="00DD066A">
        <w:rPr>
          <w:rFonts w:ascii="Arial" w:hAnsi="Arial" w:cs="Arial"/>
        </w:rPr>
        <w:t xml:space="preserve"> of this ruling.</w:t>
      </w:r>
      <w:r>
        <w:t xml:space="preserve"> </w:t>
      </w:r>
    </w:p>
  </w:footnote>
  <w:footnote w:id="21">
    <w:p w:rsidR="00184BCA" w:rsidRPr="00095FE7" w:rsidRDefault="00184BCA" w:rsidP="00184BCA">
      <w:pPr>
        <w:pStyle w:val="FootnoteText"/>
        <w:rPr>
          <w:rFonts w:ascii="Arial" w:hAnsi="Arial" w:cs="Arial"/>
        </w:rPr>
      </w:pPr>
      <w:r>
        <w:rPr>
          <w:rStyle w:val="FootnoteReference"/>
        </w:rPr>
        <w:footnoteRef/>
      </w:r>
      <w:r>
        <w:t xml:space="preserve"> </w:t>
      </w:r>
      <w:r w:rsidRPr="00095FE7">
        <w:rPr>
          <w:rFonts w:ascii="Arial" w:hAnsi="Arial" w:cs="Arial"/>
          <w:i/>
        </w:rPr>
        <w:t>Radial Truss (Pty) Ltd</w:t>
      </w:r>
      <w:r w:rsidR="000006B7">
        <w:rPr>
          <w:rFonts w:ascii="Arial" w:hAnsi="Arial" w:cs="Arial"/>
        </w:rPr>
        <w:t xml:space="preserve"> </w:t>
      </w:r>
      <w:r w:rsidRPr="00095FE7">
        <w:rPr>
          <w:rFonts w:ascii="Arial" w:hAnsi="Arial" w:cs="Arial"/>
        </w:rPr>
        <w:t xml:space="preserve">supra at footnote </w:t>
      </w:r>
      <w:r w:rsidR="00A27D83">
        <w:rPr>
          <w:rFonts w:ascii="Arial" w:hAnsi="Arial" w:cs="Arial"/>
        </w:rPr>
        <w:t>5</w:t>
      </w:r>
      <w:r w:rsidRPr="00095FE7">
        <w:rPr>
          <w:rFonts w:ascii="Arial" w:hAnsi="Arial" w:cs="Arial"/>
        </w:rPr>
        <w:t>.</w:t>
      </w:r>
    </w:p>
  </w:footnote>
  <w:footnote w:id="22">
    <w:p w:rsidR="00184BCA" w:rsidRDefault="00184BCA" w:rsidP="00184BCA">
      <w:pPr>
        <w:pStyle w:val="FootnoteText"/>
      </w:pPr>
      <w:r w:rsidRPr="00095FE7">
        <w:rPr>
          <w:rStyle w:val="FootnoteReference"/>
          <w:rFonts w:ascii="Arial" w:hAnsi="Arial" w:cs="Arial"/>
        </w:rPr>
        <w:footnoteRef/>
      </w:r>
      <w:r w:rsidRPr="00095FE7">
        <w:rPr>
          <w:rFonts w:ascii="Arial" w:hAnsi="Arial" w:cs="Arial"/>
        </w:rPr>
        <w:t xml:space="preserve"> Supra footnote</w:t>
      </w:r>
      <w:r w:rsidR="00A27D83">
        <w:rPr>
          <w:rFonts w:ascii="Arial" w:hAnsi="Arial" w:cs="Arial"/>
        </w:rPr>
        <w:t xml:space="preserve"> 5</w:t>
      </w:r>
      <w:r w:rsidRPr="00095FE7">
        <w:rPr>
          <w:rFonts w:ascii="Arial" w:hAnsi="Arial" w:cs="Arial"/>
        </w:rPr>
        <w:t>. Footnotes omitted from quotation.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553556"/>
      <w:docPartObj>
        <w:docPartGallery w:val="Page Numbers (Top of Page)"/>
        <w:docPartUnique/>
      </w:docPartObj>
    </w:sdtPr>
    <w:sdtEndPr>
      <w:rPr>
        <w:noProof/>
      </w:rPr>
    </w:sdtEndPr>
    <w:sdtContent>
      <w:p w:rsidR="00514A9E" w:rsidRDefault="00514A9E">
        <w:pPr>
          <w:pStyle w:val="Header"/>
          <w:jc w:val="right"/>
        </w:pPr>
        <w:r>
          <w:fldChar w:fldCharType="begin"/>
        </w:r>
        <w:r>
          <w:instrText xml:space="preserve"> PAGE   \* MERGEFORMAT </w:instrText>
        </w:r>
        <w:r>
          <w:fldChar w:fldCharType="separate"/>
        </w:r>
        <w:r w:rsidR="00E55EA6">
          <w:rPr>
            <w:noProof/>
          </w:rPr>
          <w:t>19</w:t>
        </w:r>
        <w:r>
          <w:rPr>
            <w:noProof/>
          </w:rPr>
          <w:fldChar w:fldCharType="end"/>
        </w:r>
      </w:p>
    </w:sdtContent>
  </w:sdt>
  <w:p w:rsidR="00514A9E" w:rsidRDefault="0051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53425D2A"/>
    <w:multiLevelType w:val="multilevel"/>
    <w:tmpl w:val="A078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8"/>
    <w:rsid w:val="000006B7"/>
    <w:rsid w:val="000351E3"/>
    <w:rsid w:val="00077F15"/>
    <w:rsid w:val="00090A8C"/>
    <w:rsid w:val="000F1248"/>
    <w:rsid w:val="00141B1E"/>
    <w:rsid w:val="001473E3"/>
    <w:rsid w:val="0016635E"/>
    <w:rsid w:val="00180B32"/>
    <w:rsid w:val="00184BCA"/>
    <w:rsid w:val="001A58E6"/>
    <w:rsid w:val="001D637A"/>
    <w:rsid w:val="00280777"/>
    <w:rsid w:val="00326A04"/>
    <w:rsid w:val="003340B1"/>
    <w:rsid w:val="003B4F6D"/>
    <w:rsid w:val="0040205E"/>
    <w:rsid w:val="00461C40"/>
    <w:rsid w:val="00481DEC"/>
    <w:rsid w:val="004F52C4"/>
    <w:rsid w:val="00514A9E"/>
    <w:rsid w:val="00543B24"/>
    <w:rsid w:val="005540EF"/>
    <w:rsid w:val="00556311"/>
    <w:rsid w:val="005A570C"/>
    <w:rsid w:val="0060011B"/>
    <w:rsid w:val="00600551"/>
    <w:rsid w:val="00660B4F"/>
    <w:rsid w:val="00751119"/>
    <w:rsid w:val="007D2117"/>
    <w:rsid w:val="008010DC"/>
    <w:rsid w:val="00854DFE"/>
    <w:rsid w:val="008D40BF"/>
    <w:rsid w:val="0092374D"/>
    <w:rsid w:val="009618A0"/>
    <w:rsid w:val="00A2075B"/>
    <w:rsid w:val="00A27D83"/>
    <w:rsid w:val="00B70462"/>
    <w:rsid w:val="00B83AB8"/>
    <w:rsid w:val="00BB67E0"/>
    <w:rsid w:val="00BD2ED4"/>
    <w:rsid w:val="00BE5084"/>
    <w:rsid w:val="00C03E43"/>
    <w:rsid w:val="00CD7ABB"/>
    <w:rsid w:val="00D76E97"/>
    <w:rsid w:val="00DD47F1"/>
    <w:rsid w:val="00DF4FF6"/>
    <w:rsid w:val="00E143F8"/>
    <w:rsid w:val="00E55EA6"/>
    <w:rsid w:val="00F40025"/>
    <w:rsid w:val="00F41C10"/>
    <w:rsid w:val="00F7452D"/>
    <w:rsid w:val="00F95DDF"/>
    <w:rsid w:val="00FF1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D5F87-1F11-4B30-BAF7-643D1AD2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B8"/>
    <w:rPr>
      <w:lang w:val="en-US"/>
    </w:rPr>
  </w:style>
  <w:style w:type="paragraph" w:styleId="Heading1">
    <w:name w:val="heading 1"/>
    <w:basedOn w:val="Normal"/>
    <w:next w:val="Normal"/>
    <w:link w:val="Heading1Char"/>
    <w:qFormat/>
    <w:rsid w:val="00184BCA"/>
    <w:pPr>
      <w:widowControl w:val="0"/>
      <w:numPr>
        <w:numId w:val="2"/>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184BCA"/>
    <w:pPr>
      <w:widowControl w:val="0"/>
      <w:numPr>
        <w:ilvl w:val="2"/>
        <w:numId w:val="2"/>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184BCA"/>
    <w:pPr>
      <w:widowControl w:val="0"/>
      <w:numPr>
        <w:ilvl w:val="3"/>
        <w:numId w:val="2"/>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184BCA"/>
    <w:pPr>
      <w:widowControl w:val="0"/>
      <w:numPr>
        <w:ilvl w:val="4"/>
        <w:numId w:val="2"/>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184BCA"/>
    <w:pPr>
      <w:widowControl w:val="0"/>
      <w:numPr>
        <w:ilvl w:val="5"/>
        <w:numId w:val="2"/>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184BCA"/>
    <w:pPr>
      <w:widowControl w:val="0"/>
      <w:numPr>
        <w:ilvl w:val="6"/>
        <w:numId w:val="2"/>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184BCA"/>
    <w:pPr>
      <w:widowControl w:val="0"/>
      <w:numPr>
        <w:ilvl w:val="7"/>
        <w:numId w:val="2"/>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184BCA"/>
    <w:pPr>
      <w:widowControl w:val="0"/>
      <w:numPr>
        <w:ilvl w:val="8"/>
        <w:numId w:val="2"/>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B704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unhideWhenUsed/>
    <w:rsid w:val="00B704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B70462"/>
    <w:rPr>
      <w:b/>
      <w:bCs/>
    </w:rPr>
  </w:style>
  <w:style w:type="paragraph" w:styleId="FootnoteText">
    <w:name w:val="footnote text"/>
    <w:basedOn w:val="Normal"/>
    <w:link w:val="FootnoteTextChar"/>
    <w:unhideWhenUsed/>
    <w:rsid w:val="003340B1"/>
    <w:pPr>
      <w:spacing w:after="0" w:line="240" w:lineRule="auto"/>
    </w:pPr>
    <w:rPr>
      <w:sz w:val="20"/>
      <w:szCs w:val="20"/>
    </w:rPr>
  </w:style>
  <w:style w:type="character" w:customStyle="1" w:styleId="FootnoteTextChar">
    <w:name w:val="Footnote Text Char"/>
    <w:basedOn w:val="DefaultParagraphFont"/>
    <w:link w:val="FootnoteText"/>
    <w:rsid w:val="003340B1"/>
    <w:rPr>
      <w:sz w:val="20"/>
      <w:szCs w:val="20"/>
      <w:lang w:val="en-US"/>
    </w:rPr>
  </w:style>
  <w:style w:type="character" w:styleId="FootnoteReference">
    <w:name w:val="footnote reference"/>
    <w:basedOn w:val="DefaultParagraphFont"/>
    <w:unhideWhenUsed/>
    <w:rsid w:val="003340B1"/>
    <w:rPr>
      <w:vertAlign w:val="superscript"/>
    </w:rPr>
  </w:style>
  <w:style w:type="character" w:customStyle="1" w:styleId="Heading1Char">
    <w:name w:val="Heading 1 Char"/>
    <w:basedOn w:val="DefaultParagraphFont"/>
    <w:link w:val="Heading1"/>
    <w:rsid w:val="00184BCA"/>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184BCA"/>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184BCA"/>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184BCA"/>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184BCA"/>
    <w:rPr>
      <w:rFonts w:ascii="Arial" w:eastAsia="Times New Roman" w:hAnsi="Arial" w:cs="Arial"/>
      <w:i/>
      <w:spacing w:val="-3"/>
      <w:szCs w:val="24"/>
      <w:lang w:val="en-GB"/>
    </w:rPr>
  </w:style>
  <w:style w:type="character" w:customStyle="1" w:styleId="Heading7Char">
    <w:name w:val="Heading 7 Char"/>
    <w:basedOn w:val="DefaultParagraphFont"/>
    <w:link w:val="Heading7"/>
    <w:rsid w:val="00184BCA"/>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184BCA"/>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184BCA"/>
    <w:rPr>
      <w:rFonts w:ascii="Arial" w:eastAsia="Times New Roman" w:hAnsi="Arial" w:cs="Arial"/>
      <w:i/>
      <w:spacing w:val="-3"/>
      <w:sz w:val="18"/>
      <w:szCs w:val="24"/>
      <w:lang w:val="en-GB"/>
    </w:rPr>
  </w:style>
  <w:style w:type="character" w:styleId="Hyperlink">
    <w:name w:val="Hyperlink"/>
    <w:basedOn w:val="DefaultParagraphFont"/>
    <w:uiPriority w:val="99"/>
    <w:semiHidden/>
    <w:unhideWhenUsed/>
    <w:rsid w:val="00184BCA"/>
    <w:rPr>
      <w:color w:val="0000FF"/>
      <w:u w:val="single"/>
    </w:rPr>
  </w:style>
  <w:style w:type="paragraph" w:customStyle="1" w:styleId="rteindent2">
    <w:name w:val="rteindent2"/>
    <w:basedOn w:val="Normal"/>
    <w:rsid w:val="00184BC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rteindent3">
    <w:name w:val="rteindent3"/>
    <w:basedOn w:val="Normal"/>
    <w:rsid w:val="00184BC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84BCA"/>
    <w:rPr>
      <w:i/>
      <w:iCs/>
    </w:rPr>
  </w:style>
  <w:style w:type="paragraph" w:customStyle="1" w:styleId="LegalList1">
    <w:name w:val="Legal_List1"/>
    <w:basedOn w:val="Normal"/>
    <w:semiHidden/>
    <w:rsid w:val="00184BCA"/>
    <w:pPr>
      <w:suppressAutoHyphens/>
      <w:spacing w:after="360" w:line="480" w:lineRule="auto"/>
      <w:jc w:val="both"/>
      <w:outlineLvl w:val="0"/>
    </w:pPr>
    <w:rPr>
      <w:rFonts w:ascii="Arial" w:eastAsia="Times New Roman" w:hAnsi="Arial" w:cs="Times New Roman"/>
      <w:sz w:val="24"/>
      <w:szCs w:val="24"/>
      <w:lang w:val="en-GB" w:eastAsia="en-GB"/>
    </w:rPr>
  </w:style>
  <w:style w:type="paragraph" w:styleId="Header">
    <w:name w:val="header"/>
    <w:basedOn w:val="Normal"/>
    <w:link w:val="HeaderChar"/>
    <w:uiPriority w:val="99"/>
    <w:unhideWhenUsed/>
    <w:rsid w:val="00554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EF"/>
    <w:rPr>
      <w:lang w:val="en-US"/>
    </w:rPr>
  </w:style>
  <w:style w:type="paragraph" w:styleId="Footer">
    <w:name w:val="footer"/>
    <w:basedOn w:val="Normal"/>
    <w:link w:val="FooterChar"/>
    <w:uiPriority w:val="99"/>
    <w:unhideWhenUsed/>
    <w:rsid w:val="00554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EF"/>
    <w:rPr>
      <w:lang w:val="en-US"/>
    </w:rPr>
  </w:style>
  <w:style w:type="paragraph" w:styleId="BalloonText">
    <w:name w:val="Balloon Text"/>
    <w:basedOn w:val="Normal"/>
    <w:link w:val="BalloonTextChar"/>
    <w:uiPriority w:val="99"/>
    <w:semiHidden/>
    <w:unhideWhenUsed/>
    <w:rsid w:val="0051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info/cgi-bin/LawCite?cit=8%20%283%29%20SA%20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2020-10-27T18:30:00+00:00</Judgment_x0020_Date>
    <Year xmlns="c1afb1bd-f2fb-40fd-9abb-aea55b4d7662">2020</Year>
  </documentManagement>
</p:properties>
</file>

<file path=customXml/itemProps1.xml><?xml version="1.0" encoding="utf-8"?>
<ds:datastoreItem xmlns:ds="http://schemas.openxmlformats.org/officeDocument/2006/customXml" ds:itemID="{22F8F57A-1250-4F05-8C00-47A85C093446}"/>
</file>

<file path=customXml/itemProps2.xml><?xml version="1.0" encoding="utf-8"?>
<ds:datastoreItem xmlns:ds="http://schemas.openxmlformats.org/officeDocument/2006/customXml" ds:itemID="{CCD28134-2E1F-42D7-9015-1F890EEE880A}"/>
</file>

<file path=customXml/itemProps3.xml><?xml version="1.0" encoding="utf-8"?>
<ds:datastoreItem xmlns:ds="http://schemas.openxmlformats.org/officeDocument/2006/customXml" ds:itemID="{A704CB4F-C147-4CFA-9FE9-64607BFA195D}"/>
</file>

<file path=customXml/itemProps4.xml><?xml version="1.0" encoding="utf-8"?>
<ds:datastoreItem xmlns:ds="http://schemas.openxmlformats.org/officeDocument/2006/customXml" ds:itemID="{B565DDFB-DB6B-41D2-9C84-C86104A6934A}"/>
</file>

<file path=docProps/app.xml><?xml version="1.0" encoding="utf-8"?>
<Properties xmlns="http://schemas.openxmlformats.org/officeDocument/2006/extended-properties" xmlns:vt="http://schemas.openxmlformats.org/officeDocument/2006/docPropsVTypes">
  <Template>Normal</Template>
  <TotalTime>1</TotalTime>
  <Pages>21</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Bruni v Kahunda (HC-MD-CIV-ACT-OTH-2020-02269) [2020] NAHCMD 591 (28 October 2020)</dc:title>
  <dc:subject/>
  <dc:creator>Prinsloo Hannelie</dc:creator>
  <cp:keywords/>
  <dc:description/>
  <cp:lastModifiedBy>Administrator</cp:lastModifiedBy>
  <cp:revision>3</cp:revision>
  <cp:lastPrinted>2020-12-09T09:42:00Z</cp:lastPrinted>
  <dcterms:created xsi:type="dcterms:W3CDTF">2020-12-09T14:30:00Z</dcterms:created>
  <dcterms:modified xsi:type="dcterms:W3CDTF">2020-12-09T14:31:00Z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