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23FB" w14:textId="77777777" w:rsidR="003D1356" w:rsidRDefault="003D1356" w:rsidP="005926C6">
      <w:pPr>
        <w:spacing w:after="0" w:line="360" w:lineRule="auto"/>
        <w:jc w:val="center"/>
        <w:rPr>
          <w:rFonts w:ascii="Arial" w:eastAsia="MS Mincho" w:hAnsi="Arial" w:cs="Arial"/>
          <w:b/>
          <w:sz w:val="24"/>
          <w:szCs w:val="24"/>
          <w:lang w:val="en-GB"/>
        </w:rPr>
      </w:pPr>
      <w:bookmarkStart w:id="0" w:name="_GoBack"/>
      <w:bookmarkEnd w:id="0"/>
    </w:p>
    <w:p w14:paraId="213F12E7" w14:textId="77777777" w:rsidR="007970FB" w:rsidRPr="007970FB" w:rsidRDefault="007970FB" w:rsidP="005926C6">
      <w:pPr>
        <w:spacing w:after="0" w:line="360" w:lineRule="auto"/>
        <w:jc w:val="center"/>
        <w:rPr>
          <w:rFonts w:ascii="Arial" w:eastAsia="MS Mincho" w:hAnsi="Arial" w:cs="Arial"/>
          <w:b/>
          <w:sz w:val="24"/>
          <w:szCs w:val="24"/>
          <w:lang w:val="en-GB"/>
        </w:rPr>
      </w:pPr>
      <w:r w:rsidRPr="007970FB">
        <w:rPr>
          <w:rFonts w:ascii="Arial" w:eastAsia="MS Mincho" w:hAnsi="Arial" w:cs="Arial"/>
          <w:b/>
          <w:sz w:val="24"/>
          <w:szCs w:val="24"/>
          <w:lang w:val="en-GB"/>
        </w:rPr>
        <w:t xml:space="preserve">REPUBLIC OF NAMIBIA                               </w:t>
      </w:r>
    </w:p>
    <w:p w14:paraId="0BC4F3AD" w14:textId="77777777" w:rsidR="007970FB" w:rsidRPr="007970FB" w:rsidRDefault="007970FB" w:rsidP="005926C6">
      <w:pPr>
        <w:spacing w:after="0" w:line="360" w:lineRule="auto"/>
        <w:jc w:val="center"/>
        <w:rPr>
          <w:rFonts w:ascii="Arial" w:eastAsia="MS Mincho" w:hAnsi="Arial" w:cs="Arial"/>
          <w:b/>
          <w:sz w:val="24"/>
          <w:szCs w:val="24"/>
          <w:lang w:val="en-GB"/>
        </w:rPr>
      </w:pPr>
    </w:p>
    <w:p w14:paraId="1DC4D977" w14:textId="77777777" w:rsidR="007970FB" w:rsidRPr="007970FB" w:rsidRDefault="007970FB" w:rsidP="005926C6">
      <w:pPr>
        <w:spacing w:after="0" w:line="360" w:lineRule="auto"/>
        <w:jc w:val="center"/>
        <w:rPr>
          <w:rFonts w:ascii="Arial" w:eastAsia="MS Mincho" w:hAnsi="Arial" w:cs="Arial"/>
          <w:b/>
          <w:sz w:val="24"/>
          <w:szCs w:val="24"/>
          <w:lang w:val="en-GB"/>
        </w:rPr>
      </w:pPr>
      <w:r w:rsidRPr="007970FB">
        <w:rPr>
          <w:rFonts w:ascii="Arial" w:eastAsia="MS Mincho" w:hAnsi="Arial" w:cs="Arial"/>
          <w:b/>
          <w:noProof/>
          <w:sz w:val="24"/>
          <w:szCs w:val="24"/>
          <w:lang w:val="en-ZA" w:eastAsia="en-ZA"/>
        </w:rPr>
        <w:drawing>
          <wp:inline distT="0" distB="0" distL="0" distR="0" wp14:anchorId="2A8E0BE0" wp14:editId="266A5D2E">
            <wp:extent cx="12763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14:paraId="23D764C0" w14:textId="77777777" w:rsidR="007970FB" w:rsidRPr="007970FB" w:rsidRDefault="007970FB" w:rsidP="005926C6">
      <w:pPr>
        <w:spacing w:after="0" w:line="360" w:lineRule="auto"/>
        <w:jc w:val="center"/>
        <w:rPr>
          <w:rFonts w:ascii="Arial" w:eastAsia="MS Mincho" w:hAnsi="Arial" w:cs="Arial"/>
          <w:b/>
          <w:sz w:val="24"/>
          <w:szCs w:val="24"/>
          <w:lang w:val="en-GB"/>
        </w:rPr>
      </w:pPr>
    </w:p>
    <w:p w14:paraId="6B01A2B5" w14:textId="6EBBF47B" w:rsidR="007970FB" w:rsidRPr="007970FB" w:rsidRDefault="007970FB" w:rsidP="005926C6">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HIGH</w:t>
      </w:r>
      <w:r w:rsidRPr="007970FB">
        <w:rPr>
          <w:rFonts w:ascii="Arial" w:eastAsia="MS Mincho" w:hAnsi="Arial" w:cs="Arial"/>
          <w:b/>
          <w:sz w:val="24"/>
          <w:szCs w:val="24"/>
          <w:lang w:val="en-GB"/>
        </w:rPr>
        <w:t xml:space="preserve"> COURT OF NAMIBIA, MAIN DIVISION, WINDHOEK</w:t>
      </w:r>
    </w:p>
    <w:p w14:paraId="38CBEB32" w14:textId="0105BDC7" w:rsidR="008F3D2D" w:rsidRPr="00CF67A4" w:rsidRDefault="009F3459" w:rsidP="005926C6">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JUDGMENT</w:t>
      </w:r>
      <w:r w:rsidR="00012737">
        <w:rPr>
          <w:rFonts w:ascii="Arial" w:eastAsia="MS Mincho" w:hAnsi="Arial" w:cs="Arial"/>
          <w:b/>
          <w:sz w:val="24"/>
          <w:szCs w:val="24"/>
          <w:lang w:val="en-GB"/>
        </w:rPr>
        <w:t xml:space="preserve"> </w:t>
      </w:r>
    </w:p>
    <w:p w14:paraId="020AB74F" w14:textId="77777777" w:rsidR="00B61400" w:rsidRDefault="00B61400" w:rsidP="005926C6">
      <w:pPr>
        <w:spacing w:after="0" w:line="360" w:lineRule="auto"/>
        <w:jc w:val="right"/>
        <w:rPr>
          <w:rFonts w:ascii="Arial" w:hAnsi="Arial" w:cs="Arial"/>
          <w:sz w:val="24"/>
          <w:szCs w:val="24"/>
        </w:rPr>
      </w:pPr>
    </w:p>
    <w:p w14:paraId="7026F284" w14:textId="77777777" w:rsidR="007970FB" w:rsidRDefault="00A2555A" w:rsidP="005926C6">
      <w:pPr>
        <w:spacing w:after="0" w:line="360" w:lineRule="auto"/>
        <w:jc w:val="right"/>
        <w:rPr>
          <w:rFonts w:ascii="Arial" w:hAnsi="Arial" w:cs="Arial"/>
          <w:sz w:val="24"/>
          <w:szCs w:val="24"/>
        </w:rPr>
      </w:pPr>
      <w:r>
        <w:rPr>
          <w:rFonts w:ascii="Arial" w:hAnsi="Arial" w:cs="Arial"/>
          <w:sz w:val="24"/>
          <w:szCs w:val="24"/>
        </w:rPr>
        <w:t>HC-MD-CIV-MOT-POCA-2018/00299</w:t>
      </w:r>
    </w:p>
    <w:p w14:paraId="2132A13A" w14:textId="77777777" w:rsidR="007970FB" w:rsidRDefault="007970FB" w:rsidP="005926C6">
      <w:pPr>
        <w:spacing w:after="0" w:line="360" w:lineRule="auto"/>
        <w:jc w:val="both"/>
        <w:rPr>
          <w:rFonts w:ascii="Arial" w:hAnsi="Arial" w:cs="Arial"/>
          <w:sz w:val="24"/>
          <w:szCs w:val="24"/>
        </w:rPr>
      </w:pPr>
      <w:r>
        <w:rPr>
          <w:rFonts w:ascii="Arial" w:hAnsi="Arial" w:cs="Arial"/>
          <w:sz w:val="24"/>
          <w:szCs w:val="24"/>
        </w:rPr>
        <w:t>In the matter between:</w:t>
      </w:r>
    </w:p>
    <w:p w14:paraId="2E5FEE6F" w14:textId="77777777" w:rsidR="00B61400" w:rsidRDefault="00B61400" w:rsidP="005926C6">
      <w:pPr>
        <w:spacing w:after="0" w:line="360" w:lineRule="auto"/>
        <w:jc w:val="both"/>
        <w:rPr>
          <w:rFonts w:ascii="Arial" w:hAnsi="Arial" w:cs="Arial"/>
          <w:sz w:val="24"/>
          <w:szCs w:val="24"/>
        </w:rPr>
      </w:pPr>
    </w:p>
    <w:p w14:paraId="314AF34A" w14:textId="77777777" w:rsidR="007970FB" w:rsidRDefault="007970FB" w:rsidP="005926C6">
      <w:pPr>
        <w:spacing w:after="0" w:line="360" w:lineRule="auto"/>
        <w:jc w:val="both"/>
        <w:rPr>
          <w:rFonts w:ascii="Arial" w:hAnsi="Arial" w:cs="Arial"/>
          <w:b/>
          <w:sz w:val="24"/>
          <w:szCs w:val="24"/>
        </w:rPr>
      </w:pPr>
      <w:r w:rsidRPr="007970FB">
        <w:rPr>
          <w:rFonts w:ascii="Arial" w:hAnsi="Arial" w:cs="Arial"/>
          <w:b/>
          <w:sz w:val="24"/>
          <w:szCs w:val="24"/>
        </w:rPr>
        <w:t>THE PROSECUTOR-GENERAL</w:t>
      </w:r>
      <w:r>
        <w:rPr>
          <w:rFonts w:ascii="Arial" w:hAnsi="Arial" w:cs="Arial"/>
          <w:b/>
          <w:sz w:val="24"/>
          <w:szCs w:val="24"/>
        </w:rPr>
        <w:t xml:space="preserve">                                                       </w:t>
      </w:r>
      <w:r w:rsidR="00A2555A">
        <w:rPr>
          <w:rFonts w:ascii="Arial" w:hAnsi="Arial" w:cs="Arial"/>
          <w:b/>
          <w:sz w:val="24"/>
          <w:szCs w:val="24"/>
        </w:rPr>
        <w:tab/>
      </w:r>
      <w:r w:rsidR="00A2555A">
        <w:rPr>
          <w:rFonts w:ascii="Arial" w:hAnsi="Arial" w:cs="Arial"/>
          <w:b/>
          <w:sz w:val="24"/>
          <w:szCs w:val="24"/>
        </w:rPr>
        <w:tab/>
      </w:r>
      <w:r>
        <w:rPr>
          <w:rFonts w:ascii="Arial" w:hAnsi="Arial" w:cs="Arial"/>
          <w:b/>
          <w:sz w:val="24"/>
          <w:szCs w:val="24"/>
        </w:rPr>
        <w:t>APPLICANT</w:t>
      </w:r>
    </w:p>
    <w:p w14:paraId="05024C65" w14:textId="77777777" w:rsidR="005926C6" w:rsidRDefault="005926C6" w:rsidP="005926C6">
      <w:pPr>
        <w:spacing w:after="0" w:line="360" w:lineRule="auto"/>
        <w:jc w:val="both"/>
        <w:rPr>
          <w:rFonts w:ascii="Arial" w:hAnsi="Arial" w:cs="Arial"/>
          <w:sz w:val="24"/>
          <w:szCs w:val="24"/>
        </w:rPr>
      </w:pPr>
    </w:p>
    <w:p w14:paraId="1983F7A5" w14:textId="0DC8E6A2" w:rsidR="0033723C" w:rsidRPr="00B61400" w:rsidRDefault="0033723C" w:rsidP="005926C6">
      <w:pPr>
        <w:spacing w:after="0" w:line="360" w:lineRule="auto"/>
        <w:jc w:val="both"/>
        <w:rPr>
          <w:rFonts w:ascii="Arial" w:hAnsi="Arial" w:cs="Arial"/>
          <w:sz w:val="24"/>
          <w:szCs w:val="24"/>
        </w:rPr>
      </w:pPr>
      <w:r>
        <w:rPr>
          <w:rFonts w:ascii="Arial" w:hAnsi="Arial" w:cs="Arial"/>
          <w:sz w:val="24"/>
          <w:szCs w:val="24"/>
        </w:rPr>
        <w:t>a</w:t>
      </w:r>
      <w:r w:rsidR="007970FB" w:rsidRPr="00B61400">
        <w:rPr>
          <w:rFonts w:ascii="Arial" w:hAnsi="Arial" w:cs="Arial"/>
          <w:sz w:val="24"/>
          <w:szCs w:val="24"/>
        </w:rPr>
        <w:t>nd</w:t>
      </w:r>
    </w:p>
    <w:p w14:paraId="443962A8" w14:textId="77777777" w:rsidR="005926C6" w:rsidRDefault="005926C6" w:rsidP="005926C6">
      <w:pPr>
        <w:tabs>
          <w:tab w:val="right" w:pos="9356"/>
        </w:tabs>
        <w:spacing w:after="0" w:line="360" w:lineRule="auto"/>
        <w:jc w:val="both"/>
        <w:rPr>
          <w:rFonts w:ascii="Arial" w:hAnsi="Arial" w:cs="Arial"/>
          <w:b/>
          <w:sz w:val="24"/>
          <w:szCs w:val="24"/>
        </w:rPr>
      </w:pPr>
    </w:p>
    <w:p w14:paraId="53EBE636" w14:textId="211A872F" w:rsidR="00B61400" w:rsidRPr="007970FB" w:rsidRDefault="00A2555A" w:rsidP="005926C6">
      <w:pPr>
        <w:tabs>
          <w:tab w:val="right" w:pos="9356"/>
        </w:tabs>
        <w:spacing w:after="0" w:line="360" w:lineRule="auto"/>
        <w:jc w:val="both"/>
        <w:rPr>
          <w:rFonts w:ascii="Arial" w:hAnsi="Arial" w:cs="Arial"/>
          <w:b/>
          <w:sz w:val="24"/>
          <w:szCs w:val="24"/>
        </w:rPr>
      </w:pPr>
      <w:r>
        <w:rPr>
          <w:rFonts w:ascii="Arial" w:hAnsi="Arial" w:cs="Arial"/>
          <w:b/>
          <w:sz w:val="24"/>
          <w:szCs w:val="24"/>
        </w:rPr>
        <w:t xml:space="preserve">JESAYA KANGANDJO </w:t>
      </w:r>
      <w:r>
        <w:rPr>
          <w:rFonts w:ascii="Arial" w:hAnsi="Arial" w:cs="Arial"/>
          <w:b/>
          <w:sz w:val="24"/>
          <w:szCs w:val="24"/>
        </w:rPr>
        <w:tab/>
      </w:r>
      <w:r w:rsidR="007970FB">
        <w:rPr>
          <w:rFonts w:ascii="Arial" w:hAnsi="Arial" w:cs="Arial"/>
          <w:b/>
          <w:sz w:val="24"/>
          <w:szCs w:val="24"/>
        </w:rPr>
        <w:t>RESPONDENT</w:t>
      </w:r>
    </w:p>
    <w:p w14:paraId="688AA810" w14:textId="77777777" w:rsidR="005926C6" w:rsidRDefault="005926C6" w:rsidP="005926C6">
      <w:pPr>
        <w:spacing w:after="0" w:line="360" w:lineRule="auto"/>
        <w:jc w:val="both"/>
        <w:rPr>
          <w:rFonts w:ascii="Arial" w:hAnsi="Arial" w:cs="Arial"/>
          <w:sz w:val="24"/>
          <w:szCs w:val="24"/>
        </w:rPr>
      </w:pPr>
    </w:p>
    <w:p w14:paraId="1BEB7977" w14:textId="16D49E0C" w:rsidR="007970FB" w:rsidRDefault="007970FB" w:rsidP="005926C6">
      <w:pPr>
        <w:spacing w:after="0" w:line="360" w:lineRule="auto"/>
        <w:jc w:val="both"/>
        <w:rPr>
          <w:rFonts w:ascii="Arial" w:hAnsi="Arial" w:cs="Arial"/>
          <w:sz w:val="24"/>
          <w:szCs w:val="24"/>
        </w:rPr>
      </w:pPr>
      <w:r>
        <w:rPr>
          <w:rFonts w:ascii="Arial" w:hAnsi="Arial" w:cs="Arial"/>
          <w:sz w:val="24"/>
          <w:szCs w:val="24"/>
        </w:rPr>
        <w:t xml:space="preserve">Neutral Citation: </w:t>
      </w:r>
      <w:r w:rsidRPr="007970FB">
        <w:rPr>
          <w:rFonts w:ascii="Arial" w:hAnsi="Arial" w:cs="Arial"/>
          <w:i/>
          <w:sz w:val="24"/>
          <w:szCs w:val="24"/>
        </w:rPr>
        <w:t xml:space="preserve">The Prosecutor-General v </w:t>
      </w:r>
      <w:r w:rsidR="00A2555A">
        <w:rPr>
          <w:rFonts w:ascii="Arial" w:hAnsi="Arial" w:cs="Arial"/>
          <w:i/>
          <w:sz w:val="24"/>
          <w:szCs w:val="24"/>
        </w:rPr>
        <w:t>Jesaya Kangandjo</w:t>
      </w:r>
      <w:r>
        <w:rPr>
          <w:rFonts w:ascii="Arial" w:hAnsi="Arial" w:cs="Arial"/>
          <w:sz w:val="24"/>
          <w:szCs w:val="24"/>
        </w:rPr>
        <w:t xml:space="preserve"> (</w:t>
      </w:r>
      <w:r w:rsidRPr="007970FB">
        <w:rPr>
          <w:rFonts w:ascii="Arial" w:hAnsi="Arial" w:cs="Arial"/>
          <w:sz w:val="24"/>
          <w:szCs w:val="24"/>
        </w:rPr>
        <w:t>HC-MD-CIV-MOT-POCA-2018/002</w:t>
      </w:r>
      <w:r w:rsidR="00A2555A">
        <w:rPr>
          <w:rFonts w:ascii="Arial" w:hAnsi="Arial" w:cs="Arial"/>
          <w:sz w:val="24"/>
          <w:szCs w:val="24"/>
        </w:rPr>
        <w:t>99</w:t>
      </w:r>
      <w:r>
        <w:rPr>
          <w:rFonts w:ascii="Arial" w:hAnsi="Arial" w:cs="Arial"/>
          <w:sz w:val="24"/>
          <w:szCs w:val="24"/>
        </w:rPr>
        <w:t>) [20</w:t>
      </w:r>
      <w:r w:rsidR="00A2555A">
        <w:rPr>
          <w:rFonts w:ascii="Arial" w:hAnsi="Arial" w:cs="Arial"/>
          <w:sz w:val="24"/>
          <w:szCs w:val="24"/>
        </w:rPr>
        <w:t>20</w:t>
      </w:r>
      <w:r>
        <w:rPr>
          <w:rFonts w:ascii="Arial" w:hAnsi="Arial" w:cs="Arial"/>
          <w:sz w:val="24"/>
          <w:szCs w:val="24"/>
        </w:rPr>
        <w:t xml:space="preserve">] NAHCMD </w:t>
      </w:r>
      <w:r w:rsidR="00E8275E">
        <w:rPr>
          <w:rFonts w:ascii="Arial" w:hAnsi="Arial" w:cs="Arial"/>
          <w:sz w:val="24"/>
          <w:szCs w:val="24"/>
        </w:rPr>
        <w:t>67</w:t>
      </w:r>
      <w:r>
        <w:rPr>
          <w:rFonts w:ascii="Arial" w:hAnsi="Arial" w:cs="Arial"/>
          <w:sz w:val="24"/>
          <w:szCs w:val="24"/>
        </w:rPr>
        <w:t xml:space="preserve"> </w:t>
      </w:r>
      <w:r w:rsidR="00B61400">
        <w:rPr>
          <w:rFonts w:ascii="Arial" w:hAnsi="Arial" w:cs="Arial"/>
          <w:sz w:val="24"/>
          <w:szCs w:val="24"/>
        </w:rPr>
        <w:t>(2</w:t>
      </w:r>
      <w:r w:rsidR="00A2555A">
        <w:rPr>
          <w:rFonts w:ascii="Arial" w:hAnsi="Arial" w:cs="Arial"/>
          <w:sz w:val="24"/>
          <w:szCs w:val="24"/>
        </w:rPr>
        <w:t>7 February 2020</w:t>
      </w:r>
      <w:r w:rsidR="00B61400">
        <w:rPr>
          <w:rFonts w:ascii="Arial" w:hAnsi="Arial" w:cs="Arial"/>
          <w:sz w:val="24"/>
          <w:szCs w:val="24"/>
        </w:rPr>
        <w:t>)</w:t>
      </w:r>
    </w:p>
    <w:p w14:paraId="555DD0D2" w14:textId="77777777" w:rsidR="005926C6" w:rsidRDefault="005926C6" w:rsidP="005926C6">
      <w:pPr>
        <w:spacing w:after="0" w:line="360" w:lineRule="auto"/>
        <w:jc w:val="both"/>
        <w:rPr>
          <w:rFonts w:ascii="Arial" w:hAnsi="Arial" w:cs="Arial"/>
          <w:b/>
          <w:sz w:val="24"/>
          <w:szCs w:val="24"/>
        </w:rPr>
      </w:pPr>
    </w:p>
    <w:p w14:paraId="339F8786" w14:textId="4F5B73E9" w:rsidR="00B61400" w:rsidRDefault="00B61400" w:rsidP="005926C6">
      <w:pPr>
        <w:spacing w:after="0" w:line="360" w:lineRule="auto"/>
        <w:jc w:val="both"/>
        <w:rPr>
          <w:rFonts w:ascii="Arial" w:hAnsi="Arial" w:cs="Arial"/>
          <w:sz w:val="24"/>
          <w:szCs w:val="24"/>
        </w:rPr>
      </w:pPr>
      <w:r w:rsidRPr="0033723C">
        <w:rPr>
          <w:rFonts w:ascii="Arial" w:hAnsi="Arial" w:cs="Arial"/>
          <w:b/>
          <w:sz w:val="24"/>
          <w:szCs w:val="24"/>
        </w:rPr>
        <w:t>Coram:</w:t>
      </w:r>
      <w:r>
        <w:rPr>
          <w:rFonts w:ascii="Arial" w:hAnsi="Arial" w:cs="Arial"/>
          <w:sz w:val="24"/>
          <w:szCs w:val="24"/>
        </w:rPr>
        <w:t xml:space="preserve"> </w:t>
      </w:r>
      <w:r w:rsidR="009F3459">
        <w:rPr>
          <w:rFonts w:ascii="Arial" w:hAnsi="Arial" w:cs="Arial"/>
          <w:b/>
          <w:sz w:val="24"/>
          <w:szCs w:val="24"/>
        </w:rPr>
        <w:t>MASUKU J</w:t>
      </w:r>
    </w:p>
    <w:p w14:paraId="0B20F2FE" w14:textId="77777777" w:rsidR="005926C6" w:rsidRDefault="005926C6" w:rsidP="005926C6">
      <w:pPr>
        <w:spacing w:after="0" w:line="360" w:lineRule="auto"/>
        <w:jc w:val="both"/>
        <w:rPr>
          <w:rFonts w:ascii="Arial" w:hAnsi="Arial" w:cs="Arial"/>
          <w:b/>
          <w:sz w:val="24"/>
          <w:szCs w:val="24"/>
        </w:rPr>
      </w:pPr>
    </w:p>
    <w:p w14:paraId="0A1EE97D" w14:textId="1A17B675" w:rsidR="00B61400" w:rsidRDefault="0033723C" w:rsidP="005926C6">
      <w:pPr>
        <w:spacing w:after="0" w:line="360" w:lineRule="auto"/>
        <w:jc w:val="both"/>
        <w:rPr>
          <w:rFonts w:ascii="Arial" w:hAnsi="Arial" w:cs="Arial"/>
          <w:sz w:val="24"/>
          <w:szCs w:val="24"/>
        </w:rPr>
      </w:pPr>
      <w:r>
        <w:rPr>
          <w:rFonts w:ascii="Arial" w:hAnsi="Arial" w:cs="Arial"/>
          <w:b/>
          <w:sz w:val="24"/>
          <w:szCs w:val="24"/>
        </w:rPr>
        <w:t>Heard o</w:t>
      </w:r>
      <w:r w:rsidR="00B61400" w:rsidRPr="0033723C">
        <w:rPr>
          <w:rFonts w:ascii="Arial" w:hAnsi="Arial" w:cs="Arial"/>
          <w:b/>
          <w:sz w:val="24"/>
          <w:szCs w:val="24"/>
        </w:rPr>
        <w:t>n:</w:t>
      </w:r>
      <w:r w:rsidR="000F0C33">
        <w:rPr>
          <w:rFonts w:ascii="Arial" w:hAnsi="Arial" w:cs="Arial"/>
          <w:b/>
          <w:sz w:val="24"/>
          <w:szCs w:val="24"/>
        </w:rPr>
        <w:tab/>
      </w:r>
      <w:r w:rsidR="00B61400">
        <w:rPr>
          <w:rFonts w:ascii="Arial" w:hAnsi="Arial" w:cs="Arial"/>
          <w:sz w:val="24"/>
          <w:szCs w:val="24"/>
        </w:rPr>
        <w:t xml:space="preserve"> </w:t>
      </w:r>
      <w:r>
        <w:rPr>
          <w:rFonts w:ascii="Arial" w:hAnsi="Arial" w:cs="Arial"/>
          <w:sz w:val="24"/>
          <w:szCs w:val="24"/>
        </w:rPr>
        <w:t xml:space="preserve">30 October </w:t>
      </w:r>
      <w:r w:rsidR="00B61400">
        <w:rPr>
          <w:rFonts w:ascii="Arial" w:hAnsi="Arial" w:cs="Arial"/>
          <w:sz w:val="24"/>
          <w:szCs w:val="24"/>
        </w:rPr>
        <w:t>2019</w:t>
      </w:r>
    </w:p>
    <w:p w14:paraId="5EF010AA" w14:textId="77777777" w:rsidR="00B61400" w:rsidRDefault="00B61400" w:rsidP="005926C6">
      <w:pPr>
        <w:spacing w:after="0" w:line="360" w:lineRule="auto"/>
        <w:jc w:val="both"/>
        <w:rPr>
          <w:rFonts w:ascii="Arial" w:hAnsi="Arial" w:cs="Arial"/>
          <w:sz w:val="24"/>
          <w:szCs w:val="24"/>
        </w:rPr>
      </w:pPr>
      <w:r w:rsidRPr="0033723C">
        <w:rPr>
          <w:rFonts w:ascii="Arial" w:hAnsi="Arial" w:cs="Arial"/>
          <w:b/>
          <w:sz w:val="24"/>
          <w:szCs w:val="24"/>
        </w:rPr>
        <w:t>Delivered on:</w:t>
      </w:r>
      <w:r>
        <w:rPr>
          <w:rFonts w:ascii="Arial" w:hAnsi="Arial" w:cs="Arial"/>
          <w:sz w:val="24"/>
          <w:szCs w:val="24"/>
        </w:rPr>
        <w:t xml:space="preserve"> </w:t>
      </w:r>
      <w:r w:rsidR="00A2555A">
        <w:rPr>
          <w:rFonts w:ascii="Arial" w:hAnsi="Arial" w:cs="Arial"/>
          <w:sz w:val="24"/>
          <w:szCs w:val="24"/>
        </w:rPr>
        <w:t>27 February 2020</w:t>
      </w:r>
    </w:p>
    <w:p w14:paraId="66419C26" w14:textId="77777777" w:rsidR="0033723C" w:rsidRDefault="0033723C" w:rsidP="005926C6">
      <w:pPr>
        <w:spacing w:after="0" w:line="360" w:lineRule="auto"/>
        <w:jc w:val="both"/>
        <w:rPr>
          <w:rFonts w:ascii="Arial" w:hAnsi="Arial" w:cs="Arial"/>
          <w:sz w:val="24"/>
          <w:szCs w:val="24"/>
        </w:rPr>
      </w:pPr>
    </w:p>
    <w:p w14:paraId="7E104008" w14:textId="1402A8FC" w:rsidR="0033723C" w:rsidRDefault="0033723C" w:rsidP="005926C6">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Pr>
          <w:rFonts w:ascii="Arial" w:hAnsi="Arial" w:cs="Arial"/>
          <w:sz w:val="24"/>
          <w:szCs w:val="24"/>
        </w:rPr>
        <w:t xml:space="preserve">Civil procedure – application for condonation - Legislation – Prevention of Organised Crime Act, 2004 – forfeiture of property – section 59 of POCA – Application </w:t>
      </w:r>
      <w:r>
        <w:rPr>
          <w:rFonts w:ascii="Arial" w:hAnsi="Arial" w:cs="Arial"/>
          <w:sz w:val="24"/>
          <w:szCs w:val="24"/>
        </w:rPr>
        <w:lastRenderedPageBreak/>
        <w:t>for exclusion of interest  - section 63 – considerations to be taken into account – statutory interpretation – Meaning of the words ‘on a balance of probabilities’ defined.</w:t>
      </w:r>
    </w:p>
    <w:p w14:paraId="4915537D" w14:textId="77777777" w:rsidR="0033723C" w:rsidRDefault="0033723C" w:rsidP="005926C6">
      <w:pPr>
        <w:spacing w:after="0" w:line="360" w:lineRule="auto"/>
        <w:jc w:val="both"/>
        <w:rPr>
          <w:rFonts w:ascii="Arial" w:hAnsi="Arial" w:cs="Arial"/>
          <w:sz w:val="24"/>
          <w:szCs w:val="24"/>
        </w:rPr>
      </w:pPr>
    </w:p>
    <w:p w14:paraId="33C98861" w14:textId="185B6787" w:rsidR="0033723C" w:rsidRDefault="0033723C" w:rsidP="005926C6">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Pr>
          <w:rFonts w:ascii="Arial" w:hAnsi="Arial" w:cs="Arial"/>
          <w:sz w:val="24"/>
          <w:szCs w:val="24"/>
        </w:rPr>
        <w:t xml:space="preserve">Two applications served before court in relation to property that had been preserved in terms of POCA. The applicant applied for the forfeiture of the property, being the positive balance in a bank account, which belonged to a </w:t>
      </w:r>
      <w:r w:rsidR="00907DC8">
        <w:rPr>
          <w:rFonts w:ascii="Arial" w:hAnsi="Arial" w:cs="Arial"/>
          <w:sz w:val="24"/>
          <w:szCs w:val="24"/>
        </w:rPr>
        <w:t xml:space="preserve">club </w:t>
      </w:r>
      <w:r>
        <w:rPr>
          <w:rFonts w:ascii="Arial" w:hAnsi="Arial" w:cs="Arial"/>
          <w:sz w:val="24"/>
          <w:szCs w:val="24"/>
        </w:rPr>
        <w:t>called Kotokeni Investments Club, whose members formed a partnership to assist each other in difficult times by borrowing from the funds deposited by the members periodically. One of the members, deposited an amount of N$ 40 000 into the account and which amount was proceeds of crime. A preservation order was issued without being opposed and on the strength of which a forfeiture order was applied for and granted. The chairperson of the Club applied in terms of s 63, at forfeiture stage, for exclusion of its interests in the property in question, namely, the amount that had been in the account before the deposit of the tainted money. The PG opposed the application for exclusion of interests on the basis of the principle of mingling.</w:t>
      </w:r>
    </w:p>
    <w:p w14:paraId="46E3AB33" w14:textId="5E7D0F78" w:rsidR="0033723C" w:rsidRDefault="0033723C" w:rsidP="005926C6">
      <w:pPr>
        <w:spacing w:after="0" w:line="360" w:lineRule="auto"/>
        <w:jc w:val="both"/>
        <w:rPr>
          <w:rFonts w:ascii="Arial" w:hAnsi="Arial" w:cs="Arial"/>
          <w:sz w:val="24"/>
          <w:szCs w:val="24"/>
        </w:rPr>
      </w:pPr>
      <w:r>
        <w:rPr>
          <w:rFonts w:ascii="Arial" w:hAnsi="Arial" w:cs="Arial"/>
          <w:sz w:val="24"/>
          <w:szCs w:val="24"/>
        </w:rPr>
        <w:t>Held: the respondent had made a case for the granting of the application for condonation of the late filing of the heads of argument. In this regard, the court held that it would be unfair to punish the respondent for the failings of his legal practitioners, considering also the importance of the issue to be decided.</w:t>
      </w:r>
    </w:p>
    <w:p w14:paraId="47B0330F" w14:textId="77777777" w:rsidR="003B7E79" w:rsidRDefault="0033723C" w:rsidP="005926C6">
      <w:pPr>
        <w:spacing w:after="0" w:line="360" w:lineRule="auto"/>
        <w:jc w:val="both"/>
        <w:rPr>
          <w:rFonts w:ascii="Arial" w:hAnsi="Arial" w:cs="Arial"/>
          <w:sz w:val="24"/>
          <w:szCs w:val="24"/>
        </w:rPr>
      </w:pPr>
      <w:r>
        <w:rPr>
          <w:rFonts w:ascii="Arial" w:hAnsi="Arial" w:cs="Arial"/>
          <w:sz w:val="24"/>
          <w:szCs w:val="24"/>
        </w:rPr>
        <w:t xml:space="preserve">Held that: the respondent’s legal practitioners were at fault for the delay and that in the circumstances, it would be proper for costs </w:t>
      </w:r>
      <w:r>
        <w:rPr>
          <w:rFonts w:ascii="Arial" w:hAnsi="Arial" w:cs="Arial"/>
          <w:i/>
          <w:sz w:val="24"/>
          <w:szCs w:val="24"/>
        </w:rPr>
        <w:t xml:space="preserve">de bonis propiis </w:t>
      </w:r>
      <w:r>
        <w:rPr>
          <w:rFonts w:ascii="Arial" w:hAnsi="Arial" w:cs="Arial"/>
          <w:sz w:val="24"/>
          <w:szCs w:val="24"/>
        </w:rPr>
        <w:t>to ordered against them in respect of the condonation application, which the PG was within her rights to oppose in the circumstances.</w:t>
      </w:r>
    </w:p>
    <w:p w14:paraId="465AFDAA" w14:textId="77777777" w:rsidR="003B7E79" w:rsidRDefault="003B7E79" w:rsidP="005926C6">
      <w:pPr>
        <w:spacing w:after="0" w:line="360" w:lineRule="auto"/>
        <w:jc w:val="both"/>
        <w:rPr>
          <w:rFonts w:ascii="Arial" w:hAnsi="Arial" w:cs="Arial"/>
          <w:sz w:val="24"/>
          <w:szCs w:val="24"/>
        </w:rPr>
      </w:pPr>
      <w:r>
        <w:rPr>
          <w:rFonts w:ascii="Arial" w:hAnsi="Arial" w:cs="Arial"/>
          <w:sz w:val="24"/>
          <w:szCs w:val="24"/>
        </w:rPr>
        <w:t>Held further that:  POCA is a piece of legislation that in instances, serves to diminish the rights of persons and must for that reason, be interpreted narrowly in favour of the right-holder.</w:t>
      </w:r>
    </w:p>
    <w:p w14:paraId="358956DC" w14:textId="77777777" w:rsidR="003B7E79" w:rsidRDefault="003B7E79" w:rsidP="005926C6">
      <w:pPr>
        <w:spacing w:after="0" w:line="360" w:lineRule="auto"/>
        <w:jc w:val="both"/>
        <w:rPr>
          <w:rFonts w:ascii="Arial" w:hAnsi="Arial" w:cs="Arial"/>
          <w:sz w:val="24"/>
          <w:szCs w:val="24"/>
        </w:rPr>
      </w:pPr>
      <w:r>
        <w:rPr>
          <w:rFonts w:ascii="Arial" w:hAnsi="Arial" w:cs="Arial"/>
          <w:sz w:val="24"/>
          <w:szCs w:val="24"/>
        </w:rPr>
        <w:t xml:space="preserve">Held: that a party seeking the exclusion of interest had to show on a balance of probabilities that (a) he or she acquired the interest concerned legally and for a consideration, the value of which is not significantly less than the value of the interests; and (b) that when the applicant acquired the interest concerned after the commencement of POCA, he or she had no reasonable grounds to suspect that the property in question </w:t>
      </w:r>
      <w:r>
        <w:rPr>
          <w:rFonts w:ascii="Arial" w:hAnsi="Arial" w:cs="Arial"/>
          <w:sz w:val="24"/>
          <w:szCs w:val="24"/>
        </w:rPr>
        <w:lastRenderedPageBreak/>
        <w:t>and in which the interest is held, had reasonable grounds to suspect that the property in which the interest is held is the proceeds of unlawful activities.</w:t>
      </w:r>
    </w:p>
    <w:p w14:paraId="4D55E8A3" w14:textId="77777777" w:rsidR="003B7E79" w:rsidRDefault="003B7E79" w:rsidP="005926C6">
      <w:pPr>
        <w:spacing w:after="0" w:line="360" w:lineRule="auto"/>
        <w:jc w:val="both"/>
        <w:rPr>
          <w:rFonts w:ascii="Arial" w:hAnsi="Arial" w:cs="Arial"/>
          <w:sz w:val="24"/>
          <w:szCs w:val="24"/>
        </w:rPr>
      </w:pPr>
      <w:r>
        <w:rPr>
          <w:rFonts w:ascii="Arial" w:hAnsi="Arial" w:cs="Arial"/>
          <w:sz w:val="24"/>
          <w:szCs w:val="24"/>
        </w:rPr>
        <w:t>Held that: the words ‘on a balance of probability’, employed in the legislation, mean that ‘it must carry a reasonable degree of probability but not so high as is required in a criminal case. If the evidence is such that the tribunal can say “we think it more probable than not”, the burden is discharged.’</w:t>
      </w:r>
    </w:p>
    <w:p w14:paraId="35103A9A" w14:textId="77777777" w:rsidR="007950E5" w:rsidRDefault="003B7E79" w:rsidP="005926C6">
      <w:pPr>
        <w:spacing w:after="0" w:line="360" w:lineRule="auto"/>
        <w:jc w:val="both"/>
        <w:rPr>
          <w:rFonts w:ascii="Arial" w:hAnsi="Arial" w:cs="Arial"/>
          <w:sz w:val="24"/>
          <w:szCs w:val="24"/>
        </w:rPr>
      </w:pPr>
      <w:r>
        <w:rPr>
          <w:rFonts w:ascii="Arial" w:hAnsi="Arial" w:cs="Arial"/>
          <w:sz w:val="24"/>
          <w:szCs w:val="24"/>
        </w:rPr>
        <w:t>Held further that: the members of the Club had the account operating from around 2010 and there was no reasonable basis for them to suspect that their member had obtained the money deposited into the account from unlawful activity</w:t>
      </w:r>
      <w:r w:rsidR="007950E5">
        <w:rPr>
          <w:rFonts w:ascii="Arial" w:hAnsi="Arial" w:cs="Arial"/>
          <w:sz w:val="24"/>
          <w:szCs w:val="24"/>
        </w:rPr>
        <w:t>.</w:t>
      </w:r>
    </w:p>
    <w:p w14:paraId="387E407F" w14:textId="0A92E1FD" w:rsidR="0033723C" w:rsidRDefault="007950E5" w:rsidP="005926C6">
      <w:pPr>
        <w:spacing w:after="0" w:line="360" w:lineRule="auto"/>
        <w:jc w:val="both"/>
        <w:rPr>
          <w:rFonts w:ascii="Arial" w:hAnsi="Arial" w:cs="Arial"/>
          <w:sz w:val="24"/>
          <w:szCs w:val="24"/>
        </w:rPr>
      </w:pPr>
      <w:r>
        <w:rPr>
          <w:rFonts w:ascii="Arial" w:hAnsi="Arial" w:cs="Arial"/>
          <w:sz w:val="24"/>
          <w:szCs w:val="24"/>
        </w:rPr>
        <w:t>Held that: the explanation proffered by the respondent about how the money in the account was raised, before the tainted deposit, appears on a balance of probabilities, to be true, regard had to the partnership agreement, the small amount of deposit and the sporadic nature of the deposits.</w:t>
      </w:r>
      <w:r w:rsidR="003B7E79">
        <w:rPr>
          <w:rFonts w:ascii="Arial" w:hAnsi="Arial" w:cs="Arial"/>
          <w:sz w:val="24"/>
          <w:szCs w:val="24"/>
        </w:rPr>
        <w:t xml:space="preserve">    </w:t>
      </w:r>
      <w:r w:rsidR="0033723C">
        <w:rPr>
          <w:rFonts w:ascii="Arial" w:hAnsi="Arial" w:cs="Arial"/>
          <w:sz w:val="24"/>
          <w:szCs w:val="24"/>
        </w:rPr>
        <w:t xml:space="preserve"> </w:t>
      </w:r>
    </w:p>
    <w:p w14:paraId="3CABA762" w14:textId="77777777" w:rsidR="007950E5" w:rsidRDefault="007950E5" w:rsidP="005926C6">
      <w:pPr>
        <w:spacing w:after="0" w:line="360" w:lineRule="auto"/>
        <w:jc w:val="both"/>
        <w:rPr>
          <w:rFonts w:ascii="Arial" w:hAnsi="Arial" w:cs="Arial"/>
          <w:sz w:val="24"/>
          <w:szCs w:val="24"/>
        </w:rPr>
      </w:pPr>
      <w:r>
        <w:rPr>
          <w:rFonts w:ascii="Arial" w:hAnsi="Arial" w:cs="Arial"/>
          <w:sz w:val="24"/>
          <w:szCs w:val="24"/>
        </w:rPr>
        <w:t>Held further that: POCA plays a pivotal role in combating crime but would have potentially debilitating and abusive effects if not interpreted in accordance with the rights and values protected in the Constitution.</w:t>
      </w:r>
    </w:p>
    <w:p w14:paraId="0D245712" w14:textId="01EA4F9D" w:rsidR="005926C6" w:rsidRDefault="007950E5" w:rsidP="005926C6">
      <w:pPr>
        <w:spacing w:after="0" w:line="360" w:lineRule="auto"/>
        <w:jc w:val="both"/>
        <w:rPr>
          <w:rFonts w:ascii="Arial" w:hAnsi="Arial" w:cs="Arial"/>
          <w:sz w:val="24"/>
          <w:szCs w:val="24"/>
        </w:rPr>
      </w:pPr>
      <w:r>
        <w:rPr>
          <w:rFonts w:ascii="Arial" w:hAnsi="Arial" w:cs="Arial"/>
          <w:sz w:val="24"/>
          <w:szCs w:val="24"/>
        </w:rPr>
        <w:t xml:space="preserve">The application for forfeiture of the amount deposited by the errant member was granted and the application for exclusion of interest, was granted with costs. </w:t>
      </w:r>
    </w:p>
    <w:p w14:paraId="462D0D3A" w14:textId="77777777" w:rsidR="005926C6" w:rsidRPr="0033723C" w:rsidRDefault="005926C6" w:rsidP="005926C6">
      <w:pPr>
        <w:spacing w:after="0" w:line="360" w:lineRule="auto"/>
        <w:jc w:val="both"/>
        <w:rPr>
          <w:rFonts w:ascii="Arial" w:hAnsi="Arial" w:cs="Arial"/>
          <w:sz w:val="24"/>
          <w:szCs w:val="24"/>
        </w:rPr>
      </w:pPr>
    </w:p>
    <w:p w14:paraId="1B9E30B6" w14:textId="77777777" w:rsidR="005926C6" w:rsidRDefault="005926C6" w:rsidP="005926C6">
      <w:pPr>
        <w:pBdr>
          <w:top w:val="single" w:sz="4" w:space="1" w:color="auto"/>
          <w:bottom w:val="single" w:sz="4" w:space="1" w:color="auto"/>
        </w:pBdr>
        <w:spacing w:after="0" w:line="240" w:lineRule="auto"/>
        <w:jc w:val="center"/>
        <w:rPr>
          <w:rFonts w:ascii="Arial" w:hAnsi="Arial" w:cs="Arial"/>
          <w:b/>
          <w:sz w:val="24"/>
          <w:szCs w:val="24"/>
        </w:rPr>
      </w:pPr>
    </w:p>
    <w:p w14:paraId="5E8BF7CE" w14:textId="77777777" w:rsidR="007970FB" w:rsidRDefault="00B61400" w:rsidP="005926C6">
      <w:pPr>
        <w:pBdr>
          <w:top w:val="single" w:sz="4" w:space="1" w:color="auto"/>
          <w:bottom w:val="single" w:sz="4" w:space="1" w:color="auto"/>
        </w:pBdr>
        <w:spacing w:after="0" w:line="240" w:lineRule="auto"/>
        <w:jc w:val="center"/>
        <w:rPr>
          <w:rFonts w:ascii="Arial" w:hAnsi="Arial" w:cs="Arial"/>
          <w:b/>
          <w:sz w:val="24"/>
          <w:szCs w:val="24"/>
        </w:rPr>
      </w:pPr>
      <w:r w:rsidRPr="00B61400">
        <w:rPr>
          <w:rFonts w:ascii="Arial" w:hAnsi="Arial" w:cs="Arial"/>
          <w:b/>
          <w:sz w:val="24"/>
          <w:szCs w:val="24"/>
        </w:rPr>
        <w:t>ORDER</w:t>
      </w:r>
    </w:p>
    <w:p w14:paraId="1EBF7609" w14:textId="77777777" w:rsidR="005926C6" w:rsidRDefault="005926C6" w:rsidP="005926C6">
      <w:pPr>
        <w:pBdr>
          <w:top w:val="single" w:sz="4" w:space="1" w:color="auto"/>
          <w:bottom w:val="single" w:sz="4" w:space="1" w:color="auto"/>
        </w:pBdr>
        <w:spacing w:after="0" w:line="240" w:lineRule="auto"/>
        <w:jc w:val="center"/>
        <w:rPr>
          <w:rFonts w:ascii="Arial" w:hAnsi="Arial" w:cs="Arial"/>
          <w:b/>
          <w:sz w:val="24"/>
          <w:szCs w:val="24"/>
        </w:rPr>
      </w:pPr>
    </w:p>
    <w:p w14:paraId="3AAE7E51" w14:textId="1C767E6F" w:rsidR="003D1356" w:rsidRPr="003D1356" w:rsidRDefault="003D1356" w:rsidP="005926C6">
      <w:pPr>
        <w:spacing w:after="0" w:line="360" w:lineRule="auto"/>
        <w:jc w:val="center"/>
        <w:rPr>
          <w:rFonts w:ascii="Arial" w:hAnsi="Arial" w:cs="Arial"/>
          <w:b/>
          <w:sz w:val="24"/>
          <w:szCs w:val="24"/>
        </w:rPr>
      </w:pPr>
    </w:p>
    <w:p w14:paraId="37836F2E"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application for condonation of the late filing of the heads of argument on behalf of the Respondent, is hereby granted.</w:t>
      </w:r>
    </w:p>
    <w:p w14:paraId="484D0F14" w14:textId="77777777" w:rsidR="00616C42" w:rsidRPr="005926C6" w:rsidRDefault="00616C42" w:rsidP="00616C42">
      <w:pPr>
        <w:pStyle w:val="ListParagraph"/>
        <w:suppressAutoHyphens/>
        <w:spacing w:after="0" w:line="360" w:lineRule="auto"/>
        <w:jc w:val="both"/>
        <w:rPr>
          <w:rFonts w:ascii="Arial" w:eastAsia="Times New Roman" w:hAnsi="Arial" w:cs="Arial"/>
          <w:noProof/>
          <w:sz w:val="24"/>
          <w:szCs w:val="24"/>
          <w:lang w:val="en-GB" w:eastAsia="en-GB"/>
        </w:rPr>
      </w:pPr>
    </w:p>
    <w:p w14:paraId="4F485B2A"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The Respondent’s Legal Practitioners are ordered to pay the costs of the application for condonation </w:t>
      </w:r>
      <w:r w:rsidRPr="005926C6">
        <w:rPr>
          <w:rFonts w:ascii="Arial" w:eastAsia="Times New Roman" w:hAnsi="Arial" w:cs="Arial"/>
          <w:i/>
          <w:noProof/>
          <w:sz w:val="24"/>
          <w:szCs w:val="24"/>
          <w:lang w:val="en-GB" w:eastAsia="en-GB"/>
        </w:rPr>
        <w:t>de bonis propiis</w:t>
      </w:r>
      <w:r w:rsidRPr="005926C6">
        <w:rPr>
          <w:rFonts w:ascii="Arial" w:eastAsia="Times New Roman" w:hAnsi="Arial" w:cs="Arial"/>
          <w:noProof/>
          <w:sz w:val="24"/>
          <w:szCs w:val="24"/>
          <w:lang w:val="en-GB" w:eastAsia="en-GB"/>
        </w:rPr>
        <w:t xml:space="preserve">. </w:t>
      </w:r>
    </w:p>
    <w:p w14:paraId="25DE3F7D" w14:textId="77777777" w:rsidR="00616C42" w:rsidRPr="005926C6" w:rsidRDefault="00616C42" w:rsidP="00616C42">
      <w:pPr>
        <w:pStyle w:val="ListParagraph"/>
        <w:suppressAutoHyphens/>
        <w:spacing w:after="0" w:line="360" w:lineRule="auto"/>
        <w:jc w:val="both"/>
        <w:rPr>
          <w:rFonts w:ascii="Arial" w:eastAsia="Times New Roman" w:hAnsi="Arial" w:cs="Arial"/>
          <w:noProof/>
          <w:sz w:val="24"/>
          <w:szCs w:val="24"/>
          <w:lang w:val="en-GB" w:eastAsia="en-GB"/>
        </w:rPr>
      </w:pPr>
    </w:p>
    <w:p w14:paraId="5A366118"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The property which is presently subject to a preservation of property order granted by this Honourable Court under the above case number on 30 August 2018, namely: the positive balance, with the express exclusion of the positive balance of </w:t>
      </w:r>
      <w:r w:rsidRPr="005926C6">
        <w:rPr>
          <w:rFonts w:ascii="Arial" w:eastAsia="Times New Roman" w:hAnsi="Arial" w:cs="Arial"/>
          <w:noProof/>
          <w:sz w:val="24"/>
          <w:szCs w:val="24"/>
          <w:lang w:val="en-GB" w:eastAsia="en-GB"/>
        </w:rPr>
        <w:lastRenderedPageBreak/>
        <w:t>N$20 629,  in First National Bank Cheque Account number 62241595753 held in the name of Kotokeni Investments Club (“the property”), be and is hereby forfeited to the State in terms of section 61 of the Prevention of Organised Crime Act, 29 of 2004 (“POCA”).</w:t>
      </w:r>
    </w:p>
    <w:p w14:paraId="7337C8E1" w14:textId="77777777" w:rsidR="00616C42" w:rsidRPr="005926C6" w:rsidRDefault="00616C42" w:rsidP="00616C42">
      <w:pPr>
        <w:pStyle w:val="ListParagraph"/>
        <w:suppressAutoHyphens/>
        <w:spacing w:after="0" w:line="360" w:lineRule="auto"/>
        <w:jc w:val="both"/>
        <w:rPr>
          <w:rFonts w:ascii="Arial" w:eastAsia="Times New Roman" w:hAnsi="Arial" w:cs="Arial"/>
          <w:noProof/>
          <w:sz w:val="24"/>
          <w:szCs w:val="24"/>
          <w:lang w:val="en-GB" w:eastAsia="en-GB"/>
        </w:rPr>
      </w:pPr>
    </w:p>
    <w:p w14:paraId="3E2266E9" w14:textId="77777777" w:rsidR="00616C42" w:rsidRPr="005926C6"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The property is to remain under the control and supervision of Warrant Officer Daniel Lilata (“W/O Lilata”) of the Commercial Crime Investigation Unit: Anti Money Laundering &amp; Combating of financing and Terrorism: Asset Recovery Subdivision: The Namibian Police Force (“Nampol”) in Windhoek, in whose control the property is under the preservation order, and in W/O Lilata’s absence Detective Inspector Johan Nico Green (“Insp. Green”) or any authorised member of the Commercial Crime Investigation Unit:Anti-Money Laundering &amp; Combating of Financing and Terrorism: Asset Recovery Sub-Division, until the expiration of the statutory periods as set out in section 61 (8) of POCA. </w:t>
      </w:r>
    </w:p>
    <w:p w14:paraId="48D2C632" w14:textId="77777777" w:rsidR="00616C42" w:rsidRDefault="00616C42" w:rsidP="00616C42">
      <w:pPr>
        <w:suppressAutoHyphens/>
        <w:spacing w:after="0" w:line="360" w:lineRule="auto"/>
        <w:jc w:val="both"/>
        <w:rPr>
          <w:rFonts w:ascii="Arial" w:eastAsia="Times New Roman" w:hAnsi="Arial" w:cs="Arial"/>
          <w:noProof/>
          <w:sz w:val="24"/>
          <w:szCs w:val="24"/>
          <w:lang w:val="en-GB" w:eastAsia="en-GB"/>
        </w:rPr>
      </w:pPr>
    </w:p>
    <w:p w14:paraId="590A45ED"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W/O Lilata or in his absence, Insp. Green or any authorised member of Commercial Crime Investigation Unit: Anti-Money Laundering &amp; Combating of Financing and Terrorism: Asset Recovery Sub-Division is directed to: </w:t>
      </w:r>
    </w:p>
    <w:p w14:paraId="7A298629" w14:textId="77777777" w:rsidR="00616C42" w:rsidRPr="00B91B73" w:rsidRDefault="00616C42" w:rsidP="00616C42">
      <w:pPr>
        <w:pStyle w:val="ListParagraph"/>
        <w:rPr>
          <w:rFonts w:ascii="Arial" w:eastAsia="Times New Roman" w:hAnsi="Arial" w:cs="Arial"/>
          <w:noProof/>
          <w:sz w:val="24"/>
          <w:szCs w:val="24"/>
          <w:lang w:val="en-GB" w:eastAsia="en-GB"/>
        </w:rPr>
      </w:pPr>
    </w:p>
    <w:p w14:paraId="260CD6C5" w14:textId="77777777" w:rsidR="00616C42" w:rsidRPr="00B91B73" w:rsidRDefault="00616C42" w:rsidP="00616C42">
      <w:pPr>
        <w:pStyle w:val="ListParagraph"/>
        <w:numPr>
          <w:ilvl w:val="1"/>
          <w:numId w:val="6"/>
        </w:numPr>
        <w:suppressAutoHyphens/>
        <w:spacing w:after="0" w:line="360" w:lineRule="auto"/>
        <w:jc w:val="both"/>
        <w:rPr>
          <w:rFonts w:ascii="Arial" w:eastAsia="Times New Roman" w:hAnsi="Arial" w:cs="Arial"/>
          <w:noProof/>
          <w:sz w:val="24"/>
          <w:szCs w:val="24"/>
          <w:lang w:val="en-GB" w:eastAsia="en-GB"/>
        </w:rPr>
      </w:pPr>
      <w:r w:rsidRPr="00B91B73">
        <w:rPr>
          <w:rFonts w:ascii="Arial" w:eastAsia="Times New Roman" w:hAnsi="Arial" w:cs="Arial"/>
          <w:noProof/>
          <w:sz w:val="24"/>
          <w:szCs w:val="24"/>
          <w:lang w:val="en-GB" w:eastAsia="en-GB"/>
        </w:rPr>
        <w:t>To pay the positive balance with the exclusion of the positive balance of N$20 629 in First National Bank Cheque Account number 62241595753 held in the name of Kotokeni Investments Club into the Asset Recovery Account:</w:t>
      </w:r>
    </w:p>
    <w:p w14:paraId="5598116A" w14:textId="77777777" w:rsidR="00616C42" w:rsidRPr="0026062C" w:rsidRDefault="00616C42" w:rsidP="00616C42">
      <w:pPr>
        <w:suppressAutoHyphens/>
        <w:spacing w:after="0" w:line="360" w:lineRule="auto"/>
        <w:jc w:val="both"/>
        <w:rPr>
          <w:rFonts w:ascii="Arial" w:eastAsia="Times New Roman" w:hAnsi="Arial" w:cs="Arial"/>
          <w:noProof/>
          <w:sz w:val="24"/>
          <w:szCs w:val="24"/>
          <w:lang w:val="en-GB" w:eastAsia="en-GB"/>
        </w:rPr>
      </w:pPr>
    </w:p>
    <w:p w14:paraId="45E10525" w14:textId="77777777" w:rsidR="00616C42" w:rsidRPr="0026062C" w:rsidRDefault="00616C42" w:rsidP="00616C42">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Ministry of Justice –POCA</w:t>
      </w:r>
    </w:p>
    <w:p w14:paraId="648F3D06" w14:textId="77777777" w:rsidR="00616C42" w:rsidRPr="0026062C" w:rsidRDefault="00616C42" w:rsidP="00616C42">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Standard Bank account number 589245309</w:t>
      </w:r>
    </w:p>
    <w:p w14:paraId="6624EE30" w14:textId="77777777" w:rsidR="00616C42" w:rsidRPr="0026062C" w:rsidRDefault="00616C42" w:rsidP="00616C42">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Branch Code: 08237200</w:t>
      </w:r>
    </w:p>
    <w:p w14:paraId="31D28D91" w14:textId="77777777" w:rsidR="00616C42" w:rsidRDefault="00616C42" w:rsidP="00616C42">
      <w:pPr>
        <w:suppressAutoHyphens/>
        <w:spacing w:after="0" w:line="360" w:lineRule="auto"/>
        <w:jc w:val="both"/>
        <w:rPr>
          <w:rFonts w:ascii="Arial" w:eastAsia="Times New Roman" w:hAnsi="Arial" w:cs="Arial"/>
          <w:noProof/>
          <w:sz w:val="24"/>
          <w:szCs w:val="24"/>
          <w:lang w:val="en-GB" w:eastAsia="en-GB"/>
        </w:rPr>
      </w:pPr>
    </w:p>
    <w:p w14:paraId="758DBD41" w14:textId="77777777" w:rsidR="00616C42" w:rsidRPr="005926C6"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Any person whose interest concerned is affected by the forfeiture order, may within 15 days after he or she has acquired knowledge of such order, set the matter down for variation or rescission by the Court.</w:t>
      </w:r>
    </w:p>
    <w:p w14:paraId="59A24EB0" w14:textId="77777777" w:rsidR="00616C42" w:rsidRPr="0026062C" w:rsidRDefault="00616C42" w:rsidP="00616C42">
      <w:pPr>
        <w:suppressAutoHyphens/>
        <w:spacing w:after="0" w:line="360" w:lineRule="auto"/>
        <w:jc w:val="both"/>
        <w:rPr>
          <w:rFonts w:ascii="Arial" w:eastAsia="Times New Roman" w:hAnsi="Arial" w:cs="Arial"/>
          <w:noProof/>
          <w:sz w:val="24"/>
          <w:szCs w:val="24"/>
          <w:lang w:val="en-GB" w:eastAsia="en-GB"/>
        </w:rPr>
      </w:pPr>
    </w:p>
    <w:p w14:paraId="42B19B51" w14:textId="77777777" w:rsidR="00616C42" w:rsidRPr="005926C6"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This order must be published in the Government Gazette as soon as practicable after it is made.</w:t>
      </w:r>
    </w:p>
    <w:p w14:paraId="32A0430D" w14:textId="77777777" w:rsidR="00616C42" w:rsidRPr="0026062C" w:rsidRDefault="00616C42" w:rsidP="00616C42">
      <w:pPr>
        <w:suppressAutoHyphens/>
        <w:spacing w:after="0" w:line="360" w:lineRule="auto"/>
        <w:jc w:val="both"/>
        <w:rPr>
          <w:rFonts w:ascii="Arial" w:eastAsia="Times New Roman" w:hAnsi="Arial" w:cs="Arial"/>
          <w:noProof/>
          <w:sz w:val="24"/>
          <w:szCs w:val="24"/>
          <w:lang w:val="en-GB" w:eastAsia="en-GB"/>
        </w:rPr>
      </w:pPr>
    </w:p>
    <w:p w14:paraId="49390E48"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Prayers 1 and 3 will not take effect before a period of thirty (30) days after the notice of this order was published in the Government Gazette or before an application in terms of section 65 of POCA or an appeal has been disposed of.</w:t>
      </w:r>
    </w:p>
    <w:p w14:paraId="2CE5C1B7" w14:textId="77777777" w:rsidR="00616C42" w:rsidRPr="005926C6" w:rsidRDefault="00616C42" w:rsidP="00616C42">
      <w:pPr>
        <w:suppressAutoHyphens/>
        <w:spacing w:after="0" w:line="360" w:lineRule="auto"/>
        <w:jc w:val="both"/>
        <w:rPr>
          <w:rFonts w:ascii="Arial" w:eastAsia="Times New Roman" w:hAnsi="Arial" w:cs="Arial"/>
          <w:noProof/>
          <w:sz w:val="24"/>
          <w:szCs w:val="24"/>
          <w:lang w:val="en-GB" w:eastAsia="en-GB"/>
        </w:rPr>
      </w:pPr>
    </w:p>
    <w:p w14:paraId="05454FFE" w14:textId="77777777" w:rsidR="00616C42"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Applicant is ordered topay the costs of opposing the Section 63 application.</w:t>
      </w:r>
    </w:p>
    <w:p w14:paraId="4F1A73D4" w14:textId="77777777" w:rsidR="00616C42" w:rsidRPr="005926C6" w:rsidRDefault="00616C42" w:rsidP="00616C42">
      <w:pPr>
        <w:suppressAutoHyphens/>
        <w:spacing w:after="0" w:line="360" w:lineRule="auto"/>
        <w:jc w:val="both"/>
        <w:rPr>
          <w:rFonts w:ascii="Arial" w:eastAsia="Times New Roman" w:hAnsi="Arial" w:cs="Arial"/>
          <w:noProof/>
          <w:sz w:val="24"/>
          <w:szCs w:val="24"/>
          <w:lang w:val="en-GB" w:eastAsia="en-GB"/>
        </w:rPr>
      </w:pPr>
    </w:p>
    <w:p w14:paraId="44DA5A77" w14:textId="77777777" w:rsidR="00616C42" w:rsidRPr="00ED223F" w:rsidRDefault="00616C42" w:rsidP="00616C42">
      <w:pPr>
        <w:pStyle w:val="ListParagraph"/>
        <w:numPr>
          <w:ilvl w:val="0"/>
          <w:numId w:val="6"/>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matter is removed from the roll and is regarded as finalised.</w:t>
      </w:r>
    </w:p>
    <w:p w14:paraId="75356527" w14:textId="77777777" w:rsidR="005926C6" w:rsidRPr="0026062C" w:rsidRDefault="005926C6" w:rsidP="005926C6">
      <w:pPr>
        <w:suppressAutoHyphens/>
        <w:spacing w:after="0" w:line="360" w:lineRule="auto"/>
        <w:jc w:val="both"/>
        <w:rPr>
          <w:rFonts w:ascii="Arial" w:eastAsia="Times New Roman" w:hAnsi="Arial" w:cs="Arial"/>
          <w:noProof/>
          <w:sz w:val="24"/>
          <w:szCs w:val="24"/>
          <w:lang w:val="en-GB" w:eastAsia="en-GB"/>
        </w:rPr>
      </w:pPr>
    </w:p>
    <w:p w14:paraId="0EC130F7" w14:textId="77777777" w:rsidR="005926C6" w:rsidRDefault="005926C6" w:rsidP="005926C6">
      <w:pPr>
        <w:pBdr>
          <w:top w:val="single" w:sz="4" w:space="1" w:color="auto"/>
          <w:bottom w:val="single" w:sz="4" w:space="1" w:color="auto"/>
        </w:pBdr>
        <w:spacing w:after="0" w:line="240" w:lineRule="auto"/>
        <w:jc w:val="center"/>
        <w:rPr>
          <w:rFonts w:ascii="Arial" w:hAnsi="Arial" w:cs="Arial"/>
          <w:b/>
          <w:sz w:val="24"/>
          <w:szCs w:val="24"/>
        </w:rPr>
      </w:pPr>
    </w:p>
    <w:p w14:paraId="2480215D" w14:textId="5D010A1D" w:rsidR="005926C6" w:rsidRDefault="005926C6" w:rsidP="005926C6">
      <w:pPr>
        <w:pBdr>
          <w:top w:val="single" w:sz="4" w:space="1" w:color="auto"/>
          <w:bottom w:val="single" w:sz="4" w:space="1" w:color="auto"/>
        </w:pBdr>
        <w:spacing w:after="0" w:line="240" w:lineRule="auto"/>
        <w:jc w:val="center"/>
        <w:rPr>
          <w:rFonts w:ascii="Arial" w:eastAsia="MS Mincho" w:hAnsi="Arial" w:cs="Arial"/>
          <w:b/>
          <w:sz w:val="24"/>
          <w:szCs w:val="24"/>
          <w:lang w:val="en-GB"/>
        </w:rPr>
      </w:pPr>
      <w:r>
        <w:rPr>
          <w:rFonts w:ascii="Arial" w:eastAsia="MS Mincho" w:hAnsi="Arial" w:cs="Arial"/>
          <w:b/>
          <w:sz w:val="24"/>
          <w:szCs w:val="24"/>
          <w:lang w:val="en-GB"/>
        </w:rPr>
        <w:t>JUDGMENT</w:t>
      </w:r>
    </w:p>
    <w:p w14:paraId="0BEDD367" w14:textId="77777777" w:rsidR="005926C6" w:rsidRPr="00B61400" w:rsidRDefault="005926C6" w:rsidP="005926C6">
      <w:pPr>
        <w:pBdr>
          <w:top w:val="single" w:sz="4" w:space="1" w:color="auto"/>
          <w:bottom w:val="single" w:sz="4" w:space="1" w:color="auto"/>
        </w:pBdr>
        <w:spacing w:after="0" w:line="240" w:lineRule="auto"/>
        <w:jc w:val="center"/>
        <w:rPr>
          <w:rFonts w:ascii="Arial" w:hAnsi="Arial" w:cs="Arial"/>
          <w:b/>
          <w:sz w:val="24"/>
          <w:szCs w:val="24"/>
        </w:rPr>
      </w:pPr>
    </w:p>
    <w:p w14:paraId="628CB803" w14:textId="77777777" w:rsidR="005926C6" w:rsidRDefault="005926C6" w:rsidP="005926C6">
      <w:pPr>
        <w:spacing w:after="0" w:line="360" w:lineRule="auto"/>
        <w:jc w:val="both"/>
        <w:rPr>
          <w:rFonts w:ascii="Arial" w:hAnsi="Arial" w:cs="Arial"/>
          <w:sz w:val="24"/>
          <w:szCs w:val="24"/>
          <w:u w:val="single"/>
        </w:rPr>
      </w:pPr>
    </w:p>
    <w:p w14:paraId="4598CBC5" w14:textId="4B7C3304" w:rsidR="00B95C2B" w:rsidRPr="00583BB7" w:rsidRDefault="00583BB7" w:rsidP="005926C6">
      <w:pPr>
        <w:spacing w:after="0" w:line="360" w:lineRule="auto"/>
        <w:jc w:val="both"/>
        <w:rPr>
          <w:rFonts w:ascii="Arial" w:hAnsi="Arial" w:cs="Arial"/>
          <w:sz w:val="24"/>
          <w:szCs w:val="24"/>
          <w:u w:val="single"/>
        </w:rPr>
      </w:pPr>
      <w:r>
        <w:rPr>
          <w:rFonts w:ascii="Arial" w:hAnsi="Arial" w:cs="Arial"/>
          <w:sz w:val="24"/>
          <w:szCs w:val="24"/>
          <w:u w:val="single"/>
        </w:rPr>
        <w:t>Introduction</w:t>
      </w:r>
    </w:p>
    <w:p w14:paraId="3DD3DA3B" w14:textId="77777777" w:rsidR="005926C6" w:rsidRDefault="005926C6" w:rsidP="005926C6">
      <w:pPr>
        <w:spacing w:after="0" w:line="360" w:lineRule="auto"/>
        <w:jc w:val="both"/>
        <w:rPr>
          <w:rFonts w:ascii="Arial" w:hAnsi="Arial" w:cs="Arial"/>
          <w:sz w:val="24"/>
          <w:szCs w:val="24"/>
        </w:rPr>
      </w:pPr>
    </w:p>
    <w:p w14:paraId="5F3C7A12" w14:textId="31D0A597" w:rsidR="00627BD6" w:rsidRDefault="00E02897" w:rsidP="005926C6">
      <w:pPr>
        <w:spacing w:after="0" w:line="360" w:lineRule="auto"/>
        <w:jc w:val="both"/>
        <w:rPr>
          <w:rFonts w:ascii="Arial" w:hAnsi="Arial" w:cs="Arial"/>
          <w:sz w:val="24"/>
          <w:szCs w:val="24"/>
        </w:rPr>
      </w:pPr>
      <w:r>
        <w:rPr>
          <w:rFonts w:ascii="Arial" w:hAnsi="Arial" w:cs="Arial"/>
          <w:sz w:val="24"/>
          <w:szCs w:val="24"/>
        </w:rPr>
        <w:t>[</w:t>
      </w:r>
      <w:r w:rsidR="00F32175">
        <w:rPr>
          <w:rFonts w:ascii="Arial" w:hAnsi="Arial" w:cs="Arial"/>
          <w:sz w:val="24"/>
          <w:szCs w:val="24"/>
        </w:rPr>
        <w:t>1</w:t>
      </w:r>
      <w:r>
        <w:rPr>
          <w:rFonts w:ascii="Arial" w:hAnsi="Arial" w:cs="Arial"/>
          <w:sz w:val="24"/>
          <w:szCs w:val="24"/>
        </w:rPr>
        <w:t>]</w:t>
      </w:r>
      <w:r>
        <w:rPr>
          <w:rFonts w:ascii="Arial" w:hAnsi="Arial" w:cs="Arial"/>
          <w:sz w:val="24"/>
          <w:szCs w:val="24"/>
        </w:rPr>
        <w:tab/>
      </w:r>
      <w:r w:rsidR="00627BD6">
        <w:rPr>
          <w:rFonts w:ascii="Arial" w:hAnsi="Arial" w:cs="Arial"/>
          <w:sz w:val="24"/>
          <w:szCs w:val="24"/>
        </w:rPr>
        <w:t>There</w:t>
      </w:r>
      <w:r w:rsidR="007950E5">
        <w:rPr>
          <w:rFonts w:ascii="Arial" w:hAnsi="Arial" w:cs="Arial"/>
          <w:sz w:val="24"/>
          <w:szCs w:val="24"/>
        </w:rPr>
        <w:t xml:space="preserve"> are, presently,</w:t>
      </w:r>
      <w:r w:rsidR="00627BD6">
        <w:rPr>
          <w:rFonts w:ascii="Arial" w:hAnsi="Arial" w:cs="Arial"/>
          <w:sz w:val="24"/>
          <w:szCs w:val="24"/>
        </w:rPr>
        <w:t xml:space="preserve"> two applications that serve before this court </w:t>
      </w:r>
      <w:r w:rsidR="00627BD6">
        <w:rPr>
          <w:rFonts w:ascii="Arial" w:hAnsi="Arial" w:cs="Arial"/>
          <w:i/>
          <w:sz w:val="24"/>
          <w:szCs w:val="24"/>
        </w:rPr>
        <w:t>pari passu</w:t>
      </w:r>
      <w:r w:rsidR="00627BD6">
        <w:rPr>
          <w:rFonts w:ascii="Arial" w:hAnsi="Arial" w:cs="Arial"/>
          <w:sz w:val="24"/>
          <w:szCs w:val="24"/>
        </w:rPr>
        <w:t>.</w:t>
      </w:r>
    </w:p>
    <w:p w14:paraId="2E23F8AF" w14:textId="77777777" w:rsidR="00627BD6" w:rsidRDefault="00627BD6" w:rsidP="005926C6">
      <w:pPr>
        <w:spacing w:after="0" w:line="360" w:lineRule="auto"/>
        <w:jc w:val="both"/>
        <w:rPr>
          <w:rFonts w:ascii="Arial" w:hAnsi="Arial" w:cs="Arial"/>
          <w:sz w:val="24"/>
          <w:szCs w:val="24"/>
        </w:rPr>
      </w:pPr>
    </w:p>
    <w:p w14:paraId="35080A85" w14:textId="770E85C1" w:rsidR="00627BD6" w:rsidRDefault="00627BD6" w:rsidP="005926C6">
      <w:pPr>
        <w:spacing w:after="0" w:line="360" w:lineRule="auto"/>
        <w:jc w:val="both"/>
        <w:rPr>
          <w:rFonts w:ascii="Arial" w:hAnsi="Arial" w:cs="Arial"/>
          <w:sz w:val="24"/>
          <w:szCs w:val="24"/>
        </w:rPr>
      </w:pPr>
      <w:r>
        <w:rPr>
          <w:rFonts w:ascii="Arial" w:hAnsi="Arial" w:cs="Arial"/>
          <w:sz w:val="24"/>
          <w:szCs w:val="24"/>
        </w:rPr>
        <w:t xml:space="preserve">[2] </w:t>
      </w:r>
      <w:r w:rsidR="00583BB7">
        <w:rPr>
          <w:rFonts w:ascii="Arial" w:hAnsi="Arial" w:cs="Arial"/>
          <w:sz w:val="24"/>
          <w:szCs w:val="24"/>
        </w:rPr>
        <w:tab/>
      </w:r>
      <w:r>
        <w:rPr>
          <w:rFonts w:ascii="Arial" w:hAnsi="Arial" w:cs="Arial"/>
          <w:sz w:val="24"/>
          <w:szCs w:val="24"/>
        </w:rPr>
        <w:t xml:space="preserve">The first is a forfeiture of property order, applied for by the Prosecutor-General in this matter. The second application is </w:t>
      </w:r>
      <w:r w:rsidR="00583BB7">
        <w:rPr>
          <w:rFonts w:ascii="Arial" w:hAnsi="Arial" w:cs="Arial"/>
          <w:sz w:val="24"/>
          <w:szCs w:val="24"/>
        </w:rPr>
        <w:t>an application by the respondent, Mr. Jesaya Kangandjo, for the exclusion of a certain amount from the forfeiture order, in terms of s 63 of the Prevention of Organised Crime Act, 2004</w:t>
      </w:r>
      <w:r w:rsidR="00012737">
        <w:rPr>
          <w:rFonts w:ascii="Arial" w:hAnsi="Arial" w:cs="Arial"/>
          <w:sz w:val="24"/>
          <w:szCs w:val="24"/>
        </w:rPr>
        <w:t>, (‘the Act’, or ‘POCA’)</w:t>
      </w:r>
      <w:r w:rsidR="00583BB7">
        <w:rPr>
          <w:rFonts w:ascii="Arial" w:hAnsi="Arial" w:cs="Arial"/>
          <w:sz w:val="24"/>
          <w:szCs w:val="24"/>
        </w:rPr>
        <w:t>.</w:t>
      </w:r>
    </w:p>
    <w:p w14:paraId="10886BF5" w14:textId="77777777" w:rsidR="00583BB7" w:rsidRDefault="00583BB7" w:rsidP="005926C6">
      <w:pPr>
        <w:spacing w:after="0" w:line="360" w:lineRule="auto"/>
        <w:jc w:val="both"/>
        <w:rPr>
          <w:rFonts w:ascii="Arial" w:hAnsi="Arial" w:cs="Arial"/>
          <w:sz w:val="24"/>
          <w:szCs w:val="24"/>
        </w:rPr>
      </w:pPr>
    </w:p>
    <w:p w14:paraId="5CA24F19" w14:textId="77777777" w:rsidR="00583BB7" w:rsidRDefault="00583BB7" w:rsidP="005926C6">
      <w:pPr>
        <w:spacing w:after="0" w:line="360" w:lineRule="auto"/>
        <w:jc w:val="both"/>
        <w:rPr>
          <w:rFonts w:ascii="Arial" w:hAnsi="Arial" w:cs="Arial"/>
          <w:sz w:val="24"/>
          <w:szCs w:val="24"/>
          <w:u w:val="single"/>
        </w:rPr>
      </w:pPr>
      <w:r>
        <w:rPr>
          <w:rFonts w:ascii="Arial" w:hAnsi="Arial" w:cs="Arial"/>
          <w:sz w:val="24"/>
          <w:szCs w:val="24"/>
          <w:u w:val="single"/>
        </w:rPr>
        <w:t>Background</w:t>
      </w:r>
    </w:p>
    <w:p w14:paraId="59C15BA8" w14:textId="77777777" w:rsidR="00583BB7" w:rsidRPr="00583BB7" w:rsidRDefault="00583BB7" w:rsidP="005926C6">
      <w:pPr>
        <w:spacing w:after="0" w:line="360" w:lineRule="auto"/>
        <w:jc w:val="both"/>
        <w:rPr>
          <w:rFonts w:ascii="Arial" w:hAnsi="Arial" w:cs="Arial"/>
          <w:sz w:val="24"/>
          <w:szCs w:val="24"/>
          <w:u w:val="single"/>
        </w:rPr>
      </w:pPr>
    </w:p>
    <w:p w14:paraId="69E6133F" w14:textId="77777777" w:rsidR="00583BB7" w:rsidRPr="00627BD6" w:rsidRDefault="00583BB7" w:rsidP="005926C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30 August 2018, the applicant obtained an order for the preservation of property. The order reads as follows:</w:t>
      </w:r>
    </w:p>
    <w:p w14:paraId="3A7D4236" w14:textId="77777777" w:rsidR="00583BB7" w:rsidRPr="00583BB7" w:rsidRDefault="00583BB7" w:rsidP="005926C6">
      <w:pPr>
        <w:spacing w:after="0" w:line="360" w:lineRule="auto"/>
        <w:ind w:firstLine="720"/>
        <w:jc w:val="both"/>
        <w:rPr>
          <w:rFonts w:ascii="Arial" w:hAnsi="Arial" w:cs="Arial"/>
        </w:rPr>
      </w:pPr>
      <w:r>
        <w:rPr>
          <w:rFonts w:ascii="Arial" w:hAnsi="Arial" w:cs="Arial"/>
        </w:rPr>
        <w:t>‘</w:t>
      </w:r>
      <w:r w:rsidRPr="00583BB7">
        <w:rPr>
          <w:rFonts w:ascii="Arial" w:hAnsi="Arial" w:cs="Arial"/>
        </w:rPr>
        <w:t>A preservation of property order as contemplated by section 51 of POCA granted in respect of the positive balance in the First National Bank Cheque Account number 62241595753 held in the name of Kotokeni Investments Club, herein referred to as the "property".’</w:t>
      </w:r>
    </w:p>
    <w:p w14:paraId="7261E1CA" w14:textId="77777777" w:rsidR="00627BD6" w:rsidRDefault="00627BD6" w:rsidP="005926C6">
      <w:pPr>
        <w:spacing w:after="0" w:line="360" w:lineRule="auto"/>
        <w:jc w:val="both"/>
        <w:rPr>
          <w:rFonts w:ascii="Arial" w:hAnsi="Arial" w:cs="Arial"/>
          <w:sz w:val="24"/>
          <w:szCs w:val="24"/>
        </w:rPr>
      </w:pPr>
    </w:p>
    <w:p w14:paraId="301FE9DC" w14:textId="28E029BF" w:rsidR="00583BB7" w:rsidRDefault="00583BB7" w:rsidP="005926C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order was issued against the property of Kotokeni Investme</w:t>
      </w:r>
      <w:r w:rsidR="007801F1">
        <w:rPr>
          <w:rFonts w:ascii="Arial" w:hAnsi="Arial" w:cs="Arial"/>
          <w:sz w:val="24"/>
          <w:szCs w:val="24"/>
        </w:rPr>
        <w:t>nts Club,</w:t>
      </w:r>
      <w:r>
        <w:rPr>
          <w:rFonts w:ascii="Arial" w:hAnsi="Arial" w:cs="Arial"/>
          <w:sz w:val="24"/>
          <w:szCs w:val="24"/>
        </w:rPr>
        <w:t xml:space="preserve"> t</w:t>
      </w:r>
      <w:r w:rsidRPr="00E02897">
        <w:rPr>
          <w:rFonts w:ascii="Arial" w:hAnsi="Arial" w:cs="Arial"/>
          <w:sz w:val="24"/>
          <w:szCs w:val="24"/>
        </w:rPr>
        <w:t xml:space="preserve">he </w:t>
      </w:r>
      <w:r>
        <w:rPr>
          <w:rFonts w:ascii="Arial" w:hAnsi="Arial" w:cs="Arial"/>
          <w:sz w:val="24"/>
          <w:szCs w:val="24"/>
        </w:rPr>
        <w:t>applicant contending</w:t>
      </w:r>
      <w:r w:rsidRPr="00E02897">
        <w:rPr>
          <w:rFonts w:ascii="Arial" w:hAnsi="Arial" w:cs="Arial"/>
          <w:sz w:val="24"/>
          <w:szCs w:val="24"/>
        </w:rPr>
        <w:t xml:space="preserve"> </w:t>
      </w:r>
      <w:r w:rsidR="00012737">
        <w:rPr>
          <w:rFonts w:ascii="Arial" w:hAnsi="Arial" w:cs="Arial"/>
          <w:sz w:val="24"/>
          <w:szCs w:val="24"/>
        </w:rPr>
        <w:t xml:space="preserve">in the said application </w:t>
      </w:r>
      <w:r w:rsidRPr="00E02897">
        <w:rPr>
          <w:rFonts w:ascii="Arial" w:hAnsi="Arial" w:cs="Arial"/>
          <w:sz w:val="24"/>
          <w:szCs w:val="24"/>
        </w:rPr>
        <w:t xml:space="preserve">that the properties sought to be forfeited are the proceeds of unlawful activities in that one of the members of the aforementioned partnership, Mr. Thomas Valomboleni, being a sole member of Netcare CC, </w:t>
      </w:r>
      <w:r w:rsidR="007F2EFE">
        <w:rPr>
          <w:rFonts w:ascii="Arial" w:hAnsi="Arial" w:cs="Arial"/>
          <w:sz w:val="24"/>
          <w:szCs w:val="24"/>
        </w:rPr>
        <w:t xml:space="preserve">through a misrepresentation </w:t>
      </w:r>
      <w:r w:rsidRPr="00E02897">
        <w:rPr>
          <w:rFonts w:ascii="Arial" w:hAnsi="Arial" w:cs="Arial"/>
          <w:sz w:val="24"/>
          <w:szCs w:val="24"/>
        </w:rPr>
        <w:t>intentionally submitted payment requests to the Roman Catholic Church (“The Church”) on behalf of Netcare CC. These payment request</w:t>
      </w:r>
      <w:r w:rsidR="007950E5">
        <w:rPr>
          <w:rFonts w:ascii="Arial" w:hAnsi="Arial" w:cs="Arial"/>
          <w:sz w:val="24"/>
          <w:szCs w:val="24"/>
        </w:rPr>
        <w:t>s</w:t>
      </w:r>
      <w:r w:rsidRPr="00E02897">
        <w:rPr>
          <w:rFonts w:ascii="Arial" w:hAnsi="Arial" w:cs="Arial"/>
          <w:sz w:val="24"/>
          <w:szCs w:val="24"/>
        </w:rPr>
        <w:t xml:space="preserve"> submitted by Mr. Tho</w:t>
      </w:r>
      <w:r w:rsidR="00012737">
        <w:rPr>
          <w:rFonts w:ascii="Arial" w:hAnsi="Arial" w:cs="Arial"/>
          <w:sz w:val="24"/>
          <w:szCs w:val="24"/>
        </w:rPr>
        <w:t>mas were presented to make the C</w:t>
      </w:r>
      <w:r w:rsidRPr="00E02897">
        <w:rPr>
          <w:rFonts w:ascii="Arial" w:hAnsi="Arial" w:cs="Arial"/>
          <w:sz w:val="24"/>
          <w:szCs w:val="24"/>
        </w:rPr>
        <w:t>hurch believe that Netcare CC supplied medical supplies to it and thus, need</w:t>
      </w:r>
      <w:r w:rsidR="00012737">
        <w:rPr>
          <w:rFonts w:ascii="Arial" w:hAnsi="Arial" w:cs="Arial"/>
          <w:sz w:val="24"/>
          <w:szCs w:val="24"/>
        </w:rPr>
        <w:t xml:space="preserve">ed to be paid for the </w:t>
      </w:r>
      <w:r w:rsidRPr="00E02897">
        <w:rPr>
          <w:rFonts w:ascii="Arial" w:hAnsi="Arial" w:cs="Arial"/>
          <w:sz w:val="24"/>
          <w:szCs w:val="24"/>
        </w:rPr>
        <w:t xml:space="preserve">services </w:t>
      </w:r>
      <w:r w:rsidR="00012737">
        <w:rPr>
          <w:rFonts w:ascii="Arial" w:hAnsi="Arial" w:cs="Arial"/>
          <w:sz w:val="24"/>
          <w:szCs w:val="24"/>
        </w:rPr>
        <w:t xml:space="preserve">purportedly </w:t>
      </w:r>
      <w:r w:rsidRPr="00E02897">
        <w:rPr>
          <w:rFonts w:ascii="Arial" w:hAnsi="Arial" w:cs="Arial"/>
          <w:sz w:val="24"/>
          <w:szCs w:val="24"/>
        </w:rPr>
        <w:t>rendered.</w:t>
      </w:r>
    </w:p>
    <w:p w14:paraId="535B70EA" w14:textId="77777777" w:rsidR="0012635E" w:rsidRPr="00583BB7" w:rsidRDefault="0012635E" w:rsidP="005926C6">
      <w:pPr>
        <w:spacing w:after="0" w:line="360" w:lineRule="auto"/>
        <w:jc w:val="both"/>
        <w:rPr>
          <w:rFonts w:ascii="Arial" w:hAnsi="Arial" w:cs="Arial"/>
          <w:sz w:val="24"/>
          <w:szCs w:val="24"/>
        </w:rPr>
      </w:pPr>
    </w:p>
    <w:p w14:paraId="713775AA" w14:textId="309AF5A6" w:rsidR="004A6DDD" w:rsidRPr="005926C6" w:rsidRDefault="00E02897" w:rsidP="005926C6">
      <w:pPr>
        <w:spacing w:after="0" w:line="360" w:lineRule="auto"/>
        <w:jc w:val="both"/>
        <w:rPr>
          <w:rFonts w:ascii="Arial" w:hAnsi="Arial" w:cs="Arial"/>
        </w:rPr>
      </w:pPr>
      <w:r w:rsidRPr="00583BB7">
        <w:rPr>
          <w:rFonts w:ascii="Arial" w:hAnsi="Arial" w:cs="Arial"/>
          <w:sz w:val="24"/>
          <w:szCs w:val="24"/>
        </w:rPr>
        <w:t>[</w:t>
      </w:r>
      <w:r w:rsidR="0005746A">
        <w:rPr>
          <w:rFonts w:ascii="Arial" w:hAnsi="Arial" w:cs="Arial"/>
          <w:sz w:val="24"/>
          <w:szCs w:val="24"/>
        </w:rPr>
        <w:t>5</w:t>
      </w:r>
      <w:r w:rsidRPr="00583BB7">
        <w:rPr>
          <w:rFonts w:ascii="Arial" w:hAnsi="Arial" w:cs="Arial"/>
          <w:sz w:val="24"/>
          <w:szCs w:val="24"/>
        </w:rPr>
        <w:t>]</w:t>
      </w:r>
      <w:r w:rsidRPr="00583BB7">
        <w:rPr>
          <w:rFonts w:ascii="Arial" w:hAnsi="Arial" w:cs="Arial"/>
          <w:sz w:val="24"/>
          <w:szCs w:val="24"/>
        </w:rPr>
        <w:tab/>
      </w:r>
      <w:r w:rsidR="000765F7" w:rsidRPr="00583BB7">
        <w:rPr>
          <w:rFonts w:ascii="Arial" w:hAnsi="Arial" w:cs="Arial"/>
          <w:sz w:val="24"/>
          <w:szCs w:val="24"/>
        </w:rPr>
        <w:t>S</w:t>
      </w:r>
      <w:r w:rsidR="00583BB7">
        <w:rPr>
          <w:rFonts w:ascii="Arial" w:hAnsi="Arial" w:cs="Arial"/>
          <w:sz w:val="24"/>
          <w:szCs w:val="24"/>
        </w:rPr>
        <w:t>ubsequent to the granting of the order quoted</w:t>
      </w:r>
      <w:r w:rsidR="000765F7" w:rsidRPr="00583BB7">
        <w:rPr>
          <w:rFonts w:ascii="Arial" w:hAnsi="Arial" w:cs="Arial"/>
          <w:sz w:val="24"/>
          <w:szCs w:val="24"/>
        </w:rPr>
        <w:t xml:space="preserve"> above, the applicant then launched the current proceedings. </w:t>
      </w:r>
      <w:r w:rsidR="008F3D2D" w:rsidRPr="00583BB7">
        <w:rPr>
          <w:rFonts w:ascii="Arial" w:hAnsi="Arial" w:cs="Arial"/>
          <w:sz w:val="24"/>
          <w:szCs w:val="24"/>
        </w:rPr>
        <w:t xml:space="preserve">Before the court </w:t>
      </w:r>
      <w:r w:rsidR="000765F7" w:rsidRPr="00583BB7">
        <w:rPr>
          <w:rFonts w:ascii="Arial" w:hAnsi="Arial" w:cs="Arial"/>
          <w:sz w:val="24"/>
          <w:szCs w:val="24"/>
        </w:rPr>
        <w:t xml:space="preserve">therefor, </w:t>
      </w:r>
      <w:r w:rsidR="008F3D2D" w:rsidRPr="00583BB7">
        <w:rPr>
          <w:rFonts w:ascii="Arial" w:hAnsi="Arial" w:cs="Arial"/>
          <w:sz w:val="24"/>
          <w:szCs w:val="24"/>
        </w:rPr>
        <w:t>is</w:t>
      </w:r>
      <w:r w:rsidR="00F14E4D" w:rsidRPr="00583BB7">
        <w:rPr>
          <w:rFonts w:ascii="Arial" w:hAnsi="Arial" w:cs="Arial"/>
          <w:sz w:val="24"/>
          <w:szCs w:val="24"/>
        </w:rPr>
        <w:t xml:space="preserve"> an application for forfeiture of </w:t>
      </w:r>
      <w:r w:rsidR="00012737">
        <w:rPr>
          <w:rFonts w:ascii="Arial" w:hAnsi="Arial" w:cs="Arial"/>
          <w:sz w:val="24"/>
          <w:szCs w:val="24"/>
        </w:rPr>
        <w:t xml:space="preserve">the said </w:t>
      </w:r>
      <w:r w:rsidR="00F14E4D" w:rsidRPr="00583BB7">
        <w:rPr>
          <w:rFonts w:ascii="Arial" w:hAnsi="Arial" w:cs="Arial"/>
          <w:sz w:val="24"/>
          <w:szCs w:val="24"/>
        </w:rPr>
        <w:t>property</w:t>
      </w:r>
      <w:r w:rsidR="00012737">
        <w:rPr>
          <w:rFonts w:ascii="Arial" w:hAnsi="Arial" w:cs="Arial"/>
          <w:sz w:val="24"/>
          <w:szCs w:val="24"/>
        </w:rPr>
        <w:t xml:space="preserve"> which is</w:t>
      </w:r>
      <w:r w:rsidR="00F14E4D" w:rsidRPr="00583BB7">
        <w:rPr>
          <w:rFonts w:ascii="Arial" w:hAnsi="Arial" w:cs="Arial"/>
          <w:sz w:val="24"/>
          <w:szCs w:val="24"/>
        </w:rPr>
        <w:t xml:space="preserve"> brought in terms of s 59 of </w:t>
      </w:r>
      <w:r w:rsidR="000765F7" w:rsidRPr="00583BB7">
        <w:rPr>
          <w:rFonts w:ascii="Arial" w:hAnsi="Arial" w:cs="Arial"/>
          <w:sz w:val="24"/>
          <w:szCs w:val="24"/>
        </w:rPr>
        <w:t>POCA which provides</w:t>
      </w:r>
      <w:r w:rsidR="0007786B" w:rsidRPr="00583BB7">
        <w:rPr>
          <w:rFonts w:ascii="Arial" w:hAnsi="Arial" w:cs="Arial"/>
          <w:sz w:val="24"/>
          <w:szCs w:val="24"/>
        </w:rPr>
        <w:t xml:space="preserve"> that</w:t>
      </w:r>
      <w:r w:rsidR="000765F7" w:rsidRPr="00583BB7">
        <w:rPr>
          <w:rFonts w:ascii="Arial" w:hAnsi="Arial" w:cs="Arial"/>
          <w:sz w:val="24"/>
          <w:szCs w:val="24"/>
        </w:rPr>
        <w:t>:</w:t>
      </w:r>
    </w:p>
    <w:p w14:paraId="77A9F9FC" w14:textId="77777777" w:rsidR="000765F7" w:rsidRPr="004A6DDD" w:rsidRDefault="000765F7" w:rsidP="005926C6">
      <w:pPr>
        <w:pStyle w:val="ListParagraph"/>
        <w:spacing w:after="0" w:line="360" w:lineRule="auto"/>
        <w:ind w:firstLine="207"/>
        <w:jc w:val="both"/>
        <w:rPr>
          <w:rFonts w:ascii="Arial" w:hAnsi="Arial" w:cs="Arial"/>
        </w:rPr>
      </w:pPr>
      <w:r w:rsidRPr="004A6DDD">
        <w:rPr>
          <w:rFonts w:ascii="Arial" w:hAnsi="Arial" w:cs="Arial"/>
        </w:rPr>
        <w:t xml:space="preserve">‘(1) </w:t>
      </w:r>
      <w:r w:rsidRPr="004A6DDD">
        <w:rPr>
          <w:rFonts w:ascii="Arial" w:hAnsi="Arial" w:cs="Arial"/>
        </w:rPr>
        <w:tab/>
        <w:t>If a preservation of property order is in force the Prosecutor-General may apply to the High Court for an order forfeiting to the State all or any of the property that is subject to a preservation of property order.</w:t>
      </w:r>
    </w:p>
    <w:p w14:paraId="4EE822DF" w14:textId="77777777" w:rsidR="000765F7" w:rsidRPr="004A6DDD" w:rsidRDefault="000765F7" w:rsidP="005926C6">
      <w:pPr>
        <w:pStyle w:val="AS-P1"/>
        <w:spacing w:line="360" w:lineRule="auto"/>
        <w:ind w:left="360" w:right="0"/>
        <w:rPr>
          <w:rFonts w:ascii="Arial" w:hAnsi="Arial" w:cs="Arial"/>
        </w:rPr>
      </w:pPr>
      <w:r w:rsidRPr="004A6DDD">
        <w:rPr>
          <w:rFonts w:ascii="Arial" w:hAnsi="Arial" w:cs="Arial"/>
        </w:rPr>
        <w:t xml:space="preserve">(2) </w:t>
      </w:r>
      <w:r w:rsidRPr="004A6DDD">
        <w:rPr>
          <w:rFonts w:ascii="Arial" w:hAnsi="Arial" w:cs="Arial"/>
        </w:rPr>
        <w:tab/>
        <w:t>The Prosecutor-General must, in the prescribed manner, give 14 days notice of an application under subsection (1) to every person who gave notice in terms of section 52(3).</w:t>
      </w:r>
    </w:p>
    <w:p w14:paraId="3A8E9543" w14:textId="77777777" w:rsidR="000765F7" w:rsidRPr="004A6DDD" w:rsidRDefault="000765F7" w:rsidP="005926C6">
      <w:pPr>
        <w:pStyle w:val="AS-P1"/>
        <w:spacing w:line="360" w:lineRule="auto"/>
        <w:ind w:left="360" w:right="0"/>
        <w:rPr>
          <w:rFonts w:ascii="Arial" w:hAnsi="Arial" w:cs="Arial"/>
        </w:rPr>
      </w:pPr>
    </w:p>
    <w:p w14:paraId="3E874609" w14:textId="168CB6B9" w:rsidR="000765F7" w:rsidRPr="004A6DDD" w:rsidRDefault="000765F7" w:rsidP="005926C6">
      <w:pPr>
        <w:pStyle w:val="AS-P1"/>
        <w:spacing w:line="360" w:lineRule="auto"/>
        <w:ind w:left="360" w:right="0"/>
        <w:rPr>
          <w:rFonts w:ascii="Arial" w:hAnsi="Arial" w:cs="Arial"/>
        </w:rPr>
      </w:pPr>
      <w:r w:rsidRPr="004A6DDD">
        <w:rPr>
          <w:rFonts w:ascii="Arial" w:hAnsi="Arial" w:cs="Arial"/>
        </w:rPr>
        <w:t xml:space="preserve">(3) </w:t>
      </w:r>
      <w:r w:rsidRPr="004A6DDD">
        <w:rPr>
          <w:rFonts w:ascii="Arial" w:hAnsi="Arial" w:cs="Arial"/>
        </w:rPr>
        <w:tab/>
        <w:t>A notice under subsection (2) must be delivered at the address indicated by the relevant person in terms of section 52(5).</w:t>
      </w:r>
    </w:p>
    <w:p w14:paraId="38820572" w14:textId="0665782E" w:rsidR="000765F7" w:rsidRDefault="000765F7" w:rsidP="005926C6">
      <w:pPr>
        <w:pStyle w:val="AS-P1"/>
        <w:spacing w:line="360" w:lineRule="auto"/>
        <w:ind w:left="360" w:right="0"/>
        <w:rPr>
          <w:rFonts w:ascii="Arial" w:hAnsi="Arial" w:cs="Arial"/>
        </w:rPr>
      </w:pPr>
      <w:r w:rsidRPr="004A6DDD">
        <w:rPr>
          <w:rFonts w:ascii="Arial" w:hAnsi="Arial" w:cs="Arial"/>
        </w:rPr>
        <w:t>(4)</w:t>
      </w:r>
      <w:r w:rsidRPr="004A6DDD">
        <w:rPr>
          <w:rFonts w:ascii="Arial" w:hAnsi="Arial" w:cs="Arial"/>
        </w:rPr>
        <w:tab/>
        <w:t xml:space="preserve">Any person who gave notice in terms of section 52(3) may </w:t>
      </w:r>
      <w:r w:rsidR="005926C6">
        <w:rPr>
          <w:rFonts w:ascii="Arial" w:hAnsi="Arial" w:cs="Arial"/>
        </w:rPr>
        <w:t>–</w:t>
      </w:r>
    </w:p>
    <w:p w14:paraId="2F4A9925" w14:textId="77777777" w:rsidR="005926C6" w:rsidRPr="004A6DDD" w:rsidRDefault="005926C6" w:rsidP="005926C6">
      <w:pPr>
        <w:pStyle w:val="AS-P1"/>
        <w:spacing w:line="360" w:lineRule="auto"/>
        <w:ind w:left="360" w:right="0"/>
        <w:rPr>
          <w:rFonts w:ascii="Arial" w:hAnsi="Arial" w:cs="Arial"/>
        </w:rPr>
      </w:pPr>
    </w:p>
    <w:p w14:paraId="79B397C3" w14:textId="2CE333D2" w:rsidR="000765F7" w:rsidRPr="004A6DDD" w:rsidRDefault="000765F7" w:rsidP="005926C6">
      <w:pPr>
        <w:pStyle w:val="AS-Pa"/>
        <w:spacing w:line="360" w:lineRule="auto"/>
        <w:ind w:left="1494" w:right="0"/>
        <w:rPr>
          <w:rFonts w:ascii="Arial" w:hAnsi="Arial" w:cs="Arial"/>
        </w:rPr>
      </w:pPr>
      <w:r w:rsidRPr="004A6DDD">
        <w:rPr>
          <w:rFonts w:ascii="Arial" w:hAnsi="Arial" w:cs="Arial"/>
        </w:rPr>
        <w:t>(a)</w:t>
      </w:r>
      <w:r w:rsidRPr="004A6DDD">
        <w:rPr>
          <w:rFonts w:ascii="Arial" w:hAnsi="Arial" w:cs="Arial"/>
        </w:rPr>
        <w:tab/>
        <w:t>oppose the making of the order; or</w:t>
      </w:r>
    </w:p>
    <w:p w14:paraId="091E955A" w14:textId="1CBD7FF9" w:rsidR="000765F7" w:rsidRPr="004A6DDD" w:rsidRDefault="000765F7" w:rsidP="005926C6">
      <w:pPr>
        <w:pStyle w:val="AS-Pa"/>
        <w:spacing w:line="360" w:lineRule="auto"/>
        <w:ind w:left="1494" w:right="0"/>
        <w:rPr>
          <w:rFonts w:ascii="Arial" w:hAnsi="Arial" w:cs="Arial"/>
        </w:rPr>
      </w:pPr>
      <w:r w:rsidRPr="004A6DDD">
        <w:rPr>
          <w:rFonts w:ascii="Arial" w:hAnsi="Arial" w:cs="Arial"/>
        </w:rPr>
        <w:t>(b)</w:t>
      </w:r>
      <w:r w:rsidRPr="004A6DDD">
        <w:rPr>
          <w:rFonts w:ascii="Arial" w:hAnsi="Arial" w:cs="Arial"/>
        </w:rPr>
        <w:tab/>
        <w:t>apply for an order -</w:t>
      </w:r>
    </w:p>
    <w:p w14:paraId="4144796E" w14:textId="43CEB85F" w:rsidR="000765F7" w:rsidRPr="004A6DDD" w:rsidRDefault="000765F7" w:rsidP="005926C6">
      <w:pPr>
        <w:pStyle w:val="AS-Pi"/>
        <w:spacing w:line="360" w:lineRule="auto"/>
        <w:ind w:left="2061" w:right="0"/>
        <w:rPr>
          <w:rFonts w:ascii="Arial" w:hAnsi="Arial" w:cs="Arial"/>
        </w:rPr>
      </w:pPr>
      <w:r w:rsidRPr="004A6DDD">
        <w:rPr>
          <w:rFonts w:ascii="Arial" w:hAnsi="Arial" w:cs="Arial"/>
        </w:rPr>
        <w:t>(i)</w:t>
      </w:r>
      <w:r w:rsidRPr="004A6DDD">
        <w:rPr>
          <w:rFonts w:ascii="Arial" w:hAnsi="Arial" w:cs="Arial"/>
        </w:rPr>
        <w:tab/>
        <w:t>excluding his or her interest in that property from the operation of the order; or</w:t>
      </w:r>
    </w:p>
    <w:p w14:paraId="60DFFF48" w14:textId="6C83F0E5" w:rsidR="000765F7" w:rsidRPr="004A6DDD" w:rsidRDefault="000765F7" w:rsidP="005926C6">
      <w:pPr>
        <w:pStyle w:val="AS-Pi"/>
        <w:spacing w:line="360" w:lineRule="auto"/>
        <w:ind w:left="2061" w:right="0"/>
        <w:rPr>
          <w:rFonts w:ascii="Arial" w:hAnsi="Arial" w:cs="Arial"/>
        </w:rPr>
      </w:pPr>
      <w:r w:rsidRPr="004A6DDD">
        <w:rPr>
          <w:rFonts w:ascii="Arial" w:hAnsi="Arial" w:cs="Arial"/>
        </w:rPr>
        <w:t>(ii)</w:t>
      </w:r>
      <w:r w:rsidRPr="004A6DDD">
        <w:rPr>
          <w:rFonts w:ascii="Arial" w:hAnsi="Arial" w:cs="Arial"/>
        </w:rPr>
        <w:tab/>
        <w:t>varying the operation of the order in respect of that property.</w:t>
      </w:r>
    </w:p>
    <w:p w14:paraId="2A3C3B56" w14:textId="11CE2108" w:rsidR="000765F7" w:rsidRDefault="000765F7" w:rsidP="005926C6">
      <w:pPr>
        <w:pStyle w:val="AS-P1"/>
        <w:spacing w:line="360" w:lineRule="auto"/>
        <w:ind w:left="360" w:right="0"/>
        <w:rPr>
          <w:rFonts w:ascii="Arial" w:hAnsi="Arial" w:cs="Arial"/>
        </w:rPr>
      </w:pPr>
      <w:r w:rsidRPr="004A6DDD">
        <w:rPr>
          <w:rFonts w:ascii="Arial" w:hAnsi="Arial" w:cs="Arial"/>
        </w:rPr>
        <w:t xml:space="preserve">(5) </w:t>
      </w:r>
      <w:r w:rsidRPr="004A6DDD">
        <w:rPr>
          <w:rFonts w:ascii="Arial" w:hAnsi="Arial" w:cs="Arial"/>
        </w:rPr>
        <w:tab/>
        <w:t>When application under subsection (1) is made the High Court may, on the application of any of the parties, direct that oral or other evidence be heard or presented on any issue that the court may direct, if the court is satisfied that a dispute of fact concerning that issue exists that cannot be determined without the aid of oral or other evidence.</w:t>
      </w:r>
      <w:r w:rsidR="00D4334B">
        <w:rPr>
          <w:rFonts w:ascii="Arial" w:hAnsi="Arial" w:cs="Arial"/>
        </w:rPr>
        <w:t xml:space="preserve">’ </w:t>
      </w:r>
    </w:p>
    <w:p w14:paraId="7DC02026" w14:textId="77777777" w:rsidR="005926C6" w:rsidRPr="00B95C2B" w:rsidRDefault="005926C6" w:rsidP="005926C6">
      <w:pPr>
        <w:pStyle w:val="AS-P1"/>
        <w:spacing w:line="360" w:lineRule="auto"/>
        <w:ind w:left="360" w:right="0"/>
        <w:rPr>
          <w:rFonts w:ascii="Arial" w:hAnsi="Arial" w:cs="Arial"/>
        </w:rPr>
      </w:pPr>
    </w:p>
    <w:p w14:paraId="6B56B30A" w14:textId="4E9E4EC9" w:rsidR="007801F1" w:rsidRDefault="00E02897" w:rsidP="005926C6">
      <w:pPr>
        <w:spacing w:after="0" w:line="360" w:lineRule="auto"/>
        <w:jc w:val="both"/>
        <w:rPr>
          <w:rFonts w:ascii="Arial" w:hAnsi="Arial" w:cs="Arial"/>
          <w:sz w:val="24"/>
          <w:szCs w:val="24"/>
        </w:rPr>
      </w:pPr>
      <w:r>
        <w:rPr>
          <w:rFonts w:ascii="Arial" w:hAnsi="Arial" w:cs="Arial"/>
          <w:sz w:val="24"/>
          <w:szCs w:val="24"/>
        </w:rPr>
        <w:t>[</w:t>
      </w:r>
      <w:r w:rsidR="0005746A">
        <w:rPr>
          <w:rFonts w:ascii="Arial" w:hAnsi="Arial" w:cs="Arial"/>
          <w:sz w:val="24"/>
          <w:szCs w:val="24"/>
        </w:rPr>
        <w:t>6</w:t>
      </w:r>
      <w:r>
        <w:rPr>
          <w:rFonts w:ascii="Arial" w:hAnsi="Arial" w:cs="Arial"/>
          <w:sz w:val="24"/>
          <w:szCs w:val="24"/>
        </w:rPr>
        <w:t>]</w:t>
      </w:r>
      <w:r>
        <w:rPr>
          <w:rFonts w:ascii="Arial" w:hAnsi="Arial" w:cs="Arial"/>
          <w:sz w:val="24"/>
          <w:szCs w:val="24"/>
        </w:rPr>
        <w:tab/>
      </w:r>
      <w:r w:rsidR="007B1E94" w:rsidRPr="00E02897">
        <w:rPr>
          <w:rFonts w:ascii="Arial" w:hAnsi="Arial" w:cs="Arial"/>
          <w:sz w:val="24"/>
          <w:szCs w:val="24"/>
        </w:rPr>
        <w:t>The r</w:t>
      </w:r>
      <w:r w:rsidR="00F32175">
        <w:rPr>
          <w:rFonts w:ascii="Arial" w:hAnsi="Arial" w:cs="Arial"/>
          <w:sz w:val="24"/>
          <w:szCs w:val="24"/>
        </w:rPr>
        <w:t xml:space="preserve">espondent, </w:t>
      </w:r>
      <w:r w:rsidR="00481C26" w:rsidRPr="00E02897">
        <w:rPr>
          <w:rFonts w:ascii="Arial" w:hAnsi="Arial" w:cs="Arial"/>
          <w:sz w:val="24"/>
          <w:szCs w:val="24"/>
        </w:rPr>
        <w:t>despite service,</w:t>
      </w:r>
      <w:r w:rsidR="004A6DDD" w:rsidRPr="00E02897">
        <w:rPr>
          <w:rFonts w:ascii="Arial" w:hAnsi="Arial" w:cs="Arial"/>
          <w:sz w:val="24"/>
          <w:szCs w:val="24"/>
        </w:rPr>
        <w:t xml:space="preserve"> </w:t>
      </w:r>
      <w:r w:rsidR="00481C26" w:rsidRPr="00E02897">
        <w:rPr>
          <w:rFonts w:ascii="Arial" w:hAnsi="Arial" w:cs="Arial"/>
          <w:sz w:val="24"/>
          <w:szCs w:val="24"/>
        </w:rPr>
        <w:t>as is required by</w:t>
      </w:r>
      <w:r w:rsidR="004A6DDD" w:rsidRPr="00E02897">
        <w:rPr>
          <w:rFonts w:ascii="Arial" w:hAnsi="Arial" w:cs="Arial"/>
          <w:sz w:val="24"/>
          <w:szCs w:val="24"/>
        </w:rPr>
        <w:t xml:space="preserve"> s 52 (3) of POCA</w:t>
      </w:r>
      <w:r w:rsidR="00481C26" w:rsidRPr="00E02897">
        <w:rPr>
          <w:rFonts w:ascii="Arial" w:hAnsi="Arial" w:cs="Arial"/>
          <w:sz w:val="24"/>
          <w:szCs w:val="24"/>
        </w:rPr>
        <w:t>, did not</w:t>
      </w:r>
      <w:r w:rsidR="004A6DDD" w:rsidRPr="00E02897">
        <w:rPr>
          <w:rFonts w:ascii="Arial" w:hAnsi="Arial" w:cs="Arial"/>
          <w:sz w:val="24"/>
          <w:szCs w:val="24"/>
        </w:rPr>
        <w:t xml:space="preserve"> </w:t>
      </w:r>
      <w:r w:rsidR="00481C26" w:rsidRPr="00E02897">
        <w:rPr>
          <w:rFonts w:ascii="Arial" w:hAnsi="Arial" w:cs="Arial"/>
          <w:sz w:val="24"/>
          <w:szCs w:val="24"/>
        </w:rPr>
        <w:t>file</w:t>
      </w:r>
      <w:r w:rsidR="007B1E94" w:rsidRPr="00E02897">
        <w:rPr>
          <w:rFonts w:ascii="Arial" w:hAnsi="Arial" w:cs="Arial"/>
          <w:sz w:val="24"/>
          <w:szCs w:val="24"/>
        </w:rPr>
        <w:t xml:space="preserve"> a notice to oppose</w:t>
      </w:r>
      <w:r w:rsidR="00481C26" w:rsidRPr="00E02897">
        <w:rPr>
          <w:rFonts w:ascii="Arial" w:hAnsi="Arial" w:cs="Arial"/>
          <w:sz w:val="24"/>
          <w:szCs w:val="24"/>
        </w:rPr>
        <w:t xml:space="preserve"> either the preservation or forfeiture of property</w:t>
      </w:r>
      <w:r w:rsidR="007B7B60" w:rsidRPr="00E02897">
        <w:rPr>
          <w:rFonts w:ascii="Arial" w:hAnsi="Arial" w:cs="Arial"/>
          <w:sz w:val="24"/>
          <w:szCs w:val="24"/>
        </w:rPr>
        <w:t xml:space="preserve"> applications</w:t>
      </w:r>
      <w:r w:rsidR="00F32175">
        <w:rPr>
          <w:rFonts w:ascii="Arial" w:hAnsi="Arial" w:cs="Arial"/>
          <w:sz w:val="24"/>
          <w:szCs w:val="24"/>
        </w:rPr>
        <w:t>,</w:t>
      </w:r>
      <w:r w:rsidR="007B7B60" w:rsidRPr="00E02897">
        <w:rPr>
          <w:rFonts w:ascii="Arial" w:hAnsi="Arial" w:cs="Arial"/>
          <w:sz w:val="24"/>
          <w:szCs w:val="24"/>
        </w:rPr>
        <w:t xml:space="preserve"> respectively. The respondent</w:t>
      </w:r>
      <w:r w:rsidR="00F32175">
        <w:rPr>
          <w:rFonts w:ascii="Arial" w:hAnsi="Arial" w:cs="Arial"/>
          <w:sz w:val="24"/>
          <w:szCs w:val="24"/>
        </w:rPr>
        <w:t>,</w:t>
      </w:r>
      <w:r w:rsidR="007B7B60" w:rsidRPr="00E02897">
        <w:rPr>
          <w:rFonts w:ascii="Arial" w:hAnsi="Arial" w:cs="Arial"/>
          <w:sz w:val="24"/>
          <w:szCs w:val="24"/>
        </w:rPr>
        <w:t xml:space="preserve"> however, and in terms of s</w:t>
      </w:r>
      <w:r w:rsidR="008475A8" w:rsidRPr="00E02897">
        <w:rPr>
          <w:rFonts w:ascii="Arial" w:hAnsi="Arial" w:cs="Arial"/>
          <w:sz w:val="24"/>
          <w:szCs w:val="24"/>
        </w:rPr>
        <w:t xml:space="preserve"> 59 (4) (b) (i)</w:t>
      </w:r>
      <w:r w:rsidR="007B7B60" w:rsidRPr="00E02897">
        <w:rPr>
          <w:rFonts w:ascii="Arial" w:hAnsi="Arial" w:cs="Arial"/>
          <w:sz w:val="24"/>
          <w:szCs w:val="24"/>
        </w:rPr>
        <w:t xml:space="preserve"> of POCA</w:t>
      </w:r>
      <w:r w:rsidR="00012737">
        <w:rPr>
          <w:rFonts w:ascii="Arial" w:hAnsi="Arial" w:cs="Arial"/>
          <w:sz w:val="24"/>
          <w:szCs w:val="24"/>
        </w:rPr>
        <w:t>,</w:t>
      </w:r>
      <w:r w:rsidR="008475A8" w:rsidRPr="00E02897">
        <w:rPr>
          <w:rFonts w:ascii="Arial" w:hAnsi="Arial" w:cs="Arial"/>
          <w:sz w:val="24"/>
          <w:szCs w:val="24"/>
        </w:rPr>
        <w:t xml:space="preserve"> brought an application for the exclusion of certain interests in the property sought to be declared forfeited. </w:t>
      </w:r>
      <w:r w:rsidR="00BC3EFF" w:rsidRPr="00E02897">
        <w:rPr>
          <w:rFonts w:ascii="Arial" w:hAnsi="Arial" w:cs="Arial"/>
          <w:sz w:val="24"/>
          <w:szCs w:val="24"/>
        </w:rPr>
        <w:t>Also s</w:t>
      </w:r>
      <w:r w:rsidR="008475A8" w:rsidRPr="00E02897">
        <w:rPr>
          <w:rFonts w:ascii="Arial" w:hAnsi="Arial" w:cs="Arial"/>
          <w:sz w:val="24"/>
          <w:szCs w:val="24"/>
        </w:rPr>
        <w:t>erving before this court therefore, is an application by the respondent for an ord</w:t>
      </w:r>
      <w:r w:rsidR="00BC3EFF" w:rsidRPr="00E02897">
        <w:rPr>
          <w:rFonts w:ascii="Arial" w:hAnsi="Arial" w:cs="Arial"/>
          <w:sz w:val="24"/>
          <w:szCs w:val="24"/>
        </w:rPr>
        <w:t>er excluding the amount of N$ 20 629</w:t>
      </w:r>
      <w:r>
        <w:rPr>
          <w:rFonts w:ascii="Arial" w:hAnsi="Arial" w:cs="Arial"/>
          <w:sz w:val="24"/>
          <w:szCs w:val="24"/>
        </w:rPr>
        <w:t xml:space="preserve"> from the forfeiture order.</w:t>
      </w:r>
    </w:p>
    <w:p w14:paraId="2A414DF6" w14:textId="77777777" w:rsidR="005926C6" w:rsidRDefault="005926C6" w:rsidP="005926C6">
      <w:pPr>
        <w:spacing w:after="0" w:line="360" w:lineRule="auto"/>
        <w:jc w:val="both"/>
        <w:rPr>
          <w:rFonts w:ascii="Arial" w:hAnsi="Arial" w:cs="Arial"/>
          <w:sz w:val="24"/>
          <w:szCs w:val="24"/>
        </w:rPr>
      </w:pPr>
    </w:p>
    <w:p w14:paraId="781F7E24" w14:textId="1EDDEA6A" w:rsidR="007801F1" w:rsidRPr="00E02897" w:rsidRDefault="007801F1" w:rsidP="005926C6">
      <w:pPr>
        <w:spacing w:after="0" w:line="360" w:lineRule="auto"/>
        <w:jc w:val="both"/>
        <w:rPr>
          <w:rFonts w:ascii="Arial" w:hAnsi="Arial" w:cs="Arial"/>
          <w:sz w:val="24"/>
          <w:szCs w:val="24"/>
        </w:rPr>
      </w:pPr>
      <w:r>
        <w:rPr>
          <w:rFonts w:ascii="Arial" w:hAnsi="Arial" w:cs="Arial"/>
          <w:sz w:val="24"/>
          <w:szCs w:val="24"/>
        </w:rPr>
        <w:t>[</w:t>
      </w:r>
      <w:r w:rsidR="0005746A">
        <w:rPr>
          <w:rFonts w:ascii="Arial" w:hAnsi="Arial" w:cs="Arial"/>
          <w:sz w:val="24"/>
          <w:szCs w:val="24"/>
        </w:rPr>
        <w:t>7</w:t>
      </w:r>
      <w:r>
        <w:rPr>
          <w:rFonts w:ascii="Arial" w:hAnsi="Arial" w:cs="Arial"/>
          <w:sz w:val="24"/>
          <w:szCs w:val="24"/>
        </w:rPr>
        <w:t>]</w:t>
      </w:r>
      <w:r>
        <w:rPr>
          <w:rFonts w:ascii="Arial" w:hAnsi="Arial" w:cs="Arial"/>
          <w:sz w:val="24"/>
          <w:szCs w:val="24"/>
        </w:rPr>
        <w:tab/>
      </w:r>
      <w:r w:rsidRPr="00E02897">
        <w:rPr>
          <w:rFonts w:ascii="Arial" w:hAnsi="Arial" w:cs="Arial"/>
          <w:sz w:val="24"/>
          <w:szCs w:val="24"/>
        </w:rPr>
        <w:t>The applicant, in h</w:t>
      </w:r>
      <w:r w:rsidR="007950E5">
        <w:rPr>
          <w:rFonts w:ascii="Arial" w:hAnsi="Arial" w:cs="Arial"/>
          <w:sz w:val="24"/>
          <w:szCs w:val="24"/>
        </w:rPr>
        <w:t>er address, alluded to the fact that</w:t>
      </w:r>
      <w:r w:rsidRPr="00E02897">
        <w:rPr>
          <w:rFonts w:ascii="Arial" w:hAnsi="Arial" w:cs="Arial"/>
          <w:sz w:val="24"/>
          <w:szCs w:val="24"/>
        </w:rPr>
        <w:t xml:space="preserve"> the present application for forfeiture is unopposed, </w:t>
      </w:r>
      <w:r w:rsidR="007950E5">
        <w:rPr>
          <w:rFonts w:ascii="Arial" w:hAnsi="Arial" w:cs="Arial"/>
          <w:sz w:val="24"/>
          <w:szCs w:val="24"/>
        </w:rPr>
        <w:t>and that it would only be proper that this court</w:t>
      </w:r>
      <w:r w:rsidRPr="00E02897">
        <w:rPr>
          <w:rFonts w:ascii="Arial" w:hAnsi="Arial" w:cs="Arial"/>
          <w:sz w:val="24"/>
          <w:szCs w:val="24"/>
        </w:rPr>
        <w:t xml:space="preserve"> grant</w:t>
      </w:r>
      <w:r w:rsidR="007950E5">
        <w:rPr>
          <w:rFonts w:ascii="Arial" w:hAnsi="Arial" w:cs="Arial"/>
          <w:sz w:val="24"/>
          <w:szCs w:val="24"/>
        </w:rPr>
        <w:t>s</w:t>
      </w:r>
      <w:r w:rsidRPr="00E02897">
        <w:rPr>
          <w:rFonts w:ascii="Arial" w:hAnsi="Arial" w:cs="Arial"/>
          <w:sz w:val="24"/>
          <w:szCs w:val="24"/>
        </w:rPr>
        <w:t xml:space="preserve"> a forfeiture order by default as provided for in terms of s 64 of POCA.  </w:t>
      </w:r>
    </w:p>
    <w:p w14:paraId="6B37207D" w14:textId="77777777" w:rsidR="007801F1" w:rsidRDefault="007801F1" w:rsidP="005926C6">
      <w:pPr>
        <w:spacing w:after="0" w:line="360" w:lineRule="auto"/>
        <w:jc w:val="both"/>
        <w:rPr>
          <w:rFonts w:ascii="Arial" w:hAnsi="Arial" w:cs="Arial"/>
          <w:sz w:val="24"/>
          <w:szCs w:val="24"/>
        </w:rPr>
      </w:pPr>
    </w:p>
    <w:p w14:paraId="0BFAFCC8" w14:textId="5B74E76C" w:rsidR="007950E5" w:rsidRPr="00E02897" w:rsidRDefault="007801F1" w:rsidP="005926C6">
      <w:pPr>
        <w:spacing w:after="0" w:line="360" w:lineRule="auto"/>
        <w:jc w:val="both"/>
        <w:rPr>
          <w:rFonts w:ascii="Arial" w:hAnsi="Arial" w:cs="Arial"/>
          <w:sz w:val="24"/>
          <w:szCs w:val="24"/>
        </w:rPr>
      </w:pPr>
      <w:r>
        <w:rPr>
          <w:rFonts w:ascii="Arial" w:hAnsi="Arial" w:cs="Arial"/>
          <w:sz w:val="24"/>
          <w:szCs w:val="24"/>
        </w:rPr>
        <w:t>[</w:t>
      </w:r>
      <w:r w:rsidR="0005746A">
        <w:rPr>
          <w:rFonts w:ascii="Arial" w:hAnsi="Arial" w:cs="Arial"/>
          <w:sz w:val="24"/>
          <w:szCs w:val="24"/>
        </w:rPr>
        <w:t>8</w:t>
      </w:r>
      <w:r>
        <w:rPr>
          <w:rFonts w:ascii="Arial" w:hAnsi="Arial" w:cs="Arial"/>
          <w:sz w:val="24"/>
          <w:szCs w:val="24"/>
        </w:rPr>
        <w:t>]</w:t>
      </w:r>
      <w:r>
        <w:rPr>
          <w:rFonts w:ascii="Arial" w:hAnsi="Arial" w:cs="Arial"/>
          <w:sz w:val="24"/>
          <w:szCs w:val="24"/>
        </w:rPr>
        <w:tab/>
        <w:t>I have considered the applicant’s application for forfeiture and the papers on which it is predicated and I have formed the considered view that the application fully conforms to the requirements of s 64 of POCA. I note also, that the respondent, despite service, did not oppose the granting of the forfeiture application.</w:t>
      </w:r>
      <w:r w:rsidR="007950E5">
        <w:rPr>
          <w:rFonts w:ascii="Arial" w:hAnsi="Arial" w:cs="Arial"/>
          <w:sz w:val="24"/>
          <w:szCs w:val="24"/>
        </w:rPr>
        <w:t xml:space="preserve"> </w:t>
      </w:r>
      <w:r w:rsidR="007950E5" w:rsidRPr="00E02897">
        <w:rPr>
          <w:rFonts w:ascii="Arial" w:hAnsi="Arial" w:cs="Arial"/>
          <w:sz w:val="24"/>
          <w:szCs w:val="24"/>
        </w:rPr>
        <w:t>The court is in the circumstances, inclined to adopt this position as far as the undisputed amount of N$40 000 is concerned.</w:t>
      </w:r>
    </w:p>
    <w:p w14:paraId="27E5E628" w14:textId="77777777" w:rsidR="007950E5" w:rsidRDefault="007950E5" w:rsidP="005926C6">
      <w:pPr>
        <w:spacing w:after="0" w:line="360" w:lineRule="auto"/>
        <w:jc w:val="both"/>
        <w:rPr>
          <w:rFonts w:ascii="Arial" w:hAnsi="Arial" w:cs="Arial"/>
          <w:sz w:val="24"/>
          <w:szCs w:val="24"/>
        </w:rPr>
      </w:pPr>
    </w:p>
    <w:p w14:paraId="2085B7A7" w14:textId="607F9B4E" w:rsidR="00012737" w:rsidRDefault="00012737" w:rsidP="005926C6">
      <w:pPr>
        <w:spacing w:after="0" w:line="360" w:lineRule="auto"/>
        <w:jc w:val="both"/>
        <w:rPr>
          <w:rFonts w:ascii="Arial" w:hAnsi="Arial" w:cs="Arial"/>
          <w:sz w:val="24"/>
          <w:szCs w:val="24"/>
          <w:u w:val="single"/>
        </w:rPr>
      </w:pPr>
      <w:r>
        <w:rPr>
          <w:rFonts w:ascii="Arial" w:hAnsi="Arial" w:cs="Arial"/>
          <w:sz w:val="24"/>
          <w:szCs w:val="24"/>
          <w:u w:val="single"/>
        </w:rPr>
        <w:t>Application for condonation</w:t>
      </w:r>
    </w:p>
    <w:p w14:paraId="44E356A4" w14:textId="77777777" w:rsidR="00012737" w:rsidRDefault="00012737" w:rsidP="005926C6">
      <w:pPr>
        <w:spacing w:after="0" w:line="360" w:lineRule="auto"/>
        <w:jc w:val="both"/>
        <w:rPr>
          <w:rFonts w:ascii="Arial" w:hAnsi="Arial" w:cs="Arial"/>
          <w:sz w:val="24"/>
          <w:szCs w:val="24"/>
          <w:u w:val="single"/>
        </w:rPr>
      </w:pPr>
    </w:p>
    <w:p w14:paraId="591F9AF3" w14:textId="2BD5E8EE" w:rsidR="00012737" w:rsidRDefault="00012737" w:rsidP="005926C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At the commencement of the hearing, the respondent filed an application for the condonation of his late filing of the heads of argument. The reason proffered for the delay was that the legal practitioner, who had been handling the matter for the respondent, left the office of the respondent’s legal practitioners of record and efforts to obtain a confirmatory affidavit explaining the delay could not be obtained from him. The respondent did explain the delay and also alleged that he had reasonable prospects of success.</w:t>
      </w:r>
    </w:p>
    <w:p w14:paraId="2658A126" w14:textId="77777777" w:rsidR="005926C6" w:rsidRDefault="005926C6" w:rsidP="005926C6">
      <w:pPr>
        <w:spacing w:after="0" w:line="360" w:lineRule="auto"/>
        <w:jc w:val="both"/>
        <w:rPr>
          <w:rFonts w:ascii="Arial" w:hAnsi="Arial" w:cs="Arial"/>
          <w:sz w:val="24"/>
          <w:szCs w:val="24"/>
        </w:rPr>
      </w:pPr>
    </w:p>
    <w:p w14:paraId="1A75F55A" w14:textId="52BB694F" w:rsidR="00012737" w:rsidRDefault="00012737" w:rsidP="005926C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 am of the view that the application for condonation should succeed on account of the importance of the matter and the allegation that the respondent has reasonable prospects of success, an allegation that will be proved or disproved shortly, as the judgment unfolds. I should, having said this, decry the behaviour of the respondent’s previous legal practitioner, who appears to have refused to co-operate in the filing of the affidavit in support of the application for condonation. The reason why he would not have filed the papers is exclusively within his knowledge and the respondent and his new legal practitioner did not have the facts at their disposal. It is totally unfair to leave clients such as the respondent, in the lurch in such cases.</w:t>
      </w:r>
    </w:p>
    <w:p w14:paraId="14FAC846" w14:textId="77777777" w:rsidR="00012737" w:rsidRDefault="00012737" w:rsidP="005926C6">
      <w:pPr>
        <w:spacing w:after="0" w:line="360" w:lineRule="auto"/>
        <w:jc w:val="both"/>
        <w:rPr>
          <w:rFonts w:ascii="Arial" w:hAnsi="Arial" w:cs="Arial"/>
          <w:sz w:val="24"/>
          <w:szCs w:val="24"/>
        </w:rPr>
      </w:pPr>
    </w:p>
    <w:p w14:paraId="3911BC0D" w14:textId="7A85FC85" w:rsidR="00012737" w:rsidRPr="00012737" w:rsidRDefault="00012737" w:rsidP="005926C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 am of the view that the applicant was well within her rights to oppose the application for condonation as the delay was long and there was no proper explanation proffered for some time. In the premises, I form the view that the application for condonation should succeed and the respondent’s legal practitioners are to pay the costs occasioned by this application. I say this for the reason that it would </w:t>
      </w:r>
      <w:r w:rsidR="00DE3E33">
        <w:rPr>
          <w:rFonts w:ascii="Arial" w:hAnsi="Arial" w:cs="Arial"/>
          <w:sz w:val="24"/>
          <w:szCs w:val="24"/>
        </w:rPr>
        <w:t xml:space="preserve">be </w:t>
      </w:r>
      <w:r>
        <w:rPr>
          <w:rFonts w:ascii="Arial" w:hAnsi="Arial" w:cs="Arial"/>
          <w:sz w:val="24"/>
          <w:szCs w:val="24"/>
        </w:rPr>
        <w:t>eminently unfair to saddle the respondent with an order for costs when he has not in anyway contributed to the delay sought to be explained.</w:t>
      </w:r>
    </w:p>
    <w:p w14:paraId="6A390018" w14:textId="77777777" w:rsidR="00E02897" w:rsidRDefault="00E02897" w:rsidP="005926C6">
      <w:pPr>
        <w:spacing w:after="0" w:line="360" w:lineRule="auto"/>
        <w:jc w:val="both"/>
        <w:rPr>
          <w:rFonts w:ascii="Arial" w:hAnsi="Arial" w:cs="Arial"/>
          <w:sz w:val="24"/>
          <w:szCs w:val="24"/>
        </w:rPr>
      </w:pPr>
    </w:p>
    <w:p w14:paraId="3F93CCE0" w14:textId="1C61104F" w:rsidR="00012737" w:rsidRDefault="00012737" w:rsidP="005926C6">
      <w:pPr>
        <w:spacing w:after="0" w:line="360" w:lineRule="auto"/>
        <w:jc w:val="both"/>
        <w:rPr>
          <w:rFonts w:ascii="Arial" w:hAnsi="Arial" w:cs="Arial"/>
          <w:sz w:val="24"/>
          <w:szCs w:val="24"/>
          <w:u w:val="single"/>
        </w:rPr>
      </w:pPr>
      <w:r>
        <w:rPr>
          <w:rFonts w:ascii="Arial" w:hAnsi="Arial" w:cs="Arial"/>
          <w:sz w:val="24"/>
          <w:szCs w:val="24"/>
          <w:u w:val="single"/>
        </w:rPr>
        <w:t>Application for exclusion</w:t>
      </w:r>
    </w:p>
    <w:p w14:paraId="24278D36" w14:textId="77777777" w:rsidR="00012737" w:rsidRPr="00012737" w:rsidRDefault="00012737" w:rsidP="005926C6">
      <w:pPr>
        <w:spacing w:after="0" w:line="360" w:lineRule="auto"/>
        <w:jc w:val="both"/>
        <w:rPr>
          <w:rFonts w:ascii="Arial" w:hAnsi="Arial" w:cs="Arial"/>
          <w:sz w:val="24"/>
          <w:szCs w:val="24"/>
          <w:u w:val="single"/>
        </w:rPr>
      </w:pPr>
    </w:p>
    <w:p w14:paraId="27C58092" w14:textId="472900E9" w:rsidR="00E02897"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12</w:t>
      </w:r>
      <w:r>
        <w:rPr>
          <w:rFonts w:ascii="Arial" w:hAnsi="Arial" w:cs="Arial"/>
          <w:sz w:val="24"/>
          <w:szCs w:val="24"/>
        </w:rPr>
        <w:t>]</w:t>
      </w:r>
      <w:r>
        <w:rPr>
          <w:rFonts w:ascii="Arial" w:hAnsi="Arial" w:cs="Arial"/>
          <w:sz w:val="24"/>
          <w:szCs w:val="24"/>
        </w:rPr>
        <w:tab/>
      </w:r>
      <w:r w:rsidR="007B2DBF" w:rsidRPr="00E02897">
        <w:rPr>
          <w:rFonts w:ascii="Arial" w:hAnsi="Arial" w:cs="Arial"/>
          <w:sz w:val="24"/>
          <w:szCs w:val="24"/>
        </w:rPr>
        <w:t>The court is thus left with only one determination to make and it is the following: whether the amount of N$20 629 should be excluded from the forfeiture order</w:t>
      </w:r>
      <w:r>
        <w:rPr>
          <w:rFonts w:ascii="Arial" w:hAnsi="Arial" w:cs="Arial"/>
          <w:sz w:val="24"/>
          <w:szCs w:val="24"/>
        </w:rPr>
        <w:t xml:space="preserve"> in terms of s 63 of POCA?</w:t>
      </w:r>
    </w:p>
    <w:p w14:paraId="5EE23170" w14:textId="77777777" w:rsidR="00E02897" w:rsidRDefault="00E02897" w:rsidP="005926C6">
      <w:pPr>
        <w:spacing w:after="0" w:line="360" w:lineRule="auto"/>
        <w:jc w:val="both"/>
        <w:rPr>
          <w:rFonts w:ascii="Arial" w:hAnsi="Arial" w:cs="Arial"/>
          <w:sz w:val="24"/>
          <w:szCs w:val="24"/>
        </w:rPr>
      </w:pPr>
    </w:p>
    <w:p w14:paraId="268F6BB5" w14:textId="35D6E553" w:rsidR="00E02897"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13</w:t>
      </w:r>
      <w:r>
        <w:rPr>
          <w:rFonts w:ascii="Arial" w:hAnsi="Arial" w:cs="Arial"/>
          <w:sz w:val="24"/>
          <w:szCs w:val="24"/>
        </w:rPr>
        <w:t>]</w:t>
      </w:r>
      <w:r>
        <w:rPr>
          <w:rFonts w:ascii="Arial" w:hAnsi="Arial" w:cs="Arial"/>
          <w:sz w:val="24"/>
          <w:szCs w:val="24"/>
        </w:rPr>
        <w:tab/>
      </w:r>
      <w:r w:rsidR="00380665" w:rsidRPr="00E02897">
        <w:rPr>
          <w:rFonts w:ascii="Arial" w:hAnsi="Arial" w:cs="Arial"/>
          <w:sz w:val="24"/>
          <w:szCs w:val="24"/>
        </w:rPr>
        <w:t xml:space="preserve">It is important to note that the respondent cited </w:t>
      </w:r>
      <w:r w:rsidR="007801F1">
        <w:rPr>
          <w:rFonts w:ascii="Arial" w:hAnsi="Arial" w:cs="Arial"/>
          <w:sz w:val="24"/>
          <w:szCs w:val="24"/>
        </w:rPr>
        <w:t xml:space="preserve">above, </w:t>
      </w:r>
      <w:r w:rsidR="00012737">
        <w:rPr>
          <w:rFonts w:ascii="Arial" w:hAnsi="Arial" w:cs="Arial"/>
          <w:sz w:val="24"/>
          <w:szCs w:val="24"/>
        </w:rPr>
        <w:t>s</w:t>
      </w:r>
      <w:r w:rsidR="001F44EB" w:rsidRPr="00E02897">
        <w:rPr>
          <w:rFonts w:ascii="Arial" w:hAnsi="Arial" w:cs="Arial"/>
          <w:sz w:val="24"/>
          <w:szCs w:val="24"/>
        </w:rPr>
        <w:t>t</w:t>
      </w:r>
      <w:r w:rsidR="00012737">
        <w:rPr>
          <w:rFonts w:ascii="Arial" w:hAnsi="Arial" w:cs="Arial"/>
          <w:sz w:val="24"/>
          <w:szCs w:val="24"/>
        </w:rPr>
        <w:t>at</w:t>
      </w:r>
      <w:r w:rsidR="001F44EB" w:rsidRPr="00E02897">
        <w:rPr>
          <w:rFonts w:ascii="Arial" w:hAnsi="Arial" w:cs="Arial"/>
          <w:sz w:val="24"/>
          <w:szCs w:val="24"/>
        </w:rPr>
        <w:t xml:space="preserve">ed </w:t>
      </w:r>
      <w:r w:rsidR="00012737">
        <w:rPr>
          <w:rFonts w:ascii="Arial" w:hAnsi="Arial" w:cs="Arial"/>
          <w:sz w:val="24"/>
          <w:szCs w:val="24"/>
        </w:rPr>
        <w:t xml:space="preserve">on oath </w:t>
      </w:r>
      <w:r w:rsidR="001F44EB" w:rsidRPr="00E02897">
        <w:rPr>
          <w:rFonts w:ascii="Arial" w:hAnsi="Arial" w:cs="Arial"/>
          <w:sz w:val="24"/>
          <w:szCs w:val="24"/>
        </w:rPr>
        <w:t xml:space="preserve">that he </w:t>
      </w:r>
      <w:r w:rsidR="00380665" w:rsidRPr="00E02897">
        <w:rPr>
          <w:rFonts w:ascii="Arial" w:hAnsi="Arial" w:cs="Arial"/>
          <w:sz w:val="24"/>
          <w:szCs w:val="24"/>
        </w:rPr>
        <w:t>forms part of a group of partners of Kotokeni Investments Cl</w:t>
      </w:r>
      <w:r w:rsidR="001F44EB" w:rsidRPr="00E02897">
        <w:rPr>
          <w:rFonts w:ascii="Arial" w:hAnsi="Arial" w:cs="Arial"/>
          <w:sz w:val="24"/>
          <w:szCs w:val="24"/>
        </w:rPr>
        <w:t>ub</w:t>
      </w:r>
      <w:r w:rsidR="00616AA1" w:rsidRPr="00E02897">
        <w:rPr>
          <w:rFonts w:ascii="Arial" w:hAnsi="Arial" w:cs="Arial"/>
          <w:sz w:val="24"/>
          <w:szCs w:val="24"/>
        </w:rPr>
        <w:t xml:space="preserve"> </w:t>
      </w:r>
      <w:r w:rsidR="001F44EB" w:rsidRPr="00E02897">
        <w:rPr>
          <w:rFonts w:ascii="Arial" w:hAnsi="Arial" w:cs="Arial"/>
          <w:sz w:val="24"/>
          <w:szCs w:val="24"/>
        </w:rPr>
        <w:t>and that he</w:t>
      </w:r>
      <w:r w:rsidR="00616AA1" w:rsidRPr="00E02897">
        <w:rPr>
          <w:rFonts w:ascii="Arial" w:hAnsi="Arial" w:cs="Arial"/>
          <w:sz w:val="24"/>
          <w:szCs w:val="24"/>
        </w:rPr>
        <w:t xml:space="preserve"> represents the rest of the partners</w:t>
      </w:r>
      <w:r>
        <w:rPr>
          <w:rFonts w:ascii="Arial" w:hAnsi="Arial" w:cs="Arial"/>
          <w:sz w:val="24"/>
          <w:szCs w:val="24"/>
        </w:rPr>
        <w:t>, except for Mr. Thomas Valomboleni,</w:t>
      </w:r>
      <w:r w:rsidR="00F32175">
        <w:rPr>
          <w:rFonts w:ascii="Arial" w:hAnsi="Arial" w:cs="Arial"/>
          <w:sz w:val="24"/>
          <w:szCs w:val="24"/>
        </w:rPr>
        <w:t xml:space="preserve"> in the</w:t>
      </w:r>
      <w:r w:rsidR="00616AA1" w:rsidRPr="00E02897">
        <w:rPr>
          <w:rFonts w:ascii="Arial" w:hAnsi="Arial" w:cs="Arial"/>
          <w:sz w:val="24"/>
          <w:szCs w:val="24"/>
        </w:rPr>
        <w:t>s</w:t>
      </w:r>
      <w:r w:rsidR="00F32175">
        <w:rPr>
          <w:rFonts w:ascii="Arial" w:hAnsi="Arial" w:cs="Arial"/>
          <w:sz w:val="24"/>
          <w:szCs w:val="24"/>
        </w:rPr>
        <w:t>e</w:t>
      </w:r>
      <w:r w:rsidR="00616AA1" w:rsidRPr="00E02897">
        <w:rPr>
          <w:rFonts w:ascii="Arial" w:hAnsi="Arial" w:cs="Arial"/>
          <w:sz w:val="24"/>
          <w:szCs w:val="24"/>
        </w:rPr>
        <w:t xml:space="preserve"> proceedings</w:t>
      </w:r>
      <w:r w:rsidR="007801F1">
        <w:rPr>
          <w:rFonts w:ascii="Arial" w:hAnsi="Arial" w:cs="Arial"/>
          <w:sz w:val="24"/>
          <w:szCs w:val="24"/>
        </w:rPr>
        <w:t>. This is so, he states, is because</w:t>
      </w:r>
      <w:r w:rsidR="00F32175">
        <w:rPr>
          <w:rFonts w:ascii="Arial" w:hAnsi="Arial" w:cs="Arial"/>
          <w:sz w:val="24"/>
          <w:szCs w:val="24"/>
        </w:rPr>
        <w:t xml:space="preserve"> he is the chairperson</w:t>
      </w:r>
      <w:r w:rsidR="001F44EB" w:rsidRPr="00E02897">
        <w:rPr>
          <w:rFonts w:ascii="Arial" w:hAnsi="Arial" w:cs="Arial"/>
          <w:sz w:val="24"/>
          <w:szCs w:val="24"/>
        </w:rPr>
        <w:t xml:space="preserve"> of the partnership</w:t>
      </w:r>
      <w:r w:rsidR="007801F1">
        <w:rPr>
          <w:rFonts w:ascii="Arial" w:hAnsi="Arial" w:cs="Arial"/>
          <w:sz w:val="24"/>
          <w:szCs w:val="24"/>
        </w:rPr>
        <w:t>, a position hotly contest</w:t>
      </w:r>
      <w:r w:rsidR="00616AA1" w:rsidRPr="00E02897">
        <w:rPr>
          <w:rFonts w:ascii="Arial" w:hAnsi="Arial" w:cs="Arial"/>
          <w:sz w:val="24"/>
          <w:szCs w:val="24"/>
        </w:rPr>
        <w:t>ed by the applicant as not being legally poss</w:t>
      </w:r>
      <w:r w:rsidR="00F32175">
        <w:rPr>
          <w:rFonts w:ascii="Arial" w:hAnsi="Arial" w:cs="Arial"/>
          <w:sz w:val="24"/>
          <w:szCs w:val="24"/>
        </w:rPr>
        <w:t>ible. Th</w:t>
      </w:r>
      <w:r w:rsidR="007B2DBF" w:rsidRPr="00E02897">
        <w:rPr>
          <w:rFonts w:ascii="Arial" w:hAnsi="Arial" w:cs="Arial"/>
          <w:sz w:val="24"/>
          <w:szCs w:val="24"/>
        </w:rPr>
        <w:t>e respondent argues to the contrary.</w:t>
      </w:r>
    </w:p>
    <w:p w14:paraId="6723C64F" w14:textId="77777777" w:rsidR="00E02897" w:rsidRDefault="00E02897" w:rsidP="005926C6">
      <w:pPr>
        <w:spacing w:after="0" w:line="360" w:lineRule="auto"/>
        <w:jc w:val="both"/>
        <w:rPr>
          <w:rFonts w:ascii="Arial" w:hAnsi="Arial" w:cs="Arial"/>
          <w:sz w:val="24"/>
          <w:szCs w:val="24"/>
        </w:rPr>
      </w:pPr>
    </w:p>
    <w:p w14:paraId="627BB072" w14:textId="6B628A74" w:rsidR="00E02897"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14</w:t>
      </w:r>
      <w:r>
        <w:rPr>
          <w:rFonts w:ascii="Arial" w:hAnsi="Arial" w:cs="Arial"/>
          <w:sz w:val="24"/>
          <w:szCs w:val="24"/>
        </w:rPr>
        <w:t>]</w:t>
      </w:r>
      <w:r>
        <w:rPr>
          <w:rFonts w:ascii="Arial" w:hAnsi="Arial" w:cs="Arial"/>
          <w:sz w:val="24"/>
          <w:szCs w:val="24"/>
        </w:rPr>
        <w:tab/>
      </w:r>
      <w:r w:rsidR="00597935" w:rsidRPr="00E02897">
        <w:rPr>
          <w:rFonts w:ascii="Arial" w:hAnsi="Arial" w:cs="Arial"/>
          <w:sz w:val="24"/>
          <w:szCs w:val="24"/>
        </w:rPr>
        <w:t>The applicant</w:t>
      </w:r>
      <w:r w:rsidR="0094506F">
        <w:rPr>
          <w:rFonts w:ascii="Arial" w:hAnsi="Arial" w:cs="Arial"/>
          <w:sz w:val="24"/>
          <w:szCs w:val="24"/>
        </w:rPr>
        <w:t>, for her part,</w:t>
      </w:r>
      <w:r w:rsidR="00597935" w:rsidRPr="00E02897">
        <w:rPr>
          <w:rFonts w:ascii="Arial" w:hAnsi="Arial" w:cs="Arial"/>
          <w:sz w:val="24"/>
          <w:szCs w:val="24"/>
        </w:rPr>
        <w:t xml:space="preserve"> </w:t>
      </w:r>
      <w:r w:rsidR="00616AA1" w:rsidRPr="00E02897">
        <w:rPr>
          <w:rFonts w:ascii="Arial" w:hAnsi="Arial" w:cs="Arial"/>
          <w:sz w:val="24"/>
          <w:szCs w:val="24"/>
        </w:rPr>
        <w:t>contends</w:t>
      </w:r>
      <w:r w:rsidR="00331CA8" w:rsidRPr="00E02897">
        <w:rPr>
          <w:rFonts w:ascii="Arial" w:hAnsi="Arial" w:cs="Arial"/>
          <w:sz w:val="24"/>
          <w:szCs w:val="24"/>
        </w:rPr>
        <w:t xml:space="preserve"> that due </w:t>
      </w:r>
      <w:r w:rsidR="00F32175">
        <w:rPr>
          <w:rFonts w:ascii="Arial" w:hAnsi="Arial" w:cs="Arial"/>
          <w:sz w:val="24"/>
          <w:szCs w:val="24"/>
        </w:rPr>
        <w:t>to this misrepresentation</w:t>
      </w:r>
      <w:r w:rsidR="007F2EFE">
        <w:rPr>
          <w:rFonts w:ascii="Arial" w:hAnsi="Arial" w:cs="Arial"/>
          <w:sz w:val="24"/>
          <w:szCs w:val="24"/>
        </w:rPr>
        <w:t xml:space="preserve"> referred to in paragraph four above</w:t>
      </w:r>
      <w:r w:rsidR="00F32175">
        <w:rPr>
          <w:rFonts w:ascii="Arial" w:hAnsi="Arial" w:cs="Arial"/>
          <w:sz w:val="24"/>
          <w:szCs w:val="24"/>
        </w:rPr>
        <w:t>, the C</w:t>
      </w:r>
      <w:r w:rsidR="00331CA8" w:rsidRPr="00E02897">
        <w:rPr>
          <w:rFonts w:ascii="Arial" w:hAnsi="Arial" w:cs="Arial"/>
          <w:sz w:val="24"/>
          <w:szCs w:val="24"/>
        </w:rPr>
        <w:t>hurch was induced in</w:t>
      </w:r>
      <w:r w:rsidR="00F32175">
        <w:rPr>
          <w:rFonts w:ascii="Arial" w:hAnsi="Arial" w:cs="Arial"/>
          <w:sz w:val="24"/>
          <w:szCs w:val="24"/>
        </w:rPr>
        <w:t>to</w:t>
      </w:r>
      <w:r w:rsidR="00331CA8" w:rsidRPr="00E02897">
        <w:rPr>
          <w:rFonts w:ascii="Arial" w:hAnsi="Arial" w:cs="Arial"/>
          <w:sz w:val="24"/>
          <w:szCs w:val="24"/>
        </w:rPr>
        <w:t xml:space="preserve"> making payments of N$ 8 000 000 into Netcare’s account held in favour of Mr. Thomas</w:t>
      </w:r>
      <w:r w:rsidR="00F32175">
        <w:rPr>
          <w:rFonts w:ascii="Arial" w:hAnsi="Arial" w:cs="Arial"/>
          <w:sz w:val="24"/>
          <w:szCs w:val="24"/>
        </w:rPr>
        <w:t>,</w:t>
      </w:r>
      <w:r w:rsidR="00331CA8" w:rsidRPr="00E02897">
        <w:rPr>
          <w:rFonts w:ascii="Arial" w:hAnsi="Arial" w:cs="Arial"/>
          <w:sz w:val="24"/>
          <w:szCs w:val="24"/>
        </w:rPr>
        <w:t xml:space="preserve"> to its actual prejudice and, after paymen</w:t>
      </w:r>
      <w:r w:rsidR="00F32175">
        <w:rPr>
          <w:rFonts w:ascii="Arial" w:hAnsi="Arial" w:cs="Arial"/>
          <w:sz w:val="24"/>
          <w:szCs w:val="24"/>
        </w:rPr>
        <w:t>t of this money was effected, Mr. Thomas</w:t>
      </w:r>
      <w:r w:rsidR="00331CA8" w:rsidRPr="00E02897">
        <w:rPr>
          <w:rFonts w:ascii="Arial" w:hAnsi="Arial" w:cs="Arial"/>
          <w:sz w:val="24"/>
          <w:szCs w:val="24"/>
        </w:rPr>
        <w:t xml:space="preserve"> proceeded to transfer an amount of N$40 000 into Kotokeni Investments Club’s bank account.</w:t>
      </w:r>
    </w:p>
    <w:p w14:paraId="3E2CE6E5" w14:textId="77777777" w:rsidR="00E02897" w:rsidRDefault="00E02897" w:rsidP="005926C6">
      <w:pPr>
        <w:spacing w:after="0" w:line="360" w:lineRule="auto"/>
        <w:jc w:val="both"/>
        <w:rPr>
          <w:rFonts w:ascii="Arial" w:hAnsi="Arial" w:cs="Arial"/>
          <w:sz w:val="24"/>
          <w:szCs w:val="24"/>
        </w:rPr>
      </w:pPr>
    </w:p>
    <w:p w14:paraId="5BA2C518" w14:textId="37677D8D" w:rsidR="00E02897"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15</w:t>
      </w:r>
      <w:r>
        <w:rPr>
          <w:rFonts w:ascii="Arial" w:hAnsi="Arial" w:cs="Arial"/>
          <w:sz w:val="24"/>
          <w:szCs w:val="24"/>
        </w:rPr>
        <w:t>]</w:t>
      </w:r>
      <w:r>
        <w:rPr>
          <w:rFonts w:ascii="Arial" w:hAnsi="Arial" w:cs="Arial"/>
          <w:sz w:val="24"/>
          <w:szCs w:val="24"/>
        </w:rPr>
        <w:tab/>
      </w:r>
      <w:r w:rsidR="00331CA8" w:rsidRPr="00E02897">
        <w:rPr>
          <w:rFonts w:ascii="Arial" w:hAnsi="Arial" w:cs="Arial"/>
          <w:sz w:val="24"/>
          <w:szCs w:val="24"/>
        </w:rPr>
        <w:t xml:space="preserve">The applicant thus argues that Mr. Thomas had no legal right to receive this money and transfer it to the aforementioned account. Furthermore, the applicant argues that the amount so deposited mingled with the positive balance in Kotokeni Investments Club’s bank account on the date the deposit was made and, as a result of which the entire balance </w:t>
      </w:r>
      <w:r w:rsidR="0094506F">
        <w:rPr>
          <w:rFonts w:ascii="Arial" w:hAnsi="Arial" w:cs="Arial"/>
          <w:sz w:val="24"/>
          <w:szCs w:val="24"/>
        </w:rPr>
        <w:t xml:space="preserve">is tainted, so to speak, and </w:t>
      </w:r>
      <w:r w:rsidR="00331CA8" w:rsidRPr="00E02897">
        <w:rPr>
          <w:rFonts w:ascii="Arial" w:hAnsi="Arial" w:cs="Arial"/>
          <w:sz w:val="24"/>
          <w:szCs w:val="24"/>
        </w:rPr>
        <w:t>ought to be forfeited</w:t>
      </w:r>
      <w:r w:rsidR="00F32175">
        <w:rPr>
          <w:rFonts w:ascii="Arial" w:hAnsi="Arial" w:cs="Arial"/>
          <w:sz w:val="24"/>
          <w:szCs w:val="24"/>
        </w:rPr>
        <w:t xml:space="preserve"> in terms of POCA</w:t>
      </w:r>
      <w:r w:rsidR="00331CA8" w:rsidRPr="00E02897">
        <w:rPr>
          <w:rFonts w:ascii="Arial" w:hAnsi="Arial" w:cs="Arial"/>
          <w:sz w:val="24"/>
          <w:szCs w:val="24"/>
        </w:rPr>
        <w:t>.</w:t>
      </w:r>
    </w:p>
    <w:p w14:paraId="0E7004C3" w14:textId="77777777" w:rsidR="00E02897" w:rsidRDefault="00E02897" w:rsidP="005926C6">
      <w:pPr>
        <w:spacing w:after="0" w:line="360" w:lineRule="auto"/>
        <w:jc w:val="both"/>
        <w:rPr>
          <w:rFonts w:ascii="Arial" w:hAnsi="Arial" w:cs="Arial"/>
          <w:sz w:val="24"/>
          <w:szCs w:val="24"/>
        </w:rPr>
      </w:pPr>
    </w:p>
    <w:p w14:paraId="7A73548C" w14:textId="288795C7" w:rsidR="00E02897"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16</w:t>
      </w:r>
      <w:r>
        <w:rPr>
          <w:rFonts w:ascii="Arial" w:hAnsi="Arial" w:cs="Arial"/>
          <w:sz w:val="24"/>
          <w:szCs w:val="24"/>
        </w:rPr>
        <w:t>]</w:t>
      </w:r>
      <w:r>
        <w:rPr>
          <w:rFonts w:ascii="Arial" w:hAnsi="Arial" w:cs="Arial"/>
          <w:sz w:val="24"/>
          <w:szCs w:val="24"/>
        </w:rPr>
        <w:tab/>
      </w:r>
      <w:r w:rsidR="007927E7" w:rsidRPr="00E02897">
        <w:rPr>
          <w:rFonts w:ascii="Arial" w:hAnsi="Arial" w:cs="Arial"/>
          <w:sz w:val="24"/>
          <w:szCs w:val="24"/>
        </w:rPr>
        <w:t>The applicant further argued that due to the absence of any documentar</w:t>
      </w:r>
      <w:r w:rsidR="00F32175">
        <w:rPr>
          <w:rFonts w:ascii="Arial" w:hAnsi="Arial" w:cs="Arial"/>
          <w:sz w:val="24"/>
          <w:szCs w:val="24"/>
        </w:rPr>
        <w:t>y proof as to where the other money or positive balance i</w:t>
      </w:r>
      <w:r w:rsidR="007927E7" w:rsidRPr="00E02897">
        <w:rPr>
          <w:rFonts w:ascii="Arial" w:hAnsi="Arial" w:cs="Arial"/>
          <w:sz w:val="24"/>
          <w:szCs w:val="24"/>
        </w:rPr>
        <w:t>n the account came from or was generated, is reason enough to declare it as being proceeds of unlawful activities, theft, fraud and/or money laundering by its mere “mingling”.</w:t>
      </w:r>
    </w:p>
    <w:p w14:paraId="4855AEB4" w14:textId="77777777" w:rsidR="00B95C2B" w:rsidRDefault="00B95C2B" w:rsidP="005926C6">
      <w:pPr>
        <w:spacing w:after="0" w:line="360" w:lineRule="auto"/>
        <w:jc w:val="both"/>
        <w:rPr>
          <w:rFonts w:ascii="Arial" w:hAnsi="Arial" w:cs="Arial"/>
          <w:sz w:val="24"/>
          <w:szCs w:val="24"/>
        </w:rPr>
      </w:pPr>
    </w:p>
    <w:p w14:paraId="78C708B6" w14:textId="60793D9B" w:rsidR="00782051" w:rsidRDefault="00E02897"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17</w:t>
      </w:r>
      <w:r>
        <w:rPr>
          <w:rFonts w:ascii="Arial" w:hAnsi="Arial" w:cs="Arial"/>
          <w:sz w:val="24"/>
          <w:szCs w:val="24"/>
        </w:rPr>
        <w:t>]</w:t>
      </w:r>
      <w:r>
        <w:rPr>
          <w:rFonts w:ascii="Arial" w:hAnsi="Arial" w:cs="Arial"/>
          <w:sz w:val="24"/>
          <w:szCs w:val="24"/>
        </w:rPr>
        <w:tab/>
      </w:r>
      <w:r w:rsidR="00F5615E" w:rsidRPr="00E02897">
        <w:rPr>
          <w:rFonts w:ascii="Arial" w:hAnsi="Arial" w:cs="Arial"/>
          <w:sz w:val="24"/>
          <w:szCs w:val="24"/>
        </w:rPr>
        <w:t>The respondent</w:t>
      </w:r>
      <w:r w:rsidR="0094506F">
        <w:rPr>
          <w:rFonts w:ascii="Arial" w:hAnsi="Arial" w:cs="Arial"/>
          <w:sz w:val="24"/>
          <w:szCs w:val="24"/>
        </w:rPr>
        <w:t>, for his part,</w:t>
      </w:r>
      <w:r w:rsidR="00F5615E" w:rsidRPr="00E02897">
        <w:rPr>
          <w:rFonts w:ascii="Arial" w:hAnsi="Arial" w:cs="Arial"/>
          <w:sz w:val="24"/>
          <w:szCs w:val="24"/>
        </w:rPr>
        <w:t xml:space="preserve"> argued</w:t>
      </w:r>
      <w:r w:rsidR="002C346B" w:rsidRPr="00E02897">
        <w:rPr>
          <w:rFonts w:ascii="Arial" w:hAnsi="Arial" w:cs="Arial"/>
          <w:sz w:val="24"/>
          <w:szCs w:val="24"/>
        </w:rPr>
        <w:t xml:space="preserve"> that the property</w:t>
      </w:r>
      <w:r w:rsidR="0007786B" w:rsidRPr="00E02897">
        <w:rPr>
          <w:rFonts w:ascii="Arial" w:hAnsi="Arial" w:cs="Arial"/>
          <w:sz w:val="24"/>
          <w:szCs w:val="24"/>
        </w:rPr>
        <w:t xml:space="preserve"> in question</w:t>
      </w:r>
      <w:r w:rsidR="002C346B" w:rsidRPr="00E02897">
        <w:rPr>
          <w:rFonts w:ascii="Arial" w:hAnsi="Arial" w:cs="Arial"/>
          <w:sz w:val="24"/>
          <w:szCs w:val="24"/>
        </w:rPr>
        <w:t>, that is the amount of N$ 20 629 that is said to have mingled with the amount of N$40 00</w:t>
      </w:r>
      <w:r w:rsidR="007927E7" w:rsidRPr="00E02897">
        <w:rPr>
          <w:rFonts w:ascii="Arial" w:hAnsi="Arial" w:cs="Arial"/>
          <w:sz w:val="24"/>
          <w:szCs w:val="24"/>
        </w:rPr>
        <w:t>0</w:t>
      </w:r>
      <w:r w:rsidR="002C346B" w:rsidRPr="00E02897">
        <w:rPr>
          <w:rFonts w:ascii="Arial" w:hAnsi="Arial" w:cs="Arial"/>
          <w:sz w:val="24"/>
          <w:szCs w:val="24"/>
        </w:rPr>
        <w:t>, was</w:t>
      </w:r>
      <w:r w:rsidR="0007786B" w:rsidRPr="00E02897">
        <w:rPr>
          <w:rFonts w:ascii="Arial" w:hAnsi="Arial" w:cs="Arial"/>
          <w:sz w:val="24"/>
          <w:szCs w:val="24"/>
        </w:rPr>
        <w:t xml:space="preserve"> not proceeds of unlawful activities or an instrumentality of money laundering offences and </w:t>
      </w:r>
      <w:r w:rsidR="007927E7" w:rsidRPr="00E02897">
        <w:rPr>
          <w:rFonts w:ascii="Arial" w:hAnsi="Arial" w:cs="Arial"/>
          <w:sz w:val="24"/>
          <w:szCs w:val="24"/>
        </w:rPr>
        <w:t>i</w:t>
      </w:r>
      <w:r w:rsidR="002C346B" w:rsidRPr="00E02897">
        <w:rPr>
          <w:rFonts w:ascii="Arial" w:hAnsi="Arial" w:cs="Arial"/>
          <w:sz w:val="24"/>
          <w:szCs w:val="24"/>
        </w:rPr>
        <w:t>s</w:t>
      </w:r>
      <w:r w:rsidR="0007786B" w:rsidRPr="00E02897">
        <w:rPr>
          <w:rFonts w:ascii="Arial" w:hAnsi="Arial" w:cs="Arial"/>
          <w:sz w:val="24"/>
          <w:szCs w:val="24"/>
        </w:rPr>
        <w:t xml:space="preserve"> as a result, no</w:t>
      </w:r>
      <w:r w:rsidR="00590A94" w:rsidRPr="00E02897">
        <w:rPr>
          <w:rFonts w:ascii="Arial" w:hAnsi="Arial" w:cs="Arial"/>
          <w:sz w:val="24"/>
          <w:szCs w:val="24"/>
        </w:rPr>
        <w:t>t subject to a forfeiture order.</w:t>
      </w:r>
      <w:r w:rsidR="002C346B" w:rsidRPr="00E02897">
        <w:rPr>
          <w:rFonts w:ascii="Arial" w:hAnsi="Arial" w:cs="Arial"/>
          <w:sz w:val="24"/>
          <w:szCs w:val="24"/>
        </w:rPr>
        <w:t xml:space="preserve"> The respondent</w:t>
      </w:r>
      <w:r w:rsidR="000E3248" w:rsidRPr="00E02897">
        <w:rPr>
          <w:rFonts w:ascii="Arial" w:hAnsi="Arial" w:cs="Arial"/>
          <w:sz w:val="24"/>
          <w:szCs w:val="24"/>
        </w:rPr>
        <w:t xml:space="preserve"> refers to a partnership </w:t>
      </w:r>
      <w:r w:rsidR="00597935" w:rsidRPr="00E02897">
        <w:rPr>
          <w:rFonts w:ascii="Arial" w:hAnsi="Arial" w:cs="Arial"/>
          <w:sz w:val="24"/>
          <w:szCs w:val="24"/>
        </w:rPr>
        <w:t>agreement between him</w:t>
      </w:r>
      <w:r w:rsidR="000E3248" w:rsidRPr="00E02897">
        <w:rPr>
          <w:rFonts w:ascii="Arial" w:hAnsi="Arial" w:cs="Arial"/>
          <w:sz w:val="24"/>
          <w:szCs w:val="24"/>
        </w:rPr>
        <w:t>self (as chairperson) as well as other members of Kotokeni Investments Club</w:t>
      </w:r>
      <w:r w:rsidR="00F32175">
        <w:rPr>
          <w:rFonts w:ascii="Arial" w:hAnsi="Arial" w:cs="Arial"/>
          <w:sz w:val="24"/>
          <w:szCs w:val="24"/>
        </w:rPr>
        <w:t>,</w:t>
      </w:r>
      <w:r w:rsidR="002C346B" w:rsidRPr="00E02897">
        <w:rPr>
          <w:rFonts w:ascii="Arial" w:hAnsi="Arial" w:cs="Arial"/>
          <w:sz w:val="24"/>
          <w:szCs w:val="24"/>
        </w:rPr>
        <w:t xml:space="preserve"> wherein it was agreed that each member would make a deposit of not less than N$100 on a monthly basis.</w:t>
      </w:r>
      <w:r>
        <w:rPr>
          <w:rFonts w:ascii="Arial" w:hAnsi="Arial" w:cs="Arial"/>
          <w:sz w:val="24"/>
          <w:szCs w:val="24"/>
        </w:rPr>
        <w:t xml:space="preserve"> It suffices to note that this account has been in existence since 2010.</w:t>
      </w:r>
    </w:p>
    <w:p w14:paraId="1A1C0ABB" w14:textId="77777777" w:rsidR="00B95C2B" w:rsidRPr="0094506F" w:rsidRDefault="00B95C2B" w:rsidP="005926C6">
      <w:pPr>
        <w:spacing w:after="0" w:line="360" w:lineRule="auto"/>
        <w:jc w:val="both"/>
        <w:rPr>
          <w:rFonts w:ascii="Arial" w:hAnsi="Arial" w:cs="Arial"/>
          <w:sz w:val="24"/>
          <w:szCs w:val="24"/>
        </w:rPr>
      </w:pPr>
    </w:p>
    <w:p w14:paraId="06A61539" w14:textId="6BD13FC7" w:rsidR="007927E7" w:rsidRPr="000C2671" w:rsidRDefault="000C2671"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18</w:t>
      </w:r>
      <w:r>
        <w:rPr>
          <w:rFonts w:ascii="Arial" w:hAnsi="Arial" w:cs="Arial"/>
          <w:sz w:val="24"/>
          <w:szCs w:val="24"/>
        </w:rPr>
        <w:t>]</w:t>
      </w:r>
      <w:r>
        <w:rPr>
          <w:rFonts w:ascii="Arial" w:hAnsi="Arial" w:cs="Arial"/>
          <w:sz w:val="24"/>
          <w:szCs w:val="24"/>
        </w:rPr>
        <w:tab/>
      </w:r>
      <w:r w:rsidR="00782051" w:rsidRPr="000C2671">
        <w:rPr>
          <w:rFonts w:ascii="Arial" w:hAnsi="Arial" w:cs="Arial"/>
          <w:sz w:val="24"/>
          <w:szCs w:val="24"/>
        </w:rPr>
        <w:t>Section 63 of POCA provides</w:t>
      </w:r>
      <w:r w:rsidR="00F32175">
        <w:rPr>
          <w:rFonts w:ascii="Arial" w:hAnsi="Arial" w:cs="Arial"/>
          <w:sz w:val="24"/>
          <w:szCs w:val="24"/>
        </w:rPr>
        <w:t>,</w:t>
      </w:r>
      <w:r w:rsidR="00782051" w:rsidRPr="000C2671">
        <w:rPr>
          <w:rFonts w:ascii="Arial" w:hAnsi="Arial" w:cs="Arial"/>
          <w:sz w:val="24"/>
          <w:szCs w:val="24"/>
        </w:rPr>
        <w:t xml:space="preserve"> </w:t>
      </w:r>
      <w:r w:rsidR="00DD7928" w:rsidRPr="000C2671">
        <w:rPr>
          <w:rFonts w:ascii="Arial" w:hAnsi="Arial" w:cs="Arial"/>
          <w:sz w:val="24"/>
          <w:szCs w:val="24"/>
        </w:rPr>
        <w:t>under sub-</w:t>
      </w:r>
      <w:r w:rsidRPr="000C2671">
        <w:rPr>
          <w:rFonts w:ascii="Arial" w:hAnsi="Arial" w:cs="Arial"/>
          <w:sz w:val="24"/>
          <w:szCs w:val="24"/>
        </w:rPr>
        <w:t>section 1</w:t>
      </w:r>
      <w:r w:rsidR="00F32175">
        <w:rPr>
          <w:rFonts w:ascii="Arial" w:hAnsi="Arial" w:cs="Arial"/>
          <w:sz w:val="24"/>
          <w:szCs w:val="24"/>
        </w:rPr>
        <w:t>,</w:t>
      </w:r>
      <w:r w:rsidR="00DD7928" w:rsidRPr="000C2671">
        <w:rPr>
          <w:rFonts w:ascii="Arial" w:hAnsi="Arial" w:cs="Arial"/>
          <w:sz w:val="24"/>
          <w:szCs w:val="24"/>
        </w:rPr>
        <w:t xml:space="preserve"> that this court may, when it makes a forfeiture order, make an order excluding certain </w:t>
      </w:r>
      <w:r w:rsidRPr="000C2671">
        <w:rPr>
          <w:rFonts w:ascii="Arial" w:hAnsi="Arial" w:cs="Arial"/>
          <w:sz w:val="24"/>
          <w:szCs w:val="24"/>
        </w:rPr>
        <w:t>interests in</w:t>
      </w:r>
      <w:r w:rsidR="00DD7928" w:rsidRPr="000C2671">
        <w:rPr>
          <w:rFonts w:ascii="Arial" w:hAnsi="Arial" w:cs="Arial"/>
          <w:sz w:val="24"/>
          <w:szCs w:val="24"/>
        </w:rPr>
        <w:t xml:space="preserve"> property</w:t>
      </w:r>
      <w:r w:rsidR="0094506F">
        <w:rPr>
          <w:rFonts w:ascii="Arial" w:hAnsi="Arial" w:cs="Arial"/>
          <w:sz w:val="24"/>
          <w:szCs w:val="24"/>
        </w:rPr>
        <w:t>,</w:t>
      </w:r>
      <w:r w:rsidR="009F2C08">
        <w:rPr>
          <w:rFonts w:ascii="Arial" w:hAnsi="Arial" w:cs="Arial"/>
          <w:sz w:val="24"/>
          <w:szCs w:val="24"/>
        </w:rPr>
        <w:t xml:space="preserve"> which are</w:t>
      </w:r>
      <w:r w:rsidR="00DD7928" w:rsidRPr="000C2671">
        <w:rPr>
          <w:rFonts w:ascii="Arial" w:hAnsi="Arial" w:cs="Arial"/>
          <w:sz w:val="24"/>
          <w:szCs w:val="24"/>
        </w:rPr>
        <w:t xml:space="preserve"> subject to the order, from the operation of the order.</w:t>
      </w:r>
    </w:p>
    <w:p w14:paraId="2C88DCC9" w14:textId="77777777" w:rsidR="00DD7928" w:rsidRPr="00DD7928" w:rsidRDefault="00DD7928" w:rsidP="005926C6">
      <w:pPr>
        <w:pStyle w:val="ListParagraph"/>
        <w:spacing w:after="0" w:line="360" w:lineRule="auto"/>
        <w:rPr>
          <w:rFonts w:ascii="Arial" w:hAnsi="Arial" w:cs="Arial"/>
          <w:sz w:val="24"/>
          <w:szCs w:val="24"/>
        </w:rPr>
      </w:pPr>
    </w:p>
    <w:p w14:paraId="198AE3E3" w14:textId="6907C110" w:rsidR="00EB2C84" w:rsidRPr="000C2671" w:rsidRDefault="000C2671" w:rsidP="005926C6">
      <w:pPr>
        <w:spacing w:after="0" w:line="360" w:lineRule="auto"/>
        <w:jc w:val="both"/>
        <w:rPr>
          <w:rFonts w:ascii="Arial" w:hAnsi="Arial" w:cs="Arial"/>
          <w:sz w:val="24"/>
          <w:szCs w:val="24"/>
        </w:rPr>
      </w:pPr>
      <w:r>
        <w:rPr>
          <w:rFonts w:ascii="Arial" w:hAnsi="Arial" w:cs="Arial"/>
          <w:sz w:val="24"/>
          <w:szCs w:val="24"/>
        </w:rPr>
        <w:t>[</w:t>
      </w:r>
      <w:r w:rsidR="00552830">
        <w:rPr>
          <w:rFonts w:ascii="Arial" w:hAnsi="Arial" w:cs="Arial"/>
          <w:sz w:val="24"/>
          <w:szCs w:val="24"/>
        </w:rPr>
        <w:t>19</w:t>
      </w:r>
      <w:r>
        <w:rPr>
          <w:rFonts w:ascii="Arial" w:hAnsi="Arial" w:cs="Arial"/>
          <w:sz w:val="24"/>
          <w:szCs w:val="24"/>
        </w:rPr>
        <w:t>]</w:t>
      </w:r>
      <w:r>
        <w:rPr>
          <w:rFonts w:ascii="Arial" w:hAnsi="Arial" w:cs="Arial"/>
          <w:sz w:val="24"/>
          <w:szCs w:val="24"/>
        </w:rPr>
        <w:tab/>
      </w:r>
      <w:r w:rsidR="00F32175">
        <w:rPr>
          <w:rFonts w:ascii="Arial" w:hAnsi="Arial" w:cs="Arial"/>
          <w:sz w:val="24"/>
          <w:szCs w:val="24"/>
        </w:rPr>
        <w:t>The said provision reads as follows</w:t>
      </w:r>
      <w:r w:rsidR="00EB2C84" w:rsidRPr="000C2671">
        <w:rPr>
          <w:rFonts w:ascii="Arial" w:hAnsi="Arial" w:cs="Arial"/>
          <w:sz w:val="24"/>
          <w:szCs w:val="24"/>
        </w:rPr>
        <w:t>:</w:t>
      </w:r>
      <w:r w:rsidR="00AF18FD">
        <w:rPr>
          <w:rStyle w:val="FootnoteReference"/>
          <w:rFonts w:ascii="Arial" w:hAnsi="Arial" w:cs="Arial"/>
          <w:sz w:val="24"/>
          <w:szCs w:val="24"/>
        </w:rPr>
        <w:footnoteReference w:id="1"/>
      </w:r>
    </w:p>
    <w:p w14:paraId="00553F47" w14:textId="77777777" w:rsidR="000C2671" w:rsidRPr="000C2671" w:rsidRDefault="00EB2C84" w:rsidP="005926C6">
      <w:pPr>
        <w:pStyle w:val="AS-P1"/>
        <w:spacing w:line="360" w:lineRule="auto"/>
        <w:ind w:right="0"/>
        <w:rPr>
          <w:rFonts w:ascii="Arial" w:hAnsi="Arial" w:cs="Arial"/>
          <w:sz w:val="20"/>
          <w:szCs w:val="20"/>
        </w:rPr>
      </w:pPr>
      <w:r w:rsidRPr="000C2671">
        <w:rPr>
          <w:rFonts w:ascii="Arial" w:hAnsi="Arial" w:cs="Arial"/>
          <w:sz w:val="20"/>
          <w:szCs w:val="20"/>
        </w:rPr>
        <w:t>‘</w:t>
      </w:r>
      <w:r w:rsidR="000C2671" w:rsidRPr="000C2671">
        <w:rPr>
          <w:rFonts w:ascii="Arial" w:hAnsi="Arial" w:cs="Arial"/>
          <w:sz w:val="20"/>
          <w:szCs w:val="20"/>
        </w:rPr>
        <w:t xml:space="preserve">(2) </w:t>
      </w:r>
      <w:r w:rsidR="000C2671" w:rsidRPr="000C2671">
        <w:rPr>
          <w:rFonts w:ascii="Arial" w:hAnsi="Arial" w:cs="Arial"/>
          <w:sz w:val="20"/>
          <w:szCs w:val="20"/>
        </w:rPr>
        <w:tab/>
        <w:t>The High Court may make an order under subsection (1) in relation to the forfeiture of the proceeds of unlawful activities, if it finds on a balance of probabilities that the applicant for the order -</w:t>
      </w:r>
    </w:p>
    <w:p w14:paraId="61694907" w14:textId="77777777" w:rsidR="000C2671" w:rsidRPr="000C2671" w:rsidRDefault="00CC4A73" w:rsidP="005926C6">
      <w:pPr>
        <w:tabs>
          <w:tab w:val="left" w:pos="567"/>
        </w:tabs>
        <w:spacing w:after="0" w:line="360" w:lineRule="auto"/>
        <w:jc w:val="both"/>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t>if her</w:t>
      </w:r>
    </w:p>
    <w:p w14:paraId="1F238144" w14:textId="77777777" w:rsidR="000C2671" w:rsidRPr="000C2671" w:rsidRDefault="000C2671" w:rsidP="005926C6">
      <w:pPr>
        <w:suppressAutoHyphens/>
        <w:spacing w:after="0" w:line="360" w:lineRule="auto"/>
        <w:ind w:left="1134" w:hanging="567"/>
        <w:jc w:val="both"/>
        <w:rPr>
          <w:rFonts w:ascii="Arial" w:eastAsia="Times New Roman" w:hAnsi="Arial" w:cs="Arial"/>
          <w:noProof/>
          <w:sz w:val="20"/>
          <w:szCs w:val="20"/>
          <w:lang w:val="en-GB" w:eastAsia="en-GB"/>
        </w:rPr>
      </w:pPr>
      <w:r w:rsidRPr="000C2671">
        <w:rPr>
          <w:rFonts w:ascii="Arial" w:eastAsia="Times New Roman" w:hAnsi="Arial" w:cs="Arial"/>
          <w:noProof/>
          <w:sz w:val="20"/>
          <w:szCs w:val="20"/>
          <w:lang w:val="en-GB" w:eastAsia="en-GB"/>
        </w:rPr>
        <w:t>(a)</w:t>
      </w:r>
      <w:r w:rsidRPr="000C2671">
        <w:rPr>
          <w:rFonts w:ascii="Arial" w:eastAsia="Times New Roman" w:hAnsi="Arial" w:cs="Arial"/>
          <w:noProof/>
          <w:sz w:val="20"/>
          <w:szCs w:val="20"/>
          <w:lang w:val="en-GB" w:eastAsia="en-GB"/>
        </w:rPr>
        <w:tab/>
        <w:t>had acquired the interest concerned legally and for a consideration, the value of which is not significantly less than the value of that interest; and</w:t>
      </w:r>
    </w:p>
    <w:p w14:paraId="3022C8E6" w14:textId="77777777" w:rsidR="000C2671" w:rsidRPr="000C2671" w:rsidRDefault="000C2671" w:rsidP="005926C6">
      <w:pPr>
        <w:suppressAutoHyphens/>
        <w:spacing w:after="0" w:line="360" w:lineRule="auto"/>
        <w:ind w:left="1134" w:hanging="567"/>
        <w:jc w:val="both"/>
        <w:rPr>
          <w:rFonts w:ascii="Arial" w:eastAsia="Times New Roman" w:hAnsi="Arial" w:cs="Arial"/>
          <w:noProof/>
          <w:sz w:val="20"/>
          <w:szCs w:val="20"/>
          <w:lang w:val="en-GB" w:eastAsia="en-GB"/>
        </w:rPr>
      </w:pPr>
    </w:p>
    <w:p w14:paraId="4181E610" w14:textId="77777777" w:rsidR="000C2671" w:rsidRDefault="000C2671" w:rsidP="005926C6">
      <w:pPr>
        <w:suppressAutoHyphens/>
        <w:spacing w:after="0" w:line="360" w:lineRule="auto"/>
        <w:ind w:left="1134" w:hanging="567"/>
        <w:jc w:val="both"/>
        <w:rPr>
          <w:rFonts w:ascii="Arial" w:eastAsia="Times New Roman" w:hAnsi="Arial" w:cs="Arial"/>
          <w:noProof/>
          <w:sz w:val="20"/>
          <w:szCs w:val="20"/>
          <w:lang w:val="en-GB" w:eastAsia="en-GB"/>
        </w:rPr>
      </w:pPr>
      <w:r w:rsidRPr="000C2671">
        <w:rPr>
          <w:rFonts w:ascii="Arial" w:eastAsia="Times New Roman" w:hAnsi="Arial" w:cs="Arial"/>
          <w:noProof/>
          <w:sz w:val="20"/>
          <w:szCs w:val="20"/>
          <w:lang w:val="en-GB" w:eastAsia="en-GB"/>
        </w:rPr>
        <w:t xml:space="preserve">(b) </w:t>
      </w:r>
      <w:r w:rsidRPr="000C2671">
        <w:rPr>
          <w:rFonts w:ascii="Arial" w:eastAsia="Times New Roman" w:hAnsi="Arial" w:cs="Arial"/>
          <w:noProof/>
          <w:sz w:val="20"/>
          <w:szCs w:val="20"/>
          <w:lang w:val="en-GB" w:eastAsia="en-GB"/>
        </w:rPr>
        <w:tab/>
        <w:t>where the applicant had acquired the interest concerned after the commencement of this Act, that he or she neither knew nor had reasonable grounds to suspect that the property in which the interest is held is the proceeds of unlawful activities.</w:t>
      </w:r>
      <w:r>
        <w:rPr>
          <w:rFonts w:ascii="Arial" w:eastAsia="Times New Roman" w:hAnsi="Arial" w:cs="Arial"/>
          <w:noProof/>
          <w:sz w:val="20"/>
          <w:szCs w:val="20"/>
          <w:lang w:val="en-GB" w:eastAsia="en-GB"/>
        </w:rPr>
        <w:t>’</w:t>
      </w:r>
    </w:p>
    <w:p w14:paraId="2F63CABB" w14:textId="77777777" w:rsidR="007801F1" w:rsidRDefault="007801F1" w:rsidP="005926C6">
      <w:pPr>
        <w:suppressAutoHyphens/>
        <w:spacing w:after="0" w:line="360" w:lineRule="auto"/>
        <w:ind w:left="1134" w:hanging="567"/>
        <w:jc w:val="both"/>
        <w:rPr>
          <w:rFonts w:ascii="Arial" w:eastAsia="Times New Roman" w:hAnsi="Arial" w:cs="Arial"/>
          <w:noProof/>
          <w:sz w:val="20"/>
          <w:szCs w:val="20"/>
          <w:lang w:val="en-GB" w:eastAsia="en-GB"/>
        </w:rPr>
      </w:pPr>
    </w:p>
    <w:p w14:paraId="22653663" w14:textId="6834C3EF" w:rsidR="000C2671" w:rsidRDefault="00CC4A7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20</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Broadly stated, in terms of this provision, it would appear that an applicant for exclusion of interest would succeed if he or he shows on a balance of probability that (a) he or she acquired the property forming subject matter of the order le</w:t>
      </w:r>
      <w:r w:rsidR="007801F1">
        <w:rPr>
          <w:rFonts w:ascii="Arial" w:eastAsia="Times New Roman" w:hAnsi="Arial" w:cs="Arial"/>
          <w:noProof/>
          <w:sz w:val="24"/>
          <w:szCs w:val="24"/>
          <w:lang w:val="en-GB" w:eastAsia="en-GB"/>
        </w:rPr>
        <w:t>gally or for a consideration; and</w:t>
      </w:r>
      <w:r>
        <w:rPr>
          <w:rFonts w:ascii="Arial" w:eastAsia="Times New Roman" w:hAnsi="Arial" w:cs="Arial"/>
          <w:noProof/>
          <w:sz w:val="24"/>
          <w:szCs w:val="24"/>
          <w:lang w:val="en-GB" w:eastAsia="en-GB"/>
        </w:rPr>
        <w:t xml:space="preserve"> (b) where the applicant had acquired the interest concerned after the commencement of POCA, he or she had no reasonable grounds to suspect that the property in question is the proceeds of unlawful activities.</w:t>
      </w:r>
    </w:p>
    <w:p w14:paraId="1FE42E43" w14:textId="77777777" w:rsidR="00CC4A73" w:rsidRDefault="00CC4A73" w:rsidP="005926C6">
      <w:pPr>
        <w:suppressAutoHyphens/>
        <w:spacing w:after="0" w:line="360" w:lineRule="auto"/>
        <w:jc w:val="both"/>
        <w:rPr>
          <w:rFonts w:ascii="Arial" w:eastAsia="Times New Roman" w:hAnsi="Arial" w:cs="Arial"/>
          <w:noProof/>
          <w:sz w:val="24"/>
          <w:szCs w:val="24"/>
          <w:lang w:val="en-GB" w:eastAsia="en-GB"/>
        </w:rPr>
      </w:pPr>
    </w:p>
    <w:p w14:paraId="0FCF7FF5" w14:textId="4B9019CC" w:rsidR="00CC4A73" w:rsidRDefault="00CC4A7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21</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The question that the court will have to determine in due course, is whether the respondent, i</w:t>
      </w:r>
      <w:r w:rsidR="007801F1">
        <w:rPr>
          <w:rFonts w:ascii="Arial" w:eastAsia="Times New Roman" w:hAnsi="Arial" w:cs="Arial"/>
          <w:noProof/>
          <w:sz w:val="24"/>
          <w:szCs w:val="24"/>
          <w:lang w:val="en-GB" w:eastAsia="en-GB"/>
        </w:rPr>
        <w:t>n this matter, has met</w:t>
      </w:r>
      <w:r>
        <w:rPr>
          <w:rFonts w:ascii="Arial" w:eastAsia="Times New Roman" w:hAnsi="Arial" w:cs="Arial"/>
          <w:noProof/>
          <w:sz w:val="24"/>
          <w:szCs w:val="24"/>
          <w:lang w:val="en-GB" w:eastAsia="en-GB"/>
        </w:rPr>
        <w:t xml:space="preserve"> both of the requirements mentioned in s 63 above. The applicant argued vociferously that the respondent failed to meet the requirements of the said provision and that for that reason, the appplciation for exclusion should fail.</w:t>
      </w:r>
    </w:p>
    <w:p w14:paraId="266C95A6" w14:textId="77777777" w:rsidR="00CC4A73" w:rsidRPr="00CC4A73" w:rsidRDefault="00CC4A7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 xml:space="preserve">  </w:t>
      </w:r>
    </w:p>
    <w:p w14:paraId="2EB5CB43" w14:textId="4A5D7158" w:rsidR="000C2671" w:rsidRDefault="00CC4A7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22</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The respondent, for his part,</w:t>
      </w:r>
      <w:r w:rsidR="000C2671">
        <w:rPr>
          <w:rFonts w:ascii="Arial" w:eastAsia="Times New Roman" w:hAnsi="Arial" w:cs="Arial"/>
          <w:noProof/>
          <w:sz w:val="24"/>
          <w:szCs w:val="24"/>
          <w:lang w:val="en-GB" w:eastAsia="en-GB"/>
        </w:rPr>
        <w:t xml:space="preserve"> argued that the partners were not profiled as to how they receive</w:t>
      </w:r>
      <w:r w:rsidR="0094506F">
        <w:rPr>
          <w:rFonts w:ascii="Arial" w:eastAsia="Times New Roman" w:hAnsi="Arial" w:cs="Arial"/>
          <w:noProof/>
          <w:sz w:val="24"/>
          <w:szCs w:val="24"/>
          <w:lang w:val="en-GB" w:eastAsia="en-GB"/>
        </w:rPr>
        <w:t>d</w:t>
      </w:r>
      <w:r w:rsidR="000C2671">
        <w:rPr>
          <w:rFonts w:ascii="Arial" w:eastAsia="Times New Roman" w:hAnsi="Arial" w:cs="Arial"/>
          <w:noProof/>
          <w:sz w:val="24"/>
          <w:szCs w:val="24"/>
          <w:lang w:val="en-GB" w:eastAsia="en-GB"/>
        </w:rPr>
        <w:t xml:space="preserve"> or generate</w:t>
      </w:r>
      <w:r w:rsidR="0094506F">
        <w:rPr>
          <w:rFonts w:ascii="Arial" w:eastAsia="Times New Roman" w:hAnsi="Arial" w:cs="Arial"/>
          <w:noProof/>
          <w:sz w:val="24"/>
          <w:szCs w:val="24"/>
          <w:lang w:val="en-GB" w:eastAsia="en-GB"/>
        </w:rPr>
        <w:t>d</w:t>
      </w:r>
      <w:r w:rsidR="000C2671">
        <w:rPr>
          <w:rFonts w:ascii="Arial" w:eastAsia="Times New Roman" w:hAnsi="Arial" w:cs="Arial"/>
          <w:noProof/>
          <w:sz w:val="24"/>
          <w:szCs w:val="24"/>
          <w:lang w:val="en-GB" w:eastAsia="en-GB"/>
        </w:rPr>
        <w:t xml:space="preserve"> their income</w:t>
      </w:r>
      <w:r w:rsidR="002774CC">
        <w:rPr>
          <w:rFonts w:ascii="Arial" w:eastAsia="Times New Roman" w:hAnsi="Arial" w:cs="Arial"/>
          <w:noProof/>
          <w:sz w:val="24"/>
          <w:szCs w:val="24"/>
          <w:lang w:val="en-GB" w:eastAsia="en-GB"/>
        </w:rPr>
        <w:t>,</w:t>
      </w:r>
      <w:r w:rsidR="000C2671">
        <w:rPr>
          <w:rFonts w:ascii="Arial" w:eastAsia="Times New Roman" w:hAnsi="Arial" w:cs="Arial"/>
          <w:noProof/>
          <w:sz w:val="24"/>
          <w:szCs w:val="24"/>
          <w:lang w:val="en-GB" w:eastAsia="en-GB"/>
        </w:rPr>
        <w:t xml:space="preserve"> let alone where they find money to make contributions. According to the respondent, it was not the</w:t>
      </w:r>
      <w:r w:rsidR="002774CC">
        <w:rPr>
          <w:rFonts w:ascii="Arial" w:eastAsia="Times New Roman" w:hAnsi="Arial" w:cs="Arial"/>
          <w:noProof/>
          <w:sz w:val="24"/>
          <w:szCs w:val="24"/>
          <w:lang w:val="en-GB" w:eastAsia="en-GB"/>
        </w:rPr>
        <w:t xml:space="preserve"> </w:t>
      </w:r>
      <w:r w:rsidR="000C2671">
        <w:rPr>
          <w:rFonts w:ascii="Arial" w:eastAsia="Times New Roman" w:hAnsi="Arial" w:cs="Arial"/>
          <w:noProof/>
          <w:sz w:val="24"/>
          <w:szCs w:val="24"/>
          <w:lang w:val="en-GB" w:eastAsia="en-GB"/>
        </w:rPr>
        <w:t>scheme of oper</w:t>
      </w:r>
      <w:r w:rsidR="002774CC">
        <w:rPr>
          <w:rFonts w:ascii="Arial" w:eastAsia="Times New Roman" w:hAnsi="Arial" w:cs="Arial"/>
          <w:noProof/>
          <w:sz w:val="24"/>
          <w:szCs w:val="24"/>
          <w:lang w:val="en-GB" w:eastAsia="en-GB"/>
        </w:rPr>
        <w:t>ation of the partnership and his position as chairperson</w:t>
      </w:r>
      <w:r w:rsidR="000C2671">
        <w:rPr>
          <w:rFonts w:ascii="Arial" w:eastAsia="Times New Roman" w:hAnsi="Arial" w:cs="Arial"/>
          <w:noProof/>
          <w:sz w:val="24"/>
          <w:szCs w:val="24"/>
          <w:lang w:val="en-GB" w:eastAsia="en-GB"/>
        </w:rPr>
        <w:t>, to enquire where each of the partners got the money that each contributed</w:t>
      </w:r>
      <w:r w:rsidR="002774CC">
        <w:rPr>
          <w:rFonts w:ascii="Arial" w:eastAsia="Times New Roman" w:hAnsi="Arial" w:cs="Arial"/>
          <w:noProof/>
          <w:sz w:val="24"/>
          <w:szCs w:val="24"/>
          <w:lang w:val="en-GB" w:eastAsia="en-GB"/>
        </w:rPr>
        <w:t xml:space="preserve"> to the partnership</w:t>
      </w:r>
      <w:r w:rsidR="000C2671">
        <w:rPr>
          <w:rFonts w:ascii="Arial" w:eastAsia="Times New Roman" w:hAnsi="Arial" w:cs="Arial"/>
          <w:noProof/>
          <w:sz w:val="24"/>
          <w:szCs w:val="24"/>
          <w:lang w:val="en-GB" w:eastAsia="en-GB"/>
        </w:rPr>
        <w:t xml:space="preserve">. In essence therefore, the rest of the partners could </w:t>
      </w:r>
      <w:r w:rsidR="0002136C">
        <w:rPr>
          <w:rFonts w:ascii="Arial" w:eastAsia="Times New Roman" w:hAnsi="Arial" w:cs="Arial"/>
          <w:noProof/>
          <w:sz w:val="24"/>
          <w:szCs w:val="24"/>
          <w:lang w:val="en-GB" w:eastAsia="en-GB"/>
        </w:rPr>
        <w:t>not have known that the money deposited by Mr. Thomas was from unlawful activities.</w:t>
      </w:r>
    </w:p>
    <w:p w14:paraId="0F438789" w14:textId="77777777" w:rsidR="0002136C" w:rsidRDefault="0002136C" w:rsidP="005926C6">
      <w:pPr>
        <w:suppressAutoHyphens/>
        <w:spacing w:after="0" w:line="360" w:lineRule="auto"/>
        <w:jc w:val="both"/>
        <w:rPr>
          <w:rFonts w:ascii="Arial" w:eastAsia="Times New Roman" w:hAnsi="Arial" w:cs="Arial"/>
          <w:noProof/>
          <w:sz w:val="24"/>
          <w:szCs w:val="24"/>
          <w:lang w:val="en-GB" w:eastAsia="en-GB"/>
        </w:rPr>
      </w:pPr>
    </w:p>
    <w:p w14:paraId="2CB33D1B" w14:textId="00CA48FA" w:rsidR="008C5662" w:rsidRDefault="0002136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23</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It was the respondent’s further argument that the contested amount, with the exclusion of that deposited by Mr. Thomas</w:t>
      </w:r>
      <w:r w:rsidR="0094506F">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 xml:space="preserve"> was generated legally from various sources of income and that the</w:t>
      </w:r>
      <w:r w:rsidR="0094506F">
        <w:rPr>
          <w:rFonts w:ascii="Arial" w:eastAsia="Times New Roman" w:hAnsi="Arial" w:cs="Arial"/>
          <w:noProof/>
          <w:sz w:val="24"/>
          <w:szCs w:val="24"/>
          <w:lang w:val="en-GB" w:eastAsia="en-GB"/>
        </w:rPr>
        <w:t xml:space="preserve"> members</w:t>
      </w:r>
      <w:r w:rsidR="008C5662">
        <w:rPr>
          <w:rFonts w:ascii="Arial" w:eastAsia="Times New Roman" w:hAnsi="Arial" w:cs="Arial"/>
          <w:noProof/>
          <w:sz w:val="24"/>
          <w:szCs w:val="24"/>
          <w:lang w:val="en-GB" w:eastAsia="en-GB"/>
        </w:rPr>
        <w:t xml:space="preserve"> have, on a balance of probabilities, satisfied</w:t>
      </w:r>
      <w:r>
        <w:rPr>
          <w:rFonts w:ascii="Arial" w:eastAsia="Times New Roman" w:hAnsi="Arial" w:cs="Arial"/>
          <w:noProof/>
          <w:sz w:val="24"/>
          <w:szCs w:val="24"/>
          <w:lang w:val="en-GB" w:eastAsia="en-GB"/>
        </w:rPr>
        <w:t xml:space="preserve"> </w:t>
      </w:r>
      <w:r w:rsidR="008C5662">
        <w:rPr>
          <w:rFonts w:ascii="Arial" w:eastAsia="Times New Roman" w:hAnsi="Arial" w:cs="Arial"/>
          <w:noProof/>
          <w:sz w:val="24"/>
          <w:szCs w:val="24"/>
          <w:lang w:val="en-GB" w:eastAsia="en-GB"/>
        </w:rPr>
        <w:t xml:space="preserve">the </w:t>
      </w:r>
      <w:r>
        <w:rPr>
          <w:rFonts w:ascii="Arial" w:eastAsia="Times New Roman" w:hAnsi="Arial" w:cs="Arial"/>
          <w:noProof/>
          <w:sz w:val="24"/>
          <w:szCs w:val="24"/>
          <w:lang w:val="en-GB" w:eastAsia="en-GB"/>
        </w:rPr>
        <w:t xml:space="preserve">requisites of the aforementioned </w:t>
      </w:r>
      <w:r w:rsidR="008C5662">
        <w:rPr>
          <w:rFonts w:ascii="Arial" w:eastAsia="Times New Roman" w:hAnsi="Arial" w:cs="Arial"/>
          <w:noProof/>
          <w:sz w:val="24"/>
          <w:szCs w:val="24"/>
          <w:lang w:val="en-GB" w:eastAsia="en-GB"/>
        </w:rPr>
        <w:t>section.</w:t>
      </w:r>
    </w:p>
    <w:p w14:paraId="733C0055" w14:textId="77777777" w:rsidR="002774CC" w:rsidRDefault="002774CC" w:rsidP="005926C6">
      <w:pPr>
        <w:suppressAutoHyphens/>
        <w:spacing w:after="0" w:line="360" w:lineRule="auto"/>
        <w:jc w:val="both"/>
        <w:rPr>
          <w:rFonts w:ascii="Arial" w:eastAsia="Times New Roman" w:hAnsi="Arial" w:cs="Arial"/>
          <w:noProof/>
          <w:sz w:val="24"/>
          <w:szCs w:val="24"/>
          <w:lang w:val="en-GB" w:eastAsia="en-GB"/>
        </w:rPr>
      </w:pPr>
    </w:p>
    <w:p w14:paraId="5FE5C0AD" w14:textId="1D28F80B" w:rsidR="002774CC" w:rsidRDefault="002774C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24</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The applicant, in dealing with this particular iss</w:t>
      </w:r>
      <w:r w:rsidR="00A5693B">
        <w:rPr>
          <w:rFonts w:ascii="Arial" w:eastAsia="Times New Roman" w:hAnsi="Arial" w:cs="Arial"/>
          <w:noProof/>
          <w:sz w:val="24"/>
          <w:szCs w:val="24"/>
          <w:lang w:val="en-GB" w:eastAsia="en-GB"/>
        </w:rPr>
        <w:t>ue, argued that the proper appr</w:t>
      </w:r>
      <w:r>
        <w:rPr>
          <w:rFonts w:ascii="Arial" w:eastAsia="Times New Roman" w:hAnsi="Arial" w:cs="Arial"/>
          <w:noProof/>
          <w:sz w:val="24"/>
          <w:szCs w:val="24"/>
          <w:lang w:val="en-GB" w:eastAsia="en-GB"/>
        </w:rPr>
        <w:t>o</w:t>
      </w:r>
      <w:r w:rsidR="00A5693B">
        <w:rPr>
          <w:rFonts w:ascii="Arial" w:eastAsia="Times New Roman" w:hAnsi="Arial" w:cs="Arial"/>
          <w:noProof/>
          <w:sz w:val="24"/>
          <w:szCs w:val="24"/>
          <w:lang w:val="en-GB" w:eastAsia="en-GB"/>
        </w:rPr>
        <w:t>a</w:t>
      </w:r>
      <w:r>
        <w:rPr>
          <w:rFonts w:ascii="Arial" w:eastAsia="Times New Roman" w:hAnsi="Arial" w:cs="Arial"/>
          <w:noProof/>
          <w:sz w:val="24"/>
          <w:szCs w:val="24"/>
          <w:lang w:val="en-GB" w:eastAsia="en-GB"/>
        </w:rPr>
        <w:t>ch was for the individual members of the partnerhip to state on oath where they work if they do and to state where they obtained the money that they contributed to the partnership. It was only if they did so, so the argument ran, that they could possibly show the court, on a balance of probabilities that the money they contributed to the account, was not the proceeds of unlawful activities.</w:t>
      </w:r>
    </w:p>
    <w:p w14:paraId="0C1D9A2C" w14:textId="77777777" w:rsidR="002774CC" w:rsidRDefault="002774CC" w:rsidP="005926C6">
      <w:pPr>
        <w:suppressAutoHyphens/>
        <w:spacing w:after="0" w:line="360" w:lineRule="auto"/>
        <w:jc w:val="both"/>
        <w:rPr>
          <w:rFonts w:ascii="Arial" w:eastAsia="Times New Roman" w:hAnsi="Arial" w:cs="Arial"/>
          <w:noProof/>
          <w:sz w:val="24"/>
          <w:szCs w:val="24"/>
          <w:lang w:val="en-GB" w:eastAsia="en-GB"/>
        </w:rPr>
      </w:pPr>
    </w:p>
    <w:p w14:paraId="66B03DFC" w14:textId="3E606E86" w:rsidR="002774CC" w:rsidRDefault="002774C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25</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 am of th</w:t>
      </w:r>
      <w:r w:rsidR="00A5693B">
        <w:rPr>
          <w:rFonts w:ascii="Arial" w:eastAsia="Times New Roman" w:hAnsi="Arial" w:cs="Arial"/>
          <w:noProof/>
          <w:sz w:val="24"/>
          <w:szCs w:val="24"/>
          <w:lang w:val="en-GB" w:eastAsia="en-GB"/>
        </w:rPr>
        <w:t>e considered view that the appl</w:t>
      </w:r>
      <w:r>
        <w:rPr>
          <w:rFonts w:ascii="Arial" w:eastAsia="Times New Roman" w:hAnsi="Arial" w:cs="Arial"/>
          <w:noProof/>
          <w:sz w:val="24"/>
          <w:szCs w:val="24"/>
          <w:lang w:val="en-GB" w:eastAsia="en-GB"/>
        </w:rPr>
        <w:t>i</w:t>
      </w:r>
      <w:r w:rsidR="00A5693B">
        <w:rPr>
          <w:rFonts w:ascii="Arial" w:eastAsia="Times New Roman" w:hAnsi="Arial" w:cs="Arial"/>
          <w:noProof/>
          <w:sz w:val="24"/>
          <w:szCs w:val="24"/>
          <w:lang w:val="en-GB" w:eastAsia="en-GB"/>
        </w:rPr>
        <w:t>c</w:t>
      </w:r>
      <w:r>
        <w:rPr>
          <w:rFonts w:ascii="Arial" w:eastAsia="Times New Roman" w:hAnsi="Arial" w:cs="Arial"/>
          <w:noProof/>
          <w:sz w:val="24"/>
          <w:szCs w:val="24"/>
          <w:lang w:val="en-GB" w:eastAsia="en-GB"/>
        </w:rPr>
        <w:t xml:space="preserve">ant is correct that that approach would have been the best and proper one in the circumstances. The question that confronts the court, is whether the fact that the other members did not file affidavits explaining their income, which they contributed to the partnership should, </w:t>
      </w:r>
      <w:r>
        <w:rPr>
          <w:rFonts w:ascii="Arial" w:eastAsia="Times New Roman" w:hAnsi="Arial" w:cs="Arial"/>
          <w:i/>
          <w:noProof/>
          <w:sz w:val="24"/>
          <w:szCs w:val="24"/>
          <w:lang w:val="en-GB" w:eastAsia="en-GB"/>
        </w:rPr>
        <w:t xml:space="preserve">ipso facto </w:t>
      </w:r>
      <w:r>
        <w:rPr>
          <w:rFonts w:ascii="Arial" w:eastAsia="Times New Roman" w:hAnsi="Arial" w:cs="Arial"/>
          <w:noProof/>
          <w:sz w:val="24"/>
          <w:szCs w:val="24"/>
          <w:lang w:val="en-GB" w:eastAsia="en-GB"/>
        </w:rPr>
        <w:t xml:space="preserve">result in the respondent having failed to meet the criteria set out by the Act in terms of </w:t>
      </w:r>
      <w:r w:rsidR="00A5693B">
        <w:rPr>
          <w:rFonts w:ascii="Arial" w:eastAsia="Times New Roman" w:hAnsi="Arial" w:cs="Arial"/>
          <w:noProof/>
          <w:sz w:val="24"/>
          <w:szCs w:val="24"/>
          <w:lang w:val="en-GB" w:eastAsia="en-GB"/>
        </w:rPr>
        <w:t xml:space="preserve">application for </w:t>
      </w:r>
      <w:r>
        <w:rPr>
          <w:rFonts w:ascii="Arial" w:eastAsia="Times New Roman" w:hAnsi="Arial" w:cs="Arial"/>
          <w:noProof/>
          <w:sz w:val="24"/>
          <w:szCs w:val="24"/>
          <w:lang w:val="en-GB" w:eastAsia="en-GB"/>
        </w:rPr>
        <w:t>exclusion?</w:t>
      </w:r>
    </w:p>
    <w:p w14:paraId="1246C8A3" w14:textId="77777777" w:rsidR="002774CC" w:rsidRDefault="002774CC" w:rsidP="005926C6">
      <w:pPr>
        <w:suppressAutoHyphens/>
        <w:spacing w:after="0" w:line="360" w:lineRule="auto"/>
        <w:jc w:val="both"/>
        <w:rPr>
          <w:rFonts w:ascii="Arial" w:eastAsia="Times New Roman" w:hAnsi="Arial" w:cs="Arial"/>
          <w:noProof/>
          <w:sz w:val="24"/>
          <w:szCs w:val="24"/>
          <w:lang w:val="en-GB" w:eastAsia="en-GB"/>
        </w:rPr>
      </w:pPr>
    </w:p>
    <w:p w14:paraId="408BD1C2" w14:textId="160CD75B" w:rsidR="002774CC" w:rsidRDefault="002774C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26</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In this regard, I am of the considered view that it it is imperative to define the words employed by the legislature in the relevant provision namely, ‘on a balance of probabilities’, as can be seen in s 63(2) above. A definition thereof, may go some way in clarifying whether the respondent managed to meet muster in this regard.</w:t>
      </w:r>
    </w:p>
    <w:p w14:paraId="4EFAD053" w14:textId="77777777" w:rsidR="002774CC" w:rsidRDefault="002774CC" w:rsidP="005926C6">
      <w:pPr>
        <w:suppressAutoHyphens/>
        <w:spacing w:after="0" w:line="360" w:lineRule="auto"/>
        <w:jc w:val="both"/>
        <w:rPr>
          <w:rFonts w:ascii="Arial" w:eastAsia="Times New Roman" w:hAnsi="Arial" w:cs="Arial"/>
          <w:noProof/>
          <w:sz w:val="24"/>
          <w:szCs w:val="24"/>
          <w:lang w:val="en-GB" w:eastAsia="en-GB"/>
        </w:rPr>
      </w:pPr>
    </w:p>
    <w:p w14:paraId="0716D99F" w14:textId="0F0474EE" w:rsidR="002774CC" w:rsidRDefault="002774C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27</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In Hoffman</w:t>
      </w:r>
      <w:r w:rsidR="00371FC3">
        <w:rPr>
          <w:rFonts w:ascii="Arial" w:eastAsia="Times New Roman" w:hAnsi="Arial" w:cs="Arial"/>
          <w:noProof/>
          <w:sz w:val="24"/>
          <w:szCs w:val="24"/>
          <w:lang w:val="en-GB" w:eastAsia="en-GB"/>
        </w:rPr>
        <w:t>,</w:t>
      </w:r>
      <w:r>
        <w:rPr>
          <w:rStyle w:val="FootnoteReference"/>
          <w:rFonts w:ascii="Arial" w:eastAsia="Times New Roman" w:hAnsi="Arial" w:cs="Arial"/>
          <w:noProof/>
          <w:sz w:val="24"/>
          <w:szCs w:val="24"/>
          <w:lang w:val="en-GB" w:eastAsia="en-GB"/>
        </w:rPr>
        <w:footnoteReference w:id="2"/>
      </w:r>
      <w:r w:rsidR="00371FC3">
        <w:rPr>
          <w:rFonts w:ascii="Arial" w:eastAsia="Times New Roman" w:hAnsi="Arial" w:cs="Arial"/>
          <w:noProof/>
          <w:sz w:val="24"/>
          <w:szCs w:val="24"/>
          <w:lang w:val="en-GB" w:eastAsia="en-GB"/>
        </w:rPr>
        <w:t xml:space="preserve"> the definition of the standard of proof the legislature imposed, was defined as follows, in terms of the terms set out by Lord Denning in </w:t>
      </w:r>
      <w:r w:rsidR="00371FC3">
        <w:rPr>
          <w:rFonts w:ascii="Arial" w:eastAsia="Times New Roman" w:hAnsi="Arial" w:cs="Arial"/>
          <w:i/>
          <w:noProof/>
          <w:sz w:val="24"/>
          <w:szCs w:val="24"/>
          <w:lang w:val="en-GB" w:eastAsia="en-GB"/>
        </w:rPr>
        <w:t>Miller v Minister of Pensions</w:t>
      </w:r>
      <w:r w:rsidR="00371FC3">
        <w:rPr>
          <w:rStyle w:val="FootnoteReference"/>
          <w:rFonts w:ascii="Arial" w:eastAsia="Times New Roman" w:hAnsi="Arial" w:cs="Arial"/>
          <w:i/>
          <w:noProof/>
          <w:sz w:val="24"/>
          <w:szCs w:val="24"/>
          <w:lang w:val="en-GB" w:eastAsia="en-GB"/>
        </w:rPr>
        <w:footnoteReference w:id="3"/>
      </w:r>
      <w:r w:rsidR="00371FC3">
        <w:rPr>
          <w:rFonts w:ascii="Arial" w:eastAsia="Times New Roman" w:hAnsi="Arial" w:cs="Arial"/>
          <w:noProof/>
          <w:sz w:val="24"/>
          <w:szCs w:val="24"/>
          <w:lang w:val="en-GB" w:eastAsia="en-GB"/>
        </w:rPr>
        <w:t xml:space="preserve">: </w:t>
      </w:r>
    </w:p>
    <w:p w14:paraId="12A75798" w14:textId="77777777" w:rsidR="00371FC3" w:rsidRDefault="00371FC3" w:rsidP="005926C6">
      <w:pPr>
        <w:suppressAutoHyphens/>
        <w:spacing w:after="0" w:line="360" w:lineRule="auto"/>
        <w:jc w:val="both"/>
        <w:rPr>
          <w:rFonts w:ascii="Arial" w:eastAsia="Times New Roman" w:hAnsi="Arial" w:cs="Arial"/>
          <w:noProof/>
          <w:sz w:val="24"/>
          <w:szCs w:val="24"/>
          <w:lang w:val="en-GB" w:eastAsia="en-GB"/>
        </w:rPr>
      </w:pPr>
    </w:p>
    <w:p w14:paraId="38D829DA" w14:textId="77777777" w:rsidR="00371FC3" w:rsidRDefault="00371FC3" w:rsidP="005926C6">
      <w:pPr>
        <w:suppressAutoHyphens/>
        <w:spacing w:after="0" w:line="360" w:lineRule="auto"/>
        <w:jc w:val="both"/>
        <w:rPr>
          <w:rFonts w:ascii="Arial" w:eastAsia="Times New Roman" w:hAnsi="Arial" w:cs="Arial"/>
          <w:noProof/>
          <w:lang w:val="en-GB" w:eastAsia="en-GB"/>
        </w:rPr>
      </w:pPr>
      <w:r>
        <w:rPr>
          <w:rFonts w:ascii="Arial" w:eastAsia="Times New Roman" w:hAnsi="Arial" w:cs="Arial"/>
          <w:noProof/>
          <w:sz w:val="24"/>
          <w:szCs w:val="24"/>
          <w:lang w:val="en-GB" w:eastAsia="en-GB"/>
        </w:rPr>
        <w:tab/>
        <w:t>‘</w:t>
      </w:r>
      <w:r>
        <w:rPr>
          <w:rFonts w:ascii="Arial" w:eastAsia="Times New Roman" w:hAnsi="Arial" w:cs="Arial"/>
          <w:noProof/>
          <w:lang w:val="en-GB" w:eastAsia="en-GB"/>
        </w:rPr>
        <w:t>It must carry a reasonable degree of probability but not so high as is required in a criminal case. If the evidence is such that the tribunal can say “we think it more probable than not”, the burden is discharged, but if the probabilities are equal it is not.’</w:t>
      </w:r>
    </w:p>
    <w:p w14:paraId="57CA5C8C" w14:textId="77777777" w:rsidR="00371FC3" w:rsidRDefault="00371FC3" w:rsidP="005926C6">
      <w:pPr>
        <w:suppressAutoHyphens/>
        <w:spacing w:after="0" w:line="360" w:lineRule="auto"/>
        <w:jc w:val="both"/>
        <w:rPr>
          <w:rFonts w:ascii="Arial" w:eastAsia="Times New Roman" w:hAnsi="Arial" w:cs="Arial"/>
          <w:noProof/>
          <w:lang w:val="en-GB" w:eastAsia="en-GB"/>
        </w:rPr>
      </w:pPr>
    </w:p>
    <w:p w14:paraId="094D4439" w14:textId="49D06491" w:rsidR="00371FC3" w:rsidRDefault="00371FC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28</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 xml:space="preserve">In dealing with the standard further, the learned author also referred to </w:t>
      </w:r>
      <w:r>
        <w:rPr>
          <w:rFonts w:ascii="Arial" w:eastAsia="Times New Roman" w:hAnsi="Arial" w:cs="Arial"/>
          <w:i/>
          <w:noProof/>
          <w:sz w:val="24"/>
          <w:szCs w:val="24"/>
          <w:lang w:val="en-GB" w:eastAsia="en-GB"/>
        </w:rPr>
        <w:t>West Rand Estates Ltd v New Zealand Insurance Co. Ltd,</w:t>
      </w:r>
      <w:r>
        <w:rPr>
          <w:rStyle w:val="FootnoteReference"/>
          <w:rFonts w:ascii="Arial" w:eastAsia="Times New Roman" w:hAnsi="Arial" w:cs="Arial"/>
          <w:i/>
          <w:noProof/>
          <w:sz w:val="24"/>
          <w:szCs w:val="24"/>
          <w:lang w:val="en-GB" w:eastAsia="en-GB"/>
        </w:rPr>
        <w:footnoteReference w:id="4"/>
      </w:r>
      <w:r>
        <w:rPr>
          <w:rFonts w:ascii="Arial" w:eastAsia="Times New Roman" w:hAnsi="Arial" w:cs="Arial"/>
          <w:i/>
          <w:noProof/>
          <w:sz w:val="24"/>
          <w:szCs w:val="24"/>
          <w:lang w:val="en-GB" w:eastAsia="en-GB"/>
        </w:rPr>
        <w:t xml:space="preserve"> </w:t>
      </w:r>
      <w:r w:rsidRPr="00371FC3">
        <w:rPr>
          <w:rFonts w:ascii="Arial" w:eastAsia="Times New Roman" w:hAnsi="Arial" w:cs="Arial"/>
          <w:noProof/>
          <w:sz w:val="24"/>
          <w:szCs w:val="24"/>
          <w:lang w:val="en-GB" w:eastAsia="en-GB"/>
        </w:rPr>
        <w:t>where the</w:t>
      </w:r>
      <w:r>
        <w:rPr>
          <w:rFonts w:ascii="Arial" w:eastAsia="Times New Roman" w:hAnsi="Arial" w:cs="Arial"/>
          <w:i/>
          <w:noProof/>
          <w:sz w:val="24"/>
          <w:szCs w:val="24"/>
          <w:lang w:val="en-GB" w:eastAsia="en-GB"/>
        </w:rPr>
        <w:t xml:space="preserve"> </w:t>
      </w:r>
      <w:r>
        <w:rPr>
          <w:rFonts w:ascii="Arial" w:eastAsia="Times New Roman" w:hAnsi="Arial" w:cs="Arial"/>
          <w:noProof/>
          <w:sz w:val="24"/>
          <w:szCs w:val="24"/>
          <w:lang w:val="en-GB" w:eastAsia="en-GB"/>
        </w:rPr>
        <w:t>Appellate Division of South Africa stated the following:</w:t>
      </w:r>
    </w:p>
    <w:p w14:paraId="743EFE9E" w14:textId="77777777" w:rsidR="00371FC3" w:rsidRDefault="00371FC3" w:rsidP="005926C6">
      <w:pPr>
        <w:suppressAutoHyphens/>
        <w:spacing w:after="0" w:line="360" w:lineRule="auto"/>
        <w:jc w:val="both"/>
        <w:rPr>
          <w:rFonts w:ascii="Arial" w:eastAsia="Times New Roman" w:hAnsi="Arial" w:cs="Arial"/>
          <w:noProof/>
          <w:sz w:val="24"/>
          <w:szCs w:val="24"/>
          <w:lang w:val="en-GB" w:eastAsia="en-GB"/>
        </w:rPr>
      </w:pPr>
    </w:p>
    <w:p w14:paraId="2FBAF147" w14:textId="77777777" w:rsidR="00371FC3" w:rsidRDefault="00371FC3" w:rsidP="005926C6">
      <w:pPr>
        <w:suppressAutoHyphens/>
        <w:spacing w:after="0" w:line="360" w:lineRule="auto"/>
        <w:jc w:val="both"/>
        <w:rPr>
          <w:rFonts w:ascii="Arial" w:eastAsia="Times New Roman" w:hAnsi="Arial" w:cs="Arial"/>
          <w:noProof/>
          <w:lang w:val="en-GB" w:eastAsia="en-GB"/>
        </w:rPr>
      </w:pPr>
      <w:r>
        <w:rPr>
          <w:rFonts w:ascii="Arial" w:eastAsia="Times New Roman" w:hAnsi="Arial" w:cs="Arial"/>
          <w:noProof/>
          <w:sz w:val="24"/>
          <w:szCs w:val="24"/>
          <w:lang w:val="en-GB" w:eastAsia="en-GB"/>
        </w:rPr>
        <w:tab/>
        <w:t>‘</w:t>
      </w:r>
      <w:r>
        <w:rPr>
          <w:rFonts w:ascii="Arial" w:eastAsia="Times New Roman" w:hAnsi="Arial" w:cs="Arial"/>
          <w:noProof/>
          <w:lang w:val="en-GB" w:eastAsia="en-GB"/>
        </w:rPr>
        <w:t>It is not a mere conjecture or slight probability that suffice. The probability must be of sufficient  force to raise a reasonable presumption in favour of the party who relies on it. It must be of sufficient weight to throw the onus on the other side to rebut it.’</w:t>
      </w:r>
    </w:p>
    <w:p w14:paraId="31C710A1" w14:textId="77777777" w:rsidR="007801F1" w:rsidRDefault="007801F1" w:rsidP="005926C6">
      <w:pPr>
        <w:suppressAutoHyphens/>
        <w:spacing w:after="0" w:line="360" w:lineRule="auto"/>
        <w:jc w:val="both"/>
        <w:rPr>
          <w:rFonts w:ascii="Arial" w:eastAsia="Times New Roman" w:hAnsi="Arial" w:cs="Arial"/>
          <w:noProof/>
          <w:lang w:val="en-GB" w:eastAsia="en-GB"/>
        </w:rPr>
      </w:pPr>
    </w:p>
    <w:p w14:paraId="3CD5B02E" w14:textId="029C6752" w:rsidR="00371FC3" w:rsidRDefault="00040E5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29</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 xml:space="preserve">The question to be answered in view of the argument raised by both parties is this: can it be said, from the allegations by the respondent, on whom the onus rests in this regard, that what the respondent states </w:t>
      </w:r>
      <w:r w:rsidR="00A5693B">
        <w:rPr>
          <w:rFonts w:ascii="Arial" w:eastAsia="Times New Roman" w:hAnsi="Arial" w:cs="Arial"/>
          <w:noProof/>
          <w:sz w:val="24"/>
          <w:szCs w:val="24"/>
          <w:lang w:val="en-GB" w:eastAsia="en-GB"/>
        </w:rPr>
        <w:t xml:space="preserve">on oath </w:t>
      </w:r>
      <w:r>
        <w:rPr>
          <w:rFonts w:ascii="Arial" w:eastAsia="Times New Roman" w:hAnsi="Arial" w:cs="Arial"/>
          <w:noProof/>
          <w:sz w:val="24"/>
          <w:szCs w:val="24"/>
          <w:lang w:val="en-GB" w:eastAsia="en-GB"/>
        </w:rPr>
        <w:t xml:space="preserve">is the position </w:t>
      </w:r>
      <w:r w:rsidR="00A5693B">
        <w:rPr>
          <w:rFonts w:ascii="Arial" w:eastAsia="Times New Roman" w:hAnsi="Arial" w:cs="Arial"/>
          <w:noProof/>
          <w:sz w:val="24"/>
          <w:szCs w:val="24"/>
          <w:lang w:val="en-GB" w:eastAsia="en-GB"/>
        </w:rPr>
        <w:t xml:space="preserve">in this case, </w:t>
      </w:r>
      <w:r>
        <w:rPr>
          <w:rFonts w:ascii="Arial" w:eastAsia="Times New Roman" w:hAnsi="Arial" w:cs="Arial"/>
          <w:noProof/>
          <w:sz w:val="24"/>
          <w:szCs w:val="24"/>
          <w:lang w:val="en-GB" w:eastAsia="en-GB"/>
        </w:rPr>
        <w:t xml:space="preserve">is more probable than not? </w:t>
      </w:r>
    </w:p>
    <w:p w14:paraId="6CD49752" w14:textId="77777777" w:rsidR="00040E53" w:rsidRDefault="00040E53" w:rsidP="005926C6">
      <w:pPr>
        <w:suppressAutoHyphens/>
        <w:spacing w:after="0" w:line="360" w:lineRule="auto"/>
        <w:jc w:val="both"/>
        <w:rPr>
          <w:rFonts w:ascii="Arial" w:eastAsia="Times New Roman" w:hAnsi="Arial" w:cs="Arial"/>
          <w:noProof/>
          <w:sz w:val="24"/>
          <w:szCs w:val="24"/>
          <w:lang w:val="en-GB" w:eastAsia="en-GB"/>
        </w:rPr>
      </w:pPr>
    </w:p>
    <w:p w14:paraId="32BE10FD" w14:textId="04ED1D43" w:rsidR="002B6991" w:rsidRDefault="00040E5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30</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 xml:space="preserve">I am of the considered view that the respondent, has met the threshhold in this regard. I say so because firstly, the partnership account in issue, has been in existence, since the year 2010. </w:t>
      </w:r>
      <w:r w:rsidR="00A5693B">
        <w:rPr>
          <w:rFonts w:ascii="Arial" w:eastAsia="Times New Roman" w:hAnsi="Arial" w:cs="Arial"/>
          <w:noProof/>
          <w:sz w:val="24"/>
          <w:szCs w:val="24"/>
          <w:lang w:val="en-GB" w:eastAsia="en-GB"/>
        </w:rPr>
        <w:t xml:space="preserve">There is no evidence that any questions have previously been raised about the legality or propriety of the account or of the holders thereof. </w:t>
      </w:r>
      <w:r>
        <w:rPr>
          <w:rFonts w:ascii="Arial" w:eastAsia="Times New Roman" w:hAnsi="Arial" w:cs="Arial"/>
          <w:noProof/>
          <w:sz w:val="24"/>
          <w:szCs w:val="24"/>
          <w:lang w:val="en-GB" w:eastAsia="en-GB"/>
        </w:rPr>
        <w:t>Furthermore, the amounts which were, on the respondent’s vers</w:t>
      </w:r>
      <w:r w:rsidR="0094506F">
        <w:rPr>
          <w:rFonts w:ascii="Arial" w:eastAsia="Times New Roman" w:hAnsi="Arial" w:cs="Arial"/>
          <w:noProof/>
          <w:sz w:val="24"/>
          <w:szCs w:val="24"/>
          <w:lang w:val="en-GB" w:eastAsia="en-GB"/>
        </w:rPr>
        <w:t>ion contributed, which the appl</w:t>
      </w:r>
      <w:r>
        <w:rPr>
          <w:rFonts w:ascii="Arial" w:eastAsia="Times New Roman" w:hAnsi="Arial" w:cs="Arial"/>
          <w:noProof/>
          <w:sz w:val="24"/>
          <w:szCs w:val="24"/>
          <w:lang w:val="en-GB" w:eastAsia="en-GB"/>
        </w:rPr>
        <w:t>i</w:t>
      </w:r>
      <w:r w:rsidR="0094506F">
        <w:rPr>
          <w:rFonts w:ascii="Arial" w:eastAsia="Times New Roman" w:hAnsi="Arial" w:cs="Arial"/>
          <w:noProof/>
          <w:sz w:val="24"/>
          <w:szCs w:val="24"/>
          <w:lang w:val="en-GB" w:eastAsia="en-GB"/>
        </w:rPr>
        <w:t>c</w:t>
      </w:r>
      <w:r>
        <w:rPr>
          <w:rFonts w:ascii="Arial" w:eastAsia="Times New Roman" w:hAnsi="Arial" w:cs="Arial"/>
          <w:noProof/>
          <w:sz w:val="24"/>
          <w:szCs w:val="24"/>
          <w:lang w:val="en-GB" w:eastAsia="en-GB"/>
        </w:rPr>
        <w:t>ant, is unable to contest, were meagre</w:t>
      </w:r>
      <w:r w:rsidR="002B6991">
        <w:rPr>
          <w:rFonts w:ascii="Arial" w:eastAsia="Times New Roman" w:hAnsi="Arial" w:cs="Arial"/>
          <w:noProof/>
          <w:sz w:val="24"/>
          <w:szCs w:val="24"/>
          <w:lang w:val="en-GB" w:eastAsia="en-GB"/>
        </w:rPr>
        <w:t xml:space="preserve"> and seem to have been deposited sporadically. </w:t>
      </w:r>
    </w:p>
    <w:p w14:paraId="409E787A" w14:textId="77777777" w:rsidR="002B6991" w:rsidRDefault="002B6991" w:rsidP="005926C6">
      <w:pPr>
        <w:suppressAutoHyphens/>
        <w:spacing w:after="0" w:line="360" w:lineRule="auto"/>
        <w:jc w:val="both"/>
        <w:rPr>
          <w:rFonts w:ascii="Arial" w:eastAsia="Times New Roman" w:hAnsi="Arial" w:cs="Arial"/>
          <w:noProof/>
          <w:sz w:val="24"/>
          <w:szCs w:val="24"/>
          <w:lang w:val="en-GB" w:eastAsia="en-GB"/>
        </w:rPr>
      </w:pPr>
    </w:p>
    <w:p w14:paraId="1A80AD80" w14:textId="70825558" w:rsidR="002B6991" w:rsidRDefault="002B6991"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31</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 am of the considered view that in the court deciding, in such cases, whether the party on whom the onus rests, has met the threshhold, the amount</w:t>
      </w:r>
      <w:r w:rsidR="0094506F">
        <w:rPr>
          <w:rFonts w:ascii="Arial" w:eastAsia="Times New Roman" w:hAnsi="Arial" w:cs="Arial"/>
          <w:noProof/>
          <w:sz w:val="24"/>
          <w:szCs w:val="24"/>
          <w:lang w:val="en-GB" w:eastAsia="en-GB"/>
        </w:rPr>
        <w:t>s</w:t>
      </w:r>
      <w:r>
        <w:rPr>
          <w:rFonts w:ascii="Arial" w:eastAsia="Times New Roman" w:hAnsi="Arial" w:cs="Arial"/>
          <w:noProof/>
          <w:sz w:val="24"/>
          <w:szCs w:val="24"/>
          <w:lang w:val="en-GB" w:eastAsia="en-GB"/>
        </w:rPr>
        <w:t xml:space="preserve"> deposited</w:t>
      </w:r>
      <w:r w:rsidR="0094506F">
        <w:rPr>
          <w:rFonts w:ascii="Arial" w:eastAsia="Times New Roman" w:hAnsi="Arial" w:cs="Arial"/>
          <w:noProof/>
          <w:sz w:val="24"/>
          <w:szCs w:val="24"/>
          <w:lang w:val="en-GB" w:eastAsia="en-GB"/>
        </w:rPr>
        <w:t xml:space="preserve"> at each time</w:t>
      </w:r>
      <w:r>
        <w:rPr>
          <w:rFonts w:ascii="Arial" w:eastAsia="Times New Roman" w:hAnsi="Arial" w:cs="Arial"/>
          <w:noProof/>
          <w:sz w:val="24"/>
          <w:szCs w:val="24"/>
          <w:lang w:val="en-GB" w:eastAsia="en-GB"/>
        </w:rPr>
        <w:t xml:space="preserve">, the regularity with which the amounts are deposited, </w:t>
      </w:r>
      <w:r w:rsidR="009F2C08">
        <w:rPr>
          <w:rFonts w:ascii="Arial" w:eastAsia="Times New Roman" w:hAnsi="Arial" w:cs="Arial"/>
          <w:noProof/>
          <w:sz w:val="24"/>
          <w:szCs w:val="24"/>
          <w:lang w:val="en-GB" w:eastAsia="en-GB"/>
        </w:rPr>
        <w:t xml:space="preserve">or withdrawn, </w:t>
      </w:r>
      <w:r>
        <w:rPr>
          <w:rFonts w:ascii="Arial" w:eastAsia="Times New Roman" w:hAnsi="Arial" w:cs="Arial"/>
          <w:noProof/>
          <w:sz w:val="24"/>
          <w:szCs w:val="24"/>
          <w:lang w:val="en-GB" w:eastAsia="en-GB"/>
        </w:rPr>
        <w:t>where applicable, may go some way in answering the all-important question. In the normal course of criminal end</w:t>
      </w:r>
      <w:r w:rsidR="0094506F">
        <w:rPr>
          <w:rFonts w:ascii="Arial" w:eastAsia="Times New Roman" w:hAnsi="Arial" w:cs="Arial"/>
          <w:noProof/>
          <w:sz w:val="24"/>
          <w:szCs w:val="24"/>
          <w:lang w:val="en-GB" w:eastAsia="en-GB"/>
        </w:rPr>
        <w:t>e</w:t>
      </w:r>
      <w:r>
        <w:rPr>
          <w:rFonts w:ascii="Arial" w:eastAsia="Times New Roman" w:hAnsi="Arial" w:cs="Arial"/>
          <w:noProof/>
          <w:sz w:val="24"/>
          <w:szCs w:val="24"/>
          <w:lang w:val="en-GB" w:eastAsia="en-GB"/>
        </w:rPr>
        <w:t xml:space="preserve">avour, amounts which are the subject of money laundering and such other offences, are </w:t>
      </w:r>
      <w:r w:rsidR="00DE3E33">
        <w:rPr>
          <w:rFonts w:ascii="Arial" w:eastAsia="Times New Roman" w:hAnsi="Arial" w:cs="Arial"/>
          <w:noProof/>
          <w:sz w:val="24"/>
          <w:szCs w:val="24"/>
          <w:lang w:val="en-GB" w:eastAsia="en-GB"/>
        </w:rPr>
        <w:t xml:space="preserve">usually </w:t>
      </w:r>
      <w:r>
        <w:rPr>
          <w:rFonts w:ascii="Arial" w:eastAsia="Times New Roman" w:hAnsi="Arial" w:cs="Arial"/>
          <w:noProof/>
          <w:sz w:val="24"/>
          <w:szCs w:val="24"/>
          <w:lang w:val="en-GB" w:eastAsia="en-GB"/>
        </w:rPr>
        <w:t>huge amounts that would, even with the bank, where concerned, arouse a suspicion as to the source and its legality.</w:t>
      </w:r>
      <w:r w:rsidR="00DE3E33">
        <w:rPr>
          <w:rFonts w:ascii="Arial" w:eastAsia="Times New Roman" w:hAnsi="Arial" w:cs="Arial"/>
          <w:noProof/>
          <w:sz w:val="24"/>
          <w:szCs w:val="24"/>
          <w:lang w:val="en-GB" w:eastAsia="en-GB"/>
        </w:rPr>
        <w:t xml:space="preserve"> It is such large amounts</w:t>
      </w:r>
      <w:r w:rsidR="00AA202F">
        <w:rPr>
          <w:rFonts w:ascii="Arial" w:eastAsia="Times New Roman" w:hAnsi="Arial" w:cs="Arial"/>
          <w:noProof/>
          <w:sz w:val="24"/>
          <w:szCs w:val="24"/>
          <w:lang w:val="en-GB" w:eastAsia="en-GB"/>
        </w:rPr>
        <w:t>, reasonably suspected to be connected to criminal activities,</w:t>
      </w:r>
      <w:r w:rsidR="00DE3E33">
        <w:rPr>
          <w:rFonts w:ascii="Arial" w:eastAsia="Times New Roman" w:hAnsi="Arial" w:cs="Arial"/>
          <w:noProof/>
          <w:sz w:val="24"/>
          <w:szCs w:val="24"/>
          <w:lang w:val="en-GB" w:eastAsia="en-GB"/>
        </w:rPr>
        <w:t xml:space="preserve"> that POCA was primarily designed to deal with and</w:t>
      </w:r>
      <w:r w:rsidR="00AA202F">
        <w:rPr>
          <w:rFonts w:ascii="Arial" w:eastAsia="Times New Roman" w:hAnsi="Arial" w:cs="Arial"/>
          <w:noProof/>
          <w:sz w:val="24"/>
          <w:szCs w:val="24"/>
          <w:lang w:val="en-GB" w:eastAsia="en-GB"/>
        </w:rPr>
        <w:t xml:space="preserve"> to</w:t>
      </w:r>
      <w:r w:rsidR="00DE3E33">
        <w:rPr>
          <w:rFonts w:ascii="Arial" w:eastAsia="Times New Roman" w:hAnsi="Arial" w:cs="Arial"/>
          <w:noProof/>
          <w:sz w:val="24"/>
          <w:szCs w:val="24"/>
          <w:lang w:val="en-GB" w:eastAsia="en-GB"/>
        </w:rPr>
        <w:t xml:space="preserve"> have</w:t>
      </w:r>
      <w:r w:rsidR="00AA202F">
        <w:rPr>
          <w:rFonts w:ascii="Arial" w:eastAsia="Times New Roman" w:hAnsi="Arial" w:cs="Arial"/>
          <w:noProof/>
          <w:sz w:val="24"/>
          <w:szCs w:val="24"/>
          <w:lang w:val="en-GB" w:eastAsia="en-GB"/>
        </w:rPr>
        <w:t xml:space="preserve"> eventually</w:t>
      </w:r>
      <w:r w:rsidR="00DE3E33">
        <w:rPr>
          <w:rFonts w:ascii="Arial" w:eastAsia="Times New Roman" w:hAnsi="Arial" w:cs="Arial"/>
          <w:noProof/>
          <w:sz w:val="24"/>
          <w:szCs w:val="24"/>
          <w:lang w:val="en-GB" w:eastAsia="en-GB"/>
        </w:rPr>
        <w:t xml:space="preserve"> forfetied to the State. </w:t>
      </w:r>
    </w:p>
    <w:p w14:paraId="558CBE6C" w14:textId="77777777" w:rsidR="002B6991" w:rsidRDefault="002B6991" w:rsidP="005926C6">
      <w:pPr>
        <w:suppressAutoHyphens/>
        <w:spacing w:after="0" w:line="360" w:lineRule="auto"/>
        <w:jc w:val="both"/>
        <w:rPr>
          <w:rFonts w:ascii="Arial" w:eastAsia="Times New Roman" w:hAnsi="Arial" w:cs="Arial"/>
          <w:noProof/>
          <w:sz w:val="24"/>
          <w:szCs w:val="24"/>
          <w:lang w:val="en-GB" w:eastAsia="en-GB"/>
        </w:rPr>
      </w:pPr>
    </w:p>
    <w:p w14:paraId="1A8AF423" w14:textId="6FC8E552" w:rsidR="0002136C" w:rsidRDefault="00A5693B"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32</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w:t>
      </w:r>
      <w:r w:rsidR="002B6991">
        <w:rPr>
          <w:rFonts w:ascii="Arial" w:eastAsia="Times New Roman" w:hAnsi="Arial" w:cs="Arial"/>
          <w:noProof/>
          <w:sz w:val="24"/>
          <w:szCs w:val="24"/>
          <w:lang w:val="en-GB" w:eastAsia="en-GB"/>
        </w:rPr>
        <w:t>n the instant case,</w:t>
      </w:r>
      <w:r w:rsidR="009F2C08">
        <w:rPr>
          <w:rFonts w:ascii="Arial" w:eastAsia="Times New Roman" w:hAnsi="Arial" w:cs="Arial"/>
          <w:noProof/>
          <w:sz w:val="24"/>
          <w:szCs w:val="24"/>
          <w:lang w:val="en-GB" w:eastAsia="en-GB"/>
        </w:rPr>
        <w:t xml:space="preserve"> the respondent’s case that the and his friends</w:t>
      </w:r>
      <w:r w:rsidR="002B6991">
        <w:rPr>
          <w:rFonts w:ascii="Arial" w:eastAsia="Times New Roman" w:hAnsi="Arial" w:cs="Arial"/>
          <w:noProof/>
          <w:sz w:val="24"/>
          <w:szCs w:val="24"/>
          <w:lang w:val="en-GB" w:eastAsia="en-GB"/>
        </w:rPr>
        <w:t xml:space="preserve"> had a partnership cannot be gainsaid and having regard to the manner in which the account was operated, it is quite conceivable, on the balance, that the respondent’s version passes muster, on the probabilities. </w:t>
      </w:r>
      <w:r w:rsidR="00DE3E33">
        <w:rPr>
          <w:rFonts w:ascii="Arial" w:eastAsia="Times New Roman" w:hAnsi="Arial" w:cs="Arial"/>
          <w:noProof/>
          <w:sz w:val="24"/>
          <w:szCs w:val="24"/>
          <w:lang w:val="en-GB" w:eastAsia="en-GB"/>
        </w:rPr>
        <w:t>This, in my view, should lead to a conclusion that the respondent ha</w:t>
      </w:r>
      <w:r w:rsidR="009F2C08">
        <w:rPr>
          <w:rFonts w:ascii="Arial" w:eastAsia="Times New Roman" w:hAnsi="Arial" w:cs="Arial"/>
          <w:noProof/>
          <w:sz w:val="24"/>
          <w:szCs w:val="24"/>
          <w:lang w:val="en-GB" w:eastAsia="en-GB"/>
        </w:rPr>
        <w:t>s discagrhed the onus thrust upo</w:t>
      </w:r>
      <w:r w:rsidR="00DE3E33">
        <w:rPr>
          <w:rFonts w:ascii="Arial" w:eastAsia="Times New Roman" w:hAnsi="Arial" w:cs="Arial"/>
          <w:noProof/>
          <w:sz w:val="24"/>
          <w:szCs w:val="24"/>
          <w:lang w:val="en-GB" w:eastAsia="en-GB"/>
        </w:rPr>
        <w:t>n him.</w:t>
      </w:r>
    </w:p>
    <w:p w14:paraId="569051C9" w14:textId="77777777" w:rsidR="00DE3E33" w:rsidRDefault="00DE3E33" w:rsidP="005926C6">
      <w:pPr>
        <w:suppressAutoHyphens/>
        <w:spacing w:after="0" w:line="360" w:lineRule="auto"/>
        <w:jc w:val="both"/>
        <w:rPr>
          <w:rFonts w:ascii="Arial" w:eastAsia="Times New Roman" w:hAnsi="Arial" w:cs="Arial"/>
          <w:noProof/>
          <w:sz w:val="24"/>
          <w:szCs w:val="24"/>
          <w:lang w:val="en-GB" w:eastAsia="en-GB"/>
        </w:rPr>
      </w:pPr>
    </w:p>
    <w:p w14:paraId="5FC49BCF" w14:textId="5C851820" w:rsidR="002B6991" w:rsidRDefault="002B6991"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33</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It must also be taken into account that pieces of legislation that serve to diminish the rights of persons, including the right to property, must be restrictively interpreted in favour of the right-holder. In the instant case, there is no indication that the partnership was engaged in any illegal activity, which would explain its positive balance in the Bank.</w:t>
      </w:r>
      <w:r w:rsidR="00627BD6">
        <w:rPr>
          <w:rFonts w:ascii="Arial" w:eastAsia="Times New Roman" w:hAnsi="Arial" w:cs="Arial"/>
          <w:noProof/>
          <w:sz w:val="24"/>
          <w:szCs w:val="24"/>
          <w:lang w:val="en-GB" w:eastAsia="en-GB"/>
        </w:rPr>
        <w:t xml:space="preserve"> The respondent states on oath that the amount deposited, was from the contributions of members. There is no reasonable basis for concluding that the amounts deposited</w:t>
      </w:r>
      <w:r w:rsidR="00A5693B">
        <w:rPr>
          <w:rFonts w:ascii="Arial" w:eastAsia="Times New Roman" w:hAnsi="Arial" w:cs="Arial"/>
          <w:noProof/>
          <w:sz w:val="24"/>
          <w:szCs w:val="24"/>
          <w:lang w:val="en-GB" w:eastAsia="en-GB"/>
        </w:rPr>
        <w:t>, in view of the fact that they were measly,</w:t>
      </w:r>
      <w:r w:rsidR="00627BD6">
        <w:rPr>
          <w:rFonts w:ascii="Arial" w:eastAsia="Times New Roman" w:hAnsi="Arial" w:cs="Arial"/>
          <w:noProof/>
          <w:sz w:val="24"/>
          <w:szCs w:val="24"/>
          <w:lang w:val="en-GB" w:eastAsia="en-GB"/>
        </w:rPr>
        <w:t xml:space="preserve"> could or were likely to be the proceeds of unlawful activity, as stated earlier.</w:t>
      </w:r>
    </w:p>
    <w:p w14:paraId="149A3DC7" w14:textId="77777777" w:rsidR="00627BD6" w:rsidRDefault="00627BD6" w:rsidP="005926C6">
      <w:pPr>
        <w:suppressAutoHyphens/>
        <w:spacing w:after="0" w:line="360" w:lineRule="auto"/>
        <w:jc w:val="both"/>
        <w:rPr>
          <w:rFonts w:ascii="Arial" w:eastAsia="Times New Roman" w:hAnsi="Arial" w:cs="Arial"/>
          <w:noProof/>
          <w:sz w:val="24"/>
          <w:szCs w:val="24"/>
          <w:lang w:val="en-GB" w:eastAsia="en-GB"/>
        </w:rPr>
      </w:pPr>
    </w:p>
    <w:p w14:paraId="7C40AC25" w14:textId="09126E8F" w:rsidR="00627BD6" w:rsidRDefault="00627BD6"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552830">
        <w:rPr>
          <w:rFonts w:ascii="Arial" w:eastAsia="Times New Roman" w:hAnsi="Arial" w:cs="Arial"/>
          <w:noProof/>
          <w:sz w:val="24"/>
          <w:szCs w:val="24"/>
          <w:lang w:val="en-GB" w:eastAsia="en-GB"/>
        </w:rPr>
        <w:t>34</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r>
      <w:r w:rsidR="00A5693B">
        <w:rPr>
          <w:rFonts w:ascii="Arial" w:eastAsia="Times New Roman" w:hAnsi="Arial" w:cs="Arial"/>
          <w:noProof/>
          <w:sz w:val="24"/>
          <w:szCs w:val="24"/>
          <w:lang w:val="en-GB" w:eastAsia="en-GB"/>
        </w:rPr>
        <w:t>Turning to the latter part of s 63 (2)(</w:t>
      </w:r>
      <w:r w:rsidR="00A5693B" w:rsidRPr="00A5693B">
        <w:rPr>
          <w:rFonts w:ascii="Arial" w:eastAsia="Times New Roman" w:hAnsi="Arial" w:cs="Arial"/>
          <w:i/>
          <w:noProof/>
          <w:sz w:val="24"/>
          <w:szCs w:val="24"/>
          <w:lang w:val="en-GB" w:eastAsia="en-GB"/>
        </w:rPr>
        <w:t>b</w:t>
      </w:r>
      <w:r w:rsidR="00A5693B">
        <w:rPr>
          <w:rFonts w:ascii="Arial" w:eastAsia="Times New Roman" w:hAnsi="Arial" w:cs="Arial"/>
          <w:noProof/>
          <w:sz w:val="24"/>
          <w:szCs w:val="24"/>
          <w:lang w:val="en-GB" w:eastAsia="en-GB"/>
        </w:rPr>
        <w:t xml:space="preserve">), </w:t>
      </w:r>
      <w:r w:rsidRPr="00A5693B">
        <w:rPr>
          <w:rFonts w:ascii="Arial" w:eastAsia="Times New Roman" w:hAnsi="Arial" w:cs="Arial"/>
          <w:noProof/>
          <w:sz w:val="24"/>
          <w:szCs w:val="24"/>
          <w:lang w:val="en-GB" w:eastAsia="en-GB"/>
        </w:rPr>
        <w:t>I</w:t>
      </w:r>
      <w:r>
        <w:rPr>
          <w:rFonts w:ascii="Arial" w:eastAsia="Times New Roman" w:hAnsi="Arial" w:cs="Arial"/>
          <w:noProof/>
          <w:sz w:val="24"/>
          <w:szCs w:val="24"/>
          <w:lang w:val="en-GB" w:eastAsia="en-GB"/>
        </w:rPr>
        <w:t xml:space="preserve"> am also of the considered view, on the facts</w:t>
      </w:r>
      <w:r w:rsidR="009F2C08">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 xml:space="preserve"> that there is no evidence that suggests tha</w:t>
      </w:r>
      <w:r w:rsidR="00DE3E33">
        <w:rPr>
          <w:rFonts w:ascii="Arial" w:eastAsia="Times New Roman" w:hAnsi="Arial" w:cs="Arial"/>
          <w:noProof/>
          <w:sz w:val="24"/>
          <w:szCs w:val="24"/>
          <w:lang w:val="en-GB" w:eastAsia="en-GB"/>
        </w:rPr>
        <w:t>t the partners of the Club</w:t>
      </w:r>
      <w:r w:rsidR="0094506F">
        <w:rPr>
          <w:rFonts w:ascii="Arial" w:eastAsia="Times New Roman" w:hAnsi="Arial" w:cs="Arial"/>
          <w:noProof/>
          <w:sz w:val="24"/>
          <w:szCs w:val="24"/>
          <w:lang w:val="en-GB" w:eastAsia="en-GB"/>
        </w:rPr>
        <w:t xml:space="preserve"> knew or had </w:t>
      </w:r>
      <w:r>
        <w:rPr>
          <w:rFonts w:ascii="Arial" w:eastAsia="Times New Roman" w:hAnsi="Arial" w:cs="Arial"/>
          <w:noProof/>
          <w:sz w:val="24"/>
          <w:szCs w:val="24"/>
          <w:lang w:val="en-GB" w:eastAsia="en-GB"/>
        </w:rPr>
        <w:t xml:space="preserve"> reasonable grounds to believe that the amount deposited by Mr. Thomas was the proceeds of unlawful activities. I accordingly find that the respondent has met </w:t>
      </w:r>
      <w:r w:rsidR="00A5693B">
        <w:rPr>
          <w:rFonts w:ascii="Arial" w:eastAsia="Times New Roman" w:hAnsi="Arial" w:cs="Arial"/>
          <w:noProof/>
          <w:sz w:val="24"/>
          <w:szCs w:val="24"/>
          <w:lang w:val="en-GB" w:eastAsia="en-GB"/>
        </w:rPr>
        <w:t>both the</w:t>
      </w:r>
      <w:r>
        <w:rPr>
          <w:rFonts w:ascii="Arial" w:eastAsia="Times New Roman" w:hAnsi="Arial" w:cs="Arial"/>
          <w:noProof/>
          <w:sz w:val="24"/>
          <w:szCs w:val="24"/>
          <w:lang w:val="en-GB" w:eastAsia="en-GB"/>
        </w:rPr>
        <w:t xml:space="preserve"> jurisdictional requirements of s 63(2) above.</w:t>
      </w:r>
    </w:p>
    <w:p w14:paraId="4AD7414C" w14:textId="77777777" w:rsidR="00DE3E33" w:rsidRDefault="00DE3E33" w:rsidP="005926C6">
      <w:pPr>
        <w:suppressAutoHyphens/>
        <w:spacing w:after="0" w:line="360" w:lineRule="auto"/>
        <w:jc w:val="both"/>
        <w:rPr>
          <w:rFonts w:ascii="Arial" w:eastAsia="Times New Roman" w:hAnsi="Arial" w:cs="Arial"/>
          <w:noProof/>
          <w:sz w:val="24"/>
          <w:szCs w:val="24"/>
          <w:lang w:val="en-GB" w:eastAsia="en-GB"/>
        </w:rPr>
      </w:pPr>
    </w:p>
    <w:p w14:paraId="3EF0D2F5" w14:textId="5200DA53" w:rsidR="00DE3E33" w:rsidRDefault="00DE3E33"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[35]</w:t>
      </w:r>
      <w:r>
        <w:rPr>
          <w:rFonts w:ascii="Arial" w:eastAsia="Times New Roman" w:hAnsi="Arial" w:cs="Arial"/>
          <w:noProof/>
          <w:sz w:val="24"/>
          <w:szCs w:val="24"/>
          <w:lang w:val="en-GB" w:eastAsia="en-GB"/>
        </w:rPr>
        <w:tab/>
        <w:t>As I draw to a close, it is important to underscore a point made earlier</w:t>
      </w:r>
      <w:r w:rsidR="009F2C08">
        <w:rPr>
          <w:rFonts w:ascii="Arial" w:eastAsia="Times New Roman" w:hAnsi="Arial" w:cs="Arial"/>
          <w:noProof/>
          <w:sz w:val="24"/>
          <w:szCs w:val="24"/>
          <w:lang w:val="en-GB" w:eastAsia="en-GB"/>
        </w:rPr>
        <w:t xml:space="preserve"> about POCA. It can be conveyed</w:t>
      </w:r>
      <w:r>
        <w:rPr>
          <w:rFonts w:ascii="Arial" w:eastAsia="Times New Roman" w:hAnsi="Arial" w:cs="Arial"/>
          <w:noProof/>
          <w:sz w:val="24"/>
          <w:szCs w:val="24"/>
          <w:lang w:val="en-GB" w:eastAsia="en-GB"/>
        </w:rPr>
        <w:t xml:space="preserve"> no better than the sentiments expressed by Van Der Westhuizen J in </w:t>
      </w:r>
      <w:r>
        <w:rPr>
          <w:rFonts w:ascii="Arial" w:eastAsia="Times New Roman" w:hAnsi="Arial" w:cs="Arial"/>
          <w:i/>
          <w:noProof/>
          <w:sz w:val="24"/>
          <w:szCs w:val="24"/>
          <w:lang w:val="en-GB" w:eastAsia="en-GB"/>
        </w:rPr>
        <w:t>Fraser v Absa Bank Ltd</w:t>
      </w:r>
      <w:r w:rsidR="005E7BDA">
        <w:rPr>
          <w:rFonts w:ascii="Arial" w:eastAsia="Times New Roman" w:hAnsi="Arial" w:cs="Arial"/>
          <w:i/>
          <w:noProof/>
          <w:sz w:val="24"/>
          <w:szCs w:val="24"/>
          <w:lang w:val="en-GB" w:eastAsia="en-GB"/>
        </w:rPr>
        <w:t>,</w:t>
      </w:r>
      <w:r>
        <w:rPr>
          <w:rStyle w:val="FootnoteReference"/>
          <w:rFonts w:ascii="Arial" w:eastAsia="Times New Roman" w:hAnsi="Arial" w:cs="Arial"/>
          <w:i/>
          <w:noProof/>
          <w:sz w:val="24"/>
          <w:szCs w:val="24"/>
          <w:lang w:val="en-GB" w:eastAsia="en-GB"/>
        </w:rPr>
        <w:footnoteReference w:id="5"/>
      </w:r>
      <w:r>
        <w:rPr>
          <w:rFonts w:ascii="Arial" w:eastAsia="Times New Roman" w:hAnsi="Arial" w:cs="Arial"/>
          <w:i/>
          <w:noProof/>
          <w:sz w:val="24"/>
          <w:szCs w:val="24"/>
          <w:lang w:val="en-GB" w:eastAsia="en-GB"/>
        </w:rPr>
        <w:t xml:space="preserve"> </w:t>
      </w:r>
      <w:r w:rsidR="005E7BDA">
        <w:rPr>
          <w:rFonts w:ascii="Arial" w:eastAsia="Times New Roman" w:hAnsi="Arial" w:cs="Arial"/>
          <w:noProof/>
          <w:sz w:val="24"/>
          <w:szCs w:val="24"/>
          <w:lang w:val="en-GB" w:eastAsia="en-GB"/>
        </w:rPr>
        <w:t>where the learned Judge, writing for the majority of the Consitutional Court of South Africa, said:</w:t>
      </w:r>
    </w:p>
    <w:p w14:paraId="23282726" w14:textId="77777777" w:rsidR="005E7BDA" w:rsidRDefault="005E7BDA" w:rsidP="005926C6">
      <w:pPr>
        <w:suppressAutoHyphens/>
        <w:spacing w:after="0" w:line="360" w:lineRule="auto"/>
        <w:jc w:val="both"/>
        <w:rPr>
          <w:rFonts w:ascii="Arial" w:eastAsia="Times New Roman" w:hAnsi="Arial" w:cs="Arial"/>
          <w:noProof/>
          <w:sz w:val="24"/>
          <w:szCs w:val="24"/>
          <w:lang w:val="en-GB" w:eastAsia="en-GB"/>
        </w:rPr>
      </w:pPr>
    </w:p>
    <w:p w14:paraId="16C181BD" w14:textId="59771451" w:rsidR="005E7BDA" w:rsidRDefault="005E7BDA" w:rsidP="005926C6">
      <w:pPr>
        <w:suppressAutoHyphens/>
        <w:spacing w:after="0" w:line="360" w:lineRule="auto"/>
        <w:jc w:val="both"/>
        <w:rPr>
          <w:rFonts w:ascii="Arial" w:eastAsia="Times New Roman" w:hAnsi="Arial" w:cs="Arial"/>
          <w:noProof/>
          <w:lang w:val="en-GB" w:eastAsia="en-GB"/>
        </w:rPr>
      </w:pPr>
      <w:r>
        <w:rPr>
          <w:rFonts w:ascii="Arial" w:eastAsia="Times New Roman" w:hAnsi="Arial" w:cs="Arial"/>
          <w:noProof/>
          <w:sz w:val="24"/>
          <w:szCs w:val="24"/>
          <w:lang w:val="en-GB" w:eastAsia="en-GB"/>
        </w:rPr>
        <w:tab/>
        <w:t>‘</w:t>
      </w:r>
      <w:r>
        <w:rPr>
          <w:rFonts w:ascii="Arial" w:eastAsia="Times New Roman" w:hAnsi="Arial" w:cs="Arial"/>
          <w:noProof/>
          <w:lang w:val="en-GB" w:eastAsia="en-GB"/>
        </w:rPr>
        <w:t xml:space="preserve">POCA plays a legitimate and important role in combating crime. It could however also have potentially far-reaching and abusive effects, if not interpreted and applied </w:t>
      </w:r>
      <w:r w:rsidR="009F2C08">
        <w:rPr>
          <w:rFonts w:ascii="Arial" w:eastAsia="Times New Roman" w:hAnsi="Arial" w:cs="Arial"/>
          <w:noProof/>
          <w:lang w:val="en-GB" w:eastAsia="en-GB"/>
        </w:rPr>
        <w:t xml:space="preserve">in </w:t>
      </w:r>
      <w:r>
        <w:rPr>
          <w:rFonts w:ascii="Arial" w:eastAsia="Times New Roman" w:hAnsi="Arial" w:cs="Arial"/>
          <w:noProof/>
          <w:lang w:val="en-GB" w:eastAsia="en-GB"/>
        </w:rPr>
        <w:t>accordance with the rights and values protected in the Constitution. Moreover, it is relatively new in the statute book and there is not an abudance of jurispr</w:t>
      </w:r>
      <w:r w:rsidR="009F2C08">
        <w:rPr>
          <w:rFonts w:ascii="Arial" w:eastAsia="Times New Roman" w:hAnsi="Arial" w:cs="Arial"/>
          <w:noProof/>
          <w:lang w:val="en-GB" w:eastAsia="en-GB"/>
        </w:rPr>
        <w:t>udence to enlighten and guide i</w:t>
      </w:r>
      <w:r>
        <w:rPr>
          <w:rFonts w:ascii="Arial" w:eastAsia="Times New Roman" w:hAnsi="Arial" w:cs="Arial"/>
          <w:noProof/>
          <w:lang w:val="en-GB" w:eastAsia="en-GB"/>
        </w:rPr>
        <w:t>t</w:t>
      </w:r>
      <w:r w:rsidR="009F2C08">
        <w:rPr>
          <w:rFonts w:ascii="Arial" w:eastAsia="Times New Roman" w:hAnsi="Arial" w:cs="Arial"/>
          <w:noProof/>
          <w:lang w:val="en-GB" w:eastAsia="en-GB"/>
        </w:rPr>
        <w:t>s</w:t>
      </w:r>
      <w:r>
        <w:rPr>
          <w:rFonts w:ascii="Arial" w:eastAsia="Times New Roman" w:hAnsi="Arial" w:cs="Arial"/>
          <w:noProof/>
          <w:lang w:val="en-GB" w:eastAsia="en-GB"/>
        </w:rPr>
        <w:t xml:space="preserve"> interpreation and application.’</w:t>
      </w:r>
    </w:p>
    <w:p w14:paraId="07E91453" w14:textId="77777777" w:rsidR="005E7BDA" w:rsidRDefault="005E7BDA" w:rsidP="005926C6">
      <w:pPr>
        <w:suppressAutoHyphens/>
        <w:spacing w:after="0" w:line="360" w:lineRule="auto"/>
        <w:jc w:val="both"/>
        <w:rPr>
          <w:rFonts w:ascii="Arial" w:eastAsia="Times New Roman" w:hAnsi="Arial" w:cs="Arial"/>
          <w:noProof/>
          <w:lang w:val="en-GB" w:eastAsia="en-GB"/>
        </w:rPr>
      </w:pPr>
    </w:p>
    <w:p w14:paraId="365A221F" w14:textId="77777777" w:rsidR="00907DC8" w:rsidRDefault="009F2C08"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[36]</w:t>
      </w:r>
      <w:r>
        <w:rPr>
          <w:rFonts w:ascii="Arial" w:eastAsia="Times New Roman" w:hAnsi="Arial" w:cs="Arial"/>
          <w:noProof/>
          <w:sz w:val="24"/>
          <w:szCs w:val="24"/>
          <w:lang w:val="en-GB" w:eastAsia="en-GB"/>
        </w:rPr>
        <w:tab/>
        <w:t>It is in</w:t>
      </w:r>
      <w:r w:rsidR="005E7BDA">
        <w:rPr>
          <w:rFonts w:ascii="Arial" w:eastAsia="Times New Roman" w:hAnsi="Arial" w:cs="Arial"/>
          <w:noProof/>
          <w:sz w:val="24"/>
          <w:szCs w:val="24"/>
          <w:lang w:val="en-GB" w:eastAsia="en-GB"/>
        </w:rPr>
        <w:t xml:space="preserve"> an attempt to bring the scales between combating crime, on the one hand, and preserving rights protected under the Constitution</w:t>
      </w:r>
      <w:r w:rsidR="00B95C2B">
        <w:rPr>
          <w:rFonts w:ascii="Arial" w:eastAsia="Times New Roman" w:hAnsi="Arial" w:cs="Arial"/>
          <w:noProof/>
          <w:sz w:val="24"/>
          <w:szCs w:val="24"/>
          <w:lang w:val="en-GB" w:eastAsia="en-GB"/>
        </w:rPr>
        <w:t>,</w:t>
      </w:r>
      <w:r w:rsidR="005E7BDA">
        <w:rPr>
          <w:rFonts w:ascii="Arial" w:eastAsia="Times New Roman" w:hAnsi="Arial" w:cs="Arial"/>
          <w:noProof/>
          <w:sz w:val="24"/>
          <w:szCs w:val="24"/>
          <w:lang w:val="en-GB" w:eastAsia="en-GB"/>
        </w:rPr>
        <w:t xml:space="preserve"> </w:t>
      </w:r>
      <w:r>
        <w:rPr>
          <w:rFonts w:ascii="Arial" w:eastAsia="Times New Roman" w:hAnsi="Arial" w:cs="Arial"/>
          <w:noProof/>
          <w:sz w:val="24"/>
          <w:szCs w:val="24"/>
          <w:lang w:val="en-GB" w:eastAsia="en-GB"/>
        </w:rPr>
        <w:t>on the other,</w:t>
      </w:r>
      <w:r w:rsidR="005E7BDA">
        <w:rPr>
          <w:rFonts w:ascii="Arial" w:eastAsia="Times New Roman" w:hAnsi="Arial" w:cs="Arial"/>
          <w:noProof/>
          <w:sz w:val="24"/>
          <w:szCs w:val="24"/>
          <w:lang w:val="en-GB" w:eastAsia="en-GB"/>
        </w:rPr>
        <w:t xml:space="preserve"> </w:t>
      </w:r>
      <w:r>
        <w:rPr>
          <w:rFonts w:ascii="Arial" w:eastAsia="Times New Roman" w:hAnsi="Arial" w:cs="Arial"/>
          <w:noProof/>
          <w:sz w:val="24"/>
          <w:szCs w:val="24"/>
          <w:lang w:val="en-GB" w:eastAsia="en-GB"/>
        </w:rPr>
        <w:t xml:space="preserve">that </w:t>
      </w:r>
      <w:r w:rsidR="005E7BDA">
        <w:rPr>
          <w:rFonts w:ascii="Arial" w:eastAsia="Times New Roman" w:hAnsi="Arial" w:cs="Arial"/>
          <w:noProof/>
          <w:sz w:val="24"/>
          <w:szCs w:val="24"/>
          <w:lang w:val="en-GB" w:eastAsia="en-GB"/>
        </w:rPr>
        <w:t xml:space="preserve">the court has attempted </w:t>
      </w:r>
      <w:r>
        <w:rPr>
          <w:rFonts w:ascii="Arial" w:eastAsia="Times New Roman" w:hAnsi="Arial" w:cs="Arial"/>
          <w:noProof/>
          <w:sz w:val="24"/>
          <w:szCs w:val="24"/>
          <w:lang w:val="en-GB" w:eastAsia="en-GB"/>
        </w:rPr>
        <w:t>to reach some equilibrium</w:t>
      </w:r>
      <w:r w:rsidR="00B95C2B">
        <w:rPr>
          <w:rFonts w:ascii="Arial" w:eastAsia="Times New Roman" w:hAnsi="Arial" w:cs="Arial"/>
          <w:noProof/>
          <w:sz w:val="24"/>
          <w:szCs w:val="24"/>
          <w:lang w:val="en-GB" w:eastAsia="en-GB"/>
        </w:rPr>
        <w:t xml:space="preserve"> in the instant matter. In this regard, the court</w:t>
      </w:r>
      <w:r>
        <w:rPr>
          <w:rFonts w:ascii="Arial" w:eastAsia="Times New Roman" w:hAnsi="Arial" w:cs="Arial"/>
          <w:noProof/>
          <w:sz w:val="24"/>
          <w:szCs w:val="24"/>
          <w:lang w:val="en-GB" w:eastAsia="en-GB"/>
        </w:rPr>
        <w:t xml:space="preserve"> foun</w:t>
      </w:r>
      <w:r w:rsidR="005E7BDA">
        <w:rPr>
          <w:rFonts w:ascii="Arial" w:eastAsia="Times New Roman" w:hAnsi="Arial" w:cs="Arial"/>
          <w:noProof/>
          <w:sz w:val="24"/>
          <w:szCs w:val="24"/>
          <w:lang w:val="en-GB" w:eastAsia="en-GB"/>
        </w:rPr>
        <w:t xml:space="preserve">d that the case of the respondent in the exclusion of interest, meets muster. </w:t>
      </w:r>
    </w:p>
    <w:p w14:paraId="1FFF024A" w14:textId="77777777" w:rsidR="00907DC8" w:rsidRDefault="00907DC8" w:rsidP="005926C6">
      <w:pPr>
        <w:suppressAutoHyphens/>
        <w:spacing w:after="0" w:line="360" w:lineRule="auto"/>
        <w:jc w:val="both"/>
        <w:rPr>
          <w:rFonts w:ascii="Arial" w:eastAsia="Times New Roman" w:hAnsi="Arial" w:cs="Arial"/>
          <w:noProof/>
          <w:sz w:val="24"/>
          <w:szCs w:val="24"/>
          <w:lang w:val="en-GB" w:eastAsia="en-GB"/>
        </w:rPr>
      </w:pPr>
    </w:p>
    <w:p w14:paraId="693F754B" w14:textId="765AE6F6" w:rsidR="005E7BDA" w:rsidRPr="00907DC8" w:rsidRDefault="00907DC8"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[37]</w:t>
      </w:r>
      <w:r>
        <w:rPr>
          <w:rFonts w:ascii="Arial" w:eastAsia="Times New Roman" w:hAnsi="Arial" w:cs="Arial"/>
          <w:noProof/>
          <w:sz w:val="24"/>
          <w:szCs w:val="24"/>
          <w:lang w:val="en-GB" w:eastAsia="en-GB"/>
        </w:rPr>
        <w:tab/>
      </w:r>
      <w:r w:rsidR="005E7BDA">
        <w:rPr>
          <w:rFonts w:ascii="Arial" w:eastAsia="Times New Roman" w:hAnsi="Arial" w:cs="Arial"/>
          <w:noProof/>
          <w:sz w:val="24"/>
          <w:szCs w:val="24"/>
          <w:lang w:val="en-GB" w:eastAsia="en-GB"/>
        </w:rPr>
        <w:t xml:space="preserve">It would smack of a high degree of injustice, if persons in the position of the respondent and his partners, were to lose their property in the circumstances that are attendant </w:t>
      </w:r>
      <w:r w:rsidR="009F2C08">
        <w:rPr>
          <w:rFonts w:ascii="Arial" w:eastAsia="Times New Roman" w:hAnsi="Arial" w:cs="Arial"/>
          <w:noProof/>
          <w:sz w:val="24"/>
          <w:szCs w:val="24"/>
          <w:lang w:val="en-GB" w:eastAsia="en-GB"/>
        </w:rPr>
        <w:t>to this matter. This would especially be so if</w:t>
      </w:r>
      <w:r w:rsidR="00B95C2B">
        <w:rPr>
          <w:rFonts w:ascii="Arial" w:eastAsia="Times New Roman" w:hAnsi="Arial" w:cs="Arial"/>
          <w:noProof/>
          <w:sz w:val="24"/>
          <w:szCs w:val="24"/>
          <w:lang w:val="en-GB" w:eastAsia="en-GB"/>
        </w:rPr>
        <w:t xml:space="preserve"> the</w:t>
      </w:r>
      <w:r w:rsidR="005E7BDA">
        <w:rPr>
          <w:rFonts w:ascii="Arial" w:eastAsia="Times New Roman" w:hAnsi="Arial" w:cs="Arial"/>
          <w:noProof/>
          <w:sz w:val="24"/>
          <w:szCs w:val="24"/>
          <w:lang w:val="en-GB" w:eastAsia="en-GB"/>
        </w:rPr>
        <w:t xml:space="preserve"> evidence</w:t>
      </w:r>
      <w:r w:rsidR="00B95C2B">
        <w:rPr>
          <w:rFonts w:ascii="Arial" w:eastAsia="Times New Roman" w:hAnsi="Arial" w:cs="Arial"/>
          <w:noProof/>
          <w:sz w:val="24"/>
          <w:szCs w:val="24"/>
          <w:lang w:val="en-GB" w:eastAsia="en-GB"/>
        </w:rPr>
        <w:t xml:space="preserve"> </w:t>
      </w:r>
      <w:r w:rsidR="009F2C08">
        <w:rPr>
          <w:rFonts w:ascii="Arial" w:eastAsia="Times New Roman" w:hAnsi="Arial" w:cs="Arial"/>
          <w:noProof/>
          <w:sz w:val="24"/>
          <w:szCs w:val="24"/>
          <w:lang w:val="en-GB" w:eastAsia="en-GB"/>
        </w:rPr>
        <w:t xml:space="preserve">before court </w:t>
      </w:r>
      <w:r w:rsidR="00B95C2B">
        <w:rPr>
          <w:rFonts w:ascii="Arial" w:eastAsia="Times New Roman" w:hAnsi="Arial" w:cs="Arial"/>
          <w:noProof/>
          <w:sz w:val="24"/>
          <w:szCs w:val="24"/>
          <w:lang w:val="en-GB" w:eastAsia="en-GB"/>
        </w:rPr>
        <w:t xml:space="preserve">does not show, </w:t>
      </w:r>
      <w:r w:rsidR="009F2C08">
        <w:rPr>
          <w:rFonts w:ascii="Arial" w:eastAsia="Times New Roman" w:hAnsi="Arial" w:cs="Arial"/>
          <w:noProof/>
          <w:sz w:val="24"/>
          <w:szCs w:val="24"/>
          <w:lang w:val="en-GB" w:eastAsia="en-GB"/>
        </w:rPr>
        <w:t xml:space="preserve">on a balance of probabilities, that </w:t>
      </w:r>
      <w:r w:rsidR="00B95C2B">
        <w:rPr>
          <w:rFonts w:ascii="Arial" w:eastAsia="Times New Roman" w:hAnsi="Arial" w:cs="Arial"/>
          <w:noProof/>
          <w:sz w:val="24"/>
          <w:szCs w:val="24"/>
          <w:lang w:val="en-GB" w:eastAsia="en-GB"/>
        </w:rPr>
        <w:t>on reasonable grounds</w:t>
      </w:r>
      <w:r w:rsidR="009F2C08">
        <w:rPr>
          <w:rFonts w:ascii="Arial" w:eastAsia="Times New Roman" w:hAnsi="Arial" w:cs="Arial"/>
          <w:noProof/>
          <w:sz w:val="24"/>
          <w:szCs w:val="24"/>
          <w:lang w:val="en-GB" w:eastAsia="en-GB"/>
        </w:rPr>
        <w:t>,</w:t>
      </w:r>
      <w:r w:rsidR="005E7BDA">
        <w:rPr>
          <w:rFonts w:ascii="Arial" w:eastAsia="Times New Roman" w:hAnsi="Arial" w:cs="Arial"/>
          <w:noProof/>
          <w:sz w:val="24"/>
          <w:szCs w:val="24"/>
          <w:lang w:val="en-GB" w:eastAsia="en-GB"/>
        </w:rPr>
        <w:t xml:space="preserve"> their knowledge, participation or suspicion</w:t>
      </w:r>
      <w:r w:rsidR="00B95C2B">
        <w:rPr>
          <w:rFonts w:ascii="Arial" w:eastAsia="Times New Roman" w:hAnsi="Arial" w:cs="Arial"/>
          <w:noProof/>
          <w:sz w:val="24"/>
          <w:szCs w:val="24"/>
          <w:lang w:val="en-GB" w:eastAsia="en-GB"/>
        </w:rPr>
        <w:t>, for that matter,</w:t>
      </w:r>
      <w:r w:rsidR="005E7BDA">
        <w:rPr>
          <w:rFonts w:ascii="Arial" w:eastAsia="Times New Roman" w:hAnsi="Arial" w:cs="Arial"/>
          <w:noProof/>
          <w:sz w:val="24"/>
          <w:szCs w:val="24"/>
          <w:lang w:val="en-GB" w:eastAsia="en-GB"/>
        </w:rPr>
        <w:t xml:space="preserve"> that the amount in question, was the proceeds of unlawful activity</w:t>
      </w:r>
      <w:r w:rsidR="009F2C08">
        <w:rPr>
          <w:rFonts w:ascii="Arial" w:eastAsia="Times New Roman" w:hAnsi="Arial" w:cs="Arial"/>
          <w:noProof/>
          <w:sz w:val="24"/>
          <w:szCs w:val="24"/>
          <w:lang w:val="en-GB" w:eastAsia="en-GB"/>
        </w:rPr>
        <w:t>, cannot be excluded</w:t>
      </w:r>
      <w:r w:rsidR="005E7BDA">
        <w:rPr>
          <w:rFonts w:ascii="Arial" w:eastAsia="Times New Roman" w:hAnsi="Arial" w:cs="Arial"/>
          <w:noProof/>
          <w:sz w:val="24"/>
          <w:szCs w:val="24"/>
          <w:lang w:val="en-GB" w:eastAsia="en-GB"/>
        </w:rPr>
        <w:t>.</w:t>
      </w:r>
      <w:r w:rsidR="005E7BDA">
        <w:rPr>
          <w:rFonts w:ascii="Arial" w:eastAsia="Times New Roman" w:hAnsi="Arial" w:cs="Arial"/>
          <w:noProof/>
          <w:lang w:val="en-GB" w:eastAsia="en-GB"/>
        </w:rPr>
        <w:t xml:space="preserve">  </w:t>
      </w:r>
    </w:p>
    <w:p w14:paraId="5818F1C3" w14:textId="77777777" w:rsidR="0002136C" w:rsidRDefault="0002136C" w:rsidP="005926C6">
      <w:pPr>
        <w:suppressAutoHyphens/>
        <w:spacing w:after="0" w:line="360" w:lineRule="auto"/>
        <w:jc w:val="both"/>
        <w:rPr>
          <w:rFonts w:ascii="Arial" w:eastAsia="Times New Roman" w:hAnsi="Arial" w:cs="Arial"/>
          <w:noProof/>
          <w:sz w:val="24"/>
          <w:szCs w:val="24"/>
          <w:lang w:val="en-GB" w:eastAsia="en-GB"/>
        </w:rPr>
      </w:pPr>
    </w:p>
    <w:p w14:paraId="4FFFBC73" w14:textId="77777777" w:rsidR="0005746A" w:rsidRDefault="0005746A" w:rsidP="005926C6">
      <w:pPr>
        <w:suppressAutoHyphens/>
        <w:spacing w:after="0" w:line="360" w:lineRule="auto"/>
        <w:jc w:val="both"/>
        <w:rPr>
          <w:rFonts w:ascii="Arial" w:eastAsia="Times New Roman" w:hAnsi="Arial" w:cs="Arial"/>
          <w:noProof/>
          <w:sz w:val="24"/>
          <w:szCs w:val="24"/>
          <w:u w:val="single"/>
          <w:lang w:val="en-GB" w:eastAsia="en-GB"/>
        </w:rPr>
      </w:pPr>
      <w:r>
        <w:rPr>
          <w:rFonts w:ascii="Arial" w:eastAsia="Times New Roman" w:hAnsi="Arial" w:cs="Arial"/>
          <w:noProof/>
          <w:sz w:val="24"/>
          <w:szCs w:val="24"/>
          <w:u w:val="single"/>
          <w:lang w:val="en-GB" w:eastAsia="en-GB"/>
        </w:rPr>
        <w:t>Conclusion</w:t>
      </w:r>
    </w:p>
    <w:p w14:paraId="20ED7639" w14:textId="77777777" w:rsidR="0005746A" w:rsidRPr="0005746A" w:rsidRDefault="0005746A" w:rsidP="005926C6">
      <w:pPr>
        <w:suppressAutoHyphens/>
        <w:spacing w:after="0" w:line="360" w:lineRule="auto"/>
        <w:jc w:val="both"/>
        <w:rPr>
          <w:rFonts w:ascii="Arial" w:eastAsia="Times New Roman" w:hAnsi="Arial" w:cs="Arial"/>
          <w:noProof/>
          <w:sz w:val="24"/>
          <w:szCs w:val="24"/>
          <w:u w:val="single"/>
          <w:lang w:val="en-GB" w:eastAsia="en-GB"/>
        </w:rPr>
      </w:pPr>
    </w:p>
    <w:p w14:paraId="50DD3881" w14:textId="51E43831" w:rsidR="0002136C" w:rsidRDefault="0002136C"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9F2C08">
        <w:rPr>
          <w:rFonts w:ascii="Arial" w:eastAsia="Times New Roman" w:hAnsi="Arial" w:cs="Arial"/>
          <w:noProof/>
          <w:sz w:val="24"/>
          <w:szCs w:val="24"/>
          <w:lang w:val="en-GB" w:eastAsia="en-GB"/>
        </w:rPr>
        <w:t>38</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r>
      <w:r w:rsidR="00B446C0">
        <w:rPr>
          <w:rFonts w:ascii="Arial" w:eastAsia="Times New Roman" w:hAnsi="Arial" w:cs="Arial"/>
          <w:noProof/>
          <w:sz w:val="24"/>
          <w:szCs w:val="24"/>
          <w:lang w:val="en-GB" w:eastAsia="en-GB"/>
        </w:rPr>
        <w:t xml:space="preserve">This court finds that the respondent has shown, on a balance of probabilities, that the contested amount of N$20 629 was </w:t>
      </w:r>
      <w:r w:rsidR="00627BD6">
        <w:rPr>
          <w:rFonts w:ascii="Arial" w:eastAsia="Times New Roman" w:hAnsi="Arial" w:cs="Arial"/>
          <w:noProof/>
          <w:sz w:val="24"/>
          <w:szCs w:val="24"/>
          <w:lang w:val="en-GB" w:eastAsia="en-GB"/>
        </w:rPr>
        <w:t xml:space="preserve">not </w:t>
      </w:r>
      <w:r w:rsidR="00B446C0">
        <w:rPr>
          <w:rFonts w:ascii="Arial" w:eastAsia="Times New Roman" w:hAnsi="Arial" w:cs="Arial"/>
          <w:noProof/>
          <w:sz w:val="24"/>
          <w:szCs w:val="24"/>
          <w:lang w:val="en-GB" w:eastAsia="en-GB"/>
        </w:rPr>
        <w:t xml:space="preserve">obtained </w:t>
      </w:r>
      <w:r w:rsidR="00627BD6">
        <w:rPr>
          <w:rFonts w:ascii="Arial" w:eastAsia="Times New Roman" w:hAnsi="Arial" w:cs="Arial"/>
          <w:noProof/>
          <w:sz w:val="24"/>
          <w:szCs w:val="24"/>
          <w:lang w:val="en-GB" w:eastAsia="en-GB"/>
        </w:rPr>
        <w:t>il</w:t>
      </w:r>
      <w:r w:rsidR="00B446C0">
        <w:rPr>
          <w:rFonts w:ascii="Arial" w:eastAsia="Times New Roman" w:hAnsi="Arial" w:cs="Arial"/>
          <w:noProof/>
          <w:sz w:val="24"/>
          <w:szCs w:val="24"/>
          <w:lang w:val="en-GB" w:eastAsia="en-GB"/>
        </w:rPr>
        <w:t>legally and that the members of the partnership had no reason</w:t>
      </w:r>
      <w:r w:rsidR="00E74A50">
        <w:rPr>
          <w:rFonts w:ascii="Arial" w:eastAsia="Times New Roman" w:hAnsi="Arial" w:cs="Arial"/>
          <w:noProof/>
          <w:sz w:val="24"/>
          <w:szCs w:val="24"/>
          <w:lang w:val="en-GB" w:eastAsia="en-GB"/>
        </w:rPr>
        <w:t xml:space="preserve"> to believe that the amount of N$40 000 deposited by Mr. Thomas was from proceeds of unlawful activities.</w:t>
      </w:r>
    </w:p>
    <w:p w14:paraId="51CD97DC" w14:textId="77777777" w:rsidR="00E74A50" w:rsidRDefault="00E74A50" w:rsidP="005926C6">
      <w:pPr>
        <w:suppressAutoHyphens/>
        <w:spacing w:after="0" w:line="360" w:lineRule="auto"/>
        <w:jc w:val="both"/>
        <w:rPr>
          <w:rFonts w:ascii="Arial" w:eastAsia="Times New Roman" w:hAnsi="Arial" w:cs="Arial"/>
          <w:noProof/>
          <w:sz w:val="24"/>
          <w:szCs w:val="24"/>
          <w:lang w:val="en-GB" w:eastAsia="en-GB"/>
        </w:rPr>
      </w:pPr>
    </w:p>
    <w:p w14:paraId="5747BB72" w14:textId="77777777" w:rsidR="0005746A" w:rsidRDefault="0005746A" w:rsidP="005926C6">
      <w:pPr>
        <w:suppressAutoHyphens/>
        <w:spacing w:after="0" w:line="360" w:lineRule="auto"/>
        <w:jc w:val="both"/>
        <w:rPr>
          <w:rFonts w:ascii="Arial" w:eastAsia="Times New Roman" w:hAnsi="Arial" w:cs="Arial"/>
          <w:noProof/>
          <w:sz w:val="24"/>
          <w:szCs w:val="24"/>
          <w:u w:val="single"/>
          <w:lang w:val="en-GB" w:eastAsia="en-GB"/>
        </w:rPr>
      </w:pPr>
      <w:r>
        <w:rPr>
          <w:rFonts w:ascii="Arial" w:eastAsia="Times New Roman" w:hAnsi="Arial" w:cs="Arial"/>
          <w:noProof/>
          <w:sz w:val="24"/>
          <w:szCs w:val="24"/>
          <w:u w:val="single"/>
          <w:lang w:val="en-GB" w:eastAsia="en-GB"/>
        </w:rPr>
        <w:t>Order</w:t>
      </w:r>
    </w:p>
    <w:p w14:paraId="75EEED29" w14:textId="77777777" w:rsidR="0005746A" w:rsidRPr="0005746A" w:rsidRDefault="0005746A" w:rsidP="005926C6">
      <w:pPr>
        <w:suppressAutoHyphens/>
        <w:spacing w:after="0" w:line="360" w:lineRule="auto"/>
        <w:jc w:val="both"/>
        <w:rPr>
          <w:rFonts w:ascii="Arial" w:eastAsia="Times New Roman" w:hAnsi="Arial" w:cs="Arial"/>
          <w:noProof/>
          <w:sz w:val="24"/>
          <w:szCs w:val="24"/>
          <w:u w:val="single"/>
          <w:lang w:val="en-GB" w:eastAsia="en-GB"/>
        </w:rPr>
      </w:pPr>
    </w:p>
    <w:p w14:paraId="39D47598" w14:textId="77777777" w:rsidR="005926C6" w:rsidRDefault="00E74A50" w:rsidP="005926C6">
      <w:pPr>
        <w:suppressAutoHyphens/>
        <w:spacing w:after="0" w:line="360" w:lineRule="auto"/>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w:t>
      </w:r>
      <w:r w:rsidR="00B95C2B">
        <w:rPr>
          <w:rFonts w:ascii="Arial" w:eastAsia="Times New Roman" w:hAnsi="Arial" w:cs="Arial"/>
          <w:noProof/>
          <w:sz w:val="24"/>
          <w:szCs w:val="24"/>
          <w:lang w:val="en-GB" w:eastAsia="en-GB"/>
        </w:rPr>
        <w:t>38</w:t>
      </w:r>
      <w:r>
        <w:rPr>
          <w:rFonts w:ascii="Arial" w:eastAsia="Times New Roman" w:hAnsi="Arial" w:cs="Arial"/>
          <w:noProof/>
          <w:sz w:val="24"/>
          <w:szCs w:val="24"/>
          <w:lang w:val="en-GB" w:eastAsia="en-GB"/>
        </w:rPr>
        <w:t>]</w:t>
      </w:r>
      <w:r>
        <w:rPr>
          <w:rFonts w:ascii="Arial" w:eastAsia="Times New Roman" w:hAnsi="Arial" w:cs="Arial"/>
          <w:noProof/>
          <w:sz w:val="24"/>
          <w:szCs w:val="24"/>
          <w:lang w:val="en-GB" w:eastAsia="en-GB"/>
        </w:rPr>
        <w:tab/>
        <w:t xml:space="preserve">Based on the foregoing, the </w:t>
      </w:r>
      <w:r w:rsidR="0026062C">
        <w:rPr>
          <w:rFonts w:ascii="Arial" w:eastAsia="Times New Roman" w:hAnsi="Arial" w:cs="Arial"/>
          <w:noProof/>
          <w:sz w:val="24"/>
          <w:szCs w:val="24"/>
          <w:lang w:val="en-GB" w:eastAsia="en-GB"/>
        </w:rPr>
        <w:t>court makes the following order:</w:t>
      </w:r>
    </w:p>
    <w:p w14:paraId="3B4C9614" w14:textId="77777777" w:rsidR="009F2C08" w:rsidRDefault="009F2C08" w:rsidP="005926C6">
      <w:pPr>
        <w:suppressAutoHyphens/>
        <w:spacing w:after="0" w:line="360" w:lineRule="auto"/>
        <w:jc w:val="both"/>
        <w:rPr>
          <w:rFonts w:ascii="Arial" w:eastAsia="Times New Roman" w:hAnsi="Arial" w:cs="Arial"/>
          <w:noProof/>
          <w:sz w:val="24"/>
          <w:szCs w:val="24"/>
          <w:lang w:val="en-GB" w:eastAsia="en-GB"/>
        </w:rPr>
      </w:pPr>
    </w:p>
    <w:p w14:paraId="480858DD" w14:textId="548030CD" w:rsidR="00A96EBE" w:rsidRPr="00616C42" w:rsidRDefault="00A96EBE"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616C42">
        <w:rPr>
          <w:rFonts w:ascii="Arial" w:eastAsia="Times New Roman" w:hAnsi="Arial" w:cs="Arial"/>
          <w:noProof/>
          <w:sz w:val="24"/>
          <w:szCs w:val="24"/>
          <w:lang w:val="en-GB" w:eastAsia="en-GB"/>
        </w:rPr>
        <w:t>The application for condonation of the late filing of the heads of argument on behalf of the Respondent, is hereby granted.</w:t>
      </w:r>
    </w:p>
    <w:p w14:paraId="232A1D15" w14:textId="77777777" w:rsidR="005926C6" w:rsidRPr="005926C6" w:rsidRDefault="005926C6" w:rsidP="005926C6">
      <w:pPr>
        <w:pStyle w:val="ListParagraph"/>
        <w:suppressAutoHyphens/>
        <w:spacing w:after="0" w:line="360" w:lineRule="auto"/>
        <w:jc w:val="both"/>
        <w:rPr>
          <w:rFonts w:ascii="Arial" w:eastAsia="Times New Roman" w:hAnsi="Arial" w:cs="Arial"/>
          <w:noProof/>
          <w:sz w:val="24"/>
          <w:szCs w:val="24"/>
          <w:lang w:val="en-GB" w:eastAsia="en-GB"/>
        </w:rPr>
      </w:pPr>
    </w:p>
    <w:p w14:paraId="7B8A02D6" w14:textId="03F38B03" w:rsidR="00A96EBE" w:rsidRDefault="0094506F"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Respondent’s Legal Practitioners are ordered to</w:t>
      </w:r>
      <w:r w:rsidR="00A96EBE" w:rsidRPr="005926C6">
        <w:rPr>
          <w:rFonts w:ascii="Arial" w:eastAsia="Times New Roman" w:hAnsi="Arial" w:cs="Arial"/>
          <w:noProof/>
          <w:sz w:val="24"/>
          <w:szCs w:val="24"/>
          <w:lang w:val="en-GB" w:eastAsia="en-GB"/>
        </w:rPr>
        <w:t xml:space="preserve"> pay the costs of the application for condonation</w:t>
      </w:r>
      <w:r w:rsidRPr="005926C6">
        <w:rPr>
          <w:rFonts w:ascii="Arial" w:eastAsia="Times New Roman" w:hAnsi="Arial" w:cs="Arial"/>
          <w:noProof/>
          <w:sz w:val="24"/>
          <w:szCs w:val="24"/>
          <w:lang w:val="en-GB" w:eastAsia="en-GB"/>
        </w:rPr>
        <w:t xml:space="preserve"> </w:t>
      </w:r>
      <w:r w:rsidRPr="005926C6">
        <w:rPr>
          <w:rFonts w:ascii="Arial" w:eastAsia="Times New Roman" w:hAnsi="Arial" w:cs="Arial"/>
          <w:i/>
          <w:noProof/>
          <w:sz w:val="24"/>
          <w:szCs w:val="24"/>
          <w:lang w:val="en-GB" w:eastAsia="en-GB"/>
        </w:rPr>
        <w:t>de bonis propiis</w:t>
      </w:r>
      <w:r w:rsidR="00A96EBE" w:rsidRPr="005926C6">
        <w:rPr>
          <w:rFonts w:ascii="Arial" w:eastAsia="Times New Roman" w:hAnsi="Arial" w:cs="Arial"/>
          <w:noProof/>
          <w:sz w:val="24"/>
          <w:szCs w:val="24"/>
          <w:lang w:val="en-GB" w:eastAsia="en-GB"/>
        </w:rPr>
        <w:t xml:space="preserve">. </w:t>
      </w:r>
    </w:p>
    <w:p w14:paraId="3DB6A6CF" w14:textId="77777777" w:rsidR="005926C6" w:rsidRPr="005926C6" w:rsidRDefault="005926C6" w:rsidP="005926C6">
      <w:pPr>
        <w:pStyle w:val="ListParagraph"/>
        <w:suppressAutoHyphens/>
        <w:spacing w:after="0" w:line="360" w:lineRule="auto"/>
        <w:jc w:val="both"/>
        <w:rPr>
          <w:rFonts w:ascii="Arial" w:eastAsia="Times New Roman" w:hAnsi="Arial" w:cs="Arial"/>
          <w:noProof/>
          <w:sz w:val="24"/>
          <w:szCs w:val="24"/>
          <w:lang w:val="en-GB" w:eastAsia="en-GB"/>
        </w:rPr>
      </w:pPr>
    </w:p>
    <w:p w14:paraId="19B1BD16" w14:textId="6E7E892C" w:rsidR="0026062C"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property which is presently subject to a preservation of property order granted by this Honourable Court under the above case number on 30 August 2018, namely: the positive balance</w:t>
      </w:r>
      <w:r w:rsidR="0005746A" w:rsidRPr="005926C6">
        <w:rPr>
          <w:rFonts w:ascii="Arial" w:eastAsia="Times New Roman" w:hAnsi="Arial" w:cs="Arial"/>
          <w:noProof/>
          <w:sz w:val="24"/>
          <w:szCs w:val="24"/>
          <w:lang w:val="en-GB" w:eastAsia="en-GB"/>
        </w:rPr>
        <w:t>,</w:t>
      </w:r>
      <w:r w:rsidRPr="005926C6">
        <w:rPr>
          <w:rFonts w:ascii="Arial" w:eastAsia="Times New Roman" w:hAnsi="Arial" w:cs="Arial"/>
          <w:noProof/>
          <w:sz w:val="24"/>
          <w:szCs w:val="24"/>
          <w:lang w:val="en-GB" w:eastAsia="en-GB"/>
        </w:rPr>
        <w:t xml:space="preserve"> with the </w:t>
      </w:r>
      <w:r w:rsidR="0005746A" w:rsidRPr="005926C6">
        <w:rPr>
          <w:rFonts w:ascii="Arial" w:eastAsia="Times New Roman" w:hAnsi="Arial" w:cs="Arial"/>
          <w:noProof/>
          <w:sz w:val="24"/>
          <w:szCs w:val="24"/>
          <w:lang w:val="en-GB" w:eastAsia="en-GB"/>
        </w:rPr>
        <w:t xml:space="preserve">express </w:t>
      </w:r>
      <w:r w:rsidRPr="005926C6">
        <w:rPr>
          <w:rFonts w:ascii="Arial" w:eastAsia="Times New Roman" w:hAnsi="Arial" w:cs="Arial"/>
          <w:noProof/>
          <w:sz w:val="24"/>
          <w:szCs w:val="24"/>
          <w:lang w:val="en-GB" w:eastAsia="en-GB"/>
        </w:rPr>
        <w:t>exclusion of the positive balance of N$20 629,  in First National Bank Cheque Account number 62241595753 held in the name of Kotokeni Investments Club (“the property”), be and is hereby forfeited to the State in terms of section 61 of the Prevention of Organised Crime Act, 29 of 2004 (“POCA”).</w:t>
      </w:r>
    </w:p>
    <w:p w14:paraId="07616043" w14:textId="77777777" w:rsidR="005926C6" w:rsidRPr="005926C6" w:rsidRDefault="005926C6" w:rsidP="005926C6">
      <w:pPr>
        <w:pStyle w:val="ListParagraph"/>
        <w:suppressAutoHyphens/>
        <w:spacing w:after="0" w:line="360" w:lineRule="auto"/>
        <w:jc w:val="both"/>
        <w:rPr>
          <w:rFonts w:ascii="Arial" w:eastAsia="Times New Roman" w:hAnsi="Arial" w:cs="Arial"/>
          <w:noProof/>
          <w:sz w:val="24"/>
          <w:szCs w:val="24"/>
          <w:lang w:val="en-GB" w:eastAsia="en-GB"/>
        </w:rPr>
      </w:pPr>
    </w:p>
    <w:p w14:paraId="52AFC5C4" w14:textId="2F272511" w:rsidR="0026062C" w:rsidRPr="005926C6"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The property is to remain under the control and supervision of Warrant Officer Daniel Lilata (“W/O Lilata”) of the Commercial Crime Investigation Unit: Anti Money Laundering &amp; Combating of financing and Terrorism: Asset Recovery Subdivision: The Namibian Police Force (“Nampol”) in Windhoek, in whose control the property is under the preservation order, and in W/O Lilata’s absence Detective Inspector Johan Nico Green (“Insp. Green”) or any authorised member of the Commercial Crime Investigation Unit:Anti-Money Laundering &amp; Combating of Financing and Terrorism: Asset Recovery Sub-Division, until the expiration of the statutory periods as set out in section 61 (8) of POCA. </w:t>
      </w:r>
    </w:p>
    <w:p w14:paraId="20E97E21" w14:textId="77777777" w:rsidR="00A96EBE" w:rsidRDefault="00A96EBE" w:rsidP="005926C6">
      <w:pPr>
        <w:suppressAutoHyphens/>
        <w:spacing w:after="0" w:line="360" w:lineRule="auto"/>
        <w:jc w:val="both"/>
        <w:rPr>
          <w:rFonts w:ascii="Arial" w:eastAsia="Times New Roman" w:hAnsi="Arial" w:cs="Arial"/>
          <w:noProof/>
          <w:sz w:val="24"/>
          <w:szCs w:val="24"/>
          <w:lang w:val="en-GB" w:eastAsia="en-GB"/>
        </w:rPr>
      </w:pPr>
    </w:p>
    <w:p w14:paraId="05B01841" w14:textId="77777777" w:rsidR="00B91B73"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W/O Lilata or in his absence, Insp. Green or any authorised member of Commercial Crime Investigation Unit: Anti-Money Laundering &amp; Combating of Financing and Terrorism: Asset Recovery Sub-Division is directed to: </w:t>
      </w:r>
    </w:p>
    <w:p w14:paraId="5B8C9F6E" w14:textId="77777777" w:rsidR="00616C42" w:rsidRDefault="00616C42" w:rsidP="00616C42">
      <w:pPr>
        <w:suppressAutoHyphens/>
        <w:spacing w:after="0" w:line="360" w:lineRule="auto"/>
        <w:jc w:val="both"/>
        <w:rPr>
          <w:rFonts w:ascii="Arial" w:eastAsia="Times New Roman" w:hAnsi="Arial" w:cs="Arial"/>
          <w:noProof/>
          <w:sz w:val="24"/>
          <w:szCs w:val="24"/>
          <w:lang w:val="en-GB" w:eastAsia="en-GB"/>
        </w:rPr>
      </w:pPr>
    </w:p>
    <w:p w14:paraId="68342657" w14:textId="0065ACF2" w:rsidR="0026062C" w:rsidRPr="00616C42" w:rsidRDefault="00616C42" w:rsidP="00616C42">
      <w:pPr>
        <w:suppressAutoHyphens/>
        <w:spacing w:after="0" w:line="360" w:lineRule="auto"/>
        <w:ind w:left="1134" w:hanging="414"/>
        <w:jc w:val="both"/>
        <w:rPr>
          <w:rFonts w:ascii="Arial" w:eastAsia="Times New Roman" w:hAnsi="Arial" w:cs="Arial"/>
          <w:noProof/>
          <w:sz w:val="24"/>
          <w:szCs w:val="24"/>
          <w:lang w:val="en-GB" w:eastAsia="en-GB"/>
        </w:rPr>
      </w:pPr>
      <w:r>
        <w:rPr>
          <w:rFonts w:ascii="Arial" w:eastAsia="Times New Roman" w:hAnsi="Arial" w:cs="Arial"/>
          <w:noProof/>
          <w:sz w:val="24"/>
          <w:szCs w:val="24"/>
          <w:lang w:val="en-GB" w:eastAsia="en-GB"/>
        </w:rPr>
        <w:t xml:space="preserve">5.1 </w:t>
      </w:r>
      <w:r w:rsidR="0026062C" w:rsidRPr="00616C42">
        <w:rPr>
          <w:rFonts w:ascii="Arial" w:eastAsia="Times New Roman" w:hAnsi="Arial" w:cs="Arial"/>
          <w:noProof/>
          <w:sz w:val="24"/>
          <w:szCs w:val="24"/>
          <w:lang w:val="en-GB" w:eastAsia="en-GB"/>
        </w:rPr>
        <w:t>To pay the positive balance with the exclusion of the positive balance of N$20 629 in First National Bank Cheque Account number 62241595753 held in the name of Kotokeni Investments Club into the Asset Recovery Account:</w:t>
      </w:r>
    </w:p>
    <w:p w14:paraId="33AFC53A" w14:textId="77777777" w:rsidR="0026062C" w:rsidRPr="0026062C" w:rsidRDefault="0026062C" w:rsidP="005926C6">
      <w:pPr>
        <w:suppressAutoHyphens/>
        <w:spacing w:after="0" w:line="360" w:lineRule="auto"/>
        <w:jc w:val="both"/>
        <w:rPr>
          <w:rFonts w:ascii="Arial" w:eastAsia="Times New Roman" w:hAnsi="Arial" w:cs="Arial"/>
          <w:noProof/>
          <w:sz w:val="24"/>
          <w:szCs w:val="24"/>
          <w:lang w:val="en-GB" w:eastAsia="en-GB"/>
        </w:rPr>
      </w:pPr>
    </w:p>
    <w:p w14:paraId="792E11F1" w14:textId="77777777" w:rsidR="0026062C" w:rsidRPr="0026062C" w:rsidRDefault="0026062C" w:rsidP="00B91B73">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Ministry of Justice –POCA</w:t>
      </w:r>
    </w:p>
    <w:p w14:paraId="77733C83" w14:textId="77777777" w:rsidR="0026062C" w:rsidRPr="0026062C" w:rsidRDefault="0026062C" w:rsidP="00B91B73">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Standard Bank account number 589245309</w:t>
      </w:r>
    </w:p>
    <w:p w14:paraId="1AE5786F" w14:textId="77777777" w:rsidR="0026062C" w:rsidRPr="0026062C" w:rsidRDefault="0026062C" w:rsidP="00B91B73">
      <w:pPr>
        <w:suppressAutoHyphens/>
        <w:spacing w:after="0" w:line="360" w:lineRule="auto"/>
        <w:ind w:left="360" w:firstLine="720"/>
        <w:jc w:val="both"/>
        <w:rPr>
          <w:rFonts w:ascii="Arial" w:eastAsia="Times New Roman" w:hAnsi="Arial" w:cs="Arial"/>
          <w:noProof/>
          <w:sz w:val="24"/>
          <w:szCs w:val="24"/>
          <w:lang w:val="en-GB" w:eastAsia="en-GB"/>
        </w:rPr>
      </w:pPr>
      <w:r w:rsidRPr="0026062C">
        <w:rPr>
          <w:rFonts w:ascii="Arial" w:eastAsia="Times New Roman" w:hAnsi="Arial" w:cs="Arial"/>
          <w:noProof/>
          <w:sz w:val="24"/>
          <w:szCs w:val="24"/>
          <w:lang w:val="en-GB" w:eastAsia="en-GB"/>
        </w:rPr>
        <w:t>Branch Code: 08237200</w:t>
      </w:r>
    </w:p>
    <w:p w14:paraId="7EEC1443" w14:textId="77777777" w:rsidR="005926C6" w:rsidRDefault="005926C6" w:rsidP="005926C6">
      <w:pPr>
        <w:suppressAutoHyphens/>
        <w:spacing w:after="0" w:line="360" w:lineRule="auto"/>
        <w:jc w:val="both"/>
        <w:rPr>
          <w:rFonts w:ascii="Arial" w:eastAsia="Times New Roman" w:hAnsi="Arial" w:cs="Arial"/>
          <w:noProof/>
          <w:sz w:val="24"/>
          <w:szCs w:val="24"/>
          <w:lang w:val="en-GB" w:eastAsia="en-GB"/>
        </w:rPr>
      </w:pPr>
    </w:p>
    <w:p w14:paraId="5F5ADF3F" w14:textId="05DF47E2" w:rsidR="0026062C"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Any person whose interest concerned is affected by the forfeiture order, may within 15 days after he or she has acquired knowledge of such order, set the matter down for variation or rescission by the Court.</w:t>
      </w:r>
    </w:p>
    <w:p w14:paraId="61D56CE9" w14:textId="77777777" w:rsidR="00616C42" w:rsidRPr="00616C42" w:rsidRDefault="00616C42" w:rsidP="00616C42">
      <w:pPr>
        <w:pStyle w:val="ListParagraph"/>
        <w:suppressAutoHyphens/>
        <w:spacing w:after="0" w:line="360" w:lineRule="auto"/>
        <w:jc w:val="both"/>
        <w:rPr>
          <w:rFonts w:ascii="Arial" w:eastAsia="Times New Roman" w:hAnsi="Arial" w:cs="Arial"/>
          <w:noProof/>
          <w:sz w:val="24"/>
          <w:szCs w:val="24"/>
          <w:lang w:val="en-GB" w:eastAsia="en-GB"/>
        </w:rPr>
      </w:pPr>
    </w:p>
    <w:p w14:paraId="3C336507" w14:textId="20E5C4AC" w:rsidR="0026062C" w:rsidRPr="005926C6"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This order must be published in the Government Gazette as soon as practicable after it is made.</w:t>
      </w:r>
    </w:p>
    <w:p w14:paraId="1AB7A206" w14:textId="77777777" w:rsidR="0026062C" w:rsidRPr="0026062C" w:rsidRDefault="0026062C" w:rsidP="005926C6">
      <w:pPr>
        <w:suppressAutoHyphens/>
        <w:spacing w:after="0" w:line="360" w:lineRule="auto"/>
        <w:jc w:val="both"/>
        <w:rPr>
          <w:rFonts w:ascii="Arial" w:eastAsia="Times New Roman" w:hAnsi="Arial" w:cs="Arial"/>
          <w:noProof/>
          <w:sz w:val="24"/>
          <w:szCs w:val="24"/>
          <w:lang w:val="en-GB" w:eastAsia="en-GB"/>
        </w:rPr>
      </w:pPr>
    </w:p>
    <w:p w14:paraId="7A9704B9" w14:textId="0D6BCC9D" w:rsidR="00A96EBE" w:rsidRDefault="0026062C"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 xml:space="preserve">Prayers 1 and 3 will not take effect before </w:t>
      </w:r>
      <w:r w:rsidR="00A5693B" w:rsidRPr="005926C6">
        <w:rPr>
          <w:rFonts w:ascii="Arial" w:eastAsia="Times New Roman" w:hAnsi="Arial" w:cs="Arial"/>
          <w:noProof/>
          <w:sz w:val="24"/>
          <w:szCs w:val="24"/>
          <w:lang w:val="en-GB" w:eastAsia="en-GB"/>
        </w:rPr>
        <w:t>a period of thirty (</w:t>
      </w:r>
      <w:r w:rsidRPr="005926C6">
        <w:rPr>
          <w:rFonts w:ascii="Arial" w:eastAsia="Times New Roman" w:hAnsi="Arial" w:cs="Arial"/>
          <w:noProof/>
          <w:sz w:val="24"/>
          <w:szCs w:val="24"/>
          <w:lang w:val="en-GB" w:eastAsia="en-GB"/>
        </w:rPr>
        <w:t>30</w:t>
      </w:r>
      <w:r w:rsidR="00A5693B" w:rsidRPr="005926C6">
        <w:rPr>
          <w:rFonts w:ascii="Arial" w:eastAsia="Times New Roman" w:hAnsi="Arial" w:cs="Arial"/>
          <w:noProof/>
          <w:sz w:val="24"/>
          <w:szCs w:val="24"/>
          <w:lang w:val="en-GB" w:eastAsia="en-GB"/>
        </w:rPr>
        <w:t>)</w:t>
      </w:r>
      <w:r w:rsidRPr="005926C6">
        <w:rPr>
          <w:rFonts w:ascii="Arial" w:eastAsia="Times New Roman" w:hAnsi="Arial" w:cs="Arial"/>
          <w:noProof/>
          <w:sz w:val="24"/>
          <w:szCs w:val="24"/>
          <w:lang w:val="en-GB" w:eastAsia="en-GB"/>
        </w:rPr>
        <w:t xml:space="preserve"> days after the notice of this order was published in the Government Gazette or before an application in terms of section 65 of POCA or an appeal has been disposed of.</w:t>
      </w:r>
    </w:p>
    <w:p w14:paraId="7B956831" w14:textId="77777777" w:rsidR="005926C6" w:rsidRPr="005926C6" w:rsidRDefault="005926C6" w:rsidP="005926C6">
      <w:pPr>
        <w:suppressAutoHyphens/>
        <w:spacing w:after="0" w:line="360" w:lineRule="auto"/>
        <w:jc w:val="both"/>
        <w:rPr>
          <w:rFonts w:ascii="Arial" w:eastAsia="Times New Roman" w:hAnsi="Arial" w:cs="Arial"/>
          <w:noProof/>
          <w:sz w:val="24"/>
          <w:szCs w:val="24"/>
          <w:lang w:val="en-GB" w:eastAsia="en-GB"/>
        </w:rPr>
      </w:pPr>
    </w:p>
    <w:p w14:paraId="4C5F5E17" w14:textId="042654C9" w:rsidR="005926C6" w:rsidRDefault="00A96EBE"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Applicant is ordered to</w:t>
      </w:r>
      <w:r w:rsidR="009F2C08">
        <w:rPr>
          <w:rFonts w:ascii="Arial" w:eastAsia="Times New Roman" w:hAnsi="Arial" w:cs="Arial"/>
          <w:noProof/>
          <w:sz w:val="24"/>
          <w:szCs w:val="24"/>
          <w:lang w:val="en-GB" w:eastAsia="en-GB"/>
        </w:rPr>
        <w:t xml:space="preserve"> </w:t>
      </w:r>
      <w:r w:rsidRPr="005926C6">
        <w:rPr>
          <w:rFonts w:ascii="Arial" w:eastAsia="Times New Roman" w:hAnsi="Arial" w:cs="Arial"/>
          <w:noProof/>
          <w:sz w:val="24"/>
          <w:szCs w:val="24"/>
          <w:lang w:val="en-GB" w:eastAsia="en-GB"/>
        </w:rPr>
        <w:t>pay the costs of opposing the Section 63 application.</w:t>
      </w:r>
    </w:p>
    <w:p w14:paraId="1288FC69" w14:textId="77777777" w:rsidR="005926C6" w:rsidRPr="005926C6" w:rsidRDefault="005926C6" w:rsidP="005926C6">
      <w:pPr>
        <w:suppressAutoHyphens/>
        <w:spacing w:after="0" w:line="360" w:lineRule="auto"/>
        <w:jc w:val="both"/>
        <w:rPr>
          <w:rFonts w:ascii="Arial" w:eastAsia="Times New Roman" w:hAnsi="Arial" w:cs="Arial"/>
          <w:noProof/>
          <w:sz w:val="24"/>
          <w:szCs w:val="24"/>
          <w:lang w:val="en-GB" w:eastAsia="en-GB"/>
        </w:rPr>
      </w:pPr>
    </w:p>
    <w:p w14:paraId="61EA7F4B" w14:textId="2E200305" w:rsidR="00CF67A4" w:rsidRDefault="00A96EBE" w:rsidP="00616C42">
      <w:pPr>
        <w:pStyle w:val="ListParagraph"/>
        <w:numPr>
          <w:ilvl w:val="0"/>
          <w:numId w:val="8"/>
        </w:numPr>
        <w:suppressAutoHyphens/>
        <w:spacing w:after="0" w:line="360" w:lineRule="auto"/>
        <w:jc w:val="both"/>
        <w:rPr>
          <w:rFonts w:ascii="Arial" w:eastAsia="Times New Roman" w:hAnsi="Arial" w:cs="Arial"/>
          <w:noProof/>
          <w:sz w:val="24"/>
          <w:szCs w:val="24"/>
          <w:lang w:val="en-GB" w:eastAsia="en-GB"/>
        </w:rPr>
      </w:pPr>
      <w:r w:rsidRPr="005926C6">
        <w:rPr>
          <w:rFonts w:ascii="Arial" w:eastAsia="Times New Roman" w:hAnsi="Arial" w:cs="Arial"/>
          <w:noProof/>
          <w:sz w:val="24"/>
          <w:szCs w:val="24"/>
          <w:lang w:val="en-GB" w:eastAsia="en-GB"/>
        </w:rPr>
        <w:t>The matter is removed from the roll and is regarded as finalised.</w:t>
      </w:r>
    </w:p>
    <w:p w14:paraId="6D73D43D" w14:textId="77777777" w:rsidR="00616C42" w:rsidRPr="00616C42" w:rsidRDefault="00616C42" w:rsidP="00616C42">
      <w:pPr>
        <w:pStyle w:val="ListParagraph"/>
        <w:rPr>
          <w:rFonts w:ascii="Arial" w:eastAsia="Times New Roman" w:hAnsi="Arial" w:cs="Arial"/>
          <w:noProof/>
          <w:sz w:val="24"/>
          <w:szCs w:val="24"/>
          <w:lang w:val="en-GB" w:eastAsia="en-GB"/>
        </w:rPr>
      </w:pPr>
    </w:p>
    <w:p w14:paraId="478C53B3" w14:textId="77777777" w:rsidR="00616C42" w:rsidRPr="00ED223F" w:rsidRDefault="00616C42" w:rsidP="00616C42">
      <w:pPr>
        <w:pStyle w:val="ListParagraph"/>
        <w:suppressAutoHyphens/>
        <w:spacing w:after="0" w:line="360" w:lineRule="auto"/>
        <w:jc w:val="both"/>
        <w:rPr>
          <w:rFonts w:ascii="Arial" w:eastAsia="Times New Roman" w:hAnsi="Arial" w:cs="Arial"/>
          <w:noProof/>
          <w:sz w:val="24"/>
          <w:szCs w:val="24"/>
          <w:lang w:val="en-GB" w:eastAsia="en-GB"/>
        </w:rPr>
      </w:pPr>
    </w:p>
    <w:p w14:paraId="7E757B35" w14:textId="77777777" w:rsidR="0094506F" w:rsidRDefault="0094506F" w:rsidP="005926C6">
      <w:pPr>
        <w:spacing w:after="0" w:line="360" w:lineRule="auto"/>
        <w:ind w:left="720"/>
        <w:contextualSpacing/>
        <w:jc w:val="right"/>
        <w:rPr>
          <w:rFonts w:ascii="Arial" w:eastAsia="Calibri" w:hAnsi="Arial" w:cs="Arial"/>
          <w:sz w:val="24"/>
          <w:szCs w:val="24"/>
          <w:lang w:val="en-ZA"/>
        </w:rPr>
      </w:pPr>
    </w:p>
    <w:p w14:paraId="7C223D4E" w14:textId="653FAF7F" w:rsidR="007970FB" w:rsidRDefault="00B852DC" w:rsidP="005926C6">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____________</w:t>
      </w:r>
    </w:p>
    <w:p w14:paraId="4896CA1A" w14:textId="77777777" w:rsidR="007970FB" w:rsidRDefault="007970FB" w:rsidP="005926C6">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T.S. Masuku</w:t>
      </w:r>
    </w:p>
    <w:p w14:paraId="5BD42F85" w14:textId="77777777" w:rsidR="007970FB" w:rsidRDefault="007970FB" w:rsidP="005926C6">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Judge</w:t>
      </w:r>
    </w:p>
    <w:p w14:paraId="762FE69E" w14:textId="77777777" w:rsidR="007970FB" w:rsidRDefault="007970FB" w:rsidP="005926C6">
      <w:pPr>
        <w:spacing w:after="0" w:line="360" w:lineRule="auto"/>
        <w:ind w:left="720"/>
        <w:contextualSpacing/>
        <w:jc w:val="right"/>
        <w:rPr>
          <w:rFonts w:ascii="Arial" w:eastAsia="Calibri" w:hAnsi="Arial" w:cs="Arial"/>
          <w:sz w:val="24"/>
          <w:szCs w:val="24"/>
          <w:lang w:val="en-ZA"/>
        </w:rPr>
      </w:pPr>
    </w:p>
    <w:p w14:paraId="26AF2B6B" w14:textId="77777777" w:rsidR="007970FB" w:rsidRDefault="007970FB" w:rsidP="005926C6">
      <w:pPr>
        <w:spacing w:after="0" w:line="360" w:lineRule="auto"/>
        <w:ind w:left="720"/>
        <w:contextualSpacing/>
        <w:jc w:val="right"/>
        <w:rPr>
          <w:rFonts w:ascii="Arial" w:eastAsia="Calibri" w:hAnsi="Arial" w:cs="Arial"/>
          <w:sz w:val="24"/>
          <w:szCs w:val="24"/>
          <w:lang w:val="en-ZA"/>
        </w:rPr>
      </w:pPr>
    </w:p>
    <w:p w14:paraId="292170A1" w14:textId="77777777" w:rsidR="007970FB" w:rsidRDefault="007970FB" w:rsidP="005926C6">
      <w:pPr>
        <w:spacing w:after="0" w:line="360" w:lineRule="auto"/>
        <w:ind w:left="720"/>
        <w:contextualSpacing/>
        <w:jc w:val="right"/>
        <w:rPr>
          <w:rFonts w:ascii="Arial" w:eastAsia="Calibri" w:hAnsi="Arial" w:cs="Arial"/>
          <w:sz w:val="24"/>
          <w:szCs w:val="24"/>
          <w:lang w:val="en-ZA"/>
        </w:rPr>
      </w:pPr>
    </w:p>
    <w:p w14:paraId="02EA9248" w14:textId="77777777" w:rsidR="007970FB" w:rsidRDefault="007970FB" w:rsidP="005926C6">
      <w:pPr>
        <w:spacing w:after="0" w:line="360" w:lineRule="auto"/>
        <w:ind w:left="720"/>
        <w:contextualSpacing/>
        <w:rPr>
          <w:rFonts w:ascii="Arial" w:eastAsia="Calibri" w:hAnsi="Arial" w:cs="Arial"/>
          <w:sz w:val="24"/>
          <w:szCs w:val="24"/>
          <w:lang w:val="en-ZA"/>
        </w:rPr>
      </w:pPr>
    </w:p>
    <w:p w14:paraId="7BFA73B3" w14:textId="77777777" w:rsidR="00EB2C84" w:rsidRDefault="00EB2C84" w:rsidP="005926C6">
      <w:pPr>
        <w:spacing w:after="0" w:line="360" w:lineRule="auto"/>
        <w:contextualSpacing/>
        <w:rPr>
          <w:rFonts w:ascii="Arial" w:eastAsia="Calibri" w:hAnsi="Arial" w:cs="Arial"/>
          <w:sz w:val="24"/>
          <w:szCs w:val="24"/>
          <w:lang w:val="en-ZA"/>
        </w:rPr>
      </w:pPr>
    </w:p>
    <w:p w14:paraId="523585ED" w14:textId="77777777" w:rsidR="00EB2C84" w:rsidRDefault="00EB2C84" w:rsidP="005926C6">
      <w:pPr>
        <w:spacing w:after="0" w:line="360" w:lineRule="auto"/>
        <w:ind w:left="720"/>
        <w:contextualSpacing/>
        <w:rPr>
          <w:rFonts w:ascii="Arial" w:eastAsia="Calibri" w:hAnsi="Arial" w:cs="Arial"/>
          <w:sz w:val="24"/>
          <w:szCs w:val="24"/>
          <w:lang w:val="en-ZA"/>
        </w:rPr>
      </w:pPr>
    </w:p>
    <w:p w14:paraId="0AC6E777" w14:textId="77777777" w:rsidR="00ED223F" w:rsidRDefault="00ED223F">
      <w:pPr>
        <w:rPr>
          <w:rFonts w:ascii="Arial" w:eastAsia="Calibri" w:hAnsi="Arial" w:cs="Arial"/>
          <w:sz w:val="24"/>
          <w:szCs w:val="24"/>
          <w:lang w:val="en-ZA"/>
        </w:rPr>
      </w:pPr>
      <w:r>
        <w:rPr>
          <w:rFonts w:ascii="Arial" w:eastAsia="Calibri" w:hAnsi="Arial" w:cs="Arial"/>
          <w:sz w:val="24"/>
          <w:szCs w:val="24"/>
          <w:lang w:val="en-ZA"/>
        </w:rPr>
        <w:br w:type="page"/>
      </w:r>
    </w:p>
    <w:p w14:paraId="6A5FB53A" w14:textId="1D20B4DB" w:rsidR="007970FB" w:rsidRDefault="007970FB" w:rsidP="005926C6">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APPEARANCES:</w:t>
      </w:r>
    </w:p>
    <w:p w14:paraId="74B873FE" w14:textId="77777777" w:rsidR="007970FB" w:rsidRDefault="007970FB" w:rsidP="005926C6">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 xml:space="preserve">APPLICANT:               </w:t>
      </w:r>
      <w:r w:rsidR="00AF18FD">
        <w:rPr>
          <w:rFonts w:ascii="Arial" w:eastAsia="Calibri" w:hAnsi="Arial" w:cs="Arial"/>
          <w:sz w:val="24"/>
          <w:szCs w:val="24"/>
          <w:lang w:val="en-ZA"/>
        </w:rPr>
        <w:t>H. Hamunyela</w:t>
      </w:r>
    </w:p>
    <w:p w14:paraId="6346D620" w14:textId="77777777" w:rsidR="007970FB" w:rsidRDefault="007970FB" w:rsidP="005926C6">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 xml:space="preserve">                                    Of the Office of the Prosecutor-General</w:t>
      </w:r>
    </w:p>
    <w:p w14:paraId="0BAA72A9" w14:textId="77777777" w:rsidR="00ED223F" w:rsidRDefault="00ED223F" w:rsidP="005926C6">
      <w:pPr>
        <w:spacing w:after="0" w:line="360" w:lineRule="auto"/>
        <w:ind w:left="720"/>
        <w:contextualSpacing/>
        <w:rPr>
          <w:rFonts w:ascii="Arial" w:eastAsia="Calibri" w:hAnsi="Arial" w:cs="Arial"/>
          <w:sz w:val="24"/>
          <w:szCs w:val="24"/>
          <w:lang w:val="en-ZA"/>
        </w:rPr>
      </w:pPr>
    </w:p>
    <w:p w14:paraId="2F917765" w14:textId="77777777" w:rsidR="007970FB" w:rsidRDefault="007970FB" w:rsidP="005926C6">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 xml:space="preserve">RESPONDENT:          </w:t>
      </w:r>
      <w:r w:rsidR="00EB2C84">
        <w:rPr>
          <w:rFonts w:ascii="Arial" w:eastAsia="Calibri" w:hAnsi="Arial" w:cs="Arial"/>
          <w:sz w:val="24"/>
          <w:szCs w:val="24"/>
          <w:lang w:val="en-ZA"/>
        </w:rPr>
        <w:t>H. Engelbrecht</w:t>
      </w:r>
    </w:p>
    <w:p w14:paraId="7A9E3B80" w14:textId="77777777" w:rsidR="00EB2C84" w:rsidRPr="00E15334" w:rsidRDefault="00EB2C84" w:rsidP="005926C6">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    Of FB Law Chambers, Windhoek.</w:t>
      </w:r>
    </w:p>
    <w:p w14:paraId="235D873A" w14:textId="77777777" w:rsidR="00E15334" w:rsidRPr="00E15334" w:rsidRDefault="00E15334" w:rsidP="005926C6">
      <w:pPr>
        <w:spacing w:after="0" w:line="360" w:lineRule="auto"/>
        <w:ind w:left="360"/>
        <w:jc w:val="both"/>
        <w:rPr>
          <w:rFonts w:ascii="Arial" w:eastAsia="Calibri" w:hAnsi="Arial" w:cs="Arial"/>
          <w:sz w:val="24"/>
          <w:szCs w:val="24"/>
          <w:lang w:val="en-ZA" w:eastAsia="en-GB"/>
        </w:rPr>
      </w:pPr>
    </w:p>
    <w:p w14:paraId="56197AEF" w14:textId="77777777" w:rsidR="000B4DCB" w:rsidRPr="000B4DCB" w:rsidRDefault="000B4DCB" w:rsidP="005926C6">
      <w:pPr>
        <w:pStyle w:val="ListParagraph"/>
        <w:spacing w:after="0" w:line="360" w:lineRule="auto"/>
        <w:ind w:left="1440"/>
        <w:jc w:val="both"/>
        <w:rPr>
          <w:rFonts w:ascii="Arial" w:hAnsi="Arial" w:cs="Arial"/>
        </w:rPr>
      </w:pPr>
    </w:p>
    <w:sectPr w:rsidR="000B4DCB" w:rsidRPr="000B4DCB" w:rsidSect="005926C6">
      <w:headerReference w:type="default" r:id="rId9"/>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6F3F2" w14:textId="77777777" w:rsidR="00907DC8" w:rsidRDefault="00907DC8" w:rsidP="007663FF">
      <w:pPr>
        <w:spacing w:after="0" w:line="240" w:lineRule="auto"/>
      </w:pPr>
      <w:r>
        <w:separator/>
      </w:r>
    </w:p>
  </w:endnote>
  <w:endnote w:type="continuationSeparator" w:id="0">
    <w:p w14:paraId="43E2F4B4" w14:textId="77777777" w:rsidR="00907DC8" w:rsidRDefault="00907DC8" w:rsidP="0076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6827" w14:textId="77777777" w:rsidR="00907DC8" w:rsidRDefault="00907DC8" w:rsidP="007663FF">
      <w:pPr>
        <w:spacing w:after="0" w:line="240" w:lineRule="auto"/>
      </w:pPr>
      <w:r>
        <w:separator/>
      </w:r>
    </w:p>
  </w:footnote>
  <w:footnote w:type="continuationSeparator" w:id="0">
    <w:p w14:paraId="1AB2C365" w14:textId="77777777" w:rsidR="00907DC8" w:rsidRDefault="00907DC8" w:rsidP="007663FF">
      <w:pPr>
        <w:spacing w:after="0" w:line="240" w:lineRule="auto"/>
      </w:pPr>
      <w:r>
        <w:continuationSeparator/>
      </w:r>
    </w:p>
  </w:footnote>
  <w:footnote w:id="1">
    <w:p w14:paraId="7DDD3F67" w14:textId="77777777" w:rsidR="00907DC8" w:rsidRPr="00A5693B" w:rsidRDefault="00907DC8">
      <w:pPr>
        <w:pStyle w:val="FootnoteText"/>
        <w:rPr>
          <w:rFonts w:ascii="Arial" w:hAnsi="Arial" w:cs="Arial"/>
        </w:rPr>
      </w:pPr>
      <w:r>
        <w:rPr>
          <w:rStyle w:val="FootnoteReference"/>
        </w:rPr>
        <w:footnoteRef/>
      </w:r>
      <w:r>
        <w:t xml:space="preserve"> </w:t>
      </w:r>
      <w:r w:rsidRPr="00A5693B">
        <w:rPr>
          <w:rFonts w:ascii="Arial" w:hAnsi="Arial" w:cs="Arial"/>
        </w:rPr>
        <w:t>S 63 (2) (a) (b) of the Prevention of Organised Crime Act 29 of 2004.</w:t>
      </w:r>
    </w:p>
    <w:p w14:paraId="2BD64B21" w14:textId="77777777" w:rsidR="00907DC8" w:rsidRDefault="00907DC8">
      <w:pPr>
        <w:pStyle w:val="FootnoteText"/>
      </w:pPr>
    </w:p>
    <w:p w14:paraId="570CFC71" w14:textId="77777777" w:rsidR="00907DC8" w:rsidRDefault="00907DC8">
      <w:pPr>
        <w:pStyle w:val="FootnoteText"/>
      </w:pPr>
    </w:p>
    <w:p w14:paraId="283D5185" w14:textId="77777777" w:rsidR="00907DC8" w:rsidRDefault="00907DC8">
      <w:pPr>
        <w:pStyle w:val="FootnoteText"/>
      </w:pPr>
    </w:p>
  </w:footnote>
  <w:footnote w:id="2">
    <w:p w14:paraId="536D2652" w14:textId="77777777" w:rsidR="00907DC8" w:rsidRPr="002774CC" w:rsidRDefault="00907DC8">
      <w:pPr>
        <w:pStyle w:val="FootnoteText"/>
        <w:rPr>
          <w:rFonts w:ascii="Arial" w:hAnsi="Arial" w:cs="Arial"/>
        </w:rPr>
      </w:pPr>
      <w:r>
        <w:rPr>
          <w:rStyle w:val="FootnoteReference"/>
        </w:rPr>
        <w:footnoteRef/>
      </w:r>
      <w:r>
        <w:t xml:space="preserve"> </w:t>
      </w:r>
      <w:r>
        <w:rPr>
          <w:rFonts w:ascii="Arial" w:hAnsi="Arial" w:cs="Arial"/>
        </w:rPr>
        <w:t xml:space="preserve">L. H. Hoffman, </w:t>
      </w:r>
      <w:r w:rsidRPr="002774CC">
        <w:rPr>
          <w:rFonts w:ascii="Arial" w:hAnsi="Arial" w:cs="Arial"/>
          <w:u w:val="single"/>
        </w:rPr>
        <w:t>The South African Law of Evidence</w:t>
      </w:r>
      <w:r>
        <w:rPr>
          <w:rFonts w:ascii="Arial" w:hAnsi="Arial" w:cs="Arial"/>
          <w:u w:val="single"/>
        </w:rPr>
        <w:t xml:space="preserve">, </w:t>
      </w:r>
      <w:r>
        <w:rPr>
          <w:rFonts w:ascii="Arial" w:hAnsi="Arial" w:cs="Arial"/>
        </w:rPr>
        <w:t>Butterworths, Durban, 1970, 2</w:t>
      </w:r>
      <w:r w:rsidRPr="00371FC3">
        <w:rPr>
          <w:rFonts w:ascii="Arial" w:hAnsi="Arial" w:cs="Arial"/>
          <w:vertAlign w:val="superscript"/>
        </w:rPr>
        <w:t>nd</w:t>
      </w:r>
      <w:r>
        <w:rPr>
          <w:rFonts w:ascii="Arial" w:hAnsi="Arial" w:cs="Arial"/>
        </w:rPr>
        <w:t xml:space="preserve"> edition p365 -366.</w:t>
      </w:r>
    </w:p>
  </w:footnote>
  <w:footnote w:id="3">
    <w:p w14:paraId="1D63EAD0" w14:textId="77777777" w:rsidR="00907DC8" w:rsidRPr="00371FC3" w:rsidRDefault="00907DC8">
      <w:pPr>
        <w:pStyle w:val="FootnoteText"/>
        <w:rPr>
          <w:rFonts w:ascii="Arial" w:hAnsi="Arial" w:cs="Arial"/>
        </w:rPr>
      </w:pPr>
      <w:r>
        <w:rPr>
          <w:rStyle w:val="FootnoteReference"/>
        </w:rPr>
        <w:footnoteRef/>
      </w:r>
      <w:r>
        <w:t xml:space="preserve"> </w:t>
      </w:r>
      <w:r>
        <w:rPr>
          <w:rFonts w:ascii="Arial" w:hAnsi="Arial" w:cs="Arial"/>
        </w:rPr>
        <w:t>[1947] 2 All ER 372 at p 374.</w:t>
      </w:r>
    </w:p>
  </w:footnote>
  <w:footnote w:id="4">
    <w:p w14:paraId="1D33EAEE" w14:textId="77777777" w:rsidR="00907DC8" w:rsidRDefault="00907DC8">
      <w:pPr>
        <w:pStyle w:val="FootnoteText"/>
      </w:pPr>
      <w:r>
        <w:rPr>
          <w:rStyle w:val="FootnoteReference"/>
        </w:rPr>
        <w:footnoteRef/>
      </w:r>
      <w:r>
        <w:t xml:space="preserve"> 1925 AD 245 at p. 263, per Kotze JA.</w:t>
      </w:r>
    </w:p>
  </w:footnote>
  <w:footnote w:id="5">
    <w:p w14:paraId="56AD6E56" w14:textId="3B8FDDFD" w:rsidR="00907DC8" w:rsidRPr="00DE3E33" w:rsidRDefault="00907DC8">
      <w:pPr>
        <w:pStyle w:val="FootnoteText"/>
        <w:rPr>
          <w:rFonts w:ascii="Arial" w:hAnsi="Arial"/>
        </w:rPr>
      </w:pPr>
      <w:r>
        <w:rPr>
          <w:rStyle w:val="FootnoteReference"/>
        </w:rPr>
        <w:footnoteRef/>
      </w:r>
      <w:r>
        <w:t xml:space="preserve"> </w:t>
      </w:r>
      <w:r>
        <w:rPr>
          <w:rFonts w:ascii="Arial" w:hAnsi="Arial"/>
        </w:rPr>
        <w:t>2007 (3) SA 484 (CC), p 503, para 46, 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26850"/>
      <w:docPartObj>
        <w:docPartGallery w:val="Page Numbers (Top of Page)"/>
        <w:docPartUnique/>
      </w:docPartObj>
    </w:sdtPr>
    <w:sdtEndPr>
      <w:rPr>
        <w:noProof/>
      </w:rPr>
    </w:sdtEndPr>
    <w:sdtContent>
      <w:p w14:paraId="4929649F" w14:textId="77777777" w:rsidR="00907DC8" w:rsidRDefault="00907DC8">
        <w:pPr>
          <w:pStyle w:val="Header"/>
          <w:jc w:val="right"/>
        </w:pPr>
        <w:r>
          <w:fldChar w:fldCharType="begin"/>
        </w:r>
        <w:r>
          <w:instrText xml:space="preserve"> PAGE   \* MERGEFORMAT </w:instrText>
        </w:r>
        <w:r>
          <w:fldChar w:fldCharType="separate"/>
        </w:r>
        <w:r w:rsidR="004B4F62">
          <w:rPr>
            <w:noProof/>
          </w:rPr>
          <w:t>2</w:t>
        </w:r>
        <w:r>
          <w:rPr>
            <w:noProof/>
          </w:rPr>
          <w:fldChar w:fldCharType="end"/>
        </w:r>
      </w:p>
    </w:sdtContent>
  </w:sdt>
  <w:p w14:paraId="540611C9" w14:textId="77777777" w:rsidR="00907DC8" w:rsidRDefault="00907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E35"/>
    <w:multiLevelType w:val="multilevel"/>
    <w:tmpl w:val="FCBAFD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1F1EE3"/>
    <w:multiLevelType w:val="multilevel"/>
    <w:tmpl w:val="F222950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47283B"/>
    <w:multiLevelType w:val="hybridMultilevel"/>
    <w:tmpl w:val="54E68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138BD"/>
    <w:multiLevelType w:val="hybridMultilevel"/>
    <w:tmpl w:val="BC467C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6C3630"/>
    <w:multiLevelType w:val="multilevel"/>
    <w:tmpl w:val="8A5436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4DC3CFB"/>
    <w:multiLevelType w:val="hybridMultilevel"/>
    <w:tmpl w:val="57782A8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007EEF"/>
    <w:multiLevelType w:val="hybridMultilevel"/>
    <w:tmpl w:val="84D8F482"/>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845F6"/>
    <w:multiLevelType w:val="hybridMultilevel"/>
    <w:tmpl w:val="F1B8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D"/>
    <w:rsid w:val="00012737"/>
    <w:rsid w:val="0002136C"/>
    <w:rsid w:val="00040E53"/>
    <w:rsid w:val="0005746A"/>
    <w:rsid w:val="000765F7"/>
    <w:rsid w:val="0007786B"/>
    <w:rsid w:val="000B141E"/>
    <w:rsid w:val="000B4DCB"/>
    <w:rsid w:val="000C2671"/>
    <w:rsid w:val="000E0135"/>
    <w:rsid w:val="000E3248"/>
    <w:rsid w:val="000F0C33"/>
    <w:rsid w:val="0012635E"/>
    <w:rsid w:val="001F44EB"/>
    <w:rsid w:val="0026062C"/>
    <w:rsid w:val="002774CC"/>
    <w:rsid w:val="00282320"/>
    <w:rsid w:val="002A687E"/>
    <w:rsid w:val="002B25E0"/>
    <w:rsid w:val="002B6991"/>
    <w:rsid w:val="002C346B"/>
    <w:rsid w:val="00307AA4"/>
    <w:rsid w:val="00331CA8"/>
    <w:rsid w:val="0033723C"/>
    <w:rsid w:val="00371FC3"/>
    <w:rsid w:val="00380665"/>
    <w:rsid w:val="0039523D"/>
    <w:rsid w:val="003B7E79"/>
    <w:rsid w:val="003D1356"/>
    <w:rsid w:val="0047610B"/>
    <w:rsid w:val="00481C26"/>
    <w:rsid w:val="004A6DDD"/>
    <w:rsid w:val="004B4F62"/>
    <w:rsid w:val="004C2B89"/>
    <w:rsid w:val="00505147"/>
    <w:rsid w:val="00534EFE"/>
    <w:rsid w:val="00552830"/>
    <w:rsid w:val="00583BB7"/>
    <w:rsid w:val="00590A94"/>
    <w:rsid w:val="005926C6"/>
    <w:rsid w:val="00597935"/>
    <w:rsid w:val="005D2598"/>
    <w:rsid w:val="005E7BDA"/>
    <w:rsid w:val="00616AA1"/>
    <w:rsid w:val="00616C42"/>
    <w:rsid w:val="00627BD6"/>
    <w:rsid w:val="00752F6E"/>
    <w:rsid w:val="007663FF"/>
    <w:rsid w:val="007801F1"/>
    <w:rsid w:val="00782051"/>
    <w:rsid w:val="007927E7"/>
    <w:rsid w:val="007950E5"/>
    <w:rsid w:val="007970FB"/>
    <w:rsid w:val="007B1E94"/>
    <w:rsid w:val="007B2DBF"/>
    <w:rsid w:val="007B7B60"/>
    <w:rsid w:val="007E0662"/>
    <w:rsid w:val="007E5092"/>
    <w:rsid w:val="007F2EFE"/>
    <w:rsid w:val="00807D76"/>
    <w:rsid w:val="008475A8"/>
    <w:rsid w:val="00867944"/>
    <w:rsid w:val="008C5662"/>
    <w:rsid w:val="008F3D2D"/>
    <w:rsid w:val="00907DC8"/>
    <w:rsid w:val="00925088"/>
    <w:rsid w:val="0094506F"/>
    <w:rsid w:val="009F2C08"/>
    <w:rsid w:val="009F3459"/>
    <w:rsid w:val="009F4D1C"/>
    <w:rsid w:val="00A2555A"/>
    <w:rsid w:val="00A42063"/>
    <w:rsid w:val="00A5693B"/>
    <w:rsid w:val="00A62E97"/>
    <w:rsid w:val="00A84CB3"/>
    <w:rsid w:val="00A96EBE"/>
    <w:rsid w:val="00AA202F"/>
    <w:rsid w:val="00AD0E3A"/>
    <w:rsid w:val="00AF18FD"/>
    <w:rsid w:val="00B446C0"/>
    <w:rsid w:val="00B61400"/>
    <w:rsid w:val="00B852DC"/>
    <w:rsid w:val="00B91B73"/>
    <w:rsid w:val="00B95C2B"/>
    <w:rsid w:val="00BB792D"/>
    <w:rsid w:val="00BC3EFF"/>
    <w:rsid w:val="00C022AA"/>
    <w:rsid w:val="00C03780"/>
    <w:rsid w:val="00C80A66"/>
    <w:rsid w:val="00CA17DB"/>
    <w:rsid w:val="00CA6598"/>
    <w:rsid w:val="00CB6E69"/>
    <w:rsid w:val="00CC4A73"/>
    <w:rsid w:val="00CF67A4"/>
    <w:rsid w:val="00D16F29"/>
    <w:rsid w:val="00D4334B"/>
    <w:rsid w:val="00D97A7A"/>
    <w:rsid w:val="00DD7928"/>
    <w:rsid w:val="00DE3E33"/>
    <w:rsid w:val="00E02897"/>
    <w:rsid w:val="00E15334"/>
    <w:rsid w:val="00E30D70"/>
    <w:rsid w:val="00E74A50"/>
    <w:rsid w:val="00E8275E"/>
    <w:rsid w:val="00EB2C84"/>
    <w:rsid w:val="00ED223F"/>
    <w:rsid w:val="00ED57F5"/>
    <w:rsid w:val="00F14E4D"/>
    <w:rsid w:val="00F230C2"/>
    <w:rsid w:val="00F24E65"/>
    <w:rsid w:val="00F32175"/>
    <w:rsid w:val="00F5615E"/>
    <w:rsid w:val="00F7787A"/>
    <w:rsid w:val="00FC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97CBA3"/>
  <w15:docId w15:val="{8D46BB93-15ED-457D-B7FD-7305923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D"/>
    <w:pPr>
      <w:ind w:left="720"/>
      <w:contextualSpacing/>
    </w:pPr>
  </w:style>
  <w:style w:type="paragraph" w:customStyle="1" w:styleId="AS-P0">
    <w:name w:val="AS-P(0)"/>
    <w:basedOn w:val="Normal"/>
    <w:link w:val="AS-P0Char"/>
    <w:qFormat/>
    <w:rsid w:val="000765F7"/>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0765F7"/>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0765F7"/>
    <w:rPr>
      <w:rFonts w:ascii="Times New Roman" w:eastAsia="Times New Roman" w:hAnsi="Times New Roman" w:cs="Times New Roman"/>
      <w:noProof/>
      <w:lang w:val="en-GB" w:eastAsia="en-GB"/>
    </w:rPr>
  </w:style>
  <w:style w:type="paragraph" w:customStyle="1" w:styleId="AS-Pa">
    <w:name w:val="AS-P(a)"/>
    <w:basedOn w:val="Normal"/>
    <w:link w:val="AS-PaChar"/>
    <w:qFormat/>
    <w:rsid w:val="000765F7"/>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0765F7"/>
    <w:rPr>
      <w:rFonts w:ascii="Times New Roman" w:eastAsia="Times New Roman" w:hAnsi="Times New Roman" w:cs="Times New Roman"/>
      <w:noProof/>
      <w:lang w:val="en-GB" w:eastAsia="en-GB"/>
    </w:rPr>
  </w:style>
  <w:style w:type="paragraph" w:customStyle="1" w:styleId="AS-Pi">
    <w:name w:val="AS-P(i)"/>
    <w:basedOn w:val="Normal"/>
    <w:link w:val="AS-PiChar"/>
    <w:qFormat/>
    <w:rsid w:val="000765F7"/>
    <w:pPr>
      <w:suppressAutoHyphens/>
      <w:spacing w:after="0" w:line="240" w:lineRule="auto"/>
      <w:ind w:left="1701" w:right="-7" w:hanging="567"/>
      <w:jc w:val="both"/>
    </w:pPr>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0765F7"/>
    <w:rPr>
      <w:rFonts w:ascii="Times New Roman" w:eastAsia="Times New Roman" w:hAnsi="Times New Roman" w:cs="Times New Roman"/>
      <w:noProof/>
      <w:lang w:val="en-GB" w:eastAsia="en-GB"/>
    </w:rPr>
  </w:style>
  <w:style w:type="character" w:customStyle="1" w:styleId="AS-PiChar">
    <w:name w:val="AS-P(i) Char"/>
    <w:basedOn w:val="DefaultParagraphFont"/>
    <w:link w:val="AS-Pi"/>
    <w:rsid w:val="000765F7"/>
    <w:rPr>
      <w:rFonts w:ascii="Times New Roman" w:eastAsia="Times New Roman" w:hAnsi="Times New Roman" w:cs="Times New Roman"/>
      <w:noProof/>
      <w:lang w:val="en-GB" w:eastAsia="en-GB"/>
    </w:rPr>
  </w:style>
  <w:style w:type="paragraph" w:styleId="FootnoteText">
    <w:name w:val="footnote text"/>
    <w:basedOn w:val="Normal"/>
    <w:link w:val="FootnoteTextChar"/>
    <w:uiPriority w:val="99"/>
    <w:unhideWhenUsed/>
    <w:rsid w:val="007663FF"/>
    <w:pPr>
      <w:spacing w:after="0" w:line="240" w:lineRule="auto"/>
    </w:pPr>
    <w:rPr>
      <w:sz w:val="20"/>
      <w:szCs w:val="20"/>
    </w:rPr>
  </w:style>
  <w:style w:type="character" w:customStyle="1" w:styleId="FootnoteTextChar">
    <w:name w:val="Footnote Text Char"/>
    <w:basedOn w:val="DefaultParagraphFont"/>
    <w:link w:val="FootnoteText"/>
    <w:uiPriority w:val="99"/>
    <w:rsid w:val="007663FF"/>
    <w:rPr>
      <w:sz w:val="20"/>
      <w:szCs w:val="20"/>
    </w:rPr>
  </w:style>
  <w:style w:type="character" w:styleId="FootnoteReference">
    <w:name w:val="footnote reference"/>
    <w:basedOn w:val="DefaultParagraphFont"/>
    <w:uiPriority w:val="99"/>
    <w:unhideWhenUsed/>
    <w:rsid w:val="007663FF"/>
    <w:rPr>
      <w:vertAlign w:val="superscript"/>
    </w:rPr>
  </w:style>
  <w:style w:type="paragraph" w:styleId="Header">
    <w:name w:val="header"/>
    <w:basedOn w:val="Normal"/>
    <w:link w:val="HeaderChar"/>
    <w:uiPriority w:val="99"/>
    <w:unhideWhenUsed/>
    <w:rsid w:val="0079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FB"/>
  </w:style>
  <w:style w:type="paragraph" w:styleId="Footer">
    <w:name w:val="footer"/>
    <w:basedOn w:val="Normal"/>
    <w:link w:val="FooterChar"/>
    <w:uiPriority w:val="99"/>
    <w:unhideWhenUsed/>
    <w:rsid w:val="0079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FB"/>
  </w:style>
  <w:style w:type="paragraph" w:styleId="BalloonText">
    <w:name w:val="Balloon Text"/>
    <w:basedOn w:val="Normal"/>
    <w:link w:val="BalloonTextChar"/>
    <w:uiPriority w:val="99"/>
    <w:semiHidden/>
    <w:unhideWhenUsed/>
    <w:rsid w:val="0079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2020-02-26T18:30:00+00:00</Judgment_x0020_Date>
    <Year xmlns="c1afb1bd-f2fb-40fd-9abb-aea55b4d7662">2020</Year>
  </documentManagement>
</p:properties>
</file>

<file path=customXml/itemProps1.xml><?xml version="1.0" encoding="utf-8"?>
<ds:datastoreItem xmlns:ds="http://schemas.openxmlformats.org/officeDocument/2006/customXml" ds:itemID="{21548D2F-B99B-4F3C-B447-0C5C5A696EF4}"/>
</file>

<file path=customXml/itemProps2.xml><?xml version="1.0" encoding="utf-8"?>
<ds:datastoreItem xmlns:ds="http://schemas.openxmlformats.org/officeDocument/2006/customXml" ds:itemID="{B7C4298F-4119-4BE8-9663-1D9728366679}"/>
</file>

<file path=customXml/itemProps3.xml><?xml version="1.0" encoding="utf-8"?>
<ds:datastoreItem xmlns:ds="http://schemas.openxmlformats.org/officeDocument/2006/customXml" ds:itemID="{7014951A-A1C1-4D19-A2BC-34ED047D8C21}"/>
</file>

<file path=customXml/itemProps4.xml><?xml version="1.0" encoding="utf-8"?>
<ds:datastoreItem xmlns:ds="http://schemas.openxmlformats.org/officeDocument/2006/customXml" ds:itemID="{736E0B8E-5A45-426F-974F-36230B4D47EA}"/>
</file>

<file path=docProps/app.xml><?xml version="1.0" encoding="utf-8"?>
<Properties xmlns="http://schemas.openxmlformats.org/officeDocument/2006/extended-properties" xmlns:vt="http://schemas.openxmlformats.org/officeDocument/2006/docPropsVTypes">
  <Template>Normal</Template>
  <TotalTime>1</TotalTime>
  <Pages>17</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2</cp:revision>
  <cp:lastPrinted>2020-03-04T13:18:00Z</cp:lastPrinted>
  <dcterms:created xsi:type="dcterms:W3CDTF">2020-03-04T14:27:00Z</dcterms:created>
  <dcterms:modified xsi:type="dcterms:W3CDTF">2020-03-04T14:27:00Z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