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2FF60" w14:textId="63D387AA" w:rsidR="00D104D5" w:rsidRPr="00D104D5" w:rsidRDefault="00D104D5" w:rsidP="0096153C">
      <w:pPr>
        <w:spacing w:line="256" w:lineRule="auto"/>
        <w:jc w:val="center"/>
        <w:rPr>
          <w:rFonts w:ascii="Arial Narrow" w:hAnsi="Arial Narrow" w:cs="Arial"/>
          <w:bCs/>
          <w:sz w:val="24"/>
          <w:szCs w:val="24"/>
          <w:lang w:val="en-US"/>
        </w:rPr>
      </w:pPr>
      <w:r w:rsidRPr="00D104D5">
        <w:rPr>
          <w:rFonts w:ascii="Arial Narrow" w:hAnsi="Arial Narrow" w:cs="Arial"/>
          <w:bCs/>
          <w:sz w:val="24"/>
          <w:szCs w:val="24"/>
          <w:lang w:val="en-US"/>
        </w:rPr>
        <w:t>Annexure PD</w:t>
      </w:r>
      <w:r>
        <w:rPr>
          <w:rFonts w:ascii="Arial Narrow" w:hAnsi="Arial Narrow" w:cs="Arial"/>
          <w:bCs/>
          <w:sz w:val="24"/>
          <w:szCs w:val="24"/>
          <w:lang w:val="en-US"/>
        </w:rPr>
        <w:t xml:space="preserve"> </w:t>
      </w:r>
      <w:r w:rsidRPr="00D104D5">
        <w:rPr>
          <w:rFonts w:ascii="Arial Narrow" w:hAnsi="Arial Narrow" w:cs="Arial"/>
          <w:bCs/>
          <w:sz w:val="24"/>
          <w:szCs w:val="24"/>
          <w:lang w:val="en-US"/>
        </w:rPr>
        <w:t>61</w:t>
      </w:r>
    </w:p>
    <w:p w14:paraId="2B1DA515" w14:textId="217A790F" w:rsidR="0096153C" w:rsidRPr="00A437A9" w:rsidRDefault="0096153C" w:rsidP="0096153C">
      <w:pPr>
        <w:spacing w:line="256" w:lineRule="auto"/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>
        <w:rPr>
          <w:rFonts w:ascii="Arial Narrow" w:hAnsi="Arial Narrow" w:cs="Arial"/>
          <w:b/>
          <w:sz w:val="24"/>
          <w:szCs w:val="24"/>
          <w:lang w:val="en-US"/>
        </w:rPr>
        <w:t>R</w:t>
      </w:r>
      <w:r w:rsidRPr="00A437A9">
        <w:rPr>
          <w:rFonts w:ascii="Arial Narrow" w:hAnsi="Arial Narrow" w:cs="Arial"/>
          <w:b/>
          <w:sz w:val="24"/>
          <w:szCs w:val="24"/>
          <w:lang w:val="en-US"/>
        </w:rPr>
        <w:t>EPUBLIC OF NAMIBIA</w:t>
      </w:r>
    </w:p>
    <w:p w14:paraId="2B52E65B" w14:textId="77777777" w:rsidR="0096153C" w:rsidRPr="00A437A9" w:rsidRDefault="0096153C" w:rsidP="0096153C">
      <w:pPr>
        <w:spacing w:line="256" w:lineRule="auto"/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 w:rsidRPr="00A437A9">
        <w:rPr>
          <w:rFonts w:ascii="Arial Narrow" w:hAnsi="Arial Narrow" w:cs="Arial"/>
          <w:b/>
          <w:noProof/>
          <w:sz w:val="24"/>
          <w:szCs w:val="24"/>
          <w:lang w:val="en-US"/>
        </w:rPr>
        <w:drawing>
          <wp:inline distT="0" distB="0" distL="0" distR="0" wp14:anchorId="13B27615" wp14:editId="4068B59B">
            <wp:extent cx="1129030" cy="1144905"/>
            <wp:effectExtent l="1905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5BEEBA" w14:textId="77777777" w:rsidR="0096153C" w:rsidRPr="00A437A9" w:rsidRDefault="0096153C" w:rsidP="0096153C">
      <w:pPr>
        <w:spacing w:line="256" w:lineRule="auto"/>
        <w:jc w:val="center"/>
        <w:rPr>
          <w:rFonts w:ascii="Arial Narrow" w:hAnsi="Arial Narrow" w:cs="Arial"/>
          <w:b/>
          <w:sz w:val="24"/>
          <w:szCs w:val="24"/>
          <w:lang w:val="en-US"/>
        </w:rPr>
      </w:pPr>
    </w:p>
    <w:p w14:paraId="2FE21BDB" w14:textId="77777777" w:rsidR="0096153C" w:rsidRPr="00A437A9" w:rsidRDefault="0096153C" w:rsidP="0096153C">
      <w:pPr>
        <w:spacing w:line="256" w:lineRule="auto"/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 w:rsidRPr="00A437A9">
        <w:rPr>
          <w:rFonts w:ascii="Arial Narrow" w:hAnsi="Arial Narrow" w:cs="Arial"/>
          <w:b/>
          <w:sz w:val="24"/>
          <w:szCs w:val="24"/>
          <w:lang w:val="en-US"/>
        </w:rPr>
        <w:t xml:space="preserve">IN THE HIGH COURT OF NAMIBIA, </w:t>
      </w:r>
      <w:r>
        <w:rPr>
          <w:rFonts w:ascii="Arial Narrow" w:hAnsi="Arial Narrow" w:cs="Arial"/>
          <w:b/>
          <w:sz w:val="24"/>
          <w:szCs w:val="24"/>
          <w:lang w:val="en-US"/>
        </w:rPr>
        <w:t>MAIN DIVISION, WINDHOEK</w:t>
      </w:r>
    </w:p>
    <w:p w14:paraId="69F955DA" w14:textId="2CDBDF10" w:rsidR="0096153C" w:rsidRPr="00DB243D" w:rsidRDefault="000A2FAB" w:rsidP="00DB243D">
      <w:pPr>
        <w:spacing w:line="256" w:lineRule="auto"/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>
        <w:rPr>
          <w:rFonts w:ascii="Arial Narrow" w:hAnsi="Arial Narrow" w:cs="Arial"/>
          <w:b/>
          <w:sz w:val="24"/>
          <w:szCs w:val="24"/>
          <w:lang w:val="en-US"/>
        </w:rPr>
        <w:t>LEAVE TO APPEAL</w:t>
      </w:r>
      <w:r w:rsidR="0096153C">
        <w:rPr>
          <w:rFonts w:ascii="Arial Narrow" w:hAnsi="Arial Narrow" w:cs="Arial"/>
          <w:b/>
          <w:sz w:val="24"/>
          <w:szCs w:val="24"/>
          <w:lang w:val="en-US"/>
        </w:rPr>
        <w:t xml:space="preserve"> JUDGMENT</w:t>
      </w:r>
    </w:p>
    <w:tbl>
      <w:tblPr>
        <w:tblStyle w:val="TableGrid"/>
        <w:tblW w:w="10312" w:type="dxa"/>
        <w:tblInd w:w="-147" w:type="dxa"/>
        <w:tblLook w:val="04A0" w:firstRow="1" w:lastRow="0" w:firstColumn="1" w:lastColumn="0" w:noHBand="0" w:noVBand="1"/>
      </w:tblPr>
      <w:tblGrid>
        <w:gridCol w:w="5362"/>
        <w:gridCol w:w="4950"/>
      </w:tblGrid>
      <w:tr w:rsidR="0096153C" w14:paraId="2D5C4E1E" w14:textId="77777777" w:rsidTr="008E70BE">
        <w:tc>
          <w:tcPr>
            <w:tcW w:w="5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6BBB" w14:textId="77777777" w:rsidR="0096153C" w:rsidRDefault="0096153C" w:rsidP="008472A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Case Title:</w:t>
            </w:r>
          </w:p>
          <w:p w14:paraId="70B4AF1C" w14:textId="153C9A84" w:rsidR="0096153C" w:rsidRDefault="0096153C" w:rsidP="00DB243D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The State v </w:t>
            </w:r>
            <w:r w:rsidR="00DB243D">
              <w:rPr>
                <w:rFonts w:ascii="Arial" w:hAnsi="Arial" w:cs="Arial"/>
                <w:i/>
                <w:sz w:val="24"/>
                <w:szCs w:val="24"/>
              </w:rPr>
              <w:t xml:space="preserve">Romeo </w:t>
            </w:r>
            <w:proofErr w:type="spellStart"/>
            <w:r w:rsidR="00DB243D">
              <w:rPr>
                <w:rFonts w:ascii="Arial" w:hAnsi="Arial" w:cs="Arial"/>
                <w:i/>
                <w:sz w:val="24"/>
                <w:szCs w:val="24"/>
              </w:rPr>
              <w:t>Manellitto</w:t>
            </w:r>
            <w:proofErr w:type="spellEnd"/>
            <w:r w:rsidR="00DB243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DB243D">
              <w:rPr>
                <w:rFonts w:ascii="Arial" w:hAnsi="Arial" w:cs="Arial"/>
                <w:i/>
                <w:sz w:val="24"/>
                <w:szCs w:val="24"/>
              </w:rPr>
              <w:t>Schiefer</w:t>
            </w:r>
            <w:proofErr w:type="spellEnd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1142" w14:textId="4C7039B3" w:rsidR="0096153C" w:rsidRDefault="0096153C" w:rsidP="008472AD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Case No: </w:t>
            </w:r>
            <w:r w:rsidR="00DB243D">
              <w:rPr>
                <w:rFonts w:ascii="Arial" w:hAnsi="Arial" w:cs="Arial"/>
                <w:sz w:val="24"/>
                <w:szCs w:val="24"/>
              </w:rPr>
              <w:t>CC 17/2008</w:t>
            </w:r>
          </w:p>
          <w:p w14:paraId="12A70AF7" w14:textId="77777777" w:rsidR="0096153C" w:rsidRDefault="0096153C" w:rsidP="008472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53C" w14:paraId="34C0F35B" w14:textId="77777777" w:rsidTr="008E70BE">
        <w:tc>
          <w:tcPr>
            <w:tcW w:w="5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AB11" w14:textId="77777777" w:rsidR="0096153C" w:rsidRDefault="0096153C" w:rsidP="008472AD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80AA" w14:textId="77777777" w:rsidR="0096153C" w:rsidRDefault="0096153C" w:rsidP="008472A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Division of Court: High Court </w:t>
            </w:r>
          </w:p>
          <w:p w14:paraId="793D039F" w14:textId="77777777" w:rsidR="0096153C" w:rsidRDefault="0096153C" w:rsidP="008472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Division</w:t>
            </w:r>
          </w:p>
        </w:tc>
      </w:tr>
      <w:tr w:rsidR="0096153C" w14:paraId="6E37E7C8" w14:textId="77777777" w:rsidTr="008E70BE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C8FE" w14:textId="77777777" w:rsidR="0096153C" w:rsidRDefault="0096153C" w:rsidP="008472A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Heard before:  </w:t>
            </w:r>
          </w:p>
          <w:p w14:paraId="32C14B07" w14:textId="3F7428CA" w:rsidR="0096153C" w:rsidRDefault="00DB243D" w:rsidP="008472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Honourable Justice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Shivute</w:t>
            </w:r>
            <w:proofErr w:type="spellEnd"/>
            <w:r w:rsidR="009615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680CE2" w14:textId="77777777" w:rsidR="0096153C" w:rsidRDefault="0096153C" w:rsidP="008472A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FC8F" w14:textId="77777777" w:rsidR="0096153C" w:rsidRDefault="0096153C" w:rsidP="008472A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Delivered on:  </w:t>
            </w:r>
          </w:p>
          <w:p w14:paraId="195FFE93" w14:textId="5DD45D49" w:rsidR="0096153C" w:rsidRPr="00EA6FFF" w:rsidRDefault="00DB243D" w:rsidP="008472A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 February </w:t>
            </w:r>
            <w:r w:rsidR="00D104D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  <w:p w14:paraId="12B6145D" w14:textId="77777777" w:rsidR="0096153C" w:rsidRDefault="0096153C" w:rsidP="008472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53C" w14:paraId="01432947" w14:textId="77777777" w:rsidTr="008E70BE">
        <w:tc>
          <w:tcPr>
            <w:tcW w:w="10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7DB1" w14:textId="00EFA27E" w:rsidR="00DB243D" w:rsidRPr="00EA6FFF" w:rsidRDefault="0096153C" w:rsidP="00DB243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Neutral citation: </w:t>
            </w:r>
            <w:r w:rsidR="00DB243D">
              <w:rPr>
                <w:rFonts w:ascii="Arial" w:hAnsi="Arial" w:cs="Arial"/>
                <w:i/>
                <w:sz w:val="24"/>
                <w:szCs w:val="24"/>
              </w:rPr>
              <w:t xml:space="preserve">S v </w:t>
            </w:r>
            <w:proofErr w:type="spellStart"/>
            <w:r w:rsidR="00DB243D">
              <w:rPr>
                <w:rFonts w:ascii="Arial" w:hAnsi="Arial" w:cs="Arial"/>
                <w:i/>
                <w:sz w:val="24"/>
                <w:szCs w:val="24"/>
              </w:rPr>
              <w:t>Schiefer</w:t>
            </w:r>
            <w:proofErr w:type="spellEnd"/>
            <w:r w:rsidR="00D104D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B243D">
              <w:rPr>
                <w:rFonts w:ascii="Arial" w:hAnsi="Arial" w:cs="Arial"/>
                <w:sz w:val="24"/>
                <w:szCs w:val="24"/>
              </w:rPr>
              <w:t xml:space="preserve">CC 17/2008) [2020] NAHCMD </w:t>
            </w:r>
            <w:r w:rsidR="00B9563C">
              <w:rPr>
                <w:rFonts w:ascii="Arial" w:hAnsi="Arial" w:cs="Arial"/>
                <w:sz w:val="24"/>
                <w:szCs w:val="24"/>
              </w:rPr>
              <w:t>72</w:t>
            </w:r>
            <w:r w:rsidR="004F6F7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DB243D">
              <w:rPr>
                <w:rFonts w:ascii="Arial" w:hAnsi="Arial" w:cs="Arial"/>
                <w:sz w:val="24"/>
                <w:szCs w:val="24"/>
              </w:rPr>
              <w:t>28 February 2020)</w:t>
            </w:r>
          </w:p>
          <w:p w14:paraId="035F7CCB" w14:textId="77777777" w:rsidR="0096153C" w:rsidRDefault="0096153C" w:rsidP="008472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4DC" w14:paraId="69B0C7DB" w14:textId="77777777" w:rsidTr="008E70BE">
        <w:tc>
          <w:tcPr>
            <w:tcW w:w="10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FE46" w14:textId="77777777" w:rsidR="00C524DC" w:rsidRPr="00C524DC" w:rsidRDefault="00C524DC" w:rsidP="00C524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4DC">
              <w:rPr>
                <w:rFonts w:ascii="Arial" w:hAnsi="Arial" w:cs="Arial"/>
                <w:b/>
                <w:sz w:val="24"/>
                <w:szCs w:val="24"/>
              </w:rPr>
              <w:t>The order:</w:t>
            </w:r>
          </w:p>
          <w:p w14:paraId="4B5787FD" w14:textId="5DCBF1C2" w:rsidR="00C524DC" w:rsidRPr="00C524DC" w:rsidRDefault="00C524DC" w:rsidP="00C524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DC">
              <w:rPr>
                <w:rFonts w:ascii="Arial" w:hAnsi="Arial" w:cs="Arial"/>
                <w:sz w:val="24"/>
                <w:szCs w:val="24"/>
              </w:rPr>
              <w:t xml:space="preserve">Having heard </w:t>
            </w:r>
            <w:r w:rsidR="00DB243D">
              <w:rPr>
                <w:rFonts w:ascii="Arial" w:hAnsi="Arial" w:cs="Arial"/>
                <w:b/>
                <w:sz w:val="24"/>
                <w:szCs w:val="24"/>
              </w:rPr>
              <w:t xml:space="preserve">Mr </w:t>
            </w:r>
            <w:proofErr w:type="spellStart"/>
            <w:r w:rsidR="00DB243D">
              <w:rPr>
                <w:rFonts w:ascii="Arial" w:hAnsi="Arial" w:cs="Arial"/>
                <w:b/>
                <w:sz w:val="24"/>
                <w:szCs w:val="24"/>
              </w:rPr>
              <w:t>Tjombe</w:t>
            </w:r>
            <w:proofErr w:type="spellEnd"/>
            <w:r w:rsidR="00DB24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B243D" w:rsidRPr="00DB243D">
              <w:rPr>
                <w:rFonts w:ascii="Arial" w:hAnsi="Arial" w:cs="Arial"/>
                <w:sz w:val="24"/>
                <w:szCs w:val="24"/>
              </w:rPr>
              <w:t>(Amicus Curiae)</w:t>
            </w:r>
            <w:r w:rsidRPr="00DB243D">
              <w:rPr>
                <w:rFonts w:ascii="Arial" w:hAnsi="Arial" w:cs="Arial"/>
                <w:sz w:val="24"/>
                <w:szCs w:val="24"/>
              </w:rPr>
              <w:t>,</w:t>
            </w:r>
            <w:r w:rsidRPr="00C524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D7FF6">
              <w:rPr>
                <w:rFonts w:ascii="Arial" w:hAnsi="Arial" w:cs="Arial"/>
                <w:sz w:val="24"/>
                <w:szCs w:val="24"/>
              </w:rPr>
              <w:t>for the app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6D7FF6">
              <w:rPr>
                <w:rFonts w:ascii="Arial" w:hAnsi="Arial" w:cs="Arial"/>
                <w:sz w:val="24"/>
                <w:szCs w:val="24"/>
              </w:rPr>
              <w:t>ic</w:t>
            </w:r>
            <w:r w:rsidRPr="00C524DC">
              <w:rPr>
                <w:rFonts w:ascii="Arial" w:hAnsi="Arial" w:cs="Arial"/>
                <w:sz w:val="24"/>
                <w:szCs w:val="24"/>
              </w:rPr>
              <w:t>ant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524DC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DB243D">
              <w:rPr>
                <w:rFonts w:ascii="Arial" w:hAnsi="Arial" w:cs="Arial"/>
                <w:b/>
                <w:sz w:val="24"/>
                <w:szCs w:val="24"/>
              </w:rPr>
              <w:t xml:space="preserve">Ms </w:t>
            </w:r>
            <w:proofErr w:type="spellStart"/>
            <w:r w:rsidR="00DB243D">
              <w:rPr>
                <w:rFonts w:ascii="Arial" w:hAnsi="Arial" w:cs="Arial"/>
                <w:b/>
                <w:sz w:val="24"/>
                <w:szCs w:val="24"/>
              </w:rPr>
              <w:t>Verhoef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524DC">
              <w:rPr>
                <w:rFonts w:ascii="Arial" w:hAnsi="Arial" w:cs="Arial"/>
                <w:sz w:val="24"/>
                <w:szCs w:val="24"/>
              </w:rPr>
              <w:t>for the respondent, and having read the documents filed of record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the submissions made by the parties</w:t>
            </w:r>
            <w:r w:rsidRPr="00C524D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808D677" w14:textId="77777777" w:rsidR="00C524DC" w:rsidRPr="00C524DC" w:rsidRDefault="00C524DC" w:rsidP="00C524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18801B" w14:textId="77777777" w:rsidR="00C524DC" w:rsidRDefault="00C524DC" w:rsidP="00C524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4DC">
              <w:rPr>
                <w:rFonts w:ascii="Arial" w:hAnsi="Arial" w:cs="Arial"/>
                <w:b/>
                <w:sz w:val="24"/>
                <w:szCs w:val="24"/>
              </w:rPr>
              <w:t>IT IS ORDERED THAT:</w:t>
            </w:r>
          </w:p>
          <w:p w14:paraId="5CE08733" w14:textId="77777777" w:rsidR="00B80072" w:rsidRDefault="00B80072" w:rsidP="00C524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770CFB" w14:textId="66A1CD42" w:rsidR="00B80072" w:rsidRPr="00B80072" w:rsidRDefault="00B80072" w:rsidP="00B80072">
            <w:pPr>
              <w:numPr>
                <w:ilvl w:val="0"/>
                <w:numId w:val="14"/>
              </w:numPr>
              <w:tabs>
                <w:tab w:val="left" w:pos="720"/>
              </w:tabs>
              <w:spacing w:line="360" w:lineRule="auto"/>
              <w:ind w:hanging="7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00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This Court has no jurisdiction to entertain the application</w:t>
            </w:r>
            <w:r w:rsidR="00A000B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for</w:t>
            </w:r>
            <w:r w:rsidR="00655A6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5A6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condonation</w:t>
            </w:r>
            <w:proofErr w:type="spellEnd"/>
            <w:r w:rsidR="00655A6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for late filing of leave</w:t>
            </w:r>
            <w:r w:rsidR="00A000B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to appeal, to</w:t>
            </w:r>
            <w:r w:rsidRPr="00B800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lead further evidence and to make</w:t>
            </w:r>
            <w:r w:rsidR="00233B3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</w:t>
            </w:r>
            <w:r w:rsidRPr="00B800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special entry.    </w:t>
            </w:r>
          </w:p>
          <w:p w14:paraId="5739BBA5" w14:textId="770E2C94" w:rsidR="00B80072" w:rsidRPr="00B80072" w:rsidRDefault="00B80072" w:rsidP="00B80072">
            <w:pPr>
              <w:numPr>
                <w:ilvl w:val="0"/>
                <w:numId w:val="14"/>
              </w:numPr>
              <w:tabs>
                <w:tab w:val="left" w:pos="720"/>
              </w:tabs>
              <w:spacing w:line="360" w:lineRule="auto"/>
              <w:ind w:hanging="7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00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The application is struck from the roll</w:t>
            </w:r>
            <w:r w:rsidR="00A000B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and it is regarded as </w:t>
            </w:r>
            <w:proofErr w:type="spellStart"/>
            <w:r w:rsidR="00A000B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finalised</w:t>
            </w:r>
            <w:proofErr w:type="spellEnd"/>
            <w:r w:rsidRPr="00B800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  <w:p w14:paraId="4327D204" w14:textId="77777777" w:rsidR="00C524DC" w:rsidRDefault="00C524DC" w:rsidP="00DB243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153C" w14:paraId="488FFB7E" w14:textId="77777777" w:rsidTr="008E70BE">
        <w:tc>
          <w:tcPr>
            <w:tcW w:w="10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D723" w14:textId="70EB4761" w:rsidR="00E7412C" w:rsidRPr="00184DAE" w:rsidRDefault="00A000BA" w:rsidP="00A36166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Reasons for order</w:t>
            </w:r>
            <w:r w:rsidR="00664C32" w:rsidRPr="00664C32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14:paraId="6887012B" w14:textId="7ABA3318" w:rsidR="00A36166" w:rsidRPr="00184DAE" w:rsidRDefault="00E5493E" w:rsidP="00655A63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lastRenderedPageBreak/>
              <w:t>Shivute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="00A36166" w:rsidRPr="00184DA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J </w:t>
            </w:r>
          </w:p>
          <w:p w14:paraId="1E44B6D9" w14:textId="2B1FE059" w:rsidR="00A36166" w:rsidRPr="00E34813" w:rsidRDefault="00A36166" w:rsidP="009F6A4E">
            <w:pPr>
              <w:pStyle w:val="NoSpacing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DAE">
              <w:rPr>
                <w:rFonts w:ascii="Arial" w:eastAsia="Calibri" w:hAnsi="Arial" w:cs="Arial"/>
                <w:sz w:val="24"/>
                <w:szCs w:val="24"/>
                <w:lang w:val="en-US"/>
              </w:rPr>
              <w:t>This is a</w:t>
            </w:r>
            <w:r w:rsidR="00981FF8" w:rsidRPr="00184DAE">
              <w:rPr>
                <w:rFonts w:ascii="Arial" w:eastAsia="Calibri" w:hAnsi="Arial" w:cs="Arial"/>
                <w:sz w:val="24"/>
                <w:szCs w:val="24"/>
                <w:lang w:val="en-US"/>
              </w:rPr>
              <w:t>n application</w:t>
            </w:r>
            <w:r w:rsidR="00A000B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for </w:t>
            </w:r>
            <w:proofErr w:type="spellStart"/>
            <w:r w:rsidR="00A000BA">
              <w:rPr>
                <w:rFonts w:ascii="Arial" w:eastAsia="Calibri" w:hAnsi="Arial" w:cs="Arial"/>
                <w:sz w:val="24"/>
                <w:szCs w:val="24"/>
                <w:lang w:val="en-US"/>
              </w:rPr>
              <w:t>condonation</w:t>
            </w:r>
            <w:proofErr w:type="spellEnd"/>
            <w:r w:rsidR="00981FF8" w:rsidRPr="00184DA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="00E5493E" w:rsidRPr="00184DAE">
              <w:rPr>
                <w:rFonts w:ascii="Arial" w:eastAsia="Calibri" w:hAnsi="Arial" w:cs="Arial"/>
                <w:sz w:val="24"/>
                <w:szCs w:val="24"/>
                <w:lang w:val="en-US"/>
              </w:rPr>
              <w:t>for</w:t>
            </w:r>
            <w:r w:rsidR="00A000B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late filing of</w:t>
            </w:r>
            <w:r w:rsidR="00E5493E" w:rsidRPr="00184DA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="00E5493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leave to appeal to the </w:t>
            </w:r>
            <w:r w:rsidR="00E5493E" w:rsidRPr="00184DA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Supreme Court </w:t>
            </w:r>
            <w:r w:rsidR="00E5493E">
              <w:rPr>
                <w:rFonts w:ascii="Arial" w:eastAsia="Calibri" w:hAnsi="Arial" w:cs="Arial"/>
                <w:sz w:val="24"/>
                <w:szCs w:val="24"/>
                <w:lang w:val="en-US"/>
              </w:rPr>
              <w:t>and leave to lead further evidence</w:t>
            </w:r>
            <w:r w:rsidR="00A000B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and make a special entry</w:t>
            </w:r>
            <w:r w:rsidR="00E5493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in terms of</w:t>
            </w:r>
            <w:r w:rsidR="00981FF8" w:rsidRPr="00184DA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184DAE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="00981FF8" w:rsidRPr="00184DAE">
              <w:rPr>
                <w:rFonts w:ascii="Arial" w:eastAsia="Calibri" w:hAnsi="Arial" w:cs="Arial"/>
                <w:sz w:val="24"/>
                <w:szCs w:val="24"/>
                <w:lang w:val="en-US"/>
              </w:rPr>
              <w:t>ection</w:t>
            </w:r>
            <w:r w:rsidR="00A000BA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="00981FF8" w:rsidRPr="00184DA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316</w:t>
            </w:r>
            <w:r w:rsidR="00A000BA">
              <w:rPr>
                <w:rFonts w:ascii="Arial" w:eastAsia="Calibri" w:hAnsi="Arial" w:cs="Arial"/>
                <w:sz w:val="24"/>
                <w:szCs w:val="24"/>
                <w:lang w:val="en-US"/>
              </w:rPr>
              <w:t>,317,318 and 319</w:t>
            </w:r>
            <w:r w:rsidR="00981FF8" w:rsidRPr="00184DA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184DAE">
              <w:rPr>
                <w:rFonts w:ascii="Arial" w:eastAsia="Calibri" w:hAnsi="Arial" w:cs="Arial"/>
                <w:sz w:val="24"/>
                <w:szCs w:val="24"/>
                <w:lang w:val="en-US"/>
              </w:rPr>
              <w:t>of the Criminal Procedure Act 51 of 1977</w:t>
            </w:r>
            <w:r w:rsidR="005519DD" w:rsidRPr="00184DA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. </w:t>
            </w:r>
          </w:p>
          <w:p w14:paraId="39F67477" w14:textId="77777777" w:rsidR="00CD38C5" w:rsidRDefault="00CD38C5" w:rsidP="00CD38C5">
            <w:pPr>
              <w:pStyle w:val="ListParagraph"/>
              <w:spacing w:after="200" w:line="360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4C44B077" w14:textId="0C02E898" w:rsidR="00981FF8" w:rsidRDefault="00AF24F0" w:rsidP="00CD38C5">
            <w:pPr>
              <w:pStyle w:val="ListParagraph"/>
              <w:spacing w:after="200" w:line="360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[2]  </w:t>
            </w:r>
            <w:r w:rsidR="00A36166" w:rsidRPr="00184DA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="00CD38C5">
              <w:rPr>
                <w:rFonts w:ascii="Arial" w:eastAsia="Calibri" w:hAnsi="Arial" w:cs="Arial"/>
                <w:sz w:val="24"/>
                <w:szCs w:val="24"/>
                <w:lang w:val="en-US"/>
              </w:rPr>
              <w:t>On 25 September 2013, t</w:t>
            </w:r>
            <w:r w:rsidR="00CD38C5" w:rsidRPr="00CD38C5">
              <w:rPr>
                <w:rFonts w:ascii="Arial" w:eastAsia="Calibri" w:hAnsi="Arial" w:cs="Arial"/>
                <w:sz w:val="24"/>
                <w:szCs w:val="24"/>
                <w:lang w:val="en-GB"/>
              </w:rPr>
              <w:t>he applican</w:t>
            </w:r>
            <w:r w:rsidR="00233B3A">
              <w:rPr>
                <w:rFonts w:ascii="Arial" w:eastAsia="Calibri" w:hAnsi="Arial" w:cs="Arial"/>
                <w:sz w:val="24"/>
                <w:szCs w:val="24"/>
                <w:lang w:val="en-GB"/>
              </w:rPr>
              <w:t>t was convicted in this court on</w:t>
            </w:r>
            <w:r w:rsidR="00CD38C5" w:rsidRPr="00CD38C5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two counts of murder with direct intent read with the provisions of the Combating of</w:t>
            </w:r>
            <w:r w:rsidR="000A2FAB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Domestic Violence Act 4 of 2003</w:t>
            </w:r>
            <w:r w:rsidR="00CD38C5" w:rsidRPr="00CD38C5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and one count of theft.  He was sentenced to 28 years’ imprisonment on each count of murder of which 8 years’ imprisonment on the second count was ordered to run concurrently with the sentence on the first count.  He was warned and cautioned in respect of the third count</w:t>
            </w:r>
            <w:r w:rsidR="00EF5E5E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.  </w:t>
            </w:r>
          </w:p>
          <w:p w14:paraId="6D32F40B" w14:textId="77777777" w:rsidR="00CD38C5" w:rsidRPr="00CD38C5" w:rsidRDefault="00CD38C5" w:rsidP="00CD38C5">
            <w:pPr>
              <w:pStyle w:val="ListParagraph"/>
              <w:spacing w:after="200" w:line="360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02152BCA" w14:textId="02149A4A" w:rsidR="00A35D75" w:rsidRPr="00184DAE" w:rsidRDefault="00A35D75" w:rsidP="00A35D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DAE">
              <w:rPr>
                <w:rFonts w:ascii="Arial" w:hAnsi="Arial" w:cs="Arial"/>
                <w:sz w:val="24"/>
                <w:szCs w:val="24"/>
              </w:rPr>
              <w:t>[3]</w:t>
            </w:r>
            <w:r w:rsidRPr="00184DAE">
              <w:rPr>
                <w:rFonts w:ascii="Arial" w:hAnsi="Arial" w:cs="Arial"/>
                <w:sz w:val="24"/>
                <w:szCs w:val="24"/>
              </w:rPr>
              <w:tab/>
              <w:t>Dissatisfied with the outcome of the proceedings, the app</w:t>
            </w:r>
            <w:r w:rsidR="00981FF8" w:rsidRPr="00184DAE">
              <w:rPr>
                <w:rFonts w:ascii="Arial" w:hAnsi="Arial" w:cs="Arial"/>
                <w:sz w:val="24"/>
                <w:szCs w:val="24"/>
              </w:rPr>
              <w:t xml:space="preserve">licant </w:t>
            </w:r>
            <w:r w:rsidRPr="00184DAE">
              <w:rPr>
                <w:rFonts w:ascii="Arial" w:hAnsi="Arial" w:cs="Arial"/>
                <w:sz w:val="24"/>
                <w:szCs w:val="24"/>
              </w:rPr>
              <w:t>lodged an app</w:t>
            </w:r>
            <w:r w:rsidR="00981FF8" w:rsidRPr="00184DAE">
              <w:rPr>
                <w:rFonts w:ascii="Arial" w:hAnsi="Arial" w:cs="Arial"/>
                <w:sz w:val="24"/>
                <w:szCs w:val="24"/>
              </w:rPr>
              <w:t>lication for leave to appeal to the Supreme Court against his</w:t>
            </w:r>
            <w:r w:rsidR="00111320">
              <w:rPr>
                <w:rFonts w:ascii="Arial" w:hAnsi="Arial" w:cs="Arial"/>
                <w:sz w:val="24"/>
                <w:szCs w:val="24"/>
              </w:rPr>
              <w:t xml:space="preserve"> conviction and sentence</w:t>
            </w:r>
            <w:r w:rsidR="00EF5E5E">
              <w:rPr>
                <w:rFonts w:ascii="Arial" w:hAnsi="Arial" w:cs="Arial"/>
                <w:sz w:val="24"/>
                <w:szCs w:val="24"/>
              </w:rPr>
              <w:t xml:space="preserve">, which </w:t>
            </w:r>
            <w:r w:rsidR="00D670D2">
              <w:rPr>
                <w:rFonts w:ascii="Arial" w:hAnsi="Arial" w:cs="Arial"/>
                <w:sz w:val="24"/>
                <w:szCs w:val="24"/>
              </w:rPr>
              <w:t>application was</w:t>
            </w:r>
            <w:r w:rsidR="00111320">
              <w:rPr>
                <w:rFonts w:ascii="Arial" w:hAnsi="Arial" w:cs="Arial"/>
                <w:sz w:val="24"/>
                <w:szCs w:val="24"/>
              </w:rPr>
              <w:t xml:space="preserve"> heard on 14 April 2014.</w:t>
            </w:r>
          </w:p>
          <w:p w14:paraId="013D83B5" w14:textId="77777777" w:rsidR="00A35D75" w:rsidRPr="00184DAE" w:rsidRDefault="00A35D75" w:rsidP="00A35D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4A986A" w14:textId="1D279E35" w:rsidR="00695E48" w:rsidRDefault="00A35D75" w:rsidP="00A35D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7A9">
              <w:rPr>
                <w:rFonts w:ascii="Arial" w:hAnsi="Arial" w:cs="Arial"/>
                <w:color w:val="000000" w:themeColor="text1"/>
                <w:sz w:val="24"/>
                <w:szCs w:val="24"/>
              </w:rPr>
              <w:t>[4]</w:t>
            </w:r>
            <w:r w:rsidRPr="00B227A9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="00111320" w:rsidRPr="00B227A9">
              <w:rPr>
                <w:rFonts w:ascii="Arial" w:hAnsi="Arial" w:cs="Arial"/>
                <w:color w:val="000000" w:themeColor="text1"/>
                <w:sz w:val="24"/>
                <w:szCs w:val="24"/>
              </w:rPr>
              <w:t>On 16 September 2014</w:t>
            </w:r>
            <w:r w:rsidR="00695E48" w:rsidRPr="00B227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</w:t>
            </w:r>
            <w:r w:rsidR="00111320" w:rsidRPr="00B227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this </w:t>
            </w:r>
            <w:r w:rsidR="00111320">
              <w:rPr>
                <w:rFonts w:ascii="Arial" w:hAnsi="Arial" w:cs="Arial"/>
                <w:sz w:val="24"/>
                <w:szCs w:val="24"/>
              </w:rPr>
              <w:t>court refused to grant the applicant leave to appeal to the supreme court against his conviction and sentence .</w:t>
            </w:r>
            <w:r w:rsidR="00695E48">
              <w:rPr>
                <w:rFonts w:ascii="Arial" w:hAnsi="Arial" w:cs="Arial"/>
                <w:sz w:val="24"/>
                <w:szCs w:val="24"/>
              </w:rPr>
              <w:t>Therea</w:t>
            </w:r>
            <w:r w:rsidR="00EF5E5E">
              <w:rPr>
                <w:rFonts w:ascii="Arial" w:hAnsi="Arial" w:cs="Arial"/>
                <w:sz w:val="24"/>
                <w:szCs w:val="24"/>
              </w:rPr>
              <w:t>fter the applicant petitioned</w:t>
            </w:r>
            <w:r w:rsidR="00695E48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233B3A">
              <w:rPr>
                <w:rFonts w:ascii="Arial" w:hAnsi="Arial" w:cs="Arial"/>
                <w:sz w:val="24"/>
                <w:szCs w:val="24"/>
              </w:rPr>
              <w:t xml:space="preserve"> Chief J</w:t>
            </w:r>
            <w:r w:rsidR="00EF5E5E">
              <w:rPr>
                <w:rFonts w:ascii="Arial" w:hAnsi="Arial" w:cs="Arial"/>
                <w:sz w:val="24"/>
                <w:szCs w:val="24"/>
              </w:rPr>
              <w:t>ustice</w:t>
            </w:r>
            <w:r w:rsidR="00695E48">
              <w:rPr>
                <w:rFonts w:ascii="Arial" w:hAnsi="Arial" w:cs="Arial"/>
                <w:sz w:val="24"/>
                <w:szCs w:val="24"/>
              </w:rPr>
              <w:t xml:space="preserve"> for special leave to appeal against his conviction and sentence.</w:t>
            </w:r>
          </w:p>
          <w:p w14:paraId="1DF6FA9F" w14:textId="77777777" w:rsidR="00695E48" w:rsidRDefault="00695E48" w:rsidP="00A35D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60794E" w14:textId="0E76E095" w:rsidR="005F4E07" w:rsidRPr="00184DAE" w:rsidRDefault="00695E48" w:rsidP="00A35D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[5</w:t>
            </w:r>
            <w:r w:rsidRPr="00184DAE">
              <w:rPr>
                <w:rFonts w:ascii="Arial" w:hAnsi="Arial" w:cs="Arial"/>
                <w:sz w:val="24"/>
                <w:szCs w:val="24"/>
              </w:rPr>
              <w:t>]</w:t>
            </w:r>
            <w:r w:rsidR="00AF24F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A4F19">
              <w:rPr>
                <w:rFonts w:ascii="Arial" w:hAnsi="Arial" w:cs="Arial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sz w:val="24"/>
                <w:szCs w:val="24"/>
              </w:rPr>
              <w:t>he Supreme court refused to</w:t>
            </w:r>
            <w:r w:rsidR="000A2FAB">
              <w:rPr>
                <w:rFonts w:ascii="Arial" w:hAnsi="Arial" w:cs="Arial"/>
                <w:sz w:val="24"/>
                <w:szCs w:val="24"/>
              </w:rPr>
              <w:t xml:space="preserve"> grant leave to</w:t>
            </w:r>
            <w:r>
              <w:rPr>
                <w:rFonts w:ascii="Arial" w:hAnsi="Arial" w:cs="Arial"/>
                <w:sz w:val="24"/>
                <w:szCs w:val="24"/>
              </w:rPr>
              <w:t xml:space="preserve"> appeal</w:t>
            </w:r>
            <w:r w:rsidR="008D1653">
              <w:rPr>
                <w:rFonts w:ascii="Arial" w:hAnsi="Arial" w:cs="Arial"/>
                <w:sz w:val="24"/>
                <w:szCs w:val="24"/>
              </w:rPr>
              <w:t xml:space="preserve"> against his</w:t>
            </w:r>
            <w:r>
              <w:rPr>
                <w:rFonts w:ascii="Arial" w:hAnsi="Arial" w:cs="Arial"/>
                <w:sz w:val="24"/>
                <w:szCs w:val="24"/>
              </w:rPr>
              <w:t xml:space="preserve"> conviction</w:t>
            </w:r>
            <w:r w:rsidR="00EF5E5E">
              <w:rPr>
                <w:rFonts w:ascii="Arial" w:hAnsi="Arial" w:cs="Arial"/>
                <w:sz w:val="24"/>
                <w:szCs w:val="24"/>
              </w:rPr>
              <w:t xml:space="preserve"> but he was partial</w:t>
            </w:r>
            <w:r w:rsidR="000A2FAB">
              <w:rPr>
                <w:rFonts w:ascii="Arial" w:hAnsi="Arial" w:cs="Arial"/>
                <w:sz w:val="24"/>
                <w:szCs w:val="24"/>
              </w:rPr>
              <w:t>ly</w:t>
            </w:r>
            <w:r w:rsidR="00EF5E5E">
              <w:rPr>
                <w:rFonts w:ascii="Arial" w:hAnsi="Arial" w:cs="Arial"/>
                <w:sz w:val="24"/>
                <w:szCs w:val="24"/>
              </w:rPr>
              <w:t xml:space="preserve"> successful as he was granted leave</w:t>
            </w:r>
            <w:r w:rsidR="001C3ADC">
              <w:rPr>
                <w:rFonts w:ascii="Arial" w:hAnsi="Arial" w:cs="Arial"/>
                <w:sz w:val="24"/>
                <w:szCs w:val="24"/>
              </w:rPr>
              <w:t xml:space="preserve"> to appeal against his sentence.</w:t>
            </w:r>
            <w:r w:rsidR="00EF5E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3ADC">
              <w:rPr>
                <w:rFonts w:ascii="Arial" w:hAnsi="Arial" w:cs="Arial"/>
                <w:sz w:val="24"/>
                <w:szCs w:val="24"/>
              </w:rPr>
              <w:t xml:space="preserve"> On</w:t>
            </w:r>
            <w:r w:rsidR="008D1653">
              <w:rPr>
                <w:rFonts w:ascii="Arial" w:hAnsi="Arial" w:cs="Arial"/>
                <w:sz w:val="24"/>
                <w:szCs w:val="24"/>
              </w:rPr>
              <w:t xml:space="preserve"> 12 </w:t>
            </w:r>
            <w:r w:rsidR="009A4F19">
              <w:rPr>
                <w:rFonts w:ascii="Arial" w:hAnsi="Arial" w:cs="Arial"/>
                <w:sz w:val="24"/>
                <w:szCs w:val="24"/>
              </w:rPr>
              <w:t>September 2017</w:t>
            </w:r>
            <w:r w:rsidR="008D1653">
              <w:rPr>
                <w:rFonts w:ascii="Arial" w:hAnsi="Arial" w:cs="Arial"/>
                <w:sz w:val="24"/>
                <w:szCs w:val="24"/>
              </w:rPr>
              <w:t xml:space="preserve"> the Supreme court confirmed the sentence imposed on count 1 and 2 </w:t>
            </w:r>
            <w:r w:rsidR="009A4F19">
              <w:rPr>
                <w:rFonts w:ascii="Arial" w:hAnsi="Arial" w:cs="Arial"/>
                <w:sz w:val="24"/>
                <w:szCs w:val="24"/>
              </w:rPr>
              <w:t>but,</w:t>
            </w:r>
            <w:r w:rsidR="008D1653">
              <w:rPr>
                <w:rFonts w:ascii="Arial" w:hAnsi="Arial" w:cs="Arial"/>
                <w:sz w:val="24"/>
                <w:szCs w:val="24"/>
              </w:rPr>
              <w:t xml:space="preserve"> ordered that the 14 years’ of the sentence imposed in count 2 should run concurrently with the sentence imposed in cou</w:t>
            </w:r>
            <w:r w:rsidR="001C3ADC">
              <w:rPr>
                <w:rFonts w:ascii="Arial" w:hAnsi="Arial" w:cs="Arial"/>
                <w:sz w:val="24"/>
                <w:szCs w:val="24"/>
              </w:rPr>
              <w:t>nt 1.</w:t>
            </w:r>
          </w:p>
          <w:p w14:paraId="0D86173B" w14:textId="77777777" w:rsidR="00356B0E" w:rsidRDefault="00356B0E" w:rsidP="00A35D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9858F5" w14:textId="0B537076" w:rsidR="005F4E07" w:rsidRDefault="00356B0E" w:rsidP="00A35D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[6</w:t>
            </w:r>
            <w:r w:rsidR="00AF24F0">
              <w:rPr>
                <w:rFonts w:ascii="Arial" w:hAnsi="Arial" w:cs="Arial"/>
                <w:sz w:val="24"/>
                <w:szCs w:val="24"/>
              </w:rPr>
              <w:t xml:space="preserve">] </w:t>
            </w:r>
            <w:r w:rsidR="002C3BF9" w:rsidRPr="002C3BF9">
              <w:rPr>
                <w:rFonts w:ascii="Arial" w:hAnsi="Arial" w:cs="Arial"/>
                <w:sz w:val="24"/>
                <w:szCs w:val="24"/>
              </w:rPr>
              <w:t xml:space="preserve">  In the current application</w:t>
            </w:r>
            <w:r w:rsidR="002C3BF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184DAE" w:rsidRPr="00184DAE">
              <w:rPr>
                <w:rFonts w:ascii="Arial" w:hAnsi="Arial" w:cs="Arial"/>
                <w:i/>
                <w:sz w:val="24"/>
                <w:szCs w:val="24"/>
              </w:rPr>
              <w:t>Mr</w:t>
            </w:r>
            <w:r w:rsidR="002C3BF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2C3BF9" w:rsidRPr="00F37DA5">
              <w:rPr>
                <w:rFonts w:ascii="Arial" w:hAnsi="Arial" w:cs="Arial"/>
                <w:sz w:val="24"/>
                <w:szCs w:val="24"/>
              </w:rPr>
              <w:t>Tjombe</w:t>
            </w:r>
            <w:proofErr w:type="spellEnd"/>
            <w:r w:rsidR="00F37DA5" w:rsidRPr="00F37DA5">
              <w:rPr>
                <w:rFonts w:ascii="Arial" w:hAnsi="Arial" w:cs="Arial"/>
                <w:sz w:val="24"/>
                <w:szCs w:val="24"/>
              </w:rPr>
              <w:t xml:space="preserve"> argued the application</w:t>
            </w:r>
            <w:r w:rsidR="00F37DA5">
              <w:rPr>
                <w:rFonts w:ascii="Arial" w:hAnsi="Arial" w:cs="Arial"/>
                <w:i/>
                <w:sz w:val="24"/>
                <w:szCs w:val="24"/>
              </w:rPr>
              <w:t xml:space="preserve"> amicus curiae</w:t>
            </w:r>
            <w:r w:rsidR="009C08BD" w:rsidRPr="00184DA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537BA7">
              <w:rPr>
                <w:rFonts w:ascii="Arial" w:hAnsi="Arial" w:cs="Arial"/>
                <w:sz w:val="24"/>
                <w:szCs w:val="24"/>
              </w:rPr>
              <w:t xml:space="preserve">and the court is indebted </w:t>
            </w:r>
            <w:r w:rsidR="002C3BF9">
              <w:rPr>
                <w:rFonts w:ascii="Arial" w:hAnsi="Arial" w:cs="Arial"/>
                <w:sz w:val="24"/>
                <w:szCs w:val="24"/>
              </w:rPr>
              <w:t>t</w:t>
            </w:r>
            <w:r w:rsidR="00537BA7">
              <w:rPr>
                <w:rFonts w:ascii="Arial" w:hAnsi="Arial" w:cs="Arial"/>
                <w:sz w:val="24"/>
                <w:szCs w:val="24"/>
              </w:rPr>
              <w:t>o him for his assistance herein.</w:t>
            </w:r>
            <w:r w:rsidR="002C3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7BA7">
              <w:rPr>
                <w:rFonts w:ascii="Arial" w:hAnsi="Arial" w:cs="Arial"/>
                <w:sz w:val="24"/>
                <w:szCs w:val="24"/>
              </w:rPr>
              <w:t>The</w:t>
            </w:r>
            <w:r w:rsidR="002C3BF9">
              <w:rPr>
                <w:rFonts w:ascii="Arial" w:hAnsi="Arial" w:cs="Arial"/>
                <w:sz w:val="24"/>
                <w:szCs w:val="24"/>
              </w:rPr>
              <w:t xml:space="preserve"> state was represented by Mrs </w:t>
            </w:r>
            <w:proofErr w:type="spellStart"/>
            <w:r w:rsidR="009A4F19">
              <w:rPr>
                <w:rFonts w:ascii="Arial" w:hAnsi="Arial" w:cs="Arial"/>
                <w:i/>
                <w:sz w:val="24"/>
                <w:szCs w:val="24"/>
              </w:rPr>
              <w:t>Ve</w:t>
            </w:r>
            <w:r w:rsidR="002C3BF9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="002C3BF9" w:rsidRPr="002C3BF9">
              <w:rPr>
                <w:rFonts w:ascii="Arial" w:hAnsi="Arial" w:cs="Arial"/>
                <w:i/>
                <w:sz w:val="24"/>
                <w:szCs w:val="24"/>
              </w:rPr>
              <w:t>hoef</w:t>
            </w:r>
            <w:proofErr w:type="spellEnd"/>
            <w:r w:rsidR="00A24E5E" w:rsidRPr="00184D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0F74C01" w14:textId="4A2B76AA" w:rsidR="00A24E5E" w:rsidRPr="00184DAE" w:rsidRDefault="00A24E5E" w:rsidP="00A35D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F327D4" w14:textId="1C0F7CC1" w:rsidR="009A4F19" w:rsidRDefault="009A4F19" w:rsidP="00A35D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[7</w:t>
            </w:r>
            <w:r w:rsidR="00A24E5E" w:rsidRPr="00184DAE">
              <w:rPr>
                <w:rFonts w:ascii="Arial" w:hAnsi="Arial" w:cs="Arial"/>
                <w:sz w:val="24"/>
                <w:szCs w:val="24"/>
              </w:rPr>
              <w:t xml:space="preserve">]   </w:t>
            </w:r>
            <w:r>
              <w:rPr>
                <w:rFonts w:ascii="Arial" w:hAnsi="Arial" w:cs="Arial"/>
                <w:sz w:val="24"/>
                <w:szCs w:val="24"/>
              </w:rPr>
              <w:t>Briefly the applicant’s application was brought on the following grounds:</w:t>
            </w:r>
          </w:p>
          <w:p w14:paraId="1931A705" w14:textId="77777777" w:rsidR="009A4F19" w:rsidRDefault="009A4F19" w:rsidP="00A35D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190505" w14:textId="1567980C" w:rsidR="005C7F2F" w:rsidRDefault="005C7F2F" w:rsidP="00A35D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 respect of the special entry for</w:t>
            </w:r>
            <w:r w:rsidR="00F37DA5">
              <w:rPr>
                <w:rFonts w:ascii="Arial" w:hAnsi="Arial" w:cs="Arial"/>
                <w:sz w:val="24"/>
                <w:szCs w:val="24"/>
              </w:rPr>
              <w:t xml:space="preserve"> alleged</w:t>
            </w:r>
            <w:r>
              <w:rPr>
                <w:rFonts w:ascii="Arial" w:hAnsi="Arial" w:cs="Arial"/>
                <w:sz w:val="24"/>
                <w:szCs w:val="24"/>
              </w:rPr>
              <w:t xml:space="preserve"> irregularities or illegalities in terms of section 319 of the Criminal Procedure Act 51 of 1977 (herei</w:t>
            </w:r>
            <w:r w:rsidR="00F37DA5">
              <w:rPr>
                <w:rFonts w:ascii="Arial" w:hAnsi="Arial" w:cs="Arial"/>
                <w:sz w:val="24"/>
                <w:szCs w:val="24"/>
              </w:rPr>
              <w:t>n after referred to as the Act), it was contended that:</w:t>
            </w:r>
          </w:p>
          <w:p w14:paraId="6D898E66" w14:textId="77777777" w:rsidR="005C7F2F" w:rsidRDefault="005C7F2F" w:rsidP="00A35D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B4B5BD" w14:textId="5DFDA464" w:rsidR="005C7F2F" w:rsidRDefault="00162C68" w:rsidP="00A35D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7.1 T</w:t>
            </w:r>
            <w:r w:rsidR="001F5BDD">
              <w:rPr>
                <w:rFonts w:ascii="Arial" w:hAnsi="Arial" w:cs="Arial"/>
                <w:sz w:val="24"/>
                <w:szCs w:val="24"/>
              </w:rPr>
              <w:t>he State failed to disclose certain</w:t>
            </w:r>
            <w:r w:rsidR="001C3ADC">
              <w:rPr>
                <w:rFonts w:ascii="Arial" w:hAnsi="Arial" w:cs="Arial"/>
                <w:sz w:val="24"/>
                <w:szCs w:val="24"/>
              </w:rPr>
              <w:t xml:space="preserve"> evidence including</w:t>
            </w:r>
            <w:r w:rsidR="001F5BDD">
              <w:rPr>
                <w:rFonts w:ascii="Arial" w:hAnsi="Arial" w:cs="Arial"/>
                <w:sz w:val="24"/>
                <w:szCs w:val="24"/>
              </w:rPr>
              <w:t xml:space="preserve"> documents of pro</w:t>
            </w:r>
            <w:r w:rsidR="00560A80">
              <w:rPr>
                <w:rFonts w:ascii="Arial" w:hAnsi="Arial" w:cs="Arial"/>
                <w:sz w:val="24"/>
                <w:szCs w:val="24"/>
              </w:rPr>
              <w:t>cedural</w:t>
            </w:r>
            <w:r w:rsidR="001C3ADC">
              <w:rPr>
                <w:rFonts w:ascii="Arial" w:hAnsi="Arial" w:cs="Arial"/>
                <w:sz w:val="24"/>
                <w:szCs w:val="24"/>
              </w:rPr>
              <w:t xml:space="preserve"> nature. </w:t>
            </w:r>
            <w:r w:rsidR="00560A80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1F5B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3ADC">
              <w:rPr>
                <w:rFonts w:ascii="Arial" w:hAnsi="Arial" w:cs="Arial"/>
                <w:sz w:val="24"/>
                <w:szCs w:val="24"/>
              </w:rPr>
              <w:t>warning</w:t>
            </w:r>
            <w:r w:rsidR="005934F0">
              <w:rPr>
                <w:rFonts w:ascii="Arial" w:hAnsi="Arial" w:cs="Arial"/>
                <w:sz w:val="24"/>
                <w:szCs w:val="24"/>
              </w:rPr>
              <w:t xml:space="preserve"> statement</w:t>
            </w:r>
            <w:r w:rsidR="001F5BDD">
              <w:rPr>
                <w:rFonts w:ascii="Arial" w:hAnsi="Arial" w:cs="Arial"/>
                <w:sz w:val="24"/>
                <w:szCs w:val="24"/>
              </w:rPr>
              <w:t xml:space="preserve"> was handed </w:t>
            </w:r>
            <w:r w:rsidR="000A2FAB">
              <w:rPr>
                <w:rFonts w:ascii="Arial" w:hAnsi="Arial" w:cs="Arial"/>
                <w:sz w:val="24"/>
                <w:szCs w:val="24"/>
              </w:rPr>
              <w:t>over to the</w:t>
            </w:r>
            <w:r w:rsidR="001F5BDD">
              <w:rPr>
                <w:rFonts w:ascii="Arial" w:hAnsi="Arial" w:cs="Arial"/>
                <w:sz w:val="24"/>
                <w:szCs w:val="24"/>
              </w:rPr>
              <w:t xml:space="preserve"> court before</w:t>
            </w:r>
            <w:r w:rsidR="001C3ADC">
              <w:rPr>
                <w:rFonts w:ascii="Arial" w:hAnsi="Arial" w:cs="Arial"/>
                <w:sz w:val="24"/>
                <w:szCs w:val="24"/>
              </w:rPr>
              <w:t xml:space="preserve"> the trial</w:t>
            </w:r>
            <w:r w:rsidR="005010F0">
              <w:rPr>
                <w:rFonts w:ascii="Arial" w:hAnsi="Arial" w:cs="Arial"/>
                <w:sz w:val="24"/>
                <w:szCs w:val="24"/>
              </w:rPr>
              <w:t xml:space="preserve"> had started</w:t>
            </w:r>
            <w:r w:rsidR="000A2FAB">
              <w:rPr>
                <w:rFonts w:ascii="Arial" w:hAnsi="Arial" w:cs="Arial"/>
                <w:sz w:val="24"/>
                <w:szCs w:val="24"/>
              </w:rPr>
              <w:t xml:space="preserve"> therefore,</w:t>
            </w:r>
            <w:r w:rsidR="005010F0">
              <w:rPr>
                <w:rFonts w:ascii="Arial" w:hAnsi="Arial" w:cs="Arial"/>
                <w:sz w:val="24"/>
                <w:szCs w:val="24"/>
              </w:rPr>
              <w:t xml:space="preserve"> it was not properly produced. </w:t>
            </w:r>
            <w:r w:rsidR="00560A80">
              <w:rPr>
                <w:rFonts w:ascii="Arial" w:hAnsi="Arial" w:cs="Arial"/>
                <w:sz w:val="24"/>
                <w:szCs w:val="24"/>
              </w:rPr>
              <w:t>T</w:t>
            </w:r>
            <w:r w:rsidR="001F5BDD">
              <w:rPr>
                <w:rFonts w:ascii="Arial" w:hAnsi="Arial" w:cs="Arial"/>
                <w:sz w:val="24"/>
                <w:szCs w:val="24"/>
              </w:rPr>
              <w:t>he Confession was tak</w:t>
            </w:r>
            <w:r w:rsidR="005C7F2F">
              <w:rPr>
                <w:rFonts w:ascii="Arial" w:hAnsi="Arial" w:cs="Arial"/>
                <w:sz w:val="24"/>
                <w:szCs w:val="24"/>
              </w:rPr>
              <w:t>en before the warning statement</w:t>
            </w:r>
            <w:r w:rsidR="005010F0">
              <w:rPr>
                <w:rFonts w:ascii="Arial" w:hAnsi="Arial" w:cs="Arial"/>
                <w:sz w:val="24"/>
                <w:szCs w:val="24"/>
              </w:rPr>
              <w:t xml:space="preserve"> was taken</w:t>
            </w:r>
            <w:r w:rsidR="005C7F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2FAB">
              <w:rPr>
                <w:rFonts w:ascii="Arial" w:hAnsi="Arial" w:cs="Arial"/>
                <w:sz w:val="24"/>
                <w:szCs w:val="24"/>
              </w:rPr>
              <w:t>and this is in contravention</w:t>
            </w:r>
            <w:r w:rsidR="005934F0">
              <w:rPr>
                <w:rFonts w:ascii="Arial" w:hAnsi="Arial" w:cs="Arial"/>
                <w:sz w:val="24"/>
                <w:szCs w:val="24"/>
              </w:rPr>
              <w:t xml:space="preserve"> of</w:t>
            </w:r>
            <w:r w:rsidR="005010F0">
              <w:rPr>
                <w:rFonts w:ascii="Arial" w:hAnsi="Arial" w:cs="Arial"/>
                <w:sz w:val="24"/>
                <w:szCs w:val="24"/>
              </w:rPr>
              <w:t xml:space="preserve"> Article 12 of the Constitution.</w:t>
            </w:r>
            <w:r w:rsidR="00560A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7F2F">
              <w:rPr>
                <w:rFonts w:ascii="Arial" w:hAnsi="Arial" w:cs="Arial"/>
                <w:sz w:val="24"/>
                <w:szCs w:val="24"/>
              </w:rPr>
              <w:t>There were fingerprints taken from the scene of crime but</w:t>
            </w:r>
            <w:r w:rsidR="000A2FAB">
              <w:rPr>
                <w:rFonts w:ascii="Arial" w:hAnsi="Arial" w:cs="Arial"/>
                <w:sz w:val="24"/>
                <w:szCs w:val="24"/>
              </w:rPr>
              <w:t>,</w:t>
            </w:r>
            <w:r w:rsidR="005C7F2F">
              <w:rPr>
                <w:rFonts w:ascii="Arial" w:hAnsi="Arial" w:cs="Arial"/>
                <w:sz w:val="24"/>
                <w:szCs w:val="24"/>
              </w:rPr>
              <w:t xml:space="preserve"> such fingerprints were not pr</w:t>
            </w:r>
            <w:r w:rsidR="00560A80">
              <w:rPr>
                <w:rFonts w:ascii="Arial" w:hAnsi="Arial" w:cs="Arial"/>
                <w:sz w:val="24"/>
                <w:szCs w:val="24"/>
              </w:rPr>
              <w:t>oduced as exhibits during</w:t>
            </w:r>
            <w:r w:rsidR="005010F0">
              <w:rPr>
                <w:rFonts w:ascii="Arial" w:hAnsi="Arial" w:cs="Arial"/>
                <w:sz w:val="24"/>
                <w:szCs w:val="24"/>
              </w:rPr>
              <w:t xml:space="preserve"> the trial.</w:t>
            </w:r>
            <w:r w:rsidR="00560A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7F2F">
              <w:rPr>
                <w:rFonts w:ascii="Arial" w:hAnsi="Arial" w:cs="Arial"/>
                <w:sz w:val="24"/>
                <w:szCs w:val="24"/>
              </w:rPr>
              <w:t xml:space="preserve">The video footage taken at the scene of crime indicating how the offence was </w:t>
            </w:r>
            <w:r w:rsidR="00560A80">
              <w:rPr>
                <w:rFonts w:ascii="Arial" w:hAnsi="Arial" w:cs="Arial"/>
                <w:sz w:val="24"/>
                <w:szCs w:val="24"/>
              </w:rPr>
              <w:t>committed</w:t>
            </w:r>
            <w:r w:rsidR="005010F0">
              <w:rPr>
                <w:rFonts w:ascii="Arial" w:hAnsi="Arial" w:cs="Arial"/>
                <w:sz w:val="24"/>
                <w:szCs w:val="24"/>
              </w:rPr>
              <w:t xml:space="preserve"> was not produced.</w:t>
            </w:r>
            <w:r w:rsidR="005C7F2F">
              <w:rPr>
                <w:rFonts w:ascii="Arial" w:hAnsi="Arial" w:cs="Arial"/>
                <w:sz w:val="24"/>
                <w:szCs w:val="24"/>
              </w:rPr>
              <w:t xml:space="preserve"> The court a quo erred in </w:t>
            </w:r>
            <w:r w:rsidR="005010F0">
              <w:rPr>
                <w:rFonts w:ascii="Arial" w:hAnsi="Arial" w:cs="Arial"/>
                <w:sz w:val="24"/>
                <w:szCs w:val="24"/>
              </w:rPr>
              <w:t>accepting the testimony of</w:t>
            </w:r>
            <w:r w:rsidR="005C7F2F">
              <w:rPr>
                <w:rFonts w:ascii="Arial" w:hAnsi="Arial" w:cs="Arial"/>
                <w:sz w:val="24"/>
                <w:szCs w:val="24"/>
              </w:rPr>
              <w:t xml:space="preserve"> police officer Mr </w:t>
            </w:r>
            <w:proofErr w:type="spellStart"/>
            <w:r w:rsidR="005C7F2F">
              <w:rPr>
                <w:rFonts w:ascii="Arial" w:hAnsi="Arial" w:cs="Arial"/>
                <w:sz w:val="24"/>
                <w:szCs w:val="24"/>
              </w:rPr>
              <w:t>Unandapo</w:t>
            </w:r>
            <w:proofErr w:type="spellEnd"/>
            <w:r w:rsidR="005010F0">
              <w:rPr>
                <w:rFonts w:ascii="Arial" w:hAnsi="Arial" w:cs="Arial"/>
                <w:sz w:val="24"/>
                <w:szCs w:val="24"/>
              </w:rPr>
              <w:t xml:space="preserve"> and that</w:t>
            </w:r>
            <w:r w:rsidR="00560A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10F0">
              <w:rPr>
                <w:rFonts w:ascii="Arial" w:hAnsi="Arial" w:cs="Arial"/>
                <w:sz w:val="24"/>
                <w:szCs w:val="24"/>
              </w:rPr>
              <w:t xml:space="preserve">the proceedings were not in accordance with justice </w:t>
            </w:r>
            <w:r w:rsidR="005C7F2F">
              <w:rPr>
                <w:rFonts w:ascii="Arial" w:hAnsi="Arial" w:cs="Arial"/>
                <w:sz w:val="24"/>
                <w:szCs w:val="24"/>
              </w:rPr>
              <w:t>as the court a</w:t>
            </w:r>
            <w:r w:rsidR="00F37B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7F2F">
              <w:rPr>
                <w:rFonts w:ascii="Arial" w:hAnsi="Arial" w:cs="Arial"/>
                <w:sz w:val="24"/>
                <w:szCs w:val="24"/>
              </w:rPr>
              <w:t>quo failed to take into consideration all the evidence.</w:t>
            </w:r>
          </w:p>
          <w:p w14:paraId="78CABBB4" w14:textId="77777777" w:rsidR="005934F0" w:rsidRDefault="005934F0" w:rsidP="00A35D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8FD99C" w14:textId="5F5EEEB9" w:rsidR="005934F0" w:rsidRDefault="005934F0" w:rsidP="00A35D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respect of the application to lead further evidence in terms of section 316(3) of the Act</w:t>
            </w:r>
            <w:r w:rsidR="00162C68">
              <w:rPr>
                <w:rFonts w:ascii="Arial" w:hAnsi="Arial" w:cs="Arial"/>
                <w:sz w:val="24"/>
                <w:szCs w:val="24"/>
              </w:rPr>
              <w:t>, the argument is that: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9D0383" w14:textId="77777777" w:rsidR="005934F0" w:rsidRDefault="005934F0" w:rsidP="00A35D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811267" w14:textId="060200EB" w:rsidR="00A71D3E" w:rsidRDefault="005934F0" w:rsidP="00A35D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</w:t>
            </w:r>
            <w:r w:rsidR="005010F0">
              <w:rPr>
                <w:rFonts w:ascii="Arial" w:hAnsi="Arial" w:cs="Arial"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sz w:val="24"/>
                <w:szCs w:val="24"/>
              </w:rPr>
              <w:t xml:space="preserve"> applicant appli</w:t>
            </w:r>
            <w:r w:rsidR="005010F0">
              <w:rPr>
                <w:rFonts w:ascii="Arial" w:hAnsi="Arial" w:cs="Arial"/>
                <w:sz w:val="24"/>
                <w:szCs w:val="24"/>
              </w:rPr>
              <w:t>ed for his conviction</w:t>
            </w:r>
            <w:r w:rsidR="00F37B8E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5010F0">
              <w:rPr>
                <w:rFonts w:ascii="Arial" w:hAnsi="Arial" w:cs="Arial"/>
                <w:sz w:val="24"/>
                <w:szCs w:val="24"/>
              </w:rPr>
              <w:t xml:space="preserve"> sentence</w:t>
            </w:r>
            <w:r>
              <w:rPr>
                <w:rFonts w:ascii="Arial" w:hAnsi="Arial" w:cs="Arial"/>
                <w:sz w:val="24"/>
                <w:szCs w:val="24"/>
              </w:rPr>
              <w:t xml:space="preserve"> to be set aside and for the matter to be remitted before the trial judge for hearing of</w:t>
            </w:r>
            <w:r w:rsidR="005010F0">
              <w:rPr>
                <w:rFonts w:ascii="Arial" w:hAnsi="Arial" w:cs="Arial"/>
                <w:sz w:val="24"/>
                <w:szCs w:val="24"/>
              </w:rPr>
              <w:t xml:space="preserve"> further</w:t>
            </w:r>
            <w:r>
              <w:rPr>
                <w:rFonts w:ascii="Arial" w:hAnsi="Arial" w:cs="Arial"/>
                <w:sz w:val="24"/>
                <w:szCs w:val="24"/>
              </w:rPr>
              <w:t xml:space="preserve"> evidence</w:t>
            </w:r>
            <w:r w:rsidR="00036B12">
              <w:rPr>
                <w:rFonts w:ascii="Arial" w:hAnsi="Arial" w:cs="Arial"/>
                <w:sz w:val="24"/>
                <w:szCs w:val="24"/>
              </w:rPr>
              <w:t xml:space="preserve"> regarding the warning statement. </w:t>
            </w:r>
          </w:p>
          <w:p w14:paraId="6A2C98AC" w14:textId="77777777" w:rsidR="001F5BDD" w:rsidRDefault="001F5BDD" w:rsidP="00A35D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E9FFF6" w14:textId="16ADDA36" w:rsidR="001F5BDD" w:rsidRDefault="00D670D2" w:rsidP="00A35D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[8]</w:t>
            </w:r>
            <w:r w:rsidR="00F37B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24F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37B8E">
              <w:rPr>
                <w:rFonts w:ascii="Arial" w:hAnsi="Arial" w:cs="Arial"/>
                <w:sz w:val="24"/>
                <w:szCs w:val="24"/>
              </w:rPr>
              <w:t>In response to the</w:t>
            </w:r>
            <w:r w:rsidR="001F5BDD">
              <w:rPr>
                <w:rFonts w:ascii="Arial" w:hAnsi="Arial" w:cs="Arial"/>
                <w:sz w:val="24"/>
                <w:szCs w:val="24"/>
              </w:rPr>
              <w:t xml:space="preserve"> issues rai</w:t>
            </w:r>
            <w:r w:rsidR="00A71D3E">
              <w:rPr>
                <w:rFonts w:ascii="Arial" w:hAnsi="Arial" w:cs="Arial"/>
                <w:sz w:val="24"/>
                <w:szCs w:val="24"/>
              </w:rPr>
              <w:t>sed by the applica</w:t>
            </w:r>
            <w:r w:rsidR="00F37B8E">
              <w:rPr>
                <w:rFonts w:ascii="Arial" w:hAnsi="Arial" w:cs="Arial"/>
                <w:sz w:val="24"/>
                <w:szCs w:val="24"/>
              </w:rPr>
              <w:t xml:space="preserve">nt, Counsel for the state </w:t>
            </w:r>
            <w:r w:rsidR="00DF114E">
              <w:rPr>
                <w:rFonts w:ascii="Arial" w:hAnsi="Arial" w:cs="Arial"/>
                <w:sz w:val="24"/>
                <w:szCs w:val="24"/>
              </w:rPr>
              <w:t xml:space="preserve">submitted that the applicant, in his </w:t>
            </w:r>
            <w:r w:rsidR="00A71D3E">
              <w:rPr>
                <w:rFonts w:ascii="Arial" w:hAnsi="Arial" w:cs="Arial"/>
                <w:sz w:val="24"/>
                <w:szCs w:val="24"/>
              </w:rPr>
              <w:t xml:space="preserve">application for special entry and irregularities, does not </w:t>
            </w:r>
            <w:r w:rsidR="00312685">
              <w:rPr>
                <w:rFonts w:ascii="Arial" w:hAnsi="Arial" w:cs="Arial"/>
                <w:sz w:val="24"/>
                <w:szCs w:val="24"/>
              </w:rPr>
              <w:t>refer to any new evidence. Further</w:t>
            </w:r>
            <w:r w:rsidR="00A71D3E">
              <w:rPr>
                <w:rFonts w:ascii="Arial" w:hAnsi="Arial" w:cs="Arial"/>
                <w:sz w:val="24"/>
                <w:szCs w:val="24"/>
              </w:rPr>
              <w:t xml:space="preserve"> that all the issues raised have already been ventilated during trial and</w:t>
            </w:r>
            <w:r w:rsidR="00312685">
              <w:rPr>
                <w:rFonts w:ascii="Arial" w:hAnsi="Arial" w:cs="Arial"/>
                <w:sz w:val="24"/>
                <w:szCs w:val="24"/>
              </w:rPr>
              <w:t xml:space="preserve"> some were part of his grounds for</w:t>
            </w:r>
            <w:r w:rsidR="00A71D3E">
              <w:rPr>
                <w:rFonts w:ascii="Arial" w:hAnsi="Arial" w:cs="Arial"/>
                <w:sz w:val="24"/>
                <w:szCs w:val="24"/>
              </w:rPr>
              <w:t xml:space="preserve"> leave to appeal which was refused by this court and this court would therefore</w:t>
            </w:r>
            <w:r w:rsidR="00036B12">
              <w:rPr>
                <w:rFonts w:ascii="Arial" w:hAnsi="Arial" w:cs="Arial"/>
                <w:sz w:val="24"/>
                <w:szCs w:val="24"/>
              </w:rPr>
              <w:t>,</w:t>
            </w:r>
            <w:r w:rsidR="00F37B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1D3E">
              <w:rPr>
                <w:rFonts w:ascii="Arial" w:hAnsi="Arial" w:cs="Arial"/>
                <w:sz w:val="24"/>
                <w:szCs w:val="24"/>
              </w:rPr>
              <w:t xml:space="preserve">not have jurisdiction to hear the applicant on the same </w:t>
            </w:r>
            <w:r w:rsidR="000A2FAB">
              <w:rPr>
                <w:rFonts w:ascii="Arial" w:hAnsi="Arial" w:cs="Arial"/>
                <w:sz w:val="24"/>
                <w:szCs w:val="24"/>
              </w:rPr>
              <w:t xml:space="preserve">issues. </w:t>
            </w:r>
            <w:r w:rsidR="00A71D3E">
              <w:rPr>
                <w:rFonts w:ascii="Arial" w:hAnsi="Arial" w:cs="Arial"/>
                <w:sz w:val="24"/>
                <w:szCs w:val="24"/>
              </w:rPr>
              <w:t>It was further submitted by Counsel for the state that</w:t>
            </w:r>
            <w:r w:rsidR="00036B12">
              <w:rPr>
                <w:rFonts w:ascii="Arial" w:hAnsi="Arial" w:cs="Arial"/>
                <w:sz w:val="24"/>
                <w:szCs w:val="24"/>
              </w:rPr>
              <w:t xml:space="preserve"> even if this court had jurisdiction to entertain the matter</w:t>
            </w:r>
            <w:r w:rsidR="00A71D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2685">
              <w:rPr>
                <w:rFonts w:ascii="Arial" w:hAnsi="Arial" w:cs="Arial"/>
                <w:sz w:val="24"/>
                <w:szCs w:val="24"/>
              </w:rPr>
              <w:t>the applicant</w:t>
            </w:r>
            <w:r w:rsidR="00F37B8E">
              <w:rPr>
                <w:rFonts w:ascii="Arial" w:hAnsi="Arial" w:cs="Arial"/>
                <w:sz w:val="24"/>
                <w:szCs w:val="24"/>
              </w:rPr>
              <w:t>’</w:t>
            </w:r>
            <w:r w:rsidR="00312685">
              <w:rPr>
                <w:rFonts w:ascii="Arial" w:hAnsi="Arial" w:cs="Arial"/>
                <w:sz w:val="24"/>
                <w:szCs w:val="24"/>
              </w:rPr>
              <w:t>s applicati</w:t>
            </w:r>
            <w:r w:rsidR="00036B12">
              <w:rPr>
                <w:rFonts w:ascii="Arial" w:hAnsi="Arial" w:cs="Arial"/>
                <w:sz w:val="24"/>
                <w:szCs w:val="24"/>
              </w:rPr>
              <w:t>on to lead further evidence would</w:t>
            </w:r>
            <w:r w:rsidR="00312685">
              <w:rPr>
                <w:rFonts w:ascii="Arial" w:hAnsi="Arial" w:cs="Arial"/>
                <w:sz w:val="24"/>
                <w:szCs w:val="24"/>
              </w:rPr>
              <w:t xml:space="preserve"> requi</w:t>
            </w:r>
            <w:r w:rsidR="00F37B8E">
              <w:rPr>
                <w:rFonts w:ascii="Arial" w:hAnsi="Arial" w:cs="Arial"/>
                <w:sz w:val="24"/>
                <w:szCs w:val="24"/>
              </w:rPr>
              <w:t>re</w:t>
            </w:r>
            <w:r w:rsidR="00036B12">
              <w:rPr>
                <w:rFonts w:ascii="Arial" w:hAnsi="Arial" w:cs="Arial"/>
                <w:sz w:val="24"/>
                <w:szCs w:val="24"/>
              </w:rPr>
              <w:t xml:space="preserve"> to meet certain </w:t>
            </w:r>
            <w:r w:rsidR="00F37B8E">
              <w:rPr>
                <w:rFonts w:ascii="Arial" w:hAnsi="Arial" w:cs="Arial"/>
                <w:sz w:val="24"/>
                <w:szCs w:val="24"/>
              </w:rPr>
              <w:t xml:space="preserve"> requirements</w:t>
            </w:r>
            <w:r w:rsidR="00036B12">
              <w:rPr>
                <w:rFonts w:ascii="Arial" w:hAnsi="Arial" w:cs="Arial"/>
                <w:sz w:val="24"/>
                <w:szCs w:val="24"/>
              </w:rPr>
              <w:t xml:space="preserve"> namely;</w:t>
            </w:r>
          </w:p>
          <w:p w14:paraId="3BA5E5FC" w14:textId="77777777" w:rsidR="00311E3D" w:rsidRDefault="00311E3D" w:rsidP="00A35D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A623E8" w14:textId="0B9106DF" w:rsidR="00D670D2" w:rsidRDefault="00311E3D" w:rsidP="00A35D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11E3D">
              <w:rPr>
                <w:rFonts w:ascii="Arial" w:hAnsi="Arial" w:cs="Arial"/>
              </w:rPr>
              <w:t xml:space="preserve"> </w:t>
            </w:r>
            <w:r w:rsidR="00F37B8E">
              <w:rPr>
                <w:rFonts w:ascii="Arial" w:hAnsi="Arial" w:cs="Arial"/>
              </w:rPr>
              <w:t xml:space="preserve">     </w:t>
            </w:r>
            <w:r w:rsidRPr="00311E3D">
              <w:rPr>
                <w:rFonts w:ascii="Arial" w:hAnsi="Arial" w:cs="Arial"/>
              </w:rPr>
              <w:t>(a) There should be some reasonably sufficient explanation, based on allegations which may be true, why the evidence which it is sought to lead</w:t>
            </w:r>
            <w:r w:rsidR="003E6450">
              <w:rPr>
                <w:rFonts w:ascii="Arial" w:hAnsi="Arial" w:cs="Arial"/>
              </w:rPr>
              <w:t xml:space="preserve"> was not led at the trial. (b) T</w:t>
            </w:r>
            <w:r w:rsidRPr="00311E3D">
              <w:rPr>
                <w:rFonts w:ascii="Arial" w:hAnsi="Arial" w:cs="Arial"/>
              </w:rPr>
              <w:t xml:space="preserve">here should be a prima facie </w:t>
            </w:r>
            <w:r w:rsidRPr="00311E3D">
              <w:rPr>
                <w:rFonts w:ascii="Arial" w:hAnsi="Arial" w:cs="Arial"/>
              </w:rPr>
              <w:lastRenderedPageBreak/>
              <w:t xml:space="preserve">likelihood of the truth of the evidence (c) </w:t>
            </w:r>
            <w:r w:rsidR="003E6450" w:rsidRPr="00311E3D">
              <w:rPr>
                <w:rFonts w:ascii="Arial" w:hAnsi="Arial" w:cs="Arial"/>
              </w:rPr>
              <w:t>The</w:t>
            </w:r>
            <w:r w:rsidRPr="00311E3D">
              <w:rPr>
                <w:rFonts w:ascii="Arial" w:hAnsi="Arial" w:cs="Arial"/>
              </w:rPr>
              <w:t xml:space="preserve"> evidence should be materially releva</w:t>
            </w:r>
            <w:r w:rsidR="005B1938">
              <w:rPr>
                <w:rFonts w:ascii="Arial" w:hAnsi="Arial" w:cs="Arial"/>
              </w:rPr>
              <w:t xml:space="preserve">nt to the outcome of the trial. See </w:t>
            </w:r>
            <w:r w:rsidR="005B1938" w:rsidRPr="00D670D2">
              <w:rPr>
                <w:rFonts w:ascii="Arial" w:hAnsi="Arial" w:cs="Arial"/>
                <w:i/>
              </w:rPr>
              <w:t xml:space="preserve">S v De </w:t>
            </w:r>
            <w:proofErr w:type="spellStart"/>
            <w:r w:rsidR="00EC02EF" w:rsidRPr="00D670D2">
              <w:rPr>
                <w:rFonts w:ascii="Arial" w:hAnsi="Arial" w:cs="Arial"/>
                <w:i/>
              </w:rPr>
              <w:t>Jager</w:t>
            </w:r>
            <w:proofErr w:type="spellEnd"/>
            <w:r w:rsidR="00EC02EF" w:rsidRPr="00D670D2">
              <w:rPr>
                <w:rFonts w:ascii="Arial" w:hAnsi="Arial" w:cs="Arial"/>
                <w:i/>
              </w:rPr>
              <w:t xml:space="preserve"> 1965</w:t>
            </w:r>
            <w:r w:rsidR="00EC02EF">
              <w:rPr>
                <w:rFonts w:ascii="Arial" w:hAnsi="Arial" w:cs="Arial"/>
              </w:rPr>
              <w:t xml:space="preserve"> (</w:t>
            </w:r>
            <w:r w:rsidR="005B1938">
              <w:rPr>
                <w:rFonts w:ascii="Arial" w:hAnsi="Arial" w:cs="Arial"/>
              </w:rPr>
              <w:t xml:space="preserve">2) SA 612 </w:t>
            </w:r>
            <w:r w:rsidR="00EC02EF">
              <w:rPr>
                <w:rFonts w:ascii="Arial" w:hAnsi="Arial" w:cs="Arial"/>
              </w:rPr>
              <w:t xml:space="preserve">(A). </w:t>
            </w:r>
          </w:p>
          <w:p w14:paraId="01F93592" w14:textId="77777777" w:rsidR="00D670D2" w:rsidRDefault="00D670D2" w:rsidP="00A35D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EF750B2" w14:textId="40C3583B" w:rsidR="00D670D2" w:rsidRDefault="00D670D2" w:rsidP="00A35D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[9]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24F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84DAE">
              <w:rPr>
                <w:rFonts w:ascii="Arial" w:hAnsi="Arial" w:cs="Arial"/>
                <w:sz w:val="24"/>
                <w:szCs w:val="24"/>
              </w:rPr>
              <w:t>Both</w:t>
            </w:r>
            <w:r w:rsidR="002C3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7B8E">
              <w:rPr>
                <w:rFonts w:ascii="Arial" w:hAnsi="Arial" w:cs="Arial"/>
                <w:sz w:val="24"/>
                <w:szCs w:val="24"/>
              </w:rPr>
              <w:t xml:space="preserve">Counsel for the state and </w:t>
            </w:r>
            <w:r w:rsidR="00F00345">
              <w:rPr>
                <w:rFonts w:ascii="Arial" w:hAnsi="Arial" w:cs="Arial"/>
                <w:sz w:val="24"/>
                <w:szCs w:val="24"/>
              </w:rPr>
              <w:t xml:space="preserve">counsel </w:t>
            </w:r>
            <w:r w:rsidR="00F00345" w:rsidRPr="00EC02EF">
              <w:rPr>
                <w:rFonts w:ascii="Arial" w:hAnsi="Arial" w:cs="Arial"/>
                <w:i/>
                <w:sz w:val="24"/>
                <w:szCs w:val="24"/>
              </w:rPr>
              <w:t>amicus curiae</w:t>
            </w:r>
            <w:r w:rsidR="00A24E5E" w:rsidRPr="00184DAE">
              <w:rPr>
                <w:rFonts w:ascii="Arial" w:hAnsi="Arial" w:cs="Arial"/>
                <w:sz w:val="24"/>
                <w:szCs w:val="24"/>
              </w:rPr>
              <w:t xml:space="preserve"> are </w:t>
            </w:r>
            <w:r w:rsidR="00A24E5E" w:rsidRPr="00184DAE">
              <w:rPr>
                <w:rFonts w:ascii="Arial" w:hAnsi="Arial" w:cs="Arial"/>
                <w:i/>
                <w:iCs/>
                <w:sz w:val="24"/>
                <w:szCs w:val="24"/>
              </w:rPr>
              <w:t>ad idem</w:t>
            </w:r>
            <w:r w:rsidR="00A24E5E" w:rsidRPr="00184D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1D71" w:rsidRPr="00184DAE">
              <w:rPr>
                <w:rFonts w:ascii="Arial" w:hAnsi="Arial" w:cs="Arial"/>
                <w:sz w:val="24"/>
                <w:szCs w:val="24"/>
              </w:rPr>
              <w:t xml:space="preserve">that the application for leave </w:t>
            </w:r>
            <w:r w:rsidR="002C3BF9">
              <w:rPr>
                <w:rFonts w:ascii="Arial" w:hAnsi="Arial" w:cs="Arial"/>
                <w:sz w:val="24"/>
                <w:szCs w:val="24"/>
              </w:rPr>
              <w:t xml:space="preserve">to appeal </w:t>
            </w:r>
            <w:r w:rsidR="00AB1D71" w:rsidRPr="00184DAE">
              <w:rPr>
                <w:rFonts w:ascii="Arial" w:hAnsi="Arial" w:cs="Arial"/>
                <w:sz w:val="24"/>
                <w:szCs w:val="24"/>
              </w:rPr>
              <w:t>was already heard by this court</w:t>
            </w:r>
            <w:r w:rsidR="002C3BF9">
              <w:rPr>
                <w:rFonts w:ascii="Arial" w:hAnsi="Arial" w:cs="Arial"/>
                <w:sz w:val="24"/>
                <w:szCs w:val="24"/>
              </w:rPr>
              <w:t xml:space="preserve"> and that this </w:t>
            </w:r>
            <w:r w:rsidR="00901C73">
              <w:rPr>
                <w:rFonts w:ascii="Arial" w:hAnsi="Arial" w:cs="Arial"/>
                <w:sz w:val="24"/>
                <w:szCs w:val="24"/>
              </w:rPr>
              <w:t>court lacked</w:t>
            </w:r>
            <w:r w:rsidR="002C3BF9">
              <w:rPr>
                <w:rFonts w:ascii="Arial" w:hAnsi="Arial" w:cs="Arial"/>
                <w:sz w:val="24"/>
                <w:szCs w:val="24"/>
              </w:rPr>
              <w:t xml:space="preserve"> jurisdiction to hear the </w:t>
            </w:r>
            <w:r w:rsidR="005B1938">
              <w:rPr>
                <w:rFonts w:ascii="Arial" w:hAnsi="Arial" w:cs="Arial"/>
                <w:sz w:val="24"/>
                <w:szCs w:val="24"/>
              </w:rPr>
              <w:t xml:space="preserve">matter. </w:t>
            </w:r>
          </w:p>
          <w:p w14:paraId="4B9F84F2" w14:textId="59EA4B36" w:rsidR="000005D9" w:rsidRPr="003D57AB" w:rsidRDefault="00D670D2" w:rsidP="003D57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Both counsel referred me to several authorities.</w:t>
            </w:r>
          </w:p>
          <w:p w14:paraId="5755FC2D" w14:textId="1670D4F0" w:rsidR="00901C73" w:rsidRPr="000005D9" w:rsidRDefault="000005D9" w:rsidP="000005D9">
            <w:pPr>
              <w:tabs>
                <w:tab w:val="left" w:pos="598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05D9">
              <w:rPr>
                <w:rFonts w:ascii="Arial" w:hAnsi="Arial" w:cs="Arial"/>
                <w:sz w:val="24"/>
                <w:szCs w:val="24"/>
              </w:rPr>
              <w:tab/>
            </w:r>
          </w:p>
          <w:p w14:paraId="1540DAE1" w14:textId="55C13F99" w:rsidR="00D670D2" w:rsidRDefault="00AB1D71" w:rsidP="00A35D75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84D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2E92">
              <w:rPr>
                <w:rFonts w:ascii="Arial" w:hAnsi="Arial" w:cs="Arial"/>
                <w:sz w:val="24"/>
                <w:szCs w:val="24"/>
              </w:rPr>
              <w:t>[10</w:t>
            </w:r>
            <w:r w:rsidR="002C3BF9" w:rsidRPr="00184DAE">
              <w:rPr>
                <w:rFonts w:ascii="Arial" w:hAnsi="Arial" w:cs="Arial"/>
                <w:sz w:val="24"/>
                <w:szCs w:val="24"/>
              </w:rPr>
              <w:t>]</w:t>
            </w:r>
            <w:r w:rsidR="00AF24F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C3BF9" w:rsidRPr="00184D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70D2" w:rsidRPr="0087228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Having hea</w:t>
            </w:r>
            <w:r w:rsidR="00D670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rd arguments from both counsel</w:t>
            </w:r>
            <w:r w:rsidR="00FA09C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</w:t>
            </w:r>
            <w:r w:rsidR="00D670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it should now be determined as to whether this</w:t>
            </w:r>
            <w:r w:rsidR="00D670D2" w:rsidRPr="0087228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court has jurisdiction to entertain the application for </w:t>
            </w:r>
            <w:proofErr w:type="spellStart"/>
            <w:r w:rsidR="00D670D2" w:rsidRPr="0087228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condonation</w:t>
            </w:r>
            <w:proofErr w:type="spellEnd"/>
            <w:r w:rsidR="000A2FA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="00E032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</w:t>
            </w:r>
            <w:r w:rsidR="000A2FA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</w:t>
            </w:r>
            <w:r w:rsidR="00E032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 leave</w:t>
            </w:r>
            <w:r w:rsidR="000A2FA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to</w:t>
            </w:r>
            <w:r w:rsidR="00E032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appeal,</w:t>
            </w:r>
            <w:r w:rsidR="00EC0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to</w:t>
            </w:r>
            <w:r w:rsidR="00D670D2" w:rsidRPr="0087228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lead further evidence and to make a special entry after the</w:t>
            </w:r>
            <w:r w:rsidR="003D57A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applicant had</w:t>
            </w:r>
            <w:r w:rsidR="00D670D2" w:rsidRPr="0087228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petition</w:t>
            </w:r>
            <w:r w:rsidR="003D57A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ed the Chief Justice</w:t>
            </w:r>
            <w:r w:rsidR="00E032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as already stated,</w:t>
            </w:r>
            <w:r w:rsidR="003D57A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his application</w:t>
            </w:r>
            <w:r w:rsidR="00D670D2" w:rsidRPr="0087228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="00D670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was</w:t>
            </w:r>
            <w:r w:rsidR="003D57A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partially successful when he was granted leave to appeal against sentence. </w:t>
            </w:r>
          </w:p>
          <w:p w14:paraId="43C5C725" w14:textId="77777777" w:rsidR="003D57AB" w:rsidRDefault="003D57AB" w:rsidP="00A35D75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3FFABA10" w14:textId="53A269D9" w:rsidR="003D57AB" w:rsidRDefault="003D57AB" w:rsidP="003D57AB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84DAE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11] </w:t>
            </w:r>
            <w:r w:rsidR="00AF24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28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Section 316(9)(a) of the </w:t>
            </w:r>
            <w:r w:rsidRPr="009F6A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Act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states as follows:</w:t>
            </w:r>
          </w:p>
          <w:p w14:paraId="0BCA18FF" w14:textId="77777777" w:rsidR="003D57AB" w:rsidRDefault="003D57AB" w:rsidP="003D57AB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EAEAB6B" w14:textId="77777777" w:rsidR="003D57AB" w:rsidRDefault="003D57AB" w:rsidP="003D57AB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        ‘</w:t>
            </w:r>
            <w:r w:rsidRPr="009F6A4E">
              <w:rPr>
                <w:rFonts w:ascii="Arial" w:eastAsia="Times New Roman" w:hAnsi="Arial" w:cs="Arial"/>
                <w:lang w:val="en-US"/>
              </w:rPr>
              <w:t>The decision of the Appellate Division or of the judges thereof considering the petition, as the case</w:t>
            </w:r>
          </w:p>
          <w:p w14:paraId="6DF30DFF" w14:textId="77777777" w:rsidR="003D57AB" w:rsidRDefault="003D57AB" w:rsidP="003D57AB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9F6A4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gramStart"/>
            <w:r w:rsidRPr="009F6A4E">
              <w:rPr>
                <w:rFonts w:ascii="Arial" w:eastAsia="Times New Roman" w:hAnsi="Arial" w:cs="Arial"/>
                <w:lang w:val="en-US"/>
              </w:rPr>
              <w:t>may</w:t>
            </w:r>
            <w:proofErr w:type="gramEnd"/>
            <w:r w:rsidRPr="009F6A4E">
              <w:rPr>
                <w:rFonts w:ascii="Arial" w:eastAsia="Times New Roman" w:hAnsi="Arial" w:cs="Arial"/>
                <w:lang w:val="en-US"/>
              </w:rPr>
              <w:t xml:space="preserve"> be, to grant or refuse any application shall be final.</w:t>
            </w:r>
            <w:r>
              <w:rPr>
                <w:rFonts w:ascii="Arial" w:eastAsia="Times New Roman" w:hAnsi="Arial" w:cs="Arial"/>
                <w:lang w:val="en-US"/>
              </w:rPr>
              <w:t>’</w:t>
            </w:r>
            <w:r w:rsidRPr="009F6A4E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14:paraId="0E6A76F0" w14:textId="77777777" w:rsidR="003F780D" w:rsidRDefault="003F780D" w:rsidP="003D57AB">
            <w:pPr>
              <w:spacing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25618CF0" w14:textId="41DA2FCA" w:rsidR="003F780D" w:rsidRPr="003F780D" w:rsidRDefault="00AF24F0" w:rsidP="003D57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[12]   </w:t>
            </w:r>
            <w:r w:rsidR="003F780D" w:rsidRPr="009F6A4E">
              <w:rPr>
                <w:rFonts w:ascii="Arial" w:hAnsi="Arial" w:cs="Arial"/>
                <w:sz w:val="24"/>
                <w:szCs w:val="24"/>
              </w:rPr>
              <w:t>This court heard the application for leave to appeal</w:t>
            </w:r>
            <w:r w:rsidR="003F780D">
              <w:rPr>
                <w:rFonts w:ascii="Arial" w:hAnsi="Arial" w:cs="Arial"/>
                <w:sz w:val="24"/>
                <w:szCs w:val="24"/>
              </w:rPr>
              <w:t xml:space="preserve"> against conviction and sentence in 2014</w:t>
            </w:r>
            <w:r w:rsidR="003F780D" w:rsidRPr="00184DAE">
              <w:rPr>
                <w:rFonts w:ascii="Arial" w:hAnsi="Arial" w:cs="Arial"/>
                <w:sz w:val="24"/>
                <w:szCs w:val="24"/>
              </w:rPr>
              <w:t xml:space="preserve"> and dismissed it. </w:t>
            </w:r>
            <w:r w:rsidR="00FA09C5">
              <w:rPr>
                <w:rFonts w:ascii="Arial" w:hAnsi="Arial" w:cs="Arial"/>
                <w:sz w:val="24"/>
                <w:szCs w:val="24"/>
              </w:rPr>
              <w:t>A</w:t>
            </w:r>
            <w:r w:rsidR="003F780D">
              <w:rPr>
                <w:rFonts w:ascii="Arial" w:hAnsi="Arial" w:cs="Arial"/>
                <w:sz w:val="24"/>
                <w:szCs w:val="24"/>
              </w:rPr>
              <w:t>fter petitioning the Chief Justice</w:t>
            </w:r>
            <w:r w:rsidR="00FA09C5">
              <w:rPr>
                <w:rFonts w:ascii="Arial" w:hAnsi="Arial" w:cs="Arial"/>
                <w:sz w:val="24"/>
                <w:szCs w:val="24"/>
              </w:rPr>
              <w:t>, the applicant’s</w:t>
            </w:r>
            <w:r w:rsidR="003F780D">
              <w:rPr>
                <w:rFonts w:ascii="Arial" w:hAnsi="Arial" w:cs="Arial"/>
                <w:sz w:val="24"/>
                <w:szCs w:val="24"/>
              </w:rPr>
              <w:t xml:space="preserve"> case was heard in the Supreme Court where the court gave its decision. An application for leave to appeal can therefore not be entertained by this court as </w:t>
            </w:r>
            <w:r w:rsidR="001A559A">
              <w:rPr>
                <w:rFonts w:ascii="Arial" w:hAnsi="Arial" w:cs="Arial"/>
                <w:sz w:val="24"/>
                <w:szCs w:val="24"/>
              </w:rPr>
              <w:t>the matter</w:t>
            </w:r>
            <w:r w:rsidR="003F780D">
              <w:rPr>
                <w:rFonts w:ascii="Arial" w:hAnsi="Arial" w:cs="Arial"/>
                <w:sz w:val="24"/>
                <w:szCs w:val="24"/>
              </w:rPr>
              <w:t xml:space="preserve"> has already been adjudicated upon by a superior court whose decision is final.</w:t>
            </w:r>
          </w:p>
          <w:p w14:paraId="1A98457E" w14:textId="77777777" w:rsidR="003D57AB" w:rsidRDefault="003D57AB" w:rsidP="003D57AB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47C9492" w14:textId="3AA77690" w:rsidR="00D670D2" w:rsidRDefault="003F780D" w:rsidP="003F780D">
            <w:pPr>
              <w:tabs>
                <w:tab w:val="left" w:pos="450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See</w:t>
            </w:r>
            <w:r w:rsidR="003D57A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="003D57AB" w:rsidRPr="003F780D"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  <w:t xml:space="preserve">S v </w:t>
            </w:r>
            <w:proofErr w:type="spellStart"/>
            <w:r w:rsidR="003D57AB" w:rsidRPr="003F780D"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  <w:t>Strowitzki</w:t>
            </w:r>
            <w:proofErr w:type="spellEnd"/>
            <w:r w:rsidR="003D57A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2003 NR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145 (SC)</w:t>
            </w:r>
          </w:p>
          <w:p w14:paraId="457C3633" w14:textId="77777777" w:rsidR="003F780D" w:rsidRPr="003F780D" w:rsidRDefault="003F780D" w:rsidP="003F780D">
            <w:pPr>
              <w:tabs>
                <w:tab w:val="left" w:pos="450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B7344B3" w14:textId="5F95257D" w:rsidR="000005D9" w:rsidRDefault="002C3BF9" w:rsidP="00A35D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D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2DFE">
              <w:rPr>
                <w:rFonts w:ascii="Arial" w:hAnsi="Arial" w:cs="Arial"/>
                <w:sz w:val="24"/>
                <w:szCs w:val="24"/>
              </w:rPr>
              <w:t>As to the application for a special entry, I can only quote with approval the passage from</w:t>
            </w:r>
            <w:r w:rsidR="00C854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24773" w:rsidRPr="007F3B61">
              <w:rPr>
                <w:rFonts w:ascii="Arial" w:hAnsi="Arial" w:cs="Arial"/>
                <w:i/>
                <w:sz w:val="24"/>
                <w:szCs w:val="24"/>
                <w:lang w:val="en-US"/>
              </w:rPr>
              <w:t>Sefatsa</w:t>
            </w:r>
            <w:proofErr w:type="spellEnd"/>
            <w:r w:rsidR="00C24773" w:rsidRPr="007F3B61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and Othe</w:t>
            </w:r>
            <w:r w:rsidR="00C854DE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rs v Attorney-General, </w:t>
            </w:r>
            <w:proofErr w:type="spellStart"/>
            <w:r w:rsidR="00C854DE">
              <w:rPr>
                <w:rFonts w:ascii="Arial" w:hAnsi="Arial" w:cs="Arial"/>
                <w:i/>
                <w:sz w:val="24"/>
                <w:szCs w:val="24"/>
                <w:lang w:val="en-US"/>
              </w:rPr>
              <w:t>Transval</w:t>
            </w:r>
            <w:proofErr w:type="spellEnd"/>
            <w:r w:rsidR="00C854DE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,  (304/88)[1988] ZASCA 143;[1989] 4 </w:t>
            </w:r>
            <w:r w:rsidR="009F7555">
              <w:rPr>
                <w:rFonts w:ascii="Arial" w:hAnsi="Arial" w:cs="Arial"/>
                <w:i/>
                <w:sz w:val="24"/>
                <w:szCs w:val="24"/>
                <w:lang w:val="en-US"/>
              </w:rPr>
              <w:t>All SA 336 (AD) (23 November 1988)</w:t>
            </w:r>
            <w:r w:rsidR="00C24773" w:rsidRPr="00C2477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005D9">
              <w:rPr>
                <w:rFonts w:ascii="Arial" w:hAnsi="Arial" w:cs="Arial"/>
                <w:sz w:val="24"/>
                <w:szCs w:val="24"/>
              </w:rPr>
              <w:t xml:space="preserve">which </w:t>
            </w:r>
            <w:r w:rsidR="001A559A">
              <w:rPr>
                <w:rFonts w:ascii="Arial" w:hAnsi="Arial" w:cs="Arial"/>
                <w:sz w:val="24"/>
                <w:szCs w:val="24"/>
              </w:rPr>
              <w:t xml:space="preserve">reads </w:t>
            </w:r>
            <w:r w:rsidR="000005D9">
              <w:rPr>
                <w:rFonts w:ascii="Arial" w:hAnsi="Arial" w:cs="Arial"/>
                <w:sz w:val="24"/>
                <w:szCs w:val="24"/>
              </w:rPr>
              <w:t>as follows:</w:t>
            </w:r>
            <w:r w:rsidR="000A2FA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9D4EF4C" w14:textId="3E651423" w:rsidR="000005D9" w:rsidRPr="00F37B8E" w:rsidRDefault="00F37B8E" w:rsidP="00F37B8E">
            <w:pPr>
              <w:shd w:val="clear" w:color="auto" w:fill="FFFFFF"/>
              <w:spacing w:before="144" w:after="288" w:line="360" w:lineRule="auto"/>
              <w:jc w:val="both"/>
              <w:rPr>
                <w:rFonts w:ascii="Arial" w:eastAsia="Times New Roman" w:hAnsi="Arial" w:cs="Arial"/>
                <w:color w:val="242121"/>
              </w:rPr>
            </w:pPr>
            <w:r>
              <w:rPr>
                <w:rFonts w:ascii="Arial" w:eastAsia="Times New Roman" w:hAnsi="Arial" w:cs="Arial"/>
                <w:color w:val="242121"/>
              </w:rPr>
              <w:lastRenderedPageBreak/>
              <w:t xml:space="preserve">          </w:t>
            </w:r>
            <w:r w:rsidR="0039533B">
              <w:rPr>
                <w:rFonts w:ascii="Arial" w:eastAsia="Times New Roman" w:hAnsi="Arial" w:cs="Arial"/>
                <w:color w:val="242121"/>
              </w:rPr>
              <w:t xml:space="preserve"> </w:t>
            </w:r>
            <w:r w:rsidR="000005D9" w:rsidRPr="00F37B8E">
              <w:rPr>
                <w:rFonts w:ascii="Arial" w:eastAsia="Times New Roman" w:hAnsi="Arial" w:cs="Arial"/>
                <w:color w:val="242121"/>
              </w:rPr>
              <w:t xml:space="preserve">‘There is no judgment of this Court in which it has been held that a special entry may be made </w:t>
            </w:r>
            <w:r w:rsidR="008E70BE" w:rsidRPr="00F37B8E">
              <w:rPr>
                <w:rFonts w:ascii="Arial" w:eastAsia="Times New Roman" w:hAnsi="Arial" w:cs="Arial"/>
                <w:color w:val="242121"/>
              </w:rPr>
              <w:t>after an</w:t>
            </w:r>
            <w:r w:rsidR="000005D9" w:rsidRPr="00F37B8E">
              <w:rPr>
                <w:rFonts w:ascii="Arial" w:eastAsia="Times New Roman" w:hAnsi="Arial" w:cs="Arial"/>
                <w:color w:val="242121"/>
              </w:rPr>
              <w:t xml:space="preserve"> appeal against a conviction has been dismissed by this Court, and I am of the opinion that the Legislature did not intend that a special entry relating to a conviction could be made after the dismissal of an appeal against that conviction.</w:t>
            </w:r>
            <w:r w:rsidR="00B757D0">
              <w:rPr>
                <w:rFonts w:ascii="Arial" w:eastAsia="Times New Roman" w:hAnsi="Arial" w:cs="Arial"/>
                <w:color w:val="242121"/>
                <w:lang w:val="en-US"/>
              </w:rPr>
              <w:t>’</w:t>
            </w:r>
          </w:p>
          <w:p w14:paraId="789146E9" w14:textId="54563768" w:rsidR="00F37F34" w:rsidRDefault="000A2FAB" w:rsidP="00A35D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24F0">
              <w:rPr>
                <w:rFonts w:ascii="Arial" w:hAnsi="Arial" w:cs="Arial"/>
                <w:sz w:val="24"/>
                <w:szCs w:val="24"/>
              </w:rPr>
              <w:t xml:space="preserve">[13]   </w:t>
            </w:r>
            <w:r w:rsidR="00C854DE">
              <w:rPr>
                <w:rFonts w:ascii="Arial" w:hAnsi="Arial" w:cs="Arial"/>
                <w:sz w:val="24"/>
                <w:szCs w:val="24"/>
              </w:rPr>
              <w:t>In applying the above principles</w:t>
            </w:r>
            <w:r w:rsidR="00B9563C">
              <w:rPr>
                <w:rFonts w:ascii="Arial" w:hAnsi="Arial" w:cs="Arial"/>
                <w:sz w:val="24"/>
                <w:szCs w:val="24"/>
              </w:rPr>
              <w:t>,</w:t>
            </w:r>
            <w:r w:rsidR="00C854DE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B9563C">
              <w:rPr>
                <w:rFonts w:ascii="Arial" w:hAnsi="Arial" w:cs="Arial"/>
                <w:sz w:val="24"/>
                <w:szCs w:val="24"/>
              </w:rPr>
              <w:t>applicant</w:t>
            </w:r>
            <w:r w:rsidR="00C854DE">
              <w:rPr>
                <w:rFonts w:ascii="Arial" w:hAnsi="Arial" w:cs="Arial"/>
                <w:sz w:val="24"/>
                <w:szCs w:val="24"/>
              </w:rPr>
              <w:t xml:space="preserve"> has no</w:t>
            </w:r>
            <w:r w:rsidR="00655A63">
              <w:rPr>
                <w:rFonts w:ascii="Arial" w:hAnsi="Arial" w:cs="Arial"/>
                <w:sz w:val="24"/>
                <w:szCs w:val="24"/>
              </w:rPr>
              <w:t xml:space="preserve"> right to bring this matter back to this court</w:t>
            </w:r>
            <w:r w:rsidR="00B757D0">
              <w:rPr>
                <w:rFonts w:ascii="Arial" w:hAnsi="Arial" w:cs="Arial"/>
                <w:sz w:val="24"/>
                <w:szCs w:val="24"/>
              </w:rPr>
              <w:t>.</w:t>
            </w:r>
            <w:r w:rsidR="00655A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57D0">
              <w:rPr>
                <w:rFonts w:ascii="Arial" w:hAnsi="Arial" w:cs="Arial"/>
                <w:sz w:val="24"/>
                <w:szCs w:val="24"/>
              </w:rPr>
              <w:t>H</w:t>
            </w:r>
            <w:r w:rsidR="00655A63">
              <w:rPr>
                <w:rFonts w:ascii="Arial" w:hAnsi="Arial" w:cs="Arial"/>
                <w:sz w:val="24"/>
                <w:szCs w:val="24"/>
              </w:rPr>
              <w:t xml:space="preserve">e had exhausted all the avenues available to him. This court has no jurisdiction to entertain the matter as it is </w:t>
            </w:r>
            <w:proofErr w:type="spellStart"/>
            <w:r w:rsidR="00655A63" w:rsidRPr="001A559A">
              <w:rPr>
                <w:rFonts w:ascii="Arial" w:hAnsi="Arial" w:cs="Arial"/>
                <w:i/>
                <w:sz w:val="24"/>
                <w:szCs w:val="24"/>
              </w:rPr>
              <w:t>functus</w:t>
            </w:r>
            <w:proofErr w:type="spellEnd"/>
            <w:r w:rsidR="00655A63" w:rsidRPr="00655A63">
              <w:rPr>
                <w:rFonts w:ascii="Arial" w:hAnsi="Arial" w:cs="Arial"/>
                <w:i/>
                <w:sz w:val="24"/>
                <w:szCs w:val="24"/>
              </w:rPr>
              <w:t xml:space="preserve"> officio</w:t>
            </w:r>
            <w:r w:rsidR="00370B6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 w:rsidR="00422E92" w:rsidRPr="00370B6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</w:t>
            </w:r>
          </w:p>
          <w:p w14:paraId="76A6EE9E" w14:textId="5E5A8B57" w:rsidR="00F37F34" w:rsidRPr="00184DAE" w:rsidRDefault="00F37F34" w:rsidP="00F37F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740C04E4" w14:textId="5005CB57" w:rsidR="00B06A47" w:rsidRDefault="00B06A47" w:rsidP="00A35D75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84DAE">
              <w:rPr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  <w:r w:rsidR="00655A63">
              <w:rPr>
                <w:rFonts w:ascii="Arial" w:eastAsia="Calibri" w:hAnsi="Arial" w:cs="Arial"/>
                <w:sz w:val="24"/>
                <w:szCs w:val="24"/>
                <w:lang w:val="en-US"/>
              </w:rPr>
              <w:t>n</w:t>
            </w:r>
            <w:r w:rsidRPr="00184DA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the premise</w:t>
            </w:r>
            <w:r w:rsidR="00655A63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184DA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="00655A63">
              <w:rPr>
                <w:rFonts w:ascii="Arial" w:eastAsia="Calibri" w:hAnsi="Arial" w:cs="Arial"/>
                <w:sz w:val="24"/>
                <w:szCs w:val="24"/>
                <w:lang w:val="en-US"/>
              </w:rPr>
              <w:t>the following order is made:</w:t>
            </w:r>
          </w:p>
          <w:p w14:paraId="0956AB5D" w14:textId="77777777" w:rsidR="00655A63" w:rsidRPr="00184DAE" w:rsidRDefault="00655A63" w:rsidP="00A35D75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5041DDEC" w14:textId="043964D7" w:rsidR="00655A63" w:rsidRPr="00B80072" w:rsidRDefault="00AF24F0" w:rsidP="00655A63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(a)   </w:t>
            </w:r>
            <w:r w:rsidR="00655A63" w:rsidRPr="00B800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This Court has no jurisdiction to entertain the application</w:t>
            </w:r>
            <w:r w:rsidR="00655A6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for </w:t>
            </w:r>
            <w:proofErr w:type="spellStart"/>
            <w:r w:rsidR="00655A6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condonation</w:t>
            </w:r>
            <w:proofErr w:type="spellEnd"/>
            <w:r w:rsidR="00655A6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for </w:t>
            </w:r>
            <w:r w:rsidR="000A2FA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late filing</w:t>
            </w:r>
            <w:r w:rsidR="00655A6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of leave to appeal, to</w:t>
            </w:r>
            <w:r w:rsidR="00655A63" w:rsidRPr="00B800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lead further evidence and to make</w:t>
            </w:r>
            <w:r w:rsidR="00B9563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</w:t>
            </w:r>
            <w:r w:rsidR="00655A63" w:rsidRPr="00B800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special entry.    </w:t>
            </w:r>
          </w:p>
          <w:p w14:paraId="09EB8958" w14:textId="2D953457" w:rsidR="00655A63" w:rsidRPr="00B80072" w:rsidRDefault="00655A63" w:rsidP="00655A63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(b)   </w:t>
            </w:r>
            <w:r w:rsidRPr="00B800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The application is struck from the roll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and it is regarded 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finalised</w:t>
            </w:r>
            <w:proofErr w:type="spellEnd"/>
            <w:r w:rsidRPr="00B8007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  <w:p w14:paraId="17418B76" w14:textId="77777777" w:rsidR="0096153C" w:rsidRPr="00665D49" w:rsidRDefault="0096153C" w:rsidP="008472AD">
            <w:pPr>
              <w:pStyle w:val="ListParagraph"/>
              <w:spacing w:line="360" w:lineRule="auto"/>
              <w:ind w:left="17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5571" w:rsidRPr="00630B28" w14:paraId="79A5EEE2" w14:textId="77777777" w:rsidTr="008E70BE">
        <w:tc>
          <w:tcPr>
            <w:tcW w:w="5362" w:type="dxa"/>
          </w:tcPr>
          <w:p w14:paraId="4A65878D" w14:textId="77777777" w:rsidR="00E878FD" w:rsidRDefault="00E878FD" w:rsidP="004C2F3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0E05C3" w14:textId="77777777" w:rsidR="00E878FD" w:rsidRDefault="00E878FD" w:rsidP="004C2F3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FFE601" w14:textId="77777777" w:rsidR="00E878FD" w:rsidRDefault="00E878FD" w:rsidP="004C2F3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9F732E" w14:textId="77777777" w:rsidR="004F5571" w:rsidRPr="00630B28" w:rsidRDefault="004F5571" w:rsidP="004C2F3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0B28">
              <w:rPr>
                <w:rFonts w:ascii="Arial" w:hAnsi="Arial" w:cs="Arial"/>
                <w:b/>
                <w:sz w:val="24"/>
                <w:szCs w:val="24"/>
              </w:rPr>
              <w:t>Judge’s signature</w:t>
            </w:r>
          </w:p>
        </w:tc>
        <w:tc>
          <w:tcPr>
            <w:tcW w:w="4950" w:type="dxa"/>
          </w:tcPr>
          <w:p w14:paraId="2C2777E0" w14:textId="77777777" w:rsidR="00E878FD" w:rsidRDefault="00E878FD" w:rsidP="004C2F3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2E991B" w14:textId="77777777" w:rsidR="00E878FD" w:rsidRDefault="00E878FD" w:rsidP="004C2F3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B45448" w14:textId="77777777" w:rsidR="00E878FD" w:rsidRDefault="00E878FD" w:rsidP="004C2F3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127F2E" w14:textId="77777777" w:rsidR="004F5571" w:rsidRPr="00630B28" w:rsidRDefault="004F5571" w:rsidP="004C2F3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0B28">
              <w:rPr>
                <w:rFonts w:ascii="Arial" w:hAnsi="Arial" w:cs="Arial"/>
                <w:b/>
                <w:sz w:val="24"/>
                <w:szCs w:val="24"/>
              </w:rPr>
              <w:t>Note to the parties:</w:t>
            </w:r>
          </w:p>
        </w:tc>
      </w:tr>
      <w:tr w:rsidR="004F5571" w:rsidRPr="00630B28" w14:paraId="37B56759" w14:textId="77777777" w:rsidTr="008E70BE">
        <w:trPr>
          <w:trHeight w:val="1114"/>
        </w:trPr>
        <w:tc>
          <w:tcPr>
            <w:tcW w:w="5362" w:type="dxa"/>
          </w:tcPr>
          <w:p w14:paraId="0B30D949" w14:textId="77777777" w:rsidR="004F5571" w:rsidRPr="00630B28" w:rsidRDefault="004F5571" w:rsidP="004C2F3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14:paraId="6C0C8774" w14:textId="77777777" w:rsidR="004F5571" w:rsidRPr="00630B28" w:rsidRDefault="004F5571" w:rsidP="004C2F3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B28">
              <w:rPr>
                <w:rFonts w:ascii="Arial" w:hAnsi="Arial" w:cs="Arial"/>
                <w:sz w:val="24"/>
                <w:szCs w:val="24"/>
              </w:rPr>
              <w:t>Not applicable.</w:t>
            </w:r>
          </w:p>
        </w:tc>
      </w:tr>
      <w:tr w:rsidR="004F5571" w:rsidRPr="00630B28" w14:paraId="5BAB2795" w14:textId="77777777" w:rsidTr="008E70BE">
        <w:tc>
          <w:tcPr>
            <w:tcW w:w="10312" w:type="dxa"/>
            <w:gridSpan w:val="2"/>
          </w:tcPr>
          <w:p w14:paraId="454AA510" w14:textId="77777777" w:rsidR="004F5571" w:rsidRPr="00630B28" w:rsidRDefault="004F5571" w:rsidP="004C2F3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0B28">
              <w:rPr>
                <w:rFonts w:ascii="Arial" w:hAnsi="Arial" w:cs="Arial"/>
                <w:b/>
                <w:sz w:val="24"/>
                <w:szCs w:val="24"/>
              </w:rPr>
              <w:t>Counsel:</w:t>
            </w:r>
          </w:p>
        </w:tc>
      </w:tr>
      <w:tr w:rsidR="004F5571" w:rsidRPr="00630B28" w14:paraId="3D1ABE54" w14:textId="77777777" w:rsidTr="008E70BE">
        <w:tc>
          <w:tcPr>
            <w:tcW w:w="5362" w:type="dxa"/>
          </w:tcPr>
          <w:p w14:paraId="501A77FD" w14:textId="77777777" w:rsidR="004F5571" w:rsidRPr="00630B28" w:rsidRDefault="004F5571" w:rsidP="004C2F3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0B28">
              <w:rPr>
                <w:rFonts w:ascii="Arial" w:hAnsi="Arial" w:cs="Arial"/>
                <w:b/>
                <w:sz w:val="24"/>
                <w:szCs w:val="24"/>
              </w:rPr>
              <w:t>Applicant</w:t>
            </w:r>
          </w:p>
        </w:tc>
        <w:tc>
          <w:tcPr>
            <w:tcW w:w="4950" w:type="dxa"/>
          </w:tcPr>
          <w:p w14:paraId="2279FE3A" w14:textId="77777777" w:rsidR="004F5571" w:rsidRPr="00630B28" w:rsidRDefault="004F5571" w:rsidP="004C2F3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0B28">
              <w:rPr>
                <w:rFonts w:ascii="Arial" w:hAnsi="Arial" w:cs="Arial"/>
                <w:b/>
                <w:sz w:val="24"/>
                <w:szCs w:val="24"/>
              </w:rPr>
              <w:t xml:space="preserve"> Respondent</w:t>
            </w:r>
          </w:p>
        </w:tc>
      </w:tr>
      <w:tr w:rsidR="004F5571" w:rsidRPr="00630B28" w14:paraId="3A2F2119" w14:textId="77777777" w:rsidTr="008E70BE">
        <w:tc>
          <w:tcPr>
            <w:tcW w:w="5362" w:type="dxa"/>
          </w:tcPr>
          <w:p w14:paraId="5CF8D1B2" w14:textId="676EE8AD" w:rsidR="00655A63" w:rsidRDefault="00655A63" w:rsidP="004C2F38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Mr Romeo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Manellito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Schiefer</w:t>
            </w:r>
            <w:proofErr w:type="spellEnd"/>
          </w:p>
          <w:p w14:paraId="24E12A90" w14:textId="77777777" w:rsidR="00655A63" w:rsidRDefault="00655A63" w:rsidP="004C2F38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0917B5F" w14:textId="77777777" w:rsidR="00655A63" w:rsidRDefault="00655A63" w:rsidP="004C2F38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6046C64" w14:textId="0800908C" w:rsidR="004F5571" w:rsidRPr="00630B28" w:rsidRDefault="00076509" w:rsidP="004C2F38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Mr Norman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Tjombe</w:t>
            </w:r>
            <w:proofErr w:type="spellEnd"/>
            <w:r w:rsidR="00655A63">
              <w:rPr>
                <w:rFonts w:ascii="Arial" w:hAnsi="Arial" w:cs="Arial"/>
                <w:i/>
                <w:sz w:val="24"/>
                <w:szCs w:val="24"/>
              </w:rPr>
              <w:t xml:space="preserve"> (Amicus Curiae)</w:t>
            </w:r>
          </w:p>
          <w:p w14:paraId="32BF03EF" w14:textId="2EE113C2" w:rsidR="004F5571" w:rsidRPr="00630B28" w:rsidRDefault="004F5571" w:rsidP="004C2F38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of</w:t>
            </w:r>
          </w:p>
          <w:p w14:paraId="6506A5DD" w14:textId="0AADC623" w:rsidR="004F5571" w:rsidRPr="00630B28" w:rsidRDefault="00076509" w:rsidP="004C2F38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Tjombe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Elago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Incorporated</w:t>
            </w:r>
          </w:p>
          <w:p w14:paraId="4B15F869" w14:textId="77777777" w:rsidR="004F5571" w:rsidRPr="00630B28" w:rsidRDefault="004F5571" w:rsidP="004C2F3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4E7A7EB" w14:textId="5D4654EA" w:rsidR="004F5571" w:rsidRPr="00630B28" w:rsidRDefault="00D670D2" w:rsidP="004C2F38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Ve</w:t>
            </w:r>
            <w:r w:rsidR="00076509">
              <w:rPr>
                <w:rFonts w:ascii="Arial" w:hAnsi="Arial" w:cs="Arial"/>
                <w:i/>
                <w:sz w:val="24"/>
                <w:szCs w:val="24"/>
              </w:rPr>
              <w:t>rhoef</w:t>
            </w:r>
            <w:proofErr w:type="spellEnd"/>
            <w:r w:rsidR="004F5571" w:rsidRPr="00630B2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662198B1" w14:textId="77777777" w:rsidR="004F5571" w:rsidRPr="00630B28" w:rsidRDefault="004F5571" w:rsidP="004C2F38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30B28">
              <w:rPr>
                <w:rFonts w:ascii="Arial" w:hAnsi="Arial" w:cs="Arial"/>
                <w:i/>
                <w:sz w:val="24"/>
                <w:szCs w:val="24"/>
              </w:rPr>
              <w:t xml:space="preserve">of </w:t>
            </w:r>
          </w:p>
          <w:p w14:paraId="31EBB297" w14:textId="5F2BBD65" w:rsidR="004F5571" w:rsidRPr="00630B28" w:rsidRDefault="004F5571" w:rsidP="004F557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The Office of the Prosecutor General</w:t>
            </w:r>
          </w:p>
        </w:tc>
      </w:tr>
    </w:tbl>
    <w:p w14:paraId="2571CC3C" w14:textId="77777777" w:rsidR="0096153C" w:rsidRPr="00B961FD" w:rsidRDefault="0096153C" w:rsidP="0096153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6153C" w:rsidRPr="00B961FD" w:rsidSect="00B961FD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64CB1" w14:textId="77777777" w:rsidR="00D64F9B" w:rsidRDefault="00D64F9B" w:rsidP="00A36166">
      <w:pPr>
        <w:spacing w:after="0" w:line="240" w:lineRule="auto"/>
      </w:pPr>
      <w:r>
        <w:separator/>
      </w:r>
    </w:p>
  </w:endnote>
  <w:endnote w:type="continuationSeparator" w:id="0">
    <w:p w14:paraId="686E1FEB" w14:textId="77777777" w:rsidR="00D64F9B" w:rsidRDefault="00D64F9B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71DF2" w14:textId="77777777" w:rsidR="00D64F9B" w:rsidRDefault="00D64F9B" w:rsidP="00A36166">
      <w:pPr>
        <w:spacing w:after="0" w:line="240" w:lineRule="auto"/>
      </w:pPr>
      <w:r>
        <w:separator/>
      </w:r>
    </w:p>
  </w:footnote>
  <w:footnote w:type="continuationSeparator" w:id="0">
    <w:p w14:paraId="65F89CE9" w14:textId="77777777" w:rsidR="00D64F9B" w:rsidRDefault="00D64F9B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0276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34CB6D" w14:textId="77777777" w:rsidR="00B961FD" w:rsidRDefault="004E636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7E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26CF1A9" w14:textId="77777777" w:rsidR="00B961FD" w:rsidRDefault="001547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3B81"/>
    <w:multiLevelType w:val="hybridMultilevel"/>
    <w:tmpl w:val="CA28EF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0357CD"/>
    <w:multiLevelType w:val="hybridMultilevel"/>
    <w:tmpl w:val="068433A2"/>
    <w:lvl w:ilvl="0" w:tplc="C14406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5F69CB"/>
    <w:multiLevelType w:val="hybridMultilevel"/>
    <w:tmpl w:val="2C4474FC"/>
    <w:lvl w:ilvl="0" w:tplc="8C2ABC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71D80"/>
    <w:multiLevelType w:val="hybridMultilevel"/>
    <w:tmpl w:val="ED9E5A4E"/>
    <w:lvl w:ilvl="0" w:tplc="605C1D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46586"/>
    <w:multiLevelType w:val="hybridMultilevel"/>
    <w:tmpl w:val="6050580E"/>
    <w:lvl w:ilvl="0" w:tplc="DA78E838">
      <w:start w:val="1"/>
      <w:numFmt w:val="decimal"/>
      <w:lvlText w:val="[%1]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581D3E"/>
    <w:multiLevelType w:val="hybridMultilevel"/>
    <w:tmpl w:val="067AB5FE"/>
    <w:lvl w:ilvl="0" w:tplc="C08651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20909"/>
    <w:multiLevelType w:val="hybridMultilevel"/>
    <w:tmpl w:val="507C2E7E"/>
    <w:lvl w:ilvl="0" w:tplc="10EA67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9F2A21"/>
    <w:multiLevelType w:val="multilevel"/>
    <w:tmpl w:val="D84C5AA4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02D1E63"/>
    <w:multiLevelType w:val="hybridMultilevel"/>
    <w:tmpl w:val="435A47E0"/>
    <w:lvl w:ilvl="0" w:tplc="BF3A963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6A4820"/>
    <w:multiLevelType w:val="hybridMultilevel"/>
    <w:tmpl w:val="52E48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8156C"/>
    <w:multiLevelType w:val="multilevel"/>
    <w:tmpl w:val="69403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6266350D"/>
    <w:multiLevelType w:val="hybridMultilevel"/>
    <w:tmpl w:val="002872F6"/>
    <w:lvl w:ilvl="0" w:tplc="1C09000F">
      <w:start w:val="1"/>
      <w:numFmt w:val="decimal"/>
      <w:lvlText w:val="%1."/>
      <w:lvlJc w:val="left"/>
      <w:pPr>
        <w:ind w:left="785" w:hanging="360"/>
      </w:pPr>
    </w:lvl>
    <w:lvl w:ilvl="1" w:tplc="D960E53E">
      <w:start w:val="1"/>
      <w:numFmt w:val="lowerRoman"/>
      <w:lvlText w:val="(%2)"/>
      <w:lvlJc w:val="left"/>
      <w:pPr>
        <w:ind w:left="1080" w:hanging="360"/>
      </w:pPr>
      <w:rPr>
        <w:rFonts w:ascii="Arial" w:eastAsiaTheme="minorHAnsi" w:hAnsi="Arial" w:cs="Arial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785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FA34C6"/>
    <w:multiLevelType w:val="hybridMultilevel"/>
    <w:tmpl w:val="002872F6"/>
    <w:lvl w:ilvl="0" w:tplc="1C09000F">
      <w:start w:val="1"/>
      <w:numFmt w:val="decimal"/>
      <w:lvlText w:val="%1."/>
      <w:lvlJc w:val="left"/>
      <w:pPr>
        <w:ind w:left="785" w:hanging="360"/>
      </w:pPr>
    </w:lvl>
    <w:lvl w:ilvl="1" w:tplc="D960E53E">
      <w:start w:val="1"/>
      <w:numFmt w:val="lowerRoman"/>
      <w:lvlText w:val="(%2)"/>
      <w:lvlJc w:val="left"/>
      <w:pPr>
        <w:ind w:left="1080" w:hanging="360"/>
      </w:pPr>
      <w:rPr>
        <w:rFonts w:ascii="Arial" w:eastAsiaTheme="minorHAnsi" w:hAnsi="Arial" w:cs="Arial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785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591FAF"/>
    <w:multiLevelType w:val="hybridMultilevel"/>
    <w:tmpl w:val="CA28EF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843CB0"/>
    <w:multiLevelType w:val="hybridMultilevel"/>
    <w:tmpl w:val="EB96596A"/>
    <w:lvl w:ilvl="0" w:tplc="8E3406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C5EEA"/>
    <w:multiLevelType w:val="hybridMultilevel"/>
    <w:tmpl w:val="DEF4B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77E23"/>
    <w:multiLevelType w:val="hybridMultilevel"/>
    <w:tmpl w:val="A970C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"/>
  </w:num>
  <w:num w:numId="5">
    <w:abstractNumId w:val="11"/>
  </w:num>
  <w:num w:numId="6">
    <w:abstractNumId w:val="2"/>
  </w:num>
  <w:num w:numId="7">
    <w:abstractNumId w:val="16"/>
  </w:num>
  <w:num w:numId="8">
    <w:abstractNumId w:val="15"/>
  </w:num>
  <w:num w:numId="9">
    <w:abstractNumId w:val="7"/>
  </w:num>
  <w:num w:numId="10">
    <w:abstractNumId w:val="3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3C"/>
    <w:rsid w:val="000005D9"/>
    <w:rsid w:val="000254E2"/>
    <w:rsid w:val="00036B12"/>
    <w:rsid w:val="00047154"/>
    <w:rsid w:val="00060EB9"/>
    <w:rsid w:val="00076509"/>
    <w:rsid w:val="00077EF1"/>
    <w:rsid w:val="000A2FAB"/>
    <w:rsid w:val="000C65CF"/>
    <w:rsid w:val="00111320"/>
    <w:rsid w:val="00130357"/>
    <w:rsid w:val="001547E1"/>
    <w:rsid w:val="00162C68"/>
    <w:rsid w:val="00182A1C"/>
    <w:rsid w:val="00184DAE"/>
    <w:rsid w:val="001A559A"/>
    <w:rsid w:val="001C3ADC"/>
    <w:rsid w:val="001F5BDD"/>
    <w:rsid w:val="00215AA2"/>
    <w:rsid w:val="002246AF"/>
    <w:rsid w:val="00225E39"/>
    <w:rsid w:val="00233B3A"/>
    <w:rsid w:val="002628AC"/>
    <w:rsid w:val="00283B01"/>
    <w:rsid w:val="002C3BF9"/>
    <w:rsid w:val="002F4EA6"/>
    <w:rsid w:val="003104C3"/>
    <w:rsid w:val="00311E3D"/>
    <w:rsid w:val="00312685"/>
    <w:rsid w:val="00313478"/>
    <w:rsid w:val="0032611B"/>
    <w:rsid w:val="00356B0E"/>
    <w:rsid w:val="00370B69"/>
    <w:rsid w:val="00370FA4"/>
    <w:rsid w:val="003939CE"/>
    <w:rsid w:val="0039533B"/>
    <w:rsid w:val="00397739"/>
    <w:rsid w:val="003D57AB"/>
    <w:rsid w:val="003E6450"/>
    <w:rsid w:val="003F780D"/>
    <w:rsid w:val="0041201A"/>
    <w:rsid w:val="00416CD0"/>
    <w:rsid w:val="00422E92"/>
    <w:rsid w:val="004566C4"/>
    <w:rsid w:val="0047179F"/>
    <w:rsid w:val="004769EF"/>
    <w:rsid w:val="004E636C"/>
    <w:rsid w:val="004F2DFE"/>
    <w:rsid w:val="004F5571"/>
    <w:rsid w:val="004F6F75"/>
    <w:rsid w:val="005010F0"/>
    <w:rsid w:val="00507F11"/>
    <w:rsid w:val="00512497"/>
    <w:rsid w:val="00537BA7"/>
    <w:rsid w:val="005474CF"/>
    <w:rsid w:val="0054799E"/>
    <w:rsid w:val="005519DD"/>
    <w:rsid w:val="00560A80"/>
    <w:rsid w:val="005934F0"/>
    <w:rsid w:val="005A0EB4"/>
    <w:rsid w:val="005B0CBE"/>
    <w:rsid w:val="005B1938"/>
    <w:rsid w:val="005C7F2F"/>
    <w:rsid w:val="005D698B"/>
    <w:rsid w:val="005E439B"/>
    <w:rsid w:val="005F4E07"/>
    <w:rsid w:val="0060395A"/>
    <w:rsid w:val="00637727"/>
    <w:rsid w:val="00655A63"/>
    <w:rsid w:val="00664C32"/>
    <w:rsid w:val="00695E48"/>
    <w:rsid w:val="006C1771"/>
    <w:rsid w:val="006D7FF6"/>
    <w:rsid w:val="007231A9"/>
    <w:rsid w:val="00731283"/>
    <w:rsid w:val="007D4C4D"/>
    <w:rsid w:val="007E01B7"/>
    <w:rsid w:val="007F3B61"/>
    <w:rsid w:val="00810A67"/>
    <w:rsid w:val="008269CE"/>
    <w:rsid w:val="0087228F"/>
    <w:rsid w:val="0089482C"/>
    <w:rsid w:val="008B0045"/>
    <w:rsid w:val="008D1653"/>
    <w:rsid w:val="008E6827"/>
    <w:rsid w:val="008E70BE"/>
    <w:rsid w:val="00901C73"/>
    <w:rsid w:val="00943A93"/>
    <w:rsid w:val="009535AE"/>
    <w:rsid w:val="0096153C"/>
    <w:rsid w:val="00981FF8"/>
    <w:rsid w:val="00984CBD"/>
    <w:rsid w:val="009A4F19"/>
    <w:rsid w:val="009B2B7A"/>
    <w:rsid w:val="009B642A"/>
    <w:rsid w:val="009C00D7"/>
    <w:rsid w:val="009C08BD"/>
    <w:rsid w:val="009C7AD4"/>
    <w:rsid w:val="009D0D1F"/>
    <w:rsid w:val="009F5614"/>
    <w:rsid w:val="009F6A4E"/>
    <w:rsid w:val="009F7555"/>
    <w:rsid w:val="00A000BA"/>
    <w:rsid w:val="00A24E5E"/>
    <w:rsid w:val="00A35D75"/>
    <w:rsid w:val="00A36166"/>
    <w:rsid w:val="00A475D8"/>
    <w:rsid w:val="00A55070"/>
    <w:rsid w:val="00A64383"/>
    <w:rsid w:val="00A71D3E"/>
    <w:rsid w:val="00A7662D"/>
    <w:rsid w:val="00A91F3D"/>
    <w:rsid w:val="00AA201A"/>
    <w:rsid w:val="00AB1D71"/>
    <w:rsid w:val="00AE2DA1"/>
    <w:rsid w:val="00AE5F7D"/>
    <w:rsid w:val="00AF24F0"/>
    <w:rsid w:val="00B06A47"/>
    <w:rsid w:val="00B10C01"/>
    <w:rsid w:val="00B227A9"/>
    <w:rsid w:val="00B22FAC"/>
    <w:rsid w:val="00B66799"/>
    <w:rsid w:val="00B757D0"/>
    <w:rsid w:val="00B80072"/>
    <w:rsid w:val="00B9563C"/>
    <w:rsid w:val="00BA2727"/>
    <w:rsid w:val="00C24773"/>
    <w:rsid w:val="00C36CA4"/>
    <w:rsid w:val="00C524DC"/>
    <w:rsid w:val="00C53B1C"/>
    <w:rsid w:val="00C854DE"/>
    <w:rsid w:val="00C94D31"/>
    <w:rsid w:val="00CA45C8"/>
    <w:rsid w:val="00CD2D3B"/>
    <w:rsid w:val="00CD38C5"/>
    <w:rsid w:val="00D104D5"/>
    <w:rsid w:val="00D52330"/>
    <w:rsid w:val="00D543DC"/>
    <w:rsid w:val="00D64F9B"/>
    <w:rsid w:val="00D670D2"/>
    <w:rsid w:val="00D744D8"/>
    <w:rsid w:val="00D83F91"/>
    <w:rsid w:val="00DB243D"/>
    <w:rsid w:val="00DF114E"/>
    <w:rsid w:val="00DF3989"/>
    <w:rsid w:val="00E032DD"/>
    <w:rsid w:val="00E10645"/>
    <w:rsid w:val="00E229BD"/>
    <w:rsid w:val="00E34813"/>
    <w:rsid w:val="00E5493E"/>
    <w:rsid w:val="00E614D5"/>
    <w:rsid w:val="00E7412C"/>
    <w:rsid w:val="00E878FD"/>
    <w:rsid w:val="00EC02EF"/>
    <w:rsid w:val="00EC7808"/>
    <w:rsid w:val="00ED307C"/>
    <w:rsid w:val="00EF5E5E"/>
    <w:rsid w:val="00F00345"/>
    <w:rsid w:val="00F023AF"/>
    <w:rsid w:val="00F163DC"/>
    <w:rsid w:val="00F37B8E"/>
    <w:rsid w:val="00F37DA5"/>
    <w:rsid w:val="00F37F34"/>
    <w:rsid w:val="00F40648"/>
    <w:rsid w:val="00F4602F"/>
    <w:rsid w:val="00F47089"/>
    <w:rsid w:val="00F73118"/>
    <w:rsid w:val="00FA09C5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2C11"/>
  <w15:chartTrackingRefBased/>
  <w15:docId w15:val="{1E9CD018-CD32-4D77-AEB7-F41EDA00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B69"/>
    <w:pPr>
      <w:spacing w:line="254" w:lineRule="auto"/>
    </w:pPr>
    <w:rPr>
      <w:lang w:val="en-Z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7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53C"/>
    <w:pPr>
      <w:ind w:left="720"/>
      <w:contextualSpacing/>
    </w:pPr>
  </w:style>
  <w:style w:type="table" w:styleId="TableGrid">
    <w:name w:val="Table Grid"/>
    <w:basedOn w:val="TableNormal"/>
    <w:uiPriority w:val="39"/>
    <w:rsid w:val="0096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1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53C"/>
    <w:rPr>
      <w:lang w:val="en-ZA"/>
    </w:rPr>
  </w:style>
  <w:style w:type="paragraph" w:styleId="FootnoteText">
    <w:name w:val="footnote text"/>
    <w:basedOn w:val="Normal"/>
    <w:link w:val="FootnoteTextChar"/>
    <w:unhideWhenUsed/>
    <w:rsid w:val="00A361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36166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nhideWhenUsed/>
    <w:rsid w:val="00A36166"/>
    <w:rPr>
      <w:vertAlign w:val="superscript"/>
    </w:rPr>
  </w:style>
  <w:style w:type="character" w:styleId="PageNumber">
    <w:name w:val="page number"/>
    <w:basedOn w:val="DefaultParagraphFont"/>
    <w:rsid w:val="00A35D75"/>
  </w:style>
  <w:style w:type="paragraph" w:styleId="Footer">
    <w:name w:val="footer"/>
    <w:basedOn w:val="Normal"/>
    <w:link w:val="FooterChar"/>
    <w:rsid w:val="00A35D7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A35D7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A35D7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rsid w:val="00A35D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EC7808"/>
    <w:pPr>
      <w:spacing w:after="0" w:line="240" w:lineRule="auto"/>
    </w:pPr>
    <w:rPr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77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2020</Year>
    <Judgment_x0020_Date xmlns="17a0f4bd-1162-49ac-b85f-dfe96a90bc01">2020-02-27T18:30:00+00:00</Judgment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9C05E-130E-4D56-B5AF-2BE8BAFE025B}"/>
</file>

<file path=customXml/itemProps2.xml><?xml version="1.0" encoding="utf-8"?>
<ds:datastoreItem xmlns:ds="http://schemas.openxmlformats.org/officeDocument/2006/customXml" ds:itemID="{EA2EE175-16AF-45BD-8E37-B439B16ED041}"/>
</file>

<file path=customXml/itemProps3.xml><?xml version="1.0" encoding="utf-8"?>
<ds:datastoreItem xmlns:ds="http://schemas.openxmlformats.org/officeDocument/2006/customXml" ds:itemID="{52C3934A-57D2-4473-A0CC-9885C5819CC9}"/>
</file>

<file path=customXml/itemProps4.xml><?xml version="1.0" encoding="utf-8"?>
<ds:datastoreItem xmlns:ds="http://schemas.openxmlformats.org/officeDocument/2006/customXml" ds:itemID="{96D77E19-067B-4D49-977A-82D4BB3764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Mbeurora Karamata</dc:creator>
  <cp:keywords/>
  <dc:description/>
  <cp:lastModifiedBy>Victoria Sem</cp:lastModifiedBy>
  <cp:revision>11</cp:revision>
  <cp:lastPrinted>2020-02-28T06:55:00Z</cp:lastPrinted>
  <dcterms:created xsi:type="dcterms:W3CDTF">2020-02-26T14:12:00Z</dcterms:created>
  <dcterms:modified xsi:type="dcterms:W3CDTF">2020-02-28T07:11:00Z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