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F8" w:rsidRPr="002C0BF8" w:rsidRDefault="002C0BF8" w:rsidP="002C0BF8">
      <w:pPr>
        <w:jc w:val="center"/>
        <w:rPr>
          <w:rFonts w:ascii="Arial" w:hAnsi="Arial" w:cs="Arial"/>
          <w:sz w:val="24"/>
          <w:szCs w:val="24"/>
          <w:lang w:val="en-US"/>
        </w:rPr>
      </w:pPr>
      <w:bookmarkStart w:id="0" w:name="_GoBack"/>
      <w:bookmarkEnd w:id="0"/>
      <w:r w:rsidRPr="002C0BF8">
        <w:rPr>
          <w:lang w:val="en-US"/>
        </w:rPr>
        <w:t>“</w:t>
      </w:r>
      <w:r w:rsidRPr="002C0BF8">
        <w:rPr>
          <w:rFonts w:ascii="Arial" w:hAnsi="Arial" w:cs="Arial"/>
          <w:sz w:val="24"/>
          <w:szCs w:val="24"/>
          <w:lang w:val="en-US"/>
        </w:rPr>
        <w:t>ANNEXURE 11”</w:t>
      </w:r>
    </w:p>
    <w:p w:rsidR="002C0BF8" w:rsidRPr="002C0BF8" w:rsidRDefault="002C0BF8" w:rsidP="002C0BF8">
      <w:pPr>
        <w:jc w:val="center"/>
        <w:rPr>
          <w:rFonts w:ascii="Arial" w:hAnsi="Arial" w:cs="Arial"/>
          <w:sz w:val="24"/>
          <w:szCs w:val="24"/>
          <w:lang w:val="en-US"/>
        </w:rPr>
      </w:pPr>
      <w:r w:rsidRPr="002C0BF8">
        <w:rPr>
          <w:rFonts w:ascii="Arial" w:hAnsi="Arial" w:cs="Arial"/>
          <w:sz w:val="24"/>
          <w:szCs w:val="24"/>
          <w:lang w:val="en-US"/>
        </w:rPr>
        <w:t>Practice Direction 61</w:t>
      </w:r>
    </w:p>
    <w:p w:rsidR="002C0BF8" w:rsidRPr="002C0BF8" w:rsidRDefault="002C0BF8" w:rsidP="002C0BF8">
      <w:pPr>
        <w:jc w:val="center"/>
        <w:rPr>
          <w:rFonts w:ascii="Arial" w:hAnsi="Arial" w:cs="Arial"/>
          <w:b/>
          <w:sz w:val="24"/>
          <w:szCs w:val="24"/>
          <w:lang w:val="en-US"/>
        </w:rPr>
      </w:pPr>
      <w:r w:rsidRPr="002C0BF8">
        <w:rPr>
          <w:rFonts w:ascii="Arial" w:hAnsi="Arial" w:cs="Arial"/>
          <w:b/>
          <w:sz w:val="24"/>
          <w:szCs w:val="24"/>
          <w:lang w:val="en-US"/>
        </w:rPr>
        <w:t>IN THE HIGH COURT OF NAMIBIA</w:t>
      </w:r>
    </w:p>
    <w:p w:rsidR="002C0BF8" w:rsidRPr="002C0BF8" w:rsidRDefault="002C0BF8" w:rsidP="002C0BF8">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2C0BF8" w:rsidRPr="002C0BF8" w:rsidTr="00C6000D">
        <w:tc>
          <w:tcPr>
            <w:tcW w:w="4950" w:type="dxa"/>
            <w:vMerge w:val="restart"/>
          </w:tcPr>
          <w:p w:rsidR="002C0BF8" w:rsidRPr="002C0BF8" w:rsidRDefault="002C0BF8" w:rsidP="002C0BF8">
            <w:pPr>
              <w:spacing w:line="360" w:lineRule="auto"/>
              <w:rPr>
                <w:rFonts w:ascii="Arial" w:hAnsi="Arial" w:cs="Arial"/>
                <w:b/>
                <w:sz w:val="24"/>
                <w:szCs w:val="24"/>
                <w:lang w:val="en-US"/>
              </w:rPr>
            </w:pPr>
            <w:r w:rsidRPr="002C0BF8">
              <w:rPr>
                <w:rFonts w:ascii="Arial" w:hAnsi="Arial" w:cs="Arial"/>
                <w:b/>
                <w:sz w:val="24"/>
                <w:szCs w:val="24"/>
                <w:lang w:val="en-US"/>
              </w:rPr>
              <w:t>Case Title:</w:t>
            </w:r>
          </w:p>
          <w:p w:rsidR="002C0BF8" w:rsidRPr="002C0BF8" w:rsidRDefault="002C0BF8" w:rsidP="002C0BF8">
            <w:pPr>
              <w:spacing w:line="360" w:lineRule="auto"/>
              <w:rPr>
                <w:rFonts w:ascii="Arial" w:hAnsi="Arial" w:cs="Arial"/>
                <w:i/>
                <w:sz w:val="24"/>
                <w:szCs w:val="24"/>
                <w:lang w:val="en-US"/>
              </w:rPr>
            </w:pPr>
            <w:r>
              <w:rPr>
                <w:rFonts w:ascii="Arial" w:hAnsi="Arial" w:cs="Arial"/>
                <w:i/>
                <w:sz w:val="24"/>
                <w:szCs w:val="24"/>
                <w:lang w:val="en-US"/>
              </w:rPr>
              <w:t>Hans Jurgens Steyn v Ilse Maria Steyn (born Kruger)</w:t>
            </w:r>
          </w:p>
        </w:tc>
        <w:tc>
          <w:tcPr>
            <w:tcW w:w="5130" w:type="dxa"/>
          </w:tcPr>
          <w:p w:rsidR="002C0BF8" w:rsidRPr="002C0BF8" w:rsidRDefault="002C0BF8" w:rsidP="002C0BF8">
            <w:pPr>
              <w:spacing w:line="360" w:lineRule="auto"/>
              <w:rPr>
                <w:rFonts w:ascii="Arial" w:hAnsi="Arial" w:cs="Arial"/>
                <w:b/>
                <w:sz w:val="24"/>
                <w:szCs w:val="24"/>
                <w:lang w:val="en-US"/>
              </w:rPr>
            </w:pPr>
            <w:r w:rsidRPr="002C0BF8">
              <w:rPr>
                <w:rFonts w:ascii="Arial" w:hAnsi="Arial" w:cs="Arial"/>
                <w:b/>
                <w:sz w:val="24"/>
                <w:szCs w:val="24"/>
                <w:lang w:val="en-US"/>
              </w:rPr>
              <w:t>Case No.:</w:t>
            </w:r>
          </w:p>
          <w:p w:rsidR="002C0BF8" w:rsidRPr="002C0BF8" w:rsidRDefault="002C0BF8" w:rsidP="002C0BF8">
            <w:pPr>
              <w:spacing w:line="360" w:lineRule="auto"/>
              <w:rPr>
                <w:rFonts w:ascii="Arial" w:hAnsi="Arial" w:cs="Arial"/>
                <w:sz w:val="24"/>
                <w:szCs w:val="24"/>
                <w:lang w:val="en-US"/>
              </w:rPr>
            </w:pPr>
            <w:r>
              <w:rPr>
                <w:rFonts w:ascii="Arial" w:hAnsi="Arial" w:cs="Arial"/>
                <w:sz w:val="24"/>
                <w:szCs w:val="24"/>
                <w:lang w:val="en-US"/>
              </w:rPr>
              <w:t>HC-MD-CIV-ACT-MAT-2019/02926</w:t>
            </w:r>
          </w:p>
          <w:p w:rsidR="002C0BF8" w:rsidRPr="002C0BF8" w:rsidRDefault="002C0BF8" w:rsidP="002C0BF8">
            <w:pPr>
              <w:spacing w:line="360" w:lineRule="auto"/>
              <w:rPr>
                <w:rFonts w:ascii="Arial" w:hAnsi="Arial" w:cs="Arial"/>
                <w:sz w:val="24"/>
                <w:szCs w:val="24"/>
                <w:lang w:val="en-US"/>
              </w:rPr>
            </w:pPr>
          </w:p>
        </w:tc>
      </w:tr>
      <w:tr w:rsidR="002C0BF8" w:rsidRPr="002C0BF8" w:rsidTr="00C6000D">
        <w:tc>
          <w:tcPr>
            <w:tcW w:w="4950" w:type="dxa"/>
            <w:vMerge/>
          </w:tcPr>
          <w:p w:rsidR="002C0BF8" w:rsidRPr="002C0BF8" w:rsidRDefault="002C0BF8" w:rsidP="002C0BF8">
            <w:pPr>
              <w:spacing w:line="360" w:lineRule="auto"/>
              <w:rPr>
                <w:rFonts w:ascii="Arial" w:hAnsi="Arial" w:cs="Arial"/>
                <w:sz w:val="24"/>
                <w:szCs w:val="24"/>
                <w:lang w:val="en-US"/>
              </w:rPr>
            </w:pPr>
          </w:p>
        </w:tc>
        <w:tc>
          <w:tcPr>
            <w:tcW w:w="5130" w:type="dxa"/>
          </w:tcPr>
          <w:p w:rsidR="002C0BF8" w:rsidRPr="002C0BF8" w:rsidRDefault="002C0BF8" w:rsidP="002C0BF8">
            <w:pPr>
              <w:spacing w:line="360" w:lineRule="auto"/>
              <w:rPr>
                <w:rFonts w:ascii="Arial" w:hAnsi="Arial" w:cs="Arial"/>
                <w:sz w:val="24"/>
                <w:szCs w:val="24"/>
                <w:lang w:val="en-US"/>
              </w:rPr>
            </w:pPr>
            <w:r w:rsidRPr="002C0BF8">
              <w:rPr>
                <w:rFonts w:ascii="Arial" w:hAnsi="Arial" w:cs="Arial"/>
                <w:b/>
                <w:sz w:val="24"/>
                <w:szCs w:val="24"/>
                <w:lang w:val="en-US"/>
              </w:rPr>
              <w:t>Division of Court</w:t>
            </w:r>
            <w:r w:rsidRPr="002C0BF8">
              <w:rPr>
                <w:rFonts w:ascii="Arial" w:hAnsi="Arial" w:cs="Arial"/>
                <w:sz w:val="24"/>
                <w:szCs w:val="24"/>
                <w:lang w:val="en-US"/>
              </w:rPr>
              <w:t>:</w:t>
            </w:r>
          </w:p>
          <w:p w:rsidR="002C0BF8" w:rsidRPr="002C0BF8" w:rsidRDefault="002C0BF8" w:rsidP="002C0BF8">
            <w:pPr>
              <w:spacing w:line="360" w:lineRule="auto"/>
              <w:rPr>
                <w:rFonts w:ascii="Arial" w:hAnsi="Arial" w:cs="Arial"/>
                <w:sz w:val="24"/>
                <w:szCs w:val="24"/>
                <w:lang w:val="en-US"/>
              </w:rPr>
            </w:pPr>
            <w:r w:rsidRPr="002C0BF8">
              <w:rPr>
                <w:rFonts w:ascii="Arial" w:hAnsi="Arial" w:cs="Arial"/>
                <w:sz w:val="24"/>
                <w:szCs w:val="24"/>
                <w:lang w:val="en-US"/>
              </w:rPr>
              <w:t>High Court (Main Division)</w:t>
            </w:r>
          </w:p>
          <w:p w:rsidR="002C0BF8" w:rsidRPr="002C0BF8" w:rsidRDefault="002C0BF8" w:rsidP="002C0BF8">
            <w:pPr>
              <w:spacing w:line="360" w:lineRule="auto"/>
              <w:rPr>
                <w:rFonts w:ascii="Arial" w:hAnsi="Arial" w:cs="Arial"/>
                <w:sz w:val="24"/>
                <w:szCs w:val="24"/>
                <w:lang w:val="en-US"/>
              </w:rPr>
            </w:pPr>
          </w:p>
        </w:tc>
      </w:tr>
      <w:tr w:rsidR="002C0BF8" w:rsidRPr="002C0BF8" w:rsidTr="00C6000D">
        <w:tc>
          <w:tcPr>
            <w:tcW w:w="4950" w:type="dxa"/>
            <w:vMerge w:val="restart"/>
          </w:tcPr>
          <w:p w:rsidR="002C0BF8" w:rsidRPr="002C0BF8" w:rsidRDefault="002C0BF8" w:rsidP="002C0BF8">
            <w:pPr>
              <w:spacing w:line="360" w:lineRule="auto"/>
              <w:rPr>
                <w:rFonts w:ascii="Arial" w:hAnsi="Arial" w:cs="Arial"/>
                <w:b/>
                <w:sz w:val="24"/>
                <w:szCs w:val="24"/>
                <w:lang w:val="en-US"/>
              </w:rPr>
            </w:pPr>
            <w:r w:rsidRPr="002C0BF8">
              <w:rPr>
                <w:rFonts w:ascii="Arial" w:hAnsi="Arial" w:cs="Arial"/>
                <w:b/>
                <w:sz w:val="24"/>
                <w:szCs w:val="24"/>
                <w:lang w:val="en-US"/>
              </w:rPr>
              <w:t>Heard/tried before:</w:t>
            </w:r>
          </w:p>
          <w:p w:rsidR="002C0BF8" w:rsidRPr="002C0BF8" w:rsidRDefault="002C0BF8" w:rsidP="002C0BF8">
            <w:pPr>
              <w:spacing w:line="360" w:lineRule="auto"/>
              <w:rPr>
                <w:rFonts w:ascii="Arial" w:hAnsi="Arial" w:cs="Arial"/>
                <w:sz w:val="24"/>
                <w:szCs w:val="24"/>
                <w:lang w:val="en-US"/>
              </w:rPr>
            </w:pPr>
            <w:r w:rsidRPr="002C0BF8">
              <w:rPr>
                <w:rFonts w:ascii="Arial" w:hAnsi="Arial" w:cs="Arial"/>
                <w:sz w:val="24"/>
                <w:szCs w:val="24"/>
                <w:lang w:val="en-US"/>
              </w:rPr>
              <w:t>Honourable Mr Justice B Usiku J</w:t>
            </w:r>
          </w:p>
        </w:tc>
        <w:tc>
          <w:tcPr>
            <w:tcW w:w="5130" w:type="dxa"/>
          </w:tcPr>
          <w:p w:rsidR="002C0BF8" w:rsidRPr="002C0BF8" w:rsidRDefault="002C0BF8" w:rsidP="002C0BF8">
            <w:pPr>
              <w:spacing w:line="360" w:lineRule="auto"/>
              <w:rPr>
                <w:rFonts w:ascii="Arial" w:hAnsi="Arial" w:cs="Arial"/>
                <w:b/>
                <w:sz w:val="24"/>
                <w:szCs w:val="24"/>
                <w:lang w:val="en-US"/>
              </w:rPr>
            </w:pPr>
            <w:r w:rsidRPr="002C0BF8">
              <w:rPr>
                <w:rFonts w:ascii="Arial" w:hAnsi="Arial" w:cs="Arial"/>
                <w:b/>
                <w:sz w:val="24"/>
                <w:szCs w:val="24"/>
                <w:lang w:val="en-US"/>
              </w:rPr>
              <w:t>Date of hearing:</w:t>
            </w:r>
          </w:p>
          <w:p w:rsidR="002C0BF8" w:rsidRPr="002C0BF8" w:rsidRDefault="002C0BF8" w:rsidP="002C0BF8">
            <w:pPr>
              <w:spacing w:line="360" w:lineRule="auto"/>
              <w:rPr>
                <w:rFonts w:ascii="Arial" w:hAnsi="Arial" w:cs="Arial"/>
                <w:sz w:val="24"/>
                <w:szCs w:val="24"/>
                <w:lang w:val="en-US"/>
              </w:rPr>
            </w:pPr>
            <w:r>
              <w:rPr>
                <w:rFonts w:ascii="Arial" w:hAnsi="Arial" w:cs="Arial"/>
                <w:sz w:val="24"/>
                <w:szCs w:val="24"/>
                <w:lang w:val="en-US"/>
              </w:rPr>
              <w:t>21 February 2020</w:t>
            </w:r>
          </w:p>
          <w:p w:rsidR="002C0BF8" w:rsidRPr="002C0BF8" w:rsidRDefault="002C0BF8" w:rsidP="002C0BF8">
            <w:pPr>
              <w:spacing w:line="360" w:lineRule="auto"/>
              <w:rPr>
                <w:rFonts w:ascii="Arial" w:hAnsi="Arial" w:cs="Arial"/>
                <w:sz w:val="24"/>
                <w:szCs w:val="24"/>
                <w:lang w:val="en-US"/>
              </w:rPr>
            </w:pPr>
          </w:p>
        </w:tc>
      </w:tr>
      <w:tr w:rsidR="002C0BF8" w:rsidRPr="002C0BF8" w:rsidTr="00C6000D">
        <w:tc>
          <w:tcPr>
            <w:tcW w:w="4950" w:type="dxa"/>
            <w:vMerge/>
          </w:tcPr>
          <w:p w:rsidR="002C0BF8" w:rsidRPr="002C0BF8" w:rsidRDefault="002C0BF8" w:rsidP="002C0BF8">
            <w:pPr>
              <w:rPr>
                <w:rFonts w:ascii="Arial" w:hAnsi="Arial" w:cs="Arial"/>
                <w:b/>
                <w:sz w:val="24"/>
                <w:szCs w:val="24"/>
                <w:lang w:val="en-US"/>
              </w:rPr>
            </w:pPr>
          </w:p>
        </w:tc>
        <w:tc>
          <w:tcPr>
            <w:tcW w:w="5130" w:type="dxa"/>
          </w:tcPr>
          <w:p w:rsidR="002C0BF8" w:rsidRPr="002C0BF8" w:rsidRDefault="002C0BF8" w:rsidP="002C0BF8">
            <w:pPr>
              <w:spacing w:line="360" w:lineRule="auto"/>
              <w:rPr>
                <w:rFonts w:ascii="Arial" w:hAnsi="Arial" w:cs="Arial"/>
                <w:b/>
                <w:sz w:val="24"/>
                <w:szCs w:val="24"/>
                <w:lang w:val="en-US"/>
              </w:rPr>
            </w:pPr>
            <w:r w:rsidRPr="002C0BF8">
              <w:rPr>
                <w:rFonts w:ascii="Arial" w:hAnsi="Arial" w:cs="Arial"/>
                <w:b/>
                <w:sz w:val="24"/>
                <w:szCs w:val="24"/>
                <w:lang w:val="en-US"/>
              </w:rPr>
              <w:t>Delivered on:</w:t>
            </w:r>
          </w:p>
          <w:p w:rsidR="002C0BF8" w:rsidRPr="002C0BF8" w:rsidRDefault="002C0BF8" w:rsidP="002C0BF8">
            <w:pPr>
              <w:spacing w:line="360" w:lineRule="auto"/>
              <w:rPr>
                <w:rFonts w:ascii="Arial" w:hAnsi="Arial" w:cs="Arial"/>
                <w:sz w:val="24"/>
                <w:szCs w:val="24"/>
                <w:lang w:val="en-US"/>
              </w:rPr>
            </w:pPr>
            <w:r w:rsidRPr="002C0BF8">
              <w:rPr>
                <w:rFonts w:ascii="Arial" w:hAnsi="Arial" w:cs="Arial"/>
                <w:sz w:val="24"/>
                <w:szCs w:val="24"/>
                <w:lang w:val="en-US"/>
              </w:rPr>
              <w:t>21 February 2020</w:t>
            </w:r>
          </w:p>
          <w:p w:rsidR="002C0BF8" w:rsidRPr="002C0BF8" w:rsidRDefault="002C0BF8" w:rsidP="002C0BF8">
            <w:pPr>
              <w:spacing w:line="360" w:lineRule="auto"/>
              <w:rPr>
                <w:rFonts w:ascii="Arial" w:hAnsi="Arial" w:cs="Arial"/>
                <w:b/>
                <w:sz w:val="24"/>
                <w:szCs w:val="24"/>
                <w:lang w:val="en-US"/>
              </w:rPr>
            </w:pPr>
          </w:p>
        </w:tc>
      </w:tr>
      <w:tr w:rsidR="002C0BF8" w:rsidRPr="002C0BF8" w:rsidTr="00C6000D">
        <w:tc>
          <w:tcPr>
            <w:tcW w:w="10080" w:type="dxa"/>
            <w:gridSpan w:val="2"/>
          </w:tcPr>
          <w:p w:rsidR="002C0BF8" w:rsidRPr="002C0BF8" w:rsidRDefault="002C0BF8" w:rsidP="002C0BF8">
            <w:pPr>
              <w:spacing w:line="360" w:lineRule="auto"/>
              <w:rPr>
                <w:rFonts w:ascii="Arial" w:hAnsi="Arial" w:cs="Arial"/>
                <w:sz w:val="24"/>
                <w:szCs w:val="24"/>
                <w:lang w:val="en-US"/>
              </w:rPr>
            </w:pPr>
            <w:r w:rsidRPr="002C0BF8">
              <w:rPr>
                <w:rFonts w:ascii="Arial" w:hAnsi="Arial" w:cs="Arial"/>
                <w:b/>
                <w:sz w:val="24"/>
                <w:szCs w:val="24"/>
                <w:lang w:val="en-US"/>
              </w:rPr>
              <w:t xml:space="preserve">Neutral citation:  </w:t>
            </w:r>
            <w:r w:rsidRPr="002C0BF8">
              <w:rPr>
                <w:rFonts w:ascii="Arial" w:hAnsi="Arial" w:cs="Arial"/>
                <w:sz w:val="24"/>
                <w:szCs w:val="24"/>
                <w:lang w:val="en-US"/>
              </w:rPr>
              <w:t xml:space="preserve"> </w:t>
            </w:r>
            <w:r>
              <w:rPr>
                <w:rFonts w:ascii="Arial" w:hAnsi="Arial" w:cs="Arial"/>
                <w:i/>
                <w:sz w:val="24"/>
                <w:szCs w:val="24"/>
                <w:lang w:val="en-US"/>
              </w:rPr>
              <w:t xml:space="preserve">Steyn v Steyn </w:t>
            </w:r>
            <w:r w:rsidRPr="002C0BF8">
              <w:rPr>
                <w:rFonts w:ascii="Arial" w:hAnsi="Arial" w:cs="Arial"/>
                <w:sz w:val="24"/>
                <w:szCs w:val="24"/>
                <w:lang w:val="en-US"/>
              </w:rPr>
              <w:t>(</w:t>
            </w:r>
            <w:r>
              <w:rPr>
                <w:rFonts w:ascii="Arial" w:hAnsi="Arial" w:cs="Arial"/>
                <w:sz w:val="24"/>
                <w:szCs w:val="24"/>
                <w:lang w:val="en-US"/>
              </w:rPr>
              <w:t>HC-MD-CIV-ACT-MAT-2019/0292</w:t>
            </w:r>
            <w:r w:rsidR="00AF37C8">
              <w:rPr>
                <w:rFonts w:ascii="Arial" w:hAnsi="Arial" w:cs="Arial"/>
                <w:sz w:val="24"/>
                <w:szCs w:val="24"/>
                <w:lang w:val="en-US"/>
              </w:rPr>
              <w:t>6</w:t>
            </w:r>
            <w:r>
              <w:rPr>
                <w:rFonts w:ascii="Arial" w:hAnsi="Arial" w:cs="Arial"/>
                <w:sz w:val="24"/>
                <w:szCs w:val="24"/>
                <w:lang w:val="en-US"/>
              </w:rPr>
              <w:t>)</w:t>
            </w:r>
            <w:r w:rsidRPr="002C0BF8">
              <w:rPr>
                <w:rFonts w:ascii="Arial" w:hAnsi="Arial" w:cs="Arial"/>
                <w:sz w:val="24"/>
                <w:szCs w:val="24"/>
                <w:lang w:val="en-US"/>
              </w:rPr>
              <w:t xml:space="preserve"> [20</w:t>
            </w:r>
            <w:r w:rsidR="00DB27BC">
              <w:rPr>
                <w:rFonts w:ascii="Arial" w:hAnsi="Arial" w:cs="Arial"/>
                <w:sz w:val="24"/>
                <w:szCs w:val="24"/>
                <w:lang w:val="en-US"/>
              </w:rPr>
              <w:t>20</w:t>
            </w:r>
            <w:r w:rsidRPr="002C0BF8">
              <w:rPr>
                <w:rFonts w:ascii="Arial" w:hAnsi="Arial" w:cs="Arial"/>
                <w:sz w:val="24"/>
                <w:szCs w:val="24"/>
                <w:lang w:val="en-US"/>
              </w:rPr>
              <w:t>] NAHCMD</w:t>
            </w:r>
            <w:r w:rsidR="00B74FAE">
              <w:rPr>
                <w:rFonts w:ascii="Arial" w:hAnsi="Arial" w:cs="Arial"/>
                <w:sz w:val="24"/>
                <w:szCs w:val="24"/>
                <w:lang w:val="en-US"/>
              </w:rPr>
              <w:t xml:space="preserve">   75</w:t>
            </w:r>
            <w:r w:rsidRPr="002C0BF8">
              <w:rPr>
                <w:rFonts w:ascii="Arial" w:hAnsi="Arial" w:cs="Arial"/>
                <w:sz w:val="24"/>
                <w:szCs w:val="24"/>
                <w:lang w:val="en-US"/>
              </w:rPr>
              <w:t xml:space="preserve"> (21 February 2020)</w:t>
            </w:r>
          </w:p>
          <w:p w:rsidR="002C0BF8" w:rsidRPr="002C0BF8" w:rsidRDefault="002C0BF8" w:rsidP="002C0BF8">
            <w:pPr>
              <w:rPr>
                <w:rFonts w:ascii="Arial" w:hAnsi="Arial" w:cs="Arial"/>
                <w:sz w:val="24"/>
                <w:szCs w:val="24"/>
                <w:lang w:val="en-US"/>
              </w:rPr>
            </w:pPr>
          </w:p>
        </w:tc>
      </w:tr>
      <w:tr w:rsidR="002C0BF8" w:rsidRPr="002C0BF8" w:rsidTr="00C6000D">
        <w:tc>
          <w:tcPr>
            <w:tcW w:w="10080" w:type="dxa"/>
            <w:gridSpan w:val="2"/>
          </w:tcPr>
          <w:p w:rsidR="002C0BF8" w:rsidRPr="002C0BF8" w:rsidRDefault="002C0BF8" w:rsidP="002C0BF8">
            <w:pPr>
              <w:spacing w:line="360" w:lineRule="auto"/>
              <w:rPr>
                <w:rFonts w:ascii="Arial" w:hAnsi="Arial" w:cs="Arial"/>
                <w:b/>
                <w:sz w:val="24"/>
                <w:szCs w:val="24"/>
                <w:lang w:val="en-US"/>
              </w:rPr>
            </w:pPr>
          </w:p>
          <w:p w:rsidR="002C0BF8" w:rsidRPr="002C0BF8" w:rsidRDefault="002C0BF8" w:rsidP="002C0BF8">
            <w:pPr>
              <w:tabs>
                <w:tab w:val="left" w:pos="687"/>
              </w:tabs>
              <w:spacing w:line="360" w:lineRule="auto"/>
              <w:rPr>
                <w:rFonts w:ascii="Arial" w:hAnsi="Arial" w:cs="Arial"/>
                <w:b/>
                <w:sz w:val="24"/>
                <w:szCs w:val="24"/>
                <w:lang w:val="en-US"/>
              </w:rPr>
            </w:pPr>
            <w:r w:rsidRPr="002C0BF8">
              <w:rPr>
                <w:rFonts w:ascii="Arial" w:hAnsi="Arial" w:cs="Arial"/>
                <w:b/>
                <w:sz w:val="24"/>
                <w:szCs w:val="24"/>
                <w:lang w:val="en-US"/>
              </w:rPr>
              <w:t>The Order:</w:t>
            </w:r>
          </w:p>
          <w:p w:rsidR="002C0BF8" w:rsidRPr="002C0BF8" w:rsidRDefault="002C0BF8" w:rsidP="002C0BF8">
            <w:pPr>
              <w:spacing w:line="360" w:lineRule="auto"/>
              <w:rPr>
                <w:rFonts w:ascii="Arial" w:hAnsi="Arial" w:cs="Arial"/>
                <w:sz w:val="24"/>
                <w:szCs w:val="24"/>
                <w:lang w:val="en-US"/>
              </w:rPr>
            </w:pPr>
            <w:r w:rsidRPr="002C0BF8">
              <w:rPr>
                <w:rFonts w:ascii="Arial" w:hAnsi="Arial" w:cs="Arial"/>
                <w:sz w:val="24"/>
                <w:szCs w:val="24"/>
                <w:lang w:val="en-US"/>
              </w:rPr>
              <w:t xml:space="preserve">Having heard </w:t>
            </w:r>
            <w:r>
              <w:rPr>
                <w:rFonts w:ascii="Arial" w:hAnsi="Arial" w:cs="Arial"/>
                <w:b/>
                <w:sz w:val="24"/>
                <w:szCs w:val="24"/>
                <w:lang w:val="en-US"/>
              </w:rPr>
              <w:t>Adv Muhongo</w:t>
            </w:r>
            <w:r w:rsidRPr="002C0BF8">
              <w:rPr>
                <w:rFonts w:ascii="Arial" w:hAnsi="Arial" w:cs="Arial"/>
                <w:sz w:val="24"/>
                <w:szCs w:val="24"/>
                <w:lang w:val="en-US"/>
              </w:rPr>
              <w:t xml:space="preserve"> on behalf of the Plaintiff and </w:t>
            </w:r>
            <w:r w:rsidRPr="002C0BF8">
              <w:rPr>
                <w:rFonts w:ascii="Arial" w:hAnsi="Arial" w:cs="Arial"/>
                <w:b/>
                <w:sz w:val="24"/>
                <w:szCs w:val="24"/>
                <w:lang w:val="en-US"/>
              </w:rPr>
              <w:t xml:space="preserve">Adv. </w:t>
            </w:r>
            <w:r>
              <w:rPr>
                <w:rFonts w:ascii="Arial" w:hAnsi="Arial" w:cs="Arial"/>
                <w:b/>
                <w:sz w:val="24"/>
                <w:szCs w:val="24"/>
                <w:lang w:val="en-US"/>
              </w:rPr>
              <w:t>Died</w:t>
            </w:r>
            <w:r w:rsidR="005875B0">
              <w:rPr>
                <w:rFonts w:ascii="Arial" w:hAnsi="Arial" w:cs="Arial"/>
                <w:b/>
                <w:sz w:val="24"/>
                <w:szCs w:val="24"/>
                <w:lang w:val="en-US"/>
              </w:rPr>
              <w:t>e</w:t>
            </w:r>
            <w:r>
              <w:rPr>
                <w:rFonts w:ascii="Arial" w:hAnsi="Arial" w:cs="Arial"/>
                <w:b/>
                <w:sz w:val="24"/>
                <w:szCs w:val="24"/>
                <w:lang w:val="en-US"/>
              </w:rPr>
              <w:t>ricks</w:t>
            </w:r>
            <w:r w:rsidRPr="002C0BF8">
              <w:rPr>
                <w:rFonts w:ascii="Arial" w:hAnsi="Arial" w:cs="Arial"/>
                <w:sz w:val="24"/>
                <w:szCs w:val="24"/>
                <w:lang w:val="en-US"/>
              </w:rPr>
              <w:t>, on behalf of the Defendant and having read documents filed of record:</w:t>
            </w:r>
          </w:p>
          <w:p w:rsidR="002C0BF8" w:rsidRPr="002C0BF8" w:rsidRDefault="002C0BF8" w:rsidP="002C0BF8">
            <w:pPr>
              <w:rPr>
                <w:rFonts w:ascii="Arial" w:hAnsi="Arial" w:cs="Arial"/>
                <w:sz w:val="24"/>
                <w:szCs w:val="24"/>
                <w:lang w:val="en-US"/>
              </w:rPr>
            </w:pPr>
          </w:p>
          <w:p w:rsidR="002C0BF8" w:rsidRPr="002C0BF8" w:rsidRDefault="002C0BF8" w:rsidP="002C0BF8">
            <w:pPr>
              <w:spacing w:line="360" w:lineRule="auto"/>
              <w:rPr>
                <w:rFonts w:ascii="Arial" w:hAnsi="Arial" w:cs="Arial"/>
                <w:b/>
                <w:sz w:val="24"/>
                <w:szCs w:val="24"/>
                <w:lang w:val="en-US"/>
              </w:rPr>
            </w:pPr>
            <w:r w:rsidRPr="002C0BF8">
              <w:rPr>
                <w:rFonts w:ascii="Arial" w:hAnsi="Arial" w:cs="Arial"/>
                <w:b/>
                <w:sz w:val="24"/>
                <w:szCs w:val="24"/>
                <w:lang w:val="en-US"/>
              </w:rPr>
              <w:t>IT IS ORDERED THAT:</w:t>
            </w:r>
          </w:p>
          <w:p w:rsidR="002C0BF8" w:rsidRDefault="002C0BF8" w:rsidP="002C0BF8">
            <w:pPr>
              <w:tabs>
                <w:tab w:val="left" w:pos="432"/>
              </w:tabs>
              <w:spacing w:line="360" w:lineRule="auto"/>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applicant’s application for interim access to the minor child, is declined.</w:t>
            </w:r>
          </w:p>
          <w:p w:rsidR="002C0BF8" w:rsidRDefault="002C0BF8" w:rsidP="002C0BF8">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I make no order as to costs.</w:t>
            </w:r>
          </w:p>
          <w:p w:rsidR="002C0BF8" w:rsidRDefault="002C0BF8" w:rsidP="002C0BF8">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matter is postponed to 22 April 2020 at 15:15 for status hearing.</w:t>
            </w:r>
          </w:p>
          <w:p w:rsidR="002C0BF8" w:rsidRPr="002C0BF8" w:rsidRDefault="002C0BF8" w:rsidP="002C0BF8">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must file joint status report on or before 15 April 2020.</w:t>
            </w:r>
          </w:p>
          <w:p w:rsidR="002C0BF8" w:rsidRPr="002C0BF8" w:rsidRDefault="002C0BF8" w:rsidP="002C0BF8">
            <w:pPr>
              <w:tabs>
                <w:tab w:val="left" w:pos="432"/>
              </w:tabs>
              <w:rPr>
                <w:rFonts w:ascii="Arial" w:hAnsi="Arial" w:cs="Arial"/>
                <w:sz w:val="24"/>
                <w:szCs w:val="24"/>
                <w:lang w:val="en-US"/>
              </w:rPr>
            </w:pPr>
          </w:p>
        </w:tc>
      </w:tr>
      <w:tr w:rsidR="002C0BF8" w:rsidRPr="002C0BF8" w:rsidTr="00C6000D">
        <w:tc>
          <w:tcPr>
            <w:tcW w:w="10080" w:type="dxa"/>
            <w:gridSpan w:val="2"/>
          </w:tcPr>
          <w:p w:rsidR="002C0BF8" w:rsidRPr="002C0BF8" w:rsidRDefault="002C0BF8" w:rsidP="002C0BF8">
            <w:pPr>
              <w:jc w:val="center"/>
              <w:rPr>
                <w:rFonts w:ascii="Arial" w:hAnsi="Arial" w:cs="Arial"/>
                <w:b/>
                <w:sz w:val="24"/>
                <w:szCs w:val="24"/>
                <w:lang w:val="en-US"/>
              </w:rPr>
            </w:pPr>
            <w:r w:rsidRPr="002C0BF8">
              <w:rPr>
                <w:rFonts w:ascii="Arial" w:hAnsi="Arial" w:cs="Arial"/>
                <w:b/>
                <w:sz w:val="24"/>
                <w:szCs w:val="24"/>
                <w:lang w:val="en-US"/>
              </w:rPr>
              <w:t>Reasons:  Practice Direction 61(9)</w:t>
            </w:r>
          </w:p>
          <w:p w:rsidR="002C0BF8" w:rsidRPr="002C0BF8" w:rsidRDefault="002C0BF8" w:rsidP="002C0BF8">
            <w:pPr>
              <w:rPr>
                <w:rFonts w:ascii="Arial" w:hAnsi="Arial" w:cs="Arial"/>
                <w:b/>
                <w:sz w:val="24"/>
                <w:szCs w:val="24"/>
                <w:lang w:val="en-US"/>
              </w:rPr>
            </w:pPr>
          </w:p>
        </w:tc>
      </w:tr>
      <w:tr w:rsidR="002C0BF8" w:rsidRPr="002C0BF8" w:rsidTr="00C6000D">
        <w:tc>
          <w:tcPr>
            <w:tcW w:w="10080" w:type="dxa"/>
            <w:gridSpan w:val="2"/>
          </w:tcPr>
          <w:p w:rsidR="002C0BF8" w:rsidRPr="002C0BF8" w:rsidRDefault="002C0BF8" w:rsidP="00BD556D">
            <w:pPr>
              <w:jc w:val="both"/>
              <w:rPr>
                <w:rFonts w:ascii="Arial" w:hAnsi="Arial" w:cs="Arial"/>
                <w:sz w:val="24"/>
                <w:szCs w:val="24"/>
                <w:u w:val="single"/>
                <w:lang w:val="en-US"/>
              </w:rPr>
            </w:pPr>
          </w:p>
          <w:p w:rsidR="002C0BF8" w:rsidRPr="002C0BF8" w:rsidRDefault="002C0BF8" w:rsidP="00BD556D">
            <w:pPr>
              <w:tabs>
                <w:tab w:val="left" w:pos="702"/>
              </w:tabs>
              <w:spacing w:line="360" w:lineRule="auto"/>
              <w:jc w:val="both"/>
              <w:rPr>
                <w:rFonts w:ascii="Arial" w:hAnsi="Arial" w:cs="Arial"/>
                <w:sz w:val="24"/>
                <w:szCs w:val="24"/>
                <w:u w:val="single"/>
                <w:lang w:val="en-US"/>
              </w:rPr>
            </w:pPr>
            <w:r w:rsidRPr="002C0BF8">
              <w:rPr>
                <w:rFonts w:ascii="Arial" w:hAnsi="Arial" w:cs="Arial"/>
                <w:sz w:val="24"/>
                <w:szCs w:val="24"/>
                <w:u w:val="single"/>
                <w:lang w:val="en-US"/>
              </w:rPr>
              <w:t>Introduction</w:t>
            </w:r>
          </w:p>
          <w:p w:rsidR="002C0BF8" w:rsidRPr="002C0BF8" w:rsidRDefault="002C0BF8" w:rsidP="00BD556D">
            <w:pPr>
              <w:jc w:val="both"/>
              <w:rPr>
                <w:rFonts w:ascii="Arial" w:hAnsi="Arial" w:cs="Arial"/>
                <w:sz w:val="24"/>
                <w:szCs w:val="24"/>
                <w:lang w:val="en-US"/>
              </w:rPr>
            </w:pPr>
          </w:p>
          <w:p w:rsidR="002C0BF8" w:rsidRDefault="002C0BF8" w:rsidP="00BD556D">
            <w:pPr>
              <w:tabs>
                <w:tab w:val="left" w:pos="927"/>
              </w:tabs>
              <w:spacing w:line="360" w:lineRule="auto"/>
              <w:jc w:val="both"/>
              <w:rPr>
                <w:rFonts w:ascii="Arial" w:hAnsi="Arial" w:cs="Arial"/>
                <w:sz w:val="24"/>
                <w:szCs w:val="24"/>
                <w:lang w:val="en-US"/>
              </w:rPr>
            </w:pPr>
            <w:r w:rsidRPr="002C0BF8">
              <w:rPr>
                <w:rFonts w:ascii="Arial" w:hAnsi="Arial" w:cs="Arial"/>
                <w:sz w:val="24"/>
                <w:szCs w:val="24"/>
                <w:lang w:val="en-US"/>
              </w:rPr>
              <w:t>[1]</w:t>
            </w:r>
            <w:r w:rsidRPr="002C0BF8">
              <w:rPr>
                <w:rFonts w:ascii="Arial" w:hAnsi="Arial" w:cs="Arial"/>
                <w:sz w:val="24"/>
                <w:szCs w:val="24"/>
                <w:lang w:val="en-US"/>
              </w:rPr>
              <w:tab/>
            </w:r>
            <w:r>
              <w:rPr>
                <w:rFonts w:ascii="Arial" w:hAnsi="Arial" w:cs="Arial"/>
                <w:sz w:val="24"/>
                <w:szCs w:val="24"/>
                <w:lang w:val="en-US"/>
              </w:rPr>
              <w:t xml:space="preserve">This is an application by the applicant (plaintiff in the main action) in terms of rule 90.  The applicant applies for an order directing the respondent to afford the applicant reasonable access to the minor child in this matter.  The applicant further seeks and order to the effect that such reasonable access be exercised </w:t>
            </w:r>
            <w:r w:rsidR="00FE325F">
              <w:rPr>
                <w:rFonts w:ascii="Arial" w:hAnsi="Arial" w:cs="Arial"/>
                <w:sz w:val="24"/>
                <w:szCs w:val="24"/>
                <w:lang w:val="en-US"/>
              </w:rPr>
              <w:t>as recommended in terms of the Interim Access Report compiled by Dr Van Rooyen and Dr Van Schalkwyk  dated 18 November 201</w:t>
            </w:r>
            <w:r w:rsidR="00623B92">
              <w:rPr>
                <w:rFonts w:ascii="Arial" w:hAnsi="Arial" w:cs="Arial"/>
                <w:sz w:val="24"/>
                <w:szCs w:val="24"/>
                <w:lang w:val="en-US"/>
              </w:rPr>
              <w:t>9</w:t>
            </w:r>
            <w:r w:rsidR="00FE325F">
              <w:rPr>
                <w:rFonts w:ascii="Arial" w:hAnsi="Arial" w:cs="Arial"/>
                <w:sz w:val="24"/>
                <w:szCs w:val="24"/>
                <w:lang w:val="en-US"/>
              </w:rPr>
              <w:t>, namely:</w:t>
            </w:r>
          </w:p>
          <w:p w:rsidR="00FE325F" w:rsidRDefault="00FE325F"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(a)  every Tuesday and Thursday after school until Monday morning before school.</w:t>
            </w:r>
          </w:p>
          <w:p w:rsidR="00FE325F" w:rsidRDefault="00FE325F"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(b)  every alternative weekend from Friday after school to Monday morning before school.</w:t>
            </w:r>
          </w:p>
          <w:p w:rsidR="00D14A15" w:rsidRDefault="00D14A15" w:rsidP="00BD556D">
            <w:pPr>
              <w:tabs>
                <w:tab w:val="left" w:pos="927"/>
              </w:tabs>
              <w:spacing w:line="360" w:lineRule="auto"/>
              <w:jc w:val="both"/>
              <w:rPr>
                <w:rFonts w:ascii="Arial" w:hAnsi="Arial" w:cs="Arial"/>
                <w:sz w:val="24"/>
                <w:szCs w:val="24"/>
                <w:lang w:val="en-US"/>
              </w:rPr>
            </w:pPr>
          </w:p>
          <w:p w:rsidR="00D14A15" w:rsidRDefault="00D14A15"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Alternatively the applicant seeks such order granting him reasonable access to the minor child, as the court may deem fit.</w:t>
            </w:r>
          </w:p>
          <w:p w:rsidR="00D14A15" w:rsidRDefault="00D14A15" w:rsidP="00BD556D">
            <w:pPr>
              <w:tabs>
                <w:tab w:val="left" w:pos="927"/>
              </w:tabs>
              <w:spacing w:line="360" w:lineRule="auto"/>
              <w:jc w:val="both"/>
              <w:rPr>
                <w:rFonts w:ascii="Arial" w:hAnsi="Arial" w:cs="Arial"/>
                <w:sz w:val="24"/>
                <w:szCs w:val="24"/>
                <w:lang w:val="en-US"/>
              </w:rPr>
            </w:pPr>
          </w:p>
          <w:p w:rsidR="00D14A15" w:rsidRDefault="00D14A15"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respondent (the defendant in the main action) opposes the application.</w:t>
            </w:r>
          </w:p>
          <w:p w:rsidR="00D14A15" w:rsidRDefault="00D14A15" w:rsidP="00BD556D">
            <w:pPr>
              <w:tabs>
                <w:tab w:val="left" w:pos="927"/>
              </w:tabs>
              <w:spacing w:line="360" w:lineRule="auto"/>
              <w:jc w:val="both"/>
              <w:rPr>
                <w:rFonts w:ascii="Arial" w:hAnsi="Arial" w:cs="Arial"/>
                <w:sz w:val="24"/>
                <w:szCs w:val="24"/>
                <w:lang w:val="en-US"/>
              </w:rPr>
            </w:pPr>
          </w:p>
          <w:p w:rsidR="00D14A15" w:rsidRDefault="00D14A15" w:rsidP="00BD556D">
            <w:pPr>
              <w:tabs>
                <w:tab w:val="left" w:pos="927"/>
              </w:tabs>
              <w:spacing w:line="360" w:lineRule="auto"/>
              <w:jc w:val="both"/>
              <w:rPr>
                <w:rFonts w:ascii="Arial" w:hAnsi="Arial" w:cs="Arial"/>
                <w:sz w:val="24"/>
                <w:szCs w:val="24"/>
                <w:u w:val="single"/>
                <w:lang w:val="en-US"/>
              </w:rPr>
            </w:pPr>
            <w:r w:rsidRPr="00D14A15">
              <w:rPr>
                <w:rFonts w:ascii="Arial" w:hAnsi="Arial" w:cs="Arial"/>
                <w:sz w:val="24"/>
                <w:szCs w:val="24"/>
                <w:u w:val="single"/>
                <w:lang w:val="en-US"/>
              </w:rPr>
              <w:t xml:space="preserve">The application </w:t>
            </w:r>
          </w:p>
          <w:p w:rsidR="00D14A15" w:rsidRPr="00D14A15" w:rsidRDefault="00D14A15" w:rsidP="00BD556D">
            <w:pPr>
              <w:tabs>
                <w:tab w:val="left" w:pos="927"/>
              </w:tabs>
              <w:spacing w:line="360" w:lineRule="auto"/>
              <w:jc w:val="both"/>
              <w:rPr>
                <w:rFonts w:ascii="Arial" w:hAnsi="Arial" w:cs="Arial"/>
                <w:sz w:val="24"/>
                <w:szCs w:val="24"/>
                <w:u w:val="single"/>
                <w:lang w:val="en-US"/>
              </w:rPr>
            </w:pPr>
          </w:p>
          <w:p w:rsidR="00D14A15" w:rsidRDefault="00D14A15"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In his application, the applicant states that the respondent and him are married out of community of property, which marriage subsists.  There is one minor child, a son, aged 10 years old.  On 03 May 2019 the respondent obtained a “temporary custody” orde</w:t>
            </w:r>
            <w:r w:rsidR="00623B92">
              <w:rPr>
                <w:rFonts w:ascii="Arial" w:hAnsi="Arial" w:cs="Arial"/>
                <w:sz w:val="24"/>
                <w:szCs w:val="24"/>
                <w:lang w:val="en-US"/>
              </w:rPr>
              <w:t xml:space="preserve">r in respect of the minor child, </w:t>
            </w:r>
            <w:r>
              <w:rPr>
                <w:rFonts w:ascii="Arial" w:hAnsi="Arial" w:cs="Arial"/>
                <w:sz w:val="24"/>
                <w:szCs w:val="24"/>
                <w:lang w:val="en-US"/>
              </w:rPr>
              <w:t>in the Children’s Court in Grootfontein.  The applicant instituted divorce proceedings against the respondent on 28 June 2019.</w:t>
            </w:r>
          </w:p>
          <w:p w:rsidR="00D14A15" w:rsidRDefault="00D14A15" w:rsidP="00BD556D">
            <w:pPr>
              <w:tabs>
                <w:tab w:val="left" w:pos="927"/>
              </w:tabs>
              <w:spacing w:line="360" w:lineRule="auto"/>
              <w:jc w:val="both"/>
              <w:rPr>
                <w:rFonts w:ascii="Arial" w:hAnsi="Arial" w:cs="Arial"/>
                <w:sz w:val="24"/>
                <w:szCs w:val="24"/>
                <w:lang w:val="en-US"/>
              </w:rPr>
            </w:pPr>
          </w:p>
          <w:p w:rsidR="00D14A15" w:rsidRDefault="00D14A15"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By agreement between the partie</w:t>
            </w:r>
            <w:r w:rsidR="00623B92">
              <w:rPr>
                <w:rFonts w:ascii="Arial" w:hAnsi="Arial" w:cs="Arial"/>
                <w:sz w:val="24"/>
                <w:szCs w:val="24"/>
                <w:lang w:val="en-US"/>
              </w:rPr>
              <w:t>s, Dr Van Rooyen and Dr Van Scha</w:t>
            </w:r>
            <w:r>
              <w:rPr>
                <w:rFonts w:ascii="Arial" w:hAnsi="Arial" w:cs="Arial"/>
                <w:sz w:val="24"/>
                <w:szCs w:val="24"/>
                <w:lang w:val="en-US"/>
              </w:rPr>
              <w:t>lkwy</w:t>
            </w:r>
            <w:r w:rsidR="00174A10">
              <w:rPr>
                <w:rFonts w:ascii="Arial" w:hAnsi="Arial" w:cs="Arial"/>
                <w:sz w:val="24"/>
                <w:szCs w:val="24"/>
                <w:lang w:val="en-US"/>
              </w:rPr>
              <w:t>k were appointed to assess the applicant, the respondent and the minor child, with a view to prepare a report in regard to the best interests of the minor child, insofar as it relates to the minor child.</w:t>
            </w:r>
          </w:p>
          <w:p w:rsidR="00174A10" w:rsidRDefault="00174A10" w:rsidP="00BD556D">
            <w:pPr>
              <w:tabs>
                <w:tab w:val="left" w:pos="927"/>
              </w:tabs>
              <w:spacing w:line="360" w:lineRule="auto"/>
              <w:jc w:val="both"/>
              <w:rPr>
                <w:rFonts w:ascii="Arial" w:hAnsi="Arial" w:cs="Arial"/>
                <w:sz w:val="24"/>
                <w:szCs w:val="24"/>
                <w:lang w:val="en-US"/>
              </w:rPr>
            </w:pPr>
          </w:p>
          <w:p w:rsidR="00174A10" w:rsidRDefault="00174A10"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On 01 October 2019 the respondent sought and obtained</w:t>
            </w:r>
            <w:r w:rsidR="007A1456">
              <w:rPr>
                <w:rFonts w:ascii="Arial" w:hAnsi="Arial" w:cs="Arial"/>
                <w:sz w:val="24"/>
                <w:szCs w:val="24"/>
                <w:lang w:val="en-US"/>
              </w:rPr>
              <w:t>,</w:t>
            </w:r>
            <w:r>
              <w:rPr>
                <w:rFonts w:ascii="Arial" w:hAnsi="Arial" w:cs="Arial"/>
                <w:sz w:val="24"/>
                <w:szCs w:val="24"/>
                <w:lang w:val="en-US"/>
              </w:rPr>
              <w:t xml:space="preserve"> in terms of the Combating of Domestic Vio</w:t>
            </w:r>
            <w:r w:rsidR="00623B92">
              <w:rPr>
                <w:rFonts w:ascii="Arial" w:hAnsi="Arial" w:cs="Arial"/>
                <w:sz w:val="24"/>
                <w:szCs w:val="24"/>
                <w:lang w:val="en-US"/>
              </w:rPr>
              <w:t>lence Act (No.4 of 2003) (“the A</w:t>
            </w:r>
            <w:r>
              <w:rPr>
                <w:rFonts w:ascii="Arial" w:hAnsi="Arial" w:cs="Arial"/>
                <w:sz w:val="24"/>
                <w:szCs w:val="24"/>
                <w:lang w:val="en-US"/>
              </w:rPr>
              <w:t xml:space="preserve">ct”), an interim protection order against the </w:t>
            </w:r>
            <w:r>
              <w:rPr>
                <w:rFonts w:ascii="Arial" w:hAnsi="Arial" w:cs="Arial"/>
                <w:sz w:val="24"/>
                <w:szCs w:val="24"/>
                <w:lang w:val="en-US"/>
              </w:rPr>
              <w:lastRenderedPageBreak/>
              <w:t>applicant.  Amongst other things</w:t>
            </w:r>
            <w:r w:rsidR="004D6223">
              <w:rPr>
                <w:rFonts w:ascii="Arial" w:hAnsi="Arial" w:cs="Arial"/>
                <w:sz w:val="24"/>
                <w:szCs w:val="24"/>
                <w:lang w:val="en-US"/>
              </w:rPr>
              <w:t>,</w:t>
            </w:r>
            <w:r>
              <w:rPr>
                <w:rFonts w:ascii="Arial" w:hAnsi="Arial" w:cs="Arial"/>
                <w:sz w:val="24"/>
                <w:szCs w:val="24"/>
                <w:lang w:val="en-US"/>
              </w:rPr>
              <w:t xml:space="preserve"> the interim protection order prohibits the applicant from:</w:t>
            </w:r>
            <w:r>
              <w:rPr>
                <w:rFonts w:ascii="Arial" w:hAnsi="Arial" w:cs="Arial"/>
                <w:sz w:val="24"/>
                <w:szCs w:val="24"/>
                <w:lang w:val="en-US"/>
              </w:rPr>
              <w:br/>
              <w:t>(a)  coming near the respondent wherever she may be,</w:t>
            </w:r>
          </w:p>
          <w:p w:rsidR="00174A10" w:rsidRDefault="00174A10"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(b)  entering or coming near the respondent’</w:t>
            </w:r>
            <w:r w:rsidR="004D6223">
              <w:rPr>
                <w:rFonts w:ascii="Arial" w:hAnsi="Arial" w:cs="Arial"/>
                <w:sz w:val="24"/>
                <w:szCs w:val="24"/>
                <w:lang w:val="en-US"/>
              </w:rPr>
              <w:t>s</w:t>
            </w:r>
            <w:r>
              <w:rPr>
                <w:rFonts w:ascii="Arial" w:hAnsi="Arial" w:cs="Arial"/>
                <w:sz w:val="24"/>
                <w:szCs w:val="24"/>
                <w:lang w:val="en-US"/>
              </w:rPr>
              <w:t xml:space="preserve"> residence, and,</w:t>
            </w:r>
          </w:p>
          <w:p w:rsidR="00174A10" w:rsidRDefault="00174A10"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(c)  communicating</w:t>
            </w:r>
            <w:r w:rsidR="004D6223">
              <w:rPr>
                <w:rFonts w:ascii="Arial" w:hAnsi="Arial" w:cs="Arial"/>
                <w:sz w:val="24"/>
                <w:szCs w:val="24"/>
                <w:lang w:val="en-US"/>
              </w:rPr>
              <w:t>,</w:t>
            </w:r>
            <w:r>
              <w:rPr>
                <w:rFonts w:ascii="Arial" w:hAnsi="Arial" w:cs="Arial"/>
                <w:sz w:val="24"/>
                <w:szCs w:val="24"/>
                <w:lang w:val="en-US"/>
              </w:rPr>
              <w:t xml:space="preserve"> in any way</w:t>
            </w:r>
            <w:r w:rsidR="004D6223">
              <w:rPr>
                <w:rFonts w:ascii="Arial" w:hAnsi="Arial" w:cs="Arial"/>
                <w:sz w:val="24"/>
                <w:szCs w:val="24"/>
                <w:lang w:val="en-US"/>
              </w:rPr>
              <w:t>,</w:t>
            </w:r>
            <w:r>
              <w:rPr>
                <w:rFonts w:ascii="Arial" w:hAnsi="Arial" w:cs="Arial"/>
                <w:sz w:val="24"/>
                <w:szCs w:val="24"/>
                <w:lang w:val="en-US"/>
              </w:rPr>
              <w:t xml:space="preserve"> with the respondent except through the respondent’s lawyers.</w:t>
            </w:r>
          </w:p>
          <w:p w:rsidR="00174A10" w:rsidRDefault="00174A10"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In terms of section 9(3) of the Act, an interim protection order has the same legal effect as a final protection order.</w:t>
            </w:r>
          </w:p>
          <w:p w:rsidR="00174A10" w:rsidRDefault="00174A10" w:rsidP="00BD556D">
            <w:pPr>
              <w:tabs>
                <w:tab w:val="left" w:pos="927"/>
              </w:tabs>
              <w:spacing w:line="360" w:lineRule="auto"/>
              <w:jc w:val="both"/>
              <w:rPr>
                <w:rFonts w:ascii="Arial" w:hAnsi="Arial" w:cs="Arial"/>
                <w:sz w:val="24"/>
                <w:szCs w:val="24"/>
                <w:lang w:val="en-US"/>
              </w:rPr>
            </w:pPr>
          </w:p>
          <w:p w:rsidR="00174A10" w:rsidRDefault="00174A10"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The two doctors </w:t>
            </w:r>
            <w:r w:rsidR="00931F13">
              <w:rPr>
                <w:rFonts w:ascii="Arial" w:hAnsi="Arial" w:cs="Arial"/>
                <w:sz w:val="24"/>
                <w:szCs w:val="24"/>
                <w:lang w:val="en-US"/>
              </w:rPr>
              <w:t>aforesaid compiled a report, the essential component of which is summarised in para [1] hereof.  However, the respondent refused to abide by the content of the report.</w:t>
            </w:r>
          </w:p>
          <w:p w:rsidR="00931F13" w:rsidRDefault="00931F13" w:rsidP="00BD556D">
            <w:pPr>
              <w:tabs>
                <w:tab w:val="left" w:pos="927"/>
              </w:tabs>
              <w:spacing w:line="360" w:lineRule="auto"/>
              <w:jc w:val="both"/>
              <w:rPr>
                <w:rFonts w:ascii="Arial" w:hAnsi="Arial" w:cs="Arial"/>
                <w:sz w:val="24"/>
                <w:szCs w:val="24"/>
                <w:lang w:val="en-US"/>
              </w:rPr>
            </w:pPr>
          </w:p>
          <w:p w:rsidR="00931F13" w:rsidRDefault="00931F13"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The applicant submits that he is not a danger to the minor child and would never cause harm to the minor child.</w:t>
            </w:r>
          </w:p>
          <w:p w:rsidR="00931F13" w:rsidRDefault="00931F13" w:rsidP="00BD556D">
            <w:pPr>
              <w:tabs>
                <w:tab w:val="left" w:pos="927"/>
              </w:tabs>
              <w:spacing w:line="360" w:lineRule="auto"/>
              <w:jc w:val="both"/>
              <w:rPr>
                <w:rFonts w:ascii="Arial" w:hAnsi="Arial" w:cs="Arial"/>
                <w:sz w:val="24"/>
                <w:szCs w:val="24"/>
                <w:lang w:val="en-US"/>
              </w:rPr>
            </w:pPr>
          </w:p>
          <w:p w:rsidR="00931F13" w:rsidRDefault="00931F13" w:rsidP="00BD556D">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In response to the applicant’s application</w:t>
            </w:r>
            <w:r w:rsidR="004D6223">
              <w:rPr>
                <w:rFonts w:ascii="Arial" w:hAnsi="Arial" w:cs="Arial"/>
                <w:sz w:val="24"/>
                <w:szCs w:val="24"/>
                <w:lang w:val="en-US"/>
              </w:rPr>
              <w:t>,</w:t>
            </w:r>
            <w:r>
              <w:rPr>
                <w:rFonts w:ascii="Arial" w:hAnsi="Arial" w:cs="Arial"/>
                <w:sz w:val="24"/>
                <w:szCs w:val="24"/>
                <w:lang w:val="en-US"/>
              </w:rPr>
              <w:t xml:space="preserve"> the respondent asse</w:t>
            </w:r>
            <w:r w:rsidR="00236681">
              <w:rPr>
                <w:rFonts w:ascii="Arial" w:hAnsi="Arial" w:cs="Arial"/>
                <w:sz w:val="24"/>
                <w:szCs w:val="24"/>
                <w:lang w:val="en-US"/>
              </w:rPr>
              <w:t>r</w:t>
            </w:r>
            <w:r>
              <w:rPr>
                <w:rFonts w:ascii="Arial" w:hAnsi="Arial" w:cs="Arial"/>
                <w:sz w:val="24"/>
                <w:szCs w:val="24"/>
                <w:lang w:val="en-US"/>
              </w:rPr>
              <w:t xml:space="preserve">ts that she has no objection to applicant having reasonable access to the minor child </w:t>
            </w:r>
            <w:r w:rsidRPr="00931F13">
              <w:rPr>
                <w:rFonts w:ascii="Arial" w:hAnsi="Arial" w:cs="Arial"/>
                <w:i/>
                <w:sz w:val="24"/>
                <w:szCs w:val="24"/>
                <w:lang w:val="en-US"/>
              </w:rPr>
              <w:t>per</w:t>
            </w:r>
            <w:r w:rsidR="00236681">
              <w:rPr>
                <w:rFonts w:ascii="Arial" w:hAnsi="Arial" w:cs="Arial"/>
                <w:i/>
                <w:sz w:val="24"/>
                <w:szCs w:val="24"/>
                <w:lang w:val="en-US"/>
              </w:rPr>
              <w:t xml:space="preserve"> </w:t>
            </w:r>
            <w:r w:rsidRPr="00931F13">
              <w:rPr>
                <w:rFonts w:ascii="Arial" w:hAnsi="Arial" w:cs="Arial"/>
                <w:i/>
                <w:sz w:val="24"/>
                <w:szCs w:val="24"/>
                <w:lang w:val="en-US"/>
              </w:rPr>
              <w:t>se</w:t>
            </w:r>
            <w:r>
              <w:rPr>
                <w:rFonts w:ascii="Arial" w:hAnsi="Arial" w:cs="Arial"/>
                <w:sz w:val="24"/>
                <w:szCs w:val="24"/>
                <w:lang w:val="en-US"/>
              </w:rPr>
              <w:t>, but is opposed to applicant having access to the minor child unsupervised.  According to the respondent, the applicant is involved in various inappropriate sexual relationships and encounters with other men and uses drugs.  The respondent contends that</w:t>
            </w:r>
            <w:r w:rsidR="00236681">
              <w:rPr>
                <w:rFonts w:ascii="Arial" w:hAnsi="Arial" w:cs="Arial"/>
                <w:sz w:val="24"/>
                <w:szCs w:val="24"/>
                <w:lang w:val="en-US"/>
              </w:rPr>
              <w:t>,</w:t>
            </w:r>
            <w:r>
              <w:rPr>
                <w:rFonts w:ascii="Arial" w:hAnsi="Arial" w:cs="Arial"/>
                <w:sz w:val="24"/>
                <w:szCs w:val="24"/>
                <w:lang w:val="en-US"/>
              </w:rPr>
              <w:t xml:space="preserve"> it is not in the best interests of the minor child for the applicant to be granted unsupervised access to the minor child.</w:t>
            </w:r>
          </w:p>
          <w:p w:rsidR="001E2766" w:rsidRDefault="001E2766" w:rsidP="00BD556D">
            <w:pPr>
              <w:tabs>
                <w:tab w:val="left" w:pos="927"/>
              </w:tabs>
              <w:spacing w:line="360" w:lineRule="auto"/>
              <w:jc w:val="both"/>
              <w:rPr>
                <w:rFonts w:ascii="Arial" w:hAnsi="Arial" w:cs="Arial"/>
                <w:sz w:val="24"/>
                <w:szCs w:val="24"/>
                <w:lang w:val="en-US"/>
              </w:rPr>
            </w:pPr>
          </w:p>
          <w:p w:rsidR="001E2766" w:rsidRPr="001E2766" w:rsidRDefault="001E2766" w:rsidP="00BD556D">
            <w:pPr>
              <w:tabs>
                <w:tab w:val="left" w:pos="927"/>
              </w:tabs>
              <w:spacing w:line="360" w:lineRule="auto"/>
              <w:jc w:val="both"/>
              <w:rPr>
                <w:rFonts w:ascii="Arial" w:hAnsi="Arial" w:cs="Arial"/>
                <w:sz w:val="24"/>
                <w:szCs w:val="24"/>
                <w:u w:val="single"/>
                <w:lang w:val="en-US"/>
              </w:rPr>
            </w:pPr>
            <w:r w:rsidRPr="001E2766">
              <w:rPr>
                <w:rFonts w:ascii="Arial" w:hAnsi="Arial" w:cs="Arial"/>
                <w:sz w:val="24"/>
                <w:szCs w:val="24"/>
                <w:u w:val="single"/>
                <w:lang w:val="en-US"/>
              </w:rPr>
              <w:t xml:space="preserve">Analysis </w:t>
            </w:r>
          </w:p>
          <w:p w:rsidR="001E2766" w:rsidRDefault="001E2766" w:rsidP="00BD556D">
            <w:pPr>
              <w:tabs>
                <w:tab w:val="left" w:pos="927"/>
              </w:tabs>
              <w:spacing w:line="360" w:lineRule="auto"/>
              <w:jc w:val="both"/>
              <w:rPr>
                <w:rFonts w:ascii="Arial" w:hAnsi="Arial" w:cs="Arial"/>
                <w:sz w:val="24"/>
                <w:szCs w:val="24"/>
                <w:lang w:val="en-US"/>
              </w:rPr>
            </w:pPr>
          </w:p>
          <w:p w:rsidR="001E2766" w:rsidRPr="002C0BF8" w:rsidRDefault="001E2766" w:rsidP="00BD556D">
            <w:pPr>
              <w:tabs>
                <w:tab w:val="left" w:pos="927"/>
              </w:tabs>
              <w:spacing w:line="360" w:lineRule="auto"/>
              <w:jc w:val="both"/>
              <w:rPr>
                <w:rFonts w:ascii="Arial" w:hAnsi="Arial" w:cs="Arial"/>
                <w:lang w:val="en-US"/>
              </w:rPr>
            </w:pPr>
            <w:r>
              <w:rPr>
                <w:rFonts w:ascii="Arial" w:hAnsi="Arial" w:cs="Arial"/>
                <w:sz w:val="24"/>
                <w:szCs w:val="24"/>
                <w:lang w:val="en-US"/>
              </w:rPr>
              <w:t>[10]</w:t>
            </w:r>
            <w:r>
              <w:rPr>
                <w:rFonts w:ascii="Arial" w:hAnsi="Arial" w:cs="Arial"/>
                <w:sz w:val="24"/>
                <w:szCs w:val="24"/>
                <w:lang w:val="en-US"/>
              </w:rPr>
              <w:tab/>
            </w:r>
            <w:r w:rsidR="00C37948">
              <w:rPr>
                <w:rFonts w:ascii="Arial" w:hAnsi="Arial" w:cs="Arial"/>
                <w:sz w:val="24"/>
                <w:szCs w:val="24"/>
                <w:lang w:val="en-US"/>
              </w:rPr>
              <w:t>The applicant did not set out how he intended to exercise the required reasonable access to the minor child, in view of the fact that the respondent exercises primary care over the minor child and the existence of the interim protection order.  This is, in my opinion, a circumstance that the court has to consider when determining what is in the best interests if the child.</w:t>
            </w:r>
          </w:p>
          <w:p w:rsidR="002C0BF8" w:rsidRDefault="002C0BF8" w:rsidP="00BD556D">
            <w:pPr>
              <w:tabs>
                <w:tab w:val="left" w:pos="432"/>
              </w:tabs>
              <w:spacing w:line="360" w:lineRule="auto"/>
              <w:jc w:val="both"/>
              <w:rPr>
                <w:rFonts w:ascii="Arial" w:hAnsi="Arial" w:cs="Arial"/>
                <w:sz w:val="24"/>
                <w:szCs w:val="24"/>
                <w:lang w:val="en-US"/>
              </w:rPr>
            </w:pPr>
          </w:p>
          <w:p w:rsidR="00C37948" w:rsidRDefault="00C37948" w:rsidP="00BD556D">
            <w:pPr>
              <w:tabs>
                <w:tab w:val="left" w:pos="432"/>
                <w:tab w:val="left" w:pos="1062"/>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Pr>
                <w:rFonts w:ascii="Arial" w:hAnsi="Arial" w:cs="Arial"/>
                <w:sz w:val="24"/>
                <w:szCs w:val="24"/>
                <w:lang w:val="en-US"/>
              </w:rPr>
              <w:tab/>
              <w:t xml:space="preserve">In his application for interim access, the applicant refers to the interim protection order granted on the 01 October 2019 as “irrelevant to the consideration of the relief” he seeks.  </w:t>
            </w:r>
            <w:r>
              <w:rPr>
                <w:rFonts w:ascii="Arial" w:hAnsi="Arial" w:cs="Arial"/>
                <w:sz w:val="24"/>
                <w:szCs w:val="24"/>
                <w:lang w:val="en-US"/>
              </w:rPr>
              <w:lastRenderedPageBreak/>
              <w:t>In my view, it is not correct to say that the interim protection order is irrelevant to the consideration</w:t>
            </w:r>
            <w:r w:rsidR="006D647F">
              <w:rPr>
                <w:rFonts w:ascii="Arial" w:hAnsi="Arial" w:cs="Arial"/>
                <w:sz w:val="24"/>
                <w:szCs w:val="24"/>
                <w:lang w:val="en-US"/>
              </w:rPr>
              <w:t xml:space="preserve"> present application.  The allegations made by the respondent that led to the granting of the protection order may be irrelevant to the consideration of the interim access application.  But the prohibitions that are imposed on the applica</w:t>
            </w:r>
            <w:r w:rsidR="001F525D">
              <w:rPr>
                <w:rFonts w:ascii="Arial" w:hAnsi="Arial" w:cs="Arial"/>
                <w:sz w:val="24"/>
                <w:szCs w:val="24"/>
                <w:lang w:val="en-US"/>
              </w:rPr>
              <w:t>nt,</w:t>
            </w:r>
            <w:r w:rsidR="006D647F">
              <w:rPr>
                <w:rFonts w:ascii="Arial" w:hAnsi="Arial" w:cs="Arial"/>
                <w:sz w:val="24"/>
                <w:szCs w:val="24"/>
                <w:lang w:val="en-US"/>
              </w:rPr>
              <w:t xml:space="preserve"> in terms of the protection order are relevant to the consideration of whether or not the interim access should be granted during the subsistence of the prohibitions imposed on the applicant.</w:t>
            </w:r>
          </w:p>
          <w:p w:rsidR="006D647F" w:rsidRDefault="006D647F" w:rsidP="00BD556D">
            <w:pPr>
              <w:tabs>
                <w:tab w:val="left" w:pos="432"/>
              </w:tabs>
              <w:spacing w:line="360" w:lineRule="auto"/>
              <w:jc w:val="both"/>
              <w:rPr>
                <w:rFonts w:ascii="Arial" w:hAnsi="Arial" w:cs="Arial"/>
                <w:sz w:val="24"/>
                <w:szCs w:val="24"/>
                <w:lang w:val="en-US"/>
              </w:rPr>
            </w:pPr>
          </w:p>
          <w:p w:rsidR="006D647F" w:rsidRDefault="006D647F" w:rsidP="00BD556D">
            <w:pPr>
              <w:tabs>
                <w:tab w:val="left" w:pos="432"/>
                <w:tab w:val="left" w:pos="104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Pr>
                <w:rFonts w:ascii="Arial" w:hAnsi="Arial" w:cs="Arial"/>
                <w:sz w:val="24"/>
                <w:szCs w:val="24"/>
                <w:lang w:val="en-US"/>
              </w:rPr>
              <w:tab/>
              <w:t>The granting of the relief that the applicant seeks, would of necessity, require the applicant to:</w:t>
            </w:r>
          </w:p>
          <w:p w:rsidR="006D647F" w:rsidRDefault="006D647F" w:rsidP="00BD556D">
            <w:pPr>
              <w:tabs>
                <w:tab w:val="left" w:pos="432"/>
              </w:tabs>
              <w:spacing w:line="360" w:lineRule="auto"/>
              <w:jc w:val="both"/>
              <w:rPr>
                <w:rFonts w:ascii="Arial" w:hAnsi="Arial" w:cs="Arial"/>
                <w:sz w:val="24"/>
                <w:szCs w:val="24"/>
                <w:lang w:val="en-US"/>
              </w:rPr>
            </w:pPr>
            <w:r>
              <w:rPr>
                <w:rFonts w:ascii="Arial" w:hAnsi="Arial" w:cs="Arial"/>
                <w:sz w:val="24"/>
                <w:szCs w:val="24"/>
                <w:lang w:val="en-US"/>
              </w:rPr>
              <w:t>(a)  c</w:t>
            </w:r>
            <w:r w:rsidR="001F525D">
              <w:rPr>
                <w:rFonts w:ascii="Arial" w:hAnsi="Arial" w:cs="Arial"/>
                <w:sz w:val="24"/>
                <w:szCs w:val="24"/>
                <w:lang w:val="en-US"/>
              </w:rPr>
              <w:t>o</w:t>
            </w:r>
            <w:r>
              <w:rPr>
                <w:rFonts w:ascii="Arial" w:hAnsi="Arial" w:cs="Arial"/>
                <w:sz w:val="24"/>
                <w:szCs w:val="24"/>
                <w:lang w:val="en-US"/>
              </w:rPr>
              <w:t xml:space="preserve">me near the respondent, by virtue of the fact that she ordinarily lives with the minor child, and to, </w:t>
            </w:r>
          </w:p>
          <w:p w:rsidR="006D647F" w:rsidRDefault="006D647F" w:rsidP="00BD556D">
            <w:pPr>
              <w:tabs>
                <w:tab w:val="left" w:pos="432"/>
              </w:tabs>
              <w:spacing w:line="360" w:lineRule="auto"/>
              <w:jc w:val="both"/>
              <w:rPr>
                <w:rFonts w:ascii="Arial" w:hAnsi="Arial" w:cs="Arial"/>
                <w:sz w:val="24"/>
                <w:szCs w:val="24"/>
                <w:lang w:val="en-US"/>
              </w:rPr>
            </w:pPr>
            <w:r>
              <w:rPr>
                <w:rFonts w:ascii="Arial" w:hAnsi="Arial" w:cs="Arial"/>
                <w:sz w:val="24"/>
                <w:szCs w:val="24"/>
                <w:lang w:val="en-US"/>
              </w:rPr>
              <w:t>(b)  communicate</w:t>
            </w:r>
            <w:r w:rsidR="001F525D">
              <w:rPr>
                <w:rFonts w:ascii="Arial" w:hAnsi="Arial" w:cs="Arial"/>
                <w:sz w:val="24"/>
                <w:szCs w:val="24"/>
                <w:lang w:val="en-US"/>
              </w:rPr>
              <w:t>,</w:t>
            </w:r>
            <w:r>
              <w:rPr>
                <w:rFonts w:ascii="Arial" w:hAnsi="Arial" w:cs="Arial"/>
                <w:sz w:val="24"/>
                <w:szCs w:val="24"/>
                <w:lang w:val="en-US"/>
              </w:rPr>
              <w:t xml:space="preserve"> in some way, (other than through respondent’s lawyers), </w:t>
            </w:r>
          </w:p>
          <w:p w:rsidR="006D647F" w:rsidRDefault="006D647F" w:rsidP="00BD556D">
            <w:pPr>
              <w:tabs>
                <w:tab w:val="left" w:pos="432"/>
              </w:tabs>
              <w:spacing w:line="360" w:lineRule="auto"/>
              <w:jc w:val="both"/>
              <w:rPr>
                <w:rFonts w:ascii="Arial" w:hAnsi="Arial" w:cs="Arial"/>
                <w:sz w:val="24"/>
                <w:szCs w:val="24"/>
                <w:lang w:val="en-US"/>
              </w:rPr>
            </w:pPr>
            <w:r>
              <w:rPr>
                <w:rFonts w:ascii="Arial" w:hAnsi="Arial" w:cs="Arial"/>
                <w:sz w:val="24"/>
                <w:szCs w:val="24"/>
                <w:lang w:val="en-US"/>
              </w:rPr>
              <w:t>activities which are prohibited in terms of the interim protections order.</w:t>
            </w:r>
          </w:p>
          <w:p w:rsidR="006D647F" w:rsidRDefault="006D647F" w:rsidP="00BD556D">
            <w:pPr>
              <w:tabs>
                <w:tab w:val="left" w:pos="432"/>
              </w:tabs>
              <w:spacing w:line="360" w:lineRule="auto"/>
              <w:jc w:val="both"/>
              <w:rPr>
                <w:rFonts w:ascii="Arial" w:hAnsi="Arial" w:cs="Arial"/>
                <w:sz w:val="24"/>
                <w:szCs w:val="24"/>
                <w:lang w:val="en-US"/>
              </w:rPr>
            </w:pPr>
          </w:p>
          <w:p w:rsidR="006D647F" w:rsidRDefault="006D647F" w:rsidP="00BD556D">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Pr>
                <w:rFonts w:ascii="Arial" w:hAnsi="Arial" w:cs="Arial"/>
                <w:sz w:val="24"/>
                <w:szCs w:val="24"/>
                <w:lang w:val="en-US"/>
              </w:rPr>
              <w:tab/>
              <w:t>The timing for launching this application</w:t>
            </w:r>
            <w:r w:rsidR="001F525D">
              <w:rPr>
                <w:rFonts w:ascii="Arial" w:hAnsi="Arial" w:cs="Arial"/>
                <w:sz w:val="24"/>
                <w:szCs w:val="24"/>
                <w:lang w:val="en-US"/>
              </w:rPr>
              <w:t>,</w:t>
            </w:r>
            <w:r>
              <w:rPr>
                <w:rFonts w:ascii="Arial" w:hAnsi="Arial" w:cs="Arial"/>
                <w:sz w:val="24"/>
                <w:szCs w:val="24"/>
                <w:lang w:val="en-US"/>
              </w:rPr>
              <w:t xml:space="preserve"> when the interim protection order is in effect, appears to me to be inappropriate.  The granting of the interim access application is likely to put the applicant on the collision course with the prohibitions contained in the protection order.  Moreover, there is no evidence on record on how the applicant would </w:t>
            </w:r>
            <w:r w:rsidR="001F525D">
              <w:rPr>
                <w:rFonts w:ascii="Arial" w:hAnsi="Arial" w:cs="Arial"/>
                <w:sz w:val="24"/>
                <w:szCs w:val="24"/>
                <w:lang w:val="en-US"/>
              </w:rPr>
              <w:t>be able to exercise his right of</w:t>
            </w:r>
            <w:r>
              <w:rPr>
                <w:rFonts w:ascii="Arial" w:hAnsi="Arial" w:cs="Arial"/>
                <w:sz w:val="24"/>
                <w:szCs w:val="24"/>
                <w:lang w:val="en-US"/>
              </w:rPr>
              <w:t xml:space="preserve"> reasonable access without contravening the pr</w:t>
            </w:r>
            <w:r w:rsidR="003F4855">
              <w:rPr>
                <w:rFonts w:ascii="Arial" w:hAnsi="Arial" w:cs="Arial"/>
                <w:sz w:val="24"/>
                <w:szCs w:val="24"/>
                <w:lang w:val="en-US"/>
              </w:rPr>
              <w:t>ohibitions contained in the order.</w:t>
            </w:r>
          </w:p>
          <w:p w:rsidR="00BD556D" w:rsidRDefault="00BD556D" w:rsidP="00BD556D">
            <w:pPr>
              <w:tabs>
                <w:tab w:val="left" w:pos="432"/>
                <w:tab w:val="left" w:pos="1107"/>
              </w:tabs>
              <w:spacing w:line="360" w:lineRule="auto"/>
              <w:jc w:val="both"/>
              <w:rPr>
                <w:rFonts w:ascii="Arial" w:hAnsi="Arial" w:cs="Arial"/>
                <w:sz w:val="24"/>
                <w:szCs w:val="24"/>
                <w:lang w:val="en-US"/>
              </w:rPr>
            </w:pPr>
          </w:p>
          <w:p w:rsidR="00BD556D" w:rsidRDefault="00BD556D" w:rsidP="00BD556D">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Pr>
                <w:rFonts w:ascii="Arial" w:hAnsi="Arial" w:cs="Arial"/>
                <w:sz w:val="24"/>
                <w:szCs w:val="24"/>
                <w:lang w:val="en-US"/>
              </w:rPr>
              <w:tab/>
              <w:t xml:space="preserve">In the view of the existence of the interim protection order and the effect thereof, I am not prepared to grant the relief that the applicant seeks.  For that reason the relief that the applicant </w:t>
            </w:r>
            <w:r w:rsidR="001F525D">
              <w:rPr>
                <w:rFonts w:ascii="Arial" w:hAnsi="Arial" w:cs="Arial"/>
                <w:sz w:val="24"/>
                <w:szCs w:val="24"/>
                <w:lang w:val="en-US"/>
              </w:rPr>
              <w:t xml:space="preserve">seeks </w:t>
            </w:r>
            <w:r>
              <w:rPr>
                <w:rFonts w:ascii="Arial" w:hAnsi="Arial" w:cs="Arial"/>
                <w:sz w:val="24"/>
                <w:szCs w:val="24"/>
                <w:lang w:val="en-US"/>
              </w:rPr>
              <w:t xml:space="preserve">stands to </w:t>
            </w:r>
            <w:r w:rsidR="00391679">
              <w:rPr>
                <w:rFonts w:ascii="Arial" w:hAnsi="Arial" w:cs="Arial"/>
                <w:sz w:val="24"/>
                <w:szCs w:val="24"/>
                <w:lang w:val="en-US"/>
              </w:rPr>
              <w:t xml:space="preserve">be </w:t>
            </w:r>
            <w:r>
              <w:rPr>
                <w:rFonts w:ascii="Arial" w:hAnsi="Arial" w:cs="Arial"/>
                <w:sz w:val="24"/>
                <w:szCs w:val="24"/>
                <w:lang w:val="en-US"/>
              </w:rPr>
              <w:t>declined.</w:t>
            </w:r>
          </w:p>
          <w:p w:rsidR="00BD556D" w:rsidRDefault="00BD556D" w:rsidP="00BD556D">
            <w:pPr>
              <w:tabs>
                <w:tab w:val="left" w:pos="432"/>
                <w:tab w:val="left" w:pos="1107"/>
              </w:tabs>
              <w:spacing w:line="360" w:lineRule="auto"/>
              <w:jc w:val="both"/>
              <w:rPr>
                <w:rFonts w:ascii="Arial" w:hAnsi="Arial" w:cs="Arial"/>
                <w:sz w:val="24"/>
                <w:szCs w:val="24"/>
                <w:lang w:val="en-US"/>
              </w:rPr>
            </w:pPr>
          </w:p>
          <w:p w:rsidR="00BD556D" w:rsidRDefault="00BD556D" w:rsidP="00BD556D">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Pr>
                <w:rFonts w:ascii="Arial" w:hAnsi="Arial" w:cs="Arial"/>
                <w:sz w:val="24"/>
                <w:szCs w:val="24"/>
                <w:lang w:val="en-US"/>
              </w:rPr>
              <w:tab/>
              <w:t>Insofar as the issue of costs is concerned, it appears from the papers filed of record that the applicant has undertaken to contribute to the respondent’s legal costs.  In these circumstances I do not deem it necessary to make an order as to costs.  Instead, each party should bear own costs.</w:t>
            </w:r>
          </w:p>
          <w:p w:rsidR="008F02DE" w:rsidRDefault="008F02DE" w:rsidP="00BD556D">
            <w:pPr>
              <w:tabs>
                <w:tab w:val="left" w:pos="432"/>
                <w:tab w:val="left" w:pos="1107"/>
              </w:tabs>
              <w:spacing w:line="360" w:lineRule="auto"/>
              <w:jc w:val="both"/>
              <w:rPr>
                <w:rFonts w:ascii="Arial" w:hAnsi="Arial" w:cs="Arial"/>
                <w:sz w:val="24"/>
                <w:szCs w:val="24"/>
                <w:lang w:val="en-US"/>
              </w:rPr>
            </w:pPr>
          </w:p>
          <w:p w:rsidR="008F02DE" w:rsidRDefault="008F02DE" w:rsidP="00BD556D">
            <w:pPr>
              <w:tabs>
                <w:tab w:val="left" w:pos="432"/>
                <w:tab w:val="left" w:pos="110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Pr>
                <w:rFonts w:ascii="Arial" w:hAnsi="Arial" w:cs="Arial"/>
                <w:sz w:val="24"/>
                <w:szCs w:val="24"/>
                <w:lang w:val="en-US"/>
              </w:rPr>
              <w:tab/>
              <w:t>In the result I make the following order:</w:t>
            </w:r>
          </w:p>
          <w:p w:rsidR="008F02DE" w:rsidRDefault="008F02DE" w:rsidP="008F02DE">
            <w:pPr>
              <w:tabs>
                <w:tab w:val="left" w:pos="432"/>
              </w:tabs>
              <w:spacing w:line="360" w:lineRule="auto"/>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applicant’s application for interim access to the minor child, is declined.</w:t>
            </w:r>
          </w:p>
          <w:p w:rsidR="008F02DE" w:rsidRDefault="008F02DE" w:rsidP="008F02DE">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I make no order as to costs.</w:t>
            </w:r>
          </w:p>
          <w:p w:rsidR="008F02DE" w:rsidRDefault="008F02DE" w:rsidP="008F02DE">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matter is postponed to 22 April 2020 at 15:15 for status hearing.</w:t>
            </w:r>
          </w:p>
          <w:p w:rsidR="008F02DE" w:rsidRPr="002C0BF8" w:rsidRDefault="008F02DE" w:rsidP="008F02DE">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must file joint status report on or before 15 April 2020.</w:t>
            </w:r>
          </w:p>
          <w:p w:rsidR="008F02DE" w:rsidRPr="002C0BF8" w:rsidRDefault="008F02DE" w:rsidP="00BD556D">
            <w:pPr>
              <w:tabs>
                <w:tab w:val="left" w:pos="432"/>
                <w:tab w:val="left" w:pos="1107"/>
              </w:tabs>
              <w:spacing w:line="360" w:lineRule="auto"/>
              <w:jc w:val="both"/>
              <w:rPr>
                <w:rFonts w:ascii="Arial" w:hAnsi="Arial" w:cs="Arial"/>
                <w:sz w:val="24"/>
                <w:szCs w:val="24"/>
                <w:lang w:val="en-US"/>
              </w:rPr>
            </w:pPr>
          </w:p>
        </w:tc>
      </w:tr>
      <w:tr w:rsidR="002C0BF8" w:rsidRPr="002C0BF8" w:rsidTr="00C6000D">
        <w:tc>
          <w:tcPr>
            <w:tcW w:w="4950" w:type="dxa"/>
          </w:tcPr>
          <w:p w:rsidR="002C0BF8" w:rsidRPr="002C0BF8" w:rsidRDefault="002C0BF8" w:rsidP="002C0BF8">
            <w:pPr>
              <w:rPr>
                <w:rFonts w:ascii="Arial" w:hAnsi="Arial" w:cs="Arial"/>
                <w:b/>
                <w:sz w:val="24"/>
                <w:szCs w:val="24"/>
                <w:lang w:val="en-US"/>
              </w:rPr>
            </w:pPr>
            <w:r w:rsidRPr="002C0BF8">
              <w:rPr>
                <w:rFonts w:ascii="Arial" w:hAnsi="Arial" w:cs="Arial"/>
                <w:b/>
                <w:sz w:val="24"/>
                <w:szCs w:val="24"/>
                <w:lang w:val="en-US"/>
              </w:rPr>
              <w:lastRenderedPageBreak/>
              <w:tab/>
              <w:t>Judge’s signature</w:t>
            </w:r>
          </w:p>
          <w:p w:rsidR="002C0BF8" w:rsidRPr="002C0BF8" w:rsidRDefault="002C0BF8" w:rsidP="002C0BF8">
            <w:pPr>
              <w:rPr>
                <w:rFonts w:ascii="Arial" w:hAnsi="Arial" w:cs="Arial"/>
                <w:b/>
                <w:sz w:val="24"/>
                <w:szCs w:val="24"/>
                <w:lang w:val="en-US"/>
              </w:rPr>
            </w:pPr>
          </w:p>
        </w:tc>
        <w:tc>
          <w:tcPr>
            <w:tcW w:w="5130" w:type="dxa"/>
          </w:tcPr>
          <w:p w:rsidR="002C0BF8" w:rsidRPr="002C0BF8" w:rsidRDefault="002C0BF8" w:rsidP="002C0BF8">
            <w:pPr>
              <w:rPr>
                <w:rFonts w:ascii="Arial" w:hAnsi="Arial" w:cs="Arial"/>
                <w:b/>
                <w:sz w:val="24"/>
                <w:szCs w:val="24"/>
                <w:lang w:val="en-US"/>
              </w:rPr>
            </w:pPr>
            <w:r w:rsidRPr="002C0BF8">
              <w:rPr>
                <w:rFonts w:ascii="Arial" w:hAnsi="Arial" w:cs="Arial"/>
                <w:b/>
                <w:sz w:val="24"/>
                <w:szCs w:val="24"/>
                <w:lang w:val="en-US"/>
              </w:rPr>
              <w:t>Note to the parties:</w:t>
            </w:r>
          </w:p>
        </w:tc>
      </w:tr>
      <w:tr w:rsidR="002C0BF8" w:rsidRPr="002C0BF8" w:rsidTr="00C6000D">
        <w:tc>
          <w:tcPr>
            <w:tcW w:w="4950" w:type="dxa"/>
          </w:tcPr>
          <w:p w:rsidR="002C0BF8" w:rsidRPr="002C0BF8" w:rsidRDefault="002C0BF8" w:rsidP="002C0BF8">
            <w:pPr>
              <w:rPr>
                <w:rFonts w:ascii="Arial" w:hAnsi="Arial" w:cs="Arial"/>
                <w:sz w:val="24"/>
                <w:szCs w:val="24"/>
                <w:lang w:val="en-US"/>
              </w:rPr>
            </w:pPr>
          </w:p>
          <w:p w:rsidR="002C0BF8" w:rsidRPr="002C0BF8" w:rsidRDefault="002C0BF8" w:rsidP="002C0BF8">
            <w:pPr>
              <w:rPr>
                <w:rFonts w:ascii="Arial" w:hAnsi="Arial" w:cs="Arial"/>
                <w:sz w:val="24"/>
                <w:szCs w:val="24"/>
                <w:lang w:val="en-US"/>
              </w:rPr>
            </w:pPr>
          </w:p>
          <w:p w:rsidR="002C0BF8" w:rsidRPr="002C0BF8" w:rsidRDefault="002C0BF8" w:rsidP="002C0BF8">
            <w:pPr>
              <w:rPr>
                <w:rFonts w:ascii="Arial" w:hAnsi="Arial" w:cs="Arial"/>
                <w:sz w:val="24"/>
                <w:szCs w:val="24"/>
                <w:lang w:val="en-US"/>
              </w:rPr>
            </w:pPr>
          </w:p>
          <w:p w:rsidR="002C0BF8" w:rsidRPr="002C0BF8" w:rsidRDefault="002C0BF8" w:rsidP="002C0BF8">
            <w:pPr>
              <w:rPr>
                <w:rFonts w:ascii="Arial" w:hAnsi="Arial" w:cs="Arial"/>
                <w:sz w:val="24"/>
                <w:szCs w:val="24"/>
                <w:lang w:val="en-US"/>
              </w:rPr>
            </w:pPr>
          </w:p>
        </w:tc>
        <w:tc>
          <w:tcPr>
            <w:tcW w:w="5130" w:type="dxa"/>
          </w:tcPr>
          <w:p w:rsidR="002C0BF8" w:rsidRPr="002C0BF8" w:rsidRDefault="002C0BF8" w:rsidP="002C0BF8">
            <w:pPr>
              <w:rPr>
                <w:rFonts w:ascii="Arial" w:hAnsi="Arial" w:cs="Arial"/>
                <w:sz w:val="24"/>
                <w:szCs w:val="24"/>
                <w:lang w:val="en-US"/>
              </w:rPr>
            </w:pPr>
            <w:r w:rsidRPr="002C0BF8">
              <w:rPr>
                <w:rFonts w:ascii="Arial" w:hAnsi="Arial" w:cs="Arial"/>
                <w:sz w:val="24"/>
                <w:szCs w:val="24"/>
                <w:lang w:val="en-US"/>
              </w:rPr>
              <w:t xml:space="preserve">Not applicable </w:t>
            </w:r>
          </w:p>
        </w:tc>
      </w:tr>
      <w:tr w:rsidR="002C0BF8" w:rsidRPr="002C0BF8" w:rsidTr="00C6000D">
        <w:tc>
          <w:tcPr>
            <w:tcW w:w="10080" w:type="dxa"/>
            <w:gridSpan w:val="2"/>
          </w:tcPr>
          <w:p w:rsidR="002C0BF8" w:rsidRPr="002C0BF8" w:rsidRDefault="002C0BF8" w:rsidP="002C0BF8">
            <w:pPr>
              <w:jc w:val="center"/>
              <w:rPr>
                <w:rFonts w:ascii="Arial" w:hAnsi="Arial" w:cs="Arial"/>
                <w:b/>
                <w:sz w:val="24"/>
                <w:szCs w:val="24"/>
                <w:lang w:val="en-US"/>
              </w:rPr>
            </w:pPr>
            <w:r w:rsidRPr="002C0BF8">
              <w:rPr>
                <w:rFonts w:ascii="Arial" w:hAnsi="Arial" w:cs="Arial"/>
                <w:b/>
                <w:sz w:val="24"/>
                <w:szCs w:val="24"/>
                <w:lang w:val="en-US"/>
              </w:rPr>
              <w:t>Counsel:</w:t>
            </w:r>
          </w:p>
        </w:tc>
      </w:tr>
      <w:tr w:rsidR="002C0BF8" w:rsidRPr="002C0BF8" w:rsidTr="00C6000D">
        <w:tc>
          <w:tcPr>
            <w:tcW w:w="4950" w:type="dxa"/>
          </w:tcPr>
          <w:p w:rsidR="002C0BF8" w:rsidRPr="002C0BF8" w:rsidRDefault="002C0BF8" w:rsidP="002C0BF8">
            <w:pPr>
              <w:rPr>
                <w:rFonts w:ascii="Arial" w:hAnsi="Arial" w:cs="Arial"/>
                <w:b/>
                <w:sz w:val="24"/>
                <w:szCs w:val="24"/>
                <w:lang w:val="en-US"/>
              </w:rPr>
            </w:pPr>
            <w:r w:rsidRPr="002C0BF8">
              <w:rPr>
                <w:rFonts w:ascii="Arial" w:hAnsi="Arial" w:cs="Arial"/>
                <w:b/>
                <w:sz w:val="24"/>
                <w:szCs w:val="24"/>
                <w:lang w:val="en-US"/>
              </w:rPr>
              <w:t>Plaintiff</w:t>
            </w:r>
          </w:p>
        </w:tc>
        <w:tc>
          <w:tcPr>
            <w:tcW w:w="5130" w:type="dxa"/>
          </w:tcPr>
          <w:p w:rsidR="002C0BF8" w:rsidRPr="002C0BF8" w:rsidRDefault="002C0BF8" w:rsidP="002C0BF8">
            <w:pPr>
              <w:rPr>
                <w:rFonts w:ascii="Arial" w:hAnsi="Arial" w:cs="Arial"/>
                <w:b/>
                <w:sz w:val="24"/>
                <w:szCs w:val="24"/>
                <w:lang w:val="en-US"/>
              </w:rPr>
            </w:pPr>
            <w:r w:rsidRPr="002C0BF8">
              <w:rPr>
                <w:rFonts w:ascii="Arial" w:hAnsi="Arial" w:cs="Arial"/>
                <w:b/>
                <w:sz w:val="24"/>
                <w:szCs w:val="24"/>
                <w:lang w:val="en-US"/>
              </w:rPr>
              <w:t>Defendant</w:t>
            </w:r>
          </w:p>
          <w:p w:rsidR="002C0BF8" w:rsidRPr="002C0BF8" w:rsidRDefault="002C0BF8" w:rsidP="002C0BF8">
            <w:pPr>
              <w:rPr>
                <w:rFonts w:ascii="Arial" w:hAnsi="Arial" w:cs="Arial"/>
                <w:sz w:val="24"/>
                <w:szCs w:val="24"/>
                <w:lang w:val="en-US"/>
              </w:rPr>
            </w:pPr>
          </w:p>
        </w:tc>
      </w:tr>
      <w:tr w:rsidR="002C0BF8" w:rsidRPr="002C0BF8" w:rsidTr="00C6000D">
        <w:tc>
          <w:tcPr>
            <w:tcW w:w="4950" w:type="dxa"/>
          </w:tcPr>
          <w:p w:rsidR="002C0BF8" w:rsidRPr="002C0BF8" w:rsidRDefault="002C0BF8" w:rsidP="002C0BF8">
            <w:pPr>
              <w:rPr>
                <w:rFonts w:ascii="Arial" w:hAnsi="Arial" w:cs="Arial"/>
                <w:sz w:val="24"/>
                <w:szCs w:val="24"/>
                <w:lang w:val="en-US"/>
              </w:rPr>
            </w:pPr>
            <w:r w:rsidRPr="002C0BF8">
              <w:rPr>
                <w:rFonts w:ascii="Arial" w:hAnsi="Arial" w:cs="Arial"/>
                <w:sz w:val="24"/>
                <w:szCs w:val="24"/>
                <w:lang w:val="en-US"/>
              </w:rPr>
              <w:t xml:space="preserve">Adv. </w:t>
            </w:r>
            <w:r w:rsidR="008F02DE">
              <w:rPr>
                <w:rFonts w:ascii="Arial" w:hAnsi="Arial" w:cs="Arial"/>
                <w:sz w:val="24"/>
                <w:szCs w:val="24"/>
                <w:lang w:val="en-US"/>
              </w:rPr>
              <w:t>T. Muhongo</w:t>
            </w:r>
          </w:p>
          <w:p w:rsidR="002C0BF8" w:rsidRPr="002C0BF8" w:rsidRDefault="002C0BF8" w:rsidP="002C0BF8">
            <w:pPr>
              <w:rPr>
                <w:rFonts w:ascii="Arial" w:hAnsi="Arial" w:cs="Arial"/>
                <w:sz w:val="24"/>
                <w:szCs w:val="24"/>
                <w:lang w:val="en-US"/>
              </w:rPr>
            </w:pPr>
            <w:r w:rsidRPr="002C0BF8">
              <w:rPr>
                <w:rFonts w:ascii="Arial" w:hAnsi="Arial" w:cs="Arial"/>
                <w:sz w:val="24"/>
                <w:szCs w:val="24"/>
                <w:lang w:val="en-US"/>
              </w:rPr>
              <w:t>Instructed by Etzold-Duvenhage</w:t>
            </w:r>
          </w:p>
          <w:p w:rsidR="002C0BF8" w:rsidRPr="002C0BF8" w:rsidRDefault="002C0BF8" w:rsidP="002C0BF8">
            <w:pPr>
              <w:rPr>
                <w:rFonts w:ascii="Arial" w:hAnsi="Arial" w:cs="Arial"/>
                <w:sz w:val="24"/>
                <w:szCs w:val="24"/>
                <w:lang w:val="en-US"/>
              </w:rPr>
            </w:pPr>
          </w:p>
        </w:tc>
        <w:tc>
          <w:tcPr>
            <w:tcW w:w="5130" w:type="dxa"/>
          </w:tcPr>
          <w:p w:rsidR="002C0BF8" w:rsidRPr="002C0BF8" w:rsidRDefault="002C0BF8" w:rsidP="002C0BF8">
            <w:pPr>
              <w:rPr>
                <w:rFonts w:ascii="Arial" w:hAnsi="Arial" w:cs="Arial"/>
                <w:sz w:val="24"/>
                <w:szCs w:val="24"/>
                <w:lang w:val="en-US"/>
              </w:rPr>
            </w:pPr>
            <w:r w:rsidRPr="002C0BF8">
              <w:rPr>
                <w:rFonts w:ascii="Arial" w:hAnsi="Arial" w:cs="Arial"/>
                <w:sz w:val="24"/>
                <w:szCs w:val="24"/>
                <w:lang w:val="en-US"/>
              </w:rPr>
              <w:t>Adv.</w:t>
            </w:r>
            <w:r w:rsidR="005875B0">
              <w:rPr>
                <w:rFonts w:ascii="Arial" w:hAnsi="Arial" w:cs="Arial"/>
                <w:sz w:val="24"/>
                <w:szCs w:val="24"/>
                <w:lang w:val="en-US"/>
              </w:rPr>
              <w:t>J</w:t>
            </w:r>
            <w:r w:rsidRPr="002C0BF8">
              <w:rPr>
                <w:rFonts w:ascii="Arial" w:hAnsi="Arial" w:cs="Arial"/>
                <w:sz w:val="24"/>
                <w:szCs w:val="24"/>
                <w:lang w:val="en-US"/>
              </w:rPr>
              <w:t xml:space="preserve">. </w:t>
            </w:r>
            <w:r w:rsidR="008F02DE">
              <w:rPr>
                <w:rFonts w:ascii="Arial" w:hAnsi="Arial" w:cs="Arial"/>
                <w:sz w:val="24"/>
                <w:szCs w:val="24"/>
                <w:lang w:val="en-US"/>
              </w:rPr>
              <w:t>Died</w:t>
            </w:r>
            <w:r w:rsidR="005875B0">
              <w:rPr>
                <w:rFonts w:ascii="Arial" w:hAnsi="Arial" w:cs="Arial"/>
                <w:sz w:val="24"/>
                <w:szCs w:val="24"/>
                <w:lang w:val="en-US"/>
              </w:rPr>
              <w:t>e</w:t>
            </w:r>
            <w:r w:rsidR="008F02DE">
              <w:rPr>
                <w:rFonts w:ascii="Arial" w:hAnsi="Arial" w:cs="Arial"/>
                <w:sz w:val="24"/>
                <w:szCs w:val="24"/>
                <w:lang w:val="en-US"/>
              </w:rPr>
              <w:t>ricks</w:t>
            </w:r>
          </w:p>
          <w:p w:rsidR="002C0BF8" w:rsidRPr="002C0BF8" w:rsidRDefault="002C0BF8" w:rsidP="005875B0">
            <w:pPr>
              <w:rPr>
                <w:rFonts w:ascii="Arial" w:hAnsi="Arial" w:cs="Arial"/>
                <w:sz w:val="24"/>
                <w:szCs w:val="24"/>
                <w:lang w:val="en-US"/>
              </w:rPr>
            </w:pPr>
            <w:r w:rsidRPr="002C0BF8">
              <w:rPr>
                <w:rFonts w:ascii="Arial" w:hAnsi="Arial" w:cs="Arial"/>
                <w:sz w:val="24"/>
                <w:szCs w:val="24"/>
                <w:lang w:val="en-US"/>
              </w:rPr>
              <w:t xml:space="preserve">Instructed by </w:t>
            </w:r>
            <w:r w:rsidR="005875B0" w:rsidRPr="005875B0">
              <w:rPr>
                <w:rFonts w:ascii="Arial" w:hAnsi="Arial" w:cs="Arial"/>
                <w:sz w:val="24"/>
                <w:szCs w:val="24"/>
              </w:rPr>
              <w:t>Dr. Weder Kauta Hoveka</w:t>
            </w:r>
            <w:r w:rsidR="005875B0">
              <w:t xml:space="preserve"> </w:t>
            </w:r>
            <w:r w:rsidR="005875B0" w:rsidRPr="005875B0">
              <w:rPr>
                <w:rFonts w:ascii="Arial" w:hAnsi="Arial" w:cs="Arial"/>
                <w:sz w:val="24"/>
                <w:szCs w:val="24"/>
              </w:rPr>
              <w:t>Inc</w:t>
            </w:r>
          </w:p>
        </w:tc>
      </w:tr>
    </w:tbl>
    <w:p w:rsidR="002C0BF8" w:rsidRPr="002C0BF8" w:rsidRDefault="002C0BF8" w:rsidP="002C0BF8">
      <w:pPr>
        <w:rPr>
          <w:rFonts w:ascii="Arial" w:hAnsi="Arial" w:cs="Arial"/>
        </w:rPr>
      </w:pPr>
    </w:p>
    <w:p w:rsidR="00923B3B" w:rsidRDefault="00923B3B"/>
    <w:sectPr w:rsidR="00923B3B" w:rsidSect="000F1496">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EF" w:rsidRDefault="00215FEF" w:rsidP="002C0BF8">
      <w:pPr>
        <w:spacing w:after="0" w:line="240" w:lineRule="auto"/>
      </w:pPr>
      <w:r>
        <w:separator/>
      </w:r>
    </w:p>
  </w:endnote>
  <w:endnote w:type="continuationSeparator" w:id="0">
    <w:p w:rsidR="00215FEF" w:rsidRDefault="00215FEF" w:rsidP="002C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EF" w:rsidRDefault="00215FEF" w:rsidP="002C0BF8">
      <w:pPr>
        <w:spacing w:after="0" w:line="240" w:lineRule="auto"/>
      </w:pPr>
      <w:r>
        <w:separator/>
      </w:r>
    </w:p>
  </w:footnote>
  <w:footnote w:type="continuationSeparator" w:id="0">
    <w:p w:rsidR="00215FEF" w:rsidRDefault="00215FEF" w:rsidP="002C0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2A2F42">
        <w:pPr>
          <w:pStyle w:val="Header"/>
          <w:jc w:val="center"/>
        </w:pPr>
        <w:r>
          <w:fldChar w:fldCharType="begin"/>
        </w:r>
        <w:r>
          <w:instrText xml:space="preserve"> PAGE   \* MERGEFORMAT </w:instrText>
        </w:r>
        <w:r>
          <w:fldChar w:fldCharType="separate"/>
        </w:r>
        <w:r w:rsidR="00515BCB">
          <w:rPr>
            <w:noProof/>
          </w:rPr>
          <w:t>2</w:t>
        </w:r>
        <w:r>
          <w:rPr>
            <w:noProof/>
          </w:rPr>
          <w:fldChar w:fldCharType="end"/>
        </w:r>
      </w:p>
    </w:sdtContent>
  </w:sdt>
  <w:p w:rsidR="005D23B0" w:rsidRDefault="00515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F8"/>
    <w:rsid w:val="000E1214"/>
    <w:rsid w:val="00174A10"/>
    <w:rsid w:val="001E2766"/>
    <w:rsid w:val="001F525D"/>
    <w:rsid w:val="00215FEF"/>
    <w:rsid w:val="00236681"/>
    <w:rsid w:val="00257FCA"/>
    <w:rsid w:val="002A2F42"/>
    <w:rsid w:val="002C0BF8"/>
    <w:rsid w:val="00391679"/>
    <w:rsid w:val="003F4855"/>
    <w:rsid w:val="004D6223"/>
    <w:rsid w:val="00515BCB"/>
    <w:rsid w:val="005875B0"/>
    <w:rsid w:val="00623B92"/>
    <w:rsid w:val="006D647F"/>
    <w:rsid w:val="007A1456"/>
    <w:rsid w:val="008B378E"/>
    <w:rsid w:val="008F02DE"/>
    <w:rsid w:val="00923B3B"/>
    <w:rsid w:val="0093186F"/>
    <w:rsid w:val="00931F13"/>
    <w:rsid w:val="00951582"/>
    <w:rsid w:val="00AF37C8"/>
    <w:rsid w:val="00B74FAE"/>
    <w:rsid w:val="00BD556D"/>
    <w:rsid w:val="00C37948"/>
    <w:rsid w:val="00D14A15"/>
    <w:rsid w:val="00DB27BC"/>
    <w:rsid w:val="00F21BCA"/>
    <w:rsid w:val="00F575F8"/>
    <w:rsid w:val="00FE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3CDCF-9811-4B33-AE5D-623E9BC0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BF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C0BF8"/>
  </w:style>
  <w:style w:type="paragraph" w:styleId="FootnoteText">
    <w:name w:val="footnote text"/>
    <w:basedOn w:val="Normal"/>
    <w:link w:val="FootnoteTextChar"/>
    <w:uiPriority w:val="99"/>
    <w:semiHidden/>
    <w:unhideWhenUsed/>
    <w:rsid w:val="002C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BF8"/>
    <w:rPr>
      <w:sz w:val="20"/>
      <w:szCs w:val="20"/>
      <w:lang w:val="en-GB"/>
    </w:rPr>
  </w:style>
  <w:style w:type="character" w:styleId="FootnoteReference">
    <w:name w:val="footnote reference"/>
    <w:basedOn w:val="DefaultParagraphFont"/>
    <w:uiPriority w:val="99"/>
    <w:semiHidden/>
    <w:unhideWhenUsed/>
    <w:rsid w:val="002C0BF8"/>
    <w:rPr>
      <w:vertAlign w:val="superscript"/>
    </w:rPr>
  </w:style>
  <w:style w:type="paragraph" w:styleId="BalloonText">
    <w:name w:val="Balloon Text"/>
    <w:basedOn w:val="Normal"/>
    <w:link w:val="BalloonTextChar"/>
    <w:uiPriority w:val="99"/>
    <w:semiHidden/>
    <w:unhideWhenUsed/>
    <w:rsid w:val="00F57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F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2020-02-20T18:30:00+00:00</Judgment_x0020_Date>
    <Year xmlns="c1afb1bd-f2fb-40fd-9abb-aea55b4d7662">2020</Year>
  </documentManagement>
</p:properties>
</file>

<file path=customXml/itemProps1.xml><?xml version="1.0" encoding="utf-8"?>
<ds:datastoreItem xmlns:ds="http://schemas.openxmlformats.org/officeDocument/2006/customXml" ds:itemID="{4E8769DE-EA2B-42FF-92EB-EFB3E5DEED6C}"/>
</file>

<file path=customXml/itemProps2.xml><?xml version="1.0" encoding="utf-8"?>
<ds:datastoreItem xmlns:ds="http://schemas.openxmlformats.org/officeDocument/2006/customXml" ds:itemID="{483D7CAF-1079-44D9-8B89-CC2CD1F81A23}"/>
</file>

<file path=customXml/itemProps3.xml><?xml version="1.0" encoding="utf-8"?>
<ds:datastoreItem xmlns:ds="http://schemas.openxmlformats.org/officeDocument/2006/customXml" ds:itemID="{F601F8F0-6162-4C7D-84FF-D34B23855A60}"/>
</file>

<file path=customXml/itemProps4.xml><?xml version="1.0" encoding="utf-8"?>
<ds:datastoreItem xmlns:ds="http://schemas.openxmlformats.org/officeDocument/2006/customXml" ds:itemID="{DA68948D-2E28-4E86-A56F-881B875F3206}"/>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2020-02-24T08:31:00Z</cp:lastPrinted>
  <dcterms:created xsi:type="dcterms:W3CDTF">2020-03-04T14:28:00Z</dcterms:created>
  <dcterms:modified xsi:type="dcterms:W3CDTF">2020-03-04T14:28:00Z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