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35047" w:rsidRPr="001B0FDD" w:rsidTr="00384F99">
        <w:trPr>
          <w:trHeight w:val="744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35047" w:rsidRPr="00B13BE8" w:rsidRDefault="009C600C" w:rsidP="000841C3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The State v </w:t>
            </w:r>
            <w:r w:rsidR="0061228D">
              <w:rPr>
                <w:rFonts w:ascii="Arial Narrow" w:hAnsi="Arial Narrow" w:cs="Arial"/>
                <w:i/>
                <w:sz w:val="24"/>
                <w:szCs w:val="24"/>
              </w:rPr>
              <w:t>Joan</w:t>
            </w:r>
            <w:r w:rsidR="00411A4D">
              <w:rPr>
                <w:rFonts w:ascii="Arial Narrow" w:hAnsi="Arial Narrow" w:cs="Arial"/>
                <w:i/>
                <w:sz w:val="24"/>
                <w:szCs w:val="24"/>
              </w:rPr>
              <w:t xml:space="preserve"> Links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35047" w:rsidRPr="001B0FDD" w:rsidRDefault="00B13BE8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F475BF">
              <w:rPr>
                <w:rFonts w:ascii="Arial Narrow" w:hAnsi="Arial Narrow" w:cs="Arial"/>
                <w:sz w:val="24"/>
                <w:szCs w:val="24"/>
              </w:rPr>
              <w:t xml:space="preserve"> 13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/2020</w:t>
            </w:r>
          </w:p>
        </w:tc>
      </w:tr>
      <w:tr w:rsidR="00D35047" w:rsidRPr="001B0FDD" w:rsidTr="00384F99">
        <w:trPr>
          <w:trHeight w:val="844"/>
        </w:trPr>
        <w:tc>
          <w:tcPr>
            <w:tcW w:w="5397" w:type="dxa"/>
            <w:gridSpan w:val="2"/>
          </w:tcPr>
          <w:p w:rsidR="00D35047" w:rsidRDefault="00B13BE8" w:rsidP="00B13B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3BE8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:rsidR="00B13BE8" w:rsidRPr="00B13BE8" w:rsidRDefault="0061228D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276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/2020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35047" w:rsidRPr="001B0FDD" w:rsidTr="00384F99">
        <w:trPr>
          <w:trHeight w:val="1662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Liebenberg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:rsidR="00D35047" w:rsidRPr="001B0FDD" w:rsidRDefault="00271235" w:rsidP="0027123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Lady</w:t>
            </w:r>
            <w:r w:rsidR="006F16D5">
              <w:rPr>
                <w:rFonts w:ascii="Arial Narrow" w:hAnsi="Arial Narrow" w:cs="Arial"/>
                <w:sz w:val="24"/>
                <w:szCs w:val="24"/>
              </w:rPr>
              <w:t xml:space="preserve"> Justice </w:t>
            </w:r>
            <w:proofErr w:type="spellStart"/>
            <w:r w:rsidR="006F16D5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hivute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D35047" w:rsidRPr="001B0FDD" w:rsidRDefault="00E9128F" w:rsidP="0027123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E533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March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 20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S v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271235">
              <w:rPr>
                <w:rFonts w:ascii="Arial Narrow" w:hAnsi="Arial Narrow" w:cs="Arial"/>
                <w:i/>
                <w:sz w:val="24"/>
                <w:szCs w:val="24"/>
              </w:rPr>
              <w:t xml:space="preserve">Links 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475BF">
              <w:rPr>
                <w:rFonts w:ascii="Arial Narrow" w:hAnsi="Arial Narrow" w:cs="Arial"/>
                <w:sz w:val="24"/>
                <w:szCs w:val="24"/>
              </w:rPr>
              <w:t>13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/2020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>) [20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 xml:space="preserve">] NAHCMD </w:t>
            </w:r>
            <w:r w:rsidR="00E9128F">
              <w:rPr>
                <w:rFonts w:ascii="Arial Narrow" w:hAnsi="Arial Narrow" w:cs="Arial"/>
                <w:sz w:val="24"/>
                <w:szCs w:val="24"/>
              </w:rPr>
              <w:t>97</w:t>
            </w:r>
            <w:r w:rsidR="00266C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9128F">
              <w:rPr>
                <w:rFonts w:ascii="Arial Narrow" w:hAnsi="Arial Narrow" w:cs="Arial"/>
                <w:sz w:val="24"/>
                <w:szCs w:val="24"/>
              </w:rPr>
              <w:t>16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March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13BE8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271235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bookmarkEnd w:id="0"/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ED330E" w:rsidTr="00384F99">
        <w:tc>
          <w:tcPr>
            <w:tcW w:w="9720" w:type="dxa"/>
            <w:gridSpan w:val="3"/>
          </w:tcPr>
          <w:p w:rsidR="00D35047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18288E" w:rsidRDefault="0018288E" w:rsidP="0018288E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charge in count 2 is substituted with a contravention of section 2(b) of Act 41 of 1971, the unlawful possession of dependence-producing substances (methaqualone and cannabis).</w:t>
            </w:r>
          </w:p>
          <w:p w:rsidR="0018288E" w:rsidRDefault="0018288E" w:rsidP="0018288E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 and sentence on count 1 is set aside.</w:t>
            </w:r>
          </w:p>
          <w:p w:rsidR="0018288E" w:rsidRDefault="0018288E" w:rsidP="0018288E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 on count 2 is confirmed.</w:t>
            </w:r>
          </w:p>
          <w:p w:rsidR="00D35047" w:rsidRPr="0061228D" w:rsidRDefault="0018288E" w:rsidP="0018288E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 on count 2 is confirmed.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Reasons for order:</w:t>
            </w:r>
          </w:p>
        </w:tc>
      </w:tr>
      <w:tr w:rsidR="00D35047" w:rsidRPr="00FE65E1" w:rsidTr="00384F99">
        <w:tc>
          <w:tcPr>
            <w:tcW w:w="9720" w:type="dxa"/>
            <w:gridSpan w:val="3"/>
          </w:tcPr>
          <w:p w:rsidR="00D35047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LIEBENBERG J (concurring </w:t>
            </w:r>
            <w:r w:rsidR="000C7EFF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61228D">
              <w:rPr>
                <w:rFonts w:ascii="Arial Narrow" w:hAnsi="Arial Narrow" w:cs="Arial"/>
                <w:sz w:val="24"/>
                <w:szCs w:val="24"/>
              </w:rPr>
              <w:t xml:space="preserve">HIVUTE </w:t>
            </w:r>
            <w:r w:rsidR="00BE21EF">
              <w:rPr>
                <w:rFonts w:ascii="Arial Narrow" w:hAnsi="Arial Narrow" w:cs="Arial"/>
                <w:sz w:val="24"/>
                <w:szCs w:val="24"/>
              </w:rPr>
              <w:t>J</w:t>
            </w:r>
            <w:r w:rsidRPr="001B0FDD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8288E" w:rsidRPr="001B0FDD" w:rsidRDefault="0018288E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2698" w:rsidRDefault="000B4D4B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This is a review in</w:t>
            </w:r>
            <w:r w:rsidR="00282698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terms of s 30</w:t>
            </w:r>
            <w:r w:rsidR="0028269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2 (1) </w:t>
            </w:r>
            <w:r w:rsidR="00282698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>of the Criminal Procedure Act (the CPA)</w:t>
            </w:r>
            <w:r w:rsidR="0028269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as amended</w:t>
            </w:r>
            <w:r w:rsidR="00282698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. </w:t>
            </w:r>
          </w:p>
          <w:p w:rsidR="00632C1B" w:rsidRDefault="00632C1B" w:rsidP="00632C1B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82A85" w:rsidRDefault="00C54B9B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The facts of this matter are</w:t>
            </w:r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that the acc</w:t>
            </w:r>
            <w:r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u</w:t>
            </w:r>
            <w:r w:rsidR="0061228D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sed was found in possession of </w:t>
            </w:r>
            <w:r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4 full </w:t>
            </w:r>
            <w:proofErr w:type="spellStart"/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mandrax</w:t>
            </w:r>
            <w:proofErr w:type="spellEnd"/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tablets, containing methaqualone</w:t>
            </w:r>
            <w:r w:rsidR="00AA6F2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,</w:t>
            </w:r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and 12 </w:t>
            </w:r>
            <w:proofErr w:type="spellStart"/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ballies</w:t>
            </w:r>
            <w:proofErr w:type="spellEnd"/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of cannabis. He was </w:t>
            </w:r>
            <w:r w:rsidR="00AA6F2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>then</w:t>
            </w:r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charged with two counts</w:t>
            </w:r>
            <w:r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f</w:t>
            </w:r>
            <w:r w:rsidR="00D01880">
              <w:rPr>
                <w:rFonts w:ascii="Arial Narrow" w:hAnsi="Arial Narrow" w:cs="Arial"/>
                <w:sz w:val="24"/>
                <w:szCs w:val="24"/>
                <w:lang w:val="en-GB"/>
              </w:rPr>
              <w:t>or the two different substances in</w:t>
            </w:r>
            <w:r w:rsidR="00CA2E3E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contraven</w:t>
            </w:r>
            <w:r w:rsidR="00D01880">
              <w:rPr>
                <w:rFonts w:ascii="Arial Narrow" w:hAnsi="Arial Narrow" w:cs="Arial"/>
                <w:sz w:val="24"/>
                <w:szCs w:val="24"/>
                <w:lang w:val="en-GB"/>
              </w:rPr>
              <w:t>tion of</w:t>
            </w:r>
            <w:r w:rsidR="00582A85" w:rsidRPr="00C54B9B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section 2(b)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of Act 41 of 1971.</w:t>
            </w:r>
          </w:p>
          <w:p w:rsidR="00C54B9B" w:rsidRPr="00C54B9B" w:rsidRDefault="00C54B9B" w:rsidP="00C54B9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732790" w:rsidRPr="00A5786E" w:rsidRDefault="00AA6F2E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The accused pleaded guilty to both counts and was thereafter </w:t>
            </w:r>
            <w:r w:rsidR="00D01880">
              <w:rPr>
                <w:rFonts w:ascii="Arial Narrow" w:hAnsi="Arial Narrow" w:cs="Arial"/>
                <w:sz w:val="24"/>
                <w:szCs w:val="24"/>
                <w:lang w:val="en-GB"/>
              </w:rPr>
              <w:t>convicted</w:t>
            </w:r>
            <w:r w:rsidR="00C54B9B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in terms of section 112(1) (a</w:t>
            </w:r>
            <w:r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>) of the CPA</w:t>
            </w:r>
            <w:r w:rsidR="00C54B9B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r w:rsidR="00D01880">
              <w:rPr>
                <w:rFonts w:ascii="Arial Narrow" w:hAnsi="Arial Narrow" w:cs="Arial"/>
                <w:sz w:val="24"/>
                <w:szCs w:val="24"/>
                <w:lang w:val="en-GB"/>
              </w:rPr>
              <w:t>on his mere plea</w:t>
            </w:r>
            <w:r w:rsidR="00D01880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r w:rsidR="00D01880">
              <w:rPr>
                <w:rFonts w:ascii="Arial Narrow" w:hAnsi="Arial Narrow" w:cs="Arial"/>
                <w:sz w:val="24"/>
                <w:szCs w:val="24"/>
                <w:lang w:val="en-GB"/>
              </w:rPr>
              <w:t>on</w:t>
            </w:r>
            <w:r w:rsidR="00C54B9B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count 1. For count 2 he was questioned i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n terms of 112(1</w:t>
            </w:r>
            <w:proofErr w:type="gramStart"/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)(</w:t>
            </w:r>
            <w:proofErr w:type="gramEnd"/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b) of the CPA and a</w:t>
            </w:r>
            <w:r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>fter the court was satisfied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,</w:t>
            </w:r>
            <w:r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he was convicted accordingly.</w:t>
            </w:r>
            <w:r w:rsidR="00C54B9B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Thereafter he was sentenced on </w:t>
            </w:r>
            <w:r w:rsidR="00A5786E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count 1 to a fine of N$1 000 or 3 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months’ imprisonment and on</w:t>
            </w:r>
            <w:r w:rsidR="00A5786E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count 2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,</w:t>
            </w:r>
            <w:r w:rsidR="00A5786E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to a fine of N$2 000 or 6 months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>’</w:t>
            </w:r>
            <w:r w:rsidR="00A5786E" w:rsidRP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imprisonment</w:t>
            </w:r>
            <w:r w:rsidR="00F475B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of which N$1 000 or 3 months’ imprisonment is suspended on condition of good behaviour</w:t>
            </w:r>
            <w:r w:rsidR="00A5786E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  <w:p w:rsidR="00A5786E" w:rsidRDefault="00A5786E" w:rsidP="00A5786E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5786E" w:rsidRPr="00A5786E" w:rsidRDefault="00A5786E" w:rsidP="00A5786E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5786E" w:rsidRDefault="00A5786E" w:rsidP="00A5786E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5786E" w:rsidRDefault="00A5786E" w:rsidP="00A5786E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2D2103" w:rsidRDefault="000B4D4B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When the </w:t>
            </w:r>
            <w:r w:rsidR="00FB3220"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matter came on review </w:t>
            </w:r>
            <w:r w:rsidR="00732790"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>the court directed a query</w:t>
            </w:r>
            <w:r w:rsidR="00A5786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to the magistrate</w:t>
            </w:r>
            <w:r w:rsidR="00732790"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enquiring as to why ‘[t]he accused was charged with the same offe</w:t>
            </w:r>
            <w:r w:rsidR="00A5786E">
              <w:rPr>
                <w:rFonts w:ascii="Arial Narrow" w:hAnsi="Arial Narrow" w:cs="Arial"/>
                <w:sz w:val="24"/>
                <w:szCs w:val="24"/>
                <w:lang w:val="en-GB"/>
              </w:rPr>
              <w:t>nce committed on the same day on</w:t>
            </w:r>
            <w:r w:rsidR="00732790"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two separate counts….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and </w:t>
            </w:r>
            <w:r w:rsidR="00732790" w:rsidRPr="00732790">
              <w:rPr>
                <w:rFonts w:ascii="Arial Narrow" w:hAnsi="Arial Narrow" w:cs="Arial"/>
                <w:sz w:val="24"/>
                <w:szCs w:val="24"/>
                <w:lang w:val="en-GB"/>
              </w:rPr>
              <w:t>should the accused not have been charged with one count only.’</w:t>
            </w:r>
          </w:p>
          <w:p w:rsidR="002D2103" w:rsidRPr="002D2103" w:rsidRDefault="002D2103" w:rsidP="002D210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837E4E" w:rsidRPr="00B9381C" w:rsidRDefault="002D2103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The magistrate replied that </w:t>
            </w:r>
            <w:r w:rsidR="009A508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she understood that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one incident occurred </w:t>
            </w:r>
            <w:r w:rsidR="009A508E">
              <w:rPr>
                <w:rFonts w:ascii="Arial Narrow" w:hAnsi="Arial Narrow" w:cs="Arial"/>
                <w:sz w:val="24"/>
                <w:szCs w:val="24"/>
                <w:lang w:val="en-GB"/>
              </w:rPr>
              <w:t>during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which two distinct substances were confirmed and </w:t>
            </w:r>
            <w:r w:rsidR="00B9381C">
              <w:rPr>
                <w:rFonts w:ascii="Arial Narrow" w:hAnsi="Arial Narrow" w:cs="Arial"/>
                <w:sz w:val="24"/>
                <w:szCs w:val="24"/>
                <w:lang w:val="en-GB"/>
              </w:rPr>
              <w:t>she relied on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>S v Dreyer</w:t>
            </w:r>
            <w:r>
              <w:rPr>
                <w:rStyle w:val="FootnoteReference"/>
                <w:rFonts w:ascii="Arial Narrow" w:hAnsi="Arial Narrow" w:cs="Arial"/>
                <w:i/>
                <w:sz w:val="24"/>
                <w:szCs w:val="24"/>
                <w:lang w:val="en-GB"/>
              </w:rPr>
              <w:footnoteReference w:id="1"/>
            </w:r>
            <w:r w:rsidR="00B9381C"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 xml:space="preserve"> </w:t>
            </w:r>
            <w:r w:rsidR="00B9381C">
              <w:rPr>
                <w:rFonts w:ascii="Arial Narrow" w:hAnsi="Arial Narrow" w:cs="Arial"/>
                <w:sz w:val="24"/>
                <w:szCs w:val="24"/>
                <w:lang w:val="en-GB"/>
              </w:rPr>
              <w:t>to convict the accused on two separate charges.</w:t>
            </w:r>
            <w:r w:rsidR="00B9381C"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 xml:space="preserve"> </w:t>
            </w:r>
            <w:r w:rsidR="00A5786E">
              <w:rPr>
                <w:rFonts w:ascii="Arial Narrow" w:hAnsi="Arial Narrow" w:cs="Arial"/>
                <w:sz w:val="24"/>
                <w:szCs w:val="24"/>
                <w:lang w:val="en-GB"/>
              </w:rPr>
              <w:t>In the</w:t>
            </w:r>
            <w:r w:rsidR="00B9381C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  <w:r w:rsidR="00B9381C"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 xml:space="preserve">Dreyer </w:t>
            </w:r>
            <w:r w:rsidR="00B9381C">
              <w:rPr>
                <w:rFonts w:ascii="Arial Narrow" w:hAnsi="Arial Narrow" w:cs="Arial"/>
                <w:sz w:val="24"/>
                <w:szCs w:val="24"/>
                <w:lang w:val="en-GB"/>
              </w:rPr>
              <w:t>case it</w:t>
            </w:r>
            <w:r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was held that an accused</w:t>
            </w:r>
            <w:r w:rsidR="009A508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foun</w:t>
            </w:r>
            <w:r w:rsidR="00DB2C9F">
              <w:rPr>
                <w:rFonts w:ascii="Arial Narrow" w:hAnsi="Arial Narrow" w:cs="Arial"/>
                <w:sz w:val="24"/>
                <w:szCs w:val="24"/>
                <w:lang w:val="en-GB"/>
              </w:rPr>
              <w:t>d in possession of different substances</w:t>
            </w:r>
            <w:r w:rsidR="0067217D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(as in this instance), the accused</w:t>
            </w:r>
            <w:r w:rsidR="00DB2C9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should</w:t>
            </w:r>
            <w:r w:rsidR="00B9381C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be charge</w:t>
            </w:r>
            <w:r w:rsidR="003B792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d </w:t>
            </w:r>
            <w:r w:rsidR="0005340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separately </w:t>
            </w:r>
            <w:r w:rsidR="003B7921">
              <w:rPr>
                <w:rFonts w:ascii="Arial Narrow" w:hAnsi="Arial Narrow" w:cs="Arial"/>
                <w:sz w:val="24"/>
                <w:szCs w:val="24"/>
                <w:lang w:val="en-GB"/>
              </w:rPr>
              <w:t>for each substances.</w:t>
            </w:r>
          </w:p>
          <w:p w:rsidR="00B9381C" w:rsidRPr="00B9381C" w:rsidRDefault="00B9381C" w:rsidP="00B9381C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9381C" w:rsidRDefault="003B7921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It should be pointed out that the position adopted in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Dreyer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has been changed by the full </w:t>
            </w:r>
            <w:r w:rsidR="00B720F4">
              <w:rPr>
                <w:rFonts w:ascii="Arial Narrow" w:hAnsi="Arial Narrow" w:cs="Arial"/>
                <w:sz w:val="24"/>
                <w:szCs w:val="24"/>
              </w:rPr>
              <w:t>bench decision in</w:t>
            </w:r>
            <w:r w:rsidR="00B9381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9381C">
              <w:rPr>
                <w:rFonts w:ascii="Arial Narrow" w:hAnsi="Arial Narrow" w:cs="Arial"/>
                <w:i/>
                <w:sz w:val="24"/>
                <w:szCs w:val="24"/>
              </w:rPr>
              <w:t xml:space="preserve">S v </w:t>
            </w:r>
            <w:proofErr w:type="spellStart"/>
            <w:r w:rsidR="00B9381C">
              <w:rPr>
                <w:rFonts w:ascii="Arial Narrow" w:hAnsi="Arial Narrow" w:cs="Arial"/>
                <w:i/>
                <w:sz w:val="24"/>
                <w:szCs w:val="24"/>
              </w:rPr>
              <w:t>Rooi</w:t>
            </w:r>
            <w:proofErr w:type="spellEnd"/>
            <w:r w:rsidR="00B9381C">
              <w:rPr>
                <w:rStyle w:val="FootnoteReference"/>
                <w:rFonts w:ascii="Arial Narrow" w:hAnsi="Arial Narrow" w:cs="Arial"/>
                <w:i/>
                <w:sz w:val="24"/>
                <w:szCs w:val="24"/>
              </w:rPr>
              <w:footnoteReference w:id="2"/>
            </w:r>
            <w:r w:rsidR="00B720F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B720F4" w:rsidRPr="00B720F4">
              <w:rPr>
                <w:rFonts w:ascii="Arial Narrow" w:hAnsi="Arial Narrow" w:cs="Arial"/>
                <w:sz w:val="24"/>
                <w:szCs w:val="24"/>
              </w:rPr>
              <w:t>where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B720F4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he court held that if an accused is </w:t>
            </w:r>
            <w:r w:rsidR="00053401">
              <w:rPr>
                <w:rFonts w:ascii="Arial Narrow" w:hAnsi="Arial Narrow" w:cs="Arial"/>
                <w:sz w:val="24"/>
                <w:szCs w:val="24"/>
              </w:rPr>
              <w:t xml:space="preserve">simultaneously </w:t>
            </w:r>
            <w:r>
              <w:rPr>
                <w:rFonts w:ascii="Arial Narrow" w:hAnsi="Arial Narrow" w:cs="Arial"/>
                <w:sz w:val="24"/>
                <w:szCs w:val="24"/>
              </w:rPr>
              <w:t>found with different substances</w:t>
            </w:r>
            <w:r w:rsidR="00053401">
              <w:rPr>
                <w:rFonts w:ascii="Arial Narrow" w:hAnsi="Arial Narrow" w:cs="Arial"/>
                <w:sz w:val="24"/>
                <w:szCs w:val="24"/>
              </w:rPr>
              <w:t xml:space="preserve"> i.e. cannabis and methaqualone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782BE6">
              <w:rPr>
                <w:rFonts w:ascii="Arial Narrow" w:hAnsi="Arial Narrow" w:cs="Arial"/>
                <w:sz w:val="24"/>
                <w:szCs w:val="24"/>
              </w:rPr>
              <w:t xml:space="preserve">it constitutes </w:t>
            </w:r>
            <w:r w:rsidR="00B720F4">
              <w:rPr>
                <w:rFonts w:ascii="Arial Narrow" w:hAnsi="Arial Narrow" w:cs="Arial"/>
                <w:sz w:val="24"/>
                <w:szCs w:val="24"/>
              </w:rPr>
              <w:t>one</w:t>
            </w:r>
            <w:r w:rsidR="00782BE6">
              <w:rPr>
                <w:rFonts w:ascii="Arial Narrow" w:hAnsi="Arial Narrow" w:cs="Arial"/>
                <w:sz w:val="24"/>
                <w:szCs w:val="24"/>
              </w:rPr>
              <w:t xml:space="preserve"> offence for reason that it is a contravention of</w:t>
            </w:r>
            <w:r w:rsidR="00B720F4">
              <w:rPr>
                <w:rFonts w:ascii="Arial Narrow" w:hAnsi="Arial Narrow" w:cs="Arial"/>
                <w:sz w:val="24"/>
                <w:szCs w:val="24"/>
              </w:rPr>
              <w:t xml:space="preserve"> the same section</w:t>
            </w:r>
            <w:r w:rsidR="005E2CA3">
              <w:rPr>
                <w:rFonts w:ascii="Arial Narrow" w:hAnsi="Arial Narrow" w:cs="Arial"/>
                <w:sz w:val="24"/>
                <w:szCs w:val="24"/>
              </w:rPr>
              <w:t xml:space="preserve"> being </w:t>
            </w:r>
            <w:r w:rsidR="00782BE6">
              <w:rPr>
                <w:rFonts w:ascii="Arial Narrow" w:hAnsi="Arial Narrow" w:cs="Arial"/>
                <w:sz w:val="24"/>
                <w:szCs w:val="24"/>
              </w:rPr>
              <w:t>s 2(b) of the Act</w:t>
            </w:r>
            <w:r w:rsidR="005E2CA3">
              <w:rPr>
                <w:rFonts w:ascii="Arial Narrow" w:hAnsi="Arial Narrow" w:cs="Arial"/>
                <w:sz w:val="24"/>
                <w:szCs w:val="24"/>
              </w:rPr>
              <w:t xml:space="preserve"> namely, possession of a dependence-producing substance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Style w:val="FootnoteReference"/>
                <w:rFonts w:ascii="Arial Narrow" w:hAnsi="Arial Narrow" w:cs="Arial"/>
                <w:sz w:val="24"/>
                <w:szCs w:val="24"/>
              </w:rPr>
              <w:footnoteReference w:id="3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Therefore to charge an accused on two counts would amount to a duplication of convictions. </w:t>
            </w:r>
          </w:p>
          <w:p w:rsidR="003B7921" w:rsidRPr="003B7921" w:rsidRDefault="003B7921" w:rsidP="003B7921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316B50" w:rsidRDefault="003B7921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 the premises, </w:t>
            </w:r>
            <w:r w:rsidR="00316B50">
              <w:rPr>
                <w:rFonts w:ascii="Arial Narrow" w:hAnsi="Arial Narrow" w:cs="Arial"/>
                <w:sz w:val="24"/>
                <w:szCs w:val="24"/>
              </w:rPr>
              <w:t xml:space="preserve">count 1 falls to be set aside and the substance possessed by the accused </w:t>
            </w:r>
            <w:r w:rsidR="005E2CA3">
              <w:rPr>
                <w:rFonts w:ascii="Arial Narrow" w:hAnsi="Arial Narrow" w:cs="Arial"/>
                <w:sz w:val="24"/>
                <w:szCs w:val="24"/>
              </w:rPr>
              <w:t>in that</w:t>
            </w:r>
            <w:r w:rsidR="00316B5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86E">
              <w:rPr>
                <w:rFonts w:ascii="Arial Narrow" w:hAnsi="Arial Narrow" w:cs="Arial"/>
                <w:sz w:val="24"/>
                <w:szCs w:val="24"/>
              </w:rPr>
              <w:t>count is to be</w:t>
            </w:r>
            <w:r w:rsidR="00316B50">
              <w:rPr>
                <w:rFonts w:ascii="Arial Narrow" w:hAnsi="Arial Narrow" w:cs="Arial"/>
                <w:sz w:val="24"/>
                <w:szCs w:val="24"/>
              </w:rPr>
              <w:t xml:space="preserve"> incorporated under count 2.</w:t>
            </w:r>
            <w:r w:rsidR="00C44EE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316B50" w:rsidRPr="00316B50" w:rsidRDefault="00316B50" w:rsidP="00316B50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316B50" w:rsidRDefault="00316B50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 light of the</w:t>
            </w:r>
            <w:r w:rsidR="00B907BC">
              <w:rPr>
                <w:rFonts w:ascii="Arial Narrow" w:hAnsi="Arial Narrow" w:cs="Arial"/>
                <w:sz w:val="24"/>
                <w:szCs w:val="24"/>
              </w:rPr>
              <w:t xml:space="preserve"> review court not vested with the power to increase any sentence on review, </w:t>
            </w:r>
            <w:r>
              <w:rPr>
                <w:rFonts w:ascii="Arial Narrow" w:hAnsi="Arial Narrow" w:cs="Arial"/>
                <w:sz w:val="24"/>
                <w:szCs w:val="24"/>
              </w:rPr>
              <w:t>this court shall not interfere with the sentence imposed on count 2.</w:t>
            </w:r>
          </w:p>
          <w:p w:rsidR="0018288E" w:rsidRPr="0018288E" w:rsidRDefault="0018288E" w:rsidP="0018288E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18288E" w:rsidRDefault="0018288E" w:rsidP="0018288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8288E" w:rsidRDefault="0018288E" w:rsidP="0018288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8288E" w:rsidRDefault="0018288E" w:rsidP="0018288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8288E" w:rsidRPr="0018288E" w:rsidRDefault="0018288E" w:rsidP="0018288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16B50" w:rsidRPr="00316B50" w:rsidRDefault="00316B50" w:rsidP="00316B50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18288E" w:rsidRDefault="0018288E" w:rsidP="0018288E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16B50" w:rsidRDefault="00316B50" w:rsidP="0018288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 the result, it is ordered :</w:t>
            </w:r>
          </w:p>
          <w:p w:rsidR="00316B50" w:rsidRPr="00316B50" w:rsidRDefault="00316B50" w:rsidP="00316B50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B907BC" w:rsidRDefault="00B907BC" w:rsidP="0018288E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charge in count 2 is substituted with a contravention of section 2(b) of Act 41 of 1971, the unlawful possession of dependence-producing substances (methaqualone and cannabis).</w:t>
            </w:r>
          </w:p>
          <w:p w:rsidR="00316B50" w:rsidRDefault="00316B50" w:rsidP="0018288E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conviction and sentence on count 1 is set aside.</w:t>
            </w:r>
          </w:p>
          <w:p w:rsidR="003B7921" w:rsidRDefault="00316B50" w:rsidP="0018288E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</w:t>
            </w:r>
            <w:r w:rsidR="00CD7CD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conviction on count 2 is confirmed.</w:t>
            </w:r>
          </w:p>
          <w:p w:rsidR="0018288E" w:rsidRPr="0018288E" w:rsidRDefault="00316B50" w:rsidP="0018288E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sentence on count 2 is confirmed.</w:t>
            </w:r>
          </w:p>
        </w:tc>
      </w:tr>
      <w:tr w:rsidR="00D35047" w:rsidRPr="001B0FDD" w:rsidTr="00384F99"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1B0FDD" w:rsidRDefault="00D35047" w:rsidP="00D92DB9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1B0FDD" w:rsidTr="00384F99">
        <w:trPr>
          <w:trHeight w:val="827"/>
        </w:trPr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 C LIEBENBERG</w:t>
            </w:r>
          </w:p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C7EFF" w:rsidRDefault="000C7EFF" w:rsidP="000C7EF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proofErr w:type="spellEnd"/>
            <w:r w:rsidR="00E533B2">
              <w:rPr>
                <w:rFonts w:ascii="Arial Narrow" w:hAnsi="Arial Narrow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HIVUTE</w:t>
            </w:r>
          </w:p>
          <w:p w:rsidR="00D35047" w:rsidRPr="001B0FDD" w:rsidRDefault="000C7EFF" w:rsidP="000C7EF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D35047" w:rsidRPr="001B0FDD">
              <w:rPr>
                <w:rFonts w:ascii="Arial Narrow" w:hAnsi="Arial Narrow" w:cs="Arial"/>
                <w:b/>
                <w:sz w:val="24"/>
                <w:szCs w:val="24"/>
              </w:rPr>
              <w:t>UDGE</w:t>
            </w:r>
          </w:p>
        </w:tc>
      </w:tr>
    </w:tbl>
    <w:p w:rsidR="00B97A95" w:rsidRDefault="00B97A95" w:rsidP="00D92DB9"/>
    <w:sectPr w:rsidR="00B97A95" w:rsidSect="00B4589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A3" w:rsidRDefault="009613A3" w:rsidP="00F1192F">
      <w:pPr>
        <w:spacing w:after="0" w:line="240" w:lineRule="auto"/>
      </w:pPr>
      <w:r>
        <w:separator/>
      </w:r>
    </w:p>
  </w:endnote>
  <w:endnote w:type="continuationSeparator" w:id="0">
    <w:p w:rsidR="009613A3" w:rsidRDefault="009613A3" w:rsidP="00F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A3" w:rsidRDefault="009613A3" w:rsidP="00F1192F">
      <w:pPr>
        <w:spacing w:after="0" w:line="240" w:lineRule="auto"/>
      </w:pPr>
      <w:r>
        <w:separator/>
      </w:r>
    </w:p>
  </w:footnote>
  <w:footnote w:type="continuationSeparator" w:id="0">
    <w:p w:rsidR="009613A3" w:rsidRDefault="009613A3" w:rsidP="00F1192F">
      <w:pPr>
        <w:spacing w:after="0" w:line="240" w:lineRule="auto"/>
      </w:pPr>
      <w:r>
        <w:continuationSeparator/>
      </w:r>
    </w:p>
  </w:footnote>
  <w:footnote w:id="1">
    <w:p w:rsidR="002D2103" w:rsidRPr="0018288E" w:rsidRDefault="002D2103">
      <w:pPr>
        <w:pStyle w:val="FootnoteText"/>
        <w:rPr>
          <w:rFonts w:ascii="Arial Narrow" w:hAnsi="Arial Narrow"/>
        </w:rPr>
      </w:pPr>
      <w:r w:rsidRPr="0018288E">
        <w:rPr>
          <w:rStyle w:val="FootnoteReference"/>
          <w:rFonts w:ascii="Arial Narrow" w:hAnsi="Arial Narrow"/>
        </w:rPr>
        <w:footnoteRef/>
      </w:r>
      <w:r w:rsidRPr="0018288E">
        <w:rPr>
          <w:rFonts w:ascii="Arial Narrow" w:hAnsi="Arial Narrow"/>
        </w:rPr>
        <w:t xml:space="preserve"> CR 23/2018 NAHCMD (05 April 2018).</w:t>
      </w:r>
    </w:p>
  </w:footnote>
  <w:footnote w:id="2">
    <w:p w:rsidR="00B9381C" w:rsidRPr="0018288E" w:rsidRDefault="00B9381C">
      <w:pPr>
        <w:pStyle w:val="FootnoteText"/>
        <w:rPr>
          <w:rFonts w:ascii="Arial Narrow" w:hAnsi="Arial Narrow"/>
        </w:rPr>
      </w:pPr>
      <w:r w:rsidRPr="0018288E">
        <w:rPr>
          <w:rStyle w:val="FootnoteReference"/>
          <w:rFonts w:ascii="Arial Narrow" w:hAnsi="Arial Narrow"/>
        </w:rPr>
        <w:footnoteRef/>
      </w:r>
      <w:r w:rsidR="00757884">
        <w:rPr>
          <w:rFonts w:ascii="Arial Narrow" w:hAnsi="Arial Narrow"/>
        </w:rPr>
        <w:t xml:space="preserve"> 2019 (2) NR 479 (HC).</w:t>
      </w:r>
    </w:p>
  </w:footnote>
  <w:footnote w:id="3">
    <w:p w:rsidR="003B7921" w:rsidRDefault="003B7921">
      <w:pPr>
        <w:pStyle w:val="FootnoteText"/>
      </w:pPr>
      <w:r w:rsidRPr="0018288E">
        <w:rPr>
          <w:rStyle w:val="FootnoteReference"/>
          <w:rFonts w:ascii="Arial Narrow" w:hAnsi="Arial Narrow"/>
        </w:rPr>
        <w:footnoteRef/>
      </w:r>
      <w:r w:rsidRPr="0018288E">
        <w:rPr>
          <w:rFonts w:ascii="Arial Narrow" w:hAnsi="Arial Narrow"/>
        </w:rPr>
        <w:t xml:space="preserve"> Ibid at para 12</w:t>
      </w:r>
      <w:r w:rsidR="00757884">
        <w:rPr>
          <w:rFonts w:ascii="Arial Narrow" w:hAnsi="Arial Narrow"/>
        </w:rPr>
        <w:t>E-G</w:t>
      </w:r>
      <w:r w:rsidRPr="0018288E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5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899" w:rsidRDefault="00B458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CB3" w:rsidRDefault="0026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5A"/>
    <w:multiLevelType w:val="hybridMultilevel"/>
    <w:tmpl w:val="F90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278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D0BE7"/>
    <w:multiLevelType w:val="hybridMultilevel"/>
    <w:tmpl w:val="F266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07BF7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571BB"/>
    <w:multiLevelType w:val="hybridMultilevel"/>
    <w:tmpl w:val="18D0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2EB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A1BC2"/>
    <w:multiLevelType w:val="hybridMultilevel"/>
    <w:tmpl w:val="18D0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3DE5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B3E7E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709A9"/>
    <w:multiLevelType w:val="hybridMultilevel"/>
    <w:tmpl w:val="86943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225DD1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30B5"/>
    <w:rsid w:val="00053401"/>
    <w:rsid w:val="000841C3"/>
    <w:rsid w:val="000B4D4B"/>
    <w:rsid w:val="000C2FE7"/>
    <w:rsid w:val="000C436E"/>
    <w:rsid w:val="000C7EFF"/>
    <w:rsid w:val="00105613"/>
    <w:rsid w:val="00124718"/>
    <w:rsid w:val="0014274A"/>
    <w:rsid w:val="00175410"/>
    <w:rsid w:val="0018288E"/>
    <w:rsid w:val="001A41D5"/>
    <w:rsid w:val="001A57CD"/>
    <w:rsid w:val="001B7928"/>
    <w:rsid w:val="00207368"/>
    <w:rsid w:val="00223FBB"/>
    <w:rsid w:val="00224FEA"/>
    <w:rsid w:val="00233D4A"/>
    <w:rsid w:val="002474DD"/>
    <w:rsid w:val="00266CB3"/>
    <w:rsid w:val="00271235"/>
    <w:rsid w:val="002745F1"/>
    <w:rsid w:val="00282698"/>
    <w:rsid w:val="002D2103"/>
    <w:rsid w:val="002D410D"/>
    <w:rsid w:val="002E5924"/>
    <w:rsid w:val="002E7367"/>
    <w:rsid w:val="00314FC6"/>
    <w:rsid w:val="00316B50"/>
    <w:rsid w:val="00333485"/>
    <w:rsid w:val="00333633"/>
    <w:rsid w:val="00333F47"/>
    <w:rsid w:val="00362104"/>
    <w:rsid w:val="00384F99"/>
    <w:rsid w:val="003B2244"/>
    <w:rsid w:val="003B7921"/>
    <w:rsid w:val="003C52F8"/>
    <w:rsid w:val="003E011D"/>
    <w:rsid w:val="004057CA"/>
    <w:rsid w:val="00407DA4"/>
    <w:rsid w:val="00411A4D"/>
    <w:rsid w:val="00421539"/>
    <w:rsid w:val="00450873"/>
    <w:rsid w:val="004B5EF3"/>
    <w:rsid w:val="004C47C8"/>
    <w:rsid w:val="0050248C"/>
    <w:rsid w:val="00504649"/>
    <w:rsid w:val="00505B25"/>
    <w:rsid w:val="00526942"/>
    <w:rsid w:val="00535D52"/>
    <w:rsid w:val="00550128"/>
    <w:rsid w:val="00582A85"/>
    <w:rsid w:val="00584D49"/>
    <w:rsid w:val="005C15FA"/>
    <w:rsid w:val="005D7CD3"/>
    <w:rsid w:val="005E2CA3"/>
    <w:rsid w:val="0061228D"/>
    <w:rsid w:val="00632C1B"/>
    <w:rsid w:val="006553C6"/>
    <w:rsid w:val="0067217D"/>
    <w:rsid w:val="006956C2"/>
    <w:rsid w:val="006E6CA2"/>
    <w:rsid w:val="006F16D5"/>
    <w:rsid w:val="006F1BE0"/>
    <w:rsid w:val="007032C8"/>
    <w:rsid w:val="007321B9"/>
    <w:rsid w:val="00732790"/>
    <w:rsid w:val="00736D3F"/>
    <w:rsid w:val="00744A3F"/>
    <w:rsid w:val="00757884"/>
    <w:rsid w:val="007655F6"/>
    <w:rsid w:val="00782BE6"/>
    <w:rsid w:val="007E47F9"/>
    <w:rsid w:val="007E612B"/>
    <w:rsid w:val="0082349A"/>
    <w:rsid w:val="00837E4E"/>
    <w:rsid w:val="0087379F"/>
    <w:rsid w:val="0092347B"/>
    <w:rsid w:val="00924352"/>
    <w:rsid w:val="00926BAA"/>
    <w:rsid w:val="009417E8"/>
    <w:rsid w:val="009613A3"/>
    <w:rsid w:val="009A4EBC"/>
    <w:rsid w:val="009A508E"/>
    <w:rsid w:val="009C600C"/>
    <w:rsid w:val="009E003A"/>
    <w:rsid w:val="009F28CD"/>
    <w:rsid w:val="00A1663F"/>
    <w:rsid w:val="00A5786E"/>
    <w:rsid w:val="00AA0FD4"/>
    <w:rsid w:val="00AA6F2E"/>
    <w:rsid w:val="00AC0E58"/>
    <w:rsid w:val="00AD427A"/>
    <w:rsid w:val="00B13BE8"/>
    <w:rsid w:val="00B23CF8"/>
    <w:rsid w:val="00B45899"/>
    <w:rsid w:val="00B720F4"/>
    <w:rsid w:val="00B907BC"/>
    <w:rsid w:val="00B9381C"/>
    <w:rsid w:val="00B97A95"/>
    <w:rsid w:val="00BE21EF"/>
    <w:rsid w:val="00BE3270"/>
    <w:rsid w:val="00BF6FF3"/>
    <w:rsid w:val="00C05608"/>
    <w:rsid w:val="00C44EEA"/>
    <w:rsid w:val="00C54B9B"/>
    <w:rsid w:val="00CA2E3E"/>
    <w:rsid w:val="00CA70E5"/>
    <w:rsid w:val="00CB6D7D"/>
    <w:rsid w:val="00CD7CD8"/>
    <w:rsid w:val="00CE6426"/>
    <w:rsid w:val="00D01880"/>
    <w:rsid w:val="00D01948"/>
    <w:rsid w:val="00D35047"/>
    <w:rsid w:val="00D92DB9"/>
    <w:rsid w:val="00D9375F"/>
    <w:rsid w:val="00DB2C9F"/>
    <w:rsid w:val="00DB302C"/>
    <w:rsid w:val="00DC35AF"/>
    <w:rsid w:val="00DC46FE"/>
    <w:rsid w:val="00E33FE2"/>
    <w:rsid w:val="00E533B2"/>
    <w:rsid w:val="00E54296"/>
    <w:rsid w:val="00E63192"/>
    <w:rsid w:val="00E9128F"/>
    <w:rsid w:val="00EC6886"/>
    <w:rsid w:val="00F1192F"/>
    <w:rsid w:val="00F475BF"/>
    <w:rsid w:val="00F7598B"/>
    <w:rsid w:val="00F960FC"/>
    <w:rsid w:val="00FB1579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FF63-28A8-4C4E-A8CC-181CFB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9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3"/>
  </w:style>
  <w:style w:type="paragraph" w:styleId="Footer">
    <w:name w:val="footer"/>
    <w:basedOn w:val="Normal"/>
    <w:link w:val="Foot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3"/>
  </w:style>
  <w:style w:type="paragraph" w:styleId="BalloonText">
    <w:name w:val="Balloon Text"/>
    <w:basedOn w:val="Normal"/>
    <w:link w:val="BalloonTextChar"/>
    <w:uiPriority w:val="99"/>
    <w:semiHidden/>
    <w:unhideWhenUsed/>
    <w:rsid w:val="0014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2020-03-15T18:30:00+00:00</Judgment_x0020_Date>
  </documentManagement>
</p:properties>
</file>

<file path=customXml/itemProps1.xml><?xml version="1.0" encoding="utf-8"?>
<ds:datastoreItem xmlns:ds="http://schemas.openxmlformats.org/officeDocument/2006/customXml" ds:itemID="{F0EE8C22-A1B9-4633-8B33-AF1EED7816C2}"/>
</file>

<file path=customXml/itemProps2.xml><?xml version="1.0" encoding="utf-8"?>
<ds:datastoreItem xmlns:ds="http://schemas.openxmlformats.org/officeDocument/2006/customXml" ds:itemID="{E0DC1DD8-4663-4540-B14B-8D34AE8B13A2}"/>
</file>

<file path=customXml/itemProps3.xml><?xml version="1.0" encoding="utf-8"?>
<ds:datastoreItem xmlns:ds="http://schemas.openxmlformats.org/officeDocument/2006/customXml" ds:itemID="{9FB9F06B-6261-4449-A5AF-7E52BED4EE67}"/>
</file>

<file path=customXml/itemProps4.xml><?xml version="1.0" encoding="utf-8"?>
<ds:datastoreItem xmlns:ds="http://schemas.openxmlformats.org/officeDocument/2006/customXml" ds:itemID="{6EDBDA2E-5E00-4E4F-BCE1-8270465AF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Kasita</dc:creator>
  <cp:keywords/>
  <dc:description/>
  <cp:lastModifiedBy>Lotta N. Ambunda</cp:lastModifiedBy>
  <cp:revision>3</cp:revision>
  <cp:lastPrinted>2020-03-16T06:49:00Z</cp:lastPrinted>
  <dcterms:created xsi:type="dcterms:W3CDTF">2020-03-16T07:45:00Z</dcterms:created>
  <dcterms:modified xsi:type="dcterms:W3CDTF">2020-03-16T07:45:00Z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