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85" w:rsidRPr="00363C47" w:rsidRDefault="00980485" w:rsidP="006E49A3">
      <w:pPr>
        <w:spacing w:after="0" w:line="240" w:lineRule="auto"/>
        <w:jc w:val="center"/>
        <w:rPr>
          <w:rFonts w:ascii="Arial" w:hAnsi="Arial" w:cs="Arial"/>
          <w:b/>
          <w:sz w:val="24"/>
          <w:szCs w:val="24"/>
        </w:rPr>
      </w:pPr>
      <w:bookmarkStart w:id="0" w:name="_GoBack"/>
      <w:bookmarkEnd w:id="0"/>
      <w:r w:rsidRPr="00363C47">
        <w:rPr>
          <w:rFonts w:ascii="Arial" w:hAnsi="Arial" w:cs="Arial"/>
          <w:b/>
          <w:sz w:val="24"/>
          <w:szCs w:val="24"/>
        </w:rPr>
        <w:t xml:space="preserve">REPUBLIC OF NAMIBIA </w:t>
      </w:r>
    </w:p>
    <w:p w:rsidR="006E49A3" w:rsidRPr="00363C47" w:rsidRDefault="006E49A3" w:rsidP="006E49A3">
      <w:pPr>
        <w:spacing w:after="0" w:line="360" w:lineRule="auto"/>
        <w:jc w:val="both"/>
        <w:rPr>
          <w:rFonts w:ascii="Arial" w:hAnsi="Arial" w:cs="Arial"/>
          <w:sz w:val="24"/>
          <w:szCs w:val="24"/>
        </w:rPr>
      </w:pPr>
    </w:p>
    <w:p w:rsidR="00980485" w:rsidRPr="00363C47" w:rsidRDefault="00980485" w:rsidP="00980485">
      <w:pPr>
        <w:spacing w:after="0" w:line="360" w:lineRule="auto"/>
        <w:jc w:val="center"/>
        <w:rPr>
          <w:rFonts w:ascii="Arial" w:hAnsi="Arial" w:cs="Arial"/>
          <w:sz w:val="24"/>
          <w:szCs w:val="24"/>
        </w:rPr>
      </w:pPr>
      <w:r w:rsidRPr="00363C47">
        <w:rPr>
          <w:rFonts w:ascii="Arial" w:hAnsi="Arial" w:cs="Arial"/>
          <w:b/>
          <w:noProof/>
          <w:sz w:val="32"/>
          <w:szCs w:val="32"/>
          <w:lang w:eastAsia="en-ZA"/>
        </w:rPr>
        <w:drawing>
          <wp:inline distT="0" distB="0" distL="0" distR="0" wp14:anchorId="2425A816" wp14:editId="53AE16E7">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E49A3" w:rsidRPr="00363C47" w:rsidRDefault="006E49A3" w:rsidP="006E49A3">
      <w:pPr>
        <w:spacing w:after="0" w:line="360" w:lineRule="auto"/>
        <w:jc w:val="center"/>
        <w:rPr>
          <w:rFonts w:ascii="Arial" w:hAnsi="Arial" w:cs="Arial"/>
          <w:b/>
          <w:sz w:val="24"/>
          <w:szCs w:val="24"/>
        </w:rPr>
      </w:pPr>
      <w:r w:rsidRPr="00363C47">
        <w:rPr>
          <w:rFonts w:ascii="Arial" w:hAnsi="Arial" w:cs="Arial"/>
          <w:b/>
          <w:sz w:val="24"/>
          <w:szCs w:val="24"/>
        </w:rPr>
        <w:t>IN THE HIGH COURT OF NAMIBIA</w:t>
      </w:r>
      <w:r w:rsidR="00980485" w:rsidRPr="00363C47">
        <w:rPr>
          <w:rFonts w:ascii="Arial" w:hAnsi="Arial" w:cs="Arial"/>
          <w:b/>
          <w:sz w:val="24"/>
          <w:szCs w:val="24"/>
        </w:rPr>
        <w:t>, MAIN DIVISION, WINDHOEK</w:t>
      </w:r>
    </w:p>
    <w:p w:rsidR="00980485" w:rsidRPr="00363C47" w:rsidRDefault="00980485" w:rsidP="006E49A3">
      <w:pPr>
        <w:spacing w:after="0" w:line="360" w:lineRule="auto"/>
        <w:jc w:val="center"/>
        <w:rPr>
          <w:rFonts w:ascii="Arial" w:hAnsi="Arial" w:cs="Arial"/>
          <w:b/>
          <w:sz w:val="24"/>
          <w:szCs w:val="24"/>
        </w:rPr>
      </w:pPr>
      <w:r w:rsidRPr="00363C47">
        <w:rPr>
          <w:rFonts w:ascii="Arial" w:hAnsi="Arial" w:cs="Arial"/>
          <w:b/>
          <w:sz w:val="24"/>
          <w:szCs w:val="24"/>
        </w:rPr>
        <w:t>JUDGMENT</w:t>
      </w:r>
    </w:p>
    <w:p w:rsidR="00281FAB" w:rsidRPr="00363C47" w:rsidRDefault="00281FAB" w:rsidP="00EB27A0">
      <w:pPr>
        <w:spacing w:after="0" w:line="360" w:lineRule="auto"/>
        <w:jc w:val="both"/>
        <w:rPr>
          <w:rFonts w:ascii="Arial" w:hAnsi="Arial" w:cs="Arial"/>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363C47" w:rsidTr="005403D8">
        <w:trPr>
          <w:trHeight w:val="744"/>
        </w:trPr>
        <w:tc>
          <w:tcPr>
            <w:tcW w:w="5397" w:type="dxa"/>
            <w:gridSpan w:val="2"/>
            <w:vMerge w:val="restart"/>
          </w:tcPr>
          <w:p w:rsidR="00C73154" w:rsidRPr="00363C47" w:rsidRDefault="00C73154" w:rsidP="00EB27A0">
            <w:pPr>
              <w:spacing w:line="360" w:lineRule="auto"/>
              <w:jc w:val="both"/>
              <w:rPr>
                <w:rFonts w:ascii="Arial" w:hAnsi="Arial" w:cs="Arial"/>
              </w:rPr>
            </w:pPr>
            <w:r w:rsidRPr="00363C47">
              <w:rPr>
                <w:rFonts w:ascii="Arial" w:hAnsi="Arial" w:cs="Arial"/>
                <w:b/>
              </w:rPr>
              <w:t>Case Title:</w:t>
            </w:r>
          </w:p>
          <w:p w:rsidR="00C73154" w:rsidRPr="00363C47" w:rsidRDefault="00647604" w:rsidP="006D2D84">
            <w:pPr>
              <w:spacing w:line="360" w:lineRule="auto"/>
              <w:jc w:val="both"/>
              <w:rPr>
                <w:rFonts w:ascii="Arial" w:hAnsi="Arial" w:cs="Arial"/>
              </w:rPr>
            </w:pPr>
            <w:r w:rsidRPr="00363C47">
              <w:rPr>
                <w:rFonts w:ascii="Arial" w:hAnsi="Arial" w:cs="Arial"/>
              </w:rPr>
              <w:t>SINCO FISHING (PTY) LTD &amp; OTHERS</w:t>
            </w:r>
            <w:r w:rsidR="00026D86" w:rsidRPr="00363C47">
              <w:rPr>
                <w:rFonts w:ascii="Arial" w:hAnsi="Arial" w:cs="Arial"/>
                <w:shd w:val="clear" w:color="auto" w:fill="FFFFFF"/>
              </w:rPr>
              <w:t xml:space="preserve"> vs </w:t>
            </w:r>
            <w:r w:rsidRPr="00363C47">
              <w:rPr>
                <w:rFonts w:ascii="Arial" w:hAnsi="Arial" w:cs="Arial"/>
                <w:shd w:val="clear" w:color="auto" w:fill="FFFFFF"/>
              </w:rPr>
              <w:t>HEINASTE INVESTMENT NAMIBIA (PTY) LTD &amp; OTHERS</w:t>
            </w:r>
          </w:p>
          <w:p w:rsidR="00C73154" w:rsidRPr="00363C47" w:rsidRDefault="00C73154" w:rsidP="006D2D84">
            <w:pPr>
              <w:spacing w:line="360" w:lineRule="auto"/>
              <w:jc w:val="both"/>
              <w:rPr>
                <w:rFonts w:ascii="Arial" w:hAnsi="Arial" w:cs="Arial"/>
              </w:rPr>
            </w:pPr>
          </w:p>
        </w:tc>
        <w:tc>
          <w:tcPr>
            <w:tcW w:w="4323" w:type="dxa"/>
          </w:tcPr>
          <w:p w:rsidR="00C73154" w:rsidRPr="00363C47" w:rsidRDefault="00C73154" w:rsidP="00905A48">
            <w:pPr>
              <w:spacing w:line="360" w:lineRule="auto"/>
              <w:jc w:val="both"/>
              <w:rPr>
                <w:rFonts w:ascii="Arial" w:hAnsi="Arial" w:cs="Arial"/>
                <w:b/>
              </w:rPr>
            </w:pPr>
            <w:r w:rsidRPr="00363C47">
              <w:rPr>
                <w:rFonts w:ascii="Arial" w:hAnsi="Arial" w:cs="Arial"/>
                <w:b/>
              </w:rPr>
              <w:t>Case No:</w:t>
            </w:r>
          </w:p>
          <w:p w:rsidR="00C73154" w:rsidRPr="00363C47" w:rsidRDefault="00647604" w:rsidP="006D4540">
            <w:pPr>
              <w:spacing w:line="360" w:lineRule="auto"/>
              <w:jc w:val="both"/>
              <w:rPr>
                <w:rFonts w:ascii="Arial" w:hAnsi="Arial" w:cs="Arial"/>
              </w:rPr>
            </w:pPr>
            <w:r w:rsidRPr="00363C47">
              <w:rPr>
                <w:rFonts w:ascii="Arial" w:hAnsi="Arial" w:cs="Arial"/>
              </w:rPr>
              <w:t>HC-MD-CIV-MOT-GEN-2020/00588</w:t>
            </w:r>
          </w:p>
        </w:tc>
      </w:tr>
      <w:tr w:rsidR="00C73154" w:rsidRPr="00363C47" w:rsidTr="005403D8">
        <w:trPr>
          <w:trHeight w:val="844"/>
        </w:trPr>
        <w:tc>
          <w:tcPr>
            <w:tcW w:w="5397" w:type="dxa"/>
            <w:gridSpan w:val="2"/>
            <w:vMerge/>
          </w:tcPr>
          <w:p w:rsidR="00C73154" w:rsidRPr="00363C47" w:rsidRDefault="00C73154" w:rsidP="00EB27A0">
            <w:pPr>
              <w:spacing w:line="360" w:lineRule="auto"/>
              <w:jc w:val="both"/>
              <w:rPr>
                <w:rFonts w:ascii="Arial" w:hAnsi="Arial" w:cs="Arial"/>
              </w:rPr>
            </w:pPr>
          </w:p>
        </w:tc>
        <w:tc>
          <w:tcPr>
            <w:tcW w:w="4323" w:type="dxa"/>
          </w:tcPr>
          <w:p w:rsidR="00C73154" w:rsidRPr="00363C47" w:rsidRDefault="00C73154" w:rsidP="00EB27A0">
            <w:pPr>
              <w:spacing w:line="360" w:lineRule="auto"/>
              <w:jc w:val="both"/>
              <w:rPr>
                <w:rFonts w:ascii="Arial" w:hAnsi="Arial" w:cs="Arial"/>
              </w:rPr>
            </w:pPr>
            <w:r w:rsidRPr="00363C47">
              <w:rPr>
                <w:rFonts w:ascii="Arial" w:hAnsi="Arial" w:cs="Arial"/>
                <w:b/>
              </w:rPr>
              <w:t>Division of Court:</w:t>
            </w:r>
          </w:p>
          <w:p w:rsidR="00C73154" w:rsidRPr="00363C47" w:rsidRDefault="00C73154" w:rsidP="00092FD2">
            <w:pPr>
              <w:spacing w:line="360" w:lineRule="auto"/>
              <w:jc w:val="both"/>
              <w:rPr>
                <w:rFonts w:ascii="Arial" w:hAnsi="Arial" w:cs="Arial"/>
              </w:rPr>
            </w:pPr>
            <w:r w:rsidRPr="00363C47">
              <w:rPr>
                <w:rFonts w:ascii="Arial" w:hAnsi="Arial" w:cs="Arial"/>
              </w:rPr>
              <w:t>H</w:t>
            </w:r>
            <w:r w:rsidR="00092FD2" w:rsidRPr="00363C47">
              <w:rPr>
                <w:rFonts w:ascii="Arial" w:hAnsi="Arial" w:cs="Arial"/>
              </w:rPr>
              <w:t>IGH COURT (MAIN DIVISION</w:t>
            </w:r>
            <w:r w:rsidR="00890143" w:rsidRPr="00363C47">
              <w:rPr>
                <w:rFonts w:ascii="Arial" w:hAnsi="Arial" w:cs="Arial"/>
              </w:rPr>
              <w:t>)</w:t>
            </w:r>
          </w:p>
        </w:tc>
      </w:tr>
      <w:tr w:rsidR="005403D8" w:rsidRPr="00363C47" w:rsidTr="005403D8">
        <w:trPr>
          <w:trHeight w:val="645"/>
        </w:trPr>
        <w:tc>
          <w:tcPr>
            <w:tcW w:w="5397" w:type="dxa"/>
            <w:gridSpan w:val="2"/>
            <w:vMerge w:val="restart"/>
          </w:tcPr>
          <w:p w:rsidR="005403D8" w:rsidRPr="00363C47" w:rsidRDefault="005403D8" w:rsidP="00EB27A0">
            <w:pPr>
              <w:spacing w:line="360" w:lineRule="auto"/>
              <w:jc w:val="both"/>
              <w:rPr>
                <w:rFonts w:ascii="Arial" w:hAnsi="Arial" w:cs="Arial"/>
                <w:b/>
              </w:rPr>
            </w:pPr>
            <w:r w:rsidRPr="00363C47">
              <w:rPr>
                <w:rFonts w:ascii="Arial" w:hAnsi="Arial" w:cs="Arial"/>
                <w:b/>
              </w:rPr>
              <w:t>Heard before:</w:t>
            </w:r>
          </w:p>
          <w:p w:rsidR="005403D8" w:rsidRPr="00363C47" w:rsidRDefault="005403D8" w:rsidP="0009710D">
            <w:pPr>
              <w:spacing w:line="360" w:lineRule="auto"/>
              <w:jc w:val="both"/>
              <w:rPr>
                <w:rFonts w:ascii="Arial" w:hAnsi="Arial" w:cs="Arial"/>
              </w:rPr>
            </w:pPr>
            <w:r w:rsidRPr="00363C47">
              <w:rPr>
                <w:rFonts w:ascii="Arial" w:hAnsi="Arial" w:cs="Arial"/>
              </w:rPr>
              <w:t>H</w:t>
            </w:r>
            <w:r w:rsidR="00092FD2" w:rsidRPr="00363C47">
              <w:rPr>
                <w:rFonts w:ascii="Arial" w:hAnsi="Arial" w:cs="Arial"/>
              </w:rPr>
              <w:t xml:space="preserve">ONOURABLE MR JUSTICE </w:t>
            </w:r>
            <w:r w:rsidR="0009710D" w:rsidRPr="00363C47">
              <w:rPr>
                <w:rFonts w:ascii="Arial" w:hAnsi="Arial" w:cs="Arial"/>
              </w:rPr>
              <w:t>GEIER</w:t>
            </w:r>
          </w:p>
        </w:tc>
        <w:tc>
          <w:tcPr>
            <w:tcW w:w="4323" w:type="dxa"/>
          </w:tcPr>
          <w:p w:rsidR="005403D8" w:rsidRPr="00363C47" w:rsidRDefault="005403D8" w:rsidP="00EB27A0">
            <w:pPr>
              <w:spacing w:line="360" w:lineRule="auto"/>
              <w:jc w:val="both"/>
              <w:rPr>
                <w:rFonts w:ascii="Arial" w:hAnsi="Arial" w:cs="Arial"/>
                <w:b/>
              </w:rPr>
            </w:pPr>
            <w:r w:rsidRPr="00363C47">
              <w:rPr>
                <w:rFonts w:ascii="Arial" w:hAnsi="Arial" w:cs="Arial"/>
                <w:b/>
              </w:rPr>
              <w:t xml:space="preserve">Date </w:t>
            </w:r>
            <w:r w:rsidR="00647604" w:rsidRPr="00363C47">
              <w:rPr>
                <w:rFonts w:ascii="Arial" w:hAnsi="Arial" w:cs="Arial"/>
                <w:b/>
              </w:rPr>
              <w:t>reserved</w:t>
            </w:r>
            <w:r w:rsidRPr="00363C47">
              <w:rPr>
                <w:rFonts w:ascii="Arial" w:hAnsi="Arial" w:cs="Arial"/>
                <w:b/>
              </w:rPr>
              <w:t>:</w:t>
            </w:r>
          </w:p>
          <w:p w:rsidR="005403D8" w:rsidRPr="00363C47" w:rsidRDefault="00875337" w:rsidP="00875337">
            <w:pPr>
              <w:spacing w:line="360" w:lineRule="auto"/>
              <w:rPr>
                <w:rFonts w:ascii="Arial" w:hAnsi="Arial" w:cs="Arial"/>
              </w:rPr>
            </w:pPr>
            <w:r w:rsidRPr="00363C47">
              <w:rPr>
                <w:rFonts w:ascii="Arial" w:hAnsi="Arial" w:cs="Arial"/>
              </w:rPr>
              <w:t>01</w:t>
            </w:r>
            <w:r w:rsidR="0009710D" w:rsidRPr="00363C47">
              <w:rPr>
                <w:rFonts w:ascii="Arial" w:hAnsi="Arial" w:cs="Arial"/>
              </w:rPr>
              <w:t xml:space="preserve"> </w:t>
            </w:r>
            <w:r w:rsidRPr="00363C47">
              <w:rPr>
                <w:rFonts w:ascii="Arial" w:hAnsi="Arial" w:cs="Arial"/>
              </w:rPr>
              <w:t>AUGUST</w:t>
            </w:r>
            <w:r w:rsidR="00F72F82" w:rsidRPr="00363C47">
              <w:rPr>
                <w:rFonts w:ascii="Arial" w:hAnsi="Arial" w:cs="Arial"/>
              </w:rPr>
              <w:t xml:space="preserve"> </w:t>
            </w:r>
            <w:r w:rsidR="0009710D" w:rsidRPr="00363C47">
              <w:rPr>
                <w:rFonts w:ascii="Arial" w:hAnsi="Arial" w:cs="Arial"/>
              </w:rPr>
              <w:t>202</w:t>
            </w:r>
            <w:r w:rsidR="00CB6E64" w:rsidRPr="00363C47">
              <w:rPr>
                <w:rFonts w:ascii="Arial" w:hAnsi="Arial" w:cs="Arial"/>
              </w:rPr>
              <w:t>1</w:t>
            </w:r>
          </w:p>
        </w:tc>
      </w:tr>
      <w:tr w:rsidR="005403D8" w:rsidRPr="00363C47" w:rsidTr="00FD38C2">
        <w:trPr>
          <w:trHeight w:val="588"/>
        </w:trPr>
        <w:tc>
          <w:tcPr>
            <w:tcW w:w="5397" w:type="dxa"/>
            <w:gridSpan w:val="2"/>
            <w:vMerge/>
          </w:tcPr>
          <w:p w:rsidR="005403D8" w:rsidRPr="00363C47" w:rsidRDefault="005403D8" w:rsidP="00EB27A0">
            <w:pPr>
              <w:spacing w:line="360" w:lineRule="auto"/>
              <w:jc w:val="both"/>
              <w:rPr>
                <w:rFonts w:ascii="Arial" w:hAnsi="Arial" w:cs="Arial"/>
                <w:b/>
              </w:rPr>
            </w:pPr>
          </w:p>
        </w:tc>
        <w:tc>
          <w:tcPr>
            <w:tcW w:w="4323" w:type="dxa"/>
          </w:tcPr>
          <w:p w:rsidR="005403D8" w:rsidRPr="00363C47" w:rsidRDefault="005403D8" w:rsidP="005403D8">
            <w:pPr>
              <w:spacing w:line="360" w:lineRule="auto"/>
              <w:jc w:val="both"/>
              <w:rPr>
                <w:rFonts w:ascii="Arial" w:hAnsi="Arial" w:cs="Arial"/>
                <w:b/>
              </w:rPr>
            </w:pPr>
            <w:r w:rsidRPr="00363C47">
              <w:rPr>
                <w:rFonts w:ascii="Arial" w:hAnsi="Arial" w:cs="Arial"/>
                <w:b/>
              </w:rPr>
              <w:t>Delivered on:</w:t>
            </w:r>
          </w:p>
          <w:p w:rsidR="005403D8" w:rsidRPr="00363C47" w:rsidRDefault="00875337" w:rsidP="00647604">
            <w:pPr>
              <w:spacing w:line="360" w:lineRule="auto"/>
              <w:jc w:val="both"/>
              <w:rPr>
                <w:rFonts w:ascii="Arial" w:hAnsi="Arial" w:cs="Arial"/>
                <w:b/>
              </w:rPr>
            </w:pPr>
            <w:r w:rsidRPr="00363C47">
              <w:rPr>
                <w:rFonts w:ascii="Arial" w:hAnsi="Arial" w:cs="Arial"/>
              </w:rPr>
              <w:t>20</w:t>
            </w:r>
            <w:r w:rsidR="00026D86" w:rsidRPr="00363C47">
              <w:rPr>
                <w:rFonts w:ascii="Arial" w:hAnsi="Arial" w:cs="Arial"/>
              </w:rPr>
              <w:t xml:space="preserve"> </w:t>
            </w:r>
            <w:r w:rsidR="00647604" w:rsidRPr="00363C47">
              <w:rPr>
                <w:rFonts w:ascii="Arial" w:hAnsi="Arial" w:cs="Arial"/>
              </w:rPr>
              <w:t>AUGUST</w:t>
            </w:r>
            <w:r w:rsidR="009F24FA" w:rsidRPr="00363C47">
              <w:rPr>
                <w:rFonts w:ascii="Arial" w:hAnsi="Arial" w:cs="Arial"/>
              </w:rPr>
              <w:t xml:space="preserve"> </w:t>
            </w:r>
            <w:r w:rsidR="00F72F82" w:rsidRPr="00363C47">
              <w:rPr>
                <w:rFonts w:ascii="Arial" w:hAnsi="Arial" w:cs="Arial"/>
              </w:rPr>
              <w:t>20</w:t>
            </w:r>
            <w:r w:rsidR="0009710D" w:rsidRPr="00363C47">
              <w:rPr>
                <w:rFonts w:ascii="Arial" w:hAnsi="Arial" w:cs="Arial"/>
              </w:rPr>
              <w:t>2</w:t>
            </w:r>
            <w:r w:rsidR="00CB6E64" w:rsidRPr="00363C47">
              <w:rPr>
                <w:rFonts w:ascii="Arial" w:hAnsi="Arial" w:cs="Arial"/>
              </w:rPr>
              <w:t>1</w:t>
            </w:r>
          </w:p>
        </w:tc>
      </w:tr>
      <w:tr w:rsidR="005955B1" w:rsidRPr="00363C47" w:rsidTr="00BB1E6E">
        <w:trPr>
          <w:trHeight w:val="908"/>
        </w:trPr>
        <w:tc>
          <w:tcPr>
            <w:tcW w:w="9720" w:type="dxa"/>
            <w:gridSpan w:val="3"/>
          </w:tcPr>
          <w:p w:rsidR="00F71EB9" w:rsidRPr="00363C47" w:rsidRDefault="005955B1" w:rsidP="00230378">
            <w:pPr>
              <w:spacing w:line="360" w:lineRule="auto"/>
              <w:jc w:val="both"/>
              <w:rPr>
                <w:rFonts w:ascii="Arial" w:hAnsi="Arial" w:cs="Arial"/>
              </w:rPr>
            </w:pPr>
            <w:r w:rsidRPr="00363C47">
              <w:rPr>
                <w:rFonts w:ascii="Arial" w:hAnsi="Arial" w:cs="Arial"/>
                <w:b/>
              </w:rPr>
              <w:t>Neutral citation</w:t>
            </w:r>
            <w:r w:rsidRPr="00363C47">
              <w:rPr>
                <w:rFonts w:ascii="Arial" w:hAnsi="Arial" w:cs="Arial"/>
                <w:b/>
                <w:sz w:val="24"/>
              </w:rPr>
              <w:t xml:space="preserve">: </w:t>
            </w:r>
            <w:r w:rsidR="00647604" w:rsidRPr="00363C47">
              <w:rPr>
                <w:rFonts w:ascii="Arial" w:hAnsi="Arial" w:cs="Arial"/>
                <w:i/>
                <w:sz w:val="24"/>
              </w:rPr>
              <w:t xml:space="preserve">Sinco Fishing (Pty) Ltd </w:t>
            </w:r>
            <w:r w:rsidR="0009710D" w:rsidRPr="00363C47">
              <w:rPr>
                <w:rFonts w:ascii="Arial" w:hAnsi="Arial" w:cs="Arial"/>
                <w:i/>
                <w:sz w:val="24"/>
              </w:rPr>
              <w:t xml:space="preserve"> </w:t>
            </w:r>
            <w:r w:rsidR="00F72F82" w:rsidRPr="00363C47">
              <w:rPr>
                <w:rFonts w:ascii="Arial" w:hAnsi="Arial" w:cs="Arial"/>
                <w:i/>
                <w:sz w:val="24"/>
              </w:rPr>
              <w:t xml:space="preserve">v </w:t>
            </w:r>
            <w:r w:rsidR="00647604" w:rsidRPr="00363C47">
              <w:rPr>
                <w:rFonts w:ascii="Arial" w:hAnsi="Arial" w:cs="Arial"/>
                <w:i/>
                <w:sz w:val="24"/>
              </w:rPr>
              <w:t>Heinaste Investment Namibia (Pty) Ltd</w:t>
            </w:r>
            <w:r w:rsidR="00026D86" w:rsidRPr="00363C47">
              <w:rPr>
                <w:rFonts w:ascii="Arial" w:hAnsi="Arial" w:cs="Arial"/>
                <w:i/>
                <w:sz w:val="24"/>
              </w:rPr>
              <w:t xml:space="preserve"> </w:t>
            </w:r>
            <w:r w:rsidR="00B4625E" w:rsidRPr="00363C47">
              <w:rPr>
                <w:rFonts w:ascii="Arial" w:hAnsi="Arial" w:cs="Arial"/>
                <w:sz w:val="24"/>
              </w:rPr>
              <w:t>(</w:t>
            </w:r>
            <w:r w:rsidR="00647604" w:rsidRPr="00363C47">
              <w:rPr>
                <w:rFonts w:ascii="Arial" w:hAnsi="Arial" w:cs="Arial"/>
                <w:sz w:val="24"/>
              </w:rPr>
              <w:t>HC-MD-CIV-MOT-GEN-2020/00588</w:t>
            </w:r>
            <w:r w:rsidR="00B4625E" w:rsidRPr="00363C47">
              <w:rPr>
                <w:rFonts w:ascii="Arial" w:hAnsi="Arial" w:cs="Arial"/>
                <w:sz w:val="24"/>
              </w:rPr>
              <w:t>)</w:t>
            </w:r>
            <w:r w:rsidR="00B4625E" w:rsidRPr="00363C47">
              <w:rPr>
                <w:rFonts w:ascii="Arial" w:hAnsi="Arial" w:cs="Arial"/>
                <w:b/>
                <w:sz w:val="24"/>
              </w:rPr>
              <w:t xml:space="preserve"> </w:t>
            </w:r>
            <w:r w:rsidR="00B4625E" w:rsidRPr="00363C47">
              <w:rPr>
                <w:rFonts w:ascii="Arial" w:hAnsi="Arial" w:cs="Arial"/>
                <w:sz w:val="24"/>
              </w:rPr>
              <w:t>[20</w:t>
            </w:r>
            <w:r w:rsidR="0009710D" w:rsidRPr="00363C47">
              <w:rPr>
                <w:rFonts w:ascii="Arial" w:hAnsi="Arial" w:cs="Arial"/>
                <w:sz w:val="24"/>
              </w:rPr>
              <w:t>2</w:t>
            </w:r>
            <w:r w:rsidR="00CB6E64" w:rsidRPr="00363C47">
              <w:rPr>
                <w:rFonts w:ascii="Arial" w:hAnsi="Arial" w:cs="Arial"/>
                <w:sz w:val="24"/>
              </w:rPr>
              <w:t>1</w:t>
            </w:r>
            <w:r w:rsidR="00B4625E" w:rsidRPr="00363C47">
              <w:rPr>
                <w:rFonts w:ascii="Arial" w:hAnsi="Arial" w:cs="Arial"/>
                <w:sz w:val="24"/>
              </w:rPr>
              <w:t xml:space="preserve">] </w:t>
            </w:r>
            <w:r w:rsidRPr="00363C47">
              <w:rPr>
                <w:rFonts w:ascii="Arial" w:hAnsi="Arial" w:cs="Arial"/>
                <w:sz w:val="24"/>
              </w:rPr>
              <w:t xml:space="preserve">NAHCMD </w:t>
            </w:r>
            <w:r w:rsidR="00230378" w:rsidRPr="00363C47">
              <w:rPr>
                <w:rFonts w:ascii="Arial" w:hAnsi="Arial" w:cs="Arial"/>
                <w:sz w:val="24"/>
              </w:rPr>
              <w:t>377</w:t>
            </w:r>
            <w:r w:rsidR="00B4625E" w:rsidRPr="00363C47">
              <w:rPr>
                <w:rFonts w:ascii="Arial" w:hAnsi="Arial" w:cs="Arial"/>
                <w:sz w:val="24"/>
              </w:rPr>
              <w:t xml:space="preserve"> (</w:t>
            </w:r>
            <w:r w:rsidR="00647604" w:rsidRPr="00363C47">
              <w:rPr>
                <w:rFonts w:ascii="Arial" w:hAnsi="Arial" w:cs="Arial"/>
                <w:sz w:val="24"/>
              </w:rPr>
              <w:t>20</w:t>
            </w:r>
            <w:r w:rsidR="00026D86" w:rsidRPr="00363C47">
              <w:rPr>
                <w:rFonts w:ascii="Arial" w:hAnsi="Arial" w:cs="Arial"/>
                <w:sz w:val="24"/>
              </w:rPr>
              <w:t xml:space="preserve"> </w:t>
            </w:r>
            <w:r w:rsidR="00F9795B" w:rsidRPr="00363C47">
              <w:rPr>
                <w:rFonts w:ascii="Arial" w:hAnsi="Arial" w:cs="Arial"/>
                <w:sz w:val="24"/>
              </w:rPr>
              <w:t>August</w:t>
            </w:r>
            <w:r w:rsidR="00F72F82" w:rsidRPr="00363C47">
              <w:rPr>
                <w:rFonts w:ascii="Arial" w:hAnsi="Arial" w:cs="Arial"/>
                <w:sz w:val="24"/>
              </w:rPr>
              <w:t xml:space="preserve"> 20</w:t>
            </w:r>
            <w:r w:rsidR="0009710D" w:rsidRPr="00363C47">
              <w:rPr>
                <w:rFonts w:ascii="Arial" w:hAnsi="Arial" w:cs="Arial"/>
                <w:sz w:val="24"/>
              </w:rPr>
              <w:t>2</w:t>
            </w:r>
            <w:r w:rsidR="00CB6E64" w:rsidRPr="00363C47">
              <w:rPr>
                <w:rFonts w:ascii="Arial" w:hAnsi="Arial" w:cs="Arial"/>
                <w:sz w:val="24"/>
              </w:rPr>
              <w:t>1</w:t>
            </w:r>
            <w:r w:rsidRPr="00363C47">
              <w:rPr>
                <w:rFonts w:ascii="Arial" w:hAnsi="Arial" w:cs="Arial"/>
                <w:sz w:val="24"/>
              </w:rPr>
              <w:t>)</w:t>
            </w:r>
          </w:p>
        </w:tc>
      </w:tr>
      <w:tr w:rsidR="00281FAB" w:rsidRPr="00363C47" w:rsidTr="00EB27A0">
        <w:tc>
          <w:tcPr>
            <w:tcW w:w="9720" w:type="dxa"/>
            <w:gridSpan w:val="3"/>
          </w:tcPr>
          <w:p w:rsidR="00EB27A0" w:rsidRPr="00363C47" w:rsidRDefault="00EB27A0" w:rsidP="00EB27A0">
            <w:pPr>
              <w:spacing w:line="360" w:lineRule="auto"/>
              <w:jc w:val="both"/>
              <w:rPr>
                <w:rFonts w:ascii="Arial" w:hAnsi="Arial" w:cs="Arial"/>
                <w:sz w:val="20"/>
                <w:szCs w:val="20"/>
              </w:rPr>
            </w:pPr>
          </w:p>
          <w:p w:rsidR="00EB27A0" w:rsidRPr="00363C47" w:rsidRDefault="00EB27A0" w:rsidP="00977346">
            <w:pPr>
              <w:spacing w:line="360" w:lineRule="auto"/>
              <w:jc w:val="both"/>
              <w:rPr>
                <w:rFonts w:ascii="Arial" w:hAnsi="Arial" w:cs="Arial"/>
                <w:b/>
                <w:sz w:val="24"/>
                <w:szCs w:val="24"/>
              </w:rPr>
            </w:pPr>
            <w:r w:rsidRPr="00363C47">
              <w:rPr>
                <w:rFonts w:ascii="Arial" w:hAnsi="Arial" w:cs="Arial"/>
                <w:b/>
                <w:sz w:val="24"/>
                <w:szCs w:val="24"/>
              </w:rPr>
              <w:t>IT IS ORDERED THAT:</w:t>
            </w:r>
          </w:p>
          <w:p w:rsidR="008D65E9" w:rsidRPr="00363C47" w:rsidRDefault="008D65E9" w:rsidP="00977346">
            <w:pPr>
              <w:spacing w:line="360" w:lineRule="auto"/>
              <w:jc w:val="both"/>
              <w:rPr>
                <w:rFonts w:ascii="Arial" w:hAnsi="Arial" w:cs="Arial"/>
                <w:sz w:val="24"/>
                <w:szCs w:val="24"/>
              </w:rPr>
            </w:pPr>
          </w:p>
          <w:p w:rsidR="00381A2F" w:rsidRPr="00363C47" w:rsidRDefault="00381A2F" w:rsidP="00381A2F">
            <w:pPr>
              <w:pStyle w:val="ListParagraph"/>
              <w:numPr>
                <w:ilvl w:val="0"/>
                <w:numId w:val="23"/>
              </w:numPr>
              <w:spacing w:line="360" w:lineRule="auto"/>
              <w:ind w:hanging="720"/>
              <w:jc w:val="both"/>
              <w:rPr>
                <w:rFonts w:ascii="Arial" w:hAnsi="Arial" w:cs="Arial"/>
                <w:sz w:val="24"/>
                <w:szCs w:val="24"/>
              </w:rPr>
            </w:pPr>
            <w:r w:rsidRPr="00363C47">
              <w:rPr>
                <w:rFonts w:ascii="Arial" w:hAnsi="Arial" w:cs="Arial"/>
                <w:sz w:val="24"/>
                <w:szCs w:val="24"/>
              </w:rPr>
              <w:t xml:space="preserve">The special plea </w:t>
            </w:r>
            <w:r w:rsidR="00390B8C" w:rsidRPr="00363C47">
              <w:rPr>
                <w:rFonts w:ascii="Arial" w:hAnsi="Arial" w:cs="Arial"/>
                <w:sz w:val="24"/>
                <w:szCs w:val="24"/>
              </w:rPr>
              <w:t xml:space="preserve">of non-joinder </w:t>
            </w:r>
            <w:r w:rsidRPr="00363C47">
              <w:rPr>
                <w:rFonts w:ascii="Arial" w:hAnsi="Arial" w:cs="Arial"/>
                <w:sz w:val="24"/>
                <w:szCs w:val="24"/>
              </w:rPr>
              <w:t>in respect of the PG and Tunacor is upheld with costs, such costs to include the costs of two instructed- and one instructing counsel.</w:t>
            </w:r>
          </w:p>
          <w:p w:rsidR="00381A2F" w:rsidRPr="00363C47" w:rsidRDefault="00381A2F" w:rsidP="00381A2F">
            <w:pPr>
              <w:pStyle w:val="ListParagraph"/>
              <w:spacing w:line="360" w:lineRule="auto"/>
              <w:jc w:val="both"/>
              <w:rPr>
                <w:rFonts w:ascii="Arial" w:hAnsi="Arial" w:cs="Arial"/>
                <w:sz w:val="24"/>
                <w:szCs w:val="24"/>
              </w:rPr>
            </w:pPr>
          </w:p>
          <w:p w:rsidR="00381A2F" w:rsidRPr="00363C47" w:rsidRDefault="00381A2F" w:rsidP="00381A2F">
            <w:pPr>
              <w:pStyle w:val="ListParagraph"/>
              <w:numPr>
                <w:ilvl w:val="0"/>
                <w:numId w:val="23"/>
              </w:numPr>
              <w:spacing w:line="360" w:lineRule="auto"/>
              <w:ind w:hanging="720"/>
              <w:jc w:val="both"/>
              <w:rPr>
                <w:rFonts w:ascii="Arial" w:hAnsi="Arial" w:cs="Arial"/>
                <w:sz w:val="24"/>
                <w:szCs w:val="24"/>
              </w:rPr>
            </w:pPr>
            <w:r w:rsidRPr="00363C47">
              <w:rPr>
                <w:rFonts w:ascii="Arial" w:hAnsi="Arial" w:cs="Arial"/>
                <w:sz w:val="24"/>
                <w:szCs w:val="24"/>
              </w:rPr>
              <w:t>Rule 32(11) of the Rules of Court is not to apply.</w:t>
            </w:r>
          </w:p>
          <w:p w:rsidR="00381A2F" w:rsidRPr="00363C47" w:rsidRDefault="00381A2F" w:rsidP="00381A2F">
            <w:pPr>
              <w:pStyle w:val="ListParagraph"/>
              <w:spacing w:line="360" w:lineRule="auto"/>
              <w:rPr>
                <w:rFonts w:ascii="Arial" w:hAnsi="Arial" w:cs="Arial"/>
                <w:sz w:val="24"/>
                <w:szCs w:val="24"/>
              </w:rPr>
            </w:pPr>
          </w:p>
          <w:p w:rsidR="00381A2F" w:rsidRPr="00363C47" w:rsidRDefault="00DE709B" w:rsidP="00381A2F">
            <w:pPr>
              <w:pStyle w:val="ListParagraph"/>
              <w:numPr>
                <w:ilvl w:val="0"/>
                <w:numId w:val="23"/>
              </w:numPr>
              <w:spacing w:line="360" w:lineRule="auto"/>
              <w:ind w:hanging="700"/>
              <w:jc w:val="both"/>
              <w:rPr>
                <w:rFonts w:ascii="Arial" w:hAnsi="Arial" w:cs="Arial"/>
                <w:sz w:val="24"/>
                <w:szCs w:val="24"/>
              </w:rPr>
            </w:pPr>
            <w:r w:rsidRPr="00363C47">
              <w:rPr>
                <w:rFonts w:ascii="Arial" w:hAnsi="Arial" w:cs="Arial"/>
                <w:sz w:val="24"/>
                <w:szCs w:val="24"/>
              </w:rPr>
              <w:t>The case is postponed to 8</w:t>
            </w:r>
            <w:r w:rsidR="00381A2F" w:rsidRPr="00363C47">
              <w:rPr>
                <w:rFonts w:ascii="Arial" w:hAnsi="Arial" w:cs="Arial"/>
                <w:sz w:val="24"/>
                <w:szCs w:val="24"/>
              </w:rPr>
              <w:t xml:space="preserve"> September 2021 </w:t>
            </w:r>
            <w:r w:rsidR="00230378" w:rsidRPr="00363C47">
              <w:rPr>
                <w:rFonts w:ascii="Arial" w:hAnsi="Arial" w:cs="Arial"/>
                <w:sz w:val="24"/>
                <w:szCs w:val="24"/>
              </w:rPr>
              <w:t xml:space="preserve">at 08h30 </w:t>
            </w:r>
            <w:r w:rsidR="00381A2F" w:rsidRPr="00363C47">
              <w:rPr>
                <w:rFonts w:ascii="Arial" w:hAnsi="Arial" w:cs="Arial"/>
                <w:sz w:val="24"/>
                <w:szCs w:val="24"/>
              </w:rPr>
              <w:t xml:space="preserve">for a Status hearing.         </w:t>
            </w:r>
          </w:p>
          <w:p w:rsidR="00686B3F" w:rsidRPr="00363C47" w:rsidRDefault="00686B3F" w:rsidP="00977346">
            <w:pPr>
              <w:pStyle w:val="ListParagraph"/>
              <w:spacing w:line="360" w:lineRule="auto"/>
              <w:ind w:left="446"/>
              <w:jc w:val="both"/>
              <w:rPr>
                <w:rFonts w:ascii="Arial" w:hAnsi="Arial" w:cs="Arial"/>
                <w:sz w:val="24"/>
                <w:szCs w:val="24"/>
              </w:rPr>
            </w:pPr>
          </w:p>
        </w:tc>
      </w:tr>
      <w:tr w:rsidR="00281FAB" w:rsidRPr="00363C47" w:rsidTr="00EB27A0">
        <w:tc>
          <w:tcPr>
            <w:tcW w:w="9720" w:type="dxa"/>
            <w:gridSpan w:val="3"/>
          </w:tcPr>
          <w:p w:rsidR="00281FAB" w:rsidRPr="00363C47" w:rsidRDefault="008E6759" w:rsidP="00266B3E">
            <w:pPr>
              <w:spacing w:line="360" w:lineRule="auto"/>
              <w:jc w:val="both"/>
              <w:rPr>
                <w:rFonts w:ascii="Arial" w:hAnsi="Arial" w:cs="Arial"/>
                <w:b/>
              </w:rPr>
            </w:pPr>
            <w:r w:rsidRPr="00363C47">
              <w:rPr>
                <w:rFonts w:ascii="Arial" w:hAnsi="Arial" w:cs="Arial"/>
                <w:b/>
              </w:rPr>
              <w:t>Following below are the reasons for the above order:</w:t>
            </w:r>
          </w:p>
        </w:tc>
      </w:tr>
      <w:tr w:rsidR="00281FAB" w:rsidRPr="00363C47" w:rsidTr="00EB27A0">
        <w:tc>
          <w:tcPr>
            <w:tcW w:w="9720" w:type="dxa"/>
            <w:gridSpan w:val="3"/>
          </w:tcPr>
          <w:p w:rsidR="00BB1E6E" w:rsidRPr="00363C47" w:rsidRDefault="00BB1E6E" w:rsidP="00FD38C2">
            <w:pPr>
              <w:spacing w:line="360" w:lineRule="auto"/>
              <w:jc w:val="both"/>
              <w:rPr>
                <w:rFonts w:ascii="Arial" w:hAnsi="Arial" w:cs="Arial"/>
              </w:rPr>
            </w:pPr>
          </w:p>
          <w:p w:rsidR="00166B61" w:rsidRPr="00363C47" w:rsidRDefault="000747A6" w:rsidP="00977346">
            <w:pPr>
              <w:spacing w:line="360" w:lineRule="auto"/>
              <w:jc w:val="both"/>
              <w:rPr>
                <w:rFonts w:ascii="Arial" w:hAnsi="Arial" w:cs="Arial"/>
                <w:sz w:val="24"/>
                <w:szCs w:val="24"/>
                <w:u w:val="single"/>
              </w:rPr>
            </w:pPr>
            <w:r w:rsidRPr="00363C47">
              <w:rPr>
                <w:rFonts w:ascii="Arial" w:hAnsi="Arial" w:cs="Arial"/>
                <w:sz w:val="24"/>
                <w:szCs w:val="24"/>
                <w:u w:val="single"/>
              </w:rPr>
              <w:t>Re Joinder</w:t>
            </w:r>
          </w:p>
          <w:p w:rsidR="000747A6" w:rsidRPr="00363C47" w:rsidRDefault="000747A6" w:rsidP="00977346">
            <w:pPr>
              <w:spacing w:line="360" w:lineRule="auto"/>
              <w:jc w:val="both"/>
              <w:rPr>
                <w:rFonts w:ascii="Arial" w:hAnsi="Arial" w:cs="Arial"/>
                <w:sz w:val="24"/>
                <w:szCs w:val="24"/>
              </w:rPr>
            </w:pPr>
          </w:p>
          <w:p w:rsidR="00977346" w:rsidRPr="00363C47" w:rsidRDefault="00977346" w:rsidP="00977346">
            <w:pPr>
              <w:spacing w:line="360" w:lineRule="auto"/>
              <w:jc w:val="both"/>
              <w:rPr>
                <w:rFonts w:ascii="Arial" w:hAnsi="Arial" w:cs="Arial"/>
                <w:sz w:val="24"/>
                <w:szCs w:val="24"/>
              </w:rPr>
            </w:pPr>
            <w:r w:rsidRPr="00363C47">
              <w:rPr>
                <w:rFonts w:ascii="Arial" w:hAnsi="Arial" w:cs="Arial"/>
                <w:sz w:val="24"/>
                <w:szCs w:val="24"/>
              </w:rPr>
              <w:lastRenderedPageBreak/>
              <w:t>[1]</w:t>
            </w:r>
            <w:r w:rsidRPr="00363C47">
              <w:rPr>
                <w:rFonts w:ascii="Arial" w:hAnsi="Arial" w:cs="Arial"/>
                <w:sz w:val="24"/>
                <w:szCs w:val="24"/>
              </w:rPr>
              <w:tab/>
            </w:r>
            <w:r w:rsidR="00166B61" w:rsidRPr="00363C47">
              <w:rPr>
                <w:rFonts w:ascii="Arial" w:hAnsi="Arial" w:cs="Arial"/>
                <w:sz w:val="24"/>
                <w:szCs w:val="24"/>
              </w:rPr>
              <w:t xml:space="preserve">It is the dispute between the parties relating to the non-joinder of the Prosecutor-General (‘PG’) and Tunacor Fisheries Limited (‘Tunacor’) that requires the </w:t>
            </w:r>
            <w:r w:rsidR="00166B61" w:rsidRPr="00363C47">
              <w:rPr>
                <w:rFonts w:ascii="Arial" w:hAnsi="Arial" w:cs="Arial"/>
                <w:i/>
                <w:sz w:val="24"/>
                <w:szCs w:val="24"/>
              </w:rPr>
              <w:t>in limine</w:t>
            </w:r>
            <w:r w:rsidR="00166B61" w:rsidRPr="00363C47">
              <w:rPr>
                <w:rFonts w:ascii="Arial" w:hAnsi="Arial" w:cs="Arial"/>
                <w:sz w:val="24"/>
                <w:szCs w:val="24"/>
              </w:rPr>
              <w:t xml:space="preserve"> determination by the Court</w:t>
            </w:r>
            <w:r w:rsidR="00DF4C13" w:rsidRPr="00363C47">
              <w:rPr>
                <w:rFonts w:ascii="Arial" w:hAnsi="Arial" w:cs="Arial"/>
                <w:sz w:val="24"/>
                <w:szCs w:val="24"/>
              </w:rPr>
              <w:t xml:space="preserve"> in this instance</w:t>
            </w:r>
            <w:r w:rsidR="00166B61" w:rsidRPr="00363C47">
              <w:rPr>
                <w:rFonts w:ascii="Arial" w:hAnsi="Arial" w:cs="Arial"/>
                <w:sz w:val="24"/>
                <w:szCs w:val="24"/>
              </w:rPr>
              <w:t>.</w:t>
            </w:r>
          </w:p>
          <w:p w:rsidR="00166B61" w:rsidRPr="00363C47" w:rsidRDefault="00166B61" w:rsidP="00977346">
            <w:pPr>
              <w:spacing w:line="360" w:lineRule="auto"/>
              <w:jc w:val="both"/>
              <w:rPr>
                <w:rFonts w:ascii="Arial" w:hAnsi="Arial" w:cs="Arial"/>
                <w:sz w:val="24"/>
                <w:szCs w:val="24"/>
              </w:rPr>
            </w:pPr>
          </w:p>
          <w:p w:rsidR="005C6635" w:rsidRPr="00363C47" w:rsidRDefault="00977346" w:rsidP="00977346">
            <w:pPr>
              <w:spacing w:line="360" w:lineRule="auto"/>
              <w:jc w:val="both"/>
              <w:rPr>
                <w:rFonts w:ascii="Arial" w:hAnsi="Arial" w:cs="Arial"/>
                <w:sz w:val="24"/>
                <w:szCs w:val="24"/>
              </w:rPr>
            </w:pPr>
            <w:r w:rsidRPr="00363C47">
              <w:rPr>
                <w:rFonts w:ascii="Arial" w:hAnsi="Arial" w:cs="Arial"/>
                <w:sz w:val="24"/>
                <w:szCs w:val="24"/>
              </w:rPr>
              <w:t>[2]</w:t>
            </w:r>
            <w:r w:rsidRPr="00363C47">
              <w:rPr>
                <w:rFonts w:ascii="Arial" w:hAnsi="Arial" w:cs="Arial"/>
                <w:sz w:val="24"/>
                <w:szCs w:val="24"/>
              </w:rPr>
              <w:tab/>
            </w:r>
            <w:r w:rsidR="00A21ABF" w:rsidRPr="00363C47">
              <w:rPr>
                <w:rFonts w:ascii="Arial" w:hAnsi="Arial" w:cs="Arial"/>
                <w:sz w:val="24"/>
                <w:szCs w:val="24"/>
              </w:rPr>
              <w:t>This dispute arises in circumstances w</w:t>
            </w:r>
            <w:r w:rsidR="00D81552" w:rsidRPr="00363C47">
              <w:rPr>
                <w:rFonts w:ascii="Arial" w:hAnsi="Arial" w:cs="Arial"/>
                <w:sz w:val="24"/>
                <w:szCs w:val="24"/>
              </w:rPr>
              <w:t>here, ex facie the notice of motion, the applicants</w:t>
            </w:r>
            <w:r w:rsidR="00BE30BD" w:rsidRPr="00363C47">
              <w:rPr>
                <w:rFonts w:ascii="Arial" w:hAnsi="Arial" w:cs="Arial"/>
                <w:sz w:val="24"/>
                <w:szCs w:val="24"/>
              </w:rPr>
              <w:t xml:space="preserve"> – the minority shareholders in the first respondent -</w:t>
            </w:r>
            <w:r w:rsidR="00D81552" w:rsidRPr="00363C47">
              <w:rPr>
                <w:rFonts w:ascii="Arial" w:hAnsi="Arial" w:cs="Arial"/>
                <w:sz w:val="24"/>
                <w:szCs w:val="24"/>
              </w:rPr>
              <w:t xml:space="preserve"> seek</w:t>
            </w:r>
            <w:r w:rsidR="00A21ABF" w:rsidRPr="00363C47">
              <w:rPr>
                <w:rFonts w:ascii="Arial" w:hAnsi="Arial" w:cs="Arial"/>
                <w:sz w:val="24"/>
                <w:szCs w:val="24"/>
              </w:rPr>
              <w:t xml:space="preserve"> </w:t>
            </w:r>
            <w:r w:rsidR="005C6635" w:rsidRPr="00363C47">
              <w:rPr>
                <w:rFonts w:ascii="Arial" w:hAnsi="Arial" w:cs="Arial"/>
                <w:sz w:val="24"/>
                <w:szCs w:val="24"/>
              </w:rPr>
              <w:t>declarator</w:t>
            </w:r>
            <w:r w:rsidR="00D81552" w:rsidRPr="00363C47">
              <w:rPr>
                <w:rFonts w:ascii="Arial" w:hAnsi="Arial" w:cs="Arial"/>
                <w:sz w:val="24"/>
                <w:szCs w:val="24"/>
              </w:rPr>
              <w:t>y relief</w:t>
            </w:r>
            <w:r w:rsidR="00A21ABF" w:rsidRPr="00363C47">
              <w:rPr>
                <w:rFonts w:ascii="Arial" w:hAnsi="Arial" w:cs="Arial"/>
                <w:sz w:val="24"/>
                <w:szCs w:val="24"/>
              </w:rPr>
              <w:t xml:space="preserve"> </w:t>
            </w:r>
            <w:r w:rsidR="005C6635" w:rsidRPr="00363C47">
              <w:rPr>
                <w:rFonts w:ascii="Arial" w:hAnsi="Arial" w:cs="Arial"/>
                <w:sz w:val="24"/>
                <w:szCs w:val="24"/>
              </w:rPr>
              <w:t>relating to the composition of the first respondents board of directors together with certain alternative relief, also in terms of section 260 of the Companies Act No 28 of 2004. It so appears that the relief sought</w:t>
            </w:r>
            <w:r w:rsidR="00D81552" w:rsidRPr="00363C47">
              <w:rPr>
                <w:rFonts w:ascii="Arial" w:hAnsi="Arial" w:cs="Arial"/>
                <w:sz w:val="24"/>
                <w:szCs w:val="24"/>
              </w:rPr>
              <w:t xml:space="preserve"> e</w:t>
            </w:r>
            <w:r w:rsidR="008B2A46" w:rsidRPr="00363C47">
              <w:rPr>
                <w:rFonts w:ascii="Arial" w:hAnsi="Arial" w:cs="Arial"/>
                <w:sz w:val="24"/>
                <w:szCs w:val="24"/>
              </w:rPr>
              <w:t>ssentially relates to the constitu</w:t>
            </w:r>
            <w:r w:rsidR="00D81552" w:rsidRPr="00363C47">
              <w:rPr>
                <w:rFonts w:ascii="Arial" w:hAnsi="Arial" w:cs="Arial"/>
                <w:sz w:val="24"/>
                <w:szCs w:val="24"/>
              </w:rPr>
              <w:t>tion of the first respondent’s board of directors.</w:t>
            </w:r>
          </w:p>
          <w:p w:rsidR="005C6635" w:rsidRPr="00363C47" w:rsidRDefault="005C6635" w:rsidP="00977346">
            <w:pPr>
              <w:spacing w:line="360" w:lineRule="auto"/>
              <w:jc w:val="both"/>
              <w:rPr>
                <w:rFonts w:ascii="Arial" w:hAnsi="Arial" w:cs="Arial"/>
                <w:sz w:val="24"/>
                <w:szCs w:val="24"/>
              </w:rPr>
            </w:pPr>
          </w:p>
          <w:p w:rsidR="00A21ABF" w:rsidRPr="00363C47" w:rsidRDefault="00977346" w:rsidP="00977346">
            <w:pPr>
              <w:spacing w:line="360" w:lineRule="auto"/>
              <w:jc w:val="both"/>
              <w:rPr>
                <w:rFonts w:ascii="Arial" w:hAnsi="Arial" w:cs="Arial"/>
                <w:sz w:val="24"/>
                <w:szCs w:val="24"/>
              </w:rPr>
            </w:pPr>
            <w:r w:rsidRPr="00363C47">
              <w:rPr>
                <w:rFonts w:ascii="Arial" w:hAnsi="Arial" w:cs="Arial"/>
                <w:sz w:val="24"/>
                <w:szCs w:val="24"/>
              </w:rPr>
              <w:t>[</w:t>
            </w:r>
            <w:r w:rsidR="00B933D1" w:rsidRPr="00363C47">
              <w:rPr>
                <w:rFonts w:ascii="Arial" w:hAnsi="Arial" w:cs="Arial"/>
                <w:sz w:val="24"/>
                <w:szCs w:val="24"/>
              </w:rPr>
              <w:t>3</w:t>
            </w:r>
            <w:r w:rsidRPr="00363C47">
              <w:rPr>
                <w:rFonts w:ascii="Arial" w:hAnsi="Arial" w:cs="Arial"/>
                <w:sz w:val="24"/>
                <w:szCs w:val="24"/>
              </w:rPr>
              <w:t>]</w:t>
            </w:r>
            <w:r w:rsidRPr="00363C47">
              <w:rPr>
                <w:rFonts w:ascii="Arial" w:hAnsi="Arial" w:cs="Arial"/>
                <w:sz w:val="24"/>
                <w:szCs w:val="24"/>
              </w:rPr>
              <w:tab/>
            </w:r>
            <w:r w:rsidR="00D81552" w:rsidRPr="00363C47">
              <w:rPr>
                <w:rFonts w:ascii="Arial" w:hAnsi="Arial" w:cs="Arial"/>
                <w:sz w:val="24"/>
                <w:szCs w:val="24"/>
              </w:rPr>
              <w:t>The applicants’ oppo</w:t>
            </w:r>
            <w:r w:rsidR="00F84167" w:rsidRPr="00363C47">
              <w:rPr>
                <w:rFonts w:ascii="Arial" w:hAnsi="Arial" w:cs="Arial"/>
                <w:sz w:val="24"/>
                <w:szCs w:val="24"/>
              </w:rPr>
              <w:t xml:space="preserve">sition to the joinder of </w:t>
            </w:r>
            <w:r w:rsidR="00BE30BD" w:rsidRPr="00363C47">
              <w:rPr>
                <w:rFonts w:ascii="Arial" w:hAnsi="Arial" w:cs="Arial"/>
                <w:sz w:val="24"/>
                <w:szCs w:val="24"/>
              </w:rPr>
              <w:t xml:space="preserve">outside </w:t>
            </w:r>
            <w:r w:rsidR="00F84167" w:rsidRPr="00363C47">
              <w:rPr>
                <w:rFonts w:ascii="Arial" w:hAnsi="Arial" w:cs="Arial"/>
                <w:sz w:val="24"/>
                <w:szCs w:val="24"/>
              </w:rPr>
              <w:t>third</w:t>
            </w:r>
            <w:r w:rsidR="00D81552" w:rsidRPr="00363C47">
              <w:rPr>
                <w:rFonts w:ascii="Arial" w:hAnsi="Arial" w:cs="Arial"/>
                <w:sz w:val="24"/>
                <w:szCs w:val="24"/>
              </w:rPr>
              <w:t xml:space="preserve"> parties, ie. the PG and Tunacor, parties</w:t>
            </w:r>
            <w:r w:rsidR="00DE518C" w:rsidRPr="00363C47">
              <w:rPr>
                <w:rFonts w:ascii="Arial" w:hAnsi="Arial" w:cs="Arial"/>
                <w:sz w:val="24"/>
                <w:szCs w:val="24"/>
              </w:rPr>
              <w:t>,</w:t>
            </w:r>
            <w:r w:rsidR="00D81552" w:rsidRPr="00363C47">
              <w:rPr>
                <w:rFonts w:ascii="Arial" w:hAnsi="Arial" w:cs="Arial"/>
                <w:sz w:val="24"/>
                <w:szCs w:val="24"/>
              </w:rPr>
              <w:t xml:space="preserve"> that have no role to play in the realms of the first respondent’s internal corporate governance, thus, at first glance, seems to have veracity</w:t>
            </w:r>
            <w:r w:rsidR="00DE518C" w:rsidRPr="00363C47">
              <w:rPr>
                <w:rFonts w:ascii="Arial" w:hAnsi="Arial" w:cs="Arial"/>
                <w:sz w:val="24"/>
                <w:szCs w:val="24"/>
              </w:rPr>
              <w:t>.</w:t>
            </w:r>
          </w:p>
          <w:p w:rsidR="00D81552" w:rsidRPr="00363C47" w:rsidRDefault="00D81552" w:rsidP="00977346">
            <w:pPr>
              <w:spacing w:line="360" w:lineRule="auto"/>
              <w:jc w:val="both"/>
              <w:rPr>
                <w:rFonts w:ascii="Arial" w:hAnsi="Arial" w:cs="Arial"/>
                <w:sz w:val="24"/>
                <w:szCs w:val="24"/>
              </w:rPr>
            </w:pPr>
          </w:p>
          <w:p w:rsidR="00781270" w:rsidRPr="00363C47" w:rsidRDefault="008D2C0D" w:rsidP="008D2C0D">
            <w:pPr>
              <w:spacing w:line="360" w:lineRule="auto"/>
              <w:jc w:val="both"/>
              <w:rPr>
                <w:rFonts w:ascii="Arial" w:hAnsi="Arial" w:cs="Arial"/>
                <w:sz w:val="24"/>
                <w:szCs w:val="24"/>
              </w:rPr>
            </w:pPr>
            <w:r w:rsidRPr="00363C47">
              <w:rPr>
                <w:rFonts w:ascii="Arial" w:hAnsi="Arial" w:cs="Arial"/>
                <w:sz w:val="24"/>
                <w:szCs w:val="24"/>
              </w:rPr>
              <w:t>[4]</w:t>
            </w:r>
            <w:r w:rsidRPr="00363C47">
              <w:rPr>
                <w:rFonts w:ascii="Arial" w:hAnsi="Arial" w:cs="Arial"/>
                <w:sz w:val="24"/>
                <w:szCs w:val="24"/>
              </w:rPr>
              <w:tab/>
            </w:r>
            <w:r w:rsidR="00BE30BD" w:rsidRPr="00363C47">
              <w:rPr>
                <w:rFonts w:ascii="Arial" w:hAnsi="Arial" w:cs="Arial"/>
                <w:sz w:val="24"/>
                <w:szCs w:val="24"/>
              </w:rPr>
              <w:t>Important for the resolution of the matter is however the background against which the relief that the first and second respondents seek has to be viewed and where it is firstly</w:t>
            </w:r>
            <w:r w:rsidR="00781270" w:rsidRPr="00363C47">
              <w:rPr>
                <w:rFonts w:ascii="Arial" w:hAnsi="Arial" w:cs="Arial"/>
                <w:sz w:val="24"/>
                <w:szCs w:val="24"/>
              </w:rPr>
              <w:t xml:space="preserve"> to be kept in mind that the first respondent’s principal asset was the motor fishing vessel Heinaste (“MFV Heinaste”) which was purchased by the first respondent from Heinaste Investments Limited, a company registered in Cyprus, for USD 23,314,889.00 </w:t>
            </w:r>
            <w:r w:rsidR="00781270" w:rsidRPr="00363C47">
              <w:rPr>
                <w:rFonts w:ascii="Arial" w:hAnsi="Arial" w:cs="Arial"/>
                <w:sz w:val="24"/>
                <w:szCs w:val="24"/>
                <w:vertAlign w:val="superscript"/>
              </w:rPr>
              <w:footnoteReference w:id="1"/>
            </w:r>
            <w:r w:rsidR="00781270" w:rsidRPr="00363C47">
              <w:rPr>
                <w:rFonts w:ascii="Arial" w:hAnsi="Arial" w:cs="Arial"/>
                <w:sz w:val="24"/>
                <w:szCs w:val="24"/>
              </w:rPr>
              <w:t xml:space="preserve"> and where, secondly, it is </w:t>
            </w:r>
            <w:r w:rsidR="008B2A46" w:rsidRPr="00363C47">
              <w:rPr>
                <w:rFonts w:ascii="Arial" w:hAnsi="Arial" w:cs="Arial"/>
                <w:sz w:val="24"/>
                <w:szCs w:val="24"/>
              </w:rPr>
              <w:t>important to note that t</w:t>
            </w:r>
            <w:r w:rsidR="00781270" w:rsidRPr="00363C47">
              <w:rPr>
                <w:rFonts w:ascii="Arial" w:hAnsi="Arial" w:cs="Arial"/>
                <w:sz w:val="24"/>
                <w:szCs w:val="24"/>
              </w:rPr>
              <w:t>he “MFV Heinaste” was attached by the Prosecutor General under the Prevention of Organised Crime Act 29 of 2004 (POCA)</w:t>
            </w:r>
            <w:r w:rsidR="00DE709B" w:rsidRPr="00363C47">
              <w:rPr>
                <w:rFonts w:ascii="Arial" w:hAnsi="Arial" w:cs="Arial"/>
                <w:sz w:val="24"/>
                <w:szCs w:val="24"/>
              </w:rPr>
              <w:t>, then released by agreement with the PG and then sold on to Tunacor</w:t>
            </w:r>
            <w:r w:rsidR="00781270" w:rsidRPr="00363C47">
              <w:rPr>
                <w:rFonts w:ascii="Arial" w:hAnsi="Arial" w:cs="Arial"/>
                <w:sz w:val="24"/>
                <w:szCs w:val="24"/>
              </w:rPr>
              <w:t xml:space="preserve">. </w:t>
            </w:r>
          </w:p>
          <w:p w:rsidR="00781270" w:rsidRPr="00363C47" w:rsidRDefault="00781270" w:rsidP="008D2C0D">
            <w:pPr>
              <w:spacing w:line="360" w:lineRule="auto"/>
              <w:rPr>
                <w:rFonts w:ascii="Arial" w:hAnsi="Arial" w:cs="Arial"/>
              </w:rPr>
            </w:pPr>
          </w:p>
          <w:p w:rsidR="001A2DDF" w:rsidRPr="00363C47" w:rsidRDefault="008D2C0D" w:rsidP="008D2C0D">
            <w:pPr>
              <w:spacing w:line="360" w:lineRule="auto"/>
              <w:jc w:val="both"/>
              <w:rPr>
                <w:rFonts w:ascii="Arial" w:hAnsi="Arial" w:cs="Arial"/>
                <w:sz w:val="24"/>
                <w:szCs w:val="24"/>
              </w:rPr>
            </w:pPr>
            <w:r w:rsidRPr="00363C47">
              <w:rPr>
                <w:rFonts w:ascii="Arial" w:hAnsi="Arial" w:cs="Arial"/>
                <w:sz w:val="24"/>
                <w:szCs w:val="24"/>
              </w:rPr>
              <w:t>[5]</w:t>
            </w:r>
            <w:r w:rsidRPr="00363C47">
              <w:rPr>
                <w:rFonts w:ascii="Arial" w:hAnsi="Arial" w:cs="Arial"/>
                <w:sz w:val="24"/>
                <w:szCs w:val="24"/>
              </w:rPr>
              <w:tab/>
            </w:r>
            <w:r w:rsidR="00781270" w:rsidRPr="00363C47">
              <w:rPr>
                <w:rFonts w:ascii="Arial" w:hAnsi="Arial" w:cs="Arial"/>
                <w:sz w:val="24"/>
                <w:szCs w:val="24"/>
              </w:rPr>
              <w:t>What is of further relevance according to counsel for the respondents</w:t>
            </w:r>
            <w:r w:rsidR="001A2DDF" w:rsidRPr="00363C47">
              <w:rPr>
                <w:rFonts w:ascii="Arial" w:hAnsi="Arial" w:cs="Arial"/>
                <w:sz w:val="24"/>
                <w:szCs w:val="24"/>
              </w:rPr>
              <w:t xml:space="preserve"> is the applicants’ case, which was summed up as follows :</w:t>
            </w:r>
          </w:p>
          <w:p w:rsidR="00555995" w:rsidRPr="00363C47" w:rsidRDefault="00555995" w:rsidP="008D2C0D">
            <w:pPr>
              <w:spacing w:line="360" w:lineRule="auto"/>
              <w:jc w:val="both"/>
              <w:rPr>
                <w:rFonts w:ascii="Arial" w:hAnsi="Arial" w:cs="Arial"/>
                <w:sz w:val="24"/>
                <w:szCs w:val="24"/>
              </w:rPr>
            </w:pPr>
          </w:p>
          <w:p w:rsidR="001A2DDF" w:rsidRPr="00363C47" w:rsidRDefault="00555995" w:rsidP="008D2C0D">
            <w:pPr>
              <w:pStyle w:val="ListParagraph"/>
              <w:numPr>
                <w:ilvl w:val="0"/>
                <w:numId w:val="19"/>
              </w:numPr>
              <w:spacing w:line="360" w:lineRule="auto"/>
              <w:ind w:left="20" w:firstLine="0"/>
              <w:jc w:val="both"/>
              <w:rPr>
                <w:rFonts w:ascii="Arial" w:hAnsi="Arial" w:cs="Arial"/>
              </w:rPr>
            </w:pPr>
            <w:r w:rsidRPr="00363C47">
              <w:rPr>
                <w:rFonts w:ascii="Arial" w:hAnsi="Arial" w:cs="Arial"/>
              </w:rPr>
              <w:t>‘</w:t>
            </w:r>
            <w:r w:rsidR="00781270" w:rsidRPr="00363C47">
              <w:rPr>
                <w:rFonts w:ascii="Arial" w:hAnsi="Arial" w:cs="Arial"/>
              </w:rPr>
              <w:t>In September 2020, Arnason and Julliousson (the directors sought to be suspended) called a general shareholders meeting to discuss the attachment.</w:t>
            </w:r>
            <w:r w:rsidR="00781270" w:rsidRPr="00363C47">
              <w:rPr>
                <w:rFonts w:ascii="Arial" w:hAnsi="Arial" w:cs="Arial"/>
                <w:vertAlign w:val="superscript"/>
              </w:rPr>
              <w:footnoteReference w:id="2"/>
            </w:r>
          </w:p>
          <w:p w:rsidR="008D2C0D" w:rsidRPr="00363C47" w:rsidRDefault="008D2C0D" w:rsidP="008D2C0D">
            <w:pPr>
              <w:pStyle w:val="ListParagraph"/>
              <w:spacing w:line="360" w:lineRule="auto"/>
              <w:ind w:left="20"/>
              <w:jc w:val="both"/>
              <w:rPr>
                <w:rFonts w:ascii="Arial" w:hAnsi="Arial" w:cs="Arial"/>
              </w:rPr>
            </w:pPr>
          </w:p>
          <w:p w:rsidR="00781270" w:rsidRPr="00363C47" w:rsidRDefault="00781270" w:rsidP="008D2C0D">
            <w:pPr>
              <w:pStyle w:val="ListParagraph"/>
              <w:numPr>
                <w:ilvl w:val="0"/>
                <w:numId w:val="19"/>
              </w:numPr>
              <w:spacing w:after="254" w:line="360" w:lineRule="auto"/>
              <w:ind w:left="20" w:firstLine="0"/>
              <w:jc w:val="both"/>
              <w:rPr>
                <w:rFonts w:ascii="Arial" w:hAnsi="Arial" w:cs="Arial"/>
              </w:rPr>
            </w:pPr>
            <w:r w:rsidRPr="00363C47">
              <w:rPr>
                <w:rFonts w:ascii="Arial" w:hAnsi="Arial" w:cs="Arial"/>
              </w:rPr>
              <w:t xml:space="preserve"> The directors presented a memor</w:t>
            </w:r>
            <w:r w:rsidR="001A2DDF" w:rsidRPr="00363C47">
              <w:rPr>
                <w:rFonts w:ascii="Arial" w:hAnsi="Arial" w:cs="Arial"/>
              </w:rPr>
              <w:t>andum for the sale of the “MFV Heinaste”</w:t>
            </w:r>
            <w:r w:rsidRPr="00363C47">
              <w:rPr>
                <w:rFonts w:ascii="Arial" w:hAnsi="Arial" w:cs="Arial"/>
              </w:rPr>
              <w:t xml:space="preserve"> “</w:t>
            </w:r>
            <w:r w:rsidRPr="00363C47">
              <w:rPr>
                <w:rFonts w:ascii="Arial" w:hAnsi="Arial" w:cs="Arial"/>
                <w:i/>
              </w:rPr>
              <w:t>with the co-operation of the Prosecutor General.</w:t>
            </w:r>
            <w:r w:rsidRPr="00363C47">
              <w:rPr>
                <w:rFonts w:ascii="Arial" w:hAnsi="Arial" w:cs="Arial"/>
              </w:rPr>
              <w:t>”</w:t>
            </w:r>
            <w:r w:rsidRPr="00363C47">
              <w:rPr>
                <w:rFonts w:ascii="Arial" w:hAnsi="Arial" w:cs="Arial"/>
                <w:vertAlign w:val="superscript"/>
              </w:rPr>
              <w:footnoteReference w:id="3"/>
            </w:r>
            <w:r w:rsidRPr="00363C47">
              <w:rPr>
                <w:rFonts w:ascii="Arial" w:hAnsi="Arial" w:cs="Arial"/>
              </w:rPr>
              <w:t xml:space="preserve"> </w:t>
            </w:r>
          </w:p>
          <w:p w:rsidR="008D2C0D" w:rsidRPr="00363C47" w:rsidRDefault="008D2C0D" w:rsidP="008D2C0D">
            <w:pPr>
              <w:pStyle w:val="ListParagraph"/>
              <w:spacing w:after="254" w:line="360" w:lineRule="auto"/>
              <w:ind w:left="20"/>
              <w:jc w:val="both"/>
              <w:rPr>
                <w:rFonts w:ascii="Arial" w:hAnsi="Arial" w:cs="Arial"/>
              </w:rPr>
            </w:pPr>
          </w:p>
          <w:p w:rsidR="001A2DDF" w:rsidRPr="00363C47" w:rsidRDefault="00781270" w:rsidP="008D2C0D">
            <w:pPr>
              <w:pStyle w:val="ListParagraph"/>
              <w:numPr>
                <w:ilvl w:val="0"/>
                <w:numId w:val="19"/>
              </w:numPr>
              <w:spacing w:after="254" w:line="360" w:lineRule="auto"/>
              <w:ind w:left="20" w:firstLine="0"/>
              <w:jc w:val="both"/>
              <w:rPr>
                <w:rFonts w:ascii="Arial" w:hAnsi="Arial" w:cs="Arial"/>
              </w:rPr>
            </w:pPr>
            <w:r w:rsidRPr="00363C47">
              <w:rPr>
                <w:rFonts w:ascii="Arial" w:hAnsi="Arial" w:cs="Arial"/>
              </w:rPr>
              <w:t>The applicants disputed - at the meeting - that the first respondent’s Board was “</w:t>
            </w:r>
            <w:r w:rsidRPr="00363C47">
              <w:rPr>
                <w:rFonts w:ascii="Arial" w:hAnsi="Arial" w:cs="Arial"/>
                <w:i/>
              </w:rPr>
              <w:t>properly constituted as a result of which the meeting could not be properly called.</w:t>
            </w:r>
            <w:r w:rsidRPr="00363C47">
              <w:rPr>
                <w:rFonts w:ascii="Arial" w:hAnsi="Arial" w:cs="Arial"/>
              </w:rPr>
              <w:t>”</w:t>
            </w:r>
          </w:p>
          <w:p w:rsidR="008D2C0D" w:rsidRPr="00363C47" w:rsidRDefault="008D2C0D" w:rsidP="008D2C0D">
            <w:pPr>
              <w:pStyle w:val="ListParagraph"/>
              <w:spacing w:after="254" w:line="360" w:lineRule="auto"/>
              <w:ind w:left="20"/>
              <w:jc w:val="both"/>
              <w:rPr>
                <w:rFonts w:ascii="Arial" w:hAnsi="Arial" w:cs="Arial"/>
              </w:rPr>
            </w:pPr>
          </w:p>
          <w:p w:rsidR="001A2DDF" w:rsidRPr="00363C47" w:rsidRDefault="00781270" w:rsidP="008D2C0D">
            <w:pPr>
              <w:pStyle w:val="ListParagraph"/>
              <w:numPr>
                <w:ilvl w:val="0"/>
                <w:numId w:val="19"/>
              </w:numPr>
              <w:spacing w:after="254" w:line="360" w:lineRule="auto"/>
              <w:ind w:left="20" w:firstLine="0"/>
              <w:jc w:val="both"/>
              <w:rPr>
                <w:rFonts w:ascii="Arial" w:hAnsi="Arial" w:cs="Arial"/>
              </w:rPr>
            </w:pPr>
            <w:r w:rsidRPr="00363C47">
              <w:rPr>
                <w:rFonts w:ascii="Arial" w:hAnsi="Arial" w:cs="Arial"/>
              </w:rPr>
              <w:t xml:space="preserve"> Significantly, the applicants state</w:t>
            </w:r>
            <w:r w:rsidR="001A2DDF" w:rsidRPr="00363C47">
              <w:rPr>
                <w:rFonts w:ascii="Arial" w:hAnsi="Arial" w:cs="Arial"/>
              </w:rPr>
              <w:t xml:space="preserve"> in their founding affidavit </w:t>
            </w:r>
            <w:r w:rsidRPr="00363C47">
              <w:rPr>
                <w:rFonts w:ascii="Arial" w:hAnsi="Arial" w:cs="Arial"/>
              </w:rPr>
              <w:t>that the “</w:t>
            </w:r>
            <w:r w:rsidR="001A2DDF" w:rsidRPr="00363C47">
              <w:rPr>
                <w:rFonts w:ascii="Arial" w:hAnsi="Arial" w:cs="Arial"/>
              </w:rPr>
              <w:t>key partnership asset, the “MFV Heinaste”, w</w:t>
            </w:r>
            <w:r w:rsidRPr="00363C47">
              <w:rPr>
                <w:rFonts w:ascii="Arial" w:hAnsi="Arial" w:cs="Arial"/>
              </w:rPr>
              <w:t xml:space="preserve">as </w:t>
            </w:r>
            <w:r w:rsidRPr="00363C47">
              <w:rPr>
                <w:rFonts w:ascii="Arial" w:hAnsi="Arial" w:cs="Arial"/>
                <w:i/>
              </w:rPr>
              <w:t>purportedly been sold</w:t>
            </w:r>
            <w:r w:rsidRPr="00363C47">
              <w:rPr>
                <w:rFonts w:ascii="Arial" w:hAnsi="Arial" w:cs="Arial"/>
              </w:rPr>
              <w:t xml:space="preserve">, and </w:t>
            </w:r>
            <w:r w:rsidRPr="00363C47">
              <w:rPr>
                <w:rFonts w:ascii="Arial" w:hAnsi="Arial" w:cs="Arial"/>
                <w:i/>
              </w:rPr>
              <w:t>the terms of the attachment of the asset and its proceeds are being purportedly determined by persons</w:t>
            </w:r>
            <w:r w:rsidRPr="00363C47">
              <w:rPr>
                <w:rFonts w:ascii="Arial" w:hAnsi="Arial" w:cs="Arial"/>
              </w:rPr>
              <w:t xml:space="preserve"> who are in law not the true </w:t>
            </w:r>
            <w:r w:rsidRPr="00363C47">
              <w:rPr>
                <w:rFonts w:ascii="Arial" w:hAnsi="Arial" w:cs="Arial"/>
                <w:i/>
              </w:rPr>
              <w:t>Board of the company</w:t>
            </w:r>
            <w:r w:rsidRPr="00363C47">
              <w:rPr>
                <w:rFonts w:ascii="Arial" w:hAnsi="Arial" w:cs="Arial"/>
              </w:rPr>
              <w:t>. T</w:t>
            </w:r>
            <w:r w:rsidR="001A2DDF" w:rsidRPr="00363C47">
              <w:rPr>
                <w:rFonts w:ascii="Arial" w:hAnsi="Arial" w:cs="Arial"/>
              </w:rPr>
              <w:t>hus, the unlawful conduct</w:t>
            </w:r>
            <w:r w:rsidRPr="00363C47">
              <w:rPr>
                <w:rFonts w:ascii="Arial" w:hAnsi="Arial" w:cs="Arial"/>
              </w:rPr>
              <w:t xml:space="preserve"> described continues to be compounded by further unlawful conduct.”</w:t>
            </w:r>
            <w:r w:rsidRPr="00363C47">
              <w:rPr>
                <w:rFonts w:ascii="Arial" w:hAnsi="Arial" w:cs="Arial"/>
                <w:vertAlign w:val="superscript"/>
              </w:rPr>
              <w:footnoteReference w:id="4"/>
            </w:r>
          </w:p>
          <w:p w:rsidR="008D2C0D" w:rsidRPr="00363C47" w:rsidRDefault="008D2C0D" w:rsidP="008D2C0D">
            <w:pPr>
              <w:pStyle w:val="ListParagraph"/>
              <w:spacing w:after="254" w:line="360" w:lineRule="auto"/>
              <w:ind w:left="20"/>
              <w:jc w:val="both"/>
              <w:rPr>
                <w:rFonts w:ascii="Arial" w:hAnsi="Arial" w:cs="Arial"/>
              </w:rPr>
            </w:pPr>
          </w:p>
          <w:p w:rsidR="00781270" w:rsidRPr="00363C47" w:rsidRDefault="001A2DDF" w:rsidP="008D2C0D">
            <w:pPr>
              <w:pStyle w:val="ListParagraph"/>
              <w:numPr>
                <w:ilvl w:val="0"/>
                <w:numId w:val="19"/>
              </w:numPr>
              <w:spacing w:line="360" w:lineRule="auto"/>
              <w:ind w:left="20" w:firstLine="0"/>
              <w:jc w:val="both"/>
              <w:rPr>
                <w:rFonts w:ascii="Arial" w:hAnsi="Arial" w:cs="Arial"/>
              </w:rPr>
            </w:pPr>
            <w:r w:rsidRPr="00363C47">
              <w:rPr>
                <w:rFonts w:ascii="Arial" w:hAnsi="Arial" w:cs="Arial"/>
              </w:rPr>
              <w:t>The “MFV Heinaste”</w:t>
            </w:r>
            <w:r w:rsidR="00781270" w:rsidRPr="00363C47">
              <w:rPr>
                <w:rFonts w:ascii="Arial" w:hAnsi="Arial" w:cs="Arial"/>
              </w:rPr>
              <w:t xml:space="preserve"> was</w:t>
            </w:r>
            <w:r w:rsidRPr="00363C47">
              <w:rPr>
                <w:rFonts w:ascii="Arial" w:hAnsi="Arial" w:cs="Arial"/>
              </w:rPr>
              <w:t xml:space="preserve"> then</w:t>
            </w:r>
            <w:r w:rsidR="00781270" w:rsidRPr="00363C47">
              <w:rPr>
                <w:rFonts w:ascii="Arial" w:hAnsi="Arial" w:cs="Arial"/>
              </w:rPr>
              <w:t xml:space="preserve"> sold to Tunacor. But the app</w:t>
            </w:r>
            <w:r w:rsidRPr="00363C47">
              <w:rPr>
                <w:rFonts w:ascii="Arial" w:hAnsi="Arial" w:cs="Arial"/>
              </w:rPr>
              <w:t>licants complain that the “MFV Heinaste”</w:t>
            </w:r>
            <w:r w:rsidR="00781270" w:rsidRPr="00363C47">
              <w:rPr>
                <w:rFonts w:ascii="Arial" w:hAnsi="Arial" w:cs="Arial"/>
              </w:rPr>
              <w:t xml:space="preserve"> has been “</w:t>
            </w:r>
            <w:r w:rsidR="00781270" w:rsidRPr="00363C47">
              <w:rPr>
                <w:rFonts w:ascii="Arial" w:hAnsi="Arial" w:cs="Arial"/>
                <w:i/>
              </w:rPr>
              <w:t>significantly undervalued</w:t>
            </w:r>
            <w:r w:rsidR="00781270" w:rsidRPr="00363C47">
              <w:rPr>
                <w:rFonts w:ascii="Arial" w:hAnsi="Arial" w:cs="Arial"/>
              </w:rPr>
              <w:t>.”</w:t>
            </w:r>
            <w:r w:rsidR="00781270" w:rsidRPr="00363C47">
              <w:rPr>
                <w:rFonts w:ascii="Arial" w:hAnsi="Arial" w:cs="Arial"/>
                <w:vertAlign w:val="superscript"/>
              </w:rPr>
              <w:footnoteReference w:id="5"/>
            </w:r>
            <w:r w:rsidR="008D2C0D" w:rsidRPr="00363C47">
              <w:rPr>
                <w:rFonts w:ascii="Arial" w:hAnsi="Arial" w:cs="Arial"/>
              </w:rPr>
              <w:t xml:space="preserve"> ’</w:t>
            </w:r>
          </w:p>
          <w:p w:rsidR="00555995" w:rsidRPr="00363C47" w:rsidRDefault="00555995" w:rsidP="008D2C0D">
            <w:pPr>
              <w:spacing w:line="360" w:lineRule="auto"/>
              <w:jc w:val="both"/>
              <w:rPr>
                <w:rFonts w:ascii="Arial" w:hAnsi="Arial" w:cs="Arial"/>
                <w:sz w:val="24"/>
                <w:szCs w:val="24"/>
              </w:rPr>
            </w:pPr>
          </w:p>
          <w:p w:rsidR="00555995" w:rsidRPr="00363C47" w:rsidRDefault="008D2C0D" w:rsidP="008D2C0D">
            <w:pPr>
              <w:spacing w:line="360" w:lineRule="auto"/>
              <w:jc w:val="both"/>
              <w:rPr>
                <w:rFonts w:ascii="Arial" w:hAnsi="Arial" w:cs="Arial"/>
                <w:sz w:val="24"/>
                <w:szCs w:val="24"/>
              </w:rPr>
            </w:pPr>
            <w:r w:rsidRPr="00363C47">
              <w:rPr>
                <w:rFonts w:ascii="Arial" w:hAnsi="Arial" w:cs="Arial"/>
                <w:sz w:val="24"/>
                <w:szCs w:val="24"/>
              </w:rPr>
              <w:t>[6]</w:t>
            </w:r>
            <w:r w:rsidRPr="00363C47">
              <w:rPr>
                <w:rFonts w:ascii="Arial" w:hAnsi="Arial" w:cs="Arial"/>
                <w:sz w:val="24"/>
                <w:szCs w:val="24"/>
              </w:rPr>
              <w:tab/>
            </w:r>
            <w:r w:rsidR="001A2DDF" w:rsidRPr="00363C47">
              <w:rPr>
                <w:rFonts w:ascii="Arial" w:hAnsi="Arial" w:cs="Arial"/>
                <w:sz w:val="24"/>
                <w:szCs w:val="24"/>
              </w:rPr>
              <w:t>It was thus submitted that it was plain that</w:t>
            </w:r>
            <w:r w:rsidR="00781270" w:rsidRPr="00363C47">
              <w:rPr>
                <w:rFonts w:ascii="Arial" w:hAnsi="Arial" w:cs="Arial"/>
                <w:sz w:val="24"/>
                <w:szCs w:val="24"/>
              </w:rPr>
              <w:t xml:space="preserve"> the </w:t>
            </w:r>
            <w:r w:rsidR="00555995" w:rsidRPr="00363C47">
              <w:rPr>
                <w:rFonts w:ascii="Arial" w:hAnsi="Arial" w:cs="Arial"/>
                <w:sz w:val="24"/>
                <w:szCs w:val="24"/>
              </w:rPr>
              <w:t>applicant</w:t>
            </w:r>
            <w:r w:rsidR="00781270" w:rsidRPr="00363C47">
              <w:rPr>
                <w:rFonts w:ascii="Arial" w:hAnsi="Arial" w:cs="Arial"/>
                <w:sz w:val="24"/>
                <w:szCs w:val="24"/>
              </w:rPr>
              <w:t>s</w:t>
            </w:r>
            <w:r w:rsidR="0058228E" w:rsidRPr="00363C47">
              <w:rPr>
                <w:rFonts w:ascii="Arial" w:hAnsi="Arial" w:cs="Arial"/>
                <w:sz w:val="24"/>
                <w:szCs w:val="24"/>
              </w:rPr>
              <w:t>’</w:t>
            </w:r>
            <w:r w:rsidR="00781270" w:rsidRPr="00363C47">
              <w:rPr>
                <w:rFonts w:ascii="Arial" w:hAnsi="Arial" w:cs="Arial"/>
                <w:sz w:val="24"/>
                <w:szCs w:val="24"/>
              </w:rPr>
              <w:t xml:space="preserve"> dispute the validity of the ag</w:t>
            </w:r>
            <w:r w:rsidR="001A2DDF" w:rsidRPr="00363C47">
              <w:rPr>
                <w:rFonts w:ascii="Arial" w:hAnsi="Arial" w:cs="Arial"/>
                <w:sz w:val="24"/>
                <w:szCs w:val="24"/>
              </w:rPr>
              <w:t>reement for the sale of the “MFV Heinaste”</w:t>
            </w:r>
            <w:r w:rsidR="00781270" w:rsidRPr="00363C47">
              <w:rPr>
                <w:rFonts w:ascii="Arial" w:hAnsi="Arial" w:cs="Arial"/>
                <w:sz w:val="24"/>
                <w:szCs w:val="24"/>
              </w:rPr>
              <w:t xml:space="preserve"> to Tunacor</w:t>
            </w:r>
            <w:r w:rsidR="001A2DDF" w:rsidRPr="00363C47">
              <w:rPr>
                <w:rFonts w:ascii="Arial" w:hAnsi="Arial" w:cs="Arial"/>
                <w:sz w:val="24"/>
                <w:szCs w:val="24"/>
              </w:rPr>
              <w:t xml:space="preserve"> and that also </w:t>
            </w:r>
            <w:r w:rsidR="00781270" w:rsidRPr="00363C47">
              <w:rPr>
                <w:rFonts w:ascii="Arial" w:hAnsi="Arial" w:cs="Arial"/>
                <w:sz w:val="24"/>
                <w:szCs w:val="24"/>
              </w:rPr>
              <w:t>the validity of the arrangement entere</w:t>
            </w:r>
            <w:r w:rsidR="001A2DDF" w:rsidRPr="00363C47">
              <w:rPr>
                <w:rFonts w:ascii="Arial" w:hAnsi="Arial" w:cs="Arial"/>
                <w:sz w:val="24"/>
                <w:szCs w:val="24"/>
              </w:rPr>
              <w:t>d between the PG and</w:t>
            </w:r>
            <w:r w:rsidR="00781270" w:rsidRPr="00363C47">
              <w:rPr>
                <w:rFonts w:ascii="Arial" w:hAnsi="Arial" w:cs="Arial"/>
                <w:sz w:val="24"/>
                <w:szCs w:val="24"/>
              </w:rPr>
              <w:t xml:space="preserve"> the directors sought to be “</w:t>
            </w:r>
            <w:r w:rsidR="00781270" w:rsidRPr="00363C47">
              <w:rPr>
                <w:rFonts w:ascii="Arial" w:hAnsi="Arial" w:cs="Arial"/>
                <w:i/>
                <w:sz w:val="24"/>
                <w:szCs w:val="24"/>
              </w:rPr>
              <w:t>suspended</w:t>
            </w:r>
            <w:r w:rsidR="00781270" w:rsidRPr="00363C47">
              <w:rPr>
                <w:rFonts w:ascii="Arial" w:hAnsi="Arial" w:cs="Arial"/>
                <w:sz w:val="24"/>
                <w:szCs w:val="24"/>
              </w:rPr>
              <w:t xml:space="preserve">” by Court </w:t>
            </w:r>
            <w:r w:rsidR="001A2DDF" w:rsidRPr="00363C47">
              <w:rPr>
                <w:rFonts w:ascii="Arial" w:hAnsi="Arial" w:cs="Arial"/>
                <w:sz w:val="24"/>
                <w:szCs w:val="24"/>
              </w:rPr>
              <w:t>order was under attack</w:t>
            </w:r>
            <w:r w:rsidR="00AD1BE2" w:rsidRPr="00363C47">
              <w:rPr>
                <w:rFonts w:ascii="Arial" w:hAnsi="Arial" w:cs="Arial"/>
                <w:sz w:val="24"/>
                <w:szCs w:val="24"/>
              </w:rPr>
              <w:t>,</w:t>
            </w:r>
            <w:r w:rsidR="001A2DDF" w:rsidRPr="00363C47">
              <w:rPr>
                <w:rFonts w:ascii="Arial" w:hAnsi="Arial" w:cs="Arial"/>
                <w:sz w:val="24"/>
                <w:szCs w:val="24"/>
              </w:rPr>
              <w:t xml:space="preserve"> </w:t>
            </w:r>
            <w:r w:rsidR="0058228E" w:rsidRPr="00363C47">
              <w:rPr>
                <w:rFonts w:ascii="Arial" w:hAnsi="Arial" w:cs="Arial"/>
                <w:sz w:val="24"/>
                <w:szCs w:val="24"/>
              </w:rPr>
              <w:t xml:space="preserve">and that this was </w:t>
            </w:r>
            <w:r w:rsidR="001A2DDF" w:rsidRPr="00363C47">
              <w:rPr>
                <w:rFonts w:ascii="Arial" w:hAnsi="Arial" w:cs="Arial"/>
                <w:sz w:val="24"/>
                <w:szCs w:val="24"/>
              </w:rPr>
              <w:t>the real purpose for which</w:t>
            </w:r>
            <w:r w:rsidR="00DE709B" w:rsidRPr="00363C47">
              <w:rPr>
                <w:rFonts w:ascii="Arial" w:hAnsi="Arial" w:cs="Arial"/>
                <w:sz w:val="24"/>
                <w:szCs w:val="24"/>
              </w:rPr>
              <w:t xml:space="preserve"> the main application</w:t>
            </w:r>
            <w:r w:rsidR="00AD1BE2" w:rsidRPr="00363C47">
              <w:rPr>
                <w:rFonts w:ascii="Arial" w:hAnsi="Arial" w:cs="Arial"/>
                <w:sz w:val="24"/>
                <w:szCs w:val="24"/>
              </w:rPr>
              <w:t xml:space="preserve"> was brought.</w:t>
            </w:r>
            <w:r w:rsidR="00781270" w:rsidRPr="00363C47">
              <w:rPr>
                <w:rFonts w:ascii="Arial" w:hAnsi="Arial" w:cs="Arial"/>
                <w:sz w:val="24"/>
                <w:szCs w:val="24"/>
              </w:rPr>
              <w:t xml:space="preserve"> </w:t>
            </w:r>
          </w:p>
          <w:p w:rsidR="00781270" w:rsidRPr="00363C47" w:rsidRDefault="00781270" w:rsidP="008D2C0D">
            <w:pPr>
              <w:spacing w:line="360" w:lineRule="auto"/>
              <w:jc w:val="both"/>
              <w:rPr>
                <w:rFonts w:ascii="Arial" w:hAnsi="Arial" w:cs="Arial"/>
                <w:sz w:val="24"/>
                <w:szCs w:val="24"/>
              </w:rPr>
            </w:pPr>
            <w:r w:rsidRPr="00363C47">
              <w:rPr>
                <w:rFonts w:ascii="Arial" w:hAnsi="Arial" w:cs="Arial"/>
                <w:sz w:val="24"/>
                <w:szCs w:val="24"/>
              </w:rPr>
              <w:t xml:space="preserve"> </w:t>
            </w:r>
          </w:p>
          <w:p w:rsidR="00781270" w:rsidRPr="00363C47" w:rsidRDefault="008D2C0D" w:rsidP="008D2C0D">
            <w:pPr>
              <w:spacing w:line="360" w:lineRule="auto"/>
              <w:jc w:val="both"/>
              <w:rPr>
                <w:rFonts w:ascii="Arial" w:hAnsi="Arial" w:cs="Arial"/>
                <w:sz w:val="24"/>
                <w:szCs w:val="24"/>
              </w:rPr>
            </w:pPr>
            <w:r w:rsidRPr="00363C47">
              <w:rPr>
                <w:rFonts w:ascii="Arial" w:hAnsi="Arial" w:cs="Arial"/>
                <w:sz w:val="24"/>
                <w:szCs w:val="24"/>
              </w:rPr>
              <w:t>[7]</w:t>
            </w:r>
            <w:r w:rsidRPr="00363C47">
              <w:rPr>
                <w:rFonts w:ascii="Arial" w:hAnsi="Arial" w:cs="Arial"/>
                <w:sz w:val="24"/>
                <w:szCs w:val="24"/>
              </w:rPr>
              <w:tab/>
            </w:r>
            <w:r w:rsidR="00AD1BE2" w:rsidRPr="00363C47">
              <w:rPr>
                <w:rFonts w:ascii="Arial" w:hAnsi="Arial" w:cs="Arial"/>
                <w:sz w:val="24"/>
                <w:szCs w:val="24"/>
              </w:rPr>
              <w:t>It was pointed out that it was apparent from the</w:t>
            </w:r>
            <w:r w:rsidR="00781270" w:rsidRPr="00363C47">
              <w:rPr>
                <w:rFonts w:ascii="Arial" w:hAnsi="Arial" w:cs="Arial"/>
                <w:sz w:val="24"/>
                <w:szCs w:val="24"/>
              </w:rPr>
              <w:t xml:space="preserve"> terms of the notice of motion, </w:t>
            </w:r>
            <w:r w:rsidR="00AD1BE2" w:rsidRPr="00363C47">
              <w:rPr>
                <w:rFonts w:ascii="Arial" w:hAnsi="Arial" w:cs="Arial"/>
                <w:sz w:val="24"/>
                <w:szCs w:val="24"/>
              </w:rPr>
              <w:t xml:space="preserve">that </w:t>
            </w:r>
            <w:r w:rsidR="00781270" w:rsidRPr="00363C47">
              <w:rPr>
                <w:rFonts w:ascii="Arial" w:hAnsi="Arial" w:cs="Arial"/>
                <w:sz w:val="24"/>
                <w:szCs w:val="24"/>
              </w:rPr>
              <w:t xml:space="preserve">the applicants </w:t>
            </w:r>
            <w:r w:rsidR="00AD1BE2" w:rsidRPr="00363C47">
              <w:rPr>
                <w:rFonts w:ascii="Arial" w:hAnsi="Arial" w:cs="Arial"/>
                <w:sz w:val="24"/>
                <w:szCs w:val="24"/>
              </w:rPr>
              <w:t xml:space="preserve">were </w:t>
            </w:r>
            <w:r w:rsidR="00781270" w:rsidRPr="00363C47">
              <w:rPr>
                <w:rFonts w:ascii="Arial" w:hAnsi="Arial" w:cs="Arial"/>
                <w:sz w:val="24"/>
                <w:szCs w:val="24"/>
              </w:rPr>
              <w:t>seek</w:t>
            </w:r>
            <w:r w:rsidR="00AD1BE2" w:rsidRPr="00363C47">
              <w:rPr>
                <w:rFonts w:ascii="Arial" w:hAnsi="Arial" w:cs="Arial"/>
                <w:sz w:val="24"/>
                <w:szCs w:val="24"/>
              </w:rPr>
              <w:t>ing</w:t>
            </w:r>
            <w:r w:rsidR="00781270" w:rsidRPr="00363C47">
              <w:rPr>
                <w:rFonts w:ascii="Arial" w:hAnsi="Arial" w:cs="Arial"/>
                <w:sz w:val="24"/>
                <w:szCs w:val="24"/>
              </w:rPr>
              <w:t xml:space="preserve"> relief wh</w:t>
            </w:r>
            <w:r w:rsidR="00AD1BE2" w:rsidRPr="00363C47">
              <w:rPr>
                <w:rFonts w:ascii="Arial" w:hAnsi="Arial" w:cs="Arial"/>
                <w:sz w:val="24"/>
                <w:szCs w:val="24"/>
              </w:rPr>
              <w:t>ich would have a significant impact on</w:t>
            </w:r>
            <w:r w:rsidR="00781270" w:rsidRPr="00363C47">
              <w:rPr>
                <w:rFonts w:ascii="Arial" w:hAnsi="Arial" w:cs="Arial"/>
                <w:sz w:val="24"/>
                <w:szCs w:val="24"/>
              </w:rPr>
              <w:t xml:space="preserve"> the</w:t>
            </w:r>
            <w:r w:rsidR="00AD1BE2" w:rsidRPr="00363C47">
              <w:rPr>
                <w:rFonts w:ascii="Arial" w:hAnsi="Arial" w:cs="Arial"/>
                <w:sz w:val="24"/>
                <w:szCs w:val="24"/>
              </w:rPr>
              <w:t xml:space="preserve"> agreement of sale of the “MFV Heinaste”</w:t>
            </w:r>
            <w:r w:rsidR="00781270" w:rsidRPr="00363C47">
              <w:rPr>
                <w:rFonts w:ascii="Arial" w:hAnsi="Arial" w:cs="Arial"/>
                <w:sz w:val="24"/>
                <w:szCs w:val="24"/>
              </w:rPr>
              <w:t xml:space="preserve"> between the first responde</w:t>
            </w:r>
            <w:r w:rsidR="00AD1BE2" w:rsidRPr="00363C47">
              <w:rPr>
                <w:rFonts w:ascii="Arial" w:hAnsi="Arial" w:cs="Arial"/>
                <w:sz w:val="24"/>
                <w:szCs w:val="24"/>
              </w:rPr>
              <w:t>nt and Tunacor. Similarly the sought relief would also have</w:t>
            </w:r>
            <w:r w:rsidR="00781270" w:rsidRPr="00363C47">
              <w:rPr>
                <w:rFonts w:ascii="Arial" w:hAnsi="Arial" w:cs="Arial"/>
                <w:sz w:val="24"/>
                <w:szCs w:val="24"/>
              </w:rPr>
              <w:t xml:space="preserve"> an impact on the </w:t>
            </w:r>
            <w:r w:rsidR="00DE709B" w:rsidRPr="00363C47">
              <w:rPr>
                <w:rFonts w:ascii="Arial" w:hAnsi="Arial" w:cs="Arial"/>
                <w:sz w:val="24"/>
                <w:szCs w:val="24"/>
              </w:rPr>
              <w:t>agreement between the PG</w:t>
            </w:r>
            <w:r w:rsidR="00781270" w:rsidRPr="00363C47">
              <w:rPr>
                <w:rFonts w:ascii="Arial" w:hAnsi="Arial" w:cs="Arial"/>
                <w:sz w:val="24"/>
                <w:szCs w:val="24"/>
              </w:rPr>
              <w:t xml:space="preserve"> and the first respondent</w:t>
            </w:r>
            <w:r w:rsidR="00AD1BE2" w:rsidRPr="00363C47">
              <w:rPr>
                <w:rFonts w:ascii="Arial" w:hAnsi="Arial" w:cs="Arial"/>
                <w:sz w:val="24"/>
                <w:szCs w:val="24"/>
              </w:rPr>
              <w:t xml:space="preserve"> which had been concluded</w:t>
            </w:r>
            <w:r w:rsidR="00781270" w:rsidRPr="00363C47">
              <w:rPr>
                <w:rFonts w:ascii="Arial" w:hAnsi="Arial" w:cs="Arial"/>
                <w:sz w:val="24"/>
                <w:szCs w:val="24"/>
              </w:rPr>
              <w:t xml:space="preserve"> to secure the releas</w:t>
            </w:r>
            <w:r w:rsidR="00AD1BE2" w:rsidRPr="00363C47">
              <w:rPr>
                <w:rFonts w:ascii="Arial" w:hAnsi="Arial" w:cs="Arial"/>
                <w:sz w:val="24"/>
                <w:szCs w:val="24"/>
              </w:rPr>
              <w:t>e of the “MFV Heinaste”</w:t>
            </w:r>
            <w:r w:rsidR="00781270" w:rsidRPr="00363C47">
              <w:rPr>
                <w:rFonts w:ascii="Arial" w:hAnsi="Arial" w:cs="Arial"/>
                <w:sz w:val="24"/>
                <w:szCs w:val="24"/>
              </w:rPr>
              <w:t xml:space="preserve"> from attac</w:t>
            </w:r>
            <w:r w:rsidR="00AD1BE2" w:rsidRPr="00363C47">
              <w:rPr>
                <w:rFonts w:ascii="Arial" w:hAnsi="Arial" w:cs="Arial"/>
                <w:sz w:val="24"/>
                <w:szCs w:val="24"/>
              </w:rPr>
              <w:t>hment in terms of P</w:t>
            </w:r>
            <w:r w:rsidR="0002701D" w:rsidRPr="00363C47">
              <w:rPr>
                <w:rFonts w:ascii="Arial" w:hAnsi="Arial" w:cs="Arial"/>
                <w:sz w:val="24"/>
                <w:szCs w:val="24"/>
              </w:rPr>
              <w:t>OCA</w:t>
            </w:r>
            <w:r w:rsidR="00781270" w:rsidRPr="00363C47">
              <w:rPr>
                <w:rFonts w:ascii="Arial" w:hAnsi="Arial" w:cs="Arial"/>
                <w:sz w:val="24"/>
                <w:szCs w:val="24"/>
              </w:rPr>
              <w:t xml:space="preserve">. </w:t>
            </w:r>
          </w:p>
          <w:p w:rsidR="00977346" w:rsidRPr="00363C47" w:rsidRDefault="00977346" w:rsidP="008D2C0D">
            <w:pPr>
              <w:pStyle w:val="ListParagraph"/>
              <w:spacing w:line="360" w:lineRule="auto"/>
              <w:ind w:left="0"/>
              <w:jc w:val="both"/>
              <w:rPr>
                <w:rFonts w:ascii="Arial" w:hAnsi="Arial" w:cs="Arial"/>
                <w:sz w:val="24"/>
                <w:szCs w:val="24"/>
              </w:rPr>
            </w:pPr>
          </w:p>
          <w:p w:rsidR="00555995" w:rsidRPr="00363C47" w:rsidRDefault="00977346" w:rsidP="008D2C0D">
            <w:pPr>
              <w:pStyle w:val="ListParagraph"/>
              <w:spacing w:line="360" w:lineRule="auto"/>
              <w:ind w:left="0"/>
              <w:jc w:val="both"/>
              <w:rPr>
                <w:rFonts w:ascii="Arial" w:hAnsi="Arial" w:cs="Arial"/>
                <w:sz w:val="24"/>
                <w:szCs w:val="24"/>
              </w:rPr>
            </w:pPr>
            <w:r w:rsidRPr="00363C47">
              <w:rPr>
                <w:rFonts w:ascii="Arial" w:hAnsi="Arial" w:cs="Arial"/>
                <w:sz w:val="24"/>
                <w:szCs w:val="24"/>
              </w:rPr>
              <w:t>[</w:t>
            </w:r>
            <w:r w:rsidR="008D2C0D" w:rsidRPr="00363C47">
              <w:rPr>
                <w:rFonts w:ascii="Arial" w:hAnsi="Arial" w:cs="Arial"/>
                <w:sz w:val="24"/>
                <w:szCs w:val="24"/>
              </w:rPr>
              <w:t>8</w:t>
            </w:r>
            <w:r w:rsidRPr="00363C47">
              <w:rPr>
                <w:rFonts w:ascii="Arial" w:hAnsi="Arial" w:cs="Arial"/>
                <w:sz w:val="24"/>
                <w:szCs w:val="24"/>
              </w:rPr>
              <w:t>]</w:t>
            </w:r>
            <w:r w:rsidRPr="00363C47">
              <w:rPr>
                <w:rFonts w:ascii="Arial" w:hAnsi="Arial" w:cs="Arial"/>
                <w:sz w:val="24"/>
                <w:szCs w:val="24"/>
              </w:rPr>
              <w:tab/>
            </w:r>
            <w:r w:rsidR="00555995" w:rsidRPr="00363C47">
              <w:rPr>
                <w:rFonts w:ascii="Arial" w:hAnsi="Arial" w:cs="Arial"/>
                <w:sz w:val="24"/>
                <w:szCs w:val="24"/>
              </w:rPr>
              <w:t>Counsel for first and second respondent</w:t>
            </w:r>
            <w:r w:rsidR="0058228E" w:rsidRPr="00363C47">
              <w:rPr>
                <w:rFonts w:ascii="Arial" w:hAnsi="Arial" w:cs="Arial"/>
                <w:sz w:val="24"/>
                <w:szCs w:val="24"/>
              </w:rPr>
              <w:t>s</w:t>
            </w:r>
            <w:r w:rsidR="00555995" w:rsidRPr="00363C47">
              <w:rPr>
                <w:rFonts w:ascii="Arial" w:hAnsi="Arial" w:cs="Arial"/>
                <w:sz w:val="24"/>
                <w:szCs w:val="24"/>
              </w:rPr>
              <w:t xml:space="preserve"> then posed the following </w:t>
            </w:r>
            <w:r w:rsidR="002C13C6" w:rsidRPr="00363C47">
              <w:rPr>
                <w:rFonts w:ascii="Arial" w:hAnsi="Arial" w:cs="Arial"/>
                <w:sz w:val="24"/>
                <w:szCs w:val="24"/>
              </w:rPr>
              <w:t>rhetorical</w:t>
            </w:r>
            <w:r w:rsidR="00555995" w:rsidRPr="00363C47">
              <w:rPr>
                <w:rFonts w:ascii="Arial" w:hAnsi="Arial" w:cs="Arial"/>
                <w:sz w:val="24"/>
                <w:szCs w:val="24"/>
              </w:rPr>
              <w:t xml:space="preserve"> question</w:t>
            </w:r>
            <w:r w:rsidR="00DE709B" w:rsidRPr="00363C47">
              <w:rPr>
                <w:rFonts w:ascii="Arial" w:hAnsi="Arial" w:cs="Arial"/>
                <w:sz w:val="24"/>
                <w:szCs w:val="24"/>
              </w:rPr>
              <w:t xml:space="preserve"> in respect of the PG</w:t>
            </w:r>
            <w:r w:rsidR="00555995" w:rsidRPr="00363C47">
              <w:rPr>
                <w:rFonts w:ascii="Arial" w:hAnsi="Arial" w:cs="Arial"/>
                <w:sz w:val="24"/>
                <w:szCs w:val="24"/>
              </w:rPr>
              <w:t xml:space="preserve"> against this backdrop:</w:t>
            </w:r>
          </w:p>
          <w:p w:rsidR="00555995" w:rsidRPr="00363C47" w:rsidRDefault="00555995" w:rsidP="008D2C0D">
            <w:pPr>
              <w:pStyle w:val="ListParagraph"/>
              <w:spacing w:line="360" w:lineRule="auto"/>
              <w:ind w:left="0"/>
              <w:jc w:val="both"/>
              <w:rPr>
                <w:rFonts w:ascii="Arial" w:hAnsi="Arial" w:cs="Arial"/>
              </w:rPr>
            </w:pPr>
          </w:p>
          <w:p w:rsidR="00555995" w:rsidRPr="00363C47" w:rsidRDefault="002C13C6" w:rsidP="008D2C0D">
            <w:pPr>
              <w:pStyle w:val="ListParagraph"/>
              <w:spacing w:line="360" w:lineRule="auto"/>
              <w:ind w:left="0"/>
              <w:jc w:val="both"/>
              <w:rPr>
                <w:rFonts w:ascii="Arial" w:hAnsi="Arial" w:cs="Arial"/>
                <w:sz w:val="24"/>
                <w:szCs w:val="24"/>
              </w:rPr>
            </w:pPr>
            <w:r w:rsidRPr="00363C47">
              <w:rPr>
                <w:rFonts w:ascii="Arial" w:hAnsi="Arial" w:cs="Arial"/>
                <w:sz w:val="24"/>
                <w:szCs w:val="24"/>
              </w:rPr>
              <w:tab/>
            </w:r>
            <w:r w:rsidRPr="00363C47">
              <w:rPr>
                <w:rFonts w:ascii="Arial" w:hAnsi="Arial" w:cs="Arial"/>
              </w:rPr>
              <w:t xml:space="preserve"> </w:t>
            </w:r>
            <w:r w:rsidR="00555995" w:rsidRPr="00363C47">
              <w:rPr>
                <w:rFonts w:ascii="Arial" w:hAnsi="Arial" w:cs="Arial"/>
              </w:rPr>
              <w:t xml:space="preserve">‘How can it ever be contended, we rhetorically but respectfully ask? that the PG does not have a substantial interest in the outcome of the relief sought when the circumstances are these; firstly, the PG enters into an agreement with persons whom she clearly perceives to be representatives of the first respondent; secondly, the agreement concerns an arrangement in respect of the vessel in terms of the provisions  of POCA ; thirdly , the applicants then , and only after the agreement with the PG is implemented, come along and ask for relief which - if granted - </w:t>
            </w:r>
            <w:r w:rsidR="00555995" w:rsidRPr="00363C47">
              <w:rPr>
                <w:rFonts w:ascii="Arial" w:hAnsi="Arial" w:cs="Arial"/>
              </w:rPr>
              <w:lastRenderedPageBreak/>
              <w:t xml:space="preserve">will mean that the representatives of the first respondent – or at least those who the PG thought  were representatives of the first respondent - never had authority to enter into the POCA agreement with the PG;  fourthly , the reason -so the applicants say- why they had no authority to enter into the agreement with the PG is because they were not directors at all.  What then would be the predictable outcome of the non- joinder plea? Of course it should succeed, we respectfully submit.’ </w:t>
            </w:r>
          </w:p>
          <w:p w:rsidR="00555995" w:rsidRPr="00363C47" w:rsidRDefault="00555995" w:rsidP="008D2C0D">
            <w:pPr>
              <w:pStyle w:val="ListParagraph"/>
              <w:spacing w:line="360" w:lineRule="auto"/>
              <w:ind w:left="0"/>
              <w:jc w:val="both"/>
              <w:rPr>
                <w:rFonts w:ascii="Arial" w:hAnsi="Arial" w:cs="Arial"/>
                <w:sz w:val="24"/>
                <w:szCs w:val="24"/>
              </w:rPr>
            </w:pPr>
          </w:p>
          <w:p w:rsidR="00977346" w:rsidRPr="00363C47" w:rsidRDefault="00977346" w:rsidP="008D2C0D">
            <w:pPr>
              <w:spacing w:line="360" w:lineRule="auto"/>
              <w:jc w:val="both"/>
              <w:rPr>
                <w:rFonts w:ascii="Arial" w:hAnsi="Arial" w:cs="Arial"/>
                <w:sz w:val="24"/>
                <w:szCs w:val="24"/>
              </w:rPr>
            </w:pPr>
            <w:r w:rsidRPr="00363C47">
              <w:rPr>
                <w:rFonts w:ascii="Arial" w:hAnsi="Arial" w:cs="Arial"/>
                <w:sz w:val="24"/>
                <w:szCs w:val="24"/>
              </w:rPr>
              <w:t>[</w:t>
            </w:r>
            <w:r w:rsidR="002C13C6" w:rsidRPr="00363C47">
              <w:rPr>
                <w:rFonts w:ascii="Arial" w:hAnsi="Arial" w:cs="Arial"/>
                <w:sz w:val="24"/>
                <w:szCs w:val="24"/>
              </w:rPr>
              <w:t>9</w:t>
            </w:r>
            <w:r w:rsidRPr="00363C47">
              <w:rPr>
                <w:rFonts w:ascii="Arial" w:hAnsi="Arial" w:cs="Arial"/>
                <w:sz w:val="24"/>
                <w:szCs w:val="24"/>
              </w:rPr>
              <w:t>]</w:t>
            </w:r>
            <w:r w:rsidRPr="00363C47">
              <w:rPr>
                <w:rFonts w:ascii="Arial" w:hAnsi="Arial" w:cs="Arial"/>
                <w:sz w:val="24"/>
                <w:szCs w:val="24"/>
              </w:rPr>
              <w:tab/>
            </w:r>
            <w:r w:rsidR="0069208A" w:rsidRPr="00363C47">
              <w:rPr>
                <w:rFonts w:ascii="Arial" w:hAnsi="Arial" w:cs="Arial"/>
                <w:sz w:val="24"/>
                <w:szCs w:val="24"/>
              </w:rPr>
              <w:t>The counter-argument mustered</w:t>
            </w:r>
            <w:r w:rsidR="0058228E" w:rsidRPr="00363C47">
              <w:rPr>
                <w:rFonts w:ascii="Arial" w:hAnsi="Arial" w:cs="Arial"/>
                <w:sz w:val="24"/>
                <w:szCs w:val="24"/>
              </w:rPr>
              <w:t xml:space="preserve"> on behalf of the applicants pointed</w:t>
            </w:r>
            <w:r w:rsidR="0069208A" w:rsidRPr="00363C47">
              <w:rPr>
                <w:rFonts w:ascii="Arial" w:hAnsi="Arial" w:cs="Arial"/>
                <w:sz w:val="24"/>
                <w:szCs w:val="24"/>
              </w:rPr>
              <w:t xml:space="preserve"> out that no factual basis was placed before the court to the effect that Tunacor was a necessary party</w:t>
            </w:r>
            <w:r w:rsidR="00DE709B" w:rsidRPr="00363C47">
              <w:rPr>
                <w:rFonts w:ascii="Arial" w:hAnsi="Arial" w:cs="Arial"/>
                <w:sz w:val="24"/>
                <w:szCs w:val="24"/>
              </w:rPr>
              <w:t xml:space="preserve"> to this lis –</w:t>
            </w:r>
            <w:r w:rsidR="0069208A" w:rsidRPr="00363C47">
              <w:rPr>
                <w:rFonts w:ascii="Arial" w:hAnsi="Arial" w:cs="Arial"/>
                <w:sz w:val="24"/>
                <w:szCs w:val="24"/>
              </w:rPr>
              <w:t xml:space="preserve"> and</w:t>
            </w:r>
            <w:r w:rsidR="00DE709B" w:rsidRPr="00363C47">
              <w:rPr>
                <w:rFonts w:ascii="Arial" w:hAnsi="Arial" w:cs="Arial"/>
                <w:sz w:val="24"/>
                <w:szCs w:val="24"/>
              </w:rPr>
              <w:t xml:space="preserve"> -</w:t>
            </w:r>
            <w:r w:rsidR="0069208A" w:rsidRPr="00363C47">
              <w:rPr>
                <w:rFonts w:ascii="Arial" w:hAnsi="Arial" w:cs="Arial"/>
                <w:sz w:val="24"/>
                <w:szCs w:val="24"/>
              </w:rPr>
              <w:t xml:space="preserve"> after summing up the respondents’ argument</w:t>
            </w:r>
            <w:r w:rsidR="00DE709B" w:rsidRPr="00363C47">
              <w:rPr>
                <w:rFonts w:ascii="Arial" w:hAnsi="Arial" w:cs="Arial"/>
                <w:sz w:val="24"/>
                <w:szCs w:val="24"/>
              </w:rPr>
              <w:t xml:space="preserve"> -</w:t>
            </w:r>
            <w:r w:rsidR="0069208A" w:rsidRPr="00363C47">
              <w:rPr>
                <w:rFonts w:ascii="Arial" w:hAnsi="Arial" w:cs="Arial"/>
                <w:sz w:val="24"/>
                <w:szCs w:val="24"/>
              </w:rPr>
              <w:t xml:space="preserve"> it was submitted that :</w:t>
            </w:r>
          </w:p>
          <w:p w:rsidR="0069208A" w:rsidRPr="00363C47" w:rsidRDefault="0069208A" w:rsidP="008D2C0D">
            <w:pPr>
              <w:spacing w:line="360" w:lineRule="auto"/>
              <w:jc w:val="both"/>
              <w:rPr>
                <w:rFonts w:ascii="Arial" w:hAnsi="Arial" w:cs="Arial"/>
                <w:sz w:val="24"/>
                <w:szCs w:val="24"/>
              </w:rPr>
            </w:pPr>
          </w:p>
          <w:p w:rsidR="000747A6" w:rsidRPr="00363C47" w:rsidRDefault="004B25F6" w:rsidP="008D2C0D">
            <w:pPr>
              <w:spacing w:line="360" w:lineRule="auto"/>
              <w:jc w:val="both"/>
              <w:rPr>
                <w:rFonts w:ascii="Arial" w:hAnsi="Arial" w:cs="Arial"/>
              </w:rPr>
            </w:pPr>
            <w:r w:rsidRPr="00363C47">
              <w:rPr>
                <w:rFonts w:ascii="Arial" w:hAnsi="Arial" w:cs="Arial"/>
              </w:rPr>
              <w:t xml:space="preserve">         </w:t>
            </w:r>
            <w:r w:rsidR="002C13C6" w:rsidRPr="00363C47">
              <w:rPr>
                <w:rFonts w:ascii="Arial" w:hAnsi="Arial" w:cs="Arial"/>
              </w:rPr>
              <w:t>‘</w:t>
            </w:r>
            <w:r w:rsidR="0069208A" w:rsidRPr="00363C47">
              <w:rPr>
                <w:rFonts w:ascii="Arial" w:hAnsi="Arial" w:cs="Arial"/>
              </w:rPr>
              <w:t xml:space="preserve">Apparent from the respondents’ heads of argument is that, at best, Tunacor has an interest in the </w:t>
            </w:r>
            <w:r w:rsidR="0069208A" w:rsidRPr="00363C47">
              <w:rPr>
                <w:rFonts w:ascii="Arial" w:hAnsi="Arial" w:cs="Arial"/>
                <w:i/>
                <w:iCs/>
              </w:rPr>
              <w:t>outcome</w:t>
            </w:r>
            <w:r w:rsidR="0069208A" w:rsidRPr="00363C47">
              <w:rPr>
                <w:rFonts w:ascii="Arial" w:hAnsi="Arial" w:cs="Arial"/>
              </w:rPr>
              <w:t xml:space="preserve"> of these proceedings – that is, the potential invalidity of the sale agreement. It has no direct interest in the corporate governance of the Company, being neither a shareholder nor director.</w:t>
            </w:r>
          </w:p>
          <w:p w:rsidR="0069208A" w:rsidRPr="00363C47" w:rsidRDefault="0069208A" w:rsidP="008D2C0D">
            <w:pPr>
              <w:spacing w:line="360" w:lineRule="auto"/>
              <w:jc w:val="both"/>
              <w:rPr>
                <w:rFonts w:ascii="Arial" w:hAnsi="Arial" w:cs="Arial"/>
              </w:rPr>
            </w:pPr>
            <w:r w:rsidRPr="00363C47">
              <w:rPr>
                <w:rFonts w:ascii="Arial" w:hAnsi="Arial" w:cs="Arial"/>
              </w:rPr>
              <w:t xml:space="preserve">Crucially, the mere fact that a party may have an interest in the </w:t>
            </w:r>
            <w:r w:rsidRPr="00363C47">
              <w:rPr>
                <w:rFonts w:ascii="Arial" w:hAnsi="Arial" w:cs="Arial"/>
                <w:i/>
                <w:iCs/>
              </w:rPr>
              <w:t>outcome</w:t>
            </w:r>
            <w:r w:rsidRPr="00363C47">
              <w:rPr>
                <w:rFonts w:ascii="Arial" w:hAnsi="Arial" w:cs="Arial"/>
              </w:rPr>
              <w:t xml:space="preserve"> of the litigation does not warrant a plea of non-joinder.</w:t>
            </w:r>
            <w:r w:rsidRPr="00363C47">
              <w:rPr>
                <w:rStyle w:val="FootnoteReference"/>
                <w:rFonts w:ascii="Arial" w:hAnsi="Arial" w:cs="Arial"/>
              </w:rPr>
              <w:footnoteReference w:id="6"/>
            </w:r>
          </w:p>
          <w:p w:rsidR="0069208A" w:rsidRPr="00363C47" w:rsidRDefault="0069208A" w:rsidP="008D2C0D">
            <w:pPr>
              <w:spacing w:line="360" w:lineRule="auto"/>
              <w:jc w:val="both"/>
              <w:rPr>
                <w:rFonts w:ascii="Arial" w:hAnsi="Arial" w:cs="Arial"/>
              </w:rPr>
            </w:pPr>
            <w:r w:rsidRPr="00363C47">
              <w:rPr>
                <w:rFonts w:ascii="Arial" w:hAnsi="Arial" w:cs="Arial"/>
              </w:rPr>
              <w:t>Furthermore, the invalidity of the sale agreement does not flow inevitably from the relief sought in these proceedings. It would remain open to the revised board to ratify the sale agreement.</w:t>
            </w:r>
            <w:r w:rsidRPr="00363C47">
              <w:rPr>
                <w:rStyle w:val="FootnoteReference"/>
                <w:rFonts w:ascii="Arial" w:hAnsi="Arial" w:cs="Arial"/>
              </w:rPr>
              <w:footnoteReference w:id="7"/>
            </w:r>
            <w:r w:rsidRPr="00363C47">
              <w:rPr>
                <w:rFonts w:ascii="Arial" w:hAnsi="Arial" w:cs="Arial"/>
              </w:rPr>
              <w:t xml:space="preserve"> </w:t>
            </w:r>
          </w:p>
          <w:p w:rsidR="0069208A" w:rsidRPr="00363C47" w:rsidRDefault="0069208A" w:rsidP="008D2C0D">
            <w:pPr>
              <w:spacing w:line="360" w:lineRule="auto"/>
              <w:jc w:val="both"/>
              <w:rPr>
                <w:rFonts w:ascii="Arial" w:hAnsi="Arial" w:cs="Arial"/>
              </w:rPr>
            </w:pPr>
            <w:bookmarkStart w:id="1" w:name="_Hlk76999683"/>
            <w:r w:rsidRPr="00363C47">
              <w:rPr>
                <w:rFonts w:ascii="Arial" w:hAnsi="Arial" w:cs="Arial"/>
              </w:rPr>
              <w:t xml:space="preserve">The respondents have therefore failed to demonstrate a direct and substantial interest on the part of Tunacor which would necessitate its joinder.’ </w:t>
            </w:r>
            <w:bookmarkEnd w:id="1"/>
          </w:p>
          <w:p w:rsidR="002C13C6" w:rsidRPr="00363C47" w:rsidRDefault="002C13C6" w:rsidP="008D2C0D">
            <w:pPr>
              <w:spacing w:line="360" w:lineRule="auto"/>
              <w:jc w:val="both"/>
              <w:rPr>
                <w:rFonts w:ascii="Arial" w:hAnsi="Arial" w:cs="Arial"/>
              </w:rPr>
            </w:pPr>
          </w:p>
          <w:p w:rsidR="0069208A" w:rsidRPr="00363C47" w:rsidRDefault="008D2C0D" w:rsidP="008D2C0D">
            <w:pPr>
              <w:pStyle w:val="ListParagraph"/>
              <w:spacing w:line="360" w:lineRule="auto"/>
              <w:ind w:left="0"/>
              <w:jc w:val="both"/>
              <w:rPr>
                <w:rFonts w:ascii="Arial" w:hAnsi="Arial" w:cs="Arial"/>
                <w:sz w:val="24"/>
                <w:szCs w:val="24"/>
              </w:rPr>
            </w:pPr>
            <w:r w:rsidRPr="00363C47">
              <w:rPr>
                <w:rFonts w:ascii="Arial" w:hAnsi="Arial" w:cs="Arial"/>
                <w:sz w:val="24"/>
                <w:szCs w:val="24"/>
              </w:rPr>
              <w:t>[</w:t>
            </w:r>
            <w:r w:rsidR="002C13C6" w:rsidRPr="00363C47">
              <w:rPr>
                <w:rFonts w:ascii="Arial" w:hAnsi="Arial" w:cs="Arial"/>
                <w:sz w:val="24"/>
                <w:szCs w:val="24"/>
              </w:rPr>
              <w:t>10</w:t>
            </w:r>
            <w:r w:rsidRPr="00363C47">
              <w:rPr>
                <w:rFonts w:ascii="Arial" w:hAnsi="Arial" w:cs="Arial"/>
                <w:sz w:val="24"/>
                <w:szCs w:val="24"/>
              </w:rPr>
              <w:t>]</w:t>
            </w:r>
            <w:r w:rsidRPr="00363C47">
              <w:rPr>
                <w:rFonts w:ascii="Arial" w:hAnsi="Arial" w:cs="Arial"/>
                <w:sz w:val="24"/>
                <w:szCs w:val="24"/>
              </w:rPr>
              <w:tab/>
            </w:r>
            <w:r w:rsidR="0069208A" w:rsidRPr="00363C47">
              <w:rPr>
                <w:rFonts w:ascii="Arial" w:hAnsi="Arial" w:cs="Arial"/>
                <w:sz w:val="24"/>
                <w:szCs w:val="24"/>
              </w:rPr>
              <w:t>A similar argument was mustered in respect of the PG :</w:t>
            </w:r>
          </w:p>
          <w:p w:rsidR="0069208A" w:rsidRPr="00363C47" w:rsidRDefault="0069208A" w:rsidP="008D2C0D">
            <w:pPr>
              <w:pStyle w:val="ListParagraph"/>
              <w:spacing w:line="360" w:lineRule="auto"/>
              <w:ind w:left="0"/>
              <w:jc w:val="both"/>
              <w:rPr>
                <w:rFonts w:ascii="Arial" w:hAnsi="Arial" w:cs="Arial"/>
                <w:sz w:val="24"/>
                <w:szCs w:val="24"/>
              </w:rPr>
            </w:pPr>
          </w:p>
          <w:p w:rsidR="0069208A" w:rsidRPr="00363C47" w:rsidRDefault="00DB6544" w:rsidP="008D2C0D">
            <w:pPr>
              <w:spacing w:line="360" w:lineRule="auto"/>
              <w:jc w:val="both"/>
              <w:rPr>
                <w:rFonts w:ascii="Arial" w:hAnsi="Arial" w:cs="Arial"/>
              </w:rPr>
            </w:pPr>
            <w:r w:rsidRPr="00363C47">
              <w:rPr>
                <w:rFonts w:ascii="Arial" w:hAnsi="Arial" w:cs="Arial"/>
              </w:rPr>
              <w:t xml:space="preserve">             </w:t>
            </w:r>
            <w:r w:rsidR="0069208A" w:rsidRPr="00363C47">
              <w:rPr>
                <w:rFonts w:ascii="Arial" w:hAnsi="Arial" w:cs="Arial"/>
              </w:rPr>
              <w:t>‘In short, the respondents raise the same argument as they did in respect of Tunacor – that is, if, pursuant to this application being granted, the Company’s board were held to have been differently constituted, the agreement between the Company and the PG (regarding the proceeds of the sale of the vessel) would be rendered invalid.</w:t>
            </w:r>
            <w:r w:rsidR="0069208A" w:rsidRPr="00363C47">
              <w:rPr>
                <w:rStyle w:val="FootnoteReference"/>
                <w:rFonts w:ascii="Arial" w:hAnsi="Arial" w:cs="Arial"/>
              </w:rPr>
              <w:footnoteReference w:id="8"/>
            </w:r>
            <w:r w:rsidR="0069208A" w:rsidRPr="00363C47">
              <w:rPr>
                <w:rFonts w:ascii="Arial" w:hAnsi="Arial" w:cs="Arial"/>
              </w:rPr>
              <w:t xml:space="preserve"> </w:t>
            </w:r>
          </w:p>
          <w:p w:rsidR="0069208A" w:rsidRPr="00363C47" w:rsidRDefault="0069208A" w:rsidP="008D2C0D">
            <w:pPr>
              <w:spacing w:line="360" w:lineRule="auto"/>
              <w:jc w:val="both"/>
              <w:rPr>
                <w:rFonts w:ascii="Arial" w:hAnsi="Arial" w:cs="Arial"/>
              </w:rPr>
            </w:pPr>
            <w:r w:rsidRPr="00363C47">
              <w:rPr>
                <w:rFonts w:ascii="Arial" w:hAnsi="Arial" w:cs="Arial"/>
              </w:rPr>
              <w:lastRenderedPageBreak/>
              <w:t xml:space="preserve">The fact that the PG may have an interest in the </w:t>
            </w:r>
            <w:r w:rsidRPr="00363C47">
              <w:rPr>
                <w:rFonts w:ascii="Arial" w:hAnsi="Arial" w:cs="Arial"/>
                <w:i/>
                <w:iCs/>
              </w:rPr>
              <w:t>outcome</w:t>
            </w:r>
            <w:r w:rsidRPr="00363C47">
              <w:rPr>
                <w:rFonts w:ascii="Arial" w:hAnsi="Arial" w:cs="Arial"/>
              </w:rPr>
              <w:t xml:space="preserve"> of these proceedings does not entitle it, without more, to be joined to these proceedings. In any event, it would remain open to the revised board to ratify the agreement with the PG (meaning that any interest that it may have in the outcome of these proceedings is speculative at best). </w:t>
            </w:r>
          </w:p>
          <w:p w:rsidR="0069208A" w:rsidRPr="00363C47" w:rsidRDefault="0069208A" w:rsidP="008D2C0D">
            <w:pPr>
              <w:spacing w:line="360" w:lineRule="auto"/>
              <w:jc w:val="both"/>
              <w:rPr>
                <w:rFonts w:ascii="Arial" w:hAnsi="Arial" w:cs="Arial"/>
              </w:rPr>
            </w:pPr>
            <w:r w:rsidRPr="00363C47">
              <w:rPr>
                <w:rFonts w:ascii="Arial" w:hAnsi="Arial" w:cs="Arial"/>
              </w:rPr>
              <w:t>Furthermore, none of the evidence or arguments presented by the respondents suggest that the exercise of the powers and duties of the PG would be affected by the order sought in these proceedings.</w:t>
            </w:r>
            <w:r w:rsidRPr="00363C47">
              <w:rPr>
                <w:rStyle w:val="FootnoteReference"/>
                <w:rFonts w:ascii="Arial" w:hAnsi="Arial" w:cs="Arial"/>
              </w:rPr>
              <w:footnoteReference w:id="9"/>
            </w:r>
          </w:p>
          <w:p w:rsidR="00F33160" w:rsidRPr="00363C47" w:rsidRDefault="0069208A" w:rsidP="008D2C0D">
            <w:pPr>
              <w:pStyle w:val="ListParagraph"/>
              <w:spacing w:line="360" w:lineRule="auto"/>
              <w:ind w:left="0"/>
              <w:jc w:val="both"/>
              <w:rPr>
                <w:rFonts w:ascii="Arial" w:hAnsi="Arial" w:cs="Arial"/>
                <w:bCs/>
              </w:rPr>
            </w:pPr>
            <w:r w:rsidRPr="00363C47">
              <w:rPr>
                <w:rFonts w:ascii="Arial" w:hAnsi="Arial" w:cs="Arial"/>
              </w:rPr>
              <w:t>The respondents have therefore failed to demonstrate a direct and substantial interest on the part of the PG’.</w:t>
            </w:r>
            <w:r w:rsidR="00977346" w:rsidRPr="00363C47">
              <w:rPr>
                <w:rFonts w:ascii="Arial" w:hAnsi="Arial" w:cs="Arial"/>
                <w:sz w:val="24"/>
                <w:szCs w:val="24"/>
              </w:rPr>
              <w:tab/>
            </w:r>
          </w:p>
          <w:p w:rsidR="004B25F6" w:rsidRPr="00363C47" w:rsidRDefault="004B25F6" w:rsidP="008D2C0D">
            <w:pPr>
              <w:spacing w:line="360" w:lineRule="auto"/>
              <w:jc w:val="both"/>
              <w:rPr>
                <w:rFonts w:ascii="Arial" w:hAnsi="Arial" w:cs="Arial"/>
                <w:sz w:val="24"/>
                <w:szCs w:val="24"/>
              </w:rPr>
            </w:pPr>
          </w:p>
          <w:p w:rsidR="0098450B" w:rsidRPr="00363C47" w:rsidRDefault="008D2C0D" w:rsidP="008D2C0D">
            <w:pPr>
              <w:spacing w:line="360" w:lineRule="auto"/>
              <w:jc w:val="both"/>
              <w:rPr>
                <w:rFonts w:ascii="Arial" w:hAnsi="Arial" w:cs="Arial"/>
                <w:sz w:val="24"/>
                <w:szCs w:val="24"/>
              </w:rPr>
            </w:pPr>
            <w:r w:rsidRPr="00363C47">
              <w:rPr>
                <w:rFonts w:ascii="Arial" w:hAnsi="Arial" w:cs="Arial"/>
                <w:sz w:val="24"/>
                <w:szCs w:val="24"/>
              </w:rPr>
              <w:t>[</w:t>
            </w:r>
            <w:r w:rsidR="002C13C6" w:rsidRPr="00363C47">
              <w:rPr>
                <w:rFonts w:ascii="Arial" w:hAnsi="Arial" w:cs="Arial"/>
                <w:sz w:val="24"/>
                <w:szCs w:val="24"/>
              </w:rPr>
              <w:t>11</w:t>
            </w:r>
            <w:r w:rsidRPr="00363C47">
              <w:rPr>
                <w:rFonts w:ascii="Arial" w:hAnsi="Arial" w:cs="Arial"/>
                <w:sz w:val="24"/>
                <w:szCs w:val="24"/>
              </w:rPr>
              <w:t>]</w:t>
            </w:r>
            <w:r w:rsidRPr="00363C47">
              <w:rPr>
                <w:rFonts w:ascii="Arial" w:hAnsi="Arial" w:cs="Arial"/>
                <w:sz w:val="24"/>
                <w:szCs w:val="24"/>
              </w:rPr>
              <w:tab/>
            </w:r>
            <w:r w:rsidR="0058228E" w:rsidRPr="00363C47">
              <w:rPr>
                <w:rFonts w:ascii="Arial" w:hAnsi="Arial" w:cs="Arial"/>
                <w:sz w:val="24"/>
                <w:szCs w:val="24"/>
              </w:rPr>
              <w:t xml:space="preserve">If one considers these submissions it must be said that </w:t>
            </w:r>
            <w:r w:rsidR="004B25F6" w:rsidRPr="00363C47">
              <w:rPr>
                <w:rFonts w:ascii="Arial" w:hAnsi="Arial" w:cs="Arial"/>
                <w:sz w:val="24"/>
                <w:szCs w:val="24"/>
              </w:rPr>
              <w:t xml:space="preserve">Counsel for the applicants are of course correct when they submit that </w:t>
            </w:r>
            <w:r w:rsidR="004B25F6" w:rsidRPr="00363C47">
              <w:rPr>
                <w:rFonts w:ascii="Arial" w:hAnsi="Arial" w:cs="Arial"/>
                <w:i/>
                <w:sz w:val="24"/>
                <w:szCs w:val="24"/>
              </w:rPr>
              <w:t>‘ … it would remain open</w:t>
            </w:r>
            <w:r w:rsidR="00977346" w:rsidRPr="00363C47">
              <w:rPr>
                <w:rFonts w:ascii="Arial" w:hAnsi="Arial" w:cs="Arial"/>
                <w:i/>
                <w:sz w:val="24"/>
                <w:szCs w:val="24"/>
              </w:rPr>
              <w:tab/>
            </w:r>
            <w:r w:rsidR="004B25F6" w:rsidRPr="00363C47">
              <w:rPr>
                <w:rFonts w:ascii="Arial" w:hAnsi="Arial" w:cs="Arial"/>
                <w:i/>
                <w:sz w:val="24"/>
                <w:szCs w:val="24"/>
              </w:rPr>
              <w:t>to the revised board to ratify both the agreements with the PG and Tunacor, (meaning that any interest these parties may have in the outcome of these proceedings is speculative at best)</w:t>
            </w:r>
            <w:r w:rsidR="004B25F6" w:rsidRPr="00363C47">
              <w:rPr>
                <w:rFonts w:ascii="Arial" w:hAnsi="Arial" w:cs="Arial"/>
                <w:sz w:val="24"/>
                <w:szCs w:val="24"/>
              </w:rPr>
              <w:t xml:space="preserve"> …’.</w:t>
            </w:r>
          </w:p>
          <w:p w:rsidR="00D81552" w:rsidRPr="00363C47" w:rsidRDefault="00D81552" w:rsidP="008D2C0D">
            <w:pPr>
              <w:spacing w:line="360" w:lineRule="auto"/>
              <w:jc w:val="both"/>
              <w:rPr>
                <w:rFonts w:ascii="Arial" w:hAnsi="Arial" w:cs="Arial"/>
                <w:sz w:val="24"/>
                <w:szCs w:val="24"/>
              </w:rPr>
            </w:pPr>
          </w:p>
          <w:p w:rsidR="004D5D31" w:rsidRPr="00363C47" w:rsidRDefault="0098450B" w:rsidP="008D2C0D">
            <w:pPr>
              <w:spacing w:line="360" w:lineRule="auto"/>
              <w:jc w:val="both"/>
              <w:rPr>
                <w:rFonts w:ascii="Arial" w:hAnsi="Arial" w:cs="Arial"/>
                <w:sz w:val="24"/>
                <w:szCs w:val="24"/>
              </w:rPr>
            </w:pPr>
            <w:r w:rsidRPr="00363C47">
              <w:rPr>
                <w:rFonts w:ascii="Arial" w:hAnsi="Arial" w:cs="Arial"/>
                <w:sz w:val="24"/>
                <w:szCs w:val="24"/>
              </w:rPr>
              <w:t>[</w:t>
            </w:r>
            <w:r w:rsidR="002C13C6" w:rsidRPr="00363C47">
              <w:rPr>
                <w:rFonts w:ascii="Arial" w:hAnsi="Arial" w:cs="Arial"/>
                <w:sz w:val="24"/>
                <w:szCs w:val="24"/>
              </w:rPr>
              <w:t>12</w:t>
            </w:r>
            <w:r w:rsidRPr="00363C47">
              <w:rPr>
                <w:rFonts w:ascii="Arial" w:hAnsi="Arial" w:cs="Arial"/>
                <w:sz w:val="24"/>
                <w:szCs w:val="24"/>
              </w:rPr>
              <w:t>]</w:t>
            </w:r>
            <w:r w:rsidRPr="00363C47">
              <w:rPr>
                <w:rFonts w:ascii="Arial" w:hAnsi="Arial" w:cs="Arial"/>
                <w:sz w:val="24"/>
                <w:szCs w:val="24"/>
              </w:rPr>
              <w:tab/>
            </w:r>
            <w:r w:rsidR="004B25F6" w:rsidRPr="00363C47">
              <w:rPr>
                <w:rFonts w:ascii="Arial" w:hAnsi="Arial" w:cs="Arial"/>
                <w:sz w:val="24"/>
                <w:szCs w:val="24"/>
              </w:rPr>
              <w:t>But it is</w:t>
            </w:r>
            <w:r w:rsidR="00DE709B" w:rsidRPr="00363C47">
              <w:rPr>
                <w:rFonts w:ascii="Arial" w:hAnsi="Arial" w:cs="Arial"/>
                <w:sz w:val="24"/>
                <w:szCs w:val="24"/>
              </w:rPr>
              <w:t xml:space="preserve"> then</w:t>
            </w:r>
            <w:r w:rsidR="004B25F6" w:rsidRPr="00363C47">
              <w:rPr>
                <w:rFonts w:ascii="Arial" w:hAnsi="Arial" w:cs="Arial"/>
                <w:sz w:val="24"/>
                <w:szCs w:val="24"/>
              </w:rPr>
              <w:t xml:space="preserve"> this submission that reveals the key to the resolution of this dispute and wh</w:t>
            </w:r>
            <w:r w:rsidR="001C3DB6" w:rsidRPr="00363C47">
              <w:rPr>
                <w:rFonts w:ascii="Arial" w:hAnsi="Arial" w:cs="Arial"/>
                <w:sz w:val="24"/>
                <w:szCs w:val="24"/>
              </w:rPr>
              <w:t>ich discloses that</w:t>
            </w:r>
            <w:r w:rsidR="004B25F6" w:rsidRPr="00363C47">
              <w:rPr>
                <w:rFonts w:ascii="Arial" w:hAnsi="Arial" w:cs="Arial"/>
                <w:sz w:val="24"/>
                <w:szCs w:val="24"/>
              </w:rPr>
              <w:t xml:space="preserve"> the test</w:t>
            </w:r>
            <w:r w:rsidR="0058228E" w:rsidRPr="00363C47">
              <w:rPr>
                <w:rFonts w:ascii="Arial" w:hAnsi="Arial" w:cs="Arial"/>
                <w:sz w:val="24"/>
                <w:szCs w:val="24"/>
              </w:rPr>
              <w:t xml:space="preserve"> -</w:t>
            </w:r>
            <w:r w:rsidR="004B25F6" w:rsidRPr="00363C47">
              <w:rPr>
                <w:rFonts w:ascii="Arial" w:hAnsi="Arial" w:cs="Arial"/>
                <w:sz w:val="24"/>
                <w:szCs w:val="24"/>
              </w:rPr>
              <w:t xml:space="preserve"> as already laid down as far back as the </w:t>
            </w:r>
            <w:r w:rsidR="004B25F6" w:rsidRPr="00363C47">
              <w:rPr>
                <w:rFonts w:ascii="Arial" w:hAnsi="Arial" w:cs="Arial"/>
                <w:i/>
                <w:sz w:val="24"/>
                <w:szCs w:val="24"/>
              </w:rPr>
              <w:t>Amalgamated Engineering Union</w:t>
            </w:r>
            <w:r w:rsidR="004B25F6" w:rsidRPr="00363C47">
              <w:rPr>
                <w:rFonts w:ascii="Arial" w:hAnsi="Arial" w:cs="Arial"/>
                <w:sz w:val="24"/>
                <w:szCs w:val="24"/>
              </w:rPr>
              <w:t xml:space="preserve"> decision</w:t>
            </w:r>
            <w:r w:rsidR="001C3DB6" w:rsidRPr="00363C47">
              <w:rPr>
                <w:rStyle w:val="FootnoteReference"/>
                <w:rFonts w:ascii="Arial" w:hAnsi="Arial" w:cs="Arial"/>
                <w:sz w:val="24"/>
                <w:szCs w:val="24"/>
              </w:rPr>
              <w:footnoteReference w:id="10"/>
            </w:r>
            <w:r w:rsidR="001C3DB6" w:rsidRPr="00363C47">
              <w:rPr>
                <w:rFonts w:ascii="Arial" w:hAnsi="Arial" w:cs="Arial"/>
                <w:sz w:val="24"/>
                <w:szCs w:val="24"/>
              </w:rPr>
              <w:t xml:space="preserve"> and in respect of which the ratio which was fo</w:t>
            </w:r>
            <w:r w:rsidR="0058228E" w:rsidRPr="00363C47">
              <w:rPr>
                <w:rFonts w:ascii="Arial" w:hAnsi="Arial" w:cs="Arial"/>
                <w:sz w:val="24"/>
                <w:szCs w:val="24"/>
              </w:rPr>
              <w:t>rmulated by Damseb JP in Kleynhans at [32]</w:t>
            </w:r>
            <w:r w:rsidR="0058228E" w:rsidRPr="00363C47">
              <w:rPr>
                <w:rStyle w:val="FootnoteReference"/>
                <w:rFonts w:ascii="Arial" w:hAnsi="Arial" w:cs="Arial"/>
                <w:sz w:val="24"/>
                <w:szCs w:val="24"/>
              </w:rPr>
              <w:footnoteReference w:id="11"/>
            </w:r>
            <w:r w:rsidR="0058228E" w:rsidRPr="00363C47">
              <w:rPr>
                <w:rFonts w:ascii="Arial" w:hAnsi="Arial" w:cs="Arial"/>
                <w:sz w:val="24"/>
                <w:szCs w:val="24"/>
              </w:rPr>
              <w:t xml:space="preserve"> –</w:t>
            </w:r>
            <w:r w:rsidR="001C3DB6" w:rsidRPr="00363C47">
              <w:rPr>
                <w:rFonts w:ascii="Arial" w:hAnsi="Arial" w:cs="Arial"/>
                <w:sz w:val="24"/>
                <w:szCs w:val="24"/>
              </w:rPr>
              <w:t xml:space="preserve"> </w:t>
            </w:r>
            <w:r w:rsidR="0058228E" w:rsidRPr="00363C47">
              <w:rPr>
                <w:rFonts w:ascii="Arial" w:hAnsi="Arial" w:cs="Arial"/>
                <w:sz w:val="24"/>
                <w:szCs w:val="24"/>
              </w:rPr>
              <w:t>wa</w:t>
            </w:r>
            <w:r w:rsidR="00B33256" w:rsidRPr="00363C47">
              <w:rPr>
                <w:rFonts w:ascii="Arial" w:hAnsi="Arial" w:cs="Arial"/>
                <w:sz w:val="24"/>
                <w:szCs w:val="24"/>
              </w:rPr>
              <w:t>s</w:t>
            </w:r>
            <w:r w:rsidR="0058228E" w:rsidRPr="00363C47">
              <w:rPr>
                <w:rFonts w:ascii="Arial" w:hAnsi="Arial" w:cs="Arial"/>
                <w:sz w:val="24"/>
                <w:szCs w:val="24"/>
              </w:rPr>
              <w:t xml:space="preserve"> essentially</w:t>
            </w:r>
            <w:r w:rsidR="00B33256" w:rsidRPr="00363C47">
              <w:rPr>
                <w:rFonts w:ascii="Arial" w:hAnsi="Arial" w:cs="Arial"/>
                <w:sz w:val="24"/>
                <w:szCs w:val="24"/>
              </w:rPr>
              <w:t xml:space="preserve"> satisfied</w:t>
            </w:r>
            <w:r w:rsidR="001C3DB6" w:rsidRPr="00363C47">
              <w:rPr>
                <w:rFonts w:ascii="Arial" w:hAnsi="Arial" w:cs="Arial"/>
                <w:sz w:val="24"/>
                <w:szCs w:val="24"/>
              </w:rPr>
              <w:t>:</w:t>
            </w:r>
          </w:p>
          <w:p w:rsidR="001C3DB6" w:rsidRPr="00363C47" w:rsidRDefault="001C3DB6" w:rsidP="008D2C0D">
            <w:pPr>
              <w:spacing w:line="360" w:lineRule="auto"/>
              <w:jc w:val="both"/>
              <w:rPr>
                <w:rFonts w:ascii="Arial" w:hAnsi="Arial" w:cs="Arial"/>
                <w:sz w:val="24"/>
                <w:szCs w:val="24"/>
              </w:rPr>
            </w:pPr>
          </w:p>
          <w:p w:rsidR="004B25F6" w:rsidRPr="00363C47" w:rsidRDefault="001C3DB6" w:rsidP="008D2C0D">
            <w:pPr>
              <w:spacing w:line="360" w:lineRule="auto"/>
              <w:jc w:val="both"/>
              <w:rPr>
                <w:rFonts w:ascii="Arial" w:hAnsi="Arial" w:cs="Arial"/>
              </w:rPr>
            </w:pPr>
            <w:r w:rsidRPr="00363C47">
              <w:rPr>
                <w:rFonts w:ascii="Arial" w:hAnsi="Arial" w:cs="Arial"/>
                <w:sz w:val="24"/>
                <w:szCs w:val="24"/>
              </w:rPr>
              <w:t xml:space="preserve">             </w:t>
            </w:r>
            <w:r w:rsidR="002C13C6" w:rsidRPr="00363C47">
              <w:rPr>
                <w:rFonts w:ascii="Arial" w:hAnsi="Arial" w:cs="Arial"/>
              </w:rPr>
              <w:t>‘</w:t>
            </w:r>
            <w:r w:rsidRPr="00363C47">
              <w:rPr>
                <w:rFonts w:ascii="Arial" w:hAnsi="Arial" w:cs="Arial"/>
              </w:rPr>
              <w:t xml:space="preserve"> … Clearly, the ratio in </w:t>
            </w:r>
            <w:r w:rsidRPr="00363C47">
              <w:rPr>
                <w:rFonts w:ascii="Arial" w:hAnsi="Arial" w:cs="Arial"/>
                <w:i/>
              </w:rPr>
              <w:t>Amalgamated Engineering Union</w:t>
            </w:r>
            <w:r w:rsidRPr="00363C47">
              <w:rPr>
                <w:rFonts w:ascii="Arial" w:hAnsi="Arial" w:cs="Arial"/>
              </w:rPr>
              <w:t xml:space="preserve"> is that a party with a legal interest in the subject matter of the litigation and </w:t>
            </w:r>
            <w:r w:rsidRPr="00363C47">
              <w:rPr>
                <w:rFonts w:ascii="Arial" w:hAnsi="Arial" w:cs="Arial"/>
                <w:u w:val="single"/>
              </w:rPr>
              <w:t>whose rights might be prejudicially affected by the judgment of the court</w:t>
            </w:r>
            <w:r w:rsidRPr="00363C47">
              <w:rPr>
                <w:rFonts w:ascii="Arial" w:hAnsi="Arial" w:cs="Arial"/>
              </w:rPr>
              <w:t>, has a direct and substantial interest in the matter and should be joined as a party.</w:t>
            </w:r>
            <w:r w:rsidRPr="00363C47">
              <w:rPr>
                <w:rStyle w:val="FootnoteReference"/>
                <w:rFonts w:ascii="Arial" w:hAnsi="Arial" w:cs="Arial"/>
              </w:rPr>
              <w:footnoteReference w:id="12"/>
            </w:r>
            <w:r w:rsidRPr="00363C47">
              <w:rPr>
                <w:rFonts w:ascii="Arial" w:hAnsi="Arial" w:cs="Arial"/>
              </w:rPr>
              <w:t xml:space="preserve">  </w:t>
            </w:r>
            <w:r w:rsidR="008B2A46" w:rsidRPr="00363C47">
              <w:rPr>
                <w:rFonts w:ascii="Arial" w:hAnsi="Arial" w:cs="Arial"/>
                <w:i/>
              </w:rPr>
              <w:t>(my underlining)</w:t>
            </w:r>
          </w:p>
          <w:p w:rsidR="004B25F6" w:rsidRPr="00363C47" w:rsidRDefault="004B25F6" w:rsidP="008D2C0D">
            <w:pPr>
              <w:spacing w:line="360" w:lineRule="auto"/>
              <w:jc w:val="both"/>
              <w:rPr>
                <w:rFonts w:ascii="Arial" w:hAnsi="Arial" w:cs="Arial"/>
                <w:sz w:val="24"/>
                <w:szCs w:val="24"/>
              </w:rPr>
            </w:pPr>
          </w:p>
          <w:p w:rsidR="004D5D31" w:rsidRPr="00363C47" w:rsidRDefault="008D2C0D" w:rsidP="008D2C0D">
            <w:pPr>
              <w:spacing w:line="360" w:lineRule="auto"/>
              <w:jc w:val="both"/>
              <w:rPr>
                <w:rFonts w:ascii="Arial" w:hAnsi="Arial" w:cs="Arial"/>
                <w:sz w:val="24"/>
                <w:szCs w:val="24"/>
              </w:rPr>
            </w:pPr>
            <w:r w:rsidRPr="00363C47">
              <w:rPr>
                <w:rFonts w:ascii="Arial" w:hAnsi="Arial" w:cs="Arial"/>
                <w:sz w:val="24"/>
                <w:szCs w:val="24"/>
              </w:rPr>
              <w:t>[</w:t>
            </w:r>
            <w:r w:rsidR="002C13C6" w:rsidRPr="00363C47">
              <w:rPr>
                <w:rFonts w:ascii="Arial" w:hAnsi="Arial" w:cs="Arial"/>
                <w:sz w:val="24"/>
                <w:szCs w:val="24"/>
              </w:rPr>
              <w:t>13</w:t>
            </w:r>
            <w:r w:rsidRPr="00363C47">
              <w:rPr>
                <w:rFonts w:ascii="Arial" w:hAnsi="Arial" w:cs="Arial"/>
                <w:sz w:val="24"/>
                <w:szCs w:val="24"/>
              </w:rPr>
              <w:t>]</w:t>
            </w:r>
            <w:r w:rsidRPr="00363C47">
              <w:rPr>
                <w:rFonts w:ascii="Arial" w:hAnsi="Arial" w:cs="Arial"/>
                <w:sz w:val="24"/>
                <w:szCs w:val="24"/>
              </w:rPr>
              <w:tab/>
            </w:r>
            <w:r w:rsidR="00B33256" w:rsidRPr="00363C47">
              <w:rPr>
                <w:rFonts w:ascii="Arial" w:hAnsi="Arial" w:cs="Arial"/>
                <w:sz w:val="24"/>
                <w:szCs w:val="24"/>
              </w:rPr>
              <w:t xml:space="preserve">While it is also clear that no direct relief is claimed against the PG and Tunacor </w:t>
            </w:r>
            <w:r w:rsidR="00B33256" w:rsidRPr="00363C47">
              <w:rPr>
                <w:rFonts w:ascii="Arial" w:hAnsi="Arial" w:cs="Arial"/>
                <w:i/>
                <w:sz w:val="24"/>
                <w:szCs w:val="24"/>
              </w:rPr>
              <w:t>ex facie</w:t>
            </w:r>
            <w:r w:rsidR="00B33256" w:rsidRPr="00363C47">
              <w:rPr>
                <w:rFonts w:ascii="Arial" w:hAnsi="Arial" w:cs="Arial"/>
                <w:sz w:val="24"/>
                <w:szCs w:val="24"/>
              </w:rPr>
              <w:t xml:space="preserve"> the notice of motion it</w:t>
            </w:r>
            <w:r w:rsidR="00CA0679" w:rsidRPr="00363C47">
              <w:rPr>
                <w:rFonts w:ascii="Arial" w:hAnsi="Arial" w:cs="Arial"/>
                <w:sz w:val="24"/>
                <w:szCs w:val="24"/>
              </w:rPr>
              <w:t xml:space="preserve"> cannot be argued away</w:t>
            </w:r>
            <w:r w:rsidR="00B33256" w:rsidRPr="00363C47">
              <w:rPr>
                <w:rFonts w:ascii="Arial" w:hAnsi="Arial" w:cs="Arial"/>
                <w:sz w:val="24"/>
                <w:szCs w:val="24"/>
              </w:rPr>
              <w:t xml:space="preserve"> that the rights</w:t>
            </w:r>
            <w:r w:rsidR="00DE709B" w:rsidRPr="00363C47">
              <w:rPr>
                <w:rFonts w:ascii="Arial" w:hAnsi="Arial" w:cs="Arial"/>
                <w:sz w:val="24"/>
                <w:szCs w:val="24"/>
              </w:rPr>
              <w:t xml:space="preserve"> -</w:t>
            </w:r>
            <w:r w:rsidR="00B33256" w:rsidRPr="00363C47">
              <w:rPr>
                <w:rFonts w:ascii="Arial" w:hAnsi="Arial" w:cs="Arial"/>
                <w:sz w:val="24"/>
                <w:szCs w:val="24"/>
              </w:rPr>
              <w:t xml:space="preserve"> which the PG and Tunacor have acquired by virtue of the agreements that</w:t>
            </w:r>
            <w:r w:rsidR="00CA0679" w:rsidRPr="00363C47">
              <w:rPr>
                <w:rFonts w:ascii="Arial" w:hAnsi="Arial" w:cs="Arial"/>
                <w:sz w:val="24"/>
                <w:szCs w:val="24"/>
              </w:rPr>
              <w:t xml:space="preserve"> they have</w:t>
            </w:r>
            <w:r w:rsidR="00B33256" w:rsidRPr="00363C47">
              <w:rPr>
                <w:rFonts w:ascii="Arial" w:hAnsi="Arial" w:cs="Arial"/>
                <w:sz w:val="24"/>
                <w:szCs w:val="24"/>
              </w:rPr>
              <w:t xml:space="preserve"> concluded</w:t>
            </w:r>
            <w:r w:rsidR="00CA0679" w:rsidRPr="00363C47">
              <w:rPr>
                <w:rFonts w:ascii="Arial" w:hAnsi="Arial" w:cs="Arial"/>
                <w:sz w:val="24"/>
                <w:szCs w:val="24"/>
              </w:rPr>
              <w:t xml:space="preserve"> with the first respondent</w:t>
            </w:r>
            <w:r w:rsidR="00DE709B" w:rsidRPr="00363C47">
              <w:rPr>
                <w:rFonts w:ascii="Arial" w:hAnsi="Arial" w:cs="Arial"/>
                <w:sz w:val="24"/>
                <w:szCs w:val="24"/>
              </w:rPr>
              <w:t xml:space="preserve"> -</w:t>
            </w:r>
            <w:r w:rsidR="00B33256" w:rsidRPr="00363C47">
              <w:rPr>
                <w:rFonts w:ascii="Arial" w:hAnsi="Arial" w:cs="Arial"/>
                <w:sz w:val="24"/>
                <w:szCs w:val="24"/>
              </w:rPr>
              <w:t xml:space="preserve"> and</w:t>
            </w:r>
            <w:r w:rsidR="0058228E" w:rsidRPr="00363C47">
              <w:rPr>
                <w:rFonts w:ascii="Arial" w:hAnsi="Arial" w:cs="Arial"/>
                <w:sz w:val="24"/>
                <w:szCs w:val="24"/>
              </w:rPr>
              <w:t xml:space="preserve"> thus</w:t>
            </w:r>
            <w:r w:rsidR="00CA0679" w:rsidRPr="00363C47">
              <w:rPr>
                <w:rFonts w:ascii="Arial" w:hAnsi="Arial" w:cs="Arial"/>
                <w:sz w:val="24"/>
                <w:szCs w:val="24"/>
              </w:rPr>
              <w:t xml:space="preserve"> also</w:t>
            </w:r>
            <w:r w:rsidR="00B33256" w:rsidRPr="00363C47">
              <w:rPr>
                <w:rFonts w:ascii="Arial" w:hAnsi="Arial" w:cs="Arial"/>
                <w:sz w:val="24"/>
                <w:szCs w:val="24"/>
              </w:rPr>
              <w:t xml:space="preserve"> the interest</w:t>
            </w:r>
            <w:r w:rsidR="00CA0679" w:rsidRPr="00363C47">
              <w:rPr>
                <w:rFonts w:ascii="Arial" w:hAnsi="Arial" w:cs="Arial"/>
                <w:sz w:val="24"/>
                <w:szCs w:val="24"/>
              </w:rPr>
              <w:t>s</w:t>
            </w:r>
            <w:r w:rsidR="00DE709B" w:rsidRPr="00363C47">
              <w:rPr>
                <w:rFonts w:ascii="Arial" w:hAnsi="Arial" w:cs="Arial"/>
                <w:sz w:val="24"/>
                <w:szCs w:val="24"/>
              </w:rPr>
              <w:t xml:space="preserve"> -</w:t>
            </w:r>
            <w:r w:rsidR="00B33256" w:rsidRPr="00363C47">
              <w:rPr>
                <w:rFonts w:ascii="Arial" w:hAnsi="Arial" w:cs="Arial"/>
                <w:sz w:val="24"/>
                <w:szCs w:val="24"/>
              </w:rPr>
              <w:t xml:space="preserve"> that they</w:t>
            </w:r>
            <w:r w:rsidR="0058228E" w:rsidRPr="00363C47">
              <w:rPr>
                <w:rFonts w:ascii="Arial" w:hAnsi="Arial" w:cs="Arial"/>
                <w:sz w:val="24"/>
                <w:szCs w:val="24"/>
              </w:rPr>
              <w:t xml:space="preserve"> have consequentially</w:t>
            </w:r>
            <w:r w:rsidR="00CA0679" w:rsidRPr="00363C47">
              <w:rPr>
                <w:rFonts w:ascii="Arial" w:hAnsi="Arial" w:cs="Arial"/>
                <w:sz w:val="24"/>
                <w:szCs w:val="24"/>
              </w:rPr>
              <w:t xml:space="preserve"> acquired</w:t>
            </w:r>
            <w:r w:rsidR="00DE709B" w:rsidRPr="00363C47">
              <w:rPr>
                <w:rFonts w:ascii="Arial" w:hAnsi="Arial" w:cs="Arial"/>
                <w:sz w:val="24"/>
                <w:szCs w:val="24"/>
              </w:rPr>
              <w:t xml:space="preserve"> -</w:t>
            </w:r>
            <w:r w:rsidR="00B33256" w:rsidRPr="00363C47">
              <w:rPr>
                <w:rFonts w:ascii="Arial" w:hAnsi="Arial" w:cs="Arial"/>
                <w:sz w:val="24"/>
                <w:szCs w:val="24"/>
              </w:rPr>
              <w:t xml:space="preserve"> m</w:t>
            </w:r>
            <w:r w:rsidR="00CA0679" w:rsidRPr="00363C47">
              <w:rPr>
                <w:rFonts w:ascii="Arial" w:hAnsi="Arial" w:cs="Arial"/>
                <w:sz w:val="24"/>
                <w:szCs w:val="24"/>
              </w:rPr>
              <w:t>ay realistically</w:t>
            </w:r>
            <w:r w:rsidR="00B33256" w:rsidRPr="00363C47">
              <w:rPr>
                <w:rFonts w:ascii="Arial" w:hAnsi="Arial" w:cs="Arial"/>
                <w:sz w:val="24"/>
                <w:szCs w:val="24"/>
              </w:rPr>
              <w:t xml:space="preserve"> be prejudicially affected by the judgment the court may make in this instance. It is the</w:t>
            </w:r>
            <w:r w:rsidR="00CA0679" w:rsidRPr="00363C47">
              <w:rPr>
                <w:rFonts w:ascii="Arial" w:hAnsi="Arial" w:cs="Arial"/>
                <w:sz w:val="24"/>
                <w:szCs w:val="24"/>
              </w:rPr>
              <w:t xml:space="preserve"> said conceded</w:t>
            </w:r>
            <w:r w:rsidR="00B33256" w:rsidRPr="00363C47">
              <w:rPr>
                <w:rFonts w:ascii="Arial" w:hAnsi="Arial" w:cs="Arial"/>
                <w:sz w:val="24"/>
                <w:szCs w:val="24"/>
              </w:rPr>
              <w:t xml:space="preserve"> ‘speculative possibility’ </w:t>
            </w:r>
            <w:r w:rsidR="00CA0679" w:rsidRPr="00363C47">
              <w:rPr>
                <w:rFonts w:ascii="Arial" w:hAnsi="Arial" w:cs="Arial"/>
                <w:sz w:val="24"/>
                <w:szCs w:val="24"/>
              </w:rPr>
              <w:t>– which is plainly more than a mere ‘speculative possibility’</w:t>
            </w:r>
            <w:r w:rsidR="0058228E" w:rsidRPr="00363C47">
              <w:rPr>
                <w:rFonts w:ascii="Arial" w:hAnsi="Arial" w:cs="Arial"/>
                <w:sz w:val="24"/>
                <w:szCs w:val="24"/>
              </w:rPr>
              <w:t xml:space="preserve"> -</w:t>
            </w:r>
            <w:r w:rsidR="00CA0679" w:rsidRPr="00363C47">
              <w:rPr>
                <w:rFonts w:ascii="Arial" w:hAnsi="Arial" w:cs="Arial"/>
                <w:sz w:val="24"/>
                <w:szCs w:val="24"/>
              </w:rPr>
              <w:t xml:space="preserve"> given the context and background to this litigation – and from </w:t>
            </w:r>
            <w:r w:rsidR="00CA0679" w:rsidRPr="00363C47">
              <w:rPr>
                <w:rFonts w:ascii="Arial" w:hAnsi="Arial" w:cs="Arial"/>
                <w:sz w:val="24"/>
                <w:szCs w:val="24"/>
              </w:rPr>
              <w:lastRenderedPageBreak/>
              <w:t>which it appears</w:t>
            </w:r>
            <w:r w:rsidR="00E66C18" w:rsidRPr="00363C47">
              <w:rPr>
                <w:rFonts w:ascii="Arial" w:hAnsi="Arial" w:cs="Arial"/>
                <w:sz w:val="24"/>
                <w:szCs w:val="24"/>
              </w:rPr>
              <w:t xml:space="preserve"> that the revised board, in all probability, will</w:t>
            </w:r>
            <w:r w:rsidR="00B33256" w:rsidRPr="00363C47">
              <w:rPr>
                <w:rFonts w:ascii="Arial" w:hAnsi="Arial" w:cs="Arial"/>
                <w:sz w:val="24"/>
                <w:szCs w:val="24"/>
              </w:rPr>
              <w:t xml:space="preserve"> not</w:t>
            </w:r>
            <w:r w:rsidR="00E66C18" w:rsidRPr="00363C47">
              <w:rPr>
                <w:rFonts w:ascii="Arial" w:hAnsi="Arial" w:cs="Arial"/>
                <w:sz w:val="24"/>
                <w:szCs w:val="24"/>
              </w:rPr>
              <w:t xml:space="preserve"> just</w:t>
            </w:r>
            <w:r w:rsidR="00CA0679" w:rsidRPr="00363C47">
              <w:rPr>
                <w:rFonts w:ascii="Arial" w:hAnsi="Arial" w:cs="Arial"/>
                <w:sz w:val="24"/>
                <w:szCs w:val="24"/>
              </w:rPr>
              <w:t xml:space="preserve"> simply rubberstamp</w:t>
            </w:r>
            <w:r w:rsidR="00B33256" w:rsidRPr="00363C47">
              <w:rPr>
                <w:rFonts w:ascii="Arial" w:hAnsi="Arial" w:cs="Arial"/>
                <w:sz w:val="24"/>
                <w:szCs w:val="24"/>
              </w:rPr>
              <w:t xml:space="preserve"> the</w:t>
            </w:r>
            <w:r w:rsidR="00CA0679" w:rsidRPr="00363C47">
              <w:rPr>
                <w:rFonts w:ascii="Arial" w:hAnsi="Arial" w:cs="Arial"/>
                <w:sz w:val="24"/>
                <w:szCs w:val="24"/>
              </w:rPr>
              <w:t xml:space="preserve"> concluded</w:t>
            </w:r>
            <w:r w:rsidR="00B33256" w:rsidRPr="00363C47">
              <w:rPr>
                <w:rFonts w:ascii="Arial" w:hAnsi="Arial" w:cs="Arial"/>
                <w:sz w:val="24"/>
                <w:szCs w:val="24"/>
              </w:rPr>
              <w:t xml:space="preserve"> agreements’</w:t>
            </w:r>
            <w:r w:rsidR="00CA0679" w:rsidRPr="00363C47">
              <w:rPr>
                <w:rFonts w:ascii="Arial" w:hAnsi="Arial" w:cs="Arial"/>
                <w:sz w:val="24"/>
                <w:szCs w:val="24"/>
              </w:rPr>
              <w:t xml:space="preserve"> </w:t>
            </w:r>
            <w:r w:rsidR="00DE709B" w:rsidRPr="00363C47">
              <w:rPr>
                <w:rFonts w:ascii="Arial" w:hAnsi="Arial" w:cs="Arial"/>
                <w:sz w:val="24"/>
                <w:szCs w:val="24"/>
              </w:rPr>
              <w:t xml:space="preserve">- </w:t>
            </w:r>
            <w:r w:rsidR="0058228E" w:rsidRPr="00363C47">
              <w:rPr>
                <w:rFonts w:ascii="Arial" w:hAnsi="Arial" w:cs="Arial"/>
                <w:sz w:val="24"/>
                <w:szCs w:val="24"/>
              </w:rPr>
              <w:t xml:space="preserve">as was argued </w:t>
            </w:r>
            <w:r w:rsidR="00E66C18" w:rsidRPr="00363C47">
              <w:rPr>
                <w:rFonts w:ascii="Arial" w:hAnsi="Arial" w:cs="Arial"/>
                <w:sz w:val="24"/>
                <w:szCs w:val="24"/>
              </w:rPr>
              <w:t>–</w:t>
            </w:r>
            <w:r w:rsidR="00CA0679" w:rsidRPr="00363C47">
              <w:rPr>
                <w:rFonts w:ascii="Arial" w:hAnsi="Arial" w:cs="Arial"/>
                <w:sz w:val="24"/>
                <w:szCs w:val="24"/>
              </w:rPr>
              <w:t xml:space="preserve"> </w:t>
            </w:r>
            <w:r w:rsidR="00E66C18" w:rsidRPr="00363C47">
              <w:rPr>
                <w:rFonts w:ascii="Arial" w:hAnsi="Arial" w:cs="Arial"/>
                <w:sz w:val="24"/>
                <w:szCs w:val="24"/>
              </w:rPr>
              <w:t xml:space="preserve">particularly </w:t>
            </w:r>
            <w:r w:rsidR="00CA0679" w:rsidRPr="00363C47">
              <w:rPr>
                <w:rFonts w:ascii="Arial" w:hAnsi="Arial" w:cs="Arial"/>
                <w:sz w:val="24"/>
                <w:szCs w:val="24"/>
              </w:rPr>
              <w:t>if one considers the</w:t>
            </w:r>
            <w:r w:rsidR="00E66C18" w:rsidRPr="00363C47">
              <w:rPr>
                <w:rFonts w:ascii="Arial" w:hAnsi="Arial" w:cs="Arial"/>
                <w:sz w:val="24"/>
                <w:szCs w:val="24"/>
              </w:rPr>
              <w:t xml:space="preserve"> expressed</w:t>
            </w:r>
            <w:r w:rsidR="00CA0679" w:rsidRPr="00363C47">
              <w:rPr>
                <w:rFonts w:ascii="Arial" w:hAnsi="Arial" w:cs="Arial"/>
                <w:sz w:val="24"/>
                <w:szCs w:val="24"/>
              </w:rPr>
              <w:t xml:space="preserve"> dissatisfaction with the purchase price</w:t>
            </w:r>
            <w:r w:rsidR="00E66C18" w:rsidRPr="00363C47">
              <w:rPr>
                <w:rFonts w:ascii="Arial" w:hAnsi="Arial" w:cs="Arial"/>
                <w:sz w:val="24"/>
                <w:szCs w:val="24"/>
              </w:rPr>
              <w:t xml:space="preserve"> achieved for</w:t>
            </w:r>
            <w:r w:rsidR="00CA0679" w:rsidRPr="00363C47">
              <w:rPr>
                <w:rFonts w:ascii="Arial" w:hAnsi="Arial" w:cs="Arial"/>
                <w:sz w:val="24"/>
                <w:szCs w:val="24"/>
              </w:rPr>
              <w:t xml:space="preserve"> the MFV Heinaste.</w:t>
            </w:r>
            <w:r w:rsidR="0011074D" w:rsidRPr="00363C47">
              <w:rPr>
                <w:rFonts w:ascii="Arial" w:hAnsi="Arial" w:cs="Arial"/>
                <w:sz w:val="24"/>
                <w:szCs w:val="24"/>
              </w:rPr>
              <w:t xml:space="preserve"> This </w:t>
            </w:r>
            <w:r w:rsidR="0058228E" w:rsidRPr="00363C47">
              <w:rPr>
                <w:rFonts w:ascii="Arial" w:hAnsi="Arial" w:cs="Arial"/>
                <w:sz w:val="24"/>
                <w:szCs w:val="24"/>
              </w:rPr>
              <w:t>exposes that what is at play does</w:t>
            </w:r>
            <w:r w:rsidR="0011074D" w:rsidRPr="00363C47">
              <w:rPr>
                <w:rFonts w:ascii="Arial" w:hAnsi="Arial" w:cs="Arial"/>
                <w:sz w:val="24"/>
                <w:szCs w:val="24"/>
              </w:rPr>
              <w:t xml:space="preserve"> not simply</w:t>
            </w:r>
            <w:r w:rsidR="0058228E" w:rsidRPr="00363C47">
              <w:rPr>
                <w:rFonts w:ascii="Arial" w:hAnsi="Arial" w:cs="Arial"/>
                <w:sz w:val="24"/>
                <w:szCs w:val="24"/>
              </w:rPr>
              <w:t xml:space="preserve"> amount to</w:t>
            </w:r>
            <w:r w:rsidR="0011074D" w:rsidRPr="00363C47">
              <w:rPr>
                <w:rFonts w:ascii="Arial" w:hAnsi="Arial" w:cs="Arial"/>
                <w:sz w:val="24"/>
                <w:szCs w:val="24"/>
              </w:rPr>
              <w:t xml:space="preserve"> mere ‘internal squabbles’.</w:t>
            </w:r>
          </w:p>
          <w:p w:rsidR="00B33256" w:rsidRPr="00363C47" w:rsidRDefault="00B33256" w:rsidP="008D2C0D">
            <w:pPr>
              <w:spacing w:line="360" w:lineRule="auto"/>
              <w:ind w:left="-4" w:hanging="10"/>
              <w:jc w:val="both"/>
              <w:rPr>
                <w:rFonts w:ascii="Arial" w:hAnsi="Arial" w:cs="Arial"/>
                <w:sz w:val="24"/>
                <w:szCs w:val="24"/>
              </w:rPr>
            </w:pPr>
          </w:p>
          <w:p w:rsidR="0098450B" w:rsidRPr="00363C47" w:rsidRDefault="008D2C0D" w:rsidP="008D2C0D">
            <w:pPr>
              <w:spacing w:line="360" w:lineRule="auto"/>
              <w:ind w:left="-4" w:hanging="10"/>
              <w:jc w:val="both"/>
              <w:rPr>
                <w:rFonts w:ascii="Arial" w:hAnsi="Arial" w:cs="Arial"/>
                <w:sz w:val="24"/>
                <w:szCs w:val="24"/>
              </w:rPr>
            </w:pPr>
            <w:r w:rsidRPr="00363C47">
              <w:rPr>
                <w:rFonts w:ascii="Arial" w:hAnsi="Arial" w:cs="Arial"/>
                <w:sz w:val="24"/>
                <w:szCs w:val="24"/>
              </w:rPr>
              <w:t>[</w:t>
            </w:r>
            <w:r w:rsidR="002C13C6" w:rsidRPr="00363C47">
              <w:rPr>
                <w:rFonts w:ascii="Arial" w:hAnsi="Arial" w:cs="Arial"/>
                <w:sz w:val="24"/>
                <w:szCs w:val="24"/>
              </w:rPr>
              <w:t>14</w:t>
            </w:r>
            <w:r w:rsidRPr="00363C47">
              <w:rPr>
                <w:rFonts w:ascii="Arial" w:hAnsi="Arial" w:cs="Arial"/>
                <w:sz w:val="24"/>
                <w:szCs w:val="24"/>
              </w:rPr>
              <w:t>]</w:t>
            </w:r>
            <w:r w:rsidRPr="00363C47">
              <w:rPr>
                <w:rFonts w:ascii="Arial" w:hAnsi="Arial" w:cs="Arial"/>
                <w:sz w:val="24"/>
                <w:szCs w:val="24"/>
              </w:rPr>
              <w:tab/>
            </w:r>
            <w:r w:rsidR="00C95503" w:rsidRPr="00363C47">
              <w:rPr>
                <w:rFonts w:ascii="Arial" w:hAnsi="Arial" w:cs="Arial"/>
                <w:sz w:val="24"/>
                <w:szCs w:val="24"/>
              </w:rPr>
              <w:t xml:space="preserve">Finally it should be said in regard to the fact that no direct relief is claimed </w:t>
            </w:r>
            <w:r w:rsidR="00C95503" w:rsidRPr="00363C47">
              <w:rPr>
                <w:rFonts w:ascii="Arial" w:hAnsi="Arial" w:cs="Arial"/>
                <w:i/>
                <w:sz w:val="24"/>
                <w:szCs w:val="24"/>
              </w:rPr>
              <w:t>vis a vis</w:t>
            </w:r>
            <w:r w:rsidR="00C95503" w:rsidRPr="00363C47">
              <w:rPr>
                <w:rFonts w:ascii="Arial" w:hAnsi="Arial" w:cs="Arial"/>
                <w:sz w:val="24"/>
                <w:szCs w:val="24"/>
              </w:rPr>
              <w:t xml:space="preserve"> the PG and Tunacor</w:t>
            </w:r>
            <w:r w:rsidR="008F7DEA" w:rsidRPr="00363C47">
              <w:rPr>
                <w:rFonts w:ascii="Arial" w:hAnsi="Arial" w:cs="Arial"/>
                <w:sz w:val="24"/>
                <w:szCs w:val="24"/>
              </w:rPr>
              <w:t xml:space="preserve"> </w:t>
            </w:r>
            <w:r w:rsidR="000747A6" w:rsidRPr="00363C47">
              <w:rPr>
                <w:rFonts w:ascii="Arial" w:hAnsi="Arial" w:cs="Arial"/>
                <w:sz w:val="24"/>
                <w:szCs w:val="24"/>
              </w:rPr>
              <w:t xml:space="preserve">that it occurs frequently that parties are cited in litigation although no direct relief is claimed against them but who are nevertheless cited by virtue of the interest they may have in the proceedings. I believe that the current matter is such a case.   </w:t>
            </w:r>
          </w:p>
          <w:p w:rsidR="0058228E" w:rsidRPr="00363C47" w:rsidRDefault="0058228E" w:rsidP="008D2C0D">
            <w:pPr>
              <w:spacing w:line="360" w:lineRule="auto"/>
              <w:jc w:val="both"/>
              <w:rPr>
                <w:rFonts w:ascii="Arial" w:hAnsi="Arial" w:cs="Arial"/>
                <w:sz w:val="24"/>
                <w:szCs w:val="24"/>
                <w:u w:val="single"/>
              </w:rPr>
            </w:pPr>
          </w:p>
          <w:p w:rsidR="000747A6" w:rsidRPr="00363C47" w:rsidRDefault="000747A6" w:rsidP="008D2C0D">
            <w:pPr>
              <w:spacing w:line="360" w:lineRule="auto"/>
              <w:jc w:val="both"/>
              <w:rPr>
                <w:rFonts w:ascii="Arial" w:hAnsi="Arial" w:cs="Arial"/>
                <w:sz w:val="24"/>
                <w:szCs w:val="24"/>
                <w:u w:val="single"/>
              </w:rPr>
            </w:pPr>
            <w:r w:rsidRPr="00363C47">
              <w:rPr>
                <w:rFonts w:ascii="Arial" w:hAnsi="Arial" w:cs="Arial"/>
                <w:sz w:val="24"/>
                <w:szCs w:val="24"/>
                <w:u w:val="single"/>
              </w:rPr>
              <w:t>Re waiver</w:t>
            </w:r>
          </w:p>
          <w:p w:rsidR="000747A6" w:rsidRPr="00363C47" w:rsidRDefault="000747A6" w:rsidP="008D2C0D">
            <w:pPr>
              <w:spacing w:line="360" w:lineRule="auto"/>
              <w:jc w:val="both"/>
              <w:rPr>
                <w:rFonts w:ascii="Arial" w:hAnsi="Arial" w:cs="Arial"/>
                <w:sz w:val="24"/>
                <w:szCs w:val="24"/>
              </w:rPr>
            </w:pPr>
          </w:p>
          <w:p w:rsidR="00F70493" w:rsidRPr="00363C47" w:rsidRDefault="0098450B" w:rsidP="008D2C0D">
            <w:pPr>
              <w:spacing w:line="360" w:lineRule="auto"/>
              <w:jc w:val="both"/>
              <w:rPr>
                <w:rFonts w:ascii="Arial" w:hAnsi="Arial" w:cs="Arial"/>
                <w:sz w:val="24"/>
                <w:szCs w:val="24"/>
              </w:rPr>
            </w:pPr>
            <w:r w:rsidRPr="00363C47">
              <w:rPr>
                <w:rFonts w:ascii="Arial" w:hAnsi="Arial" w:cs="Arial"/>
                <w:sz w:val="24"/>
                <w:szCs w:val="24"/>
              </w:rPr>
              <w:t>[1</w:t>
            </w:r>
            <w:r w:rsidR="002C13C6" w:rsidRPr="00363C47">
              <w:rPr>
                <w:rFonts w:ascii="Arial" w:hAnsi="Arial" w:cs="Arial"/>
                <w:sz w:val="24"/>
                <w:szCs w:val="24"/>
              </w:rPr>
              <w:t>5</w:t>
            </w:r>
            <w:r w:rsidRPr="00363C47">
              <w:rPr>
                <w:rFonts w:ascii="Arial" w:hAnsi="Arial" w:cs="Arial"/>
                <w:sz w:val="24"/>
                <w:szCs w:val="24"/>
              </w:rPr>
              <w:t>]</w:t>
            </w:r>
            <w:r w:rsidRPr="00363C47">
              <w:rPr>
                <w:rFonts w:ascii="Arial" w:hAnsi="Arial" w:cs="Arial"/>
                <w:sz w:val="24"/>
                <w:szCs w:val="24"/>
              </w:rPr>
              <w:tab/>
            </w:r>
            <w:r w:rsidR="002208AF" w:rsidRPr="00363C47">
              <w:rPr>
                <w:rFonts w:ascii="Arial" w:hAnsi="Arial" w:cs="Arial"/>
                <w:sz w:val="24"/>
                <w:szCs w:val="24"/>
              </w:rPr>
              <w:t xml:space="preserve"> In this regard t</w:t>
            </w:r>
            <w:r w:rsidR="00E075E1" w:rsidRPr="00363C47">
              <w:rPr>
                <w:rFonts w:ascii="Arial" w:hAnsi="Arial" w:cs="Arial"/>
                <w:sz w:val="24"/>
                <w:szCs w:val="24"/>
              </w:rPr>
              <w:t xml:space="preserve">he applicants allege that they – out of </w:t>
            </w:r>
            <w:r w:rsidR="00E075E1" w:rsidRPr="00363C47">
              <w:rPr>
                <w:rFonts w:ascii="Arial" w:hAnsi="Arial" w:cs="Arial"/>
                <w:i/>
                <w:sz w:val="24"/>
                <w:szCs w:val="24"/>
              </w:rPr>
              <w:t xml:space="preserve">‘ an abundance of caution’’ - </w:t>
            </w:r>
            <w:r w:rsidR="00E075E1" w:rsidRPr="00363C47">
              <w:rPr>
                <w:rFonts w:ascii="Arial" w:hAnsi="Arial" w:cs="Arial"/>
                <w:sz w:val="24"/>
                <w:szCs w:val="24"/>
              </w:rPr>
              <w:t xml:space="preserve"> have written to the PG and Tunacor affording them an opportunity to – urgently – indicate </w:t>
            </w:r>
            <w:r w:rsidR="00E075E1" w:rsidRPr="00363C47">
              <w:rPr>
                <w:rFonts w:ascii="Arial" w:hAnsi="Arial" w:cs="Arial"/>
                <w:i/>
                <w:sz w:val="24"/>
                <w:szCs w:val="24"/>
              </w:rPr>
              <w:t>‘ … whether they would be interested to be joined as respondents and the reasons thereof …</w:t>
            </w:r>
            <w:r w:rsidR="00E075E1" w:rsidRPr="00363C47">
              <w:rPr>
                <w:rFonts w:ascii="Arial" w:hAnsi="Arial" w:cs="Arial"/>
                <w:sz w:val="24"/>
                <w:szCs w:val="24"/>
              </w:rPr>
              <w:t xml:space="preserve">’ and </w:t>
            </w:r>
            <w:r w:rsidR="00E075E1" w:rsidRPr="00363C47">
              <w:rPr>
                <w:rFonts w:ascii="Arial" w:hAnsi="Arial" w:cs="Arial"/>
                <w:i/>
                <w:sz w:val="24"/>
                <w:szCs w:val="24"/>
              </w:rPr>
              <w:t>‘ … should we not hear from you as requested, we are instructed to accept that you have no interest in the matter …;</w:t>
            </w:r>
            <w:r w:rsidR="00E075E1" w:rsidRPr="00363C47">
              <w:rPr>
                <w:rFonts w:ascii="Arial" w:hAnsi="Arial" w:cs="Arial"/>
                <w:sz w:val="24"/>
                <w:szCs w:val="24"/>
              </w:rPr>
              <w:t>.</w:t>
            </w:r>
          </w:p>
          <w:p w:rsidR="00E075E1" w:rsidRPr="00363C47" w:rsidRDefault="00E075E1" w:rsidP="008D2C0D">
            <w:pPr>
              <w:spacing w:line="360" w:lineRule="auto"/>
              <w:jc w:val="both"/>
              <w:rPr>
                <w:rFonts w:ascii="Arial" w:hAnsi="Arial" w:cs="Arial"/>
                <w:sz w:val="24"/>
                <w:szCs w:val="24"/>
              </w:rPr>
            </w:pPr>
          </w:p>
          <w:p w:rsidR="00EF159E" w:rsidRPr="00363C47" w:rsidRDefault="008D2C0D" w:rsidP="008D2C0D">
            <w:pPr>
              <w:spacing w:line="360" w:lineRule="auto"/>
              <w:jc w:val="both"/>
              <w:rPr>
                <w:rFonts w:ascii="Arial" w:hAnsi="Arial" w:cs="Arial"/>
                <w:sz w:val="24"/>
                <w:szCs w:val="24"/>
              </w:rPr>
            </w:pPr>
            <w:r w:rsidRPr="00363C47">
              <w:rPr>
                <w:rFonts w:ascii="Arial" w:hAnsi="Arial" w:cs="Arial"/>
                <w:sz w:val="24"/>
                <w:szCs w:val="24"/>
              </w:rPr>
              <w:t>[</w:t>
            </w:r>
            <w:r w:rsidR="002C13C6" w:rsidRPr="00363C47">
              <w:rPr>
                <w:rFonts w:ascii="Arial" w:hAnsi="Arial" w:cs="Arial"/>
                <w:sz w:val="24"/>
                <w:szCs w:val="24"/>
              </w:rPr>
              <w:t>16</w:t>
            </w:r>
            <w:r w:rsidRPr="00363C47">
              <w:rPr>
                <w:rFonts w:ascii="Arial" w:hAnsi="Arial" w:cs="Arial"/>
                <w:sz w:val="24"/>
                <w:szCs w:val="24"/>
              </w:rPr>
              <w:t>]</w:t>
            </w:r>
            <w:r w:rsidRPr="00363C47">
              <w:rPr>
                <w:rFonts w:ascii="Arial" w:hAnsi="Arial" w:cs="Arial"/>
                <w:sz w:val="24"/>
                <w:szCs w:val="24"/>
              </w:rPr>
              <w:tab/>
            </w:r>
            <w:r w:rsidR="00E075E1" w:rsidRPr="00363C47">
              <w:rPr>
                <w:rFonts w:ascii="Arial" w:hAnsi="Arial" w:cs="Arial"/>
                <w:sz w:val="24"/>
                <w:szCs w:val="24"/>
              </w:rPr>
              <w:t>While</w:t>
            </w:r>
            <w:r w:rsidR="002208AF" w:rsidRPr="00363C47">
              <w:rPr>
                <w:rFonts w:ascii="Arial" w:hAnsi="Arial" w:cs="Arial"/>
                <w:sz w:val="24"/>
                <w:szCs w:val="24"/>
              </w:rPr>
              <w:t xml:space="preserve"> it is uncontroverted that a party can waive the right to be joined and while</w:t>
            </w:r>
            <w:r w:rsidR="00E075E1" w:rsidRPr="00363C47">
              <w:rPr>
                <w:rFonts w:ascii="Arial" w:hAnsi="Arial" w:cs="Arial"/>
                <w:sz w:val="24"/>
                <w:szCs w:val="24"/>
              </w:rPr>
              <w:t xml:space="preserve"> particularly the last request would amount, for the lack of a better phrase, to ‘clever lawyering’, it goes without saying that such an approach cannot pass muster</w:t>
            </w:r>
            <w:r w:rsidR="00F40069" w:rsidRPr="00363C47">
              <w:rPr>
                <w:rFonts w:ascii="Arial" w:hAnsi="Arial" w:cs="Arial"/>
                <w:sz w:val="24"/>
                <w:szCs w:val="24"/>
              </w:rPr>
              <w:t xml:space="preserve"> as the PG and Tunacor where</w:t>
            </w:r>
            <w:r w:rsidR="002208AF" w:rsidRPr="00363C47">
              <w:rPr>
                <w:rFonts w:ascii="Arial" w:hAnsi="Arial" w:cs="Arial"/>
                <w:sz w:val="24"/>
                <w:szCs w:val="24"/>
              </w:rPr>
              <w:t xml:space="preserve"> clearly</w:t>
            </w:r>
            <w:r w:rsidR="00F40069" w:rsidRPr="00363C47">
              <w:rPr>
                <w:rFonts w:ascii="Arial" w:hAnsi="Arial" w:cs="Arial"/>
                <w:sz w:val="24"/>
                <w:szCs w:val="24"/>
              </w:rPr>
              <w:t xml:space="preserve"> not fully appraised</w:t>
            </w:r>
            <w:r w:rsidR="002208AF" w:rsidRPr="00363C47">
              <w:rPr>
                <w:rFonts w:ascii="Arial" w:hAnsi="Arial" w:cs="Arial"/>
                <w:sz w:val="24"/>
                <w:szCs w:val="24"/>
              </w:rPr>
              <w:t xml:space="preserve"> of the parameters of</w:t>
            </w:r>
            <w:r w:rsidR="0058228E" w:rsidRPr="00363C47">
              <w:rPr>
                <w:rFonts w:ascii="Arial" w:hAnsi="Arial" w:cs="Arial"/>
                <w:sz w:val="24"/>
                <w:szCs w:val="24"/>
              </w:rPr>
              <w:t xml:space="preserve"> the</w:t>
            </w:r>
            <w:r w:rsidR="002208AF" w:rsidRPr="00363C47">
              <w:rPr>
                <w:rFonts w:ascii="Arial" w:hAnsi="Arial" w:cs="Arial"/>
                <w:sz w:val="24"/>
                <w:szCs w:val="24"/>
              </w:rPr>
              <w:t xml:space="preserve"> case against which their decision</w:t>
            </w:r>
            <w:r w:rsidR="0058228E" w:rsidRPr="00363C47">
              <w:rPr>
                <w:rFonts w:ascii="Arial" w:hAnsi="Arial" w:cs="Arial"/>
                <w:sz w:val="24"/>
                <w:szCs w:val="24"/>
              </w:rPr>
              <w:t xml:space="preserve"> relating to waiver</w:t>
            </w:r>
            <w:r w:rsidR="002208AF" w:rsidRPr="00363C47">
              <w:rPr>
                <w:rFonts w:ascii="Arial" w:hAnsi="Arial" w:cs="Arial"/>
                <w:sz w:val="24"/>
                <w:szCs w:val="24"/>
              </w:rPr>
              <w:t xml:space="preserve"> had to be made</w:t>
            </w:r>
            <w:r w:rsidR="00F55ED8" w:rsidRPr="00363C47">
              <w:rPr>
                <w:rFonts w:ascii="Arial" w:hAnsi="Arial" w:cs="Arial"/>
                <w:sz w:val="24"/>
                <w:szCs w:val="24"/>
              </w:rPr>
              <w:t>. Also</w:t>
            </w:r>
            <w:r w:rsidR="00F40069" w:rsidRPr="00363C47">
              <w:rPr>
                <w:rFonts w:ascii="Arial" w:hAnsi="Arial" w:cs="Arial"/>
                <w:sz w:val="24"/>
                <w:szCs w:val="24"/>
              </w:rPr>
              <w:t xml:space="preserve"> the requirements</w:t>
            </w:r>
            <w:r w:rsidR="002208AF" w:rsidRPr="00363C47">
              <w:rPr>
                <w:rFonts w:ascii="Arial" w:hAnsi="Arial" w:cs="Arial"/>
                <w:sz w:val="24"/>
                <w:szCs w:val="24"/>
              </w:rPr>
              <w:t>,</w:t>
            </w:r>
            <w:r w:rsidR="00F40069" w:rsidRPr="00363C47">
              <w:rPr>
                <w:rFonts w:ascii="Arial" w:hAnsi="Arial" w:cs="Arial"/>
                <w:sz w:val="24"/>
                <w:szCs w:val="24"/>
              </w:rPr>
              <w:t xml:space="preserve"> in regard to</w:t>
            </w:r>
            <w:r w:rsidR="00F55ED8" w:rsidRPr="00363C47">
              <w:rPr>
                <w:rFonts w:ascii="Arial" w:hAnsi="Arial" w:cs="Arial"/>
                <w:sz w:val="24"/>
                <w:szCs w:val="24"/>
              </w:rPr>
              <w:t xml:space="preserve"> the</w:t>
            </w:r>
            <w:r w:rsidR="00F40069" w:rsidRPr="00363C47">
              <w:rPr>
                <w:rFonts w:ascii="Arial" w:hAnsi="Arial" w:cs="Arial"/>
                <w:sz w:val="24"/>
                <w:szCs w:val="24"/>
              </w:rPr>
              <w:t xml:space="preserve"> full and proper disclosure</w:t>
            </w:r>
            <w:r w:rsidR="00F55ED8" w:rsidRPr="00363C47">
              <w:rPr>
                <w:rFonts w:ascii="Arial" w:hAnsi="Arial" w:cs="Arial"/>
                <w:sz w:val="24"/>
                <w:szCs w:val="24"/>
              </w:rPr>
              <w:t xml:space="preserve"> of all papers</w:t>
            </w:r>
            <w:r w:rsidR="002208AF" w:rsidRPr="00363C47">
              <w:rPr>
                <w:rFonts w:ascii="Arial" w:hAnsi="Arial" w:cs="Arial"/>
                <w:sz w:val="24"/>
                <w:szCs w:val="24"/>
              </w:rPr>
              <w:t>,</w:t>
            </w:r>
            <w:r w:rsidR="00F40069" w:rsidRPr="00363C47">
              <w:rPr>
                <w:rFonts w:ascii="Arial" w:hAnsi="Arial" w:cs="Arial"/>
                <w:sz w:val="24"/>
                <w:szCs w:val="24"/>
              </w:rPr>
              <w:t xml:space="preserve"> where</w:t>
            </w:r>
            <w:r w:rsidR="002208AF" w:rsidRPr="00363C47">
              <w:rPr>
                <w:rFonts w:ascii="Arial" w:hAnsi="Arial" w:cs="Arial"/>
                <w:sz w:val="24"/>
                <w:szCs w:val="24"/>
              </w:rPr>
              <w:t xml:space="preserve"> thus</w:t>
            </w:r>
            <w:r w:rsidR="00F40069" w:rsidRPr="00363C47">
              <w:rPr>
                <w:rFonts w:ascii="Arial" w:hAnsi="Arial" w:cs="Arial"/>
                <w:sz w:val="24"/>
                <w:szCs w:val="24"/>
              </w:rPr>
              <w:t xml:space="preserve"> not met </w:t>
            </w:r>
            <w:r w:rsidR="002208AF" w:rsidRPr="00363C47">
              <w:rPr>
                <w:rFonts w:ascii="Arial" w:hAnsi="Arial" w:cs="Arial"/>
                <w:sz w:val="24"/>
                <w:szCs w:val="24"/>
              </w:rPr>
              <w:t xml:space="preserve">by the relied upon letter </w:t>
            </w:r>
            <w:r w:rsidR="00F40069" w:rsidRPr="00363C47">
              <w:rPr>
                <w:rFonts w:ascii="Arial" w:hAnsi="Arial" w:cs="Arial"/>
                <w:sz w:val="24"/>
                <w:szCs w:val="24"/>
              </w:rPr>
              <w:t>against which an ‘educated decision’</w:t>
            </w:r>
            <w:r w:rsidR="00F55ED8" w:rsidRPr="00363C47">
              <w:rPr>
                <w:rFonts w:ascii="Arial" w:hAnsi="Arial" w:cs="Arial"/>
                <w:sz w:val="24"/>
                <w:szCs w:val="24"/>
              </w:rPr>
              <w:t>,</w:t>
            </w:r>
            <w:r w:rsidR="00F40069" w:rsidRPr="00363C47">
              <w:rPr>
                <w:rFonts w:ascii="Arial" w:hAnsi="Arial" w:cs="Arial"/>
                <w:sz w:val="24"/>
                <w:szCs w:val="24"/>
              </w:rPr>
              <w:t xml:space="preserve"> to intervene or not</w:t>
            </w:r>
            <w:r w:rsidR="00F55ED8" w:rsidRPr="00363C47">
              <w:rPr>
                <w:rFonts w:ascii="Arial" w:hAnsi="Arial" w:cs="Arial"/>
                <w:sz w:val="24"/>
                <w:szCs w:val="24"/>
              </w:rPr>
              <w:t>,</w:t>
            </w:r>
            <w:r w:rsidR="00F40069" w:rsidRPr="00363C47">
              <w:rPr>
                <w:rFonts w:ascii="Arial" w:hAnsi="Arial" w:cs="Arial"/>
                <w:sz w:val="24"/>
                <w:szCs w:val="24"/>
              </w:rPr>
              <w:t xml:space="preserve"> could</w:t>
            </w:r>
            <w:r w:rsidR="008B2A46" w:rsidRPr="00363C47">
              <w:rPr>
                <w:rFonts w:ascii="Arial" w:hAnsi="Arial" w:cs="Arial"/>
                <w:sz w:val="24"/>
                <w:szCs w:val="24"/>
              </w:rPr>
              <w:t xml:space="preserve"> never</w:t>
            </w:r>
            <w:r w:rsidR="00F40069" w:rsidRPr="00363C47">
              <w:rPr>
                <w:rFonts w:ascii="Arial" w:hAnsi="Arial" w:cs="Arial"/>
                <w:sz w:val="24"/>
                <w:szCs w:val="24"/>
              </w:rPr>
              <w:t xml:space="preserve"> have been made. This is particularly also so because of the dangers and risks associated with having regard to extra-judicial notice, put before the Court </w:t>
            </w:r>
            <w:r w:rsidR="00F40069" w:rsidRPr="00363C47">
              <w:rPr>
                <w:rFonts w:ascii="Arial" w:hAnsi="Arial" w:cs="Arial"/>
                <w:i/>
                <w:sz w:val="24"/>
                <w:szCs w:val="24"/>
              </w:rPr>
              <w:t>ex parte</w:t>
            </w:r>
            <w:r w:rsidR="00F40069" w:rsidRPr="00363C47">
              <w:rPr>
                <w:rFonts w:ascii="Arial" w:hAnsi="Arial" w:cs="Arial"/>
                <w:sz w:val="24"/>
                <w:szCs w:val="24"/>
              </w:rPr>
              <w:t xml:space="preserve"> and as alluded to already by Fagan JA in </w:t>
            </w:r>
            <w:r w:rsidR="00F40069" w:rsidRPr="00363C47">
              <w:rPr>
                <w:rFonts w:ascii="Arial" w:hAnsi="Arial" w:cs="Arial"/>
                <w:i/>
                <w:sz w:val="24"/>
                <w:szCs w:val="24"/>
              </w:rPr>
              <w:t>Amalgamated Engineering Union.</w:t>
            </w:r>
            <w:r w:rsidR="00F40069" w:rsidRPr="00363C47">
              <w:rPr>
                <w:rStyle w:val="FootnoteReference"/>
                <w:rFonts w:ascii="Arial" w:hAnsi="Arial" w:cs="Arial"/>
                <w:i/>
                <w:sz w:val="24"/>
                <w:szCs w:val="24"/>
              </w:rPr>
              <w:footnoteReference w:id="13"/>
            </w:r>
            <w:r w:rsidR="00F40069" w:rsidRPr="00363C47">
              <w:rPr>
                <w:rFonts w:ascii="Arial" w:hAnsi="Arial" w:cs="Arial"/>
                <w:sz w:val="24"/>
                <w:szCs w:val="24"/>
              </w:rPr>
              <w:t xml:space="preserve"> </w:t>
            </w:r>
            <w:r w:rsidR="00F70493" w:rsidRPr="00363C47">
              <w:rPr>
                <w:rFonts w:ascii="Arial" w:hAnsi="Arial" w:cs="Arial"/>
                <w:sz w:val="24"/>
                <w:szCs w:val="24"/>
              </w:rPr>
              <w:tab/>
            </w:r>
          </w:p>
          <w:p w:rsidR="002208AF" w:rsidRPr="00363C47" w:rsidRDefault="002208AF" w:rsidP="008D2C0D">
            <w:pPr>
              <w:spacing w:line="360" w:lineRule="auto"/>
              <w:ind w:left="-4" w:hanging="10"/>
              <w:rPr>
                <w:rFonts w:ascii="Arial" w:hAnsi="Arial" w:cs="Arial"/>
                <w:sz w:val="24"/>
                <w:szCs w:val="24"/>
              </w:rPr>
            </w:pPr>
          </w:p>
          <w:p w:rsidR="005A21FD" w:rsidRPr="00363C47" w:rsidRDefault="008D2C0D" w:rsidP="008D2C0D">
            <w:pPr>
              <w:spacing w:line="360" w:lineRule="auto"/>
              <w:ind w:left="-4" w:hanging="10"/>
              <w:rPr>
                <w:rFonts w:ascii="Arial" w:hAnsi="Arial" w:cs="Arial"/>
              </w:rPr>
            </w:pPr>
            <w:r w:rsidRPr="00363C47">
              <w:rPr>
                <w:rFonts w:ascii="Arial" w:hAnsi="Arial" w:cs="Arial"/>
                <w:sz w:val="24"/>
                <w:szCs w:val="24"/>
              </w:rPr>
              <w:t>[</w:t>
            </w:r>
            <w:r w:rsidR="002C13C6" w:rsidRPr="00363C47">
              <w:rPr>
                <w:rFonts w:ascii="Arial" w:hAnsi="Arial" w:cs="Arial"/>
                <w:sz w:val="24"/>
                <w:szCs w:val="24"/>
              </w:rPr>
              <w:t>17</w:t>
            </w:r>
            <w:r w:rsidRPr="00363C47">
              <w:rPr>
                <w:rFonts w:ascii="Arial" w:hAnsi="Arial" w:cs="Arial"/>
                <w:sz w:val="24"/>
                <w:szCs w:val="24"/>
              </w:rPr>
              <w:t>]</w:t>
            </w:r>
            <w:r w:rsidRPr="00363C47">
              <w:rPr>
                <w:rFonts w:ascii="Arial" w:hAnsi="Arial" w:cs="Arial"/>
                <w:sz w:val="24"/>
                <w:szCs w:val="24"/>
              </w:rPr>
              <w:tab/>
            </w:r>
            <w:r w:rsidR="002208AF" w:rsidRPr="00363C47">
              <w:rPr>
                <w:rFonts w:ascii="Arial" w:hAnsi="Arial" w:cs="Arial"/>
                <w:sz w:val="24"/>
                <w:szCs w:val="24"/>
              </w:rPr>
              <w:t>Be that as it may.</w:t>
            </w:r>
          </w:p>
          <w:p w:rsidR="00BF75A0" w:rsidRPr="00363C47" w:rsidRDefault="00BF75A0" w:rsidP="008D2C0D">
            <w:pPr>
              <w:spacing w:line="360" w:lineRule="auto"/>
              <w:jc w:val="both"/>
              <w:rPr>
                <w:rFonts w:ascii="Arial" w:hAnsi="Arial" w:cs="Arial"/>
                <w:sz w:val="24"/>
                <w:szCs w:val="24"/>
              </w:rPr>
            </w:pPr>
          </w:p>
          <w:p w:rsidR="0098450B" w:rsidRPr="00363C47" w:rsidRDefault="008D2C0D" w:rsidP="008D2C0D">
            <w:pPr>
              <w:spacing w:line="360" w:lineRule="auto"/>
              <w:jc w:val="both"/>
              <w:rPr>
                <w:rFonts w:ascii="Arial" w:hAnsi="Arial" w:cs="Arial"/>
                <w:sz w:val="24"/>
                <w:szCs w:val="24"/>
              </w:rPr>
            </w:pPr>
            <w:r w:rsidRPr="00363C47">
              <w:rPr>
                <w:rFonts w:ascii="Arial" w:hAnsi="Arial" w:cs="Arial"/>
                <w:sz w:val="24"/>
                <w:szCs w:val="24"/>
              </w:rPr>
              <w:t>[</w:t>
            </w:r>
            <w:r w:rsidR="002C13C6" w:rsidRPr="00363C47">
              <w:rPr>
                <w:rFonts w:ascii="Arial" w:hAnsi="Arial" w:cs="Arial"/>
                <w:sz w:val="24"/>
                <w:szCs w:val="24"/>
              </w:rPr>
              <w:t>18</w:t>
            </w:r>
            <w:r w:rsidRPr="00363C47">
              <w:rPr>
                <w:rFonts w:ascii="Arial" w:hAnsi="Arial" w:cs="Arial"/>
                <w:sz w:val="24"/>
                <w:szCs w:val="24"/>
              </w:rPr>
              <w:t>]</w:t>
            </w:r>
            <w:r w:rsidRPr="00363C47">
              <w:rPr>
                <w:rFonts w:ascii="Arial" w:hAnsi="Arial" w:cs="Arial"/>
                <w:sz w:val="24"/>
                <w:szCs w:val="24"/>
              </w:rPr>
              <w:tab/>
            </w:r>
            <w:r w:rsidR="002208AF" w:rsidRPr="00363C47">
              <w:rPr>
                <w:rFonts w:ascii="Arial" w:hAnsi="Arial" w:cs="Arial"/>
                <w:sz w:val="24"/>
                <w:szCs w:val="24"/>
              </w:rPr>
              <w:t>In any event applicants allege further</w:t>
            </w:r>
            <w:r w:rsidR="003A0598" w:rsidRPr="00363C47">
              <w:rPr>
                <w:rFonts w:ascii="Arial" w:hAnsi="Arial" w:cs="Arial"/>
                <w:sz w:val="24"/>
                <w:szCs w:val="24"/>
              </w:rPr>
              <w:t xml:space="preserve"> </w:t>
            </w:r>
            <w:r w:rsidR="0039106E" w:rsidRPr="00363C47">
              <w:rPr>
                <w:rFonts w:ascii="Arial" w:hAnsi="Arial" w:cs="Arial"/>
                <w:sz w:val="24"/>
                <w:szCs w:val="24"/>
              </w:rPr>
              <w:t>:</w:t>
            </w:r>
          </w:p>
          <w:p w:rsidR="0039106E" w:rsidRPr="00363C47" w:rsidRDefault="0039106E" w:rsidP="008D2C0D">
            <w:pPr>
              <w:spacing w:line="360" w:lineRule="auto"/>
              <w:jc w:val="both"/>
              <w:rPr>
                <w:rFonts w:ascii="Arial" w:hAnsi="Arial" w:cs="Arial"/>
                <w:sz w:val="24"/>
                <w:szCs w:val="24"/>
              </w:rPr>
            </w:pPr>
          </w:p>
          <w:p w:rsidR="0039106E" w:rsidRPr="00363C47" w:rsidRDefault="0039106E" w:rsidP="008D2C0D">
            <w:pPr>
              <w:keepNext/>
              <w:keepLines/>
              <w:spacing w:line="360" w:lineRule="auto"/>
              <w:jc w:val="both"/>
              <w:rPr>
                <w:rFonts w:ascii="Arial" w:hAnsi="Arial" w:cs="Arial"/>
              </w:rPr>
            </w:pPr>
            <w:r w:rsidRPr="00363C47">
              <w:rPr>
                <w:rFonts w:ascii="Arial" w:hAnsi="Arial" w:cs="Arial"/>
              </w:rPr>
              <w:lastRenderedPageBreak/>
              <w:t xml:space="preserve">             ‘Tunacor has confirmed telephonically that it does not wish to be joined to the proceedings, which the applicants’ attorneys have recorded in writing.</w:t>
            </w:r>
            <w:r w:rsidRPr="00363C47">
              <w:rPr>
                <w:rStyle w:val="FootnoteReference"/>
                <w:rFonts w:ascii="Arial" w:hAnsi="Arial" w:cs="Arial"/>
              </w:rPr>
              <w:footnoteReference w:id="14"/>
            </w:r>
            <w:r w:rsidRPr="00363C47">
              <w:rPr>
                <w:rFonts w:ascii="Arial" w:hAnsi="Arial" w:cs="Arial"/>
              </w:rPr>
              <w:t xml:space="preserve"> Tunacor has thus explicitly waived its right to be joined.</w:t>
            </w:r>
          </w:p>
          <w:p w:rsidR="0039106E" w:rsidRPr="00363C47" w:rsidRDefault="0039106E" w:rsidP="008D2C0D">
            <w:pPr>
              <w:keepNext/>
              <w:keepLines/>
              <w:spacing w:line="360" w:lineRule="auto"/>
              <w:jc w:val="both"/>
              <w:rPr>
                <w:rFonts w:ascii="Arial" w:hAnsi="Arial" w:cs="Arial"/>
              </w:rPr>
            </w:pPr>
            <w:r w:rsidRPr="00363C47">
              <w:rPr>
                <w:rFonts w:ascii="Arial" w:hAnsi="Arial" w:cs="Arial"/>
              </w:rPr>
              <w:t>The PG received the written correspondence but indicated in a letter dated 27 May 2021 that it could not respond by Wednesday, 26 May 2021, as requested by the applicants’ attorney of record. The letter was referred to the Attorney-General for consideration. No further written correspondence has been received from the PG in this regard.</w:t>
            </w:r>
          </w:p>
          <w:p w:rsidR="0039106E" w:rsidRPr="00363C47" w:rsidRDefault="0039106E" w:rsidP="008D2C0D">
            <w:pPr>
              <w:keepNext/>
              <w:keepLines/>
              <w:spacing w:line="360" w:lineRule="auto"/>
              <w:jc w:val="both"/>
              <w:rPr>
                <w:rFonts w:ascii="Arial" w:hAnsi="Arial" w:cs="Arial"/>
              </w:rPr>
            </w:pPr>
            <w:r w:rsidRPr="00363C47">
              <w:rPr>
                <w:rFonts w:ascii="Arial" w:hAnsi="Arial" w:cs="Arial"/>
              </w:rPr>
              <w:t>The aforementioned correspondence has been jointly placed before the Court during the case management process and by an Affidavit filed in terms of Rule 32 (10).</w:t>
            </w:r>
            <w:r w:rsidRPr="00363C47">
              <w:rPr>
                <w:rStyle w:val="FootnoteReference"/>
                <w:rFonts w:ascii="Arial" w:hAnsi="Arial" w:cs="Arial"/>
              </w:rPr>
              <w:footnoteReference w:id="15"/>
            </w:r>
            <w:r w:rsidRPr="00363C47">
              <w:rPr>
                <w:rFonts w:ascii="Arial" w:hAnsi="Arial" w:cs="Arial"/>
              </w:rPr>
              <w:t xml:space="preserve"> </w:t>
            </w:r>
          </w:p>
          <w:p w:rsidR="00F6792B" w:rsidRPr="00363C47" w:rsidRDefault="00F6792B" w:rsidP="008D2C0D">
            <w:pPr>
              <w:spacing w:line="360" w:lineRule="auto"/>
              <w:jc w:val="both"/>
              <w:rPr>
                <w:rFonts w:ascii="Arial" w:hAnsi="Arial" w:cs="Arial"/>
                <w:sz w:val="24"/>
                <w:szCs w:val="24"/>
              </w:rPr>
            </w:pPr>
          </w:p>
          <w:p w:rsidR="0039106E" w:rsidRPr="00363C47" w:rsidRDefault="008D2C0D" w:rsidP="008D2C0D">
            <w:pPr>
              <w:spacing w:line="360" w:lineRule="auto"/>
              <w:jc w:val="both"/>
              <w:rPr>
                <w:rFonts w:ascii="Arial" w:hAnsi="Arial" w:cs="Arial"/>
                <w:sz w:val="24"/>
                <w:szCs w:val="24"/>
              </w:rPr>
            </w:pPr>
            <w:r w:rsidRPr="00363C47">
              <w:rPr>
                <w:rFonts w:ascii="Arial" w:hAnsi="Arial" w:cs="Arial"/>
                <w:sz w:val="24"/>
                <w:szCs w:val="24"/>
              </w:rPr>
              <w:t>[</w:t>
            </w:r>
            <w:r w:rsidR="00F6792B" w:rsidRPr="00363C47">
              <w:rPr>
                <w:rFonts w:ascii="Arial" w:hAnsi="Arial" w:cs="Arial"/>
                <w:sz w:val="24"/>
                <w:szCs w:val="24"/>
              </w:rPr>
              <w:t>19</w:t>
            </w:r>
            <w:r w:rsidRPr="00363C47">
              <w:rPr>
                <w:rFonts w:ascii="Arial" w:hAnsi="Arial" w:cs="Arial"/>
                <w:sz w:val="24"/>
                <w:szCs w:val="24"/>
              </w:rPr>
              <w:t>]</w:t>
            </w:r>
            <w:r w:rsidRPr="00363C47">
              <w:rPr>
                <w:rFonts w:ascii="Arial" w:hAnsi="Arial" w:cs="Arial"/>
                <w:sz w:val="24"/>
                <w:szCs w:val="24"/>
              </w:rPr>
              <w:tab/>
            </w:r>
            <w:r w:rsidR="0039106E" w:rsidRPr="00363C47">
              <w:rPr>
                <w:rFonts w:ascii="Arial" w:hAnsi="Arial" w:cs="Arial"/>
                <w:iCs/>
                <w:sz w:val="24"/>
                <w:szCs w:val="24"/>
              </w:rPr>
              <w:t>These argument where exposed to be without merit by the counter-submiss</w:t>
            </w:r>
            <w:r w:rsidR="0011074D" w:rsidRPr="00363C47">
              <w:rPr>
                <w:rFonts w:ascii="Arial" w:hAnsi="Arial" w:cs="Arial"/>
                <w:iCs/>
                <w:sz w:val="24"/>
                <w:szCs w:val="24"/>
              </w:rPr>
              <w:t>ion</w:t>
            </w:r>
            <w:r w:rsidR="008B2A46" w:rsidRPr="00363C47">
              <w:rPr>
                <w:rFonts w:ascii="Arial" w:hAnsi="Arial" w:cs="Arial"/>
                <w:iCs/>
                <w:sz w:val="24"/>
                <w:szCs w:val="24"/>
              </w:rPr>
              <w:t>s</w:t>
            </w:r>
            <w:r w:rsidR="0011074D" w:rsidRPr="00363C47">
              <w:rPr>
                <w:rFonts w:ascii="Arial" w:hAnsi="Arial" w:cs="Arial"/>
                <w:iCs/>
                <w:sz w:val="24"/>
                <w:szCs w:val="24"/>
              </w:rPr>
              <w:t xml:space="preserve"> made in this regard and</w:t>
            </w:r>
            <w:r w:rsidR="0039106E" w:rsidRPr="00363C47">
              <w:rPr>
                <w:rFonts w:ascii="Arial" w:hAnsi="Arial" w:cs="Arial"/>
                <w:iCs/>
                <w:sz w:val="24"/>
                <w:szCs w:val="24"/>
              </w:rPr>
              <w:t xml:space="preserve"> which</w:t>
            </w:r>
            <w:r w:rsidR="0011074D" w:rsidRPr="00363C47">
              <w:rPr>
                <w:rFonts w:ascii="Arial" w:hAnsi="Arial" w:cs="Arial"/>
                <w:iCs/>
                <w:sz w:val="24"/>
                <w:szCs w:val="24"/>
              </w:rPr>
              <w:t xml:space="preserve"> – because I will uphold them – I will quote verbatim:</w:t>
            </w:r>
          </w:p>
          <w:p w:rsidR="0011074D" w:rsidRPr="00363C47" w:rsidRDefault="0011074D" w:rsidP="00DD7576">
            <w:pPr>
              <w:spacing w:line="360" w:lineRule="auto"/>
              <w:rPr>
                <w:rFonts w:ascii="Arial" w:hAnsi="Arial" w:cs="Arial"/>
              </w:rPr>
            </w:pPr>
          </w:p>
          <w:p w:rsidR="0011074D" w:rsidRPr="00363C47" w:rsidRDefault="00F6792B" w:rsidP="008D2C0D">
            <w:pPr>
              <w:spacing w:line="360" w:lineRule="auto"/>
              <w:jc w:val="both"/>
              <w:rPr>
                <w:rFonts w:ascii="Arial" w:hAnsi="Arial" w:cs="Arial"/>
              </w:rPr>
            </w:pPr>
            <w:r w:rsidRPr="00363C47">
              <w:rPr>
                <w:rFonts w:ascii="Arial" w:hAnsi="Arial" w:cs="Arial"/>
                <w:sz w:val="24"/>
                <w:szCs w:val="24"/>
              </w:rPr>
              <w:tab/>
            </w:r>
            <w:r w:rsidRPr="00363C47">
              <w:rPr>
                <w:rFonts w:ascii="Arial" w:hAnsi="Arial" w:cs="Arial"/>
              </w:rPr>
              <w:t xml:space="preserve"> </w:t>
            </w:r>
            <w:r w:rsidR="0011074D" w:rsidRPr="00363C47">
              <w:rPr>
                <w:rFonts w:ascii="Arial" w:hAnsi="Arial" w:cs="Arial"/>
              </w:rPr>
              <w:t>‘The applicants argue in their heads of argument that they wrote to the Prosecutor General and Tunacor purportedly to “</w:t>
            </w:r>
            <w:r w:rsidR="0011074D" w:rsidRPr="00363C47">
              <w:rPr>
                <w:rFonts w:ascii="Arial" w:hAnsi="Arial" w:cs="Arial"/>
                <w:i/>
              </w:rPr>
              <w:t>afford</w:t>
            </w:r>
            <w:r w:rsidR="0011074D" w:rsidRPr="00363C47">
              <w:rPr>
                <w:rFonts w:ascii="Arial" w:hAnsi="Arial" w:cs="Arial"/>
              </w:rPr>
              <w:t>” them “</w:t>
            </w:r>
            <w:r w:rsidR="0011074D" w:rsidRPr="00363C47">
              <w:rPr>
                <w:rFonts w:ascii="Arial" w:hAnsi="Arial" w:cs="Arial"/>
                <w:i/>
              </w:rPr>
              <w:t>an opportunity to indicate…. whether you are interested to be joined as respondents</w:t>
            </w:r>
            <w:r w:rsidR="0011074D" w:rsidRPr="00363C47">
              <w:rPr>
                <w:rFonts w:ascii="Arial" w:hAnsi="Arial" w:cs="Arial"/>
              </w:rPr>
              <w:t>.”</w:t>
            </w:r>
            <w:r w:rsidR="0011074D" w:rsidRPr="00363C47">
              <w:rPr>
                <w:rFonts w:ascii="Arial" w:hAnsi="Arial" w:cs="Arial"/>
                <w:vertAlign w:val="superscript"/>
              </w:rPr>
              <w:footnoteReference w:id="16"/>
            </w:r>
            <w:r w:rsidR="0011074D" w:rsidRPr="00363C47">
              <w:rPr>
                <w:rFonts w:ascii="Arial" w:hAnsi="Arial" w:cs="Arial"/>
              </w:rPr>
              <w:t xml:space="preserve"> None of them responded that they do not wish to be joined. </w:t>
            </w:r>
          </w:p>
          <w:p w:rsidR="0011074D" w:rsidRPr="00363C47" w:rsidRDefault="0011074D" w:rsidP="008D2C0D">
            <w:pPr>
              <w:spacing w:line="360" w:lineRule="auto"/>
              <w:jc w:val="both"/>
              <w:rPr>
                <w:rFonts w:ascii="Arial" w:hAnsi="Arial" w:cs="Arial"/>
              </w:rPr>
            </w:pPr>
            <w:r w:rsidRPr="00363C47">
              <w:rPr>
                <w:rFonts w:ascii="Arial" w:hAnsi="Arial" w:cs="Arial"/>
              </w:rPr>
              <w:t xml:space="preserve">The Prosecutor General made plain that she referred the applicant’s letter “to our legal representative, Government-Attorney, to advise us regarding the application referred to in your letter, as well as the request.” The PG’s referral of the matter for advice to the Government Attorney is telling. We submit that in absence of an express waiver by the PG, the applicants ought to bring a joinder application. </w:t>
            </w:r>
          </w:p>
          <w:p w:rsidR="0011074D" w:rsidRPr="00363C47" w:rsidRDefault="0011074D" w:rsidP="008D2C0D">
            <w:pPr>
              <w:spacing w:line="360" w:lineRule="auto"/>
              <w:ind w:left="721"/>
              <w:rPr>
                <w:rFonts w:ascii="Arial" w:hAnsi="Arial" w:cs="Arial"/>
              </w:rPr>
            </w:pPr>
            <w:r w:rsidRPr="00363C47">
              <w:rPr>
                <w:rFonts w:ascii="Arial" w:hAnsi="Arial" w:cs="Arial"/>
              </w:rPr>
              <w:t xml:space="preserve"> </w:t>
            </w:r>
          </w:p>
          <w:p w:rsidR="0011074D" w:rsidRPr="00363C47" w:rsidRDefault="0011074D" w:rsidP="008D2C0D">
            <w:pPr>
              <w:spacing w:line="360" w:lineRule="auto"/>
              <w:jc w:val="both"/>
              <w:rPr>
                <w:rFonts w:ascii="Arial" w:hAnsi="Arial" w:cs="Arial"/>
              </w:rPr>
            </w:pPr>
            <w:r w:rsidRPr="00363C47">
              <w:rPr>
                <w:rFonts w:ascii="Arial" w:hAnsi="Arial" w:cs="Arial"/>
              </w:rPr>
              <w:t xml:space="preserve">On applicant’s version, Tunacor responded to the applicants’ second letter which suggested that it does not want to be joined, that “Ms Karabosweni acknowledged receipt of the letter and advised that a response shall be forthcoming on (date).” This response from Tunacor can never be construed to be a waiver. It does not meet the requisites for a defense of waiver.  </w:t>
            </w:r>
          </w:p>
          <w:p w:rsidR="0011074D" w:rsidRPr="00363C47" w:rsidRDefault="0011074D" w:rsidP="008D2C0D">
            <w:pPr>
              <w:spacing w:line="360" w:lineRule="auto"/>
              <w:ind w:left="721"/>
              <w:rPr>
                <w:rFonts w:ascii="Arial" w:hAnsi="Arial" w:cs="Arial"/>
              </w:rPr>
            </w:pPr>
            <w:r w:rsidRPr="00363C47">
              <w:rPr>
                <w:rFonts w:ascii="Arial" w:hAnsi="Arial" w:cs="Arial"/>
              </w:rPr>
              <w:t xml:space="preserve"> </w:t>
            </w:r>
          </w:p>
          <w:p w:rsidR="0011074D" w:rsidRPr="00363C47" w:rsidRDefault="0011074D" w:rsidP="008D2C0D">
            <w:pPr>
              <w:spacing w:line="360" w:lineRule="auto"/>
              <w:jc w:val="both"/>
              <w:rPr>
                <w:rFonts w:ascii="Arial" w:hAnsi="Arial" w:cs="Arial"/>
              </w:rPr>
            </w:pPr>
            <w:r w:rsidRPr="00363C47">
              <w:rPr>
                <w:rFonts w:ascii="Arial" w:hAnsi="Arial" w:cs="Arial"/>
              </w:rPr>
              <w:t xml:space="preserve">Requirements for waiver has been, the </w:t>
            </w:r>
            <w:r w:rsidRPr="00363C47">
              <w:rPr>
                <w:rFonts w:ascii="Arial" w:hAnsi="Arial" w:cs="Arial"/>
                <w:i/>
              </w:rPr>
              <w:t>intentional and unequivocal</w:t>
            </w:r>
            <w:r w:rsidRPr="00363C47">
              <w:rPr>
                <w:rFonts w:ascii="Arial" w:hAnsi="Arial" w:cs="Arial"/>
              </w:rPr>
              <w:t xml:space="preserve"> renunciation or relinquishment of a known right.</w:t>
            </w:r>
            <w:r w:rsidRPr="00363C47">
              <w:rPr>
                <w:rFonts w:ascii="Arial" w:hAnsi="Arial" w:cs="Arial"/>
                <w:vertAlign w:val="superscript"/>
              </w:rPr>
              <w:footnoteReference w:id="17"/>
            </w:r>
            <w:r w:rsidRPr="00363C47">
              <w:rPr>
                <w:rFonts w:ascii="Arial" w:hAnsi="Arial" w:cs="Arial"/>
              </w:rPr>
              <w:t xml:space="preserve"> </w:t>
            </w:r>
          </w:p>
          <w:p w:rsidR="0011074D" w:rsidRPr="00363C47" w:rsidRDefault="0011074D" w:rsidP="008D2C0D">
            <w:pPr>
              <w:spacing w:line="360" w:lineRule="auto"/>
              <w:jc w:val="both"/>
              <w:rPr>
                <w:rFonts w:ascii="Arial" w:hAnsi="Arial" w:cs="Arial"/>
              </w:rPr>
            </w:pPr>
            <w:r w:rsidRPr="00363C47">
              <w:rPr>
                <w:rFonts w:ascii="Arial" w:hAnsi="Arial" w:cs="Arial"/>
              </w:rPr>
              <w:t xml:space="preserve"> </w:t>
            </w:r>
          </w:p>
          <w:p w:rsidR="0011074D" w:rsidRPr="00363C47" w:rsidRDefault="0011074D" w:rsidP="008D2C0D">
            <w:pPr>
              <w:spacing w:line="360" w:lineRule="auto"/>
              <w:jc w:val="both"/>
              <w:rPr>
                <w:rFonts w:ascii="Arial" w:hAnsi="Arial" w:cs="Arial"/>
              </w:rPr>
            </w:pPr>
            <w:r w:rsidRPr="00363C47">
              <w:rPr>
                <w:rFonts w:ascii="Arial" w:hAnsi="Arial" w:cs="Arial"/>
              </w:rPr>
              <w:t xml:space="preserve">We submit that if a party does not expressly waive a right, and waiver is </w:t>
            </w:r>
            <w:r w:rsidRPr="00363C47">
              <w:rPr>
                <w:rFonts w:ascii="Arial" w:hAnsi="Arial" w:cs="Arial"/>
                <w:i/>
              </w:rPr>
              <w:t>to be inferred</w:t>
            </w:r>
            <w:r w:rsidRPr="00363C47">
              <w:rPr>
                <w:rFonts w:ascii="Arial" w:hAnsi="Arial" w:cs="Arial"/>
              </w:rPr>
              <w:t>, the conduct relied upon must be more consistent - on a reasonable view thereof -  with an intention to waive the right in question</w:t>
            </w:r>
            <w:r w:rsidRPr="00363C47">
              <w:rPr>
                <w:rFonts w:ascii="Arial" w:hAnsi="Arial" w:cs="Arial"/>
                <w:color w:val="242121"/>
              </w:rPr>
              <w:t>.</w:t>
            </w:r>
            <w:r w:rsidRPr="00363C47">
              <w:rPr>
                <w:rFonts w:ascii="Arial" w:hAnsi="Arial" w:cs="Arial"/>
                <w:color w:val="242121"/>
                <w:vertAlign w:val="superscript"/>
              </w:rPr>
              <w:footnoteReference w:id="18"/>
            </w:r>
            <w:r w:rsidRPr="00363C47">
              <w:rPr>
                <w:rFonts w:ascii="Arial" w:hAnsi="Arial" w:cs="Arial"/>
                <w:color w:val="242121"/>
                <w:sz w:val="27"/>
              </w:rPr>
              <w:t xml:space="preserve"> </w:t>
            </w:r>
            <w:r w:rsidRPr="00363C47">
              <w:rPr>
                <w:rFonts w:ascii="Arial" w:hAnsi="Arial" w:cs="Arial"/>
              </w:rPr>
              <w:t xml:space="preserve">  </w:t>
            </w:r>
          </w:p>
          <w:p w:rsidR="0011074D" w:rsidRPr="00363C47" w:rsidRDefault="0011074D" w:rsidP="008D2C0D">
            <w:pPr>
              <w:spacing w:line="360" w:lineRule="auto"/>
              <w:jc w:val="both"/>
              <w:rPr>
                <w:rFonts w:ascii="Arial" w:hAnsi="Arial" w:cs="Arial"/>
              </w:rPr>
            </w:pPr>
          </w:p>
          <w:p w:rsidR="0011074D" w:rsidRPr="00363C47" w:rsidRDefault="0011074D" w:rsidP="008D2C0D">
            <w:pPr>
              <w:spacing w:line="360" w:lineRule="auto"/>
              <w:jc w:val="both"/>
              <w:rPr>
                <w:rFonts w:ascii="Arial" w:hAnsi="Arial" w:cs="Arial"/>
              </w:rPr>
            </w:pPr>
            <w:r w:rsidRPr="00363C47">
              <w:rPr>
                <w:rFonts w:ascii="Arial" w:hAnsi="Arial" w:cs="Arial"/>
              </w:rPr>
              <w:t xml:space="preserve">None of the facts stated by the applicants demonstrate </w:t>
            </w:r>
            <w:r w:rsidRPr="00363C47">
              <w:rPr>
                <w:rFonts w:ascii="Arial" w:hAnsi="Arial" w:cs="Arial"/>
                <w:i/>
              </w:rPr>
              <w:t>intentional and unequivocal</w:t>
            </w:r>
            <w:r w:rsidRPr="00363C47">
              <w:rPr>
                <w:rFonts w:ascii="Arial" w:hAnsi="Arial" w:cs="Arial"/>
              </w:rPr>
              <w:t xml:space="preserve"> renunciation of the Prosecutor- General and Tunacor’s rights to be joined to these proceedings.  </w:t>
            </w:r>
          </w:p>
          <w:p w:rsidR="0011074D" w:rsidRPr="00363C47" w:rsidRDefault="0011074D" w:rsidP="008D2C0D">
            <w:pPr>
              <w:spacing w:line="360" w:lineRule="auto"/>
              <w:ind w:left="721"/>
              <w:rPr>
                <w:rFonts w:ascii="Arial" w:hAnsi="Arial" w:cs="Arial"/>
              </w:rPr>
            </w:pPr>
            <w:r w:rsidRPr="00363C47">
              <w:rPr>
                <w:rFonts w:ascii="Arial" w:hAnsi="Arial" w:cs="Arial"/>
              </w:rPr>
              <w:t xml:space="preserve"> </w:t>
            </w:r>
          </w:p>
          <w:p w:rsidR="0011074D" w:rsidRPr="00363C47" w:rsidRDefault="0011074D" w:rsidP="008D2C0D">
            <w:pPr>
              <w:spacing w:line="360" w:lineRule="auto"/>
              <w:jc w:val="both"/>
              <w:rPr>
                <w:rFonts w:ascii="Arial" w:hAnsi="Arial" w:cs="Arial"/>
              </w:rPr>
            </w:pPr>
            <w:r w:rsidRPr="00363C47">
              <w:rPr>
                <w:rFonts w:ascii="Arial" w:hAnsi="Arial" w:cs="Arial"/>
              </w:rPr>
              <w:lastRenderedPageBreak/>
              <w:t>In short, the applicants implemented a strategy to put up facts to argue a waiver. There is nothing wrong in law with such a strategy. What the law prohibits is “</w:t>
            </w:r>
            <w:r w:rsidRPr="00363C47">
              <w:rPr>
                <w:rFonts w:ascii="Arial" w:hAnsi="Arial" w:cs="Arial"/>
                <w:i/>
              </w:rPr>
              <w:t>unlawful strategies</w:t>
            </w:r>
            <w:r w:rsidRPr="00363C47">
              <w:rPr>
                <w:rFonts w:ascii="Arial" w:hAnsi="Arial" w:cs="Arial"/>
              </w:rPr>
              <w:t>” not “</w:t>
            </w:r>
            <w:r w:rsidRPr="00363C47">
              <w:rPr>
                <w:rFonts w:ascii="Arial" w:hAnsi="Arial" w:cs="Arial"/>
                <w:i/>
              </w:rPr>
              <w:t>strategies</w:t>
            </w:r>
            <w:r w:rsidRPr="00363C47">
              <w:rPr>
                <w:rFonts w:ascii="Arial" w:hAnsi="Arial" w:cs="Arial"/>
              </w:rPr>
              <w:t xml:space="preserve">” per se. The applicant’s strategy however, either lacked planning or suffered from defective implementation. Ultimately it went horribly wrong. After implementation, no one can say that the unfortunate person who the applicants targeted, knew what Tunacor’s rights were, or had authority to waive such rights. </w:t>
            </w:r>
          </w:p>
          <w:p w:rsidR="0011074D" w:rsidRPr="00363C47" w:rsidRDefault="0011074D" w:rsidP="008D2C0D">
            <w:pPr>
              <w:spacing w:line="360" w:lineRule="auto"/>
              <w:ind w:left="721"/>
              <w:rPr>
                <w:rFonts w:ascii="Arial" w:hAnsi="Arial" w:cs="Arial"/>
              </w:rPr>
            </w:pPr>
            <w:r w:rsidRPr="00363C47">
              <w:rPr>
                <w:rFonts w:ascii="Arial" w:hAnsi="Arial" w:cs="Arial"/>
              </w:rPr>
              <w:t xml:space="preserve"> </w:t>
            </w:r>
          </w:p>
          <w:p w:rsidR="0011074D" w:rsidRPr="00363C47" w:rsidRDefault="0011074D" w:rsidP="008D2C0D">
            <w:pPr>
              <w:spacing w:line="360" w:lineRule="auto"/>
              <w:jc w:val="both"/>
              <w:rPr>
                <w:rFonts w:ascii="Arial" w:hAnsi="Arial" w:cs="Arial"/>
                <w:sz w:val="24"/>
                <w:szCs w:val="24"/>
              </w:rPr>
            </w:pPr>
            <w:r w:rsidRPr="00363C47">
              <w:rPr>
                <w:rFonts w:ascii="Arial" w:hAnsi="Arial" w:cs="Arial"/>
              </w:rPr>
              <w:t>The applicant’s strategy suffers from a further fundamental defect. At the heart of the applicant’s approach is that it requires this court to determine the fair trial rights - to be joined - of the Tunacor and the PG. Here is the defect, however; The PG and Tunacor are absent. Does Tunacor know that the applicants are busy arguing before a court of law that it -Tunacor - has waived its rights to be joined?  The answer is, No. Does Tunacor know that applicants are expecting the court to determine its rights finally and in their absence? The answer is; No. Does this court know what the version of Tunacor is in relation to the allegation that it has waived its rights? The answer is again, No. Does Article 12 of the Constitution allow such a procedure? The answer is surely a resounding, No.</w:t>
            </w:r>
            <w:r w:rsidR="00671C45" w:rsidRPr="00363C47">
              <w:rPr>
                <w:rFonts w:ascii="Arial" w:hAnsi="Arial" w:cs="Arial"/>
              </w:rPr>
              <w:t>’</w:t>
            </w:r>
          </w:p>
          <w:p w:rsidR="0011074D" w:rsidRPr="00363C47" w:rsidRDefault="0011074D" w:rsidP="008D2C0D">
            <w:pPr>
              <w:spacing w:line="360" w:lineRule="auto"/>
              <w:jc w:val="both"/>
              <w:rPr>
                <w:rFonts w:ascii="Arial" w:hAnsi="Arial" w:cs="Arial"/>
                <w:sz w:val="24"/>
                <w:szCs w:val="24"/>
              </w:rPr>
            </w:pPr>
          </w:p>
          <w:p w:rsidR="00F9795B" w:rsidRPr="00363C47" w:rsidRDefault="0098450B" w:rsidP="008D2C0D">
            <w:pPr>
              <w:spacing w:line="360" w:lineRule="auto"/>
              <w:jc w:val="both"/>
              <w:rPr>
                <w:rFonts w:ascii="Arial" w:hAnsi="Arial" w:cs="Arial"/>
                <w:sz w:val="24"/>
                <w:szCs w:val="24"/>
              </w:rPr>
            </w:pPr>
            <w:r w:rsidRPr="00363C47">
              <w:rPr>
                <w:rFonts w:ascii="Arial" w:hAnsi="Arial" w:cs="Arial"/>
                <w:sz w:val="24"/>
                <w:szCs w:val="24"/>
              </w:rPr>
              <w:t>[</w:t>
            </w:r>
            <w:r w:rsidR="00671C45" w:rsidRPr="00363C47">
              <w:rPr>
                <w:rFonts w:ascii="Arial" w:hAnsi="Arial" w:cs="Arial"/>
                <w:sz w:val="24"/>
                <w:szCs w:val="24"/>
              </w:rPr>
              <w:t>20</w:t>
            </w:r>
            <w:r w:rsidRPr="00363C47">
              <w:rPr>
                <w:rFonts w:ascii="Arial" w:hAnsi="Arial" w:cs="Arial"/>
                <w:sz w:val="24"/>
                <w:szCs w:val="24"/>
              </w:rPr>
              <w:t>]</w:t>
            </w:r>
            <w:r w:rsidRPr="00363C47">
              <w:rPr>
                <w:rFonts w:ascii="Arial" w:hAnsi="Arial" w:cs="Arial"/>
                <w:sz w:val="24"/>
                <w:szCs w:val="24"/>
              </w:rPr>
              <w:tab/>
            </w:r>
            <w:r w:rsidR="00680E7F" w:rsidRPr="00363C47">
              <w:rPr>
                <w:rFonts w:ascii="Arial" w:hAnsi="Arial" w:cs="Arial"/>
                <w:sz w:val="24"/>
                <w:szCs w:val="24"/>
              </w:rPr>
              <w:t xml:space="preserve">   It so emerges from the reasons given above</w:t>
            </w:r>
            <w:r w:rsidR="00383DAA" w:rsidRPr="00363C47">
              <w:rPr>
                <w:rFonts w:ascii="Arial" w:hAnsi="Arial" w:cs="Arial"/>
                <w:sz w:val="24"/>
                <w:szCs w:val="24"/>
              </w:rPr>
              <w:t xml:space="preserve"> that I am inclined to</w:t>
            </w:r>
            <w:r w:rsidR="00680E7F" w:rsidRPr="00363C47">
              <w:rPr>
                <w:rFonts w:ascii="Arial" w:hAnsi="Arial" w:cs="Arial"/>
                <w:sz w:val="24"/>
                <w:szCs w:val="24"/>
              </w:rPr>
              <w:t xml:space="preserve"> uphold the non-joinder special plea raised on behalf of the respondents, particularly </w:t>
            </w:r>
            <w:r w:rsidR="008B2A46" w:rsidRPr="00363C47">
              <w:rPr>
                <w:rFonts w:ascii="Arial" w:hAnsi="Arial" w:cs="Arial"/>
                <w:sz w:val="24"/>
                <w:szCs w:val="24"/>
              </w:rPr>
              <w:t xml:space="preserve">also </w:t>
            </w:r>
            <w:r w:rsidR="00680E7F" w:rsidRPr="00363C47">
              <w:rPr>
                <w:rFonts w:ascii="Arial" w:hAnsi="Arial" w:cs="Arial"/>
                <w:sz w:val="24"/>
                <w:szCs w:val="24"/>
              </w:rPr>
              <w:t>in circumstances where the applicants</w:t>
            </w:r>
            <w:r w:rsidR="00383DAA" w:rsidRPr="00363C47">
              <w:rPr>
                <w:rFonts w:ascii="Arial" w:hAnsi="Arial" w:cs="Arial"/>
                <w:sz w:val="24"/>
                <w:szCs w:val="24"/>
              </w:rPr>
              <w:t xml:space="preserve"> have</w:t>
            </w:r>
            <w:r w:rsidR="00680E7F" w:rsidRPr="00363C47">
              <w:rPr>
                <w:rFonts w:ascii="Arial" w:hAnsi="Arial" w:cs="Arial"/>
                <w:sz w:val="24"/>
                <w:szCs w:val="24"/>
              </w:rPr>
              <w:t xml:space="preserve"> failed to prove that the PG and Tunacor had </w:t>
            </w:r>
            <w:r w:rsidR="00680E7F" w:rsidRPr="00363C47">
              <w:rPr>
                <w:rFonts w:ascii="Arial" w:hAnsi="Arial" w:cs="Arial"/>
                <w:i/>
                <w:sz w:val="24"/>
                <w:szCs w:val="24"/>
              </w:rPr>
              <w:t>‘intentionally and unequivocally</w:t>
            </w:r>
            <w:r w:rsidR="00383DAA" w:rsidRPr="00363C47">
              <w:rPr>
                <w:rFonts w:ascii="Arial" w:hAnsi="Arial" w:cs="Arial"/>
                <w:i/>
                <w:sz w:val="24"/>
                <w:szCs w:val="24"/>
              </w:rPr>
              <w:t>’</w:t>
            </w:r>
            <w:r w:rsidR="00383DAA" w:rsidRPr="00363C47">
              <w:rPr>
                <w:rFonts w:ascii="Arial" w:hAnsi="Arial" w:cs="Arial"/>
                <w:sz w:val="24"/>
                <w:szCs w:val="24"/>
              </w:rPr>
              <w:t xml:space="preserve"> </w:t>
            </w:r>
            <w:r w:rsidR="00680E7F" w:rsidRPr="00363C47">
              <w:rPr>
                <w:rFonts w:ascii="Arial" w:hAnsi="Arial" w:cs="Arial"/>
                <w:sz w:val="24"/>
                <w:szCs w:val="24"/>
              </w:rPr>
              <w:t>waived their rights in this regard</w:t>
            </w:r>
            <w:r w:rsidR="00383DAA" w:rsidRPr="00363C47">
              <w:rPr>
                <w:rFonts w:ascii="Arial" w:hAnsi="Arial" w:cs="Arial"/>
                <w:sz w:val="24"/>
                <w:szCs w:val="24"/>
              </w:rPr>
              <w:t>.</w:t>
            </w:r>
          </w:p>
          <w:p w:rsidR="00383DAA" w:rsidRPr="00363C47" w:rsidRDefault="00383DAA" w:rsidP="008D2C0D">
            <w:pPr>
              <w:spacing w:line="360" w:lineRule="auto"/>
              <w:jc w:val="both"/>
              <w:rPr>
                <w:rFonts w:ascii="Arial" w:hAnsi="Arial" w:cs="Arial"/>
                <w:sz w:val="24"/>
                <w:szCs w:val="24"/>
              </w:rPr>
            </w:pPr>
          </w:p>
          <w:p w:rsidR="00383DAA" w:rsidRPr="00363C47" w:rsidRDefault="00383DAA" w:rsidP="008D2C0D">
            <w:pPr>
              <w:spacing w:line="360" w:lineRule="auto"/>
              <w:jc w:val="both"/>
              <w:rPr>
                <w:rFonts w:ascii="Arial" w:hAnsi="Arial" w:cs="Arial"/>
                <w:sz w:val="24"/>
                <w:szCs w:val="24"/>
                <w:u w:val="single"/>
              </w:rPr>
            </w:pPr>
            <w:r w:rsidRPr="00363C47">
              <w:rPr>
                <w:rFonts w:ascii="Arial" w:hAnsi="Arial" w:cs="Arial"/>
                <w:sz w:val="24"/>
                <w:szCs w:val="24"/>
                <w:u w:val="single"/>
              </w:rPr>
              <w:t>Costs</w:t>
            </w:r>
          </w:p>
          <w:p w:rsidR="00383DAA" w:rsidRPr="00363C47" w:rsidRDefault="00383DAA" w:rsidP="008D2C0D">
            <w:pPr>
              <w:spacing w:line="360" w:lineRule="auto"/>
              <w:jc w:val="both"/>
              <w:rPr>
                <w:rFonts w:ascii="Arial" w:hAnsi="Arial" w:cs="Arial"/>
                <w:sz w:val="24"/>
                <w:szCs w:val="24"/>
                <w:u w:val="single"/>
              </w:rPr>
            </w:pPr>
          </w:p>
          <w:p w:rsidR="003E293C" w:rsidRPr="00363C47" w:rsidRDefault="008D2C0D" w:rsidP="008D2C0D">
            <w:pPr>
              <w:spacing w:line="360" w:lineRule="auto"/>
              <w:jc w:val="both"/>
              <w:rPr>
                <w:rFonts w:ascii="Arial" w:hAnsi="Arial" w:cs="Arial"/>
                <w:sz w:val="24"/>
                <w:szCs w:val="24"/>
              </w:rPr>
            </w:pPr>
            <w:r w:rsidRPr="00363C47">
              <w:rPr>
                <w:rFonts w:ascii="Arial" w:hAnsi="Arial" w:cs="Arial"/>
                <w:sz w:val="24"/>
                <w:szCs w:val="24"/>
              </w:rPr>
              <w:t>[</w:t>
            </w:r>
            <w:r w:rsidR="00671C45" w:rsidRPr="00363C47">
              <w:rPr>
                <w:rFonts w:ascii="Arial" w:hAnsi="Arial" w:cs="Arial"/>
                <w:sz w:val="24"/>
                <w:szCs w:val="24"/>
              </w:rPr>
              <w:t>21</w:t>
            </w:r>
            <w:r w:rsidRPr="00363C47">
              <w:rPr>
                <w:rFonts w:ascii="Arial" w:hAnsi="Arial" w:cs="Arial"/>
                <w:sz w:val="24"/>
                <w:szCs w:val="24"/>
              </w:rPr>
              <w:t>]</w:t>
            </w:r>
            <w:r w:rsidRPr="00363C47">
              <w:rPr>
                <w:rFonts w:ascii="Arial" w:hAnsi="Arial" w:cs="Arial"/>
                <w:sz w:val="24"/>
                <w:szCs w:val="24"/>
              </w:rPr>
              <w:tab/>
            </w:r>
            <w:r w:rsidR="00383DAA" w:rsidRPr="00363C47">
              <w:rPr>
                <w:rFonts w:ascii="Arial" w:hAnsi="Arial" w:cs="Arial"/>
                <w:sz w:val="24"/>
                <w:szCs w:val="24"/>
              </w:rPr>
              <w:t xml:space="preserve">The respondents have mounted their plea for the uncapping of costs in terms of Rule 32(11) on the submission that the applicants’ opposition to this interlocutory dispute was </w:t>
            </w:r>
            <w:r w:rsidR="00383DAA" w:rsidRPr="00363C47">
              <w:rPr>
                <w:rFonts w:ascii="Arial" w:hAnsi="Arial" w:cs="Arial"/>
                <w:i/>
                <w:sz w:val="24"/>
                <w:szCs w:val="24"/>
              </w:rPr>
              <w:t>‘plainly and utterly frivolous’</w:t>
            </w:r>
            <w:r w:rsidR="00383DAA" w:rsidRPr="00363C47">
              <w:rPr>
                <w:rFonts w:ascii="Arial" w:hAnsi="Arial" w:cs="Arial"/>
                <w:sz w:val="24"/>
                <w:szCs w:val="24"/>
              </w:rPr>
              <w:t xml:space="preserve">. </w:t>
            </w:r>
          </w:p>
          <w:p w:rsidR="003E293C" w:rsidRPr="00363C47" w:rsidRDefault="003E293C" w:rsidP="008D2C0D">
            <w:pPr>
              <w:spacing w:line="360" w:lineRule="auto"/>
              <w:jc w:val="both"/>
              <w:rPr>
                <w:rFonts w:ascii="Arial" w:hAnsi="Arial" w:cs="Arial"/>
                <w:sz w:val="24"/>
                <w:szCs w:val="24"/>
              </w:rPr>
            </w:pPr>
          </w:p>
          <w:p w:rsidR="00461D3B" w:rsidRPr="00363C47" w:rsidRDefault="003E293C" w:rsidP="008D2C0D">
            <w:pPr>
              <w:spacing w:line="360" w:lineRule="auto"/>
              <w:jc w:val="both"/>
              <w:rPr>
                <w:rFonts w:ascii="Arial" w:hAnsi="Arial" w:cs="Arial"/>
                <w:sz w:val="24"/>
                <w:szCs w:val="24"/>
              </w:rPr>
            </w:pPr>
            <w:r w:rsidRPr="00363C47">
              <w:rPr>
                <w:rFonts w:ascii="Arial" w:hAnsi="Arial" w:cs="Arial"/>
                <w:sz w:val="24"/>
                <w:szCs w:val="24"/>
              </w:rPr>
              <w:t xml:space="preserve">[22]     </w:t>
            </w:r>
            <w:r w:rsidR="00383DAA" w:rsidRPr="00363C47">
              <w:rPr>
                <w:rFonts w:ascii="Arial" w:hAnsi="Arial" w:cs="Arial"/>
                <w:sz w:val="24"/>
                <w:szCs w:val="24"/>
              </w:rPr>
              <w:t>While this may, at best, possibly be said in regard to the belated letters – written out of</w:t>
            </w:r>
            <w:r w:rsidR="00461D3B" w:rsidRPr="00363C47">
              <w:rPr>
                <w:rFonts w:ascii="Arial" w:hAnsi="Arial" w:cs="Arial"/>
                <w:sz w:val="24"/>
                <w:szCs w:val="24"/>
              </w:rPr>
              <w:t xml:space="preserve"> an alleged</w:t>
            </w:r>
            <w:r w:rsidR="00383DAA" w:rsidRPr="00363C47">
              <w:rPr>
                <w:rFonts w:ascii="Arial" w:hAnsi="Arial" w:cs="Arial"/>
                <w:sz w:val="24"/>
                <w:szCs w:val="24"/>
              </w:rPr>
              <w:t xml:space="preserve"> </w:t>
            </w:r>
            <w:r w:rsidRPr="00363C47">
              <w:rPr>
                <w:rFonts w:ascii="Arial" w:hAnsi="Arial" w:cs="Arial"/>
                <w:i/>
                <w:sz w:val="24"/>
                <w:szCs w:val="24"/>
              </w:rPr>
              <w:t>‘</w:t>
            </w:r>
            <w:r w:rsidR="00383DAA" w:rsidRPr="00363C47">
              <w:rPr>
                <w:rFonts w:ascii="Arial" w:hAnsi="Arial" w:cs="Arial"/>
                <w:i/>
                <w:sz w:val="24"/>
                <w:szCs w:val="24"/>
              </w:rPr>
              <w:t xml:space="preserve">abundance of caution’ – </w:t>
            </w:r>
            <w:r w:rsidR="00383DAA" w:rsidRPr="00363C47">
              <w:rPr>
                <w:rFonts w:ascii="Arial" w:hAnsi="Arial" w:cs="Arial"/>
                <w:sz w:val="24"/>
                <w:szCs w:val="24"/>
              </w:rPr>
              <w:t>attempting to conjure up a waiver at the eleventh hour, it cannot be ignored</w:t>
            </w:r>
            <w:r w:rsidR="00461D3B" w:rsidRPr="00363C47">
              <w:rPr>
                <w:rFonts w:ascii="Arial" w:hAnsi="Arial" w:cs="Arial"/>
                <w:sz w:val="24"/>
                <w:szCs w:val="24"/>
              </w:rPr>
              <w:t xml:space="preserve"> on the other hand</w:t>
            </w:r>
            <w:r w:rsidR="00383DAA" w:rsidRPr="00363C47">
              <w:rPr>
                <w:rFonts w:ascii="Arial" w:hAnsi="Arial" w:cs="Arial"/>
                <w:sz w:val="24"/>
                <w:szCs w:val="24"/>
              </w:rPr>
              <w:t xml:space="preserve"> that</w:t>
            </w:r>
            <w:r w:rsidR="00461D3B" w:rsidRPr="00363C47">
              <w:rPr>
                <w:rFonts w:ascii="Arial" w:hAnsi="Arial" w:cs="Arial"/>
                <w:sz w:val="24"/>
                <w:szCs w:val="24"/>
              </w:rPr>
              <w:t>,</w:t>
            </w:r>
            <w:r w:rsidR="00383DAA" w:rsidRPr="00363C47">
              <w:rPr>
                <w:rFonts w:ascii="Arial" w:hAnsi="Arial" w:cs="Arial"/>
                <w:sz w:val="24"/>
                <w:szCs w:val="24"/>
              </w:rPr>
              <w:t xml:space="preserve"> in terms of Rule 32(9)</w:t>
            </w:r>
            <w:r w:rsidR="00461D3B" w:rsidRPr="00363C47">
              <w:rPr>
                <w:rFonts w:ascii="Arial" w:hAnsi="Arial" w:cs="Arial"/>
                <w:sz w:val="24"/>
                <w:szCs w:val="24"/>
              </w:rPr>
              <w:t>,</w:t>
            </w:r>
            <w:r w:rsidR="00383DAA" w:rsidRPr="00363C47">
              <w:rPr>
                <w:rFonts w:ascii="Arial" w:hAnsi="Arial" w:cs="Arial"/>
                <w:sz w:val="24"/>
                <w:szCs w:val="24"/>
              </w:rPr>
              <w:t xml:space="preserve"> the applicants where</w:t>
            </w:r>
            <w:r w:rsidR="00461D3B" w:rsidRPr="00363C47">
              <w:rPr>
                <w:rFonts w:ascii="Arial" w:hAnsi="Arial" w:cs="Arial"/>
                <w:sz w:val="24"/>
                <w:szCs w:val="24"/>
              </w:rPr>
              <w:t xml:space="preserve"> always</w:t>
            </w:r>
            <w:r w:rsidR="00383DAA" w:rsidRPr="00363C47">
              <w:rPr>
                <w:rFonts w:ascii="Arial" w:hAnsi="Arial" w:cs="Arial"/>
                <w:sz w:val="24"/>
                <w:szCs w:val="24"/>
              </w:rPr>
              <w:t xml:space="preserve"> obliged to endeavour to seek an amicable resolution</w:t>
            </w:r>
            <w:r w:rsidR="00461D3B" w:rsidRPr="00363C47">
              <w:rPr>
                <w:rFonts w:ascii="Arial" w:hAnsi="Arial" w:cs="Arial"/>
                <w:sz w:val="24"/>
                <w:szCs w:val="24"/>
              </w:rPr>
              <w:t xml:space="preserve"> to this interlocutory </w:t>
            </w:r>
            <w:r w:rsidR="00461D3B" w:rsidRPr="00363C47">
              <w:rPr>
                <w:rFonts w:ascii="Arial" w:hAnsi="Arial" w:cs="Arial"/>
                <w:sz w:val="24"/>
                <w:szCs w:val="24"/>
              </w:rPr>
              <w:lastRenderedPageBreak/>
              <w:t>dispute. This they did</w:t>
            </w:r>
            <w:r w:rsidRPr="00363C47">
              <w:rPr>
                <w:rFonts w:ascii="Arial" w:hAnsi="Arial" w:cs="Arial"/>
                <w:sz w:val="24"/>
                <w:szCs w:val="24"/>
              </w:rPr>
              <w:t>, although, whether the manner in which they went about this</w:t>
            </w:r>
            <w:r w:rsidR="00461D3B" w:rsidRPr="00363C47">
              <w:rPr>
                <w:rFonts w:ascii="Arial" w:hAnsi="Arial" w:cs="Arial"/>
                <w:sz w:val="24"/>
                <w:szCs w:val="24"/>
              </w:rPr>
              <w:t xml:space="preserve"> was indeed ‘amicable’, is open to doubt. </w:t>
            </w:r>
          </w:p>
          <w:p w:rsidR="00461D3B" w:rsidRPr="00363C47" w:rsidRDefault="00461D3B" w:rsidP="008D2C0D">
            <w:pPr>
              <w:spacing w:line="360" w:lineRule="auto"/>
              <w:jc w:val="both"/>
              <w:rPr>
                <w:rFonts w:ascii="Arial" w:hAnsi="Arial" w:cs="Arial"/>
                <w:sz w:val="24"/>
                <w:szCs w:val="24"/>
              </w:rPr>
            </w:pPr>
          </w:p>
          <w:p w:rsidR="00383DAA" w:rsidRPr="00363C47" w:rsidRDefault="008D2C0D" w:rsidP="008D2C0D">
            <w:pPr>
              <w:spacing w:line="360" w:lineRule="auto"/>
              <w:jc w:val="both"/>
              <w:rPr>
                <w:rFonts w:ascii="Arial" w:hAnsi="Arial" w:cs="Arial"/>
                <w:sz w:val="24"/>
                <w:szCs w:val="24"/>
              </w:rPr>
            </w:pPr>
            <w:r w:rsidRPr="00363C47">
              <w:rPr>
                <w:rFonts w:ascii="Arial" w:hAnsi="Arial" w:cs="Arial"/>
                <w:sz w:val="24"/>
                <w:szCs w:val="24"/>
              </w:rPr>
              <w:t>[</w:t>
            </w:r>
            <w:r w:rsidR="00671C45" w:rsidRPr="00363C47">
              <w:rPr>
                <w:rFonts w:ascii="Arial" w:hAnsi="Arial" w:cs="Arial"/>
                <w:sz w:val="24"/>
                <w:szCs w:val="24"/>
              </w:rPr>
              <w:t>22</w:t>
            </w:r>
            <w:r w:rsidRPr="00363C47">
              <w:rPr>
                <w:rFonts w:ascii="Arial" w:hAnsi="Arial" w:cs="Arial"/>
                <w:sz w:val="24"/>
                <w:szCs w:val="24"/>
              </w:rPr>
              <w:t>]</w:t>
            </w:r>
            <w:r w:rsidRPr="00363C47">
              <w:rPr>
                <w:rFonts w:ascii="Arial" w:hAnsi="Arial" w:cs="Arial"/>
                <w:sz w:val="24"/>
                <w:szCs w:val="24"/>
              </w:rPr>
              <w:tab/>
            </w:r>
            <w:r w:rsidR="00461D3B" w:rsidRPr="00363C47">
              <w:rPr>
                <w:rFonts w:ascii="Arial" w:hAnsi="Arial" w:cs="Arial"/>
                <w:sz w:val="24"/>
                <w:szCs w:val="24"/>
              </w:rPr>
              <w:t>In any event, and more importantly so, it can by no stretch of the imagination be said that the applicants did not have an arguable case on the issue of joinder, particularly as the application in the first instance concerns</w:t>
            </w:r>
            <w:r w:rsidR="003E293C" w:rsidRPr="00363C47">
              <w:rPr>
                <w:rFonts w:ascii="Arial" w:hAnsi="Arial" w:cs="Arial"/>
                <w:sz w:val="24"/>
                <w:szCs w:val="24"/>
              </w:rPr>
              <w:t xml:space="preserve"> – what has been labelled -</w:t>
            </w:r>
            <w:r w:rsidR="00461D3B" w:rsidRPr="00363C47">
              <w:rPr>
                <w:rFonts w:ascii="Arial" w:hAnsi="Arial" w:cs="Arial"/>
                <w:sz w:val="24"/>
                <w:szCs w:val="24"/>
              </w:rPr>
              <w:t xml:space="preserve"> the internal ‘squabbles’</w:t>
            </w:r>
            <w:r w:rsidR="003E293C" w:rsidRPr="00363C47">
              <w:rPr>
                <w:rFonts w:ascii="Arial" w:hAnsi="Arial" w:cs="Arial"/>
                <w:sz w:val="24"/>
                <w:szCs w:val="24"/>
              </w:rPr>
              <w:t xml:space="preserve"> -</w:t>
            </w:r>
            <w:r w:rsidR="008B2A46" w:rsidRPr="00363C47">
              <w:rPr>
                <w:rFonts w:ascii="Arial" w:hAnsi="Arial" w:cs="Arial"/>
                <w:sz w:val="24"/>
                <w:szCs w:val="24"/>
              </w:rPr>
              <w:t xml:space="preserve"> and the composit</w:t>
            </w:r>
            <w:r w:rsidR="00461D3B" w:rsidRPr="00363C47">
              <w:rPr>
                <w:rFonts w:ascii="Arial" w:hAnsi="Arial" w:cs="Arial"/>
                <w:sz w:val="24"/>
                <w:szCs w:val="24"/>
              </w:rPr>
              <w:t>ion of the first respondent’s board of directors in respect of which – and in the normal course – third parties would not</w:t>
            </w:r>
            <w:r w:rsidR="008B2A46" w:rsidRPr="00363C47">
              <w:rPr>
                <w:rFonts w:ascii="Arial" w:hAnsi="Arial" w:cs="Arial"/>
                <w:sz w:val="24"/>
                <w:szCs w:val="24"/>
              </w:rPr>
              <w:t>,</w:t>
            </w:r>
            <w:r w:rsidR="00461D3B" w:rsidRPr="00363C47">
              <w:rPr>
                <w:rFonts w:ascii="Arial" w:hAnsi="Arial" w:cs="Arial"/>
                <w:sz w:val="24"/>
                <w:szCs w:val="24"/>
              </w:rPr>
              <w:t xml:space="preserve"> </w:t>
            </w:r>
            <w:r w:rsidR="00461D3B" w:rsidRPr="00363C47">
              <w:rPr>
                <w:rFonts w:ascii="Arial" w:hAnsi="Arial" w:cs="Arial"/>
                <w:i/>
                <w:sz w:val="24"/>
                <w:szCs w:val="24"/>
              </w:rPr>
              <w:t>pe se</w:t>
            </w:r>
            <w:r w:rsidR="008B2A46" w:rsidRPr="00363C47">
              <w:rPr>
                <w:rFonts w:ascii="Arial" w:hAnsi="Arial" w:cs="Arial"/>
                <w:i/>
                <w:sz w:val="24"/>
                <w:szCs w:val="24"/>
              </w:rPr>
              <w:t>,</w:t>
            </w:r>
            <w:r w:rsidR="00461D3B" w:rsidRPr="00363C47">
              <w:rPr>
                <w:rFonts w:ascii="Arial" w:hAnsi="Arial" w:cs="Arial"/>
                <w:sz w:val="24"/>
                <w:szCs w:val="24"/>
              </w:rPr>
              <w:t xml:space="preserve"> have a direct and substantial interest.</w:t>
            </w:r>
          </w:p>
          <w:p w:rsidR="00461D3B" w:rsidRPr="00363C47" w:rsidRDefault="00461D3B" w:rsidP="008D2C0D">
            <w:pPr>
              <w:spacing w:line="360" w:lineRule="auto"/>
              <w:jc w:val="both"/>
              <w:rPr>
                <w:rFonts w:ascii="Arial" w:hAnsi="Arial" w:cs="Arial"/>
                <w:sz w:val="24"/>
                <w:szCs w:val="24"/>
              </w:rPr>
            </w:pPr>
          </w:p>
          <w:p w:rsidR="003E293C" w:rsidRPr="00363C47" w:rsidRDefault="008D2C0D" w:rsidP="008D2C0D">
            <w:pPr>
              <w:spacing w:line="360" w:lineRule="auto"/>
              <w:jc w:val="both"/>
              <w:rPr>
                <w:rFonts w:ascii="Arial" w:hAnsi="Arial" w:cs="Arial"/>
                <w:sz w:val="24"/>
                <w:szCs w:val="24"/>
              </w:rPr>
            </w:pPr>
            <w:r w:rsidRPr="00363C47">
              <w:rPr>
                <w:rFonts w:ascii="Arial" w:hAnsi="Arial" w:cs="Arial"/>
                <w:sz w:val="24"/>
                <w:szCs w:val="24"/>
              </w:rPr>
              <w:t>[</w:t>
            </w:r>
            <w:r w:rsidR="00671C45" w:rsidRPr="00363C47">
              <w:rPr>
                <w:rFonts w:ascii="Arial" w:hAnsi="Arial" w:cs="Arial"/>
                <w:sz w:val="24"/>
                <w:szCs w:val="24"/>
              </w:rPr>
              <w:t>23</w:t>
            </w:r>
            <w:r w:rsidRPr="00363C47">
              <w:rPr>
                <w:rFonts w:ascii="Arial" w:hAnsi="Arial" w:cs="Arial"/>
                <w:sz w:val="24"/>
                <w:szCs w:val="24"/>
              </w:rPr>
              <w:t>]</w:t>
            </w:r>
            <w:r w:rsidRPr="00363C47">
              <w:rPr>
                <w:rFonts w:ascii="Arial" w:hAnsi="Arial" w:cs="Arial"/>
                <w:sz w:val="24"/>
                <w:szCs w:val="24"/>
              </w:rPr>
              <w:tab/>
            </w:r>
            <w:r w:rsidR="00461D3B" w:rsidRPr="00363C47">
              <w:rPr>
                <w:rFonts w:ascii="Arial" w:hAnsi="Arial" w:cs="Arial"/>
                <w:sz w:val="24"/>
                <w:szCs w:val="24"/>
              </w:rPr>
              <w:t>I</w:t>
            </w:r>
            <w:r w:rsidR="003E293C" w:rsidRPr="00363C47">
              <w:rPr>
                <w:rFonts w:ascii="Arial" w:hAnsi="Arial" w:cs="Arial"/>
                <w:sz w:val="24"/>
                <w:szCs w:val="24"/>
              </w:rPr>
              <w:t xml:space="preserve"> would thus</w:t>
            </w:r>
            <w:r w:rsidR="00461D3B" w:rsidRPr="00363C47">
              <w:rPr>
                <w:rFonts w:ascii="Arial" w:hAnsi="Arial" w:cs="Arial"/>
                <w:sz w:val="24"/>
                <w:szCs w:val="24"/>
              </w:rPr>
              <w:t xml:space="preserve"> decline the request</w:t>
            </w:r>
            <w:r w:rsidR="00D46B66" w:rsidRPr="00363C47">
              <w:rPr>
                <w:rFonts w:ascii="Arial" w:hAnsi="Arial" w:cs="Arial"/>
                <w:sz w:val="24"/>
                <w:szCs w:val="24"/>
              </w:rPr>
              <w:t xml:space="preserve"> for Rule 32(11) not to apply</w:t>
            </w:r>
            <w:r w:rsidR="003E293C" w:rsidRPr="00363C47">
              <w:rPr>
                <w:rFonts w:ascii="Arial" w:hAnsi="Arial" w:cs="Arial"/>
                <w:sz w:val="24"/>
                <w:szCs w:val="24"/>
              </w:rPr>
              <w:t xml:space="preserve"> on these grounds. </w:t>
            </w:r>
          </w:p>
          <w:p w:rsidR="003E293C" w:rsidRPr="00363C47" w:rsidRDefault="003E293C" w:rsidP="008D2C0D">
            <w:pPr>
              <w:spacing w:line="360" w:lineRule="auto"/>
              <w:jc w:val="both"/>
              <w:rPr>
                <w:rFonts w:ascii="Arial" w:hAnsi="Arial" w:cs="Arial"/>
                <w:sz w:val="24"/>
                <w:szCs w:val="24"/>
              </w:rPr>
            </w:pPr>
          </w:p>
          <w:p w:rsidR="00461D3B" w:rsidRPr="00363C47" w:rsidRDefault="003E293C" w:rsidP="008D2C0D">
            <w:pPr>
              <w:spacing w:line="360" w:lineRule="auto"/>
              <w:jc w:val="both"/>
              <w:rPr>
                <w:rFonts w:ascii="Arial" w:hAnsi="Arial" w:cs="Arial"/>
                <w:sz w:val="24"/>
                <w:szCs w:val="24"/>
              </w:rPr>
            </w:pPr>
            <w:r w:rsidRPr="00363C47">
              <w:rPr>
                <w:rFonts w:ascii="Arial" w:hAnsi="Arial" w:cs="Arial"/>
                <w:sz w:val="24"/>
                <w:szCs w:val="24"/>
              </w:rPr>
              <w:t>[24]     As the parties have however elected to engage each other with the assistance of senior and junior counsel, as well as instructing counsel, and where the resultant costs seemingly do not play any role – and where the provisions of the rule are essentially aimed at limiting costs in the normal course – I see no reason why the rule should find application</w:t>
            </w:r>
            <w:r w:rsidR="008B2A46" w:rsidRPr="00363C47">
              <w:rPr>
                <w:rFonts w:ascii="Arial" w:hAnsi="Arial" w:cs="Arial"/>
                <w:sz w:val="24"/>
                <w:szCs w:val="24"/>
              </w:rPr>
              <w:t xml:space="preserve"> in such scenario</w:t>
            </w:r>
            <w:r w:rsidRPr="00363C47">
              <w:rPr>
                <w:rFonts w:ascii="Arial" w:hAnsi="Arial" w:cs="Arial"/>
                <w:sz w:val="24"/>
                <w:szCs w:val="24"/>
              </w:rPr>
              <w:t>.</w:t>
            </w:r>
          </w:p>
          <w:p w:rsidR="00D46B66" w:rsidRPr="00363C47" w:rsidRDefault="00D46B66" w:rsidP="008D2C0D">
            <w:pPr>
              <w:spacing w:line="360" w:lineRule="auto"/>
              <w:jc w:val="both"/>
              <w:rPr>
                <w:rFonts w:ascii="Arial" w:hAnsi="Arial" w:cs="Arial"/>
                <w:sz w:val="24"/>
                <w:szCs w:val="24"/>
              </w:rPr>
            </w:pPr>
          </w:p>
          <w:p w:rsidR="00D46B66" w:rsidRPr="00363C47" w:rsidRDefault="008D2C0D" w:rsidP="008D2C0D">
            <w:pPr>
              <w:spacing w:line="360" w:lineRule="auto"/>
              <w:jc w:val="both"/>
              <w:rPr>
                <w:rFonts w:ascii="Arial" w:hAnsi="Arial" w:cs="Arial"/>
                <w:sz w:val="24"/>
                <w:szCs w:val="24"/>
              </w:rPr>
            </w:pPr>
            <w:r w:rsidRPr="00363C47">
              <w:rPr>
                <w:rFonts w:ascii="Arial" w:hAnsi="Arial" w:cs="Arial"/>
                <w:sz w:val="24"/>
                <w:szCs w:val="24"/>
              </w:rPr>
              <w:t>[</w:t>
            </w:r>
            <w:r w:rsidR="00671C45" w:rsidRPr="00363C47">
              <w:rPr>
                <w:rFonts w:ascii="Arial" w:hAnsi="Arial" w:cs="Arial"/>
                <w:sz w:val="24"/>
                <w:szCs w:val="24"/>
              </w:rPr>
              <w:t>2</w:t>
            </w:r>
            <w:r w:rsidR="00381A2F" w:rsidRPr="00363C47">
              <w:rPr>
                <w:rFonts w:ascii="Arial" w:hAnsi="Arial" w:cs="Arial"/>
                <w:sz w:val="24"/>
                <w:szCs w:val="24"/>
              </w:rPr>
              <w:t>5</w:t>
            </w:r>
            <w:r w:rsidRPr="00363C47">
              <w:rPr>
                <w:rFonts w:ascii="Arial" w:hAnsi="Arial" w:cs="Arial"/>
                <w:sz w:val="24"/>
                <w:szCs w:val="24"/>
              </w:rPr>
              <w:t>]</w:t>
            </w:r>
            <w:r w:rsidRPr="00363C47">
              <w:rPr>
                <w:rFonts w:ascii="Arial" w:hAnsi="Arial" w:cs="Arial"/>
                <w:sz w:val="24"/>
                <w:szCs w:val="24"/>
              </w:rPr>
              <w:tab/>
            </w:r>
            <w:r w:rsidR="00D46B66" w:rsidRPr="00363C47">
              <w:rPr>
                <w:rFonts w:ascii="Arial" w:hAnsi="Arial" w:cs="Arial"/>
                <w:sz w:val="24"/>
                <w:szCs w:val="24"/>
              </w:rPr>
              <w:t>In the result I make the following orders :</w:t>
            </w:r>
          </w:p>
          <w:p w:rsidR="00D46B66" w:rsidRPr="00363C47" w:rsidRDefault="00D46B66" w:rsidP="008D2C0D">
            <w:pPr>
              <w:spacing w:line="360" w:lineRule="auto"/>
              <w:jc w:val="both"/>
              <w:rPr>
                <w:rFonts w:ascii="Arial" w:hAnsi="Arial" w:cs="Arial"/>
                <w:sz w:val="24"/>
                <w:szCs w:val="24"/>
              </w:rPr>
            </w:pPr>
          </w:p>
          <w:p w:rsidR="00D46B66" w:rsidRPr="00363C47" w:rsidRDefault="00D46B66" w:rsidP="00381A2F">
            <w:pPr>
              <w:pStyle w:val="ListParagraph"/>
              <w:numPr>
                <w:ilvl w:val="0"/>
                <w:numId w:val="24"/>
              </w:numPr>
              <w:spacing w:line="360" w:lineRule="auto"/>
              <w:ind w:hanging="700"/>
              <w:jc w:val="both"/>
              <w:rPr>
                <w:rFonts w:ascii="Arial" w:hAnsi="Arial" w:cs="Arial"/>
                <w:sz w:val="24"/>
                <w:szCs w:val="24"/>
              </w:rPr>
            </w:pPr>
            <w:r w:rsidRPr="00363C47">
              <w:rPr>
                <w:rFonts w:ascii="Arial" w:hAnsi="Arial" w:cs="Arial"/>
                <w:sz w:val="24"/>
                <w:szCs w:val="24"/>
              </w:rPr>
              <w:t xml:space="preserve">The special plea </w:t>
            </w:r>
            <w:r w:rsidR="00390B8C" w:rsidRPr="00363C47">
              <w:rPr>
                <w:rFonts w:ascii="Arial" w:hAnsi="Arial" w:cs="Arial"/>
                <w:sz w:val="24"/>
                <w:szCs w:val="24"/>
              </w:rPr>
              <w:t xml:space="preserve">of non-joinder </w:t>
            </w:r>
            <w:r w:rsidRPr="00363C47">
              <w:rPr>
                <w:rFonts w:ascii="Arial" w:hAnsi="Arial" w:cs="Arial"/>
                <w:sz w:val="24"/>
                <w:szCs w:val="24"/>
              </w:rPr>
              <w:t>in respect of the PG and Tunacor is upheld with costs, such costs to include the</w:t>
            </w:r>
            <w:r w:rsidR="00F530B3" w:rsidRPr="00363C47">
              <w:rPr>
                <w:rFonts w:ascii="Arial" w:hAnsi="Arial" w:cs="Arial"/>
                <w:sz w:val="24"/>
                <w:szCs w:val="24"/>
              </w:rPr>
              <w:t xml:space="preserve"> costs of two instructed-</w:t>
            </w:r>
            <w:r w:rsidRPr="00363C47">
              <w:rPr>
                <w:rFonts w:ascii="Arial" w:hAnsi="Arial" w:cs="Arial"/>
                <w:sz w:val="24"/>
                <w:szCs w:val="24"/>
              </w:rPr>
              <w:t xml:space="preserve"> and one instructing counsel.</w:t>
            </w:r>
          </w:p>
          <w:p w:rsidR="00D46B66" w:rsidRPr="00363C47" w:rsidRDefault="00D46B66" w:rsidP="008D2C0D">
            <w:pPr>
              <w:pStyle w:val="ListParagraph"/>
              <w:spacing w:line="360" w:lineRule="auto"/>
              <w:jc w:val="both"/>
              <w:rPr>
                <w:rFonts w:ascii="Arial" w:hAnsi="Arial" w:cs="Arial"/>
                <w:sz w:val="24"/>
                <w:szCs w:val="24"/>
              </w:rPr>
            </w:pPr>
          </w:p>
          <w:p w:rsidR="00D46B66" w:rsidRPr="00363C47" w:rsidRDefault="00D46B66" w:rsidP="00381A2F">
            <w:pPr>
              <w:pStyle w:val="ListParagraph"/>
              <w:numPr>
                <w:ilvl w:val="0"/>
                <w:numId w:val="24"/>
              </w:numPr>
              <w:spacing w:line="360" w:lineRule="auto"/>
              <w:ind w:hanging="700"/>
              <w:jc w:val="both"/>
              <w:rPr>
                <w:rFonts w:ascii="Arial" w:hAnsi="Arial" w:cs="Arial"/>
                <w:sz w:val="24"/>
                <w:szCs w:val="24"/>
              </w:rPr>
            </w:pPr>
            <w:r w:rsidRPr="00363C47">
              <w:rPr>
                <w:rFonts w:ascii="Arial" w:hAnsi="Arial" w:cs="Arial"/>
                <w:sz w:val="24"/>
                <w:szCs w:val="24"/>
              </w:rPr>
              <w:t xml:space="preserve">Rule 32(11) of the Rules of Court </w:t>
            </w:r>
            <w:r w:rsidR="008B2A46" w:rsidRPr="00363C47">
              <w:rPr>
                <w:rFonts w:ascii="Arial" w:hAnsi="Arial" w:cs="Arial"/>
                <w:sz w:val="24"/>
                <w:szCs w:val="24"/>
              </w:rPr>
              <w:t>is not to apply</w:t>
            </w:r>
            <w:r w:rsidRPr="00363C47">
              <w:rPr>
                <w:rFonts w:ascii="Arial" w:hAnsi="Arial" w:cs="Arial"/>
                <w:sz w:val="24"/>
                <w:szCs w:val="24"/>
              </w:rPr>
              <w:t>.</w:t>
            </w:r>
          </w:p>
          <w:p w:rsidR="00D46B66" w:rsidRPr="00363C47" w:rsidRDefault="00D46B66" w:rsidP="008D2C0D">
            <w:pPr>
              <w:pStyle w:val="ListParagraph"/>
              <w:spacing w:line="360" w:lineRule="auto"/>
              <w:rPr>
                <w:rFonts w:ascii="Arial" w:hAnsi="Arial" w:cs="Arial"/>
                <w:sz w:val="24"/>
                <w:szCs w:val="24"/>
              </w:rPr>
            </w:pPr>
          </w:p>
          <w:p w:rsidR="00FB7BB2" w:rsidRPr="00363C47" w:rsidRDefault="00F55ED8" w:rsidP="00381A2F">
            <w:pPr>
              <w:pStyle w:val="ListParagraph"/>
              <w:numPr>
                <w:ilvl w:val="0"/>
                <w:numId w:val="24"/>
              </w:numPr>
              <w:spacing w:line="360" w:lineRule="auto"/>
              <w:ind w:hanging="700"/>
              <w:jc w:val="both"/>
              <w:rPr>
                <w:rFonts w:ascii="Arial" w:hAnsi="Arial" w:cs="Arial"/>
                <w:sz w:val="24"/>
                <w:szCs w:val="24"/>
              </w:rPr>
            </w:pPr>
            <w:r w:rsidRPr="00363C47">
              <w:rPr>
                <w:rFonts w:ascii="Arial" w:hAnsi="Arial" w:cs="Arial"/>
                <w:sz w:val="24"/>
                <w:szCs w:val="24"/>
              </w:rPr>
              <w:t>The case is postponed to 8</w:t>
            </w:r>
            <w:r w:rsidR="00D46B66" w:rsidRPr="00363C47">
              <w:rPr>
                <w:rFonts w:ascii="Arial" w:hAnsi="Arial" w:cs="Arial"/>
                <w:sz w:val="24"/>
                <w:szCs w:val="24"/>
              </w:rPr>
              <w:t xml:space="preserve"> September 2021 for a Status hearing.         </w:t>
            </w:r>
          </w:p>
          <w:p w:rsidR="00977346" w:rsidRPr="00363C47" w:rsidRDefault="00977346" w:rsidP="00F9795B">
            <w:pPr>
              <w:spacing w:line="360" w:lineRule="auto"/>
              <w:jc w:val="both"/>
              <w:rPr>
                <w:rFonts w:ascii="Arial" w:hAnsi="Arial" w:cs="Arial"/>
              </w:rPr>
            </w:pPr>
          </w:p>
          <w:p w:rsidR="00711F52" w:rsidRPr="00363C47" w:rsidRDefault="00711F52" w:rsidP="006C2F95">
            <w:pPr>
              <w:suppressAutoHyphens/>
              <w:spacing w:line="360" w:lineRule="auto"/>
              <w:ind w:right="74"/>
              <w:jc w:val="both"/>
              <w:rPr>
                <w:rFonts w:ascii="Arial" w:hAnsi="Arial" w:cs="Arial"/>
              </w:rPr>
            </w:pPr>
          </w:p>
        </w:tc>
      </w:tr>
      <w:tr w:rsidR="00BE5489" w:rsidRPr="00363C47" w:rsidTr="00C04EBD">
        <w:tc>
          <w:tcPr>
            <w:tcW w:w="4770" w:type="dxa"/>
          </w:tcPr>
          <w:p w:rsidR="00BE5489" w:rsidRPr="00363C47" w:rsidRDefault="00EB27A0" w:rsidP="0050338C">
            <w:pPr>
              <w:spacing w:line="360" w:lineRule="auto"/>
              <w:jc w:val="center"/>
              <w:rPr>
                <w:rFonts w:ascii="Arial" w:hAnsi="Arial" w:cs="Arial"/>
                <w:b/>
              </w:rPr>
            </w:pPr>
            <w:r w:rsidRPr="00363C47">
              <w:rPr>
                <w:rFonts w:ascii="Arial" w:hAnsi="Arial" w:cs="Arial"/>
                <w:b/>
              </w:rPr>
              <w:lastRenderedPageBreak/>
              <w:t>Judge’s signature:</w:t>
            </w:r>
          </w:p>
        </w:tc>
        <w:tc>
          <w:tcPr>
            <w:tcW w:w="4950" w:type="dxa"/>
            <w:gridSpan w:val="2"/>
          </w:tcPr>
          <w:p w:rsidR="00BE5489" w:rsidRPr="00363C47" w:rsidRDefault="00EB27A0" w:rsidP="0050338C">
            <w:pPr>
              <w:spacing w:line="360" w:lineRule="auto"/>
              <w:jc w:val="center"/>
              <w:rPr>
                <w:rFonts w:ascii="Arial" w:hAnsi="Arial" w:cs="Arial"/>
                <w:b/>
              </w:rPr>
            </w:pPr>
            <w:r w:rsidRPr="00363C47">
              <w:rPr>
                <w:rFonts w:ascii="Arial" w:hAnsi="Arial" w:cs="Arial"/>
                <w:b/>
              </w:rPr>
              <w:t>Note to the parties:</w:t>
            </w:r>
          </w:p>
        </w:tc>
      </w:tr>
      <w:tr w:rsidR="00BE5489" w:rsidRPr="00363C47" w:rsidTr="0050338C">
        <w:trPr>
          <w:trHeight w:val="1114"/>
        </w:trPr>
        <w:tc>
          <w:tcPr>
            <w:tcW w:w="4770" w:type="dxa"/>
          </w:tcPr>
          <w:p w:rsidR="00BE5489" w:rsidRPr="00363C47" w:rsidRDefault="00BE5489" w:rsidP="00EB27A0">
            <w:pPr>
              <w:spacing w:line="360" w:lineRule="auto"/>
              <w:jc w:val="both"/>
              <w:rPr>
                <w:rFonts w:ascii="Arial" w:hAnsi="Arial" w:cs="Arial"/>
              </w:rPr>
            </w:pPr>
          </w:p>
          <w:p w:rsidR="006D2D84" w:rsidRPr="00363C47" w:rsidRDefault="006D2D84" w:rsidP="00EB27A0">
            <w:pPr>
              <w:spacing w:line="360" w:lineRule="auto"/>
              <w:jc w:val="both"/>
              <w:rPr>
                <w:rFonts w:ascii="Arial" w:hAnsi="Arial" w:cs="Arial"/>
              </w:rPr>
            </w:pPr>
          </w:p>
          <w:p w:rsidR="009F6C8B" w:rsidRPr="00363C47" w:rsidRDefault="009F6C8B" w:rsidP="00EB27A0">
            <w:pPr>
              <w:spacing w:line="360" w:lineRule="auto"/>
              <w:jc w:val="both"/>
              <w:rPr>
                <w:rFonts w:ascii="Arial" w:hAnsi="Arial" w:cs="Arial"/>
              </w:rPr>
            </w:pPr>
          </w:p>
        </w:tc>
        <w:tc>
          <w:tcPr>
            <w:tcW w:w="4950" w:type="dxa"/>
            <w:gridSpan w:val="2"/>
          </w:tcPr>
          <w:p w:rsidR="00BE5489" w:rsidRPr="00363C47" w:rsidRDefault="0060394A" w:rsidP="00952193">
            <w:pPr>
              <w:spacing w:line="360" w:lineRule="auto"/>
              <w:jc w:val="both"/>
              <w:rPr>
                <w:rFonts w:ascii="Arial" w:hAnsi="Arial" w:cs="Arial"/>
              </w:rPr>
            </w:pPr>
            <w:r w:rsidRPr="00363C47">
              <w:rPr>
                <w:rFonts w:ascii="Arial" w:hAnsi="Arial" w:cs="Arial"/>
              </w:rPr>
              <w:t>Not applicable.</w:t>
            </w:r>
          </w:p>
        </w:tc>
      </w:tr>
      <w:tr w:rsidR="00A23F8A" w:rsidRPr="00363C47" w:rsidTr="00B530B4">
        <w:tc>
          <w:tcPr>
            <w:tcW w:w="9720" w:type="dxa"/>
            <w:gridSpan w:val="3"/>
          </w:tcPr>
          <w:p w:rsidR="00A23F8A" w:rsidRPr="00363C47" w:rsidRDefault="00A23F8A" w:rsidP="00A23F8A">
            <w:pPr>
              <w:spacing w:line="360" w:lineRule="auto"/>
              <w:jc w:val="center"/>
              <w:rPr>
                <w:rFonts w:ascii="Arial" w:hAnsi="Arial" w:cs="Arial"/>
                <w:b/>
              </w:rPr>
            </w:pPr>
            <w:r w:rsidRPr="00363C47">
              <w:rPr>
                <w:rFonts w:ascii="Arial" w:hAnsi="Arial" w:cs="Arial"/>
                <w:b/>
              </w:rPr>
              <w:t>Counsel:</w:t>
            </w:r>
          </w:p>
        </w:tc>
      </w:tr>
      <w:tr w:rsidR="00FD38C2" w:rsidRPr="00363C47" w:rsidTr="00FD38C2">
        <w:tc>
          <w:tcPr>
            <w:tcW w:w="4770" w:type="dxa"/>
          </w:tcPr>
          <w:p w:rsidR="009E4B44" w:rsidRPr="00363C47" w:rsidRDefault="009E4B44" w:rsidP="00F9795B">
            <w:pPr>
              <w:spacing w:line="360" w:lineRule="auto"/>
              <w:jc w:val="center"/>
              <w:rPr>
                <w:rFonts w:ascii="Arial" w:hAnsi="Arial" w:cs="Arial"/>
                <w:b/>
              </w:rPr>
            </w:pPr>
          </w:p>
          <w:p w:rsidR="00FD38C2" w:rsidRPr="00363C47" w:rsidRDefault="00F9795B" w:rsidP="00F9795B">
            <w:pPr>
              <w:spacing w:line="360" w:lineRule="auto"/>
              <w:jc w:val="center"/>
              <w:rPr>
                <w:rFonts w:ascii="Arial" w:hAnsi="Arial" w:cs="Arial"/>
                <w:b/>
              </w:rPr>
            </w:pPr>
            <w:r w:rsidRPr="00363C47">
              <w:rPr>
                <w:rFonts w:ascii="Arial" w:hAnsi="Arial" w:cs="Arial"/>
                <w:b/>
              </w:rPr>
              <w:t>Applicant/(Respondent - interlocutory)</w:t>
            </w:r>
          </w:p>
        </w:tc>
        <w:tc>
          <w:tcPr>
            <w:tcW w:w="4950" w:type="dxa"/>
            <w:gridSpan w:val="2"/>
          </w:tcPr>
          <w:p w:rsidR="009E4B44" w:rsidRPr="00363C47" w:rsidRDefault="009E4B44" w:rsidP="00265783">
            <w:pPr>
              <w:spacing w:line="360" w:lineRule="auto"/>
              <w:jc w:val="center"/>
              <w:rPr>
                <w:rFonts w:ascii="Arial" w:hAnsi="Arial" w:cs="Arial"/>
                <w:b/>
              </w:rPr>
            </w:pPr>
          </w:p>
          <w:p w:rsidR="00FD38C2" w:rsidRPr="00363C47" w:rsidRDefault="00F9795B" w:rsidP="00265783">
            <w:pPr>
              <w:spacing w:line="360" w:lineRule="auto"/>
              <w:jc w:val="center"/>
              <w:rPr>
                <w:rFonts w:ascii="Arial" w:hAnsi="Arial" w:cs="Arial"/>
                <w:b/>
              </w:rPr>
            </w:pPr>
            <w:r w:rsidRPr="00363C47">
              <w:rPr>
                <w:rFonts w:ascii="Arial" w:hAnsi="Arial" w:cs="Arial"/>
                <w:b/>
              </w:rPr>
              <w:t xml:space="preserve">Respondents/(Applicants – interlocutory) </w:t>
            </w:r>
          </w:p>
        </w:tc>
      </w:tr>
      <w:tr w:rsidR="00A23F8A" w:rsidRPr="00363C47" w:rsidTr="00FD38C2">
        <w:tc>
          <w:tcPr>
            <w:tcW w:w="4770" w:type="dxa"/>
          </w:tcPr>
          <w:p w:rsidR="00B933D1" w:rsidRPr="00363C47" w:rsidRDefault="00B933D1" w:rsidP="008E6759">
            <w:pPr>
              <w:spacing w:line="360" w:lineRule="auto"/>
              <w:jc w:val="center"/>
              <w:rPr>
                <w:rFonts w:ascii="Arial" w:hAnsi="Arial" w:cs="Arial"/>
              </w:rPr>
            </w:pPr>
          </w:p>
          <w:p w:rsidR="009E4B44" w:rsidRPr="00363C47" w:rsidRDefault="009E4B44" w:rsidP="00F9795B">
            <w:pPr>
              <w:spacing w:before="120" w:after="120"/>
              <w:jc w:val="center"/>
              <w:rPr>
                <w:rFonts w:ascii="Arial" w:hAnsi="Arial" w:cs="Arial"/>
              </w:rPr>
            </w:pPr>
          </w:p>
          <w:p w:rsidR="00F9795B" w:rsidRPr="00363C47" w:rsidRDefault="00F9795B" w:rsidP="00F9795B">
            <w:pPr>
              <w:spacing w:before="120" w:after="120"/>
              <w:jc w:val="center"/>
              <w:rPr>
                <w:rFonts w:ascii="Arial" w:hAnsi="Arial" w:cs="Arial"/>
              </w:rPr>
            </w:pPr>
            <w:r w:rsidRPr="00363C47">
              <w:rPr>
                <w:rFonts w:ascii="Arial" w:hAnsi="Arial" w:cs="Arial"/>
              </w:rPr>
              <w:t>Adv. J Gauntlett QC SC &amp;</w:t>
            </w:r>
          </w:p>
          <w:p w:rsidR="00F9795B" w:rsidRPr="00363C47" w:rsidRDefault="00F9795B" w:rsidP="00F9795B">
            <w:pPr>
              <w:spacing w:line="360" w:lineRule="auto"/>
              <w:jc w:val="center"/>
              <w:rPr>
                <w:rFonts w:ascii="Arial" w:hAnsi="Arial" w:cs="Arial"/>
                <w:i/>
              </w:rPr>
            </w:pPr>
            <w:r w:rsidRPr="00363C47">
              <w:rPr>
                <w:rFonts w:ascii="Arial" w:hAnsi="Arial" w:cs="Arial"/>
              </w:rPr>
              <w:t>Adv. G Solik</w:t>
            </w:r>
            <w:r w:rsidRPr="00363C47">
              <w:rPr>
                <w:rFonts w:ascii="Arial" w:hAnsi="Arial" w:cs="Arial"/>
                <w:i/>
              </w:rPr>
              <w:t xml:space="preserve"> </w:t>
            </w:r>
          </w:p>
          <w:p w:rsidR="00CB6E64" w:rsidRPr="00363C47" w:rsidRDefault="00F9795B" w:rsidP="00F9795B">
            <w:pPr>
              <w:spacing w:line="360" w:lineRule="auto"/>
              <w:jc w:val="center"/>
              <w:rPr>
                <w:rFonts w:ascii="Arial" w:hAnsi="Arial" w:cs="Arial"/>
                <w:i/>
              </w:rPr>
            </w:pPr>
            <w:r w:rsidRPr="00363C47">
              <w:rPr>
                <w:rFonts w:ascii="Arial" w:hAnsi="Arial" w:cs="Arial"/>
                <w:i/>
              </w:rPr>
              <w:t>Instructed by</w:t>
            </w:r>
          </w:p>
          <w:p w:rsidR="008E6759" w:rsidRPr="00363C47" w:rsidRDefault="00F9795B" w:rsidP="00CB6E64">
            <w:pPr>
              <w:spacing w:line="360" w:lineRule="auto"/>
              <w:jc w:val="center"/>
              <w:rPr>
                <w:rFonts w:ascii="Arial" w:hAnsi="Arial" w:cs="Arial"/>
              </w:rPr>
            </w:pPr>
            <w:r w:rsidRPr="00363C47">
              <w:rPr>
                <w:rFonts w:ascii="Arial" w:hAnsi="Arial" w:cs="Arial"/>
              </w:rPr>
              <w:t>AngulaCo Inc.</w:t>
            </w:r>
            <w:r w:rsidR="00CB6E64" w:rsidRPr="00363C47">
              <w:rPr>
                <w:rFonts w:ascii="Arial" w:hAnsi="Arial" w:cs="Arial"/>
              </w:rPr>
              <w:t xml:space="preserve"> </w:t>
            </w:r>
          </w:p>
        </w:tc>
        <w:tc>
          <w:tcPr>
            <w:tcW w:w="4950" w:type="dxa"/>
            <w:gridSpan w:val="2"/>
          </w:tcPr>
          <w:p w:rsidR="00F9795B" w:rsidRPr="00363C47" w:rsidRDefault="00F9795B" w:rsidP="00F9795B">
            <w:pPr>
              <w:spacing w:line="360" w:lineRule="auto"/>
              <w:jc w:val="center"/>
              <w:rPr>
                <w:rFonts w:ascii="Arial" w:hAnsi="Arial" w:cs="Arial"/>
              </w:rPr>
            </w:pPr>
          </w:p>
          <w:p w:rsidR="009E4B44" w:rsidRPr="00363C47" w:rsidRDefault="009E4B44" w:rsidP="00F9795B">
            <w:pPr>
              <w:spacing w:line="360" w:lineRule="auto"/>
              <w:jc w:val="center"/>
              <w:rPr>
                <w:rFonts w:ascii="Arial" w:hAnsi="Arial" w:cs="Arial"/>
              </w:rPr>
            </w:pPr>
          </w:p>
          <w:p w:rsidR="005A21FD" w:rsidRPr="00363C47" w:rsidRDefault="005A21FD" w:rsidP="00F9795B">
            <w:pPr>
              <w:spacing w:line="360" w:lineRule="auto"/>
              <w:jc w:val="center"/>
              <w:rPr>
                <w:rFonts w:ascii="Arial" w:hAnsi="Arial" w:cs="Arial"/>
              </w:rPr>
            </w:pPr>
            <w:r w:rsidRPr="00363C47">
              <w:rPr>
                <w:rFonts w:ascii="Arial" w:hAnsi="Arial" w:cs="Arial"/>
              </w:rPr>
              <w:t>Adv. R Heathcote SC &amp;</w:t>
            </w:r>
          </w:p>
          <w:p w:rsidR="005A21FD" w:rsidRPr="00363C47" w:rsidRDefault="005A21FD" w:rsidP="00F9795B">
            <w:pPr>
              <w:spacing w:line="360" w:lineRule="auto"/>
              <w:jc w:val="center"/>
              <w:rPr>
                <w:rFonts w:ascii="Arial" w:hAnsi="Arial" w:cs="Arial"/>
              </w:rPr>
            </w:pPr>
            <w:r w:rsidRPr="00363C47">
              <w:rPr>
                <w:rFonts w:ascii="Arial" w:hAnsi="Arial" w:cs="Arial"/>
              </w:rPr>
              <w:t>Adv. E Nekwaya</w:t>
            </w:r>
          </w:p>
          <w:p w:rsidR="00F9795B" w:rsidRPr="00363C47" w:rsidRDefault="005A21FD" w:rsidP="00F9795B">
            <w:pPr>
              <w:spacing w:line="360" w:lineRule="auto"/>
              <w:jc w:val="center"/>
              <w:rPr>
                <w:rFonts w:ascii="Arial" w:hAnsi="Arial" w:cs="Arial"/>
                <w:i/>
              </w:rPr>
            </w:pPr>
            <w:r w:rsidRPr="00363C47">
              <w:rPr>
                <w:rFonts w:ascii="Arial" w:hAnsi="Arial" w:cs="Arial"/>
                <w:i/>
              </w:rPr>
              <w:t>Instructed by</w:t>
            </w:r>
          </w:p>
          <w:p w:rsidR="006E49A3" w:rsidRPr="00363C47" w:rsidRDefault="005A21FD" w:rsidP="00F9795B">
            <w:pPr>
              <w:spacing w:line="360" w:lineRule="auto"/>
              <w:jc w:val="center"/>
              <w:rPr>
                <w:rFonts w:ascii="Arial" w:hAnsi="Arial" w:cs="Arial"/>
              </w:rPr>
            </w:pPr>
            <w:r w:rsidRPr="00363C47">
              <w:rPr>
                <w:rFonts w:ascii="Arial" w:hAnsi="Arial" w:cs="Arial"/>
              </w:rPr>
              <w:t>Sisa Namandje &amp; Co. Inc.</w:t>
            </w:r>
            <w:r w:rsidR="00F9795B" w:rsidRPr="00363C47">
              <w:rPr>
                <w:rFonts w:ascii="Arial" w:hAnsi="Arial" w:cs="Arial"/>
              </w:rPr>
              <w:t xml:space="preserve"> </w:t>
            </w:r>
          </w:p>
        </w:tc>
      </w:tr>
    </w:tbl>
    <w:p w:rsidR="009B096F" w:rsidRPr="00363C47" w:rsidRDefault="009B096F" w:rsidP="00EB27A0">
      <w:pPr>
        <w:spacing w:after="0" w:line="360" w:lineRule="auto"/>
        <w:jc w:val="both"/>
        <w:rPr>
          <w:rFonts w:ascii="Arial" w:hAnsi="Arial" w:cs="Arial"/>
        </w:rPr>
      </w:pPr>
    </w:p>
    <w:p w:rsidR="00F40069" w:rsidRPr="00363C47" w:rsidRDefault="00F40069" w:rsidP="00EB27A0">
      <w:pPr>
        <w:spacing w:after="0" w:line="360" w:lineRule="auto"/>
        <w:jc w:val="both"/>
        <w:rPr>
          <w:rFonts w:ascii="Arial" w:hAnsi="Arial" w:cs="Arial"/>
        </w:rPr>
      </w:pPr>
    </w:p>
    <w:p w:rsidR="00F40069" w:rsidRPr="00363C47" w:rsidRDefault="00F40069" w:rsidP="00EB27A0">
      <w:pPr>
        <w:spacing w:after="0" w:line="360" w:lineRule="auto"/>
        <w:jc w:val="both"/>
        <w:rPr>
          <w:rFonts w:ascii="Arial" w:hAnsi="Arial" w:cs="Arial"/>
        </w:rPr>
      </w:pPr>
    </w:p>
    <w:p w:rsidR="00F40069" w:rsidRPr="00363C47" w:rsidRDefault="00F40069" w:rsidP="00EB27A0">
      <w:pPr>
        <w:spacing w:after="0" w:line="360" w:lineRule="auto"/>
        <w:jc w:val="both"/>
        <w:rPr>
          <w:rFonts w:ascii="Arial" w:hAnsi="Arial" w:cs="Arial"/>
        </w:rPr>
      </w:pPr>
    </w:p>
    <w:p w:rsidR="00F40069" w:rsidRPr="00363C47" w:rsidRDefault="00F40069" w:rsidP="00EB27A0">
      <w:pPr>
        <w:spacing w:after="0" w:line="360" w:lineRule="auto"/>
        <w:jc w:val="both"/>
        <w:rPr>
          <w:rFonts w:ascii="Arial" w:hAnsi="Arial" w:cs="Arial"/>
        </w:rPr>
      </w:pPr>
    </w:p>
    <w:p w:rsidR="00F40069" w:rsidRPr="00363C47" w:rsidRDefault="00F40069" w:rsidP="00EB27A0">
      <w:pPr>
        <w:spacing w:after="0" w:line="360" w:lineRule="auto"/>
        <w:jc w:val="both"/>
        <w:rPr>
          <w:rFonts w:ascii="Arial" w:hAnsi="Arial" w:cs="Arial"/>
        </w:rPr>
      </w:pPr>
    </w:p>
    <w:sectPr w:rsidR="00F40069" w:rsidRPr="00363C47" w:rsidSect="00026D86">
      <w:footerReference w:type="default" r:id="rId12"/>
      <w:pgSz w:w="11906" w:h="16838"/>
      <w:pgMar w:top="1134" w:right="1440" w:bottom="851" w:left="1440"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0B" w:rsidRDefault="0085400B" w:rsidP="00A23F8A">
      <w:pPr>
        <w:spacing w:after="0" w:line="240" w:lineRule="auto"/>
      </w:pPr>
      <w:r>
        <w:separator/>
      </w:r>
    </w:p>
  </w:endnote>
  <w:endnote w:type="continuationSeparator" w:id="0">
    <w:p w:rsidR="0085400B" w:rsidRDefault="0085400B"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92931"/>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8252F5">
          <w:rPr>
            <w:rFonts w:ascii="Arial Narrow" w:hAnsi="Arial Narrow"/>
            <w:noProof/>
            <w:sz w:val="18"/>
            <w:szCs w:val="18"/>
          </w:rPr>
          <w:t>2</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0B" w:rsidRDefault="0085400B" w:rsidP="00A23F8A">
      <w:pPr>
        <w:spacing w:after="0" w:line="240" w:lineRule="auto"/>
      </w:pPr>
      <w:r>
        <w:separator/>
      </w:r>
    </w:p>
  </w:footnote>
  <w:footnote w:type="continuationSeparator" w:id="0">
    <w:p w:rsidR="0085400B" w:rsidRDefault="0085400B" w:rsidP="00A23F8A">
      <w:pPr>
        <w:spacing w:after="0" w:line="240" w:lineRule="auto"/>
      </w:pPr>
      <w:r>
        <w:continuationSeparator/>
      </w:r>
    </w:p>
  </w:footnote>
  <w:footnote w:id="1">
    <w:p w:rsidR="00781270" w:rsidRPr="00603781" w:rsidRDefault="00781270" w:rsidP="00363C47">
      <w:pPr>
        <w:pStyle w:val="footnotedescription"/>
        <w:spacing w:line="360" w:lineRule="auto"/>
        <w:ind w:left="0" w:right="1428"/>
      </w:pPr>
      <w:r w:rsidRPr="00603781">
        <w:rPr>
          <w:rStyle w:val="footnotemark"/>
        </w:rPr>
        <w:footnoteRef/>
      </w:r>
      <w:r w:rsidRPr="00603781">
        <w:t xml:space="preserve"> Record p 385 (A copy of the Memorandum of Agreement: annexure “A-1”) </w:t>
      </w:r>
      <w:r w:rsidRPr="00603781">
        <w:rPr>
          <w:vertAlign w:val="superscript"/>
        </w:rPr>
        <w:t>7</w:t>
      </w:r>
      <w:r w:rsidRPr="00603781">
        <w:t xml:space="preserve"> Record p 396 (a copy of the CM 29 attached hereto as annexure “A-2”). </w:t>
      </w:r>
    </w:p>
  </w:footnote>
  <w:footnote w:id="2">
    <w:p w:rsidR="00781270" w:rsidRPr="00603781" w:rsidRDefault="00781270" w:rsidP="00363C47">
      <w:pPr>
        <w:pStyle w:val="footnotedescription"/>
        <w:spacing w:line="360" w:lineRule="auto"/>
        <w:ind w:left="0"/>
      </w:pPr>
      <w:r w:rsidRPr="00603781">
        <w:rPr>
          <w:rStyle w:val="footnotemark"/>
        </w:rPr>
        <w:footnoteRef/>
      </w:r>
      <w:r w:rsidRPr="00603781">
        <w:t xml:space="preserve"> Rec p 21 para 61</w:t>
      </w:r>
      <w:r w:rsidR="008D2C0D" w:rsidRPr="00603781">
        <w:t>.</w:t>
      </w:r>
      <w:r w:rsidRPr="00603781">
        <w:t xml:space="preserve"> </w:t>
      </w:r>
    </w:p>
  </w:footnote>
  <w:footnote w:id="3">
    <w:p w:rsidR="00781270" w:rsidRPr="00603781" w:rsidRDefault="00781270" w:rsidP="00363C47">
      <w:pPr>
        <w:pStyle w:val="footnotedescription"/>
        <w:spacing w:line="360" w:lineRule="auto"/>
        <w:ind w:left="0"/>
      </w:pPr>
      <w:r w:rsidRPr="00603781">
        <w:rPr>
          <w:rStyle w:val="footnotemark"/>
        </w:rPr>
        <w:footnoteRef/>
      </w:r>
      <w:r w:rsidRPr="00603781">
        <w:t xml:space="preserve"> Rec p 21 para 62; Rec 242 “MG20”</w:t>
      </w:r>
      <w:r w:rsidR="008D2C0D" w:rsidRPr="00603781">
        <w:t>.</w:t>
      </w:r>
      <w:r w:rsidRPr="00603781">
        <w:t xml:space="preserve">  </w:t>
      </w:r>
    </w:p>
  </w:footnote>
  <w:footnote w:id="4">
    <w:p w:rsidR="00781270" w:rsidRPr="00603781" w:rsidRDefault="00781270" w:rsidP="00363C47">
      <w:pPr>
        <w:pStyle w:val="footnotedescription"/>
        <w:spacing w:line="360" w:lineRule="auto"/>
        <w:ind w:left="0"/>
      </w:pPr>
      <w:r w:rsidRPr="00603781">
        <w:rPr>
          <w:rStyle w:val="footnotemark"/>
        </w:rPr>
        <w:footnoteRef/>
      </w:r>
      <w:r w:rsidRPr="00603781">
        <w:t xml:space="preserve"> Rec p 23 para 86</w:t>
      </w:r>
      <w:r w:rsidR="002C13C6" w:rsidRPr="00603781">
        <w:t>.</w:t>
      </w:r>
      <w:r w:rsidRPr="00603781">
        <w:t xml:space="preserve"> </w:t>
      </w:r>
    </w:p>
  </w:footnote>
  <w:footnote w:id="5">
    <w:p w:rsidR="00781270" w:rsidRPr="00603781" w:rsidRDefault="00781270" w:rsidP="00363C47">
      <w:pPr>
        <w:pStyle w:val="footnotedescription"/>
        <w:spacing w:line="360" w:lineRule="auto"/>
        <w:ind w:left="0"/>
      </w:pPr>
      <w:r w:rsidRPr="00603781">
        <w:rPr>
          <w:rStyle w:val="footnotemark"/>
        </w:rPr>
        <w:footnoteRef/>
      </w:r>
      <w:r w:rsidR="002C13C6" w:rsidRPr="00603781">
        <w:t xml:space="preserve"> Rec p 24 para 75.</w:t>
      </w:r>
    </w:p>
  </w:footnote>
  <w:footnote w:id="6">
    <w:p w:rsidR="0069208A" w:rsidRPr="00603781" w:rsidRDefault="0069208A" w:rsidP="00363C47">
      <w:pPr>
        <w:pStyle w:val="FootnoteText"/>
        <w:spacing w:line="360" w:lineRule="auto"/>
        <w:rPr>
          <w:rFonts w:ascii="Arial" w:hAnsi="Arial" w:cs="Arial"/>
        </w:rPr>
      </w:pPr>
      <w:r w:rsidRPr="00603781">
        <w:rPr>
          <w:rStyle w:val="FootnoteReference"/>
          <w:rFonts w:ascii="Arial" w:hAnsi="Arial" w:cs="Arial"/>
        </w:rPr>
        <w:footnoteRef/>
      </w:r>
      <w:r w:rsidRPr="00603781">
        <w:rPr>
          <w:rFonts w:ascii="Arial" w:hAnsi="Arial" w:cs="Arial"/>
        </w:rPr>
        <w:t xml:space="preserve"> </w:t>
      </w:r>
      <w:r w:rsidRPr="00603781">
        <w:rPr>
          <w:rFonts w:ascii="Arial" w:hAnsi="Arial" w:cs="Arial"/>
          <w:i/>
          <w:iCs/>
        </w:rPr>
        <w:t>Judicial Service Commission and Another v Cape Bar Council and Another</w:t>
      </w:r>
      <w:r w:rsidRPr="00603781">
        <w:rPr>
          <w:rFonts w:ascii="Arial" w:hAnsi="Arial" w:cs="Arial"/>
        </w:rPr>
        <w:t xml:space="preserve"> (</w:t>
      </w:r>
      <w:r w:rsidRPr="00603781">
        <w:rPr>
          <w:rFonts w:ascii="Arial" w:hAnsi="Arial" w:cs="Arial"/>
          <w:i/>
          <w:iCs/>
        </w:rPr>
        <w:t>supra</w:t>
      </w:r>
      <w:r w:rsidRPr="00603781">
        <w:rPr>
          <w:rFonts w:ascii="Arial" w:hAnsi="Arial" w:cs="Arial"/>
        </w:rPr>
        <w:t>) at [12].</w:t>
      </w:r>
    </w:p>
  </w:footnote>
  <w:footnote w:id="7">
    <w:p w:rsidR="0069208A" w:rsidRPr="00603781" w:rsidRDefault="0069208A" w:rsidP="00363C47">
      <w:pPr>
        <w:pStyle w:val="FootnoteText"/>
        <w:spacing w:line="360" w:lineRule="auto"/>
        <w:jc w:val="both"/>
        <w:rPr>
          <w:rFonts w:ascii="Arial" w:hAnsi="Arial" w:cs="Arial"/>
        </w:rPr>
      </w:pPr>
      <w:r w:rsidRPr="00603781">
        <w:rPr>
          <w:rStyle w:val="FootnoteReference"/>
          <w:rFonts w:ascii="Arial" w:hAnsi="Arial" w:cs="Arial"/>
        </w:rPr>
        <w:footnoteRef/>
      </w:r>
      <w:r w:rsidRPr="00603781">
        <w:rPr>
          <w:rFonts w:ascii="Arial" w:hAnsi="Arial" w:cs="Arial"/>
        </w:rPr>
        <w:t xml:space="preserve"> In </w:t>
      </w:r>
      <w:r w:rsidRPr="00603781">
        <w:rPr>
          <w:rFonts w:ascii="Arial" w:hAnsi="Arial" w:cs="Arial"/>
          <w:i/>
          <w:iCs/>
        </w:rPr>
        <w:t xml:space="preserve">Judicial Service Commission </w:t>
      </w:r>
      <w:r w:rsidRPr="00603781">
        <w:rPr>
          <w:rFonts w:ascii="Arial" w:hAnsi="Arial" w:cs="Arial"/>
        </w:rPr>
        <w:t>(</w:t>
      </w:r>
      <w:r w:rsidRPr="00603781">
        <w:rPr>
          <w:rFonts w:ascii="Arial" w:hAnsi="Arial" w:cs="Arial"/>
          <w:i/>
          <w:iCs/>
        </w:rPr>
        <w:t>supra</w:t>
      </w:r>
      <w:r w:rsidRPr="00603781">
        <w:rPr>
          <w:rFonts w:ascii="Arial" w:hAnsi="Arial" w:cs="Arial"/>
        </w:rPr>
        <w:t xml:space="preserve">) the JSC argued that the first declaratory order sought (ie that the proceedings of the JSC on 12 April 2011 were inconsistent with the Constitution and thus invalid) had a direct bearing on the interests and rights of Judge Henney because, if granted, it would inevitably lead to the setting-aside of his appointment. This, the JSC argued, rendered Henney a necessary party to the proceedings. In finding otherwise, the Court took cognisance of the fact that the mere fact that an administrative decision was unlawful does not visit all its consequences with automatic invalidity, and thus that unless and until an administrative decision is challenged and set aside by a competent court, the substantive validity of its consequences must be accepted as a fact. </w:t>
      </w:r>
    </w:p>
  </w:footnote>
  <w:footnote w:id="8">
    <w:p w:rsidR="0069208A" w:rsidRPr="00603781" w:rsidRDefault="0069208A" w:rsidP="00363C47">
      <w:pPr>
        <w:pStyle w:val="FootnoteText"/>
        <w:spacing w:line="360" w:lineRule="auto"/>
        <w:rPr>
          <w:rFonts w:ascii="Arial" w:hAnsi="Arial" w:cs="Arial"/>
        </w:rPr>
      </w:pPr>
      <w:r w:rsidRPr="00603781">
        <w:rPr>
          <w:rStyle w:val="FootnoteReference"/>
          <w:rFonts w:ascii="Arial" w:hAnsi="Arial" w:cs="Arial"/>
        </w:rPr>
        <w:footnoteRef/>
      </w:r>
      <w:r w:rsidRPr="00603781">
        <w:rPr>
          <w:rFonts w:ascii="Arial" w:hAnsi="Arial" w:cs="Arial"/>
        </w:rPr>
        <w:t xml:space="preserve"> Respondents Heads of Argument, p 8, paras 16 and 18; p 10, para 20 and p 11, para 21.</w:t>
      </w:r>
    </w:p>
  </w:footnote>
  <w:footnote w:id="9">
    <w:p w:rsidR="0069208A" w:rsidRPr="00603781" w:rsidRDefault="0069208A" w:rsidP="00363C47">
      <w:pPr>
        <w:pStyle w:val="FootnoteText"/>
        <w:spacing w:line="360" w:lineRule="auto"/>
        <w:rPr>
          <w:rFonts w:ascii="Arial" w:hAnsi="Arial" w:cs="Arial"/>
        </w:rPr>
      </w:pPr>
      <w:r w:rsidRPr="00603781">
        <w:rPr>
          <w:rStyle w:val="FootnoteReference"/>
          <w:rFonts w:ascii="Arial" w:hAnsi="Arial" w:cs="Arial"/>
        </w:rPr>
        <w:footnoteRef/>
      </w:r>
      <w:r w:rsidRPr="00603781">
        <w:rPr>
          <w:rFonts w:ascii="Arial" w:hAnsi="Arial" w:cs="Arial"/>
        </w:rPr>
        <w:t xml:space="preserve"> </w:t>
      </w:r>
      <w:r w:rsidRPr="00603781">
        <w:rPr>
          <w:rFonts w:ascii="Arial" w:hAnsi="Arial" w:cs="Arial"/>
          <w:i/>
          <w:iCs/>
        </w:rPr>
        <w:t>Rosebank Mall</w:t>
      </w:r>
      <w:r w:rsidRPr="00603781">
        <w:rPr>
          <w:rFonts w:ascii="Arial" w:hAnsi="Arial" w:cs="Arial"/>
        </w:rPr>
        <w:t xml:space="preserve"> (</w:t>
      </w:r>
      <w:r w:rsidRPr="00603781">
        <w:rPr>
          <w:rFonts w:ascii="Arial" w:hAnsi="Arial" w:cs="Arial"/>
          <w:i/>
          <w:iCs/>
        </w:rPr>
        <w:t>supra</w:t>
      </w:r>
      <w:r w:rsidRPr="00603781">
        <w:rPr>
          <w:rFonts w:ascii="Arial" w:hAnsi="Arial" w:cs="Arial"/>
        </w:rPr>
        <w:t>) at [26].</w:t>
      </w:r>
    </w:p>
  </w:footnote>
  <w:footnote w:id="10">
    <w:p w:rsidR="001C3DB6" w:rsidRPr="00603781" w:rsidRDefault="001C3DB6" w:rsidP="00363C47">
      <w:pPr>
        <w:pStyle w:val="FootnoteText"/>
        <w:spacing w:line="360" w:lineRule="auto"/>
        <w:rPr>
          <w:rFonts w:ascii="Arial" w:hAnsi="Arial" w:cs="Arial"/>
          <w:lang w:val="en-US"/>
        </w:rPr>
      </w:pPr>
      <w:r w:rsidRPr="00603781">
        <w:rPr>
          <w:rStyle w:val="FootnoteReference"/>
          <w:rFonts w:ascii="Arial" w:hAnsi="Arial" w:cs="Arial"/>
        </w:rPr>
        <w:footnoteRef/>
      </w:r>
      <w:r w:rsidRPr="00603781">
        <w:rPr>
          <w:rFonts w:ascii="Arial" w:hAnsi="Arial" w:cs="Arial"/>
        </w:rPr>
        <w:t xml:space="preserve"> </w:t>
      </w:r>
      <w:r w:rsidRPr="00603781">
        <w:rPr>
          <w:rFonts w:ascii="Arial" w:hAnsi="Arial" w:cs="Arial"/>
          <w:i/>
        </w:rPr>
        <w:t>Amalgamated Engineering Union v Minister of Labour</w:t>
      </w:r>
      <w:r w:rsidRPr="00603781">
        <w:rPr>
          <w:rFonts w:ascii="Arial" w:hAnsi="Arial" w:cs="Arial"/>
        </w:rPr>
        <w:t> 1949 (3) SA 637 (A)</w:t>
      </w:r>
      <w:r w:rsidR="002C13C6" w:rsidRPr="00603781">
        <w:rPr>
          <w:rFonts w:ascii="Arial" w:hAnsi="Arial" w:cs="Arial"/>
        </w:rPr>
        <w:t>.</w:t>
      </w:r>
    </w:p>
  </w:footnote>
  <w:footnote w:id="11">
    <w:p w:rsidR="0058228E" w:rsidRPr="00603781" w:rsidRDefault="0058228E" w:rsidP="00363C47">
      <w:pPr>
        <w:pStyle w:val="FootnoteText"/>
        <w:spacing w:line="360" w:lineRule="auto"/>
        <w:rPr>
          <w:rFonts w:ascii="Arial" w:hAnsi="Arial" w:cs="Arial"/>
          <w:lang w:val="en-US"/>
        </w:rPr>
      </w:pPr>
      <w:r w:rsidRPr="00603781">
        <w:rPr>
          <w:rStyle w:val="FootnoteReference"/>
          <w:rFonts w:ascii="Arial" w:hAnsi="Arial" w:cs="Arial"/>
        </w:rPr>
        <w:footnoteRef/>
      </w:r>
      <w:r w:rsidRPr="00603781">
        <w:rPr>
          <w:rFonts w:ascii="Arial" w:hAnsi="Arial" w:cs="Arial"/>
        </w:rPr>
        <w:t xml:space="preserve"> </w:t>
      </w:r>
      <w:r w:rsidRPr="00603781">
        <w:rPr>
          <w:rFonts w:ascii="Arial" w:hAnsi="Arial" w:cs="Arial"/>
          <w:i/>
        </w:rPr>
        <w:t>Kleynhans v Chairperson of the Council for the Municipality of Walvis Bay and Others</w:t>
      </w:r>
      <w:r w:rsidRPr="00603781">
        <w:rPr>
          <w:rFonts w:ascii="Arial" w:hAnsi="Arial" w:cs="Arial"/>
        </w:rPr>
        <w:t xml:space="preserve"> 2011 (2) NR 437 (HC)</w:t>
      </w:r>
    </w:p>
  </w:footnote>
  <w:footnote w:id="12">
    <w:p w:rsidR="001C3DB6" w:rsidRPr="00603781" w:rsidRDefault="001C3DB6" w:rsidP="00363C47">
      <w:pPr>
        <w:pStyle w:val="FootnoteText"/>
        <w:spacing w:line="360" w:lineRule="auto"/>
        <w:rPr>
          <w:rFonts w:ascii="Arial" w:hAnsi="Arial" w:cs="Arial"/>
          <w:lang w:val="en-US"/>
        </w:rPr>
      </w:pPr>
      <w:r w:rsidRPr="00603781">
        <w:rPr>
          <w:rStyle w:val="FootnoteReference"/>
          <w:rFonts w:ascii="Arial" w:hAnsi="Arial" w:cs="Arial"/>
        </w:rPr>
        <w:footnoteRef/>
      </w:r>
      <w:r w:rsidRPr="00603781">
        <w:rPr>
          <w:rFonts w:ascii="Arial" w:hAnsi="Arial" w:cs="Arial"/>
        </w:rPr>
        <w:t xml:space="preserve"> Compare </w:t>
      </w:r>
      <w:r w:rsidRPr="00603781">
        <w:rPr>
          <w:rFonts w:ascii="Arial" w:hAnsi="Arial" w:cs="Arial"/>
          <w:i/>
        </w:rPr>
        <w:t>Henri Viljoen (Pty) Ltd v Awerbuch Brothers</w:t>
      </w:r>
      <w:r w:rsidRPr="00603781">
        <w:rPr>
          <w:rFonts w:ascii="Arial" w:hAnsi="Arial" w:cs="Arial"/>
        </w:rPr>
        <w:t xml:space="preserve"> 1953 (2) SA 151 (O) at 168 – 70.</w:t>
      </w:r>
    </w:p>
  </w:footnote>
  <w:footnote w:id="13">
    <w:p w:rsidR="00F40069" w:rsidRPr="00603781" w:rsidRDefault="00F40069" w:rsidP="00363C47">
      <w:pPr>
        <w:pStyle w:val="FootnoteText"/>
        <w:spacing w:line="360" w:lineRule="auto"/>
        <w:rPr>
          <w:rFonts w:ascii="Arial" w:hAnsi="Arial" w:cs="Arial"/>
          <w:lang w:val="en-US"/>
        </w:rPr>
      </w:pPr>
      <w:r w:rsidRPr="00603781">
        <w:rPr>
          <w:rStyle w:val="FootnoteReference"/>
          <w:rFonts w:ascii="Arial" w:hAnsi="Arial" w:cs="Arial"/>
        </w:rPr>
        <w:footnoteRef/>
      </w:r>
      <w:r w:rsidRPr="00603781">
        <w:rPr>
          <w:rFonts w:ascii="Arial" w:hAnsi="Arial" w:cs="Arial"/>
        </w:rPr>
        <w:t xml:space="preserve"> </w:t>
      </w:r>
      <w:r w:rsidRPr="00603781">
        <w:rPr>
          <w:rFonts w:ascii="Arial" w:hAnsi="Arial" w:cs="Arial"/>
          <w:i/>
        </w:rPr>
        <w:t xml:space="preserve">Amalgamated Engineering Union v Minister of Labour </w:t>
      </w:r>
      <w:r w:rsidRPr="00603781">
        <w:rPr>
          <w:rFonts w:ascii="Arial" w:hAnsi="Arial" w:cs="Arial"/>
        </w:rPr>
        <w:t>at 661 H to 663</w:t>
      </w:r>
      <w:r w:rsidR="00F6792B" w:rsidRPr="00603781">
        <w:rPr>
          <w:rFonts w:ascii="Arial" w:hAnsi="Arial" w:cs="Arial"/>
        </w:rPr>
        <w:t>.</w:t>
      </w:r>
    </w:p>
  </w:footnote>
  <w:footnote w:id="14">
    <w:p w:rsidR="0039106E" w:rsidRPr="00603781" w:rsidRDefault="0039106E" w:rsidP="00363C47">
      <w:pPr>
        <w:pStyle w:val="FootnoteText"/>
        <w:spacing w:line="360" w:lineRule="auto"/>
        <w:rPr>
          <w:rFonts w:ascii="Arial" w:hAnsi="Arial" w:cs="Arial"/>
          <w:lang w:val="en-US"/>
        </w:rPr>
      </w:pPr>
      <w:r w:rsidRPr="00603781">
        <w:rPr>
          <w:rStyle w:val="FootnoteReference"/>
          <w:rFonts w:ascii="Arial" w:hAnsi="Arial" w:cs="Arial"/>
        </w:rPr>
        <w:footnoteRef/>
      </w:r>
      <w:r w:rsidRPr="00603781">
        <w:rPr>
          <w:rFonts w:ascii="Arial" w:hAnsi="Arial" w:cs="Arial"/>
        </w:rPr>
        <w:t xml:space="preserve"> See letter dated 28 May 2021. </w:t>
      </w:r>
    </w:p>
  </w:footnote>
  <w:footnote w:id="15">
    <w:p w:rsidR="0039106E" w:rsidRPr="00603781" w:rsidRDefault="0039106E" w:rsidP="00363C47">
      <w:pPr>
        <w:pStyle w:val="FootnoteText"/>
        <w:spacing w:line="360" w:lineRule="auto"/>
        <w:rPr>
          <w:rFonts w:ascii="Arial" w:hAnsi="Arial" w:cs="Arial"/>
          <w:lang w:val="en-US"/>
        </w:rPr>
      </w:pPr>
      <w:r w:rsidRPr="00603781">
        <w:rPr>
          <w:rStyle w:val="FootnoteReference"/>
          <w:rFonts w:ascii="Arial" w:hAnsi="Arial" w:cs="Arial"/>
        </w:rPr>
        <w:footnoteRef/>
      </w:r>
      <w:r w:rsidRPr="00603781">
        <w:rPr>
          <w:rFonts w:ascii="Arial" w:hAnsi="Arial" w:cs="Arial"/>
        </w:rPr>
        <w:t xml:space="preserve"> Joing Status Report dated 15 June 2021. </w:t>
      </w:r>
    </w:p>
  </w:footnote>
  <w:footnote w:id="16">
    <w:p w:rsidR="0011074D" w:rsidRPr="00603781" w:rsidRDefault="0011074D" w:rsidP="00363C47">
      <w:pPr>
        <w:pStyle w:val="footnotedescription"/>
        <w:spacing w:line="360" w:lineRule="auto"/>
        <w:ind w:left="0"/>
      </w:pPr>
      <w:r w:rsidRPr="00603781">
        <w:rPr>
          <w:rStyle w:val="footnotemark"/>
        </w:rPr>
        <w:footnoteRef/>
      </w:r>
      <w:r w:rsidRPr="00603781">
        <w:t xml:space="preserve"> Heads of argument para 10</w:t>
      </w:r>
      <w:r w:rsidR="00671C45" w:rsidRPr="00603781">
        <w:t>.</w:t>
      </w:r>
      <w:r w:rsidRPr="00603781">
        <w:t xml:space="preserve"> </w:t>
      </w:r>
    </w:p>
  </w:footnote>
  <w:footnote w:id="17">
    <w:p w:rsidR="0011074D" w:rsidRPr="00603781" w:rsidRDefault="0011074D" w:rsidP="00363C47">
      <w:pPr>
        <w:pStyle w:val="footnotedescription"/>
        <w:spacing w:line="360" w:lineRule="auto"/>
        <w:ind w:left="0"/>
        <w:jc w:val="both"/>
      </w:pPr>
      <w:r w:rsidRPr="00603781">
        <w:rPr>
          <w:rStyle w:val="footnotemark"/>
        </w:rPr>
        <w:footnoteRef/>
      </w:r>
      <w:r w:rsidRPr="00603781">
        <w:t xml:space="preserve"> </w:t>
      </w:r>
      <w:r w:rsidRPr="00603781">
        <w:rPr>
          <w:i/>
        </w:rPr>
        <w:t>Mutual Life Insurance Co of New York v Ingle</w:t>
      </w:r>
      <w:r w:rsidRPr="00603781">
        <w:t xml:space="preserve"> 1910 TPD 540 of 550; </w:t>
      </w:r>
      <w:r w:rsidRPr="00603781">
        <w:rPr>
          <w:i/>
        </w:rPr>
        <w:t>Botha (now Griesel) and Another v Finanscredit (Pty) Ltd</w:t>
      </w:r>
      <w:r w:rsidRPr="00603781">
        <w:t xml:space="preserve"> 1989 (3) SA 773 (A) at 792B-D). </w:t>
      </w:r>
    </w:p>
  </w:footnote>
  <w:footnote w:id="18">
    <w:p w:rsidR="0011074D" w:rsidRPr="00603781" w:rsidRDefault="0011074D" w:rsidP="00363C47">
      <w:pPr>
        <w:pStyle w:val="footnotedescription"/>
        <w:spacing w:line="360" w:lineRule="auto"/>
        <w:ind w:left="0"/>
      </w:pPr>
      <w:r w:rsidRPr="00603781">
        <w:rPr>
          <w:rStyle w:val="footnotemark"/>
        </w:rPr>
        <w:footnoteRef/>
      </w:r>
      <w:r w:rsidRPr="00603781">
        <w:t xml:space="preserve"> </w:t>
      </w:r>
      <w:r w:rsidRPr="00603781">
        <w:rPr>
          <w:i/>
          <w:color w:val="242121"/>
        </w:rPr>
        <w:t>Palmer</w:t>
      </w:r>
      <w:r w:rsidRPr="00603781">
        <w:rPr>
          <w:color w:val="242121"/>
        </w:rPr>
        <w:t xml:space="preserve"> </w:t>
      </w:r>
      <w:r w:rsidRPr="00603781">
        <w:rPr>
          <w:i/>
          <w:color w:val="242121"/>
        </w:rPr>
        <w:t>v Poulter</w:t>
      </w:r>
      <w:r w:rsidRPr="00603781">
        <w:rPr>
          <w:color w:val="242121"/>
        </w:rPr>
        <w:t xml:space="preserve"> 1983 (4) SA 11 (T) at page 21A</w:t>
      </w:r>
      <w:r w:rsidR="00671C45" w:rsidRPr="00603781">
        <w:rPr>
          <w:color w:val="242121"/>
        </w:rPr>
        <w:t>.</w:t>
      </w:r>
      <w:r w:rsidRPr="0060378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3F70"/>
    <w:multiLevelType w:val="hybridMultilevel"/>
    <w:tmpl w:val="F6B65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45557"/>
    <w:multiLevelType w:val="hybridMultilevel"/>
    <w:tmpl w:val="6EBA6990"/>
    <w:lvl w:ilvl="0" w:tplc="39164F8E">
      <w:start w:val="6"/>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6C1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28A9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FC58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089C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8AE6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ACCA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5C59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56F2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3E7438"/>
    <w:multiLevelType w:val="multilevel"/>
    <w:tmpl w:val="9A4018B0"/>
    <w:lvl w:ilvl="0">
      <w:start w:val="12"/>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8C17AC"/>
    <w:multiLevelType w:val="hybridMultilevel"/>
    <w:tmpl w:val="B3D0A484"/>
    <w:lvl w:ilvl="0" w:tplc="FC1EAA9E">
      <w:start w:val="17"/>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FE53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9C4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AE05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A294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7437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2C49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D069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3811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B2E24"/>
    <w:multiLevelType w:val="hybridMultilevel"/>
    <w:tmpl w:val="AB3A3CB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CAD55DA"/>
    <w:multiLevelType w:val="hybridMultilevel"/>
    <w:tmpl w:val="B0BEF562"/>
    <w:lvl w:ilvl="0" w:tplc="7AC8D2A4">
      <w:start w:val="100"/>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DA238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0D099D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F78C3C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936259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E9E072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C2A500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6D62E5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5768E9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4D42A2"/>
    <w:multiLevelType w:val="hybridMultilevel"/>
    <w:tmpl w:val="191497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3DD0CD5"/>
    <w:multiLevelType w:val="hybridMultilevel"/>
    <w:tmpl w:val="51AA6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816A4"/>
    <w:multiLevelType w:val="multilevel"/>
    <w:tmpl w:val="C8EA4ED8"/>
    <w:lvl w:ilvl="0">
      <w:start w:val="1"/>
      <w:numFmt w:val="decimal"/>
      <w:lvlText w:val="%1."/>
      <w:lvlJc w:val="left"/>
      <w:pPr>
        <w:ind w:left="108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9C472E4"/>
    <w:multiLevelType w:val="hybridMultilevel"/>
    <w:tmpl w:val="D7CC3BFC"/>
    <w:lvl w:ilvl="0" w:tplc="A7D042EE">
      <w:start w:val="2"/>
      <w:numFmt w:val="decimal"/>
      <w:lvlText w:val="%1."/>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2682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E226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B843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2045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CE56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D05D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9CB4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BEAC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17"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BFF6B04"/>
    <w:multiLevelType w:val="hybridMultilevel"/>
    <w:tmpl w:val="D24EA1BA"/>
    <w:lvl w:ilvl="0" w:tplc="869452A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6F2F09"/>
    <w:multiLevelType w:val="multilevel"/>
    <w:tmpl w:val="DA4411B2"/>
    <w:lvl w:ilvl="0">
      <w:start w:val="1"/>
      <w:numFmt w:val="decimal"/>
      <w:lvlText w:val="%1."/>
      <w:lvlJc w:val="left"/>
      <w:pPr>
        <w:ind w:left="360" w:hanging="360"/>
      </w:pPr>
      <w:rPr>
        <w:b w:val="0"/>
        <w:bCs w:val="0"/>
      </w:rPr>
    </w:lvl>
    <w:lvl w:ilvl="1">
      <w:start w:val="1"/>
      <w:numFmt w:val="decimal"/>
      <w:lvlText w:val="%1.%2."/>
      <w:lvlJc w:val="left"/>
      <w:pPr>
        <w:ind w:left="1000" w:hanging="432"/>
      </w:pPr>
      <w:rPr>
        <w:b w:val="0"/>
        <w:bCs w:val="0"/>
        <w:i w:val="0"/>
        <w:iCs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61AEA"/>
    <w:multiLevelType w:val="hybridMultilevel"/>
    <w:tmpl w:val="86362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8"/>
  </w:num>
  <w:num w:numId="4">
    <w:abstractNumId w:val="17"/>
  </w:num>
  <w:num w:numId="5">
    <w:abstractNumId w:val="10"/>
  </w:num>
  <w:num w:numId="6">
    <w:abstractNumId w:val="8"/>
  </w:num>
  <w:num w:numId="7">
    <w:abstractNumId w:val="22"/>
  </w:num>
  <w:num w:numId="8">
    <w:abstractNumId w:val="20"/>
  </w:num>
  <w:num w:numId="9">
    <w:abstractNumId w:val="7"/>
  </w:num>
  <w:num w:numId="10">
    <w:abstractNumId w:val="16"/>
  </w:num>
  <w:num w:numId="11">
    <w:abstractNumId w:val="5"/>
  </w:num>
  <w:num w:numId="12">
    <w:abstractNumId w:val="14"/>
  </w:num>
  <w:num w:numId="13">
    <w:abstractNumId w:val="19"/>
  </w:num>
  <w:num w:numId="14">
    <w:abstractNumId w:val="13"/>
  </w:num>
  <w:num w:numId="15">
    <w:abstractNumId w:val="12"/>
  </w:num>
  <w:num w:numId="16">
    <w:abstractNumId w:val="11"/>
  </w:num>
  <w:num w:numId="17">
    <w:abstractNumId w:val="15"/>
  </w:num>
  <w:num w:numId="18">
    <w:abstractNumId w:val="2"/>
  </w:num>
  <w:num w:numId="19">
    <w:abstractNumId w:val="0"/>
  </w:num>
  <w:num w:numId="20">
    <w:abstractNumId w:val="1"/>
  </w:num>
  <w:num w:numId="21">
    <w:abstractNumId w:val="21"/>
  </w:num>
  <w:num w:numId="22">
    <w:abstractNumId w:val="4"/>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4B6F"/>
    <w:rsid w:val="00007708"/>
    <w:rsid w:val="00013017"/>
    <w:rsid w:val="00026D86"/>
    <w:rsid w:val="0002701D"/>
    <w:rsid w:val="000410D4"/>
    <w:rsid w:val="00062068"/>
    <w:rsid w:val="00065CE7"/>
    <w:rsid w:val="000747A6"/>
    <w:rsid w:val="00074921"/>
    <w:rsid w:val="00090783"/>
    <w:rsid w:val="000919AF"/>
    <w:rsid w:val="00091C59"/>
    <w:rsid w:val="00092FD2"/>
    <w:rsid w:val="0009710D"/>
    <w:rsid w:val="000B7BF3"/>
    <w:rsid w:val="000C0A07"/>
    <w:rsid w:val="000D08C1"/>
    <w:rsid w:val="000D5FE9"/>
    <w:rsid w:val="000E362A"/>
    <w:rsid w:val="000E3A58"/>
    <w:rsid w:val="000F1180"/>
    <w:rsid w:val="0011074D"/>
    <w:rsid w:val="00112D50"/>
    <w:rsid w:val="00113321"/>
    <w:rsid w:val="00113711"/>
    <w:rsid w:val="00114E30"/>
    <w:rsid w:val="00124EC8"/>
    <w:rsid w:val="001338C3"/>
    <w:rsid w:val="001417E6"/>
    <w:rsid w:val="00157865"/>
    <w:rsid w:val="00163191"/>
    <w:rsid w:val="00165FEE"/>
    <w:rsid w:val="00166B61"/>
    <w:rsid w:val="0017153C"/>
    <w:rsid w:val="00177C43"/>
    <w:rsid w:val="001804AD"/>
    <w:rsid w:val="001A2DDF"/>
    <w:rsid w:val="001B23D9"/>
    <w:rsid w:val="001B710C"/>
    <w:rsid w:val="001C3DB6"/>
    <w:rsid w:val="001D41D2"/>
    <w:rsid w:val="001E39EE"/>
    <w:rsid w:val="001E70F9"/>
    <w:rsid w:val="001F1ECD"/>
    <w:rsid w:val="001F4A48"/>
    <w:rsid w:val="002002FA"/>
    <w:rsid w:val="00200EB7"/>
    <w:rsid w:val="00203AE2"/>
    <w:rsid w:val="00203E3D"/>
    <w:rsid w:val="002100DF"/>
    <w:rsid w:val="002207D9"/>
    <w:rsid w:val="002208AF"/>
    <w:rsid w:val="00223D66"/>
    <w:rsid w:val="002277CD"/>
    <w:rsid w:val="00227CBC"/>
    <w:rsid w:val="00230378"/>
    <w:rsid w:val="00235021"/>
    <w:rsid w:val="00242C0E"/>
    <w:rsid w:val="002456CE"/>
    <w:rsid w:val="00263A9B"/>
    <w:rsid w:val="00265783"/>
    <w:rsid w:val="00266B3E"/>
    <w:rsid w:val="002736CF"/>
    <w:rsid w:val="00281A10"/>
    <w:rsid w:val="00281FAB"/>
    <w:rsid w:val="002900B0"/>
    <w:rsid w:val="002A06F0"/>
    <w:rsid w:val="002B1C34"/>
    <w:rsid w:val="002B3F1D"/>
    <w:rsid w:val="002C13C6"/>
    <w:rsid w:val="002C3150"/>
    <w:rsid w:val="002C6FA8"/>
    <w:rsid w:val="002D4C2A"/>
    <w:rsid w:val="002E27BA"/>
    <w:rsid w:val="002E3BFB"/>
    <w:rsid w:val="002F3E09"/>
    <w:rsid w:val="00300CF7"/>
    <w:rsid w:val="0030287B"/>
    <w:rsid w:val="00323762"/>
    <w:rsid w:val="00334EC0"/>
    <w:rsid w:val="003375D1"/>
    <w:rsid w:val="00340312"/>
    <w:rsid w:val="00342AC5"/>
    <w:rsid w:val="00347DBC"/>
    <w:rsid w:val="00363C47"/>
    <w:rsid w:val="00364D3C"/>
    <w:rsid w:val="00371CD0"/>
    <w:rsid w:val="003723C3"/>
    <w:rsid w:val="00381A2F"/>
    <w:rsid w:val="00383DAA"/>
    <w:rsid w:val="00387683"/>
    <w:rsid w:val="00390B8C"/>
    <w:rsid w:val="0039106E"/>
    <w:rsid w:val="003927BC"/>
    <w:rsid w:val="0039308E"/>
    <w:rsid w:val="00393E41"/>
    <w:rsid w:val="00396AF1"/>
    <w:rsid w:val="003A0103"/>
    <w:rsid w:val="003A0598"/>
    <w:rsid w:val="003A7E2F"/>
    <w:rsid w:val="003B0E74"/>
    <w:rsid w:val="003C4403"/>
    <w:rsid w:val="003C4613"/>
    <w:rsid w:val="003E293C"/>
    <w:rsid w:val="003E3D0D"/>
    <w:rsid w:val="003E50E8"/>
    <w:rsid w:val="003F22B6"/>
    <w:rsid w:val="003F52A2"/>
    <w:rsid w:val="003F63E0"/>
    <w:rsid w:val="00422CA6"/>
    <w:rsid w:val="00425554"/>
    <w:rsid w:val="00435460"/>
    <w:rsid w:val="004373CF"/>
    <w:rsid w:val="00446883"/>
    <w:rsid w:val="004514DE"/>
    <w:rsid w:val="004546CC"/>
    <w:rsid w:val="00456199"/>
    <w:rsid w:val="00461D3B"/>
    <w:rsid w:val="004701C4"/>
    <w:rsid w:val="00470B0C"/>
    <w:rsid w:val="004B25F6"/>
    <w:rsid w:val="004B355E"/>
    <w:rsid w:val="004B5538"/>
    <w:rsid w:val="004B5E87"/>
    <w:rsid w:val="004D5D31"/>
    <w:rsid w:val="004E581F"/>
    <w:rsid w:val="004E7D33"/>
    <w:rsid w:val="004F2DFF"/>
    <w:rsid w:val="004F4AF7"/>
    <w:rsid w:val="0050338C"/>
    <w:rsid w:val="00507423"/>
    <w:rsid w:val="005234EE"/>
    <w:rsid w:val="005403D8"/>
    <w:rsid w:val="0054492B"/>
    <w:rsid w:val="00550B34"/>
    <w:rsid w:val="00555995"/>
    <w:rsid w:val="005577B6"/>
    <w:rsid w:val="00560857"/>
    <w:rsid w:val="00562A14"/>
    <w:rsid w:val="0056512A"/>
    <w:rsid w:val="0058228E"/>
    <w:rsid w:val="005955B1"/>
    <w:rsid w:val="005A21FD"/>
    <w:rsid w:val="005A66F8"/>
    <w:rsid w:val="005B7A31"/>
    <w:rsid w:val="005C6635"/>
    <w:rsid w:val="005D0592"/>
    <w:rsid w:val="005D6172"/>
    <w:rsid w:val="005D7161"/>
    <w:rsid w:val="005E5A8F"/>
    <w:rsid w:val="005F069E"/>
    <w:rsid w:val="00603781"/>
    <w:rsid w:val="0060394A"/>
    <w:rsid w:val="006039AA"/>
    <w:rsid w:val="00621EE8"/>
    <w:rsid w:val="0062225A"/>
    <w:rsid w:val="00627C26"/>
    <w:rsid w:val="006475B1"/>
    <w:rsid w:val="00647604"/>
    <w:rsid w:val="00647A7B"/>
    <w:rsid w:val="00652595"/>
    <w:rsid w:val="00664632"/>
    <w:rsid w:val="00666306"/>
    <w:rsid w:val="00671C45"/>
    <w:rsid w:val="00674597"/>
    <w:rsid w:val="006809D8"/>
    <w:rsid w:val="00680E7F"/>
    <w:rsid w:val="00682468"/>
    <w:rsid w:val="00686B3F"/>
    <w:rsid w:val="0069208A"/>
    <w:rsid w:val="006A0F44"/>
    <w:rsid w:val="006B1F56"/>
    <w:rsid w:val="006C2872"/>
    <w:rsid w:val="006C2F95"/>
    <w:rsid w:val="006C6A38"/>
    <w:rsid w:val="006D1141"/>
    <w:rsid w:val="006D22F9"/>
    <w:rsid w:val="006D2D84"/>
    <w:rsid w:val="006D4540"/>
    <w:rsid w:val="006E2964"/>
    <w:rsid w:val="006E49A3"/>
    <w:rsid w:val="006F4A66"/>
    <w:rsid w:val="007051A7"/>
    <w:rsid w:val="00711F52"/>
    <w:rsid w:val="00715AD2"/>
    <w:rsid w:val="00720935"/>
    <w:rsid w:val="00723F03"/>
    <w:rsid w:val="0072640A"/>
    <w:rsid w:val="0073012B"/>
    <w:rsid w:val="007329D4"/>
    <w:rsid w:val="007447AE"/>
    <w:rsid w:val="00764071"/>
    <w:rsid w:val="00772C8E"/>
    <w:rsid w:val="007741AD"/>
    <w:rsid w:val="00781270"/>
    <w:rsid w:val="0078341F"/>
    <w:rsid w:val="00790E9F"/>
    <w:rsid w:val="0079456D"/>
    <w:rsid w:val="00797188"/>
    <w:rsid w:val="00797247"/>
    <w:rsid w:val="007A64D4"/>
    <w:rsid w:val="007C6B41"/>
    <w:rsid w:val="007E5C0C"/>
    <w:rsid w:val="007F3578"/>
    <w:rsid w:val="00805BCE"/>
    <w:rsid w:val="00806B14"/>
    <w:rsid w:val="00810751"/>
    <w:rsid w:val="00812E09"/>
    <w:rsid w:val="0081352A"/>
    <w:rsid w:val="00823237"/>
    <w:rsid w:val="008252F5"/>
    <w:rsid w:val="00825474"/>
    <w:rsid w:val="00837272"/>
    <w:rsid w:val="00851B88"/>
    <w:rsid w:val="0085400B"/>
    <w:rsid w:val="00857638"/>
    <w:rsid w:val="00864008"/>
    <w:rsid w:val="00864FC2"/>
    <w:rsid w:val="00867BDF"/>
    <w:rsid w:val="00875337"/>
    <w:rsid w:val="008803AD"/>
    <w:rsid w:val="00881D18"/>
    <w:rsid w:val="00890143"/>
    <w:rsid w:val="008930A5"/>
    <w:rsid w:val="008A14A9"/>
    <w:rsid w:val="008A14F9"/>
    <w:rsid w:val="008A1CB3"/>
    <w:rsid w:val="008B0938"/>
    <w:rsid w:val="008B1C23"/>
    <w:rsid w:val="008B2A46"/>
    <w:rsid w:val="008C0AC7"/>
    <w:rsid w:val="008D2B93"/>
    <w:rsid w:val="008D2C0D"/>
    <w:rsid w:val="008D5B33"/>
    <w:rsid w:val="008D5B8D"/>
    <w:rsid w:val="008D65E9"/>
    <w:rsid w:val="008D79D4"/>
    <w:rsid w:val="008E6759"/>
    <w:rsid w:val="008E783F"/>
    <w:rsid w:val="008F7DEA"/>
    <w:rsid w:val="00902CE8"/>
    <w:rsid w:val="00905A48"/>
    <w:rsid w:val="00912A40"/>
    <w:rsid w:val="00912D4E"/>
    <w:rsid w:val="00913A1D"/>
    <w:rsid w:val="00945A2F"/>
    <w:rsid w:val="00947BEE"/>
    <w:rsid w:val="00952193"/>
    <w:rsid w:val="009633A4"/>
    <w:rsid w:val="00977346"/>
    <w:rsid w:val="00980485"/>
    <w:rsid w:val="0098051B"/>
    <w:rsid w:val="0098277A"/>
    <w:rsid w:val="0098450B"/>
    <w:rsid w:val="00992A7D"/>
    <w:rsid w:val="00997334"/>
    <w:rsid w:val="009A5F60"/>
    <w:rsid w:val="009B096F"/>
    <w:rsid w:val="009B1911"/>
    <w:rsid w:val="009C24B3"/>
    <w:rsid w:val="009C36A5"/>
    <w:rsid w:val="009C7093"/>
    <w:rsid w:val="009E4B44"/>
    <w:rsid w:val="009F008C"/>
    <w:rsid w:val="009F24FA"/>
    <w:rsid w:val="009F6C8B"/>
    <w:rsid w:val="009F716F"/>
    <w:rsid w:val="00A06FD8"/>
    <w:rsid w:val="00A14435"/>
    <w:rsid w:val="00A16AC6"/>
    <w:rsid w:val="00A21ABF"/>
    <w:rsid w:val="00A23F8A"/>
    <w:rsid w:val="00A258AF"/>
    <w:rsid w:val="00A40097"/>
    <w:rsid w:val="00A41689"/>
    <w:rsid w:val="00A4515E"/>
    <w:rsid w:val="00A5368E"/>
    <w:rsid w:val="00A5758F"/>
    <w:rsid w:val="00A635A8"/>
    <w:rsid w:val="00A6494E"/>
    <w:rsid w:val="00A772D3"/>
    <w:rsid w:val="00A81203"/>
    <w:rsid w:val="00A82F94"/>
    <w:rsid w:val="00AA01C0"/>
    <w:rsid w:val="00AB3745"/>
    <w:rsid w:val="00AB5193"/>
    <w:rsid w:val="00AC4198"/>
    <w:rsid w:val="00AD0FCD"/>
    <w:rsid w:val="00AD1833"/>
    <w:rsid w:val="00AD1BE2"/>
    <w:rsid w:val="00AF51C1"/>
    <w:rsid w:val="00AF6A56"/>
    <w:rsid w:val="00B07B4B"/>
    <w:rsid w:val="00B160EB"/>
    <w:rsid w:val="00B1649C"/>
    <w:rsid w:val="00B16E88"/>
    <w:rsid w:val="00B30012"/>
    <w:rsid w:val="00B33256"/>
    <w:rsid w:val="00B3332A"/>
    <w:rsid w:val="00B337FC"/>
    <w:rsid w:val="00B40BBE"/>
    <w:rsid w:val="00B45ABE"/>
    <w:rsid w:val="00B4625E"/>
    <w:rsid w:val="00B53D6D"/>
    <w:rsid w:val="00B6522D"/>
    <w:rsid w:val="00B66325"/>
    <w:rsid w:val="00B71AB3"/>
    <w:rsid w:val="00B76671"/>
    <w:rsid w:val="00B823C7"/>
    <w:rsid w:val="00B8518D"/>
    <w:rsid w:val="00B933D1"/>
    <w:rsid w:val="00BA213D"/>
    <w:rsid w:val="00BA3715"/>
    <w:rsid w:val="00BA48EA"/>
    <w:rsid w:val="00BB1E6E"/>
    <w:rsid w:val="00BB388A"/>
    <w:rsid w:val="00BC1BEA"/>
    <w:rsid w:val="00BC4D4A"/>
    <w:rsid w:val="00BE30BD"/>
    <w:rsid w:val="00BE5489"/>
    <w:rsid w:val="00BE7DE8"/>
    <w:rsid w:val="00BF539E"/>
    <w:rsid w:val="00BF6DAE"/>
    <w:rsid w:val="00BF75A0"/>
    <w:rsid w:val="00C04EBD"/>
    <w:rsid w:val="00C05B9C"/>
    <w:rsid w:val="00C06B39"/>
    <w:rsid w:val="00C10C58"/>
    <w:rsid w:val="00C11023"/>
    <w:rsid w:val="00C119BC"/>
    <w:rsid w:val="00C249D9"/>
    <w:rsid w:val="00C332BE"/>
    <w:rsid w:val="00C356C5"/>
    <w:rsid w:val="00C50A1F"/>
    <w:rsid w:val="00C70D46"/>
    <w:rsid w:val="00C71A71"/>
    <w:rsid w:val="00C73154"/>
    <w:rsid w:val="00C95503"/>
    <w:rsid w:val="00CA0679"/>
    <w:rsid w:val="00CA2B73"/>
    <w:rsid w:val="00CA4320"/>
    <w:rsid w:val="00CB39F0"/>
    <w:rsid w:val="00CB4CA9"/>
    <w:rsid w:val="00CB6E64"/>
    <w:rsid w:val="00CC191C"/>
    <w:rsid w:val="00CC4D82"/>
    <w:rsid w:val="00CC4E7A"/>
    <w:rsid w:val="00CC5024"/>
    <w:rsid w:val="00CF3D16"/>
    <w:rsid w:val="00CF6287"/>
    <w:rsid w:val="00D0287E"/>
    <w:rsid w:val="00D10858"/>
    <w:rsid w:val="00D153C7"/>
    <w:rsid w:val="00D22ACF"/>
    <w:rsid w:val="00D40029"/>
    <w:rsid w:val="00D46B66"/>
    <w:rsid w:val="00D64023"/>
    <w:rsid w:val="00D73FFF"/>
    <w:rsid w:val="00D75DDB"/>
    <w:rsid w:val="00D81552"/>
    <w:rsid w:val="00D862BF"/>
    <w:rsid w:val="00DB39D1"/>
    <w:rsid w:val="00DB6544"/>
    <w:rsid w:val="00DC392E"/>
    <w:rsid w:val="00DD1F31"/>
    <w:rsid w:val="00DD7576"/>
    <w:rsid w:val="00DE28D5"/>
    <w:rsid w:val="00DE518C"/>
    <w:rsid w:val="00DE709B"/>
    <w:rsid w:val="00DF4C13"/>
    <w:rsid w:val="00E075E1"/>
    <w:rsid w:val="00E1002B"/>
    <w:rsid w:val="00E256F6"/>
    <w:rsid w:val="00E3339B"/>
    <w:rsid w:val="00E41527"/>
    <w:rsid w:val="00E41C88"/>
    <w:rsid w:val="00E42112"/>
    <w:rsid w:val="00E44BBF"/>
    <w:rsid w:val="00E619CB"/>
    <w:rsid w:val="00E66C18"/>
    <w:rsid w:val="00E7570D"/>
    <w:rsid w:val="00E765F9"/>
    <w:rsid w:val="00EA06CF"/>
    <w:rsid w:val="00EA1F03"/>
    <w:rsid w:val="00EA456C"/>
    <w:rsid w:val="00EB27A0"/>
    <w:rsid w:val="00EE19B5"/>
    <w:rsid w:val="00EF159E"/>
    <w:rsid w:val="00F11950"/>
    <w:rsid w:val="00F16C57"/>
    <w:rsid w:val="00F224DA"/>
    <w:rsid w:val="00F24301"/>
    <w:rsid w:val="00F33160"/>
    <w:rsid w:val="00F3787E"/>
    <w:rsid w:val="00F379C6"/>
    <w:rsid w:val="00F40069"/>
    <w:rsid w:val="00F530B3"/>
    <w:rsid w:val="00F53DDE"/>
    <w:rsid w:val="00F55ED8"/>
    <w:rsid w:val="00F571A4"/>
    <w:rsid w:val="00F66EB8"/>
    <w:rsid w:val="00F6792B"/>
    <w:rsid w:val="00F70036"/>
    <w:rsid w:val="00F70493"/>
    <w:rsid w:val="00F71EB9"/>
    <w:rsid w:val="00F72F82"/>
    <w:rsid w:val="00F84167"/>
    <w:rsid w:val="00F844AF"/>
    <w:rsid w:val="00F9795B"/>
    <w:rsid w:val="00FB2069"/>
    <w:rsid w:val="00FB7BB2"/>
    <w:rsid w:val="00FC498A"/>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5A21FD"/>
    <w:pPr>
      <w:keepNext/>
      <w:keepLines/>
      <w:numPr>
        <w:numId w:val="16"/>
      </w:numPr>
      <w:spacing w:after="250" w:line="265" w:lineRule="auto"/>
      <w:ind w:left="10" w:right="11" w:hanging="10"/>
      <w:outlineLvl w:val="0"/>
    </w:pPr>
    <w:rPr>
      <w:rFonts w:ascii="Arial" w:eastAsia="Arial" w:hAnsi="Arial" w:cs="Arial"/>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aliases w:val="List Paragraph 1"/>
    <w:basedOn w:val="Normal"/>
    <w:link w:val="ListParagraphChar"/>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B07B4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B07B4B"/>
    <w:rPr>
      <w:sz w:val="20"/>
      <w:szCs w:val="20"/>
    </w:rPr>
  </w:style>
  <w:style w:type="character" w:styleId="FootnoteReference">
    <w:name w:val="footnote reference"/>
    <w:aliases w:val="Ref,de nota al pie,註腳內容,Footnotes refss,(NECG) Footnote Reference,fr,Appel note de bas de page"/>
    <w:basedOn w:val="DefaultParagraphFont"/>
    <w:uiPriority w:val="99"/>
    <w:unhideWhenUsed/>
    <w:qFormat/>
    <w:rsid w:val="00B07B4B"/>
    <w:rPr>
      <w:vertAlign w:val="superscript"/>
    </w:rPr>
  </w:style>
  <w:style w:type="character" w:customStyle="1" w:styleId="Heading1Char">
    <w:name w:val="Heading 1 Char"/>
    <w:basedOn w:val="DefaultParagraphFont"/>
    <w:link w:val="Heading1"/>
    <w:uiPriority w:val="9"/>
    <w:rsid w:val="005A21FD"/>
    <w:rPr>
      <w:rFonts w:ascii="Arial" w:eastAsia="Arial" w:hAnsi="Arial" w:cs="Arial"/>
      <w:b/>
      <w:color w:val="000000"/>
      <w:sz w:val="24"/>
      <w:lang w:val="en-GB" w:eastAsia="en-GB"/>
    </w:rPr>
  </w:style>
  <w:style w:type="paragraph" w:customStyle="1" w:styleId="footnotedescription">
    <w:name w:val="footnote description"/>
    <w:next w:val="Normal"/>
    <w:link w:val="footnotedescriptionChar"/>
    <w:hidden/>
    <w:rsid w:val="00BE30BD"/>
    <w:pPr>
      <w:spacing w:after="0"/>
      <w:ind w:left="1"/>
    </w:pPr>
    <w:rPr>
      <w:rFonts w:ascii="Arial" w:eastAsia="Arial" w:hAnsi="Arial" w:cs="Arial"/>
      <w:color w:val="000000"/>
      <w:sz w:val="20"/>
      <w:lang w:val="en-GB" w:eastAsia="en-GB"/>
    </w:rPr>
  </w:style>
  <w:style w:type="character" w:customStyle="1" w:styleId="footnotedescriptionChar">
    <w:name w:val="footnote description Char"/>
    <w:link w:val="footnotedescription"/>
    <w:rsid w:val="00BE30BD"/>
    <w:rPr>
      <w:rFonts w:ascii="Arial" w:eastAsia="Arial" w:hAnsi="Arial" w:cs="Arial"/>
      <w:color w:val="000000"/>
      <w:sz w:val="20"/>
      <w:lang w:val="en-GB" w:eastAsia="en-GB"/>
    </w:rPr>
  </w:style>
  <w:style w:type="character" w:customStyle="1" w:styleId="footnotemark">
    <w:name w:val="footnote mark"/>
    <w:hidden/>
    <w:rsid w:val="00BE30BD"/>
    <w:rPr>
      <w:rFonts w:ascii="Arial" w:eastAsia="Arial" w:hAnsi="Arial" w:cs="Arial"/>
      <w:color w:val="000000"/>
      <w:sz w:val="20"/>
      <w:vertAlign w:val="superscript"/>
    </w:rPr>
  </w:style>
  <w:style w:type="character" w:customStyle="1" w:styleId="ListParagraphChar">
    <w:name w:val="List Paragraph Char"/>
    <w:aliases w:val="List Paragraph 1 Char"/>
    <w:basedOn w:val="DefaultParagraphFont"/>
    <w:link w:val="ListParagraph"/>
    <w:uiPriority w:val="34"/>
    <w:locked/>
    <w:rsid w:val="0069208A"/>
  </w:style>
  <w:style w:type="paragraph" w:customStyle="1" w:styleId="Default">
    <w:name w:val="Default"/>
    <w:rsid w:val="006920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2021-08-19T18:30:00+00:00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00ACC-495E-4F3F-A955-0AFBFC86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AAD9F-35F2-452C-82DF-0374644226E0}">
  <ds:schemaRefs>
    <ds:schemaRef ds:uri="http://schemas.microsoft.com/sharepoint/v3/contenttype/forms"/>
  </ds:schemaRefs>
</ds:datastoreItem>
</file>

<file path=customXml/itemProps3.xml><?xml version="1.0" encoding="utf-8"?>
<ds:datastoreItem xmlns:ds="http://schemas.openxmlformats.org/officeDocument/2006/customXml" ds:itemID="{38FED1E1-C273-47B9-91A2-0E3712A096E1}">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C613EB09-D831-47E7-9A07-C91AD8F8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Sinco Fishing (Pty) Ltd  v Heinaste Investment Namibia (Pty) Ltd (HC-MD-CIV-MOT-GEN-2020-00588) [2021] NAHCMD 377 (20 August 2021)</vt:lpstr>
    </vt:vector>
  </TitlesOfParts>
  <Company/>
  <LinksUpToDate>false</LinksUpToDate>
  <CharactersWithSpaces>17877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Sinco Fishing (Pty) Ltd  v Heinaste Investment Namibia (Pty) Ltd (HC-MD-CIV-MOT-GEN-2020-00588) [2021] NAHCMD 377 (20 August 2021)</dc:title>
  <dc:subject/>
  <dc:creator>E. Kharases</dc:creator>
  <cp:keywords/>
  <dc:description/>
  <cp:lastModifiedBy>HOME</cp:lastModifiedBy>
  <cp:revision>2</cp:revision>
  <cp:lastPrinted>2021-08-19T11:03:00Z</cp:lastPrinted>
  <dcterms:created xsi:type="dcterms:W3CDTF">2022-01-15T11:48:00Z</dcterms:created>
  <dcterms:modified xsi:type="dcterms:W3CDTF">2022-01-15T11:48:00Z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