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3BDFD" w14:textId="77777777" w:rsidR="00214E9A" w:rsidRPr="0084768B" w:rsidRDefault="00214E9A" w:rsidP="00E87889">
      <w:pPr>
        <w:spacing w:after="0" w:line="360" w:lineRule="auto"/>
        <w:jc w:val="center"/>
        <w:rPr>
          <w:rFonts w:ascii="Arial" w:hAnsi="Arial" w:cs="Arial"/>
          <w:sz w:val="24"/>
          <w:szCs w:val="24"/>
          <w:lang w:val="en-GB"/>
        </w:rPr>
      </w:pPr>
      <w:r w:rsidRPr="0084768B">
        <w:rPr>
          <w:rFonts w:ascii="Arial" w:hAnsi="Arial" w:cs="Arial"/>
          <w:sz w:val="24"/>
          <w:szCs w:val="24"/>
          <w:lang w:val="en-GB"/>
        </w:rPr>
        <w:t>Practice Directive 61</w:t>
      </w:r>
    </w:p>
    <w:p w14:paraId="075C49D6" w14:textId="039C14FD" w:rsidR="00442660" w:rsidRPr="0084768B" w:rsidRDefault="00E6668B" w:rsidP="00E6668B">
      <w:pPr>
        <w:spacing w:after="0" w:line="360" w:lineRule="auto"/>
        <w:jc w:val="center"/>
        <w:rPr>
          <w:rFonts w:ascii="Arial" w:hAnsi="Arial" w:cs="Arial"/>
          <w:sz w:val="24"/>
          <w:szCs w:val="24"/>
          <w:lang w:val="en-GB"/>
        </w:rPr>
      </w:pPr>
      <w:r w:rsidRPr="0084768B">
        <w:rPr>
          <w:rFonts w:ascii="Arial" w:hAnsi="Arial" w:cs="Arial"/>
          <w:sz w:val="24"/>
          <w:szCs w:val="24"/>
          <w:lang w:val="en-GB"/>
        </w:rPr>
        <w:t>“Annexure 11”</w:t>
      </w:r>
    </w:p>
    <w:p w14:paraId="15DDCDD5" w14:textId="77777777" w:rsidR="00E6668B" w:rsidRPr="0084768B" w:rsidRDefault="00E6668B" w:rsidP="00E6668B">
      <w:pPr>
        <w:spacing w:after="0" w:line="360" w:lineRule="auto"/>
        <w:jc w:val="center"/>
        <w:rPr>
          <w:rFonts w:ascii="Arial" w:hAnsi="Arial" w:cs="Arial"/>
          <w:sz w:val="24"/>
          <w:szCs w:val="24"/>
          <w:lang w:val="en-GB"/>
        </w:rPr>
      </w:pPr>
    </w:p>
    <w:p w14:paraId="7A894FAF" w14:textId="77777777" w:rsidR="00442660" w:rsidRPr="0084768B" w:rsidRDefault="00214E9A" w:rsidP="00E87889">
      <w:pPr>
        <w:spacing w:after="0" w:line="360" w:lineRule="auto"/>
        <w:jc w:val="center"/>
        <w:rPr>
          <w:rFonts w:ascii="Arial" w:hAnsi="Arial" w:cs="Arial"/>
          <w:b/>
          <w:sz w:val="24"/>
          <w:szCs w:val="24"/>
          <w:lang w:val="en-GB"/>
        </w:rPr>
      </w:pPr>
      <w:r w:rsidRPr="0084768B">
        <w:rPr>
          <w:rFonts w:ascii="Arial" w:hAnsi="Arial" w:cs="Arial"/>
          <w:b/>
          <w:sz w:val="24"/>
          <w:szCs w:val="24"/>
          <w:lang w:val="en-GB"/>
        </w:rPr>
        <w:t>IN THE HIGH COURT OF NAMIBIA</w:t>
      </w:r>
    </w:p>
    <w:p w14:paraId="00C2EE94" w14:textId="77777777" w:rsidR="00214E9A" w:rsidRPr="0084768B" w:rsidRDefault="00214E9A" w:rsidP="00E87889">
      <w:pPr>
        <w:spacing w:after="0" w:line="360" w:lineRule="auto"/>
        <w:jc w:val="both"/>
        <w:rPr>
          <w:rFonts w:ascii="Arial" w:hAnsi="Arial" w:cs="Arial"/>
          <w:sz w:val="24"/>
          <w:szCs w:val="24"/>
          <w:lang w:val="en-GB"/>
        </w:rPr>
      </w:pPr>
    </w:p>
    <w:tbl>
      <w:tblPr>
        <w:tblStyle w:val="TableGrid"/>
        <w:tblW w:w="9214" w:type="dxa"/>
        <w:tblInd w:w="-5" w:type="dxa"/>
        <w:tblLook w:val="04A0" w:firstRow="1" w:lastRow="0" w:firstColumn="1" w:lastColumn="0" w:noHBand="0" w:noVBand="1"/>
      </w:tblPr>
      <w:tblGrid>
        <w:gridCol w:w="4500"/>
        <w:gridCol w:w="627"/>
        <w:gridCol w:w="4087"/>
      </w:tblGrid>
      <w:tr w:rsidR="00214E9A" w:rsidRPr="0084768B" w14:paraId="6641B3A1" w14:textId="77777777" w:rsidTr="00FD6545">
        <w:trPr>
          <w:trHeight w:val="744"/>
        </w:trPr>
        <w:tc>
          <w:tcPr>
            <w:tcW w:w="5127" w:type="dxa"/>
            <w:gridSpan w:val="2"/>
            <w:vMerge w:val="restart"/>
          </w:tcPr>
          <w:p w14:paraId="51475CEF" w14:textId="77777777" w:rsidR="00214E9A" w:rsidRPr="0084768B" w:rsidRDefault="00214E9A" w:rsidP="00E87889">
            <w:pPr>
              <w:spacing w:after="0" w:line="360" w:lineRule="auto"/>
              <w:jc w:val="both"/>
              <w:rPr>
                <w:rFonts w:ascii="Arial" w:hAnsi="Arial" w:cs="Arial"/>
                <w:sz w:val="24"/>
                <w:szCs w:val="24"/>
                <w:lang w:val="en-GB"/>
              </w:rPr>
            </w:pPr>
            <w:r w:rsidRPr="0084768B">
              <w:rPr>
                <w:rFonts w:ascii="Arial" w:hAnsi="Arial" w:cs="Arial"/>
                <w:b/>
                <w:sz w:val="24"/>
                <w:szCs w:val="24"/>
                <w:lang w:val="en-GB"/>
              </w:rPr>
              <w:t>Case Title:</w:t>
            </w:r>
          </w:p>
          <w:p w14:paraId="39C52D5E" w14:textId="7FF6D8E7" w:rsidR="00214E9A" w:rsidRPr="0084768B" w:rsidRDefault="00B30F2D" w:rsidP="00E87889">
            <w:pPr>
              <w:tabs>
                <w:tab w:val="left" w:pos="6750"/>
              </w:tabs>
              <w:spacing w:after="0" w:line="360" w:lineRule="auto"/>
              <w:jc w:val="both"/>
              <w:rPr>
                <w:rFonts w:ascii="Arial" w:hAnsi="Arial" w:cs="Arial"/>
                <w:sz w:val="24"/>
                <w:szCs w:val="24"/>
                <w:lang w:val="en-GB"/>
              </w:rPr>
            </w:pPr>
            <w:r w:rsidRPr="0084768B">
              <w:rPr>
                <w:rFonts w:ascii="Arial" w:hAnsi="Arial" w:cs="Arial"/>
                <w:sz w:val="24"/>
                <w:szCs w:val="24"/>
                <w:lang w:val="en-GB"/>
              </w:rPr>
              <w:t>BEVEN LISWANI KAMWI AND ANOTHER v HAROLD ROTNIE GERTZE AND ANOTHER</w:t>
            </w:r>
          </w:p>
        </w:tc>
        <w:tc>
          <w:tcPr>
            <w:tcW w:w="4087" w:type="dxa"/>
          </w:tcPr>
          <w:p w14:paraId="5C6A4DB5" w14:textId="77777777" w:rsidR="00214E9A" w:rsidRPr="0084768B" w:rsidRDefault="00214E9A" w:rsidP="00E87889">
            <w:pPr>
              <w:spacing w:after="0" w:line="360" w:lineRule="auto"/>
              <w:jc w:val="both"/>
              <w:rPr>
                <w:rFonts w:ascii="Arial" w:hAnsi="Arial" w:cs="Arial"/>
                <w:sz w:val="24"/>
                <w:szCs w:val="24"/>
                <w:lang w:val="en-GB"/>
              </w:rPr>
            </w:pPr>
            <w:r w:rsidRPr="0084768B">
              <w:rPr>
                <w:rFonts w:ascii="Arial" w:hAnsi="Arial" w:cs="Arial"/>
                <w:b/>
                <w:sz w:val="24"/>
                <w:szCs w:val="24"/>
                <w:lang w:val="en-GB"/>
              </w:rPr>
              <w:t>Case No:</w:t>
            </w:r>
          </w:p>
          <w:p w14:paraId="7533FB6E" w14:textId="184D0A3B" w:rsidR="00214E9A" w:rsidRPr="0084768B" w:rsidRDefault="00FD6545" w:rsidP="00E87889">
            <w:pPr>
              <w:spacing w:after="0" w:line="360" w:lineRule="auto"/>
              <w:rPr>
                <w:rFonts w:ascii="Arial" w:hAnsi="Arial" w:cs="Arial"/>
                <w:b/>
                <w:sz w:val="24"/>
                <w:szCs w:val="24"/>
                <w:lang w:val="en-GB"/>
              </w:rPr>
            </w:pPr>
            <w:r>
              <w:rPr>
                <w:rFonts w:ascii="Arial" w:hAnsi="Arial" w:cs="Arial"/>
                <w:sz w:val="24"/>
                <w:szCs w:val="24"/>
                <w:lang w:val="en-GB"/>
              </w:rPr>
              <w:t>HC-MD-CIV-ACT-CON-</w:t>
            </w:r>
            <w:r w:rsidR="00B30F2D" w:rsidRPr="0084768B">
              <w:rPr>
                <w:rFonts w:ascii="Arial" w:hAnsi="Arial" w:cs="Arial"/>
                <w:sz w:val="24"/>
                <w:szCs w:val="24"/>
                <w:lang w:val="en-GB"/>
              </w:rPr>
              <w:t>2021/02706</w:t>
            </w:r>
          </w:p>
        </w:tc>
      </w:tr>
      <w:tr w:rsidR="00214E9A" w:rsidRPr="0084768B" w14:paraId="5F0E0E25" w14:textId="77777777" w:rsidTr="00FD6545">
        <w:trPr>
          <w:trHeight w:val="844"/>
        </w:trPr>
        <w:tc>
          <w:tcPr>
            <w:tcW w:w="5127" w:type="dxa"/>
            <w:gridSpan w:val="2"/>
            <w:vMerge/>
          </w:tcPr>
          <w:p w14:paraId="01950D52" w14:textId="77777777" w:rsidR="00214E9A" w:rsidRPr="0084768B" w:rsidRDefault="00214E9A" w:rsidP="00E87889">
            <w:pPr>
              <w:spacing w:after="0" w:line="360" w:lineRule="auto"/>
              <w:jc w:val="both"/>
              <w:rPr>
                <w:rFonts w:ascii="Arial" w:hAnsi="Arial" w:cs="Arial"/>
                <w:sz w:val="24"/>
                <w:szCs w:val="24"/>
                <w:lang w:val="en-GB"/>
              </w:rPr>
            </w:pPr>
          </w:p>
        </w:tc>
        <w:tc>
          <w:tcPr>
            <w:tcW w:w="4087" w:type="dxa"/>
          </w:tcPr>
          <w:p w14:paraId="4E2CB07F" w14:textId="77777777" w:rsidR="00214E9A" w:rsidRPr="0084768B" w:rsidRDefault="00214E9A" w:rsidP="00E87889">
            <w:pPr>
              <w:spacing w:after="0" w:line="360" w:lineRule="auto"/>
              <w:jc w:val="both"/>
              <w:rPr>
                <w:rFonts w:ascii="Arial" w:hAnsi="Arial" w:cs="Arial"/>
                <w:sz w:val="24"/>
                <w:szCs w:val="24"/>
                <w:lang w:val="en-GB"/>
              </w:rPr>
            </w:pPr>
            <w:r w:rsidRPr="0084768B">
              <w:rPr>
                <w:rFonts w:ascii="Arial" w:hAnsi="Arial" w:cs="Arial"/>
                <w:b/>
                <w:sz w:val="24"/>
                <w:szCs w:val="24"/>
                <w:lang w:val="en-GB"/>
              </w:rPr>
              <w:t>Division of Court:</w:t>
            </w:r>
          </w:p>
          <w:p w14:paraId="237BCA56" w14:textId="77777777" w:rsidR="00214E9A" w:rsidRPr="0084768B" w:rsidRDefault="00214E9A" w:rsidP="00E87889">
            <w:pPr>
              <w:spacing w:after="0" w:line="360" w:lineRule="auto"/>
              <w:jc w:val="both"/>
              <w:rPr>
                <w:rFonts w:ascii="Arial" w:hAnsi="Arial" w:cs="Arial"/>
                <w:sz w:val="24"/>
                <w:szCs w:val="24"/>
                <w:lang w:val="en-GB"/>
              </w:rPr>
            </w:pPr>
            <w:r w:rsidRPr="0084768B">
              <w:rPr>
                <w:rFonts w:ascii="Arial" w:hAnsi="Arial" w:cs="Arial"/>
                <w:sz w:val="24"/>
                <w:szCs w:val="24"/>
                <w:lang w:val="en-GB"/>
              </w:rPr>
              <w:t>HIGH COURT (MAIN DIVISION)</w:t>
            </w:r>
          </w:p>
        </w:tc>
      </w:tr>
      <w:tr w:rsidR="00214E9A" w:rsidRPr="0084768B" w14:paraId="47411697" w14:textId="77777777" w:rsidTr="00FD6545">
        <w:trPr>
          <w:trHeight w:val="645"/>
        </w:trPr>
        <w:tc>
          <w:tcPr>
            <w:tcW w:w="5127" w:type="dxa"/>
            <w:gridSpan w:val="2"/>
            <w:vMerge w:val="restart"/>
          </w:tcPr>
          <w:p w14:paraId="39419787" w14:textId="77777777" w:rsidR="00214E9A" w:rsidRPr="0084768B" w:rsidRDefault="00214E9A" w:rsidP="00E87889">
            <w:pPr>
              <w:spacing w:after="0" w:line="360" w:lineRule="auto"/>
              <w:jc w:val="both"/>
              <w:rPr>
                <w:rFonts w:ascii="Arial" w:hAnsi="Arial" w:cs="Arial"/>
                <w:b/>
                <w:sz w:val="24"/>
                <w:szCs w:val="24"/>
                <w:lang w:val="en-GB"/>
              </w:rPr>
            </w:pPr>
            <w:r w:rsidRPr="0084768B">
              <w:rPr>
                <w:rFonts w:ascii="Arial" w:hAnsi="Arial" w:cs="Arial"/>
                <w:b/>
                <w:sz w:val="24"/>
                <w:szCs w:val="24"/>
                <w:lang w:val="en-GB"/>
              </w:rPr>
              <w:t>Heard before:</w:t>
            </w:r>
          </w:p>
          <w:p w14:paraId="245EFA13" w14:textId="77777777" w:rsidR="00214E9A" w:rsidRPr="0084768B" w:rsidRDefault="00214E9A" w:rsidP="00E87889">
            <w:pPr>
              <w:spacing w:after="0" w:line="360" w:lineRule="auto"/>
              <w:jc w:val="both"/>
              <w:rPr>
                <w:rFonts w:ascii="Arial" w:hAnsi="Arial" w:cs="Arial"/>
                <w:sz w:val="24"/>
                <w:szCs w:val="24"/>
                <w:lang w:val="en-GB"/>
              </w:rPr>
            </w:pPr>
            <w:r w:rsidRPr="0084768B">
              <w:rPr>
                <w:rFonts w:ascii="Arial" w:hAnsi="Arial" w:cs="Arial"/>
                <w:sz w:val="24"/>
                <w:szCs w:val="24"/>
                <w:lang w:val="en-GB"/>
              </w:rPr>
              <w:t xml:space="preserve">Honourable </w:t>
            </w:r>
            <w:r w:rsidR="00ED038D" w:rsidRPr="0084768B">
              <w:rPr>
                <w:rFonts w:ascii="Arial" w:hAnsi="Arial" w:cs="Arial"/>
                <w:sz w:val="24"/>
                <w:szCs w:val="24"/>
                <w:lang w:val="en-GB"/>
              </w:rPr>
              <w:t>Lady Justice Schimming-Chase</w:t>
            </w:r>
          </w:p>
        </w:tc>
        <w:tc>
          <w:tcPr>
            <w:tcW w:w="4087" w:type="dxa"/>
          </w:tcPr>
          <w:p w14:paraId="6AAC712F" w14:textId="77777777" w:rsidR="00214E9A" w:rsidRPr="0084768B" w:rsidRDefault="00214E9A" w:rsidP="00E87889">
            <w:pPr>
              <w:spacing w:after="0" w:line="360" w:lineRule="auto"/>
              <w:jc w:val="both"/>
              <w:rPr>
                <w:rFonts w:ascii="Arial" w:hAnsi="Arial" w:cs="Arial"/>
                <w:b/>
                <w:sz w:val="24"/>
                <w:szCs w:val="24"/>
                <w:lang w:val="en-GB"/>
              </w:rPr>
            </w:pPr>
            <w:r w:rsidRPr="0084768B">
              <w:rPr>
                <w:rFonts w:ascii="Arial" w:hAnsi="Arial" w:cs="Arial"/>
                <w:b/>
                <w:sz w:val="24"/>
                <w:szCs w:val="24"/>
                <w:lang w:val="en-GB"/>
              </w:rPr>
              <w:t>Date of hearing:</w:t>
            </w:r>
          </w:p>
          <w:p w14:paraId="747F0072" w14:textId="02D326FC" w:rsidR="00214E9A" w:rsidRPr="0084768B" w:rsidRDefault="00830A99" w:rsidP="00E87889">
            <w:pPr>
              <w:spacing w:after="0" w:line="360" w:lineRule="auto"/>
              <w:rPr>
                <w:rFonts w:ascii="Arial" w:hAnsi="Arial" w:cs="Arial"/>
                <w:sz w:val="24"/>
                <w:szCs w:val="24"/>
                <w:lang w:val="en-GB"/>
              </w:rPr>
            </w:pPr>
            <w:r w:rsidRPr="0084768B">
              <w:rPr>
                <w:rFonts w:ascii="Arial" w:hAnsi="Arial" w:cs="Arial"/>
                <w:sz w:val="24"/>
                <w:szCs w:val="24"/>
                <w:lang w:val="en-GB"/>
              </w:rPr>
              <w:t xml:space="preserve">7 </w:t>
            </w:r>
            <w:r w:rsidR="00B30F2D" w:rsidRPr="0084768B">
              <w:rPr>
                <w:rFonts w:ascii="Arial" w:hAnsi="Arial" w:cs="Arial"/>
                <w:sz w:val="24"/>
                <w:szCs w:val="24"/>
                <w:lang w:val="en-GB"/>
              </w:rPr>
              <w:t>December 2021</w:t>
            </w:r>
          </w:p>
        </w:tc>
      </w:tr>
      <w:tr w:rsidR="00214E9A" w:rsidRPr="0084768B" w14:paraId="2514767D" w14:textId="77777777" w:rsidTr="00FD6545">
        <w:trPr>
          <w:trHeight w:val="588"/>
        </w:trPr>
        <w:tc>
          <w:tcPr>
            <w:tcW w:w="5127" w:type="dxa"/>
            <w:gridSpan w:val="2"/>
            <w:vMerge/>
          </w:tcPr>
          <w:p w14:paraId="270C7E64" w14:textId="77777777" w:rsidR="00214E9A" w:rsidRPr="0084768B" w:rsidRDefault="00214E9A" w:rsidP="00E87889">
            <w:pPr>
              <w:spacing w:after="0" w:line="360" w:lineRule="auto"/>
              <w:jc w:val="both"/>
              <w:rPr>
                <w:rFonts w:ascii="Arial" w:hAnsi="Arial" w:cs="Arial"/>
                <w:b/>
                <w:sz w:val="24"/>
                <w:szCs w:val="24"/>
                <w:lang w:val="en-GB"/>
              </w:rPr>
            </w:pPr>
          </w:p>
        </w:tc>
        <w:tc>
          <w:tcPr>
            <w:tcW w:w="4087" w:type="dxa"/>
          </w:tcPr>
          <w:p w14:paraId="25598C82" w14:textId="77777777" w:rsidR="00214E9A" w:rsidRPr="0084768B" w:rsidRDefault="00214E9A" w:rsidP="00E87889">
            <w:pPr>
              <w:spacing w:after="0" w:line="360" w:lineRule="auto"/>
              <w:jc w:val="both"/>
              <w:rPr>
                <w:rFonts w:ascii="Arial" w:hAnsi="Arial" w:cs="Arial"/>
                <w:b/>
                <w:sz w:val="24"/>
                <w:szCs w:val="24"/>
                <w:lang w:val="en-GB"/>
              </w:rPr>
            </w:pPr>
            <w:r w:rsidRPr="0084768B">
              <w:rPr>
                <w:rFonts w:ascii="Arial" w:hAnsi="Arial" w:cs="Arial"/>
                <w:b/>
                <w:sz w:val="24"/>
                <w:szCs w:val="24"/>
                <w:lang w:val="en-GB"/>
              </w:rPr>
              <w:t>Date of order:</w:t>
            </w:r>
          </w:p>
          <w:p w14:paraId="77702A52" w14:textId="70175B03" w:rsidR="00214E9A" w:rsidRPr="0084768B" w:rsidRDefault="00830A99" w:rsidP="00E87889">
            <w:pPr>
              <w:spacing w:after="0" w:line="360" w:lineRule="auto"/>
              <w:jc w:val="both"/>
              <w:rPr>
                <w:rFonts w:ascii="Arial" w:hAnsi="Arial" w:cs="Arial"/>
                <w:sz w:val="24"/>
                <w:szCs w:val="24"/>
                <w:lang w:val="en-GB"/>
              </w:rPr>
            </w:pPr>
            <w:r w:rsidRPr="0084768B">
              <w:rPr>
                <w:rFonts w:ascii="Arial" w:hAnsi="Arial" w:cs="Arial"/>
                <w:sz w:val="24"/>
                <w:szCs w:val="24"/>
                <w:lang w:val="en-GB"/>
              </w:rPr>
              <w:t>7</w:t>
            </w:r>
            <w:r w:rsidR="00B30F2D" w:rsidRPr="0084768B">
              <w:rPr>
                <w:rFonts w:ascii="Arial" w:hAnsi="Arial" w:cs="Arial"/>
                <w:sz w:val="24"/>
                <w:szCs w:val="24"/>
                <w:lang w:val="en-GB"/>
              </w:rPr>
              <w:t xml:space="preserve"> December 2021</w:t>
            </w:r>
          </w:p>
        </w:tc>
      </w:tr>
      <w:tr w:rsidR="00214E9A" w:rsidRPr="0084768B" w14:paraId="0ADC582B" w14:textId="77777777" w:rsidTr="00FD6545">
        <w:tc>
          <w:tcPr>
            <w:tcW w:w="9214" w:type="dxa"/>
            <w:gridSpan w:val="3"/>
          </w:tcPr>
          <w:p w14:paraId="1D126610" w14:textId="77777777" w:rsidR="00214E9A" w:rsidRPr="0084768B" w:rsidRDefault="00214E9A" w:rsidP="00E87889">
            <w:pPr>
              <w:pStyle w:val="form-control-static"/>
              <w:shd w:val="clear" w:color="auto" w:fill="FFFFFF"/>
              <w:spacing w:before="0" w:beforeAutospacing="0" w:after="0" w:afterAutospacing="0" w:line="360" w:lineRule="auto"/>
              <w:rPr>
                <w:rFonts w:ascii="Arial" w:hAnsi="Arial" w:cs="Arial"/>
                <w:lang w:val="en-GB"/>
              </w:rPr>
            </w:pPr>
            <w:r w:rsidRPr="0084768B">
              <w:rPr>
                <w:rFonts w:ascii="Arial" w:hAnsi="Arial" w:cs="Arial"/>
                <w:b/>
                <w:lang w:val="en-GB"/>
              </w:rPr>
              <w:t xml:space="preserve">Neutral citation: </w:t>
            </w:r>
          </w:p>
          <w:p w14:paraId="51154C7D" w14:textId="53A01AD1" w:rsidR="00AF0A9A" w:rsidRPr="0084768B" w:rsidRDefault="00B30F2D" w:rsidP="00E87889">
            <w:pPr>
              <w:pStyle w:val="form-control-static"/>
              <w:shd w:val="clear" w:color="auto" w:fill="FFFFFF"/>
              <w:spacing w:before="0" w:beforeAutospacing="0" w:after="0" w:afterAutospacing="0" w:line="360" w:lineRule="auto"/>
              <w:jc w:val="both"/>
              <w:rPr>
                <w:rFonts w:ascii="Arial" w:hAnsi="Arial" w:cs="Arial"/>
                <w:lang w:val="en-GB"/>
              </w:rPr>
            </w:pPr>
            <w:r w:rsidRPr="0084768B">
              <w:rPr>
                <w:rFonts w:ascii="Arial" w:hAnsi="Arial" w:cs="Arial"/>
                <w:i/>
                <w:lang w:val="en-GB"/>
              </w:rPr>
              <w:t xml:space="preserve">Kamwi v Gertze </w:t>
            </w:r>
            <w:r w:rsidR="00214E9A" w:rsidRPr="0084768B">
              <w:rPr>
                <w:rFonts w:ascii="Arial" w:hAnsi="Arial" w:cs="Arial"/>
                <w:i/>
                <w:lang w:val="en-GB"/>
              </w:rPr>
              <w:t xml:space="preserve"> </w:t>
            </w:r>
            <w:r w:rsidR="00214E9A" w:rsidRPr="0084768B">
              <w:rPr>
                <w:rFonts w:ascii="Arial" w:hAnsi="Arial" w:cs="Arial"/>
                <w:lang w:val="en-GB"/>
              </w:rPr>
              <w:t>(HC-MD-CIV-ACT-</w:t>
            </w:r>
            <w:r w:rsidR="007E29F0">
              <w:rPr>
                <w:rFonts w:ascii="Arial" w:hAnsi="Arial" w:cs="Arial"/>
                <w:lang w:val="en-GB"/>
              </w:rPr>
              <w:t>CON</w:t>
            </w:r>
            <w:r w:rsidR="00ED038D" w:rsidRPr="0084768B">
              <w:rPr>
                <w:rFonts w:ascii="Arial" w:hAnsi="Arial" w:cs="Arial"/>
                <w:lang w:val="en-GB"/>
              </w:rPr>
              <w:t>-2021/</w:t>
            </w:r>
            <w:r w:rsidR="007E29F0">
              <w:rPr>
                <w:rFonts w:ascii="Arial" w:hAnsi="Arial" w:cs="Arial"/>
                <w:lang w:val="en-GB"/>
              </w:rPr>
              <w:t>02706</w:t>
            </w:r>
            <w:r w:rsidR="00ED038D" w:rsidRPr="0084768B">
              <w:rPr>
                <w:rFonts w:ascii="Arial" w:hAnsi="Arial" w:cs="Arial"/>
                <w:lang w:val="en-GB"/>
              </w:rPr>
              <w:t>) [2021</w:t>
            </w:r>
            <w:r w:rsidR="007E29F0">
              <w:rPr>
                <w:rFonts w:ascii="Arial" w:hAnsi="Arial" w:cs="Arial"/>
                <w:lang w:val="en-GB"/>
              </w:rPr>
              <w:t>] NAHCMD 572</w:t>
            </w:r>
            <w:r w:rsidR="006F0A84" w:rsidRPr="0084768B">
              <w:rPr>
                <w:rFonts w:ascii="Arial" w:hAnsi="Arial" w:cs="Arial"/>
                <w:lang w:val="en-GB"/>
              </w:rPr>
              <w:t xml:space="preserve"> </w:t>
            </w:r>
            <w:r w:rsidR="007E29F0">
              <w:rPr>
                <w:rFonts w:ascii="Arial" w:hAnsi="Arial" w:cs="Arial"/>
                <w:lang w:val="en-GB"/>
              </w:rPr>
              <w:t xml:space="preserve">                   </w:t>
            </w:r>
            <w:r w:rsidR="00214E9A" w:rsidRPr="0084768B">
              <w:rPr>
                <w:rFonts w:ascii="Arial" w:hAnsi="Arial" w:cs="Arial"/>
                <w:lang w:val="en-GB"/>
              </w:rPr>
              <w:t>(</w:t>
            </w:r>
            <w:r w:rsidR="00830A99" w:rsidRPr="0084768B">
              <w:rPr>
                <w:rFonts w:ascii="Arial" w:hAnsi="Arial" w:cs="Arial"/>
                <w:lang w:val="en-GB"/>
              </w:rPr>
              <w:t>7 December</w:t>
            </w:r>
            <w:r w:rsidR="00ED038D" w:rsidRPr="0084768B">
              <w:rPr>
                <w:rFonts w:ascii="Arial" w:hAnsi="Arial" w:cs="Arial"/>
                <w:lang w:val="en-GB"/>
              </w:rPr>
              <w:t xml:space="preserve"> 2021</w:t>
            </w:r>
            <w:r w:rsidR="00214E9A" w:rsidRPr="0084768B">
              <w:rPr>
                <w:rFonts w:ascii="Arial" w:hAnsi="Arial" w:cs="Arial"/>
                <w:lang w:val="en-GB"/>
              </w:rPr>
              <w:t>)</w:t>
            </w:r>
          </w:p>
          <w:p w14:paraId="34BE7D5E" w14:textId="77777777" w:rsidR="00ED038D" w:rsidRPr="0084768B" w:rsidRDefault="00ED038D" w:rsidP="00E87889">
            <w:pPr>
              <w:pStyle w:val="form-control-static"/>
              <w:shd w:val="clear" w:color="auto" w:fill="FFFFFF"/>
              <w:spacing w:before="0" w:beforeAutospacing="0" w:after="0" w:afterAutospacing="0" w:line="360" w:lineRule="auto"/>
              <w:jc w:val="both"/>
              <w:rPr>
                <w:rFonts w:ascii="Arial" w:hAnsi="Arial" w:cs="Arial"/>
                <w:sz w:val="4"/>
                <w:szCs w:val="4"/>
                <w:lang w:val="en-GB"/>
              </w:rPr>
            </w:pPr>
          </w:p>
        </w:tc>
      </w:tr>
      <w:tr w:rsidR="005540EE" w:rsidRPr="0084768B" w14:paraId="5C26C121" w14:textId="77777777" w:rsidTr="00FD6545">
        <w:tc>
          <w:tcPr>
            <w:tcW w:w="9214" w:type="dxa"/>
            <w:gridSpan w:val="3"/>
          </w:tcPr>
          <w:p w14:paraId="3295F208" w14:textId="77777777" w:rsidR="005540EE" w:rsidRDefault="005540EE" w:rsidP="00E87889">
            <w:pPr>
              <w:pStyle w:val="form-control-static"/>
              <w:shd w:val="clear" w:color="auto" w:fill="FFFFFF"/>
              <w:spacing w:before="0" w:beforeAutospacing="0" w:after="0" w:afterAutospacing="0" w:line="360" w:lineRule="auto"/>
              <w:rPr>
                <w:rFonts w:ascii="Arial" w:hAnsi="Arial" w:cs="Arial"/>
                <w:b/>
                <w:lang w:val="en-GB"/>
              </w:rPr>
            </w:pPr>
            <w:r>
              <w:rPr>
                <w:rFonts w:ascii="Arial" w:hAnsi="Arial" w:cs="Arial"/>
                <w:b/>
                <w:lang w:val="en-GB"/>
              </w:rPr>
              <w:t>Results on the merits:</w:t>
            </w:r>
          </w:p>
          <w:p w14:paraId="299F37A7" w14:textId="63D68E33" w:rsidR="005540EE" w:rsidRPr="005540EE" w:rsidRDefault="005540EE" w:rsidP="00E87889">
            <w:pPr>
              <w:pStyle w:val="form-control-static"/>
              <w:shd w:val="clear" w:color="auto" w:fill="FFFFFF"/>
              <w:spacing w:before="0" w:beforeAutospacing="0" w:after="0" w:afterAutospacing="0" w:line="360" w:lineRule="auto"/>
              <w:rPr>
                <w:rFonts w:ascii="Arial" w:hAnsi="Arial" w:cs="Arial"/>
                <w:lang w:val="en-GB"/>
              </w:rPr>
            </w:pPr>
            <w:r>
              <w:rPr>
                <w:rFonts w:ascii="Arial" w:hAnsi="Arial" w:cs="Arial"/>
                <w:lang w:val="en-GB"/>
              </w:rPr>
              <w:t>Merits considered.</w:t>
            </w:r>
          </w:p>
        </w:tc>
      </w:tr>
      <w:tr w:rsidR="00214E9A" w:rsidRPr="0084768B" w14:paraId="34AB53C3" w14:textId="77777777" w:rsidTr="00FD6545">
        <w:tc>
          <w:tcPr>
            <w:tcW w:w="9214" w:type="dxa"/>
            <w:gridSpan w:val="3"/>
          </w:tcPr>
          <w:p w14:paraId="39CBB2BD" w14:textId="77777777" w:rsidR="00B30F2D" w:rsidRPr="0084768B" w:rsidRDefault="00B30F2D" w:rsidP="00E87889">
            <w:pPr>
              <w:spacing w:after="0" w:line="360" w:lineRule="auto"/>
              <w:jc w:val="both"/>
              <w:rPr>
                <w:rFonts w:ascii="Arial" w:hAnsi="Arial" w:cs="Arial"/>
                <w:sz w:val="24"/>
                <w:szCs w:val="24"/>
                <w:lang w:val="en-GB"/>
              </w:rPr>
            </w:pPr>
          </w:p>
          <w:p w14:paraId="7521D787" w14:textId="7755B6CE" w:rsidR="00B46D1F" w:rsidRPr="0084768B" w:rsidRDefault="00214E9A" w:rsidP="00E87889">
            <w:pPr>
              <w:spacing w:after="0" w:line="360" w:lineRule="auto"/>
              <w:jc w:val="both"/>
              <w:rPr>
                <w:rFonts w:ascii="Arial" w:hAnsi="Arial" w:cs="Arial"/>
                <w:sz w:val="24"/>
                <w:szCs w:val="24"/>
                <w:lang w:val="en-GB"/>
              </w:rPr>
            </w:pPr>
            <w:r w:rsidRPr="0084768B">
              <w:rPr>
                <w:rFonts w:ascii="Arial" w:hAnsi="Arial" w:cs="Arial"/>
                <w:sz w:val="24"/>
                <w:szCs w:val="24"/>
                <w:lang w:val="en-GB"/>
              </w:rPr>
              <w:t xml:space="preserve">Having </w:t>
            </w:r>
            <w:r w:rsidR="00ED038D" w:rsidRPr="0084768B">
              <w:rPr>
                <w:rFonts w:ascii="Arial" w:hAnsi="Arial" w:cs="Arial"/>
                <w:sz w:val="24"/>
                <w:szCs w:val="24"/>
                <w:lang w:val="en-GB"/>
              </w:rPr>
              <w:t>hear</w:t>
            </w:r>
            <w:r w:rsidR="00AF0A9A" w:rsidRPr="0084768B">
              <w:rPr>
                <w:rFonts w:ascii="Arial" w:hAnsi="Arial" w:cs="Arial"/>
                <w:sz w:val="24"/>
                <w:szCs w:val="24"/>
                <w:lang w:val="en-GB"/>
              </w:rPr>
              <w:t>d</w:t>
            </w:r>
            <w:r w:rsidR="00302534">
              <w:rPr>
                <w:rFonts w:ascii="Arial" w:hAnsi="Arial" w:cs="Arial"/>
                <w:sz w:val="24"/>
                <w:szCs w:val="24"/>
                <w:lang w:val="en-GB"/>
              </w:rPr>
              <w:t xml:space="preserve"> </w:t>
            </w:r>
            <w:r w:rsidR="00302534">
              <w:rPr>
                <w:rFonts w:ascii="Arial" w:hAnsi="Arial" w:cs="Arial"/>
                <w:b/>
                <w:bCs/>
                <w:sz w:val="24"/>
                <w:szCs w:val="24"/>
                <w:lang w:val="en-GB"/>
              </w:rPr>
              <w:t>Ms I Mupinda</w:t>
            </w:r>
            <w:r w:rsidR="00B30F2D" w:rsidRPr="0084768B">
              <w:rPr>
                <w:rFonts w:ascii="Arial" w:hAnsi="Arial" w:cs="Arial"/>
                <w:sz w:val="24"/>
                <w:szCs w:val="24"/>
                <w:lang w:val="en-GB"/>
              </w:rPr>
              <w:t xml:space="preserve">, on behalf of the first and second applicants, and </w:t>
            </w:r>
            <w:r w:rsidR="00FD6545">
              <w:rPr>
                <w:rFonts w:ascii="Arial" w:hAnsi="Arial" w:cs="Arial"/>
                <w:sz w:val="24"/>
                <w:szCs w:val="24"/>
                <w:lang w:val="en-GB"/>
              </w:rPr>
              <w:t xml:space="preserve">                     </w:t>
            </w:r>
            <w:r w:rsidR="00302534" w:rsidRPr="001C5C9C">
              <w:rPr>
                <w:rFonts w:ascii="Arial" w:hAnsi="Arial" w:cs="Arial"/>
                <w:b/>
                <w:sz w:val="24"/>
                <w:szCs w:val="24"/>
                <w:lang w:val="en-GB"/>
              </w:rPr>
              <w:t>Mr Gertze</w:t>
            </w:r>
            <w:r w:rsidR="00302534">
              <w:rPr>
                <w:rFonts w:ascii="Arial" w:hAnsi="Arial" w:cs="Arial"/>
                <w:sz w:val="24"/>
                <w:szCs w:val="24"/>
                <w:lang w:val="en-GB"/>
              </w:rPr>
              <w:t xml:space="preserve">, </w:t>
            </w:r>
            <w:r w:rsidR="00B30F2D" w:rsidRPr="0084768B">
              <w:rPr>
                <w:rFonts w:ascii="Arial" w:hAnsi="Arial" w:cs="Arial"/>
                <w:sz w:val="24"/>
                <w:szCs w:val="24"/>
                <w:lang w:val="en-GB"/>
              </w:rPr>
              <w:t>the first</w:t>
            </w:r>
            <w:r w:rsidR="00302534">
              <w:rPr>
                <w:rFonts w:ascii="Arial" w:hAnsi="Arial" w:cs="Arial"/>
                <w:sz w:val="24"/>
                <w:szCs w:val="24"/>
                <w:lang w:val="en-GB"/>
              </w:rPr>
              <w:t xml:space="preserve"> </w:t>
            </w:r>
            <w:r w:rsidR="00B30F2D" w:rsidRPr="0084768B">
              <w:rPr>
                <w:rFonts w:ascii="Arial" w:hAnsi="Arial" w:cs="Arial"/>
                <w:sz w:val="24"/>
                <w:szCs w:val="24"/>
                <w:lang w:val="en-GB"/>
              </w:rPr>
              <w:t>respondent</w:t>
            </w:r>
            <w:r w:rsidR="00ED038D" w:rsidRPr="0084768B">
              <w:rPr>
                <w:rFonts w:ascii="Arial" w:hAnsi="Arial" w:cs="Arial"/>
                <w:sz w:val="24"/>
                <w:szCs w:val="24"/>
                <w:lang w:val="en-GB"/>
              </w:rPr>
              <w:t xml:space="preserve"> </w:t>
            </w:r>
            <w:r w:rsidR="00B569C5" w:rsidRPr="001C5C9C">
              <w:rPr>
                <w:rFonts w:ascii="Arial" w:hAnsi="Arial" w:cs="Arial"/>
                <w:bCs/>
                <w:sz w:val="24"/>
                <w:szCs w:val="24"/>
                <w:lang w:val="en-GB"/>
              </w:rPr>
              <w:t>in person</w:t>
            </w:r>
            <w:r w:rsidR="00B569C5">
              <w:rPr>
                <w:rFonts w:ascii="Arial" w:hAnsi="Arial" w:cs="Arial"/>
                <w:sz w:val="24"/>
                <w:szCs w:val="24"/>
                <w:lang w:val="en-GB"/>
              </w:rPr>
              <w:t xml:space="preserve">, and </w:t>
            </w:r>
            <w:r w:rsidR="00ED038D" w:rsidRPr="0084768B">
              <w:rPr>
                <w:rFonts w:ascii="Arial" w:hAnsi="Arial" w:cs="Arial"/>
                <w:sz w:val="24"/>
                <w:szCs w:val="24"/>
                <w:lang w:val="en-GB"/>
              </w:rPr>
              <w:t>having read the papers fi</w:t>
            </w:r>
            <w:r w:rsidR="00B30F2D" w:rsidRPr="0084768B">
              <w:rPr>
                <w:rFonts w:ascii="Arial" w:hAnsi="Arial" w:cs="Arial"/>
                <w:sz w:val="24"/>
                <w:szCs w:val="24"/>
                <w:lang w:val="en-GB"/>
              </w:rPr>
              <w:t>led of record for HC-MD-CIV-ACT-CON-2021/02706</w:t>
            </w:r>
            <w:r w:rsidR="007E29F0">
              <w:rPr>
                <w:rFonts w:ascii="Arial" w:hAnsi="Arial" w:cs="Arial"/>
                <w:sz w:val="24"/>
                <w:szCs w:val="24"/>
                <w:lang w:val="en-GB"/>
              </w:rPr>
              <w:t>.</w:t>
            </w:r>
          </w:p>
          <w:p w14:paraId="383DDA6C" w14:textId="77777777" w:rsidR="00B30F2D" w:rsidRPr="0084768B" w:rsidRDefault="00B30F2D" w:rsidP="00B81F1B">
            <w:pPr>
              <w:spacing w:after="0" w:line="360" w:lineRule="auto"/>
              <w:jc w:val="right"/>
              <w:rPr>
                <w:rFonts w:ascii="Arial" w:hAnsi="Arial" w:cs="Arial"/>
                <w:b/>
                <w:sz w:val="24"/>
                <w:szCs w:val="24"/>
                <w:lang w:val="en-GB"/>
              </w:rPr>
            </w:pPr>
          </w:p>
          <w:p w14:paraId="2345A7B9" w14:textId="2E564BAF" w:rsidR="00214E9A" w:rsidRPr="0084768B" w:rsidRDefault="00214E9A" w:rsidP="00E87889">
            <w:pPr>
              <w:spacing w:after="0" w:line="360" w:lineRule="auto"/>
              <w:jc w:val="both"/>
              <w:rPr>
                <w:rFonts w:ascii="Arial" w:hAnsi="Arial" w:cs="Arial"/>
                <w:b/>
                <w:sz w:val="24"/>
                <w:szCs w:val="24"/>
                <w:lang w:val="en-GB"/>
              </w:rPr>
            </w:pPr>
            <w:r w:rsidRPr="0084768B">
              <w:rPr>
                <w:rFonts w:ascii="Arial" w:hAnsi="Arial" w:cs="Arial"/>
                <w:b/>
                <w:sz w:val="24"/>
                <w:szCs w:val="24"/>
                <w:lang w:val="en-GB"/>
              </w:rPr>
              <w:t>IT IS HEREBY ORDERED THAT:</w:t>
            </w:r>
          </w:p>
          <w:p w14:paraId="3FA232F2" w14:textId="6FF0AF2B" w:rsidR="00B46D1F" w:rsidRDefault="00B4465E" w:rsidP="00E87889">
            <w:pPr>
              <w:spacing w:after="0" w:line="360" w:lineRule="auto"/>
              <w:jc w:val="both"/>
              <w:rPr>
                <w:rFonts w:ascii="Arial" w:hAnsi="Arial" w:cs="Arial"/>
                <w:bCs/>
                <w:sz w:val="24"/>
                <w:szCs w:val="24"/>
                <w:lang w:val="en-GB"/>
              </w:rPr>
            </w:pPr>
            <w:r>
              <w:rPr>
                <w:rFonts w:ascii="Arial" w:hAnsi="Arial" w:cs="Arial"/>
                <w:bCs/>
                <w:sz w:val="24"/>
                <w:szCs w:val="24"/>
                <w:lang w:val="en-GB"/>
              </w:rPr>
              <w:t xml:space="preserve">Summary judgment is granted in favour of the </w:t>
            </w:r>
            <w:r w:rsidR="007E29F0">
              <w:rPr>
                <w:rFonts w:ascii="Arial" w:hAnsi="Arial" w:cs="Arial"/>
                <w:bCs/>
                <w:sz w:val="24"/>
                <w:szCs w:val="24"/>
                <w:lang w:val="en-GB"/>
              </w:rPr>
              <w:t>applicants/</w:t>
            </w:r>
            <w:r>
              <w:rPr>
                <w:rFonts w:ascii="Arial" w:hAnsi="Arial" w:cs="Arial"/>
                <w:bCs/>
                <w:sz w:val="24"/>
                <w:szCs w:val="24"/>
                <w:lang w:val="en-GB"/>
              </w:rPr>
              <w:t>plaintiffs a</w:t>
            </w:r>
            <w:r w:rsidR="002B1DB1">
              <w:rPr>
                <w:rFonts w:ascii="Arial" w:hAnsi="Arial" w:cs="Arial"/>
                <w:bCs/>
                <w:sz w:val="24"/>
                <w:szCs w:val="24"/>
                <w:lang w:val="en-GB"/>
              </w:rPr>
              <w:t>gain</w:t>
            </w:r>
            <w:r>
              <w:rPr>
                <w:rFonts w:ascii="Arial" w:hAnsi="Arial" w:cs="Arial"/>
                <w:bCs/>
                <w:sz w:val="24"/>
                <w:szCs w:val="24"/>
                <w:lang w:val="en-GB"/>
              </w:rPr>
              <w:t xml:space="preserve">st the </w:t>
            </w:r>
            <w:r w:rsidR="007E29F0">
              <w:rPr>
                <w:rFonts w:ascii="Arial" w:hAnsi="Arial" w:cs="Arial"/>
                <w:bCs/>
                <w:sz w:val="24"/>
                <w:szCs w:val="24"/>
                <w:lang w:val="en-GB"/>
              </w:rPr>
              <w:t>respondents/</w:t>
            </w:r>
            <w:r>
              <w:rPr>
                <w:rFonts w:ascii="Arial" w:hAnsi="Arial" w:cs="Arial"/>
                <w:bCs/>
                <w:sz w:val="24"/>
                <w:szCs w:val="24"/>
                <w:lang w:val="en-GB"/>
              </w:rPr>
              <w:t xml:space="preserve">defendants, jointly and severally, the one paying the other to be absolved </w:t>
            </w:r>
            <w:r w:rsidR="002B1DB1">
              <w:rPr>
                <w:rFonts w:ascii="Arial" w:hAnsi="Arial" w:cs="Arial"/>
                <w:bCs/>
                <w:sz w:val="24"/>
                <w:szCs w:val="24"/>
                <w:lang w:val="en-GB"/>
              </w:rPr>
              <w:t>in the following terms.</w:t>
            </w:r>
          </w:p>
          <w:p w14:paraId="7FAF47DD" w14:textId="77777777" w:rsidR="002B1DB1" w:rsidRPr="00B4465E" w:rsidRDefault="002B1DB1" w:rsidP="00E87889">
            <w:pPr>
              <w:spacing w:after="0" w:line="360" w:lineRule="auto"/>
              <w:jc w:val="both"/>
              <w:rPr>
                <w:rFonts w:ascii="Arial" w:hAnsi="Arial" w:cs="Arial"/>
                <w:bCs/>
                <w:sz w:val="24"/>
                <w:szCs w:val="24"/>
                <w:lang w:val="en-GB"/>
              </w:rPr>
            </w:pPr>
          </w:p>
          <w:p w14:paraId="61FB41A2" w14:textId="0BFD2624" w:rsidR="002B1DB1" w:rsidRPr="005D7BDF" w:rsidRDefault="005D7BDF" w:rsidP="005D7BDF">
            <w:pPr>
              <w:spacing w:line="360" w:lineRule="auto"/>
              <w:ind w:left="318" w:hanging="284"/>
              <w:jc w:val="both"/>
              <w:rPr>
                <w:rFonts w:ascii="Arial" w:hAnsi="Arial" w:cs="Arial"/>
                <w:sz w:val="24"/>
                <w:szCs w:val="24"/>
              </w:rPr>
            </w:pPr>
            <w:r>
              <w:rPr>
                <w:rFonts w:ascii="Arial" w:hAnsi="Arial" w:cs="Arial"/>
                <w:sz w:val="24"/>
                <w:szCs w:val="24"/>
                <w:lang w:val="en-US"/>
              </w:rPr>
              <w:t>1.</w:t>
            </w:r>
            <w:r>
              <w:rPr>
                <w:rFonts w:ascii="Arial" w:hAnsi="Arial" w:cs="Arial"/>
                <w:sz w:val="24"/>
                <w:szCs w:val="24"/>
                <w:lang w:val="en-US"/>
              </w:rPr>
              <w:tab/>
            </w:r>
            <w:r w:rsidR="002B1DB1" w:rsidRPr="005D7BDF">
              <w:rPr>
                <w:rFonts w:ascii="Arial" w:hAnsi="Arial" w:cs="Arial"/>
                <w:sz w:val="24"/>
                <w:szCs w:val="24"/>
              </w:rPr>
              <w:t>Payment of the amount of N$96,730.00</w:t>
            </w:r>
          </w:p>
          <w:p w14:paraId="4917C774" w14:textId="00108A4E" w:rsidR="002B1DB1" w:rsidRPr="005D7BDF" w:rsidRDefault="005D7BDF" w:rsidP="005D7BDF">
            <w:pPr>
              <w:spacing w:line="360" w:lineRule="auto"/>
              <w:ind w:left="318" w:hanging="284"/>
              <w:jc w:val="both"/>
              <w:rPr>
                <w:rFonts w:ascii="Arial" w:hAnsi="Arial" w:cs="Arial"/>
                <w:sz w:val="24"/>
                <w:szCs w:val="24"/>
              </w:rPr>
            </w:pPr>
            <w:r>
              <w:rPr>
                <w:rFonts w:ascii="Arial" w:hAnsi="Arial" w:cs="Arial"/>
                <w:sz w:val="24"/>
                <w:szCs w:val="24"/>
                <w:lang w:val="en-US"/>
              </w:rPr>
              <w:t>2.</w:t>
            </w:r>
            <w:r>
              <w:rPr>
                <w:rFonts w:ascii="Arial" w:hAnsi="Arial" w:cs="Arial"/>
                <w:sz w:val="24"/>
                <w:szCs w:val="24"/>
                <w:lang w:val="en-US"/>
              </w:rPr>
              <w:tab/>
            </w:r>
            <w:r w:rsidR="002B1DB1" w:rsidRPr="005D7BDF">
              <w:rPr>
                <w:rFonts w:ascii="Arial" w:hAnsi="Arial" w:cs="Arial"/>
                <w:sz w:val="24"/>
                <w:szCs w:val="24"/>
              </w:rPr>
              <w:t xml:space="preserve">Interest on the aforementioned amount calculated at the rate of 20% per annum </w:t>
            </w:r>
            <w:r w:rsidR="002B1DB1" w:rsidRPr="005D7BDF">
              <w:rPr>
                <w:rFonts w:ascii="Arial" w:hAnsi="Arial" w:cs="Arial"/>
                <w:i/>
                <w:iCs/>
                <w:sz w:val="24"/>
                <w:szCs w:val="24"/>
              </w:rPr>
              <w:t>a tempore morae</w:t>
            </w:r>
            <w:r w:rsidR="002B1DB1" w:rsidRPr="005D7BDF">
              <w:rPr>
                <w:rFonts w:ascii="Arial" w:hAnsi="Arial" w:cs="Arial"/>
                <w:sz w:val="24"/>
                <w:szCs w:val="24"/>
              </w:rPr>
              <w:t xml:space="preserve"> from date hereof to date of full and final payment.</w:t>
            </w:r>
          </w:p>
          <w:p w14:paraId="3A4957DD" w14:textId="45220775" w:rsidR="00B30F2D" w:rsidRPr="005D7BDF" w:rsidRDefault="005D7BDF" w:rsidP="005D7BDF">
            <w:pPr>
              <w:spacing w:line="360" w:lineRule="auto"/>
              <w:ind w:left="318" w:hanging="284"/>
              <w:jc w:val="both"/>
              <w:rPr>
                <w:rFonts w:ascii="Arial" w:hAnsi="Arial" w:cs="Arial"/>
                <w:sz w:val="24"/>
                <w:szCs w:val="24"/>
              </w:rPr>
            </w:pPr>
            <w:r w:rsidRPr="00FD6545">
              <w:rPr>
                <w:rFonts w:ascii="Arial" w:hAnsi="Arial" w:cs="Arial"/>
                <w:sz w:val="24"/>
                <w:szCs w:val="24"/>
                <w:lang w:val="en-US"/>
              </w:rPr>
              <w:t>3.</w:t>
            </w:r>
            <w:r w:rsidRPr="00FD6545">
              <w:rPr>
                <w:rFonts w:ascii="Arial" w:hAnsi="Arial" w:cs="Arial"/>
                <w:sz w:val="24"/>
                <w:szCs w:val="24"/>
                <w:lang w:val="en-US"/>
              </w:rPr>
              <w:tab/>
            </w:r>
            <w:r w:rsidR="002B1DB1" w:rsidRPr="005D7BDF">
              <w:rPr>
                <w:rFonts w:ascii="Arial" w:hAnsi="Arial" w:cs="Arial"/>
                <w:sz w:val="24"/>
                <w:szCs w:val="24"/>
              </w:rPr>
              <w:t>Costs of suit.</w:t>
            </w:r>
          </w:p>
          <w:p w14:paraId="2ABC9945" w14:textId="44F160D4" w:rsidR="00B30F2D" w:rsidRPr="005D7BDF" w:rsidRDefault="005D7BDF" w:rsidP="005D7BDF">
            <w:pPr>
              <w:spacing w:line="360" w:lineRule="auto"/>
              <w:ind w:left="318" w:hanging="284"/>
              <w:jc w:val="both"/>
              <w:rPr>
                <w:rFonts w:ascii="Arial" w:hAnsi="Arial" w:cs="Arial"/>
                <w:sz w:val="24"/>
                <w:szCs w:val="24"/>
              </w:rPr>
            </w:pPr>
            <w:r w:rsidRPr="0084768B">
              <w:rPr>
                <w:rFonts w:ascii="Arial" w:hAnsi="Arial" w:cs="Arial"/>
                <w:sz w:val="24"/>
                <w:szCs w:val="24"/>
                <w:lang w:val="en-US"/>
              </w:rPr>
              <w:t>4.</w:t>
            </w:r>
            <w:r w:rsidRPr="0084768B">
              <w:rPr>
                <w:rFonts w:ascii="Arial" w:hAnsi="Arial" w:cs="Arial"/>
                <w:sz w:val="24"/>
                <w:szCs w:val="24"/>
                <w:lang w:val="en-US"/>
              </w:rPr>
              <w:tab/>
            </w:r>
            <w:r w:rsidR="00B569C5" w:rsidRPr="005D7BDF">
              <w:rPr>
                <w:rFonts w:ascii="Arial" w:hAnsi="Arial" w:cs="Arial"/>
                <w:sz w:val="24"/>
                <w:szCs w:val="24"/>
              </w:rPr>
              <w:t>The matter is removed from the roll and considered finalised.</w:t>
            </w:r>
          </w:p>
          <w:p w14:paraId="074D1F02" w14:textId="57E53574" w:rsidR="00214E9A" w:rsidRPr="0084768B" w:rsidRDefault="00214E9A" w:rsidP="00B569C5">
            <w:pPr>
              <w:pStyle w:val="ListParagraph"/>
              <w:spacing w:line="360" w:lineRule="auto"/>
              <w:ind w:left="318"/>
              <w:contextualSpacing w:val="0"/>
              <w:jc w:val="both"/>
              <w:rPr>
                <w:rFonts w:ascii="Arial" w:hAnsi="Arial" w:cs="Arial"/>
                <w:sz w:val="24"/>
                <w:szCs w:val="24"/>
                <w:lang w:val="en-GB"/>
              </w:rPr>
            </w:pPr>
          </w:p>
        </w:tc>
        <w:bookmarkStart w:id="0" w:name="_GoBack"/>
        <w:bookmarkEnd w:id="0"/>
      </w:tr>
      <w:tr w:rsidR="00214E9A" w:rsidRPr="0084768B" w14:paraId="3AF99B64" w14:textId="77777777" w:rsidTr="00FD6545">
        <w:tc>
          <w:tcPr>
            <w:tcW w:w="9214" w:type="dxa"/>
            <w:gridSpan w:val="3"/>
          </w:tcPr>
          <w:p w14:paraId="2BB936FC" w14:textId="41B20C3D" w:rsidR="001D636A" w:rsidRPr="0084768B" w:rsidRDefault="002B1DB1" w:rsidP="002B1DB1">
            <w:pPr>
              <w:spacing w:after="0" w:line="360" w:lineRule="auto"/>
              <w:jc w:val="center"/>
              <w:rPr>
                <w:rFonts w:ascii="Arial" w:hAnsi="Arial" w:cs="Arial"/>
                <w:b/>
                <w:sz w:val="24"/>
                <w:szCs w:val="24"/>
                <w:lang w:val="en-GB"/>
              </w:rPr>
            </w:pPr>
            <w:r>
              <w:rPr>
                <w:rFonts w:ascii="Arial" w:hAnsi="Arial" w:cs="Arial"/>
                <w:b/>
                <w:sz w:val="24"/>
                <w:szCs w:val="24"/>
                <w:lang w:val="en-GB"/>
              </w:rPr>
              <w:lastRenderedPageBreak/>
              <w:t>EX TEMPORE</w:t>
            </w:r>
          </w:p>
          <w:p w14:paraId="3E9CD055" w14:textId="77777777" w:rsidR="00494856" w:rsidRPr="0084768B" w:rsidRDefault="00494856" w:rsidP="00E87889">
            <w:pPr>
              <w:spacing w:after="0" w:line="360" w:lineRule="auto"/>
              <w:jc w:val="both"/>
              <w:rPr>
                <w:rFonts w:ascii="Arial" w:hAnsi="Arial" w:cs="Arial"/>
                <w:sz w:val="24"/>
                <w:szCs w:val="24"/>
                <w:lang w:val="en-GB"/>
              </w:rPr>
            </w:pPr>
          </w:p>
          <w:p w14:paraId="7B7F1E89" w14:textId="08FBCAB9" w:rsidR="001D636A" w:rsidRPr="0084768B" w:rsidRDefault="001D636A" w:rsidP="00E87889">
            <w:pPr>
              <w:spacing w:after="0" w:line="360" w:lineRule="auto"/>
              <w:jc w:val="both"/>
              <w:rPr>
                <w:rFonts w:ascii="Arial" w:hAnsi="Arial" w:cs="Arial"/>
                <w:sz w:val="24"/>
                <w:szCs w:val="24"/>
                <w:lang w:val="en-GB"/>
              </w:rPr>
            </w:pPr>
            <w:r w:rsidRPr="0084768B">
              <w:rPr>
                <w:rFonts w:ascii="Arial" w:hAnsi="Arial" w:cs="Arial"/>
                <w:sz w:val="24"/>
                <w:szCs w:val="24"/>
                <w:lang w:val="en-GB"/>
              </w:rPr>
              <w:t>SCHIMMING-CHASE J</w:t>
            </w:r>
          </w:p>
          <w:p w14:paraId="7FAC1DAF" w14:textId="77777777" w:rsidR="00494856" w:rsidRPr="0084768B" w:rsidRDefault="00494856" w:rsidP="00E87889">
            <w:pPr>
              <w:spacing w:after="0" w:line="360" w:lineRule="auto"/>
              <w:jc w:val="both"/>
              <w:rPr>
                <w:rFonts w:ascii="Arial" w:hAnsi="Arial" w:cs="Arial"/>
                <w:sz w:val="24"/>
                <w:szCs w:val="24"/>
                <w:lang w:val="en-GB"/>
              </w:rPr>
            </w:pPr>
          </w:p>
          <w:p w14:paraId="7A1A5C32" w14:textId="20DB2CDF" w:rsidR="00B30F2D" w:rsidRPr="005D7BDF" w:rsidRDefault="005D7BDF" w:rsidP="005D7BDF">
            <w:pPr>
              <w:spacing w:after="240" w:line="360" w:lineRule="auto"/>
              <w:jc w:val="both"/>
              <w:rPr>
                <w:rFonts w:ascii="Arial" w:hAnsi="Arial" w:cs="Arial"/>
                <w:sz w:val="24"/>
                <w:szCs w:val="24"/>
              </w:rPr>
            </w:pPr>
            <w:r w:rsidRPr="0084768B">
              <w:rPr>
                <w:rFonts w:ascii="Arial" w:hAnsi="Arial" w:cs="Arial"/>
                <w:sz w:val="24"/>
                <w:szCs w:val="24"/>
                <w:lang w:val="en-US"/>
              </w:rPr>
              <w:t>[1]</w:t>
            </w:r>
            <w:r w:rsidRPr="0084768B">
              <w:rPr>
                <w:rFonts w:ascii="Arial" w:hAnsi="Arial" w:cs="Arial"/>
                <w:sz w:val="24"/>
                <w:szCs w:val="24"/>
                <w:lang w:val="en-US"/>
              </w:rPr>
              <w:tab/>
            </w:r>
            <w:r w:rsidR="00B30F2D" w:rsidRPr="005D7BDF">
              <w:rPr>
                <w:rFonts w:ascii="Arial" w:hAnsi="Arial" w:cs="Arial"/>
                <w:sz w:val="24"/>
                <w:szCs w:val="24"/>
              </w:rPr>
              <w:t>Serving before me is an opposed application for summary judgment. The first and second applicants (“the applicants”) instituted action proceedings in this court against the first and second respondents (“the respondents”)</w:t>
            </w:r>
            <w:r w:rsidR="00B569C5" w:rsidRPr="005D7BDF">
              <w:rPr>
                <w:rFonts w:ascii="Arial" w:hAnsi="Arial" w:cs="Arial"/>
                <w:sz w:val="24"/>
                <w:szCs w:val="24"/>
              </w:rPr>
              <w:t>,</w:t>
            </w:r>
            <w:r w:rsidR="00B30F2D" w:rsidRPr="005D7BDF">
              <w:rPr>
                <w:rFonts w:ascii="Arial" w:hAnsi="Arial" w:cs="Arial"/>
                <w:sz w:val="24"/>
                <w:szCs w:val="24"/>
              </w:rPr>
              <w:t xml:space="preserve"> during July 2021 seeking </w:t>
            </w:r>
            <w:r w:rsidR="00AE20BB" w:rsidRPr="005D7BDF">
              <w:rPr>
                <w:rFonts w:ascii="Arial" w:hAnsi="Arial" w:cs="Arial"/>
                <w:sz w:val="24"/>
                <w:szCs w:val="24"/>
              </w:rPr>
              <w:t>payment of the outstanding balance of a deposit which the respondents were to have paid to the applicants as part of the purchase price of certain immovable property, which was</w:t>
            </w:r>
            <w:r w:rsidR="00B569C5" w:rsidRPr="005D7BDF">
              <w:rPr>
                <w:rFonts w:ascii="Arial" w:hAnsi="Arial" w:cs="Arial"/>
                <w:sz w:val="24"/>
                <w:szCs w:val="24"/>
              </w:rPr>
              <w:t xml:space="preserve"> duly</w:t>
            </w:r>
            <w:r w:rsidR="00AE20BB" w:rsidRPr="005D7BDF">
              <w:rPr>
                <w:rFonts w:ascii="Arial" w:hAnsi="Arial" w:cs="Arial"/>
                <w:sz w:val="24"/>
                <w:szCs w:val="24"/>
              </w:rPr>
              <w:t xml:space="preserve"> transferred to the respondents on 20 May 2021.</w:t>
            </w:r>
          </w:p>
          <w:p w14:paraId="58A0C079" w14:textId="6D763A1B" w:rsidR="00E3512F" w:rsidRPr="005D7BDF" w:rsidRDefault="005D7BDF" w:rsidP="005D7BDF">
            <w:pPr>
              <w:spacing w:after="240" w:line="360" w:lineRule="auto"/>
              <w:jc w:val="both"/>
              <w:rPr>
                <w:rFonts w:ascii="Arial" w:hAnsi="Arial" w:cs="Arial"/>
                <w:sz w:val="24"/>
                <w:szCs w:val="24"/>
              </w:rPr>
            </w:pPr>
            <w:r>
              <w:rPr>
                <w:rFonts w:ascii="Arial" w:hAnsi="Arial" w:cs="Arial"/>
                <w:sz w:val="24"/>
                <w:szCs w:val="24"/>
                <w:lang w:val="en-US"/>
              </w:rPr>
              <w:t>[2]</w:t>
            </w:r>
            <w:r>
              <w:rPr>
                <w:rFonts w:ascii="Arial" w:hAnsi="Arial" w:cs="Arial"/>
                <w:sz w:val="24"/>
                <w:szCs w:val="24"/>
                <w:lang w:val="en-US"/>
              </w:rPr>
              <w:tab/>
            </w:r>
            <w:r w:rsidR="00685F10" w:rsidRPr="005D7BDF">
              <w:rPr>
                <w:rFonts w:ascii="Arial" w:hAnsi="Arial" w:cs="Arial"/>
                <w:sz w:val="24"/>
                <w:szCs w:val="24"/>
              </w:rPr>
              <w:t xml:space="preserve"> In their particulars of claim the applicants </w:t>
            </w:r>
            <w:r w:rsidR="00B569C5" w:rsidRPr="005D7BDF">
              <w:rPr>
                <w:rFonts w:ascii="Arial" w:hAnsi="Arial" w:cs="Arial"/>
                <w:sz w:val="24"/>
                <w:szCs w:val="24"/>
              </w:rPr>
              <w:t xml:space="preserve">(who are married in community of property) </w:t>
            </w:r>
            <w:r w:rsidR="00685F10" w:rsidRPr="005D7BDF">
              <w:rPr>
                <w:rFonts w:ascii="Arial" w:hAnsi="Arial" w:cs="Arial"/>
                <w:sz w:val="24"/>
                <w:szCs w:val="24"/>
              </w:rPr>
              <w:t>allege that the parties concluded</w:t>
            </w:r>
            <w:r w:rsidR="00B30F2D" w:rsidRPr="005D7BDF">
              <w:rPr>
                <w:rFonts w:ascii="Arial" w:hAnsi="Arial" w:cs="Arial"/>
                <w:sz w:val="24"/>
                <w:szCs w:val="24"/>
              </w:rPr>
              <w:t xml:space="preserve"> a</w:t>
            </w:r>
            <w:r w:rsidR="00B569C5" w:rsidRPr="005D7BDF">
              <w:rPr>
                <w:rFonts w:ascii="Arial" w:hAnsi="Arial" w:cs="Arial"/>
                <w:sz w:val="24"/>
                <w:szCs w:val="24"/>
              </w:rPr>
              <w:t xml:space="preserve"> written agreement in terms of which the </w:t>
            </w:r>
            <w:r w:rsidR="00E3512F" w:rsidRPr="005D7BDF">
              <w:rPr>
                <w:rFonts w:ascii="Arial" w:hAnsi="Arial" w:cs="Arial"/>
                <w:sz w:val="24"/>
                <w:szCs w:val="24"/>
              </w:rPr>
              <w:t>respondents</w:t>
            </w:r>
            <w:r w:rsidR="002B1DB1" w:rsidRPr="005D7BDF">
              <w:rPr>
                <w:rFonts w:ascii="Arial" w:hAnsi="Arial" w:cs="Arial"/>
                <w:sz w:val="24"/>
                <w:szCs w:val="24"/>
              </w:rPr>
              <w:t xml:space="preserve"> (also married</w:t>
            </w:r>
            <w:r w:rsidR="00C82A4B" w:rsidRPr="005D7BDF">
              <w:rPr>
                <w:rFonts w:ascii="Arial" w:hAnsi="Arial" w:cs="Arial"/>
                <w:sz w:val="24"/>
                <w:szCs w:val="24"/>
              </w:rPr>
              <w:t>)</w:t>
            </w:r>
            <w:r w:rsidR="00B569C5" w:rsidRPr="005D7BDF">
              <w:rPr>
                <w:rFonts w:ascii="Arial" w:hAnsi="Arial" w:cs="Arial"/>
                <w:sz w:val="24"/>
                <w:szCs w:val="24"/>
              </w:rPr>
              <w:t xml:space="preserve"> purchased </w:t>
            </w:r>
            <w:r w:rsidR="00E3512F" w:rsidRPr="005D7BDF">
              <w:rPr>
                <w:rFonts w:ascii="Arial" w:hAnsi="Arial" w:cs="Arial"/>
                <w:sz w:val="24"/>
                <w:szCs w:val="24"/>
              </w:rPr>
              <w:t xml:space="preserve">from the applicants, </w:t>
            </w:r>
            <w:r w:rsidR="00B569C5" w:rsidRPr="005D7BDF">
              <w:rPr>
                <w:rFonts w:ascii="Arial" w:hAnsi="Arial" w:cs="Arial"/>
                <w:sz w:val="24"/>
                <w:szCs w:val="24"/>
              </w:rPr>
              <w:t xml:space="preserve">certain </w:t>
            </w:r>
            <w:r w:rsidR="00E3512F" w:rsidRPr="005D7BDF">
              <w:rPr>
                <w:rFonts w:ascii="Arial" w:hAnsi="Arial" w:cs="Arial"/>
                <w:sz w:val="24"/>
                <w:szCs w:val="24"/>
              </w:rPr>
              <w:t>immovable</w:t>
            </w:r>
            <w:r w:rsidR="00B569C5" w:rsidRPr="005D7BDF">
              <w:rPr>
                <w:rFonts w:ascii="Arial" w:hAnsi="Arial" w:cs="Arial"/>
                <w:sz w:val="24"/>
                <w:szCs w:val="24"/>
              </w:rPr>
              <w:t xml:space="preserve"> property situate at Rocky </w:t>
            </w:r>
            <w:r w:rsidR="00E3512F" w:rsidRPr="005D7BDF">
              <w:rPr>
                <w:rFonts w:ascii="Arial" w:hAnsi="Arial" w:cs="Arial"/>
                <w:sz w:val="24"/>
                <w:szCs w:val="24"/>
              </w:rPr>
              <w:t xml:space="preserve">Crest for a price of N$1,450,000. </w:t>
            </w:r>
          </w:p>
          <w:p w14:paraId="604FF3F5" w14:textId="7F3634F0" w:rsidR="00B30F2D" w:rsidRPr="005D7BDF" w:rsidRDefault="005D7BDF" w:rsidP="005D7BDF">
            <w:pPr>
              <w:spacing w:after="240" w:line="360" w:lineRule="auto"/>
              <w:jc w:val="both"/>
              <w:rPr>
                <w:rFonts w:ascii="Arial" w:hAnsi="Arial" w:cs="Arial"/>
                <w:sz w:val="24"/>
                <w:szCs w:val="24"/>
              </w:rPr>
            </w:pPr>
            <w:r w:rsidRPr="0084768B">
              <w:rPr>
                <w:rFonts w:ascii="Arial" w:hAnsi="Arial" w:cs="Arial"/>
                <w:sz w:val="24"/>
                <w:szCs w:val="24"/>
                <w:lang w:val="en-US"/>
              </w:rPr>
              <w:t>[3]</w:t>
            </w:r>
            <w:r w:rsidRPr="0084768B">
              <w:rPr>
                <w:rFonts w:ascii="Arial" w:hAnsi="Arial" w:cs="Arial"/>
                <w:sz w:val="24"/>
                <w:szCs w:val="24"/>
                <w:lang w:val="en-US"/>
              </w:rPr>
              <w:tab/>
            </w:r>
            <w:r w:rsidR="00E3512F" w:rsidRPr="005D7BDF">
              <w:rPr>
                <w:rFonts w:ascii="Arial" w:hAnsi="Arial" w:cs="Arial"/>
                <w:sz w:val="24"/>
                <w:szCs w:val="24"/>
              </w:rPr>
              <w:t xml:space="preserve">It </w:t>
            </w:r>
            <w:r w:rsidR="00C82A4B" w:rsidRPr="005D7BDF">
              <w:rPr>
                <w:rFonts w:ascii="Arial" w:hAnsi="Arial" w:cs="Arial"/>
                <w:sz w:val="24"/>
                <w:szCs w:val="24"/>
              </w:rPr>
              <w:t xml:space="preserve">is further pleaded that it was an </w:t>
            </w:r>
            <w:r w:rsidR="00E3512F" w:rsidRPr="005D7BDF">
              <w:rPr>
                <w:rFonts w:ascii="Arial" w:hAnsi="Arial" w:cs="Arial"/>
                <w:sz w:val="24"/>
                <w:szCs w:val="24"/>
              </w:rPr>
              <w:t>express term of the</w:t>
            </w:r>
            <w:r w:rsidR="00B30F2D" w:rsidRPr="005D7BDF">
              <w:rPr>
                <w:rFonts w:ascii="Arial" w:hAnsi="Arial" w:cs="Arial"/>
                <w:sz w:val="24"/>
                <w:szCs w:val="24"/>
              </w:rPr>
              <w:t xml:space="preserve"> written</w:t>
            </w:r>
            <w:r w:rsidR="00E3512F" w:rsidRPr="005D7BDF">
              <w:rPr>
                <w:rFonts w:ascii="Arial" w:hAnsi="Arial" w:cs="Arial"/>
                <w:sz w:val="24"/>
                <w:szCs w:val="24"/>
              </w:rPr>
              <w:t xml:space="preserve"> agreement that the respondents would pay a cash deposit to the applicants in the amount of N$280,000</w:t>
            </w:r>
            <w:r w:rsidR="00B30F2D" w:rsidRPr="005D7BDF">
              <w:rPr>
                <w:rFonts w:ascii="Arial" w:hAnsi="Arial" w:cs="Arial"/>
                <w:sz w:val="24"/>
                <w:szCs w:val="24"/>
              </w:rPr>
              <w:t>, which deposit was to be made into the trust bank account of Phillip Swanepoel Legal Practitioners</w:t>
            </w:r>
            <w:r w:rsidR="00E3512F" w:rsidRPr="005D7BDF">
              <w:rPr>
                <w:rFonts w:ascii="Arial" w:hAnsi="Arial" w:cs="Arial"/>
                <w:sz w:val="24"/>
                <w:szCs w:val="24"/>
              </w:rPr>
              <w:t xml:space="preserve">. Attached to the particulars of claim was </w:t>
            </w:r>
            <w:r w:rsidR="00EE19A1" w:rsidRPr="005D7BDF">
              <w:rPr>
                <w:rFonts w:ascii="Arial" w:hAnsi="Arial" w:cs="Arial"/>
                <w:sz w:val="24"/>
                <w:szCs w:val="24"/>
              </w:rPr>
              <w:t xml:space="preserve">a copy of </w:t>
            </w:r>
            <w:r w:rsidR="00A90C2A" w:rsidRPr="005D7BDF">
              <w:rPr>
                <w:rFonts w:ascii="Arial" w:hAnsi="Arial" w:cs="Arial"/>
                <w:sz w:val="24"/>
                <w:szCs w:val="24"/>
              </w:rPr>
              <w:t>a document</w:t>
            </w:r>
            <w:r w:rsidR="00EE19A1" w:rsidRPr="005D7BDF">
              <w:rPr>
                <w:rFonts w:ascii="Arial" w:hAnsi="Arial" w:cs="Arial"/>
                <w:sz w:val="24"/>
                <w:szCs w:val="24"/>
              </w:rPr>
              <w:t xml:space="preserve"> referred to therein as a cash deposit payment agreement</w:t>
            </w:r>
            <w:r w:rsidR="00B30F2D" w:rsidRPr="005D7BDF">
              <w:rPr>
                <w:rFonts w:ascii="Arial" w:hAnsi="Arial" w:cs="Arial"/>
                <w:sz w:val="24"/>
                <w:szCs w:val="24"/>
              </w:rPr>
              <w:t>.</w:t>
            </w:r>
            <w:r w:rsidR="00EE19A1" w:rsidRPr="005D7BDF">
              <w:rPr>
                <w:rFonts w:ascii="Arial" w:hAnsi="Arial" w:cs="Arial"/>
                <w:sz w:val="24"/>
                <w:szCs w:val="24"/>
              </w:rPr>
              <w:t xml:space="preserve"> In this document, it is clear that the respondents expressly </w:t>
            </w:r>
            <w:r w:rsidR="00665FE3" w:rsidRPr="005D7BDF">
              <w:rPr>
                <w:rFonts w:ascii="Arial" w:hAnsi="Arial" w:cs="Arial"/>
                <w:sz w:val="24"/>
                <w:szCs w:val="24"/>
              </w:rPr>
              <w:t>a</w:t>
            </w:r>
            <w:r w:rsidR="00EE19A1" w:rsidRPr="005D7BDF">
              <w:rPr>
                <w:rFonts w:ascii="Arial" w:hAnsi="Arial" w:cs="Arial"/>
                <w:sz w:val="24"/>
                <w:szCs w:val="24"/>
              </w:rPr>
              <w:t>greed to pay a cash deposit of N$280,000. Also attached to the particulars of claim is a copy of a deed of transfer, showing that the immovable property was transferred to the respondents on 20 May 2021</w:t>
            </w:r>
            <w:r w:rsidR="00424C02" w:rsidRPr="005D7BDF">
              <w:rPr>
                <w:rFonts w:ascii="Arial" w:hAnsi="Arial" w:cs="Arial"/>
                <w:sz w:val="24"/>
                <w:szCs w:val="24"/>
              </w:rPr>
              <w:t>.</w:t>
            </w:r>
          </w:p>
          <w:p w14:paraId="764ED957" w14:textId="33511653" w:rsidR="00B30F2D" w:rsidRPr="005D7BDF" w:rsidRDefault="005D7BDF" w:rsidP="005D7BDF">
            <w:pPr>
              <w:spacing w:after="240" w:line="360" w:lineRule="auto"/>
              <w:jc w:val="both"/>
              <w:rPr>
                <w:rFonts w:ascii="Arial" w:hAnsi="Arial" w:cs="Arial"/>
                <w:sz w:val="24"/>
                <w:szCs w:val="24"/>
              </w:rPr>
            </w:pPr>
            <w:r w:rsidRPr="0084768B">
              <w:rPr>
                <w:rFonts w:ascii="Arial" w:hAnsi="Arial" w:cs="Arial"/>
                <w:sz w:val="24"/>
                <w:szCs w:val="24"/>
                <w:lang w:val="en-US"/>
              </w:rPr>
              <w:t>[4]</w:t>
            </w:r>
            <w:r w:rsidRPr="0084768B">
              <w:rPr>
                <w:rFonts w:ascii="Arial" w:hAnsi="Arial" w:cs="Arial"/>
                <w:sz w:val="24"/>
                <w:szCs w:val="24"/>
                <w:lang w:val="en-US"/>
              </w:rPr>
              <w:tab/>
            </w:r>
            <w:r w:rsidR="00685F10" w:rsidRPr="005D7BDF">
              <w:rPr>
                <w:rFonts w:ascii="Arial" w:hAnsi="Arial" w:cs="Arial"/>
                <w:sz w:val="24"/>
                <w:szCs w:val="24"/>
              </w:rPr>
              <w:t>I</w:t>
            </w:r>
            <w:r w:rsidR="00424C02" w:rsidRPr="005D7BDF">
              <w:rPr>
                <w:rFonts w:ascii="Arial" w:hAnsi="Arial" w:cs="Arial"/>
                <w:sz w:val="24"/>
                <w:szCs w:val="24"/>
              </w:rPr>
              <w:t>t</w:t>
            </w:r>
            <w:r w:rsidR="00685F10" w:rsidRPr="005D7BDF">
              <w:rPr>
                <w:rFonts w:ascii="Arial" w:hAnsi="Arial" w:cs="Arial"/>
                <w:sz w:val="24"/>
                <w:szCs w:val="24"/>
              </w:rPr>
              <w:t xml:space="preserve"> is further alleged</w:t>
            </w:r>
            <w:r w:rsidR="00B30F2D" w:rsidRPr="005D7BDF">
              <w:rPr>
                <w:rFonts w:ascii="Arial" w:hAnsi="Arial" w:cs="Arial"/>
                <w:sz w:val="24"/>
                <w:szCs w:val="24"/>
              </w:rPr>
              <w:t xml:space="preserve"> that the respondents</w:t>
            </w:r>
            <w:r w:rsidR="00685F10" w:rsidRPr="005D7BDF">
              <w:rPr>
                <w:rFonts w:ascii="Arial" w:hAnsi="Arial" w:cs="Arial"/>
                <w:sz w:val="24"/>
                <w:szCs w:val="24"/>
              </w:rPr>
              <w:t xml:space="preserve">, in breach of the </w:t>
            </w:r>
            <w:r w:rsidR="00424C02" w:rsidRPr="005D7BDF">
              <w:rPr>
                <w:rFonts w:ascii="Arial" w:hAnsi="Arial" w:cs="Arial"/>
                <w:sz w:val="24"/>
                <w:szCs w:val="24"/>
              </w:rPr>
              <w:t>written agreement</w:t>
            </w:r>
            <w:r w:rsidR="00685F10" w:rsidRPr="005D7BDF">
              <w:rPr>
                <w:rFonts w:ascii="Arial" w:hAnsi="Arial" w:cs="Arial"/>
                <w:sz w:val="24"/>
                <w:szCs w:val="24"/>
              </w:rPr>
              <w:t>,</w:t>
            </w:r>
            <w:r w:rsidR="00B30F2D" w:rsidRPr="005D7BDF">
              <w:rPr>
                <w:rFonts w:ascii="Arial" w:hAnsi="Arial" w:cs="Arial"/>
                <w:sz w:val="24"/>
                <w:szCs w:val="24"/>
              </w:rPr>
              <w:t xml:space="preserve"> only paid half of the agreed deposit amount</w:t>
            </w:r>
            <w:r w:rsidR="00685F10" w:rsidRPr="005D7BDF">
              <w:rPr>
                <w:rFonts w:ascii="Arial" w:hAnsi="Arial" w:cs="Arial"/>
                <w:sz w:val="24"/>
                <w:szCs w:val="24"/>
              </w:rPr>
              <w:t>.</w:t>
            </w:r>
            <w:r w:rsidR="00B30F2D" w:rsidRPr="005D7BDF">
              <w:rPr>
                <w:rFonts w:ascii="Arial" w:hAnsi="Arial" w:cs="Arial"/>
                <w:sz w:val="24"/>
                <w:szCs w:val="24"/>
              </w:rPr>
              <w:t xml:space="preserve"> Resultantly, the applicants</w:t>
            </w:r>
            <w:r w:rsidR="00685F10" w:rsidRPr="005D7BDF">
              <w:rPr>
                <w:rFonts w:ascii="Arial" w:hAnsi="Arial" w:cs="Arial"/>
                <w:sz w:val="24"/>
                <w:szCs w:val="24"/>
              </w:rPr>
              <w:t>’ sought</w:t>
            </w:r>
            <w:r w:rsidR="00B30F2D" w:rsidRPr="005D7BDF">
              <w:rPr>
                <w:rFonts w:ascii="Arial" w:hAnsi="Arial" w:cs="Arial"/>
                <w:sz w:val="24"/>
                <w:szCs w:val="24"/>
              </w:rPr>
              <w:t>, inter alia, payment of the</w:t>
            </w:r>
            <w:r w:rsidR="00685F10" w:rsidRPr="005D7BDF">
              <w:rPr>
                <w:rFonts w:ascii="Arial" w:hAnsi="Arial" w:cs="Arial"/>
                <w:sz w:val="24"/>
                <w:szCs w:val="24"/>
              </w:rPr>
              <w:t xml:space="preserve"> outstanding</w:t>
            </w:r>
            <w:r w:rsidR="00B30F2D" w:rsidRPr="005D7BDF">
              <w:rPr>
                <w:rFonts w:ascii="Arial" w:hAnsi="Arial" w:cs="Arial"/>
                <w:sz w:val="24"/>
                <w:szCs w:val="24"/>
              </w:rPr>
              <w:t xml:space="preserve"> amount of N$140</w:t>
            </w:r>
            <w:r w:rsidR="00665FE3" w:rsidRPr="005D7BDF">
              <w:rPr>
                <w:rFonts w:ascii="Arial" w:hAnsi="Arial" w:cs="Arial"/>
                <w:sz w:val="24"/>
                <w:szCs w:val="24"/>
              </w:rPr>
              <w:t>,</w:t>
            </w:r>
            <w:r w:rsidR="00B30F2D" w:rsidRPr="005D7BDF">
              <w:rPr>
                <w:rFonts w:ascii="Arial" w:hAnsi="Arial" w:cs="Arial"/>
                <w:sz w:val="24"/>
                <w:szCs w:val="24"/>
              </w:rPr>
              <w:t>000</w:t>
            </w:r>
            <w:r w:rsidR="00A611C5" w:rsidRPr="005D7BDF">
              <w:rPr>
                <w:rFonts w:ascii="Arial" w:hAnsi="Arial" w:cs="Arial"/>
                <w:sz w:val="24"/>
                <w:szCs w:val="24"/>
              </w:rPr>
              <w:t>.</w:t>
            </w:r>
          </w:p>
          <w:p w14:paraId="49F4C88E" w14:textId="3433E426" w:rsidR="00B30F2D" w:rsidRPr="005D7BDF" w:rsidRDefault="005D7BDF" w:rsidP="005D7BDF">
            <w:pPr>
              <w:spacing w:line="360" w:lineRule="auto"/>
              <w:jc w:val="both"/>
              <w:rPr>
                <w:rFonts w:ascii="Arial" w:hAnsi="Arial" w:cs="Arial"/>
                <w:sz w:val="24"/>
                <w:szCs w:val="24"/>
              </w:rPr>
            </w:pPr>
            <w:r w:rsidRPr="0084768B">
              <w:rPr>
                <w:rFonts w:ascii="Arial" w:hAnsi="Arial" w:cs="Arial"/>
                <w:sz w:val="24"/>
                <w:szCs w:val="24"/>
                <w:lang w:val="en-US"/>
              </w:rPr>
              <w:t>[5]</w:t>
            </w:r>
            <w:r w:rsidRPr="0084768B">
              <w:rPr>
                <w:rFonts w:ascii="Arial" w:hAnsi="Arial" w:cs="Arial"/>
                <w:sz w:val="24"/>
                <w:szCs w:val="24"/>
                <w:lang w:val="en-US"/>
              </w:rPr>
              <w:tab/>
            </w:r>
            <w:r w:rsidR="00B30F2D" w:rsidRPr="005D7BDF">
              <w:rPr>
                <w:rFonts w:ascii="Arial" w:hAnsi="Arial" w:cs="Arial"/>
                <w:sz w:val="24"/>
                <w:szCs w:val="24"/>
              </w:rPr>
              <w:t>The respondents noted their defence to the applicants’ claim, prompting the present application wherein the applicants seek the following relief:</w:t>
            </w:r>
          </w:p>
          <w:p w14:paraId="4EBEC36E" w14:textId="07EA7D46" w:rsidR="00B30F2D" w:rsidRPr="0084768B" w:rsidRDefault="00B30F2D" w:rsidP="00B30F2D">
            <w:pPr>
              <w:pStyle w:val="ListParagraph"/>
              <w:spacing w:line="360" w:lineRule="auto"/>
              <w:ind w:left="0"/>
              <w:contextualSpacing w:val="0"/>
              <w:jc w:val="both"/>
              <w:rPr>
                <w:rFonts w:ascii="Arial" w:hAnsi="Arial" w:cs="Arial"/>
              </w:rPr>
            </w:pPr>
            <w:r w:rsidRPr="0084768B">
              <w:rPr>
                <w:rFonts w:ascii="Arial" w:hAnsi="Arial" w:cs="Arial"/>
              </w:rPr>
              <w:t>‘1. That the respondents jointly and severally, the one paying the other to be absolved to pay the plaintiffs in the amount of N$96</w:t>
            </w:r>
            <w:r w:rsidR="00665FE3">
              <w:rPr>
                <w:rFonts w:ascii="Arial" w:hAnsi="Arial" w:cs="Arial"/>
              </w:rPr>
              <w:t>,</w:t>
            </w:r>
            <w:r w:rsidRPr="0084768B">
              <w:rPr>
                <w:rFonts w:ascii="Arial" w:hAnsi="Arial" w:cs="Arial"/>
              </w:rPr>
              <w:t>730.00.</w:t>
            </w:r>
          </w:p>
          <w:p w14:paraId="075C369F" w14:textId="77777777" w:rsidR="00B30F2D" w:rsidRPr="0084768B" w:rsidRDefault="00B30F2D" w:rsidP="00B30F2D">
            <w:pPr>
              <w:pStyle w:val="ListParagraph"/>
              <w:spacing w:line="360" w:lineRule="auto"/>
              <w:ind w:left="0"/>
              <w:contextualSpacing w:val="0"/>
              <w:jc w:val="both"/>
              <w:rPr>
                <w:rFonts w:ascii="Arial" w:hAnsi="Arial" w:cs="Arial"/>
              </w:rPr>
            </w:pPr>
            <w:r w:rsidRPr="0084768B">
              <w:rPr>
                <w:rFonts w:ascii="Arial" w:hAnsi="Arial" w:cs="Arial"/>
              </w:rPr>
              <w:t>2. Interest on the aforesaid amount calculated at a rate of 20% per annum a tempore morae from the date of judgment.</w:t>
            </w:r>
          </w:p>
          <w:p w14:paraId="06424283" w14:textId="23D9CA81" w:rsidR="00B30F2D" w:rsidRPr="0084768B" w:rsidRDefault="00B30F2D" w:rsidP="00B30F2D">
            <w:pPr>
              <w:pStyle w:val="ListParagraph"/>
              <w:spacing w:line="360" w:lineRule="auto"/>
              <w:ind w:left="0"/>
              <w:contextualSpacing w:val="0"/>
              <w:jc w:val="both"/>
              <w:rPr>
                <w:rFonts w:ascii="Arial" w:hAnsi="Arial" w:cs="Arial"/>
              </w:rPr>
            </w:pPr>
            <w:r w:rsidRPr="0084768B">
              <w:rPr>
                <w:rFonts w:ascii="Arial" w:hAnsi="Arial" w:cs="Arial"/>
              </w:rPr>
              <w:t>3. Costs of suit on attorney client scale.’</w:t>
            </w:r>
          </w:p>
          <w:p w14:paraId="36FE4E2B" w14:textId="395B5E0A" w:rsidR="00B30F2D" w:rsidRPr="005D7BDF" w:rsidRDefault="005D7BDF" w:rsidP="005D7BDF">
            <w:pPr>
              <w:spacing w:after="240" w:line="360" w:lineRule="auto"/>
              <w:jc w:val="both"/>
              <w:rPr>
                <w:rFonts w:ascii="Arial" w:hAnsi="Arial" w:cs="Arial"/>
                <w:sz w:val="24"/>
                <w:szCs w:val="24"/>
              </w:rPr>
            </w:pPr>
            <w:r w:rsidRPr="0084768B">
              <w:rPr>
                <w:rFonts w:ascii="Arial" w:hAnsi="Arial" w:cs="Arial"/>
                <w:sz w:val="24"/>
                <w:szCs w:val="24"/>
                <w:lang w:val="en-US"/>
              </w:rPr>
              <w:lastRenderedPageBreak/>
              <w:t>[6]</w:t>
            </w:r>
            <w:r w:rsidRPr="0084768B">
              <w:rPr>
                <w:rFonts w:ascii="Arial" w:hAnsi="Arial" w:cs="Arial"/>
                <w:sz w:val="24"/>
                <w:szCs w:val="24"/>
                <w:lang w:val="en-US"/>
              </w:rPr>
              <w:tab/>
            </w:r>
            <w:r w:rsidR="00B30F2D" w:rsidRPr="005D7BDF">
              <w:rPr>
                <w:rFonts w:ascii="Arial" w:hAnsi="Arial" w:cs="Arial"/>
                <w:sz w:val="24"/>
                <w:szCs w:val="24"/>
              </w:rPr>
              <w:t>The first applicant deposed to the affidavit in support of the application for summary judgment</w:t>
            </w:r>
            <w:r w:rsidR="00A611C5" w:rsidRPr="005D7BDF">
              <w:rPr>
                <w:rFonts w:ascii="Arial" w:hAnsi="Arial" w:cs="Arial"/>
                <w:sz w:val="24"/>
                <w:szCs w:val="24"/>
              </w:rPr>
              <w:t>,</w:t>
            </w:r>
            <w:r w:rsidR="00424C02" w:rsidRPr="005D7BDF">
              <w:rPr>
                <w:rFonts w:ascii="Arial" w:hAnsi="Arial" w:cs="Arial"/>
                <w:sz w:val="24"/>
                <w:szCs w:val="24"/>
              </w:rPr>
              <w:t xml:space="preserve"> verif</w:t>
            </w:r>
            <w:r w:rsidR="00A611C5" w:rsidRPr="005D7BDF">
              <w:rPr>
                <w:rFonts w:ascii="Arial" w:hAnsi="Arial" w:cs="Arial"/>
                <w:sz w:val="24"/>
                <w:szCs w:val="24"/>
              </w:rPr>
              <w:t>ying the applicants’ cause of action, an</w:t>
            </w:r>
            <w:r w:rsidR="00424C02" w:rsidRPr="005D7BDF">
              <w:rPr>
                <w:rFonts w:ascii="Arial" w:hAnsi="Arial" w:cs="Arial"/>
                <w:sz w:val="24"/>
                <w:szCs w:val="24"/>
              </w:rPr>
              <w:t>d stated that in</w:t>
            </w:r>
            <w:r w:rsidR="00665FE3" w:rsidRPr="005D7BDF">
              <w:rPr>
                <w:rFonts w:ascii="Arial" w:hAnsi="Arial" w:cs="Arial"/>
                <w:sz w:val="24"/>
                <w:szCs w:val="24"/>
              </w:rPr>
              <w:t xml:space="preserve"> the</w:t>
            </w:r>
            <w:r w:rsidR="00424C02" w:rsidRPr="005D7BDF">
              <w:rPr>
                <w:rFonts w:ascii="Arial" w:hAnsi="Arial" w:cs="Arial"/>
                <w:sz w:val="24"/>
                <w:szCs w:val="24"/>
              </w:rPr>
              <w:t xml:space="preserve"> applicants’ opinion the respondents had no </w:t>
            </w:r>
            <w:r w:rsidR="00424C02" w:rsidRPr="005D7BDF">
              <w:rPr>
                <w:rFonts w:ascii="Arial" w:hAnsi="Arial" w:cs="Arial"/>
                <w:iCs/>
                <w:sz w:val="24"/>
                <w:szCs w:val="24"/>
              </w:rPr>
              <w:t>bona fide</w:t>
            </w:r>
            <w:r w:rsidR="00424C02" w:rsidRPr="005D7BDF">
              <w:rPr>
                <w:rFonts w:ascii="Arial" w:hAnsi="Arial" w:cs="Arial"/>
                <w:sz w:val="24"/>
                <w:szCs w:val="24"/>
              </w:rPr>
              <w:t xml:space="preserve"> defence to the applicants’ claim</w:t>
            </w:r>
            <w:r w:rsidR="00B30F2D" w:rsidRPr="005D7BDF">
              <w:rPr>
                <w:rFonts w:ascii="Arial" w:hAnsi="Arial" w:cs="Arial"/>
                <w:sz w:val="24"/>
                <w:szCs w:val="24"/>
              </w:rPr>
              <w:t xml:space="preserve">. </w:t>
            </w:r>
          </w:p>
          <w:p w14:paraId="55099266" w14:textId="35DA4EC1" w:rsidR="00B30F2D" w:rsidRPr="005D7BDF" w:rsidRDefault="005D7BDF" w:rsidP="005D7BDF">
            <w:pPr>
              <w:spacing w:after="240" w:line="360" w:lineRule="auto"/>
              <w:jc w:val="both"/>
              <w:rPr>
                <w:rFonts w:ascii="Arial" w:hAnsi="Arial" w:cs="Arial"/>
                <w:sz w:val="24"/>
                <w:szCs w:val="24"/>
              </w:rPr>
            </w:pPr>
            <w:r w:rsidRPr="0084768B">
              <w:rPr>
                <w:rFonts w:ascii="Arial" w:hAnsi="Arial" w:cs="Arial"/>
                <w:sz w:val="24"/>
                <w:szCs w:val="24"/>
                <w:lang w:val="en-US"/>
              </w:rPr>
              <w:t>[7]</w:t>
            </w:r>
            <w:r w:rsidRPr="0084768B">
              <w:rPr>
                <w:rFonts w:ascii="Arial" w:hAnsi="Arial" w:cs="Arial"/>
                <w:sz w:val="24"/>
                <w:szCs w:val="24"/>
                <w:lang w:val="en-US"/>
              </w:rPr>
              <w:tab/>
            </w:r>
            <w:r w:rsidR="00B30F2D" w:rsidRPr="005D7BDF">
              <w:rPr>
                <w:rFonts w:ascii="Arial" w:hAnsi="Arial" w:cs="Arial"/>
                <w:sz w:val="24"/>
                <w:szCs w:val="24"/>
              </w:rPr>
              <w:t xml:space="preserve">The </w:t>
            </w:r>
            <w:r w:rsidR="00424C02" w:rsidRPr="005D7BDF">
              <w:rPr>
                <w:rFonts w:ascii="Arial" w:hAnsi="Arial" w:cs="Arial"/>
                <w:sz w:val="24"/>
                <w:szCs w:val="24"/>
              </w:rPr>
              <w:t xml:space="preserve">amount verified in the affidavit in support of the summary judgment application is less than the N$140,000.00 contained in the particulars of claim, namely the amount of N$96,730.00. The applicants </w:t>
            </w:r>
            <w:r w:rsidR="00C52D77" w:rsidRPr="005D7BDF">
              <w:rPr>
                <w:rFonts w:ascii="Arial" w:hAnsi="Arial" w:cs="Arial"/>
                <w:sz w:val="24"/>
                <w:szCs w:val="24"/>
              </w:rPr>
              <w:t>proffered</w:t>
            </w:r>
            <w:r w:rsidR="00424C02" w:rsidRPr="005D7BDF">
              <w:rPr>
                <w:rFonts w:ascii="Arial" w:hAnsi="Arial" w:cs="Arial"/>
                <w:sz w:val="24"/>
                <w:szCs w:val="24"/>
              </w:rPr>
              <w:t xml:space="preserve"> an explanation for the lesser amount </w:t>
            </w:r>
            <w:r w:rsidR="00C52D77" w:rsidRPr="005D7BDF">
              <w:rPr>
                <w:rFonts w:ascii="Arial" w:hAnsi="Arial" w:cs="Arial"/>
                <w:sz w:val="24"/>
                <w:szCs w:val="24"/>
              </w:rPr>
              <w:t xml:space="preserve">claimed </w:t>
            </w:r>
            <w:r w:rsidR="00424C02" w:rsidRPr="005D7BDF">
              <w:rPr>
                <w:rFonts w:ascii="Arial" w:hAnsi="Arial" w:cs="Arial"/>
                <w:sz w:val="24"/>
                <w:szCs w:val="24"/>
              </w:rPr>
              <w:t>in the</w:t>
            </w:r>
            <w:r w:rsidR="00A611C5" w:rsidRPr="005D7BDF">
              <w:rPr>
                <w:rFonts w:ascii="Arial" w:hAnsi="Arial" w:cs="Arial"/>
                <w:sz w:val="24"/>
                <w:szCs w:val="24"/>
              </w:rPr>
              <w:t>ir</w:t>
            </w:r>
            <w:r w:rsidR="00424C02" w:rsidRPr="005D7BDF">
              <w:rPr>
                <w:rFonts w:ascii="Arial" w:hAnsi="Arial" w:cs="Arial"/>
                <w:sz w:val="24"/>
                <w:szCs w:val="24"/>
              </w:rPr>
              <w:t xml:space="preserve"> affidavit</w:t>
            </w:r>
            <w:r w:rsidR="00B30F2D" w:rsidRPr="005D7BDF">
              <w:rPr>
                <w:rFonts w:ascii="Arial" w:hAnsi="Arial" w:cs="Arial"/>
                <w:sz w:val="24"/>
                <w:szCs w:val="24"/>
              </w:rPr>
              <w:t xml:space="preserve"> as follows:</w:t>
            </w:r>
          </w:p>
          <w:p w14:paraId="6B423788" w14:textId="153AEF6A" w:rsidR="00B30F2D" w:rsidRPr="0084768B" w:rsidRDefault="00B30F2D" w:rsidP="00B30F2D">
            <w:pPr>
              <w:pStyle w:val="ListParagraph"/>
              <w:spacing w:after="240" w:line="360" w:lineRule="auto"/>
              <w:ind w:left="0"/>
              <w:contextualSpacing w:val="0"/>
              <w:jc w:val="both"/>
              <w:rPr>
                <w:rFonts w:ascii="Arial" w:hAnsi="Arial" w:cs="Arial"/>
              </w:rPr>
            </w:pPr>
            <w:r w:rsidRPr="0084768B">
              <w:rPr>
                <w:rFonts w:ascii="Arial" w:hAnsi="Arial" w:cs="Arial"/>
              </w:rPr>
              <w:t>‘I pause to highlight that the amount as per the cash deposit payment agreement was N$280 000.00. The Defendants paid N$140 000.00 into the account of Phillip Swanepoel</w:t>
            </w:r>
            <w:r w:rsidR="00C52D77">
              <w:rPr>
                <w:rFonts w:ascii="Arial" w:hAnsi="Arial" w:cs="Arial"/>
              </w:rPr>
              <w:t xml:space="preserve"> Legal Practitioner and a further payment of N$43,270.00 was deposited into the account of Swanepoel Legal practitioners. A copy of the proof of payments are attached hereto and marked as “A”.</w:t>
            </w:r>
            <w:r w:rsidRPr="0084768B">
              <w:rPr>
                <w:rFonts w:ascii="Arial" w:hAnsi="Arial" w:cs="Arial"/>
              </w:rPr>
              <w:t xml:space="preserve"> Therefore, the remaining balance is N$96 730.00.’</w:t>
            </w:r>
          </w:p>
          <w:p w14:paraId="66594C7F" w14:textId="5574208D" w:rsidR="00B30F2D" w:rsidRPr="005D7BDF" w:rsidRDefault="005D7BDF" w:rsidP="005D7BDF">
            <w:pPr>
              <w:spacing w:after="240" w:line="360" w:lineRule="auto"/>
              <w:jc w:val="both"/>
              <w:rPr>
                <w:rFonts w:ascii="Arial" w:hAnsi="Arial" w:cs="Arial"/>
                <w:sz w:val="24"/>
                <w:szCs w:val="24"/>
              </w:rPr>
            </w:pPr>
            <w:r w:rsidRPr="0084768B">
              <w:rPr>
                <w:rFonts w:ascii="Arial" w:hAnsi="Arial" w:cs="Arial"/>
                <w:sz w:val="24"/>
                <w:szCs w:val="24"/>
                <w:lang w:val="en-US"/>
              </w:rPr>
              <w:t>[8]</w:t>
            </w:r>
            <w:r w:rsidRPr="0084768B">
              <w:rPr>
                <w:rFonts w:ascii="Arial" w:hAnsi="Arial" w:cs="Arial"/>
                <w:sz w:val="24"/>
                <w:szCs w:val="24"/>
                <w:lang w:val="en-US"/>
              </w:rPr>
              <w:tab/>
            </w:r>
            <w:r w:rsidR="00B30F2D" w:rsidRPr="005D7BDF">
              <w:rPr>
                <w:rFonts w:ascii="Arial" w:hAnsi="Arial" w:cs="Arial"/>
                <w:sz w:val="24"/>
                <w:szCs w:val="24"/>
              </w:rPr>
              <w:t xml:space="preserve">The proof of payment </w:t>
            </w:r>
            <w:r w:rsidR="00C52D77" w:rsidRPr="005D7BDF">
              <w:rPr>
                <w:rFonts w:ascii="Arial" w:hAnsi="Arial" w:cs="Arial"/>
                <w:sz w:val="24"/>
                <w:szCs w:val="24"/>
              </w:rPr>
              <w:t xml:space="preserve">of N$43,270.00 </w:t>
            </w:r>
            <w:r w:rsidR="006F7563" w:rsidRPr="005D7BDF">
              <w:rPr>
                <w:rFonts w:ascii="Arial" w:hAnsi="Arial" w:cs="Arial"/>
                <w:sz w:val="24"/>
                <w:szCs w:val="24"/>
              </w:rPr>
              <w:t>was</w:t>
            </w:r>
            <w:r w:rsidR="00B30F2D" w:rsidRPr="005D7BDF">
              <w:rPr>
                <w:rFonts w:ascii="Arial" w:hAnsi="Arial" w:cs="Arial"/>
                <w:sz w:val="24"/>
                <w:szCs w:val="24"/>
              </w:rPr>
              <w:t xml:space="preserve"> annexed to the first applicant’s affidavit</w:t>
            </w:r>
            <w:r w:rsidR="00C52D77" w:rsidRPr="005D7BDF">
              <w:rPr>
                <w:rFonts w:ascii="Arial" w:hAnsi="Arial" w:cs="Arial"/>
                <w:sz w:val="24"/>
                <w:szCs w:val="24"/>
              </w:rPr>
              <w:t xml:space="preserve"> verifying the cause of action. As previously mentioned, the cash deposit agreement and the deed of transfer w</w:t>
            </w:r>
            <w:r w:rsidR="00665FE3" w:rsidRPr="005D7BDF">
              <w:rPr>
                <w:rFonts w:ascii="Arial" w:hAnsi="Arial" w:cs="Arial"/>
                <w:sz w:val="24"/>
                <w:szCs w:val="24"/>
              </w:rPr>
              <w:t>ere</w:t>
            </w:r>
            <w:r w:rsidR="00C52D77" w:rsidRPr="005D7BDF">
              <w:rPr>
                <w:rFonts w:ascii="Arial" w:hAnsi="Arial" w:cs="Arial"/>
                <w:sz w:val="24"/>
                <w:szCs w:val="24"/>
              </w:rPr>
              <w:t xml:space="preserve"> annexed to the particulars of claim.</w:t>
            </w:r>
          </w:p>
          <w:p w14:paraId="2E17BED0" w14:textId="4B637EEF" w:rsidR="006F7563" w:rsidRPr="005D7BDF" w:rsidRDefault="005D7BDF" w:rsidP="005D7BDF">
            <w:pPr>
              <w:spacing w:after="240" w:line="360" w:lineRule="auto"/>
              <w:jc w:val="both"/>
              <w:rPr>
                <w:rFonts w:ascii="Arial" w:hAnsi="Arial" w:cs="Arial"/>
                <w:sz w:val="24"/>
                <w:szCs w:val="24"/>
              </w:rPr>
            </w:pPr>
            <w:r w:rsidRPr="006F7563">
              <w:rPr>
                <w:rFonts w:ascii="Arial" w:hAnsi="Arial" w:cs="Arial"/>
                <w:sz w:val="24"/>
                <w:szCs w:val="24"/>
                <w:lang w:val="en-US"/>
              </w:rPr>
              <w:t>[9]</w:t>
            </w:r>
            <w:r w:rsidRPr="006F7563">
              <w:rPr>
                <w:rFonts w:ascii="Arial" w:hAnsi="Arial" w:cs="Arial"/>
                <w:sz w:val="24"/>
                <w:szCs w:val="24"/>
                <w:lang w:val="en-US"/>
              </w:rPr>
              <w:tab/>
            </w:r>
            <w:r w:rsidR="00B30F2D" w:rsidRPr="005D7BDF">
              <w:rPr>
                <w:rFonts w:ascii="Arial" w:hAnsi="Arial" w:cs="Arial"/>
                <w:sz w:val="24"/>
                <w:szCs w:val="24"/>
              </w:rPr>
              <w:t>The self-representing respondents opposed the application</w:t>
            </w:r>
            <w:r w:rsidR="006F7563" w:rsidRPr="005D7BDF">
              <w:rPr>
                <w:rFonts w:ascii="Arial" w:hAnsi="Arial" w:cs="Arial"/>
                <w:sz w:val="24"/>
                <w:szCs w:val="24"/>
              </w:rPr>
              <w:t xml:space="preserve"> and filed their affidavit resisting summary judgment. </w:t>
            </w:r>
            <w:r w:rsidR="004C08DB" w:rsidRPr="005D7BDF">
              <w:rPr>
                <w:rFonts w:ascii="Arial" w:hAnsi="Arial" w:cs="Arial"/>
                <w:iCs/>
                <w:sz w:val="24"/>
                <w:szCs w:val="24"/>
              </w:rPr>
              <w:t>The respondents</w:t>
            </w:r>
            <w:r w:rsidR="006F7563" w:rsidRPr="005D7BDF">
              <w:rPr>
                <w:rFonts w:ascii="Arial" w:hAnsi="Arial" w:cs="Arial"/>
                <w:iCs/>
                <w:sz w:val="24"/>
                <w:szCs w:val="24"/>
              </w:rPr>
              <w:t xml:space="preserve"> did </w:t>
            </w:r>
            <w:r w:rsidR="004C08DB" w:rsidRPr="005D7BDF">
              <w:rPr>
                <w:rFonts w:ascii="Arial" w:hAnsi="Arial" w:cs="Arial"/>
                <w:iCs/>
                <w:sz w:val="24"/>
                <w:szCs w:val="24"/>
              </w:rPr>
              <w:t>not dispute the veracity of the agreement of sale of the aforementioned immovable property</w:t>
            </w:r>
            <w:r w:rsidR="00F36973" w:rsidRPr="005D7BDF">
              <w:rPr>
                <w:rFonts w:ascii="Arial" w:hAnsi="Arial" w:cs="Arial"/>
                <w:iCs/>
                <w:sz w:val="24"/>
                <w:szCs w:val="24"/>
              </w:rPr>
              <w:t xml:space="preserve">, or </w:t>
            </w:r>
            <w:r w:rsidR="004C08DB" w:rsidRPr="005D7BDF">
              <w:rPr>
                <w:rFonts w:ascii="Arial" w:hAnsi="Arial" w:cs="Arial"/>
                <w:iCs/>
                <w:sz w:val="24"/>
                <w:szCs w:val="24"/>
              </w:rPr>
              <w:t xml:space="preserve">cash </w:t>
            </w:r>
            <w:r w:rsidR="006F7563" w:rsidRPr="005D7BDF">
              <w:rPr>
                <w:rFonts w:ascii="Arial" w:hAnsi="Arial" w:cs="Arial"/>
                <w:iCs/>
                <w:sz w:val="24"/>
                <w:szCs w:val="24"/>
              </w:rPr>
              <w:t xml:space="preserve">the </w:t>
            </w:r>
            <w:r w:rsidR="004C08DB" w:rsidRPr="005D7BDF">
              <w:rPr>
                <w:rFonts w:ascii="Arial" w:hAnsi="Arial" w:cs="Arial"/>
                <w:iCs/>
                <w:sz w:val="24"/>
                <w:szCs w:val="24"/>
              </w:rPr>
              <w:t xml:space="preserve">deposit agreement, or the </w:t>
            </w:r>
            <w:r w:rsidR="006F7563" w:rsidRPr="005D7BDF">
              <w:rPr>
                <w:rFonts w:ascii="Arial" w:hAnsi="Arial" w:cs="Arial"/>
                <w:iCs/>
                <w:sz w:val="24"/>
                <w:szCs w:val="24"/>
              </w:rPr>
              <w:t xml:space="preserve">proof of </w:t>
            </w:r>
            <w:r w:rsidR="004C08DB" w:rsidRPr="005D7BDF">
              <w:rPr>
                <w:rFonts w:ascii="Arial" w:hAnsi="Arial" w:cs="Arial"/>
                <w:iCs/>
                <w:sz w:val="24"/>
                <w:szCs w:val="24"/>
              </w:rPr>
              <w:t>payment attached to the affidavit in support of the summary judgment application. They d</w:t>
            </w:r>
            <w:r w:rsidR="006F7563" w:rsidRPr="005D7BDF">
              <w:rPr>
                <w:rFonts w:ascii="Arial" w:hAnsi="Arial" w:cs="Arial"/>
                <w:iCs/>
                <w:sz w:val="24"/>
                <w:szCs w:val="24"/>
              </w:rPr>
              <w:t>id</w:t>
            </w:r>
            <w:r w:rsidR="004C08DB" w:rsidRPr="005D7BDF">
              <w:rPr>
                <w:rFonts w:ascii="Arial" w:hAnsi="Arial" w:cs="Arial"/>
                <w:iCs/>
                <w:sz w:val="24"/>
                <w:szCs w:val="24"/>
              </w:rPr>
              <w:t xml:space="preserve"> not dispute that the property was transferred to them either. </w:t>
            </w:r>
          </w:p>
          <w:p w14:paraId="5C806F9F" w14:textId="079D79C4" w:rsidR="008E47E5" w:rsidRPr="005D7BDF" w:rsidRDefault="005D7BDF" w:rsidP="005D7BDF">
            <w:pPr>
              <w:spacing w:after="240" w:line="360" w:lineRule="auto"/>
              <w:jc w:val="both"/>
              <w:rPr>
                <w:rFonts w:ascii="Arial" w:hAnsi="Arial" w:cs="Arial"/>
                <w:sz w:val="24"/>
                <w:szCs w:val="24"/>
              </w:rPr>
            </w:pPr>
            <w:r w:rsidRPr="002D4D47">
              <w:rPr>
                <w:rFonts w:ascii="Arial" w:hAnsi="Arial" w:cs="Arial"/>
                <w:sz w:val="24"/>
                <w:szCs w:val="24"/>
                <w:lang w:val="en-US"/>
              </w:rPr>
              <w:t>[10]</w:t>
            </w:r>
            <w:r w:rsidRPr="002D4D47">
              <w:rPr>
                <w:rFonts w:ascii="Arial" w:hAnsi="Arial" w:cs="Arial"/>
                <w:sz w:val="24"/>
                <w:szCs w:val="24"/>
                <w:lang w:val="en-US"/>
              </w:rPr>
              <w:tab/>
            </w:r>
            <w:r w:rsidR="00F36973" w:rsidRPr="005D7BDF">
              <w:rPr>
                <w:rFonts w:ascii="Arial" w:hAnsi="Arial" w:cs="Arial"/>
                <w:iCs/>
                <w:sz w:val="24"/>
                <w:szCs w:val="24"/>
              </w:rPr>
              <w:t xml:space="preserve"> What the</w:t>
            </w:r>
            <w:r w:rsidR="006F7563" w:rsidRPr="005D7BDF">
              <w:rPr>
                <w:rFonts w:ascii="Arial" w:hAnsi="Arial" w:cs="Arial"/>
                <w:iCs/>
                <w:sz w:val="24"/>
                <w:szCs w:val="24"/>
              </w:rPr>
              <w:t xml:space="preserve"> respondents raise to stave off the summary judgment application, </w:t>
            </w:r>
            <w:r w:rsidR="00F36973" w:rsidRPr="005D7BDF">
              <w:rPr>
                <w:rFonts w:ascii="Arial" w:hAnsi="Arial" w:cs="Arial"/>
                <w:iCs/>
                <w:sz w:val="24"/>
                <w:szCs w:val="24"/>
              </w:rPr>
              <w:t xml:space="preserve"> is that they have commenced a third-party procedure to join Phillip Swanepoel as joint wrongdoer, for purposes of claiming an apportionment in terms of the Apportionment of Damages Act 34 of 1956. </w:t>
            </w:r>
            <w:r w:rsidR="006F7563" w:rsidRPr="005D7BDF">
              <w:rPr>
                <w:rFonts w:ascii="Arial" w:hAnsi="Arial" w:cs="Arial"/>
                <w:iCs/>
                <w:sz w:val="24"/>
                <w:szCs w:val="24"/>
              </w:rPr>
              <w:t xml:space="preserve">Respondents in this regard, averred </w:t>
            </w:r>
            <w:r w:rsidR="00F36973" w:rsidRPr="005D7BDF">
              <w:rPr>
                <w:rFonts w:ascii="Arial" w:hAnsi="Arial" w:cs="Arial"/>
                <w:iCs/>
                <w:sz w:val="24"/>
                <w:szCs w:val="24"/>
              </w:rPr>
              <w:t xml:space="preserve">that the third-party notice must ensure that </w:t>
            </w:r>
            <w:r w:rsidR="002D4D47" w:rsidRPr="005D7BDF">
              <w:rPr>
                <w:rFonts w:ascii="Arial" w:hAnsi="Arial" w:cs="Arial"/>
                <w:iCs/>
                <w:sz w:val="24"/>
                <w:szCs w:val="24"/>
              </w:rPr>
              <w:t>‘</w:t>
            </w:r>
            <w:r w:rsidR="00F36973" w:rsidRPr="005D7BDF">
              <w:rPr>
                <w:rFonts w:ascii="Arial" w:hAnsi="Arial" w:cs="Arial"/>
                <w:iCs/>
                <w:sz w:val="24"/>
                <w:szCs w:val="24"/>
              </w:rPr>
              <w:t>the issue of miscalculation between the defendants and third party should properly be determined between the defendants and third party.</w:t>
            </w:r>
            <w:r w:rsidR="002D4D47" w:rsidRPr="005D7BDF">
              <w:rPr>
                <w:rFonts w:ascii="Arial" w:hAnsi="Arial" w:cs="Arial"/>
                <w:iCs/>
                <w:sz w:val="24"/>
                <w:szCs w:val="24"/>
              </w:rPr>
              <w:t>’</w:t>
            </w:r>
            <w:r w:rsidR="00F36973" w:rsidRPr="005D7BDF">
              <w:rPr>
                <w:rFonts w:ascii="Arial" w:hAnsi="Arial" w:cs="Arial"/>
                <w:iCs/>
                <w:sz w:val="24"/>
                <w:szCs w:val="24"/>
              </w:rPr>
              <w:t xml:space="preserve"> The basis of the miscalculation is not dealt with by the respondents at all. </w:t>
            </w:r>
          </w:p>
          <w:p w14:paraId="755E1B80" w14:textId="151D8B1E" w:rsidR="00CB0327" w:rsidRPr="005D7BDF" w:rsidRDefault="005D7BDF" w:rsidP="005D7BDF">
            <w:pPr>
              <w:spacing w:after="240" w:line="360" w:lineRule="auto"/>
              <w:jc w:val="both"/>
              <w:rPr>
                <w:rFonts w:ascii="Arial" w:hAnsi="Arial" w:cs="Arial"/>
                <w:sz w:val="24"/>
                <w:szCs w:val="24"/>
              </w:rPr>
            </w:pPr>
            <w:r w:rsidRPr="0084768B">
              <w:rPr>
                <w:rFonts w:ascii="Arial" w:hAnsi="Arial" w:cs="Arial"/>
                <w:sz w:val="24"/>
                <w:szCs w:val="24"/>
                <w:lang w:val="en-US"/>
              </w:rPr>
              <w:t>[11]</w:t>
            </w:r>
            <w:r w:rsidRPr="0084768B">
              <w:rPr>
                <w:rFonts w:ascii="Arial" w:hAnsi="Arial" w:cs="Arial"/>
                <w:sz w:val="24"/>
                <w:szCs w:val="24"/>
                <w:lang w:val="en-US"/>
              </w:rPr>
              <w:tab/>
            </w:r>
            <w:r w:rsidR="008E47E5" w:rsidRPr="005D7BDF">
              <w:rPr>
                <w:rFonts w:ascii="Arial" w:hAnsi="Arial" w:cs="Arial"/>
                <w:sz w:val="24"/>
                <w:szCs w:val="24"/>
              </w:rPr>
              <w:t xml:space="preserve">It is noted that a </w:t>
            </w:r>
            <w:r w:rsidR="000513D9" w:rsidRPr="005D7BDF">
              <w:rPr>
                <w:rFonts w:ascii="Arial" w:hAnsi="Arial" w:cs="Arial"/>
                <w:sz w:val="24"/>
                <w:szCs w:val="24"/>
              </w:rPr>
              <w:t>copy of the</w:t>
            </w:r>
            <w:r w:rsidR="00F36973" w:rsidRPr="005D7BDF">
              <w:rPr>
                <w:rFonts w:ascii="Arial" w:hAnsi="Arial" w:cs="Arial"/>
                <w:sz w:val="24"/>
                <w:szCs w:val="24"/>
              </w:rPr>
              <w:t xml:space="preserve"> cas</w:t>
            </w:r>
            <w:r w:rsidR="000513D9" w:rsidRPr="005D7BDF">
              <w:rPr>
                <w:rFonts w:ascii="Arial" w:hAnsi="Arial" w:cs="Arial"/>
                <w:sz w:val="24"/>
                <w:szCs w:val="24"/>
              </w:rPr>
              <w:t>h</w:t>
            </w:r>
            <w:r w:rsidR="00F36973" w:rsidRPr="005D7BDF">
              <w:rPr>
                <w:rFonts w:ascii="Arial" w:hAnsi="Arial" w:cs="Arial"/>
                <w:sz w:val="24"/>
                <w:szCs w:val="24"/>
              </w:rPr>
              <w:t xml:space="preserve"> deposit agreement, which is a liquid document</w:t>
            </w:r>
            <w:r w:rsidR="000513D9">
              <w:rPr>
                <w:rStyle w:val="FootnoteReference"/>
                <w:rFonts w:ascii="Arial" w:hAnsi="Arial" w:cs="Arial"/>
                <w:sz w:val="24"/>
                <w:szCs w:val="24"/>
              </w:rPr>
              <w:footnoteReference w:id="1"/>
            </w:r>
            <w:r w:rsidR="00F36973" w:rsidRPr="005D7BDF">
              <w:rPr>
                <w:rFonts w:ascii="Arial" w:hAnsi="Arial" w:cs="Arial"/>
                <w:sz w:val="24"/>
                <w:szCs w:val="24"/>
              </w:rPr>
              <w:t xml:space="preserve"> </w:t>
            </w:r>
            <w:r w:rsidR="000513D9" w:rsidRPr="005D7BDF">
              <w:rPr>
                <w:rFonts w:ascii="Arial" w:hAnsi="Arial" w:cs="Arial"/>
                <w:sz w:val="24"/>
                <w:szCs w:val="24"/>
              </w:rPr>
              <w:t xml:space="preserve">was </w:t>
            </w:r>
            <w:r w:rsidR="008E47E5" w:rsidRPr="005D7BDF">
              <w:rPr>
                <w:rFonts w:ascii="Arial" w:hAnsi="Arial" w:cs="Arial"/>
                <w:sz w:val="24"/>
                <w:szCs w:val="24"/>
              </w:rPr>
              <w:t xml:space="preserve">annexed to the particulars of claim but </w:t>
            </w:r>
            <w:r w:rsidR="000513D9" w:rsidRPr="005D7BDF">
              <w:rPr>
                <w:rFonts w:ascii="Arial" w:hAnsi="Arial" w:cs="Arial"/>
                <w:sz w:val="24"/>
                <w:szCs w:val="24"/>
              </w:rPr>
              <w:t xml:space="preserve">not annexed to the affidavit in </w:t>
            </w:r>
            <w:r w:rsidR="000513D9" w:rsidRPr="005D7BDF">
              <w:rPr>
                <w:rFonts w:ascii="Arial" w:hAnsi="Arial" w:cs="Arial"/>
                <w:sz w:val="24"/>
                <w:szCs w:val="24"/>
              </w:rPr>
              <w:lastRenderedPageBreak/>
              <w:t xml:space="preserve">support of the summary judgment application, as required by </w:t>
            </w:r>
            <w:r w:rsidR="00CB0327" w:rsidRPr="005D7BDF">
              <w:rPr>
                <w:rFonts w:ascii="Arial" w:hAnsi="Arial" w:cs="Arial"/>
                <w:sz w:val="24"/>
                <w:szCs w:val="24"/>
              </w:rPr>
              <w:t xml:space="preserve">rule 60(1)(a) read with rule 60(3). </w:t>
            </w:r>
          </w:p>
          <w:p w14:paraId="53C2CC06" w14:textId="3877C831" w:rsidR="00316677" w:rsidRPr="005D7BDF" w:rsidRDefault="005D7BDF" w:rsidP="005D7BDF">
            <w:pPr>
              <w:autoSpaceDE w:val="0"/>
              <w:autoSpaceDN w:val="0"/>
              <w:adjustRightInd w:val="0"/>
              <w:spacing w:after="240" w:line="360" w:lineRule="auto"/>
              <w:jc w:val="both"/>
              <w:rPr>
                <w:rFonts w:ascii="Arial" w:hAnsi="Arial" w:cs="Arial"/>
                <w:sz w:val="24"/>
                <w:szCs w:val="24"/>
              </w:rPr>
            </w:pPr>
            <w:r w:rsidRPr="00316677">
              <w:rPr>
                <w:rFonts w:ascii="Arial" w:hAnsi="Arial" w:cs="Arial"/>
                <w:sz w:val="24"/>
                <w:szCs w:val="24"/>
                <w:lang w:val="en-US"/>
              </w:rPr>
              <w:t>[12]</w:t>
            </w:r>
            <w:r w:rsidRPr="00316677">
              <w:rPr>
                <w:rFonts w:ascii="Arial" w:hAnsi="Arial" w:cs="Arial"/>
                <w:sz w:val="24"/>
                <w:szCs w:val="24"/>
                <w:lang w:val="en-US"/>
              </w:rPr>
              <w:tab/>
            </w:r>
            <w:r w:rsidR="008E47E5" w:rsidRPr="005D7BDF">
              <w:rPr>
                <w:rFonts w:ascii="Arial" w:hAnsi="Arial" w:cs="Arial"/>
                <w:sz w:val="24"/>
                <w:szCs w:val="24"/>
              </w:rPr>
              <w:t>T</w:t>
            </w:r>
            <w:r w:rsidR="00CB0327" w:rsidRPr="005D7BDF">
              <w:rPr>
                <w:rFonts w:ascii="Arial" w:hAnsi="Arial" w:cs="Arial"/>
                <w:sz w:val="24"/>
                <w:szCs w:val="24"/>
              </w:rPr>
              <w:t xml:space="preserve">he legal principles relating to summary judgment and what the parties </w:t>
            </w:r>
            <w:r w:rsidR="008E47E5" w:rsidRPr="005D7BDF">
              <w:rPr>
                <w:rFonts w:ascii="Arial" w:hAnsi="Arial" w:cs="Arial"/>
                <w:sz w:val="24"/>
                <w:szCs w:val="24"/>
              </w:rPr>
              <w:t>are required to prove on a balance of probabilities were</w:t>
            </w:r>
            <w:r w:rsidR="00CB0327" w:rsidRPr="005D7BDF">
              <w:rPr>
                <w:rFonts w:ascii="Arial" w:hAnsi="Arial" w:cs="Arial"/>
                <w:sz w:val="24"/>
                <w:szCs w:val="24"/>
              </w:rPr>
              <w:t xml:space="preserve"> summari</w:t>
            </w:r>
            <w:r w:rsidR="008E47E5" w:rsidRPr="005D7BDF">
              <w:rPr>
                <w:rFonts w:ascii="Arial" w:hAnsi="Arial" w:cs="Arial"/>
                <w:sz w:val="24"/>
                <w:szCs w:val="24"/>
              </w:rPr>
              <w:t>s</w:t>
            </w:r>
            <w:r w:rsidR="00CB0327" w:rsidRPr="005D7BDF">
              <w:rPr>
                <w:rFonts w:ascii="Arial" w:hAnsi="Arial" w:cs="Arial"/>
                <w:sz w:val="24"/>
                <w:szCs w:val="24"/>
              </w:rPr>
              <w:t xml:space="preserve">ed </w:t>
            </w:r>
            <w:r w:rsidR="008E47E5" w:rsidRPr="005D7BDF">
              <w:rPr>
                <w:rFonts w:ascii="Arial" w:hAnsi="Arial" w:cs="Arial"/>
                <w:sz w:val="24"/>
                <w:szCs w:val="24"/>
              </w:rPr>
              <w:t>by</w:t>
            </w:r>
            <w:r w:rsidR="00CB0327" w:rsidRPr="005D7BDF">
              <w:rPr>
                <w:rFonts w:ascii="Arial" w:hAnsi="Arial" w:cs="Arial"/>
                <w:sz w:val="24"/>
                <w:szCs w:val="24"/>
              </w:rPr>
              <w:t xml:space="preserve"> the </w:t>
            </w:r>
            <w:r w:rsidR="008E47E5" w:rsidRPr="005D7BDF">
              <w:rPr>
                <w:rFonts w:ascii="Arial" w:hAnsi="Arial" w:cs="Arial"/>
                <w:sz w:val="24"/>
                <w:szCs w:val="24"/>
              </w:rPr>
              <w:t>S</w:t>
            </w:r>
            <w:r w:rsidR="00CB0327" w:rsidRPr="005D7BDF">
              <w:rPr>
                <w:rFonts w:ascii="Arial" w:hAnsi="Arial" w:cs="Arial"/>
                <w:sz w:val="24"/>
                <w:szCs w:val="24"/>
              </w:rPr>
              <w:t xml:space="preserve">upreme </w:t>
            </w:r>
            <w:r w:rsidR="008E47E5" w:rsidRPr="005D7BDF">
              <w:rPr>
                <w:rFonts w:ascii="Arial" w:hAnsi="Arial" w:cs="Arial"/>
                <w:sz w:val="24"/>
                <w:szCs w:val="24"/>
              </w:rPr>
              <w:t>C</w:t>
            </w:r>
            <w:r w:rsidR="00CB0327" w:rsidRPr="005D7BDF">
              <w:rPr>
                <w:rFonts w:ascii="Arial" w:hAnsi="Arial" w:cs="Arial"/>
                <w:sz w:val="24"/>
                <w:szCs w:val="24"/>
              </w:rPr>
              <w:t xml:space="preserve">ourt decision of </w:t>
            </w:r>
            <w:r w:rsidR="00CB0327" w:rsidRPr="005D7BDF">
              <w:rPr>
                <w:rFonts w:ascii="Arial" w:hAnsi="Arial" w:cs="Arial"/>
                <w:i/>
                <w:iCs/>
                <w:sz w:val="24"/>
                <w:szCs w:val="24"/>
              </w:rPr>
              <w:t>Di Savino v Nedbank Namibia</w:t>
            </w:r>
            <w:r w:rsidR="00316677" w:rsidRPr="001C5C9C">
              <w:rPr>
                <w:rStyle w:val="FootnoteReference"/>
                <w:rFonts w:ascii="Arial" w:hAnsi="Arial" w:cs="Arial"/>
                <w:i/>
                <w:iCs/>
                <w:sz w:val="24"/>
                <w:szCs w:val="24"/>
              </w:rPr>
              <w:footnoteReference w:id="2"/>
            </w:r>
            <w:r w:rsidR="00CB0327" w:rsidRPr="005D7BDF">
              <w:rPr>
                <w:rFonts w:ascii="Arial" w:hAnsi="Arial" w:cs="Arial"/>
                <w:sz w:val="24"/>
                <w:szCs w:val="24"/>
              </w:rPr>
              <w:t xml:space="preserve"> </w:t>
            </w:r>
            <w:r w:rsidR="00316677" w:rsidRPr="005D7BDF">
              <w:rPr>
                <w:rFonts w:ascii="Arial" w:hAnsi="Arial" w:cs="Arial"/>
                <w:sz w:val="24"/>
                <w:szCs w:val="24"/>
              </w:rPr>
              <w:t>as follows:</w:t>
            </w:r>
          </w:p>
          <w:p w14:paraId="2CA467C5" w14:textId="2054E221" w:rsidR="00316677" w:rsidRPr="005D7BDF" w:rsidRDefault="005D7BDF" w:rsidP="005D7BDF">
            <w:pPr>
              <w:autoSpaceDE w:val="0"/>
              <w:autoSpaceDN w:val="0"/>
              <w:adjustRightInd w:val="0"/>
              <w:spacing w:after="240" w:line="360" w:lineRule="auto"/>
              <w:ind w:left="34" w:hanging="34"/>
              <w:jc w:val="both"/>
              <w:rPr>
                <w:rFonts w:ascii="Arial" w:hAnsi="Arial" w:cs="Arial"/>
                <w:sz w:val="24"/>
                <w:szCs w:val="24"/>
              </w:rPr>
            </w:pPr>
            <w:r>
              <w:rPr>
                <w:rFonts w:ascii="Arial" w:hAnsi="Arial" w:cs="Arial"/>
                <w:sz w:val="24"/>
                <w:szCs w:val="24"/>
                <w:lang w:val="en-US"/>
              </w:rPr>
              <w:t>(a)</w:t>
            </w:r>
            <w:r>
              <w:rPr>
                <w:rFonts w:ascii="Arial" w:hAnsi="Arial" w:cs="Arial"/>
                <w:sz w:val="24"/>
                <w:szCs w:val="24"/>
                <w:lang w:val="en-US"/>
              </w:rPr>
              <w:tab/>
            </w:r>
            <w:r w:rsidR="00316677" w:rsidRPr="005D7BDF">
              <w:rPr>
                <w:rFonts w:ascii="Arial" w:hAnsi="Arial" w:cs="Arial"/>
                <w:sz w:val="24"/>
                <w:szCs w:val="24"/>
              </w:rPr>
              <w:t>The opposing affidavit to a summary judgment application must disclose fully</w:t>
            </w:r>
            <w:r w:rsidR="005944BE" w:rsidRPr="005D7BDF">
              <w:rPr>
                <w:rFonts w:ascii="Arial" w:hAnsi="Arial" w:cs="Arial"/>
                <w:sz w:val="24"/>
                <w:szCs w:val="24"/>
              </w:rPr>
              <w:t>,</w:t>
            </w:r>
            <w:r w:rsidR="00316677" w:rsidRPr="005D7BDF">
              <w:rPr>
                <w:rFonts w:ascii="Arial" w:hAnsi="Arial" w:cs="Arial"/>
                <w:sz w:val="24"/>
                <w:szCs w:val="24"/>
              </w:rPr>
              <w:t xml:space="preserve"> the nature and the grounds of the defence as well as the material facts relied upon.</w:t>
            </w:r>
          </w:p>
          <w:p w14:paraId="59AC415F" w14:textId="778B6084" w:rsidR="00316677" w:rsidRPr="005D7BDF" w:rsidRDefault="005D7BDF" w:rsidP="005D7BDF">
            <w:pPr>
              <w:autoSpaceDE w:val="0"/>
              <w:autoSpaceDN w:val="0"/>
              <w:adjustRightInd w:val="0"/>
              <w:spacing w:after="240" w:line="360" w:lineRule="auto"/>
              <w:ind w:left="34" w:hanging="34"/>
              <w:jc w:val="both"/>
              <w:rPr>
                <w:rFonts w:ascii="Arial" w:hAnsi="Arial" w:cs="Arial"/>
                <w:sz w:val="24"/>
                <w:szCs w:val="24"/>
              </w:rPr>
            </w:pPr>
            <w:r>
              <w:rPr>
                <w:rFonts w:ascii="Arial" w:hAnsi="Arial" w:cs="Arial"/>
                <w:sz w:val="24"/>
                <w:szCs w:val="24"/>
                <w:lang w:val="en-US"/>
              </w:rPr>
              <w:t>(b)</w:t>
            </w:r>
            <w:r>
              <w:rPr>
                <w:rFonts w:ascii="Arial" w:hAnsi="Arial" w:cs="Arial"/>
                <w:sz w:val="24"/>
                <w:szCs w:val="24"/>
                <w:lang w:val="en-US"/>
              </w:rPr>
              <w:tab/>
            </w:r>
            <w:r w:rsidR="00316677" w:rsidRPr="005D7BDF">
              <w:rPr>
                <w:rFonts w:ascii="Arial" w:hAnsi="Arial" w:cs="Arial"/>
                <w:sz w:val="24"/>
                <w:szCs w:val="24"/>
              </w:rPr>
              <w:t xml:space="preserve"> One of the ways in which a defendant may successfully avoid summary judgment is by satisfying the court by affidavit that he or she has a bona fide defence to the action. The defendant would normally do this by deposing to facts which, if true, would establish such a defence.  </w:t>
            </w:r>
          </w:p>
          <w:p w14:paraId="09CC08AE" w14:textId="77F91463" w:rsidR="00316677" w:rsidRPr="005D7BDF" w:rsidRDefault="005D7BDF" w:rsidP="005D7BDF">
            <w:pPr>
              <w:autoSpaceDE w:val="0"/>
              <w:autoSpaceDN w:val="0"/>
              <w:adjustRightInd w:val="0"/>
              <w:spacing w:after="240" w:line="360" w:lineRule="auto"/>
              <w:ind w:left="34" w:hanging="34"/>
              <w:jc w:val="both"/>
              <w:rPr>
                <w:rFonts w:ascii="Arial" w:hAnsi="Arial" w:cs="Arial"/>
                <w:sz w:val="24"/>
                <w:szCs w:val="24"/>
              </w:rPr>
            </w:pPr>
            <w:r>
              <w:rPr>
                <w:rFonts w:ascii="Arial" w:hAnsi="Arial" w:cs="Arial"/>
                <w:sz w:val="24"/>
                <w:szCs w:val="24"/>
                <w:lang w:val="en-US"/>
              </w:rPr>
              <w:t>(c)</w:t>
            </w:r>
            <w:r>
              <w:rPr>
                <w:rFonts w:ascii="Arial" w:hAnsi="Arial" w:cs="Arial"/>
                <w:sz w:val="24"/>
                <w:szCs w:val="24"/>
                <w:lang w:val="en-US"/>
              </w:rPr>
              <w:tab/>
            </w:r>
            <w:r w:rsidR="00316677" w:rsidRPr="005D7BDF">
              <w:rPr>
                <w:rFonts w:ascii="Arial" w:hAnsi="Arial" w:cs="Arial"/>
                <w:sz w:val="24"/>
                <w:szCs w:val="24"/>
              </w:rPr>
              <w:t xml:space="preserve">Where the defence is based upon facts and the material facts alleged by the plaintiff are disputed or where the defendant alleges new facts, the duty of the court is not to attempt to resolve these issues or to determine where the probabilities lie.  </w:t>
            </w:r>
          </w:p>
          <w:p w14:paraId="74EB71F7" w14:textId="76E0B396" w:rsidR="00316677" w:rsidRPr="005D7BDF" w:rsidRDefault="005D7BDF" w:rsidP="005D7BDF">
            <w:pPr>
              <w:autoSpaceDE w:val="0"/>
              <w:autoSpaceDN w:val="0"/>
              <w:adjustRightInd w:val="0"/>
              <w:spacing w:after="240" w:line="360" w:lineRule="auto"/>
              <w:ind w:left="34" w:hanging="34"/>
              <w:jc w:val="both"/>
              <w:rPr>
                <w:rFonts w:ascii="Arial" w:hAnsi="Arial" w:cs="Arial"/>
                <w:sz w:val="24"/>
                <w:szCs w:val="24"/>
              </w:rPr>
            </w:pPr>
            <w:r>
              <w:rPr>
                <w:rFonts w:ascii="Arial" w:hAnsi="Arial" w:cs="Arial"/>
                <w:sz w:val="24"/>
                <w:szCs w:val="24"/>
                <w:lang w:val="en-US"/>
              </w:rPr>
              <w:t>(d)</w:t>
            </w:r>
            <w:r>
              <w:rPr>
                <w:rFonts w:ascii="Arial" w:hAnsi="Arial" w:cs="Arial"/>
                <w:sz w:val="24"/>
                <w:szCs w:val="24"/>
                <w:lang w:val="en-US"/>
              </w:rPr>
              <w:tab/>
            </w:r>
            <w:r w:rsidR="00316677" w:rsidRPr="005D7BDF">
              <w:rPr>
                <w:rFonts w:ascii="Arial" w:hAnsi="Arial" w:cs="Arial"/>
                <w:sz w:val="24"/>
                <w:szCs w:val="24"/>
              </w:rPr>
              <w:t>The enquiry foreshadowed by the rule is this: first, has the defendant 'fully' disclosed the nature and grounds of the defence to be raised in the action and the material facts upon which it is founded; and, second, on the facts disclosed in the affidavit, does the defendant appear to have, as to either</w:t>
            </w:r>
            <w:r w:rsidR="0021125B" w:rsidRPr="005D7BDF">
              <w:rPr>
                <w:rFonts w:ascii="Arial" w:hAnsi="Arial" w:cs="Arial"/>
                <w:sz w:val="24"/>
                <w:szCs w:val="24"/>
              </w:rPr>
              <w:t xml:space="preserve"> </w:t>
            </w:r>
            <w:r w:rsidR="00316677" w:rsidRPr="005D7BDF">
              <w:rPr>
                <w:rFonts w:ascii="Arial" w:hAnsi="Arial" w:cs="Arial"/>
                <w:sz w:val="24"/>
                <w:szCs w:val="24"/>
              </w:rPr>
              <w:t>the whole or part of the claim, a defence which is bona fide and good in law.  If the court is satisfied on these matters, it must refuse summary judgment, either in relation to the whole or part of the claim, as the case may be.</w:t>
            </w:r>
          </w:p>
          <w:p w14:paraId="6EB91F68" w14:textId="0B7C10C3" w:rsidR="007E0DEE" w:rsidRPr="005D7BDF" w:rsidRDefault="005D7BDF" w:rsidP="005D7BDF">
            <w:pPr>
              <w:autoSpaceDE w:val="0"/>
              <w:autoSpaceDN w:val="0"/>
              <w:adjustRightInd w:val="0"/>
              <w:spacing w:after="240" w:line="360" w:lineRule="auto"/>
              <w:ind w:left="34" w:hanging="34"/>
              <w:jc w:val="both"/>
              <w:rPr>
                <w:rFonts w:ascii="Arial" w:hAnsi="Arial" w:cs="Arial"/>
                <w:sz w:val="24"/>
                <w:szCs w:val="24"/>
              </w:rPr>
            </w:pPr>
            <w:r>
              <w:rPr>
                <w:rFonts w:ascii="Arial" w:hAnsi="Arial" w:cs="Arial"/>
                <w:sz w:val="24"/>
                <w:szCs w:val="24"/>
                <w:lang w:val="en-US"/>
              </w:rPr>
              <w:t>(e)</w:t>
            </w:r>
            <w:r>
              <w:rPr>
                <w:rFonts w:ascii="Arial" w:hAnsi="Arial" w:cs="Arial"/>
                <w:sz w:val="24"/>
                <w:szCs w:val="24"/>
                <w:lang w:val="en-US"/>
              </w:rPr>
              <w:tab/>
            </w:r>
            <w:r w:rsidR="00316677" w:rsidRPr="005D7BDF">
              <w:rPr>
                <w:rFonts w:ascii="Arial" w:hAnsi="Arial" w:cs="Arial"/>
                <w:sz w:val="24"/>
                <w:szCs w:val="24"/>
              </w:rPr>
              <w:t>While the defendant is not required to deal 'exhaustively with the facts and the evidence relied upon to substantiate them', the defendant must at least disclose the defence to be raised and the material facts upon which it is based 'with sufficient particularity and completeness to enable the Court to decide whether the affidavit discloses a bona fide defence'.</w:t>
            </w:r>
          </w:p>
          <w:p w14:paraId="07800878" w14:textId="20E1BA06" w:rsidR="00316677" w:rsidRPr="005D7BDF" w:rsidRDefault="005D7BDF" w:rsidP="005D7BDF">
            <w:pPr>
              <w:autoSpaceDE w:val="0"/>
              <w:autoSpaceDN w:val="0"/>
              <w:adjustRightInd w:val="0"/>
              <w:spacing w:after="240" w:line="360" w:lineRule="auto"/>
              <w:ind w:left="34" w:hanging="34"/>
              <w:jc w:val="both"/>
              <w:rPr>
                <w:rFonts w:ascii="Arial" w:hAnsi="Arial" w:cs="Arial"/>
                <w:sz w:val="24"/>
                <w:szCs w:val="24"/>
              </w:rPr>
            </w:pPr>
            <w:r>
              <w:rPr>
                <w:rFonts w:ascii="Arial" w:hAnsi="Arial" w:cs="Arial"/>
                <w:sz w:val="24"/>
                <w:szCs w:val="24"/>
                <w:lang w:val="en-US"/>
              </w:rPr>
              <w:t>(f)</w:t>
            </w:r>
            <w:r>
              <w:rPr>
                <w:rFonts w:ascii="Arial" w:hAnsi="Arial" w:cs="Arial"/>
                <w:sz w:val="24"/>
                <w:szCs w:val="24"/>
                <w:lang w:val="en-US"/>
              </w:rPr>
              <w:tab/>
            </w:r>
            <w:r w:rsidR="00316677" w:rsidRPr="005D7BDF">
              <w:rPr>
                <w:rFonts w:ascii="Arial" w:hAnsi="Arial" w:cs="Arial"/>
                <w:sz w:val="24"/>
                <w:szCs w:val="24"/>
              </w:rPr>
              <w:t xml:space="preserve"> Where the statements of fact are ambiguous or fail to canvass matters essential to the defence raised, then the affidavit does not comply with the rule.  </w:t>
            </w:r>
          </w:p>
          <w:p w14:paraId="55D1A142" w14:textId="2A22955B" w:rsidR="00316677" w:rsidRPr="005D7BDF" w:rsidRDefault="005D7BDF" w:rsidP="005D7BDF">
            <w:pPr>
              <w:autoSpaceDE w:val="0"/>
              <w:autoSpaceDN w:val="0"/>
              <w:adjustRightInd w:val="0"/>
              <w:spacing w:after="240" w:line="360" w:lineRule="auto"/>
              <w:ind w:left="34" w:hanging="34"/>
              <w:jc w:val="both"/>
              <w:rPr>
                <w:rFonts w:ascii="Arial" w:hAnsi="Arial" w:cs="Arial"/>
                <w:sz w:val="24"/>
                <w:szCs w:val="24"/>
              </w:rPr>
            </w:pPr>
            <w:r>
              <w:rPr>
                <w:rFonts w:ascii="Arial" w:hAnsi="Arial" w:cs="Arial"/>
                <w:sz w:val="24"/>
                <w:szCs w:val="24"/>
                <w:lang w:val="en-US"/>
              </w:rPr>
              <w:t>(g)</w:t>
            </w:r>
            <w:r>
              <w:rPr>
                <w:rFonts w:ascii="Arial" w:hAnsi="Arial" w:cs="Arial"/>
                <w:sz w:val="24"/>
                <w:szCs w:val="24"/>
                <w:lang w:val="en-US"/>
              </w:rPr>
              <w:tab/>
            </w:r>
            <w:r w:rsidR="00316677" w:rsidRPr="005D7BDF">
              <w:rPr>
                <w:rFonts w:ascii="Arial" w:hAnsi="Arial" w:cs="Arial"/>
                <w:sz w:val="24"/>
                <w:szCs w:val="24"/>
              </w:rPr>
              <w:t>Where the defence is based on the interpretation of an agreement, the court does not attempt to determine whether or not the interpretation contended for by the defendant is correct. What the court enquires into is whether the defendant has put forward a triable and arguable issue</w:t>
            </w:r>
            <w:r w:rsidR="0021125B" w:rsidRPr="005D7BDF">
              <w:rPr>
                <w:rFonts w:ascii="Arial" w:hAnsi="Arial" w:cs="Arial"/>
                <w:sz w:val="24"/>
                <w:szCs w:val="24"/>
              </w:rPr>
              <w:t xml:space="preserve"> </w:t>
            </w:r>
            <w:r w:rsidR="00316677" w:rsidRPr="005D7BDF">
              <w:rPr>
                <w:rFonts w:ascii="Arial" w:hAnsi="Arial" w:cs="Arial"/>
                <w:sz w:val="24"/>
                <w:szCs w:val="24"/>
              </w:rPr>
              <w:t>in the sense that there is a reasonable possibility that the interpretation contended for by the defendant may succeed at trial, and, if successful, will establish a defence that is good in law.</w:t>
            </w:r>
            <w:r w:rsidR="0021125B" w:rsidRPr="005D7BDF">
              <w:rPr>
                <w:rFonts w:ascii="Arial" w:hAnsi="Arial" w:cs="Arial"/>
                <w:sz w:val="24"/>
                <w:szCs w:val="24"/>
              </w:rPr>
              <w:t xml:space="preserve"> </w:t>
            </w:r>
            <w:r w:rsidR="00316677" w:rsidRPr="005D7BDF">
              <w:rPr>
                <w:rFonts w:ascii="Arial" w:hAnsi="Arial" w:cs="Arial"/>
                <w:sz w:val="24"/>
                <w:szCs w:val="24"/>
              </w:rPr>
              <w:t>Similarly, where the defendant relies upon a point of law, the point raised must be arguable and establish a defence that is good in law.</w:t>
            </w:r>
          </w:p>
          <w:p w14:paraId="1AF8B1A8" w14:textId="4971E687" w:rsidR="007E0DEE" w:rsidRPr="005D7BDF" w:rsidRDefault="005D7BDF" w:rsidP="005D7BDF">
            <w:pPr>
              <w:autoSpaceDE w:val="0"/>
              <w:autoSpaceDN w:val="0"/>
              <w:adjustRightInd w:val="0"/>
              <w:spacing w:after="240" w:line="360" w:lineRule="auto"/>
              <w:ind w:left="34" w:hanging="34"/>
              <w:jc w:val="both"/>
              <w:rPr>
                <w:rFonts w:ascii="Arial" w:hAnsi="Arial" w:cs="Arial"/>
                <w:sz w:val="24"/>
                <w:szCs w:val="24"/>
              </w:rPr>
            </w:pPr>
            <w:r>
              <w:rPr>
                <w:rFonts w:ascii="Arial" w:hAnsi="Arial" w:cs="Arial"/>
                <w:sz w:val="24"/>
                <w:szCs w:val="24"/>
                <w:lang w:val="en-US"/>
              </w:rPr>
              <w:t>(h)</w:t>
            </w:r>
            <w:r>
              <w:rPr>
                <w:rFonts w:ascii="Arial" w:hAnsi="Arial" w:cs="Arial"/>
                <w:sz w:val="24"/>
                <w:szCs w:val="24"/>
                <w:lang w:val="en-US"/>
              </w:rPr>
              <w:tab/>
            </w:r>
            <w:r w:rsidR="005944BE" w:rsidRPr="005D7BDF">
              <w:rPr>
                <w:rFonts w:ascii="Arial" w:hAnsi="Arial" w:cs="Arial"/>
                <w:sz w:val="24"/>
                <w:szCs w:val="24"/>
              </w:rPr>
              <w:t>T</w:t>
            </w:r>
            <w:r w:rsidR="00316677" w:rsidRPr="005D7BDF">
              <w:rPr>
                <w:rFonts w:ascii="Arial" w:hAnsi="Arial" w:cs="Arial"/>
                <w:sz w:val="24"/>
                <w:szCs w:val="24"/>
              </w:rPr>
              <w:t xml:space="preserve">he failure of the affidavit to measure up to these requirements does not in itself result in the granting of summary judgment. The defect may, nevertheless be cured by reference to other documents relating to the proceedings that are properly before the court. </w:t>
            </w:r>
          </w:p>
          <w:p w14:paraId="66244D9F" w14:textId="4E5F0FAE" w:rsidR="00316677" w:rsidRPr="005D7BDF" w:rsidRDefault="005D7BDF" w:rsidP="005D7BDF">
            <w:pPr>
              <w:autoSpaceDE w:val="0"/>
              <w:autoSpaceDN w:val="0"/>
              <w:adjustRightInd w:val="0"/>
              <w:spacing w:after="240" w:line="360" w:lineRule="auto"/>
              <w:ind w:left="34" w:hanging="34"/>
              <w:jc w:val="both"/>
              <w:rPr>
                <w:rFonts w:ascii="Arial" w:hAnsi="Arial" w:cs="Arial"/>
                <w:sz w:val="24"/>
                <w:szCs w:val="24"/>
              </w:rPr>
            </w:pPr>
            <w:r>
              <w:rPr>
                <w:rFonts w:ascii="Arial" w:hAnsi="Arial" w:cs="Arial"/>
                <w:sz w:val="24"/>
                <w:szCs w:val="24"/>
                <w:lang w:val="en-US"/>
              </w:rPr>
              <w:t>(i)</w:t>
            </w:r>
            <w:r>
              <w:rPr>
                <w:rFonts w:ascii="Arial" w:hAnsi="Arial" w:cs="Arial"/>
                <w:sz w:val="24"/>
                <w:szCs w:val="24"/>
                <w:lang w:val="en-US"/>
              </w:rPr>
              <w:tab/>
            </w:r>
            <w:r w:rsidR="00316677" w:rsidRPr="005D7BDF">
              <w:rPr>
                <w:rFonts w:ascii="Arial" w:hAnsi="Arial" w:cs="Arial"/>
                <w:sz w:val="24"/>
                <w:szCs w:val="24"/>
              </w:rPr>
              <w:t xml:space="preserve"> </w:t>
            </w:r>
            <w:r w:rsidR="007E0DEE" w:rsidRPr="005D7BDF">
              <w:rPr>
                <w:rFonts w:ascii="Arial" w:hAnsi="Arial" w:cs="Arial"/>
                <w:sz w:val="24"/>
                <w:szCs w:val="24"/>
              </w:rPr>
              <w:t>T</w:t>
            </w:r>
            <w:r w:rsidR="00316677" w:rsidRPr="005D7BDF">
              <w:rPr>
                <w:rFonts w:ascii="Arial" w:hAnsi="Arial" w:cs="Arial"/>
                <w:sz w:val="24"/>
                <w:szCs w:val="24"/>
              </w:rPr>
              <w:t xml:space="preserve">he principle that is involved in deciding whether or not to grant summary judgment, is to look at the matter 'at the end of the day' on all the documents that are properly before the court. </w:t>
            </w:r>
          </w:p>
          <w:p w14:paraId="2AB9F77D" w14:textId="09A4C9F0" w:rsidR="005944BE" w:rsidRPr="005D7BDF" w:rsidRDefault="005D7BDF" w:rsidP="005D7BDF">
            <w:pPr>
              <w:autoSpaceDE w:val="0"/>
              <w:autoSpaceDN w:val="0"/>
              <w:adjustRightInd w:val="0"/>
              <w:spacing w:after="240" w:line="360" w:lineRule="auto"/>
              <w:ind w:left="34" w:hanging="34"/>
              <w:jc w:val="both"/>
              <w:rPr>
                <w:rFonts w:ascii="Arial" w:hAnsi="Arial" w:cs="Arial"/>
                <w:sz w:val="24"/>
                <w:szCs w:val="24"/>
              </w:rPr>
            </w:pPr>
            <w:r w:rsidRPr="005944BE">
              <w:rPr>
                <w:rFonts w:ascii="Arial" w:hAnsi="Arial" w:cs="Arial"/>
                <w:sz w:val="24"/>
                <w:szCs w:val="24"/>
                <w:lang w:val="en-US"/>
              </w:rPr>
              <w:t>(j)</w:t>
            </w:r>
            <w:r w:rsidRPr="005944BE">
              <w:rPr>
                <w:rFonts w:ascii="Arial" w:hAnsi="Arial" w:cs="Arial"/>
                <w:sz w:val="24"/>
                <w:szCs w:val="24"/>
                <w:lang w:val="en-US"/>
              </w:rPr>
              <w:tab/>
            </w:r>
            <w:r w:rsidR="005944BE" w:rsidRPr="005D7BDF">
              <w:rPr>
                <w:rFonts w:ascii="Arial" w:hAnsi="Arial" w:cs="Arial"/>
                <w:sz w:val="24"/>
                <w:szCs w:val="24"/>
              </w:rPr>
              <w:t xml:space="preserve">Where the opposing affidavit does not satisfy the requirements of the rule the court has a discretion  whether or not to refuse summary judgment. This discretion must be exercised, with due regard to the drastic nature of the procedure of summary judgment. </w:t>
            </w:r>
          </w:p>
          <w:p w14:paraId="6705999A" w14:textId="5794B8AC" w:rsidR="00B30F2D" w:rsidRPr="005D7BDF" w:rsidRDefault="005D7BDF" w:rsidP="005D7BDF">
            <w:pPr>
              <w:autoSpaceDE w:val="0"/>
              <w:autoSpaceDN w:val="0"/>
              <w:adjustRightInd w:val="0"/>
              <w:spacing w:after="240" w:line="360" w:lineRule="auto"/>
              <w:ind w:left="34" w:hanging="34"/>
              <w:jc w:val="both"/>
              <w:rPr>
                <w:rFonts w:ascii="Arial" w:hAnsi="Arial" w:cs="Arial"/>
                <w:sz w:val="24"/>
                <w:szCs w:val="24"/>
              </w:rPr>
            </w:pPr>
            <w:r w:rsidRPr="003352ED">
              <w:rPr>
                <w:rFonts w:ascii="Arial" w:hAnsi="Arial" w:cs="Arial"/>
                <w:sz w:val="24"/>
                <w:szCs w:val="24"/>
                <w:lang w:val="en-US"/>
              </w:rPr>
              <w:t>(k)</w:t>
            </w:r>
            <w:r w:rsidRPr="003352ED">
              <w:rPr>
                <w:rFonts w:ascii="Arial" w:hAnsi="Arial" w:cs="Arial"/>
                <w:sz w:val="24"/>
                <w:szCs w:val="24"/>
                <w:lang w:val="en-US"/>
              </w:rPr>
              <w:tab/>
            </w:r>
            <w:r w:rsidR="00316677" w:rsidRPr="005D7BDF">
              <w:rPr>
                <w:rFonts w:ascii="Arial" w:hAnsi="Arial" w:cs="Arial"/>
                <w:sz w:val="24"/>
                <w:szCs w:val="24"/>
              </w:rPr>
              <w:t xml:space="preserve">This approach to the opposing affidavit in summary judgment </w:t>
            </w:r>
            <w:r w:rsidR="005944BE" w:rsidRPr="005D7BDF">
              <w:rPr>
                <w:rFonts w:ascii="Arial" w:hAnsi="Arial" w:cs="Arial"/>
                <w:sz w:val="24"/>
                <w:szCs w:val="24"/>
              </w:rPr>
              <w:t xml:space="preserve">proceedings </w:t>
            </w:r>
            <w:r w:rsidR="00316677" w:rsidRPr="005D7BDF">
              <w:rPr>
                <w:rFonts w:ascii="Arial" w:hAnsi="Arial" w:cs="Arial"/>
                <w:sz w:val="24"/>
                <w:szCs w:val="24"/>
              </w:rPr>
              <w:t xml:space="preserve">is a  recognition of the </w:t>
            </w:r>
            <w:r w:rsidR="003352ED" w:rsidRPr="005D7BDF">
              <w:rPr>
                <w:rFonts w:ascii="Arial" w:hAnsi="Arial" w:cs="Arial"/>
                <w:sz w:val="24"/>
                <w:szCs w:val="24"/>
              </w:rPr>
              <w:t>stringent</w:t>
            </w:r>
            <w:r w:rsidR="00316677" w:rsidRPr="005D7BDF">
              <w:rPr>
                <w:rFonts w:ascii="Arial" w:hAnsi="Arial" w:cs="Arial"/>
                <w:sz w:val="24"/>
                <w:szCs w:val="24"/>
              </w:rPr>
              <w:t xml:space="preserve"> remedy of summary judgment</w:t>
            </w:r>
            <w:r w:rsidR="005944BE" w:rsidRPr="005D7BDF">
              <w:rPr>
                <w:rFonts w:ascii="Arial" w:hAnsi="Arial" w:cs="Arial"/>
                <w:sz w:val="24"/>
                <w:szCs w:val="24"/>
              </w:rPr>
              <w:t xml:space="preserve">, as well as the right of a plaintiff </w:t>
            </w:r>
            <w:r w:rsidR="00316677" w:rsidRPr="005D7BDF">
              <w:rPr>
                <w:rFonts w:ascii="Arial" w:hAnsi="Arial" w:cs="Arial"/>
                <w:sz w:val="24"/>
                <w:szCs w:val="24"/>
              </w:rPr>
              <w:t>against a defendant who has no bona fide defence and who has entered appearance to defend to delay the recovery of the debt</w:t>
            </w:r>
            <w:r w:rsidR="003352ED" w:rsidRPr="005D7BDF">
              <w:rPr>
                <w:rFonts w:ascii="Arial" w:hAnsi="Arial" w:cs="Arial"/>
                <w:sz w:val="24"/>
                <w:szCs w:val="24"/>
              </w:rPr>
              <w:t>.</w:t>
            </w:r>
            <w:r w:rsidR="003F79E8">
              <w:rPr>
                <w:rStyle w:val="FootnoteReference"/>
                <w:rFonts w:ascii="Arial" w:hAnsi="Arial" w:cs="Arial"/>
                <w:sz w:val="24"/>
                <w:szCs w:val="24"/>
              </w:rPr>
              <w:footnoteReference w:id="3"/>
            </w:r>
          </w:p>
          <w:p w14:paraId="1FED48D0" w14:textId="77777777" w:rsidR="003F79E8" w:rsidRPr="003F79E8" w:rsidRDefault="003F79E8" w:rsidP="003F79E8">
            <w:pPr>
              <w:pStyle w:val="ListParagraph"/>
              <w:autoSpaceDE w:val="0"/>
              <w:autoSpaceDN w:val="0"/>
              <w:adjustRightInd w:val="0"/>
              <w:spacing w:after="240" w:line="360" w:lineRule="auto"/>
              <w:ind w:left="1080"/>
              <w:jc w:val="both"/>
              <w:rPr>
                <w:rFonts w:ascii="Arial" w:hAnsi="Arial" w:cs="Arial"/>
                <w:sz w:val="24"/>
                <w:szCs w:val="24"/>
              </w:rPr>
            </w:pPr>
          </w:p>
          <w:p w14:paraId="236E1DCE" w14:textId="25444F88" w:rsidR="00B30F2D" w:rsidRPr="005D7BDF" w:rsidRDefault="005D7BDF" w:rsidP="005D7BDF">
            <w:pPr>
              <w:spacing w:after="240" w:line="360" w:lineRule="auto"/>
              <w:jc w:val="both"/>
              <w:rPr>
                <w:rFonts w:ascii="Arial" w:hAnsi="Arial" w:cs="Arial"/>
              </w:rPr>
            </w:pPr>
            <w:r w:rsidRPr="0084768B">
              <w:rPr>
                <w:rFonts w:ascii="Arial" w:hAnsi="Arial" w:cs="Arial"/>
                <w:lang w:val="en-US"/>
              </w:rPr>
              <w:t>[13]</w:t>
            </w:r>
            <w:r w:rsidRPr="0084768B">
              <w:rPr>
                <w:rFonts w:ascii="Arial" w:hAnsi="Arial" w:cs="Arial"/>
                <w:lang w:val="en-US"/>
              </w:rPr>
              <w:tab/>
            </w:r>
            <w:r w:rsidR="00AA4AB9" w:rsidRPr="005D7BDF">
              <w:rPr>
                <w:rFonts w:ascii="Arial" w:hAnsi="Arial" w:cs="Arial"/>
                <w:sz w:val="24"/>
                <w:szCs w:val="24"/>
              </w:rPr>
              <w:t>I</w:t>
            </w:r>
            <w:r w:rsidR="00B30F2D" w:rsidRPr="005D7BDF">
              <w:rPr>
                <w:rFonts w:ascii="Arial" w:hAnsi="Arial" w:cs="Arial"/>
                <w:sz w:val="24"/>
                <w:szCs w:val="24"/>
              </w:rPr>
              <w:t xml:space="preserve">n applications for summary judgment, the applicant should </w:t>
            </w:r>
            <w:r w:rsidR="00AA4AB9" w:rsidRPr="005D7BDF">
              <w:rPr>
                <w:rFonts w:ascii="Arial" w:hAnsi="Arial" w:cs="Arial"/>
                <w:sz w:val="24"/>
                <w:szCs w:val="24"/>
              </w:rPr>
              <w:t xml:space="preserve">also </w:t>
            </w:r>
            <w:r w:rsidR="00B30F2D" w:rsidRPr="005D7BDF">
              <w:rPr>
                <w:rFonts w:ascii="Arial" w:hAnsi="Arial" w:cs="Arial"/>
                <w:sz w:val="24"/>
                <w:szCs w:val="24"/>
              </w:rPr>
              <w:t>not be punished simply because his</w:t>
            </w:r>
            <w:r w:rsidR="00AA4AB9" w:rsidRPr="005D7BDF">
              <w:rPr>
                <w:rFonts w:ascii="Arial" w:hAnsi="Arial" w:cs="Arial"/>
                <w:sz w:val="24"/>
                <w:szCs w:val="24"/>
              </w:rPr>
              <w:t xml:space="preserve"> or her</w:t>
            </w:r>
            <w:r w:rsidR="00B30F2D" w:rsidRPr="005D7BDF">
              <w:rPr>
                <w:rFonts w:ascii="Arial" w:hAnsi="Arial" w:cs="Arial"/>
                <w:sz w:val="24"/>
                <w:szCs w:val="24"/>
              </w:rPr>
              <w:t xml:space="preserve"> papers were technically wanting, albe</w:t>
            </w:r>
            <w:r w:rsidR="00685F10" w:rsidRPr="005D7BDF">
              <w:rPr>
                <w:rFonts w:ascii="Arial" w:hAnsi="Arial" w:cs="Arial"/>
                <w:sz w:val="24"/>
                <w:szCs w:val="24"/>
              </w:rPr>
              <w:t>it in</w:t>
            </w:r>
            <w:r w:rsidR="00B30F2D" w:rsidRPr="005D7BDF">
              <w:rPr>
                <w:rFonts w:ascii="Arial" w:hAnsi="Arial" w:cs="Arial"/>
                <w:sz w:val="24"/>
                <w:szCs w:val="24"/>
              </w:rPr>
              <w:t xml:space="preserve"> an insignificant respect.</w:t>
            </w:r>
            <w:r w:rsidR="00B30F2D" w:rsidRPr="0084768B">
              <w:rPr>
                <w:rStyle w:val="FootnoteReference"/>
                <w:rFonts w:ascii="Arial" w:hAnsi="Arial" w:cs="Arial"/>
                <w:sz w:val="24"/>
                <w:szCs w:val="24"/>
              </w:rPr>
              <w:footnoteReference w:id="4"/>
            </w:r>
          </w:p>
          <w:p w14:paraId="02060B50" w14:textId="003E9F8A" w:rsidR="00213C41" w:rsidRPr="005D7BDF" w:rsidRDefault="005D7BDF" w:rsidP="005D7BDF">
            <w:pPr>
              <w:widowControl w:val="0"/>
              <w:spacing w:after="0" w:line="360" w:lineRule="auto"/>
              <w:jc w:val="both"/>
              <w:rPr>
                <w:rFonts w:ascii="Arial" w:hAnsi="Arial" w:cs="Arial"/>
                <w:sz w:val="24"/>
                <w:szCs w:val="24"/>
              </w:rPr>
            </w:pPr>
            <w:r w:rsidRPr="00213C41">
              <w:rPr>
                <w:rFonts w:ascii="Arial" w:hAnsi="Arial" w:cs="Arial"/>
                <w:sz w:val="24"/>
                <w:szCs w:val="24"/>
                <w:lang w:val="en-US"/>
              </w:rPr>
              <w:t>[14]</w:t>
            </w:r>
            <w:r w:rsidRPr="00213C41">
              <w:rPr>
                <w:rFonts w:ascii="Arial" w:hAnsi="Arial" w:cs="Arial"/>
                <w:sz w:val="24"/>
                <w:szCs w:val="24"/>
                <w:lang w:val="en-US"/>
              </w:rPr>
              <w:tab/>
            </w:r>
            <w:r w:rsidR="00B30F2D" w:rsidRPr="005D7BDF">
              <w:rPr>
                <w:rFonts w:ascii="Arial" w:hAnsi="Arial" w:cs="Arial"/>
                <w:sz w:val="24"/>
                <w:szCs w:val="24"/>
              </w:rPr>
              <w:t xml:space="preserve">In </w:t>
            </w:r>
            <w:r w:rsidR="00B30F2D" w:rsidRPr="005D7BDF">
              <w:rPr>
                <w:rFonts w:ascii="Arial" w:hAnsi="Arial" w:cs="Arial"/>
                <w:i/>
                <w:sz w:val="24"/>
                <w:szCs w:val="24"/>
              </w:rPr>
              <w:t>Maharaj v Barclays National Bank Limited</w:t>
            </w:r>
            <w:r w:rsidR="00B30F2D" w:rsidRPr="0084768B">
              <w:rPr>
                <w:rStyle w:val="FootnoteReference"/>
                <w:rFonts w:ascii="Arial" w:hAnsi="Arial" w:cs="Arial"/>
                <w:sz w:val="24"/>
                <w:szCs w:val="24"/>
              </w:rPr>
              <w:footnoteReference w:id="5"/>
            </w:r>
            <w:r w:rsidR="00B30F2D" w:rsidRPr="005D7BDF">
              <w:rPr>
                <w:rFonts w:ascii="Arial" w:hAnsi="Arial" w:cs="Arial"/>
                <w:sz w:val="24"/>
                <w:szCs w:val="24"/>
              </w:rPr>
              <w:t xml:space="preserve"> </w:t>
            </w:r>
            <w:r w:rsidR="003F79E8" w:rsidRPr="005D7BDF">
              <w:rPr>
                <w:rFonts w:ascii="Arial" w:hAnsi="Arial" w:cs="Arial"/>
                <w:sz w:val="24"/>
                <w:szCs w:val="24"/>
              </w:rPr>
              <w:t xml:space="preserve">it was held that </w:t>
            </w:r>
            <w:r w:rsidR="00B30F2D" w:rsidRPr="005D7BDF">
              <w:rPr>
                <w:rFonts w:ascii="Arial" w:hAnsi="Arial" w:cs="Arial"/>
                <w:sz w:val="24"/>
                <w:szCs w:val="24"/>
              </w:rPr>
              <w:t xml:space="preserve">that ‘while undue formalism in procedural matters is always to be eschewed, it is important in summary judgment applications </w:t>
            </w:r>
            <w:r w:rsidR="003F79E8" w:rsidRPr="005D7BDF">
              <w:rPr>
                <w:rFonts w:ascii="Arial" w:hAnsi="Arial" w:cs="Arial"/>
                <w:sz w:val="24"/>
                <w:szCs w:val="24"/>
              </w:rPr>
              <w:t>that</w:t>
            </w:r>
            <w:r w:rsidR="00B30F2D" w:rsidRPr="005D7BDF">
              <w:rPr>
                <w:rFonts w:ascii="Arial" w:hAnsi="Arial" w:cs="Arial"/>
                <w:sz w:val="24"/>
                <w:szCs w:val="24"/>
              </w:rPr>
              <w:t xml:space="preserve"> the plaintiff do what is required of him by the Rule.</w:t>
            </w:r>
            <w:r w:rsidR="003F79E8" w:rsidRPr="005D7BDF">
              <w:rPr>
                <w:rFonts w:ascii="Arial" w:hAnsi="Arial" w:cs="Arial"/>
                <w:sz w:val="24"/>
                <w:szCs w:val="24"/>
              </w:rPr>
              <w:t xml:space="preserve"> Where</w:t>
            </w:r>
            <w:r w:rsidR="00B30F2D" w:rsidRPr="005D7BDF">
              <w:rPr>
                <w:rFonts w:ascii="Arial" w:hAnsi="Arial" w:cs="Arial"/>
                <w:sz w:val="24"/>
                <w:szCs w:val="24"/>
              </w:rPr>
              <w:t xml:space="preserve"> there is a defect in an application, the defect may ‘nevertheless, be cured by reference to other documents re</w:t>
            </w:r>
            <w:r w:rsidR="005540EE" w:rsidRPr="005D7BDF">
              <w:rPr>
                <w:rFonts w:ascii="Arial" w:hAnsi="Arial" w:cs="Arial"/>
                <w:sz w:val="24"/>
                <w:szCs w:val="24"/>
              </w:rPr>
              <w:t xml:space="preserve">lating to the proceedings which </w:t>
            </w:r>
            <w:r w:rsidR="00B30F2D" w:rsidRPr="005D7BDF">
              <w:rPr>
                <w:rFonts w:ascii="Arial" w:hAnsi="Arial" w:cs="Arial"/>
                <w:sz w:val="24"/>
                <w:szCs w:val="24"/>
              </w:rPr>
              <w:t>are properly before the Court</w:t>
            </w:r>
            <w:r w:rsidR="003F79E8" w:rsidRPr="005D7BDF">
              <w:rPr>
                <w:rFonts w:ascii="Arial" w:hAnsi="Arial" w:cs="Arial"/>
                <w:sz w:val="24"/>
                <w:szCs w:val="24"/>
              </w:rPr>
              <w:t xml:space="preserve">. </w:t>
            </w:r>
            <w:r w:rsidR="00B30F2D" w:rsidRPr="005D7BDF">
              <w:rPr>
                <w:rFonts w:ascii="Arial" w:hAnsi="Arial" w:cs="Arial"/>
                <w:sz w:val="24"/>
                <w:szCs w:val="24"/>
              </w:rPr>
              <w:t>The principle is that, in deciding whether or not to grant summary judgment, the Court looks at the matter ‘at the end of the day’ on all the documents that are properly before it ...’</w:t>
            </w:r>
            <w:r w:rsidR="00B30F2D" w:rsidRPr="0084768B">
              <w:rPr>
                <w:vertAlign w:val="superscript"/>
              </w:rPr>
              <w:footnoteReference w:id="6"/>
            </w:r>
            <w:r w:rsidR="00B30F2D" w:rsidRPr="005D7BDF">
              <w:rPr>
                <w:rFonts w:ascii="Arial" w:hAnsi="Arial" w:cs="Arial"/>
                <w:i/>
                <w:sz w:val="24"/>
                <w:szCs w:val="24"/>
              </w:rPr>
              <w:t xml:space="preserve"> </w:t>
            </w:r>
          </w:p>
          <w:p w14:paraId="73EF2D15" w14:textId="77777777" w:rsidR="00213C41" w:rsidRPr="00213C41" w:rsidRDefault="00213C41" w:rsidP="00213C41">
            <w:pPr>
              <w:pStyle w:val="ListParagraph"/>
              <w:widowControl w:val="0"/>
              <w:spacing w:after="0" w:line="360" w:lineRule="auto"/>
              <w:ind w:left="0"/>
              <w:jc w:val="both"/>
              <w:rPr>
                <w:rFonts w:ascii="Arial" w:hAnsi="Arial" w:cs="Arial"/>
                <w:sz w:val="24"/>
                <w:szCs w:val="24"/>
              </w:rPr>
            </w:pPr>
          </w:p>
          <w:p w14:paraId="7E94255A" w14:textId="4B294567" w:rsidR="00FA1913" w:rsidRPr="005D7BDF" w:rsidRDefault="005D7BDF" w:rsidP="005D7BDF">
            <w:pPr>
              <w:widowControl w:val="0"/>
              <w:spacing w:after="0" w:line="360" w:lineRule="auto"/>
              <w:jc w:val="both"/>
              <w:rPr>
                <w:rFonts w:ascii="Arial" w:hAnsi="Arial" w:cs="Arial"/>
                <w:sz w:val="24"/>
                <w:szCs w:val="24"/>
              </w:rPr>
            </w:pPr>
            <w:r w:rsidRPr="00FA1913">
              <w:rPr>
                <w:rFonts w:ascii="Arial" w:hAnsi="Arial" w:cs="Arial"/>
                <w:sz w:val="24"/>
                <w:szCs w:val="24"/>
                <w:lang w:val="en-US"/>
              </w:rPr>
              <w:t>[15]</w:t>
            </w:r>
            <w:r w:rsidRPr="00FA1913">
              <w:rPr>
                <w:rFonts w:ascii="Arial" w:hAnsi="Arial" w:cs="Arial"/>
                <w:sz w:val="24"/>
                <w:szCs w:val="24"/>
                <w:lang w:val="en-US"/>
              </w:rPr>
              <w:tab/>
            </w:r>
            <w:r w:rsidR="00FA1913" w:rsidRPr="005D7BDF">
              <w:rPr>
                <w:rFonts w:ascii="Arial" w:hAnsi="Arial" w:cs="Arial"/>
                <w:iCs/>
                <w:sz w:val="24"/>
                <w:szCs w:val="24"/>
              </w:rPr>
              <w:t xml:space="preserve">From a consideration of </w:t>
            </w:r>
            <w:r w:rsidR="00AA4AB9" w:rsidRPr="005D7BDF">
              <w:rPr>
                <w:rFonts w:ascii="Arial" w:hAnsi="Arial" w:cs="Arial"/>
                <w:iCs/>
                <w:sz w:val="24"/>
                <w:szCs w:val="24"/>
              </w:rPr>
              <w:t xml:space="preserve">the affidavits and </w:t>
            </w:r>
            <w:r w:rsidR="00FA1913" w:rsidRPr="005D7BDF">
              <w:rPr>
                <w:rFonts w:ascii="Arial" w:hAnsi="Arial" w:cs="Arial"/>
                <w:iCs/>
                <w:sz w:val="24"/>
                <w:szCs w:val="24"/>
              </w:rPr>
              <w:t>all documents before court, t</w:t>
            </w:r>
            <w:r w:rsidR="00213C41" w:rsidRPr="005D7BDF">
              <w:rPr>
                <w:rFonts w:ascii="Arial" w:hAnsi="Arial" w:cs="Arial"/>
                <w:iCs/>
                <w:sz w:val="24"/>
                <w:szCs w:val="24"/>
              </w:rPr>
              <w:t xml:space="preserve">he  applicants have </w:t>
            </w:r>
            <w:r w:rsidR="00AA4AB9" w:rsidRPr="005D7BDF">
              <w:rPr>
                <w:rFonts w:ascii="Arial" w:hAnsi="Arial" w:cs="Arial"/>
                <w:iCs/>
                <w:sz w:val="24"/>
                <w:szCs w:val="24"/>
              </w:rPr>
              <w:t xml:space="preserve">presented and verified their claim, together with copies of all documents relied upon in support of the claim, namely </w:t>
            </w:r>
            <w:r w:rsidR="00213C41" w:rsidRPr="005D7BDF">
              <w:rPr>
                <w:rFonts w:ascii="Arial" w:hAnsi="Arial" w:cs="Arial"/>
                <w:iCs/>
                <w:sz w:val="24"/>
                <w:szCs w:val="24"/>
              </w:rPr>
              <w:t xml:space="preserve"> a copy of </w:t>
            </w:r>
            <w:r w:rsidR="003F79E8" w:rsidRPr="005D7BDF">
              <w:rPr>
                <w:rFonts w:ascii="Arial" w:hAnsi="Arial" w:cs="Arial"/>
                <w:iCs/>
                <w:sz w:val="24"/>
                <w:szCs w:val="24"/>
              </w:rPr>
              <w:t>the cash deposit agreement</w:t>
            </w:r>
            <w:r w:rsidR="00AA4AB9" w:rsidRPr="005D7BDF">
              <w:rPr>
                <w:rFonts w:ascii="Arial" w:hAnsi="Arial" w:cs="Arial"/>
                <w:iCs/>
                <w:sz w:val="24"/>
                <w:szCs w:val="24"/>
              </w:rPr>
              <w:t>,</w:t>
            </w:r>
            <w:r w:rsidR="003F79E8" w:rsidRPr="005D7BDF">
              <w:rPr>
                <w:rFonts w:ascii="Arial" w:hAnsi="Arial" w:cs="Arial"/>
                <w:iCs/>
                <w:sz w:val="24"/>
                <w:szCs w:val="24"/>
              </w:rPr>
              <w:t xml:space="preserve"> </w:t>
            </w:r>
            <w:r w:rsidR="00AA4AB9" w:rsidRPr="005D7BDF">
              <w:rPr>
                <w:rFonts w:ascii="Arial" w:hAnsi="Arial" w:cs="Arial"/>
                <w:iCs/>
                <w:sz w:val="24"/>
                <w:szCs w:val="24"/>
              </w:rPr>
              <w:t>t</w:t>
            </w:r>
            <w:r w:rsidR="003F79E8" w:rsidRPr="005D7BDF">
              <w:rPr>
                <w:rFonts w:ascii="Arial" w:hAnsi="Arial" w:cs="Arial"/>
                <w:iCs/>
                <w:sz w:val="24"/>
                <w:szCs w:val="24"/>
              </w:rPr>
              <w:t>he deed of transfer</w:t>
            </w:r>
            <w:r w:rsidR="00AA4AB9" w:rsidRPr="005D7BDF">
              <w:rPr>
                <w:rFonts w:ascii="Arial" w:hAnsi="Arial" w:cs="Arial"/>
                <w:iCs/>
                <w:sz w:val="24"/>
                <w:szCs w:val="24"/>
              </w:rPr>
              <w:t xml:space="preserve">, and </w:t>
            </w:r>
            <w:r w:rsidR="003F79E8" w:rsidRPr="005D7BDF">
              <w:rPr>
                <w:rFonts w:ascii="Arial" w:hAnsi="Arial" w:cs="Arial"/>
                <w:iCs/>
                <w:sz w:val="24"/>
                <w:szCs w:val="24"/>
              </w:rPr>
              <w:t>proof of payment giving rise to the lesser amount claimed</w:t>
            </w:r>
            <w:r w:rsidR="00AA4AB9" w:rsidRPr="005D7BDF">
              <w:rPr>
                <w:rFonts w:ascii="Arial" w:hAnsi="Arial" w:cs="Arial"/>
                <w:iCs/>
                <w:sz w:val="24"/>
                <w:szCs w:val="24"/>
              </w:rPr>
              <w:t xml:space="preserve">. </w:t>
            </w:r>
          </w:p>
          <w:p w14:paraId="1469FC70" w14:textId="77777777" w:rsidR="00FA1913" w:rsidRPr="00FA1913" w:rsidRDefault="00FA1913" w:rsidP="00FA1913">
            <w:pPr>
              <w:pStyle w:val="ListParagraph"/>
              <w:rPr>
                <w:rFonts w:ascii="Arial" w:hAnsi="Arial" w:cs="Arial"/>
                <w:iCs/>
                <w:sz w:val="24"/>
                <w:szCs w:val="24"/>
              </w:rPr>
            </w:pPr>
          </w:p>
          <w:p w14:paraId="66C4000D" w14:textId="1EE09A80" w:rsidR="00316774" w:rsidRPr="005D7BDF" w:rsidRDefault="005D7BDF" w:rsidP="005D7BDF">
            <w:pPr>
              <w:widowControl w:val="0"/>
              <w:spacing w:after="0" w:line="360" w:lineRule="auto"/>
              <w:jc w:val="both"/>
              <w:rPr>
                <w:rFonts w:ascii="Arial" w:hAnsi="Arial" w:cs="Arial"/>
                <w:sz w:val="24"/>
                <w:szCs w:val="24"/>
              </w:rPr>
            </w:pPr>
            <w:r w:rsidRPr="00316774">
              <w:rPr>
                <w:rFonts w:ascii="Arial" w:hAnsi="Arial" w:cs="Arial"/>
                <w:sz w:val="24"/>
                <w:szCs w:val="24"/>
                <w:lang w:val="en-US"/>
              </w:rPr>
              <w:t>[16]</w:t>
            </w:r>
            <w:r w:rsidRPr="00316774">
              <w:rPr>
                <w:rFonts w:ascii="Arial" w:hAnsi="Arial" w:cs="Arial"/>
                <w:sz w:val="24"/>
                <w:szCs w:val="24"/>
                <w:lang w:val="en-US"/>
              </w:rPr>
              <w:tab/>
            </w:r>
            <w:r w:rsidR="00FA1913" w:rsidRPr="005D7BDF">
              <w:rPr>
                <w:rFonts w:ascii="Arial" w:hAnsi="Arial" w:cs="Arial"/>
                <w:iCs/>
                <w:sz w:val="24"/>
                <w:szCs w:val="24"/>
              </w:rPr>
              <w:t xml:space="preserve">The respondents have not made a single allegation denying that the amount claimed is due, or that the contract for sale of immovable property was concluded as alleged, or that the property was transferred to them, or </w:t>
            </w:r>
            <w:r w:rsidR="002D4D47" w:rsidRPr="005D7BDF">
              <w:rPr>
                <w:rFonts w:ascii="Arial" w:hAnsi="Arial" w:cs="Arial"/>
                <w:iCs/>
                <w:sz w:val="24"/>
                <w:szCs w:val="24"/>
              </w:rPr>
              <w:t xml:space="preserve">that </w:t>
            </w:r>
            <w:r w:rsidR="00FA1913" w:rsidRPr="005D7BDF">
              <w:rPr>
                <w:rFonts w:ascii="Arial" w:hAnsi="Arial" w:cs="Arial"/>
                <w:iCs/>
                <w:sz w:val="24"/>
                <w:szCs w:val="24"/>
              </w:rPr>
              <w:t xml:space="preserve">the cash deposit agreement was concluded. </w:t>
            </w:r>
            <w:r w:rsidR="00885224" w:rsidRPr="005D7BDF">
              <w:rPr>
                <w:rFonts w:ascii="Arial" w:hAnsi="Arial" w:cs="Arial"/>
                <w:iCs/>
                <w:sz w:val="24"/>
                <w:szCs w:val="24"/>
              </w:rPr>
              <w:t>Payment by the respondents of the amounts of N$140,000 and N$43,270</w:t>
            </w:r>
            <w:r w:rsidR="002D4D47" w:rsidRPr="005D7BDF">
              <w:rPr>
                <w:rFonts w:ascii="Arial" w:hAnsi="Arial" w:cs="Arial"/>
                <w:iCs/>
                <w:sz w:val="24"/>
                <w:szCs w:val="24"/>
              </w:rPr>
              <w:t xml:space="preserve"> </w:t>
            </w:r>
            <w:r w:rsidR="00885224" w:rsidRPr="005D7BDF">
              <w:rPr>
                <w:rFonts w:ascii="Arial" w:hAnsi="Arial" w:cs="Arial"/>
                <w:iCs/>
                <w:sz w:val="24"/>
                <w:szCs w:val="24"/>
              </w:rPr>
              <w:t xml:space="preserve">in reduction of the amount due in terms of the cash deposit agreement was also not denied by the respondents. Even the stillborn attempt at joinder and the basis of the “miscalculation” is not explained by the respondents in their affidavit. At the hearing, the first respondent submitted in essence, that </w:t>
            </w:r>
            <w:r w:rsidR="00316774" w:rsidRPr="005D7BDF">
              <w:rPr>
                <w:rFonts w:ascii="Arial" w:hAnsi="Arial" w:cs="Arial"/>
                <w:iCs/>
                <w:sz w:val="24"/>
                <w:szCs w:val="24"/>
              </w:rPr>
              <w:t xml:space="preserve">the intention is to attempt to pay off the amount claimed in instalments, which is essentially an admission of the applicants’ claim. </w:t>
            </w:r>
          </w:p>
          <w:p w14:paraId="0842E66A" w14:textId="77777777" w:rsidR="00316774" w:rsidRPr="00316774" w:rsidRDefault="00316774" w:rsidP="00316774">
            <w:pPr>
              <w:pStyle w:val="ListParagraph"/>
              <w:rPr>
                <w:rFonts w:ascii="Arial" w:hAnsi="Arial" w:cs="Arial"/>
                <w:iCs/>
                <w:sz w:val="24"/>
                <w:szCs w:val="24"/>
              </w:rPr>
            </w:pPr>
          </w:p>
          <w:p w14:paraId="665B077F" w14:textId="21C433C5" w:rsidR="00B30F2D" w:rsidRPr="005D7BDF" w:rsidRDefault="005D7BDF" w:rsidP="005D7BDF">
            <w:pPr>
              <w:widowControl w:val="0"/>
              <w:spacing w:after="240" w:line="360" w:lineRule="auto"/>
              <w:jc w:val="both"/>
              <w:rPr>
                <w:rFonts w:ascii="Arial" w:hAnsi="Arial" w:cs="Arial"/>
                <w:sz w:val="24"/>
                <w:szCs w:val="24"/>
              </w:rPr>
            </w:pPr>
            <w:r w:rsidRPr="00A041D8">
              <w:rPr>
                <w:rFonts w:ascii="Arial" w:hAnsi="Arial" w:cs="Arial"/>
                <w:sz w:val="24"/>
                <w:szCs w:val="24"/>
                <w:lang w:val="en-US"/>
              </w:rPr>
              <w:t>[17]</w:t>
            </w:r>
            <w:r w:rsidRPr="00A041D8">
              <w:rPr>
                <w:rFonts w:ascii="Arial" w:hAnsi="Arial" w:cs="Arial"/>
                <w:sz w:val="24"/>
                <w:szCs w:val="24"/>
                <w:lang w:val="en-US"/>
              </w:rPr>
              <w:tab/>
            </w:r>
            <w:r w:rsidR="00FA1913" w:rsidRPr="005D7BDF">
              <w:rPr>
                <w:rFonts w:ascii="Arial" w:hAnsi="Arial" w:cs="Arial"/>
                <w:iCs/>
                <w:sz w:val="24"/>
                <w:szCs w:val="24"/>
              </w:rPr>
              <w:t>From a comprehensive consideration of the answering affidavit, the respondents have not fully, materially, or at all, shown to the court that there is a</w:t>
            </w:r>
            <w:r w:rsidR="00316774" w:rsidRPr="005D7BDF">
              <w:rPr>
                <w:rFonts w:ascii="Arial" w:hAnsi="Arial" w:cs="Arial"/>
                <w:iCs/>
                <w:sz w:val="24"/>
                <w:szCs w:val="24"/>
              </w:rPr>
              <w:t xml:space="preserve">n arguable or a </w:t>
            </w:r>
            <w:r w:rsidR="00FA1913" w:rsidRPr="005D7BDF">
              <w:rPr>
                <w:rFonts w:ascii="Arial" w:hAnsi="Arial" w:cs="Arial"/>
                <w:iCs/>
                <w:sz w:val="24"/>
                <w:szCs w:val="24"/>
              </w:rPr>
              <w:t>triable defence</w:t>
            </w:r>
            <w:r w:rsidR="00316774" w:rsidRPr="005D7BDF">
              <w:rPr>
                <w:rFonts w:ascii="Arial" w:hAnsi="Arial" w:cs="Arial"/>
                <w:iCs/>
                <w:sz w:val="24"/>
                <w:szCs w:val="24"/>
              </w:rPr>
              <w:t xml:space="preserve">. </w:t>
            </w:r>
            <w:r w:rsidR="003033B4" w:rsidRPr="005D7BDF">
              <w:rPr>
                <w:rFonts w:ascii="Arial" w:hAnsi="Arial" w:cs="Arial"/>
                <w:iCs/>
                <w:sz w:val="24"/>
                <w:szCs w:val="24"/>
              </w:rPr>
              <w:t>Instead, only unexplained and meritless technical points were raised</w:t>
            </w:r>
            <w:r w:rsidR="00316774" w:rsidRPr="005D7BDF">
              <w:rPr>
                <w:rFonts w:ascii="Arial" w:hAnsi="Arial" w:cs="Arial"/>
                <w:iCs/>
                <w:sz w:val="24"/>
                <w:szCs w:val="24"/>
              </w:rPr>
              <w:t>.</w:t>
            </w:r>
            <w:r w:rsidR="003033B4">
              <w:rPr>
                <w:rStyle w:val="FootnoteReference"/>
                <w:rFonts w:ascii="Arial" w:hAnsi="Arial" w:cs="Arial"/>
                <w:iCs/>
                <w:sz w:val="24"/>
                <w:szCs w:val="24"/>
              </w:rPr>
              <w:footnoteReference w:id="7"/>
            </w:r>
            <w:r w:rsidR="003033B4" w:rsidRPr="005D7BDF">
              <w:rPr>
                <w:rFonts w:ascii="Arial" w:hAnsi="Arial" w:cs="Arial"/>
                <w:iCs/>
                <w:sz w:val="24"/>
                <w:szCs w:val="24"/>
              </w:rPr>
              <w:t xml:space="preserve"> </w:t>
            </w:r>
            <w:r w:rsidR="00E83D19" w:rsidRPr="005D7BDF">
              <w:rPr>
                <w:rFonts w:ascii="Arial" w:hAnsi="Arial" w:cs="Arial"/>
                <w:iCs/>
                <w:sz w:val="24"/>
                <w:szCs w:val="24"/>
              </w:rPr>
              <w:t xml:space="preserve"> </w:t>
            </w:r>
          </w:p>
          <w:p w14:paraId="06066E36" w14:textId="0791AB3F" w:rsidR="00623C1E" w:rsidRPr="005D7BDF" w:rsidRDefault="005D7BDF" w:rsidP="005D7BDF">
            <w:pPr>
              <w:spacing w:after="240" w:line="360" w:lineRule="auto"/>
              <w:jc w:val="both"/>
              <w:rPr>
                <w:rFonts w:ascii="Arial" w:hAnsi="Arial" w:cs="Arial"/>
                <w:color w:val="242121"/>
                <w:sz w:val="24"/>
                <w:szCs w:val="24"/>
                <w:shd w:val="clear" w:color="auto" w:fill="FFFFFF"/>
                <w:lang w:val="en-GB"/>
              </w:rPr>
            </w:pPr>
            <w:r w:rsidRPr="001C5C9C">
              <w:rPr>
                <w:rFonts w:ascii="Arial" w:hAnsi="Arial" w:cs="Arial"/>
                <w:color w:val="242121"/>
                <w:sz w:val="24"/>
                <w:szCs w:val="24"/>
                <w:lang w:val="en-GB"/>
              </w:rPr>
              <w:t>[18]</w:t>
            </w:r>
            <w:r w:rsidRPr="001C5C9C">
              <w:rPr>
                <w:rFonts w:ascii="Arial" w:hAnsi="Arial" w:cs="Arial"/>
                <w:color w:val="242121"/>
                <w:sz w:val="24"/>
                <w:szCs w:val="24"/>
                <w:lang w:val="en-GB"/>
              </w:rPr>
              <w:tab/>
            </w:r>
            <w:r w:rsidR="002F30B5" w:rsidRPr="005D7BDF">
              <w:rPr>
                <w:rFonts w:ascii="Arial" w:hAnsi="Arial" w:cs="Arial"/>
                <w:color w:val="242121"/>
                <w:sz w:val="24"/>
                <w:szCs w:val="24"/>
                <w:shd w:val="clear" w:color="auto" w:fill="FFFFFF"/>
                <w:lang w:val="en-GB"/>
              </w:rPr>
              <w:t xml:space="preserve">Applicants sought a costs order exceeding the maximum of N$20,000.00 contained in rule 32(11) on the grounds that the respondents unnecessarily delayed and frustrated the finalisation of the matter by taking unnecessary and meritless technical points, which caused unnecessary legal costs. </w:t>
            </w:r>
          </w:p>
          <w:p w14:paraId="53C2743C" w14:textId="53A9B62D" w:rsidR="00623C1E" w:rsidRPr="005D7BDF" w:rsidRDefault="005D7BDF" w:rsidP="005D7BDF">
            <w:pPr>
              <w:spacing w:after="240" w:line="360" w:lineRule="auto"/>
              <w:jc w:val="both"/>
              <w:rPr>
                <w:rFonts w:ascii="Arial" w:hAnsi="Arial" w:cs="Arial"/>
                <w:color w:val="242121"/>
                <w:sz w:val="24"/>
                <w:szCs w:val="24"/>
                <w:shd w:val="clear" w:color="auto" w:fill="FFFFFF"/>
                <w:lang w:val="en-GB"/>
              </w:rPr>
            </w:pPr>
            <w:r w:rsidRPr="001C5C9C">
              <w:rPr>
                <w:rFonts w:ascii="Arial" w:hAnsi="Arial" w:cs="Arial"/>
                <w:color w:val="242121"/>
                <w:sz w:val="24"/>
                <w:szCs w:val="24"/>
                <w:lang w:val="en-GB"/>
              </w:rPr>
              <w:t>[19]</w:t>
            </w:r>
            <w:r w:rsidRPr="001C5C9C">
              <w:rPr>
                <w:rFonts w:ascii="Arial" w:hAnsi="Arial" w:cs="Arial"/>
                <w:color w:val="242121"/>
                <w:sz w:val="24"/>
                <w:szCs w:val="24"/>
                <w:lang w:val="en-GB"/>
              </w:rPr>
              <w:tab/>
            </w:r>
            <w:r w:rsidR="002F30B5" w:rsidRPr="005D7BDF">
              <w:rPr>
                <w:rFonts w:ascii="Arial" w:hAnsi="Arial" w:cs="Arial"/>
                <w:color w:val="242121"/>
                <w:sz w:val="24"/>
                <w:szCs w:val="24"/>
                <w:shd w:val="clear" w:color="auto" w:fill="FFFFFF"/>
                <w:lang w:val="en-GB"/>
              </w:rPr>
              <w:t>It is true that the respondents</w:t>
            </w:r>
            <w:r w:rsidR="00A041D8" w:rsidRPr="005D7BDF">
              <w:rPr>
                <w:rFonts w:ascii="Arial" w:hAnsi="Arial" w:cs="Arial"/>
                <w:color w:val="242121"/>
                <w:sz w:val="24"/>
                <w:szCs w:val="24"/>
                <w:shd w:val="clear" w:color="auto" w:fill="FFFFFF"/>
                <w:lang w:val="en-GB"/>
              </w:rPr>
              <w:t xml:space="preserve"> –</w:t>
            </w:r>
            <w:r w:rsidR="002F30B5" w:rsidRPr="005D7BDF">
              <w:rPr>
                <w:rFonts w:ascii="Arial" w:hAnsi="Arial" w:cs="Arial"/>
                <w:color w:val="242121"/>
                <w:sz w:val="24"/>
                <w:szCs w:val="24"/>
                <w:shd w:val="clear" w:color="auto" w:fill="FFFFFF"/>
                <w:lang w:val="en-GB"/>
              </w:rPr>
              <w:t xml:space="preserve"> who are unrepresented</w:t>
            </w:r>
            <w:r w:rsidR="00A041D8" w:rsidRPr="005D7BDF">
              <w:rPr>
                <w:rFonts w:ascii="Arial" w:hAnsi="Arial" w:cs="Arial"/>
                <w:color w:val="242121"/>
                <w:sz w:val="24"/>
                <w:szCs w:val="24"/>
                <w:shd w:val="clear" w:color="auto" w:fill="FFFFFF"/>
                <w:lang w:val="en-GB"/>
              </w:rPr>
              <w:t xml:space="preserve"> –</w:t>
            </w:r>
            <w:r w:rsidR="002F30B5" w:rsidRPr="005D7BDF">
              <w:rPr>
                <w:rFonts w:ascii="Arial" w:hAnsi="Arial" w:cs="Arial"/>
                <w:color w:val="242121"/>
                <w:sz w:val="24"/>
                <w:szCs w:val="24"/>
                <w:shd w:val="clear" w:color="auto" w:fill="FFFFFF"/>
                <w:lang w:val="en-GB"/>
              </w:rPr>
              <w:t xml:space="preserve"> may have frustrated the proceedings, however their conduct </w:t>
            </w:r>
            <w:r w:rsidR="006309EB" w:rsidRPr="005D7BDF">
              <w:rPr>
                <w:rFonts w:ascii="Arial" w:hAnsi="Arial" w:cs="Arial"/>
                <w:color w:val="242121"/>
                <w:sz w:val="24"/>
                <w:szCs w:val="24"/>
                <w:shd w:val="clear" w:color="auto" w:fill="FFFFFF"/>
                <w:lang w:val="en-GB"/>
              </w:rPr>
              <w:t>does not warrant a punitive costs order.</w:t>
            </w:r>
            <w:r w:rsidR="00623C1E" w:rsidRPr="005D7BDF">
              <w:rPr>
                <w:rFonts w:ascii="Arial" w:hAnsi="Arial" w:cs="Arial"/>
                <w:color w:val="242121"/>
                <w:sz w:val="24"/>
                <w:szCs w:val="24"/>
                <w:shd w:val="clear" w:color="auto" w:fill="FFFFFF"/>
                <w:lang w:val="en-GB"/>
              </w:rPr>
              <w:t xml:space="preserve"> Summary judgment is an extraordinary and stringent remedy, and respondents, who were unrepresented attempted to put forward a defence, even though unsuccessful.</w:t>
            </w:r>
          </w:p>
          <w:p w14:paraId="37BC57CC" w14:textId="187604EC" w:rsidR="0089644F" w:rsidRPr="005D7BDF" w:rsidRDefault="005D7BDF" w:rsidP="005D7BDF">
            <w:pPr>
              <w:spacing w:after="240" w:line="360" w:lineRule="auto"/>
              <w:jc w:val="both"/>
              <w:rPr>
                <w:rFonts w:ascii="Arial" w:hAnsi="Arial" w:cs="Arial"/>
                <w:color w:val="242121"/>
                <w:sz w:val="24"/>
                <w:szCs w:val="24"/>
                <w:shd w:val="clear" w:color="auto" w:fill="FFFFFF"/>
                <w:lang w:val="en-GB"/>
              </w:rPr>
            </w:pPr>
            <w:r w:rsidRPr="001C5C9C">
              <w:rPr>
                <w:rFonts w:ascii="Arial" w:hAnsi="Arial" w:cs="Arial"/>
                <w:color w:val="242121"/>
                <w:sz w:val="24"/>
                <w:szCs w:val="24"/>
                <w:lang w:val="en-GB"/>
              </w:rPr>
              <w:t>[20]</w:t>
            </w:r>
            <w:r w:rsidRPr="001C5C9C">
              <w:rPr>
                <w:rFonts w:ascii="Arial" w:hAnsi="Arial" w:cs="Arial"/>
                <w:color w:val="242121"/>
                <w:sz w:val="24"/>
                <w:szCs w:val="24"/>
                <w:lang w:val="en-GB"/>
              </w:rPr>
              <w:tab/>
            </w:r>
            <w:r w:rsidR="00623C1E" w:rsidRPr="005D7BDF">
              <w:rPr>
                <w:rFonts w:ascii="Arial" w:hAnsi="Arial" w:cs="Arial"/>
                <w:color w:val="242121"/>
                <w:sz w:val="24"/>
                <w:szCs w:val="24"/>
                <w:shd w:val="clear" w:color="auto" w:fill="FFFFFF"/>
                <w:lang w:val="en-GB"/>
              </w:rPr>
              <w:t xml:space="preserve">I am guided in this regard by the decision of  </w:t>
            </w:r>
            <w:r w:rsidR="0089644F" w:rsidRPr="005D7BDF">
              <w:rPr>
                <w:rFonts w:ascii="Arial" w:hAnsi="Arial" w:cs="Arial"/>
                <w:i/>
                <w:iCs/>
                <w:color w:val="242121"/>
                <w:sz w:val="24"/>
                <w:szCs w:val="24"/>
                <w:shd w:val="clear" w:color="auto" w:fill="FFFFFF"/>
                <w:lang w:val="en-GB"/>
              </w:rPr>
              <w:t>South African Poultry Association and Others v Ministry of Trade and Industry and Others</w:t>
            </w:r>
            <w:r w:rsidR="0089644F" w:rsidRPr="00A041D8">
              <w:rPr>
                <w:rStyle w:val="FootnoteReference"/>
                <w:rFonts w:ascii="Arial" w:hAnsi="Arial" w:cs="Arial"/>
                <w:color w:val="242121"/>
                <w:sz w:val="24"/>
                <w:szCs w:val="24"/>
                <w:shd w:val="clear" w:color="auto" w:fill="FFFFFF"/>
                <w:lang w:val="en-GB"/>
              </w:rPr>
              <w:footnoteReference w:id="8"/>
            </w:r>
            <w:r w:rsidR="0089644F" w:rsidRPr="005D7BDF">
              <w:rPr>
                <w:rFonts w:ascii="Arial" w:hAnsi="Arial" w:cs="Arial"/>
                <w:color w:val="242121"/>
                <w:sz w:val="24"/>
                <w:szCs w:val="24"/>
                <w:shd w:val="clear" w:color="auto" w:fill="FFFFFF"/>
                <w:lang w:val="en-GB"/>
              </w:rPr>
              <w:t xml:space="preserve">  </w:t>
            </w:r>
            <w:r w:rsidR="00623C1E" w:rsidRPr="005D7BDF">
              <w:rPr>
                <w:rFonts w:ascii="Arial" w:hAnsi="Arial" w:cs="Arial"/>
                <w:color w:val="242121"/>
                <w:sz w:val="24"/>
                <w:szCs w:val="24"/>
                <w:shd w:val="clear" w:color="auto" w:fill="FFFFFF"/>
                <w:lang w:val="en-GB"/>
              </w:rPr>
              <w:t xml:space="preserve">where </w:t>
            </w:r>
            <w:r w:rsidR="0089644F" w:rsidRPr="005D7BDF">
              <w:rPr>
                <w:rFonts w:ascii="Arial" w:hAnsi="Arial" w:cs="Arial"/>
                <w:color w:val="242121"/>
                <w:sz w:val="24"/>
                <w:szCs w:val="24"/>
                <w:shd w:val="clear" w:color="auto" w:fill="FFFFFF"/>
                <w:lang w:val="en-GB"/>
              </w:rPr>
              <w:t>this court observed the following factors to be determinative  in the exercise of the court's discretion with respect to rule 32(11):</w:t>
            </w:r>
          </w:p>
          <w:p w14:paraId="227EBAC4" w14:textId="01ACD90A" w:rsidR="0089644F" w:rsidRPr="001C5C9C" w:rsidRDefault="0089644F" w:rsidP="001C5C9C">
            <w:pPr>
              <w:pStyle w:val="ListParagraph"/>
              <w:spacing w:after="240" w:line="360" w:lineRule="auto"/>
              <w:ind w:left="34"/>
              <w:contextualSpacing w:val="0"/>
              <w:jc w:val="both"/>
              <w:rPr>
                <w:shd w:val="clear" w:color="auto" w:fill="FFFFFF"/>
              </w:rPr>
            </w:pPr>
            <w:r w:rsidRPr="006309EB">
              <w:rPr>
                <w:rFonts w:ascii="Arial" w:hAnsi="Arial" w:cs="Arial"/>
                <w:color w:val="242121"/>
                <w:sz w:val="24"/>
                <w:szCs w:val="24"/>
                <w:shd w:val="clear" w:color="auto" w:fill="FFFFFF"/>
                <w:lang w:val="en-GB"/>
              </w:rPr>
              <w:t>'</w:t>
            </w:r>
            <w:r w:rsidRPr="001C5C9C">
              <w:rPr>
                <w:rFonts w:ascii="Arial" w:hAnsi="Arial" w:cs="Arial"/>
                <w:color w:val="242121"/>
                <w:shd w:val="clear" w:color="auto" w:fill="FFFFFF"/>
                <w:lang w:val="en-GB"/>
              </w:rPr>
              <w:t>[67] .</w:t>
            </w:r>
            <w:r w:rsidRPr="006309EB">
              <w:rPr>
                <w:rFonts w:ascii="Arial" w:hAnsi="Arial" w:cs="Arial"/>
                <w:color w:val="242121"/>
                <w:sz w:val="24"/>
                <w:szCs w:val="24"/>
                <w:shd w:val="clear" w:color="auto" w:fill="FFFFFF"/>
                <w:lang w:val="en-GB"/>
              </w:rPr>
              <w:t xml:space="preserve"> . . </w:t>
            </w:r>
            <w:r w:rsidRPr="001C5C9C">
              <w:rPr>
                <w:rFonts w:ascii="Arial" w:hAnsi="Arial" w:cs="Arial"/>
                <w:color w:val="242121"/>
                <w:shd w:val="clear" w:color="auto" w:fill="FFFFFF"/>
                <w:lang w:val="en-GB"/>
              </w:rPr>
              <w:t>The rationale of the rule is clear: to discourage a multiplicity of interlocutory motions which often increase costs and hamper the court from speedily getting to the real disputes in the case. A clear case must be made out if the court is to allow a scale of costs above the upper limit allowed in the rules. . . . The onus rests on the party who seeks a higher scale. To add to the factors . . . the parties must be litigating with equality of arms and it will be a weighty consideration whether both crave a scale above the upper limit allowed by the rules. Another critical consideration will be the reasonableness or otherwise of a party during the discussions contemplated in rule 32(9). Another important consideration is the dispositive nature of the interlocutory motion and the number of interlocutory applications moved in the life of the case.</w:t>
            </w:r>
            <w:r w:rsidR="004D071F">
              <w:rPr>
                <w:rFonts w:ascii="Arial" w:hAnsi="Arial" w:cs="Arial"/>
                <w:color w:val="242121"/>
                <w:shd w:val="clear" w:color="auto" w:fill="FFFFFF"/>
                <w:lang w:val="en-GB"/>
              </w:rPr>
              <w:t>’</w:t>
            </w:r>
          </w:p>
          <w:p w14:paraId="1EA6B1D7" w14:textId="0634592A" w:rsidR="0089644F" w:rsidRPr="005D7BDF" w:rsidRDefault="005D7BDF" w:rsidP="005D7BDF">
            <w:pPr>
              <w:spacing w:after="240" w:line="360" w:lineRule="auto"/>
              <w:jc w:val="both"/>
              <w:rPr>
                <w:rFonts w:ascii="Arial" w:hAnsi="Arial" w:cs="Arial"/>
                <w:color w:val="242121"/>
                <w:sz w:val="24"/>
                <w:szCs w:val="24"/>
                <w:shd w:val="clear" w:color="auto" w:fill="FFFFFF"/>
                <w:lang w:val="en-GB"/>
              </w:rPr>
            </w:pPr>
            <w:r>
              <w:rPr>
                <w:rFonts w:ascii="Arial" w:hAnsi="Arial" w:cs="Arial"/>
                <w:color w:val="242121"/>
                <w:sz w:val="24"/>
                <w:szCs w:val="24"/>
                <w:lang w:val="en-GB"/>
              </w:rPr>
              <w:t>[21]</w:t>
            </w:r>
            <w:r>
              <w:rPr>
                <w:rFonts w:ascii="Arial" w:hAnsi="Arial" w:cs="Arial"/>
                <w:color w:val="242121"/>
                <w:sz w:val="24"/>
                <w:szCs w:val="24"/>
                <w:lang w:val="en-GB"/>
              </w:rPr>
              <w:tab/>
            </w:r>
            <w:r w:rsidR="00623C1E" w:rsidRPr="005D7BDF">
              <w:rPr>
                <w:rFonts w:ascii="Arial" w:hAnsi="Arial" w:cs="Arial"/>
                <w:color w:val="242121"/>
                <w:sz w:val="24"/>
                <w:szCs w:val="24"/>
                <w:shd w:val="clear" w:color="auto" w:fill="FFFFFF"/>
                <w:lang w:val="en-GB"/>
              </w:rPr>
              <w:t xml:space="preserve">A case has not, in my opinion, been made out for departing from the scale of costs provided for in rule 32(11). </w:t>
            </w:r>
          </w:p>
          <w:p w14:paraId="4D3B8FAB" w14:textId="0927B339" w:rsidR="00316774" w:rsidRPr="005D7BDF" w:rsidRDefault="005D7BDF" w:rsidP="005D7BDF">
            <w:pPr>
              <w:spacing w:line="360" w:lineRule="auto"/>
              <w:jc w:val="both"/>
              <w:rPr>
                <w:rFonts w:ascii="Arial" w:hAnsi="Arial" w:cs="Arial"/>
                <w:color w:val="242121"/>
                <w:sz w:val="24"/>
                <w:szCs w:val="24"/>
                <w:shd w:val="clear" w:color="auto" w:fill="FFFFFF"/>
                <w:lang w:val="en-GB"/>
              </w:rPr>
            </w:pPr>
            <w:r w:rsidRPr="00623C1E">
              <w:rPr>
                <w:rFonts w:ascii="Arial" w:hAnsi="Arial" w:cs="Arial"/>
                <w:color w:val="242121"/>
                <w:sz w:val="24"/>
                <w:szCs w:val="24"/>
                <w:lang w:val="en-GB"/>
              </w:rPr>
              <w:t>[22]</w:t>
            </w:r>
            <w:r w:rsidRPr="00623C1E">
              <w:rPr>
                <w:rFonts w:ascii="Arial" w:hAnsi="Arial" w:cs="Arial"/>
                <w:color w:val="242121"/>
                <w:sz w:val="24"/>
                <w:szCs w:val="24"/>
                <w:lang w:val="en-GB"/>
              </w:rPr>
              <w:tab/>
            </w:r>
            <w:r w:rsidR="00B30F2D" w:rsidRPr="005D7BDF">
              <w:rPr>
                <w:rFonts w:ascii="Arial" w:hAnsi="Arial" w:cs="Arial"/>
                <w:sz w:val="24"/>
                <w:szCs w:val="24"/>
              </w:rPr>
              <w:t xml:space="preserve">For the </w:t>
            </w:r>
            <w:r w:rsidR="00316774" w:rsidRPr="005D7BDF">
              <w:rPr>
                <w:rFonts w:ascii="Arial" w:hAnsi="Arial" w:cs="Arial"/>
                <w:sz w:val="24"/>
                <w:szCs w:val="24"/>
              </w:rPr>
              <w:t xml:space="preserve">aforegoing reasons, the following order is made: </w:t>
            </w:r>
          </w:p>
          <w:p w14:paraId="3F8CA0F9" w14:textId="77777777" w:rsidR="00A041D8" w:rsidRDefault="00A041D8" w:rsidP="00A041D8">
            <w:pPr>
              <w:spacing w:after="0" w:line="360" w:lineRule="auto"/>
              <w:jc w:val="both"/>
              <w:rPr>
                <w:rFonts w:ascii="Arial" w:hAnsi="Arial" w:cs="Arial"/>
                <w:bCs/>
                <w:sz w:val="24"/>
                <w:szCs w:val="24"/>
                <w:lang w:val="en-GB"/>
              </w:rPr>
            </w:pPr>
            <w:r>
              <w:rPr>
                <w:rFonts w:ascii="Arial" w:hAnsi="Arial" w:cs="Arial"/>
                <w:bCs/>
                <w:sz w:val="24"/>
                <w:szCs w:val="24"/>
                <w:lang w:val="en-GB"/>
              </w:rPr>
              <w:t>Summary judgment is granted in favour of the applicants/plaintiffs against the respondents/defendants, jointly and severally, the one paying the other to be absolved in the following terms.</w:t>
            </w:r>
          </w:p>
          <w:p w14:paraId="110839AA" w14:textId="77777777" w:rsidR="00A041D8" w:rsidRPr="00B4465E" w:rsidRDefault="00A041D8" w:rsidP="00A041D8">
            <w:pPr>
              <w:spacing w:after="0" w:line="360" w:lineRule="auto"/>
              <w:jc w:val="both"/>
              <w:rPr>
                <w:rFonts w:ascii="Arial" w:hAnsi="Arial" w:cs="Arial"/>
                <w:bCs/>
                <w:sz w:val="24"/>
                <w:szCs w:val="24"/>
                <w:lang w:val="en-GB"/>
              </w:rPr>
            </w:pPr>
          </w:p>
          <w:p w14:paraId="0398F3FF" w14:textId="668BB780" w:rsidR="00A041D8" w:rsidRPr="005D7BDF" w:rsidRDefault="005D7BDF" w:rsidP="005D7BDF">
            <w:pPr>
              <w:spacing w:line="360" w:lineRule="auto"/>
              <w:ind w:left="318" w:hanging="284"/>
              <w:jc w:val="both"/>
              <w:rPr>
                <w:rFonts w:ascii="Arial" w:hAnsi="Arial" w:cs="Arial"/>
                <w:sz w:val="24"/>
                <w:szCs w:val="24"/>
              </w:rPr>
            </w:pPr>
            <w:r>
              <w:rPr>
                <w:rFonts w:ascii="Arial" w:hAnsi="Arial" w:cs="Arial"/>
                <w:sz w:val="24"/>
                <w:szCs w:val="24"/>
                <w:lang w:val="en-US"/>
              </w:rPr>
              <w:t>1.</w:t>
            </w:r>
            <w:r>
              <w:rPr>
                <w:rFonts w:ascii="Arial" w:hAnsi="Arial" w:cs="Arial"/>
                <w:sz w:val="24"/>
                <w:szCs w:val="24"/>
                <w:lang w:val="en-US"/>
              </w:rPr>
              <w:tab/>
            </w:r>
            <w:r w:rsidR="00A041D8" w:rsidRPr="005D7BDF">
              <w:rPr>
                <w:rFonts w:ascii="Arial" w:hAnsi="Arial" w:cs="Arial"/>
                <w:sz w:val="24"/>
                <w:szCs w:val="24"/>
              </w:rPr>
              <w:t>Payment of the amount of N$96,730.00</w:t>
            </w:r>
          </w:p>
          <w:p w14:paraId="1DD52AD2" w14:textId="33B0E853" w:rsidR="00A041D8" w:rsidRPr="005D7BDF" w:rsidRDefault="005D7BDF" w:rsidP="005D7BDF">
            <w:pPr>
              <w:spacing w:line="360" w:lineRule="auto"/>
              <w:ind w:left="318" w:hanging="284"/>
              <w:jc w:val="both"/>
              <w:rPr>
                <w:rFonts w:ascii="Arial" w:hAnsi="Arial" w:cs="Arial"/>
                <w:sz w:val="24"/>
                <w:szCs w:val="24"/>
              </w:rPr>
            </w:pPr>
            <w:r>
              <w:rPr>
                <w:rFonts w:ascii="Arial" w:hAnsi="Arial" w:cs="Arial"/>
                <w:sz w:val="24"/>
                <w:szCs w:val="24"/>
                <w:lang w:val="en-US"/>
              </w:rPr>
              <w:t>2.</w:t>
            </w:r>
            <w:r>
              <w:rPr>
                <w:rFonts w:ascii="Arial" w:hAnsi="Arial" w:cs="Arial"/>
                <w:sz w:val="24"/>
                <w:szCs w:val="24"/>
                <w:lang w:val="en-US"/>
              </w:rPr>
              <w:tab/>
            </w:r>
            <w:r w:rsidR="00A041D8" w:rsidRPr="005D7BDF">
              <w:rPr>
                <w:rFonts w:ascii="Arial" w:hAnsi="Arial" w:cs="Arial"/>
                <w:sz w:val="24"/>
                <w:szCs w:val="24"/>
              </w:rPr>
              <w:t xml:space="preserve">Interest on the aforementioned amount calculated at the rate of 20% per annum </w:t>
            </w:r>
            <w:r w:rsidR="00A041D8" w:rsidRPr="005D7BDF">
              <w:rPr>
                <w:rFonts w:ascii="Arial" w:hAnsi="Arial" w:cs="Arial"/>
                <w:i/>
                <w:iCs/>
                <w:sz w:val="24"/>
                <w:szCs w:val="24"/>
              </w:rPr>
              <w:t>a tempore morae</w:t>
            </w:r>
            <w:r w:rsidR="00A041D8" w:rsidRPr="005D7BDF">
              <w:rPr>
                <w:rFonts w:ascii="Arial" w:hAnsi="Arial" w:cs="Arial"/>
                <w:sz w:val="24"/>
                <w:szCs w:val="24"/>
              </w:rPr>
              <w:t xml:space="preserve"> from date hereof to date of full and final payment.</w:t>
            </w:r>
          </w:p>
          <w:p w14:paraId="15D88213" w14:textId="14E4EE21" w:rsidR="00A041D8" w:rsidRPr="005D7BDF" w:rsidRDefault="005D7BDF" w:rsidP="005D7BDF">
            <w:pPr>
              <w:spacing w:line="360" w:lineRule="auto"/>
              <w:ind w:left="318" w:hanging="284"/>
              <w:jc w:val="both"/>
              <w:rPr>
                <w:rFonts w:ascii="Arial" w:hAnsi="Arial" w:cs="Arial"/>
                <w:sz w:val="24"/>
                <w:szCs w:val="24"/>
              </w:rPr>
            </w:pPr>
            <w:r>
              <w:rPr>
                <w:rFonts w:ascii="Arial" w:hAnsi="Arial" w:cs="Arial"/>
                <w:sz w:val="24"/>
                <w:szCs w:val="24"/>
                <w:lang w:val="en-US"/>
              </w:rPr>
              <w:t>3.</w:t>
            </w:r>
            <w:r>
              <w:rPr>
                <w:rFonts w:ascii="Arial" w:hAnsi="Arial" w:cs="Arial"/>
                <w:sz w:val="24"/>
                <w:szCs w:val="24"/>
                <w:lang w:val="en-US"/>
              </w:rPr>
              <w:tab/>
            </w:r>
            <w:r w:rsidR="00A041D8" w:rsidRPr="005D7BDF">
              <w:rPr>
                <w:rFonts w:ascii="Arial" w:hAnsi="Arial" w:cs="Arial"/>
                <w:sz w:val="24"/>
                <w:szCs w:val="24"/>
              </w:rPr>
              <w:t>Costs of suit.</w:t>
            </w:r>
          </w:p>
          <w:p w14:paraId="532F3EBC" w14:textId="5CC12AAB" w:rsidR="00A041D8" w:rsidRPr="005D7BDF" w:rsidRDefault="005D7BDF" w:rsidP="005D7BDF">
            <w:pPr>
              <w:spacing w:line="360" w:lineRule="auto"/>
              <w:ind w:left="318" w:hanging="284"/>
              <w:jc w:val="both"/>
              <w:rPr>
                <w:rFonts w:ascii="Arial" w:hAnsi="Arial" w:cs="Arial"/>
                <w:sz w:val="24"/>
                <w:szCs w:val="24"/>
              </w:rPr>
            </w:pPr>
            <w:r w:rsidRPr="001C5C9C">
              <w:rPr>
                <w:rFonts w:ascii="Arial" w:hAnsi="Arial" w:cs="Arial"/>
                <w:sz w:val="24"/>
                <w:szCs w:val="24"/>
                <w:lang w:val="en-US"/>
              </w:rPr>
              <w:t>4.</w:t>
            </w:r>
            <w:r w:rsidRPr="001C5C9C">
              <w:rPr>
                <w:rFonts w:ascii="Arial" w:hAnsi="Arial" w:cs="Arial"/>
                <w:sz w:val="24"/>
                <w:szCs w:val="24"/>
                <w:lang w:val="en-US"/>
              </w:rPr>
              <w:tab/>
            </w:r>
            <w:r w:rsidR="00A041D8" w:rsidRPr="005D7BDF">
              <w:rPr>
                <w:rFonts w:ascii="Arial" w:hAnsi="Arial" w:cs="Arial"/>
                <w:sz w:val="24"/>
                <w:szCs w:val="24"/>
              </w:rPr>
              <w:t>The matter is removed from the roll and considered finalised.</w:t>
            </w:r>
          </w:p>
          <w:p w14:paraId="4CE9A8B2" w14:textId="049D5E55" w:rsidR="00214E9A" w:rsidRPr="0084768B" w:rsidRDefault="00214E9A" w:rsidP="00283342">
            <w:pPr>
              <w:pStyle w:val="ListParagraph"/>
              <w:spacing w:line="360" w:lineRule="auto"/>
              <w:contextualSpacing w:val="0"/>
              <w:jc w:val="both"/>
              <w:rPr>
                <w:rFonts w:ascii="Arial" w:hAnsi="Arial" w:cs="Arial"/>
                <w:color w:val="242121"/>
                <w:sz w:val="24"/>
                <w:szCs w:val="24"/>
                <w:shd w:val="clear" w:color="auto" w:fill="FFFFFF"/>
                <w:lang w:val="en-GB"/>
              </w:rPr>
            </w:pPr>
          </w:p>
        </w:tc>
      </w:tr>
      <w:tr w:rsidR="00214E9A" w:rsidRPr="0084768B" w14:paraId="2BFAAEFF" w14:textId="77777777" w:rsidTr="00FD6545">
        <w:tc>
          <w:tcPr>
            <w:tcW w:w="4500" w:type="dxa"/>
          </w:tcPr>
          <w:p w14:paraId="14CB264B" w14:textId="77777777" w:rsidR="00214E9A" w:rsidRPr="0084768B" w:rsidRDefault="00214E9A" w:rsidP="00E87889">
            <w:pPr>
              <w:spacing w:after="0" w:line="360" w:lineRule="auto"/>
              <w:jc w:val="center"/>
              <w:rPr>
                <w:rFonts w:ascii="Arial" w:hAnsi="Arial" w:cs="Arial"/>
                <w:b/>
                <w:sz w:val="24"/>
                <w:szCs w:val="24"/>
                <w:lang w:val="en-GB"/>
              </w:rPr>
            </w:pPr>
            <w:r w:rsidRPr="0084768B">
              <w:rPr>
                <w:rFonts w:ascii="Arial" w:hAnsi="Arial" w:cs="Arial"/>
                <w:b/>
                <w:sz w:val="24"/>
                <w:szCs w:val="24"/>
                <w:lang w:val="en-GB"/>
              </w:rPr>
              <w:lastRenderedPageBreak/>
              <w:t>Judge’s signature</w:t>
            </w:r>
          </w:p>
        </w:tc>
        <w:tc>
          <w:tcPr>
            <w:tcW w:w="4714" w:type="dxa"/>
            <w:gridSpan w:val="2"/>
          </w:tcPr>
          <w:p w14:paraId="5088D25A" w14:textId="77777777" w:rsidR="00214E9A" w:rsidRPr="0084768B" w:rsidRDefault="00214E9A" w:rsidP="00E87889">
            <w:pPr>
              <w:spacing w:after="0" w:line="360" w:lineRule="auto"/>
              <w:jc w:val="center"/>
              <w:rPr>
                <w:rFonts w:ascii="Arial" w:hAnsi="Arial" w:cs="Arial"/>
                <w:b/>
                <w:sz w:val="24"/>
                <w:szCs w:val="24"/>
                <w:lang w:val="en-GB"/>
              </w:rPr>
            </w:pPr>
            <w:r w:rsidRPr="0084768B">
              <w:rPr>
                <w:rFonts w:ascii="Arial" w:hAnsi="Arial" w:cs="Arial"/>
                <w:b/>
                <w:sz w:val="24"/>
                <w:szCs w:val="24"/>
                <w:lang w:val="en-GB"/>
              </w:rPr>
              <w:t>Note to the parties:</w:t>
            </w:r>
          </w:p>
        </w:tc>
      </w:tr>
      <w:tr w:rsidR="00214E9A" w:rsidRPr="0084768B" w14:paraId="38F0DD69" w14:textId="77777777" w:rsidTr="00FD6545">
        <w:trPr>
          <w:trHeight w:val="1114"/>
        </w:trPr>
        <w:tc>
          <w:tcPr>
            <w:tcW w:w="4500" w:type="dxa"/>
          </w:tcPr>
          <w:p w14:paraId="4B18407B" w14:textId="77777777" w:rsidR="00214E9A" w:rsidRPr="0084768B" w:rsidRDefault="00214E9A" w:rsidP="00E87889">
            <w:pPr>
              <w:spacing w:after="0" w:line="360" w:lineRule="auto"/>
              <w:jc w:val="both"/>
              <w:rPr>
                <w:rFonts w:ascii="Arial" w:hAnsi="Arial" w:cs="Arial"/>
                <w:sz w:val="24"/>
                <w:szCs w:val="24"/>
                <w:lang w:val="en-GB"/>
              </w:rPr>
            </w:pPr>
          </w:p>
        </w:tc>
        <w:tc>
          <w:tcPr>
            <w:tcW w:w="4714" w:type="dxa"/>
            <w:gridSpan w:val="2"/>
          </w:tcPr>
          <w:p w14:paraId="7C6E9256" w14:textId="77777777" w:rsidR="00214E9A" w:rsidRPr="0084768B" w:rsidRDefault="00214E9A" w:rsidP="00E87889">
            <w:pPr>
              <w:spacing w:after="0" w:line="360" w:lineRule="auto"/>
              <w:jc w:val="both"/>
              <w:rPr>
                <w:rFonts w:ascii="Arial" w:hAnsi="Arial" w:cs="Arial"/>
                <w:sz w:val="24"/>
                <w:szCs w:val="24"/>
                <w:lang w:val="en-GB"/>
              </w:rPr>
            </w:pPr>
            <w:r w:rsidRPr="0084768B">
              <w:rPr>
                <w:rFonts w:ascii="Arial" w:hAnsi="Arial" w:cs="Arial"/>
                <w:sz w:val="24"/>
                <w:szCs w:val="24"/>
                <w:lang w:val="en-GB"/>
              </w:rPr>
              <w:t>Not applicable.</w:t>
            </w:r>
          </w:p>
        </w:tc>
      </w:tr>
      <w:tr w:rsidR="00214E9A" w:rsidRPr="0084768B" w14:paraId="1D8080A7" w14:textId="77777777" w:rsidTr="00FD6545">
        <w:tc>
          <w:tcPr>
            <w:tcW w:w="9214" w:type="dxa"/>
            <w:gridSpan w:val="3"/>
          </w:tcPr>
          <w:p w14:paraId="0B6ADBD7" w14:textId="77777777" w:rsidR="00214E9A" w:rsidRPr="0084768B" w:rsidRDefault="00214E9A" w:rsidP="00E87889">
            <w:pPr>
              <w:spacing w:after="0" w:line="360" w:lineRule="auto"/>
              <w:jc w:val="center"/>
              <w:rPr>
                <w:rFonts w:ascii="Arial" w:hAnsi="Arial" w:cs="Arial"/>
                <w:b/>
                <w:sz w:val="24"/>
                <w:szCs w:val="24"/>
                <w:lang w:val="en-GB"/>
              </w:rPr>
            </w:pPr>
            <w:r w:rsidRPr="0084768B">
              <w:rPr>
                <w:rFonts w:ascii="Arial" w:hAnsi="Arial" w:cs="Arial"/>
                <w:b/>
                <w:sz w:val="24"/>
                <w:szCs w:val="24"/>
                <w:lang w:val="en-GB"/>
              </w:rPr>
              <w:t>Counsel:</w:t>
            </w:r>
          </w:p>
        </w:tc>
      </w:tr>
      <w:tr w:rsidR="00214E9A" w:rsidRPr="0084768B" w14:paraId="596868EF" w14:textId="77777777" w:rsidTr="00FD6545">
        <w:tc>
          <w:tcPr>
            <w:tcW w:w="4500" w:type="dxa"/>
          </w:tcPr>
          <w:p w14:paraId="65D44D53" w14:textId="0C53EFA7" w:rsidR="00214E9A" w:rsidRPr="0084768B" w:rsidRDefault="00B30F2D" w:rsidP="00B30F2D">
            <w:pPr>
              <w:spacing w:after="0" w:line="360" w:lineRule="auto"/>
              <w:jc w:val="center"/>
              <w:rPr>
                <w:rFonts w:ascii="Arial" w:hAnsi="Arial" w:cs="Arial"/>
                <w:b/>
                <w:sz w:val="24"/>
                <w:szCs w:val="24"/>
                <w:lang w:val="en-GB"/>
              </w:rPr>
            </w:pPr>
            <w:r w:rsidRPr="0084768B">
              <w:rPr>
                <w:rFonts w:ascii="Arial" w:hAnsi="Arial" w:cs="Arial"/>
                <w:b/>
                <w:sz w:val="24"/>
                <w:szCs w:val="24"/>
                <w:lang w:val="en-GB"/>
              </w:rPr>
              <w:t>First and second applicants</w:t>
            </w:r>
          </w:p>
        </w:tc>
        <w:tc>
          <w:tcPr>
            <w:tcW w:w="4714" w:type="dxa"/>
            <w:gridSpan w:val="2"/>
          </w:tcPr>
          <w:p w14:paraId="1CA74E02" w14:textId="0134E154" w:rsidR="00214E9A" w:rsidRPr="0084768B" w:rsidRDefault="00214E9A" w:rsidP="00E87889">
            <w:pPr>
              <w:spacing w:after="0" w:line="360" w:lineRule="auto"/>
              <w:jc w:val="center"/>
              <w:rPr>
                <w:rFonts w:ascii="Arial" w:hAnsi="Arial" w:cs="Arial"/>
                <w:b/>
                <w:sz w:val="24"/>
                <w:szCs w:val="24"/>
                <w:lang w:val="en-GB"/>
              </w:rPr>
            </w:pPr>
            <w:r w:rsidRPr="0084768B">
              <w:rPr>
                <w:rFonts w:ascii="Arial" w:hAnsi="Arial" w:cs="Arial"/>
                <w:b/>
                <w:sz w:val="24"/>
                <w:szCs w:val="24"/>
                <w:lang w:val="en-GB"/>
              </w:rPr>
              <w:t xml:space="preserve"> </w:t>
            </w:r>
            <w:r w:rsidR="00B30F2D" w:rsidRPr="0084768B">
              <w:rPr>
                <w:rFonts w:ascii="Arial" w:hAnsi="Arial" w:cs="Arial"/>
                <w:b/>
                <w:sz w:val="24"/>
                <w:szCs w:val="24"/>
                <w:lang w:val="en-GB"/>
              </w:rPr>
              <w:t>First and second respondents</w:t>
            </w:r>
          </w:p>
        </w:tc>
      </w:tr>
      <w:tr w:rsidR="00214E9A" w:rsidRPr="0084768B" w14:paraId="52C3ED66" w14:textId="77777777" w:rsidTr="00FD6545">
        <w:tc>
          <w:tcPr>
            <w:tcW w:w="4500" w:type="dxa"/>
          </w:tcPr>
          <w:p w14:paraId="66BF8C46" w14:textId="77777777" w:rsidR="00AC6EA5" w:rsidRDefault="00AC6EA5" w:rsidP="00AC6EA5">
            <w:pPr>
              <w:spacing w:after="0" w:line="360" w:lineRule="auto"/>
              <w:jc w:val="center"/>
              <w:rPr>
                <w:rFonts w:ascii="Arial" w:hAnsi="Arial" w:cs="Arial"/>
                <w:sz w:val="24"/>
                <w:szCs w:val="24"/>
                <w:lang w:val="en-GB"/>
              </w:rPr>
            </w:pPr>
            <w:r>
              <w:rPr>
                <w:rFonts w:ascii="Arial" w:hAnsi="Arial" w:cs="Arial"/>
                <w:sz w:val="24"/>
                <w:szCs w:val="24"/>
                <w:lang w:val="en-GB"/>
              </w:rPr>
              <w:t xml:space="preserve">Ms I Mupinda </w:t>
            </w:r>
          </w:p>
          <w:p w14:paraId="5D754C25" w14:textId="77777777" w:rsidR="00AC6EA5" w:rsidRDefault="00AC6EA5" w:rsidP="00AC6EA5">
            <w:pPr>
              <w:spacing w:after="0" w:line="360" w:lineRule="auto"/>
              <w:jc w:val="center"/>
              <w:rPr>
                <w:rFonts w:ascii="Arial" w:hAnsi="Arial" w:cs="Arial"/>
                <w:sz w:val="24"/>
                <w:szCs w:val="24"/>
                <w:lang w:val="en-GB"/>
              </w:rPr>
            </w:pPr>
            <w:r>
              <w:rPr>
                <w:rFonts w:ascii="Arial" w:hAnsi="Arial" w:cs="Arial"/>
                <w:sz w:val="24"/>
                <w:szCs w:val="24"/>
                <w:lang w:val="en-GB"/>
              </w:rPr>
              <w:t>of</w:t>
            </w:r>
          </w:p>
          <w:p w14:paraId="158E7A3C" w14:textId="77F704CD" w:rsidR="00214E9A" w:rsidRPr="0084768B" w:rsidRDefault="00AC6EA5" w:rsidP="00AC6EA5">
            <w:pPr>
              <w:spacing w:after="0" w:line="360" w:lineRule="auto"/>
              <w:jc w:val="center"/>
              <w:rPr>
                <w:rFonts w:ascii="Arial" w:hAnsi="Arial" w:cs="Arial"/>
                <w:sz w:val="24"/>
                <w:szCs w:val="24"/>
                <w:lang w:val="en-GB"/>
              </w:rPr>
            </w:pPr>
            <w:r>
              <w:rPr>
                <w:rFonts w:ascii="Arial" w:hAnsi="Arial" w:cs="Arial"/>
                <w:sz w:val="24"/>
                <w:szCs w:val="24"/>
                <w:lang w:val="en-GB"/>
              </w:rPr>
              <w:t>Brockerhoff &amp; Associates Legal Practitioners</w:t>
            </w:r>
          </w:p>
        </w:tc>
        <w:tc>
          <w:tcPr>
            <w:tcW w:w="4714" w:type="dxa"/>
            <w:gridSpan w:val="2"/>
          </w:tcPr>
          <w:p w14:paraId="46FB9D77" w14:textId="77777777" w:rsidR="00AC6EA5" w:rsidRDefault="00AC6EA5" w:rsidP="00AC6EA5">
            <w:pPr>
              <w:spacing w:after="0" w:line="360" w:lineRule="auto"/>
              <w:jc w:val="center"/>
              <w:rPr>
                <w:rFonts w:ascii="Arial" w:hAnsi="Arial" w:cs="Arial"/>
                <w:sz w:val="24"/>
                <w:szCs w:val="24"/>
                <w:lang w:val="en-GB"/>
              </w:rPr>
            </w:pPr>
            <w:r>
              <w:rPr>
                <w:rFonts w:ascii="Arial" w:hAnsi="Arial" w:cs="Arial"/>
                <w:sz w:val="24"/>
                <w:szCs w:val="24"/>
                <w:lang w:val="en-GB"/>
              </w:rPr>
              <w:t>Mr H Gertze</w:t>
            </w:r>
          </w:p>
          <w:p w14:paraId="4DF1DD4F" w14:textId="3DD4C6E8" w:rsidR="00442660" w:rsidRPr="0084768B" w:rsidRDefault="00AC6EA5" w:rsidP="00AC6EA5">
            <w:pPr>
              <w:spacing w:after="0" w:line="360" w:lineRule="auto"/>
              <w:jc w:val="center"/>
              <w:rPr>
                <w:rFonts w:ascii="Arial" w:hAnsi="Arial" w:cs="Arial"/>
                <w:sz w:val="24"/>
                <w:szCs w:val="24"/>
                <w:lang w:val="en-GB"/>
              </w:rPr>
            </w:pPr>
            <w:r>
              <w:rPr>
                <w:rFonts w:ascii="Arial" w:hAnsi="Arial" w:cs="Arial"/>
                <w:sz w:val="24"/>
                <w:szCs w:val="24"/>
                <w:lang w:val="en-GB"/>
              </w:rPr>
              <w:t>The first respondent in person</w:t>
            </w:r>
          </w:p>
        </w:tc>
      </w:tr>
    </w:tbl>
    <w:p w14:paraId="417749C1" w14:textId="77777777" w:rsidR="00FC4D9E" w:rsidRPr="0084768B" w:rsidRDefault="00FC4D9E" w:rsidP="00E87889">
      <w:pPr>
        <w:spacing w:after="0" w:line="360" w:lineRule="auto"/>
        <w:rPr>
          <w:rFonts w:ascii="Arial" w:hAnsi="Arial" w:cs="Arial"/>
          <w:sz w:val="24"/>
          <w:szCs w:val="24"/>
          <w:lang w:val="en-GB"/>
        </w:rPr>
      </w:pPr>
    </w:p>
    <w:sectPr w:rsidR="00FC4D9E" w:rsidRPr="0084768B" w:rsidSect="001D636A">
      <w:headerReference w:type="default" r:id="rId11"/>
      <w:pgSz w:w="11906" w:h="16838"/>
      <w:pgMar w:top="851" w:right="1440" w:bottom="709"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7BDEA" w14:textId="77777777" w:rsidR="00BC5AC0" w:rsidRDefault="00BC5AC0" w:rsidP="00214E9A">
      <w:pPr>
        <w:spacing w:after="0" w:line="240" w:lineRule="auto"/>
      </w:pPr>
      <w:r>
        <w:separator/>
      </w:r>
    </w:p>
  </w:endnote>
  <w:endnote w:type="continuationSeparator" w:id="0">
    <w:p w14:paraId="1D72DBCF" w14:textId="77777777" w:rsidR="00BC5AC0" w:rsidRDefault="00BC5AC0" w:rsidP="0021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DFF44" w14:textId="77777777" w:rsidR="00BC5AC0" w:rsidRDefault="00BC5AC0" w:rsidP="00214E9A">
      <w:pPr>
        <w:spacing w:after="0" w:line="240" w:lineRule="auto"/>
      </w:pPr>
      <w:r>
        <w:separator/>
      </w:r>
    </w:p>
  </w:footnote>
  <w:footnote w:type="continuationSeparator" w:id="0">
    <w:p w14:paraId="7D2EA698" w14:textId="77777777" w:rsidR="00BC5AC0" w:rsidRDefault="00BC5AC0" w:rsidP="00214E9A">
      <w:pPr>
        <w:spacing w:after="0" w:line="240" w:lineRule="auto"/>
      </w:pPr>
      <w:r>
        <w:continuationSeparator/>
      </w:r>
    </w:p>
  </w:footnote>
  <w:footnote w:id="1">
    <w:p w14:paraId="7AA54BBD" w14:textId="1AA14E9B" w:rsidR="000513D9" w:rsidRPr="001C5C9C" w:rsidRDefault="000513D9" w:rsidP="0021125B">
      <w:pPr>
        <w:pStyle w:val="FootnoteText"/>
        <w:rPr>
          <w:rFonts w:ascii="Arial" w:hAnsi="Arial" w:cs="Arial"/>
          <w:lang w:val="en-GB"/>
        </w:rPr>
      </w:pPr>
      <w:r w:rsidRPr="001C5C9C">
        <w:rPr>
          <w:rStyle w:val="FootnoteReference"/>
          <w:rFonts w:ascii="Arial" w:hAnsi="Arial" w:cs="Arial"/>
        </w:rPr>
        <w:footnoteRef/>
      </w:r>
      <w:r w:rsidRPr="001C5C9C">
        <w:rPr>
          <w:rFonts w:ascii="Arial" w:hAnsi="Arial" w:cs="Arial"/>
        </w:rPr>
        <w:t xml:space="preserve"> </w:t>
      </w:r>
      <w:r w:rsidRPr="001C5C9C">
        <w:rPr>
          <w:rFonts w:ascii="Arial" w:hAnsi="Arial" w:cs="Arial"/>
          <w:lang w:val="en-GB"/>
        </w:rPr>
        <w:t xml:space="preserve">A liquid document may be defined as a document in which the debtor acknowledges over his signature, or that of a duly authorised agent, or is in law regarded as having acknowledged without his or her </w:t>
      </w:r>
      <w:r w:rsidR="007E0DEE" w:rsidRPr="001C5C9C">
        <w:rPr>
          <w:rFonts w:ascii="Arial" w:hAnsi="Arial" w:cs="Arial"/>
          <w:lang w:val="en-GB"/>
        </w:rPr>
        <w:t>signature</w:t>
      </w:r>
      <w:r w:rsidRPr="001C5C9C">
        <w:rPr>
          <w:rFonts w:ascii="Arial" w:hAnsi="Arial" w:cs="Arial"/>
          <w:lang w:val="en-GB"/>
        </w:rPr>
        <w:t xml:space="preserve"> being actually affixed to the document, his indebtedness in a fixed determinate sum of money. Examples of such </w:t>
      </w:r>
      <w:r w:rsidR="00E6620B" w:rsidRPr="001C5C9C">
        <w:rPr>
          <w:rFonts w:ascii="Arial" w:hAnsi="Arial" w:cs="Arial"/>
          <w:lang w:val="en-GB"/>
        </w:rPr>
        <w:t>documents</w:t>
      </w:r>
      <w:r w:rsidRPr="001C5C9C">
        <w:rPr>
          <w:rFonts w:ascii="Arial" w:hAnsi="Arial" w:cs="Arial"/>
          <w:lang w:val="en-GB"/>
        </w:rPr>
        <w:t xml:space="preserve"> include cheques, promissory notes, mortgage bonds, </w:t>
      </w:r>
      <w:r w:rsidR="007E0DEE" w:rsidRPr="001C5C9C">
        <w:rPr>
          <w:rFonts w:ascii="Arial" w:hAnsi="Arial" w:cs="Arial"/>
          <w:lang w:val="en-GB"/>
        </w:rPr>
        <w:t>acknowledgements</w:t>
      </w:r>
      <w:r w:rsidRPr="001C5C9C">
        <w:rPr>
          <w:rFonts w:ascii="Arial" w:hAnsi="Arial" w:cs="Arial"/>
          <w:lang w:val="en-GB"/>
        </w:rPr>
        <w:t xml:space="preserve"> of debt and deeds of sale. See Herbstein &amp; Van Winsen, the </w:t>
      </w:r>
      <w:r w:rsidR="00E6620B" w:rsidRPr="001C5C9C">
        <w:rPr>
          <w:rFonts w:ascii="Arial" w:hAnsi="Arial" w:cs="Arial"/>
          <w:lang w:val="en-GB"/>
        </w:rPr>
        <w:t>Civil</w:t>
      </w:r>
      <w:r w:rsidRPr="001C5C9C">
        <w:rPr>
          <w:rFonts w:ascii="Arial" w:hAnsi="Arial" w:cs="Arial"/>
          <w:lang w:val="en-GB"/>
        </w:rPr>
        <w:t xml:space="preserve"> Practice of the High Courts of South </w:t>
      </w:r>
      <w:r w:rsidR="007E0DEE" w:rsidRPr="001C5C9C">
        <w:rPr>
          <w:rFonts w:ascii="Arial" w:hAnsi="Arial" w:cs="Arial"/>
          <w:lang w:val="en-GB"/>
        </w:rPr>
        <w:t>Africa fifth</w:t>
      </w:r>
      <w:r w:rsidRPr="001C5C9C">
        <w:rPr>
          <w:rFonts w:ascii="Arial" w:hAnsi="Arial" w:cs="Arial"/>
          <w:lang w:val="en-GB"/>
        </w:rPr>
        <w:t xml:space="preserve"> edition volume 2 at 1315 and the authorities collected at footnote 26 and 27</w:t>
      </w:r>
      <w:r w:rsidR="002D4D47" w:rsidRPr="001C5C9C">
        <w:rPr>
          <w:rFonts w:ascii="Arial" w:hAnsi="Arial" w:cs="Arial"/>
          <w:lang w:val="en-GB"/>
        </w:rPr>
        <w:t>.</w:t>
      </w:r>
    </w:p>
  </w:footnote>
  <w:footnote w:id="2">
    <w:p w14:paraId="0BBCDA79" w14:textId="186F42E4" w:rsidR="00316677" w:rsidRPr="001C5C9C" w:rsidRDefault="00316677" w:rsidP="001C5C9C">
      <w:pPr>
        <w:pStyle w:val="FootnoteText"/>
        <w:spacing w:after="120"/>
        <w:rPr>
          <w:rFonts w:ascii="Arial" w:hAnsi="Arial" w:cs="Arial"/>
          <w:lang w:val="en-GB"/>
        </w:rPr>
      </w:pPr>
      <w:r w:rsidRPr="001C5C9C">
        <w:rPr>
          <w:rStyle w:val="FootnoteReference"/>
          <w:rFonts w:ascii="Arial" w:hAnsi="Arial" w:cs="Arial"/>
        </w:rPr>
        <w:footnoteRef/>
      </w:r>
      <w:r w:rsidR="002D4D47">
        <w:rPr>
          <w:rFonts w:ascii="Arial" w:hAnsi="Arial" w:cs="Arial"/>
          <w:i/>
          <w:iCs/>
        </w:rPr>
        <w:t xml:space="preserve"> </w:t>
      </w:r>
      <w:r w:rsidR="002D4D47" w:rsidRPr="001C5C9C">
        <w:rPr>
          <w:rFonts w:ascii="Arial" w:hAnsi="Arial" w:cs="Arial"/>
          <w:i/>
          <w:iCs/>
        </w:rPr>
        <w:t xml:space="preserve">Di Savino v Nedbank Namibia </w:t>
      </w:r>
      <w:r w:rsidRPr="001C5C9C">
        <w:rPr>
          <w:rFonts w:ascii="Arial" w:hAnsi="Arial" w:cs="Arial"/>
        </w:rPr>
        <w:t>2012 (2) NR 505 SC</w:t>
      </w:r>
      <w:r w:rsidR="002D4D47">
        <w:rPr>
          <w:rFonts w:ascii="Arial" w:hAnsi="Arial" w:cs="Arial"/>
        </w:rPr>
        <w:t>.</w:t>
      </w:r>
      <w:r w:rsidRPr="001C5C9C">
        <w:rPr>
          <w:rFonts w:ascii="Arial" w:hAnsi="Arial" w:cs="Arial"/>
        </w:rPr>
        <w:t xml:space="preserve"> </w:t>
      </w:r>
    </w:p>
  </w:footnote>
  <w:footnote w:id="3">
    <w:p w14:paraId="765407BC" w14:textId="0C39D9D4" w:rsidR="003F79E8" w:rsidRPr="001C5C9C" w:rsidRDefault="003F79E8">
      <w:pPr>
        <w:pStyle w:val="FootnoteText"/>
        <w:rPr>
          <w:rFonts w:ascii="Arial" w:hAnsi="Arial" w:cs="Arial"/>
          <w:lang w:val="en-GB"/>
        </w:rPr>
      </w:pPr>
      <w:r w:rsidRPr="001C5C9C">
        <w:rPr>
          <w:rStyle w:val="FootnoteReference"/>
          <w:rFonts w:ascii="Arial" w:hAnsi="Arial" w:cs="Arial"/>
        </w:rPr>
        <w:footnoteRef/>
      </w:r>
      <w:r w:rsidRPr="001C5C9C">
        <w:rPr>
          <w:rFonts w:ascii="Arial" w:hAnsi="Arial" w:cs="Arial"/>
        </w:rPr>
        <w:t xml:space="preserve"> </w:t>
      </w:r>
      <w:r w:rsidR="0021125B" w:rsidRPr="001C5C9C">
        <w:rPr>
          <w:rFonts w:ascii="Arial" w:hAnsi="Arial" w:cs="Arial"/>
          <w:i/>
          <w:iCs/>
        </w:rPr>
        <w:t xml:space="preserve">Di Savino </w:t>
      </w:r>
      <w:r w:rsidR="0021125B" w:rsidRPr="001C5C9C">
        <w:rPr>
          <w:rFonts w:ascii="Arial" w:hAnsi="Arial" w:cs="Arial"/>
          <w:iCs/>
        </w:rPr>
        <w:t xml:space="preserve">at </w:t>
      </w:r>
      <w:r w:rsidRPr="001C5C9C">
        <w:rPr>
          <w:rFonts w:ascii="Arial" w:hAnsi="Arial" w:cs="Arial"/>
          <w:lang w:val="en-GB"/>
        </w:rPr>
        <w:t>[23]</w:t>
      </w:r>
      <w:r w:rsidR="0021125B">
        <w:rPr>
          <w:rFonts w:ascii="Arial" w:hAnsi="Arial" w:cs="Arial"/>
          <w:lang w:val="en-GB"/>
        </w:rPr>
        <w:t xml:space="preserve"> </w:t>
      </w:r>
      <w:r w:rsidRPr="001C5C9C">
        <w:rPr>
          <w:rFonts w:ascii="Arial" w:hAnsi="Arial" w:cs="Arial"/>
          <w:lang w:val="en-GB"/>
        </w:rPr>
        <w:t>-</w:t>
      </w:r>
      <w:r w:rsidR="0021125B">
        <w:rPr>
          <w:rFonts w:ascii="Arial" w:hAnsi="Arial" w:cs="Arial"/>
          <w:lang w:val="en-GB"/>
        </w:rPr>
        <w:t xml:space="preserve"> </w:t>
      </w:r>
      <w:r w:rsidRPr="001C5C9C">
        <w:rPr>
          <w:rFonts w:ascii="Arial" w:hAnsi="Arial" w:cs="Arial"/>
          <w:lang w:val="en-GB"/>
        </w:rPr>
        <w:t>[31]</w:t>
      </w:r>
      <w:r w:rsidR="0021125B">
        <w:rPr>
          <w:rFonts w:ascii="Arial" w:hAnsi="Arial" w:cs="Arial"/>
          <w:lang w:val="en-GB"/>
        </w:rPr>
        <w:t>.</w:t>
      </w:r>
    </w:p>
  </w:footnote>
  <w:footnote w:id="4">
    <w:p w14:paraId="3437713A" w14:textId="77777777" w:rsidR="00B30F2D" w:rsidRPr="00A041D8" w:rsidRDefault="00B30F2D" w:rsidP="00B30F2D">
      <w:pPr>
        <w:pStyle w:val="FootnoteText"/>
        <w:rPr>
          <w:rFonts w:ascii="Arial" w:hAnsi="Arial" w:cs="Arial"/>
        </w:rPr>
      </w:pPr>
      <w:r w:rsidRPr="001C5C9C">
        <w:rPr>
          <w:rStyle w:val="FootnoteReference"/>
          <w:rFonts w:ascii="Arial" w:hAnsi="Arial" w:cs="Arial"/>
        </w:rPr>
        <w:footnoteRef/>
      </w:r>
      <w:r w:rsidRPr="001C5C9C">
        <w:rPr>
          <w:rFonts w:ascii="Arial" w:hAnsi="Arial" w:cs="Arial"/>
        </w:rPr>
        <w:t xml:space="preserve"> </w:t>
      </w:r>
      <w:r w:rsidRPr="00A041D8">
        <w:rPr>
          <w:rFonts w:ascii="Arial" w:hAnsi="Arial" w:cs="Arial"/>
          <w:i/>
        </w:rPr>
        <w:t xml:space="preserve">Mushimba v Autogas (Pty) Ltd </w:t>
      </w:r>
      <w:r w:rsidRPr="00A041D8">
        <w:rPr>
          <w:rFonts w:ascii="Arial" w:hAnsi="Arial" w:cs="Arial"/>
        </w:rPr>
        <w:t>2008 (1) NR 253.</w:t>
      </w:r>
    </w:p>
  </w:footnote>
  <w:footnote w:id="5">
    <w:p w14:paraId="60AD4E10" w14:textId="2266646C" w:rsidR="00B30F2D" w:rsidRPr="00A041D8" w:rsidRDefault="00B30F2D" w:rsidP="00B30F2D">
      <w:pPr>
        <w:pStyle w:val="FootnoteText"/>
        <w:tabs>
          <w:tab w:val="left" w:pos="360"/>
        </w:tabs>
        <w:rPr>
          <w:rFonts w:ascii="Arial" w:hAnsi="Arial" w:cs="Arial"/>
        </w:rPr>
      </w:pPr>
      <w:r w:rsidRPr="00A041D8">
        <w:rPr>
          <w:rStyle w:val="FootnoteReference"/>
          <w:rFonts w:ascii="Arial" w:hAnsi="Arial" w:cs="Arial"/>
        </w:rPr>
        <w:footnoteRef/>
      </w:r>
      <w:r w:rsidRPr="00A041D8">
        <w:rPr>
          <w:rFonts w:ascii="Arial" w:hAnsi="Arial" w:cs="Arial"/>
        </w:rPr>
        <w:t xml:space="preserve"> </w:t>
      </w:r>
      <w:r w:rsidRPr="00A041D8">
        <w:rPr>
          <w:rFonts w:ascii="Arial" w:hAnsi="Arial" w:cs="Arial"/>
          <w:i/>
        </w:rPr>
        <w:t>Maharaj v Barclays National Bank Limited</w:t>
      </w:r>
      <w:r w:rsidRPr="00A041D8">
        <w:rPr>
          <w:rFonts w:ascii="Arial" w:hAnsi="Arial" w:cs="Arial"/>
        </w:rPr>
        <w:t xml:space="preserve"> 1976 (1) SA 418 (A)</w:t>
      </w:r>
      <w:r w:rsidR="004D071F">
        <w:rPr>
          <w:rFonts w:ascii="Arial" w:hAnsi="Arial" w:cs="Arial"/>
        </w:rPr>
        <w:t>.</w:t>
      </w:r>
    </w:p>
  </w:footnote>
  <w:footnote w:id="6">
    <w:p w14:paraId="7398A575" w14:textId="34D45012" w:rsidR="00B30F2D" w:rsidRPr="00FF3E13" w:rsidRDefault="00B30F2D" w:rsidP="00B30F2D">
      <w:pPr>
        <w:pStyle w:val="FootnoteText"/>
        <w:tabs>
          <w:tab w:val="left" w:pos="360"/>
        </w:tabs>
        <w:ind w:left="360" w:hanging="360"/>
        <w:rPr>
          <w:rFonts w:ascii="Arial" w:hAnsi="Arial" w:cs="Arial"/>
        </w:rPr>
      </w:pPr>
      <w:r w:rsidRPr="00A041D8">
        <w:rPr>
          <w:rStyle w:val="FootnoteReference"/>
          <w:rFonts w:ascii="Arial" w:hAnsi="Arial" w:cs="Arial"/>
        </w:rPr>
        <w:footnoteRef/>
      </w:r>
      <w:r w:rsidRPr="00A041D8">
        <w:rPr>
          <w:rFonts w:ascii="Arial" w:hAnsi="Arial" w:cs="Arial"/>
        </w:rPr>
        <w:t xml:space="preserve"> </w:t>
      </w:r>
      <w:r w:rsidR="005540EE" w:rsidRPr="00A041D8">
        <w:rPr>
          <w:rFonts w:ascii="Arial" w:hAnsi="Arial" w:cs="Arial"/>
          <w:i/>
        </w:rPr>
        <w:t>Maharaj a</w:t>
      </w:r>
      <w:r w:rsidR="005540EE" w:rsidRPr="00A041D8">
        <w:rPr>
          <w:rFonts w:ascii="Arial" w:hAnsi="Arial" w:cs="Arial"/>
        </w:rPr>
        <w:t>t 423 A – H.</w:t>
      </w:r>
      <w:r w:rsidR="005540EE">
        <w:rPr>
          <w:rFonts w:ascii="Arial" w:hAnsi="Arial" w:cs="Arial"/>
        </w:rPr>
        <w:t xml:space="preserve"> </w:t>
      </w:r>
    </w:p>
  </w:footnote>
  <w:footnote w:id="7">
    <w:p w14:paraId="57C1DEEC" w14:textId="5ECD836B" w:rsidR="003033B4" w:rsidRPr="001C5C9C" w:rsidRDefault="003033B4">
      <w:pPr>
        <w:pStyle w:val="FootnoteText"/>
        <w:rPr>
          <w:rFonts w:ascii="Arial" w:hAnsi="Arial" w:cs="Arial"/>
          <w:lang w:val="en-GB"/>
        </w:rPr>
      </w:pPr>
      <w:r w:rsidRPr="001C5C9C">
        <w:rPr>
          <w:rStyle w:val="FootnoteReference"/>
          <w:rFonts w:ascii="Arial" w:hAnsi="Arial" w:cs="Arial"/>
        </w:rPr>
        <w:footnoteRef/>
      </w:r>
      <w:r w:rsidRPr="001C5C9C">
        <w:rPr>
          <w:rFonts w:ascii="Arial" w:hAnsi="Arial" w:cs="Arial"/>
        </w:rPr>
        <w:t xml:space="preserve"> </w:t>
      </w:r>
      <w:r w:rsidRPr="004D071F">
        <w:rPr>
          <w:rFonts w:ascii="Arial" w:hAnsi="Arial" w:cs="Arial"/>
          <w:i/>
          <w:iCs/>
          <w:lang w:val="en-GB"/>
        </w:rPr>
        <w:t xml:space="preserve">See Kelnic Construction (Pty) Ltd v Cadilu Fishing </w:t>
      </w:r>
      <w:r w:rsidRPr="004D071F">
        <w:rPr>
          <w:rFonts w:ascii="Arial" w:hAnsi="Arial" w:cs="Arial"/>
          <w:lang w:val="en-GB"/>
        </w:rPr>
        <w:t>1998 NR 198</w:t>
      </w:r>
      <w:r w:rsidR="00A041D8" w:rsidRPr="004D071F">
        <w:rPr>
          <w:rFonts w:ascii="Arial" w:hAnsi="Arial" w:cs="Arial"/>
          <w:lang w:val="en-GB"/>
        </w:rPr>
        <w:t>.</w:t>
      </w:r>
    </w:p>
  </w:footnote>
  <w:footnote w:id="8">
    <w:p w14:paraId="72CFA2E1" w14:textId="344D1DA6" w:rsidR="0089644F" w:rsidRPr="0089644F" w:rsidRDefault="0089644F" w:rsidP="0089644F">
      <w:pPr>
        <w:pStyle w:val="FootnoteText"/>
        <w:rPr>
          <w:lang w:val="en-GB"/>
        </w:rPr>
      </w:pPr>
      <w:r w:rsidRPr="001C5C9C">
        <w:rPr>
          <w:rStyle w:val="FootnoteReference"/>
          <w:rFonts w:ascii="Arial" w:hAnsi="Arial" w:cs="Arial"/>
        </w:rPr>
        <w:footnoteRef/>
      </w:r>
      <w:r w:rsidRPr="001C5C9C">
        <w:rPr>
          <w:rFonts w:ascii="Arial" w:hAnsi="Arial" w:cs="Arial"/>
        </w:rPr>
        <w:t xml:space="preserve"> </w:t>
      </w:r>
      <w:r w:rsidR="004D071F" w:rsidRPr="001C5C9C">
        <w:rPr>
          <w:rFonts w:ascii="Arial" w:hAnsi="Arial" w:cs="Arial"/>
          <w:i/>
          <w:iCs/>
          <w:color w:val="242121"/>
          <w:shd w:val="clear" w:color="auto" w:fill="FFFFFF"/>
          <w:lang w:val="en-GB"/>
        </w:rPr>
        <w:t>South African Poultry Association and Others v Ministry of Trade and Industry and Others</w:t>
      </w:r>
      <w:r w:rsidR="004D071F" w:rsidRPr="004D071F">
        <w:rPr>
          <w:rFonts w:ascii="Arial" w:hAnsi="Arial" w:cs="Arial"/>
        </w:rPr>
        <w:t xml:space="preserve"> </w:t>
      </w:r>
      <w:r w:rsidRPr="001C5C9C">
        <w:rPr>
          <w:rFonts w:ascii="Arial" w:hAnsi="Arial" w:cs="Arial"/>
        </w:rPr>
        <w:t>2015 (1) NR 260 (HC)</w:t>
      </w:r>
      <w:r w:rsidR="00A041D8" w:rsidRPr="001C5C9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924220"/>
      <w:docPartObj>
        <w:docPartGallery w:val="Page Numbers (Top of Page)"/>
        <w:docPartUnique/>
      </w:docPartObj>
    </w:sdtPr>
    <w:sdtEndPr>
      <w:rPr>
        <w:noProof/>
      </w:rPr>
    </w:sdtEndPr>
    <w:sdtContent>
      <w:p w14:paraId="69BEF6C9" w14:textId="77777777" w:rsidR="00FC4D9E" w:rsidRDefault="00FC4D9E">
        <w:pPr>
          <w:pStyle w:val="Header"/>
          <w:jc w:val="right"/>
        </w:pPr>
        <w:r>
          <w:fldChar w:fldCharType="begin"/>
        </w:r>
        <w:r>
          <w:instrText xml:space="preserve"> PAGE   \* MERGEFORMAT </w:instrText>
        </w:r>
        <w:r>
          <w:fldChar w:fldCharType="separate"/>
        </w:r>
        <w:r w:rsidR="005D7BDF">
          <w:rPr>
            <w:noProof/>
          </w:rPr>
          <w:t>2</w:t>
        </w:r>
        <w:r>
          <w:rPr>
            <w:noProof/>
          </w:rPr>
          <w:fldChar w:fldCharType="end"/>
        </w:r>
      </w:p>
    </w:sdtContent>
  </w:sdt>
  <w:p w14:paraId="5E0E7E58" w14:textId="77777777" w:rsidR="00FC4D9E" w:rsidRDefault="00FC4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D3C44"/>
    <w:multiLevelType w:val="hybridMultilevel"/>
    <w:tmpl w:val="F67ED580"/>
    <w:lvl w:ilvl="0" w:tplc="0E1458C6">
      <w:start w:val="1"/>
      <w:numFmt w:val="lowerLetter"/>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93478"/>
    <w:multiLevelType w:val="hybridMultilevel"/>
    <w:tmpl w:val="705CDA34"/>
    <w:lvl w:ilvl="0" w:tplc="F474884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4A4463ED"/>
    <w:multiLevelType w:val="hybridMultilevel"/>
    <w:tmpl w:val="71F89226"/>
    <w:lvl w:ilvl="0" w:tplc="06D0B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9193D"/>
    <w:multiLevelType w:val="hybridMultilevel"/>
    <w:tmpl w:val="45506950"/>
    <w:lvl w:ilvl="0" w:tplc="C0AABE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6630B"/>
    <w:multiLevelType w:val="hybridMultilevel"/>
    <w:tmpl w:val="E42ABE06"/>
    <w:lvl w:ilvl="0" w:tplc="DAD0E2B6">
      <w:start w:val="1"/>
      <w:numFmt w:val="decimal"/>
      <w:lvlText w:val="%1."/>
      <w:lvlJc w:val="left"/>
      <w:pPr>
        <w:ind w:left="380" w:hanging="360"/>
      </w:pPr>
      <w:rPr>
        <w:rFonts w:hint="default"/>
      </w:rPr>
    </w:lvl>
    <w:lvl w:ilvl="1" w:tplc="20000019" w:tentative="1">
      <w:start w:val="1"/>
      <w:numFmt w:val="lowerLetter"/>
      <w:lvlText w:val="%2."/>
      <w:lvlJc w:val="left"/>
      <w:pPr>
        <w:ind w:left="1100" w:hanging="360"/>
      </w:pPr>
    </w:lvl>
    <w:lvl w:ilvl="2" w:tplc="2000001B" w:tentative="1">
      <w:start w:val="1"/>
      <w:numFmt w:val="lowerRoman"/>
      <w:lvlText w:val="%3."/>
      <w:lvlJc w:val="right"/>
      <w:pPr>
        <w:ind w:left="1820" w:hanging="180"/>
      </w:pPr>
    </w:lvl>
    <w:lvl w:ilvl="3" w:tplc="2000000F" w:tentative="1">
      <w:start w:val="1"/>
      <w:numFmt w:val="decimal"/>
      <w:lvlText w:val="%4."/>
      <w:lvlJc w:val="left"/>
      <w:pPr>
        <w:ind w:left="2540" w:hanging="360"/>
      </w:pPr>
    </w:lvl>
    <w:lvl w:ilvl="4" w:tplc="20000019" w:tentative="1">
      <w:start w:val="1"/>
      <w:numFmt w:val="lowerLetter"/>
      <w:lvlText w:val="%5."/>
      <w:lvlJc w:val="left"/>
      <w:pPr>
        <w:ind w:left="3260" w:hanging="360"/>
      </w:pPr>
    </w:lvl>
    <w:lvl w:ilvl="5" w:tplc="2000001B" w:tentative="1">
      <w:start w:val="1"/>
      <w:numFmt w:val="lowerRoman"/>
      <w:lvlText w:val="%6."/>
      <w:lvlJc w:val="right"/>
      <w:pPr>
        <w:ind w:left="3980" w:hanging="180"/>
      </w:pPr>
    </w:lvl>
    <w:lvl w:ilvl="6" w:tplc="2000000F" w:tentative="1">
      <w:start w:val="1"/>
      <w:numFmt w:val="decimal"/>
      <w:lvlText w:val="%7."/>
      <w:lvlJc w:val="left"/>
      <w:pPr>
        <w:ind w:left="4700" w:hanging="360"/>
      </w:pPr>
    </w:lvl>
    <w:lvl w:ilvl="7" w:tplc="20000019" w:tentative="1">
      <w:start w:val="1"/>
      <w:numFmt w:val="lowerLetter"/>
      <w:lvlText w:val="%8."/>
      <w:lvlJc w:val="left"/>
      <w:pPr>
        <w:ind w:left="5420" w:hanging="360"/>
      </w:pPr>
    </w:lvl>
    <w:lvl w:ilvl="8" w:tplc="2000001B" w:tentative="1">
      <w:start w:val="1"/>
      <w:numFmt w:val="lowerRoman"/>
      <w:lvlText w:val="%9."/>
      <w:lvlJc w:val="right"/>
      <w:pPr>
        <w:ind w:left="6140" w:hanging="180"/>
      </w:pPr>
    </w:lvl>
  </w:abstractNum>
  <w:abstractNum w:abstractNumId="5" w15:restartNumberingAfterBreak="0">
    <w:nsid w:val="62354466"/>
    <w:multiLevelType w:val="hybridMultilevel"/>
    <w:tmpl w:val="D116D17A"/>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C705572"/>
    <w:multiLevelType w:val="hybridMultilevel"/>
    <w:tmpl w:val="BE02C7DA"/>
    <w:lvl w:ilvl="0" w:tplc="843A4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A81350"/>
    <w:multiLevelType w:val="hybridMultilevel"/>
    <w:tmpl w:val="0512DAF2"/>
    <w:lvl w:ilvl="0" w:tplc="C0AABED8">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7C08F3"/>
    <w:multiLevelType w:val="hybridMultilevel"/>
    <w:tmpl w:val="13E45816"/>
    <w:lvl w:ilvl="0" w:tplc="06D0B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3"/>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9A"/>
    <w:rsid w:val="00012831"/>
    <w:rsid w:val="000513D9"/>
    <w:rsid w:val="000A096E"/>
    <w:rsid w:val="000C0133"/>
    <w:rsid w:val="001166F1"/>
    <w:rsid w:val="001222F1"/>
    <w:rsid w:val="00147A28"/>
    <w:rsid w:val="00190E56"/>
    <w:rsid w:val="001C2AB0"/>
    <w:rsid w:val="001C5C9C"/>
    <w:rsid w:val="001D2C4E"/>
    <w:rsid w:val="001D636A"/>
    <w:rsid w:val="0021125B"/>
    <w:rsid w:val="00213C41"/>
    <w:rsid w:val="00214E9A"/>
    <w:rsid w:val="002161DF"/>
    <w:rsid w:val="002804C3"/>
    <w:rsid w:val="00283342"/>
    <w:rsid w:val="002867B3"/>
    <w:rsid w:val="002900C7"/>
    <w:rsid w:val="002B1DB1"/>
    <w:rsid w:val="002D4D47"/>
    <w:rsid w:val="002E6882"/>
    <w:rsid w:val="002F30B5"/>
    <w:rsid w:val="00302534"/>
    <w:rsid w:val="003033B4"/>
    <w:rsid w:val="00310B72"/>
    <w:rsid w:val="00316677"/>
    <w:rsid w:val="00316774"/>
    <w:rsid w:val="00321239"/>
    <w:rsid w:val="00325C67"/>
    <w:rsid w:val="003352ED"/>
    <w:rsid w:val="00335CE7"/>
    <w:rsid w:val="003470A1"/>
    <w:rsid w:val="003711E5"/>
    <w:rsid w:val="003B6DA5"/>
    <w:rsid w:val="003C75F7"/>
    <w:rsid w:val="003E7FB8"/>
    <w:rsid w:val="003F79E8"/>
    <w:rsid w:val="00424C02"/>
    <w:rsid w:val="004338F6"/>
    <w:rsid w:val="00436544"/>
    <w:rsid w:val="00442660"/>
    <w:rsid w:val="004621B1"/>
    <w:rsid w:val="00494856"/>
    <w:rsid w:val="004B10D4"/>
    <w:rsid w:val="004C08DB"/>
    <w:rsid w:val="004D071F"/>
    <w:rsid w:val="004E193D"/>
    <w:rsid w:val="004E7EC6"/>
    <w:rsid w:val="004F7EC8"/>
    <w:rsid w:val="005540EE"/>
    <w:rsid w:val="005655DF"/>
    <w:rsid w:val="005944BE"/>
    <w:rsid w:val="00595B91"/>
    <w:rsid w:val="005D1756"/>
    <w:rsid w:val="005D7BDF"/>
    <w:rsid w:val="005E166A"/>
    <w:rsid w:val="005E39C8"/>
    <w:rsid w:val="006026EA"/>
    <w:rsid w:val="00623C1E"/>
    <w:rsid w:val="006275A2"/>
    <w:rsid w:val="006309EB"/>
    <w:rsid w:val="0066190E"/>
    <w:rsid w:val="00665FE3"/>
    <w:rsid w:val="00685F10"/>
    <w:rsid w:val="006D5723"/>
    <w:rsid w:val="006F0A84"/>
    <w:rsid w:val="006F4541"/>
    <w:rsid w:val="006F4751"/>
    <w:rsid w:val="006F7563"/>
    <w:rsid w:val="00717241"/>
    <w:rsid w:val="007279B0"/>
    <w:rsid w:val="00790AB3"/>
    <w:rsid w:val="007C4182"/>
    <w:rsid w:val="007E0DEE"/>
    <w:rsid w:val="007E29F0"/>
    <w:rsid w:val="007F3E7F"/>
    <w:rsid w:val="0080429D"/>
    <w:rsid w:val="00830A99"/>
    <w:rsid w:val="00832636"/>
    <w:rsid w:val="008460A7"/>
    <w:rsid w:val="0084768B"/>
    <w:rsid w:val="00850CBD"/>
    <w:rsid w:val="008540D7"/>
    <w:rsid w:val="008738E5"/>
    <w:rsid w:val="00885224"/>
    <w:rsid w:val="0089644F"/>
    <w:rsid w:val="008E47E5"/>
    <w:rsid w:val="008F0175"/>
    <w:rsid w:val="008F2604"/>
    <w:rsid w:val="00900695"/>
    <w:rsid w:val="00902978"/>
    <w:rsid w:val="00970966"/>
    <w:rsid w:val="009C7F86"/>
    <w:rsid w:val="009E44C4"/>
    <w:rsid w:val="00A03AEF"/>
    <w:rsid w:val="00A041D8"/>
    <w:rsid w:val="00A611C5"/>
    <w:rsid w:val="00A86C08"/>
    <w:rsid w:val="00A90C2A"/>
    <w:rsid w:val="00AA4AB9"/>
    <w:rsid w:val="00AA595A"/>
    <w:rsid w:val="00AB6BBD"/>
    <w:rsid w:val="00AC6EA5"/>
    <w:rsid w:val="00AE20BB"/>
    <w:rsid w:val="00AE79A4"/>
    <w:rsid w:val="00AF0A9A"/>
    <w:rsid w:val="00AF1095"/>
    <w:rsid w:val="00B1445F"/>
    <w:rsid w:val="00B21E34"/>
    <w:rsid w:val="00B30F2D"/>
    <w:rsid w:val="00B4465E"/>
    <w:rsid w:val="00B46D1F"/>
    <w:rsid w:val="00B522AD"/>
    <w:rsid w:val="00B569C5"/>
    <w:rsid w:val="00B621ED"/>
    <w:rsid w:val="00B80D79"/>
    <w:rsid w:val="00B81F1B"/>
    <w:rsid w:val="00B87DDF"/>
    <w:rsid w:val="00BC4B8D"/>
    <w:rsid w:val="00BC4BD4"/>
    <w:rsid w:val="00BC5AC0"/>
    <w:rsid w:val="00BD6E47"/>
    <w:rsid w:val="00C1204D"/>
    <w:rsid w:val="00C40546"/>
    <w:rsid w:val="00C52D77"/>
    <w:rsid w:val="00C5631F"/>
    <w:rsid w:val="00C82A4B"/>
    <w:rsid w:val="00C855F4"/>
    <w:rsid w:val="00CA368D"/>
    <w:rsid w:val="00CB0327"/>
    <w:rsid w:val="00CC59C6"/>
    <w:rsid w:val="00D17A89"/>
    <w:rsid w:val="00D91121"/>
    <w:rsid w:val="00D9671C"/>
    <w:rsid w:val="00DA719D"/>
    <w:rsid w:val="00DC0ED4"/>
    <w:rsid w:val="00DD40A1"/>
    <w:rsid w:val="00E058BD"/>
    <w:rsid w:val="00E3512F"/>
    <w:rsid w:val="00E6620B"/>
    <w:rsid w:val="00E6668B"/>
    <w:rsid w:val="00E7079E"/>
    <w:rsid w:val="00E83D19"/>
    <w:rsid w:val="00E87889"/>
    <w:rsid w:val="00ED038D"/>
    <w:rsid w:val="00EE19A1"/>
    <w:rsid w:val="00F04E89"/>
    <w:rsid w:val="00F140E4"/>
    <w:rsid w:val="00F36973"/>
    <w:rsid w:val="00F854BE"/>
    <w:rsid w:val="00FA181D"/>
    <w:rsid w:val="00FA1913"/>
    <w:rsid w:val="00FC4D9E"/>
    <w:rsid w:val="00FD6545"/>
    <w:rsid w:val="00FF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D6D8"/>
  <w15:docId w15:val="{0700B791-FA6A-457E-8B65-A393144E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E5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E9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14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E9A"/>
    <w:rPr>
      <w:lang w:val="en-ZA"/>
    </w:rPr>
  </w:style>
  <w:style w:type="paragraph" w:customStyle="1" w:styleId="form-control-static">
    <w:name w:val="form-control-static"/>
    <w:basedOn w:val="Normal"/>
    <w:rsid w:val="00214E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14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E9A"/>
    <w:rPr>
      <w:lang w:val="en-ZA"/>
    </w:rPr>
  </w:style>
  <w:style w:type="paragraph" w:styleId="NoSpacing">
    <w:name w:val="No Spacing"/>
    <w:uiPriority w:val="1"/>
    <w:qFormat/>
    <w:rsid w:val="00214E9A"/>
    <w:pPr>
      <w:spacing w:after="0" w:line="240" w:lineRule="auto"/>
    </w:pPr>
    <w:rPr>
      <w:rFonts w:ascii="Calibri" w:eastAsia="Calibri" w:hAnsi="Calibri" w:cs="Calibri"/>
      <w:color w:val="000000"/>
      <w:lang w:val="en-ZA" w:eastAsia="en-ZA"/>
    </w:rPr>
  </w:style>
  <w:style w:type="character" w:styleId="Strong">
    <w:name w:val="Strong"/>
    <w:basedOn w:val="DefaultParagraphFont"/>
    <w:uiPriority w:val="22"/>
    <w:qFormat/>
    <w:rsid w:val="00214E9A"/>
    <w:rPr>
      <w:b/>
      <w:bCs/>
    </w:rPr>
  </w:style>
  <w:style w:type="paragraph" w:styleId="NormalWeb">
    <w:name w:val="Normal (Web)"/>
    <w:basedOn w:val="Normal"/>
    <w:uiPriority w:val="99"/>
    <w:unhideWhenUsed/>
    <w:rsid w:val="00214E9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qFormat/>
    <w:rsid w:val="00494856"/>
    <w:pPr>
      <w:spacing w:after="0" w:line="360" w:lineRule="auto"/>
      <w:jc w:val="both"/>
    </w:pPr>
    <w:rPr>
      <w:rFonts w:ascii="Arial Narrow" w:hAnsi="Arial Narrow"/>
      <w:sz w:val="20"/>
      <w:szCs w:val="20"/>
    </w:rPr>
  </w:style>
  <w:style w:type="character" w:customStyle="1" w:styleId="FootnoteTextChar">
    <w:name w:val="Footnote Text Char"/>
    <w:basedOn w:val="DefaultParagraphFont"/>
    <w:link w:val="FootnoteText"/>
    <w:uiPriority w:val="99"/>
    <w:rsid w:val="00494856"/>
    <w:rPr>
      <w:rFonts w:ascii="Arial Narrow" w:hAnsi="Arial Narrow"/>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214E9A"/>
    <w:rPr>
      <w:vertAlign w:val="superscript"/>
    </w:rPr>
  </w:style>
  <w:style w:type="paragraph" w:styleId="BalloonText">
    <w:name w:val="Balloon Text"/>
    <w:basedOn w:val="Normal"/>
    <w:link w:val="BalloonTextChar"/>
    <w:uiPriority w:val="99"/>
    <w:semiHidden/>
    <w:unhideWhenUsed/>
    <w:rsid w:val="006F0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A84"/>
    <w:rPr>
      <w:rFonts w:ascii="Tahoma" w:hAnsi="Tahoma" w:cs="Tahoma"/>
      <w:sz w:val="16"/>
      <w:szCs w:val="16"/>
      <w:lang w:val="en-ZA"/>
    </w:rPr>
  </w:style>
  <w:style w:type="paragraph" w:styleId="ListParagraph">
    <w:name w:val="List Paragraph"/>
    <w:aliases w:val="Bullet Main"/>
    <w:basedOn w:val="Normal"/>
    <w:link w:val="ListParagraphChar"/>
    <w:uiPriority w:val="34"/>
    <w:qFormat/>
    <w:rsid w:val="001222F1"/>
    <w:pPr>
      <w:ind w:left="720"/>
      <w:contextualSpacing/>
    </w:pPr>
    <w:rPr>
      <w:lang w:val="en-US"/>
    </w:rPr>
  </w:style>
  <w:style w:type="paragraph" w:styleId="BodyText">
    <w:name w:val="Body Text"/>
    <w:basedOn w:val="Normal"/>
    <w:link w:val="BodyTextChar"/>
    <w:rsid w:val="001222F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222F1"/>
    <w:rPr>
      <w:rFonts w:ascii="Times New Roman" w:eastAsia="Times New Roman" w:hAnsi="Times New Roman" w:cs="Times New Roman"/>
      <w:sz w:val="24"/>
      <w:szCs w:val="24"/>
      <w:lang w:val="en-GB"/>
    </w:rPr>
  </w:style>
  <w:style w:type="paragraph" w:customStyle="1" w:styleId="western">
    <w:name w:val="western"/>
    <w:basedOn w:val="Normal"/>
    <w:rsid w:val="001222F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ListParagraphChar">
    <w:name w:val="List Paragraph Char"/>
    <w:aliases w:val="Bullet Main Char"/>
    <w:link w:val="ListParagraph"/>
    <w:uiPriority w:val="34"/>
    <w:locked/>
    <w:rsid w:val="001222F1"/>
  </w:style>
  <w:style w:type="character" w:styleId="Emphasis">
    <w:name w:val="Emphasis"/>
    <w:basedOn w:val="DefaultParagraphFont"/>
    <w:uiPriority w:val="20"/>
    <w:qFormat/>
    <w:rsid w:val="00B30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9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2021-12-06T18:30:00+00:00</Judgment_x0020_Date>
    <Year xmlns="c1afb1bd-f2fb-40fd-9abb-aea55b4d7662">2021</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DE16-41C4-4335-AE74-93A47027295F}">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4A4BF831-8F72-4411-BDE9-8DD4A23FD7D1}">
  <ds:schemaRefs>
    <ds:schemaRef ds:uri="http://schemas.microsoft.com/sharepoint/v3/contenttype/forms"/>
  </ds:schemaRefs>
</ds:datastoreItem>
</file>

<file path=customXml/itemProps3.xml><?xml version="1.0" encoding="utf-8"?>
<ds:datastoreItem xmlns:ds="http://schemas.openxmlformats.org/officeDocument/2006/customXml" ds:itemID="{40F30C6E-0ED3-4BE5-81E7-19244430D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D82AA-5ACD-4942-A3F0-366D5810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Kamwi v Gertze (HC-MD-CIV-ACT-CON-2021-02706) [2021] NAHCMD 572 (7 December 2021)</dc:title>
  <dc:creator>Priscilla Nande</dc:creator>
  <cp:lastModifiedBy>HOME</cp:lastModifiedBy>
  <cp:revision>3</cp:revision>
  <cp:lastPrinted>2021-12-12T06:15:00Z</cp:lastPrinted>
  <dcterms:created xsi:type="dcterms:W3CDTF">2021-12-21T05:56:00Z</dcterms:created>
  <dcterms:modified xsi:type="dcterms:W3CDTF">2021-12-21T06:04:00Z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