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0D42" w14:textId="77777777" w:rsidR="009E0F96" w:rsidRPr="008C121A" w:rsidRDefault="009E0F96" w:rsidP="009E0F96">
      <w:pPr>
        <w:spacing w:after="0" w:line="360" w:lineRule="auto"/>
        <w:jc w:val="center"/>
        <w:rPr>
          <w:rFonts w:ascii="Arial" w:eastAsia="Calibri" w:hAnsi="Arial" w:cs="Arial"/>
          <w:b/>
          <w:sz w:val="24"/>
          <w:szCs w:val="24"/>
          <w:lang w:val="en-US"/>
        </w:rPr>
      </w:pPr>
      <w:r w:rsidRPr="008C121A">
        <w:rPr>
          <w:rFonts w:ascii="Arial" w:eastAsia="Calibri" w:hAnsi="Arial" w:cs="Arial"/>
          <w:noProof/>
          <w:sz w:val="24"/>
          <w:szCs w:val="24"/>
          <w:lang w:val="en-GB" w:eastAsia="en-GB"/>
        </w:rPr>
        <mc:AlternateContent>
          <mc:Choice Requires="wps">
            <w:drawing>
              <wp:anchor distT="0" distB="0" distL="114300" distR="114300" simplePos="0" relativeHeight="251659264" behindDoc="0" locked="0" layoutInCell="1" allowOverlap="1" wp14:anchorId="35288EFD" wp14:editId="70025AA5">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3DD7D10C" w14:textId="77777777" w:rsidR="00981B6C" w:rsidRDefault="00981B6C" w:rsidP="009E0F9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C946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81B6C" w:rsidRDefault="00981B6C" w:rsidP="009E0F96">
                      <w:pPr>
                        <w:jc w:val="right"/>
                      </w:pPr>
                    </w:p>
                  </w:txbxContent>
                </v:textbox>
              </v:shape>
            </w:pict>
          </mc:Fallback>
        </mc:AlternateContent>
      </w:r>
      <w:r w:rsidRPr="008C121A">
        <w:rPr>
          <w:rFonts w:ascii="Arial" w:eastAsia="Calibri" w:hAnsi="Arial" w:cs="Arial"/>
          <w:b/>
          <w:sz w:val="24"/>
          <w:szCs w:val="24"/>
          <w:lang w:val="en-US"/>
        </w:rPr>
        <w:t>REPUBLIC OF NAMIBIA</w:t>
      </w:r>
    </w:p>
    <w:p w14:paraId="58EF8E31" w14:textId="77777777" w:rsidR="009E0F96" w:rsidRPr="008C121A" w:rsidRDefault="009E0F96" w:rsidP="009E0F96">
      <w:pPr>
        <w:spacing w:after="0" w:line="360" w:lineRule="auto"/>
        <w:ind w:left="2880" w:firstLine="720"/>
        <w:jc w:val="both"/>
        <w:rPr>
          <w:rFonts w:ascii="Arial" w:eastAsia="Calibri" w:hAnsi="Arial" w:cs="Arial"/>
          <w:b/>
          <w:sz w:val="24"/>
          <w:szCs w:val="24"/>
          <w:lang w:val="en-US"/>
        </w:rPr>
      </w:pPr>
      <w:r w:rsidRPr="008C121A">
        <w:rPr>
          <w:rFonts w:ascii="Arial" w:eastAsia="Calibri" w:hAnsi="Arial" w:cs="Arial"/>
          <w:b/>
          <w:noProof/>
          <w:sz w:val="24"/>
          <w:szCs w:val="24"/>
          <w:lang w:val="en-GB" w:eastAsia="en-GB"/>
        </w:rPr>
        <w:drawing>
          <wp:inline distT="0" distB="0" distL="0" distR="0" wp14:anchorId="255C6ADF" wp14:editId="657CBB76">
            <wp:extent cx="1280160" cy="1325880"/>
            <wp:effectExtent l="0" t="0" r="0" b="762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p w14:paraId="792ED93F" w14:textId="77777777" w:rsidR="009E0F96" w:rsidRPr="008C121A" w:rsidRDefault="009E0F96" w:rsidP="009E0F96">
      <w:pPr>
        <w:spacing w:after="0" w:line="360" w:lineRule="auto"/>
        <w:ind w:left="720" w:firstLine="720"/>
        <w:jc w:val="both"/>
        <w:rPr>
          <w:rFonts w:ascii="Arial" w:eastAsia="Calibri" w:hAnsi="Arial" w:cs="Arial"/>
          <w:bCs/>
          <w:sz w:val="24"/>
          <w:szCs w:val="24"/>
          <w:lang w:val="en-US"/>
        </w:rPr>
      </w:pPr>
      <w:r w:rsidRPr="008C121A">
        <w:rPr>
          <w:rFonts w:ascii="Arial" w:eastAsia="Calibri" w:hAnsi="Arial" w:cs="Arial"/>
          <w:b/>
          <w:sz w:val="24"/>
          <w:szCs w:val="24"/>
          <w:lang w:val="en-US"/>
        </w:rPr>
        <w:t>HIGH COURT OF NAMIBIA MAIN DIVISION, WINDHOEK</w:t>
      </w:r>
    </w:p>
    <w:p w14:paraId="155131DC" w14:textId="77777777" w:rsidR="009E0F96" w:rsidRPr="008C121A" w:rsidRDefault="009E0F96" w:rsidP="009E0F96">
      <w:pPr>
        <w:tabs>
          <w:tab w:val="right" w:pos="9000"/>
        </w:tabs>
        <w:spacing w:after="0" w:line="360" w:lineRule="auto"/>
        <w:jc w:val="both"/>
        <w:rPr>
          <w:rFonts w:ascii="Arial" w:eastAsia="Calibri" w:hAnsi="Arial" w:cs="Arial"/>
          <w:b/>
          <w:sz w:val="24"/>
          <w:szCs w:val="24"/>
          <w:lang w:val="en-US"/>
        </w:rPr>
      </w:pPr>
      <w:r w:rsidRPr="008C121A">
        <w:rPr>
          <w:rFonts w:ascii="Arial" w:eastAsia="Calibri" w:hAnsi="Arial" w:cs="Arial"/>
          <w:b/>
          <w:sz w:val="24"/>
          <w:szCs w:val="24"/>
          <w:lang w:val="en-US"/>
        </w:rPr>
        <w:tab/>
      </w:r>
    </w:p>
    <w:p w14:paraId="66F29505" w14:textId="77777777" w:rsidR="009E0F96" w:rsidRPr="008C121A" w:rsidRDefault="009E0F96" w:rsidP="009E0F96">
      <w:pPr>
        <w:spacing w:after="0" w:line="240" w:lineRule="auto"/>
        <w:ind w:left="3600"/>
        <w:jc w:val="right"/>
        <w:rPr>
          <w:rFonts w:ascii="Arial" w:eastAsia="Times New Roman" w:hAnsi="Arial" w:cs="Arial"/>
          <w:color w:val="000000"/>
          <w:sz w:val="24"/>
          <w:szCs w:val="24"/>
          <w:lang w:val="en-US"/>
        </w:rPr>
      </w:pPr>
      <w:r w:rsidRPr="008C121A">
        <w:rPr>
          <w:rFonts w:ascii="Arial" w:eastAsia="Calibri" w:hAnsi="Arial" w:cs="Arial"/>
          <w:sz w:val="24"/>
          <w:szCs w:val="24"/>
          <w:lang w:val="en-US"/>
        </w:rPr>
        <w:t>Case no</w:t>
      </w:r>
      <w:r w:rsidRPr="008C121A">
        <w:rPr>
          <w:rFonts w:ascii="Arial" w:eastAsia="Calibri" w:hAnsi="Arial" w:cs="Arial"/>
          <w:b/>
          <w:sz w:val="24"/>
          <w:szCs w:val="24"/>
          <w:lang w:val="en-US"/>
        </w:rPr>
        <w:t>:</w:t>
      </w:r>
      <w:r w:rsidRPr="008C121A">
        <w:rPr>
          <w:rFonts w:ascii="Arial" w:eastAsia="Times New Roman" w:hAnsi="Arial" w:cs="Arial"/>
          <w:b/>
          <w:color w:val="000000"/>
          <w:sz w:val="24"/>
          <w:szCs w:val="24"/>
          <w:lang w:val="en-US"/>
        </w:rPr>
        <w:t xml:space="preserve"> </w:t>
      </w:r>
      <w:r w:rsidRPr="008C121A">
        <w:rPr>
          <w:rFonts w:ascii="Arial" w:eastAsia="Times New Roman" w:hAnsi="Arial" w:cs="Arial"/>
          <w:color w:val="000000"/>
          <w:sz w:val="24"/>
          <w:szCs w:val="24"/>
        </w:rPr>
        <w:t>HC-MD-CIV-MOT-GEN-2022/00233</w:t>
      </w:r>
    </w:p>
    <w:p w14:paraId="034BC154" w14:textId="77777777" w:rsidR="009E0F96" w:rsidRPr="008C121A" w:rsidRDefault="009E0F96" w:rsidP="009E0F96">
      <w:pPr>
        <w:tabs>
          <w:tab w:val="right" w:pos="9000"/>
        </w:tabs>
        <w:spacing w:after="0" w:line="360" w:lineRule="auto"/>
        <w:jc w:val="both"/>
        <w:rPr>
          <w:rFonts w:ascii="Arial" w:eastAsia="Calibri" w:hAnsi="Arial" w:cs="Arial"/>
          <w:b/>
          <w:sz w:val="24"/>
          <w:szCs w:val="24"/>
          <w:lang w:val="en-US"/>
        </w:rPr>
      </w:pPr>
    </w:p>
    <w:p w14:paraId="0C446532" w14:textId="77777777" w:rsidR="009E0F96" w:rsidRPr="008C121A" w:rsidRDefault="009E0F96" w:rsidP="009E0F96">
      <w:pPr>
        <w:spacing w:after="0" w:line="360" w:lineRule="auto"/>
        <w:jc w:val="both"/>
        <w:rPr>
          <w:rFonts w:ascii="Arial" w:eastAsia="Calibri" w:hAnsi="Arial" w:cs="Arial"/>
          <w:sz w:val="24"/>
          <w:szCs w:val="24"/>
          <w:lang w:val="en-US"/>
        </w:rPr>
      </w:pPr>
    </w:p>
    <w:p w14:paraId="36EAF30D" w14:textId="77777777" w:rsidR="009E0F96" w:rsidRPr="008C121A" w:rsidRDefault="009E0F96" w:rsidP="009E0F96">
      <w:pPr>
        <w:spacing w:after="0" w:line="360" w:lineRule="auto"/>
        <w:jc w:val="both"/>
        <w:rPr>
          <w:rFonts w:ascii="Arial" w:eastAsia="Calibri" w:hAnsi="Arial" w:cs="Arial"/>
          <w:sz w:val="24"/>
          <w:szCs w:val="24"/>
          <w:lang w:val="en-US"/>
        </w:rPr>
      </w:pPr>
      <w:r w:rsidRPr="008C121A">
        <w:rPr>
          <w:rFonts w:ascii="Arial" w:eastAsia="Calibri" w:hAnsi="Arial" w:cs="Arial"/>
          <w:sz w:val="24"/>
          <w:szCs w:val="24"/>
          <w:lang w:val="en-US"/>
        </w:rPr>
        <w:t>In the matter between:</w:t>
      </w:r>
    </w:p>
    <w:p w14:paraId="6E7B19EB" w14:textId="77777777" w:rsidR="009E0F96" w:rsidRPr="008C121A" w:rsidRDefault="009E0F96" w:rsidP="009E0F96">
      <w:pPr>
        <w:spacing w:after="0" w:line="360" w:lineRule="auto"/>
        <w:jc w:val="both"/>
        <w:rPr>
          <w:rFonts w:ascii="Arial" w:eastAsia="Times New Roman" w:hAnsi="Arial" w:cs="Arial"/>
          <w:b/>
          <w:color w:val="000000"/>
          <w:sz w:val="24"/>
          <w:szCs w:val="24"/>
          <w:lang w:val="en-US"/>
        </w:rPr>
      </w:pPr>
    </w:p>
    <w:p w14:paraId="039E45FC" w14:textId="77777777" w:rsidR="009E0F96" w:rsidRPr="008C121A" w:rsidRDefault="00391051" w:rsidP="009E0F96">
      <w:pPr>
        <w:tabs>
          <w:tab w:val="right" w:pos="9356"/>
        </w:tabs>
        <w:spacing w:after="0" w:line="360" w:lineRule="auto"/>
        <w:rPr>
          <w:rFonts w:ascii="Arial" w:eastAsia="Calibri" w:hAnsi="Arial" w:cs="Arial"/>
          <w:b/>
          <w:sz w:val="24"/>
          <w:szCs w:val="24"/>
          <w:lang w:val="en-US"/>
        </w:rPr>
      </w:pPr>
      <w:r w:rsidRPr="008C121A">
        <w:rPr>
          <w:rFonts w:ascii="Arial" w:eastAsia="Calibri" w:hAnsi="Arial" w:cs="Arial"/>
          <w:b/>
          <w:sz w:val="24"/>
          <w:szCs w:val="24"/>
          <w:lang w:val="en-US"/>
        </w:rPr>
        <w:t>NAMIBIA AIRPORTS COMPANY LIMI</w:t>
      </w:r>
      <w:r w:rsidR="009E0F96" w:rsidRPr="008C121A">
        <w:rPr>
          <w:rFonts w:ascii="Arial" w:eastAsia="Calibri" w:hAnsi="Arial" w:cs="Arial"/>
          <w:b/>
          <w:sz w:val="24"/>
          <w:szCs w:val="24"/>
          <w:lang w:val="en-US"/>
        </w:rPr>
        <w:t>TED</w:t>
      </w:r>
      <w:r w:rsidR="009E0F96" w:rsidRPr="008C121A">
        <w:rPr>
          <w:rFonts w:ascii="Arial" w:eastAsia="Calibri" w:hAnsi="Arial" w:cs="Arial"/>
          <w:b/>
          <w:sz w:val="24"/>
          <w:szCs w:val="24"/>
          <w:lang w:val="en-US"/>
        </w:rPr>
        <w:tab/>
        <w:t xml:space="preserve">APPLICANT                                                    </w:t>
      </w:r>
    </w:p>
    <w:p w14:paraId="69EF8087" w14:textId="77777777" w:rsidR="009E0F96" w:rsidRPr="008C121A" w:rsidRDefault="009E0F96" w:rsidP="009E0F96">
      <w:pPr>
        <w:tabs>
          <w:tab w:val="right" w:pos="9356"/>
        </w:tabs>
        <w:spacing w:after="0" w:line="360" w:lineRule="auto"/>
        <w:rPr>
          <w:rFonts w:ascii="Arial" w:eastAsia="Calibri" w:hAnsi="Arial" w:cs="Arial"/>
          <w:b/>
          <w:sz w:val="24"/>
          <w:szCs w:val="24"/>
          <w:lang w:val="en-US"/>
        </w:rPr>
      </w:pPr>
    </w:p>
    <w:p w14:paraId="2422ACC9" w14:textId="77777777" w:rsidR="009E0F96" w:rsidRPr="008C121A" w:rsidRDefault="009E0F96" w:rsidP="009E0F96">
      <w:pPr>
        <w:tabs>
          <w:tab w:val="right" w:pos="9356"/>
        </w:tabs>
        <w:spacing w:after="0" w:line="360" w:lineRule="auto"/>
        <w:rPr>
          <w:rFonts w:ascii="Arial" w:eastAsia="Calibri" w:hAnsi="Arial" w:cs="Arial"/>
          <w:bCs/>
          <w:sz w:val="24"/>
          <w:szCs w:val="24"/>
          <w:lang w:val="en-US"/>
        </w:rPr>
      </w:pPr>
      <w:r w:rsidRPr="008C121A">
        <w:rPr>
          <w:rFonts w:ascii="Arial" w:eastAsia="Calibri" w:hAnsi="Arial" w:cs="Arial"/>
          <w:bCs/>
          <w:sz w:val="24"/>
          <w:szCs w:val="24"/>
          <w:lang w:val="en-US"/>
        </w:rPr>
        <w:t>and</w:t>
      </w:r>
    </w:p>
    <w:p w14:paraId="614B6A84" w14:textId="77777777" w:rsidR="009E0F96" w:rsidRPr="008C121A" w:rsidRDefault="009E0F96" w:rsidP="009E0F96">
      <w:pPr>
        <w:tabs>
          <w:tab w:val="right" w:pos="9356"/>
        </w:tabs>
        <w:spacing w:after="0" w:line="360" w:lineRule="auto"/>
        <w:rPr>
          <w:rFonts w:ascii="Arial" w:eastAsia="Calibri" w:hAnsi="Arial" w:cs="Arial"/>
          <w:b/>
          <w:sz w:val="24"/>
          <w:szCs w:val="24"/>
          <w:lang w:val="en-US"/>
        </w:rPr>
      </w:pPr>
    </w:p>
    <w:p w14:paraId="25423F71" w14:textId="77777777" w:rsidR="009E0F96" w:rsidRPr="008C121A" w:rsidRDefault="009E0F96" w:rsidP="009E0F96">
      <w:pPr>
        <w:tabs>
          <w:tab w:val="right" w:pos="9356"/>
        </w:tabs>
        <w:spacing w:after="0" w:line="360" w:lineRule="auto"/>
        <w:rPr>
          <w:rFonts w:ascii="Arial" w:eastAsia="Calibri" w:hAnsi="Arial" w:cs="Arial"/>
          <w:b/>
          <w:sz w:val="24"/>
          <w:szCs w:val="24"/>
          <w:lang w:val="en-US"/>
        </w:rPr>
      </w:pPr>
      <w:r w:rsidRPr="008C121A">
        <w:rPr>
          <w:rFonts w:ascii="Arial" w:eastAsia="Calibri" w:hAnsi="Arial" w:cs="Arial"/>
          <w:b/>
          <w:sz w:val="24"/>
          <w:szCs w:val="24"/>
          <w:lang w:val="en-US"/>
        </w:rPr>
        <w:t xml:space="preserve">MENZIES AVIATION </w:t>
      </w:r>
      <w:r w:rsidR="00391051" w:rsidRPr="008C121A">
        <w:rPr>
          <w:rFonts w:ascii="Arial" w:eastAsia="Calibri" w:hAnsi="Arial" w:cs="Arial"/>
          <w:b/>
          <w:sz w:val="24"/>
          <w:szCs w:val="24"/>
          <w:lang w:val="en-US"/>
        </w:rPr>
        <w:t>NAMIBIA (</w:t>
      </w:r>
      <w:r w:rsidRPr="008C121A">
        <w:rPr>
          <w:rFonts w:ascii="Arial" w:eastAsia="Calibri" w:hAnsi="Arial" w:cs="Arial"/>
          <w:b/>
          <w:sz w:val="24"/>
          <w:szCs w:val="24"/>
          <w:lang w:val="en-US"/>
        </w:rPr>
        <w:t>P</w:t>
      </w:r>
      <w:r w:rsidR="00391051" w:rsidRPr="008C121A">
        <w:rPr>
          <w:rFonts w:ascii="Arial" w:eastAsia="Calibri" w:hAnsi="Arial" w:cs="Arial"/>
          <w:b/>
          <w:sz w:val="24"/>
          <w:szCs w:val="24"/>
          <w:lang w:val="en-US"/>
        </w:rPr>
        <w:t>TY)</w:t>
      </w:r>
      <w:r w:rsidRPr="008C121A">
        <w:rPr>
          <w:rFonts w:ascii="Arial" w:eastAsia="Calibri" w:hAnsi="Arial" w:cs="Arial"/>
          <w:b/>
          <w:sz w:val="24"/>
          <w:szCs w:val="24"/>
          <w:lang w:val="en-US"/>
        </w:rPr>
        <w:t xml:space="preserve"> LIMITED</w:t>
      </w:r>
      <w:r w:rsidRPr="008C121A">
        <w:rPr>
          <w:rFonts w:ascii="Arial" w:eastAsia="Calibri" w:hAnsi="Arial" w:cs="Arial"/>
          <w:b/>
          <w:sz w:val="24"/>
          <w:szCs w:val="24"/>
          <w:lang w:val="en-US"/>
        </w:rPr>
        <w:tab/>
        <w:t>1</w:t>
      </w:r>
      <w:r w:rsidRPr="008C121A">
        <w:rPr>
          <w:rFonts w:ascii="Arial" w:eastAsia="Calibri" w:hAnsi="Arial" w:cs="Arial"/>
          <w:b/>
          <w:sz w:val="24"/>
          <w:szCs w:val="24"/>
          <w:vertAlign w:val="superscript"/>
          <w:lang w:val="en-US"/>
        </w:rPr>
        <w:t>ST</w:t>
      </w:r>
      <w:r w:rsidRPr="008C121A">
        <w:rPr>
          <w:rFonts w:ascii="Arial" w:eastAsia="Calibri" w:hAnsi="Arial" w:cs="Arial"/>
          <w:b/>
          <w:sz w:val="24"/>
          <w:szCs w:val="24"/>
          <w:lang w:val="en-US"/>
        </w:rPr>
        <w:t xml:space="preserve"> RESPONDENT</w:t>
      </w:r>
    </w:p>
    <w:p w14:paraId="7988A4B2" w14:textId="77777777" w:rsidR="009E0F96" w:rsidRPr="008C121A" w:rsidRDefault="00391051" w:rsidP="009E0F96">
      <w:pPr>
        <w:tabs>
          <w:tab w:val="right" w:pos="9356"/>
        </w:tabs>
        <w:spacing w:after="0" w:line="360" w:lineRule="auto"/>
        <w:rPr>
          <w:rFonts w:ascii="Arial" w:eastAsia="Calibri" w:hAnsi="Arial" w:cs="Arial"/>
          <w:b/>
          <w:sz w:val="24"/>
          <w:szCs w:val="24"/>
          <w:lang w:val="en-US"/>
        </w:rPr>
      </w:pPr>
      <w:r w:rsidRPr="008C121A">
        <w:rPr>
          <w:rFonts w:ascii="Arial" w:eastAsia="Calibri" w:hAnsi="Arial" w:cs="Arial"/>
          <w:b/>
          <w:sz w:val="24"/>
          <w:szCs w:val="24"/>
          <w:lang w:val="en-US"/>
        </w:rPr>
        <w:t xml:space="preserve">PARAGON INVESTMENT HOLDINGS (PTY) LTD </w:t>
      </w:r>
    </w:p>
    <w:p w14:paraId="0A2327EB" w14:textId="77777777" w:rsidR="009E0F96" w:rsidRPr="008C121A" w:rsidRDefault="00533082" w:rsidP="009E0F96">
      <w:pPr>
        <w:tabs>
          <w:tab w:val="right" w:pos="9356"/>
        </w:tabs>
        <w:spacing w:after="0" w:line="360" w:lineRule="auto"/>
        <w:rPr>
          <w:rFonts w:ascii="Arial" w:eastAsia="Calibri" w:hAnsi="Arial" w:cs="Arial"/>
          <w:b/>
          <w:sz w:val="24"/>
          <w:szCs w:val="24"/>
          <w:lang w:val="en-US"/>
        </w:rPr>
      </w:pPr>
      <w:r>
        <w:rPr>
          <w:rFonts w:ascii="Arial" w:eastAsia="Calibri" w:hAnsi="Arial" w:cs="Arial"/>
          <w:b/>
          <w:sz w:val="24"/>
          <w:szCs w:val="24"/>
          <w:lang w:val="en-US"/>
        </w:rPr>
        <w:t>JOI</w:t>
      </w:r>
      <w:r w:rsidR="00391051" w:rsidRPr="008C121A">
        <w:rPr>
          <w:rFonts w:ascii="Arial" w:eastAsia="Calibri" w:hAnsi="Arial" w:cs="Arial"/>
          <w:b/>
          <w:sz w:val="24"/>
          <w:szCs w:val="24"/>
          <w:lang w:val="en-US"/>
        </w:rPr>
        <w:t xml:space="preserve">NT VENTURE </w:t>
      </w:r>
      <w:r w:rsidR="009E0F96" w:rsidRPr="008C121A">
        <w:rPr>
          <w:rFonts w:ascii="Arial" w:eastAsia="Calibri" w:hAnsi="Arial" w:cs="Arial"/>
          <w:b/>
          <w:sz w:val="24"/>
          <w:szCs w:val="24"/>
          <w:lang w:val="en-US"/>
        </w:rPr>
        <w:t>ETHIOPIAN AIRLINES</w:t>
      </w:r>
      <w:r w:rsidR="009E0F96" w:rsidRPr="008C121A">
        <w:rPr>
          <w:rFonts w:ascii="Arial" w:eastAsia="Calibri" w:hAnsi="Arial" w:cs="Arial"/>
          <w:b/>
          <w:sz w:val="24"/>
          <w:szCs w:val="24"/>
          <w:lang w:val="en-US"/>
        </w:rPr>
        <w:tab/>
        <w:t>2</w:t>
      </w:r>
      <w:r w:rsidR="009E0F96" w:rsidRPr="008C121A">
        <w:rPr>
          <w:rFonts w:ascii="Arial" w:eastAsia="Calibri" w:hAnsi="Arial" w:cs="Arial"/>
          <w:b/>
          <w:sz w:val="24"/>
          <w:szCs w:val="24"/>
          <w:vertAlign w:val="superscript"/>
          <w:lang w:val="en-US"/>
        </w:rPr>
        <w:t>ND</w:t>
      </w:r>
      <w:r w:rsidR="009E0F96" w:rsidRPr="008C121A">
        <w:rPr>
          <w:rFonts w:ascii="Arial" w:eastAsia="Calibri" w:hAnsi="Arial" w:cs="Arial"/>
          <w:b/>
          <w:sz w:val="24"/>
          <w:szCs w:val="24"/>
          <w:lang w:val="en-US"/>
        </w:rPr>
        <w:t xml:space="preserve"> RESPONDENT</w:t>
      </w:r>
    </w:p>
    <w:p w14:paraId="01BF218A" w14:textId="77777777" w:rsidR="009E0F96" w:rsidRPr="008C121A" w:rsidRDefault="009E0F96" w:rsidP="009E0F96">
      <w:pPr>
        <w:tabs>
          <w:tab w:val="right" w:pos="9356"/>
        </w:tabs>
        <w:spacing w:after="0" w:line="360" w:lineRule="auto"/>
        <w:rPr>
          <w:rFonts w:ascii="Arial" w:eastAsia="Calibri" w:hAnsi="Arial" w:cs="Arial"/>
          <w:b/>
          <w:sz w:val="24"/>
          <w:szCs w:val="24"/>
          <w:lang w:val="en-US"/>
        </w:rPr>
      </w:pPr>
    </w:p>
    <w:p w14:paraId="1C766355" w14:textId="77777777" w:rsidR="009E0F96" w:rsidRPr="008C121A" w:rsidRDefault="009E0F96" w:rsidP="00B40371">
      <w:pPr>
        <w:tabs>
          <w:tab w:val="right" w:pos="9356"/>
        </w:tabs>
        <w:spacing w:after="0" w:line="360" w:lineRule="auto"/>
        <w:ind w:left="1935" w:hanging="1935"/>
        <w:jc w:val="both"/>
        <w:rPr>
          <w:rFonts w:ascii="Arial" w:eastAsia="Calibri" w:hAnsi="Arial" w:cs="Arial"/>
          <w:b/>
          <w:sz w:val="24"/>
          <w:szCs w:val="24"/>
          <w:lang w:val="en-US"/>
        </w:rPr>
      </w:pPr>
      <w:r w:rsidRPr="008C121A">
        <w:rPr>
          <w:rFonts w:ascii="Arial" w:eastAsia="Calibri" w:hAnsi="Arial" w:cs="Arial"/>
          <w:b/>
          <w:sz w:val="24"/>
          <w:szCs w:val="24"/>
          <w:lang w:val="en-US"/>
        </w:rPr>
        <w:t>Neutral Citation</w:t>
      </w:r>
      <w:r w:rsidRPr="008C121A">
        <w:rPr>
          <w:rFonts w:ascii="Arial" w:eastAsia="Calibri" w:hAnsi="Arial" w:cs="Arial"/>
          <w:b/>
          <w:i/>
          <w:sz w:val="24"/>
          <w:szCs w:val="24"/>
          <w:lang w:val="en-US"/>
        </w:rPr>
        <w:t xml:space="preserve">: </w:t>
      </w:r>
      <w:r w:rsidR="00B40371">
        <w:rPr>
          <w:rFonts w:ascii="Arial" w:eastAsia="Calibri" w:hAnsi="Arial" w:cs="Arial"/>
          <w:b/>
          <w:i/>
          <w:sz w:val="24"/>
          <w:szCs w:val="24"/>
          <w:lang w:val="en-US"/>
        </w:rPr>
        <w:tab/>
      </w:r>
      <w:r w:rsidRPr="008C121A">
        <w:rPr>
          <w:rFonts w:ascii="Arial" w:eastAsia="Calibri" w:hAnsi="Arial" w:cs="Arial"/>
          <w:i/>
          <w:sz w:val="24"/>
          <w:szCs w:val="24"/>
          <w:lang w:val="en-US"/>
        </w:rPr>
        <w:t>Namibia Airports Company Limited v M</w:t>
      </w:r>
      <w:r w:rsidR="00391051" w:rsidRPr="008C121A">
        <w:rPr>
          <w:rFonts w:ascii="Arial" w:eastAsia="Calibri" w:hAnsi="Arial" w:cs="Arial"/>
          <w:i/>
          <w:sz w:val="24"/>
          <w:szCs w:val="24"/>
          <w:lang w:val="en-US"/>
        </w:rPr>
        <w:t xml:space="preserve">enzies Aviation </w:t>
      </w:r>
      <w:r w:rsidRPr="008C121A">
        <w:rPr>
          <w:rFonts w:ascii="Arial" w:eastAsia="Calibri" w:hAnsi="Arial" w:cs="Arial"/>
          <w:i/>
          <w:sz w:val="24"/>
          <w:szCs w:val="24"/>
          <w:lang w:val="en-US"/>
        </w:rPr>
        <w:t xml:space="preserve">Namibia </w:t>
      </w:r>
      <w:r w:rsidR="00391051" w:rsidRPr="008C121A">
        <w:rPr>
          <w:rFonts w:ascii="Arial" w:eastAsia="Calibri" w:hAnsi="Arial" w:cs="Arial"/>
          <w:i/>
          <w:sz w:val="24"/>
          <w:szCs w:val="24"/>
          <w:lang w:val="en-US"/>
        </w:rPr>
        <w:t xml:space="preserve">(Pty) Ltd </w:t>
      </w:r>
      <w:r w:rsidRPr="008C121A">
        <w:rPr>
          <w:rFonts w:ascii="Arial" w:eastAsia="Calibri" w:hAnsi="Arial" w:cs="Arial"/>
          <w:i/>
          <w:sz w:val="24"/>
          <w:szCs w:val="24"/>
          <w:lang w:val="en-US"/>
        </w:rPr>
        <w:t xml:space="preserve">and </w:t>
      </w:r>
      <w:r w:rsidR="00391051" w:rsidRPr="008C121A">
        <w:rPr>
          <w:rFonts w:ascii="Arial" w:eastAsia="Calibri" w:hAnsi="Arial" w:cs="Arial"/>
          <w:i/>
          <w:sz w:val="24"/>
          <w:szCs w:val="24"/>
          <w:lang w:val="en-US"/>
        </w:rPr>
        <w:t>Another</w:t>
      </w:r>
      <w:r w:rsidRPr="008C121A">
        <w:rPr>
          <w:rFonts w:ascii="Arial" w:eastAsia="Calibri" w:hAnsi="Arial" w:cs="Arial"/>
          <w:i/>
          <w:sz w:val="24"/>
          <w:szCs w:val="24"/>
          <w:lang w:val="en-US"/>
        </w:rPr>
        <w:t xml:space="preserve"> </w:t>
      </w:r>
      <w:r w:rsidRPr="008C121A">
        <w:rPr>
          <w:rFonts w:ascii="Arial" w:eastAsia="Calibri" w:hAnsi="Arial" w:cs="Arial"/>
          <w:sz w:val="24"/>
          <w:szCs w:val="24"/>
          <w:lang w:val="en-US"/>
        </w:rPr>
        <w:t>(</w:t>
      </w:r>
      <w:r w:rsidRPr="008C121A">
        <w:rPr>
          <w:rFonts w:ascii="Arial" w:eastAsia="Calibri" w:hAnsi="Arial" w:cs="Arial"/>
          <w:sz w:val="24"/>
          <w:szCs w:val="24"/>
        </w:rPr>
        <w:t>HC-MD-CIV-MOT-GEN-2022/00233</w:t>
      </w:r>
      <w:r w:rsidR="006C5C3F">
        <w:rPr>
          <w:rFonts w:ascii="Arial" w:eastAsia="Calibri" w:hAnsi="Arial" w:cs="Arial"/>
          <w:sz w:val="24"/>
          <w:szCs w:val="24"/>
          <w:lang w:val="en-US"/>
        </w:rPr>
        <w:t>) [20</w:t>
      </w:r>
      <w:r w:rsidR="00AF1342">
        <w:rPr>
          <w:rFonts w:ascii="Arial" w:eastAsia="Calibri" w:hAnsi="Arial" w:cs="Arial"/>
          <w:sz w:val="24"/>
          <w:szCs w:val="24"/>
          <w:lang w:val="en-US"/>
        </w:rPr>
        <w:t>22] NAHCMD 403</w:t>
      </w:r>
      <w:r w:rsidR="006C5C3F">
        <w:rPr>
          <w:rFonts w:ascii="Arial" w:eastAsia="Calibri" w:hAnsi="Arial" w:cs="Arial"/>
          <w:sz w:val="24"/>
          <w:szCs w:val="24"/>
          <w:lang w:val="en-US"/>
        </w:rPr>
        <w:t xml:space="preserve"> (11 </w:t>
      </w:r>
      <w:r w:rsidRPr="008C121A">
        <w:rPr>
          <w:rFonts w:ascii="Arial" w:eastAsia="Calibri" w:hAnsi="Arial" w:cs="Arial"/>
          <w:sz w:val="24"/>
          <w:szCs w:val="24"/>
          <w:lang w:val="en-US"/>
        </w:rPr>
        <w:t>August 2022)</w:t>
      </w:r>
    </w:p>
    <w:p w14:paraId="04CD7034" w14:textId="77777777" w:rsidR="009E0F96" w:rsidRPr="008C121A" w:rsidRDefault="009E0F96" w:rsidP="009E0F96">
      <w:pPr>
        <w:tabs>
          <w:tab w:val="right" w:pos="9356"/>
        </w:tabs>
        <w:spacing w:after="0" w:line="360" w:lineRule="auto"/>
        <w:rPr>
          <w:rFonts w:ascii="Arial" w:eastAsia="Calibri" w:hAnsi="Arial" w:cs="Arial"/>
          <w:b/>
          <w:sz w:val="24"/>
          <w:szCs w:val="24"/>
          <w:lang w:val="en-US"/>
        </w:rPr>
      </w:pPr>
      <w:r w:rsidRPr="008C121A">
        <w:rPr>
          <w:rFonts w:ascii="Arial" w:eastAsia="Calibri" w:hAnsi="Arial" w:cs="Arial"/>
          <w:b/>
          <w:sz w:val="24"/>
          <w:szCs w:val="24"/>
          <w:lang w:val="en-US"/>
        </w:rPr>
        <w:tab/>
      </w:r>
    </w:p>
    <w:p w14:paraId="58562779" w14:textId="77777777" w:rsidR="009E0F96" w:rsidRPr="008C121A" w:rsidRDefault="009E0F96" w:rsidP="009E0F96">
      <w:pPr>
        <w:spacing w:after="0" w:line="360" w:lineRule="auto"/>
        <w:rPr>
          <w:rFonts w:ascii="Arial" w:eastAsia="Calibri" w:hAnsi="Arial" w:cs="Arial"/>
          <w:sz w:val="24"/>
          <w:szCs w:val="24"/>
          <w:lang w:val="en-US"/>
        </w:rPr>
      </w:pPr>
      <w:r w:rsidRPr="008C121A">
        <w:rPr>
          <w:rFonts w:ascii="Arial" w:eastAsia="Calibri" w:hAnsi="Arial" w:cs="Arial"/>
          <w:b/>
          <w:sz w:val="24"/>
          <w:szCs w:val="24"/>
          <w:lang w:val="en-US"/>
        </w:rPr>
        <w:t>Coram:</w:t>
      </w:r>
      <w:r w:rsidRPr="008C121A">
        <w:rPr>
          <w:rFonts w:ascii="Arial" w:eastAsia="Calibri" w:hAnsi="Arial" w:cs="Arial"/>
          <w:b/>
          <w:sz w:val="24"/>
          <w:szCs w:val="24"/>
          <w:lang w:val="en-US"/>
        </w:rPr>
        <w:tab/>
      </w:r>
      <w:r w:rsidRPr="008C121A">
        <w:rPr>
          <w:rFonts w:ascii="Arial" w:eastAsia="Calibri" w:hAnsi="Arial" w:cs="Arial"/>
          <w:sz w:val="24"/>
          <w:szCs w:val="24"/>
          <w:lang w:val="en-US"/>
        </w:rPr>
        <w:t>SIBEYA J</w:t>
      </w:r>
    </w:p>
    <w:p w14:paraId="7C3529B7" w14:textId="77777777" w:rsidR="009E0F96" w:rsidRPr="008C121A" w:rsidRDefault="009E0F96" w:rsidP="009E0F96">
      <w:pPr>
        <w:spacing w:after="0" w:line="360" w:lineRule="auto"/>
        <w:rPr>
          <w:rFonts w:ascii="Arial" w:eastAsia="Calibri" w:hAnsi="Arial" w:cs="Arial"/>
          <w:b/>
          <w:sz w:val="24"/>
          <w:szCs w:val="24"/>
          <w:lang w:val="en-US"/>
        </w:rPr>
      </w:pPr>
      <w:r w:rsidRPr="008C121A">
        <w:rPr>
          <w:rFonts w:ascii="Arial" w:eastAsia="Calibri" w:hAnsi="Arial" w:cs="Arial"/>
          <w:b/>
          <w:sz w:val="24"/>
          <w:szCs w:val="24"/>
          <w:lang w:val="en-US"/>
        </w:rPr>
        <w:t xml:space="preserve">Heard: </w:t>
      </w:r>
      <w:r w:rsidRPr="008C121A">
        <w:rPr>
          <w:rFonts w:ascii="Arial" w:eastAsia="Calibri" w:hAnsi="Arial" w:cs="Arial"/>
          <w:b/>
          <w:sz w:val="24"/>
          <w:szCs w:val="24"/>
          <w:lang w:val="en-US"/>
        </w:rPr>
        <w:tab/>
      </w:r>
      <w:r w:rsidR="00391051" w:rsidRPr="008C121A">
        <w:rPr>
          <w:rFonts w:ascii="Arial" w:eastAsia="Calibri" w:hAnsi="Arial" w:cs="Arial"/>
          <w:b/>
          <w:sz w:val="24"/>
          <w:szCs w:val="24"/>
          <w:lang w:val="en-US"/>
        </w:rPr>
        <w:t>21 June 2022</w:t>
      </w:r>
    </w:p>
    <w:p w14:paraId="1E8E4CBD" w14:textId="77777777" w:rsidR="00391051" w:rsidRPr="008C121A" w:rsidRDefault="00391051" w:rsidP="009E0F96">
      <w:pPr>
        <w:spacing w:after="0" w:line="360" w:lineRule="auto"/>
        <w:rPr>
          <w:rFonts w:ascii="Arial" w:eastAsia="Calibri" w:hAnsi="Arial" w:cs="Arial"/>
          <w:b/>
          <w:sz w:val="24"/>
          <w:szCs w:val="24"/>
          <w:lang w:val="en-US"/>
        </w:rPr>
      </w:pPr>
      <w:r w:rsidRPr="008C121A">
        <w:rPr>
          <w:rFonts w:ascii="Arial" w:eastAsia="Calibri" w:hAnsi="Arial" w:cs="Arial"/>
          <w:b/>
          <w:sz w:val="24"/>
          <w:szCs w:val="24"/>
          <w:lang w:val="en-US"/>
        </w:rPr>
        <w:t xml:space="preserve">Order: </w:t>
      </w:r>
      <w:r w:rsidRPr="008C121A">
        <w:rPr>
          <w:rFonts w:ascii="Arial" w:eastAsia="Calibri" w:hAnsi="Arial" w:cs="Arial"/>
          <w:b/>
          <w:sz w:val="24"/>
          <w:szCs w:val="24"/>
          <w:lang w:val="en-US"/>
        </w:rPr>
        <w:tab/>
        <w:t>29 June 2022</w:t>
      </w:r>
    </w:p>
    <w:p w14:paraId="5422C0DB" w14:textId="77777777" w:rsidR="009E0F96" w:rsidRDefault="00391051" w:rsidP="009E0F96">
      <w:pPr>
        <w:spacing w:after="0" w:line="360" w:lineRule="auto"/>
        <w:rPr>
          <w:rFonts w:ascii="Arial" w:eastAsia="Calibri" w:hAnsi="Arial" w:cs="Arial"/>
          <w:b/>
          <w:sz w:val="24"/>
          <w:szCs w:val="24"/>
          <w:lang w:val="en-US"/>
        </w:rPr>
      </w:pPr>
      <w:r w:rsidRPr="008C121A">
        <w:rPr>
          <w:rFonts w:ascii="Arial" w:eastAsia="Calibri" w:hAnsi="Arial" w:cs="Arial"/>
          <w:b/>
          <w:sz w:val="24"/>
          <w:szCs w:val="24"/>
          <w:lang w:val="en-US"/>
        </w:rPr>
        <w:t>Reasons</w:t>
      </w:r>
      <w:r w:rsidR="009E0F96" w:rsidRPr="008C121A">
        <w:rPr>
          <w:rFonts w:ascii="Arial" w:eastAsia="Calibri" w:hAnsi="Arial" w:cs="Arial"/>
          <w:b/>
          <w:sz w:val="24"/>
          <w:szCs w:val="24"/>
          <w:lang w:val="en-US"/>
        </w:rPr>
        <w:t xml:space="preserve">: </w:t>
      </w:r>
      <w:r w:rsidR="009E0F96" w:rsidRPr="008C121A">
        <w:rPr>
          <w:rFonts w:ascii="Arial" w:eastAsia="Calibri" w:hAnsi="Arial" w:cs="Arial"/>
          <w:b/>
          <w:sz w:val="24"/>
          <w:szCs w:val="24"/>
          <w:lang w:val="en-US"/>
        </w:rPr>
        <w:tab/>
      </w:r>
      <w:r w:rsidR="00CE7748">
        <w:rPr>
          <w:rFonts w:ascii="Arial" w:eastAsia="Calibri" w:hAnsi="Arial" w:cs="Arial"/>
          <w:b/>
          <w:sz w:val="24"/>
          <w:szCs w:val="24"/>
          <w:lang w:val="en-US"/>
        </w:rPr>
        <w:t xml:space="preserve">11 </w:t>
      </w:r>
      <w:r w:rsidRPr="008C121A">
        <w:rPr>
          <w:rFonts w:ascii="Arial" w:eastAsia="Calibri" w:hAnsi="Arial" w:cs="Arial"/>
          <w:b/>
          <w:sz w:val="24"/>
          <w:szCs w:val="24"/>
          <w:lang w:val="en-US"/>
        </w:rPr>
        <w:t>August 2022</w:t>
      </w:r>
    </w:p>
    <w:p w14:paraId="544D755D" w14:textId="77777777" w:rsidR="00533082" w:rsidRDefault="00533082" w:rsidP="009E0F96">
      <w:pPr>
        <w:spacing w:after="0" w:line="360" w:lineRule="auto"/>
        <w:rPr>
          <w:rFonts w:ascii="Arial" w:eastAsia="Calibri" w:hAnsi="Arial" w:cs="Arial"/>
          <w:b/>
          <w:sz w:val="24"/>
          <w:szCs w:val="24"/>
          <w:lang w:val="en-US"/>
        </w:rPr>
      </w:pPr>
    </w:p>
    <w:p w14:paraId="3A9C4887" w14:textId="77777777" w:rsidR="00AD78ED" w:rsidRDefault="00AD78ED" w:rsidP="009E0F96">
      <w:pPr>
        <w:spacing w:after="0" w:line="360" w:lineRule="auto"/>
        <w:rPr>
          <w:rFonts w:ascii="Arial" w:eastAsia="Calibri" w:hAnsi="Arial" w:cs="Arial"/>
          <w:b/>
          <w:sz w:val="24"/>
          <w:szCs w:val="24"/>
          <w:lang w:val="en-US"/>
        </w:rPr>
      </w:pPr>
      <w:proofErr w:type="spellStart"/>
      <w:r w:rsidRPr="00CA2074">
        <w:rPr>
          <w:rFonts w:ascii="Arial" w:eastAsia="Calibri" w:hAnsi="Arial" w:cs="Arial"/>
          <w:b/>
          <w:sz w:val="24"/>
          <w:szCs w:val="24"/>
          <w:lang w:val="en-US"/>
        </w:rPr>
        <w:t>F</w:t>
      </w:r>
      <w:r w:rsidR="00CE7748" w:rsidRPr="00CA2074">
        <w:rPr>
          <w:rFonts w:ascii="Arial" w:eastAsia="Calibri" w:hAnsi="Arial" w:cs="Arial"/>
          <w:b/>
          <w:sz w:val="24"/>
          <w:szCs w:val="24"/>
          <w:lang w:val="en-US"/>
        </w:rPr>
        <w:t>lynote</w:t>
      </w:r>
      <w:proofErr w:type="spellEnd"/>
      <w:r w:rsidR="00CE7748" w:rsidRPr="00CA2074">
        <w:rPr>
          <w:rFonts w:ascii="Arial" w:eastAsia="Calibri" w:hAnsi="Arial" w:cs="Arial"/>
          <w:b/>
          <w:sz w:val="24"/>
          <w:szCs w:val="24"/>
          <w:lang w:val="en-US"/>
        </w:rPr>
        <w:t xml:space="preserve">: </w:t>
      </w:r>
      <w:r w:rsidR="00CA2074" w:rsidRPr="00CA2074">
        <w:rPr>
          <w:rFonts w:ascii="Arial" w:hAnsi="Arial" w:cs="Arial"/>
          <w:sz w:val="24"/>
          <w:szCs w:val="24"/>
          <w:shd w:val="clear" w:color="auto" w:fill="FFFFFF"/>
        </w:rPr>
        <w:t>Practice – Applications and motions – Urgent applicati</w:t>
      </w:r>
      <w:r w:rsidR="00CA2074">
        <w:rPr>
          <w:rFonts w:ascii="Arial" w:hAnsi="Arial" w:cs="Arial"/>
          <w:sz w:val="24"/>
          <w:szCs w:val="24"/>
          <w:shd w:val="clear" w:color="auto" w:fill="FFFFFF"/>
        </w:rPr>
        <w:t xml:space="preserve">on for interdict </w:t>
      </w:r>
      <w:r w:rsidR="00A36669">
        <w:rPr>
          <w:rFonts w:ascii="Arial" w:hAnsi="Arial" w:cs="Arial"/>
          <w:sz w:val="24"/>
          <w:szCs w:val="24"/>
          <w:shd w:val="clear" w:color="auto" w:fill="FFFFFF"/>
        </w:rPr>
        <w:t xml:space="preserve">and eviction </w:t>
      </w:r>
      <w:r w:rsidR="00CA2074">
        <w:rPr>
          <w:rFonts w:ascii="Arial" w:hAnsi="Arial" w:cs="Arial"/>
          <w:sz w:val="24"/>
          <w:szCs w:val="24"/>
          <w:shd w:val="clear" w:color="auto" w:fill="FFFFFF"/>
        </w:rPr>
        <w:t>granted –</w:t>
      </w:r>
      <w:r w:rsidR="00A36669">
        <w:rPr>
          <w:rFonts w:ascii="Arial" w:hAnsi="Arial" w:cs="Arial"/>
          <w:sz w:val="24"/>
          <w:szCs w:val="24"/>
          <w:shd w:val="clear" w:color="auto" w:fill="FFFFFF"/>
        </w:rPr>
        <w:t xml:space="preserve"> Tacit relocation, </w:t>
      </w:r>
      <w:r w:rsidR="00CA2074">
        <w:rPr>
          <w:rFonts w:ascii="Arial" w:hAnsi="Arial" w:cs="Arial"/>
          <w:sz w:val="24"/>
          <w:szCs w:val="24"/>
          <w:shd w:val="clear" w:color="auto" w:fill="FFFFFF"/>
        </w:rPr>
        <w:t>Non</w:t>
      </w:r>
      <w:r w:rsidR="00A36669">
        <w:rPr>
          <w:rFonts w:ascii="Arial" w:hAnsi="Arial" w:cs="Arial"/>
          <w:sz w:val="24"/>
          <w:szCs w:val="24"/>
          <w:shd w:val="clear" w:color="auto" w:fill="FFFFFF"/>
        </w:rPr>
        <w:t>-</w:t>
      </w:r>
      <w:r w:rsidR="00CA2074">
        <w:rPr>
          <w:rFonts w:ascii="Arial" w:hAnsi="Arial" w:cs="Arial"/>
          <w:sz w:val="24"/>
          <w:szCs w:val="24"/>
          <w:shd w:val="clear" w:color="auto" w:fill="FFFFFF"/>
        </w:rPr>
        <w:t xml:space="preserve">joinder </w:t>
      </w:r>
      <w:r w:rsidR="00A36669">
        <w:rPr>
          <w:rFonts w:ascii="Arial" w:hAnsi="Arial" w:cs="Arial"/>
          <w:sz w:val="24"/>
          <w:szCs w:val="24"/>
          <w:shd w:val="clear" w:color="auto" w:fill="FFFFFF"/>
        </w:rPr>
        <w:t xml:space="preserve">and Collateral challenge </w:t>
      </w:r>
      <w:r w:rsidR="00CA2074">
        <w:rPr>
          <w:rFonts w:ascii="Arial" w:hAnsi="Arial" w:cs="Arial"/>
          <w:sz w:val="24"/>
          <w:szCs w:val="24"/>
          <w:shd w:val="clear" w:color="auto" w:fill="FFFFFF"/>
        </w:rPr>
        <w:t>discussed.</w:t>
      </w:r>
    </w:p>
    <w:p w14:paraId="1897316C" w14:textId="77777777" w:rsidR="006C5C3F" w:rsidRDefault="006C5C3F" w:rsidP="008C3C4C">
      <w:pPr>
        <w:spacing w:after="0" w:line="360" w:lineRule="auto"/>
        <w:jc w:val="both"/>
        <w:rPr>
          <w:rFonts w:ascii="Arial" w:eastAsia="Calibri" w:hAnsi="Arial" w:cs="Arial"/>
          <w:b/>
          <w:sz w:val="24"/>
          <w:szCs w:val="24"/>
          <w:lang w:val="en-US"/>
        </w:rPr>
      </w:pPr>
    </w:p>
    <w:p w14:paraId="7B4FAF8F" w14:textId="77777777" w:rsidR="00CA2074" w:rsidRDefault="00AD78ED" w:rsidP="00CA2074">
      <w:pPr>
        <w:pStyle w:val="ListParagraph"/>
        <w:spacing w:line="360" w:lineRule="auto"/>
        <w:ind w:left="0"/>
        <w:jc w:val="both"/>
        <w:rPr>
          <w:rFonts w:ascii="Arial" w:hAnsi="Arial" w:cs="Arial"/>
          <w:sz w:val="24"/>
          <w:szCs w:val="24"/>
        </w:rPr>
      </w:pPr>
      <w:r>
        <w:rPr>
          <w:rFonts w:ascii="Arial" w:eastAsia="Calibri" w:hAnsi="Arial" w:cs="Arial"/>
          <w:b/>
          <w:sz w:val="24"/>
          <w:szCs w:val="24"/>
          <w:lang w:val="en-US"/>
        </w:rPr>
        <w:lastRenderedPageBreak/>
        <w:t xml:space="preserve">Summary: </w:t>
      </w:r>
      <w:r w:rsidR="00CA2074">
        <w:rPr>
          <w:rFonts w:ascii="Arial" w:hAnsi="Arial" w:cs="Arial"/>
          <w:sz w:val="24"/>
          <w:szCs w:val="24"/>
        </w:rPr>
        <w:t>In 2014, the Applicant (NAC) and the first respondent (Menzies)</w:t>
      </w:r>
      <w:r w:rsidR="00CA2074" w:rsidRPr="008C1326">
        <w:rPr>
          <w:rFonts w:ascii="Arial" w:hAnsi="Arial" w:cs="Arial"/>
          <w:sz w:val="24"/>
          <w:szCs w:val="24"/>
        </w:rPr>
        <w:t xml:space="preserve"> </w:t>
      </w:r>
      <w:r w:rsidR="00CA2074">
        <w:rPr>
          <w:rFonts w:ascii="Arial" w:hAnsi="Arial" w:cs="Arial"/>
          <w:sz w:val="24"/>
          <w:szCs w:val="24"/>
        </w:rPr>
        <w:t>entered into a G</w:t>
      </w:r>
      <w:r w:rsidR="00CA2074" w:rsidRPr="008C1326">
        <w:rPr>
          <w:rFonts w:ascii="Arial" w:hAnsi="Arial" w:cs="Arial"/>
          <w:sz w:val="24"/>
          <w:szCs w:val="24"/>
        </w:rPr>
        <w:t>round Handling Service Agreement (</w:t>
      </w:r>
      <w:r w:rsidR="00CA2074">
        <w:rPr>
          <w:rFonts w:ascii="Arial" w:hAnsi="Arial" w:cs="Arial"/>
          <w:sz w:val="24"/>
          <w:szCs w:val="24"/>
        </w:rPr>
        <w:t xml:space="preserve">Service </w:t>
      </w:r>
      <w:r w:rsidR="00CA2074" w:rsidRPr="008C1326">
        <w:rPr>
          <w:rFonts w:ascii="Arial" w:hAnsi="Arial" w:cs="Arial"/>
          <w:sz w:val="24"/>
          <w:szCs w:val="24"/>
        </w:rPr>
        <w:t xml:space="preserve">Agreement) in which Menzies provided ground handling services at </w:t>
      </w:r>
      <w:r w:rsidR="00A36669">
        <w:rPr>
          <w:rFonts w:ascii="Arial" w:hAnsi="Arial" w:cs="Arial"/>
          <w:sz w:val="24"/>
          <w:szCs w:val="24"/>
        </w:rPr>
        <w:t xml:space="preserve">Hosea </w:t>
      </w:r>
      <w:proofErr w:type="spellStart"/>
      <w:r w:rsidR="00A36669">
        <w:rPr>
          <w:rFonts w:ascii="Arial" w:hAnsi="Arial" w:cs="Arial"/>
          <w:sz w:val="24"/>
          <w:szCs w:val="24"/>
        </w:rPr>
        <w:t>Kutako</w:t>
      </w:r>
      <w:proofErr w:type="spellEnd"/>
      <w:r w:rsidR="00A36669">
        <w:rPr>
          <w:rFonts w:ascii="Arial" w:hAnsi="Arial" w:cs="Arial"/>
          <w:sz w:val="24"/>
          <w:szCs w:val="24"/>
        </w:rPr>
        <w:t xml:space="preserve"> International Airport (</w:t>
      </w:r>
      <w:r w:rsidR="00CA2074" w:rsidRPr="008C1326">
        <w:rPr>
          <w:rFonts w:ascii="Arial" w:hAnsi="Arial" w:cs="Arial"/>
          <w:sz w:val="24"/>
          <w:szCs w:val="24"/>
        </w:rPr>
        <w:t>HKIA</w:t>
      </w:r>
      <w:r w:rsidR="00A36669">
        <w:rPr>
          <w:rFonts w:ascii="Arial" w:hAnsi="Arial" w:cs="Arial"/>
          <w:sz w:val="24"/>
          <w:szCs w:val="24"/>
        </w:rPr>
        <w:t>)</w:t>
      </w:r>
      <w:r w:rsidR="00CA2074" w:rsidRPr="008C1326">
        <w:rPr>
          <w:rFonts w:ascii="Arial" w:hAnsi="Arial" w:cs="Arial"/>
          <w:sz w:val="24"/>
          <w:szCs w:val="24"/>
        </w:rPr>
        <w:t xml:space="preserve">. </w:t>
      </w:r>
      <w:r w:rsidR="00CA2074">
        <w:rPr>
          <w:rFonts w:ascii="Arial" w:hAnsi="Arial" w:cs="Arial"/>
          <w:sz w:val="24"/>
          <w:szCs w:val="24"/>
        </w:rPr>
        <w:t xml:space="preserve">The agreement commenced on 1 January 2014 and lapsed on 31 December 2018. It was, however, </w:t>
      </w:r>
      <w:r w:rsidR="00A36669">
        <w:rPr>
          <w:rFonts w:ascii="Arial" w:hAnsi="Arial" w:cs="Arial"/>
          <w:sz w:val="24"/>
          <w:szCs w:val="24"/>
        </w:rPr>
        <w:t>r</w:t>
      </w:r>
      <w:r w:rsidR="00CA2074">
        <w:rPr>
          <w:rFonts w:ascii="Arial" w:hAnsi="Arial" w:cs="Arial"/>
          <w:sz w:val="24"/>
          <w:szCs w:val="24"/>
        </w:rPr>
        <w:t>ene</w:t>
      </w:r>
      <w:r w:rsidR="00A36669">
        <w:rPr>
          <w:rFonts w:ascii="Arial" w:hAnsi="Arial" w:cs="Arial"/>
          <w:sz w:val="24"/>
          <w:szCs w:val="24"/>
        </w:rPr>
        <w:t xml:space="preserve">wed for a period of three years to </w:t>
      </w:r>
      <w:r w:rsidR="00CA2074">
        <w:rPr>
          <w:rFonts w:ascii="Arial" w:hAnsi="Arial" w:cs="Arial"/>
          <w:sz w:val="24"/>
          <w:szCs w:val="24"/>
        </w:rPr>
        <w:t xml:space="preserve">31 December 2021.  </w:t>
      </w:r>
    </w:p>
    <w:p w14:paraId="3B0EEB0C" w14:textId="77777777" w:rsidR="00CA2074" w:rsidRDefault="00CA2074" w:rsidP="00CA2074">
      <w:pPr>
        <w:pStyle w:val="ListParagraph"/>
        <w:spacing w:line="360" w:lineRule="auto"/>
        <w:ind w:left="0"/>
        <w:jc w:val="both"/>
        <w:rPr>
          <w:rFonts w:ascii="Arial" w:hAnsi="Arial" w:cs="Arial"/>
          <w:sz w:val="24"/>
          <w:szCs w:val="24"/>
        </w:rPr>
      </w:pPr>
    </w:p>
    <w:p w14:paraId="465C0CFE" w14:textId="77777777" w:rsidR="00CA2074" w:rsidRDefault="00CA2074" w:rsidP="00CA2074">
      <w:pPr>
        <w:pStyle w:val="ListParagraph"/>
        <w:spacing w:line="360" w:lineRule="auto"/>
        <w:ind w:left="0"/>
        <w:jc w:val="both"/>
        <w:rPr>
          <w:rFonts w:ascii="Arial" w:hAnsi="Arial" w:cs="Arial"/>
          <w:sz w:val="24"/>
          <w:szCs w:val="24"/>
        </w:rPr>
      </w:pPr>
      <w:r w:rsidRPr="00CA2074">
        <w:rPr>
          <w:rFonts w:ascii="Arial" w:hAnsi="Arial" w:cs="Arial"/>
          <w:sz w:val="24"/>
          <w:szCs w:val="24"/>
        </w:rPr>
        <w:t>NAC and Menzies further agreed to another extension of six months from 1 January 2022 to 30 June 2022. The Service Agreement was, therefore, bound to terminate by the effluxion of time on 30 June 2022.</w:t>
      </w:r>
    </w:p>
    <w:p w14:paraId="546B39C0" w14:textId="77777777" w:rsidR="00CA2074" w:rsidRDefault="00CA2074" w:rsidP="00CA2074">
      <w:pPr>
        <w:pStyle w:val="ListParagraph"/>
        <w:spacing w:line="360" w:lineRule="auto"/>
        <w:ind w:left="0"/>
        <w:jc w:val="both"/>
        <w:rPr>
          <w:rFonts w:ascii="Arial" w:hAnsi="Arial" w:cs="Arial"/>
          <w:sz w:val="24"/>
          <w:szCs w:val="24"/>
        </w:rPr>
      </w:pPr>
    </w:p>
    <w:p w14:paraId="30934D8C" w14:textId="77777777" w:rsidR="00CA2074" w:rsidRDefault="00CA2074" w:rsidP="00CA2074">
      <w:pPr>
        <w:pStyle w:val="ListParagraph"/>
        <w:spacing w:line="360" w:lineRule="auto"/>
        <w:ind w:left="0"/>
        <w:jc w:val="both"/>
        <w:rPr>
          <w:rFonts w:ascii="Arial" w:eastAsia="Calibri" w:hAnsi="Arial" w:cs="Arial"/>
          <w:sz w:val="24"/>
          <w:szCs w:val="24"/>
        </w:rPr>
      </w:pPr>
      <w:r>
        <w:rPr>
          <w:rFonts w:ascii="Arial" w:hAnsi="Arial" w:cs="Arial"/>
          <w:sz w:val="24"/>
          <w:szCs w:val="24"/>
        </w:rPr>
        <w:t>O</w:t>
      </w:r>
      <w:r w:rsidR="00AD78ED" w:rsidRPr="00AD78ED">
        <w:rPr>
          <w:rFonts w:ascii="Arial" w:eastAsia="Calibri" w:hAnsi="Arial" w:cs="Arial"/>
          <w:sz w:val="24"/>
          <w:szCs w:val="24"/>
        </w:rPr>
        <w:t xml:space="preserve">n </w:t>
      </w:r>
      <w:r>
        <w:rPr>
          <w:rFonts w:ascii="Arial" w:eastAsia="Calibri" w:hAnsi="Arial" w:cs="Arial"/>
          <w:sz w:val="24"/>
          <w:szCs w:val="24"/>
        </w:rPr>
        <w:t xml:space="preserve">13 December 2021, NAC </w:t>
      </w:r>
      <w:r w:rsidR="00A36669">
        <w:rPr>
          <w:rFonts w:ascii="Arial" w:eastAsia="Calibri" w:hAnsi="Arial" w:cs="Arial"/>
          <w:sz w:val="24"/>
          <w:szCs w:val="24"/>
        </w:rPr>
        <w:t xml:space="preserve">awarded the bid to the </w:t>
      </w:r>
      <w:r>
        <w:rPr>
          <w:rFonts w:ascii="Arial" w:eastAsia="Calibri" w:hAnsi="Arial" w:cs="Arial"/>
          <w:sz w:val="24"/>
          <w:szCs w:val="24"/>
        </w:rPr>
        <w:t>second r</w:t>
      </w:r>
      <w:r w:rsidR="00A36669">
        <w:rPr>
          <w:rFonts w:ascii="Arial" w:eastAsia="Calibri" w:hAnsi="Arial" w:cs="Arial"/>
          <w:sz w:val="24"/>
          <w:szCs w:val="24"/>
        </w:rPr>
        <w:t xml:space="preserve">espondent (Paragon), </w:t>
      </w:r>
      <w:r>
        <w:rPr>
          <w:rFonts w:ascii="Arial" w:eastAsia="Calibri" w:hAnsi="Arial" w:cs="Arial"/>
          <w:sz w:val="24"/>
          <w:szCs w:val="24"/>
        </w:rPr>
        <w:t>in terms of which Paragon will provide ground handling services at HKIA as from 1 July 2022, after the Se</w:t>
      </w:r>
      <w:r w:rsidR="00A36669">
        <w:rPr>
          <w:rFonts w:ascii="Arial" w:eastAsia="Calibri" w:hAnsi="Arial" w:cs="Arial"/>
          <w:sz w:val="24"/>
          <w:szCs w:val="24"/>
        </w:rPr>
        <w:t>r</w:t>
      </w:r>
      <w:r>
        <w:rPr>
          <w:rFonts w:ascii="Arial" w:eastAsia="Calibri" w:hAnsi="Arial" w:cs="Arial"/>
          <w:sz w:val="24"/>
          <w:szCs w:val="24"/>
        </w:rPr>
        <w:t xml:space="preserve">vice Agreement with Menzies </w:t>
      </w:r>
      <w:r w:rsidR="00A36669">
        <w:rPr>
          <w:rFonts w:ascii="Arial" w:eastAsia="Calibri" w:hAnsi="Arial" w:cs="Arial"/>
          <w:sz w:val="24"/>
          <w:szCs w:val="24"/>
        </w:rPr>
        <w:t xml:space="preserve">lapses </w:t>
      </w:r>
      <w:r>
        <w:rPr>
          <w:rFonts w:ascii="Arial" w:eastAsia="Calibri" w:hAnsi="Arial" w:cs="Arial"/>
          <w:sz w:val="24"/>
          <w:szCs w:val="24"/>
        </w:rPr>
        <w:t>by effluxion of time on 30 June 2022.</w:t>
      </w:r>
    </w:p>
    <w:p w14:paraId="1E12C2B0" w14:textId="77777777" w:rsidR="00CA2074" w:rsidRDefault="00CA2074" w:rsidP="00CA2074">
      <w:pPr>
        <w:pStyle w:val="ListParagraph"/>
        <w:spacing w:line="360" w:lineRule="auto"/>
        <w:ind w:left="0"/>
        <w:jc w:val="both"/>
        <w:rPr>
          <w:rFonts w:ascii="Arial" w:eastAsia="Calibri" w:hAnsi="Arial" w:cs="Arial"/>
          <w:sz w:val="24"/>
          <w:szCs w:val="24"/>
        </w:rPr>
      </w:pPr>
    </w:p>
    <w:p w14:paraId="50C390B6" w14:textId="77777777" w:rsidR="008A254A" w:rsidRDefault="008A254A" w:rsidP="00CA2074">
      <w:pPr>
        <w:pStyle w:val="ListParagraph"/>
        <w:spacing w:line="360" w:lineRule="auto"/>
        <w:ind w:left="0"/>
        <w:jc w:val="both"/>
        <w:rPr>
          <w:rFonts w:ascii="Arial" w:eastAsia="Calibri" w:hAnsi="Arial" w:cs="Arial"/>
          <w:sz w:val="24"/>
          <w:szCs w:val="24"/>
        </w:rPr>
      </w:pPr>
      <w:r>
        <w:rPr>
          <w:rFonts w:ascii="Arial" w:eastAsia="Calibri" w:hAnsi="Arial" w:cs="Arial"/>
          <w:sz w:val="24"/>
          <w:szCs w:val="24"/>
        </w:rPr>
        <w:t xml:space="preserve">On 31 March 2022, NAC issued a notice of termination of the Service Agreement to Menzies effective 30 April 2022. On 22 April 2022, NAC withdrew its notice of termination of the agreement and argued that the Service Agreement will lapse by effluxion of time on 30 June 2022. </w:t>
      </w:r>
    </w:p>
    <w:p w14:paraId="7993677C" w14:textId="77777777" w:rsidR="008A254A" w:rsidRDefault="008A254A" w:rsidP="00CA2074">
      <w:pPr>
        <w:pStyle w:val="ListParagraph"/>
        <w:spacing w:line="360" w:lineRule="auto"/>
        <w:ind w:left="0"/>
        <w:jc w:val="both"/>
        <w:rPr>
          <w:rFonts w:ascii="Arial" w:eastAsia="Calibri" w:hAnsi="Arial" w:cs="Arial"/>
          <w:sz w:val="24"/>
          <w:szCs w:val="24"/>
        </w:rPr>
      </w:pPr>
    </w:p>
    <w:p w14:paraId="26F60A4B" w14:textId="77777777" w:rsidR="00CA2074" w:rsidRPr="00CA2074" w:rsidRDefault="001E480E" w:rsidP="00CA2074">
      <w:pPr>
        <w:pStyle w:val="ListParagraph"/>
        <w:spacing w:line="360" w:lineRule="auto"/>
        <w:ind w:left="0"/>
        <w:jc w:val="both"/>
        <w:rPr>
          <w:rFonts w:ascii="Arial" w:hAnsi="Arial" w:cs="Arial"/>
          <w:sz w:val="24"/>
          <w:szCs w:val="24"/>
        </w:rPr>
      </w:pPr>
      <w:r>
        <w:rPr>
          <w:rFonts w:ascii="Arial" w:hAnsi="Arial" w:cs="Arial"/>
          <w:sz w:val="24"/>
          <w:szCs w:val="24"/>
        </w:rPr>
        <w:t xml:space="preserve">Menzies disputed the assertion by NAC that the Service Agreement lapses on 30 June 2022. </w:t>
      </w:r>
      <w:r w:rsidR="00CA2074">
        <w:rPr>
          <w:rFonts w:ascii="Arial" w:eastAsia="Calibri" w:hAnsi="Arial" w:cs="Arial"/>
          <w:sz w:val="24"/>
          <w:szCs w:val="24"/>
        </w:rPr>
        <w:t>I</w:t>
      </w:r>
      <w:r>
        <w:rPr>
          <w:rFonts w:ascii="Arial" w:eastAsia="Calibri" w:hAnsi="Arial" w:cs="Arial"/>
          <w:sz w:val="24"/>
          <w:szCs w:val="24"/>
        </w:rPr>
        <w:t xml:space="preserve">t </w:t>
      </w:r>
      <w:r w:rsidR="00AD78ED" w:rsidRPr="00AD78ED">
        <w:rPr>
          <w:rFonts w:ascii="Arial" w:eastAsia="Calibri" w:hAnsi="Arial" w:cs="Arial"/>
          <w:sz w:val="24"/>
          <w:szCs w:val="24"/>
        </w:rPr>
        <w:t xml:space="preserve">became </w:t>
      </w:r>
      <w:r>
        <w:rPr>
          <w:rFonts w:ascii="Arial" w:eastAsia="Calibri" w:hAnsi="Arial" w:cs="Arial"/>
          <w:sz w:val="24"/>
          <w:szCs w:val="24"/>
        </w:rPr>
        <w:t xml:space="preserve">apparent to NAC that Menzies will not hand </w:t>
      </w:r>
      <w:r w:rsidR="00AD78ED" w:rsidRPr="00AD78ED">
        <w:rPr>
          <w:rFonts w:ascii="Arial" w:eastAsia="Calibri" w:hAnsi="Arial" w:cs="Arial"/>
          <w:sz w:val="24"/>
          <w:szCs w:val="24"/>
        </w:rPr>
        <w:t>over the opera</w:t>
      </w:r>
      <w:r w:rsidR="00CA2074">
        <w:rPr>
          <w:rFonts w:ascii="Arial" w:eastAsia="Calibri" w:hAnsi="Arial" w:cs="Arial"/>
          <w:sz w:val="24"/>
          <w:szCs w:val="24"/>
        </w:rPr>
        <w:t xml:space="preserve">tion </w:t>
      </w:r>
      <w:r>
        <w:rPr>
          <w:rFonts w:ascii="Arial" w:eastAsia="Calibri" w:hAnsi="Arial" w:cs="Arial"/>
          <w:sz w:val="24"/>
          <w:szCs w:val="24"/>
        </w:rPr>
        <w:t xml:space="preserve">of ground handling services at HKIA to Paragon on 1 July 2022. </w:t>
      </w:r>
    </w:p>
    <w:p w14:paraId="47F597AB" w14:textId="77777777" w:rsidR="00CA2074" w:rsidRDefault="00CA2074" w:rsidP="00CA2074">
      <w:pPr>
        <w:pStyle w:val="ListParagraph"/>
        <w:spacing w:line="360" w:lineRule="auto"/>
        <w:ind w:left="0"/>
        <w:jc w:val="both"/>
        <w:rPr>
          <w:rFonts w:ascii="Arial" w:hAnsi="Arial" w:cs="Arial"/>
          <w:sz w:val="24"/>
          <w:szCs w:val="24"/>
        </w:rPr>
      </w:pPr>
    </w:p>
    <w:p w14:paraId="33C84C58" w14:textId="77777777" w:rsidR="00CA2074" w:rsidRDefault="00CA2074" w:rsidP="00CA2074">
      <w:pPr>
        <w:pStyle w:val="ListParagraph"/>
        <w:spacing w:line="360" w:lineRule="auto"/>
        <w:ind w:left="0"/>
        <w:jc w:val="both"/>
        <w:rPr>
          <w:rFonts w:ascii="Arial" w:hAnsi="Arial" w:cs="Arial"/>
          <w:sz w:val="24"/>
          <w:szCs w:val="24"/>
        </w:rPr>
      </w:pPr>
      <w:r>
        <w:rPr>
          <w:rFonts w:ascii="Arial" w:hAnsi="Arial" w:cs="Arial"/>
          <w:sz w:val="24"/>
          <w:szCs w:val="24"/>
        </w:rPr>
        <w:t xml:space="preserve">Menzies argues </w:t>
      </w:r>
      <w:r w:rsidRPr="00557B0F">
        <w:rPr>
          <w:rFonts w:ascii="Arial" w:hAnsi="Arial" w:cs="Arial"/>
          <w:sz w:val="24"/>
          <w:szCs w:val="24"/>
        </w:rPr>
        <w:t xml:space="preserve">that </w:t>
      </w:r>
      <w:r w:rsidR="008A254A">
        <w:rPr>
          <w:rFonts w:ascii="Arial" w:hAnsi="Arial" w:cs="Arial"/>
          <w:sz w:val="24"/>
          <w:szCs w:val="24"/>
        </w:rPr>
        <w:t>it did not consent to the withdrawal of the cancel</w:t>
      </w:r>
      <w:r w:rsidR="00533082">
        <w:rPr>
          <w:rFonts w:ascii="Arial" w:hAnsi="Arial" w:cs="Arial"/>
          <w:sz w:val="24"/>
          <w:szCs w:val="24"/>
        </w:rPr>
        <w:t>l</w:t>
      </w:r>
      <w:r w:rsidR="008A254A">
        <w:rPr>
          <w:rFonts w:ascii="Arial" w:hAnsi="Arial" w:cs="Arial"/>
          <w:sz w:val="24"/>
          <w:szCs w:val="24"/>
        </w:rPr>
        <w:t xml:space="preserve">ation letter, therefore, the Service Agreement terminated on 30 April 2022 and subsequently, </w:t>
      </w:r>
      <w:r w:rsidRPr="00557B0F">
        <w:rPr>
          <w:rFonts w:ascii="Arial" w:hAnsi="Arial" w:cs="Arial"/>
          <w:sz w:val="24"/>
          <w:szCs w:val="24"/>
        </w:rPr>
        <w:t>there was a tacit relocation of the agreement</w:t>
      </w:r>
      <w:r w:rsidR="008A254A">
        <w:rPr>
          <w:rFonts w:ascii="Arial" w:hAnsi="Arial" w:cs="Arial"/>
          <w:sz w:val="24"/>
          <w:szCs w:val="24"/>
        </w:rPr>
        <w:t xml:space="preserve">. </w:t>
      </w:r>
    </w:p>
    <w:p w14:paraId="2625A1EA" w14:textId="77777777" w:rsidR="008A254A" w:rsidRDefault="008A254A" w:rsidP="00CA2074">
      <w:pPr>
        <w:pStyle w:val="ListParagraph"/>
        <w:spacing w:line="360" w:lineRule="auto"/>
        <w:ind w:left="0"/>
        <w:jc w:val="both"/>
        <w:rPr>
          <w:rFonts w:ascii="Arial" w:hAnsi="Arial" w:cs="Arial"/>
          <w:sz w:val="24"/>
          <w:szCs w:val="24"/>
        </w:rPr>
      </w:pPr>
    </w:p>
    <w:p w14:paraId="0CC14E99" w14:textId="77777777" w:rsidR="00CA2074" w:rsidRDefault="008A254A" w:rsidP="00CA2074">
      <w:pPr>
        <w:pStyle w:val="ListParagraph"/>
        <w:spacing w:line="360" w:lineRule="auto"/>
        <w:ind w:left="0"/>
        <w:jc w:val="both"/>
        <w:rPr>
          <w:rFonts w:ascii="Arial" w:hAnsi="Arial" w:cs="Arial"/>
          <w:sz w:val="24"/>
          <w:szCs w:val="24"/>
        </w:rPr>
      </w:pPr>
      <w:r>
        <w:rPr>
          <w:rFonts w:ascii="Arial" w:hAnsi="Arial" w:cs="Arial"/>
          <w:sz w:val="24"/>
          <w:szCs w:val="24"/>
        </w:rPr>
        <w:t xml:space="preserve">The NAC argues that the Service Agreement is still in force and seeks </w:t>
      </w:r>
      <w:r w:rsidR="00CA2074" w:rsidRPr="006A63E4">
        <w:rPr>
          <w:rFonts w:ascii="Arial" w:hAnsi="Arial" w:cs="Arial"/>
          <w:sz w:val="24"/>
          <w:szCs w:val="24"/>
        </w:rPr>
        <w:t xml:space="preserve">to interdict Menzies from rendering ground handling services after the termination of the Service Agreement </w:t>
      </w:r>
      <w:r>
        <w:rPr>
          <w:rFonts w:ascii="Arial" w:hAnsi="Arial" w:cs="Arial"/>
          <w:sz w:val="24"/>
          <w:szCs w:val="24"/>
        </w:rPr>
        <w:t xml:space="preserve">on 30 June 2022 </w:t>
      </w:r>
      <w:r w:rsidR="00CA2074" w:rsidRPr="006A63E4">
        <w:rPr>
          <w:rFonts w:ascii="Arial" w:hAnsi="Arial" w:cs="Arial"/>
          <w:sz w:val="24"/>
          <w:szCs w:val="24"/>
        </w:rPr>
        <w:t xml:space="preserve">and </w:t>
      </w:r>
      <w:r>
        <w:rPr>
          <w:rFonts w:ascii="Arial" w:hAnsi="Arial" w:cs="Arial"/>
          <w:sz w:val="24"/>
          <w:szCs w:val="24"/>
        </w:rPr>
        <w:t>to evict</w:t>
      </w:r>
      <w:r w:rsidR="00CA2074" w:rsidRPr="006A63E4">
        <w:rPr>
          <w:rFonts w:ascii="Arial" w:hAnsi="Arial" w:cs="Arial"/>
          <w:sz w:val="24"/>
          <w:szCs w:val="24"/>
        </w:rPr>
        <w:t xml:space="preserve"> Menzies from HKIA </w:t>
      </w:r>
      <w:r w:rsidR="00732505">
        <w:rPr>
          <w:rFonts w:ascii="Arial" w:hAnsi="Arial" w:cs="Arial"/>
          <w:sz w:val="24"/>
          <w:szCs w:val="24"/>
        </w:rPr>
        <w:t xml:space="preserve">after the termination of the Service Agreement. </w:t>
      </w:r>
      <w:r>
        <w:rPr>
          <w:rFonts w:ascii="Arial" w:hAnsi="Arial" w:cs="Arial"/>
          <w:sz w:val="24"/>
          <w:szCs w:val="24"/>
        </w:rPr>
        <w:t xml:space="preserve"> </w:t>
      </w:r>
    </w:p>
    <w:p w14:paraId="6EF10D16" w14:textId="77777777" w:rsidR="00CA2074" w:rsidRDefault="00CA2074" w:rsidP="00CA2074">
      <w:pPr>
        <w:pStyle w:val="ListParagraph"/>
        <w:spacing w:line="360" w:lineRule="auto"/>
        <w:ind w:left="0"/>
        <w:jc w:val="both"/>
        <w:rPr>
          <w:rFonts w:ascii="Arial" w:hAnsi="Arial" w:cs="Arial"/>
          <w:sz w:val="24"/>
          <w:szCs w:val="24"/>
        </w:rPr>
      </w:pPr>
    </w:p>
    <w:p w14:paraId="308FE61A" w14:textId="77777777" w:rsidR="00CA2074" w:rsidRDefault="00CA2074" w:rsidP="00CA2074">
      <w:pPr>
        <w:pStyle w:val="ListParagraph"/>
        <w:spacing w:line="360" w:lineRule="auto"/>
        <w:ind w:left="0"/>
        <w:jc w:val="both"/>
        <w:rPr>
          <w:rFonts w:ascii="Arial" w:hAnsi="Arial" w:cs="Arial"/>
          <w:sz w:val="24"/>
          <w:szCs w:val="24"/>
        </w:rPr>
      </w:pPr>
      <w:r w:rsidRPr="006E3F44">
        <w:rPr>
          <w:rFonts w:ascii="Arial" w:hAnsi="Arial" w:cs="Arial"/>
          <w:i/>
          <w:sz w:val="24"/>
          <w:szCs w:val="24"/>
        </w:rPr>
        <w:lastRenderedPageBreak/>
        <w:t>Held that</w:t>
      </w:r>
      <w:r>
        <w:rPr>
          <w:rFonts w:ascii="Arial" w:hAnsi="Arial" w:cs="Arial"/>
          <w:sz w:val="24"/>
          <w:szCs w:val="24"/>
        </w:rPr>
        <w:t xml:space="preserve"> </w:t>
      </w:r>
      <w:r w:rsidR="00AF524B">
        <w:rPr>
          <w:rFonts w:ascii="Arial" w:hAnsi="Arial" w:cs="Arial"/>
          <w:sz w:val="24"/>
          <w:szCs w:val="24"/>
        </w:rPr>
        <w:t>–</w:t>
      </w:r>
      <w:r>
        <w:rPr>
          <w:rFonts w:ascii="Arial" w:hAnsi="Arial" w:cs="Arial"/>
          <w:sz w:val="24"/>
          <w:szCs w:val="24"/>
        </w:rPr>
        <w:t xml:space="preserve"> </w:t>
      </w:r>
      <w:r w:rsidR="00AF524B">
        <w:rPr>
          <w:rFonts w:ascii="Arial" w:hAnsi="Arial" w:cs="Arial"/>
          <w:sz w:val="24"/>
          <w:szCs w:val="24"/>
        </w:rPr>
        <w:t xml:space="preserve">Menzies was required to </w:t>
      </w:r>
      <w:r>
        <w:rPr>
          <w:rFonts w:ascii="Arial" w:hAnsi="Arial" w:cs="Arial"/>
          <w:sz w:val="24"/>
          <w:szCs w:val="24"/>
        </w:rPr>
        <w:t xml:space="preserve">prove </w:t>
      </w:r>
      <w:r w:rsidR="00AF524B">
        <w:rPr>
          <w:rFonts w:ascii="Arial" w:hAnsi="Arial" w:cs="Arial"/>
          <w:sz w:val="24"/>
          <w:szCs w:val="24"/>
        </w:rPr>
        <w:t xml:space="preserve">the tacit relocation by establishing that </w:t>
      </w:r>
      <w:r>
        <w:rPr>
          <w:rFonts w:ascii="Arial" w:hAnsi="Arial" w:cs="Arial"/>
          <w:sz w:val="24"/>
          <w:szCs w:val="24"/>
        </w:rPr>
        <w:t xml:space="preserve">both parties, after the termination of the initial Service Agreement, conducted themselves in a manner that gives rise to an inescapable inference that they both desired to revive their former contractual relationship. </w:t>
      </w:r>
    </w:p>
    <w:p w14:paraId="1B7B3682" w14:textId="77777777" w:rsidR="00CA2074" w:rsidRDefault="00CA2074" w:rsidP="00CA2074">
      <w:pPr>
        <w:pStyle w:val="ListParagraph"/>
        <w:spacing w:line="360" w:lineRule="auto"/>
        <w:ind w:left="0"/>
        <w:jc w:val="both"/>
        <w:rPr>
          <w:rFonts w:ascii="Arial" w:hAnsi="Arial" w:cs="Arial"/>
          <w:sz w:val="24"/>
          <w:szCs w:val="24"/>
        </w:rPr>
      </w:pPr>
    </w:p>
    <w:p w14:paraId="60E6E281" w14:textId="77777777" w:rsidR="00CA2074" w:rsidRDefault="00A76CF0" w:rsidP="00CA2074">
      <w:pPr>
        <w:pStyle w:val="ListParagraph"/>
        <w:spacing w:line="360" w:lineRule="auto"/>
        <w:ind w:left="0"/>
        <w:jc w:val="both"/>
        <w:rPr>
          <w:rFonts w:ascii="Arial" w:hAnsi="Arial" w:cs="Arial"/>
          <w:sz w:val="24"/>
          <w:szCs w:val="24"/>
        </w:rPr>
      </w:pPr>
      <w:r w:rsidRPr="006E3F44">
        <w:rPr>
          <w:rFonts w:ascii="Arial" w:hAnsi="Arial" w:cs="Arial"/>
          <w:i/>
          <w:sz w:val="24"/>
          <w:szCs w:val="24"/>
        </w:rPr>
        <w:t>Held that</w:t>
      </w:r>
      <w:r>
        <w:rPr>
          <w:rFonts w:ascii="Arial" w:hAnsi="Arial" w:cs="Arial"/>
          <w:sz w:val="24"/>
          <w:szCs w:val="24"/>
        </w:rPr>
        <w:t xml:space="preserve"> – </w:t>
      </w:r>
      <w:r w:rsidR="00AF524B">
        <w:rPr>
          <w:rFonts w:ascii="Arial" w:hAnsi="Arial" w:cs="Arial"/>
          <w:sz w:val="24"/>
          <w:szCs w:val="24"/>
        </w:rPr>
        <w:t>Menzies</w:t>
      </w:r>
      <w:r w:rsidR="00CA2074" w:rsidRPr="00CA2074">
        <w:rPr>
          <w:rFonts w:ascii="Arial" w:hAnsi="Arial" w:cs="Arial"/>
          <w:sz w:val="24"/>
          <w:szCs w:val="24"/>
        </w:rPr>
        <w:t xml:space="preserve"> failed to prove that the parties conducted themselves in </w:t>
      </w:r>
      <w:proofErr w:type="gramStart"/>
      <w:r w:rsidR="00CA2074" w:rsidRPr="00CA2074">
        <w:rPr>
          <w:rFonts w:ascii="Arial" w:hAnsi="Arial" w:cs="Arial"/>
          <w:sz w:val="24"/>
          <w:szCs w:val="24"/>
        </w:rPr>
        <w:t>a manner in which</w:t>
      </w:r>
      <w:proofErr w:type="gramEnd"/>
      <w:r w:rsidR="00CA2074" w:rsidRPr="00CA2074">
        <w:rPr>
          <w:rFonts w:ascii="Arial" w:hAnsi="Arial" w:cs="Arial"/>
          <w:sz w:val="24"/>
          <w:szCs w:val="24"/>
        </w:rPr>
        <w:t xml:space="preserve"> it can be unequivocally inferred that the parties intended to enter into a new (oral) agreement, which came into existence from a defi</w:t>
      </w:r>
      <w:r w:rsidR="00AF524B">
        <w:rPr>
          <w:rFonts w:ascii="Arial" w:hAnsi="Arial" w:cs="Arial"/>
          <w:sz w:val="24"/>
          <w:szCs w:val="24"/>
        </w:rPr>
        <w:t xml:space="preserve">nite and specified date onwards. </w:t>
      </w:r>
      <w:r w:rsidR="00CA2074" w:rsidRPr="00CA2074">
        <w:rPr>
          <w:rFonts w:ascii="Arial" w:hAnsi="Arial" w:cs="Arial"/>
          <w:sz w:val="24"/>
          <w:szCs w:val="24"/>
        </w:rPr>
        <w:t xml:space="preserve"> </w:t>
      </w:r>
    </w:p>
    <w:p w14:paraId="148C616E" w14:textId="77777777" w:rsidR="00CA2074" w:rsidRPr="00CA2074" w:rsidRDefault="00CA2074" w:rsidP="00CA2074">
      <w:pPr>
        <w:pStyle w:val="ListParagraph"/>
        <w:spacing w:line="360" w:lineRule="auto"/>
        <w:ind w:left="0"/>
        <w:jc w:val="both"/>
        <w:rPr>
          <w:rFonts w:ascii="Arial" w:hAnsi="Arial" w:cs="Arial"/>
          <w:sz w:val="24"/>
          <w:szCs w:val="24"/>
        </w:rPr>
      </w:pPr>
    </w:p>
    <w:p w14:paraId="68828862" w14:textId="77777777" w:rsidR="00CA2074" w:rsidRDefault="00A76CF0" w:rsidP="00CA2074">
      <w:pPr>
        <w:pStyle w:val="ListParagraph"/>
        <w:spacing w:line="360" w:lineRule="auto"/>
        <w:ind w:left="0"/>
        <w:jc w:val="both"/>
        <w:rPr>
          <w:rFonts w:ascii="Arial" w:hAnsi="Arial" w:cs="Arial"/>
          <w:sz w:val="24"/>
          <w:szCs w:val="24"/>
        </w:rPr>
      </w:pPr>
      <w:r w:rsidRPr="006E3F44">
        <w:rPr>
          <w:rFonts w:ascii="Arial" w:eastAsia="Calibri" w:hAnsi="Arial" w:cs="Arial"/>
          <w:i/>
          <w:sz w:val="24"/>
          <w:szCs w:val="24"/>
        </w:rPr>
        <w:t>Held that</w:t>
      </w:r>
      <w:r>
        <w:rPr>
          <w:rFonts w:ascii="Arial" w:eastAsia="Calibri" w:hAnsi="Arial" w:cs="Arial"/>
          <w:sz w:val="24"/>
          <w:szCs w:val="24"/>
        </w:rPr>
        <w:t xml:space="preserve"> – N</w:t>
      </w:r>
      <w:r w:rsidR="00CA2074" w:rsidRPr="00CE7748">
        <w:rPr>
          <w:rFonts w:ascii="Arial" w:hAnsi="Arial" w:cs="Arial"/>
          <w:sz w:val="24"/>
          <w:szCs w:val="24"/>
        </w:rPr>
        <w:t xml:space="preserve">AC </w:t>
      </w:r>
      <w:r w:rsidR="00AF524B">
        <w:rPr>
          <w:rFonts w:ascii="Arial" w:hAnsi="Arial" w:cs="Arial"/>
          <w:sz w:val="24"/>
          <w:szCs w:val="24"/>
        </w:rPr>
        <w:t>proved</w:t>
      </w:r>
      <w:r w:rsidR="00CA2074" w:rsidRPr="00CE7748">
        <w:rPr>
          <w:rFonts w:ascii="Arial" w:hAnsi="Arial" w:cs="Arial"/>
          <w:sz w:val="24"/>
          <w:szCs w:val="24"/>
        </w:rPr>
        <w:t xml:space="preserve"> that it has a future right with effect from 1 July 2022 and that a declaratory relief can be granted in the exe</w:t>
      </w:r>
      <w:r w:rsidR="00CA2074">
        <w:rPr>
          <w:rFonts w:ascii="Arial" w:hAnsi="Arial" w:cs="Arial"/>
          <w:sz w:val="24"/>
          <w:szCs w:val="24"/>
        </w:rPr>
        <w:t>rcise of the court</w:t>
      </w:r>
      <w:r w:rsidR="00AF524B">
        <w:rPr>
          <w:rFonts w:ascii="Arial" w:hAnsi="Arial" w:cs="Arial"/>
          <w:sz w:val="24"/>
          <w:szCs w:val="24"/>
        </w:rPr>
        <w:t>’s discretion.</w:t>
      </w:r>
    </w:p>
    <w:p w14:paraId="72B7061E" w14:textId="77777777" w:rsidR="00CA2074" w:rsidRDefault="00CA2074" w:rsidP="00CA2074">
      <w:pPr>
        <w:pStyle w:val="ListParagraph"/>
        <w:spacing w:line="360" w:lineRule="auto"/>
        <w:ind w:left="0"/>
        <w:jc w:val="both"/>
        <w:rPr>
          <w:rFonts w:ascii="Arial" w:hAnsi="Arial" w:cs="Arial"/>
          <w:sz w:val="24"/>
          <w:szCs w:val="24"/>
        </w:rPr>
      </w:pPr>
    </w:p>
    <w:p w14:paraId="7272AA07" w14:textId="77777777" w:rsidR="00AF524B" w:rsidRDefault="00AF524B" w:rsidP="00CA2074">
      <w:pPr>
        <w:pStyle w:val="ListParagraph"/>
        <w:spacing w:line="360" w:lineRule="auto"/>
        <w:ind w:left="0"/>
        <w:jc w:val="both"/>
        <w:rPr>
          <w:rFonts w:ascii="Arial" w:hAnsi="Arial" w:cs="Arial"/>
          <w:sz w:val="24"/>
          <w:szCs w:val="24"/>
        </w:rPr>
      </w:pPr>
      <w:r w:rsidRPr="006E3F44">
        <w:rPr>
          <w:rFonts w:ascii="Arial" w:hAnsi="Arial" w:cs="Arial"/>
          <w:i/>
          <w:sz w:val="24"/>
          <w:szCs w:val="24"/>
        </w:rPr>
        <w:t>Held that</w:t>
      </w:r>
      <w:r>
        <w:rPr>
          <w:rFonts w:ascii="Arial" w:hAnsi="Arial" w:cs="Arial"/>
          <w:sz w:val="24"/>
          <w:szCs w:val="24"/>
        </w:rPr>
        <w:t xml:space="preserve"> – T</w:t>
      </w:r>
      <w:r w:rsidR="00CA2074" w:rsidRPr="00CA2074">
        <w:rPr>
          <w:rFonts w:ascii="Arial" w:hAnsi="Arial" w:cs="Arial"/>
          <w:sz w:val="24"/>
          <w:szCs w:val="24"/>
        </w:rPr>
        <w:t xml:space="preserve">he claim by </w:t>
      </w:r>
      <w:r>
        <w:rPr>
          <w:rFonts w:ascii="Arial" w:hAnsi="Arial" w:cs="Arial"/>
          <w:sz w:val="24"/>
          <w:szCs w:val="24"/>
        </w:rPr>
        <w:t xml:space="preserve">NAC </w:t>
      </w:r>
      <w:r w:rsidR="00CA2074" w:rsidRPr="00CA2074">
        <w:rPr>
          <w:rFonts w:ascii="Arial" w:hAnsi="Arial" w:cs="Arial"/>
          <w:sz w:val="24"/>
          <w:szCs w:val="24"/>
        </w:rPr>
        <w:t>goes beyond pure commercial interests as it delves into the realm of public interest</w:t>
      </w:r>
      <w:r>
        <w:rPr>
          <w:rFonts w:ascii="Arial" w:hAnsi="Arial" w:cs="Arial"/>
          <w:sz w:val="24"/>
          <w:szCs w:val="24"/>
        </w:rPr>
        <w:t xml:space="preserve"> and NAC </w:t>
      </w:r>
      <w:r w:rsidR="00CA2074" w:rsidRPr="00CA2074">
        <w:rPr>
          <w:rFonts w:ascii="Arial" w:hAnsi="Arial" w:cs="Arial"/>
          <w:sz w:val="24"/>
          <w:szCs w:val="24"/>
        </w:rPr>
        <w:t>demonstrated the circumstances which re</w:t>
      </w:r>
      <w:r>
        <w:rPr>
          <w:rFonts w:ascii="Arial" w:hAnsi="Arial" w:cs="Arial"/>
          <w:sz w:val="24"/>
          <w:szCs w:val="24"/>
        </w:rPr>
        <w:t>nder the matter urgent.</w:t>
      </w:r>
    </w:p>
    <w:p w14:paraId="33F1B592" w14:textId="77777777" w:rsidR="00AF524B" w:rsidRDefault="00AF524B" w:rsidP="00CA2074">
      <w:pPr>
        <w:pStyle w:val="ListParagraph"/>
        <w:spacing w:line="360" w:lineRule="auto"/>
        <w:ind w:left="0"/>
        <w:jc w:val="both"/>
        <w:rPr>
          <w:rFonts w:ascii="Arial" w:hAnsi="Arial" w:cs="Arial"/>
          <w:sz w:val="24"/>
          <w:szCs w:val="24"/>
        </w:rPr>
      </w:pPr>
    </w:p>
    <w:p w14:paraId="5ACF7296" w14:textId="77777777" w:rsidR="00CA2074" w:rsidRDefault="00AF524B" w:rsidP="00CA2074">
      <w:pPr>
        <w:pStyle w:val="ListParagraph"/>
        <w:spacing w:line="360" w:lineRule="auto"/>
        <w:ind w:left="0"/>
        <w:jc w:val="both"/>
        <w:rPr>
          <w:rFonts w:ascii="Arial" w:hAnsi="Arial" w:cs="Arial"/>
          <w:sz w:val="24"/>
          <w:szCs w:val="24"/>
        </w:rPr>
      </w:pPr>
      <w:r w:rsidRPr="006E3F44">
        <w:rPr>
          <w:rFonts w:ascii="Arial" w:hAnsi="Arial" w:cs="Arial"/>
          <w:i/>
          <w:sz w:val="24"/>
          <w:szCs w:val="24"/>
        </w:rPr>
        <w:t>Held that</w:t>
      </w:r>
      <w:r>
        <w:rPr>
          <w:rFonts w:ascii="Arial" w:hAnsi="Arial" w:cs="Arial"/>
          <w:sz w:val="24"/>
          <w:szCs w:val="24"/>
        </w:rPr>
        <w:t xml:space="preserve"> </w:t>
      </w:r>
      <w:r w:rsidR="007247AE">
        <w:rPr>
          <w:rFonts w:ascii="Arial" w:hAnsi="Arial" w:cs="Arial"/>
          <w:sz w:val="24"/>
          <w:szCs w:val="24"/>
        </w:rPr>
        <w:t>–</w:t>
      </w:r>
      <w:r>
        <w:rPr>
          <w:rFonts w:ascii="Arial" w:hAnsi="Arial" w:cs="Arial"/>
          <w:sz w:val="24"/>
          <w:szCs w:val="24"/>
        </w:rPr>
        <w:t xml:space="preserve"> </w:t>
      </w:r>
      <w:r w:rsidR="007247AE">
        <w:rPr>
          <w:rFonts w:ascii="Arial" w:hAnsi="Arial" w:cs="Arial"/>
          <w:sz w:val="24"/>
          <w:szCs w:val="24"/>
        </w:rPr>
        <w:t xml:space="preserve">Where a decision of a subordinate body is confirmed by a superior body, the decision of such subordinate body cannot be challenged without attacked the confirmatory decision of a superior body, and where the subordinate decision is attacked without citing the superior body the matter can be struck from the roll for non-joinder. </w:t>
      </w:r>
    </w:p>
    <w:p w14:paraId="636BC872" w14:textId="77777777" w:rsidR="00CA2074" w:rsidRDefault="00CA2074" w:rsidP="00CA2074">
      <w:pPr>
        <w:pStyle w:val="ListParagraph"/>
        <w:spacing w:line="360" w:lineRule="auto"/>
        <w:ind w:left="0"/>
        <w:jc w:val="both"/>
        <w:rPr>
          <w:rFonts w:ascii="Arial" w:hAnsi="Arial" w:cs="Arial"/>
          <w:sz w:val="24"/>
          <w:szCs w:val="24"/>
        </w:rPr>
      </w:pPr>
    </w:p>
    <w:p w14:paraId="38F5A318" w14:textId="77777777" w:rsidR="00CA2074" w:rsidRPr="00CA2074" w:rsidRDefault="00CA2074" w:rsidP="00CA2074">
      <w:pPr>
        <w:pStyle w:val="ListParagraph"/>
        <w:spacing w:line="360" w:lineRule="auto"/>
        <w:ind w:left="0"/>
        <w:jc w:val="both"/>
        <w:rPr>
          <w:rFonts w:ascii="Arial" w:hAnsi="Arial" w:cs="Arial"/>
          <w:sz w:val="24"/>
          <w:szCs w:val="24"/>
        </w:rPr>
      </w:pPr>
      <w:r w:rsidRPr="006E3F44">
        <w:rPr>
          <w:rFonts w:ascii="Arial" w:hAnsi="Arial" w:cs="Arial"/>
          <w:i/>
          <w:sz w:val="24"/>
          <w:szCs w:val="24"/>
        </w:rPr>
        <w:t>Held further that</w:t>
      </w:r>
      <w:r>
        <w:rPr>
          <w:rFonts w:ascii="Arial" w:hAnsi="Arial" w:cs="Arial"/>
          <w:sz w:val="24"/>
          <w:szCs w:val="24"/>
        </w:rPr>
        <w:t xml:space="preserve"> – NAC</w:t>
      </w:r>
      <w:r w:rsidR="00F238BC">
        <w:rPr>
          <w:rFonts w:ascii="Arial" w:hAnsi="Arial" w:cs="Arial"/>
          <w:sz w:val="24"/>
          <w:szCs w:val="24"/>
        </w:rPr>
        <w:t>’s</w:t>
      </w:r>
      <w:r>
        <w:rPr>
          <w:rFonts w:ascii="Arial" w:hAnsi="Arial" w:cs="Arial"/>
          <w:sz w:val="24"/>
          <w:szCs w:val="24"/>
        </w:rPr>
        <w:t xml:space="preserve"> urgent application succeeds.</w:t>
      </w:r>
    </w:p>
    <w:p w14:paraId="427E95DA" w14:textId="77777777" w:rsidR="00391051" w:rsidRPr="008C121A" w:rsidRDefault="00391051" w:rsidP="00391051">
      <w:pPr>
        <w:pBdr>
          <w:bottom w:val="single" w:sz="6" w:space="1" w:color="auto"/>
        </w:pBdr>
        <w:rPr>
          <w:rFonts w:ascii="Arial" w:hAnsi="Arial" w:cs="Arial"/>
          <w:b/>
          <w:sz w:val="24"/>
          <w:szCs w:val="24"/>
        </w:rPr>
      </w:pPr>
    </w:p>
    <w:p w14:paraId="0D47A6A3" w14:textId="77777777" w:rsidR="00391051" w:rsidRPr="008C121A" w:rsidRDefault="00391051" w:rsidP="00391051">
      <w:pPr>
        <w:pBdr>
          <w:bottom w:val="single" w:sz="4" w:space="1" w:color="auto"/>
        </w:pBdr>
        <w:jc w:val="center"/>
        <w:rPr>
          <w:rFonts w:ascii="Arial" w:hAnsi="Arial" w:cs="Arial"/>
          <w:sz w:val="24"/>
          <w:szCs w:val="24"/>
        </w:rPr>
      </w:pPr>
    </w:p>
    <w:p w14:paraId="10D077E9" w14:textId="77777777" w:rsidR="00391051" w:rsidRPr="008C121A" w:rsidRDefault="00391051" w:rsidP="00391051">
      <w:pPr>
        <w:pBdr>
          <w:bottom w:val="single" w:sz="4" w:space="1" w:color="auto"/>
        </w:pBdr>
        <w:jc w:val="center"/>
        <w:rPr>
          <w:rFonts w:ascii="Arial" w:hAnsi="Arial" w:cs="Arial"/>
          <w:b/>
          <w:sz w:val="24"/>
          <w:szCs w:val="24"/>
        </w:rPr>
      </w:pPr>
      <w:r w:rsidRPr="008C121A">
        <w:rPr>
          <w:rFonts w:ascii="Arial" w:hAnsi="Arial" w:cs="Arial"/>
          <w:b/>
          <w:sz w:val="24"/>
          <w:szCs w:val="24"/>
        </w:rPr>
        <w:t>ORDER</w:t>
      </w:r>
    </w:p>
    <w:p w14:paraId="2894DE11" w14:textId="77777777" w:rsidR="00391051" w:rsidRPr="008C121A" w:rsidRDefault="00391051" w:rsidP="00391051">
      <w:pPr>
        <w:pBdr>
          <w:bottom w:val="single" w:sz="4" w:space="1" w:color="auto"/>
        </w:pBdr>
        <w:jc w:val="center"/>
        <w:rPr>
          <w:rFonts w:ascii="Arial" w:hAnsi="Arial" w:cs="Arial"/>
          <w:sz w:val="24"/>
          <w:szCs w:val="24"/>
        </w:rPr>
      </w:pPr>
    </w:p>
    <w:p w14:paraId="72180365" w14:textId="77777777" w:rsidR="00391051" w:rsidRPr="008C121A" w:rsidRDefault="00391051" w:rsidP="00391051">
      <w:pPr>
        <w:pStyle w:val="ListParagraph"/>
        <w:spacing w:line="360" w:lineRule="auto"/>
        <w:jc w:val="both"/>
        <w:rPr>
          <w:rFonts w:ascii="Arial" w:hAnsi="Arial" w:cs="Arial"/>
          <w:sz w:val="24"/>
          <w:szCs w:val="24"/>
        </w:rPr>
      </w:pPr>
    </w:p>
    <w:p w14:paraId="1E473600" w14:textId="77777777" w:rsidR="00391051" w:rsidRPr="008C121A" w:rsidRDefault="00391051" w:rsidP="00391051">
      <w:pPr>
        <w:pStyle w:val="ListParagraph"/>
        <w:numPr>
          <w:ilvl w:val="0"/>
          <w:numId w:val="5"/>
        </w:numPr>
        <w:autoSpaceDE w:val="0"/>
        <w:autoSpaceDN w:val="0"/>
        <w:adjustRightInd w:val="0"/>
        <w:spacing w:after="0" w:line="360" w:lineRule="auto"/>
        <w:jc w:val="both"/>
        <w:rPr>
          <w:rFonts w:ascii="Arial" w:hAnsi="Arial" w:cs="Arial"/>
          <w:sz w:val="24"/>
          <w:szCs w:val="24"/>
        </w:rPr>
      </w:pPr>
      <w:r w:rsidRPr="008C121A">
        <w:rPr>
          <w:rFonts w:ascii="Arial" w:hAnsi="Arial" w:cs="Arial"/>
          <w:sz w:val="24"/>
          <w:szCs w:val="24"/>
        </w:rPr>
        <w:t>The applicant’s non-compliance with the prescribed periods of time and forms of service, is hereby condoned and the matter is enrolled as one of urgency in terms of Rule 73 (3) of the Rules of this court.</w:t>
      </w:r>
    </w:p>
    <w:p w14:paraId="2CEF5EAA" w14:textId="77777777" w:rsidR="00391051" w:rsidRPr="008C121A" w:rsidRDefault="00391051" w:rsidP="00391051">
      <w:pPr>
        <w:pStyle w:val="ListParagraph"/>
        <w:autoSpaceDE w:val="0"/>
        <w:autoSpaceDN w:val="0"/>
        <w:adjustRightInd w:val="0"/>
        <w:spacing w:line="360" w:lineRule="auto"/>
        <w:jc w:val="both"/>
        <w:rPr>
          <w:rFonts w:ascii="Arial" w:hAnsi="Arial" w:cs="Arial"/>
          <w:sz w:val="24"/>
          <w:szCs w:val="24"/>
        </w:rPr>
      </w:pPr>
    </w:p>
    <w:p w14:paraId="760F703A" w14:textId="77777777" w:rsidR="00391051" w:rsidRPr="008C121A" w:rsidRDefault="00391051" w:rsidP="00391051">
      <w:pPr>
        <w:pStyle w:val="ListParagraph"/>
        <w:numPr>
          <w:ilvl w:val="0"/>
          <w:numId w:val="5"/>
        </w:numPr>
        <w:autoSpaceDE w:val="0"/>
        <w:autoSpaceDN w:val="0"/>
        <w:adjustRightInd w:val="0"/>
        <w:spacing w:after="0" w:line="360" w:lineRule="auto"/>
        <w:jc w:val="both"/>
        <w:rPr>
          <w:rFonts w:ascii="Arial" w:hAnsi="Arial" w:cs="Arial"/>
          <w:sz w:val="24"/>
          <w:szCs w:val="24"/>
        </w:rPr>
      </w:pPr>
      <w:r w:rsidRPr="008C121A">
        <w:rPr>
          <w:rFonts w:ascii="Arial" w:hAnsi="Arial" w:cs="Arial"/>
          <w:sz w:val="24"/>
          <w:szCs w:val="24"/>
        </w:rPr>
        <w:lastRenderedPageBreak/>
        <w:t xml:space="preserve">It is declared that the agreement </w:t>
      </w:r>
      <w:proofErr w:type="gramStart"/>
      <w:r w:rsidRPr="008C121A">
        <w:rPr>
          <w:rFonts w:ascii="Arial" w:hAnsi="Arial" w:cs="Arial"/>
          <w:sz w:val="24"/>
          <w:szCs w:val="24"/>
        </w:rPr>
        <w:t>entered into</w:t>
      </w:r>
      <w:proofErr w:type="gramEnd"/>
      <w:r w:rsidRPr="008C121A">
        <w:rPr>
          <w:rFonts w:ascii="Arial" w:hAnsi="Arial" w:cs="Arial"/>
          <w:sz w:val="24"/>
          <w:szCs w:val="24"/>
        </w:rPr>
        <w:t xml:space="preserve"> between the applicant and the first respondent for the first respondent to provide ground handling services at Hosea </w:t>
      </w:r>
      <w:proofErr w:type="spellStart"/>
      <w:r w:rsidRPr="008C121A">
        <w:rPr>
          <w:rFonts w:ascii="Arial" w:hAnsi="Arial" w:cs="Arial"/>
          <w:sz w:val="24"/>
          <w:szCs w:val="24"/>
        </w:rPr>
        <w:t>Kutako</w:t>
      </w:r>
      <w:proofErr w:type="spellEnd"/>
      <w:r w:rsidRPr="008C121A">
        <w:rPr>
          <w:rFonts w:ascii="Arial" w:hAnsi="Arial" w:cs="Arial"/>
          <w:sz w:val="24"/>
          <w:szCs w:val="24"/>
        </w:rPr>
        <w:t xml:space="preserve"> International Airport (“HKIA”) shall terminate on 30 June 2022 (“the termination date”).</w:t>
      </w:r>
    </w:p>
    <w:p w14:paraId="4951646B" w14:textId="77777777" w:rsidR="00391051" w:rsidRPr="008C121A" w:rsidRDefault="00391051" w:rsidP="00391051">
      <w:pPr>
        <w:pStyle w:val="ListParagraph"/>
        <w:rPr>
          <w:rFonts w:ascii="Arial" w:hAnsi="Arial" w:cs="Arial"/>
          <w:sz w:val="24"/>
          <w:szCs w:val="24"/>
        </w:rPr>
      </w:pPr>
    </w:p>
    <w:p w14:paraId="528646BE" w14:textId="77777777" w:rsidR="00391051" w:rsidRPr="008C121A" w:rsidRDefault="00391051" w:rsidP="00391051">
      <w:pPr>
        <w:pStyle w:val="ListParagraph"/>
        <w:numPr>
          <w:ilvl w:val="0"/>
          <w:numId w:val="5"/>
        </w:numPr>
        <w:autoSpaceDE w:val="0"/>
        <w:autoSpaceDN w:val="0"/>
        <w:adjustRightInd w:val="0"/>
        <w:spacing w:after="0" w:line="360" w:lineRule="auto"/>
        <w:jc w:val="both"/>
        <w:rPr>
          <w:rFonts w:ascii="Arial" w:hAnsi="Arial" w:cs="Arial"/>
          <w:sz w:val="24"/>
          <w:szCs w:val="24"/>
        </w:rPr>
      </w:pPr>
      <w:r w:rsidRPr="008C121A">
        <w:rPr>
          <w:rFonts w:ascii="Arial" w:hAnsi="Arial" w:cs="Arial"/>
          <w:sz w:val="24"/>
          <w:szCs w:val="24"/>
        </w:rPr>
        <w:t>It is declared that the first respondent shall</w:t>
      </w:r>
      <w:r w:rsidR="00533082">
        <w:rPr>
          <w:rFonts w:ascii="Arial" w:hAnsi="Arial" w:cs="Arial"/>
          <w:sz w:val="24"/>
          <w:szCs w:val="24"/>
        </w:rPr>
        <w:t>,</w:t>
      </w:r>
      <w:r w:rsidRPr="008C121A">
        <w:rPr>
          <w:rFonts w:ascii="Arial" w:hAnsi="Arial" w:cs="Arial"/>
          <w:sz w:val="24"/>
          <w:szCs w:val="24"/>
        </w:rPr>
        <w:t xml:space="preserve"> at the end of the day on the termination date: </w:t>
      </w:r>
    </w:p>
    <w:p w14:paraId="0454DA1E" w14:textId="77777777" w:rsidR="00391051" w:rsidRPr="008C121A" w:rsidRDefault="00391051" w:rsidP="00391051">
      <w:pPr>
        <w:pStyle w:val="ListParagraph"/>
        <w:rPr>
          <w:rFonts w:ascii="Arial" w:hAnsi="Arial" w:cs="Arial"/>
          <w:sz w:val="24"/>
          <w:szCs w:val="24"/>
        </w:rPr>
      </w:pPr>
    </w:p>
    <w:p w14:paraId="46406460" w14:textId="77777777" w:rsidR="00391051" w:rsidRDefault="00391051" w:rsidP="006E3F44">
      <w:pPr>
        <w:pStyle w:val="ListParagraph"/>
        <w:numPr>
          <w:ilvl w:val="1"/>
          <w:numId w:val="5"/>
        </w:numPr>
        <w:autoSpaceDE w:val="0"/>
        <w:autoSpaceDN w:val="0"/>
        <w:adjustRightInd w:val="0"/>
        <w:spacing w:after="0" w:line="360" w:lineRule="auto"/>
        <w:ind w:left="1418" w:hanging="709"/>
        <w:jc w:val="both"/>
        <w:rPr>
          <w:rFonts w:ascii="Arial" w:hAnsi="Arial" w:cs="Arial"/>
          <w:sz w:val="24"/>
          <w:szCs w:val="24"/>
        </w:rPr>
      </w:pPr>
      <w:r w:rsidRPr="008C121A">
        <w:rPr>
          <w:rFonts w:ascii="Arial" w:hAnsi="Arial" w:cs="Arial"/>
          <w:sz w:val="24"/>
          <w:szCs w:val="24"/>
        </w:rPr>
        <w:t xml:space="preserve">cease to provide ground handling services at </w:t>
      </w:r>
      <w:proofErr w:type="gramStart"/>
      <w:r w:rsidRPr="008C121A">
        <w:rPr>
          <w:rFonts w:ascii="Arial" w:hAnsi="Arial" w:cs="Arial"/>
          <w:sz w:val="24"/>
          <w:szCs w:val="24"/>
        </w:rPr>
        <w:t>HKIA;</w:t>
      </w:r>
      <w:proofErr w:type="gramEnd"/>
      <w:r w:rsidRPr="008C121A">
        <w:rPr>
          <w:rFonts w:ascii="Arial" w:hAnsi="Arial" w:cs="Arial"/>
          <w:sz w:val="24"/>
          <w:szCs w:val="24"/>
        </w:rPr>
        <w:t xml:space="preserve"> </w:t>
      </w:r>
    </w:p>
    <w:p w14:paraId="2F57888C" w14:textId="77777777" w:rsidR="00CA2074" w:rsidRPr="008C121A" w:rsidRDefault="00CA2074" w:rsidP="00CA2074">
      <w:pPr>
        <w:pStyle w:val="ListParagraph"/>
        <w:autoSpaceDE w:val="0"/>
        <w:autoSpaceDN w:val="0"/>
        <w:adjustRightInd w:val="0"/>
        <w:spacing w:after="0" w:line="360" w:lineRule="auto"/>
        <w:jc w:val="both"/>
        <w:rPr>
          <w:rFonts w:ascii="Arial" w:hAnsi="Arial" w:cs="Arial"/>
          <w:sz w:val="24"/>
          <w:szCs w:val="24"/>
        </w:rPr>
      </w:pPr>
    </w:p>
    <w:p w14:paraId="4C1E3C40" w14:textId="77777777" w:rsidR="00391051" w:rsidRDefault="00391051" w:rsidP="006E3F44">
      <w:pPr>
        <w:pStyle w:val="ListParagraph"/>
        <w:numPr>
          <w:ilvl w:val="1"/>
          <w:numId w:val="5"/>
        </w:numPr>
        <w:autoSpaceDE w:val="0"/>
        <w:autoSpaceDN w:val="0"/>
        <w:adjustRightInd w:val="0"/>
        <w:spacing w:after="0" w:line="360" w:lineRule="auto"/>
        <w:ind w:left="1418" w:hanging="709"/>
        <w:jc w:val="both"/>
        <w:rPr>
          <w:rFonts w:ascii="Arial" w:hAnsi="Arial" w:cs="Arial"/>
          <w:sz w:val="24"/>
          <w:szCs w:val="24"/>
        </w:rPr>
      </w:pPr>
      <w:r w:rsidRPr="008C121A">
        <w:rPr>
          <w:rFonts w:ascii="Arial" w:hAnsi="Arial" w:cs="Arial"/>
          <w:sz w:val="24"/>
          <w:szCs w:val="24"/>
        </w:rPr>
        <w:t xml:space="preserve">hand over all security access cards or other equipment entitling it to access HKIA or any premises which it occupies at HKIA by virtue of the ground handling services agreement with the </w:t>
      </w:r>
      <w:proofErr w:type="gramStart"/>
      <w:r w:rsidRPr="008C121A">
        <w:rPr>
          <w:rFonts w:ascii="Arial" w:hAnsi="Arial" w:cs="Arial"/>
          <w:sz w:val="24"/>
          <w:szCs w:val="24"/>
        </w:rPr>
        <w:t>applicant;</w:t>
      </w:r>
      <w:proofErr w:type="gramEnd"/>
    </w:p>
    <w:p w14:paraId="3EFA317A" w14:textId="77777777" w:rsidR="00CA2074" w:rsidRPr="00CA2074" w:rsidRDefault="00CA2074" w:rsidP="00CA2074">
      <w:pPr>
        <w:autoSpaceDE w:val="0"/>
        <w:autoSpaceDN w:val="0"/>
        <w:adjustRightInd w:val="0"/>
        <w:spacing w:after="0" w:line="360" w:lineRule="auto"/>
        <w:jc w:val="both"/>
        <w:rPr>
          <w:rFonts w:ascii="Arial" w:hAnsi="Arial" w:cs="Arial"/>
          <w:sz w:val="24"/>
          <w:szCs w:val="24"/>
        </w:rPr>
      </w:pPr>
    </w:p>
    <w:p w14:paraId="1F48E113" w14:textId="77777777" w:rsidR="00391051" w:rsidRPr="008C121A" w:rsidRDefault="00391051" w:rsidP="006E3F44">
      <w:pPr>
        <w:pStyle w:val="ListParagraph"/>
        <w:numPr>
          <w:ilvl w:val="1"/>
          <w:numId w:val="5"/>
        </w:numPr>
        <w:autoSpaceDE w:val="0"/>
        <w:autoSpaceDN w:val="0"/>
        <w:adjustRightInd w:val="0"/>
        <w:spacing w:after="0" w:line="360" w:lineRule="auto"/>
        <w:ind w:left="1418" w:hanging="709"/>
        <w:jc w:val="both"/>
        <w:rPr>
          <w:rFonts w:ascii="Arial" w:hAnsi="Arial" w:cs="Arial"/>
          <w:sz w:val="24"/>
          <w:szCs w:val="24"/>
        </w:rPr>
      </w:pPr>
      <w:r w:rsidRPr="008C121A">
        <w:rPr>
          <w:rFonts w:ascii="Arial" w:hAnsi="Arial" w:cs="Arial"/>
          <w:sz w:val="24"/>
          <w:szCs w:val="24"/>
        </w:rPr>
        <w:t>vacate occupation of any premises at HKIA occupied by virtue of the ground handling services agreement.</w:t>
      </w:r>
    </w:p>
    <w:p w14:paraId="49EF61E1" w14:textId="77777777" w:rsidR="00391051" w:rsidRPr="008C121A" w:rsidRDefault="00391051" w:rsidP="00391051">
      <w:pPr>
        <w:autoSpaceDE w:val="0"/>
        <w:autoSpaceDN w:val="0"/>
        <w:adjustRightInd w:val="0"/>
        <w:spacing w:line="360" w:lineRule="auto"/>
        <w:jc w:val="both"/>
        <w:rPr>
          <w:rFonts w:ascii="Arial" w:hAnsi="Arial" w:cs="Arial"/>
          <w:sz w:val="24"/>
          <w:szCs w:val="24"/>
        </w:rPr>
      </w:pPr>
    </w:p>
    <w:p w14:paraId="7F8AD59E" w14:textId="77777777" w:rsidR="00391051" w:rsidRPr="008C121A" w:rsidRDefault="00391051" w:rsidP="00391051">
      <w:pPr>
        <w:pStyle w:val="ListParagraph"/>
        <w:numPr>
          <w:ilvl w:val="0"/>
          <w:numId w:val="5"/>
        </w:numPr>
        <w:autoSpaceDE w:val="0"/>
        <w:autoSpaceDN w:val="0"/>
        <w:adjustRightInd w:val="0"/>
        <w:spacing w:after="0" w:line="360" w:lineRule="auto"/>
        <w:jc w:val="both"/>
        <w:rPr>
          <w:rFonts w:ascii="Arial" w:hAnsi="Arial" w:cs="Arial"/>
          <w:sz w:val="24"/>
          <w:szCs w:val="24"/>
        </w:rPr>
      </w:pPr>
      <w:r w:rsidRPr="008C121A">
        <w:rPr>
          <w:rFonts w:ascii="Arial" w:hAnsi="Arial" w:cs="Arial"/>
          <w:sz w:val="24"/>
          <w:szCs w:val="24"/>
        </w:rPr>
        <w:t>If the first respondent refuses to give effect to the order set out in paragraph 3 above, then the Deputy Sheriff of this Court is directed to:</w:t>
      </w:r>
    </w:p>
    <w:p w14:paraId="0C320949" w14:textId="77777777" w:rsidR="00391051" w:rsidRPr="008C121A" w:rsidRDefault="00391051" w:rsidP="00391051">
      <w:pPr>
        <w:pStyle w:val="ListParagraph"/>
        <w:autoSpaceDE w:val="0"/>
        <w:autoSpaceDN w:val="0"/>
        <w:adjustRightInd w:val="0"/>
        <w:spacing w:line="360" w:lineRule="auto"/>
        <w:jc w:val="both"/>
        <w:rPr>
          <w:rFonts w:ascii="Arial" w:hAnsi="Arial" w:cs="Arial"/>
          <w:sz w:val="24"/>
          <w:szCs w:val="24"/>
        </w:rPr>
      </w:pPr>
    </w:p>
    <w:p w14:paraId="769AE4CC" w14:textId="77777777" w:rsidR="00391051" w:rsidRDefault="00391051" w:rsidP="006E3F44">
      <w:pPr>
        <w:pStyle w:val="ListParagraph"/>
        <w:numPr>
          <w:ilvl w:val="1"/>
          <w:numId w:val="5"/>
        </w:numPr>
        <w:autoSpaceDE w:val="0"/>
        <w:autoSpaceDN w:val="0"/>
        <w:adjustRightInd w:val="0"/>
        <w:spacing w:after="0" w:line="360" w:lineRule="auto"/>
        <w:ind w:left="1418" w:hanging="709"/>
        <w:jc w:val="both"/>
        <w:rPr>
          <w:rFonts w:ascii="Arial" w:hAnsi="Arial" w:cs="Arial"/>
          <w:sz w:val="24"/>
          <w:szCs w:val="24"/>
        </w:rPr>
      </w:pPr>
      <w:r w:rsidRPr="008C121A">
        <w:rPr>
          <w:rFonts w:ascii="Arial" w:hAnsi="Arial" w:cs="Arial"/>
          <w:sz w:val="24"/>
          <w:szCs w:val="24"/>
        </w:rPr>
        <w:t xml:space="preserve">evict the first respondent from HKIA and from all premises of HKIA occupied by the first respondent by virtue of the ground handling services </w:t>
      </w:r>
      <w:proofErr w:type="gramStart"/>
      <w:r w:rsidRPr="008C121A">
        <w:rPr>
          <w:rFonts w:ascii="Arial" w:hAnsi="Arial" w:cs="Arial"/>
          <w:sz w:val="24"/>
          <w:szCs w:val="24"/>
        </w:rPr>
        <w:t>agreement;</w:t>
      </w:r>
      <w:proofErr w:type="gramEnd"/>
    </w:p>
    <w:p w14:paraId="2F48578D" w14:textId="77777777" w:rsidR="00CA2074" w:rsidRPr="008C121A" w:rsidRDefault="00CA2074" w:rsidP="00CA2074">
      <w:pPr>
        <w:pStyle w:val="ListParagraph"/>
        <w:autoSpaceDE w:val="0"/>
        <w:autoSpaceDN w:val="0"/>
        <w:adjustRightInd w:val="0"/>
        <w:spacing w:after="0" w:line="360" w:lineRule="auto"/>
        <w:jc w:val="both"/>
        <w:rPr>
          <w:rFonts w:ascii="Arial" w:hAnsi="Arial" w:cs="Arial"/>
          <w:sz w:val="24"/>
          <w:szCs w:val="24"/>
        </w:rPr>
      </w:pPr>
    </w:p>
    <w:p w14:paraId="0553965E" w14:textId="77777777" w:rsidR="00391051" w:rsidRPr="008C121A" w:rsidRDefault="00391051" w:rsidP="006E3F44">
      <w:pPr>
        <w:pStyle w:val="ListParagraph"/>
        <w:numPr>
          <w:ilvl w:val="1"/>
          <w:numId w:val="5"/>
        </w:numPr>
        <w:autoSpaceDE w:val="0"/>
        <w:autoSpaceDN w:val="0"/>
        <w:adjustRightInd w:val="0"/>
        <w:spacing w:after="0" w:line="360" w:lineRule="auto"/>
        <w:ind w:left="1418" w:hanging="709"/>
        <w:jc w:val="both"/>
        <w:rPr>
          <w:rFonts w:ascii="Arial" w:hAnsi="Arial" w:cs="Arial"/>
          <w:sz w:val="24"/>
          <w:szCs w:val="24"/>
        </w:rPr>
      </w:pPr>
      <w:r w:rsidRPr="008C121A">
        <w:rPr>
          <w:rFonts w:ascii="Arial" w:hAnsi="Arial" w:cs="Arial"/>
          <w:sz w:val="24"/>
          <w:szCs w:val="24"/>
        </w:rPr>
        <w:t xml:space="preserve">remove all equipment belonging to the first respondent from the </w:t>
      </w:r>
      <w:proofErr w:type="gramStart"/>
      <w:r w:rsidRPr="008C121A">
        <w:rPr>
          <w:rFonts w:ascii="Arial" w:hAnsi="Arial" w:cs="Arial"/>
          <w:sz w:val="24"/>
          <w:szCs w:val="24"/>
        </w:rPr>
        <w:t>HKIA;</w:t>
      </w:r>
      <w:proofErr w:type="gramEnd"/>
    </w:p>
    <w:p w14:paraId="72BC34F7" w14:textId="77777777" w:rsidR="00391051" w:rsidRPr="008C121A" w:rsidRDefault="00391051" w:rsidP="00391051">
      <w:pPr>
        <w:autoSpaceDE w:val="0"/>
        <w:autoSpaceDN w:val="0"/>
        <w:adjustRightInd w:val="0"/>
        <w:spacing w:line="360" w:lineRule="auto"/>
        <w:jc w:val="both"/>
        <w:rPr>
          <w:rFonts w:ascii="Arial" w:hAnsi="Arial" w:cs="Arial"/>
          <w:sz w:val="24"/>
          <w:szCs w:val="24"/>
        </w:rPr>
      </w:pPr>
    </w:p>
    <w:p w14:paraId="3948D700" w14:textId="77777777" w:rsidR="003A2792" w:rsidRPr="003A2792" w:rsidRDefault="003A2792" w:rsidP="003A2792">
      <w:pPr>
        <w:pStyle w:val="ListParagraph"/>
        <w:numPr>
          <w:ilvl w:val="0"/>
          <w:numId w:val="5"/>
        </w:numPr>
        <w:autoSpaceDE w:val="0"/>
        <w:autoSpaceDN w:val="0"/>
        <w:adjustRightInd w:val="0"/>
        <w:spacing w:after="0" w:line="360" w:lineRule="auto"/>
        <w:jc w:val="both"/>
        <w:rPr>
          <w:rFonts w:ascii="Arial" w:hAnsi="Arial" w:cs="Arial"/>
          <w:sz w:val="24"/>
          <w:szCs w:val="24"/>
        </w:rPr>
      </w:pPr>
      <w:r w:rsidRPr="003A2792">
        <w:rPr>
          <w:rFonts w:ascii="Arial" w:hAnsi="Arial" w:cs="Arial"/>
          <w:sz w:val="24"/>
          <w:szCs w:val="24"/>
        </w:rPr>
        <w:t xml:space="preserve">The </w:t>
      </w:r>
      <w:r w:rsidRPr="003A2792">
        <w:rPr>
          <w:rFonts w:ascii="Arial" w:hAnsi="Arial"/>
          <w:sz w:val="24"/>
          <w:szCs w:val="24"/>
        </w:rPr>
        <w:t xml:space="preserve">order that the first respondent’s </w:t>
      </w:r>
      <w:proofErr w:type="gramStart"/>
      <w:r w:rsidRPr="003A2792">
        <w:rPr>
          <w:rFonts w:ascii="Arial" w:hAnsi="Arial"/>
          <w:sz w:val="24"/>
          <w:szCs w:val="24"/>
        </w:rPr>
        <w:t>counter-application</w:t>
      </w:r>
      <w:proofErr w:type="gramEnd"/>
      <w:r w:rsidRPr="003A2792">
        <w:rPr>
          <w:rFonts w:ascii="Arial" w:hAnsi="Arial"/>
          <w:sz w:val="24"/>
          <w:szCs w:val="24"/>
        </w:rPr>
        <w:t xml:space="preserve"> is dismissed is varied in terms of rule 103(1) to read that the first respondent’s counter-application is struck from the roll. </w:t>
      </w:r>
      <w:r w:rsidRPr="003A2792">
        <w:rPr>
          <w:rFonts w:ascii="Arial" w:hAnsi="Arial" w:cs="Arial"/>
          <w:sz w:val="24"/>
          <w:szCs w:val="24"/>
        </w:rPr>
        <w:t xml:space="preserve"> </w:t>
      </w:r>
    </w:p>
    <w:p w14:paraId="3A6CEACD" w14:textId="77777777" w:rsidR="00391051" w:rsidRPr="008C121A" w:rsidRDefault="00391051" w:rsidP="00391051">
      <w:pPr>
        <w:pStyle w:val="ListParagraph"/>
        <w:rPr>
          <w:rFonts w:ascii="Arial" w:hAnsi="Arial" w:cs="Arial"/>
          <w:sz w:val="24"/>
          <w:szCs w:val="24"/>
        </w:rPr>
      </w:pPr>
    </w:p>
    <w:p w14:paraId="7F787F1A" w14:textId="77777777" w:rsidR="00391051" w:rsidRPr="008C121A" w:rsidRDefault="00533082" w:rsidP="00391051">
      <w:pPr>
        <w:pStyle w:val="ListParagraph"/>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first r</w:t>
      </w:r>
      <w:r w:rsidR="00391051" w:rsidRPr="008C121A">
        <w:rPr>
          <w:rFonts w:ascii="Arial" w:hAnsi="Arial" w:cs="Arial"/>
          <w:sz w:val="24"/>
          <w:szCs w:val="24"/>
        </w:rPr>
        <w:t>espondent is ordered to pay the applicant’s costs of the applicatio</w:t>
      </w:r>
      <w:r w:rsidR="0061384F">
        <w:rPr>
          <w:rFonts w:ascii="Arial" w:hAnsi="Arial" w:cs="Arial"/>
          <w:sz w:val="24"/>
          <w:szCs w:val="24"/>
        </w:rPr>
        <w:t xml:space="preserve">n and opposition to the </w:t>
      </w:r>
      <w:proofErr w:type="gramStart"/>
      <w:r w:rsidR="0061384F">
        <w:rPr>
          <w:rFonts w:ascii="Arial" w:hAnsi="Arial" w:cs="Arial"/>
          <w:sz w:val="24"/>
          <w:szCs w:val="24"/>
        </w:rPr>
        <w:t>counter-</w:t>
      </w:r>
      <w:r w:rsidR="00391051" w:rsidRPr="008C121A">
        <w:rPr>
          <w:rFonts w:ascii="Arial" w:hAnsi="Arial" w:cs="Arial"/>
          <w:sz w:val="24"/>
          <w:szCs w:val="24"/>
        </w:rPr>
        <w:t>application</w:t>
      </w:r>
      <w:proofErr w:type="gramEnd"/>
      <w:r w:rsidR="00391051" w:rsidRPr="008C121A">
        <w:rPr>
          <w:rFonts w:ascii="Arial" w:hAnsi="Arial" w:cs="Arial"/>
          <w:sz w:val="24"/>
          <w:szCs w:val="24"/>
        </w:rPr>
        <w:t xml:space="preserve"> and such costs to include costs of one instruc</w:t>
      </w:r>
      <w:r w:rsidR="00F238BC">
        <w:rPr>
          <w:rFonts w:ascii="Arial" w:hAnsi="Arial" w:cs="Arial"/>
          <w:sz w:val="24"/>
          <w:szCs w:val="24"/>
        </w:rPr>
        <w:t>ting and two instructed Counsel,</w:t>
      </w:r>
      <w:r w:rsidR="00391051" w:rsidRPr="008C121A">
        <w:rPr>
          <w:rFonts w:ascii="Arial" w:hAnsi="Arial" w:cs="Arial"/>
          <w:sz w:val="24"/>
          <w:szCs w:val="24"/>
        </w:rPr>
        <w:t xml:space="preserve"> and further pay the second </w:t>
      </w:r>
      <w:r w:rsidR="00391051" w:rsidRPr="008C121A">
        <w:rPr>
          <w:rFonts w:ascii="Arial" w:hAnsi="Arial" w:cs="Arial"/>
          <w:sz w:val="24"/>
          <w:szCs w:val="24"/>
        </w:rPr>
        <w:lastRenderedPageBreak/>
        <w:t>respondent</w:t>
      </w:r>
      <w:r w:rsidR="0061384F">
        <w:rPr>
          <w:rFonts w:ascii="Arial" w:hAnsi="Arial" w:cs="Arial"/>
          <w:sz w:val="24"/>
          <w:szCs w:val="24"/>
        </w:rPr>
        <w:t>’s costs limited to the counter-</w:t>
      </w:r>
      <w:r w:rsidR="00391051" w:rsidRPr="008C121A">
        <w:rPr>
          <w:rFonts w:ascii="Arial" w:hAnsi="Arial" w:cs="Arial"/>
          <w:sz w:val="24"/>
          <w:szCs w:val="24"/>
        </w:rPr>
        <w:t xml:space="preserve">application which includes costs of two counsel. </w:t>
      </w:r>
    </w:p>
    <w:p w14:paraId="4CB11755" w14:textId="77777777" w:rsidR="00391051" w:rsidRPr="008C121A" w:rsidRDefault="00391051" w:rsidP="00391051">
      <w:pPr>
        <w:pStyle w:val="ListParagraph"/>
        <w:autoSpaceDE w:val="0"/>
        <w:autoSpaceDN w:val="0"/>
        <w:adjustRightInd w:val="0"/>
        <w:spacing w:line="360" w:lineRule="auto"/>
        <w:jc w:val="both"/>
        <w:rPr>
          <w:rFonts w:ascii="Arial" w:hAnsi="Arial" w:cs="Arial"/>
          <w:sz w:val="24"/>
          <w:szCs w:val="24"/>
        </w:rPr>
      </w:pPr>
    </w:p>
    <w:p w14:paraId="40D900B4" w14:textId="77777777" w:rsidR="00391051" w:rsidRPr="008C121A" w:rsidRDefault="00391051" w:rsidP="00391051">
      <w:pPr>
        <w:pStyle w:val="ListParagraph"/>
        <w:numPr>
          <w:ilvl w:val="0"/>
          <w:numId w:val="5"/>
        </w:numPr>
        <w:autoSpaceDE w:val="0"/>
        <w:autoSpaceDN w:val="0"/>
        <w:adjustRightInd w:val="0"/>
        <w:spacing w:after="0" w:line="360" w:lineRule="auto"/>
        <w:jc w:val="both"/>
        <w:rPr>
          <w:rFonts w:ascii="Arial" w:hAnsi="Arial" w:cs="Arial"/>
          <w:sz w:val="24"/>
          <w:szCs w:val="24"/>
        </w:rPr>
      </w:pPr>
      <w:r w:rsidRPr="008C121A">
        <w:rPr>
          <w:rFonts w:ascii="Arial" w:hAnsi="Arial" w:cs="Arial"/>
          <w:sz w:val="24"/>
          <w:szCs w:val="24"/>
        </w:rPr>
        <w:t xml:space="preserve">The matter is removed from the roll and regarded as finalised. </w:t>
      </w:r>
    </w:p>
    <w:p w14:paraId="5FFCD7A6" w14:textId="77777777" w:rsidR="001B7C63" w:rsidRPr="008C121A" w:rsidRDefault="001B7C63" w:rsidP="001B7C63">
      <w:pPr>
        <w:pBdr>
          <w:bottom w:val="single" w:sz="6" w:space="1" w:color="auto"/>
        </w:pBdr>
        <w:rPr>
          <w:rFonts w:ascii="Arial" w:hAnsi="Arial" w:cs="Arial"/>
          <w:b/>
          <w:sz w:val="24"/>
          <w:szCs w:val="24"/>
        </w:rPr>
      </w:pPr>
    </w:p>
    <w:p w14:paraId="01E9E87B" w14:textId="77777777" w:rsidR="001B7C63" w:rsidRPr="008C121A" w:rsidRDefault="001B7C63" w:rsidP="001B7C63">
      <w:pPr>
        <w:pBdr>
          <w:bottom w:val="single" w:sz="4" w:space="1" w:color="auto"/>
        </w:pBdr>
        <w:jc w:val="center"/>
        <w:rPr>
          <w:rFonts w:ascii="Arial" w:hAnsi="Arial" w:cs="Arial"/>
          <w:sz w:val="24"/>
          <w:szCs w:val="24"/>
        </w:rPr>
      </w:pPr>
    </w:p>
    <w:p w14:paraId="05885CC0" w14:textId="77777777" w:rsidR="001B7C63" w:rsidRPr="008C121A" w:rsidRDefault="001B7C63" w:rsidP="001B7C63">
      <w:pPr>
        <w:pBdr>
          <w:bottom w:val="single" w:sz="4" w:space="1" w:color="auto"/>
        </w:pBdr>
        <w:jc w:val="center"/>
        <w:rPr>
          <w:rFonts w:ascii="Arial" w:hAnsi="Arial" w:cs="Arial"/>
          <w:b/>
          <w:sz w:val="24"/>
          <w:szCs w:val="24"/>
        </w:rPr>
      </w:pPr>
      <w:r>
        <w:rPr>
          <w:rFonts w:ascii="Arial" w:hAnsi="Arial" w:cs="Arial"/>
          <w:b/>
          <w:sz w:val="24"/>
          <w:szCs w:val="24"/>
        </w:rPr>
        <w:t>JUDGMENT</w:t>
      </w:r>
    </w:p>
    <w:p w14:paraId="5B5AEFB7" w14:textId="77777777" w:rsidR="001B7C63" w:rsidRPr="008C121A" w:rsidRDefault="001B7C63" w:rsidP="001B7C63">
      <w:pPr>
        <w:pBdr>
          <w:bottom w:val="single" w:sz="4" w:space="1" w:color="auto"/>
        </w:pBdr>
        <w:jc w:val="center"/>
        <w:rPr>
          <w:rFonts w:ascii="Arial" w:hAnsi="Arial" w:cs="Arial"/>
          <w:sz w:val="24"/>
          <w:szCs w:val="24"/>
        </w:rPr>
      </w:pPr>
    </w:p>
    <w:p w14:paraId="4AAB38A1" w14:textId="77777777" w:rsidR="006C5C3F" w:rsidRDefault="006C5C3F" w:rsidP="00391051">
      <w:pPr>
        <w:spacing w:line="360" w:lineRule="auto"/>
        <w:jc w:val="both"/>
        <w:rPr>
          <w:rFonts w:ascii="Arial" w:hAnsi="Arial" w:cs="Arial"/>
          <w:sz w:val="24"/>
          <w:szCs w:val="24"/>
        </w:rPr>
      </w:pPr>
    </w:p>
    <w:p w14:paraId="25A85E65" w14:textId="77777777" w:rsidR="00533082" w:rsidRPr="00533082" w:rsidRDefault="00391051" w:rsidP="00533082">
      <w:pPr>
        <w:spacing w:line="360" w:lineRule="auto"/>
        <w:jc w:val="both"/>
        <w:rPr>
          <w:rFonts w:ascii="Arial" w:hAnsi="Arial" w:cs="Arial"/>
          <w:sz w:val="24"/>
          <w:szCs w:val="24"/>
        </w:rPr>
      </w:pPr>
      <w:proofErr w:type="spellStart"/>
      <w:r w:rsidRPr="00533082">
        <w:rPr>
          <w:rFonts w:ascii="Arial" w:hAnsi="Arial" w:cs="Arial"/>
          <w:sz w:val="24"/>
          <w:szCs w:val="24"/>
        </w:rPr>
        <w:t>Sibeya</w:t>
      </w:r>
      <w:proofErr w:type="spellEnd"/>
      <w:r w:rsidRPr="00533082">
        <w:rPr>
          <w:rFonts w:ascii="Arial" w:hAnsi="Arial" w:cs="Arial"/>
          <w:sz w:val="24"/>
          <w:szCs w:val="24"/>
        </w:rPr>
        <w:t xml:space="preserve"> J:</w:t>
      </w:r>
    </w:p>
    <w:p w14:paraId="4739FD5E" w14:textId="77777777" w:rsidR="00533082" w:rsidRDefault="00533082" w:rsidP="00533082">
      <w:pPr>
        <w:pStyle w:val="ListParagraph"/>
        <w:spacing w:line="360" w:lineRule="auto"/>
        <w:jc w:val="both"/>
        <w:rPr>
          <w:rFonts w:ascii="Arial" w:hAnsi="Arial" w:cs="Arial"/>
          <w:sz w:val="24"/>
          <w:szCs w:val="24"/>
        </w:rPr>
      </w:pPr>
    </w:p>
    <w:p w14:paraId="16B9CD3A" w14:textId="77777777" w:rsidR="009E0F96" w:rsidRPr="00533082" w:rsidRDefault="009E0F96" w:rsidP="00533082">
      <w:pPr>
        <w:pStyle w:val="ListParagraph"/>
        <w:spacing w:line="360" w:lineRule="auto"/>
        <w:ind w:left="0"/>
        <w:jc w:val="both"/>
        <w:rPr>
          <w:rFonts w:ascii="Arial" w:hAnsi="Arial" w:cs="Arial"/>
          <w:sz w:val="24"/>
          <w:szCs w:val="24"/>
        </w:rPr>
      </w:pPr>
      <w:r w:rsidRPr="00533082">
        <w:rPr>
          <w:rFonts w:ascii="Arial" w:hAnsi="Arial" w:cs="Arial"/>
          <w:sz w:val="24"/>
          <w:szCs w:val="24"/>
          <w:u w:val="single"/>
        </w:rPr>
        <w:t>Introduction</w:t>
      </w:r>
    </w:p>
    <w:p w14:paraId="7102E7E2" w14:textId="77777777" w:rsidR="009E0F96" w:rsidRPr="008C121A" w:rsidRDefault="009E0F96" w:rsidP="009E0F96">
      <w:pPr>
        <w:pStyle w:val="ListParagraph"/>
        <w:spacing w:line="360" w:lineRule="auto"/>
        <w:ind w:left="0"/>
        <w:jc w:val="both"/>
        <w:rPr>
          <w:rFonts w:ascii="Arial" w:hAnsi="Arial" w:cs="Arial"/>
          <w:sz w:val="24"/>
          <w:szCs w:val="24"/>
        </w:rPr>
      </w:pPr>
    </w:p>
    <w:p w14:paraId="1786C3B0" w14:textId="77777777" w:rsidR="003415FC" w:rsidRPr="0009124A" w:rsidRDefault="0009124A" w:rsidP="0026650E">
      <w:pPr>
        <w:pStyle w:val="ListParagraph"/>
        <w:numPr>
          <w:ilvl w:val="0"/>
          <w:numId w:val="1"/>
        </w:numPr>
        <w:spacing w:line="360" w:lineRule="auto"/>
        <w:ind w:left="0" w:firstLine="0"/>
        <w:jc w:val="both"/>
        <w:rPr>
          <w:rFonts w:ascii="Arial" w:hAnsi="Arial" w:cs="Arial"/>
          <w:sz w:val="24"/>
          <w:szCs w:val="24"/>
        </w:rPr>
      </w:pPr>
      <w:r w:rsidRPr="0009124A">
        <w:rPr>
          <w:rFonts w:ascii="Arial" w:hAnsi="Arial" w:cs="Arial"/>
          <w:sz w:val="24"/>
          <w:szCs w:val="24"/>
        </w:rPr>
        <w:t>This is an application brought on an urgent basis by Namibia Airports Company Limited (NAC) against Menzies Aviation Namibia (Pty) Ltd (Menzies). In kernel, NAC</w:t>
      </w:r>
      <w:r>
        <w:rPr>
          <w:rFonts w:ascii="Arial" w:hAnsi="Arial" w:cs="Arial"/>
          <w:sz w:val="24"/>
          <w:szCs w:val="24"/>
        </w:rPr>
        <w:t xml:space="preserve"> seek</w:t>
      </w:r>
      <w:r w:rsidRPr="0009124A">
        <w:rPr>
          <w:rFonts w:ascii="Arial" w:hAnsi="Arial" w:cs="Arial"/>
          <w:sz w:val="24"/>
          <w:szCs w:val="24"/>
        </w:rPr>
        <w:t xml:space="preserve"> an order to stop Menzies from rendering ground handling services at Hosea </w:t>
      </w:r>
      <w:proofErr w:type="spellStart"/>
      <w:r w:rsidRPr="0009124A">
        <w:rPr>
          <w:rFonts w:ascii="Arial" w:hAnsi="Arial" w:cs="Arial"/>
          <w:sz w:val="24"/>
          <w:szCs w:val="24"/>
        </w:rPr>
        <w:t>Kutako</w:t>
      </w:r>
      <w:proofErr w:type="spellEnd"/>
      <w:r w:rsidRPr="0009124A">
        <w:rPr>
          <w:rFonts w:ascii="Arial" w:hAnsi="Arial" w:cs="Arial"/>
          <w:sz w:val="24"/>
          <w:szCs w:val="24"/>
        </w:rPr>
        <w:t xml:space="preserve"> International Airport (HKIA) on 30 June 2022. The application is premised on the effluxion of time stipulated in the ground handling contract </w:t>
      </w:r>
      <w:proofErr w:type="gramStart"/>
      <w:r w:rsidRPr="0009124A">
        <w:rPr>
          <w:rFonts w:ascii="Arial" w:hAnsi="Arial" w:cs="Arial"/>
          <w:sz w:val="24"/>
          <w:szCs w:val="24"/>
        </w:rPr>
        <w:t>entered into</w:t>
      </w:r>
      <w:proofErr w:type="gramEnd"/>
      <w:r w:rsidRPr="0009124A">
        <w:rPr>
          <w:rFonts w:ascii="Arial" w:hAnsi="Arial" w:cs="Arial"/>
          <w:sz w:val="24"/>
          <w:szCs w:val="24"/>
        </w:rPr>
        <w:t xml:space="preserve"> between NAC and Menzies.</w:t>
      </w:r>
      <w:r w:rsidRPr="0009124A">
        <w:rPr>
          <w:rFonts w:ascii="Arial" w:hAnsi="Arial" w:cs="Arial"/>
        </w:rPr>
        <w:t xml:space="preserve"> </w:t>
      </w:r>
    </w:p>
    <w:p w14:paraId="280DF0B6" w14:textId="77777777" w:rsidR="0009124A" w:rsidRPr="0009124A" w:rsidRDefault="0009124A" w:rsidP="0009124A">
      <w:pPr>
        <w:pStyle w:val="ListParagraph"/>
        <w:spacing w:line="360" w:lineRule="auto"/>
        <w:ind w:left="0"/>
        <w:jc w:val="both"/>
        <w:rPr>
          <w:rFonts w:ascii="Arial" w:hAnsi="Arial" w:cs="Arial"/>
          <w:sz w:val="24"/>
          <w:szCs w:val="24"/>
        </w:rPr>
      </w:pPr>
    </w:p>
    <w:p w14:paraId="39D82B51" w14:textId="77777777" w:rsidR="009E0F96" w:rsidRPr="009E0F96" w:rsidRDefault="003415FC" w:rsidP="009E0F96">
      <w:pPr>
        <w:pStyle w:val="ListParagraph"/>
        <w:numPr>
          <w:ilvl w:val="0"/>
          <w:numId w:val="1"/>
        </w:numPr>
        <w:spacing w:line="360" w:lineRule="auto"/>
        <w:ind w:left="0" w:firstLine="0"/>
        <w:jc w:val="both"/>
        <w:rPr>
          <w:rFonts w:ascii="Arial" w:hAnsi="Arial" w:cs="Arial"/>
          <w:sz w:val="24"/>
          <w:szCs w:val="24"/>
        </w:rPr>
      </w:pPr>
      <w:r w:rsidRPr="003415FC">
        <w:rPr>
          <w:rFonts w:ascii="Arial" w:hAnsi="Arial" w:cs="Arial"/>
          <w:sz w:val="24"/>
          <w:szCs w:val="24"/>
        </w:rPr>
        <w:t>In aviation, the term "ground handling</w:t>
      </w:r>
      <w:r w:rsidR="002C53FC">
        <w:rPr>
          <w:rFonts w:ascii="Arial" w:hAnsi="Arial" w:cs="Arial"/>
          <w:sz w:val="24"/>
          <w:szCs w:val="24"/>
        </w:rPr>
        <w:t xml:space="preserve"> services</w:t>
      </w:r>
      <w:r w:rsidRPr="003415FC">
        <w:rPr>
          <w:rFonts w:ascii="Arial" w:hAnsi="Arial" w:cs="Arial"/>
          <w:sz w:val="24"/>
          <w:szCs w:val="24"/>
        </w:rPr>
        <w:t xml:space="preserve">" refers to the wide range of services provided to facilitate an aircraft flight or aircraft ground repositioning, </w:t>
      </w:r>
      <w:r w:rsidR="002C53FC">
        <w:rPr>
          <w:rFonts w:ascii="Arial" w:hAnsi="Arial" w:cs="Arial"/>
          <w:sz w:val="24"/>
          <w:szCs w:val="24"/>
        </w:rPr>
        <w:t xml:space="preserve">and this includes, passenger handling, baggage handling, cleaning, surface transport, </w:t>
      </w:r>
      <w:r w:rsidRPr="003415FC">
        <w:rPr>
          <w:rFonts w:ascii="Arial" w:hAnsi="Arial" w:cs="Arial"/>
          <w:sz w:val="24"/>
          <w:szCs w:val="24"/>
        </w:rPr>
        <w:t xml:space="preserve">customer service and ramp service functions. </w:t>
      </w:r>
      <w:r w:rsidRPr="008C1326">
        <w:rPr>
          <w:rFonts w:ascii="Arial" w:hAnsi="Arial" w:cs="Arial"/>
          <w:sz w:val="24"/>
          <w:szCs w:val="24"/>
        </w:rPr>
        <w:t xml:space="preserve">HKIA </w:t>
      </w:r>
      <w:r w:rsidR="00F411B7">
        <w:rPr>
          <w:rFonts w:ascii="Arial" w:hAnsi="Arial" w:cs="Arial"/>
          <w:sz w:val="24"/>
          <w:szCs w:val="24"/>
        </w:rPr>
        <w:t xml:space="preserve">needs </w:t>
      </w:r>
      <w:r w:rsidRPr="008C1326">
        <w:rPr>
          <w:rFonts w:ascii="Arial" w:hAnsi="Arial" w:cs="Arial"/>
          <w:sz w:val="24"/>
          <w:szCs w:val="24"/>
        </w:rPr>
        <w:t>a ground handler</w:t>
      </w:r>
      <w:r w:rsidR="00F411B7">
        <w:rPr>
          <w:rFonts w:ascii="Arial" w:hAnsi="Arial" w:cs="Arial"/>
          <w:sz w:val="24"/>
          <w:szCs w:val="24"/>
        </w:rPr>
        <w:t xml:space="preserve"> to operate</w:t>
      </w:r>
      <w:r w:rsidRPr="008C1326">
        <w:rPr>
          <w:rFonts w:ascii="Arial" w:hAnsi="Arial" w:cs="Arial"/>
          <w:sz w:val="24"/>
          <w:szCs w:val="24"/>
        </w:rPr>
        <w:t xml:space="preserve">. NAC procures third parties to furnish these services at HKIA.  </w:t>
      </w:r>
    </w:p>
    <w:p w14:paraId="35029AEB" w14:textId="77777777" w:rsidR="004160FD" w:rsidRPr="004160FD" w:rsidRDefault="004160FD" w:rsidP="004160FD">
      <w:pPr>
        <w:pStyle w:val="ListParagraph"/>
        <w:rPr>
          <w:rFonts w:ascii="Arial" w:hAnsi="Arial" w:cs="Arial"/>
          <w:sz w:val="24"/>
          <w:szCs w:val="24"/>
        </w:rPr>
      </w:pPr>
    </w:p>
    <w:p w14:paraId="3FFDF0B4" w14:textId="77777777" w:rsidR="004160FD" w:rsidRPr="004160FD" w:rsidRDefault="004160FD" w:rsidP="004160FD">
      <w:pPr>
        <w:pStyle w:val="ListParagraph"/>
        <w:spacing w:line="360" w:lineRule="auto"/>
        <w:ind w:left="0"/>
        <w:jc w:val="both"/>
        <w:rPr>
          <w:rFonts w:ascii="Arial" w:hAnsi="Arial" w:cs="Arial"/>
          <w:sz w:val="24"/>
          <w:szCs w:val="24"/>
          <w:u w:val="single"/>
        </w:rPr>
      </w:pPr>
      <w:r w:rsidRPr="004160FD">
        <w:rPr>
          <w:rFonts w:ascii="Arial" w:hAnsi="Arial" w:cs="Arial"/>
          <w:sz w:val="24"/>
          <w:szCs w:val="24"/>
          <w:u w:val="single"/>
        </w:rPr>
        <w:t>Parties and representation</w:t>
      </w:r>
    </w:p>
    <w:p w14:paraId="0C08003C" w14:textId="77777777" w:rsidR="004160FD" w:rsidRPr="004160FD" w:rsidRDefault="004160FD" w:rsidP="004160FD">
      <w:pPr>
        <w:pStyle w:val="ListParagraph"/>
        <w:rPr>
          <w:rFonts w:ascii="Arial" w:hAnsi="Arial" w:cs="Arial"/>
          <w:sz w:val="24"/>
          <w:szCs w:val="24"/>
        </w:rPr>
      </w:pPr>
    </w:p>
    <w:p w14:paraId="29FDC548" w14:textId="77777777" w:rsidR="004160FD" w:rsidRDefault="004160FD" w:rsidP="008C1326">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The applicant is Namibia Airports Company Limited, a public enterprise, established in terms of sectio</w:t>
      </w:r>
      <w:r w:rsidR="002C53FC">
        <w:rPr>
          <w:rFonts w:ascii="Arial" w:hAnsi="Arial" w:cs="Arial"/>
          <w:sz w:val="24"/>
          <w:szCs w:val="24"/>
        </w:rPr>
        <w:t>n 2 of the Airports Company Act 25 of 1998</w:t>
      </w:r>
      <w:r>
        <w:rPr>
          <w:rFonts w:ascii="Arial" w:hAnsi="Arial" w:cs="Arial"/>
          <w:sz w:val="24"/>
          <w:szCs w:val="24"/>
        </w:rPr>
        <w:t xml:space="preserve"> with its principal place of business situated at 154 Independence Avenue, Sanlam Building, Windhoek</w:t>
      </w:r>
      <w:r w:rsidR="009A025A">
        <w:rPr>
          <w:rFonts w:ascii="Arial" w:hAnsi="Arial" w:cs="Arial"/>
          <w:sz w:val="24"/>
          <w:szCs w:val="24"/>
        </w:rPr>
        <w:t xml:space="preserve">; and is the owner, </w:t>
      </w:r>
      <w:proofErr w:type="gramStart"/>
      <w:r w:rsidR="009A025A">
        <w:rPr>
          <w:rFonts w:ascii="Arial" w:hAnsi="Arial" w:cs="Arial"/>
          <w:sz w:val="24"/>
          <w:szCs w:val="24"/>
        </w:rPr>
        <w:t>operator</w:t>
      </w:r>
      <w:proofErr w:type="gramEnd"/>
      <w:r w:rsidR="009A025A">
        <w:rPr>
          <w:rFonts w:ascii="Arial" w:hAnsi="Arial" w:cs="Arial"/>
          <w:sz w:val="24"/>
          <w:szCs w:val="24"/>
        </w:rPr>
        <w:t xml:space="preserve"> and controller of the Hosea </w:t>
      </w:r>
      <w:proofErr w:type="spellStart"/>
      <w:r w:rsidR="009A025A">
        <w:rPr>
          <w:rFonts w:ascii="Arial" w:hAnsi="Arial" w:cs="Arial"/>
          <w:sz w:val="24"/>
          <w:szCs w:val="24"/>
        </w:rPr>
        <w:t>Kutako</w:t>
      </w:r>
      <w:proofErr w:type="spellEnd"/>
      <w:r w:rsidR="009A025A">
        <w:rPr>
          <w:rFonts w:ascii="Arial" w:hAnsi="Arial" w:cs="Arial"/>
          <w:sz w:val="24"/>
          <w:szCs w:val="24"/>
        </w:rPr>
        <w:t xml:space="preserve"> International </w:t>
      </w:r>
      <w:r w:rsidR="009A025A">
        <w:rPr>
          <w:rFonts w:ascii="Arial" w:hAnsi="Arial" w:cs="Arial"/>
          <w:sz w:val="24"/>
          <w:szCs w:val="24"/>
        </w:rPr>
        <w:lastRenderedPageBreak/>
        <w:t xml:space="preserve">Airport </w:t>
      </w:r>
      <w:r w:rsidR="00321039">
        <w:rPr>
          <w:rFonts w:ascii="Arial" w:hAnsi="Arial" w:cs="Arial"/>
          <w:sz w:val="24"/>
          <w:szCs w:val="24"/>
        </w:rPr>
        <w:t xml:space="preserve">(HKIA), </w:t>
      </w:r>
      <w:r w:rsidR="009A025A">
        <w:rPr>
          <w:rFonts w:ascii="Arial" w:hAnsi="Arial" w:cs="Arial"/>
          <w:sz w:val="24"/>
          <w:szCs w:val="24"/>
        </w:rPr>
        <w:t xml:space="preserve">the main international airport in Namibia. </w:t>
      </w:r>
      <w:r w:rsidR="00321039">
        <w:rPr>
          <w:rFonts w:ascii="Arial" w:hAnsi="Arial" w:cs="Arial"/>
          <w:sz w:val="24"/>
          <w:szCs w:val="24"/>
        </w:rPr>
        <w:t xml:space="preserve">The applicant </w:t>
      </w:r>
      <w:r w:rsidR="009A025A">
        <w:rPr>
          <w:rFonts w:ascii="Arial" w:hAnsi="Arial" w:cs="Arial"/>
          <w:sz w:val="24"/>
          <w:szCs w:val="24"/>
        </w:rPr>
        <w:t>will be referred to as ‘NAC’.</w:t>
      </w:r>
    </w:p>
    <w:p w14:paraId="07861993" w14:textId="77777777" w:rsidR="009A025A" w:rsidRDefault="009A025A" w:rsidP="009A025A">
      <w:pPr>
        <w:pStyle w:val="ListParagraph"/>
        <w:spacing w:line="360" w:lineRule="auto"/>
        <w:ind w:left="0"/>
        <w:jc w:val="both"/>
        <w:rPr>
          <w:rFonts w:ascii="Arial" w:hAnsi="Arial" w:cs="Arial"/>
          <w:sz w:val="24"/>
          <w:szCs w:val="24"/>
        </w:rPr>
      </w:pPr>
    </w:p>
    <w:p w14:paraId="3E8FDBA4" w14:textId="77777777" w:rsidR="009A025A" w:rsidRDefault="009A025A" w:rsidP="008C1326">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The first respondent is Menzies Aviation Namibia (Pty) Ltd, a company with limited liability, duly registered and incorporated in terms of the company laws of the Republic of Namibia and </w:t>
      </w:r>
      <w:r w:rsidR="00321039">
        <w:rPr>
          <w:rFonts w:ascii="Arial" w:hAnsi="Arial" w:cs="Arial"/>
          <w:sz w:val="24"/>
          <w:szCs w:val="24"/>
        </w:rPr>
        <w:t xml:space="preserve">having </w:t>
      </w:r>
      <w:r>
        <w:rPr>
          <w:rFonts w:ascii="Arial" w:hAnsi="Arial" w:cs="Arial"/>
          <w:sz w:val="24"/>
          <w:szCs w:val="24"/>
        </w:rPr>
        <w:t xml:space="preserve">its registered address and principal place of business at </w:t>
      </w:r>
      <w:proofErr w:type="spellStart"/>
      <w:r>
        <w:rPr>
          <w:rFonts w:ascii="Arial" w:hAnsi="Arial" w:cs="Arial"/>
          <w:sz w:val="24"/>
          <w:szCs w:val="24"/>
        </w:rPr>
        <w:t>Bougain</w:t>
      </w:r>
      <w:proofErr w:type="spellEnd"/>
      <w:r>
        <w:rPr>
          <w:rFonts w:ascii="Arial" w:hAnsi="Arial" w:cs="Arial"/>
          <w:sz w:val="24"/>
          <w:szCs w:val="24"/>
        </w:rPr>
        <w:t xml:space="preserve"> Villas, 76 Sam Nujoma Drive, Windhoek.</w:t>
      </w:r>
      <w:r w:rsidRPr="009A025A">
        <w:rPr>
          <w:rFonts w:ascii="Arial" w:hAnsi="Arial" w:cs="Arial"/>
          <w:sz w:val="24"/>
          <w:szCs w:val="24"/>
        </w:rPr>
        <w:t xml:space="preserve"> </w:t>
      </w:r>
      <w:r w:rsidR="00321039">
        <w:rPr>
          <w:rFonts w:ascii="Arial" w:hAnsi="Arial" w:cs="Arial"/>
          <w:sz w:val="24"/>
          <w:szCs w:val="24"/>
        </w:rPr>
        <w:t xml:space="preserve">Where reference is made to the </w:t>
      </w:r>
      <w:r>
        <w:rPr>
          <w:rFonts w:ascii="Arial" w:hAnsi="Arial" w:cs="Arial"/>
          <w:sz w:val="24"/>
          <w:szCs w:val="24"/>
        </w:rPr>
        <w:t xml:space="preserve">first respondent </w:t>
      </w:r>
      <w:r w:rsidR="00321039">
        <w:rPr>
          <w:rFonts w:ascii="Arial" w:hAnsi="Arial" w:cs="Arial"/>
          <w:sz w:val="24"/>
          <w:szCs w:val="24"/>
        </w:rPr>
        <w:t xml:space="preserve">it </w:t>
      </w:r>
      <w:r w:rsidRPr="009A025A">
        <w:rPr>
          <w:rFonts w:ascii="Arial" w:hAnsi="Arial" w:cs="Arial"/>
          <w:sz w:val="24"/>
          <w:szCs w:val="24"/>
        </w:rPr>
        <w:t>will be referred to as ‘Menzies’.</w:t>
      </w:r>
    </w:p>
    <w:p w14:paraId="2FEA081B" w14:textId="77777777" w:rsidR="009A025A" w:rsidRPr="009A025A" w:rsidRDefault="009A025A" w:rsidP="009A025A">
      <w:pPr>
        <w:pStyle w:val="ListParagraph"/>
        <w:rPr>
          <w:rFonts w:ascii="Arial" w:hAnsi="Arial" w:cs="Arial"/>
          <w:sz w:val="24"/>
          <w:szCs w:val="24"/>
        </w:rPr>
      </w:pPr>
    </w:p>
    <w:p w14:paraId="4045D25E" w14:textId="77777777" w:rsidR="009A025A" w:rsidRDefault="009A025A" w:rsidP="008C1326">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The second respondent is Paragon Investments Holdings (Pty) Ltd JV Ethiopian Airlines, a joint venture with its principal place of business at 40 Eros Road, Eros Windhoek. </w:t>
      </w:r>
      <w:r w:rsidR="00321039">
        <w:rPr>
          <w:rFonts w:ascii="Arial" w:hAnsi="Arial" w:cs="Arial"/>
          <w:sz w:val="24"/>
          <w:szCs w:val="24"/>
        </w:rPr>
        <w:t xml:space="preserve">Where reference is made to the second respondent it will be </w:t>
      </w:r>
      <w:r w:rsidRPr="009A025A">
        <w:rPr>
          <w:rFonts w:ascii="Arial" w:hAnsi="Arial" w:cs="Arial"/>
          <w:sz w:val="24"/>
          <w:szCs w:val="24"/>
        </w:rPr>
        <w:t xml:space="preserve">referred to </w:t>
      </w:r>
      <w:r w:rsidR="00D53A00" w:rsidRPr="009A025A">
        <w:rPr>
          <w:rFonts w:ascii="Arial" w:hAnsi="Arial" w:cs="Arial"/>
          <w:sz w:val="24"/>
          <w:szCs w:val="24"/>
        </w:rPr>
        <w:t>as ‘Paragon’</w:t>
      </w:r>
      <w:r w:rsidRPr="009A025A">
        <w:rPr>
          <w:rFonts w:ascii="Arial" w:hAnsi="Arial" w:cs="Arial"/>
          <w:sz w:val="24"/>
          <w:szCs w:val="24"/>
        </w:rPr>
        <w:t>.</w:t>
      </w:r>
    </w:p>
    <w:p w14:paraId="51A442D4" w14:textId="77777777" w:rsidR="009A025A" w:rsidRPr="009A025A" w:rsidRDefault="009A025A" w:rsidP="009A025A">
      <w:pPr>
        <w:pStyle w:val="ListParagraph"/>
        <w:rPr>
          <w:rFonts w:ascii="Arial" w:hAnsi="Arial" w:cs="Arial"/>
          <w:sz w:val="24"/>
          <w:szCs w:val="24"/>
        </w:rPr>
      </w:pPr>
    </w:p>
    <w:p w14:paraId="25A4A153" w14:textId="77777777" w:rsidR="009A025A" w:rsidRDefault="009A025A" w:rsidP="008C1326">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NAC was represented by Mr </w:t>
      </w:r>
      <w:proofErr w:type="spellStart"/>
      <w:r>
        <w:rPr>
          <w:rFonts w:ascii="Arial" w:hAnsi="Arial" w:cs="Arial"/>
          <w:sz w:val="24"/>
          <w:szCs w:val="24"/>
        </w:rPr>
        <w:t>Bhana</w:t>
      </w:r>
      <w:proofErr w:type="spellEnd"/>
      <w:r>
        <w:rPr>
          <w:rFonts w:ascii="Arial" w:hAnsi="Arial" w:cs="Arial"/>
          <w:sz w:val="24"/>
          <w:szCs w:val="24"/>
        </w:rPr>
        <w:t xml:space="preserve"> </w:t>
      </w:r>
      <w:proofErr w:type="gramStart"/>
      <w:r w:rsidR="00D0644A">
        <w:rPr>
          <w:rFonts w:ascii="Arial" w:hAnsi="Arial" w:cs="Arial"/>
          <w:sz w:val="24"/>
          <w:szCs w:val="24"/>
        </w:rPr>
        <w:t>SC,</w:t>
      </w:r>
      <w:proofErr w:type="gramEnd"/>
      <w:r w:rsidR="00D0644A">
        <w:rPr>
          <w:rFonts w:ascii="Arial" w:hAnsi="Arial" w:cs="Arial"/>
          <w:sz w:val="24"/>
          <w:szCs w:val="24"/>
        </w:rPr>
        <w:t xml:space="preserve"> </w:t>
      </w:r>
      <w:r>
        <w:rPr>
          <w:rFonts w:ascii="Arial" w:hAnsi="Arial" w:cs="Arial"/>
          <w:sz w:val="24"/>
          <w:szCs w:val="24"/>
        </w:rPr>
        <w:t xml:space="preserve">Menzies was represented by Mr Heathcote </w:t>
      </w:r>
      <w:r w:rsidR="007B6BB2">
        <w:rPr>
          <w:rFonts w:ascii="Arial" w:hAnsi="Arial" w:cs="Arial"/>
          <w:sz w:val="24"/>
          <w:szCs w:val="24"/>
        </w:rPr>
        <w:t xml:space="preserve">SC while </w:t>
      </w:r>
      <w:r>
        <w:rPr>
          <w:rFonts w:ascii="Arial" w:hAnsi="Arial" w:cs="Arial"/>
          <w:sz w:val="24"/>
          <w:szCs w:val="24"/>
        </w:rPr>
        <w:t xml:space="preserve">Paragon was represented by Mr </w:t>
      </w:r>
      <w:proofErr w:type="spellStart"/>
      <w:r>
        <w:rPr>
          <w:rFonts w:ascii="Arial" w:hAnsi="Arial" w:cs="Arial"/>
          <w:sz w:val="24"/>
          <w:szCs w:val="24"/>
        </w:rPr>
        <w:t>Namandje</w:t>
      </w:r>
      <w:proofErr w:type="spellEnd"/>
      <w:r>
        <w:rPr>
          <w:rFonts w:ascii="Arial" w:hAnsi="Arial" w:cs="Arial"/>
          <w:sz w:val="24"/>
          <w:szCs w:val="24"/>
        </w:rPr>
        <w:t>.</w:t>
      </w:r>
    </w:p>
    <w:p w14:paraId="37CDAC9E" w14:textId="77777777" w:rsidR="009E0F96" w:rsidRPr="009E0F96" w:rsidRDefault="009E0F96" w:rsidP="009E0F96">
      <w:pPr>
        <w:pStyle w:val="ListParagraph"/>
        <w:rPr>
          <w:rFonts w:ascii="Arial" w:hAnsi="Arial" w:cs="Arial"/>
          <w:sz w:val="24"/>
          <w:szCs w:val="24"/>
        </w:rPr>
      </w:pPr>
    </w:p>
    <w:p w14:paraId="6863FD77" w14:textId="77777777" w:rsidR="009E0F96" w:rsidRDefault="009E0F96" w:rsidP="008C1326">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The court appreciates the assistance an</w:t>
      </w:r>
      <w:r w:rsidR="007B6BB2">
        <w:rPr>
          <w:rFonts w:ascii="Arial" w:hAnsi="Arial" w:cs="Arial"/>
          <w:sz w:val="24"/>
          <w:szCs w:val="24"/>
        </w:rPr>
        <w:t>d contributions made by counsel</w:t>
      </w:r>
      <w:r>
        <w:rPr>
          <w:rFonts w:ascii="Arial" w:hAnsi="Arial" w:cs="Arial"/>
          <w:sz w:val="24"/>
          <w:szCs w:val="24"/>
        </w:rPr>
        <w:t xml:space="preserve"> in the deter</w:t>
      </w:r>
      <w:r w:rsidR="007B6BB2">
        <w:rPr>
          <w:rFonts w:ascii="Arial" w:hAnsi="Arial" w:cs="Arial"/>
          <w:sz w:val="24"/>
          <w:szCs w:val="24"/>
        </w:rPr>
        <w:t xml:space="preserve">mination of this matter. </w:t>
      </w:r>
    </w:p>
    <w:p w14:paraId="5EFFB6CA" w14:textId="77777777" w:rsidR="008C1326" w:rsidRPr="008C1326" w:rsidRDefault="008C1326" w:rsidP="008C1326">
      <w:pPr>
        <w:pStyle w:val="ListParagraph"/>
        <w:rPr>
          <w:rFonts w:ascii="Arial" w:hAnsi="Arial" w:cs="Arial"/>
          <w:sz w:val="24"/>
          <w:szCs w:val="24"/>
          <w:u w:val="single"/>
          <w:lang w:val="en-US"/>
        </w:rPr>
      </w:pPr>
    </w:p>
    <w:p w14:paraId="13144731" w14:textId="77777777" w:rsidR="008C1326" w:rsidRPr="008C1326" w:rsidRDefault="008C1326" w:rsidP="008C1326">
      <w:pPr>
        <w:pStyle w:val="ListParagraph"/>
        <w:spacing w:line="360" w:lineRule="auto"/>
        <w:ind w:left="0"/>
        <w:jc w:val="both"/>
        <w:rPr>
          <w:rFonts w:ascii="Arial" w:hAnsi="Arial" w:cs="Arial"/>
          <w:sz w:val="24"/>
          <w:szCs w:val="24"/>
        </w:rPr>
      </w:pPr>
      <w:r w:rsidRPr="008C1326">
        <w:rPr>
          <w:rFonts w:ascii="Arial" w:hAnsi="Arial" w:cs="Arial"/>
          <w:sz w:val="24"/>
          <w:szCs w:val="24"/>
          <w:u w:val="single"/>
          <w:lang w:val="en-US"/>
        </w:rPr>
        <w:t>Background</w:t>
      </w:r>
    </w:p>
    <w:p w14:paraId="0BFBD42F" w14:textId="77777777" w:rsidR="008C1326" w:rsidRPr="008C1326" w:rsidRDefault="008C1326" w:rsidP="008C1326">
      <w:pPr>
        <w:pStyle w:val="ListParagraph"/>
        <w:rPr>
          <w:rFonts w:ascii="Arial" w:hAnsi="Arial" w:cs="Arial"/>
          <w:sz w:val="24"/>
          <w:szCs w:val="24"/>
        </w:rPr>
      </w:pPr>
    </w:p>
    <w:p w14:paraId="5707B716" w14:textId="77777777" w:rsidR="004B42C4" w:rsidRDefault="008C1326" w:rsidP="00AC14AB">
      <w:pPr>
        <w:pStyle w:val="ListParagraph"/>
        <w:numPr>
          <w:ilvl w:val="0"/>
          <w:numId w:val="1"/>
        </w:numPr>
        <w:spacing w:line="360" w:lineRule="auto"/>
        <w:ind w:left="0" w:firstLine="0"/>
        <w:jc w:val="both"/>
        <w:rPr>
          <w:rFonts w:ascii="Arial" w:hAnsi="Arial" w:cs="Arial"/>
          <w:sz w:val="24"/>
          <w:szCs w:val="24"/>
        </w:rPr>
      </w:pPr>
      <w:r w:rsidRPr="008C1326">
        <w:rPr>
          <w:rFonts w:ascii="Arial" w:hAnsi="Arial" w:cs="Arial"/>
          <w:sz w:val="24"/>
          <w:szCs w:val="24"/>
        </w:rPr>
        <w:t xml:space="preserve">In 2014, NAC and Menzies </w:t>
      </w:r>
      <w:r w:rsidR="00E07A96">
        <w:rPr>
          <w:rFonts w:ascii="Arial" w:hAnsi="Arial" w:cs="Arial"/>
          <w:sz w:val="24"/>
          <w:szCs w:val="24"/>
        </w:rPr>
        <w:t>entered into a G</w:t>
      </w:r>
      <w:r w:rsidRPr="008C1326">
        <w:rPr>
          <w:rFonts w:ascii="Arial" w:hAnsi="Arial" w:cs="Arial"/>
          <w:sz w:val="24"/>
          <w:szCs w:val="24"/>
        </w:rPr>
        <w:t>round Handling Service Agreement (</w:t>
      </w:r>
      <w:r w:rsidR="00322255">
        <w:rPr>
          <w:rFonts w:ascii="Arial" w:hAnsi="Arial" w:cs="Arial"/>
          <w:sz w:val="24"/>
          <w:szCs w:val="24"/>
        </w:rPr>
        <w:t xml:space="preserve">Service </w:t>
      </w:r>
      <w:r w:rsidRPr="008C1326">
        <w:rPr>
          <w:rFonts w:ascii="Arial" w:hAnsi="Arial" w:cs="Arial"/>
          <w:sz w:val="24"/>
          <w:szCs w:val="24"/>
        </w:rPr>
        <w:t xml:space="preserve">Agreement) in which Menzies provided ground handling services at HKIA. </w:t>
      </w:r>
      <w:r w:rsidR="00CD56DE">
        <w:rPr>
          <w:rFonts w:ascii="Arial" w:hAnsi="Arial" w:cs="Arial"/>
          <w:sz w:val="24"/>
          <w:szCs w:val="24"/>
        </w:rPr>
        <w:t xml:space="preserve">The agreement commenced on 1 January 2014 and lapsed on 31 December 2018. It was, however, subject to renewal and was renewed </w:t>
      </w:r>
      <w:r w:rsidR="00FB28C3">
        <w:rPr>
          <w:rFonts w:ascii="Arial" w:hAnsi="Arial" w:cs="Arial"/>
          <w:sz w:val="24"/>
          <w:szCs w:val="24"/>
        </w:rPr>
        <w:t>for a period of three years. The Service Agre</w:t>
      </w:r>
      <w:r w:rsidR="004B42C4">
        <w:rPr>
          <w:rFonts w:ascii="Arial" w:hAnsi="Arial" w:cs="Arial"/>
          <w:sz w:val="24"/>
          <w:szCs w:val="24"/>
        </w:rPr>
        <w:t xml:space="preserve">ement was further renewed for </w:t>
      </w:r>
      <w:r w:rsidR="00FB28C3">
        <w:rPr>
          <w:rFonts w:ascii="Arial" w:hAnsi="Arial" w:cs="Arial"/>
          <w:sz w:val="24"/>
          <w:szCs w:val="24"/>
        </w:rPr>
        <w:t xml:space="preserve">another </w:t>
      </w:r>
      <w:r w:rsidR="00A11712">
        <w:rPr>
          <w:rFonts w:ascii="Arial" w:hAnsi="Arial" w:cs="Arial"/>
          <w:sz w:val="24"/>
          <w:szCs w:val="24"/>
        </w:rPr>
        <w:t>three-year</w:t>
      </w:r>
      <w:r w:rsidR="00FB28C3">
        <w:rPr>
          <w:rFonts w:ascii="Arial" w:hAnsi="Arial" w:cs="Arial"/>
          <w:sz w:val="24"/>
          <w:szCs w:val="24"/>
        </w:rPr>
        <w:t xml:space="preserve"> period from 1 January 2019 to 31 December 2021.  </w:t>
      </w:r>
    </w:p>
    <w:p w14:paraId="5E07A0AE" w14:textId="77777777" w:rsidR="004B42C4" w:rsidRDefault="004B42C4" w:rsidP="004B42C4">
      <w:pPr>
        <w:pStyle w:val="ListParagraph"/>
        <w:spacing w:line="360" w:lineRule="auto"/>
        <w:ind w:left="0"/>
        <w:jc w:val="both"/>
        <w:rPr>
          <w:rFonts w:ascii="Arial" w:hAnsi="Arial" w:cs="Arial"/>
          <w:sz w:val="24"/>
          <w:szCs w:val="24"/>
        </w:rPr>
      </w:pPr>
    </w:p>
    <w:p w14:paraId="65AC1D4F" w14:textId="77777777" w:rsidR="00816DD8" w:rsidRPr="00B423C3" w:rsidRDefault="004B42C4" w:rsidP="0026650E">
      <w:pPr>
        <w:pStyle w:val="ListParagraph"/>
        <w:numPr>
          <w:ilvl w:val="0"/>
          <w:numId w:val="1"/>
        </w:numPr>
        <w:spacing w:line="360" w:lineRule="auto"/>
        <w:ind w:left="0" w:firstLine="0"/>
        <w:jc w:val="both"/>
        <w:rPr>
          <w:rFonts w:ascii="Arial" w:hAnsi="Arial" w:cs="Arial"/>
          <w:sz w:val="24"/>
          <w:szCs w:val="24"/>
        </w:rPr>
      </w:pPr>
      <w:r w:rsidRPr="00B423C3">
        <w:rPr>
          <w:rFonts w:ascii="Arial" w:hAnsi="Arial" w:cs="Arial"/>
          <w:sz w:val="24"/>
          <w:szCs w:val="24"/>
        </w:rPr>
        <w:t xml:space="preserve">NAC and Menzies further agreed to another extension of six months from 1 January 2022 to 30 June 2022. The Service Agreement was, therefore, </w:t>
      </w:r>
      <w:r w:rsidR="003415FC" w:rsidRPr="00B423C3">
        <w:rPr>
          <w:rFonts w:ascii="Arial" w:hAnsi="Arial" w:cs="Arial"/>
          <w:sz w:val="24"/>
          <w:szCs w:val="24"/>
        </w:rPr>
        <w:t>bound to</w:t>
      </w:r>
      <w:r w:rsidR="008C1326" w:rsidRPr="00B423C3">
        <w:rPr>
          <w:rFonts w:ascii="Arial" w:hAnsi="Arial" w:cs="Arial"/>
          <w:sz w:val="24"/>
          <w:szCs w:val="24"/>
        </w:rPr>
        <w:t xml:space="preserve"> terminate by the effluxion of</w:t>
      </w:r>
      <w:r w:rsidR="008C1326" w:rsidRPr="008C1326">
        <w:t xml:space="preserve"> </w:t>
      </w:r>
      <w:r w:rsidR="008C1326" w:rsidRPr="00B423C3">
        <w:rPr>
          <w:rFonts w:ascii="Arial" w:hAnsi="Arial" w:cs="Arial"/>
          <w:sz w:val="24"/>
          <w:szCs w:val="24"/>
        </w:rPr>
        <w:t>time on 30 June 2022.</w:t>
      </w:r>
      <w:r w:rsidR="001F1496" w:rsidRPr="00B423C3">
        <w:rPr>
          <w:rFonts w:ascii="Arial" w:hAnsi="Arial" w:cs="Arial"/>
          <w:sz w:val="24"/>
          <w:szCs w:val="24"/>
        </w:rPr>
        <w:t xml:space="preserve"> The Second Addendum to the agreement which provides for the extension of the contract from 1 January 2022 to 30 June 2022</w:t>
      </w:r>
      <w:r w:rsidR="008C1326" w:rsidRPr="00B423C3">
        <w:rPr>
          <w:rFonts w:ascii="Arial" w:hAnsi="Arial" w:cs="Arial"/>
          <w:sz w:val="24"/>
          <w:szCs w:val="24"/>
        </w:rPr>
        <w:t xml:space="preserve"> </w:t>
      </w:r>
      <w:r w:rsidR="001F1496" w:rsidRPr="00B423C3">
        <w:rPr>
          <w:rFonts w:ascii="Arial" w:hAnsi="Arial" w:cs="Arial"/>
          <w:sz w:val="24"/>
          <w:szCs w:val="24"/>
        </w:rPr>
        <w:t>stipulates as follows in clause 3.2:</w:t>
      </w:r>
    </w:p>
    <w:p w14:paraId="16ED4155" w14:textId="77777777" w:rsidR="00816DD8" w:rsidRDefault="001F1496" w:rsidP="00B33D99">
      <w:pPr>
        <w:spacing w:line="360" w:lineRule="auto"/>
        <w:ind w:firstLine="720"/>
        <w:jc w:val="both"/>
        <w:rPr>
          <w:rFonts w:ascii="Arial" w:hAnsi="Arial" w:cs="Arial"/>
          <w:sz w:val="24"/>
          <w:szCs w:val="24"/>
        </w:rPr>
      </w:pPr>
      <w:r w:rsidRPr="00E71113">
        <w:rPr>
          <w:rFonts w:ascii="Arial" w:hAnsi="Arial" w:cs="Arial"/>
        </w:rPr>
        <w:lastRenderedPageBreak/>
        <w:t xml:space="preserve">‘The Agreement shall be extended for a further period of six (6) calendar months with effect from </w:t>
      </w:r>
      <w:r w:rsidR="00816DD8" w:rsidRPr="00E71113">
        <w:rPr>
          <w:rFonts w:ascii="Arial" w:hAnsi="Arial" w:cs="Arial"/>
        </w:rPr>
        <w:t>01 January 2022 until 30 June 2022, unless terminated earlier by either party- via giving the other party a one (1) calendar month written notice.’</w:t>
      </w:r>
    </w:p>
    <w:p w14:paraId="26F0275B" w14:textId="77777777" w:rsidR="001F1496" w:rsidRPr="001F1496" w:rsidRDefault="001F1496" w:rsidP="001F1496">
      <w:pPr>
        <w:pStyle w:val="ListParagraph"/>
        <w:rPr>
          <w:rFonts w:ascii="Arial" w:hAnsi="Arial" w:cs="Arial"/>
          <w:sz w:val="24"/>
          <w:szCs w:val="24"/>
        </w:rPr>
      </w:pPr>
    </w:p>
    <w:p w14:paraId="6622A0DA" w14:textId="77777777" w:rsidR="00323045" w:rsidRDefault="006C0F50" w:rsidP="00323045">
      <w:pPr>
        <w:pStyle w:val="ListParagraph"/>
        <w:numPr>
          <w:ilvl w:val="0"/>
          <w:numId w:val="1"/>
        </w:numPr>
        <w:spacing w:line="360" w:lineRule="auto"/>
        <w:ind w:left="0" w:firstLine="0"/>
        <w:jc w:val="both"/>
        <w:rPr>
          <w:rFonts w:ascii="Arial" w:hAnsi="Arial" w:cs="Arial"/>
          <w:b/>
          <w:sz w:val="24"/>
          <w:szCs w:val="24"/>
        </w:rPr>
      </w:pPr>
      <w:r>
        <w:rPr>
          <w:rFonts w:ascii="Arial" w:hAnsi="Arial" w:cs="Arial"/>
          <w:sz w:val="24"/>
          <w:szCs w:val="24"/>
        </w:rPr>
        <w:t>On 31 March 2022, NAC gave notice of termination of the Ser</w:t>
      </w:r>
      <w:r w:rsidR="001F4FC6">
        <w:rPr>
          <w:rFonts w:ascii="Arial" w:hAnsi="Arial" w:cs="Arial"/>
          <w:sz w:val="24"/>
          <w:szCs w:val="24"/>
        </w:rPr>
        <w:t>vice Agr</w:t>
      </w:r>
      <w:r w:rsidR="00533082">
        <w:rPr>
          <w:rFonts w:ascii="Arial" w:hAnsi="Arial" w:cs="Arial"/>
          <w:sz w:val="24"/>
          <w:szCs w:val="24"/>
        </w:rPr>
        <w:t>eement to Menzies with effect from</w:t>
      </w:r>
      <w:r w:rsidR="001F4FC6">
        <w:rPr>
          <w:rFonts w:ascii="Arial" w:hAnsi="Arial" w:cs="Arial"/>
          <w:sz w:val="24"/>
          <w:szCs w:val="24"/>
        </w:rPr>
        <w:t xml:space="preserve"> 30 April 2022. </w:t>
      </w:r>
    </w:p>
    <w:p w14:paraId="5981C062" w14:textId="77777777" w:rsidR="00323045" w:rsidRPr="00BD1F9A" w:rsidRDefault="00323045" w:rsidP="00323045">
      <w:pPr>
        <w:pStyle w:val="ListParagraph"/>
        <w:spacing w:line="360" w:lineRule="auto"/>
        <w:ind w:left="0"/>
        <w:jc w:val="both"/>
        <w:rPr>
          <w:rFonts w:ascii="Arial" w:hAnsi="Arial" w:cs="Arial"/>
          <w:b/>
          <w:sz w:val="24"/>
          <w:szCs w:val="24"/>
        </w:rPr>
      </w:pPr>
    </w:p>
    <w:p w14:paraId="61BE4CBC" w14:textId="77777777" w:rsidR="006C0F50" w:rsidRPr="008B6EEA" w:rsidRDefault="001F4FC6" w:rsidP="0026650E">
      <w:pPr>
        <w:pStyle w:val="ListParagraph"/>
        <w:numPr>
          <w:ilvl w:val="0"/>
          <w:numId w:val="1"/>
        </w:numPr>
        <w:spacing w:line="360" w:lineRule="auto"/>
        <w:ind w:left="0" w:firstLine="0"/>
        <w:jc w:val="both"/>
        <w:rPr>
          <w:rFonts w:ascii="Arial" w:hAnsi="Arial" w:cs="Arial"/>
          <w:b/>
          <w:sz w:val="24"/>
          <w:szCs w:val="24"/>
        </w:rPr>
      </w:pPr>
      <w:r>
        <w:rPr>
          <w:rFonts w:ascii="Arial" w:hAnsi="Arial" w:cs="Arial"/>
          <w:sz w:val="24"/>
          <w:szCs w:val="24"/>
        </w:rPr>
        <w:t xml:space="preserve">NAC withdrew the said notice on 22 April 2022. </w:t>
      </w:r>
      <w:r w:rsidR="00C5460D">
        <w:rPr>
          <w:rFonts w:ascii="Arial" w:hAnsi="Arial" w:cs="Arial"/>
          <w:sz w:val="24"/>
          <w:szCs w:val="24"/>
        </w:rPr>
        <w:t xml:space="preserve">Menzies, with all force and might, challenges the purported withdrawal of the notice of termination on the basis that such notice cannot be withdrawn </w:t>
      </w:r>
      <w:r w:rsidR="00F411B7">
        <w:rPr>
          <w:rFonts w:ascii="Arial" w:hAnsi="Arial" w:cs="Arial"/>
          <w:sz w:val="24"/>
          <w:szCs w:val="24"/>
        </w:rPr>
        <w:t xml:space="preserve">by </w:t>
      </w:r>
      <w:r w:rsidR="00A11712">
        <w:rPr>
          <w:rFonts w:ascii="Arial" w:hAnsi="Arial" w:cs="Arial"/>
          <w:sz w:val="24"/>
          <w:szCs w:val="24"/>
        </w:rPr>
        <w:t xml:space="preserve">the </w:t>
      </w:r>
      <w:r w:rsidR="00C5460D">
        <w:rPr>
          <w:rFonts w:ascii="Arial" w:hAnsi="Arial" w:cs="Arial"/>
          <w:sz w:val="24"/>
          <w:szCs w:val="24"/>
        </w:rPr>
        <w:t xml:space="preserve">party unilaterally. </w:t>
      </w:r>
      <w:r w:rsidR="00F411B7">
        <w:rPr>
          <w:rFonts w:ascii="Arial" w:hAnsi="Arial" w:cs="Arial"/>
          <w:sz w:val="24"/>
          <w:szCs w:val="24"/>
        </w:rPr>
        <w:t xml:space="preserve">Withdrawal of a notice of termination requires the consent of both parties </w:t>
      </w:r>
      <w:r w:rsidR="00C5460D">
        <w:rPr>
          <w:rFonts w:ascii="Arial" w:hAnsi="Arial" w:cs="Arial"/>
          <w:sz w:val="24"/>
          <w:szCs w:val="24"/>
        </w:rPr>
        <w:t xml:space="preserve">to the contract. </w:t>
      </w:r>
    </w:p>
    <w:p w14:paraId="5C92C008" w14:textId="77777777" w:rsidR="008B6EEA" w:rsidRDefault="008B6EEA" w:rsidP="008B6EEA">
      <w:pPr>
        <w:pStyle w:val="ListParagraph"/>
        <w:spacing w:line="360" w:lineRule="auto"/>
        <w:ind w:left="0"/>
        <w:jc w:val="both"/>
        <w:rPr>
          <w:rFonts w:ascii="Arial" w:hAnsi="Arial" w:cs="Arial"/>
          <w:b/>
          <w:sz w:val="24"/>
          <w:szCs w:val="24"/>
        </w:rPr>
      </w:pPr>
    </w:p>
    <w:p w14:paraId="04DDD6CA" w14:textId="77777777" w:rsidR="000A4321" w:rsidRDefault="00D759C8" w:rsidP="0026650E">
      <w:pPr>
        <w:pStyle w:val="ListParagraph"/>
        <w:numPr>
          <w:ilvl w:val="0"/>
          <w:numId w:val="1"/>
        </w:numPr>
        <w:spacing w:line="360" w:lineRule="auto"/>
        <w:ind w:left="0" w:firstLine="0"/>
        <w:jc w:val="both"/>
        <w:rPr>
          <w:rFonts w:ascii="Arial" w:hAnsi="Arial" w:cs="Arial"/>
          <w:b/>
          <w:sz w:val="24"/>
          <w:szCs w:val="24"/>
        </w:rPr>
      </w:pPr>
      <w:r>
        <w:rPr>
          <w:rFonts w:ascii="Arial" w:hAnsi="Arial" w:cs="Arial"/>
          <w:sz w:val="24"/>
          <w:szCs w:val="24"/>
        </w:rPr>
        <w:t>On 22 April 2022, NAC wrote a letter to Menzies requiring an undertaking that Menzies will vacate HKIA on 30 June 2022 and hand over to the successful bidder</w:t>
      </w:r>
      <w:r w:rsidR="00533082">
        <w:rPr>
          <w:rFonts w:ascii="Arial" w:hAnsi="Arial" w:cs="Arial"/>
          <w:sz w:val="24"/>
          <w:szCs w:val="24"/>
        </w:rPr>
        <w:t>,</w:t>
      </w:r>
      <w:r>
        <w:rPr>
          <w:rFonts w:ascii="Arial" w:hAnsi="Arial" w:cs="Arial"/>
          <w:sz w:val="24"/>
          <w:szCs w:val="24"/>
        </w:rPr>
        <w:t xml:space="preserve"> Paragon. </w:t>
      </w:r>
      <w:r w:rsidR="00DF5D3E">
        <w:rPr>
          <w:rFonts w:ascii="Arial" w:hAnsi="Arial" w:cs="Arial"/>
          <w:sz w:val="24"/>
          <w:szCs w:val="24"/>
        </w:rPr>
        <w:t xml:space="preserve">Menzies responded </w:t>
      </w:r>
      <w:r w:rsidR="00BD1F9A">
        <w:rPr>
          <w:rFonts w:ascii="Arial" w:hAnsi="Arial" w:cs="Arial"/>
          <w:sz w:val="24"/>
          <w:szCs w:val="24"/>
        </w:rPr>
        <w:t xml:space="preserve">on 25 April 2022 </w:t>
      </w:r>
      <w:r w:rsidR="00DF5D3E">
        <w:rPr>
          <w:rFonts w:ascii="Arial" w:hAnsi="Arial" w:cs="Arial"/>
          <w:sz w:val="24"/>
          <w:szCs w:val="24"/>
        </w:rPr>
        <w:t>tha</w:t>
      </w:r>
      <w:r w:rsidR="00533082">
        <w:rPr>
          <w:rFonts w:ascii="Arial" w:hAnsi="Arial" w:cs="Arial"/>
          <w:sz w:val="24"/>
          <w:szCs w:val="24"/>
        </w:rPr>
        <w:t xml:space="preserve">t Paragon will not be capable </w:t>
      </w:r>
      <w:r w:rsidR="00A11712">
        <w:rPr>
          <w:rFonts w:ascii="Arial" w:hAnsi="Arial" w:cs="Arial"/>
          <w:sz w:val="24"/>
          <w:szCs w:val="24"/>
        </w:rPr>
        <w:t xml:space="preserve">to provide the proper </w:t>
      </w:r>
      <w:r w:rsidR="00DF5D3E" w:rsidRPr="00F411B7">
        <w:rPr>
          <w:rFonts w:ascii="Arial" w:hAnsi="Arial" w:cs="Arial"/>
          <w:sz w:val="24"/>
          <w:szCs w:val="24"/>
        </w:rPr>
        <w:t xml:space="preserve">service from </w:t>
      </w:r>
      <w:proofErr w:type="gramStart"/>
      <w:r w:rsidR="00DF5D3E" w:rsidRPr="00F411B7">
        <w:rPr>
          <w:rFonts w:ascii="Arial" w:hAnsi="Arial" w:cs="Arial"/>
          <w:sz w:val="24"/>
          <w:szCs w:val="24"/>
        </w:rPr>
        <w:t>1 July 2022</w:t>
      </w:r>
      <w:r w:rsidR="00BD1F9A" w:rsidRPr="00F411B7">
        <w:rPr>
          <w:rFonts w:ascii="Arial" w:hAnsi="Arial" w:cs="Arial"/>
          <w:sz w:val="24"/>
          <w:szCs w:val="24"/>
        </w:rPr>
        <w:t>, but</w:t>
      </w:r>
      <w:proofErr w:type="gramEnd"/>
      <w:r w:rsidR="00BD1F9A" w:rsidRPr="00F411B7">
        <w:rPr>
          <w:rFonts w:ascii="Arial" w:hAnsi="Arial" w:cs="Arial"/>
          <w:sz w:val="24"/>
          <w:szCs w:val="24"/>
        </w:rPr>
        <w:t xml:space="preserve"> was silent on the undertaking</w:t>
      </w:r>
      <w:r w:rsidR="00791BF8" w:rsidRPr="00F411B7">
        <w:rPr>
          <w:rFonts w:ascii="Arial" w:hAnsi="Arial" w:cs="Arial"/>
          <w:sz w:val="24"/>
          <w:szCs w:val="24"/>
        </w:rPr>
        <w:t>s</w:t>
      </w:r>
      <w:r w:rsidR="00BD1F9A" w:rsidRPr="00F411B7">
        <w:rPr>
          <w:rFonts w:ascii="Arial" w:hAnsi="Arial" w:cs="Arial"/>
          <w:sz w:val="24"/>
          <w:szCs w:val="24"/>
        </w:rPr>
        <w:t xml:space="preserve"> requested. </w:t>
      </w:r>
    </w:p>
    <w:p w14:paraId="4D85BBBA" w14:textId="77777777" w:rsidR="000A4321" w:rsidRPr="000A4321" w:rsidRDefault="000A4321" w:rsidP="000A4321">
      <w:pPr>
        <w:pStyle w:val="ListParagraph"/>
        <w:rPr>
          <w:rFonts w:ascii="Arial" w:hAnsi="Arial" w:cs="Arial"/>
          <w:b/>
          <w:sz w:val="24"/>
          <w:szCs w:val="24"/>
        </w:rPr>
      </w:pPr>
    </w:p>
    <w:p w14:paraId="1E7FBF31" w14:textId="77777777" w:rsidR="008B6EEA" w:rsidRPr="000A4321" w:rsidRDefault="00BD1F9A" w:rsidP="000A4321">
      <w:pPr>
        <w:pStyle w:val="ListParagraph"/>
        <w:numPr>
          <w:ilvl w:val="0"/>
          <w:numId w:val="1"/>
        </w:numPr>
        <w:spacing w:line="360" w:lineRule="auto"/>
        <w:ind w:left="0" w:firstLine="0"/>
        <w:jc w:val="both"/>
        <w:rPr>
          <w:rFonts w:ascii="Arial" w:hAnsi="Arial" w:cs="Arial"/>
          <w:b/>
          <w:sz w:val="24"/>
          <w:szCs w:val="24"/>
        </w:rPr>
      </w:pPr>
      <w:r w:rsidRPr="00D17DA9">
        <w:rPr>
          <w:rFonts w:ascii="Arial" w:hAnsi="Arial" w:cs="Arial"/>
          <w:sz w:val="24"/>
          <w:szCs w:val="24"/>
        </w:rPr>
        <w:t xml:space="preserve">On 26 April 2022, Menzies further wrote to NAC repeating that Paragon lacks </w:t>
      </w:r>
      <w:r w:rsidR="00D17DA9">
        <w:rPr>
          <w:rFonts w:ascii="Arial" w:hAnsi="Arial" w:cs="Arial"/>
          <w:sz w:val="24"/>
          <w:szCs w:val="24"/>
        </w:rPr>
        <w:t xml:space="preserve">the </w:t>
      </w:r>
      <w:r w:rsidRPr="00D17DA9">
        <w:rPr>
          <w:rFonts w:ascii="Arial" w:hAnsi="Arial" w:cs="Arial"/>
          <w:sz w:val="24"/>
          <w:szCs w:val="24"/>
        </w:rPr>
        <w:t xml:space="preserve">capacity to carry out ground handling services and requested for an extension of the contract until the review application </w:t>
      </w:r>
      <w:r w:rsidR="00D17DA9">
        <w:rPr>
          <w:rFonts w:ascii="Arial" w:hAnsi="Arial" w:cs="Arial"/>
          <w:sz w:val="24"/>
          <w:szCs w:val="24"/>
        </w:rPr>
        <w:t>filed b</w:t>
      </w:r>
      <w:r w:rsidRPr="00D17DA9">
        <w:rPr>
          <w:rFonts w:ascii="Arial" w:hAnsi="Arial" w:cs="Arial"/>
          <w:sz w:val="24"/>
          <w:szCs w:val="24"/>
        </w:rPr>
        <w:t>y Menzies against the bid award to Paragon is finalised.</w:t>
      </w:r>
      <w:r w:rsidRPr="000A4321">
        <w:rPr>
          <w:rFonts w:ascii="Arial" w:hAnsi="Arial" w:cs="Arial"/>
          <w:sz w:val="24"/>
          <w:szCs w:val="24"/>
        </w:rPr>
        <w:t xml:space="preserve"> </w:t>
      </w:r>
      <w:r w:rsidR="00D17DA9">
        <w:rPr>
          <w:rFonts w:ascii="Arial" w:hAnsi="Arial" w:cs="Arial"/>
          <w:sz w:val="24"/>
          <w:szCs w:val="24"/>
        </w:rPr>
        <w:t xml:space="preserve">Menzies filed the Review application against the award of the bid to Paragon to provide ground handling services at HKIA. </w:t>
      </w:r>
      <w:r w:rsidR="00791BF8">
        <w:rPr>
          <w:rFonts w:ascii="Arial" w:hAnsi="Arial" w:cs="Arial"/>
          <w:sz w:val="24"/>
          <w:szCs w:val="24"/>
        </w:rPr>
        <w:t xml:space="preserve">Menzies was still silent on the undertakings requested. </w:t>
      </w:r>
      <w:r w:rsidR="00DF5D3E" w:rsidRPr="000A4321">
        <w:rPr>
          <w:rFonts w:ascii="Arial" w:hAnsi="Arial" w:cs="Arial"/>
          <w:sz w:val="24"/>
          <w:szCs w:val="24"/>
        </w:rPr>
        <w:t xml:space="preserve"> </w:t>
      </w:r>
      <w:r w:rsidR="00D759C8" w:rsidRPr="000A4321">
        <w:rPr>
          <w:rFonts w:ascii="Arial" w:hAnsi="Arial" w:cs="Arial"/>
          <w:sz w:val="24"/>
          <w:szCs w:val="24"/>
        </w:rPr>
        <w:t xml:space="preserve"> </w:t>
      </w:r>
    </w:p>
    <w:p w14:paraId="25D66E81" w14:textId="77777777" w:rsidR="008B6EEA" w:rsidRPr="008B6EEA" w:rsidRDefault="008B6EEA" w:rsidP="008B6EEA">
      <w:pPr>
        <w:pStyle w:val="ListParagraph"/>
        <w:rPr>
          <w:rFonts w:ascii="Arial" w:hAnsi="Arial" w:cs="Arial"/>
          <w:b/>
          <w:sz w:val="24"/>
          <w:szCs w:val="24"/>
        </w:rPr>
      </w:pPr>
    </w:p>
    <w:p w14:paraId="2E5A0B14" w14:textId="77777777" w:rsidR="006A2C44" w:rsidRDefault="00791BF8" w:rsidP="0026650E">
      <w:pPr>
        <w:pStyle w:val="ListParagraph"/>
        <w:numPr>
          <w:ilvl w:val="0"/>
          <w:numId w:val="1"/>
        </w:numPr>
        <w:spacing w:line="360" w:lineRule="auto"/>
        <w:ind w:left="0" w:firstLine="0"/>
        <w:jc w:val="both"/>
        <w:rPr>
          <w:rFonts w:ascii="Arial" w:hAnsi="Arial" w:cs="Arial"/>
          <w:sz w:val="24"/>
          <w:szCs w:val="24"/>
        </w:rPr>
      </w:pPr>
      <w:r w:rsidRPr="00791BF8">
        <w:rPr>
          <w:rFonts w:ascii="Arial" w:hAnsi="Arial" w:cs="Arial"/>
          <w:sz w:val="24"/>
          <w:szCs w:val="24"/>
        </w:rPr>
        <w:t>On</w:t>
      </w:r>
      <w:r>
        <w:rPr>
          <w:rFonts w:ascii="Arial" w:hAnsi="Arial" w:cs="Arial"/>
          <w:sz w:val="24"/>
          <w:szCs w:val="24"/>
        </w:rPr>
        <w:t xml:space="preserve"> 29 April 2022, NAC sent a letter to Menzies requesting confirmation that Menzies will abide by the agreement </w:t>
      </w:r>
      <w:r w:rsidR="00711C57">
        <w:rPr>
          <w:rFonts w:ascii="Arial" w:hAnsi="Arial" w:cs="Arial"/>
          <w:sz w:val="24"/>
          <w:szCs w:val="24"/>
        </w:rPr>
        <w:t xml:space="preserve">and vacate HKIA on 30 June 2022 </w:t>
      </w:r>
      <w:proofErr w:type="gramStart"/>
      <w:r w:rsidR="00711C57">
        <w:rPr>
          <w:rFonts w:ascii="Arial" w:hAnsi="Arial" w:cs="Arial"/>
          <w:sz w:val="24"/>
          <w:szCs w:val="24"/>
        </w:rPr>
        <w:t>in order to</w:t>
      </w:r>
      <w:proofErr w:type="gramEnd"/>
      <w:r w:rsidR="00711C57">
        <w:rPr>
          <w:rFonts w:ascii="Arial" w:hAnsi="Arial" w:cs="Arial"/>
          <w:sz w:val="24"/>
          <w:szCs w:val="24"/>
        </w:rPr>
        <w:t xml:space="preserve"> enable Paragon as the successful bidder to render ground handling services with effect from 1 July 2022.</w:t>
      </w:r>
      <w:r w:rsidR="0026650E">
        <w:rPr>
          <w:rFonts w:ascii="Arial" w:hAnsi="Arial" w:cs="Arial"/>
          <w:sz w:val="24"/>
          <w:szCs w:val="24"/>
        </w:rPr>
        <w:t xml:space="preserve"> </w:t>
      </w:r>
    </w:p>
    <w:p w14:paraId="4F67CB4B" w14:textId="77777777" w:rsidR="006A2C44" w:rsidRPr="006A2C44" w:rsidRDefault="006A2C44" w:rsidP="006A2C44">
      <w:pPr>
        <w:pStyle w:val="ListParagraph"/>
        <w:rPr>
          <w:rFonts w:ascii="Arial" w:hAnsi="Arial" w:cs="Arial"/>
          <w:sz w:val="24"/>
          <w:szCs w:val="24"/>
        </w:rPr>
      </w:pPr>
    </w:p>
    <w:p w14:paraId="5BEECB98" w14:textId="77777777" w:rsidR="00DF5D3E" w:rsidRDefault="0026650E" w:rsidP="0026650E">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On 9 May 2022, NAC reminded Menzies in writing that Menzies has not responded to NAC’s letters of 22 April 2022 and 29 April 2022. Still, Menzies remained silent. On 10 May 2022, NAC sent an email to Menzies as a follow</w:t>
      </w:r>
      <w:r w:rsidR="006A2C44">
        <w:rPr>
          <w:rFonts w:ascii="Arial" w:hAnsi="Arial" w:cs="Arial"/>
          <w:sz w:val="24"/>
          <w:szCs w:val="24"/>
        </w:rPr>
        <w:t>-up to</w:t>
      </w:r>
      <w:r>
        <w:rPr>
          <w:rFonts w:ascii="Arial" w:hAnsi="Arial" w:cs="Arial"/>
          <w:sz w:val="24"/>
          <w:szCs w:val="24"/>
        </w:rPr>
        <w:t xml:space="preserve"> its letter of 9 May 2022. </w:t>
      </w:r>
    </w:p>
    <w:p w14:paraId="73056DC4" w14:textId="77777777" w:rsidR="0026650E" w:rsidRPr="0026650E" w:rsidRDefault="0026650E" w:rsidP="0026650E">
      <w:pPr>
        <w:pStyle w:val="ListParagraph"/>
        <w:rPr>
          <w:rFonts w:ascii="Arial" w:hAnsi="Arial" w:cs="Arial"/>
          <w:sz w:val="24"/>
          <w:szCs w:val="24"/>
        </w:rPr>
      </w:pPr>
    </w:p>
    <w:p w14:paraId="3250F975" w14:textId="77777777" w:rsidR="00C57BFA" w:rsidRDefault="0026650E" w:rsidP="0026650E">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lastRenderedPageBreak/>
        <w:t xml:space="preserve">On 22 May 2022, NAC wrote to Menzies where it recorded its dismay towards Menzies’ </w:t>
      </w:r>
      <w:r w:rsidR="00582342">
        <w:rPr>
          <w:rFonts w:ascii="Arial" w:hAnsi="Arial" w:cs="Arial"/>
          <w:sz w:val="24"/>
          <w:szCs w:val="24"/>
        </w:rPr>
        <w:t xml:space="preserve">failure </w:t>
      </w:r>
      <w:r w:rsidR="006A2C44">
        <w:rPr>
          <w:rFonts w:ascii="Arial" w:hAnsi="Arial" w:cs="Arial"/>
          <w:sz w:val="24"/>
          <w:szCs w:val="24"/>
        </w:rPr>
        <w:t xml:space="preserve">to </w:t>
      </w:r>
      <w:r w:rsidR="00582342">
        <w:rPr>
          <w:rFonts w:ascii="Arial" w:hAnsi="Arial" w:cs="Arial"/>
          <w:sz w:val="24"/>
          <w:szCs w:val="24"/>
        </w:rPr>
        <w:t>respond to its requests. In the same letter</w:t>
      </w:r>
      <w:r w:rsidR="006A2C44">
        <w:rPr>
          <w:rFonts w:ascii="Arial" w:hAnsi="Arial" w:cs="Arial"/>
          <w:sz w:val="24"/>
          <w:szCs w:val="24"/>
        </w:rPr>
        <w:t>,</w:t>
      </w:r>
      <w:r w:rsidR="00582342">
        <w:rPr>
          <w:rFonts w:ascii="Arial" w:hAnsi="Arial" w:cs="Arial"/>
          <w:sz w:val="24"/>
          <w:szCs w:val="24"/>
        </w:rPr>
        <w:t xml:space="preserve"> NAC stated that it will not extend the agreement beyond 20 June 2022. NAC stated further that the failure of Menzies to express itself on the undertakings requested was aimed </w:t>
      </w:r>
      <w:r w:rsidR="006A2C44">
        <w:rPr>
          <w:rFonts w:ascii="Arial" w:hAnsi="Arial" w:cs="Arial"/>
          <w:sz w:val="24"/>
          <w:szCs w:val="24"/>
        </w:rPr>
        <w:t xml:space="preserve">at </w:t>
      </w:r>
      <w:r w:rsidR="00582342">
        <w:rPr>
          <w:rFonts w:ascii="Arial" w:hAnsi="Arial" w:cs="Arial"/>
          <w:sz w:val="24"/>
          <w:szCs w:val="24"/>
        </w:rPr>
        <w:t xml:space="preserve">frustrating the smooth handover to Paragon and therefore left NAC with no option but to seek urgent relief in this court. </w:t>
      </w:r>
    </w:p>
    <w:p w14:paraId="677EBDB7" w14:textId="77777777" w:rsidR="00C57BFA" w:rsidRPr="00C57BFA" w:rsidRDefault="00C57BFA" w:rsidP="00C57BFA">
      <w:pPr>
        <w:pStyle w:val="ListParagraph"/>
        <w:rPr>
          <w:rFonts w:ascii="Arial" w:hAnsi="Arial" w:cs="Arial"/>
          <w:sz w:val="24"/>
          <w:szCs w:val="24"/>
        </w:rPr>
      </w:pPr>
    </w:p>
    <w:p w14:paraId="044108E0" w14:textId="77777777" w:rsidR="00250327" w:rsidRDefault="00C57BFA" w:rsidP="0026650E">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On 23 May 2022, Menzies responded to NAC’s letters of 22 April 2022, 28 April 2022, 9</w:t>
      </w:r>
      <w:r w:rsidR="006A2C44">
        <w:rPr>
          <w:rFonts w:ascii="Arial" w:hAnsi="Arial" w:cs="Arial"/>
          <w:sz w:val="24"/>
          <w:szCs w:val="24"/>
        </w:rPr>
        <w:t xml:space="preserve"> May </w:t>
      </w:r>
      <w:proofErr w:type="gramStart"/>
      <w:r w:rsidR="006A2C44">
        <w:rPr>
          <w:rFonts w:ascii="Arial" w:hAnsi="Arial" w:cs="Arial"/>
          <w:sz w:val="24"/>
          <w:szCs w:val="24"/>
        </w:rPr>
        <w:t>2022</w:t>
      </w:r>
      <w:proofErr w:type="gramEnd"/>
      <w:r w:rsidR="006A2C44">
        <w:rPr>
          <w:rFonts w:ascii="Arial" w:hAnsi="Arial" w:cs="Arial"/>
          <w:sz w:val="24"/>
          <w:szCs w:val="24"/>
        </w:rPr>
        <w:t xml:space="preserve"> and 22 May 2022</w:t>
      </w:r>
      <w:r w:rsidR="0035474A">
        <w:rPr>
          <w:rFonts w:ascii="Arial" w:hAnsi="Arial" w:cs="Arial"/>
          <w:sz w:val="24"/>
          <w:szCs w:val="24"/>
        </w:rPr>
        <w:t>,</w:t>
      </w:r>
      <w:r w:rsidR="006A2C44">
        <w:rPr>
          <w:rFonts w:ascii="Arial" w:hAnsi="Arial" w:cs="Arial"/>
          <w:sz w:val="24"/>
          <w:szCs w:val="24"/>
        </w:rPr>
        <w:t xml:space="preserve"> where</w:t>
      </w:r>
      <w:r>
        <w:rPr>
          <w:rFonts w:ascii="Arial" w:hAnsi="Arial" w:cs="Arial"/>
          <w:sz w:val="24"/>
          <w:szCs w:val="24"/>
        </w:rPr>
        <w:t xml:space="preserve">in the main, Menzies stated that it was no longer rendering ground handling services </w:t>
      </w:r>
      <w:r w:rsidR="00250327">
        <w:rPr>
          <w:rFonts w:ascii="Arial" w:hAnsi="Arial" w:cs="Arial"/>
          <w:sz w:val="24"/>
          <w:szCs w:val="24"/>
        </w:rPr>
        <w:t>in terms of clause 3.2 of Addendum 2</w:t>
      </w:r>
      <w:r w:rsidR="0035474A">
        <w:rPr>
          <w:rFonts w:ascii="Arial" w:hAnsi="Arial" w:cs="Arial"/>
          <w:sz w:val="24"/>
          <w:szCs w:val="24"/>
        </w:rPr>
        <w:t xml:space="preserve">. Menzies, </w:t>
      </w:r>
      <w:r w:rsidR="00250327">
        <w:rPr>
          <w:rFonts w:ascii="Arial" w:hAnsi="Arial" w:cs="Arial"/>
          <w:sz w:val="24"/>
          <w:szCs w:val="24"/>
        </w:rPr>
        <w:t>therefore</w:t>
      </w:r>
      <w:r w:rsidR="0035474A">
        <w:rPr>
          <w:rFonts w:ascii="Arial" w:hAnsi="Arial" w:cs="Arial"/>
          <w:sz w:val="24"/>
          <w:szCs w:val="24"/>
        </w:rPr>
        <w:t>,</w:t>
      </w:r>
      <w:r w:rsidR="00250327">
        <w:rPr>
          <w:rFonts w:ascii="Arial" w:hAnsi="Arial" w:cs="Arial"/>
          <w:sz w:val="24"/>
          <w:szCs w:val="24"/>
        </w:rPr>
        <w:t xml:space="preserve"> disputed the assertion </w:t>
      </w:r>
      <w:r w:rsidR="0035474A">
        <w:rPr>
          <w:rFonts w:ascii="Arial" w:hAnsi="Arial" w:cs="Arial"/>
          <w:sz w:val="24"/>
          <w:szCs w:val="24"/>
        </w:rPr>
        <w:t xml:space="preserve">by NAC </w:t>
      </w:r>
      <w:r w:rsidR="00250327">
        <w:rPr>
          <w:rFonts w:ascii="Arial" w:hAnsi="Arial" w:cs="Arial"/>
          <w:sz w:val="24"/>
          <w:szCs w:val="24"/>
        </w:rPr>
        <w:t xml:space="preserve">that the agreement lapses on 30 June 2022. </w:t>
      </w:r>
    </w:p>
    <w:p w14:paraId="4DFE225C" w14:textId="77777777" w:rsidR="00250327" w:rsidRPr="00250327" w:rsidRDefault="00250327" w:rsidP="00250327">
      <w:pPr>
        <w:pStyle w:val="ListParagraph"/>
        <w:rPr>
          <w:rFonts w:ascii="Arial" w:hAnsi="Arial" w:cs="Arial"/>
          <w:sz w:val="24"/>
          <w:szCs w:val="24"/>
        </w:rPr>
      </w:pPr>
    </w:p>
    <w:p w14:paraId="29790AF9" w14:textId="77777777" w:rsidR="008C1326" w:rsidRDefault="008C1326" w:rsidP="008C1326">
      <w:pPr>
        <w:pStyle w:val="ListParagraph"/>
        <w:numPr>
          <w:ilvl w:val="0"/>
          <w:numId w:val="1"/>
        </w:numPr>
        <w:spacing w:line="360" w:lineRule="auto"/>
        <w:ind w:left="0" w:firstLine="0"/>
        <w:jc w:val="both"/>
        <w:rPr>
          <w:rFonts w:ascii="Arial" w:hAnsi="Arial" w:cs="Arial"/>
          <w:sz w:val="24"/>
          <w:szCs w:val="24"/>
        </w:rPr>
      </w:pPr>
      <w:r w:rsidRPr="008C1326">
        <w:rPr>
          <w:rFonts w:ascii="Arial" w:hAnsi="Arial" w:cs="Arial"/>
          <w:sz w:val="24"/>
          <w:szCs w:val="24"/>
        </w:rPr>
        <w:t>On 1 July 2022, the new service provider</w:t>
      </w:r>
      <w:r w:rsidR="00C443E6">
        <w:rPr>
          <w:rFonts w:ascii="Arial" w:hAnsi="Arial" w:cs="Arial"/>
          <w:sz w:val="24"/>
          <w:szCs w:val="24"/>
        </w:rPr>
        <w:t>,</w:t>
      </w:r>
      <w:r w:rsidRPr="008C1326">
        <w:rPr>
          <w:rFonts w:ascii="Arial" w:hAnsi="Arial" w:cs="Arial"/>
          <w:sz w:val="24"/>
          <w:szCs w:val="24"/>
        </w:rPr>
        <w:t xml:space="preserve"> </w:t>
      </w:r>
      <w:r w:rsidR="00C443E6">
        <w:rPr>
          <w:rFonts w:ascii="Arial" w:hAnsi="Arial" w:cs="Arial"/>
          <w:sz w:val="24"/>
          <w:szCs w:val="24"/>
        </w:rPr>
        <w:t>Paragon</w:t>
      </w:r>
      <w:r w:rsidR="00AC14AB">
        <w:rPr>
          <w:rFonts w:ascii="Arial" w:hAnsi="Arial" w:cs="Arial"/>
          <w:sz w:val="24"/>
          <w:szCs w:val="24"/>
        </w:rPr>
        <w:t xml:space="preserve">, </w:t>
      </w:r>
      <w:r w:rsidR="003415FC">
        <w:rPr>
          <w:rFonts w:ascii="Arial" w:hAnsi="Arial" w:cs="Arial"/>
          <w:sz w:val="24"/>
          <w:szCs w:val="24"/>
        </w:rPr>
        <w:t>was</w:t>
      </w:r>
      <w:r w:rsidRPr="008C1326">
        <w:rPr>
          <w:rFonts w:ascii="Arial" w:hAnsi="Arial" w:cs="Arial"/>
          <w:sz w:val="24"/>
          <w:szCs w:val="24"/>
        </w:rPr>
        <w:t xml:space="preserve"> scheduled to commence </w:t>
      </w:r>
      <w:r w:rsidR="00323045">
        <w:rPr>
          <w:rFonts w:ascii="Arial" w:hAnsi="Arial" w:cs="Arial"/>
          <w:sz w:val="24"/>
          <w:szCs w:val="24"/>
        </w:rPr>
        <w:t>to render</w:t>
      </w:r>
      <w:r w:rsidR="0035474A">
        <w:rPr>
          <w:rFonts w:ascii="Arial" w:hAnsi="Arial" w:cs="Arial"/>
          <w:sz w:val="24"/>
          <w:szCs w:val="24"/>
        </w:rPr>
        <w:t>ing</w:t>
      </w:r>
      <w:r w:rsidR="00323045">
        <w:rPr>
          <w:rFonts w:ascii="Arial" w:hAnsi="Arial" w:cs="Arial"/>
          <w:sz w:val="24"/>
          <w:szCs w:val="24"/>
        </w:rPr>
        <w:t xml:space="preserve"> </w:t>
      </w:r>
      <w:r w:rsidRPr="008C1326">
        <w:rPr>
          <w:rFonts w:ascii="Arial" w:hAnsi="Arial" w:cs="Arial"/>
          <w:sz w:val="24"/>
          <w:szCs w:val="24"/>
        </w:rPr>
        <w:t xml:space="preserve">ground </w:t>
      </w:r>
      <w:r w:rsidR="00533082">
        <w:rPr>
          <w:rFonts w:ascii="Arial" w:hAnsi="Arial" w:cs="Arial"/>
          <w:sz w:val="24"/>
          <w:szCs w:val="24"/>
        </w:rPr>
        <w:t>handling services at HKIA</w:t>
      </w:r>
      <w:r w:rsidRPr="008C1326">
        <w:rPr>
          <w:rFonts w:ascii="Arial" w:hAnsi="Arial" w:cs="Arial"/>
          <w:sz w:val="24"/>
          <w:szCs w:val="24"/>
        </w:rPr>
        <w:t xml:space="preserve">. </w:t>
      </w:r>
    </w:p>
    <w:p w14:paraId="23A6CD59" w14:textId="77777777" w:rsidR="008C1326" w:rsidRPr="008C1326" w:rsidRDefault="008C1326" w:rsidP="008C1326">
      <w:pPr>
        <w:pStyle w:val="ListParagraph"/>
        <w:rPr>
          <w:rFonts w:ascii="Arial" w:hAnsi="Arial" w:cs="Arial"/>
          <w:sz w:val="24"/>
          <w:szCs w:val="24"/>
        </w:rPr>
      </w:pPr>
    </w:p>
    <w:p w14:paraId="51208F78" w14:textId="77777777" w:rsidR="008C1326" w:rsidRPr="008C1326" w:rsidRDefault="008C1326" w:rsidP="008C1326">
      <w:pPr>
        <w:pStyle w:val="ListParagraph"/>
        <w:numPr>
          <w:ilvl w:val="0"/>
          <w:numId w:val="1"/>
        </w:numPr>
        <w:spacing w:line="360" w:lineRule="auto"/>
        <w:ind w:left="0" w:firstLine="0"/>
        <w:jc w:val="both"/>
        <w:rPr>
          <w:rFonts w:ascii="Arial" w:hAnsi="Arial" w:cs="Arial"/>
          <w:sz w:val="24"/>
          <w:szCs w:val="24"/>
        </w:rPr>
      </w:pPr>
      <w:r w:rsidRPr="008C1326">
        <w:rPr>
          <w:rFonts w:ascii="Arial" w:hAnsi="Arial" w:cs="Arial"/>
          <w:sz w:val="24"/>
          <w:szCs w:val="24"/>
        </w:rPr>
        <w:t>To this end, it was undisputed that</w:t>
      </w:r>
      <w:r w:rsidRPr="008C1326">
        <w:rPr>
          <w:rFonts w:ascii="Arial" w:hAnsi="Arial" w:cs="Arial"/>
          <w:sz w:val="24"/>
          <w:szCs w:val="24"/>
          <w:lang w:val="en-US"/>
        </w:rPr>
        <w:t>:</w:t>
      </w:r>
    </w:p>
    <w:p w14:paraId="692CDB03" w14:textId="77777777" w:rsidR="008C1326" w:rsidRPr="008C1326" w:rsidRDefault="008C1326" w:rsidP="008C1326">
      <w:pPr>
        <w:pStyle w:val="ListParagraph"/>
        <w:rPr>
          <w:rFonts w:ascii="Arial" w:hAnsi="Arial" w:cs="Arial"/>
          <w:sz w:val="24"/>
          <w:szCs w:val="24"/>
        </w:rPr>
      </w:pPr>
    </w:p>
    <w:p w14:paraId="78DAFBEC" w14:textId="77777777" w:rsidR="008C1326" w:rsidRDefault="008C1326" w:rsidP="008C3C4C">
      <w:pPr>
        <w:pStyle w:val="ListParagraph"/>
        <w:numPr>
          <w:ilvl w:val="0"/>
          <w:numId w:val="2"/>
        </w:numPr>
        <w:spacing w:line="360" w:lineRule="auto"/>
        <w:ind w:left="709" w:firstLine="1"/>
        <w:jc w:val="both"/>
        <w:rPr>
          <w:rFonts w:ascii="Arial" w:hAnsi="Arial" w:cs="Arial"/>
          <w:sz w:val="24"/>
          <w:szCs w:val="24"/>
        </w:rPr>
      </w:pPr>
      <w:r w:rsidRPr="008C1326">
        <w:rPr>
          <w:rFonts w:ascii="Arial" w:hAnsi="Arial" w:cs="Arial"/>
          <w:sz w:val="24"/>
          <w:szCs w:val="24"/>
        </w:rPr>
        <w:t>NAC notified and engaged stakeholders regarding Paragon’s takeover of ground hand</w:t>
      </w:r>
      <w:r>
        <w:rPr>
          <w:rFonts w:ascii="Arial" w:hAnsi="Arial" w:cs="Arial"/>
          <w:sz w:val="24"/>
          <w:szCs w:val="24"/>
        </w:rPr>
        <w:t xml:space="preserve">ling services at HKIA. </w:t>
      </w:r>
    </w:p>
    <w:p w14:paraId="03FF73EA" w14:textId="77777777" w:rsidR="008C1326" w:rsidRDefault="008C1326" w:rsidP="008C3C4C">
      <w:pPr>
        <w:pStyle w:val="ListParagraph"/>
        <w:spacing w:line="360" w:lineRule="auto"/>
        <w:ind w:left="709" w:firstLine="1"/>
        <w:jc w:val="both"/>
        <w:rPr>
          <w:rFonts w:ascii="Arial" w:hAnsi="Arial" w:cs="Arial"/>
          <w:sz w:val="24"/>
          <w:szCs w:val="24"/>
        </w:rPr>
      </w:pPr>
    </w:p>
    <w:p w14:paraId="7A0E9020" w14:textId="77777777" w:rsidR="008C1326" w:rsidRPr="008C1326" w:rsidRDefault="008C1326" w:rsidP="008C3C4C">
      <w:pPr>
        <w:pStyle w:val="ListParagraph"/>
        <w:numPr>
          <w:ilvl w:val="0"/>
          <w:numId w:val="2"/>
        </w:numPr>
        <w:spacing w:line="360" w:lineRule="auto"/>
        <w:ind w:left="709" w:firstLine="1"/>
        <w:jc w:val="both"/>
        <w:rPr>
          <w:rFonts w:ascii="Arial" w:hAnsi="Arial" w:cs="Arial"/>
          <w:sz w:val="24"/>
          <w:szCs w:val="24"/>
        </w:rPr>
      </w:pPr>
      <w:r w:rsidRPr="008C1326">
        <w:rPr>
          <w:rFonts w:ascii="Arial" w:hAnsi="Arial" w:cs="Arial"/>
          <w:sz w:val="24"/>
          <w:szCs w:val="24"/>
        </w:rPr>
        <w:t>Parag</w:t>
      </w:r>
      <w:r>
        <w:rPr>
          <w:rFonts w:ascii="Arial" w:hAnsi="Arial" w:cs="Arial"/>
          <w:sz w:val="24"/>
          <w:szCs w:val="24"/>
        </w:rPr>
        <w:t xml:space="preserve">on </w:t>
      </w:r>
      <w:r w:rsidRPr="008C1326">
        <w:rPr>
          <w:rFonts w:ascii="Arial" w:hAnsi="Arial" w:cs="Arial"/>
          <w:sz w:val="24"/>
          <w:szCs w:val="24"/>
        </w:rPr>
        <w:t>spent nearly N$6 million to ensure that it can provide grou</w:t>
      </w:r>
      <w:r>
        <w:rPr>
          <w:rFonts w:ascii="Arial" w:hAnsi="Arial" w:cs="Arial"/>
          <w:sz w:val="24"/>
          <w:szCs w:val="24"/>
        </w:rPr>
        <w:t>nd handling services at HKIA.</w:t>
      </w:r>
      <w:r w:rsidR="003415FC">
        <w:rPr>
          <w:rFonts w:ascii="Arial" w:hAnsi="Arial" w:cs="Arial"/>
          <w:sz w:val="24"/>
          <w:szCs w:val="24"/>
        </w:rPr>
        <w:t xml:space="preserve"> Above all, Paragon confirmed</w:t>
      </w:r>
      <w:r w:rsidRPr="008C1326">
        <w:rPr>
          <w:rFonts w:ascii="Arial" w:hAnsi="Arial" w:cs="Arial"/>
          <w:sz w:val="24"/>
          <w:szCs w:val="24"/>
        </w:rPr>
        <w:t xml:space="preserve"> that it is prepared and able to provide ground handl</w:t>
      </w:r>
      <w:r>
        <w:rPr>
          <w:rFonts w:ascii="Arial" w:hAnsi="Arial" w:cs="Arial"/>
          <w:sz w:val="24"/>
          <w:szCs w:val="24"/>
        </w:rPr>
        <w:t>ing services from 1 July 2022</w:t>
      </w:r>
      <w:r>
        <w:rPr>
          <w:rFonts w:ascii="Arial" w:hAnsi="Arial" w:cs="Arial"/>
          <w:sz w:val="24"/>
          <w:szCs w:val="24"/>
          <w:lang w:val="en-US"/>
        </w:rPr>
        <w:t>.</w:t>
      </w:r>
    </w:p>
    <w:p w14:paraId="1BBC1DB4" w14:textId="77777777" w:rsidR="008C1326" w:rsidRPr="008C1326" w:rsidRDefault="008C1326" w:rsidP="008C1326">
      <w:pPr>
        <w:pStyle w:val="ListParagraph"/>
        <w:rPr>
          <w:rFonts w:ascii="Arial" w:hAnsi="Arial" w:cs="Arial"/>
          <w:sz w:val="24"/>
          <w:szCs w:val="24"/>
        </w:rPr>
      </w:pPr>
    </w:p>
    <w:p w14:paraId="1ACC4275" w14:textId="77777777" w:rsidR="00550987" w:rsidRDefault="008C1326" w:rsidP="008C1326">
      <w:pPr>
        <w:pStyle w:val="ListParagraph"/>
        <w:numPr>
          <w:ilvl w:val="0"/>
          <w:numId w:val="1"/>
        </w:numPr>
        <w:spacing w:line="360" w:lineRule="auto"/>
        <w:ind w:left="0" w:firstLine="0"/>
        <w:jc w:val="both"/>
        <w:rPr>
          <w:rFonts w:ascii="Arial" w:hAnsi="Arial" w:cs="Arial"/>
          <w:sz w:val="24"/>
          <w:szCs w:val="24"/>
        </w:rPr>
      </w:pPr>
      <w:r w:rsidRPr="008C1326">
        <w:rPr>
          <w:rFonts w:ascii="Arial" w:hAnsi="Arial" w:cs="Arial"/>
          <w:sz w:val="24"/>
          <w:szCs w:val="24"/>
        </w:rPr>
        <w:t xml:space="preserve">The nature of airport operations requires all stakeholders to </w:t>
      </w:r>
      <w:r w:rsidR="002F3EA8">
        <w:rPr>
          <w:rFonts w:ascii="Arial" w:hAnsi="Arial" w:cs="Arial"/>
          <w:sz w:val="24"/>
          <w:szCs w:val="24"/>
        </w:rPr>
        <w:t xml:space="preserve">be informed </w:t>
      </w:r>
      <w:r w:rsidRPr="008C1326">
        <w:rPr>
          <w:rFonts w:ascii="Arial" w:hAnsi="Arial" w:cs="Arial"/>
          <w:sz w:val="24"/>
          <w:szCs w:val="24"/>
        </w:rPr>
        <w:t>well in advance</w:t>
      </w:r>
      <w:r w:rsidR="00323045">
        <w:rPr>
          <w:rFonts w:ascii="Arial" w:hAnsi="Arial" w:cs="Arial"/>
          <w:sz w:val="24"/>
          <w:szCs w:val="24"/>
        </w:rPr>
        <w:t xml:space="preserve"> of </w:t>
      </w:r>
      <w:r w:rsidRPr="008C1326">
        <w:rPr>
          <w:rFonts w:ascii="Arial" w:hAnsi="Arial" w:cs="Arial"/>
          <w:sz w:val="24"/>
          <w:szCs w:val="24"/>
        </w:rPr>
        <w:t xml:space="preserve">the identity of the new service provider </w:t>
      </w:r>
      <w:r w:rsidR="00323045">
        <w:rPr>
          <w:rFonts w:ascii="Arial" w:hAnsi="Arial" w:cs="Arial"/>
          <w:sz w:val="24"/>
          <w:szCs w:val="24"/>
        </w:rPr>
        <w:t xml:space="preserve">and this led </w:t>
      </w:r>
      <w:r w:rsidR="00533082">
        <w:rPr>
          <w:rFonts w:ascii="Arial" w:hAnsi="Arial" w:cs="Arial"/>
          <w:sz w:val="24"/>
          <w:szCs w:val="24"/>
        </w:rPr>
        <w:t xml:space="preserve">to </w:t>
      </w:r>
      <w:r w:rsidRPr="008C1326">
        <w:rPr>
          <w:rFonts w:ascii="Arial" w:hAnsi="Arial" w:cs="Arial"/>
          <w:sz w:val="24"/>
          <w:szCs w:val="24"/>
        </w:rPr>
        <w:t>NAC inform</w:t>
      </w:r>
      <w:r w:rsidR="00533082">
        <w:rPr>
          <w:rFonts w:ascii="Arial" w:hAnsi="Arial" w:cs="Arial"/>
          <w:sz w:val="24"/>
          <w:szCs w:val="24"/>
        </w:rPr>
        <w:t>ing</w:t>
      </w:r>
      <w:r w:rsidRPr="008C1326">
        <w:t xml:space="preserve"> </w:t>
      </w:r>
      <w:r w:rsidRPr="008C1326">
        <w:rPr>
          <w:rFonts w:ascii="Arial" w:hAnsi="Arial" w:cs="Arial"/>
          <w:sz w:val="24"/>
          <w:szCs w:val="24"/>
        </w:rPr>
        <w:t>airlines of the new service provid</w:t>
      </w:r>
      <w:r w:rsidR="00A95BDB">
        <w:rPr>
          <w:rFonts w:ascii="Arial" w:hAnsi="Arial" w:cs="Arial"/>
          <w:sz w:val="24"/>
          <w:szCs w:val="24"/>
        </w:rPr>
        <w:t xml:space="preserve">er </w:t>
      </w:r>
      <w:r w:rsidR="00323045">
        <w:rPr>
          <w:rFonts w:ascii="Arial" w:hAnsi="Arial" w:cs="Arial"/>
          <w:sz w:val="24"/>
          <w:szCs w:val="24"/>
        </w:rPr>
        <w:t xml:space="preserve">by </w:t>
      </w:r>
      <w:r w:rsidR="00A95BDB">
        <w:rPr>
          <w:rFonts w:ascii="Arial" w:hAnsi="Arial" w:cs="Arial"/>
          <w:sz w:val="24"/>
          <w:szCs w:val="24"/>
        </w:rPr>
        <w:t xml:space="preserve">22 April 2022. </w:t>
      </w:r>
      <w:r w:rsidRPr="008C1326">
        <w:rPr>
          <w:rFonts w:ascii="Arial" w:hAnsi="Arial" w:cs="Arial"/>
          <w:sz w:val="24"/>
          <w:szCs w:val="24"/>
        </w:rPr>
        <w:t xml:space="preserve"> This was more than two months before Paragon </w:t>
      </w:r>
      <w:r w:rsidR="00323045">
        <w:rPr>
          <w:rFonts w:ascii="Arial" w:hAnsi="Arial" w:cs="Arial"/>
          <w:sz w:val="24"/>
          <w:szCs w:val="24"/>
        </w:rPr>
        <w:t>could c</w:t>
      </w:r>
      <w:r w:rsidRPr="008C1326">
        <w:rPr>
          <w:rFonts w:ascii="Arial" w:hAnsi="Arial" w:cs="Arial"/>
          <w:sz w:val="24"/>
          <w:szCs w:val="24"/>
        </w:rPr>
        <w:t xml:space="preserve">ommence </w:t>
      </w:r>
      <w:r w:rsidR="00323045">
        <w:rPr>
          <w:rFonts w:ascii="Arial" w:hAnsi="Arial" w:cs="Arial"/>
          <w:sz w:val="24"/>
          <w:szCs w:val="24"/>
        </w:rPr>
        <w:t xml:space="preserve">to render </w:t>
      </w:r>
      <w:r w:rsidRPr="008C1326">
        <w:rPr>
          <w:rFonts w:ascii="Arial" w:hAnsi="Arial" w:cs="Arial"/>
          <w:sz w:val="24"/>
          <w:szCs w:val="24"/>
        </w:rPr>
        <w:t>services at HKI</w:t>
      </w:r>
      <w:r w:rsidR="00323045">
        <w:rPr>
          <w:rFonts w:ascii="Arial" w:hAnsi="Arial" w:cs="Arial"/>
          <w:sz w:val="24"/>
          <w:szCs w:val="24"/>
        </w:rPr>
        <w:t xml:space="preserve">A. </w:t>
      </w:r>
    </w:p>
    <w:p w14:paraId="291E4198" w14:textId="77777777" w:rsidR="00550987" w:rsidRDefault="00550987" w:rsidP="00550987">
      <w:pPr>
        <w:pStyle w:val="ListParagraph"/>
        <w:spacing w:line="360" w:lineRule="auto"/>
        <w:ind w:left="0"/>
        <w:jc w:val="both"/>
        <w:rPr>
          <w:rFonts w:ascii="Arial" w:hAnsi="Arial" w:cs="Arial"/>
          <w:sz w:val="24"/>
          <w:szCs w:val="24"/>
        </w:rPr>
      </w:pPr>
    </w:p>
    <w:p w14:paraId="08C73BD0" w14:textId="77777777" w:rsidR="008C1326" w:rsidRDefault="00550987" w:rsidP="008C1326">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It was stated by NAC and Paragon that Airlines</w:t>
      </w:r>
      <w:r w:rsidR="008C1326" w:rsidRPr="008C1326">
        <w:rPr>
          <w:rFonts w:ascii="Arial" w:hAnsi="Arial" w:cs="Arial"/>
          <w:sz w:val="24"/>
          <w:szCs w:val="24"/>
        </w:rPr>
        <w:t xml:space="preserve"> enga</w:t>
      </w:r>
      <w:r w:rsidR="00323045">
        <w:rPr>
          <w:rFonts w:ascii="Arial" w:hAnsi="Arial" w:cs="Arial"/>
          <w:sz w:val="24"/>
          <w:szCs w:val="24"/>
        </w:rPr>
        <w:t xml:space="preserve">ged Paragon to ensure that </w:t>
      </w:r>
      <w:r w:rsidR="00533082">
        <w:rPr>
          <w:rFonts w:ascii="Arial" w:hAnsi="Arial" w:cs="Arial"/>
          <w:sz w:val="24"/>
          <w:szCs w:val="24"/>
        </w:rPr>
        <w:t>its</w:t>
      </w:r>
      <w:r w:rsidR="008C1326" w:rsidRPr="00550987">
        <w:rPr>
          <w:rFonts w:ascii="Arial" w:hAnsi="Arial" w:cs="Arial"/>
          <w:sz w:val="24"/>
          <w:szCs w:val="24"/>
        </w:rPr>
        <w:t xml:space="preserve"> officials undergo additional training </w:t>
      </w:r>
      <w:r w:rsidR="00A95BDB" w:rsidRPr="00550987">
        <w:rPr>
          <w:rFonts w:ascii="Arial" w:hAnsi="Arial" w:cs="Arial"/>
          <w:sz w:val="24"/>
          <w:szCs w:val="24"/>
        </w:rPr>
        <w:t>(</w:t>
      </w:r>
      <w:r w:rsidR="00323045" w:rsidRPr="00550987">
        <w:rPr>
          <w:rFonts w:ascii="Arial" w:hAnsi="Arial" w:cs="Arial"/>
          <w:sz w:val="24"/>
          <w:szCs w:val="24"/>
        </w:rPr>
        <w:t>required by some of the a</w:t>
      </w:r>
      <w:r w:rsidR="00A95BDB" w:rsidRPr="00550987">
        <w:rPr>
          <w:rFonts w:ascii="Arial" w:hAnsi="Arial" w:cs="Arial"/>
          <w:sz w:val="24"/>
          <w:szCs w:val="24"/>
        </w:rPr>
        <w:t>irlines)</w:t>
      </w:r>
      <w:r>
        <w:rPr>
          <w:rFonts w:ascii="Arial" w:hAnsi="Arial" w:cs="Arial"/>
          <w:sz w:val="24"/>
          <w:szCs w:val="24"/>
        </w:rPr>
        <w:t xml:space="preserve"> and that </w:t>
      </w:r>
      <w:r w:rsidR="008C1326" w:rsidRPr="00550987">
        <w:rPr>
          <w:rFonts w:ascii="Arial" w:hAnsi="Arial" w:cs="Arial"/>
          <w:sz w:val="24"/>
          <w:szCs w:val="24"/>
        </w:rPr>
        <w:t xml:space="preserve">Paragon </w:t>
      </w:r>
      <w:r w:rsidR="00323045" w:rsidRPr="00550987">
        <w:rPr>
          <w:rFonts w:ascii="Arial" w:hAnsi="Arial" w:cs="Arial"/>
          <w:sz w:val="24"/>
          <w:szCs w:val="24"/>
        </w:rPr>
        <w:t xml:space="preserve">further </w:t>
      </w:r>
      <w:r w:rsidR="008C1326" w:rsidRPr="00550987">
        <w:rPr>
          <w:rFonts w:ascii="Arial" w:hAnsi="Arial" w:cs="Arial"/>
          <w:sz w:val="24"/>
          <w:szCs w:val="24"/>
        </w:rPr>
        <w:t>procures the necessary equipment to serv</w:t>
      </w:r>
      <w:r w:rsidR="00A95BDB" w:rsidRPr="00550987">
        <w:rPr>
          <w:rFonts w:ascii="Arial" w:hAnsi="Arial" w:cs="Arial"/>
          <w:sz w:val="24"/>
          <w:szCs w:val="24"/>
        </w:rPr>
        <w:t>ice each airline’s aircrafts.</w:t>
      </w:r>
      <w:r w:rsidR="00A95BDB" w:rsidRPr="00247D00">
        <w:rPr>
          <w:rFonts w:ascii="Arial" w:hAnsi="Arial" w:cs="Arial"/>
          <w:b/>
          <w:sz w:val="24"/>
          <w:szCs w:val="24"/>
        </w:rPr>
        <w:t xml:space="preserve"> </w:t>
      </w:r>
    </w:p>
    <w:p w14:paraId="5E4E5B00" w14:textId="77777777" w:rsidR="00A95BDB" w:rsidRDefault="00A95BDB" w:rsidP="00A95BDB">
      <w:pPr>
        <w:pStyle w:val="ListParagraph"/>
        <w:spacing w:line="360" w:lineRule="auto"/>
        <w:ind w:left="0"/>
        <w:jc w:val="both"/>
        <w:rPr>
          <w:rFonts w:ascii="Arial" w:hAnsi="Arial" w:cs="Arial"/>
          <w:sz w:val="24"/>
          <w:szCs w:val="24"/>
        </w:rPr>
      </w:pPr>
    </w:p>
    <w:p w14:paraId="7F05F0EE" w14:textId="77777777" w:rsidR="009A4FEC" w:rsidRPr="00B5398D" w:rsidRDefault="00B5398D" w:rsidP="00D53A00">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lastRenderedPageBreak/>
        <w:t>T</w:t>
      </w:r>
      <w:r w:rsidR="00A847D0">
        <w:rPr>
          <w:rFonts w:ascii="Arial" w:hAnsi="Arial" w:cs="Arial"/>
          <w:sz w:val="24"/>
          <w:szCs w:val="24"/>
        </w:rPr>
        <w:t xml:space="preserve">he refusal by Menzies to make undertakings to comply with the agreement and to vacate HKIA on 30 June 2022 demonstrated to NAC that Menzies </w:t>
      </w:r>
      <w:r w:rsidR="00A847D0" w:rsidRPr="00550987">
        <w:rPr>
          <w:rFonts w:ascii="Arial" w:hAnsi="Arial" w:cs="Arial"/>
          <w:sz w:val="24"/>
          <w:szCs w:val="24"/>
        </w:rPr>
        <w:t>had no intention to vacate HKIA by 30 June 2022</w:t>
      </w:r>
      <w:r w:rsidR="00EF160C">
        <w:rPr>
          <w:rFonts w:ascii="Arial" w:hAnsi="Arial" w:cs="Arial"/>
          <w:sz w:val="24"/>
          <w:szCs w:val="24"/>
        </w:rPr>
        <w:t>, so NAC claims</w:t>
      </w:r>
      <w:r w:rsidR="00A847D0" w:rsidRPr="00550987">
        <w:rPr>
          <w:rFonts w:ascii="Arial" w:hAnsi="Arial" w:cs="Arial"/>
          <w:sz w:val="24"/>
          <w:szCs w:val="24"/>
        </w:rPr>
        <w:t xml:space="preserve">. The refusal further </w:t>
      </w:r>
      <w:r w:rsidR="00AC14AB" w:rsidRPr="00550987">
        <w:rPr>
          <w:rFonts w:ascii="Arial" w:hAnsi="Arial" w:cs="Arial"/>
          <w:sz w:val="24"/>
          <w:szCs w:val="24"/>
        </w:rPr>
        <w:t>showed</w:t>
      </w:r>
      <w:r w:rsidR="009A4FEC" w:rsidRPr="00550987">
        <w:rPr>
          <w:rFonts w:ascii="Arial" w:hAnsi="Arial" w:cs="Arial"/>
          <w:sz w:val="24"/>
          <w:szCs w:val="24"/>
        </w:rPr>
        <w:t xml:space="preserve"> a desire to hamper the smooth transition of ground handling services to Paragon</w:t>
      </w:r>
      <w:r w:rsidR="00A847D0" w:rsidRPr="00550987">
        <w:rPr>
          <w:rFonts w:ascii="Arial" w:hAnsi="Arial" w:cs="Arial"/>
          <w:sz w:val="24"/>
          <w:szCs w:val="24"/>
        </w:rPr>
        <w:t xml:space="preserve"> on 30 June 2022.</w:t>
      </w:r>
    </w:p>
    <w:p w14:paraId="21F8C3D0" w14:textId="77777777" w:rsidR="00B5398D" w:rsidRPr="00B5398D" w:rsidRDefault="00B5398D" w:rsidP="00B5398D">
      <w:pPr>
        <w:pStyle w:val="ListParagraph"/>
        <w:rPr>
          <w:rFonts w:ascii="Arial" w:hAnsi="Arial" w:cs="Arial"/>
          <w:sz w:val="24"/>
          <w:szCs w:val="24"/>
        </w:rPr>
      </w:pPr>
    </w:p>
    <w:p w14:paraId="5F7CC506" w14:textId="77777777" w:rsidR="00B5398D" w:rsidRDefault="00B5398D" w:rsidP="00D53A00">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It is in the premises of the stand</w:t>
      </w:r>
      <w:r w:rsidR="008C3C4C">
        <w:rPr>
          <w:rFonts w:ascii="Arial" w:hAnsi="Arial" w:cs="Arial"/>
          <w:sz w:val="24"/>
          <w:szCs w:val="24"/>
        </w:rPr>
        <w:t>-</w:t>
      </w:r>
      <w:r>
        <w:rPr>
          <w:rFonts w:ascii="Arial" w:hAnsi="Arial" w:cs="Arial"/>
          <w:sz w:val="24"/>
          <w:szCs w:val="24"/>
        </w:rPr>
        <w:t>off between NAC and Menzies</w:t>
      </w:r>
      <w:r w:rsidR="008C3C4C">
        <w:rPr>
          <w:rFonts w:ascii="Arial" w:hAnsi="Arial" w:cs="Arial"/>
          <w:sz w:val="24"/>
          <w:szCs w:val="24"/>
        </w:rPr>
        <w:t>,</w:t>
      </w:r>
      <w:r>
        <w:rPr>
          <w:rFonts w:ascii="Arial" w:hAnsi="Arial" w:cs="Arial"/>
          <w:sz w:val="24"/>
          <w:szCs w:val="24"/>
        </w:rPr>
        <w:t xml:space="preserve"> that NAC approached t</w:t>
      </w:r>
      <w:r w:rsidR="008C3C4C">
        <w:rPr>
          <w:rFonts w:ascii="Arial" w:hAnsi="Arial" w:cs="Arial"/>
          <w:sz w:val="24"/>
          <w:szCs w:val="24"/>
        </w:rPr>
        <w:t>his court on an urgent basis</w:t>
      </w:r>
      <w:r>
        <w:rPr>
          <w:rFonts w:ascii="Arial" w:hAnsi="Arial" w:cs="Arial"/>
          <w:sz w:val="24"/>
          <w:szCs w:val="24"/>
        </w:rPr>
        <w:t xml:space="preserve"> seek</w:t>
      </w:r>
      <w:r w:rsidR="008C3C4C">
        <w:rPr>
          <w:rFonts w:ascii="Arial" w:hAnsi="Arial" w:cs="Arial"/>
          <w:sz w:val="24"/>
          <w:szCs w:val="24"/>
        </w:rPr>
        <w:t>ing</w:t>
      </w:r>
      <w:r>
        <w:rPr>
          <w:rFonts w:ascii="Arial" w:hAnsi="Arial" w:cs="Arial"/>
          <w:sz w:val="24"/>
          <w:szCs w:val="24"/>
        </w:rPr>
        <w:t xml:space="preserve"> the following relief:</w:t>
      </w:r>
    </w:p>
    <w:p w14:paraId="509F5570" w14:textId="77777777" w:rsidR="00B5398D" w:rsidRPr="00B5398D" w:rsidRDefault="00B5398D" w:rsidP="00B5398D">
      <w:pPr>
        <w:pStyle w:val="ListParagraph"/>
        <w:rPr>
          <w:rFonts w:ascii="Arial" w:hAnsi="Arial" w:cs="Arial"/>
          <w:sz w:val="24"/>
          <w:szCs w:val="24"/>
        </w:rPr>
      </w:pPr>
    </w:p>
    <w:p w14:paraId="0B9D96DD" w14:textId="77777777" w:rsidR="00B5398D" w:rsidRPr="0018241B" w:rsidRDefault="00B5398D" w:rsidP="008C00EF">
      <w:pPr>
        <w:spacing w:line="360" w:lineRule="auto"/>
        <w:ind w:firstLine="720"/>
        <w:jc w:val="both"/>
        <w:rPr>
          <w:rFonts w:ascii="Arial" w:hAnsi="Arial" w:cs="Arial"/>
        </w:rPr>
      </w:pPr>
      <w:r w:rsidRPr="0018241B">
        <w:rPr>
          <w:rFonts w:ascii="Arial" w:hAnsi="Arial" w:cs="Arial"/>
        </w:rPr>
        <w:t>‘</w:t>
      </w:r>
      <w:r w:rsidR="008C00EF" w:rsidRPr="0018241B">
        <w:rPr>
          <w:rFonts w:ascii="Arial" w:hAnsi="Arial" w:cs="Arial"/>
        </w:rPr>
        <w:t>1. Condoning the applicant’s non-compliance with the rules of Court in so far as it relates to the forms and service of the application in terms of rule 73(</w:t>
      </w:r>
      <w:proofErr w:type="gramStart"/>
      <w:r w:rsidR="008C00EF" w:rsidRPr="0018241B">
        <w:rPr>
          <w:rFonts w:ascii="Arial" w:hAnsi="Arial" w:cs="Arial"/>
        </w:rPr>
        <w:t>3)…</w:t>
      </w:r>
      <w:proofErr w:type="gramEnd"/>
      <w:r w:rsidR="008C00EF" w:rsidRPr="0018241B">
        <w:rPr>
          <w:rFonts w:ascii="Arial" w:hAnsi="Arial" w:cs="Arial"/>
        </w:rPr>
        <w:t xml:space="preserve"> and directing that the matter be heard as one of urgency.</w:t>
      </w:r>
    </w:p>
    <w:p w14:paraId="37B14259" w14:textId="77777777" w:rsidR="008C00EF" w:rsidRPr="0018241B" w:rsidRDefault="000239E3" w:rsidP="008C00EF">
      <w:pPr>
        <w:spacing w:line="360" w:lineRule="auto"/>
        <w:jc w:val="both"/>
        <w:rPr>
          <w:rFonts w:ascii="Arial" w:hAnsi="Arial" w:cs="Arial"/>
        </w:rPr>
      </w:pPr>
      <w:r w:rsidRPr="0018241B">
        <w:rPr>
          <w:rFonts w:ascii="Arial" w:hAnsi="Arial" w:cs="Arial"/>
        </w:rPr>
        <w:t>2.</w:t>
      </w:r>
      <w:r w:rsidRPr="0018241B">
        <w:rPr>
          <w:rFonts w:ascii="Arial" w:hAnsi="Arial" w:cs="Arial"/>
        </w:rPr>
        <w:tab/>
        <w:t xml:space="preserve">Directing that the agreement </w:t>
      </w:r>
      <w:proofErr w:type="gramStart"/>
      <w:r w:rsidRPr="0018241B">
        <w:rPr>
          <w:rFonts w:ascii="Arial" w:hAnsi="Arial" w:cs="Arial"/>
        </w:rPr>
        <w:t>entered into</w:t>
      </w:r>
      <w:proofErr w:type="gramEnd"/>
      <w:r w:rsidRPr="0018241B">
        <w:rPr>
          <w:rFonts w:ascii="Arial" w:hAnsi="Arial" w:cs="Arial"/>
        </w:rPr>
        <w:t xml:space="preserve"> between the applicant and first respondent in terms of which the first respondent rendered ground handling services at the Hosea </w:t>
      </w:r>
      <w:proofErr w:type="spellStart"/>
      <w:r w:rsidRPr="0018241B">
        <w:rPr>
          <w:rFonts w:ascii="Arial" w:hAnsi="Arial" w:cs="Arial"/>
        </w:rPr>
        <w:t>Kutako</w:t>
      </w:r>
      <w:proofErr w:type="spellEnd"/>
      <w:r w:rsidRPr="0018241B">
        <w:rPr>
          <w:rFonts w:ascii="Arial" w:hAnsi="Arial" w:cs="Arial"/>
        </w:rPr>
        <w:t xml:space="preserve"> International Airport (“HKIA”) shall terminate on 30 June 2022 (“the termination date”).</w:t>
      </w:r>
    </w:p>
    <w:p w14:paraId="264B34AA" w14:textId="77777777" w:rsidR="000239E3" w:rsidRPr="0018241B" w:rsidRDefault="000239E3" w:rsidP="008C00EF">
      <w:pPr>
        <w:spacing w:line="360" w:lineRule="auto"/>
        <w:jc w:val="both"/>
        <w:rPr>
          <w:rFonts w:ascii="Arial" w:hAnsi="Arial" w:cs="Arial"/>
        </w:rPr>
      </w:pPr>
      <w:r w:rsidRPr="0018241B">
        <w:rPr>
          <w:rFonts w:ascii="Arial" w:hAnsi="Arial" w:cs="Arial"/>
        </w:rPr>
        <w:t>3.</w:t>
      </w:r>
      <w:r w:rsidRPr="0018241B">
        <w:rPr>
          <w:rFonts w:ascii="Arial" w:hAnsi="Arial" w:cs="Arial"/>
        </w:rPr>
        <w:tab/>
        <w:t>Declaring that the first respondent shall be obliged at the end of the day on the termination date:</w:t>
      </w:r>
    </w:p>
    <w:p w14:paraId="2E30198D" w14:textId="77777777" w:rsidR="000239E3" w:rsidRPr="0018241B" w:rsidRDefault="000239E3" w:rsidP="008C00EF">
      <w:pPr>
        <w:spacing w:line="360" w:lineRule="auto"/>
        <w:jc w:val="both"/>
        <w:rPr>
          <w:rFonts w:ascii="Arial" w:hAnsi="Arial" w:cs="Arial"/>
        </w:rPr>
      </w:pPr>
      <w:r w:rsidRPr="0018241B">
        <w:rPr>
          <w:rFonts w:ascii="Arial" w:hAnsi="Arial" w:cs="Arial"/>
        </w:rPr>
        <w:t>3.1</w:t>
      </w:r>
      <w:r w:rsidRPr="0018241B">
        <w:rPr>
          <w:rFonts w:ascii="Arial" w:hAnsi="Arial" w:cs="Arial"/>
        </w:rPr>
        <w:tab/>
        <w:t xml:space="preserve">To cease providing all services at </w:t>
      </w:r>
      <w:proofErr w:type="gramStart"/>
      <w:r w:rsidRPr="0018241B">
        <w:rPr>
          <w:rFonts w:ascii="Arial" w:hAnsi="Arial" w:cs="Arial"/>
        </w:rPr>
        <w:t>HKIA;</w:t>
      </w:r>
      <w:proofErr w:type="gramEnd"/>
    </w:p>
    <w:p w14:paraId="06510E1E" w14:textId="77777777" w:rsidR="000239E3" w:rsidRPr="0018241B" w:rsidRDefault="000239E3" w:rsidP="008C00EF">
      <w:pPr>
        <w:spacing w:line="360" w:lineRule="auto"/>
        <w:jc w:val="both"/>
        <w:rPr>
          <w:rFonts w:ascii="Arial" w:hAnsi="Arial" w:cs="Arial"/>
        </w:rPr>
      </w:pPr>
      <w:r w:rsidRPr="0018241B">
        <w:rPr>
          <w:rFonts w:ascii="Arial" w:hAnsi="Arial" w:cs="Arial"/>
        </w:rPr>
        <w:t>3.2</w:t>
      </w:r>
      <w:r w:rsidRPr="0018241B">
        <w:rPr>
          <w:rFonts w:ascii="Arial" w:hAnsi="Arial" w:cs="Arial"/>
        </w:rPr>
        <w:tab/>
        <w:t>To vacate occupation of any premises at HKIA; and</w:t>
      </w:r>
    </w:p>
    <w:p w14:paraId="6E974AD8" w14:textId="77777777" w:rsidR="000239E3" w:rsidRPr="0018241B" w:rsidRDefault="000239E3" w:rsidP="008C00EF">
      <w:pPr>
        <w:spacing w:line="360" w:lineRule="auto"/>
        <w:jc w:val="both"/>
        <w:rPr>
          <w:rFonts w:ascii="Arial" w:hAnsi="Arial" w:cs="Arial"/>
        </w:rPr>
      </w:pPr>
      <w:r w:rsidRPr="0018241B">
        <w:rPr>
          <w:rFonts w:ascii="Arial" w:hAnsi="Arial" w:cs="Arial"/>
        </w:rPr>
        <w:t>3.3</w:t>
      </w:r>
      <w:r w:rsidRPr="0018241B">
        <w:rPr>
          <w:rFonts w:ascii="Arial" w:hAnsi="Arial" w:cs="Arial"/>
        </w:rPr>
        <w:tab/>
        <w:t>To hand up all security access card or other access equipment entitling it to access to HKIA or any premises which it occupied at HKIA by virtue of the agreement with the applicant which shall terminate on the termination date.</w:t>
      </w:r>
    </w:p>
    <w:p w14:paraId="3D1F3848" w14:textId="77777777" w:rsidR="000239E3" w:rsidRPr="0018241B" w:rsidRDefault="000239E3" w:rsidP="008C00EF">
      <w:pPr>
        <w:spacing w:line="360" w:lineRule="auto"/>
        <w:jc w:val="both"/>
        <w:rPr>
          <w:rFonts w:ascii="Arial" w:hAnsi="Arial" w:cs="Arial"/>
        </w:rPr>
      </w:pPr>
      <w:r w:rsidRPr="0018241B">
        <w:rPr>
          <w:rFonts w:ascii="Arial" w:hAnsi="Arial" w:cs="Arial"/>
        </w:rPr>
        <w:t>4.</w:t>
      </w:r>
      <w:r w:rsidRPr="0018241B">
        <w:rPr>
          <w:rFonts w:ascii="Arial" w:hAnsi="Arial" w:cs="Arial"/>
        </w:rPr>
        <w:tab/>
      </w:r>
      <w:proofErr w:type="gramStart"/>
      <w:r w:rsidRPr="0018241B">
        <w:rPr>
          <w:rFonts w:ascii="Arial" w:hAnsi="Arial" w:cs="Arial"/>
        </w:rPr>
        <w:t>In the event that</w:t>
      </w:r>
      <w:proofErr w:type="gramEnd"/>
      <w:r w:rsidRPr="0018241B">
        <w:rPr>
          <w:rFonts w:ascii="Arial" w:hAnsi="Arial" w:cs="Arial"/>
        </w:rPr>
        <w:t xml:space="preserve"> the first respondent refuses to give effect to the order in paragraph 3 above, directing the Deputy Sheriff of the Honourable Court, alternatively any member of the Namibian Police Force who is furnished with a copy of the order:</w:t>
      </w:r>
    </w:p>
    <w:p w14:paraId="71BEE6B7" w14:textId="77777777" w:rsidR="000239E3" w:rsidRPr="0018241B" w:rsidRDefault="000239E3" w:rsidP="008C00EF">
      <w:pPr>
        <w:spacing w:line="360" w:lineRule="auto"/>
        <w:jc w:val="both"/>
        <w:rPr>
          <w:rFonts w:ascii="Arial" w:hAnsi="Arial" w:cs="Arial"/>
        </w:rPr>
      </w:pPr>
      <w:r w:rsidRPr="0018241B">
        <w:rPr>
          <w:rFonts w:ascii="Arial" w:hAnsi="Arial" w:cs="Arial"/>
        </w:rPr>
        <w:t>4.1</w:t>
      </w:r>
      <w:r w:rsidRPr="0018241B">
        <w:rPr>
          <w:rFonts w:ascii="Arial" w:hAnsi="Arial" w:cs="Arial"/>
        </w:rPr>
        <w:tab/>
        <w:t xml:space="preserve">To evict the first respondent from HKIA and from all premises occupied by the first respondent by virtue of the agreement that will terminate; and </w:t>
      </w:r>
    </w:p>
    <w:p w14:paraId="43A5DC0A" w14:textId="77777777" w:rsidR="000239E3" w:rsidRPr="0018241B" w:rsidRDefault="000239E3" w:rsidP="008C00EF">
      <w:pPr>
        <w:spacing w:line="360" w:lineRule="auto"/>
        <w:jc w:val="both"/>
        <w:rPr>
          <w:rFonts w:ascii="Arial" w:hAnsi="Arial" w:cs="Arial"/>
        </w:rPr>
      </w:pPr>
      <w:r w:rsidRPr="0018241B">
        <w:rPr>
          <w:rFonts w:ascii="Arial" w:hAnsi="Arial" w:cs="Arial"/>
        </w:rPr>
        <w:t>4.2</w:t>
      </w:r>
      <w:r w:rsidRPr="0018241B">
        <w:rPr>
          <w:rFonts w:ascii="Arial" w:hAnsi="Arial" w:cs="Arial"/>
        </w:rPr>
        <w:tab/>
        <w:t>Removing all equipment belonging to the first respondent at the HKIA and any other premises occupied by it under the agreement with the applicant.</w:t>
      </w:r>
    </w:p>
    <w:p w14:paraId="4CF7324A" w14:textId="77777777" w:rsidR="000239E3" w:rsidRPr="0018241B" w:rsidRDefault="000239E3" w:rsidP="008C00EF">
      <w:pPr>
        <w:spacing w:line="360" w:lineRule="auto"/>
        <w:jc w:val="both"/>
        <w:rPr>
          <w:rFonts w:ascii="Arial" w:hAnsi="Arial" w:cs="Arial"/>
        </w:rPr>
      </w:pPr>
      <w:r w:rsidRPr="0018241B">
        <w:rPr>
          <w:rFonts w:ascii="Arial" w:hAnsi="Arial" w:cs="Arial"/>
        </w:rPr>
        <w:t>5.</w:t>
      </w:r>
      <w:r w:rsidRPr="0018241B">
        <w:rPr>
          <w:rFonts w:ascii="Arial" w:hAnsi="Arial" w:cs="Arial"/>
        </w:rPr>
        <w:tab/>
        <w:t xml:space="preserve">Directing the first respondent to take all steps necessary to enable the second respondent to commence and render ground handling services and other services at HKIA which were the subject matter of the concession </w:t>
      </w:r>
      <w:r w:rsidR="004F391C" w:rsidRPr="0018241B">
        <w:rPr>
          <w:rFonts w:ascii="Arial" w:hAnsi="Arial" w:cs="Arial"/>
        </w:rPr>
        <w:t>awarded to the second respondent.</w:t>
      </w:r>
    </w:p>
    <w:p w14:paraId="425125BD" w14:textId="77777777" w:rsidR="000239E3" w:rsidRDefault="004F391C" w:rsidP="008C00EF">
      <w:pPr>
        <w:spacing w:line="360" w:lineRule="auto"/>
        <w:jc w:val="both"/>
        <w:rPr>
          <w:rFonts w:ascii="Arial" w:hAnsi="Arial" w:cs="Arial"/>
        </w:rPr>
      </w:pPr>
      <w:r w:rsidRPr="0018241B">
        <w:rPr>
          <w:rFonts w:ascii="Arial" w:hAnsi="Arial" w:cs="Arial"/>
        </w:rPr>
        <w:lastRenderedPageBreak/>
        <w:t>6. Costs of suit, including costs of two instructed coun</w:t>
      </w:r>
      <w:r w:rsidR="0018241B" w:rsidRPr="0018241B">
        <w:rPr>
          <w:rFonts w:ascii="Arial" w:hAnsi="Arial" w:cs="Arial"/>
        </w:rPr>
        <w:t>sel and one instructing counsel.’</w:t>
      </w:r>
    </w:p>
    <w:p w14:paraId="3E2189DE" w14:textId="77777777" w:rsidR="00CA2074" w:rsidRPr="00CA2074" w:rsidRDefault="00CA2074" w:rsidP="008C00EF">
      <w:pPr>
        <w:spacing w:line="360" w:lineRule="auto"/>
        <w:jc w:val="both"/>
        <w:rPr>
          <w:rFonts w:ascii="Arial" w:hAnsi="Arial" w:cs="Arial"/>
        </w:rPr>
      </w:pPr>
    </w:p>
    <w:p w14:paraId="27B2EB0F" w14:textId="77777777" w:rsidR="00AD78ED" w:rsidRPr="00AD78ED" w:rsidRDefault="00855EDB" w:rsidP="0061384F">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lang w:val="en-US"/>
        </w:rPr>
        <w:t>Menzies then</w:t>
      </w:r>
      <w:r w:rsidR="002666D9">
        <w:rPr>
          <w:rFonts w:ascii="Arial" w:hAnsi="Arial" w:cs="Arial"/>
          <w:sz w:val="24"/>
          <w:szCs w:val="24"/>
          <w:lang w:val="en-US"/>
        </w:rPr>
        <w:t xml:space="preserve"> filed a </w:t>
      </w:r>
      <w:proofErr w:type="gramStart"/>
      <w:r w:rsidR="002666D9">
        <w:rPr>
          <w:rFonts w:ascii="Arial" w:hAnsi="Arial" w:cs="Arial"/>
          <w:sz w:val="24"/>
          <w:szCs w:val="24"/>
          <w:lang w:val="en-US"/>
        </w:rPr>
        <w:t>counter-application</w:t>
      </w:r>
      <w:proofErr w:type="gramEnd"/>
      <w:r w:rsidR="002666D9">
        <w:rPr>
          <w:rFonts w:ascii="Arial" w:hAnsi="Arial" w:cs="Arial"/>
          <w:sz w:val="24"/>
          <w:szCs w:val="24"/>
          <w:lang w:val="en-US"/>
        </w:rPr>
        <w:t xml:space="preserve"> for setting aside the award to Paragon and in the alternative </w:t>
      </w:r>
      <w:r>
        <w:rPr>
          <w:rFonts w:ascii="Arial" w:hAnsi="Arial" w:cs="Arial"/>
          <w:sz w:val="24"/>
          <w:szCs w:val="24"/>
          <w:lang w:val="en-US"/>
        </w:rPr>
        <w:t>sought</w:t>
      </w:r>
      <w:r w:rsidR="002666D9">
        <w:rPr>
          <w:rFonts w:ascii="Arial" w:hAnsi="Arial" w:cs="Arial"/>
          <w:sz w:val="24"/>
          <w:szCs w:val="24"/>
          <w:lang w:val="en-US"/>
        </w:rPr>
        <w:t xml:space="preserve"> an interim interdict pending finalization of the review application instituted by Menzies under case number HC-MD-CIV-MOT-REV-2022/00155</w:t>
      </w:r>
      <w:r w:rsidR="005545E3">
        <w:rPr>
          <w:rFonts w:ascii="Arial" w:hAnsi="Arial" w:cs="Arial"/>
          <w:sz w:val="24"/>
          <w:szCs w:val="24"/>
          <w:lang w:val="en-US"/>
        </w:rPr>
        <w:t xml:space="preserve">. In the further alternative, Menzies </w:t>
      </w:r>
      <w:r w:rsidR="00B14871">
        <w:rPr>
          <w:rFonts w:ascii="Arial" w:hAnsi="Arial" w:cs="Arial"/>
          <w:sz w:val="24"/>
          <w:szCs w:val="24"/>
          <w:lang w:val="en-US"/>
        </w:rPr>
        <w:t xml:space="preserve">in its </w:t>
      </w:r>
      <w:proofErr w:type="gramStart"/>
      <w:r w:rsidR="00B14871">
        <w:rPr>
          <w:rFonts w:ascii="Arial" w:hAnsi="Arial" w:cs="Arial"/>
          <w:sz w:val="24"/>
          <w:szCs w:val="24"/>
          <w:lang w:val="en-US"/>
        </w:rPr>
        <w:t>counter-application</w:t>
      </w:r>
      <w:proofErr w:type="gramEnd"/>
      <w:r w:rsidR="00B14871">
        <w:rPr>
          <w:rFonts w:ascii="Arial" w:hAnsi="Arial" w:cs="Arial"/>
          <w:sz w:val="24"/>
          <w:szCs w:val="24"/>
          <w:lang w:val="en-US"/>
        </w:rPr>
        <w:t xml:space="preserve"> </w:t>
      </w:r>
      <w:r w:rsidR="005545E3">
        <w:rPr>
          <w:rFonts w:ascii="Arial" w:hAnsi="Arial" w:cs="Arial"/>
          <w:sz w:val="24"/>
          <w:szCs w:val="24"/>
          <w:lang w:val="en-US"/>
        </w:rPr>
        <w:t xml:space="preserve">seeks a stay of the applicant’s declaratory relief and the eviction application. </w:t>
      </w:r>
    </w:p>
    <w:p w14:paraId="15F05706" w14:textId="77777777" w:rsidR="00AD78ED" w:rsidRPr="00AD78ED" w:rsidRDefault="00AD78ED" w:rsidP="00AD78ED">
      <w:pPr>
        <w:pStyle w:val="ListParagraph"/>
        <w:spacing w:line="360" w:lineRule="auto"/>
        <w:ind w:left="0"/>
        <w:jc w:val="both"/>
        <w:rPr>
          <w:rFonts w:ascii="Arial" w:hAnsi="Arial" w:cs="Arial"/>
          <w:sz w:val="24"/>
          <w:szCs w:val="24"/>
        </w:rPr>
      </w:pPr>
    </w:p>
    <w:p w14:paraId="404739FA" w14:textId="77777777" w:rsidR="00AD78ED" w:rsidRDefault="002666D9" w:rsidP="00AD78ED">
      <w:pPr>
        <w:pStyle w:val="ListParagraph"/>
        <w:spacing w:line="360" w:lineRule="auto"/>
        <w:ind w:left="0"/>
        <w:jc w:val="both"/>
        <w:rPr>
          <w:rFonts w:ascii="Arial" w:hAnsi="Arial" w:cs="Arial"/>
          <w:sz w:val="24"/>
          <w:szCs w:val="24"/>
        </w:rPr>
      </w:pPr>
      <w:r w:rsidRPr="00AD78ED">
        <w:rPr>
          <w:rFonts w:ascii="Arial" w:hAnsi="Arial" w:cs="Arial"/>
          <w:sz w:val="24"/>
          <w:szCs w:val="24"/>
          <w:u w:val="single"/>
          <w:lang w:val="en-US"/>
        </w:rPr>
        <w:t>Applicant’s case and argument</w:t>
      </w:r>
    </w:p>
    <w:p w14:paraId="0787F986" w14:textId="77777777" w:rsidR="00AD78ED" w:rsidRPr="00AD78ED" w:rsidRDefault="00AD78ED" w:rsidP="00AD78ED">
      <w:pPr>
        <w:pStyle w:val="ListParagraph"/>
        <w:rPr>
          <w:rFonts w:ascii="Arial" w:hAnsi="Arial" w:cs="Arial"/>
          <w:sz w:val="24"/>
          <w:szCs w:val="24"/>
          <w:lang w:val="en-US"/>
        </w:rPr>
      </w:pPr>
    </w:p>
    <w:p w14:paraId="067C4B05" w14:textId="77777777" w:rsidR="00D31945" w:rsidRPr="00AD78ED" w:rsidRDefault="00D53A00" w:rsidP="00AD78ED">
      <w:pPr>
        <w:pStyle w:val="ListParagraph"/>
        <w:numPr>
          <w:ilvl w:val="0"/>
          <w:numId w:val="1"/>
        </w:numPr>
        <w:spacing w:line="360" w:lineRule="auto"/>
        <w:ind w:left="0" w:firstLine="0"/>
        <w:jc w:val="both"/>
        <w:rPr>
          <w:rFonts w:ascii="Arial" w:hAnsi="Arial" w:cs="Arial"/>
          <w:sz w:val="24"/>
          <w:szCs w:val="24"/>
        </w:rPr>
      </w:pPr>
      <w:proofErr w:type="spellStart"/>
      <w:r w:rsidRPr="00AD78ED">
        <w:rPr>
          <w:rFonts w:ascii="Arial" w:hAnsi="Arial" w:cs="Arial"/>
          <w:sz w:val="24"/>
          <w:szCs w:val="24"/>
          <w:lang w:val="en-US"/>
        </w:rPr>
        <w:t>Mr</w:t>
      </w:r>
      <w:proofErr w:type="spellEnd"/>
      <w:r w:rsidR="00A95BDB" w:rsidRPr="00AD78ED">
        <w:rPr>
          <w:rFonts w:ascii="Arial" w:hAnsi="Arial" w:cs="Arial"/>
          <w:sz w:val="24"/>
          <w:szCs w:val="24"/>
          <w:lang w:val="en-US"/>
        </w:rPr>
        <w:t xml:space="preserve"> </w:t>
      </w:r>
      <w:proofErr w:type="spellStart"/>
      <w:r w:rsidR="00A95BDB" w:rsidRPr="00AD78ED">
        <w:rPr>
          <w:rFonts w:ascii="Arial" w:hAnsi="Arial" w:cs="Arial"/>
          <w:sz w:val="24"/>
          <w:szCs w:val="24"/>
          <w:lang w:val="en-US"/>
        </w:rPr>
        <w:t>B</w:t>
      </w:r>
      <w:r w:rsidR="003415FC" w:rsidRPr="00AD78ED">
        <w:rPr>
          <w:rFonts w:ascii="Arial" w:hAnsi="Arial" w:cs="Arial"/>
          <w:sz w:val="24"/>
          <w:szCs w:val="24"/>
          <w:lang w:val="en-US"/>
        </w:rPr>
        <w:t>h</w:t>
      </w:r>
      <w:r w:rsidR="00AC14AB" w:rsidRPr="00AD78ED">
        <w:rPr>
          <w:rFonts w:ascii="Arial" w:hAnsi="Arial" w:cs="Arial"/>
          <w:sz w:val="24"/>
          <w:szCs w:val="24"/>
          <w:lang w:val="en-US"/>
        </w:rPr>
        <w:t>ana</w:t>
      </w:r>
      <w:proofErr w:type="spellEnd"/>
      <w:r w:rsidR="00AC14AB" w:rsidRPr="00AD78ED">
        <w:rPr>
          <w:rFonts w:ascii="Arial" w:hAnsi="Arial" w:cs="Arial"/>
          <w:sz w:val="24"/>
          <w:szCs w:val="24"/>
          <w:lang w:val="en-US"/>
        </w:rPr>
        <w:t xml:space="preserve"> </w:t>
      </w:r>
      <w:r w:rsidR="00A95BDB" w:rsidRPr="00AD78ED">
        <w:rPr>
          <w:rFonts w:ascii="Arial" w:hAnsi="Arial" w:cs="Arial"/>
          <w:sz w:val="24"/>
          <w:szCs w:val="24"/>
          <w:lang w:val="en-US"/>
        </w:rPr>
        <w:t xml:space="preserve">argued that </w:t>
      </w:r>
      <w:r w:rsidR="00A95BDB" w:rsidRPr="00AD78ED">
        <w:rPr>
          <w:rFonts w:ascii="Arial" w:hAnsi="Arial" w:cs="Arial"/>
          <w:sz w:val="24"/>
          <w:szCs w:val="24"/>
        </w:rPr>
        <w:t>Menzies’ r</w:t>
      </w:r>
      <w:r w:rsidR="00AC14AB" w:rsidRPr="00AD78ED">
        <w:rPr>
          <w:rFonts w:ascii="Arial" w:hAnsi="Arial" w:cs="Arial"/>
          <w:sz w:val="24"/>
          <w:szCs w:val="24"/>
        </w:rPr>
        <w:t xml:space="preserve">efusal to provide </w:t>
      </w:r>
      <w:r w:rsidR="00605E5A" w:rsidRPr="00AD78ED">
        <w:rPr>
          <w:rFonts w:ascii="Arial" w:hAnsi="Arial" w:cs="Arial"/>
          <w:sz w:val="24"/>
          <w:szCs w:val="24"/>
        </w:rPr>
        <w:t xml:space="preserve">the </w:t>
      </w:r>
      <w:r w:rsidR="00AC14AB" w:rsidRPr="00AD78ED">
        <w:rPr>
          <w:rFonts w:ascii="Arial" w:hAnsi="Arial" w:cs="Arial"/>
          <w:sz w:val="24"/>
          <w:szCs w:val="24"/>
        </w:rPr>
        <w:t xml:space="preserve">requisite undertakings was an indication that </w:t>
      </w:r>
      <w:r w:rsidR="00605E5A" w:rsidRPr="00AD78ED">
        <w:rPr>
          <w:rFonts w:ascii="Arial" w:hAnsi="Arial" w:cs="Arial"/>
          <w:sz w:val="24"/>
          <w:szCs w:val="24"/>
        </w:rPr>
        <w:t xml:space="preserve">it </w:t>
      </w:r>
      <w:r w:rsidR="00AC14AB" w:rsidRPr="00AD78ED">
        <w:rPr>
          <w:rFonts w:ascii="Arial" w:hAnsi="Arial" w:cs="Arial"/>
          <w:sz w:val="24"/>
          <w:szCs w:val="24"/>
        </w:rPr>
        <w:t xml:space="preserve">intended </w:t>
      </w:r>
      <w:r w:rsidR="00605E5A" w:rsidRPr="00AD78ED">
        <w:rPr>
          <w:rFonts w:ascii="Arial" w:hAnsi="Arial" w:cs="Arial"/>
          <w:sz w:val="24"/>
          <w:szCs w:val="24"/>
        </w:rPr>
        <w:t xml:space="preserve">to </w:t>
      </w:r>
      <w:r w:rsidR="00A95BDB" w:rsidRPr="00AD78ED">
        <w:rPr>
          <w:rFonts w:ascii="Arial" w:hAnsi="Arial" w:cs="Arial"/>
          <w:sz w:val="24"/>
          <w:szCs w:val="24"/>
        </w:rPr>
        <w:t>disrupt</w:t>
      </w:r>
      <w:r w:rsidR="00AC14AB" w:rsidRPr="00AD78ED">
        <w:rPr>
          <w:rFonts w:ascii="Arial" w:hAnsi="Arial" w:cs="Arial"/>
          <w:sz w:val="24"/>
          <w:szCs w:val="24"/>
        </w:rPr>
        <w:t xml:space="preserve"> operations at HKIA</w:t>
      </w:r>
      <w:r w:rsidR="00A95BDB" w:rsidRPr="00AD78ED">
        <w:rPr>
          <w:rFonts w:ascii="Arial" w:hAnsi="Arial" w:cs="Arial"/>
          <w:sz w:val="24"/>
          <w:szCs w:val="24"/>
        </w:rPr>
        <w:t xml:space="preserve"> (or, at the very least, its actions will cause such an outcome), and to unlawfully entrench its position beyond the ter</w:t>
      </w:r>
      <w:r w:rsidR="00D31945" w:rsidRPr="00AD78ED">
        <w:rPr>
          <w:rFonts w:ascii="Arial" w:hAnsi="Arial" w:cs="Arial"/>
          <w:sz w:val="24"/>
          <w:szCs w:val="24"/>
        </w:rPr>
        <w:t>m</w:t>
      </w:r>
      <w:r w:rsidR="00D31945" w:rsidRPr="00AD78ED">
        <w:rPr>
          <w:rFonts w:ascii="Arial" w:hAnsi="Arial" w:cs="Arial"/>
          <w:sz w:val="24"/>
          <w:szCs w:val="24"/>
          <w:lang w:val="en-US"/>
        </w:rPr>
        <w:t>s</w:t>
      </w:r>
      <w:r w:rsidR="00D31945" w:rsidRPr="00AD78ED">
        <w:rPr>
          <w:rFonts w:ascii="Arial" w:hAnsi="Arial" w:cs="Arial"/>
          <w:sz w:val="24"/>
          <w:szCs w:val="24"/>
        </w:rPr>
        <w:t xml:space="preserve"> of the</w:t>
      </w:r>
      <w:r w:rsidR="00AC14AB" w:rsidRPr="00AD78ED">
        <w:rPr>
          <w:rFonts w:ascii="Arial" w:hAnsi="Arial" w:cs="Arial"/>
          <w:sz w:val="24"/>
          <w:szCs w:val="24"/>
        </w:rPr>
        <w:t xml:space="preserve"> Service A</w:t>
      </w:r>
      <w:r w:rsidR="00D31945" w:rsidRPr="00AD78ED">
        <w:rPr>
          <w:rFonts w:ascii="Arial" w:hAnsi="Arial" w:cs="Arial"/>
          <w:sz w:val="24"/>
          <w:szCs w:val="24"/>
        </w:rPr>
        <w:t>greement</w:t>
      </w:r>
      <w:r w:rsidR="00605E5A" w:rsidRPr="00AD78ED">
        <w:rPr>
          <w:rFonts w:ascii="Arial" w:hAnsi="Arial" w:cs="Arial"/>
          <w:sz w:val="24"/>
          <w:szCs w:val="24"/>
        </w:rPr>
        <w:t xml:space="preserve">. </w:t>
      </w:r>
      <w:r w:rsidR="00D31945" w:rsidRPr="00AD78ED">
        <w:rPr>
          <w:rFonts w:ascii="Arial" w:hAnsi="Arial" w:cs="Arial"/>
          <w:sz w:val="24"/>
          <w:szCs w:val="24"/>
        </w:rPr>
        <w:t xml:space="preserve"> </w:t>
      </w:r>
    </w:p>
    <w:p w14:paraId="6956C147" w14:textId="77777777" w:rsidR="00D31945" w:rsidRPr="00D31945" w:rsidRDefault="00D31945" w:rsidP="00D31945">
      <w:pPr>
        <w:pStyle w:val="ListParagraph"/>
        <w:spacing w:line="360" w:lineRule="auto"/>
        <w:ind w:left="0"/>
        <w:jc w:val="both"/>
        <w:rPr>
          <w:rFonts w:ascii="Arial" w:hAnsi="Arial" w:cs="Arial"/>
          <w:sz w:val="24"/>
          <w:szCs w:val="24"/>
        </w:rPr>
      </w:pPr>
    </w:p>
    <w:p w14:paraId="40419F0E" w14:textId="77777777" w:rsidR="00CD788B" w:rsidRDefault="00D53A00" w:rsidP="00CD788B">
      <w:pPr>
        <w:pStyle w:val="ListParagraph"/>
        <w:numPr>
          <w:ilvl w:val="0"/>
          <w:numId w:val="1"/>
        </w:numPr>
        <w:spacing w:line="360" w:lineRule="auto"/>
        <w:ind w:left="0" w:firstLine="0"/>
        <w:jc w:val="both"/>
        <w:rPr>
          <w:rFonts w:ascii="Arial" w:hAnsi="Arial" w:cs="Arial"/>
          <w:sz w:val="24"/>
          <w:szCs w:val="24"/>
        </w:rPr>
      </w:pPr>
      <w:proofErr w:type="spellStart"/>
      <w:r>
        <w:rPr>
          <w:rFonts w:ascii="Arial" w:hAnsi="Arial" w:cs="Arial"/>
          <w:sz w:val="24"/>
          <w:szCs w:val="24"/>
          <w:lang w:val="en-US"/>
        </w:rPr>
        <w:t>Mr</w:t>
      </w:r>
      <w:proofErr w:type="spellEnd"/>
      <w:r w:rsidR="00291064">
        <w:rPr>
          <w:rFonts w:ascii="Arial" w:hAnsi="Arial" w:cs="Arial"/>
          <w:sz w:val="24"/>
          <w:szCs w:val="24"/>
          <w:lang w:val="en-US"/>
        </w:rPr>
        <w:t xml:space="preserve"> </w:t>
      </w:r>
      <w:proofErr w:type="spellStart"/>
      <w:r w:rsidR="00291064">
        <w:rPr>
          <w:rFonts w:ascii="Arial" w:hAnsi="Arial" w:cs="Arial"/>
          <w:sz w:val="24"/>
          <w:szCs w:val="24"/>
          <w:lang w:val="en-US"/>
        </w:rPr>
        <w:t>Bhana’s</w:t>
      </w:r>
      <w:proofErr w:type="spellEnd"/>
      <w:r w:rsidR="00291064">
        <w:rPr>
          <w:rFonts w:ascii="Arial" w:hAnsi="Arial" w:cs="Arial"/>
          <w:sz w:val="24"/>
          <w:szCs w:val="24"/>
          <w:lang w:val="en-US"/>
        </w:rPr>
        <w:t xml:space="preserve"> </w:t>
      </w:r>
      <w:r w:rsidR="004035E9">
        <w:rPr>
          <w:rFonts w:ascii="Arial" w:hAnsi="Arial" w:cs="Arial"/>
          <w:sz w:val="24"/>
          <w:szCs w:val="24"/>
          <w:lang w:val="en-US"/>
        </w:rPr>
        <w:t xml:space="preserve">argued that </w:t>
      </w:r>
      <w:r w:rsidR="00A95BDB" w:rsidRPr="00D31945">
        <w:rPr>
          <w:rFonts w:ascii="Arial" w:hAnsi="Arial" w:cs="Arial"/>
          <w:sz w:val="24"/>
          <w:szCs w:val="24"/>
        </w:rPr>
        <w:t>if Menzies tries to provide ground handling services after 30 June 2022 or if there is any confusion about who the ground handler is, airport operations will no doubt be adversely affected</w:t>
      </w:r>
      <w:r w:rsidR="00BF21CC">
        <w:rPr>
          <w:rFonts w:ascii="Arial" w:hAnsi="Arial" w:cs="Arial"/>
          <w:sz w:val="24"/>
          <w:szCs w:val="24"/>
        </w:rPr>
        <w:t xml:space="preserve">. Airport operation may even be brought to </w:t>
      </w:r>
      <w:r w:rsidR="00A95BDB" w:rsidRPr="00D31945">
        <w:rPr>
          <w:rFonts w:ascii="Arial" w:hAnsi="Arial" w:cs="Arial"/>
          <w:sz w:val="24"/>
          <w:szCs w:val="24"/>
        </w:rPr>
        <w:t xml:space="preserve">a halt if there are two service providers on-site, </w:t>
      </w:r>
      <w:r w:rsidR="004035E9">
        <w:rPr>
          <w:rFonts w:ascii="Arial" w:hAnsi="Arial" w:cs="Arial"/>
          <w:sz w:val="24"/>
          <w:szCs w:val="24"/>
        </w:rPr>
        <w:t xml:space="preserve">being Menzies and Paragon, </w:t>
      </w:r>
      <w:r w:rsidR="00A95BDB" w:rsidRPr="00D31945">
        <w:rPr>
          <w:rFonts w:ascii="Arial" w:hAnsi="Arial" w:cs="Arial"/>
          <w:sz w:val="24"/>
          <w:szCs w:val="24"/>
        </w:rPr>
        <w:t>both attempting to perform the same service (or the old provider frustrating the new provider). This will cause chao</w:t>
      </w:r>
      <w:r w:rsidR="00D31945">
        <w:rPr>
          <w:rFonts w:ascii="Arial" w:hAnsi="Arial" w:cs="Arial"/>
          <w:sz w:val="24"/>
          <w:szCs w:val="24"/>
        </w:rPr>
        <w:t>s among airlines</w:t>
      </w:r>
      <w:r w:rsidR="00BF21CC">
        <w:rPr>
          <w:rFonts w:ascii="Arial" w:hAnsi="Arial" w:cs="Arial"/>
          <w:sz w:val="24"/>
          <w:szCs w:val="24"/>
        </w:rPr>
        <w:t>,</w:t>
      </w:r>
      <w:r w:rsidR="00D31945">
        <w:rPr>
          <w:rFonts w:ascii="Arial" w:hAnsi="Arial" w:cs="Arial"/>
          <w:sz w:val="24"/>
          <w:szCs w:val="24"/>
        </w:rPr>
        <w:t xml:space="preserve"> passengers</w:t>
      </w:r>
      <w:r w:rsidR="00BF21CC">
        <w:rPr>
          <w:rFonts w:ascii="Arial" w:hAnsi="Arial" w:cs="Arial"/>
          <w:sz w:val="24"/>
          <w:szCs w:val="24"/>
        </w:rPr>
        <w:t>,</w:t>
      </w:r>
      <w:r w:rsidR="00D31945">
        <w:rPr>
          <w:rFonts w:ascii="Arial" w:hAnsi="Arial" w:cs="Arial"/>
          <w:sz w:val="24"/>
          <w:szCs w:val="24"/>
        </w:rPr>
        <w:t xml:space="preserve"> </w:t>
      </w:r>
      <w:r w:rsidR="00D31945" w:rsidRPr="00D31945">
        <w:rPr>
          <w:rFonts w:ascii="Arial" w:hAnsi="Arial" w:cs="Arial"/>
          <w:sz w:val="24"/>
          <w:szCs w:val="24"/>
        </w:rPr>
        <w:t>NAC, HKIA</w:t>
      </w:r>
      <w:r w:rsidR="004035E9">
        <w:rPr>
          <w:rFonts w:ascii="Arial" w:hAnsi="Arial" w:cs="Arial"/>
          <w:sz w:val="24"/>
          <w:szCs w:val="24"/>
        </w:rPr>
        <w:t xml:space="preserve"> and</w:t>
      </w:r>
      <w:r w:rsidR="00BF21CC">
        <w:rPr>
          <w:rFonts w:ascii="Arial" w:hAnsi="Arial" w:cs="Arial"/>
          <w:sz w:val="24"/>
          <w:szCs w:val="24"/>
        </w:rPr>
        <w:t xml:space="preserve"> </w:t>
      </w:r>
      <w:r w:rsidR="00D31945" w:rsidRPr="00D31945">
        <w:rPr>
          <w:rFonts w:ascii="Arial" w:hAnsi="Arial" w:cs="Arial"/>
          <w:sz w:val="24"/>
          <w:szCs w:val="24"/>
        </w:rPr>
        <w:t>the Namibian people</w:t>
      </w:r>
      <w:r w:rsidR="004035E9">
        <w:rPr>
          <w:rFonts w:ascii="Arial" w:hAnsi="Arial" w:cs="Arial"/>
          <w:sz w:val="24"/>
          <w:szCs w:val="24"/>
        </w:rPr>
        <w:t>. The consequences have far-</w:t>
      </w:r>
      <w:r w:rsidR="00BF21CC">
        <w:rPr>
          <w:rFonts w:ascii="Arial" w:hAnsi="Arial" w:cs="Arial"/>
          <w:sz w:val="24"/>
          <w:szCs w:val="24"/>
        </w:rPr>
        <w:t>reaching effect</w:t>
      </w:r>
      <w:r w:rsidR="004035E9">
        <w:rPr>
          <w:rFonts w:ascii="Arial" w:hAnsi="Arial" w:cs="Arial"/>
          <w:sz w:val="24"/>
          <w:szCs w:val="24"/>
        </w:rPr>
        <w:t>s</w:t>
      </w:r>
      <w:r w:rsidR="00BF21CC">
        <w:rPr>
          <w:rFonts w:ascii="Arial" w:hAnsi="Arial" w:cs="Arial"/>
          <w:sz w:val="24"/>
          <w:szCs w:val="24"/>
        </w:rPr>
        <w:t xml:space="preserve"> </w:t>
      </w:r>
      <w:r w:rsidR="004035E9">
        <w:rPr>
          <w:rFonts w:ascii="Arial" w:hAnsi="Arial" w:cs="Arial"/>
          <w:sz w:val="24"/>
          <w:szCs w:val="24"/>
        </w:rPr>
        <w:t xml:space="preserve">which </w:t>
      </w:r>
      <w:r w:rsidR="00BF21CC">
        <w:rPr>
          <w:rFonts w:ascii="Arial" w:hAnsi="Arial" w:cs="Arial"/>
          <w:sz w:val="24"/>
          <w:szCs w:val="24"/>
        </w:rPr>
        <w:t xml:space="preserve">could cause </w:t>
      </w:r>
      <w:r w:rsidR="00D31945" w:rsidRPr="00D31945">
        <w:rPr>
          <w:rFonts w:ascii="Arial" w:hAnsi="Arial" w:cs="Arial"/>
          <w:sz w:val="24"/>
          <w:szCs w:val="24"/>
        </w:rPr>
        <w:t xml:space="preserve">irreparable </w:t>
      </w:r>
      <w:r w:rsidR="00BF21CC">
        <w:rPr>
          <w:rFonts w:ascii="Arial" w:hAnsi="Arial" w:cs="Arial"/>
          <w:sz w:val="24"/>
          <w:szCs w:val="24"/>
        </w:rPr>
        <w:t xml:space="preserve">harm to the economy. </w:t>
      </w:r>
    </w:p>
    <w:p w14:paraId="307FA2E5" w14:textId="77777777" w:rsidR="00CD788B" w:rsidRPr="00CD788B" w:rsidRDefault="00CD788B" w:rsidP="00CD788B">
      <w:pPr>
        <w:pStyle w:val="ListParagraph"/>
        <w:rPr>
          <w:rFonts w:ascii="Arial" w:hAnsi="Arial" w:cs="Arial"/>
          <w:sz w:val="24"/>
          <w:szCs w:val="24"/>
        </w:rPr>
      </w:pPr>
    </w:p>
    <w:p w14:paraId="2B98F79F" w14:textId="77777777" w:rsidR="00C443E6" w:rsidRPr="00C443E6" w:rsidRDefault="004160FD" w:rsidP="00C443E6">
      <w:pPr>
        <w:pStyle w:val="ListParagraph"/>
        <w:spacing w:line="360" w:lineRule="auto"/>
        <w:ind w:left="0"/>
        <w:jc w:val="both"/>
        <w:rPr>
          <w:rFonts w:ascii="Arial" w:hAnsi="Arial" w:cs="Arial"/>
          <w:sz w:val="24"/>
          <w:szCs w:val="24"/>
          <w:u w:val="single"/>
        </w:rPr>
      </w:pPr>
      <w:r>
        <w:rPr>
          <w:rFonts w:ascii="Arial" w:hAnsi="Arial" w:cs="Arial"/>
          <w:sz w:val="24"/>
          <w:szCs w:val="24"/>
          <w:u w:val="single"/>
        </w:rPr>
        <w:t>Second Respondent’s case and argument</w:t>
      </w:r>
    </w:p>
    <w:p w14:paraId="26604CBB" w14:textId="77777777" w:rsidR="00C443E6" w:rsidRPr="00C443E6" w:rsidRDefault="00C443E6" w:rsidP="00C443E6">
      <w:pPr>
        <w:pStyle w:val="ListParagraph"/>
        <w:rPr>
          <w:rFonts w:ascii="Arial" w:hAnsi="Arial" w:cs="Arial"/>
          <w:sz w:val="24"/>
          <w:szCs w:val="24"/>
        </w:rPr>
      </w:pPr>
    </w:p>
    <w:p w14:paraId="576C5DBA" w14:textId="77777777" w:rsidR="00291064" w:rsidRDefault="00C443E6" w:rsidP="00291064">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Namandje</w:t>
      </w:r>
      <w:proofErr w:type="spellEnd"/>
      <w:r>
        <w:rPr>
          <w:rFonts w:ascii="Arial" w:hAnsi="Arial" w:cs="Arial"/>
          <w:sz w:val="24"/>
          <w:szCs w:val="24"/>
        </w:rPr>
        <w:t>, for obvious reasons</w:t>
      </w:r>
      <w:r w:rsidR="004662CA">
        <w:rPr>
          <w:rFonts w:ascii="Arial" w:hAnsi="Arial" w:cs="Arial"/>
          <w:sz w:val="24"/>
          <w:szCs w:val="24"/>
        </w:rPr>
        <w:t>,</w:t>
      </w:r>
      <w:r>
        <w:rPr>
          <w:rFonts w:ascii="Arial" w:hAnsi="Arial" w:cs="Arial"/>
          <w:sz w:val="24"/>
          <w:szCs w:val="24"/>
        </w:rPr>
        <w:t xml:space="preserve"> supported the</w:t>
      </w:r>
      <w:r w:rsidRPr="00C443E6">
        <w:rPr>
          <w:rFonts w:ascii="Arial" w:hAnsi="Arial" w:cs="Arial"/>
          <w:sz w:val="24"/>
          <w:szCs w:val="24"/>
        </w:rPr>
        <w:t xml:space="preserve"> NAC’s application, because, as expected, </w:t>
      </w:r>
      <w:r w:rsidR="004662CA">
        <w:rPr>
          <w:rFonts w:ascii="Arial" w:hAnsi="Arial" w:cs="Arial"/>
          <w:sz w:val="24"/>
          <w:szCs w:val="24"/>
        </w:rPr>
        <w:t xml:space="preserve">Paragon invested </w:t>
      </w:r>
      <w:r w:rsidRPr="00C443E6">
        <w:rPr>
          <w:rFonts w:ascii="Arial" w:hAnsi="Arial" w:cs="Arial"/>
          <w:sz w:val="24"/>
          <w:szCs w:val="24"/>
        </w:rPr>
        <w:t xml:space="preserve">financial and human resources in its preparations </w:t>
      </w:r>
      <w:proofErr w:type="gramStart"/>
      <w:r w:rsidRPr="00C443E6">
        <w:rPr>
          <w:rFonts w:ascii="Arial" w:hAnsi="Arial" w:cs="Arial"/>
          <w:sz w:val="24"/>
          <w:szCs w:val="24"/>
        </w:rPr>
        <w:t>so as to</w:t>
      </w:r>
      <w:proofErr w:type="gramEnd"/>
      <w:r w:rsidRPr="00C443E6">
        <w:rPr>
          <w:rFonts w:ascii="Arial" w:hAnsi="Arial" w:cs="Arial"/>
          <w:sz w:val="24"/>
          <w:szCs w:val="24"/>
        </w:rPr>
        <w:t xml:space="preserve"> ensure that on 1 July 2022</w:t>
      </w:r>
      <w:r>
        <w:rPr>
          <w:rFonts w:ascii="Arial" w:hAnsi="Arial" w:cs="Arial"/>
          <w:sz w:val="24"/>
          <w:szCs w:val="24"/>
        </w:rPr>
        <w:t>,</w:t>
      </w:r>
      <w:r w:rsidRPr="00C443E6">
        <w:rPr>
          <w:rFonts w:ascii="Arial" w:hAnsi="Arial" w:cs="Arial"/>
          <w:sz w:val="24"/>
          <w:szCs w:val="24"/>
        </w:rPr>
        <w:t xml:space="preserve"> it</w:t>
      </w:r>
      <w:r w:rsidR="004035E9">
        <w:rPr>
          <w:rFonts w:ascii="Arial" w:hAnsi="Arial" w:cs="Arial"/>
          <w:sz w:val="24"/>
          <w:szCs w:val="24"/>
        </w:rPr>
        <w:t xml:space="preserve"> will be in a position to carry </w:t>
      </w:r>
      <w:r w:rsidRPr="00C443E6">
        <w:rPr>
          <w:rFonts w:ascii="Arial" w:hAnsi="Arial" w:cs="Arial"/>
          <w:sz w:val="24"/>
          <w:szCs w:val="24"/>
        </w:rPr>
        <w:t xml:space="preserve">out its obligations in terms of the Award. </w:t>
      </w:r>
    </w:p>
    <w:p w14:paraId="73548075" w14:textId="77777777" w:rsidR="00841E4A" w:rsidRPr="00291064" w:rsidRDefault="00841E4A" w:rsidP="00841E4A">
      <w:pPr>
        <w:pStyle w:val="ListParagraph"/>
        <w:spacing w:line="360" w:lineRule="auto"/>
        <w:ind w:left="0"/>
        <w:jc w:val="both"/>
        <w:rPr>
          <w:rFonts w:ascii="Arial" w:hAnsi="Arial" w:cs="Arial"/>
          <w:sz w:val="24"/>
          <w:szCs w:val="24"/>
        </w:rPr>
      </w:pPr>
    </w:p>
    <w:p w14:paraId="0BD10B2F" w14:textId="77777777" w:rsidR="006C7ED9" w:rsidRDefault="006C7ED9" w:rsidP="00D31945">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Namandje</w:t>
      </w:r>
      <w:proofErr w:type="spellEnd"/>
      <w:r>
        <w:rPr>
          <w:rFonts w:ascii="Arial" w:hAnsi="Arial" w:cs="Arial"/>
          <w:sz w:val="24"/>
          <w:szCs w:val="24"/>
        </w:rPr>
        <w:t xml:space="preserve"> argued that </w:t>
      </w:r>
      <w:r w:rsidRPr="008F2433">
        <w:rPr>
          <w:rFonts w:ascii="Arial" w:hAnsi="Arial" w:cs="Arial"/>
          <w:sz w:val="24"/>
          <w:szCs w:val="24"/>
        </w:rPr>
        <w:t>Menzies’</w:t>
      </w:r>
      <w:r>
        <w:rPr>
          <w:rFonts w:ascii="Arial" w:hAnsi="Arial" w:cs="Arial"/>
          <w:sz w:val="24"/>
          <w:szCs w:val="24"/>
        </w:rPr>
        <w:t xml:space="preserve"> failure to provide the requisite undertaking to vacate by 30 June 2022 and ensure a s</w:t>
      </w:r>
      <w:r w:rsidR="00533082">
        <w:rPr>
          <w:rFonts w:ascii="Arial" w:hAnsi="Arial" w:cs="Arial"/>
          <w:sz w:val="24"/>
          <w:szCs w:val="24"/>
        </w:rPr>
        <w:t>mooth transition to Paragon amounts to</w:t>
      </w:r>
      <w:r>
        <w:rPr>
          <w:rFonts w:ascii="Arial" w:hAnsi="Arial" w:cs="Arial"/>
          <w:sz w:val="24"/>
          <w:szCs w:val="24"/>
        </w:rPr>
        <w:t xml:space="preserve"> </w:t>
      </w:r>
      <w:r w:rsidRPr="008F2433">
        <w:rPr>
          <w:rFonts w:ascii="Arial" w:hAnsi="Arial" w:cs="Arial"/>
          <w:sz w:val="24"/>
          <w:szCs w:val="24"/>
        </w:rPr>
        <w:t>lawless and opportunistic behaviour</w:t>
      </w:r>
      <w:r>
        <w:rPr>
          <w:rFonts w:ascii="Arial" w:hAnsi="Arial" w:cs="Arial"/>
          <w:sz w:val="24"/>
          <w:szCs w:val="24"/>
        </w:rPr>
        <w:t xml:space="preserve"> </w:t>
      </w:r>
      <w:r w:rsidR="004035E9">
        <w:rPr>
          <w:rFonts w:ascii="Arial" w:hAnsi="Arial" w:cs="Arial"/>
          <w:sz w:val="24"/>
          <w:szCs w:val="24"/>
        </w:rPr>
        <w:t xml:space="preserve">that </w:t>
      </w:r>
      <w:r>
        <w:rPr>
          <w:rFonts w:ascii="Arial" w:hAnsi="Arial" w:cs="Arial"/>
          <w:sz w:val="24"/>
          <w:szCs w:val="24"/>
        </w:rPr>
        <w:t xml:space="preserve">should </w:t>
      </w:r>
      <w:r w:rsidRPr="008F2433">
        <w:rPr>
          <w:rFonts w:ascii="Arial" w:hAnsi="Arial" w:cs="Arial"/>
          <w:sz w:val="24"/>
          <w:szCs w:val="24"/>
        </w:rPr>
        <w:t>not be countenanced</w:t>
      </w:r>
      <w:r>
        <w:rPr>
          <w:rFonts w:ascii="Arial" w:hAnsi="Arial" w:cs="Arial"/>
          <w:sz w:val="24"/>
          <w:szCs w:val="24"/>
        </w:rPr>
        <w:t xml:space="preserve">. </w:t>
      </w:r>
    </w:p>
    <w:p w14:paraId="6DA6B528" w14:textId="77777777" w:rsidR="006C7ED9" w:rsidRDefault="006C7ED9" w:rsidP="006C7ED9">
      <w:pPr>
        <w:pStyle w:val="ListParagraph"/>
        <w:spacing w:line="360" w:lineRule="auto"/>
        <w:ind w:left="0"/>
        <w:jc w:val="both"/>
        <w:rPr>
          <w:rFonts w:ascii="Arial" w:hAnsi="Arial" w:cs="Arial"/>
          <w:sz w:val="24"/>
          <w:szCs w:val="24"/>
        </w:rPr>
      </w:pPr>
    </w:p>
    <w:p w14:paraId="2F80AA61" w14:textId="77777777" w:rsidR="006D00DD" w:rsidRDefault="006C7ED9" w:rsidP="00D31945">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Nama</w:t>
      </w:r>
      <w:r w:rsidR="008C3C4C">
        <w:rPr>
          <w:rFonts w:ascii="Arial" w:hAnsi="Arial" w:cs="Arial"/>
          <w:sz w:val="24"/>
          <w:szCs w:val="24"/>
        </w:rPr>
        <w:t>n</w:t>
      </w:r>
      <w:r>
        <w:rPr>
          <w:rFonts w:ascii="Arial" w:hAnsi="Arial" w:cs="Arial"/>
          <w:sz w:val="24"/>
          <w:szCs w:val="24"/>
        </w:rPr>
        <w:t>dje</w:t>
      </w:r>
      <w:proofErr w:type="spellEnd"/>
      <w:r>
        <w:rPr>
          <w:rFonts w:ascii="Arial" w:hAnsi="Arial" w:cs="Arial"/>
          <w:sz w:val="24"/>
          <w:szCs w:val="24"/>
        </w:rPr>
        <w:t xml:space="preserve"> argues that this</w:t>
      </w:r>
      <w:r w:rsidRPr="006C7ED9">
        <w:rPr>
          <w:rFonts w:ascii="Arial" w:hAnsi="Arial" w:cs="Arial"/>
          <w:sz w:val="24"/>
          <w:szCs w:val="24"/>
        </w:rPr>
        <w:t xml:space="preserve"> Court has a high duty to act in the face of such primitive and repugnant conduct on the part of Menzies.</w:t>
      </w:r>
      <w:r>
        <w:rPr>
          <w:rFonts w:ascii="Arial" w:hAnsi="Arial" w:cs="Arial"/>
          <w:sz w:val="24"/>
          <w:szCs w:val="24"/>
        </w:rPr>
        <w:t xml:space="preserve"> He claims</w:t>
      </w:r>
      <w:r w:rsidR="00291064">
        <w:rPr>
          <w:rFonts w:ascii="Arial" w:hAnsi="Arial" w:cs="Arial"/>
          <w:sz w:val="24"/>
          <w:szCs w:val="24"/>
        </w:rPr>
        <w:t xml:space="preserve">, </w:t>
      </w:r>
      <w:r w:rsidRPr="006C7ED9">
        <w:rPr>
          <w:rFonts w:ascii="Arial" w:hAnsi="Arial" w:cs="Arial"/>
          <w:sz w:val="24"/>
          <w:szCs w:val="24"/>
        </w:rPr>
        <w:t xml:space="preserve">Menzies must </w:t>
      </w:r>
      <w:r>
        <w:rPr>
          <w:rFonts w:ascii="Arial" w:hAnsi="Arial" w:cs="Arial"/>
          <w:sz w:val="24"/>
          <w:szCs w:val="24"/>
        </w:rPr>
        <w:t>“</w:t>
      </w:r>
      <w:r w:rsidRPr="006C7ED9">
        <w:rPr>
          <w:rFonts w:ascii="Arial" w:hAnsi="Arial" w:cs="Arial"/>
          <w:sz w:val="24"/>
          <w:szCs w:val="24"/>
        </w:rPr>
        <w:t>pack and go</w:t>
      </w:r>
      <w:r>
        <w:rPr>
          <w:rFonts w:ascii="Arial" w:hAnsi="Arial" w:cs="Arial"/>
          <w:sz w:val="24"/>
          <w:szCs w:val="24"/>
        </w:rPr>
        <w:t>”</w:t>
      </w:r>
      <w:r w:rsidRPr="006C7ED9">
        <w:rPr>
          <w:rFonts w:ascii="Arial" w:hAnsi="Arial" w:cs="Arial"/>
          <w:sz w:val="24"/>
          <w:szCs w:val="24"/>
        </w:rPr>
        <w:t xml:space="preserve"> until the Court decides otherwise.</w:t>
      </w:r>
      <w:r>
        <w:rPr>
          <w:rFonts w:ascii="Arial" w:hAnsi="Arial" w:cs="Arial"/>
          <w:sz w:val="24"/>
          <w:szCs w:val="24"/>
        </w:rPr>
        <w:t xml:space="preserve"> </w:t>
      </w:r>
      <w:r w:rsidR="00C443E6">
        <w:rPr>
          <w:rFonts w:ascii="Arial" w:hAnsi="Arial" w:cs="Arial"/>
          <w:sz w:val="24"/>
          <w:szCs w:val="24"/>
        </w:rPr>
        <w:t xml:space="preserve">Mr </w:t>
      </w:r>
      <w:proofErr w:type="spellStart"/>
      <w:r w:rsidR="00C443E6">
        <w:rPr>
          <w:rFonts w:ascii="Arial" w:hAnsi="Arial" w:cs="Arial"/>
          <w:sz w:val="24"/>
          <w:szCs w:val="24"/>
        </w:rPr>
        <w:t>Namandje</w:t>
      </w:r>
      <w:proofErr w:type="spellEnd"/>
      <w:r w:rsidR="00043F4E">
        <w:rPr>
          <w:rFonts w:ascii="Arial" w:hAnsi="Arial" w:cs="Arial"/>
          <w:sz w:val="24"/>
          <w:szCs w:val="24"/>
        </w:rPr>
        <w:t xml:space="preserve"> </w:t>
      </w:r>
      <w:r w:rsidR="00C443E6">
        <w:rPr>
          <w:rFonts w:ascii="Arial" w:hAnsi="Arial" w:cs="Arial"/>
          <w:sz w:val="24"/>
          <w:szCs w:val="24"/>
        </w:rPr>
        <w:t xml:space="preserve">relied on the case of </w:t>
      </w:r>
      <w:r w:rsidR="00C443E6" w:rsidRPr="006D00DD">
        <w:rPr>
          <w:rFonts w:ascii="Arial" w:hAnsi="Arial" w:cs="Arial"/>
          <w:i/>
          <w:sz w:val="24"/>
          <w:szCs w:val="24"/>
        </w:rPr>
        <w:t xml:space="preserve">Chief </w:t>
      </w:r>
      <w:proofErr w:type="spellStart"/>
      <w:r w:rsidR="00C443E6" w:rsidRPr="006D00DD">
        <w:rPr>
          <w:rFonts w:ascii="Arial" w:hAnsi="Arial" w:cs="Arial"/>
          <w:i/>
          <w:sz w:val="24"/>
          <w:szCs w:val="24"/>
        </w:rPr>
        <w:t>Lesapo</w:t>
      </w:r>
      <w:proofErr w:type="spellEnd"/>
      <w:r w:rsidR="00C443E6" w:rsidRPr="006D00DD">
        <w:rPr>
          <w:rFonts w:ascii="Arial" w:hAnsi="Arial" w:cs="Arial"/>
          <w:i/>
          <w:sz w:val="24"/>
          <w:szCs w:val="24"/>
        </w:rPr>
        <w:t xml:space="preserve"> v North West Agricultural Bank and Another</w:t>
      </w:r>
      <w:r w:rsidR="006D00DD">
        <w:rPr>
          <w:rFonts w:ascii="Arial" w:hAnsi="Arial" w:cs="Arial"/>
          <w:sz w:val="24"/>
          <w:szCs w:val="24"/>
        </w:rPr>
        <w:t>,</w:t>
      </w:r>
      <w:r w:rsidR="00043F4E">
        <w:rPr>
          <w:rStyle w:val="FootnoteReference"/>
          <w:rFonts w:ascii="Arial" w:hAnsi="Arial" w:cs="Arial"/>
          <w:sz w:val="24"/>
          <w:szCs w:val="24"/>
        </w:rPr>
        <w:footnoteReference w:id="1"/>
      </w:r>
      <w:r w:rsidR="006D00DD">
        <w:rPr>
          <w:rFonts w:ascii="Arial" w:hAnsi="Arial" w:cs="Arial"/>
          <w:sz w:val="24"/>
          <w:szCs w:val="24"/>
        </w:rPr>
        <w:t xml:space="preserve"> where </w:t>
      </w:r>
      <w:r w:rsidR="00C443E6" w:rsidRPr="00C443E6">
        <w:rPr>
          <w:rFonts w:ascii="Arial" w:hAnsi="Arial" w:cs="Arial"/>
          <w:sz w:val="24"/>
          <w:szCs w:val="24"/>
        </w:rPr>
        <w:t xml:space="preserve">the Court appropriately stated that: </w:t>
      </w:r>
    </w:p>
    <w:p w14:paraId="761525F9" w14:textId="77777777" w:rsidR="006D00DD" w:rsidRDefault="006D00DD" w:rsidP="006D00DD">
      <w:pPr>
        <w:pStyle w:val="ListParagraph"/>
        <w:spacing w:line="360" w:lineRule="auto"/>
        <w:ind w:left="0"/>
        <w:jc w:val="both"/>
        <w:rPr>
          <w:rFonts w:ascii="Arial" w:hAnsi="Arial" w:cs="Arial"/>
          <w:sz w:val="24"/>
          <w:szCs w:val="24"/>
        </w:rPr>
      </w:pPr>
    </w:p>
    <w:p w14:paraId="245EC063" w14:textId="77777777" w:rsidR="006D00DD" w:rsidRPr="006D00DD" w:rsidRDefault="006D00DD" w:rsidP="006D00DD">
      <w:pPr>
        <w:pStyle w:val="ListParagraph"/>
        <w:spacing w:line="360" w:lineRule="auto"/>
        <w:ind w:left="0" w:firstLine="720"/>
        <w:jc w:val="both"/>
        <w:rPr>
          <w:rFonts w:ascii="Arial" w:hAnsi="Arial" w:cs="Arial"/>
        </w:rPr>
      </w:pPr>
      <w:r w:rsidRPr="006D00DD">
        <w:rPr>
          <w:rFonts w:ascii="Arial" w:hAnsi="Arial" w:cs="Arial"/>
        </w:rPr>
        <w:t>‘</w:t>
      </w:r>
      <w:r w:rsidR="00C443E6" w:rsidRPr="006D00DD">
        <w:rPr>
          <w:rFonts w:ascii="Arial" w:hAnsi="Arial" w:cs="Arial"/>
        </w:rPr>
        <w:t xml:space="preserve">[22] In this analysis, an important consideration in terms of s 36(1)(a) is the nature of the right impaired. The right of access to courts is important in the adjudication of justiciable disputes. In </w:t>
      </w:r>
      <w:r w:rsidR="00C443E6" w:rsidRPr="006C7ED9">
        <w:rPr>
          <w:rFonts w:ascii="Arial" w:hAnsi="Arial" w:cs="Arial"/>
          <w:i/>
        </w:rPr>
        <w:t>Concorde Plastics (Pty) Ltd v NUMSA and Others</w:t>
      </w:r>
      <w:r w:rsidR="00C443E6" w:rsidRPr="006D00DD">
        <w:rPr>
          <w:rFonts w:ascii="Arial" w:hAnsi="Arial" w:cs="Arial"/>
        </w:rPr>
        <w:t>,</w:t>
      </w:r>
      <w:r w:rsidR="00243F1A">
        <w:rPr>
          <w:rStyle w:val="FootnoteReference"/>
          <w:rFonts w:ascii="Arial" w:hAnsi="Arial" w:cs="Arial"/>
        </w:rPr>
        <w:footnoteReference w:id="2"/>
      </w:r>
      <w:r w:rsidR="00C443E6" w:rsidRPr="006D00DD">
        <w:rPr>
          <w:rFonts w:ascii="Arial" w:hAnsi="Arial" w:cs="Arial"/>
        </w:rPr>
        <w:t xml:space="preserve"> Marcus AJ expressed the importance of the right as follows: </w:t>
      </w:r>
    </w:p>
    <w:p w14:paraId="6207646A" w14:textId="77777777" w:rsidR="006C7ED9" w:rsidRDefault="00C443E6" w:rsidP="006D00DD">
      <w:pPr>
        <w:pStyle w:val="ListParagraph"/>
        <w:spacing w:line="360" w:lineRule="auto"/>
        <w:ind w:left="0"/>
        <w:jc w:val="both"/>
        <w:rPr>
          <w:rFonts w:ascii="Arial" w:hAnsi="Arial" w:cs="Arial"/>
        </w:rPr>
      </w:pPr>
      <w:r w:rsidRPr="006D00DD">
        <w:rPr>
          <w:rFonts w:ascii="Arial" w:hAnsi="Arial" w:cs="Arial"/>
        </w:rPr>
        <w:t xml:space="preserve">In my view, access to the courts of law is foundational to the stability of society. It ensures that parties to a dispute have an institutionalised mechanism to resolve their differences without recourse to self-help. The nature of civil proceedings has been eloquently described by Eduardo Couture </w:t>
      </w:r>
      <w:proofErr w:type="gramStart"/>
      <w:r w:rsidRPr="00464F2B">
        <w:rPr>
          <w:rFonts w:ascii="Arial" w:hAnsi="Arial" w:cs="Arial"/>
          <w:i/>
        </w:rPr>
        <w:t>The</w:t>
      </w:r>
      <w:proofErr w:type="gramEnd"/>
      <w:r w:rsidRPr="00464F2B">
        <w:rPr>
          <w:rFonts w:ascii="Arial" w:hAnsi="Arial" w:cs="Arial"/>
          <w:i/>
        </w:rPr>
        <w:t xml:space="preserve"> Nature of Judicial Process</w:t>
      </w:r>
      <w:r w:rsidRPr="006D00DD">
        <w:rPr>
          <w:rFonts w:ascii="Arial" w:hAnsi="Arial" w:cs="Arial"/>
        </w:rPr>
        <w:t xml:space="preserve"> (1950) 25 </w:t>
      </w:r>
      <w:r w:rsidRPr="00464F2B">
        <w:rPr>
          <w:rFonts w:ascii="Arial" w:hAnsi="Arial" w:cs="Arial"/>
          <w:i/>
        </w:rPr>
        <w:t>Tulane Law Review</w:t>
      </w:r>
      <w:r w:rsidRPr="006D00DD">
        <w:rPr>
          <w:rFonts w:ascii="Arial" w:hAnsi="Arial" w:cs="Arial"/>
        </w:rPr>
        <w:t xml:space="preserve"> 1 at 7 in the following way: </w:t>
      </w:r>
    </w:p>
    <w:p w14:paraId="50A4172A" w14:textId="77777777" w:rsidR="00AB2894" w:rsidRDefault="00C443E6" w:rsidP="006D00DD">
      <w:pPr>
        <w:pStyle w:val="ListParagraph"/>
        <w:spacing w:line="360" w:lineRule="auto"/>
        <w:ind w:left="0"/>
        <w:jc w:val="both"/>
        <w:rPr>
          <w:rFonts w:ascii="Arial" w:hAnsi="Arial" w:cs="Arial"/>
        </w:rPr>
      </w:pPr>
      <w:r w:rsidRPr="006D00DD">
        <w:rPr>
          <w:rFonts w:ascii="Arial" w:hAnsi="Arial" w:cs="Arial"/>
        </w:rPr>
        <w:t xml:space="preserve">The facts </w:t>
      </w:r>
      <w:proofErr w:type="gramStart"/>
      <w:r w:rsidRPr="006D00DD">
        <w:rPr>
          <w:rFonts w:ascii="Arial" w:hAnsi="Arial" w:cs="Arial"/>
        </w:rPr>
        <w:t>tells</w:t>
      </w:r>
      <w:proofErr w:type="gramEnd"/>
      <w:r w:rsidRPr="006D00DD">
        <w:rPr>
          <w:rFonts w:ascii="Arial" w:hAnsi="Arial" w:cs="Arial"/>
        </w:rPr>
        <w:t xml:space="preserve"> </w:t>
      </w:r>
      <w:r w:rsidRPr="00464F2B">
        <w:rPr>
          <w:rFonts w:ascii="Arial" w:hAnsi="Arial" w:cs="Arial"/>
          <w:i/>
        </w:rPr>
        <w:t>(sic)</w:t>
      </w:r>
      <w:r w:rsidRPr="006D00DD">
        <w:rPr>
          <w:rFonts w:ascii="Arial" w:hAnsi="Arial" w:cs="Arial"/>
        </w:rPr>
        <w:t xml:space="preserve"> us that when a plaintiff wants to instigate a suit, he can do so although the defendant does not want him to do so, nor even the Judge. This is a fact derived from legal experience, from the life of law</w:t>
      </w:r>
      <w:r w:rsidR="006D00DD" w:rsidRPr="006D00DD">
        <w:rPr>
          <w:rFonts w:ascii="Arial" w:hAnsi="Arial" w:cs="Arial"/>
        </w:rPr>
        <w:t>.</w:t>
      </w:r>
    </w:p>
    <w:p w14:paraId="42198C3C" w14:textId="77777777" w:rsidR="006D00DD" w:rsidRPr="00291064" w:rsidRDefault="00AB2894" w:rsidP="006D00DD">
      <w:pPr>
        <w:pStyle w:val="ListParagraph"/>
        <w:spacing w:line="360" w:lineRule="auto"/>
        <w:ind w:left="0"/>
        <w:jc w:val="both"/>
        <w:rPr>
          <w:rFonts w:ascii="Arial" w:hAnsi="Arial" w:cs="Arial"/>
        </w:rPr>
      </w:pPr>
      <w:r>
        <w:rPr>
          <w:rFonts w:ascii="Arial" w:hAnsi="Arial" w:cs="Arial"/>
        </w:rPr>
        <w:t>Those who have been able to see this fact in historical perspective and have noted its slow but steady growth, have realised that the law has proceeded in this direction from necessity, not from expediency.’</w:t>
      </w:r>
    </w:p>
    <w:p w14:paraId="6925BBCD" w14:textId="77777777" w:rsidR="00146AF1" w:rsidRPr="00146AF1" w:rsidRDefault="00146AF1" w:rsidP="00146AF1">
      <w:pPr>
        <w:pStyle w:val="ListParagraph"/>
        <w:rPr>
          <w:rFonts w:ascii="Arial" w:hAnsi="Arial" w:cs="Arial"/>
          <w:sz w:val="24"/>
          <w:szCs w:val="24"/>
        </w:rPr>
      </w:pPr>
    </w:p>
    <w:p w14:paraId="67A297CA" w14:textId="77777777" w:rsidR="00146AF1" w:rsidRPr="003415FC" w:rsidRDefault="00146AF1" w:rsidP="003415FC">
      <w:pPr>
        <w:pStyle w:val="ListParagraph"/>
        <w:spacing w:line="360" w:lineRule="auto"/>
        <w:ind w:left="0"/>
        <w:jc w:val="both"/>
        <w:rPr>
          <w:rFonts w:ascii="Arial" w:hAnsi="Arial" w:cs="Arial"/>
          <w:sz w:val="24"/>
          <w:szCs w:val="24"/>
          <w:u w:val="single"/>
        </w:rPr>
      </w:pPr>
      <w:r w:rsidRPr="003415FC">
        <w:rPr>
          <w:rFonts w:ascii="Arial" w:hAnsi="Arial" w:cs="Arial"/>
          <w:sz w:val="24"/>
          <w:szCs w:val="24"/>
          <w:u w:val="single"/>
          <w:lang w:val="en-US"/>
        </w:rPr>
        <w:t>First Respondents arguments</w:t>
      </w:r>
    </w:p>
    <w:p w14:paraId="63A604EF" w14:textId="77777777" w:rsidR="00146AF1" w:rsidRPr="00146AF1" w:rsidRDefault="00146AF1" w:rsidP="00146AF1">
      <w:pPr>
        <w:pStyle w:val="ListParagraph"/>
        <w:rPr>
          <w:rFonts w:ascii="Arial" w:hAnsi="Arial" w:cs="Arial"/>
          <w:sz w:val="24"/>
          <w:szCs w:val="24"/>
        </w:rPr>
      </w:pPr>
    </w:p>
    <w:p w14:paraId="73183BE2" w14:textId="77777777" w:rsidR="003658C0" w:rsidRPr="00E85F18" w:rsidRDefault="00197EDC" w:rsidP="00E85F18">
      <w:pPr>
        <w:pStyle w:val="ListParagraph"/>
        <w:numPr>
          <w:ilvl w:val="0"/>
          <w:numId w:val="1"/>
        </w:numPr>
        <w:spacing w:line="360" w:lineRule="auto"/>
        <w:ind w:left="0" w:firstLine="0"/>
        <w:jc w:val="both"/>
        <w:rPr>
          <w:rFonts w:ascii="Arial" w:hAnsi="Arial" w:cs="Arial"/>
          <w:sz w:val="24"/>
          <w:szCs w:val="24"/>
        </w:rPr>
      </w:pPr>
      <w:proofErr w:type="spellStart"/>
      <w:r>
        <w:rPr>
          <w:rFonts w:ascii="Arial" w:hAnsi="Arial" w:cs="Arial"/>
          <w:sz w:val="24"/>
          <w:szCs w:val="24"/>
          <w:lang w:val="en-US"/>
        </w:rPr>
        <w:t>Mr</w:t>
      </w:r>
      <w:proofErr w:type="spellEnd"/>
      <w:r w:rsidR="00146AF1" w:rsidRPr="00E85F18">
        <w:rPr>
          <w:rFonts w:ascii="Arial" w:hAnsi="Arial" w:cs="Arial"/>
          <w:sz w:val="24"/>
          <w:szCs w:val="24"/>
          <w:lang w:val="en-US"/>
        </w:rPr>
        <w:t xml:space="preserve"> Heathcote, </w:t>
      </w:r>
      <w:r w:rsidR="00E85F18">
        <w:rPr>
          <w:rFonts w:ascii="Arial" w:hAnsi="Arial" w:cs="Arial"/>
          <w:sz w:val="24"/>
          <w:szCs w:val="24"/>
          <w:lang w:val="en-US"/>
        </w:rPr>
        <w:t xml:space="preserve">commenced his arguments </w:t>
      </w:r>
      <w:r w:rsidR="00D6136A">
        <w:rPr>
          <w:rFonts w:ascii="Arial" w:hAnsi="Arial" w:cs="Arial"/>
          <w:sz w:val="24"/>
          <w:szCs w:val="24"/>
          <w:lang w:val="en-US"/>
        </w:rPr>
        <w:t xml:space="preserve">with </w:t>
      </w:r>
      <w:proofErr w:type="spellStart"/>
      <w:r w:rsidR="00D6136A">
        <w:rPr>
          <w:rFonts w:ascii="Arial" w:hAnsi="Arial" w:cs="Arial"/>
          <w:sz w:val="24"/>
          <w:szCs w:val="24"/>
          <w:lang w:val="en-US"/>
        </w:rPr>
        <w:t>vigour</w:t>
      </w:r>
      <w:proofErr w:type="spellEnd"/>
      <w:r w:rsidR="00D6136A">
        <w:rPr>
          <w:rFonts w:ascii="Arial" w:hAnsi="Arial" w:cs="Arial"/>
          <w:sz w:val="24"/>
          <w:szCs w:val="24"/>
          <w:lang w:val="en-US"/>
        </w:rPr>
        <w:t xml:space="preserve">. </w:t>
      </w:r>
      <w:r w:rsidR="00E85F18" w:rsidRPr="00E85F18">
        <w:rPr>
          <w:rFonts w:ascii="Arial" w:hAnsi="Arial" w:cs="Arial"/>
          <w:sz w:val="24"/>
          <w:szCs w:val="24"/>
        </w:rPr>
        <w:t>To start,</w:t>
      </w:r>
      <w:r w:rsidR="00E85F18">
        <w:rPr>
          <w:rFonts w:ascii="Arial" w:hAnsi="Arial" w:cs="Arial"/>
          <w:sz w:val="24"/>
          <w:szCs w:val="24"/>
        </w:rPr>
        <w:t xml:space="preserve"> he argued that</w:t>
      </w:r>
      <w:r w:rsidR="00E85F18" w:rsidRPr="00E85F18">
        <w:rPr>
          <w:rFonts w:ascii="Arial" w:hAnsi="Arial" w:cs="Arial"/>
          <w:sz w:val="24"/>
          <w:szCs w:val="24"/>
        </w:rPr>
        <w:t xml:space="preserve"> the “perceived</w:t>
      </w:r>
      <w:r w:rsidR="00260388">
        <w:rPr>
          <w:rFonts w:ascii="Arial" w:hAnsi="Arial" w:cs="Arial"/>
          <w:sz w:val="24"/>
          <w:szCs w:val="24"/>
        </w:rPr>
        <w:t xml:space="preserve"> agreement” which extended the </w:t>
      </w:r>
      <w:r w:rsidR="00894680">
        <w:rPr>
          <w:rFonts w:ascii="Arial" w:hAnsi="Arial" w:cs="Arial"/>
          <w:sz w:val="24"/>
          <w:szCs w:val="24"/>
        </w:rPr>
        <w:t xml:space="preserve">Service </w:t>
      </w:r>
      <w:r w:rsidR="00260388">
        <w:rPr>
          <w:rFonts w:ascii="Arial" w:hAnsi="Arial" w:cs="Arial"/>
          <w:sz w:val="24"/>
          <w:szCs w:val="24"/>
        </w:rPr>
        <w:t>A</w:t>
      </w:r>
      <w:r w:rsidR="00E85F18" w:rsidRPr="00E85F18">
        <w:rPr>
          <w:rFonts w:ascii="Arial" w:hAnsi="Arial" w:cs="Arial"/>
          <w:sz w:val="24"/>
          <w:szCs w:val="24"/>
        </w:rPr>
        <w:t>greement is not bi</w:t>
      </w:r>
      <w:r w:rsidR="00E85F18">
        <w:rPr>
          <w:rFonts w:ascii="Arial" w:hAnsi="Arial" w:cs="Arial"/>
          <w:sz w:val="24"/>
          <w:szCs w:val="24"/>
        </w:rPr>
        <w:t>nding on Menzies, and thus the</w:t>
      </w:r>
      <w:r w:rsidR="00260388">
        <w:rPr>
          <w:rFonts w:ascii="Arial" w:hAnsi="Arial" w:cs="Arial"/>
          <w:sz w:val="24"/>
          <w:szCs w:val="24"/>
        </w:rPr>
        <w:t xml:space="preserve"> </w:t>
      </w:r>
      <w:r w:rsidR="00894680">
        <w:rPr>
          <w:rFonts w:ascii="Arial" w:hAnsi="Arial" w:cs="Arial"/>
          <w:sz w:val="24"/>
          <w:szCs w:val="24"/>
        </w:rPr>
        <w:t xml:space="preserve">Service </w:t>
      </w:r>
      <w:r w:rsidR="00260388">
        <w:rPr>
          <w:rFonts w:ascii="Arial" w:hAnsi="Arial" w:cs="Arial"/>
          <w:sz w:val="24"/>
          <w:szCs w:val="24"/>
        </w:rPr>
        <w:t>A</w:t>
      </w:r>
      <w:r w:rsidR="00E85F18" w:rsidRPr="00E85F18">
        <w:rPr>
          <w:rFonts w:ascii="Arial" w:hAnsi="Arial" w:cs="Arial"/>
          <w:sz w:val="24"/>
          <w:szCs w:val="24"/>
        </w:rPr>
        <w:t>greement does not en</w:t>
      </w:r>
      <w:r w:rsidR="00E85F18">
        <w:rPr>
          <w:rFonts w:ascii="Arial" w:hAnsi="Arial" w:cs="Arial"/>
          <w:sz w:val="24"/>
          <w:szCs w:val="24"/>
        </w:rPr>
        <w:t xml:space="preserve">d or expire on 30 June 2022. </w:t>
      </w:r>
      <w:r w:rsidR="00146AF1" w:rsidRPr="00E85F18">
        <w:rPr>
          <w:rFonts w:ascii="Arial" w:hAnsi="Arial" w:cs="Arial"/>
          <w:sz w:val="24"/>
          <w:szCs w:val="24"/>
        </w:rPr>
        <w:t xml:space="preserve">He </w:t>
      </w:r>
      <w:r w:rsidR="00E85F18" w:rsidRPr="00E85F18">
        <w:rPr>
          <w:rFonts w:ascii="Arial" w:hAnsi="Arial" w:cs="Arial"/>
          <w:sz w:val="24"/>
          <w:szCs w:val="24"/>
          <w:lang w:val="en-US"/>
        </w:rPr>
        <w:t>argued</w:t>
      </w:r>
      <w:r w:rsidR="00146AF1" w:rsidRPr="00E85F18">
        <w:rPr>
          <w:rFonts w:ascii="Arial" w:hAnsi="Arial" w:cs="Arial"/>
          <w:sz w:val="24"/>
          <w:szCs w:val="24"/>
        </w:rPr>
        <w:t xml:space="preserve"> that the </w:t>
      </w:r>
      <w:r w:rsidR="00894680">
        <w:rPr>
          <w:rFonts w:ascii="Arial" w:hAnsi="Arial" w:cs="Arial"/>
          <w:sz w:val="24"/>
          <w:szCs w:val="24"/>
        </w:rPr>
        <w:t xml:space="preserve">Service </w:t>
      </w:r>
      <w:r w:rsidR="00146AF1" w:rsidRPr="00E85F18">
        <w:rPr>
          <w:rFonts w:ascii="Arial" w:hAnsi="Arial" w:cs="Arial"/>
          <w:sz w:val="24"/>
          <w:szCs w:val="24"/>
        </w:rPr>
        <w:t>Agreement ended on 30 April 2022 due to NAC’s termination n</w:t>
      </w:r>
      <w:r w:rsidR="003658C0" w:rsidRPr="00E85F18">
        <w:rPr>
          <w:rFonts w:ascii="Arial" w:hAnsi="Arial" w:cs="Arial"/>
          <w:sz w:val="24"/>
          <w:szCs w:val="24"/>
        </w:rPr>
        <w:t>otice issued on 31 March 2022.</w:t>
      </w:r>
      <w:r w:rsidR="003658C0" w:rsidRPr="00E85F18">
        <w:rPr>
          <w:rFonts w:ascii="Arial" w:hAnsi="Arial" w:cs="Arial"/>
          <w:sz w:val="24"/>
          <w:szCs w:val="24"/>
          <w:lang w:val="en-US"/>
        </w:rPr>
        <w:t xml:space="preserve"> He relied on the case of </w:t>
      </w:r>
      <w:proofErr w:type="spellStart"/>
      <w:r w:rsidR="003658C0" w:rsidRPr="00E85F18">
        <w:rPr>
          <w:rFonts w:ascii="Arial" w:hAnsi="Arial" w:cs="Arial"/>
          <w:i/>
          <w:sz w:val="24"/>
          <w:szCs w:val="24"/>
        </w:rPr>
        <w:t>Rustenberg</w:t>
      </w:r>
      <w:proofErr w:type="spellEnd"/>
      <w:r w:rsidR="003658C0" w:rsidRPr="00E85F18">
        <w:rPr>
          <w:rFonts w:ascii="Arial" w:hAnsi="Arial" w:cs="Arial"/>
          <w:i/>
          <w:sz w:val="24"/>
          <w:szCs w:val="24"/>
        </w:rPr>
        <w:t xml:space="preserve"> Town Council v Minister of Labour and Others</w:t>
      </w:r>
      <w:r w:rsidR="00D6136A">
        <w:rPr>
          <w:rStyle w:val="FootnoteReference"/>
          <w:rFonts w:ascii="Arial" w:hAnsi="Arial" w:cs="Arial"/>
          <w:i/>
          <w:sz w:val="24"/>
          <w:szCs w:val="24"/>
        </w:rPr>
        <w:footnoteReference w:id="3"/>
      </w:r>
      <w:r w:rsidR="003658C0" w:rsidRPr="00E85F18">
        <w:rPr>
          <w:rFonts w:ascii="Arial" w:hAnsi="Arial" w:cs="Arial"/>
          <w:sz w:val="24"/>
          <w:szCs w:val="24"/>
        </w:rPr>
        <w:t xml:space="preserve"> where the court held as follows: </w:t>
      </w:r>
    </w:p>
    <w:p w14:paraId="03BE3EFF" w14:textId="77777777" w:rsidR="003658C0" w:rsidRPr="003658C0" w:rsidRDefault="003658C0" w:rsidP="003658C0">
      <w:pPr>
        <w:pStyle w:val="ListParagraph"/>
        <w:rPr>
          <w:rFonts w:ascii="Arial" w:hAnsi="Arial" w:cs="Arial"/>
          <w:sz w:val="24"/>
          <w:szCs w:val="24"/>
        </w:rPr>
      </w:pPr>
    </w:p>
    <w:p w14:paraId="348373B6" w14:textId="77777777" w:rsidR="003658C0" w:rsidRPr="003658C0" w:rsidRDefault="00533082" w:rsidP="003658C0">
      <w:pPr>
        <w:pStyle w:val="ListParagraph"/>
        <w:spacing w:line="360" w:lineRule="auto"/>
        <w:ind w:left="0" w:firstLine="720"/>
        <w:jc w:val="both"/>
        <w:rPr>
          <w:rFonts w:ascii="Arial" w:hAnsi="Arial" w:cs="Arial"/>
          <w:sz w:val="24"/>
          <w:szCs w:val="24"/>
        </w:rPr>
      </w:pPr>
      <w:r>
        <w:rPr>
          <w:rFonts w:ascii="Arial" w:hAnsi="Arial" w:cs="Arial"/>
        </w:rPr>
        <w:lastRenderedPageBreak/>
        <w:t>‘</w:t>
      </w:r>
      <w:r w:rsidR="003658C0" w:rsidRPr="00074F31">
        <w:rPr>
          <w:rFonts w:ascii="Arial" w:hAnsi="Arial" w:cs="Arial"/>
        </w:rPr>
        <w:t>The giving of notice is an</w:t>
      </w:r>
      <w:r w:rsidR="00D6136A">
        <w:rPr>
          <w:rFonts w:ascii="Arial" w:hAnsi="Arial" w:cs="Arial"/>
        </w:rPr>
        <w:t xml:space="preserve"> </w:t>
      </w:r>
      <w:r w:rsidR="00D6136A" w:rsidRPr="00D6136A">
        <w:rPr>
          <w:rFonts w:ascii="Arial" w:hAnsi="Arial" w:cs="Arial"/>
          <w:i/>
        </w:rPr>
        <w:t>(sic)</w:t>
      </w:r>
      <w:r w:rsidR="003658C0" w:rsidRPr="00074F31">
        <w:rPr>
          <w:rFonts w:ascii="Arial" w:hAnsi="Arial" w:cs="Arial"/>
        </w:rPr>
        <w:t xml:space="preserve"> unilateral act; it requires no acceptance thereof or concurrence therein by the party receiving notice, nor is such party entitled to refuse to accept such notice and to decline to act upon it. If so, it seems to me to follow that notice once given is </w:t>
      </w:r>
      <w:proofErr w:type="gramStart"/>
      <w:r w:rsidR="003658C0" w:rsidRPr="00074F31">
        <w:rPr>
          <w:rFonts w:ascii="Arial" w:hAnsi="Arial" w:cs="Arial"/>
        </w:rPr>
        <w:t>final, and</w:t>
      </w:r>
      <w:proofErr w:type="gramEnd"/>
      <w:r w:rsidR="003658C0" w:rsidRPr="00074F31">
        <w:rPr>
          <w:rFonts w:ascii="Arial" w:hAnsi="Arial" w:cs="Arial"/>
        </w:rPr>
        <w:t xml:space="preserve"> cannot be withdrawn – accept </w:t>
      </w:r>
      <w:r w:rsidR="00EA0292" w:rsidRPr="00EA0292">
        <w:rPr>
          <w:rFonts w:ascii="Arial" w:hAnsi="Arial" w:cs="Arial"/>
          <w:i/>
        </w:rPr>
        <w:t>(sic)</w:t>
      </w:r>
      <w:r w:rsidR="00EA0292">
        <w:rPr>
          <w:rFonts w:ascii="Arial" w:hAnsi="Arial" w:cs="Arial"/>
        </w:rPr>
        <w:t xml:space="preserve"> </w:t>
      </w:r>
      <w:r w:rsidR="003658C0" w:rsidRPr="00074F31">
        <w:rPr>
          <w:rFonts w:ascii="Arial" w:hAnsi="Arial" w:cs="Arial"/>
        </w:rPr>
        <w:t>obviously by consent – during the time in excess o</w:t>
      </w:r>
      <w:r>
        <w:rPr>
          <w:rFonts w:ascii="Arial" w:hAnsi="Arial" w:cs="Arial"/>
        </w:rPr>
        <w:t>f the minimum period of notice.’</w:t>
      </w:r>
      <w:r w:rsidR="003658C0" w:rsidRPr="003658C0">
        <w:rPr>
          <w:rFonts w:ascii="Arial" w:hAnsi="Arial" w:cs="Arial"/>
          <w:sz w:val="24"/>
          <w:szCs w:val="24"/>
        </w:rPr>
        <w:t xml:space="preserve"> </w:t>
      </w:r>
    </w:p>
    <w:p w14:paraId="31FAD400" w14:textId="77777777" w:rsidR="00146AF1" w:rsidRPr="00146AF1" w:rsidRDefault="00146AF1" w:rsidP="00146AF1">
      <w:pPr>
        <w:pStyle w:val="ListParagraph"/>
        <w:rPr>
          <w:rFonts w:ascii="Arial" w:hAnsi="Arial" w:cs="Arial"/>
          <w:sz w:val="24"/>
          <w:szCs w:val="24"/>
          <w:lang w:val="en-US"/>
        </w:rPr>
      </w:pPr>
    </w:p>
    <w:p w14:paraId="7EA3D764" w14:textId="77777777" w:rsidR="00146AF1" w:rsidRDefault="00E85F18" w:rsidP="00D31945">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lang w:val="en-US"/>
        </w:rPr>
        <w:t>To th</w:t>
      </w:r>
      <w:r w:rsidR="00894680">
        <w:rPr>
          <w:rFonts w:ascii="Arial" w:hAnsi="Arial" w:cs="Arial"/>
          <w:sz w:val="24"/>
          <w:szCs w:val="24"/>
          <w:lang w:val="en-US"/>
        </w:rPr>
        <w:t xml:space="preserve">is end, </w:t>
      </w:r>
      <w:proofErr w:type="spellStart"/>
      <w:r w:rsidR="00EA0292">
        <w:rPr>
          <w:rFonts w:ascii="Arial" w:hAnsi="Arial" w:cs="Arial"/>
          <w:sz w:val="24"/>
          <w:szCs w:val="24"/>
          <w:lang w:val="en-US"/>
        </w:rPr>
        <w:t>Mr</w:t>
      </w:r>
      <w:proofErr w:type="spellEnd"/>
      <w:r w:rsidR="00894680">
        <w:rPr>
          <w:rFonts w:ascii="Arial" w:hAnsi="Arial" w:cs="Arial"/>
          <w:sz w:val="24"/>
          <w:szCs w:val="24"/>
          <w:lang w:val="en-US"/>
        </w:rPr>
        <w:t xml:space="preserve"> Heathcote submits</w:t>
      </w:r>
      <w:r>
        <w:rPr>
          <w:rFonts w:ascii="Arial" w:hAnsi="Arial" w:cs="Arial"/>
          <w:sz w:val="24"/>
          <w:szCs w:val="24"/>
          <w:lang w:val="en-US"/>
        </w:rPr>
        <w:t xml:space="preserve"> that</w:t>
      </w:r>
      <w:r w:rsidR="00146AF1" w:rsidRPr="00146AF1">
        <w:rPr>
          <w:rFonts w:ascii="Arial" w:hAnsi="Arial" w:cs="Arial"/>
          <w:sz w:val="24"/>
          <w:szCs w:val="24"/>
        </w:rPr>
        <w:t xml:space="preserve"> there was a tacit relocat</w:t>
      </w:r>
      <w:r w:rsidR="00146AF1">
        <w:rPr>
          <w:rFonts w:ascii="Arial" w:hAnsi="Arial" w:cs="Arial"/>
          <w:sz w:val="24"/>
          <w:szCs w:val="24"/>
        </w:rPr>
        <w:t>i</w:t>
      </w:r>
      <w:r w:rsidR="00260388">
        <w:rPr>
          <w:rFonts w:ascii="Arial" w:hAnsi="Arial" w:cs="Arial"/>
          <w:sz w:val="24"/>
          <w:szCs w:val="24"/>
        </w:rPr>
        <w:t xml:space="preserve">on of the </w:t>
      </w:r>
      <w:r w:rsidR="00894680">
        <w:rPr>
          <w:rFonts w:ascii="Arial" w:hAnsi="Arial" w:cs="Arial"/>
          <w:sz w:val="24"/>
          <w:szCs w:val="24"/>
        </w:rPr>
        <w:t xml:space="preserve">Service </w:t>
      </w:r>
      <w:r w:rsidR="00260388">
        <w:rPr>
          <w:rFonts w:ascii="Arial" w:hAnsi="Arial" w:cs="Arial"/>
          <w:sz w:val="24"/>
          <w:szCs w:val="24"/>
        </w:rPr>
        <w:t xml:space="preserve">Agreement after </w:t>
      </w:r>
      <w:r w:rsidR="0083661E">
        <w:rPr>
          <w:rFonts w:ascii="Arial" w:hAnsi="Arial" w:cs="Arial"/>
          <w:sz w:val="24"/>
          <w:szCs w:val="24"/>
        </w:rPr>
        <w:t xml:space="preserve">it </w:t>
      </w:r>
      <w:r w:rsidR="00146AF1" w:rsidRPr="00146AF1">
        <w:rPr>
          <w:rFonts w:ascii="Arial" w:hAnsi="Arial" w:cs="Arial"/>
          <w:sz w:val="24"/>
          <w:szCs w:val="24"/>
        </w:rPr>
        <w:t xml:space="preserve">ended on 30 April 2022 (tacit lease). In other words, </w:t>
      </w:r>
      <w:r w:rsidR="0083661E">
        <w:rPr>
          <w:rFonts w:ascii="Arial" w:hAnsi="Arial" w:cs="Arial"/>
          <w:sz w:val="24"/>
          <w:szCs w:val="24"/>
        </w:rPr>
        <w:t>a new</w:t>
      </w:r>
      <w:r w:rsidR="00146AF1" w:rsidRPr="00146AF1">
        <w:rPr>
          <w:rFonts w:ascii="Arial" w:hAnsi="Arial" w:cs="Arial"/>
          <w:sz w:val="24"/>
          <w:szCs w:val="24"/>
        </w:rPr>
        <w:t xml:space="preserve"> oral agreement came into existence with the terms b</w:t>
      </w:r>
      <w:r>
        <w:rPr>
          <w:rFonts w:ascii="Arial" w:hAnsi="Arial" w:cs="Arial"/>
          <w:sz w:val="24"/>
          <w:szCs w:val="24"/>
        </w:rPr>
        <w:t xml:space="preserve">eing the same as the </w:t>
      </w:r>
      <w:r w:rsidR="00894680">
        <w:rPr>
          <w:rFonts w:ascii="Arial" w:hAnsi="Arial" w:cs="Arial"/>
          <w:sz w:val="24"/>
          <w:szCs w:val="24"/>
        </w:rPr>
        <w:t xml:space="preserve">Service </w:t>
      </w:r>
      <w:r>
        <w:rPr>
          <w:rFonts w:ascii="Arial" w:hAnsi="Arial" w:cs="Arial"/>
          <w:sz w:val="24"/>
          <w:szCs w:val="24"/>
        </w:rPr>
        <w:t>Agreement</w:t>
      </w:r>
      <w:r w:rsidR="00894680">
        <w:rPr>
          <w:rFonts w:ascii="Arial" w:hAnsi="Arial" w:cs="Arial"/>
          <w:sz w:val="24"/>
          <w:szCs w:val="24"/>
        </w:rPr>
        <w:t>. In</w:t>
      </w:r>
      <w:r w:rsidR="00841E4A">
        <w:rPr>
          <w:rFonts w:ascii="Arial" w:hAnsi="Arial" w:cs="Arial"/>
          <w:sz w:val="24"/>
          <w:szCs w:val="24"/>
        </w:rPr>
        <w:t xml:space="preserve"> support of this contention, Mr</w:t>
      </w:r>
      <w:r w:rsidR="00894680">
        <w:rPr>
          <w:rFonts w:ascii="Arial" w:hAnsi="Arial" w:cs="Arial"/>
          <w:sz w:val="24"/>
          <w:szCs w:val="24"/>
        </w:rPr>
        <w:t xml:space="preserve">. Heathcote relied on the case of </w:t>
      </w:r>
      <w:r w:rsidR="00894680" w:rsidRPr="00894680">
        <w:rPr>
          <w:rFonts w:ascii="Arial" w:hAnsi="Arial" w:cs="Arial"/>
          <w:i/>
          <w:sz w:val="24"/>
          <w:szCs w:val="24"/>
        </w:rPr>
        <w:t xml:space="preserve">Golden Fried Chicken (Pty) Ltd v </w:t>
      </w:r>
      <w:proofErr w:type="spellStart"/>
      <w:r w:rsidR="00894680" w:rsidRPr="00894680">
        <w:rPr>
          <w:rFonts w:ascii="Arial" w:hAnsi="Arial" w:cs="Arial"/>
          <w:i/>
          <w:sz w:val="24"/>
          <w:szCs w:val="24"/>
        </w:rPr>
        <w:t>Sirad</w:t>
      </w:r>
      <w:proofErr w:type="spellEnd"/>
      <w:r w:rsidR="00894680" w:rsidRPr="00894680">
        <w:rPr>
          <w:rFonts w:ascii="Arial" w:hAnsi="Arial" w:cs="Arial"/>
          <w:i/>
          <w:sz w:val="24"/>
          <w:szCs w:val="24"/>
        </w:rPr>
        <w:t xml:space="preserve"> Fast Foods CC and Others</w:t>
      </w:r>
      <w:r w:rsidR="00EA0292">
        <w:rPr>
          <w:rFonts w:ascii="Arial" w:hAnsi="Arial" w:cs="Arial"/>
          <w:i/>
          <w:sz w:val="24"/>
          <w:szCs w:val="24"/>
        </w:rPr>
        <w:t>.</w:t>
      </w:r>
      <w:r w:rsidR="00894680">
        <w:rPr>
          <w:rStyle w:val="FootnoteReference"/>
          <w:rFonts w:ascii="Arial" w:hAnsi="Arial" w:cs="Arial"/>
          <w:sz w:val="24"/>
          <w:szCs w:val="24"/>
        </w:rPr>
        <w:footnoteReference w:id="4"/>
      </w:r>
      <w:r w:rsidR="00894680" w:rsidRPr="00894680">
        <w:rPr>
          <w:rFonts w:ascii="Arial" w:hAnsi="Arial" w:cs="Arial"/>
          <w:sz w:val="24"/>
          <w:szCs w:val="24"/>
        </w:rPr>
        <w:t xml:space="preserve"> </w:t>
      </w:r>
      <w:r>
        <w:rPr>
          <w:rFonts w:ascii="Arial" w:hAnsi="Arial" w:cs="Arial"/>
          <w:sz w:val="24"/>
          <w:szCs w:val="24"/>
        </w:rPr>
        <w:t xml:space="preserve"> </w:t>
      </w:r>
    </w:p>
    <w:p w14:paraId="6E8B1DE6" w14:textId="77777777" w:rsidR="00260388" w:rsidRDefault="00260388" w:rsidP="00260388">
      <w:pPr>
        <w:pStyle w:val="ListParagraph"/>
        <w:spacing w:line="360" w:lineRule="auto"/>
        <w:ind w:left="0"/>
        <w:jc w:val="both"/>
        <w:rPr>
          <w:rFonts w:ascii="Arial" w:hAnsi="Arial" w:cs="Arial"/>
          <w:sz w:val="24"/>
          <w:szCs w:val="24"/>
        </w:rPr>
      </w:pPr>
    </w:p>
    <w:p w14:paraId="6A06E315" w14:textId="77777777" w:rsidR="00260388" w:rsidRDefault="0083661E" w:rsidP="00D31945">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He further submits that because </w:t>
      </w:r>
      <w:r w:rsidRPr="0083661E">
        <w:rPr>
          <w:rFonts w:ascii="Arial" w:hAnsi="Arial" w:cs="Arial"/>
          <w:sz w:val="24"/>
          <w:szCs w:val="24"/>
        </w:rPr>
        <w:t>the n</w:t>
      </w:r>
      <w:r>
        <w:rPr>
          <w:rFonts w:ascii="Arial" w:hAnsi="Arial" w:cs="Arial"/>
          <w:sz w:val="24"/>
          <w:szCs w:val="24"/>
        </w:rPr>
        <w:t xml:space="preserve">ew oral agreement which came into existence between NAC and Menzies </w:t>
      </w:r>
      <w:r w:rsidR="00EA0292">
        <w:rPr>
          <w:rFonts w:ascii="Arial" w:hAnsi="Arial" w:cs="Arial"/>
          <w:sz w:val="24"/>
          <w:szCs w:val="24"/>
        </w:rPr>
        <w:t xml:space="preserve">does not provide for the period to cancel the agreement and </w:t>
      </w:r>
      <w:r>
        <w:rPr>
          <w:rFonts w:ascii="Arial" w:hAnsi="Arial" w:cs="Arial"/>
          <w:sz w:val="24"/>
          <w:szCs w:val="24"/>
        </w:rPr>
        <w:t>notice to vacate, he holds the view that the Rent Ordinance</w:t>
      </w:r>
      <w:r w:rsidR="00260388" w:rsidRPr="00260388">
        <w:rPr>
          <w:rFonts w:ascii="Arial" w:hAnsi="Arial" w:cs="Arial"/>
          <w:sz w:val="24"/>
          <w:szCs w:val="24"/>
        </w:rPr>
        <w:t xml:space="preserve"> 13 of 1977, and </w:t>
      </w:r>
      <w:r>
        <w:rPr>
          <w:rFonts w:ascii="Arial" w:hAnsi="Arial" w:cs="Arial"/>
          <w:sz w:val="24"/>
          <w:szCs w:val="24"/>
        </w:rPr>
        <w:t xml:space="preserve">more </w:t>
      </w:r>
      <w:r w:rsidR="00260388" w:rsidRPr="00260388">
        <w:rPr>
          <w:rFonts w:ascii="Arial" w:hAnsi="Arial" w:cs="Arial"/>
          <w:sz w:val="24"/>
          <w:szCs w:val="24"/>
        </w:rPr>
        <w:t>specifically section 32 thereof, comes into play</w:t>
      </w:r>
      <w:r w:rsidR="003651CA">
        <w:rPr>
          <w:rFonts w:ascii="Arial" w:hAnsi="Arial" w:cs="Arial"/>
          <w:sz w:val="24"/>
          <w:szCs w:val="24"/>
        </w:rPr>
        <w:t>,</w:t>
      </w:r>
      <w:r w:rsidR="00260388" w:rsidRPr="00260388">
        <w:rPr>
          <w:rFonts w:ascii="Arial" w:hAnsi="Arial" w:cs="Arial"/>
          <w:sz w:val="24"/>
          <w:szCs w:val="24"/>
        </w:rPr>
        <w:t xml:space="preserve"> which provides as follows: </w:t>
      </w:r>
    </w:p>
    <w:p w14:paraId="25429770" w14:textId="77777777" w:rsidR="00260388" w:rsidRPr="00260388" w:rsidRDefault="00260388" w:rsidP="00260388">
      <w:pPr>
        <w:pStyle w:val="ListParagraph"/>
        <w:rPr>
          <w:rFonts w:ascii="Arial" w:hAnsi="Arial" w:cs="Arial"/>
          <w:sz w:val="24"/>
          <w:szCs w:val="24"/>
        </w:rPr>
      </w:pPr>
    </w:p>
    <w:p w14:paraId="06B8725E" w14:textId="77777777" w:rsidR="0083661E" w:rsidRPr="005635EE" w:rsidRDefault="00523447" w:rsidP="00260388">
      <w:pPr>
        <w:pStyle w:val="ListParagraph"/>
        <w:spacing w:line="360" w:lineRule="auto"/>
        <w:ind w:left="0" w:firstLine="720"/>
        <w:jc w:val="both"/>
        <w:rPr>
          <w:rFonts w:ascii="Arial" w:hAnsi="Arial" w:cs="Arial"/>
        </w:rPr>
      </w:pPr>
      <w:r>
        <w:rPr>
          <w:rFonts w:ascii="Arial" w:hAnsi="Arial" w:cs="Arial"/>
        </w:rPr>
        <w:t>‘</w:t>
      </w:r>
      <w:r w:rsidR="00DC2011">
        <w:rPr>
          <w:rFonts w:ascii="Arial" w:hAnsi="Arial" w:cs="Arial"/>
        </w:rPr>
        <w:t xml:space="preserve">32. </w:t>
      </w:r>
      <w:r w:rsidR="00260388" w:rsidRPr="005635EE">
        <w:rPr>
          <w:rFonts w:ascii="Arial" w:hAnsi="Arial" w:cs="Arial"/>
        </w:rPr>
        <w:t xml:space="preserve">(1) </w:t>
      </w:r>
      <w:r w:rsidR="00DC2011">
        <w:rPr>
          <w:rFonts w:ascii="Arial" w:hAnsi="Arial" w:cs="Arial"/>
        </w:rPr>
        <w:t>(a) (</w:t>
      </w:r>
      <w:proofErr w:type="spellStart"/>
      <w:r w:rsidR="00DC2011">
        <w:rPr>
          <w:rFonts w:ascii="Arial" w:hAnsi="Arial" w:cs="Arial"/>
        </w:rPr>
        <w:t>i</w:t>
      </w:r>
      <w:proofErr w:type="spellEnd"/>
      <w:r w:rsidR="00DC2011">
        <w:rPr>
          <w:rFonts w:ascii="Arial" w:hAnsi="Arial" w:cs="Arial"/>
        </w:rPr>
        <w:t xml:space="preserve">) </w:t>
      </w:r>
      <w:r w:rsidR="00260388" w:rsidRPr="005635EE">
        <w:rPr>
          <w:rFonts w:ascii="Arial" w:hAnsi="Arial" w:cs="Arial"/>
        </w:rPr>
        <w:t xml:space="preserve">When a lessor gives notice to a lessee to vacate business premises or a dwelling, such lessor shall </w:t>
      </w:r>
    </w:p>
    <w:p w14:paraId="6D0828FB" w14:textId="77777777" w:rsidR="00DC2011" w:rsidRDefault="00260388" w:rsidP="00DC2011">
      <w:pPr>
        <w:pStyle w:val="ListParagraph"/>
        <w:numPr>
          <w:ilvl w:val="0"/>
          <w:numId w:val="12"/>
        </w:numPr>
        <w:spacing w:line="360" w:lineRule="auto"/>
        <w:jc w:val="both"/>
        <w:rPr>
          <w:rFonts w:ascii="Arial" w:hAnsi="Arial" w:cs="Arial"/>
        </w:rPr>
      </w:pPr>
      <w:r w:rsidRPr="005635EE">
        <w:rPr>
          <w:rFonts w:ascii="Arial" w:hAnsi="Arial" w:cs="Arial"/>
        </w:rPr>
        <w:t xml:space="preserve">in the case of business premises, give notice of at least 1 year; and </w:t>
      </w:r>
    </w:p>
    <w:p w14:paraId="6D192529" w14:textId="77777777" w:rsidR="00DC2011" w:rsidRDefault="00DC2011" w:rsidP="00DC2011">
      <w:pPr>
        <w:pStyle w:val="ListParagraph"/>
        <w:numPr>
          <w:ilvl w:val="0"/>
          <w:numId w:val="12"/>
        </w:numPr>
        <w:spacing w:line="360" w:lineRule="auto"/>
        <w:jc w:val="both"/>
        <w:rPr>
          <w:rFonts w:ascii="Arial" w:hAnsi="Arial" w:cs="Arial"/>
        </w:rPr>
      </w:pPr>
      <w:r>
        <w:rPr>
          <w:rFonts w:ascii="Arial" w:hAnsi="Arial" w:cs="Arial"/>
        </w:rPr>
        <w:t>…</w:t>
      </w:r>
    </w:p>
    <w:p w14:paraId="78B37906" w14:textId="77777777" w:rsidR="005635EE" w:rsidRPr="00DC2011" w:rsidRDefault="00260388" w:rsidP="00DC2011">
      <w:pPr>
        <w:spacing w:line="360" w:lineRule="auto"/>
        <w:jc w:val="both"/>
        <w:rPr>
          <w:rFonts w:ascii="Arial" w:hAnsi="Arial" w:cs="Arial"/>
        </w:rPr>
      </w:pPr>
      <w:r w:rsidRPr="00DC2011">
        <w:rPr>
          <w:rFonts w:ascii="Arial" w:hAnsi="Arial" w:cs="Arial"/>
        </w:rPr>
        <w:t>irrespective of whether the lease provides for a period of notice o</w:t>
      </w:r>
      <w:r w:rsidR="00DC2011">
        <w:rPr>
          <w:rFonts w:ascii="Arial" w:hAnsi="Arial" w:cs="Arial"/>
        </w:rPr>
        <w:t>r not: P</w:t>
      </w:r>
      <w:r w:rsidRPr="00DC2011">
        <w:rPr>
          <w:rFonts w:ascii="Arial" w:hAnsi="Arial" w:cs="Arial"/>
        </w:rPr>
        <w:t xml:space="preserve">rovided that </w:t>
      </w:r>
    </w:p>
    <w:p w14:paraId="1836C103" w14:textId="77777777" w:rsidR="00260388" w:rsidRPr="005635EE" w:rsidRDefault="00260388" w:rsidP="0083661E">
      <w:pPr>
        <w:pStyle w:val="ListParagraph"/>
        <w:spacing w:line="360" w:lineRule="auto"/>
        <w:ind w:left="0"/>
        <w:jc w:val="both"/>
        <w:rPr>
          <w:rFonts w:ascii="Arial" w:hAnsi="Arial" w:cs="Arial"/>
        </w:rPr>
      </w:pPr>
      <w:r w:rsidRPr="005635EE">
        <w:rPr>
          <w:rFonts w:ascii="Arial" w:hAnsi="Arial" w:cs="Arial"/>
        </w:rPr>
        <w:t>(</w:t>
      </w:r>
      <w:proofErr w:type="spellStart"/>
      <w:r w:rsidRPr="005635EE">
        <w:rPr>
          <w:rFonts w:ascii="Arial" w:hAnsi="Arial" w:cs="Arial"/>
        </w:rPr>
        <w:t>i</w:t>
      </w:r>
      <w:proofErr w:type="spellEnd"/>
      <w:r w:rsidRPr="005635EE">
        <w:rPr>
          <w:rFonts w:ascii="Arial" w:hAnsi="Arial" w:cs="Arial"/>
        </w:rPr>
        <w:t>) the lessee of business premises or of a dwelling may consent in writing on a later date than the commencement or renewal of the lease to a shorter period of notice than that p</w:t>
      </w:r>
      <w:r w:rsidR="005635EE" w:rsidRPr="005635EE">
        <w:rPr>
          <w:rFonts w:ascii="Arial" w:hAnsi="Arial" w:cs="Arial"/>
        </w:rPr>
        <w:t>rovide for in this section; and…’</w:t>
      </w:r>
    </w:p>
    <w:p w14:paraId="07973DE0" w14:textId="77777777" w:rsidR="00260388" w:rsidRPr="00260388" w:rsidRDefault="00260388" w:rsidP="00260388">
      <w:pPr>
        <w:pStyle w:val="ListParagraph"/>
        <w:rPr>
          <w:rFonts w:ascii="Arial" w:hAnsi="Arial" w:cs="Arial"/>
          <w:sz w:val="24"/>
          <w:szCs w:val="24"/>
        </w:rPr>
      </w:pPr>
    </w:p>
    <w:p w14:paraId="502D6D2D" w14:textId="77777777" w:rsidR="00CA2074" w:rsidRDefault="005635EE" w:rsidP="005635EE">
      <w:pPr>
        <w:pStyle w:val="ListParagraph"/>
        <w:numPr>
          <w:ilvl w:val="0"/>
          <w:numId w:val="1"/>
        </w:numPr>
        <w:spacing w:line="360" w:lineRule="auto"/>
        <w:ind w:left="0" w:firstLine="0"/>
        <w:jc w:val="both"/>
        <w:rPr>
          <w:rFonts w:ascii="Arial" w:hAnsi="Arial" w:cs="Arial"/>
          <w:sz w:val="24"/>
          <w:szCs w:val="24"/>
        </w:rPr>
      </w:pPr>
      <w:r w:rsidRPr="00674641">
        <w:rPr>
          <w:rFonts w:ascii="Arial" w:hAnsi="Arial" w:cs="Arial"/>
          <w:sz w:val="24"/>
          <w:szCs w:val="24"/>
        </w:rPr>
        <w:t xml:space="preserve">In </w:t>
      </w:r>
      <w:r w:rsidR="00B218B7" w:rsidRPr="00674641">
        <w:rPr>
          <w:rFonts w:ascii="Arial" w:hAnsi="Arial" w:cs="Arial"/>
          <w:sz w:val="24"/>
          <w:szCs w:val="24"/>
        </w:rPr>
        <w:t>summation</w:t>
      </w:r>
      <w:r w:rsidR="00841E4A" w:rsidRPr="00674641">
        <w:rPr>
          <w:rFonts w:ascii="Arial" w:hAnsi="Arial" w:cs="Arial"/>
          <w:sz w:val="24"/>
          <w:szCs w:val="24"/>
        </w:rPr>
        <w:t>, Mr</w:t>
      </w:r>
      <w:r w:rsidRPr="00674641">
        <w:rPr>
          <w:rFonts w:ascii="Arial" w:hAnsi="Arial" w:cs="Arial"/>
          <w:sz w:val="24"/>
          <w:szCs w:val="24"/>
        </w:rPr>
        <w:t xml:space="preserve"> Heathcote submits </w:t>
      </w:r>
      <w:proofErr w:type="gramStart"/>
      <w:r w:rsidRPr="00674641">
        <w:rPr>
          <w:rFonts w:ascii="Arial" w:hAnsi="Arial" w:cs="Arial"/>
          <w:sz w:val="24"/>
          <w:szCs w:val="24"/>
        </w:rPr>
        <w:t>that  the</w:t>
      </w:r>
      <w:proofErr w:type="gramEnd"/>
      <w:r w:rsidRPr="00674641">
        <w:rPr>
          <w:rFonts w:ascii="Arial" w:hAnsi="Arial" w:cs="Arial"/>
          <w:sz w:val="24"/>
          <w:szCs w:val="24"/>
        </w:rPr>
        <w:t xml:space="preserve"> NAC has no cause of action and that this application, even if the Service Agreement would have come to an e</w:t>
      </w:r>
      <w:r w:rsidR="00523447">
        <w:rPr>
          <w:rFonts w:ascii="Arial" w:hAnsi="Arial" w:cs="Arial"/>
          <w:sz w:val="24"/>
          <w:szCs w:val="24"/>
        </w:rPr>
        <w:t xml:space="preserve">nd on  30 June 2022, is at best, </w:t>
      </w:r>
      <w:r w:rsidRPr="00674641">
        <w:rPr>
          <w:rFonts w:ascii="Arial" w:hAnsi="Arial" w:cs="Arial"/>
          <w:sz w:val="24"/>
          <w:szCs w:val="24"/>
        </w:rPr>
        <w:t>premature.</w:t>
      </w:r>
      <w:r w:rsidRPr="005635EE">
        <w:t xml:space="preserve"> </w:t>
      </w:r>
      <w:r w:rsidRPr="00674641">
        <w:rPr>
          <w:rFonts w:ascii="Arial" w:hAnsi="Arial" w:cs="Arial"/>
          <w:sz w:val="24"/>
          <w:szCs w:val="24"/>
        </w:rPr>
        <w:t>For this reason alone</w:t>
      </w:r>
      <w:r w:rsidR="00523447">
        <w:rPr>
          <w:rFonts w:ascii="Arial" w:hAnsi="Arial" w:cs="Arial"/>
          <w:sz w:val="24"/>
          <w:szCs w:val="24"/>
        </w:rPr>
        <w:t>,</w:t>
      </w:r>
      <w:r w:rsidRPr="00674641">
        <w:rPr>
          <w:rFonts w:ascii="Arial" w:hAnsi="Arial" w:cs="Arial"/>
          <w:sz w:val="24"/>
          <w:szCs w:val="24"/>
        </w:rPr>
        <w:t xml:space="preserve"> the application is an abuse of process, and stands to be dismissed with costs, so he submits.</w:t>
      </w:r>
      <w:r w:rsidR="0036681F" w:rsidRPr="00674641">
        <w:rPr>
          <w:rFonts w:ascii="Arial" w:hAnsi="Arial" w:cs="Arial"/>
          <w:sz w:val="24"/>
          <w:szCs w:val="24"/>
        </w:rPr>
        <w:t xml:space="preserve"> This is dealt with as </w:t>
      </w:r>
      <w:r w:rsidR="00523447">
        <w:rPr>
          <w:rFonts w:ascii="Arial" w:hAnsi="Arial" w:cs="Arial"/>
          <w:sz w:val="24"/>
          <w:szCs w:val="24"/>
        </w:rPr>
        <w:t xml:space="preserve">the </w:t>
      </w:r>
      <w:r w:rsidR="0036681F" w:rsidRPr="00674641">
        <w:rPr>
          <w:rFonts w:ascii="Arial" w:hAnsi="Arial" w:cs="Arial"/>
          <w:sz w:val="24"/>
          <w:szCs w:val="24"/>
        </w:rPr>
        <w:t xml:space="preserve">judgment unfolds. </w:t>
      </w:r>
    </w:p>
    <w:p w14:paraId="79C23707" w14:textId="77777777" w:rsidR="00CA2074" w:rsidRDefault="00CA2074" w:rsidP="00CA2074">
      <w:pPr>
        <w:pStyle w:val="ListParagraph"/>
        <w:spacing w:line="360" w:lineRule="auto"/>
        <w:ind w:left="0"/>
        <w:jc w:val="both"/>
        <w:rPr>
          <w:rFonts w:ascii="Arial" w:hAnsi="Arial" w:cs="Arial"/>
          <w:sz w:val="24"/>
          <w:szCs w:val="24"/>
        </w:rPr>
      </w:pPr>
    </w:p>
    <w:p w14:paraId="2AC60606" w14:textId="77777777" w:rsidR="00523447" w:rsidRDefault="00523447" w:rsidP="00CA2074">
      <w:pPr>
        <w:pStyle w:val="ListParagraph"/>
        <w:spacing w:line="360" w:lineRule="auto"/>
        <w:ind w:left="0"/>
        <w:jc w:val="both"/>
        <w:rPr>
          <w:rFonts w:ascii="Arial" w:hAnsi="Arial" w:cs="Arial"/>
          <w:sz w:val="24"/>
          <w:szCs w:val="24"/>
          <w:u w:val="single"/>
        </w:rPr>
      </w:pPr>
    </w:p>
    <w:p w14:paraId="09E1DF09" w14:textId="77777777" w:rsidR="005635EE" w:rsidRPr="00CA2074" w:rsidRDefault="00260388" w:rsidP="00CA2074">
      <w:pPr>
        <w:pStyle w:val="ListParagraph"/>
        <w:spacing w:line="360" w:lineRule="auto"/>
        <w:ind w:left="0"/>
        <w:jc w:val="both"/>
        <w:rPr>
          <w:rFonts w:ascii="Arial" w:hAnsi="Arial" w:cs="Arial"/>
          <w:sz w:val="24"/>
          <w:szCs w:val="24"/>
        </w:rPr>
      </w:pPr>
      <w:r w:rsidRPr="00CA2074">
        <w:rPr>
          <w:rFonts w:ascii="Arial" w:hAnsi="Arial" w:cs="Arial"/>
          <w:sz w:val="24"/>
          <w:szCs w:val="24"/>
          <w:u w:val="single"/>
        </w:rPr>
        <w:lastRenderedPageBreak/>
        <w:t>Urgency</w:t>
      </w:r>
    </w:p>
    <w:p w14:paraId="3936215B" w14:textId="77777777" w:rsidR="005635EE" w:rsidRPr="005635EE" w:rsidRDefault="005635EE" w:rsidP="005635EE">
      <w:pPr>
        <w:pStyle w:val="ListParagraph"/>
        <w:spacing w:line="360" w:lineRule="auto"/>
        <w:ind w:left="0"/>
        <w:jc w:val="both"/>
        <w:rPr>
          <w:rFonts w:ascii="Arial" w:hAnsi="Arial" w:cs="Arial"/>
          <w:sz w:val="24"/>
          <w:szCs w:val="24"/>
          <w:u w:val="single"/>
        </w:rPr>
      </w:pPr>
    </w:p>
    <w:p w14:paraId="6CAA65AA" w14:textId="77777777" w:rsidR="00260388" w:rsidRDefault="00260388" w:rsidP="00D31945">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In respect of urgency, the argume</w:t>
      </w:r>
      <w:r w:rsidR="00592243">
        <w:rPr>
          <w:rFonts w:ascii="Arial" w:hAnsi="Arial" w:cs="Arial"/>
          <w:sz w:val="24"/>
          <w:szCs w:val="24"/>
        </w:rPr>
        <w:t>nts from the respective counsel</w:t>
      </w:r>
      <w:r>
        <w:rPr>
          <w:rFonts w:ascii="Arial" w:hAnsi="Arial" w:cs="Arial"/>
          <w:sz w:val="24"/>
          <w:szCs w:val="24"/>
        </w:rPr>
        <w:t xml:space="preserve"> were straightforward and brief. However, for the sake of completeness, I </w:t>
      </w:r>
      <w:r w:rsidR="00592243">
        <w:rPr>
          <w:rFonts w:ascii="Arial" w:hAnsi="Arial" w:cs="Arial"/>
          <w:sz w:val="24"/>
          <w:szCs w:val="24"/>
        </w:rPr>
        <w:t xml:space="preserve">will </w:t>
      </w:r>
      <w:r w:rsidR="00523447">
        <w:rPr>
          <w:rFonts w:ascii="Arial" w:hAnsi="Arial" w:cs="Arial"/>
          <w:sz w:val="24"/>
          <w:szCs w:val="24"/>
        </w:rPr>
        <w:t>highlight r</w:t>
      </w:r>
      <w:r>
        <w:rPr>
          <w:rFonts w:ascii="Arial" w:hAnsi="Arial" w:cs="Arial"/>
          <w:sz w:val="24"/>
          <w:szCs w:val="24"/>
        </w:rPr>
        <w:t>ule 73</w:t>
      </w:r>
      <w:r w:rsidR="008C3C4C">
        <w:rPr>
          <w:rFonts w:ascii="Arial" w:hAnsi="Arial" w:cs="Arial"/>
          <w:sz w:val="24"/>
          <w:szCs w:val="24"/>
        </w:rPr>
        <w:t>(4), which is the golden rule for</w:t>
      </w:r>
      <w:r>
        <w:rPr>
          <w:rFonts w:ascii="Arial" w:hAnsi="Arial" w:cs="Arial"/>
          <w:sz w:val="24"/>
          <w:szCs w:val="24"/>
        </w:rPr>
        <w:t xml:space="preserve"> urgent applications</w:t>
      </w:r>
      <w:r w:rsidR="00765849">
        <w:rPr>
          <w:rFonts w:ascii="Arial" w:hAnsi="Arial" w:cs="Arial"/>
          <w:sz w:val="24"/>
          <w:szCs w:val="24"/>
        </w:rPr>
        <w:t xml:space="preserve">, </w:t>
      </w:r>
      <w:r w:rsidR="00C31DAF">
        <w:rPr>
          <w:rFonts w:ascii="Arial" w:hAnsi="Arial" w:cs="Arial"/>
          <w:sz w:val="24"/>
          <w:szCs w:val="24"/>
        </w:rPr>
        <w:t xml:space="preserve">and </w:t>
      </w:r>
      <w:r w:rsidR="00765849">
        <w:rPr>
          <w:rFonts w:ascii="Arial" w:hAnsi="Arial" w:cs="Arial"/>
          <w:sz w:val="24"/>
          <w:szCs w:val="24"/>
        </w:rPr>
        <w:t xml:space="preserve">it </w:t>
      </w:r>
      <w:r>
        <w:rPr>
          <w:rFonts w:ascii="Arial" w:hAnsi="Arial" w:cs="Arial"/>
          <w:sz w:val="24"/>
          <w:szCs w:val="24"/>
        </w:rPr>
        <w:t>provides that:</w:t>
      </w:r>
    </w:p>
    <w:p w14:paraId="600B2125" w14:textId="77777777" w:rsidR="00AF24EB" w:rsidRDefault="00AF24EB" w:rsidP="00AF24EB">
      <w:pPr>
        <w:pStyle w:val="ListParagraph"/>
        <w:spacing w:line="360" w:lineRule="auto"/>
        <w:ind w:left="0"/>
        <w:jc w:val="both"/>
        <w:rPr>
          <w:rFonts w:ascii="Arial" w:hAnsi="Arial" w:cs="Arial"/>
          <w:sz w:val="24"/>
          <w:szCs w:val="24"/>
        </w:rPr>
      </w:pPr>
    </w:p>
    <w:p w14:paraId="260361FC" w14:textId="77777777" w:rsidR="00AF24EB" w:rsidRDefault="00AF24EB" w:rsidP="00AF24EB">
      <w:pPr>
        <w:pStyle w:val="ListParagraph"/>
        <w:spacing w:line="360" w:lineRule="auto"/>
        <w:ind w:left="0" w:firstLine="720"/>
        <w:jc w:val="both"/>
        <w:rPr>
          <w:rFonts w:ascii="Arial" w:hAnsi="Arial" w:cs="Arial"/>
        </w:rPr>
      </w:pPr>
      <w:r w:rsidRPr="00AF24EB">
        <w:rPr>
          <w:rFonts w:ascii="Arial" w:hAnsi="Arial" w:cs="Arial"/>
        </w:rPr>
        <w:t xml:space="preserve">‘(4) In an affidavit filed in support of an application under subrule (1), the applicant must set out explicitly – </w:t>
      </w:r>
    </w:p>
    <w:p w14:paraId="6AD2B658" w14:textId="77777777" w:rsidR="00AF24EB" w:rsidRDefault="00AF24EB" w:rsidP="00AF24EB">
      <w:pPr>
        <w:spacing w:line="360" w:lineRule="auto"/>
        <w:jc w:val="both"/>
        <w:rPr>
          <w:rFonts w:ascii="Arial" w:hAnsi="Arial" w:cs="Arial"/>
        </w:rPr>
      </w:pPr>
      <w:r w:rsidRPr="00AF24EB">
        <w:rPr>
          <w:rFonts w:ascii="Arial" w:hAnsi="Arial" w:cs="Arial"/>
        </w:rPr>
        <w:t xml:space="preserve">(a) the circumstances which he or she avers render the matter urgent; and </w:t>
      </w:r>
    </w:p>
    <w:p w14:paraId="30AA37D8" w14:textId="77777777" w:rsidR="00AF24EB" w:rsidRPr="00AF24EB" w:rsidRDefault="00AF24EB" w:rsidP="00AF24EB">
      <w:pPr>
        <w:spacing w:line="360" w:lineRule="auto"/>
        <w:jc w:val="both"/>
        <w:rPr>
          <w:rFonts w:ascii="Arial" w:hAnsi="Arial" w:cs="Arial"/>
        </w:rPr>
      </w:pPr>
      <w:r w:rsidRPr="00AF24EB">
        <w:rPr>
          <w:rFonts w:ascii="Arial" w:hAnsi="Arial" w:cs="Arial"/>
        </w:rPr>
        <w:t>(b) the reasons why he or she claims he or she could not be afforded substantial redress at a hearing in due course</w:t>
      </w:r>
      <w:r w:rsidRPr="00AF24EB">
        <w:rPr>
          <w:rFonts w:ascii="Arial" w:hAnsi="Arial" w:cs="Arial"/>
          <w:sz w:val="24"/>
          <w:szCs w:val="24"/>
        </w:rPr>
        <w:t>.</w:t>
      </w:r>
      <w:r>
        <w:rPr>
          <w:rFonts w:ascii="Arial" w:hAnsi="Arial" w:cs="Arial"/>
          <w:sz w:val="24"/>
          <w:szCs w:val="24"/>
        </w:rPr>
        <w:t>’</w:t>
      </w:r>
    </w:p>
    <w:p w14:paraId="0D2D2646" w14:textId="77777777" w:rsidR="00016454" w:rsidRDefault="00016454" w:rsidP="00016454">
      <w:pPr>
        <w:pStyle w:val="ListParagraph"/>
        <w:spacing w:line="360" w:lineRule="auto"/>
        <w:ind w:left="0"/>
        <w:jc w:val="both"/>
        <w:rPr>
          <w:rFonts w:ascii="Arial" w:hAnsi="Arial" w:cs="Arial"/>
          <w:sz w:val="24"/>
          <w:szCs w:val="24"/>
        </w:rPr>
      </w:pPr>
    </w:p>
    <w:p w14:paraId="182205E0" w14:textId="77777777" w:rsidR="005B63F6" w:rsidRDefault="00AF24EB" w:rsidP="00AF24EB">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Mr</w:t>
      </w:r>
      <w:r w:rsidR="003A6F39">
        <w:rPr>
          <w:rFonts w:ascii="Arial" w:hAnsi="Arial" w:cs="Arial"/>
          <w:sz w:val="24"/>
          <w:szCs w:val="24"/>
        </w:rPr>
        <w:t xml:space="preserve"> </w:t>
      </w:r>
      <w:proofErr w:type="spellStart"/>
      <w:r w:rsidR="003A6F39">
        <w:rPr>
          <w:rFonts w:ascii="Arial" w:hAnsi="Arial" w:cs="Arial"/>
          <w:sz w:val="24"/>
          <w:szCs w:val="24"/>
        </w:rPr>
        <w:t>Bhana</w:t>
      </w:r>
      <w:proofErr w:type="spellEnd"/>
      <w:r w:rsidR="003A6F39">
        <w:rPr>
          <w:rFonts w:ascii="Arial" w:hAnsi="Arial" w:cs="Arial"/>
          <w:sz w:val="24"/>
          <w:szCs w:val="24"/>
        </w:rPr>
        <w:t xml:space="preserve"> emphatically argued </w:t>
      </w:r>
      <w:proofErr w:type="gramStart"/>
      <w:r w:rsidR="003A6F39">
        <w:rPr>
          <w:rFonts w:ascii="Arial" w:hAnsi="Arial" w:cs="Arial"/>
          <w:sz w:val="24"/>
          <w:szCs w:val="24"/>
        </w:rPr>
        <w:t>that,</w:t>
      </w:r>
      <w:proofErr w:type="gramEnd"/>
      <w:r w:rsidR="003A6F39">
        <w:rPr>
          <w:rFonts w:ascii="Arial" w:hAnsi="Arial" w:cs="Arial"/>
          <w:sz w:val="24"/>
          <w:szCs w:val="24"/>
        </w:rPr>
        <w:t xml:space="preserve"> </w:t>
      </w:r>
      <w:r w:rsidR="003A6F39" w:rsidRPr="003A6F39">
        <w:rPr>
          <w:rFonts w:ascii="Arial" w:hAnsi="Arial" w:cs="Arial"/>
          <w:sz w:val="24"/>
          <w:szCs w:val="24"/>
        </w:rPr>
        <w:t>Menzies has no legal right to o</w:t>
      </w:r>
      <w:r w:rsidR="00523447">
        <w:rPr>
          <w:rFonts w:ascii="Arial" w:hAnsi="Arial" w:cs="Arial"/>
          <w:sz w:val="24"/>
          <w:szCs w:val="24"/>
        </w:rPr>
        <w:t>ccupy HKIA and provide ground</w:t>
      </w:r>
      <w:r w:rsidR="003A6F39" w:rsidRPr="003A6F39">
        <w:rPr>
          <w:rFonts w:ascii="Arial" w:hAnsi="Arial" w:cs="Arial"/>
          <w:sz w:val="24"/>
          <w:szCs w:val="24"/>
        </w:rPr>
        <w:t xml:space="preserve"> handling ser</w:t>
      </w:r>
      <w:r w:rsidR="003A6F39">
        <w:rPr>
          <w:rFonts w:ascii="Arial" w:hAnsi="Arial" w:cs="Arial"/>
          <w:sz w:val="24"/>
          <w:szCs w:val="24"/>
        </w:rPr>
        <w:t xml:space="preserve">vices after 30 June 2022. </w:t>
      </w:r>
      <w:r w:rsidR="003A6F39" w:rsidRPr="003A6F39">
        <w:rPr>
          <w:rFonts w:ascii="Arial" w:hAnsi="Arial" w:cs="Arial"/>
          <w:sz w:val="24"/>
          <w:szCs w:val="24"/>
        </w:rPr>
        <w:t>At the same time</w:t>
      </w:r>
      <w:r w:rsidR="005B63F6">
        <w:rPr>
          <w:rFonts w:ascii="Arial" w:hAnsi="Arial" w:cs="Arial"/>
          <w:sz w:val="24"/>
          <w:szCs w:val="24"/>
        </w:rPr>
        <w:t>, however, NAC which</w:t>
      </w:r>
      <w:r w:rsidR="003A6F39" w:rsidRPr="003A6F39">
        <w:rPr>
          <w:rFonts w:ascii="Arial" w:hAnsi="Arial" w:cs="Arial"/>
          <w:sz w:val="24"/>
          <w:szCs w:val="24"/>
        </w:rPr>
        <w:t xml:space="preserve"> must act on behalf of the interests of</w:t>
      </w:r>
      <w:r>
        <w:rPr>
          <w:rFonts w:ascii="Arial" w:hAnsi="Arial" w:cs="Arial"/>
          <w:sz w:val="24"/>
          <w:szCs w:val="24"/>
        </w:rPr>
        <w:t xml:space="preserve"> </w:t>
      </w:r>
      <w:r w:rsidR="005B63F6">
        <w:rPr>
          <w:rFonts w:ascii="Arial" w:hAnsi="Arial" w:cs="Arial"/>
          <w:sz w:val="24"/>
          <w:szCs w:val="24"/>
        </w:rPr>
        <w:t xml:space="preserve">the Namibian people and </w:t>
      </w:r>
      <w:r>
        <w:rPr>
          <w:rFonts w:ascii="Arial" w:hAnsi="Arial" w:cs="Arial"/>
          <w:sz w:val="24"/>
          <w:szCs w:val="24"/>
        </w:rPr>
        <w:t xml:space="preserve">HKIA </w:t>
      </w:r>
      <w:r w:rsidR="003A6F39" w:rsidRPr="003A6F39">
        <w:rPr>
          <w:rFonts w:ascii="Arial" w:hAnsi="Arial" w:cs="Arial"/>
          <w:sz w:val="24"/>
          <w:szCs w:val="24"/>
        </w:rPr>
        <w:t xml:space="preserve">cannot wait for a hearing in the ordinary course to vindicate its rights that would only occur </w:t>
      </w:r>
      <w:r w:rsidR="005B63F6">
        <w:rPr>
          <w:rFonts w:ascii="Arial" w:hAnsi="Arial" w:cs="Arial"/>
          <w:sz w:val="24"/>
          <w:szCs w:val="24"/>
        </w:rPr>
        <w:t xml:space="preserve">way after </w:t>
      </w:r>
      <w:r w:rsidR="003A6F39" w:rsidRPr="003A6F39">
        <w:rPr>
          <w:rFonts w:ascii="Arial" w:hAnsi="Arial" w:cs="Arial"/>
          <w:sz w:val="24"/>
          <w:szCs w:val="24"/>
        </w:rPr>
        <w:t>30 June</w:t>
      </w:r>
      <w:r w:rsidR="003A6F39">
        <w:rPr>
          <w:rFonts w:ascii="Arial" w:hAnsi="Arial" w:cs="Arial"/>
          <w:sz w:val="24"/>
          <w:szCs w:val="24"/>
        </w:rPr>
        <w:t xml:space="preserve"> 2022</w:t>
      </w:r>
      <w:r w:rsidR="003A6F39" w:rsidRPr="003A6F39">
        <w:rPr>
          <w:rFonts w:ascii="Arial" w:hAnsi="Arial" w:cs="Arial"/>
          <w:sz w:val="24"/>
          <w:szCs w:val="24"/>
        </w:rPr>
        <w:t>. NAC, HKIA and the Namibian people will suffer severe and irreparable harm if Menzies continues to occupy HKIA and frustrates the smooth transition of groun</w:t>
      </w:r>
      <w:r w:rsidR="00F50C7C">
        <w:rPr>
          <w:rFonts w:ascii="Arial" w:hAnsi="Arial" w:cs="Arial"/>
          <w:sz w:val="24"/>
          <w:szCs w:val="24"/>
        </w:rPr>
        <w:t xml:space="preserve">d handling services to Paragon, Mr </w:t>
      </w:r>
      <w:proofErr w:type="spellStart"/>
      <w:r w:rsidR="00F50C7C">
        <w:rPr>
          <w:rFonts w:ascii="Arial" w:hAnsi="Arial" w:cs="Arial"/>
          <w:sz w:val="24"/>
          <w:szCs w:val="24"/>
        </w:rPr>
        <w:t>Bhana</w:t>
      </w:r>
      <w:proofErr w:type="spellEnd"/>
      <w:r w:rsidR="00F50C7C">
        <w:rPr>
          <w:rFonts w:ascii="Arial" w:hAnsi="Arial" w:cs="Arial"/>
          <w:sz w:val="24"/>
          <w:szCs w:val="24"/>
        </w:rPr>
        <w:t xml:space="preserve"> argued.</w:t>
      </w:r>
    </w:p>
    <w:p w14:paraId="6C482FEC" w14:textId="77777777" w:rsidR="005B63F6" w:rsidRDefault="005B63F6" w:rsidP="005B63F6">
      <w:pPr>
        <w:pStyle w:val="ListParagraph"/>
        <w:spacing w:line="360" w:lineRule="auto"/>
        <w:ind w:left="0"/>
        <w:jc w:val="both"/>
        <w:rPr>
          <w:rFonts w:ascii="Arial" w:hAnsi="Arial" w:cs="Arial"/>
          <w:sz w:val="24"/>
          <w:szCs w:val="24"/>
        </w:rPr>
      </w:pPr>
    </w:p>
    <w:p w14:paraId="286370DD" w14:textId="77777777" w:rsidR="003A6F39" w:rsidRPr="00AF24EB" w:rsidRDefault="005B63F6" w:rsidP="00AF24EB">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Bhana</w:t>
      </w:r>
      <w:proofErr w:type="spellEnd"/>
      <w:r>
        <w:rPr>
          <w:rFonts w:ascii="Arial" w:hAnsi="Arial" w:cs="Arial"/>
          <w:sz w:val="24"/>
          <w:szCs w:val="24"/>
        </w:rPr>
        <w:t xml:space="preserve"> was clear that NAC awarded the bid to Paragon to render ground handling services at HKIA and Paragon commenced with its preparation to render such services effective 1 July 2022. </w:t>
      </w:r>
      <w:r w:rsidR="00AF24EB">
        <w:rPr>
          <w:rFonts w:ascii="Arial" w:hAnsi="Arial" w:cs="Arial"/>
          <w:sz w:val="24"/>
          <w:szCs w:val="24"/>
        </w:rPr>
        <w:t>I</w:t>
      </w:r>
      <w:r w:rsidR="003A6F39" w:rsidRPr="00AF24EB">
        <w:rPr>
          <w:rFonts w:ascii="Arial" w:hAnsi="Arial" w:cs="Arial"/>
          <w:sz w:val="24"/>
          <w:szCs w:val="24"/>
        </w:rPr>
        <w:t xml:space="preserve">f the </w:t>
      </w:r>
      <w:r w:rsidR="009D19A9">
        <w:rPr>
          <w:rFonts w:ascii="Arial" w:hAnsi="Arial" w:cs="Arial"/>
          <w:sz w:val="24"/>
          <w:szCs w:val="24"/>
        </w:rPr>
        <w:t xml:space="preserve">application </w:t>
      </w:r>
      <w:r w:rsidR="003A6F39" w:rsidRPr="00AF24EB">
        <w:rPr>
          <w:rFonts w:ascii="Arial" w:hAnsi="Arial" w:cs="Arial"/>
          <w:sz w:val="24"/>
          <w:szCs w:val="24"/>
        </w:rPr>
        <w:t>is enrolled in the ordinary course, the matter wi</w:t>
      </w:r>
      <w:r w:rsidR="00AF24EB">
        <w:rPr>
          <w:rFonts w:ascii="Arial" w:hAnsi="Arial" w:cs="Arial"/>
          <w:sz w:val="24"/>
          <w:szCs w:val="24"/>
        </w:rPr>
        <w:t xml:space="preserve">ll likely only be heard in 2023, </w:t>
      </w:r>
      <w:r w:rsidR="003A6F39" w:rsidRPr="00AF24EB">
        <w:rPr>
          <w:rFonts w:ascii="Arial" w:hAnsi="Arial" w:cs="Arial"/>
          <w:sz w:val="24"/>
          <w:szCs w:val="24"/>
        </w:rPr>
        <w:t>long after the critical date</w:t>
      </w:r>
      <w:r w:rsidR="00AF24EB">
        <w:rPr>
          <w:rFonts w:ascii="Arial" w:hAnsi="Arial" w:cs="Arial"/>
          <w:sz w:val="24"/>
          <w:szCs w:val="24"/>
        </w:rPr>
        <w:t xml:space="preserve"> of 30 June 2022, </w:t>
      </w:r>
      <w:r>
        <w:rPr>
          <w:rFonts w:ascii="Arial" w:hAnsi="Arial" w:cs="Arial"/>
          <w:sz w:val="24"/>
          <w:szCs w:val="24"/>
        </w:rPr>
        <w:t xml:space="preserve">to the prejudice of NAC, the Namibian people, HKIA and Paragon, </w:t>
      </w:r>
      <w:r w:rsidR="00AF24EB">
        <w:rPr>
          <w:rFonts w:ascii="Arial" w:hAnsi="Arial" w:cs="Arial"/>
          <w:sz w:val="24"/>
          <w:szCs w:val="24"/>
        </w:rPr>
        <w:t>so he argued.</w:t>
      </w:r>
    </w:p>
    <w:p w14:paraId="09ED9924" w14:textId="77777777" w:rsidR="003A6F39" w:rsidRPr="003A6F39" w:rsidRDefault="003A6F39" w:rsidP="003A6F39">
      <w:pPr>
        <w:pStyle w:val="ListParagraph"/>
        <w:rPr>
          <w:rFonts w:ascii="Arial" w:hAnsi="Arial" w:cs="Arial"/>
          <w:sz w:val="24"/>
          <w:szCs w:val="24"/>
        </w:rPr>
      </w:pPr>
    </w:p>
    <w:p w14:paraId="7B18BF29" w14:textId="77777777" w:rsidR="00016454" w:rsidRDefault="00AF24EB" w:rsidP="00D31945">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Mr</w:t>
      </w:r>
      <w:r w:rsidR="00016454">
        <w:rPr>
          <w:rFonts w:ascii="Arial" w:hAnsi="Arial" w:cs="Arial"/>
          <w:sz w:val="24"/>
          <w:szCs w:val="24"/>
        </w:rPr>
        <w:t xml:space="preserve"> Heathcote from the onset </w:t>
      </w:r>
      <w:r w:rsidR="00016454" w:rsidRPr="00016454">
        <w:rPr>
          <w:rFonts w:ascii="Arial" w:hAnsi="Arial" w:cs="Arial"/>
          <w:sz w:val="24"/>
          <w:szCs w:val="24"/>
        </w:rPr>
        <w:t>denied that the matter is urgent or that the applicants have satisfied the mandatory re</w:t>
      </w:r>
      <w:r w:rsidR="00016454">
        <w:rPr>
          <w:rFonts w:ascii="Arial" w:hAnsi="Arial" w:cs="Arial"/>
          <w:sz w:val="24"/>
          <w:szCs w:val="24"/>
        </w:rPr>
        <w:t xml:space="preserve">quirements of rule 73(4). He </w:t>
      </w:r>
      <w:r>
        <w:rPr>
          <w:rFonts w:ascii="Arial" w:hAnsi="Arial" w:cs="Arial"/>
          <w:sz w:val="24"/>
          <w:szCs w:val="24"/>
        </w:rPr>
        <w:t>submitted that NAC</w:t>
      </w:r>
      <w:r w:rsidR="00523447">
        <w:rPr>
          <w:rFonts w:ascii="Arial" w:hAnsi="Arial" w:cs="Arial"/>
          <w:sz w:val="24"/>
          <w:szCs w:val="24"/>
        </w:rPr>
        <w:t xml:space="preserve"> </w:t>
      </w:r>
      <w:r w:rsidR="00016454" w:rsidRPr="00016454">
        <w:rPr>
          <w:rFonts w:ascii="Arial" w:hAnsi="Arial" w:cs="Arial"/>
          <w:sz w:val="24"/>
          <w:szCs w:val="24"/>
        </w:rPr>
        <w:t>failed to state the circumstances that render the matter urgent and why they claim that they cannot be afforded substa</w:t>
      </w:r>
      <w:r w:rsidR="00016454">
        <w:rPr>
          <w:rFonts w:ascii="Arial" w:hAnsi="Arial" w:cs="Arial"/>
          <w:sz w:val="24"/>
          <w:szCs w:val="24"/>
        </w:rPr>
        <w:t>ntial redress</w:t>
      </w:r>
      <w:r w:rsidR="009648FB">
        <w:rPr>
          <w:rFonts w:ascii="Arial" w:hAnsi="Arial" w:cs="Arial"/>
          <w:sz w:val="24"/>
          <w:szCs w:val="24"/>
        </w:rPr>
        <w:t xml:space="preserve"> at a hearing</w:t>
      </w:r>
      <w:r w:rsidR="00016454">
        <w:rPr>
          <w:rFonts w:ascii="Arial" w:hAnsi="Arial" w:cs="Arial"/>
          <w:sz w:val="24"/>
          <w:szCs w:val="24"/>
        </w:rPr>
        <w:t xml:space="preserve"> in due course.</w:t>
      </w:r>
    </w:p>
    <w:p w14:paraId="7F6A73DD" w14:textId="77777777" w:rsidR="00016454" w:rsidRPr="00016454" w:rsidRDefault="00016454" w:rsidP="00016454">
      <w:pPr>
        <w:pStyle w:val="ListParagraph"/>
        <w:rPr>
          <w:rFonts w:ascii="Arial" w:hAnsi="Arial" w:cs="Arial"/>
          <w:sz w:val="24"/>
          <w:szCs w:val="24"/>
        </w:rPr>
      </w:pPr>
    </w:p>
    <w:p w14:paraId="31EBDBBF" w14:textId="77777777" w:rsidR="001F361C" w:rsidRDefault="00016454" w:rsidP="001F361C">
      <w:pPr>
        <w:pStyle w:val="ListParagraph"/>
        <w:numPr>
          <w:ilvl w:val="0"/>
          <w:numId w:val="1"/>
        </w:numPr>
        <w:spacing w:line="360" w:lineRule="auto"/>
        <w:ind w:left="0" w:firstLine="0"/>
        <w:jc w:val="both"/>
        <w:rPr>
          <w:rFonts w:ascii="Arial" w:hAnsi="Arial" w:cs="Arial"/>
          <w:sz w:val="24"/>
          <w:szCs w:val="24"/>
        </w:rPr>
      </w:pPr>
      <w:r w:rsidRPr="00016454">
        <w:rPr>
          <w:rFonts w:ascii="Arial" w:hAnsi="Arial" w:cs="Arial"/>
          <w:sz w:val="24"/>
          <w:szCs w:val="24"/>
        </w:rPr>
        <w:t xml:space="preserve"> </w:t>
      </w:r>
      <w:proofErr w:type="gramStart"/>
      <w:r w:rsidR="00AF24EB">
        <w:rPr>
          <w:rFonts w:ascii="Arial" w:hAnsi="Arial" w:cs="Arial"/>
          <w:sz w:val="24"/>
          <w:szCs w:val="24"/>
        </w:rPr>
        <w:t>Mr</w:t>
      </w:r>
      <w:r w:rsidR="009648FB">
        <w:rPr>
          <w:rFonts w:ascii="Arial" w:hAnsi="Arial" w:cs="Arial"/>
          <w:sz w:val="24"/>
          <w:szCs w:val="24"/>
        </w:rPr>
        <w:t xml:space="preserve"> Heathcote,</w:t>
      </w:r>
      <w:proofErr w:type="gramEnd"/>
      <w:r w:rsidR="009648FB">
        <w:rPr>
          <w:rFonts w:ascii="Arial" w:hAnsi="Arial" w:cs="Arial"/>
          <w:sz w:val="24"/>
          <w:szCs w:val="24"/>
        </w:rPr>
        <w:t xml:space="preserve"> emphatically argued</w:t>
      </w:r>
      <w:r>
        <w:rPr>
          <w:rFonts w:ascii="Arial" w:hAnsi="Arial" w:cs="Arial"/>
          <w:sz w:val="24"/>
          <w:szCs w:val="24"/>
        </w:rPr>
        <w:t xml:space="preserve"> that,</w:t>
      </w:r>
      <w:r w:rsidR="00841E4A">
        <w:rPr>
          <w:rFonts w:ascii="Arial" w:hAnsi="Arial" w:cs="Arial"/>
          <w:sz w:val="24"/>
          <w:szCs w:val="24"/>
        </w:rPr>
        <w:t xml:space="preserve"> even though</w:t>
      </w:r>
      <w:r>
        <w:rPr>
          <w:rFonts w:ascii="Arial" w:hAnsi="Arial" w:cs="Arial"/>
          <w:sz w:val="24"/>
          <w:szCs w:val="24"/>
        </w:rPr>
        <w:t xml:space="preserve"> </w:t>
      </w:r>
      <w:r w:rsidRPr="00016454">
        <w:rPr>
          <w:rFonts w:ascii="Arial" w:hAnsi="Arial" w:cs="Arial"/>
          <w:sz w:val="24"/>
          <w:szCs w:val="24"/>
        </w:rPr>
        <w:t xml:space="preserve">NAC relies on commercial urgency based on commercial harm alleged to be suffered if a matter is </w:t>
      </w:r>
      <w:r w:rsidRPr="00016454">
        <w:rPr>
          <w:rFonts w:ascii="Arial" w:hAnsi="Arial" w:cs="Arial"/>
          <w:sz w:val="24"/>
          <w:szCs w:val="24"/>
        </w:rPr>
        <w:lastRenderedPageBreak/>
        <w:t>not heard on an urgent basis</w:t>
      </w:r>
      <w:r w:rsidR="001F361C">
        <w:rPr>
          <w:rFonts w:ascii="Arial" w:hAnsi="Arial" w:cs="Arial"/>
          <w:sz w:val="24"/>
          <w:szCs w:val="24"/>
        </w:rPr>
        <w:t>, i</w:t>
      </w:r>
      <w:r w:rsidRPr="00016454">
        <w:rPr>
          <w:rFonts w:ascii="Arial" w:hAnsi="Arial" w:cs="Arial"/>
          <w:sz w:val="24"/>
          <w:szCs w:val="24"/>
        </w:rPr>
        <w:t>n commercial disputes, the requirements of urgency still need to be complied with.</w:t>
      </w:r>
    </w:p>
    <w:p w14:paraId="405A0EF8" w14:textId="77777777" w:rsidR="001F361C" w:rsidRPr="001F361C" w:rsidRDefault="001F361C" w:rsidP="001F361C">
      <w:pPr>
        <w:pStyle w:val="ListParagraph"/>
        <w:rPr>
          <w:rFonts w:ascii="Arial" w:hAnsi="Arial" w:cs="Arial"/>
          <w:sz w:val="24"/>
          <w:szCs w:val="24"/>
        </w:rPr>
      </w:pPr>
    </w:p>
    <w:p w14:paraId="59FD1F1A" w14:textId="77777777" w:rsidR="001F361C" w:rsidRDefault="001F361C" w:rsidP="001F361C">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In support of this contention, the case of</w:t>
      </w:r>
      <w:r w:rsidR="00016454" w:rsidRPr="001F361C">
        <w:rPr>
          <w:rFonts w:ascii="Arial" w:hAnsi="Arial" w:cs="Arial"/>
          <w:sz w:val="24"/>
          <w:szCs w:val="24"/>
        </w:rPr>
        <w:t xml:space="preserve"> </w:t>
      </w:r>
      <w:proofErr w:type="spellStart"/>
      <w:r w:rsidR="00016454" w:rsidRPr="001F361C">
        <w:rPr>
          <w:rFonts w:ascii="Arial" w:hAnsi="Arial" w:cs="Arial"/>
          <w:i/>
          <w:sz w:val="24"/>
          <w:szCs w:val="24"/>
        </w:rPr>
        <w:t>Petroneft</w:t>
      </w:r>
      <w:proofErr w:type="spellEnd"/>
      <w:r w:rsidR="00016454" w:rsidRPr="001F361C">
        <w:rPr>
          <w:rFonts w:ascii="Arial" w:hAnsi="Arial" w:cs="Arial"/>
          <w:i/>
          <w:sz w:val="24"/>
          <w:szCs w:val="24"/>
        </w:rPr>
        <w:t xml:space="preserve"> International </w:t>
      </w:r>
      <w:proofErr w:type="spellStart"/>
      <w:r w:rsidR="00016454" w:rsidRPr="001F361C">
        <w:rPr>
          <w:rFonts w:ascii="Arial" w:hAnsi="Arial" w:cs="Arial"/>
          <w:i/>
          <w:sz w:val="24"/>
          <w:szCs w:val="24"/>
        </w:rPr>
        <w:t>Glencor</w:t>
      </w:r>
      <w:proofErr w:type="spellEnd"/>
      <w:r w:rsidR="00016454" w:rsidRPr="001F361C">
        <w:rPr>
          <w:rFonts w:ascii="Arial" w:hAnsi="Arial" w:cs="Arial"/>
          <w:i/>
          <w:sz w:val="24"/>
          <w:szCs w:val="24"/>
        </w:rPr>
        <w:t xml:space="preserve"> Energy UK Ltd and Another v Minister of Mines and Energy and Others</w:t>
      </w:r>
      <w:r w:rsidR="009D19A9">
        <w:rPr>
          <w:rStyle w:val="FootnoteReference"/>
          <w:rFonts w:ascii="Arial" w:hAnsi="Arial" w:cs="Arial"/>
          <w:i/>
          <w:sz w:val="24"/>
          <w:szCs w:val="24"/>
        </w:rPr>
        <w:footnoteReference w:id="5"/>
      </w:r>
      <w:r>
        <w:rPr>
          <w:rFonts w:ascii="Arial" w:hAnsi="Arial" w:cs="Arial"/>
          <w:sz w:val="24"/>
          <w:szCs w:val="24"/>
        </w:rPr>
        <w:t xml:space="preserve"> </w:t>
      </w:r>
      <w:r w:rsidR="00016454" w:rsidRPr="001F361C">
        <w:rPr>
          <w:rFonts w:ascii="Arial" w:hAnsi="Arial" w:cs="Arial"/>
          <w:sz w:val="24"/>
          <w:szCs w:val="24"/>
        </w:rPr>
        <w:t xml:space="preserve">where the issue of urgency in commercial matters was reconfirmed, </w:t>
      </w:r>
      <w:r w:rsidR="00523447">
        <w:rPr>
          <w:rFonts w:ascii="Arial" w:hAnsi="Arial" w:cs="Arial"/>
          <w:sz w:val="24"/>
          <w:szCs w:val="24"/>
        </w:rPr>
        <w:t>was relied upon. T</w:t>
      </w:r>
      <w:r w:rsidR="00016454" w:rsidRPr="001F361C">
        <w:rPr>
          <w:rFonts w:ascii="Arial" w:hAnsi="Arial" w:cs="Arial"/>
          <w:sz w:val="24"/>
          <w:szCs w:val="24"/>
        </w:rPr>
        <w:t xml:space="preserve">he court pointed out in paragraph [28] that: </w:t>
      </w:r>
    </w:p>
    <w:p w14:paraId="5E9F0E92" w14:textId="77777777" w:rsidR="001F361C" w:rsidRPr="001F361C" w:rsidRDefault="001F361C" w:rsidP="001F361C">
      <w:pPr>
        <w:pStyle w:val="ListParagraph"/>
        <w:rPr>
          <w:rFonts w:ascii="Arial" w:hAnsi="Arial" w:cs="Arial"/>
          <w:sz w:val="24"/>
          <w:szCs w:val="24"/>
        </w:rPr>
      </w:pPr>
    </w:p>
    <w:p w14:paraId="16FEE6FC" w14:textId="77777777" w:rsidR="00260388" w:rsidRPr="001F361C" w:rsidRDefault="00733D0F" w:rsidP="001F361C">
      <w:pPr>
        <w:pStyle w:val="ListParagraph"/>
        <w:spacing w:line="360" w:lineRule="auto"/>
        <w:ind w:left="0" w:firstLine="720"/>
        <w:jc w:val="both"/>
        <w:rPr>
          <w:rFonts w:ascii="Arial" w:hAnsi="Arial" w:cs="Arial"/>
        </w:rPr>
      </w:pPr>
      <w:r>
        <w:rPr>
          <w:rFonts w:ascii="Arial" w:hAnsi="Arial" w:cs="Arial"/>
        </w:rPr>
        <w:t>‘</w:t>
      </w:r>
      <w:r w:rsidR="00016454" w:rsidRPr="001F361C">
        <w:rPr>
          <w:rFonts w:ascii="Arial" w:hAnsi="Arial" w:cs="Arial"/>
        </w:rPr>
        <w:t>In commercial matters there would thus be degrees of urgency and it would be incumbent upon applicants to demonstrate with reference to the facts of a specific matter that they are unable to receive redress in the normal course and that the facts justify the urgency with which the application has been brought. They must not however have created their own urgency and would need to have afforded the respondents a sufficient opportunity to deal with the matter raised. It would be a question of fact to be determined in each case.’</w:t>
      </w:r>
    </w:p>
    <w:p w14:paraId="4BF01342" w14:textId="77777777" w:rsidR="001F361C" w:rsidRPr="001F361C" w:rsidRDefault="001F361C" w:rsidP="001F361C">
      <w:pPr>
        <w:pStyle w:val="ListParagraph"/>
        <w:rPr>
          <w:rFonts w:ascii="Arial" w:hAnsi="Arial" w:cs="Arial"/>
          <w:sz w:val="24"/>
          <w:szCs w:val="24"/>
        </w:rPr>
      </w:pPr>
    </w:p>
    <w:p w14:paraId="541FB047" w14:textId="77777777" w:rsidR="00725419" w:rsidRDefault="00AF24EB" w:rsidP="00AF24EB">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w:t>
      </w:r>
      <w:r w:rsidR="00A74F2F">
        <w:rPr>
          <w:rFonts w:ascii="Arial" w:hAnsi="Arial" w:cs="Arial"/>
          <w:sz w:val="24"/>
          <w:szCs w:val="24"/>
        </w:rPr>
        <w:t>f one has regard</w:t>
      </w:r>
      <w:r>
        <w:rPr>
          <w:rFonts w:ascii="Arial" w:hAnsi="Arial" w:cs="Arial"/>
          <w:sz w:val="24"/>
          <w:szCs w:val="24"/>
        </w:rPr>
        <w:t xml:space="preserve"> to the c</w:t>
      </w:r>
      <w:r w:rsidRPr="00AF24EB">
        <w:rPr>
          <w:rFonts w:ascii="Arial" w:hAnsi="Arial" w:cs="Arial"/>
          <w:sz w:val="24"/>
          <w:szCs w:val="24"/>
        </w:rPr>
        <w:t>orrespondence</w:t>
      </w:r>
      <w:r w:rsidR="00E20FB6">
        <w:rPr>
          <w:rFonts w:ascii="Arial" w:hAnsi="Arial" w:cs="Arial"/>
          <w:sz w:val="24"/>
          <w:szCs w:val="24"/>
        </w:rPr>
        <w:t xml:space="preserve"> exchanged between the parties</w:t>
      </w:r>
      <w:r>
        <w:rPr>
          <w:rFonts w:ascii="Arial" w:hAnsi="Arial" w:cs="Arial"/>
          <w:sz w:val="24"/>
          <w:szCs w:val="24"/>
        </w:rPr>
        <w:t xml:space="preserve">, it </w:t>
      </w:r>
      <w:r w:rsidR="00A74F2F">
        <w:rPr>
          <w:rFonts w:ascii="Arial" w:hAnsi="Arial" w:cs="Arial"/>
          <w:sz w:val="24"/>
          <w:szCs w:val="24"/>
        </w:rPr>
        <w:t xml:space="preserve">demonstrates that </w:t>
      </w:r>
      <w:r w:rsidR="00725419">
        <w:rPr>
          <w:rFonts w:ascii="Arial" w:hAnsi="Arial" w:cs="Arial"/>
          <w:sz w:val="24"/>
          <w:szCs w:val="24"/>
        </w:rPr>
        <w:t xml:space="preserve">in several letters of 22 April 2022, 29 April 2022, 9 May 2022, 10 May 2022 and 22 April 2022, </w:t>
      </w:r>
      <w:r w:rsidRPr="00AF24EB">
        <w:rPr>
          <w:rFonts w:ascii="Arial" w:hAnsi="Arial" w:cs="Arial"/>
          <w:sz w:val="24"/>
          <w:szCs w:val="24"/>
        </w:rPr>
        <w:t xml:space="preserve">NAC sought undertakings from Menzies </w:t>
      </w:r>
      <w:r w:rsidR="00725419">
        <w:rPr>
          <w:rFonts w:ascii="Arial" w:hAnsi="Arial" w:cs="Arial"/>
          <w:sz w:val="24"/>
          <w:szCs w:val="24"/>
        </w:rPr>
        <w:t>to vacate HKIA on 30 June 2022</w:t>
      </w:r>
      <w:r w:rsidRPr="00AF24EB">
        <w:rPr>
          <w:rFonts w:ascii="Arial" w:hAnsi="Arial" w:cs="Arial"/>
          <w:sz w:val="24"/>
          <w:szCs w:val="24"/>
        </w:rPr>
        <w:t xml:space="preserve">. </w:t>
      </w:r>
      <w:r w:rsidR="00725419">
        <w:rPr>
          <w:rFonts w:ascii="Arial" w:hAnsi="Arial" w:cs="Arial"/>
          <w:sz w:val="24"/>
          <w:szCs w:val="24"/>
        </w:rPr>
        <w:t>Menzies was silent on the request for undertakings until 23 May 2022 when Menzies refused</w:t>
      </w:r>
      <w:r w:rsidRPr="00AF24EB">
        <w:rPr>
          <w:rFonts w:ascii="Arial" w:hAnsi="Arial" w:cs="Arial"/>
          <w:sz w:val="24"/>
          <w:szCs w:val="24"/>
        </w:rPr>
        <w:t xml:space="preserve"> to provide the undertakings. This is when t</w:t>
      </w:r>
      <w:r w:rsidR="00841E4A">
        <w:rPr>
          <w:rFonts w:ascii="Arial" w:hAnsi="Arial" w:cs="Arial"/>
          <w:sz w:val="24"/>
          <w:szCs w:val="24"/>
        </w:rPr>
        <w:t>he issue of urgency truly arose</w:t>
      </w:r>
      <w:r w:rsidRPr="00AF24EB">
        <w:rPr>
          <w:rFonts w:ascii="Arial" w:hAnsi="Arial" w:cs="Arial"/>
          <w:sz w:val="24"/>
          <w:szCs w:val="24"/>
        </w:rPr>
        <w:t xml:space="preserve">, which caused NAC to file its application on 27 May 2022. </w:t>
      </w:r>
    </w:p>
    <w:p w14:paraId="5EBA83CF" w14:textId="77777777" w:rsidR="00725419" w:rsidRDefault="00725419" w:rsidP="00725419">
      <w:pPr>
        <w:pStyle w:val="ListParagraph"/>
        <w:spacing w:line="360" w:lineRule="auto"/>
        <w:ind w:left="0"/>
        <w:jc w:val="both"/>
        <w:rPr>
          <w:rFonts w:ascii="Arial" w:hAnsi="Arial" w:cs="Arial"/>
          <w:sz w:val="24"/>
          <w:szCs w:val="24"/>
        </w:rPr>
      </w:pPr>
    </w:p>
    <w:p w14:paraId="345F8B3E" w14:textId="77777777" w:rsidR="00BC4CDF" w:rsidRDefault="00BC4CDF" w:rsidP="00AF24EB">
      <w:pPr>
        <w:pStyle w:val="ListParagraph"/>
        <w:numPr>
          <w:ilvl w:val="0"/>
          <w:numId w:val="1"/>
        </w:numPr>
        <w:spacing w:line="360" w:lineRule="auto"/>
        <w:ind w:left="0" w:firstLine="0"/>
        <w:jc w:val="both"/>
        <w:rPr>
          <w:rFonts w:ascii="Arial" w:hAnsi="Arial" w:cs="Arial"/>
          <w:sz w:val="24"/>
          <w:szCs w:val="24"/>
        </w:rPr>
      </w:pPr>
      <w:r w:rsidRPr="00841E4A">
        <w:rPr>
          <w:rFonts w:ascii="Arial" w:hAnsi="Arial" w:cs="Arial"/>
          <w:sz w:val="24"/>
          <w:szCs w:val="24"/>
        </w:rPr>
        <w:t>It woul</w:t>
      </w:r>
      <w:r w:rsidR="00954776">
        <w:rPr>
          <w:rFonts w:ascii="Arial" w:hAnsi="Arial" w:cs="Arial"/>
          <w:sz w:val="24"/>
          <w:szCs w:val="24"/>
        </w:rPr>
        <w:t xml:space="preserve">d have been irresponsible of </w:t>
      </w:r>
      <w:r>
        <w:rPr>
          <w:rFonts w:ascii="Arial" w:hAnsi="Arial" w:cs="Arial"/>
          <w:sz w:val="24"/>
          <w:szCs w:val="24"/>
        </w:rPr>
        <w:t>NAC</w:t>
      </w:r>
      <w:r w:rsidRPr="00841E4A">
        <w:rPr>
          <w:rFonts w:ascii="Arial" w:hAnsi="Arial" w:cs="Arial"/>
          <w:sz w:val="24"/>
          <w:szCs w:val="24"/>
        </w:rPr>
        <w:t xml:space="preserve"> to rush to court if litigation would be avoided with the undertakings</w:t>
      </w:r>
      <w:r>
        <w:rPr>
          <w:rFonts w:ascii="Arial" w:hAnsi="Arial" w:cs="Arial"/>
          <w:sz w:val="24"/>
          <w:szCs w:val="24"/>
        </w:rPr>
        <w:t>.</w:t>
      </w:r>
      <w:r w:rsidRPr="00AF24EB">
        <w:rPr>
          <w:rFonts w:ascii="Arial" w:hAnsi="Arial" w:cs="Arial"/>
          <w:sz w:val="24"/>
          <w:szCs w:val="24"/>
        </w:rPr>
        <w:t xml:space="preserve"> The</w:t>
      </w:r>
      <w:r w:rsidR="00954776">
        <w:rPr>
          <w:rFonts w:ascii="Arial" w:hAnsi="Arial" w:cs="Arial"/>
          <w:sz w:val="24"/>
          <w:szCs w:val="24"/>
        </w:rPr>
        <w:t xml:space="preserve">refore, the </w:t>
      </w:r>
      <w:r w:rsidRPr="00AF24EB">
        <w:rPr>
          <w:rFonts w:ascii="Arial" w:hAnsi="Arial" w:cs="Arial"/>
          <w:sz w:val="24"/>
          <w:szCs w:val="24"/>
        </w:rPr>
        <w:t>tri</w:t>
      </w:r>
      <w:r>
        <w:rPr>
          <w:rFonts w:ascii="Arial" w:hAnsi="Arial" w:cs="Arial"/>
          <w:sz w:val="24"/>
          <w:szCs w:val="24"/>
        </w:rPr>
        <w:t>gger date for urgency is 23</w:t>
      </w:r>
      <w:r w:rsidRPr="00AF24EB">
        <w:rPr>
          <w:rFonts w:ascii="Arial" w:hAnsi="Arial" w:cs="Arial"/>
          <w:sz w:val="24"/>
          <w:szCs w:val="24"/>
        </w:rPr>
        <w:t xml:space="preserve"> May</w:t>
      </w:r>
      <w:r>
        <w:rPr>
          <w:rFonts w:ascii="Arial" w:hAnsi="Arial" w:cs="Arial"/>
          <w:sz w:val="24"/>
          <w:szCs w:val="24"/>
        </w:rPr>
        <w:t xml:space="preserve"> 2022 not 22 April 2022. </w:t>
      </w:r>
      <w:r w:rsidR="00AD7CF3">
        <w:rPr>
          <w:rFonts w:ascii="Arial" w:hAnsi="Arial" w:cs="Arial"/>
          <w:sz w:val="24"/>
          <w:szCs w:val="24"/>
        </w:rPr>
        <w:t>Failure to file the urgent application in April 2022 and only fil</w:t>
      </w:r>
      <w:r w:rsidR="00BB3725">
        <w:rPr>
          <w:rFonts w:ascii="Arial" w:hAnsi="Arial" w:cs="Arial"/>
          <w:sz w:val="24"/>
          <w:szCs w:val="24"/>
        </w:rPr>
        <w:t xml:space="preserve">ing </w:t>
      </w:r>
      <w:r w:rsidR="00AD7CF3">
        <w:rPr>
          <w:rFonts w:ascii="Arial" w:hAnsi="Arial" w:cs="Arial"/>
          <w:sz w:val="24"/>
          <w:szCs w:val="24"/>
        </w:rPr>
        <w:t>same in May 2022</w:t>
      </w:r>
      <w:r w:rsidR="00BB3725">
        <w:rPr>
          <w:rFonts w:ascii="Arial" w:hAnsi="Arial" w:cs="Arial"/>
          <w:sz w:val="24"/>
          <w:szCs w:val="24"/>
        </w:rPr>
        <w:t xml:space="preserve">, as Menzies argued does not diminish the urgency of the application. This approach is </w:t>
      </w:r>
      <w:r w:rsidR="00AD7CF3">
        <w:rPr>
          <w:rFonts w:ascii="Arial" w:hAnsi="Arial" w:cs="Arial"/>
          <w:sz w:val="24"/>
          <w:szCs w:val="24"/>
        </w:rPr>
        <w:t xml:space="preserve">justified by the facts of the matter and the uncooperative stance taken by Menzies between April and May 2022 by not addressing the requested undertakings. </w:t>
      </w:r>
      <w:r w:rsidR="00BB3725">
        <w:rPr>
          <w:rFonts w:ascii="Arial" w:hAnsi="Arial" w:cs="Arial"/>
          <w:sz w:val="24"/>
          <w:szCs w:val="24"/>
        </w:rPr>
        <w:t>Menzies cannot cry foul as it has itself to blame for no</w:t>
      </w:r>
      <w:r w:rsidR="00AE25D5">
        <w:rPr>
          <w:rFonts w:ascii="Arial" w:hAnsi="Arial" w:cs="Arial"/>
          <w:sz w:val="24"/>
          <w:szCs w:val="24"/>
        </w:rPr>
        <w:t>t</w:t>
      </w:r>
      <w:r w:rsidR="00BB3725">
        <w:rPr>
          <w:rFonts w:ascii="Arial" w:hAnsi="Arial" w:cs="Arial"/>
          <w:sz w:val="24"/>
          <w:szCs w:val="24"/>
        </w:rPr>
        <w:t xml:space="preserve"> cooperating earlier and reveal its position in April 2022 </w:t>
      </w:r>
      <w:proofErr w:type="gramStart"/>
      <w:r w:rsidR="00BB3725">
        <w:rPr>
          <w:rFonts w:ascii="Arial" w:hAnsi="Arial" w:cs="Arial"/>
          <w:sz w:val="24"/>
          <w:szCs w:val="24"/>
        </w:rPr>
        <w:t>in order for</w:t>
      </w:r>
      <w:proofErr w:type="gramEnd"/>
      <w:r w:rsidR="00BB3725">
        <w:rPr>
          <w:rFonts w:ascii="Arial" w:hAnsi="Arial" w:cs="Arial"/>
          <w:sz w:val="24"/>
          <w:szCs w:val="24"/>
        </w:rPr>
        <w:t xml:space="preserve"> NAC to weigh its options. </w:t>
      </w:r>
    </w:p>
    <w:p w14:paraId="506DAAB4" w14:textId="77777777" w:rsidR="00BC4CDF" w:rsidRPr="00BC4CDF" w:rsidRDefault="00BC4CDF" w:rsidP="00BC4CDF">
      <w:pPr>
        <w:pStyle w:val="ListParagraph"/>
        <w:rPr>
          <w:rFonts w:ascii="Arial" w:hAnsi="Arial" w:cs="Arial"/>
          <w:sz w:val="24"/>
          <w:szCs w:val="24"/>
        </w:rPr>
      </w:pPr>
    </w:p>
    <w:p w14:paraId="1A3AABC9" w14:textId="77777777" w:rsidR="00BC4CDF" w:rsidRDefault="00BC4CDF" w:rsidP="00BC4CDF">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lastRenderedPageBreak/>
        <w:t xml:space="preserve">The claim by </w:t>
      </w:r>
      <w:r w:rsidR="00841E4A">
        <w:rPr>
          <w:rFonts w:ascii="Arial" w:hAnsi="Arial" w:cs="Arial"/>
          <w:sz w:val="24"/>
          <w:szCs w:val="24"/>
        </w:rPr>
        <w:t xml:space="preserve">Menzies </w:t>
      </w:r>
      <w:r w:rsidR="00841E4A" w:rsidRPr="00841E4A">
        <w:rPr>
          <w:rFonts w:ascii="Arial" w:hAnsi="Arial" w:cs="Arial"/>
          <w:sz w:val="24"/>
          <w:szCs w:val="24"/>
        </w:rPr>
        <w:t>that pure commercial interests can play no role in ass</w:t>
      </w:r>
      <w:r w:rsidR="00841E4A">
        <w:rPr>
          <w:rFonts w:ascii="Arial" w:hAnsi="Arial" w:cs="Arial"/>
          <w:sz w:val="24"/>
          <w:szCs w:val="24"/>
        </w:rPr>
        <w:t xml:space="preserve">essing urgency is wrong in law. There </w:t>
      </w:r>
      <w:r>
        <w:rPr>
          <w:rFonts w:ascii="Arial" w:hAnsi="Arial" w:cs="Arial"/>
          <w:sz w:val="24"/>
          <w:szCs w:val="24"/>
        </w:rPr>
        <w:t>are well-established</w:t>
      </w:r>
      <w:r w:rsidR="00841E4A">
        <w:rPr>
          <w:rFonts w:ascii="Arial" w:hAnsi="Arial" w:cs="Arial"/>
          <w:sz w:val="24"/>
          <w:szCs w:val="24"/>
        </w:rPr>
        <w:t xml:space="preserve"> </w:t>
      </w:r>
      <w:r w:rsidR="00523447">
        <w:rPr>
          <w:rFonts w:ascii="Arial" w:hAnsi="Arial" w:cs="Arial"/>
          <w:sz w:val="24"/>
          <w:szCs w:val="24"/>
        </w:rPr>
        <w:t>authorities</w:t>
      </w:r>
      <w:r w:rsidR="00841E4A">
        <w:rPr>
          <w:rFonts w:ascii="Arial" w:hAnsi="Arial" w:cs="Arial"/>
          <w:sz w:val="24"/>
          <w:szCs w:val="24"/>
        </w:rPr>
        <w:t xml:space="preserve"> </w:t>
      </w:r>
      <w:r>
        <w:rPr>
          <w:rFonts w:ascii="Arial" w:hAnsi="Arial" w:cs="Arial"/>
          <w:sz w:val="24"/>
          <w:szCs w:val="24"/>
        </w:rPr>
        <w:t xml:space="preserve">which held that </w:t>
      </w:r>
      <w:r w:rsidR="00841E4A" w:rsidRPr="00841E4A">
        <w:rPr>
          <w:rFonts w:ascii="Arial" w:hAnsi="Arial" w:cs="Arial"/>
          <w:sz w:val="24"/>
          <w:szCs w:val="24"/>
        </w:rPr>
        <w:t>commercial interests deserve pro</w:t>
      </w:r>
      <w:r w:rsidR="00841E4A">
        <w:rPr>
          <w:rFonts w:ascii="Arial" w:hAnsi="Arial" w:cs="Arial"/>
          <w:sz w:val="24"/>
          <w:szCs w:val="24"/>
        </w:rPr>
        <w:t>tection in urgent proceedings.</w:t>
      </w:r>
      <w:r w:rsidR="00332BF9">
        <w:rPr>
          <w:rStyle w:val="FootnoteReference"/>
          <w:rFonts w:ascii="Arial" w:hAnsi="Arial" w:cs="Arial"/>
          <w:sz w:val="24"/>
          <w:szCs w:val="24"/>
        </w:rPr>
        <w:footnoteReference w:id="6"/>
      </w:r>
      <w:r w:rsidR="00841E4A">
        <w:rPr>
          <w:rFonts w:ascii="Arial" w:hAnsi="Arial" w:cs="Arial"/>
          <w:sz w:val="24"/>
          <w:szCs w:val="24"/>
        </w:rPr>
        <w:t xml:space="preserve"> Be that as it may, I find that t</w:t>
      </w:r>
      <w:r w:rsidR="00841E4A" w:rsidRPr="00841E4A">
        <w:rPr>
          <w:rFonts w:ascii="Arial" w:hAnsi="Arial" w:cs="Arial"/>
          <w:sz w:val="24"/>
          <w:szCs w:val="24"/>
        </w:rPr>
        <w:t>he relief</w:t>
      </w:r>
      <w:r w:rsidR="00841E4A">
        <w:rPr>
          <w:rFonts w:ascii="Arial" w:hAnsi="Arial" w:cs="Arial"/>
          <w:sz w:val="24"/>
          <w:szCs w:val="24"/>
        </w:rPr>
        <w:t>,</w:t>
      </w:r>
      <w:r w:rsidR="00841E4A" w:rsidRPr="00841E4A">
        <w:rPr>
          <w:rFonts w:ascii="Arial" w:hAnsi="Arial" w:cs="Arial"/>
          <w:sz w:val="24"/>
          <w:szCs w:val="24"/>
        </w:rPr>
        <w:t xml:space="preserve"> however</w:t>
      </w:r>
      <w:r w:rsidR="00841E4A">
        <w:rPr>
          <w:rFonts w:ascii="Arial" w:hAnsi="Arial" w:cs="Arial"/>
          <w:sz w:val="24"/>
          <w:szCs w:val="24"/>
        </w:rPr>
        <w:t>,</w:t>
      </w:r>
      <w:r w:rsidR="00841E4A" w:rsidRPr="00841E4A">
        <w:rPr>
          <w:rFonts w:ascii="Arial" w:hAnsi="Arial" w:cs="Arial"/>
          <w:sz w:val="24"/>
          <w:szCs w:val="24"/>
        </w:rPr>
        <w:t xml:space="preserve"> goes b</w:t>
      </w:r>
      <w:r w:rsidR="00841E4A">
        <w:rPr>
          <w:rFonts w:ascii="Arial" w:hAnsi="Arial" w:cs="Arial"/>
          <w:sz w:val="24"/>
          <w:szCs w:val="24"/>
        </w:rPr>
        <w:t>eyond pure commercial interests, as it delves into the realm of public interest.</w:t>
      </w:r>
      <w:r w:rsidRPr="00BC4CDF">
        <w:rPr>
          <w:rFonts w:ascii="Arial" w:hAnsi="Arial" w:cs="Arial"/>
          <w:sz w:val="24"/>
          <w:szCs w:val="24"/>
        </w:rPr>
        <w:t xml:space="preserve"> </w:t>
      </w:r>
    </w:p>
    <w:p w14:paraId="57DD032D" w14:textId="77777777" w:rsidR="00BC4CDF" w:rsidRDefault="00BC4CDF" w:rsidP="00BC4CDF">
      <w:pPr>
        <w:pStyle w:val="ListParagraph"/>
        <w:spacing w:line="360" w:lineRule="auto"/>
        <w:ind w:left="0"/>
        <w:jc w:val="both"/>
        <w:rPr>
          <w:rFonts w:ascii="Arial" w:hAnsi="Arial" w:cs="Arial"/>
          <w:sz w:val="24"/>
          <w:szCs w:val="24"/>
        </w:rPr>
      </w:pPr>
    </w:p>
    <w:p w14:paraId="54CFC849" w14:textId="77777777" w:rsidR="00841E4A" w:rsidRDefault="00BC4CDF" w:rsidP="00AD7CF3">
      <w:pPr>
        <w:pStyle w:val="ListParagraph"/>
        <w:numPr>
          <w:ilvl w:val="0"/>
          <w:numId w:val="1"/>
        </w:numPr>
        <w:spacing w:line="360" w:lineRule="auto"/>
        <w:ind w:left="0" w:firstLine="0"/>
        <w:jc w:val="both"/>
        <w:rPr>
          <w:rFonts w:ascii="Arial" w:hAnsi="Arial" w:cs="Arial"/>
          <w:sz w:val="24"/>
          <w:szCs w:val="24"/>
        </w:rPr>
      </w:pPr>
      <w:r w:rsidRPr="00BC4CDF">
        <w:rPr>
          <w:rFonts w:ascii="Arial" w:hAnsi="Arial" w:cs="Arial"/>
          <w:sz w:val="24"/>
          <w:szCs w:val="24"/>
        </w:rPr>
        <w:t xml:space="preserve">Having appointed Paragon to take over the ground handling services by 1 July 2022 and considering that Paragon was notified and prepared to commence to render ground handling services and the stakeholders were informed of the new ground handler, Paragon, by 22 April 2022, NAC had the responsibility to ensure that Paragon commences to render the ground handling services by 1 July 2022 free from any encumbrance. </w:t>
      </w:r>
      <w:r w:rsidR="00AD7CF3">
        <w:rPr>
          <w:rFonts w:ascii="Arial" w:hAnsi="Arial" w:cs="Arial"/>
          <w:sz w:val="24"/>
          <w:szCs w:val="24"/>
        </w:rPr>
        <w:t xml:space="preserve">NAC </w:t>
      </w:r>
      <w:r w:rsidR="00F11796">
        <w:rPr>
          <w:rFonts w:ascii="Arial" w:hAnsi="Arial" w:cs="Arial"/>
          <w:sz w:val="24"/>
          <w:szCs w:val="24"/>
        </w:rPr>
        <w:t>became aware on 23 May 2022 that Menzi</w:t>
      </w:r>
      <w:r w:rsidR="001501DD">
        <w:rPr>
          <w:rFonts w:ascii="Arial" w:hAnsi="Arial" w:cs="Arial"/>
          <w:sz w:val="24"/>
          <w:szCs w:val="24"/>
        </w:rPr>
        <w:t>es will not vacate HKIA as such, NAC</w:t>
      </w:r>
      <w:r w:rsidR="00F11796">
        <w:rPr>
          <w:rFonts w:ascii="Arial" w:hAnsi="Arial" w:cs="Arial"/>
          <w:sz w:val="24"/>
          <w:szCs w:val="24"/>
        </w:rPr>
        <w:t xml:space="preserve"> </w:t>
      </w:r>
      <w:r w:rsidR="001501DD">
        <w:rPr>
          <w:rFonts w:ascii="Arial" w:hAnsi="Arial" w:cs="Arial"/>
          <w:sz w:val="24"/>
          <w:szCs w:val="24"/>
        </w:rPr>
        <w:t xml:space="preserve">opted not to sleep on its rights by </w:t>
      </w:r>
      <w:r w:rsidR="00F11796">
        <w:rPr>
          <w:rFonts w:ascii="Arial" w:hAnsi="Arial" w:cs="Arial"/>
          <w:sz w:val="24"/>
          <w:szCs w:val="24"/>
        </w:rPr>
        <w:t>wait</w:t>
      </w:r>
      <w:r w:rsidR="001501DD">
        <w:rPr>
          <w:rFonts w:ascii="Arial" w:hAnsi="Arial" w:cs="Arial"/>
          <w:sz w:val="24"/>
          <w:szCs w:val="24"/>
        </w:rPr>
        <w:t>ing</w:t>
      </w:r>
      <w:r w:rsidR="00F11796">
        <w:rPr>
          <w:rFonts w:ascii="Arial" w:hAnsi="Arial" w:cs="Arial"/>
          <w:sz w:val="24"/>
          <w:szCs w:val="24"/>
        </w:rPr>
        <w:t xml:space="preserve"> unt</w:t>
      </w:r>
      <w:r w:rsidR="001501DD">
        <w:rPr>
          <w:rFonts w:ascii="Arial" w:hAnsi="Arial" w:cs="Arial"/>
          <w:sz w:val="24"/>
          <w:szCs w:val="24"/>
        </w:rPr>
        <w:t>il 30 June 2022 to invoke any</w:t>
      </w:r>
      <w:r w:rsidR="00F11796">
        <w:rPr>
          <w:rFonts w:ascii="Arial" w:hAnsi="Arial" w:cs="Arial"/>
          <w:sz w:val="24"/>
          <w:szCs w:val="24"/>
        </w:rPr>
        <w:t xml:space="preserve"> such rights. </w:t>
      </w:r>
    </w:p>
    <w:p w14:paraId="42438AC9" w14:textId="77777777" w:rsidR="003724DB" w:rsidRPr="003724DB" w:rsidRDefault="003724DB" w:rsidP="003724DB">
      <w:pPr>
        <w:pStyle w:val="ListParagraph"/>
        <w:rPr>
          <w:rFonts w:ascii="Arial" w:hAnsi="Arial" w:cs="Arial"/>
          <w:sz w:val="24"/>
          <w:szCs w:val="24"/>
        </w:rPr>
      </w:pPr>
    </w:p>
    <w:p w14:paraId="34301AEF" w14:textId="77777777" w:rsidR="003724DB" w:rsidRDefault="003724DB" w:rsidP="00AD7CF3">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I find that NAC acted proactively to protect its interest </w:t>
      </w:r>
      <w:proofErr w:type="gramStart"/>
      <w:r>
        <w:rPr>
          <w:rFonts w:ascii="Arial" w:hAnsi="Arial" w:cs="Arial"/>
          <w:sz w:val="24"/>
          <w:szCs w:val="24"/>
        </w:rPr>
        <w:t>in order to</w:t>
      </w:r>
      <w:proofErr w:type="gramEnd"/>
      <w:r>
        <w:rPr>
          <w:rFonts w:ascii="Arial" w:hAnsi="Arial" w:cs="Arial"/>
          <w:sz w:val="24"/>
          <w:szCs w:val="24"/>
        </w:rPr>
        <w:t xml:space="preserve"> seek an interdict and an eviction order which cannot be remedied after 30 June 2022. The declarator and the eviction orders are crucial to ensure smooth handover to Paragon. </w:t>
      </w:r>
    </w:p>
    <w:p w14:paraId="34861B77" w14:textId="77777777" w:rsidR="00841E4A" w:rsidRPr="00841E4A" w:rsidRDefault="00841E4A" w:rsidP="00841E4A">
      <w:pPr>
        <w:pStyle w:val="ListParagraph"/>
        <w:rPr>
          <w:rFonts w:ascii="Arial" w:hAnsi="Arial" w:cs="Arial"/>
          <w:sz w:val="24"/>
          <w:szCs w:val="24"/>
        </w:rPr>
      </w:pPr>
    </w:p>
    <w:p w14:paraId="17D87980" w14:textId="77777777" w:rsidR="00841E4A" w:rsidRPr="00841E4A" w:rsidRDefault="00D36C71" w:rsidP="00841E4A">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I further </w:t>
      </w:r>
      <w:r w:rsidR="00841E4A" w:rsidRPr="00841E4A">
        <w:rPr>
          <w:rFonts w:ascii="Arial" w:hAnsi="Arial" w:cs="Arial"/>
          <w:sz w:val="24"/>
          <w:szCs w:val="24"/>
        </w:rPr>
        <w:t xml:space="preserve">find that the NAC has demonstrated </w:t>
      </w:r>
      <w:r w:rsidR="00AF24EB" w:rsidRPr="00841E4A">
        <w:rPr>
          <w:rFonts w:ascii="Arial" w:hAnsi="Arial" w:cs="Arial"/>
          <w:sz w:val="24"/>
          <w:szCs w:val="24"/>
        </w:rPr>
        <w:t>t</w:t>
      </w:r>
      <w:r w:rsidR="00841E4A" w:rsidRPr="00841E4A">
        <w:rPr>
          <w:rFonts w:ascii="Arial" w:hAnsi="Arial" w:cs="Arial"/>
          <w:sz w:val="24"/>
          <w:szCs w:val="24"/>
        </w:rPr>
        <w:t xml:space="preserve">he circumstances which </w:t>
      </w:r>
      <w:r w:rsidR="00AF24EB" w:rsidRPr="00841E4A">
        <w:rPr>
          <w:rFonts w:ascii="Arial" w:hAnsi="Arial" w:cs="Arial"/>
          <w:sz w:val="24"/>
          <w:szCs w:val="24"/>
        </w:rPr>
        <w:t>rende</w:t>
      </w:r>
      <w:r w:rsidR="00841E4A" w:rsidRPr="00841E4A">
        <w:rPr>
          <w:rFonts w:ascii="Arial" w:hAnsi="Arial" w:cs="Arial"/>
          <w:sz w:val="24"/>
          <w:szCs w:val="24"/>
        </w:rPr>
        <w:t>r the matter urgent; and the reasons why it claims it could not be afforded substantial redress at a hearing in due course.</w:t>
      </w:r>
    </w:p>
    <w:p w14:paraId="66B9F219" w14:textId="77777777" w:rsidR="00841E4A" w:rsidRPr="00AF24EB" w:rsidRDefault="00841E4A" w:rsidP="00841E4A">
      <w:pPr>
        <w:pStyle w:val="ListParagraph"/>
        <w:spacing w:line="360" w:lineRule="auto"/>
        <w:ind w:left="0"/>
        <w:jc w:val="both"/>
        <w:rPr>
          <w:rFonts w:ascii="Arial" w:hAnsi="Arial" w:cs="Arial"/>
          <w:sz w:val="24"/>
          <w:szCs w:val="24"/>
        </w:rPr>
      </w:pPr>
    </w:p>
    <w:p w14:paraId="068997AE" w14:textId="77777777" w:rsidR="001F361C" w:rsidRPr="008F0EF8" w:rsidRDefault="008F0EF8" w:rsidP="008F0EF8">
      <w:pPr>
        <w:pStyle w:val="ListParagraph"/>
        <w:spacing w:line="360" w:lineRule="auto"/>
        <w:ind w:left="0"/>
        <w:jc w:val="both"/>
        <w:rPr>
          <w:rFonts w:ascii="Arial" w:hAnsi="Arial" w:cs="Arial"/>
          <w:sz w:val="24"/>
          <w:szCs w:val="24"/>
          <w:u w:val="single"/>
        </w:rPr>
      </w:pPr>
      <w:r w:rsidRPr="008F0EF8">
        <w:rPr>
          <w:rFonts w:ascii="Arial" w:hAnsi="Arial" w:cs="Arial"/>
          <w:sz w:val="24"/>
          <w:szCs w:val="24"/>
          <w:u w:val="single"/>
        </w:rPr>
        <w:t>Discussion</w:t>
      </w:r>
    </w:p>
    <w:p w14:paraId="678CA595" w14:textId="77777777" w:rsidR="008F0EF8" w:rsidRDefault="008F0EF8" w:rsidP="008F0EF8">
      <w:pPr>
        <w:pStyle w:val="ListParagraph"/>
        <w:spacing w:line="360" w:lineRule="auto"/>
        <w:ind w:left="0"/>
        <w:jc w:val="both"/>
        <w:rPr>
          <w:rFonts w:ascii="Arial" w:hAnsi="Arial" w:cs="Arial"/>
          <w:sz w:val="24"/>
          <w:szCs w:val="24"/>
        </w:rPr>
      </w:pPr>
    </w:p>
    <w:p w14:paraId="19B927E3" w14:textId="77777777" w:rsidR="008F0EF8" w:rsidRDefault="008F0EF8" w:rsidP="001F361C">
      <w:pPr>
        <w:pStyle w:val="ListParagraph"/>
        <w:numPr>
          <w:ilvl w:val="0"/>
          <w:numId w:val="1"/>
        </w:numPr>
        <w:spacing w:line="360" w:lineRule="auto"/>
        <w:ind w:left="0" w:firstLine="0"/>
        <w:jc w:val="both"/>
        <w:rPr>
          <w:rFonts w:ascii="Arial" w:hAnsi="Arial" w:cs="Arial"/>
          <w:sz w:val="24"/>
          <w:szCs w:val="24"/>
        </w:rPr>
      </w:pPr>
      <w:r w:rsidRPr="008F0EF8">
        <w:rPr>
          <w:rFonts w:ascii="Arial" w:hAnsi="Arial" w:cs="Arial"/>
          <w:sz w:val="24"/>
          <w:szCs w:val="24"/>
        </w:rPr>
        <w:t xml:space="preserve">Menzies claims that the </w:t>
      </w:r>
      <w:r>
        <w:rPr>
          <w:rFonts w:ascii="Arial" w:hAnsi="Arial" w:cs="Arial"/>
          <w:sz w:val="24"/>
          <w:szCs w:val="24"/>
        </w:rPr>
        <w:t xml:space="preserve">Service </w:t>
      </w:r>
      <w:r w:rsidRPr="008F0EF8">
        <w:rPr>
          <w:rFonts w:ascii="Arial" w:hAnsi="Arial" w:cs="Arial"/>
          <w:sz w:val="24"/>
          <w:szCs w:val="24"/>
        </w:rPr>
        <w:t>Agreement ended on 30 April 2022</w:t>
      </w:r>
      <w:r>
        <w:rPr>
          <w:rFonts w:ascii="Arial" w:hAnsi="Arial" w:cs="Arial"/>
          <w:sz w:val="24"/>
          <w:szCs w:val="24"/>
        </w:rPr>
        <w:t>,</w:t>
      </w:r>
      <w:r w:rsidRPr="008F0EF8">
        <w:rPr>
          <w:rFonts w:ascii="Arial" w:hAnsi="Arial" w:cs="Arial"/>
          <w:sz w:val="24"/>
          <w:szCs w:val="24"/>
        </w:rPr>
        <w:t xml:space="preserve"> due to NAC’s termination no</w:t>
      </w:r>
      <w:r>
        <w:rPr>
          <w:rFonts w:ascii="Arial" w:hAnsi="Arial" w:cs="Arial"/>
          <w:sz w:val="24"/>
          <w:szCs w:val="24"/>
        </w:rPr>
        <w:t>tice issued on 31 March 2022</w:t>
      </w:r>
      <w:r w:rsidR="0036681F">
        <w:rPr>
          <w:rFonts w:ascii="Arial" w:hAnsi="Arial" w:cs="Arial"/>
          <w:sz w:val="24"/>
          <w:szCs w:val="24"/>
        </w:rPr>
        <w:t xml:space="preserve">. </w:t>
      </w:r>
      <w:r>
        <w:rPr>
          <w:rFonts w:ascii="Arial" w:hAnsi="Arial" w:cs="Arial"/>
          <w:sz w:val="24"/>
          <w:szCs w:val="24"/>
        </w:rPr>
        <w:t xml:space="preserve">I find this argument </w:t>
      </w:r>
      <w:r w:rsidR="00B23E61">
        <w:rPr>
          <w:rFonts w:ascii="Arial" w:hAnsi="Arial" w:cs="Arial"/>
          <w:sz w:val="24"/>
          <w:szCs w:val="24"/>
        </w:rPr>
        <w:t>worrisome</w:t>
      </w:r>
      <w:r>
        <w:rPr>
          <w:rFonts w:ascii="Arial" w:hAnsi="Arial" w:cs="Arial"/>
          <w:sz w:val="24"/>
          <w:szCs w:val="24"/>
        </w:rPr>
        <w:t xml:space="preserve"> for the following reasons:</w:t>
      </w:r>
    </w:p>
    <w:p w14:paraId="6F3BF260" w14:textId="77777777" w:rsidR="008F0EF8" w:rsidRDefault="008F0EF8" w:rsidP="008F0EF8">
      <w:pPr>
        <w:pStyle w:val="ListParagraph"/>
        <w:spacing w:line="360" w:lineRule="auto"/>
        <w:ind w:left="0"/>
        <w:jc w:val="both"/>
        <w:rPr>
          <w:rFonts w:ascii="Arial" w:hAnsi="Arial" w:cs="Arial"/>
          <w:sz w:val="24"/>
          <w:szCs w:val="24"/>
        </w:rPr>
      </w:pPr>
    </w:p>
    <w:p w14:paraId="69CE2E94" w14:textId="77777777" w:rsidR="008F0EF8" w:rsidRDefault="008F0EF8" w:rsidP="001501DD">
      <w:pPr>
        <w:pStyle w:val="ListParagraph"/>
        <w:numPr>
          <w:ilvl w:val="0"/>
          <w:numId w:val="4"/>
        </w:numPr>
        <w:spacing w:line="360" w:lineRule="auto"/>
        <w:ind w:left="709" w:firstLine="1"/>
        <w:jc w:val="both"/>
        <w:rPr>
          <w:rFonts w:ascii="Arial" w:hAnsi="Arial" w:cs="Arial"/>
          <w:sz w:val="24"/>
          <w:szCs w:val="24"/>
        </w:rPr>
      </w:pPr>
      <w:r w:rsidRPr="008F0EF8">
        <w:rPr>
          <w:rFonts w:ascii="Arial" w:hAnsi="Arial" w:cs="Arial"/>
          <w:sz w:val="24"/>
          <w:szCs w:val="24"/>
        </w:rPr>
        <w:t xml:space="preserve">Menzies continued to provide ground handling services at HKIA after the withdrawal notice. Menzies never vacated the premises and it never stopped providing ground handling services after 30 April 2022. Indeed, until the </w:t>
      </w:r>
      <w:r w:rsidRPr="008F0EF8">
        <w:rPr>
          <w:rFonts w:ascii="Arial" w:hAnsi="Arial" w:cs="Arial"/>
          <w:sz w:val="24"/>
          <w:szCs w:val="24"/>
        </w:rPr>
        <w:lastRenderedPageBreak/>
        <w:t xml:space="preserve">answering affidavit was filed in this matter, Menzies never informed NAC or suggested that the contracting parties were performing under a new type of contractual arrangement. </w:t>
      </w:r>
      <w:r w:rsidR="00B23E61">
        <w:rPr>
          <w:rFonts w:ascii="Arial" w:hAnsi="Arial" w:cs="Arial"/>
          <w:sz w:val="24"/>
          <w:szCs w:val="24"/>
        </w:rPr>
        <w:t xml:space="preserve">I agree, with Mr </w:t>
      </w:r>
      <w:proofErr w:type="spellStart"/>
      <w:r w:rsidR="00B23E61">
        <w:rPr>
          <w:rFonts w:ascii="Arial" w:hAnsi="Arial" w:cs="Arial"/>
          <w:sz w:val="24"/>
          <w:szCs w:val="24"/>
        </w:rPr>
        <w:t>Bhana’s</w:t>
      </w:r>
      <w:proofErr w:type="spellEnd"/>
      <w:r w:rsidR="00B23E61">
        <w:rPr>
          <w:rFonts w:ascii="Arial" w:hAnsi="Arial" w:cs="Arial"/>
          <w:sz w:val="24"/>
          <w:szCs w:val="24"/>
        </w:rPr>
        <w:t xml:space="preserve"> submission that this defence wa</w:t>
      </w:r>
      <w:r w:rsidRPr="008F0EF8">
        <w:rPr>
          <w:rFonts w:ascii="Arial" w:hAnsi="Arial" w:cs="Arial"/>
          <w:sz w:val="24"/>
          <w:szCs w:val="24"/>
        </w:rPr>
        <w:t xml:space="preserve">s a desperate afterthought. </w:t>
      </w:r>
    </w:p>
    <w:p w14:paraId="25DDDE93" w14:textId="77777777" w:rsidR="008F0EF8" w:rsidRDefault="008F0EF8" w:rsidP="001501DD">
      <w:pPr>
        <w:pStyle w:val="ListParagraph"/>
        <w:spacing w:line="360" w:lineRule="auto"/>
        <w:ind w:left="709" w:firstLine="1"/>
        <w:jc w:val="both"/>
        <w:rPr>
          <w:rFonts w:ascii="Arial" w:hAnsi="Arial" w:cs="Arial"/>
          <w:sz w:val="24"/>
          <w:szCs w:val="24"/>
        </w:rPr>
      </w:pPr>
    </w:p>
    <w:p w14:paraId="4BB07C14" w14:textId="77777777" w:rsidR="00881A07" w:rsidRDefault="00B23E61" w:rsidP="006C5C3F">
      <w:pPr>
        <w:pStyle w:val="ListParagraph"/>
        <w:numPr>
          <w:ilvl w:val="0"/>
          <w:numId w:val="4"/>
        </w:numPr>
        <w:spacing w:line="360" w:lineRule="auto"/>
        <w:ind w:left="709" w:firstLine="1"/>
        <w:jc w:val="both"/>
        <w:rPr>
          <w:rFonts w:ascii="Arial" w:hAnsi="Arial" w:cs="Arial"/>
          <w:sz w:val="24"/>
          <w:szCs w:val="24"/>
        </w:rPr>
      </w:pPr>
      <w:r>
        <w:rPr>
          <w:rFonts w:ascii="Arial" w:hAnsi="Arial" w:cs="Arial"/>
          <w:sz w:val="24"/>
          <w:szCs w:val="24"/>
        </w:rPr>
        <w:t>Moreover, a</w:t>
      </w:r>
      <w:r w:rsidR="008F0EF8" w:rsidRPr="008F0EF8">
        <w:rPr>
          <w:rFonts w:ascii="Arial" w:hAnsi="Arial" w:cs="Arial"/>
          <w:sz w:val="24"/>
          <w:szCs w:val="24"/>
        </w:rPr>
        <w:t>fte</w:t>
      </w:r>
      <w:r w:rsidR="00881A07">
        <w:rPr>
          <w:rFonts w:ascii="Arial" w:hAnsi="Arial" w:cs="Arial"/>
          <w:sz w:val="24"/>
          <w:szCs w:val="24"/>
        </w:rPr>
        <w:t xml:space="preserve">r NAC withdrew the notice of cancellation of the agreement on 22 April 2022, Menzies, in an email </w:t>
      </w:r>
      <w:r w:rsidR="00416A20">
        <w:rPr>
          <w:rFonts w:ascii="Arial" w:hAnsi="Arial" w:cs="Arial"/>
          <w:sz w:val="24"/>
          <w:szCs w:val="24"/>
        </w:rPr>
        <w:t xml:space="preserve">dated 25 April 2022 and a letter of 26 April 2022 </w:t>
      </w:r>
      <w:r w:rsidR="00881A07">
        <w:rPr>
          <w:rFonts w:ascii="Arial" w:hAnsi="Arial" w:cs="Arial"/>
          <w:sz w:val="24"/>
          <w:szCs w:val="24"/>
        </w:rPr>
        <w:t xml:space="preserve">from its lawyers </w:t>
      </w:r>
      <w:r w:rsidR="004E45BE">
        <w:rPr>
          <w:rFonts w:ascii="Arial" w:hAnsi="Arial" w:cs="Arial"/>
          <w:sz w:val="24"/>
          <w:szCs w:val="24"/>
        </w:rPr>
        <w:t xml:space="preserve">addressed to NAC’s lawyers </w:t>
      </w:r>
      <w:r w:rsidR="009512DF">
        <w:rPr>
          <w:rFonts w:ascii="Arial" w:hAnsi="Arial" w:cs="Arial"/>
          <w:sz w:val="24"/>
          <w:szCs w:val="24"/>
        </w:rPr>
        <w:t xml:space="preserve">expressed concern about the capabilities of Paragon to render the services and </w:t>
      </w:r>
      <w:r w:rsidR="008F0EF8" w:rsidRPr="008F0EF8">
        <w:rPr>
          <w:rFonts w:ascii="Arial" w:hAnsi="Arial" w:cs="Arial"/>
          <w:sz w:val="24"/>
          <w:szCs w:val="24"/>
        </w:rPr>
        <w:t xml:space="preserve">requested that the existing </w:t>
      </w:r>
      <w:r w:rsidR="008F0EF8">
        <w:rPr>
          <w:rFonts w:ascii="Arial" w:hAnsi="Arial" w:cs="Arial"/>
          <w:sz w:val="24"/>
          <w:szCs w:val="24"/>
        </w:rPr>
        <w:t xml:space="preserve">Service </w:t>
      </w:r>
      <w:r w:rsidR="008F0EF8" w:rsidRPr="008F0EF8">
        <w:rPr>
          <w:rFonts w:ascii="Arial" w:hAnsi="Arial" w:cs="Arial"/>
          <w:sz w:val="24"/>
          <w:szCs w:val="24"/>
        </w:rPr>
        <w:t xml:space="preserve">Agreement be extended until after the </w:t>
      </w:r>
      <w:r w:rsidR="00881A07">
        <w:rPr>
          <w:rFonts w:ascii="Arial" w:hAnsi="Arial" w:cs="Arial"/>
          <w:sz w:val="24"/>
          <w:szCs w:val="24"/>
        </w:rPr>
        <w:t xml:space="preserve">finalisation of the </w:t>
      </w:r>
      <w:r w:rsidR="008F0EF8" w:rsidRPr="008F0EF8">
        <w:rPr>
          <w:rFonts w:ascii="Arial" w:hAnsi="Arial" w:cs="Arial"/>
          <w:sz w:val="24"/>
          <w:szCs w:val="24"/>
        </w:rPr>
        <w:t>rev</w:t>
      </w:r>
      <w:r w:rsidR="008F0EF8">
        <w:rPr>
          <w:rFonts w:ascii="Arial" w:hAnsi="Arial" w:cs="Arial"/>
          <w:sz w:val="24"/>
          <w:szCs w:val="24"/>
        </w:rPr>
        <w:t>iew application</w:t>
      </w:r>
      <w:r w:rsidR="00881A07">
        <w:rPr>
          <w:rFonts w:ascii="Arial" w:hAnsi="Arial" w:cs="Arial"/>
          <w:sz w:val="24"/>
          <w:szCs w:val="24"/>
        </w:rPr>
        <w:t>.</w:t>
      </w:r>
      <w:r w:rsidR="009512DF">
        <w:rPr>
          <w:rStyle w:val="FootnoteReference"/>
          <w:rFonts w:ascii="Arial" w:hAnsi="Arial" w:cs="Arial"/>
          <w:sz w:val="24"/>
          <w:szCs w:val="24"/>
        </w:rPr>
        <w:footnoteReference w:id="7"/>
      </w:r>
      <w:r w:rsidR="00881A07">
        <w:rPr>
          <w:rFonts w:ascii="Arial" w:hAnsi="Arial" w:cs="Arial"/>
          <w:sz w:val="24"/>
          <w:szCs w:val="24"/>
        </w:rPr>
        <w:t xml:space="preserve"> </w:t>
      </w:r>
    </w:p>
    <w:p w14:paraId="4C94DA77" w14:textId="77777777" w:rsidR="006C5C3F" w:rsidRPr="006C5C3F" w:rsidRDefault="006C5C3F" w:rsidP="006C5C3F">
      <w:pPr>
        <w:pStyle w:val="ListParagraph"/>
        <w:rPr>
          <w:rFonts w:ascii="Arial" w:hAnsi="Arial" w:cs="Arial"/>
          <w:sz w:val="24"/>
          <w:szCs w:val="24"/>
        </w:rPr>
      </w:pPr>
    </w:p>
    <w:p w14:paraId="058DE0D9" w14:textId="77777777" w:rsidR="007270D3" w:rsidRPr="006C5C3F" w:rsidRDefault="008F0EF8" w:rsidP="006C5C3F">
      <w:pPr>
        <w:pStyle w:val="ListParagraph"/>
        <w:numPr>
          <w:ilvl w:val="0"/>
          <w:numId w:val="4"/>
        </w:numPr>
        <w:spacing w:line="360" w:lineRule="auto"/>
        <w:ind w:left="709" w:firstLine="1"/>
        <w:jc w:val="both"/>
        <w:rPr>
          <w:rFonts w:ascii="Arial" w:hAnsi="Arial" w:cs="Arial"/>
          <w:sz w:val="24"/>
          <w:szCs w:val="24"/>
        </w:rPr>
      </w:pPr>
      <w:r w:rsidRPr="006C5C3F">
        <w:rPr>
          <w:rFonts w:ascii="Arial" w:hAnsi="Arial" w:cs="Arial"/>
          <w:sz w:val="24"/>
          <w:szCs w:val="24"/>
        </w:rPr>
        <w:t xml:space="preserve">In the plea for an extension, Menzies expressly acknowledged that NAC withdrew its cancellation notice, thereby requiring Menzies to continue providing services until 30 June 2022 but not </w:t>
      </w:r>
      <w:r w:rsidR="009849B0" w:rsidRPr="006C5C3F">
        <w:rPr>
          <w:rFonts w:ascii="Arial" w:hAnsi="Arial" w:cs="Arial"/>
          <w:sz w:val="24"/>
          <w:szCs w:val="24"/>
        </w:rPr>
        <w:t xml:space="preserve">any period after that. </w:t>
      </w:r>
      <w:r w:rsidRPr="006C5C3F">
        <w:rPr>
          <w:rFonts w:ascii="Arial" w:hAnsi="Arial" w:cs="Arial"/>
          <w:sz w:val="24"/>
          <w:szCs w:val="24"/>
        </w:rPr>
        <w:t>Th</w:t>
      </w:r>
      <w:r w:rsidR="009849B0" w:rsidRPr="006C5C3F">
        <w:rPr>
          <w:rFonts w:ascii="Arial" w:hAnsi="Arial" w:cs="Arial"/>
          <w:sz w:val="24"/>
          <w:szCs w:val="24"/>
        </w:rPr>
        <w:t>is p</w:t>
      </w:r>
      <w:r w:rsidR="00CA2074">
        <w:rPr>
          <w:rFonts w:ascii="Arial" w:hAnsi="Arial" w:cs="Arial"/>
          <w:sz w:val="24"/>
          <w:szCs w:val="24"/>
        </w:rPr>
        <w:t>osition demonstrates that</w:t>
      </w:r>
      <w:r w:rsidR="009849B0" w:rsidRPr="006C5C3F">
        <w:rPr>
          <w:rFonts w:ascii="Arial" w:hAnsi="Arial" w:cs="Arial"/>
          <w:sz w:val="24"/>
          <w:szCs w:val="24"/>
        </w:rPr>
        <w:t xml:space="preserve"> </w:t>
      </w:r>
      <w:r w:rsidRPr="006C5C3F">
        <w:rPr>
          <w:rFonts w:ascii="Arial" w:hAnsi="Arial" w:cs="Arial"/>
          <w:sz w:val="24"/>
          <w:szCs w:val="24"/>
        </w:rPr>
        <w:t xml:space="preserve">Menzies accepted the withdrawal </w:t>
      </w:r>
      <w:r w:rsidR="009849B0" w:rsidRPr="006C5C3F">
        <w:rPr>
          <w:rFonts w:ascii="Arial" w:hAnsi="Arial" w:cs="Arial"/>
          <w:sz w:val="24"/>
          <w:szCs w:val="24"/>
        </w:rPr>
        <w:t xml:space="preserve">of the cancellation notice and continued </w:t>
      </w:r>
      <w:r w:rsidR="00B23E61" w:rsidRPr="006C5C3F">
        <w:rPr>
          <w:rFonts w:ascii="Arial" w:hAnsi="Arial" w:cs="Arial"/>
          <w:sz w:val="24"/>
          <w:szCs w:val="24"/>
        </w:rPr>
        <w:t>to perform under the existing Service A</w:t>
      </w:r>
      <w:r w:rsidRPr="006C5C3F">
        <w:rPr>
          <w:rFonts w:ascii="Arial" w:hAnsi="Arial" w:cs="Arial"/>
          <w:sz w:val="24"/>
          <w:szCs w:val="24"/>
        </w:rPr>
        <w:t>greement</w:t>
      </w:r>
      <w:r w:rsidR="0047166D" w:rsidRPr="006C5C3F">
        <w:rPr>
          <w:rFonts w:ascii="Arial" w:hAnsi="Arial" w:cs="Arial"/>
          <w:sz w:val="24"/>
          <w:szCs w:val="24"/>
        </w:rPr>
        <w:t xml:space="preserve"> which is due to lapse on 30 June 2022</w:t>
      </w:r>
      <w:r w:rsidR="00B23E61" w:rsidRPr="006C5C3F">
        <w:rPr>
          <w:rFonts w:ascii="Arial" w:hAnsi="Arial" w:cs="Arial"/>
          <w:sz w:val="24"/>
          <w:szCs w:val="24"/>
        </w:rPr>
        <w:t xml:space="preserve">. </w:t>
      </w:r>
    </w:p>
    <w:p w14:paraId="2EF7A19A" w14:textId="77777777" w:rsidR="007270D3" w:rsidRDefault="007270D3" w:rsidP="001501DD">
      <w:pPr>
        <w:pStyle w:val="ListParagraph"/>
        <w:spacing w:line="360" w:lineRule="auto"/>
        <w:ind w:left="709" w:firstLine="1"/>
        <w:jc w:val="both"/>
        <w:rPr>
          <w:rFonts w:ascii="Arial" w:hAnsi="Arial" w:cs="Arial"/>
          <w:sz w:val="24"/>
          <w:szCs w:val="24"/>
        </w:rPr>
      </w:pPr>
    </w:p>
    <w:p w14:paraId="6CFF5055" w14:textId="77777777" w:rsidR="00EE02F0" w:rsidRDefault="008F0EF8" w:rsidP="001501DD">
      <w:pPr>
        <w:pStyle w:val="ListParagraph"/>
        <w:numPr>
          <w:ilvl w:val="0"/>
          <w:numId w:val="4"/>
        </w:numPr>
        <w:spacing w:line="360" w:lineRule="auto"/>
        <w:ind w:left="709" w:firstLine="1"/>
        <w:jc w:val="both"/>
        <w:rPr>
          <w:rFonts w:ascii="Arial" w:hAnsi="Arial" w:cs="Arial"/>
          <w:sz w:val="24"/>
          <w:szCs w:val="24"/>
        </w:rPr>
      </w:pPr>
      <w:r w:rsidRPr="008F0EF8">
        <w:rPr>
          <w:rFonts w:ascii="Arial" w:hAnsi="Arial" w:cs="Arial"/>
          <w:sz w:val="24"/>
          <w:szCs w:val="24"/>
        </w:rPr>
        <w:t>If Menzies</w:t>
      </w:r>
      <w:r w:rsidR="00EE02F0">
        <w:rPr>
          <w:rFonts w:ascii="Arial" w:hAnsi="Arial" w:cs="Arial"/>
          <w:sz w:val="24"/>
          <w:szCs w:val="24"/>
        </w:rPr>
        <w:t>’</w:t>
      </w:r>
      <w:r w:rsidRPr="008F0EF8">
        <w:rPr>
          <w:rFonts w:ascii="Arial" w:hAnsi="Arial" w:cs="Arial"/>
          <w:sz w:val="24"/>
          <w:szCs w:val="24"/>
        </w:rPr>
        <w:t xml:space="preserve"> </w:t>
      </w:r>
      <w:r w:rsidR="00EE02F0">
        <w:rPr>
          <w:rFonts w:ascii="Arial" w:hAnsi="Arial" w:cs="Arial"/>
          <w:sz w:val="24"/>
          <w:szCs w:val="24"/>
        </w:rPr>
        <w:t xml:space="preserve">position is that </w:t>
      </w:r>
      <w:r w:rsidRPr="008F0EF8">
        <w:rPr>
          <w:rFonts w:ascii="Arial" w:hAnsi="Arial" w:cs="Arial"/>
          <w:sz w:val="24"/>
          <w:szCs w:val="24"/>
        </w:rPr>
        <w:t xml:space="preserve">the </w:t>
      </w:r>
      <w:r w:rsidR="00CA2074">
        <w:rPr>
          <w:rFonts w:ascii="Arial" w:hAnsi="Arial" w:cs="Arial"/>
          <w:sz w:val="24"/>
          <w:szCs w:val="24"/>
        </w:rPr>
        <w:t xml:space="preserve">Service </w:t>
      </w:r>
      <w:r w:rsidRPr="008F0EF8">
        <w:rPr>
          <w:rFonts w:ascii="Arial" w:hAnsi="Arial" w:cs="Arial"/>
          <w:sz w:val="24"/>
          <w:szCs w:val="24"/>
        </w:rPr>
        <w:t>Agreement terminated on 30 April 2022,</w:t>
      </w:r>
      <w:r w:rsidR="00B23E61">
        <w:rPr>
          <w:rFonts w:ascii="Arial" w:hAnsi="Arial" w:cs="Arial"/>
          <w:sz w:val="24"/>
          <w:szCs w:val="24"/>
        </w:rPr>
        <w:t xml:space="preserve"> </w:t>
      </w:r>
      <w:r w:rsidR="00EE02F0">
        <w:rPr>
          <w:rFonts w:ascii="Arial" w:hAnsi="Arial" w:cs="Arial"/>
          <w:sz w:val="24"/>
          <w:szCs w:val="24"/>
        </w:rPr>
        <w:t>and further that the agreement was no</w:t>
      </w:r>
      <w:r w:rsidR="00CA2074">
        <w:rPr>
          <w:rFonts w:ascii="Arial" w:hAnsi="Arial" w:cs="Arial"/>
          <w:sz w:val="24"/>
          <w:szCs w:val="24"/>
        </w:rPr>
        <w:t xml:space="preserve"> longer due for termination on 3</w:t>
      </w:r>
      <w:r w:rsidR="00EE02F0">
        <w:rPr>
          <w:rFonts w:ascii="Arial" w:hAnsi="Arial" w:cs="Arial"/>
          <w:sz w:val="24"/>
          <w:szCs w:val="24"/>
        </w:rPr>
        <w:t xml:space="preserve">0 June 2022 </w:t>
      </w:r>
      <w:r w:rsidR="00B23E61">
        <w:rPr>
          <w:rFonts w:ascii="Arial" w:hAnsi="Arial" w:cs="Arial"/>
          <w:sz w:val="24"/>
          <w:szCs w:val="24"/>
        </w:rPr>
        <w:t xml:space="preserve">as it claims </w:t>
      </w:r>
      <w:r w:rsidR="00EE02F0">
        <w:rPr>
          <w:rFonts w:ascii="Arial" w:hAnsi="Arial" w:cs="Arial"/>
          <w:sz w:val="24"/>
          <w:szCs w:val="24"/>
        </w:rPr>
        <w:t>in these proceedings, it defeats logic why it w</w:t>
      </w:r>
      <w:r w:rsidRPr="008F0EF8">
        <w:rPr>
          <w:rFonts w:ascii="Arial" w:hAnsi="Arial" w:cs="Arial"/>
          <w:sz w:val="24"/>
          <w:szCs w:val="24"/>
        </w:rPr>
        <w:t xml:space="preserve">ould </w:t>
      </w:r>
      <w:r w:rsidR="00EE02F0">
        <w:rPr>
          <w:rFonts w:ascii="Arial" w:hAnsi="Arial" w:cs="Arial"/>
          <w:sz w:val="24"/>
          <w:szCs w:val="24"/>
        </w:rPr>
        <w:t>then request for an extension of th</w:t>
      </w:r>
      <w:r w:rsidRPr="008F0EF8">
        <w:rPr>
          <w:rFonts w:ascii="Arial" w:hAnsi="Arial" w:cs="Arial"/>
          <w:sz w:val="24"/>
          <w:szCs w:val="24"/>
        </w:rPr>
        <w:t xml:space="preserve">e existing </w:t>
      </w:r>
      <w:r w:rsidR="00B23E61">
        <w:rPr>
          <w:rFonts w:ascii="Arial" w:hAnsi="Arial" w:cs="Arial"/>
          <w:sz w:val="24"/>
          <w:szCs w:val="24"/>
        </w:rPr>
        <w:t xml:space="preserve">Service </w:t>
      </w:r>
      <w:r w:rsidRPr="008F0EF8">
        <w:rPr>
          <w:rFonts w:ascii="Arial" w:hAnsi="Arial" w:cs="Arial"/>
          <w:sz w:val="24"/>
          <w:szCs w:val="24"/>
        </w:rPr>
        <w:t>Agreement</w:t>
      </w:r>
      <w:r w:rsidR="00EE02F0">
        <w:rPr>
          <w:rFonts w:ascii="Arial" w:hAnsi="Arial" w:cs="Arial"/>
          <w:sz w:val="24"/>
          <w:szCs w:val="24"/>
        </w:rPr>
        <w:t xml:space="preserve"> until the finalisation of the review application.</w:t>
      </w:r>
    </w:p>
    <w:p w14:paraId="19B9C059" w14:textId="77777777" w:rsidR="00EE02F0" w:rsidRPr="00EE02F0" w:rsidRDefault="00EE02F0" w:rsidP="001501DD">
      <w:pPr>
        <w:pStyle w:val="ListParagraph"/>
        <w:ind w:left="709" w:firstLine="1"/>
        <w:rPr>
          <w:rFonts w:ascii="Arial" w:hAnsi="Arial" w:cs="Arial"/>
          <w:sz w:val="24"/>
          <w:szCs w:val="24"/>
        </w:rPr>
      </w:pPr>
    </w:p>
    <w:p w14:paraId="0614C65D" w14:textId="77777777" w:rsidR="008E6A95" w:rsidRDefault="00DB63B7" w:rsidP="001501DD">
      <w:pPr>
        <w:pStyle w:val="ListParagraph"/>
        <w:numPr>
          <w:ilvl w:val="0"/>
          <w:numId w:val="4"/>
        </w:numPr>
        <w:spacing w:line="360" w:lineRule="auto"/>
        <w:ind w:left="709" w:firstLine="1"/>
        <w:jc w:val="both"/>
        <w:rPr>
          <w:rFonts w:ascii="Arial" w:hAnsi="Arial" w:cs="Arial"/>
          <w:sz w:val="24"/>
          <w:szCs w:val="24"/>
        </w:rPr>
      </w:pPr>
      <w:r>
        <w:rPr>
          <w:rFonts w:ascii="Arial" w:hAnsi="Arial" w:cs="Arial"/>
          <w:sz w:val="24"/>
          <w:szCs w:val="24"/>
        </w:rPr>
        <w:t>I</w:t>
      </w:r>
      <w:r w:rsidR="002E1A43">
        <w:rPr>
          <w:rFonts w:ascii="Arial" w:hAnsi="Arial" w:cs="Arial"/>
          <w:sz w:val="24"/>
          <w:szCs w:val="24"/>
        </w:rPr>
        <w:t>n my view, Annexure “FA6” and “FA7” lays bare the fact</w:t>
      </w:r>
      <w:r w:rsidR="00523447">
        <w:rPr>
          <w:rFonts w:ascii="Arial" w:hAnsi="Arial" w:cs="Arial"/>
          <w:sz w:val="24"/>
          <w:szCs w:val="24"/>
        </w:rPr>
        <w:t xml:space="preserve"> that</w:t>
      </w:r>
      <w:r w:rsidR="002E1A43">
        <w:rPr>
          <w:rFonts w:ascii="Arial" w:hAnsi="Arial" w:cs="Arial"/>
          <w:sz w:val="24"/>
          <w:szCs w:val="24"/>
        </w:rPr>
        <w:t xml:space="preserve"> Menzies acknowledged that NAC withdrew its cancellation letter of 31 March 2022 and therefore the Service Agreement was due to terminate on 30 June 2022.</w:t>
      </w:r>
      <w:r w:rsidR="00706505">
        <w:rPr>
          <w:rFonts w:ascii="Arial" w:hAnsi="Arial" w:cs="Arial"/>
          <w:sz w:val="24"/>
          <w:szCs w:val="24"/>
        </w:rPr>
        <w:t xml:space="preserve"> </w:t>
      </w:r>
      <w:proofErr w:type="gramStart"/>
      <w:r w:rsidR="00706505">
        <w:rPr>
          <w:rFonts w:ascii="Arial" w:hAnsi="Arial" w:cs="Arial"/>
          <w:sz w:val="24"/>
          <w:szCs w:val="24"/>
        </w:rPr>
        <w:t>Subsequent to</w:t>
      </w:r>
      <w:proofErr w:type="gramEnd"/>
      <w:r w:rsidR="00706505">
        <w:rPr>
          <w:rFonts w:ascii="Arial" w:hAnsi="Arial" w:cs="Arial"/>
          <w:sz w:val="24"/>
          <w:szCs w:val="24"/>
        </w:rPr>
        <w:t xml:space="preserve"> being alive to the imminent termination of the Service Agreement </w:t>
      </w:r>
      <w:r w:rsidR="00706505">
        <w:rPr>
          <w:rFonts w:ascii="Arial" w:hAnsi="Arial" w:cs="Arial"/>
          <w:sz w:val="24"/>
          <w:szCs w:val="24"/>
        </w:rPr>
        <w:lastRenderedPageBreak/>
        <w:t>on 30 June 2022,</w:t>
      </w:r>
      <w:r w:rsidR="00CA2074">
        <w:rPr>
          <w:rFonts w:ascii="Arial" w:hAnsi="Arial" w:cs="Arial"/>
          <w:sz w:val="24"/>
          <w:szCs w:val="24"/>
        </w:rPr>
        <w:t xml:space="preserve"> Menzies was specific that the r</w:t>
      </w:r>
      <w:r w:rsidR="00706505">
        <w:rPr>
          <w:rFonts w:ascii="Arial" w:hAnsi="Arial" w:cs="Arial"/>
          <w:sz w:val="24"/>
          <w:szCs w:val="24"/>
        </w:rPr>
        <w:t>eview application will not be finalised by 1 July 2022.</w:t>
      </w:r>
      <w:r w:rsidR="008E6A95">
        <w:rPr>
          <w:rFonts w:ascii="Arial" w:hAnsi="Arial" w:cs="Arial"/>
          <w:sz w:val="24"/>
          <w:szCs w:val="24"/>
        </w:rPr>
        <w:t xml:space="preserve"> This is significant</w:t>
      </w:r>
      <w:r w:rsidR="00CA2074">
        <w:rPr>
          <w:rFonts w:ascii="Arial" w:hAnsi="Arial" w:cs="Arial"/>
          <w:sz w:val="24"/>
          <w:szCs w:val="24"/>
        </w:rPr>
        <w:t>,</w:t>
      </w:r>
      <w:r w:rsidR="008E6A95">
        <w:rPr>
          <w:rFonts w:ascii="Arial" w:hAnsi="Arial" w:cs="Arial"/>
          <w:sz w:val="24"/>
          <w:szCs w:val="24"/>
        </w:rPr>
        <w:t xml:space="preserve"> as it cements Menzies’ knowledge of the termination of the Service Agreement by 30 June 2022</w:t>
      </w:r>
      <w:r w:rsidR="00523447">
        <w:rPr>
          <w:rFonts w:ascii="Arial" w:hAnsi="Arial" w:cs="Arial"/>
          <w:sz w:val="24"/>
          <w:szCs w:val="24"/>
        </w:rPr>
        <w:t>,</w:t>
      </w:r>
      <w:r w:rsidR="008E6A95">
        <w:rPr>
          <w:rFonts w:ascii="Arial" w:hAnsi="Arial" w:cs="Arial"/>
          <w:sz w:val="24"/>
          <w:szCs w:val="24"/>
        </w:rPr>
        <w:t xml:space="preserve"> hence it was concerne</w:t>
      </w:r>
      <w:r w:rsidR="00CA2074">
        <w:rPr>
          <w:rFonts w:ascii="Arial" w:hAnsi="Arial" w:cs="Arial"/>
          <w:sz w:val="24"/>
          <w:szCs w:val="24"/>
        </w:rPr>
        <w:t xml:space="preserve">d about the </w:t>
      </w:r>
      <w:r w:rsidR="00523447">
        <w:rPr>
          <w:rFonts w:ascii="Arial" w:hAnsi="Arial" w:cs="Arial"/>
          <w:sz w:val="24"/>
          <w:szCs w:val="24"/>
        </w:rPr>
        <w:t xml:space="preserve">date of </w:t>
      </w:r>
      <w:r w:rsidR="00CA2074">
        <w:rPr>
          <w:rFonts w:ascii="Arial" w:hAnsi="Arial" w:cs="Arial"/>
          <w:sz w:val="24"/>
          <w:szCs w:val="24"/>
        </w:rPr>
        <w:t>1 July 2022</w:t>
      </w:r>
      <w:r w:rsidR="00523447">
        <w:rPr>
          <w:rFonts w:ascii="Arial" w:hAnsi="Arial" w:cs="Arial"/>
          <w:sz w:val="24"/>
          <w:szCs w:val="24"/>
        </w:rPr>
        <w:t>, when</w:t>
      </w:r>
      <w:r w:rsidR="008E6A95">
        <w:rPr>
          <w:rFonts w:ascii="Arial" w:hAnsi="Arial" w:cs="Arial"/>
          <w:sz w:val="24"/>
          <w:szCs w:val="24"/>
        </w:rPr>
        <w:t xml:space="preserve"> the Service Agreement would have been termina</w:t>
      </w:r>
      <w:r w:rsidR="00CA2074">
        <w:rPr>
          <w:rFonts w:ascii="Arial" w:hAnsi="Arial" w:cs="Arial"/>
          <w:sz w:val="24"/>
          <w:szCs w:val="24"/>
        </w:rPr>
        <w:t>ted before finalisation of the r</w:t>
      </w:r>
      <w:r w:rsidR="008E6A95">
        <w:rPr>
          <w:rFonts w:ascii="Arial" w:hAnsi="Arial" w:cs="Arial"/>
          <w:sz w:val="24"/>
          <w:szCs w:val="24"/>
        </w:rPr>
        <w:t xml:space="preserve">eview application. </w:t>
      </w:r>
    </w:p>
    <w:p w14:paraId="660AA1D1" w14:textId="77777777" w:rsidR="008E6A95" w:rsidRPr="008E6A95" w:rsidRDefault="008E6A95" w:rsidP="001501DD">
      <w:pPr>
        <w:pStyle w:val="ListParagraph"/>
        <w:ind w:left="709" w:firstLine="1"/>
        <w:rPr>
          <w:rFonts w:ascii="Arial" w:hAnsi="Arial" w:cs="Arial"/>
          <w:sz w:val="24"/>
          <w:szCs w:val="24"/>
        </w:rPr>
      </w:pPr>
    </w:p>
    <w:p w14:paraId="40EECC6E" w14:textId="77777777" w:rsidR="00706505" w:rsidRDefault="00601C55" w:rsidP="001501DD">
      <w:pPr>
        <w:pStyle w:val="ListParagraph"/>
        <w:numPr>
          <w:ilvl w:val="0"/>
          <w:numId w:val="4"/>
        </w:numPr>
        <w:spacing w:line="360" w:lineRule="auto"/>
        <w:ind w:left="709" w:firstLine="1"/>
        <w:jc w:val="both"/>
        <w:rPr>
          <w:rFonts w:ascii="Arial" w:hAnsi="Arial" w:cs="Arial"/>
          <w:sz w:val="24"/>
          <w:szCs w:val="24"/>
        </w:rPr>
      </w:pPr>
      <w:r>
        <w:rPr>
          <w:rFonts w:ascii="Arial" w:hAnsi="Arial" w:cs="Arial"/>
          <w:sz w:val="24"/>
          <w:szCs w:val="24"/>
        </w:rPr>
        <w:t>It is my view further that</w:t>
      </w:r>
      <w:r w:rsidR="00523447">
        <w:rPr>
          <w:rFonts w:ascii="Arial" w:hAnsi="Arial" w:cs="Arial"/>
          <w:sz w:val="24"/>
          <w:szCs w:val="24"/>
        </w:rPr>
        <w:t>,</w:t>
      </w:r>
      <w:r>
        <w:rPr>
          <w:rFonts w:ascii="Arial" w:hAnsi="Arial" w:cs="Arial"/>
          <w:sz w:val="24"/>
          <w:szCs w:val="24"/>
        </w:rPr>
        <w:t xml:space="preserve"> Menzies had the full knowledge and acceptance of such knowledge</w:t>
      </w:r>
      <w:r w:rsidR="00523447">
        <w:rPr>
          <w:rFonts w:ascii="Arial" w:hAnsi="Arial" w:cs="Arial"/>
          <w:sz w:val="24"/>
          <w:szCs w:val="24"/>
        </w:rPr>
        <w:t>,</w:t>
      </w:r>
      <w:r>
        <w:rPr>
          <w:rFonts w:ascii="Arial" w:hAnsi="Arial" w:cs="Arial"/>
          <w:sz w:val="24"/>
          <w:szCs w:val="24"/>
        </w:rPr>
        <w:t xml:space="preserve"> that the Service Agreement cancellation was withdrawn, thus leaving the terms of the Service Agreement intact and applicable to the parties, with the consequence that such agreement will lapse on 30 June 2022. It is this knowledge that led Menzies to request for an extension</w:t>
      </w:r>
      <w:r w:rsidR="00AB1CBB">
        <w:rPr>
          <w:rFonts w:ascii="Arial" w:hAnsi="Arial" w:cs="Arial"/>
          <w:sz w:val="24"/>
          <w:szCs w:val="24"/>
        </w:rPr>
        <w:t xml:space="preserve"> o</w:t>
      </w:r>
      <w:r>
        <w:rPr>
          <w:rFonts w:ascii="Arial" w:hAnsi="Arial" w:cs="Arial"/>
          <w:sz w:val="24"/>
          <w:szCs w:val="24"/>
        </w:rPr>
        <w:t>f the Service Agre</w:t>
      </w:r>
      <w:r w:rsidR="00CA2074">
        <w:rPr>
          <w:rFonts w:ascii="Arial" w:hAnsi="Arial" w:cs="Arial"/>
          <w:sz w:val="24"/>
          <w:szCs w:val="24"/>
        </w:rPr>
        <w:t>ement until such time that the r</w:t>
      </w:r>
      <w:r>
        <w:rPr>
          <w:rFonts w:ascii="Arial" w:hAnsi="Arial" w:cs="Arial"/>
          <w:sz w:val="24"/>
          <w:szCs w:val="24"/>
        </w:rPr>
        <w:t xml:space="preserve">eview application is finalised. </w:t>
      </w:r>
      <w:r w:rsidR="008E6A95">
        <w:rPr>
          <w:rFonts w:ascii="Arial" w:hAnsi="Arial" w:cs="Arial"/>
          <w:sz w:val="24"/>
          <w:szCs w:val="24"/>
        </w:rPr>
        <w:t xml:space="preserve"> </w:t>
      </w:r>
    </w:p>
    <w:p w14:paraId="24257B51" w14:textId="77777777" w:rsidR="00706505" w:rsidRPr="00706505" w:rsidRDefault="00706505" w:rsidP="001501DD">
      <w:pPr>
        <w:pStyle w:val="ListParagraph"/>
        <w:ind w:left="709" w:firstLine="1"/>
        <w:rPr>
          <w:rFonts w:ascii="Arial" w:hAnsi="Arial" w:cs="Arial"/>
          <w:sz w:val="24"/>
          <w:szCs w:val="24"/>
        </w:rPr>
      </w:pPr>
    </w:p>
    <w:p w14:paraId="4CF8A6B8" w14:textId="77777777" w:rsidR="00900002" w:rsidRDefault="00963095" w:rsidP="001501DD">
      <w:pPr>
        <w:pStyle w:val="ListParagraph"/>
        <w:numPr>
          <w:ilvl w:val="0"/>
          <w:numId w:val="4"/>
        </w:numPr>
        <w:spacing w:line="360" w:lineRule="auto"/>
        <w:ind w:left="709" w:firstLine="1"/>
        <w:jc w:val="both"/>
        <w:rPr>
          <w:rFonts w:ascii="Arial" w:hAnsi="Arial" w:cs="Arial"/>
          <w:sz w:val="24"/>
          <w:szCs w:val="24"/>
        </w:rPr>
      </w:pPr>
      <w:r>
        <w:rPr>
          <w:rFonts w:ascii="Arial" w:hAnsi="Arial" w:cs="Arial"/>
          <w:sz w:val="24"/>
          <w:szCs w:val="24"/>
        </w:rPr>
        <w:t xml:space="preserve">If at all Menzies was of the view that the Service Agreement was terminated on 30 April 2022 and proceeded to render ground handling services </w:t>
      </w:r>
      <w:proofErr w:type="gramStart"/>
      <w:r>
        <w:rPr>
          <w:rFonts w:ascii="Arial" w:hAnsi="Arial" w:cs="Arial"/>
          <w:sz w:val="24"/>
          <w:szCs w:val="24"/>
        </w:rPr>
        <w:t xml:space="preserve">on the basis </w:t>
      </w:r>
      <w:r w:rsidR="00523447">
        <w:rPr>
          <w:rFonts w:ascii="Arial" w:hAnsi="Arial" w:cs="Arial"/>
          <w:sz w:val="24"/>
          <w:szCs w:val="24"/>
        </w:rPr>
        <w:t>of</w:t>
      </w:r>
      <w:proofErr w:type="gramEnd"/>
      <w:r w:rsidR="00523447">
        <w:rPr>
          <w:rFonts w:ascii="Arial" w:hAnsi="Arial" w:cs="Arial"/>
          <w:sz w:val="24"/>
          <w:szCs w:val="24"/>
        </w:rPr>
        <w:t xml:space="preserve"> </w:t>
      </w:r>
      <w:r>
        <w:rPr>
          <w:rFonts w:ascii="Arial" w:hAnsi="Arial" w:cs="Arial"/>
          <w:sz w:val="24"/>
          <w:szCs w:val="24"/>
        </w:rPr>
        <w:t>tacit relocation, it offers no explanation why Me</w:t>
      </w:r>
      <w:r w:rsidR="00523447">
        <w:rPr>
          <w:rFonts w:ascii="Arial" w:hAnsi="Arial" w:cs="Arial"/>
          <w:sz w:val="24"/>
          <w:szCs w:val="24"/>
        </w:rPr>
        <w:t>n</w:t>
      </w:r>
      <w:r>
        <w:rPr>
          <w:rFonts w:ascii="Arial" w:hAnsi="Arial" w:cs="Arial"/>
          <w:sz w:val="24"/>
          <w:szCs w:val="24"/>
        </w:rPr>
        <w:t xml:space="preserve">zies requested for the extension of the Service Agreement on 25 and 26 April 2022 to a period after finalisation of the Review application. </w:t>
      </w:r>
      <w:r w:rsidR="00D4381F">
        <w:rPr>
          <w:rFonts w:ascii="Arial" w:hAnsi="Arial" w:cs="Arial"/>
          <w:sz w:val="24"/>
          <w:szCs w:val="24"/>
        </w:rPr>
        <w:t>Menzies’ request for extens</w:t>
      </w:r>
      <w:r w:rsidR="00CA0717">
        <w:rPr>
          <w:rFonts w:ascii="Arial" w:hAnsi="Arial" w:cs="Arial"/>
          <w:sz w:val="24"/>
          <w:szCs w:val="24"/>
        </w:rPr>
        <w:t xml:space="preserve">ion means an </w:t>
      </w:r>
      <w:r w:rsidR="00D4381F">
        <w:rPr>
          <w:rFonts w:ascii="Arial" w:hAnsi="Arial" w:cs="Arial"/>
          <w:sz w:val="24"/>
          <w:szCs w:val="24"/>
        </w:rPr>
        <w:t>extension on the existing terms and conditions of the agreement and does not constitute tacit relocation.</w:t>
      </w:r>
      <w:r w:rsidR="00DB74D7">
        <w:rPr>
          <w:rFonts w:ascii="Arial" w:hAnsi="Arial" w:cs="Arial"/>
          <w:sz w:val="24"/>
          <w:szCs w:val="24"/>
        </w:rPr>
        <w:t xml:space="preserve"> Menzies accepted the withdrawal of the cancellation and proceeded to render ground handling services based on the Service Agreement. </w:t>
      </w:r>
    </w:p>
    <w:p w14:paraId="7A20C7F1" w14:textId="77777777" w:rsidR="00900002" w:rsidRPr="00900002" w:rsidRDefault="00900002" w:rsidP="001501DD">
      <w:pPr>
        <w:pStyle w:val="ListParagraph"/>
        <w:ind w:left="709" w:firstLine="1"/>
        <w:rPr>
          <w:rFonts w:ascii="Arial" w:hAnsi="Arial" w:cs="Arial"/>
          <w:sz w:val="24"/>
          <w:szCs w:val="24"/>
        </w:rPr>
      </w:pPr>
    </w:p>
    <w:p w14:paraId="56A3665B" w14:textId="77777777" w:rsidR="00D4381F" w:rsidRDefault="00900002" w:rsidP="001501DD">
      <w:pPr>
        <w:pStyle w:val="ListParagraph"/>
        <w:numPr>
          <w:ilvl w:val="0"/>
          <w:numId w:val="4"/>
        </w:numPr>
        <w:spacing w:line="360" w:lineRule="auto"/>
        <w:ind w:left="709" w:firstLine="1"/>
        <w:jc w:val="both"/>
        <w:rPr>
          <w:rFonts w:ascii="Arial" w:hAnsi="Arial" w:cs="Arial"/>
          <w:sz w:val="24"/>
          <w:szCs w:val="24"/>
        </w:rPr>
      </w:pPr>
      <w:r>
        <w:rPr>
          <w:rFonts w:ascii="Arial" w:hAnsi="Arial" w:cs="Arial"/>
          <w:sz w:val="24"/>
          <w:szCs w:val="24"/>
        </w:rPr>
        <w:t>The above finding</w:t>
      </w:r>
      <w:r w:rsidR="00E97984">
        <w:rPr>
          <w:rFonts w:ascii="Arial" w:hAnsi="Arial" w:cs="Arial"/>
          <w:sz w:val="24"/>
          <w:szCs w:val="24"/>
        </w:rPr>
        <w:t>s</w:t>
      </w:r>
      <w:r w:rsidR="00CA0717">
        <w:rPr>
          <w:rFonts w:ascii="Arial" w:hAnsi="Arial" w:cs="Arial"/>
          <w:sz w:val="24"/>
          <w:szCs w:val="24"/>
        </w:rPr>
        <w:t>,</w:t>
      </w:r>
      <w:r>
        <w:rPr>
          <w:rFonts w:ascii="Arial" w:hAnsi="Arial" w:cs="Arial"/>
          <w:sz w:val="24"/>
          <w:szCs w:val="24"/>
        </w:rPr>
        <w:t xml:space="preserve"> coupled with the fact that Menzies only mentioned the aspect of tacit relocation in the answering papers, I find that this constitutes an afterthought aimed at shifting the goal posts</w:t>
      </w:r>
      <w:r w:rsidR="00F4540D">
        <w:rPr>
          <w:rFonts w:ascii="Arial" w:hAnsi="Arial" w:cs="Arial"/>
          <w:sz w:val="24"/>
          <w:szCs w:val="24"/>
        </w:rPr>
        <w:t xml:space="preserve">. </w:t>
      </w:r>
      <w:r w:rsidR="00D4381F">
        <w:rPr>
          <w:rFonts w:ascii="Arial" w:hAnsi="Arial" w:cs="Arial"/>
          <w:sz w:val="24"/>
          <w:szCs w:val="24"/>
        </w:rPr>
        <w:t xml:space="preserve">  </w:t>
      </w:r>
    </w:p>
    <w:p w14:paraId="559A89FF" w14:textId="77777777" w:rsidR="00D4381F" w:rsidRPr="00D4381F" w:rsidRDefault="00D4381F" w:rsidP="00D4381F">
      <w:pPr>
        <w:pStyle w:val="ListParagraph"/>
        <w:rPr>
          <w:rFonts w:ascii="Arial" w:hAnsi="Arial" w:cs="Arial"/>
          <w:sz w:val="24"/>
          <w:szCs w:val="24"/>
        </w:rPr>
      </w:pPr>
    </w:p>
    <w:p w14:paraId="24ACECC8" w14:textId="77777777" w:rsidR="008F0EF8" w:rsidRDefault="00115F62" w:rsidP="008F0EF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Masuku J in </w:t>
      </w:r>
      <w:r w:rsidR="008F0EF8" w:rsidRPr="008F0EF8">
        <w:rPr>
          <w:rFonts w:ascii="Arial" w:hAnsi="Arial" w:cs="Arial"/>
          <w:i/>
          <w:sz w:val="24"/>
          <w:szCs w:val="24"/>
        </w:rPr>
        <w:t>Ramirez v Frans</w:t>
      </w:r>
      <w:r>
        <w:rPr>
          <w:rFonts w:ascii="Arial" w:hAnsi="Arial" w:cs="Arial"/>
          <w:i/>
          <w:sz w:val="24"/>
          <w:szCs w:val="24"/>
        </w:rPr>
        <w:t>,</w:t>
      </w:r>
      <w:r>
        <w:rPr>
          <w:rStyle w:val="FootnoteReference"/>
          <w:rFonts w:ascii="Arial" w:hAnsi="Arial" w:cs="Arial"/>
          <w:i/>
          <w:sz w:val="24"/>
          <w:szCs w:val="24"/>
        </w:rPr>
        <w:footnoteReference w:id="8"/>
      </w:r>
      <w:r>
        <w:rPr>
          <w:rFonts w:ascii="Arial" w:hAnsi="Arial" w:cs="Arial"/>
          <w:i/>
          <w:sz w:val="24"/>
          <w:szCs w:val="24"/>
        </w:rPr>
        <w:t xml:space="preserve"> </w:t>
      </w:r>
      <w:r w:rsidRPr="00115F62">
        <w:rPr>
          <w:rFonts w:ascii="Arial" w:hAnsi="Arial" w:cs="Arial"/>
          <w:sz w:val="24"/>
          <w:szCs w:val="24"/>
        </w:rPr>
        <w:t>while</w:t>
      </w:r>
      <w:r>
        <w:rPr>
          <w:rFonts w:ascii="Arial" w:hAnsi="Arial" w:cs="Arial"/>
          <w:sz w:val="24"/>
          <w:szCs w:val="24"/>
        </w:rPr>
        <w:t xml:space="preserve"> discussing rectification of a contract remarked as follows at para 52:</w:t>
      </w:r>
      <w:r w:rsidRPr="00115F62">
        <w:rPr>
          <w:rFonts w:ascii="Arial" w:hAnsi="Arial" w:cs="Arial"/>
          <w:sz w:val="24"/>
          <w:szCs w:val="24"/>
        </w:rPr>
        <w:t xml:space="preserve"> </w:t>
      </w:r>
    </w:p>
    <w:p w14:paraId="190472C6" w14:textId="77777777" w:rsidR="008F0EF8" w:rsidRDefault="008F0EF8" w:rsidP="008F0EF8">
      <w:pPr>
        <w:pStyle w:val="ListParagraph"/>
        <w:spacing w:line="360" w:lineRule="auto"/>
        <w:ind w:left="0"/>
        <w:jc w:val="both"/>
        <w:rPr>
          <w:rFonts w:ascii="Arial" w:hAnsi="Arial" w:cs="Arial"/>
          <w:sz w:val="24"/>
          <w:szCs w:val="24"/>
        </w:rPr>
      </w:pPr>
    </w:p>
    <w:p w14:paraId="5AB3DFA8" w14:textId="77777777" w:rsidR="008F0EF8" w:rsidRPr="00EF56A4" w:rsidRDefault="008F0EF8" w:rsidP="008F0EF8">
      <w:pPr>
        <w:pStyle w:val="ListParagraph"/>
        <w:spacing w:line="360" w:lineRule="auto"/>
        <w:ind w:left="0" w:firstLine="720"/>
        <w:jc w:val="both"/>
        <w:rPr>
          <w:rFonts w:ascii="Arial" w:hAnsi="Arial" w:cs="Arial"/>
        </w:rPr>
      </w:pPr>
      <w:r w:rsidRPr="00EF56A4">
        <w:rPr>
          <w:rFonts w:ascii="Arial" w:hAnsi="Arial" w:cs="Arial"/>
        </w:rPr>
        <w:t xml:space="preserve">‘It is thus clear that the expressed conduct … was not consistent with the agreement having lapsed as claimed. Their conduct was </w:t>
      </w:r>
      <w:proofErr w:type="gramStart"/>
      <w:r w:rsidRPr="00EF56A4">
        <w:rPr>
          <w:rFonts w:ascii="Arial" w:hAnsi="Arial" w:cs="Arial"/>
        </w:rPr>
        <w:t>actually consistent</w:t>
      </w:r>
      <w:proofErr w:type="gramEnd"/>
      <w:r w:rsidRPr="00EF56A4">
        <w:rPr>
          <w:rFonts w:ascii="Arial" w:hAnsi="Arial" w:cs="Arial"/>
        </w:rPr>
        <w:t xml:space="preserve"> with the agreement still being in force. The defendants should not, in my considered view, be allowed to blow hot and cold </w:t>
      </w:r>
      <w:r w:rsidRPr="00EF56A4">
        <w:rPr>
          <w:rFonts w:ascii="Arial" w:hAnsi="Arial" w:cs="Arial"/>
        </w:rPr>
        <w:lastRenderedPageBreak/>
        <w:t xml:space="preserve">at the same time — to approbate and reprobate, as it were. It is either that the agreement had lapsed, in which case, they should have conducted themselves in that manner, or it was still valid, in terms of which they sought particulars to still give effect to the wishes of the </w:t>
      </w:r>
      <w:proofErr w:type="spellStart"/>
      <w:r w:rsidRPr="00EF56A4">
        <w:rPr>
          <w:rFonts w:ascii="Arial" w:hAnsi="Arial" w:cs="Arial"/>
        </w:rPr>
        <w:t>contractants</w:t>
      </w:r>
      <w:proofErr w:type="spellEnd"/>
      <w:r w:rsidRPr="00EF56A4">
        <w:rPr>
          <w:rFonts w:ascii="Arial" w:hAnsi="Arial" w:cs="Arial"/>
        </w:rPr>
        <w:t>’.</w:t>
      </w:r>
    </w:p>
    <w:p w14:paraId="4198260B" w14:textId="77777777" w:rsidR="008F0EF8" w:rsidRDefault="008F0EF8" w:rsidP="008F0EF8">
      <w:pPr>
        <w:pStyle w:val="ListParagraph"/>
        <w:spacing w:line="360" w:lineRule="auto"/>
        <w:ind w:left="0" w:firstLine="720"/>
        <w:jc w:val="both"/>
        <w:rPr>
          <w:rFonts w:ascii="Arial" w:hAnsi="Arial" w:cs="Arial"/>
          <w:sz w:val="24"/>
          <w:szCs w:val="24"/>
        </w:rPr>
      </w:pPr>
    </w:p>
    <w:p w14:paraId="04F85110" w14:textId="77777777" w:rsidR="00B120D1" w:rsidRDefault="008F0EF8" w:rsidP="008F0EF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w:t>
      </w:r>
      <w:r w:rsidR="001D2FBC">
        <w:rPr>
          <w:rFonts w:ascii="Arial" w:hAnsi="Arial" w:cs="Arial"/>
          <w:sz w:val="24"/>
          <w:szCs w:val="24"/>
        </w:rPr>
        <w:t>n my vie</w:t>
      </w:r>
      <w:r w:rsidR="00CA0717">
        <w:rPr>
          <w:rFonts w:ascii="Arial" w:hAnsi="Arial" w:cs="Arial"/>
          <w:sz w:val="24"/>
          <w:szCs w:val="24"/>
        </w:rPr>
        <w:t>w, the above remarks find</w:t>
      </w:r>
      <w:r w:rsidR="001D2FBC">
        <w:rPr>
          <w:rFonts w:ascii="Arial" w:hAnsi="Arial" w:cs="Arial"/>
          <w:sz w:val="24"/>
          <w:szCs w:val="24"/>
        </w:rPr>
        <w:t xml:space="preserve"> equal application to the determination of </w:t>
      </w:r>
      <w:proofErr w:type="gramStart"/>
      <w:r w:rsidR="001D2FBC">
        <w:rPr>
          <w:rFonts w:ascii="Arial" w:hAnsi="Arial" w:cs="Arial"/>
          <w:sz w:val="24"/>
          <w:szCs w:val="24"/>
        </w:rPr>
        <w:t>whether or not</w:t>
      </w:r>
      <w:proofErr w:type="gramEnd"/>
      <w:r w:rsidR="001D2FBC">
        <w:rPr>
          <w:rFonts w:ascii="Arial" w:hAnsi="Arial" w:cs="Arial"/>
          <w:sz w:val="24"/>
          <w:szCs w:val="24"/>
        </w:rPr>
        <w:t xml:space="preserve"> a contract between the parties lapsed or not. In </w:t>
      </w:r>
      <w:proofErr w:type="spellStart"/>
      <w:r w:rsidR="001D2FBC" w:rsidRPr="002D064D">
        <w:rPr>
          <w:rFonts w:ascii="Arial" w:hAnsi="Arial" w:cs="Arial"/>
          <w:i/>
          <w:sz w:val="24"/>
          <w:szCs w:val="24"/>
        </w:rPr>
        <w:t>casu</w:t>
      </w:r>
      <w:proofErr w:type="spellEnd"/>
      <w:r w:rsidR="001D2FBC">
        <w:rPr>
          <w:rFonts w:ascii="Arial" w:hAnsi="Arial" w:cs="Arial"/>
          <w:sz w:val="24"/>
          <w:szCs w:val="24"/>
        </w:rPr>
        <w:t xml:space="preserve">, the determination is </w:t>
      </w:r>
      <w:proofErr w:type="gramStart"/>
      <w:r w:rsidR="001D2FBC">
        <w:rPr>
          <w:rFonts w:ascii="Arial" w:hAnsi="Arial" w:cs="Arial"/>
          <w:sz w:val="24"/>
          <w:szCs w:val="24"/>
        </w:rPr>
        <w:t>whether or not</w:t>
      </w:r>
      <w:proofErr w:type="gramEnd"/>
      <w:r w:rsidR="001D2FBC">
        <w:rPr>
          <w:rFonts w:ascii="Arial" w:hAnsi="Arial" w:cs="Arial"/>
          <w:sz w:val="24"/>
          <w:szCs w:val="24"/>
        </w:rPr>
        <w:t xml:space="preserve"> it was still an agreement between the parties that the Service Agreement will lapse on 30 June 2022. </w:t>
      </w:r>
      <w:r w:rsidRPr="008F0EF8">
        <w:rPr>
          <w:rFonts w:ascii="Arial" w:hAnsi="Arial" w:cs="Arial"/>
          <w:sz w:val="24"/>
          <w:szCs w:val="24"/>
        </w:rPr>
        <w:t xml:space="preserve">Menzies’ words </w:t>
      </w:r>
      <w:r w:rsidR="00855655">
        <w:rPr>
          <w:rFonts w:ascii="Arial" w:hAnsi="Arial" w:cs="Arial"/>
          <w:sz w:val="24"/>
          <w:szCs w:val="24"/>
        </w:rPr>
        <w:t>of acknowledging the withdrawal of the cance</w:t>
      </w:r>
      <w:r w:rsidR="00CA2074">
        <w:rPr>
          <w:rFonts w:ascii="Arial" w:hAnsi="Arial" w:cs="Arial"/>
          <w:sz w:val="24"/>
          <w:szCs w:val="24"/>
        </w:rPr>
        <w:t>l</w:t>
      </w:r>
      <w:r w:rsidR="00855655">
        <w:rPr>
          <w:rFonts w:ascii="Arial" w:hAnsi="Arial" w:cs="Arial"/>
          <w:sz w:val="24"/>
          <w:szCs w:val="24"/>
        </w:rPr>
        <w:t xml:space="preserve">lation letter and request for extension and </w:t>
      </w:r>
      <w:r w:rsidRPr="008F0EF8">
        <w:rPr>
          <w:rFonts w:ascii="Arial" w:hAnsi="Arial" w:cs="Arial"/>
          <w:sz w:val="24"/>
          <w:szCs w:val="24"/>
        </w:rPr>
        <w:t xml:space="preserve">conduct </w:t>
      </w:r>
      <w:r w:rsidR="00855655">
        <w:rPr>
          <w:rFonts w:ascii="Arial" w:hAnsi="Arial" w:cs="Arial"/>
          <w:sz w:val="24"/>
          <w:szCs w:val="24"/>
        </w:rPr>
        <w:t xml:space="preserve">of rendering services in terms of the Service Agreement </w:t>
      </w:r>
      <w:r w:rsidR="00B120D1">
        <w:rPr>
          <w:rFonts w:ascii="Arial" w:hAnsi="Arial" w:cs="Arial"/>
          <w:sz w:val="24"/>
          <w:szCs w:val="24"/>
        </w:rPr>
        <w:t>unequivocally</w:t>
      </w:r>
      <w:r w:rsidRPr="008F0EF8">
        <w:rPr>
          <w:rFonts w:ascii="Arial" w:hAnsi="Arial" w:cs="Arial"/>
          <w:sz w:val="24"/>
          <w:szCs w:val="24"/>
        </w:rPr>
        <w:t xml:space="preserve"> establish that it had accepted the withdrawal notice of cancellation. </w:t>
      </w:r>
    </w:p>
    <w:p w14:paraId="454A76DA" w14:textId="77777777" w:rsidR="00B120D1" w:rsidRDefault="00B120D1" w:rsidP="00B120D1">
      <w:pPr>
        <w:pStyle w:val="ListParagraph"/>
        <w:spacing w:line="360" w:lineRule="auto"/>
        <w:ind w:left="0"/>
        <w:jc w:val="both"/>
        <w:rPr>
          <w:rFonts w:ascii="Arial" w:hAnsi="Arial" w:cs="Arial"/>
          <w:sz w:val="24"/>
          <w:szCs w:val="24"/>
        </w:rPr>
      </w:pPr>
    </w:p>
    <w:p w14:paraId="54BE7132" w14:textId="77777777" w:rsidR="008F0EF8" w:rsidRDefault="002D064D" w:rsidP="008F0EF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It follows as a result that</w:t>
      </w:r>
      <w:r w:rsidR="008F0EF8" w:rsidRPr="008F0EF8">
        <w:rPr>
          <w:rFonts w:ascii="Arial" w:hAnsi="Arial" w:cs="Arial"/>
          <w:sz w:val="24"/>
          <w:szCs w:val="24"/>
        </w:rPr>
        <w:t xml:space="preserve">, the </w:t>
      </w:r>
      <w:r w:rsidR="00557B0F">
        <w:rPr>
          <w:rFonts w:ascii="Arial" w:hAnsi="Arial" w:cs="Arial"/>
          <w:sz w:val="24"/>
          <w:szCs w:val="24"/>
        </w:rPr>
        <w:t xml:space="preserve">Service </w:t>
      </w:r>
      <w:r w:rsidR="008F0EF8" w:rsidRPr="008F0EF8">
        <w:rPr>
          <w:rFonts w:ascii="Arial" w:hAnsi="Arial" w:cs="Arial"/>
          <w:sz w:val="24"/>
          <w:szCs w:val="24"/>
        </w:rPr>
        <w:t xml:space="preserve">Agreement, remains in </w:t>
      </w:r>
      <w:r>
        <w:rPr>
          <w:rFonts w:ascii="Arial" w:hAnsi="Arial" w:cs="Arial"/>
          <w:sz w:val="24"/>
          <w:szCs w:val="24"/>
        </w:rPr>
        <w:t xml:space="preserve">force </w:t>
      </w:r>
      <w:r w:rsidR="008F0EF8" w:rsidRPr="008F0EF8">
        <w:rPr>
          <w:rFonts w:ascii="Arial" w:hAnsi="Arial" w:cs="Arial"/>
          <w:sz w:val="24"/>
          <w:szCs w:val="24"/>
        </w:rPr>
        <w:t>until 30 June 2022, aft</w:t>
      </w:r>
      <w:r>
        <w:rPr>
          <w:rFonts w:ascii="Arial" w:hAnsi="Arial" w:cs="Arial"/>
          <w:sz w:val="24"/>
          <w:szCs w:val="24"/>
        </w:rPr>
        <w:t>er which it lapses</w:t>
      </w:r>
      <w:r w:rsidR="008F0EF8" w:rsidRPr="008F0EF8">
        <w:rPr>
          <w:rFonts w:ascii="Arial" w:hAnsi="Arial" w:cs="Arial"/>
          <w:sz w:val="24"/>
          <w:szCs w:val="24"/>
        </w:rPr>
        <w:t xml:space="preserve"> by the effluxion of time.</w:t>
      </w:r>
    </w:p>
    <w:p w14:paraId="29096980" w14:textId="77777777" w:rsidR="00B23E61" w:rsidRDefault="00B23E61" w:rsidP="00B23E61">
      <w:pPr>
        <w:pStyle w:val="ListParagraph"/>
        <w:spacing w:line="360" w:lineRule="auto"/>
        <w:ind w:left="0"/>
        <w:jc w:val="both"/>
        <w:rPr>
          <w:rFonts w:ascii="Arial" w:hAnsi="Arial" w:cs="Arial"/>
          <w:sz w:val="24"/>
          <w:szCs w:val="24"/>
        </w:rPr>
      </w:pPr>
    </w:p>
    <w:p w14:paraId="69212146" w14:textId="77777777" w:rsidR="00F05E80" w:rsidRPr="00F05E80" w:rsidRDefault="00F05E80" w:rsidP="00B23E61">
      <w:pPr>
        <w:pStyle w:val="ListParagraph"/>
        <w:spacing w:line="360" w:lineRule="auto"/>
        <w:ind w:left="0"/>
        <w:jc w:val="both"/>
        <w:rPr>
          <w:rFonts w:ascii="Arial" w:hAnsi="Arial" w:cs="Arial"/>
          <w:sz w:val="24"/>
          <w:szCs w:val="24"/>
          <w:u w:val="single"/>
        </w:rPr>
      </w:pPr>
      <w:r w:rsidRPr="00F05E80">
        <w:rPr>
          <w:rFonts w:ascii="Arial" w:hAnsi="Arial" w:cs="Arial"/>
          <w:sz w:val="24"/>
          <w:szCs w:val="24"/>
          <w:u w:val="single"/>
        </w:rPr>
        <w:t>Was there tacit relocation?</w:t>
      </w:r>
    </w:p>
    <w:p w14:paraId="3706691A" w14:textId="77777777" w:rsidR="00F05E80" w:rsidRDefault="00F05E80" w:rsidP="00B23E61">
      <w:pPr>
        <w:pStyle w:val="ListParagraph"/>
        <w:spacing w:line="360" w:lineRule="auto"/>
        <w:ind w:left="0"/>
        <w:jc w:val="both"/>
        <w:rPr>
          <w:rFonts w:ascii="Arial" w:hAnsi="Arial" w:cs="Arial"/>
          <w:sz w:val="24"/>
          <w:szCs w:val="24"/>
        </w:rPr>
      </w:pPr>
    </w:p>
    <w:p w14:paraId="0BFAC8CA" w14:textId="77777777" w:rsidR="0045231F" w:rsidRDefault="00F05E80" w:rsidP="008F0EF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Menzies argues with force and might </w:t>
      </w:r>
      <w:r w:rsidR="00557B0F" w:rsidRPr="00557B0F">
        <w:rPr>
          <w:rFonts w:ascii="Arial" w:hAnsi="Arial" w:cs="Arial"/>
          <w:sz w:val="24"/>
          <w:szCs w:val="24"/>
        </w:rPr>
        <w:t>that there was a tacit relocation of the agreement after the</w:t>
      </w:r>
      <w:r w:rsidR="00557B0F">
        <w:rPr>
          <w:rFonts w:ascii="Arial" w:hAnsi="Arial" w:cs="Arial"/>
          <w:sz w:val="24"/>
          <w:szCs w:val="24"/>
        </w:rPr>
        <w:t xml:space="preserve"> Service</w:t>
      </w:r>
      <w:r w:rsidR="00557B0F" w:rsidRPr="00557B0F">
        <w:rPr>
          <w:rFonts w:ascii="Arial" w:hAnsi="Arial" w:cs="Arial"/>
          <w:sz w:val="24"/>
          <w:szCs w:val="24"/>
        </w:rPr>
        <w:t xml:space="preserve"> Agreement allegedly ended on 30 April 2022 (tacit lease). In </w:t>
      </w:r>
      <w:r>
        <w:rPr>
          <w:rFonts w:ascii="Arial" w:hAnsi="Arial" w:cs="Arial"/>
          <w:sz w:val="24"/>
          <w:szCs w:val="24"/>
        </w:rPr>
        <w:t>a nutshell, Menzies argues th</w:t>
      </w:r>
      <w:r w:rsidR="00557B0F" w:rsidRPr="00557B0F">
        <w:rPr>
          <w:rFonts w:ascii="Arial" w:hAnsi="Arial" w:cs="Arial"/>
          <w:sz w:val="24"/>
          <w:szCs w:val="24"/>
        </w:rPr>
        <w:t xml:space="preserve">at an oral agreement came into existence </w:t>
      </w:r>
      <w:r w:rsidRPr="00557B0F">
        <w:rPr>
          <w:rFonts w:ascii="Arial" w:hAnsi="Arial" w:cs="Arial"/>
          <w:sz w:val="24"/>
          <w:szCs w:val="24"/>
        </w:rPr>
        <w:t xml:space="preserve">with the terms being the same as the </w:t>
      </w:r>
      <w:r>
        <w:rPr>
          <w:rFonts w:ascii="Arial" w:hAnsi="Arial" w:cs="Arial"/>
          <w:sz w:val="24"/>
          <w:szCs w:val="24"/>
        </w:rPr>
        <w:t xml:space="preserve">Service Agreement </w:t>
      </w:r>
      <w:proofErr w:type="gramStart"/>
      <w:r>
        <w:rPr>
          <w:rFonts w:ascii="Arial" w:hAnsi="Arial" w:cs="Arial"/>
          <w:sz w:val="24"/>
          <w:szCs w:val="24"/>
        </w:rPr>
        <w:t>subsequent to</w:t>
      </w:r>
      <w:proofErr w:type="gramEnd"/>
      <w:r>
        <w:rPr>
          <w:rFonts w:ascii="Arial" w:hAnsi="Arial" w:cs="Arial"/>
          <w:sz w:val="24"/>
          <w:szCs w:val="24"/>
        </w:rPr>
        <w:t xml:space="preserve"> the alleged termination of the said Service Agreement on 30 April 2022.</w:t>
      </w:r>
      <w:r w:rsidR="0045231F">
        <w:rPr>
          <w:rFonts w:ascii="Arial" w:hAnsi="Arial" w:cs="Arial"/>
          <w:sz w:val="24"/>
          <w:szCs w:val="24"/>
        </w:rPr>
        <w:t xml:space="preserve"> </w:t>
      </w:r>
    </w:p>
    <w:p w14:paraId="2EF5A5A8" w14:textId="77777777" w:rsidR="0045231F" w:rsidRDefault="0045231F" w:rsidP="0045231F">
      <w:pPr>
        <w:pStyle w:val="ListParagraph"/>
        <w:spacing w:line="360" w:lineRule="auto"/>
        <w:ind w:left="0"/>
        <w:jc w:val="both"/>
        <w:rPr>
          <w:rFonts w:ascii="Arial" w:hAnsi="Arial" w:cs="Arial"/>
          <w:sz w:val="24"/>
          <w:szCs w:val="24"/>
        </w:rPr>
      </w:pPr>
    </w:p>
    <w:p w14:paraId="20E0E152" w14:textId="77777777" w:rsidR="0010672C" w:rsidRDefault="0045231F" w:rsidP="008F0EF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Mr Heathcote argued that the Service Agreement was terminated on 30 April 2022 and at best what may regulate the termination of the existing agreement between the parties is the Rent Ordinance, 13 of 1977. Mr Heathcote laid great store on the matter of </w:t>
      </w:r>
      <w:r w:rsidRPr="0010672C">
        <w:rPr>
          <w:rFonts w:ascii="Arial" w:hAnsi="Arial" w:cs="Arial"/>
          <w:i/>
          <w:sz w:val="24"/>
          <w:szCs w:val="24"/>
        </w:rPr>
        <w:t xml:space="preserve">Golden Fried Chicken (Pty) Ltd v </w:t>
      </w:r>
      <w:proofErr w:type="spellStart"/>
      <w:r w:rsidRPr="0010672C">
        <w:rPr>
          <w:rFonts w:ascii="Arial" w:hAnsi="Arial" w:cs="Arial"/>
          <w:i/>
          <w:sz w:val="24"/>
          <w:szCs w:val="24"/>
        </w:rPr>
        <w:t>Sirad</w:t>
      </w:r>
      <w:proofErr w:type="spellEnd"/>
      <w:r w:rsidRPr="0010672C">
        <w:rPr>
          <w:rFonts w:ascii="Arial" w:hAnsi="Arial" w:cs="Arial"/>
          <w:i/>
          <w:sz w:val="24"/>
          <w:szCs w:val="24"/>
        </w:rPr>
        <w:t xml:space="preserve"> Fast Foods CC and Others</w:t>
      </w:r>
      <w:r w:rsidR="00FF5BCB">
        <w:rPr>
          <w:rFonts w:ascii="Arial" w:hAnsi="Arial" w:cs="Arial"/>
          <w:i/>
          <w:sz w:val="24"/>
          <w:szCs w:val="24"/>
        </w:rPr>
        <w:t>,</w:t>
      </w:r>
      <w:r>
        <w:rPr>
          <w:rStyle w:val="FootnoteReference"/>
          <w:rFonts w:ascii="Arial" w:hAnsi="Arial" w:cs="Arial"/>
          <w:sz w:val="24"/>
          <w:szCs w:val="24"/>
        </w:rPr>
        <w:footnoteReference w:id="9"/>
      </w:r>
      <w:r w:rsidR="00CA0717">
        <w:rPr>
          <w:rFonts w:ascii="Arial" w:hAnsi="Arial" w:cs="Arial"/>
          <w:i/>
          <w:sz w:val="24"/>
          <w:szCs w:val="24"/>
        </w:rPr>
        <w:t xml:space="preserve"> </w:t>
      </w:r>
      <w:r w:rsidR="00FF5BCB" w:rsidRPr="00FF5BCB">
        <w:rPr>
          <w:rFonts w:ascii="Arial" w:hAnsi="Arial" w:cs="Arial"/>
          <w:sz w:val="24"/>
          <w:szCs w:val="24"/>
        </w:rPr>
        <w:t xml:space="preserve">for the contention that a tacit agreement is a new agreement and not a continuation of the old agreement and that </w:t>
      </w:r>
      <w:r w:rsidR="00171733">
        <w:rPr>
          <w:rFonts w:ascii="Arial" w:hAnsi="Arial" w:cs="Arial"/>
          <w:sz w:val="24"/>
          <w:szCs w:val="24"/>
        </w:rPr>
        <w:t xml:space="preserve">for </w:t>
      </w:r>
      <w:r w:rsidR="00FF5BCB" w:rsidRPr="00FF5BCB">
        <w:rPr>
          <w:rFonts w:ascii="Arial" w:hAnsi="Arial" w:cs="Arial"/>
          <w:sz w:val="24"/>
          <w:szCs w:val="24"/>
        </w:rPr>
        <w:t>the court to determine if a tacit relocation has occurred it must consider the external manifestations and not the subjective working of the mind of the parties.</w:t>
      </w:r>
      <w:r w:rsidR="00FF5BCB">
        <w:rPr>
          <w:rFonts w:ascii="Arial" w:hAnsi="Arial" w:cs="Arial"/>
          <w:i/>
          <w:sz w:val="24"/>
          <w:szCs w:val="24"/>
        </w:rPr>
        <w:t xml:space="preserve"> </w:t>
      </w:r>
      <w:r>
        <w:rPr>
          <w:rFonts w:ascii="Arial" w:hAnsi="Arial" w:cs="Arial"/>
          <w:sz w:val="24"/>
          <w:szCs w:val="24"/>
        </w:rPr>
        <w:t xml:space="preserve"> </w:t>
      </w:r>
    </w:p>
    <w:p w14:paraId="6E30BE9C" w14:textId="77777777" w:rsidR="0010672C" w:rsidRPr="0010672C" w:rsidRDefault="0010672C" w:rsidP="0010672C">
      <w:pPr>
        <w:pStyle w:val="ListParagraph"/>
        <w:rPr>
          <w:rFonts w:ascii="Arial" w:hAnsi="Arial" w:cs="Arial"/>
          <w:sz w:val="24"/>
          <w:szCs w:val="24"/>
        </w:rPr>
      </w:pPr>
    </w:p>
    <w:p w14:paraId="5F0D4CDF" w14:textId="77777777" w:rsidR="00171733" w:rsidRDefault="00171733" w:rsidP="008F0EF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lastRenderedPageBreak/>
        <w:t xml:space="preserve">In agreement with the said principles set out in </w:t>
      </w:r>
      <w:r w:rsidRPr="00171733">
        <w:rPr>
          <w:rFonts w:ascii="Arial" w:hAnsi="Arial" w:cs="Arial"/>
          <w:i/>
          <w:sz w:val="24"/>
          <w:szCs w:val="24"/>
        </w:rPr>
        <w:t>Golden Fried Chicken (supra),</w:t>
      </w:r>
      <w:r>
        <w:rPr>
          <w:rFonts w:ascii="Arial" w:hAnsi="Arial" w:cs="Arial"/>
          <w:sz w:val="24"/>
          <w:szCs w:val="24"/>
        </w:rPr>
        <w:t xml:space="preserve"> </w:t>
      </w:r>
      <w:proofErr w:type="spellStart"/>
      <w:r>
        <w:rPr>
          <w:rFonts w:ascii="Arial" w:hAnsi="Arial" w:cs="Arial"/>
          <w:sz w:val="24"/>
          <w:szCs w:val="24"/>
        </w:rPr>
        <w:t>Damaseb</w:t>
      </w:r>
      <w:proofErr w:type="spellEnd"/>
      <w:r>
        <w:rPr>
          <w:rFonts w:ascii="Arial" w:hAnsi="Arial" w:cs="Arial"/>
          <w:sz w:val="24"/>
          <w:szCs w:val="24"/>
        </w:rPr>
        <w:t xml:space="preserve"> JP in</w:t>
      </w:r>
      <w:r w:rsidR="00557B0F" w:rsidRPr="00557B0F">
        <w:rPr>
          <w:rFonts w:ascii="Arial" w:hAnsi="Arial" w:cs="Arial"/>
          <w:sz w:val="24"/>
          <w:szCs w:val="24"/>
        </w:rPr>
        <w:t xml:space="preserve"> </w:t>
      </w:r>
      <w:proofErr w:type="spellStart"/>
      <w:r w:rsidR="00557B0F" w:rsidRPr="00557B0F">
        <w:rPr>
          <w:rFonts w:ascii="Arial" w:hAnsi="Arial" w:cs="Arial"/>
          <w:i/>
          <w:sz w:val="24"/>
          <w:szCs w:val="24"/>
        </w:rPr>
        <w:t>Kalipi</w:t>
      </w:r>
      <w:proofErr w:type="spellEnd"/>
      <w:r w:rsidR="00557B0F" w:rsidRPr="00557B0F">
        <w:rPr>
          <w:rFonts w:ascii="Arial" w:hAnsi="Arial" w:cs="Arial"/>
          <w:i/>
          <w:sz w:val="24"/>
          <w:szCs w:val="24"/>
        </w:rPr>
        <w:t xml:space="preserve"> </w:t>
      </w:r>
      <w:proofErr w:type="spellStart"/>
      <w:r w:rsidR="00557B0F" w:rsidRPr="00557B0F">
        <w:rPr>
          <w:rFonts w:ascii="Arial" w:hAnsi="Arial" w:cs="Arial"/>
          <w:i/>
          <w:sz w:val="24"/>
          <w:szCs w:val="24"/>
        </w:rPr>
        <w:t>Ngelenge</w:t>
      </w:r>
      <w:proofErr w:type="spellEnd"/>
      <w:r w:rsidR="00557B0F" w:rsidRPr="00557B0F">
        <w:rPr>
          <w:rFonts w:ascii="Arial" w:hAnsi="Arial" w:cs="Arial"/>
          <w:i/>
          <w:sz w:val="24"/>
          <w:szCs w:val="24"/>
        </w:rPr>
        <w:t xml:space="preserve"> t/a Rundu Construction v Anton E Van Schalkwyk t/a Rundu Welding &amp; Construction</w:t>
      </w:r>
      <w:r w:rsidR="00557B0F">
        <w:rPr>
          <w:rFonts w:ascii="Arial" w:hAnsi="Arial" w:cs="Arial"/>
          <w:sz w:val="24"/>
          <w:szCs w:val="24"/>
        </w:rPr>
        <w:t>,</w:t>
      </w:r>
      <w:r w:rsidR="00892595">
        <w:rPr>
          <w:rStyle w:val="FootnoteReference"/>
          <w:rFonts w:ascii="Arial" w:hAnsi="Arial" w:cs="Arial"/>
          <w:sz w:val="24"/>
          <w:szCs w:val="24"/>
        </w:rPr>
        <w:footnoteReference w:id="10"/>
      </w:r>
      <w:r w:rsidR="00557B0F" w:rsidRPr="00557B0F">
        <w:rPr>
          <w:rFonts w:ascii="Arial" w:hAnsi="Arial" w:cs="Arial"/>
          <w:sz w:val="24"/>
          <w:szCs w:val="24"/>
        </w:rPr>
        <w:t xml:space="preserve"> </w:t>
      </w:r>
      <w:r>
        <w:rPr>
          <w:rFonts w:ascii="Arial" w:hAnsi="Arial" w:cs="Arial"/>
          <w:sz w:val="24"/>
          <w:szCs w:val="24"/>
        </w:rPr>
        <w:t>at para 12 remarked as follows:</w:t>
      </w:r>
    </w:p>
    <w:p w14:paraId="1C4AFDED" w14:textId="77777777" w:rsidR="00171733" w:rsidRPr="00171733" w:rsidRDefault="00171733" w:rsidP="00171733">
      <w:pPr>
        <w:pStyle w:val="ListParagraph"/>
        <w:rPr>
          <w:rFonts w:ascii="Arial" w:hAnsi="Arial" w:cs="Arial"/>
          <w:sz w:val="24"/>
          <w:szCs w:val="24"/>
        </w:rPr>
      </w:pPr>
    </w:p>
    <w:p w14:paraId="03FC2AB1" w14:textId="77777777" w:rsidR="00557B0F" w:rsidRPr="00557B0F" w:rsidRDefault="00557B0F" w:rsidP="00557B0F">
      <w:pPr>
        <w:pStyle w:val="ListParagraph"/>
        <w:spacing w:line="360" w:lineRule="auto"/>
        <w:ind w:left="0" w:firstLine="720"/>
        <w:jc w:val="both"/>
        <w:rPr>
          <w:rFonts w:ascii="Arial" w:hAnsi="Arial" w:cs="Arial"/>
        </w:rPr>
      </w:pPr>
      <w:r w:rsidRPr="00557B0F">
        <w:rPr>
          <w:rFonts w:ascii="Arial" w:hAnsi="Arial" w:cs="Arial"/>
        </w:rPr>
        <w:t xml:space="preserve">‘A tacit relocation of an agreement is said to arise where parties after the termination of the initial agreement conduct themselves in a manner that gives rise to the inescapable inference that both desired the revival </w:t>
      </w:r>
      <w:r w:rsidR="003705BB">
        <w:rPr>
          <w:rFonts w:ascii="Arial" w:hAnsi="Arial" w:cs="Arial"/>
        </w:rPr>
        <w:t>of their former</w:t>
      </w:r>
      <w:r w:rsidRPr="00557B0F">
        <w:rPr>
          <w:rFonts w:ascii="Arial" w:hAnsi="Arial" w:cs="Arial"/>
        </w:rPr>
        <w:t xml:space="preserve"> contractual relationship on the same terms as existed before. A tacit relocation of an agreement is a new agreement and not the continuation of the old one: </w:t>
      </w:r>
      <w:r w:rsidRPr="0081540F">
        <w:rPr>
          <w:rFonts w:ascii="Arial" w:hAnsi="Arial" w:cs="Arial"/>
          <w:i/>
        </w:rPr>
        <w:t xml:space="preserve">Golden Fried Chicken (Pty) Ltd v </w:t>
      </w:r>
      <w:proofErr w:type="spellStart"/>
      <w:r w:rsidRPr="0081540F">
        <w:rPr>
          <w:rFonts w:ascii="Arial" w:hAnsi="Arial" w:cs="Arial"/>
          <w:i/>
        </w:rPr>
        <w:t>Sirad</w:t>
      </w:r>
      <w:proofErr w:type="spellEnd"/>
      <w:r w:rsidRPr="0081540F">
        <w:rPr>
          <w:rFonts w:ascii="Arial" w:hAnsi="Arial" w:cs="Arial"/>
          <w:i/>
        </w:rPr>
        <w:t xml:space="preserve"> Fast Foods CC and Others</w:t>
      </w:r>
      <w:r w:rsidRPr="00557B0F">
        <w:rPr>
          <w:rFonts w:ascii="Arial" w:hAnsi="Arial" w:cs="Arial"/>
        </w:rPr>
        <w:t xml:space="preserve"> 2002 (1) SA 822 (SCA) at 825D-E. An essential prerequisite of a relocation of a lease agreement is that it must be unequivocally inferred from the conduct of the parties</w:t>
      </w:r>
      <w:r w:rsidRPr="00557B0F">
        <w:t xml:space="preserve"> </w:t>
      </w:r>
      <w:r w:rsidRPr="00557B0F">
        <w:rPr>
          <w:rFonts w:ascii="Arial" w:hAnsi="Arial" w:cs="Arial"/>
        </w:rPr>
        <w:t>that a renewed or n</w:t>
      </w:r>
      <w:r>
        <w:rPr>
          <w:rFonts w:ascii="Arial" w:hAnsi="Arial" w:cs="Arial"/>
        </w:rPr>
        <w:t>ew lease had come into effect.’</w:t>
      </w:r>
    </w:p>
    <w:p w14:paraId="7BFE879D" w14:textId="77777777" w:rsidR="00557B0F" w:rsidRPr="00557B0F" w:rsidRDefault="00557B0F" w:rsidP="00557B0F">
      <w:pPr>
        <w:pStyle w:val="ListParagraph"/>
        <w:rPr>
          <w:rFonts w:ascii="Arial" w:hAnsi="Arial" w:cs="Arial"/>
          <w:sz w:val="24"/>
          <w:szCs w:val="24"/>
        </w:rPr>
      </w:pPr>
    </w:p>
    <w:p w14:paraId="6EA57E87" w14:textId="77777777" w:rsidR="00557B0F" w:rsidRDefault="0081540F" w:rsidP="008F0EF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The onus of proving the existence of a </w:t>
      </w:r>
      <w:r w:rsidR="00557B0F" w:rsidRPr="00557B0F">
        <w:rPr>
          <w:rFonts w:ascii="Arial" w:hAnsi="Arial" w:cs="Arial"/>
          <w:sz w:val="24"/>
          <w:szCs w:val="24"/>
        </w:rPr>
        <w:t xml:space="preserve">tacit agreement or provision rests on the person alleging </w:t>
      </w:r>
      <w:r>
        <w:rPr>
          <w:rFonts w:ascii="Arial" w:hAnsi="Arial" w:cs="Arial"/>
          <w:sz w:val="24"/>
          <w:szCs w:val="24"/>
        </w:rPr>
        <w:t xml:space="preserve">such existence of </w:t>
      </w:r>
      <w:r w:rsidR="00557B0F" w:rsidRPr="00557B0F">
        <w:rPr>
          <w:rFonts w:ascii="Arial" w:hAnsi="Arial" w:cs="Arial"/>
          <w:sz w:val="24"/>
          <w:szCs w:val="24"/>
        </w:rPr>
        <w:t>an agreement</w:t>
      </w:r>
      <w:r w:rsidR="00557B0F">
        <w:rPr>
          <w:rFonts w:ascii="Arial" w:hAnsi="Arial" w:cs="Arial"/>
          <w:sz w:val="24"/>
          <w:szCs w:val="24"/>
        </w:rPr>
        <w:t xml:space="preserve"> or provision. I</w:t>
      </w:r>
      <w:r w:rsidR="00557B0F" w:rsidRPr="00557B0F">
        <w:rPr>
          <w:rFonts w:ascii="Arial" w:hAnsi="Arial" w:cs="Arial"/>
          <w:sz w:val="24"/>
          <w:szCs w:val="24"/>
        </w:rPr>
        <w:t xml:space="preserve">n </w:t>
      </w:r>
      <w:proofErr w:type="spellStart"/>
      <w:r w:rsidR="00557B0F" w:rsidRPr="00557B0F">
        <w:rPr>
          <w:rFonts w:ascii="Arial" w:hAnsi="Arial" w:cs="Arial"/>
          <w:i/>
          <w:sz w:val="24"/>
          <w:szCs w:val="24"/>
        </w:rPr>
        <w:t>casu</w:t>
      </w:r>
      <w:proofErr w:type="spellEnd"/>
      <w:r>
        <w:rPr>
          <w:rFonts w:ascii="Arial" w:hAnsi="Arial" w:cs="Arial"/>
          <w:sz w:val="24"/>
          <w:szCs w:val="24"/>
        </w:rPr>
        <w:t>, Menzies has the onus to prove</w:t>
      </w:r>
      <w:r w:rsidR="00557B0F" w:rsidRPr="00557B0F">
        <w:rPr>
          <w:rFonts w:ascii="Arial" w:hAnsi="Arial" w:cs="Arial"/>
          <w:sz w:val="24"/>
          <w:szCs w:val="24"/>
        </w:rPr>
        <w:t xml:space="preserve"> the existence of the alleged </w:t>
      </w:r>
      <w:r>
        <w:rPr>
          <w:rFonts w:ascii="Arial" w:hAnsi="Arial" w:cs="Arial"/>
          <w:sz w:val="24"/>
          <w:szCs w:val="24"/>
        </w:rPr>
        <w:t xml:space="preserve">tacit </w:t>
      </w:r>
      <w:r w:rsidR="00557B0F" w:rsidRPr="00557B0F">
        <w:rPr>
          <w:rFonts w:ascii="Arial" w:hAnsi="Arial" w:cs="Arial"/>
          <w:sz w:val="24"/>
          <w:szCs w:val="24"/>
        </w:rPr>
        <w:t xml:space="preserve">agreement. </w:t>
      </w:r>
    </w:p>
    <w:p w14:paraId="5DF401D8" w14:textId="77777777" w:rsidR="00557B0F" w:rsidRDefault="00557B0F" w:rsidP="00557B0F">
      <w:pPr>
        <w:pStyle w:val="ListParagraph"/>
        <w:spacing w:line="360" w:lineRule="auto"/>
        <w:ind w:left="0"/>
        <w:jc w:val="both"/>
        <w:rPr>
          <w:rFonts w:ascii="Arial" w:hAnsi="Arial" w:cs="Arial"/>
          <w:sz w:val="24"/>
          <w:szCs w:val="24"/>
        </w:rPr>
      </w:pPr>
    </w:p>
    <w:p w14:paraId="74F79E99" w14:textId="77777777" w:rsidR="00410AB5" w:rsidRDefault="00410AB5" w:rsidP="008F0EF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I hold no qualms with the principle on tacit relocation set out in </w:t>
      </w:r>
      <w:r w:rsidRPr="00CA0717">
        <w:rPr>
          <w:rFonts w:ascii="Arial" w:hAnsi="Arial" w:cs="Arial"/>
          <w:i/>
          <w:sz w:val="24"/>
          <w:szCs w:val="24"/>
        </w:rPr>
        <w:t>Golden Fried Chicken.</w:t>
      </w:r>
      <w:r>
        <w:rPr>
          <w:rFonts w:ascii="Arial" w:hAnsi="Arial" w:cs="Arial"/>
          <w:sz w:val="24"/>
          <w:szCs w:val="24"/>
        </w:rPr>
        <w:t xml:space="preserve"> In </w:t>
      </w:r>
      <w:proofErr w:type="gramStart"/>
      <w:r>
        <w:rPr>
          <w:rFonts w:ascii="Arial" w:hAnsi="Arial" w:cs="Arial"/>
          <w:sz w:val="24"/>
          <w:szCs w:val="24"/>
        </w:rPr>
        <w:t>fact</w:t>
      </w:r>
      <w:proofErr w:type="gramEnd"/>
      <w:r>
        <w:rPr>
          <w:rFonts w:ascii="Arial" w:hAnsi="Arial" w:cs="Arial"/>
          <w:sz w:val="24"/>
          <w:szCs w:val="24"/>
        </w:rPr>
        <w:t xml:space="preserve"> it constitutes good law and part of our law as endorsed in the </w:t>
      </w:r>
      <w:proofErr w:type="spellStart"/>
      <w:r w:rsidRPr="00CA0717">
        <w:rPr>
          <w:rFonts w:ascii="Arial" w:hAnsi="Arial" w:cs="Arial"/>
          <w:i/>
          <w:sz w:val="24"/>
          <w:szCs w:val="24"/>
        </w:rPr>
        <w:t>Kalipi</w:t>
      </w:r>
      <w:proofErr w:type="spellEnd"/>
      <w:r w:rsidRPr="00CA0717">
        <w:rPr>
          <w:rFonts w:ascii="Arial" w:hAnsi="Arial" w:cs="Arial"/>
          <w:i/>
          <w:sz w:val="24"/>
          <w:szCs w:val="24"/>
        </w:rPr>
        <w:t xml:space="preserve"> </w:t>
      </w:r>
      <w:proofErr w:type="spellStart"/>
      <w:r w:rsidRPr="00CA0717">
        <w:rPr>
          <w:rFonts w:ascii="Arial" w:hAnsi="Arial" w:cs="Arial"/>
          <w:i/>
          <w:sz w:val="24"/>
          <w:szCs w:val="24"/>
        </w:rPr>
        <w:t>Ngelenge</w:t>
      </w:r>
      <w:proofErr w:type="spellEnd"/>
      <w:r w:rsidRPr="00CA0717">
        <w:rPr>
          <w:rFonts w:ascii="Arial" w:hAnsi="Arial" w:cs="Arial"/>
          <w:i/>
          <w:sz w:val="24"/>
          <w:szCs w:val="24"/>
        </w:rPr>
        <w:t xml:space="preserve"> </w:t>
      </w:r>
      <w:r>
        <w:rPr>
          <w:rFonts w:ascii="Arial" w:hAnsi="Arial" w:cs="Arial"/>
          <w:sz w:val="24"/>
          <w:szCs w:val="24"/>
        </w:rPr>
        <w:t xml:space="preserve">matter. The question to be answered is </w:t>
      </w:r>
      <w:proofErr w:type="gramStart"/>
      <w:r>
        <w:rPr>
          <w:rFonts w:ascii="Arial" w:hAnsi="Arial" w:cs="Arial"/>
          <w:sz w:val="24"/>
          <w:szCs w:val="24"/>
        </w:rPr>
        <w:t>whether or not</w:t>
      </w:r>
      <w:proofErr w:type="gramEnd"/>
      <w:r>
        <w:rPr>
          <w:rFonts w:ascii="Arial" w:hAnsi="Arial" w:cs="Arial"/>
          <w:sz w:val="24"/>
          <w:szCs w:val="24"/>
        </w:rPr>
        <w:t xml:space="preserve"> Menzies managed to prove</w:t>
      </w:r>
      <w:r w:rsidR="00CA0717">
        <w:rPr>
          <w:rFonts w:ascii="Arial" w:hAnsi="Arial" w:cs="Arial"/>
          <w:sz w:val="24"/>
          <w:szCs w:val="24"/>
        </w:rPr>
        <w:t>,</w:t>
      </w:r>
      <w:r>
        <w:rPr>
          <w:rFonts w:ascii="Arial" w:hAnsi="Arial" w:cs="Arial"/>
          <w:sz w:val="24"/>
          <w:szCs w:val="24"/>
        </w:rPr>
        <w:t xml:space="preserve"> that in this matter</w:t>
      </w:r>
      <w:r w:rsidR="00CA0717">
        <w:rPr>
          <w:rFonts w:ascii="Arial" w:hAnsi="Arial" w:cs="Arial"/>
          <w:sz w:val="24"/>
          <w:szCs w:val="24"/>
        </w:rPr>
        <w:t>,</w:t>
      </w:r>
      <w:r>
        <w:rPr>
          <w:rFonts w:ascii="Arial" w:hAnsi="Arial" w:cs="Arial"/>
          <w:sz w:val="24"/>
          <w:szCs w:val="24"/>
        </w:rPr>
        <w:t xml:space="preserve"> there was tacit relocation. Mr </w:t>
      </w:r>
      <w:proofErr w:type="spellStart"/>
      <w:r>
        <w:rPr>
          <w:rFonts w:ascii="Arial" w:hAnsi="Arial" w:cs="Arial"/>
          <w:sz w:val="24"/>
          <w:szCs w:val="24"/>
        </w:rPr>
        <w:t>Bhana</w:t>
      </w:r>
      <w:proofErr w:type="spellEnd"/>
      <w:r>
        <w:rPr>
          <w:rFonts w:ascii="Arial" w:hAnsi="Arial" w:cs="Arial"/>
          <w:sz w:val="24"/>
          <w:szCs w:val="24"/>
        </w:rPr>
        <w:t xml:space="preserve"> argued that Menzies remained in its starting blocks in its attempt to prove that there was tacit relocation in the present matter.  </w:t>
      </w:r>
    </w:p>
    <w:p w14:paraId="5A8C3955" w14:textId="77777777" w:rsidR="00F677AE" w:rsidRPr="00F677AE" w:rsidRDefault="00F677AE" w:rsidP="00F677AE">
      <w:pPr>
        <w:pStyle w:val="ListParagraph"/>
        <w:rPr>
          <w:rFonts w:ascii="Arial" w:hAnsi="Arial" w:cs="Arial"/>
          <w:sz w:val="24"/>
          <w:szCs w:val="24"/>
        </w:rPr>
      </w:pPr>
    </w:p>
    <w:p w14:paraId="5080657E" w14:textId="77777777" w:rsidR="00F677AE" w:rsidRDefault="00F677AE" w:rsidP="008F0EF8">
      <w:pPr>
        <w:pStyle w:val="ListParagraph"/>
        <w:numPr>
          <w:ilvl w:val="0"/>
          <w:numId w:val="1"/>
        </w:numPr>
        <w:spacing w:line="360" w:lineRule="auto"/>
        <w:ind w:left="0" w:firstLine="0"/>
        <w:jc w:val="both"/>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determine if there was tacit relocation of the agreement between the parties, I find it critical to bear in mind that:</w:t>
      </w:r>
    </w:p>
    <w:p w14:paraId="68C27706" w14:textId="77777777" w:rsidR="00F677AE" w:rsidRPr="00F677AE" w:rsidRDefault="00F677AE" w:rsidP="00F677AE">
      <w:pPr>
        <w:pStyle w:val="ListParagraph"/>
        <w:rPr>
          <w:rFonts w:ascii="Arial" w:hAnsi="Arial" w:cs="Arial"/>
          <w:sz w:val="24"/>
          <w:szCs w:val="24"/>
        </w:rPr>
      </w:pPr>
    </w:p>
    <w:p w14:paraId="075D22BC" w14:textId="77777777" w:rsidR="00F677AE" w:rsidRDefault="00AD6C31" w:rsidP="00CE7748">
      <w:pPr>
        <w:pStyle w:val="ListParagraph"/>
        <w:numPr>
          <w:ilvl w:val="0"/>
          <w:numId w:val="7"/>
        </w:numPr>
        <w:spacing w:line="360" w:lineRule="auto"/>
        <w:ind w:hanging="11"/>
        <w:jc w:val="both"/>
        <w:rPr>
          <w:rFonts w:ascii="Arial" w:hAnsi="Arial" w:cs="Arial"/>
          <w:sz w:val="24"/>
          <w:szCs w:val="24"/>
        </w:rPr>
      </w:pPr>
      <w:r>
        <w:rPr>
          <w:rFonts w:ascii="Arial" w:hAnsi="Arial" w:cs="Arial"/>
          <w:sz w:val="24"/>
          <w:szCs w:val="24"/>
        </w:rPr>
        <w:t xml:space="preserve">A tacit relocation is a new agreement and not a continuation of the old </w:t>
      </w:r>
      <w:proofErr w:type="gramStart"/>
      <w:r>
        <w:rPr>
          <w:rFonts w:ascii="Arial" w:hAnsi="Arial" w:cs="Arial"/>
          <w:sz w:val="24"/>
          <w:szCs w:val="24"/>
        </w:rPr>
        <w:t>agreement;</w:t>
      </w:r>
      <w:proofErr w:type="gramEnd"/>
    </w:p>
    <w:p w14:paraId="1B0A3BF3" w14:textId="77777777" w:rsidR="001501DD" w:rsidRDefault="001501DD" w:rsidP="00CE7748">
      <w:pPr>
        <w:pStyle w:val="ListParagraph"/>
        <w:spacing w:line="360" w:lineRule="auto"/>
        <w:ind w:hanging="11"/>
        <w:jc w:val="both"/>
        <w:rPr>
          <w:rFonts w:ascii="Arial" w:hAnsi="Arial" w:cs="Arial"/>
          <w:sz w:val="24"/>
          <w:szCs w:val="24"/>
        </w:rPr>
      </w:pPr>
    </w:p>
    <w:p w14:paraId="72AA8ED9" w14:textId="77777777" w:rsidR="00CA2074" w:rsidRDefault="00AD6C31" w:rsidP="00CA2074">
      <w:pPr>
        <w:pStyle w:val="ListParagraph"/>
        <w:numPr>
          <w:ilvl w:val="0"/>
          <w:numId w:val="7"/>
        </w:numPr>
        <w:spacing w:line="360" w:lineRule="auto"/>
        <w:ind w:hanging="11"/>
        <w:jc w:val="both"/>
        <w:rPr>
          <w:rFonts w:ascii="Arial" w:hAnsi="Arial" w:cs="Arial"/>
          <w:sz w:val="24"/>
          <w:szCs w:val="24"/>
        </w:rPr>
      </w:pPr>
      <w:r>
        <w:rPr>
          <w:rFonts w:ascii="Arial" w:hAnsi="Arial" w:cs="Arial"/>
          <w:sz w:val="24"/>
          <w:szCs w:val="24"/>
        </w:rPr>
        <w:t>A tacit agreement arises where both parties to an agreement</w:t>
      </w:r>
      <w:r w:rsidR="00CA0717">
        <w:rPr>
          <w:rFonts w:ascii="Arial" w:hAnsi="Arial" w:cs="Arial"/>
          <w:sz w:val="24"/>
          <w:szCs w:val="24"/>
        </w:rPr>
        <w:t>,</w:t>
      </w:r>
      <w:r>
        <w:rPr>
          <w:rFonts w:ascii="Arial" w:hAnsi="Arial" w:cs="Arial"/>
          <w:sz w:val="24"/>
          <w:szCs w:val="24"/>
        </w:rPr>
        <w:t xml:space="preserve"> after the termination of the initial agreement</w:t>
      </w:r>
      <w:r w:rsidR="00CA0717">
        <w:rPr>
          <w:rFonts w:ascii="Arial" w:hAnsi="Arial" w:cs="Arial"/>
          <w:sz w:val="24"/>
          <w:szCs w:val="24"/>
        </w:rPr>
        <w:t>,</w:t>
      </w:r>
      <w:r>
        <w:rPr>
          <w:rFonts w:ascii="Arial" w:hAnsi="Arial" w:cs="Arial"/>
          <w:sz w:val="24"/>
          <w:szCs w:val="24"/>
        </w:rPr>
        <w:t xml:space="preserve"> conduct themselves in such a manner that </w:t>
      </w:r>
      <w:r>
        <w:rPr>
          <w:rFonts w:ascii="Arial" w:hAnsi="Arial" w:cs="Arial"/>
          <w:sz w:val="24"/>
          <w:szCs w:val="24"/>
        </w:rPr>
        <w:lastRenderedPageBreak/>
        <w:t xml:space="preserve">there is an inescapable inference that both parties desired to revive their former contractual relationship on the same terms as existed </w:t>
      </w:r>
      <w:proofErr w:type="gramStart"/>
      <w:r>
        <w:rPr>
          <w:rFonts w:ascii="Arial" w:hAnsi="Arial" w:cs="Arial"/>
          <w:sz w:val="24"/>
          <w:szCs w:val="24"/>
        </w:rPr>
        <w:t>before;</w:t>
      </w:r>
      <w:proofErr w:type="gramEnd"/>
    </w:p>
    <w:p w14:paraId="1437162B" w14:textId="77777777" w:rsidR="00CA2074" w:rsidRPr="00CA2074" w:rsidRDefault="00CA2074" w:rsidP="00CA2074">
      <w:pPr>
        <w:pStyle w:val="ListParagraph"/>
        <w:rPr>
          <w:rFonts w:ascii="Arial" w:hAnsi="Arial" w:cs="Arial"/>
          <w:sz w:val="24"/>
          <w:szCs w:val="24"/>
        </w:rPr>
      </w:pPr>
    </w:p>
    <w:p w14:paraId="205A2280" w14:textId="77777777" w:rsidR="006733E9" w:rsidRPr="00CA2074" w:rsidRDefault="006733E9" w:rsidP="00CA2074">
      <w:pPr>
        <w:pStyle w:val="ListParagraph"/>
        <w:numPr>
          <w:ilvl w:val="0"/>
          <w:numId w:val="7"/>
        </w:numPr>
        <w:spacing w:line="360" w:lineRule="auto"/>
        <w:ind w:hanging="11"/>
        <w:jc w:val="both"/>
        <w:rPr>
          <w:rFonts w:ascii="Arial" w:hAnsi="Arial" w:cs="Arial"/>
          <w:sz w:val="24"/>
          <w:szCs w:val="24"/>
        </w:rPr>
      </w:pPr>
      <w:r w:rsidRPr="00CA2074">
        <w:rPr>
          <w:rFonts w:ascii="Arial" w:hAnsi="Arial" w:cs="Arial"/>
          <w:sz w:val="24"/>
          <w:szCs w:val="24"/>
        </w:rPr>
        <w:t xml:space="preserve">In determining whether a tacit agreement exists, the court has regard to the external manifestations and not the subjective workings of the </w:t>
      </w:r>
      <w:proofErr w:type="gramStart"/>
      <w:r w:rsidRPr="00CA2074">
        <w:rPr>
          <w:rFonts w:ascii="Arial" w:hAnsi="Arial" w:cs="Arial"/>
          <w:sz w:val="24"/>
          <w:szCs w:val="24"/>
        </w:rPr>
        <w:t>mind;</w:t>
      </w:r>
      <w:proofErr w:type="gramEnd"/>
    </w:p>
    <w:p w14:paraId="3CEA48CA" w14:textId="77777777" w:rsidR="00CE7748" w:rsidRDefault="00CE7748" w:rsidP="00CE7748">
      <w:pPr>
        <w:pStyle w:val="ListParagraph"/>
        <w:spacing w:line="360" w:lineRule="auto"/>
        <w:ind w:hanging="11"/>
        <w:jc w:val="both"/>
        <w:rPr>
          <w:rFonts w:ascii="Arial" w:hAnsi="Arial" w:cs="Arial"/>
          <w:sz w:val="24"/>
          <w:szCs w:val="24"/>
        </w:rPr>
      </w:pPr>
    </w:p>
    <w:p w14:paraId="02F74162" w14:textId="77777777" w:rsidR="00410AB5" w:rsidRPr="00AD78ED" w:rsidRDefault="006D131E" w:rsidP="00CE7748">
      <w:pPr>
        <w:pStyle w:val="ListParagraph"/>
        <w:numPr>
          <w:ilvl w:val="0"/>
          <w:numId w:val="7"/>
        </w:numPr>
        <w:spacing w:line="360" w:lineRule="auto"/>
        <w:ind w:hanging="11"/>
        <w:jc w:val="both"/>
        <w:rPr>
          <w:rFonts w:ascii="Arial" w:hAnsi="Arial" w:cs="Arial"/>
          <w:sz w:val="24"/>
          <w:szCs w:val="24"/>
        </w:rPr>
      </w:pPr>
      <w:r>
        <w:rPr>
          <w:rFonts w:ascii="Arial" w:hAnsi="Arial" w:cs="Arial"/>
          <w:sz w:val="24"/>
          <w:szCs w:val="24"/>
        </w:rPr>
        <w:t xml:space="preserve">The reference to the “same terms” does not imply that </w:t>
      </w:r>
      <w:proofErr w:type="gramStart"/>
      <w:r>
        <w:rPr>
          <w:rFonts w:ascii="Arial" w:hAnsi="Arial" w:cs="Arial"/>
          <w:sz w:val="24"/>
          <w:szCs w:val="24"/>
        </w:rPr>
        <w:t>each and every</w:t>
      </w:r>
      <w:proofErr w:type="gramEnd"/>
      <w:r>
        <w:rPr>
          <w:rFonts w:ascii="Arial" w:hAnsi="Arial" w:cs="Arial"/>
          <w:sz w:val="24"/>
          <w:szCs w:val="24"/>
        </w:rPr>
        <w:t xml:space="preserve"> term of the initial agreement forms part of the tacit agreement.</w:t>
      </w:r>
    </w:p>
    <w:p w14:paraId="6293F177" w14:textId="77777777" w:rsidR="008133AD" w:rsidRDefault="008133AD" w:rsidP="008133AD">
      <w:pPr>
        <w:pStyle w:val="ListParagraph"/>
        <w:spacing w:line="360" w:lineRule="auto"/>
        <w:ind w:left="0"/>
        <w:jc w:val="both"/>
        <w:rPr>
          <w:rFonts w:ascii="Arial" w:hAnsi="Arial" w:cs="Arial"/>
          <w:sz w:val="24"/>
          <w:szCs w:val="24"/>
        </w:rPr>
      </w:pPr>
    </w:p>
    <w:p w14:paraId="60A34A28" w14:textId="77777777" w:rsidR="008133AD" w:rsidRDefault="00715E99" w:rsidP="008F0EF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In further keeping with the </w:t>
      </w:r>
      <w:proofErr w:type="spellStart"/>
      <w:r w:rsidRPr="00715E99">
        <w:rPr>
          <w:rFonts w:ascii="Arial" w:hAnsi="Arial" w:cs="Arial"/>
          <w:i/>
          <w:sz w:val="24"/>
          <w:szCs w:val="24"/>
        </w:rPr>
        <w:t>Kalipi</w:t>
      </w:r>
      <w:proofErr w:type="spellEnd"/>
      <w:r w:rsidRPr="00715E99">
        <w:rPr>
          <w:rFonts w:ascii="Arial" w:hAnsi="Arial" w:cs="Arial"/>
          <w:i/>
          <w:sz w:val="24"/>
          <w:szCs w:val="24"/>
        </w:rPr>
        <w:t xml:space="preserve"> </w:t>
      </w:r>
      <w:proofErr w:type="spellStart"/>
      <w:r w:rsidRPr="00715E99">
        <w:rPr>
          <w:rFonts w:ascii="Arial" w:hAnsi="Arial" w:cs="Arial"/>
          <w:i/>
          <w:sz w:val="24"/>
          <w:szCs w:val="24"/>
        </w:rPr>
        <w:t>Ngelenge</w:t>
      </w:r>
      <w:proofErr w:type="spellEnd"/>
      <w:r>
        <w:rPr>
          <w:rFonts w:ascii="Arial" w:hAnsi="Arial" w:cs="Arial"/>
          <w:sz w:val="24"/>
          <w:szCs w:val="24"/>
        </w:rPr>
        <w:t xml:space="preserve"> matter, it is incumbent on Menzies to prove that both parties, after the termination of the initial agreement, conducted themselves in a manner that gives rise to an inescapable inference that they both desired to revive their former contractual relationship. It must be unequivocally inferred that a new agreement has come into effect. </w:t>
      </w:r>
    </w:p>
    <w:p w14:paraId="7360CEE6" w14:textId="77777777" w:rsidR="00500537" w:rsidRPr="00500537" w:rsidRDefault="00500537" w:rsidP="00500537">
      <w:pPr>
        <w:pStyle w:val="ListParagraph"/>
        <w:rPr>
          <w:rFonts w:ascii="Arial" w:hAnsi="Arial" w:cs="Arial"/>
          <w:sz w:val="24"/>
          <w:szCs w:val="24"/>
        </w:rPr>
      </w:pPr>
    </w:p>
    <w:p w14:paraId="63EE3CBF" w14:textId="77777777" w:rsidR="0067445B" w:rsidRDefault="0067445B" w:rsidP="0067445B">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In </w:t>
      </w:r>
      <w:proofErr w:type="spellStart"/>
      <w:r w:rsidRPr="008133AD">
        <w:rPr>
          <w:rFonts w:ascii="Arial" w:hAnsi="Arial" w:cs="Arial"/>
          <w:i/>
          <w:sz w:val="24"/>
          <w:szCs w:val="24"/>
        </w:rPr>
        <w:t>casu</w:t>
      </w:r>
      <w:proofErr w:type="spellEnd"/>
      <w:r>
        <w:rPr>
          <w:rFonts w:ascii="Arial" w:hAnsi="Arial" w:cs="Arial"/>
          <w:sz w:val="24"/>
          <w:szCs w:val="24"/>
        </w:rPr>
        <w:t>, Menzies failed to prove that a new agreement came into existence as compared to a continuation of the Service Agreement. This much is apparent from Annexure “FA6” and “FA7” where Menzies acknowledges the withdrawal of the cancellation letter and requests for an extension of the Service Agreement to a period after the finalisation of the Review application.  In the face of Annexure “FA6” and “FA7” it cannot b</w:t>
      </w:r>
      <w:r w:rsidR="00CA0717">
        <w:rPr>
          <w:rFonts w:ascii="Arial" w:hAnsi="Arial" w:cs="Arial"/>
          <w:sz w:val="24"/>
          <w:szCs w:val="24"/>
        </w:rPr>
        <w:t>e said, in my view, that</w:t>
      </w:r>
      <w:r>
        <w:rPr>
          <w:rFonts w:ascii="Arial" w:hAnsi="Arial" w:cs="Arial"/>
          <w:sz w:val="24"/>
          <w:szCs w:val="24"/>
        </w:rPr>
        <w:t xml:space="preserve"> there was a new agreement concluded by the parties in the form of tacit relocation.</w:t>
      </w:r>
    </w:p>
    <w:p w14:paraId="459D5A81" w14:textId="77777777" w:rsidR="00DB7C19" w:rsidRPr="00DB7C19" w:rsidRDefault="00DB7C19" w:rsidP="00DB7C19">
      <w:pPr>
        <w:pStyle w:val="ListParagraph"/>
        <w:rPr>
          <w:rFonts w:ascii="Arial" w:hAnsi="Arial" w:cs="Arial"/>
          <w:sz w:val="24"/>
          <w:szCs w:val="24"/>
        </w:rPr>
      </w:pPr>
    </w:p>
    <w:p w14:paraId="40A5EF04" w14:textId="77777777" w:rsidR="00DB7C19" w:rsidRDefault="00DB7C19" w:rsidP="0067445B">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Menzies, in my view, failed to establish that the Service Agreement was cancelled as it consented to the withdrawal of the cancellation notice and asked for an extension of the agreement. Menzies further failed to establish that both parties conducted themselves in a manner that gives rise to an inescapable inference that they both desired to revive their former contractual relationship. </w:t>
      </w:r>
      <w:r w:rsidR="00903936">
        <w:rPr>
          <w:rFonts w:ascii="Arial" w:hAnsi="Arial" w:cs="Arial"/>
          <w:sz w:val="24"/>
          <w:szCs w:val="24"/>
        </w:rPr>
        <w:t xml:space="preserve">To the contrary, I find that, both parties conducted themselves in perpetuation of the Service Agreement. </w:t>
      </w:r>
      <w:r>
        <w:rPr>
          <w:rFonts w:ascii="Arial" w:hAnsi="Arial" w:cs="Arial"/>
          <w:sz w:val="24"/>
          <w:szCs w:val="24"/>
        </w:rPr>
        <w:t xml:space="preserve"> </w:t>
      </w:r>
    </w:p>
    <w:p w14:paraId="38CF325D" w14:textId="77777777" w:rsidR="00500537" w:rsidRDefault="00500537" w:rsidP="00D254A5">
      <w:pPr>
        <w:pStyle w:val="ListParagraph"/>
        <w:spacing w:line="360" w:lineRule="auto"/>
        <w:ind w:left="0"/>
        <w:jc w:val="both"/>
        <w:rPr>
          <w:rFonts w:ascii="Arial" w:hAnsi="Arial" w:cs="Arial"/>
          <w:sz w:val="24"/>
          <w:szCs w:val="24"/>
        </w:rPr>
      </w:pPr>
    </w:p>
    <w:p w14:paraId="7FCBDF51" w14:textId="77777777" w:rsidR="00557B0F" w:rsidRDefault="00557B0F" w:rsidP="008F0EF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w:t>
      </w:r>
      <w:r w:rsidR="00784A64">
        <w:rPr>
          <w:rFonts w:ascii="Arial" w:hAnsi="Arial" w:cs="Arial"/>
          <w:sz w:val="24"/>
          <w:szCs w:val="24"/>
        </w:rPr>
        <w:t xml:space="preserve"> further find that, </w:t>
      </w:r>
      <w:r w:rsidRPr="00557B0F">
        <w:rPr>
          <w:rFonts w:ascii="Arial" w:hAnsi="Arial" w:cs="Arial"/>
          <w:sz w:val="24"/>
          <w:szCs w:val="24"/>
        </w:rPr>
        <w:t xml:space="preserve">Menzies has failed to prove that the parties conducted themselves in </w:t>
      </w:r>
      <w:proofErr w:type="gramStart"/>
      <w:r w:rsidRPr="00557B0F">
        <w:rPr>
          <w:rFonts w:ascii="Arial" w:hAnsi="Arial" w:cs="Arial"/>
          <w:sz w:val="24"/>
          <w:szCs w:val="24"/>
        </w:rPr>
        <w:t>a manner in which</w:t>
      </w:r>
      <w:proofErr w:type="gramEnd"/>
      <w:r w:rsidRPr="00557B0F">
        <w:rPr>
          <w:rFonts w:ascii="Arial" w:hAnsi="Arial" w:cs="Arial"/>
          <w:sz w:val="24"/>
          <w:szCs w:val="24"/>
        </w:rPr>
        <w:t xml:space="preserve"> it can be unequivocally inferred that the parties intended to enter into a new (oral) agreement, which came into existence from a definite and specified date onwards, </w:t>
      </w:r>
      <w:r w:rsidR="00784A64">
        <w:rPr>
          <w:rFonts w:ascii="Arial" w:hAnsi="Arial" w:cs="Arial"/>
          <w:sz w:val="24"/>
          <w:szCs w:val="24"/>
        </w:rPr>
        <w:t xml:space="preserve">on the “same terms” as defined in </w:t>
      </w:r>
      <w:r w:rsidR="00784A64" w:rsidRPr="004C3C1C">
        <w:rPr>
          <w:rFonts w:ascii="Arial" w:hAnsi="Arial" w:cs="Arial"/>
          <w:i/>
          <w:sz w:val="24"/>
          <w:szCs w:val="24"/>
        </w:rPr>
        <w:t xml:space="preserve">Golden Fried </w:t>
      </w:r>
      <w:r w:rsidR="00784A64" w:rsidRPr="004C3C1C">
        <w:rPr>
          <w:rFonts w:ascii="Arial" w:hAnsi="Arial" w:cs="Arial"/>
          <w:i/>
          <w:sz w:val="24"/>
          <w:szCs w:val="24"/>
        </w:rPr>
        <w:lastRenderedPageBreak/>
        <w:t>Chicken</w:t>
      </w:r>
      <w:r w:rsidR="00784A64">
        <w:rPr>
          <w:rFonts w:ascii="Arial" w:hAnsi="Arial" w:cs="Arial"/>
          <w:sz w:val="24"/>
          <w:szCs w:val="24"/>
        </w:rPr>
        <w:t>. Menzies further failed</w:t>
      </w:r>
      <w:r w:rsidRPr="00557B0F">
        <w:rPr>
          <w:rFonts w:ascii="Arial" w:hAnsi="Arial" w:cs="Arial"/>
          <w:sz w:val="24"/>
          <w:szCs w:val="24"/>
        </w:rPr>
        <w:t xml:space="preserve"> to plead </w:t>
      </w:r>
      <w:r w:rsidR="00784A64">
        <w:rPr>
          <w:rFonts w:ascii="Arial" w:hAnsi="Arial" w:cs="Arial"/>
          <w:sz w:val="24"/>
          <w:szCs w:val="24"/>
        </w:rPr>
        <w:t xml:space="preserve">averments </w:t>
      </w:r>
      <w:r w:rsidRPr="00557B0F">
        <w:rPr>
          <w:rFonts w:ascii="Arial" w:hAnsi="Arial" w:cs="Arial"/>
          <w:sz w:val="24"/>
          <w:szCs w:val="24"/>
        </w:rPr>
        <w:t xml:space="preserve">in support of its position, to establish the material terms of the new tacit lease agreement. </w:t>
      </w:r>
    </w:p>
    <w:p w14:paraId="4B4315D8" w14:textId="77777777" w:rsidR="00557B0F" w:rsidRPr="00557B0F" w:rsidRDefault="00557B0F" w:rsidP="00557B0F">
      <w:pPr>
        <w:pStyle w:val="ListParagraph"/>
        <w:rPr>
          <w:rFonts w:ascii="Arial" w:hAnsi="Arial" w:cs="Arial"/>
          <w:sz w:val="24"/>
          <w:szCs w:val="24"/>
        </w:rPr>
      </w:pPr>
    </w:p>
    <w:p w14:paraId="67A9DD34" w14:textId="77777777" w:rsidR="001501DD" w:rsidRDefault="00034573" w:rsidP="001501DD">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As alluded to above, the conduct of the pa</w:t>
      </w:r>
      <w:r w:rsidR="00CA0717">
        <w:rPr>
          <w:rFonts w:ascii="Arial" w:hAnsi="Arial" w:cs="Arial"/>
          <w:sz w:val="24"/>
          <w:szCs w:val="24"/>
        </w:rPr>
        <w:t xml:space="preserve">rties and their correspondence </w:t>
      </w:r>
      <w:r w:rsidR="00557B0F" w:rsidRPr="00557B0F">
        <w:rPr>
          <w:rFonts w:ascii="Arial" w:hAnsi="Arial" w:cs="Arial"/>
          <w:sz w:val="24"/>
          <w:szCs w:val="24"/>
        </w:rPr>
        <w:t xml:space="preserve">suggest </w:t>
      </w:r>
      <w:r>
        <w:rPr>
          <w:rFonts w:ascii="Arial" w:hAnsi="Arial" w:cs="Arial"/>
          <w:sz w:val="24"/>
          <w:szCs w:val="24"/>
        </w:rPr>
        <w:t xml:space="preserve">the continuation of the Service Agreement and nothing more. </w:t>
      </w:r>
    </w:p>
    <w:p w14:paraId="7A97F6A5" w14:textId="77777777" w:rsidR="001501DD" w:rsidRPr="001501DD" w:rsidRDefault="001501DD" w:rsidP="001501DD">
      <w:pPr>
        <w:pStyle w:val="ListParagraph"/>
        <w:rPr>
          <w:rFonts w:ascii="Arial" w:hAnsi="Arial" w:cs="Arial"/>
          <w:sz w:val="24"/>
          <w:szCs w:val="24"/>
        </w:rPr>
      </w:pPr>
    </w:p>
    <w:p w14:paraId="32DE0137" w14:textId="77777777" w:rsidR="001501DD" w:rsidRDefault="008E4157" w:rsidP="001501DD">
      <w:pPr>
        <w:pStyle w:val="ListParagraph"/>
        <w:numPr>
          <w:ilvl w:val="0"/>
          <w:numId w:val="1"/>
        </w:numPr>
        <w:spacing w:line="360" w:lineRule="auto"/>
        <w:ind w:left="0" w:firstLine="0"/>
        <w:jc w:val="both"/>
        <w:rPr>
          <w:rFonts w:ascii="Arial" w:hAnsi="Arial" w:cs="Arial"/>
          <w:sz w:val="24"/>
          <w:szCs w:val="24"/>
        </w:rPr>
      </w:pPr>
      <w:r w:rsidRPr="001501DD">
        <w:rPr>
          <w:rFonts w:ascii="Arial" w:hAnsi="Arial" w:cs="Arial"/>
          <w:sz w:val="24"/>
          <w:szCs w:val="24"/>
        </w:rPr>
        <w:t>What is worse for Menzies is that its conduct suggests that, on its own as a single party, it did not prove that it acted in a manner that is suggestive of an inescapable inference that the Service Agreement was terminated and theref</w:t>
      </w:r>
      <w:r w:rsidR="00CA0717">
        <w:rPr>
          <w:rFonts w:ascii="Arial" w:hAnsi="Arial" w:cs="Arial"/>
          <w:sz w:val="24"/>
          <w:szCs w:val="24"/>
        </w:rPr>
        <w:t>ore conducted itself in terms of</w:t>
      </w:r>
      <w:r w:rsidRPr="001501DD">
        <w:rPr>
          <w:rFonts w:ascii="Arial" w:hAnsi="Arial" w:cs="Arial"/>
          <w:sz w:val="24"/>
          <w:szCs w:val="24"/>
        </w:rPr>
        <w:t xml:space="preserve"> a new oral agreement. </w:t>
      </w:r>
      <w:r w:rsidR="00880057" w:rsidRPr="001501DD">
        <w:rPr>
          <w:rFonts w:ascii="Arial" w:hAnsi="Arial" w:cs="Arial"/>
          <w:sz w:val="24"/>
          <w:szCs w:val="24"/>
        </w:rPr>
        <w:t xml:space="preserve">To the contrary, the proven facts are </w:t>
      </w:r>
      <w:r w:rsidR="00CA0717">
        <w:rPr>
          <w:rFonts w:ascii="Arial" w:hAnsi="Arial" w:cs="Arial"/>
          <w:sz w:val="24"/>
          <w:szCs w:val="24"/>
        </w:rPr>
        <w:t xml:space="preserve">that Menzies also continued to </w:t>
      </w:r>
      <w:r w:rsidR="00880057" w:rsidRPr="001501DD">
        <w:rPr>
          <w:rFonts w:ascii="Arial" w:hAnsi="Arial" w:cs="Arial"/>
          <w:sz w:val="24"/>
          <w:szCs w:val="24"/>
        </w:rPr>
        <w:t xml:space="preserve">act in terms of the Service Agreement. I find that the </w:t>
      </w:r>
      <w:r w:rsidR="0045231F" w:rsidRPr="001501DD">
        <w:rPr>
          <w:rFonts w:ascii="Arial" w:hAnsi="Arial" w:cs="Arial"/>
          <w:sz w:val="24"/>
          <w:szCs w:val="24"/>
        </w:rPr>
        <w:t xml:space="preserve">submission </w:t>
      </w:r>
      <w:r w:rsidR="00880057" w:rsidRPr="001501DD">
        <w:rPr>
          <w:rFonts w:ascii="Arial" w:hAnsi="Arial" w:cs="Arial"/>
          <w:sz w:val="24"/>
          <w:szCs w:val="24"/>
        </w:rPr>
        <w:t xml:space="preserve">that the parties entered into a new tacit agreement </w:t>
      </w:r>
      <w:r w:rsidR="0045231F" w:rsidRPr="001501DD">
        <w:rPr>
          <w:rFonts w:ascii="Arial" w:hAnsi="Arial" w:cs="Arial"/>
          <w:sz w:val="24"/>
          <w:szCs w:val="24"/>
        </w:rPr>
        <w:t>is farfetched</w:t>
      </w:r>
      <w:r w:rsidR="00CA0717">
        <w:rPr>
          <w:rFonts w:ascii="Arial" w:hAnsi="Arial" w:cs="Arial"/>
          <w:sz w:val="24"/>
          <w:szCs w:val="24"/>
        </w:rPr>
        <w:t xml:space="preserve"> and</w:t>
      </w:r>
      <w:r w:rsidR="0045231F" w:rsidRPr="001501DD">
        <w:rPr>
          <w:rFonts w:ascii="Arial" w:hAnsi="Arial" w:cs="Arial"/>
          <w:sz w:val="24"/>
          <w:szCs w:val="24"/>
        </w:rPr>
        <w:t xml:space="preserve"> unsustainable on the facts. </w:t>
      </w:r>
    </w:p>
    <w:p w14:paraId="09E17CC4" w14:textId="77777777" w:rsidR="001501DD" w:rsidRPr="001501DD" w:rsidRDefault="001501DD" w:rsidP="001501DD">
      <w:pPr>
        <w:pStyle w:val="ListParagraph"/>
        <w:rPr>
          <w:rFonts w:ascii="Arial" w:hAnsi="Arial" w:cs="Arial"/>
          <w:sz w:val="24"/>
          <w:szCs w:val="24"/>
        </w:rPr>
      </w:pPr>
    </w:p>
    <w:p w14:paraId="2A7C2041" w14:textId="77777777" w:rsidR="00F21313" w:rsidRPr="001501DD" w:rsidRDefault="00F21313" w:rsidP="001501DD">
      <w:pPr>
        <w:pStyle w:val="ListParagraph"/>
        <w:numPr>
          <w:ilvl w:val="0"/>
          <w:numId w:val="1"/>
        </w:numPr>
        <w:spacing w:line="360" w:lineRule="auto"/>
        <w:ind w:left="0" w:firstLine="0"/>
        <w:jc w:val="both"/>
        <w:rPr>
          <w:rFonts w:ascii="Arial" w:hAnsi="Arial" w:cs="Arial"/>
          <w:sz w:val="24"/>
          <w:szCs w:val="24"/>
        </w:rPr>
      </w:pPr>
      <w:r w:rsidRPr="001501DD">
        <w:rPr>
          <w:rFonts w:ascii="Arial" w:hAnsi="Arial" w:cs="Arial"/>
          <w:sz w:val="24"/>
          <w:szCs w:val="24"/>
        </w:rPr>
        <w:t xml:space="preserve">Considering the findings and conclusions that I reached above, I consider it unnecessary to entertain the arguments on the Rent Ordinance, as in my view, there was no tacit agreement between the parties that could pave way for the consideration of such Ordinance.  </w:t>
      </w:r>
    </w:p>
    <w:p w14:paraId="76EE282A" w14:textId="77777777" w:rsidR="00543AC0" w:rsidRDefault="00543AC0" w:rsidP="00D53A00">
      <w:pPr>
        <w:pStyle w:val="ListParagraph"/>
        <w:spacing w:line="360" w:lineRule="auto"/>
        <w:ind w:left="0"/>
        <w:jc w:val="both"/>
        <w:rPr>
          <w:rFonts w:ascii="Arial" w:hAnsi="Arial" w:cs="Arial"/>
          <w:sz w:val="24"/>
          <w:szCs w:val="24"/>
          <w:u w:val="single"/>
        </w:rPr>
      </w:pPr>
    </w:p>
    <w:p w14:paraId="2987C932" w14:textId="77777777" w:rsidR="00D53A00" w:rsidRPr="00D53A00" w:rsidRDefault="00D53A00" w:rsidP="00D53A00">
      <w:pPr>
        <w:pStyle w:val="ListParagraph"/>
        <w:spacing w:line="360" w:lineRule="auto"/>
        <w:ind w:left="0"/>
        <w:jc w:val="both"/>
        <w:rPr>
          <w:rFonts w:ascii="Arial" w:hAnsi="Arial" w:cs="Arial"/>
          <w:sz w:val="24"/>
          <w:szCs w:val="24"/>
          <w:u w:val="single"/>
        </w:rPr>
      </w:pPr>
      <w:r w:rsidRPr="00D53A00">
        <w:rPr>
          <w:rFonts w:ascii="Arial" w:hAnsi="Arial" w:cs="Arial"/>
          <w:sz w:val="24"/>
          <w:szCs w:val="24"/>
          <w:u w:val="single"/>
        </w:rPr>
        <w:t>Paragons’ Capabilities</w:t>
      </w:r>
    </w:p>
    <w:p w14:paraId="593E5968" w14:textId="77777777" w:rsidR="00D53A00" w:rsidRPr="00D53A00" w:rsidRDefault="00D53A00" w:rsidP="00D53A00">
      <w:pPr>
        <w:pStyle w:val="ListParagraph"/>
        <w:rPr>
          <w:rFonts w:ascii="Arial" w:hAnsi="Arial" w:cs="Arial"/>
          <w:sz w:val="24"/>
          <w:szCs w:val="24"/>
        </w:rPr>
      </w:pPr>
    </w:p>
    <w:p w14:paraId="47F8C73E" w14:textId="77777777" w:rsidR="00D53A00" w:rsidRDefault="00D53A00" w:rsidP="0026038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One of the issue</w:t>
      </w:r>
      <w:r w:rsidR="004367A4">
        <w:rPr>
          <w:rFonts w:ascii="Arial" w:hAnsi="Arial" w:cs="Arial"/>
          <w:sz w:val="24"/>
          <w:szCs w:val="24"/>
        </w:rPr>
        <w:t>s</w:t>
      </w:r>
      <w:r>
        <w:rPr>
          <w:rFonts w:ascii="Arial" w:hAnsi="Arial" w:cs="Arial"/>
          <w:sz w:val="24"/>
          <w:szCs w:val="24"/>
        </w:rPr>
        <w:t xml:space="preserve"> raised by Mr Heathcote, which I similarly consider of importance to address in this judgement</w:t>
      </w:r>
      <w:r w:rsidR="005927C5">
        <w:rPr>
          <w:rFonts w:ascii="Arial" w:hAnsi="Arial" w:cs="Arial"/>
          <w:sz w:val="24"/>
          <w:szCs w:val="24"/>
        </w:rPr>
        <w:t>,</w:t>
      </w:r>
      <w:r>
        <w:rPr>
          <w:rFonts w:ascii="Arial" w:hAnsi="Arial" w:cs="Arial"/>
          <w:sz w:val="24"/>
          <w:szCs w:val="24"/>
        </w:rPr>
        <w:t xml:space="preserve"> is the question of whether Paragon is competent and capable of providing ground handling services at HKIA.</w:t>
      </w:r>
    </w:p>
    <w:p w14:paraId="2E0074E9" w14:textId="77777777" w:rsidR="00D53A00" w:rsidRDefault="00D53A00" w:rsidP="00D53A00">
      <w:pPr>
        <w:pStyle w:val="ListParagraph"/>
        <w:spacing w:line="360" w:lineRule="auto"/>
        <w:ind w:left="0"/>
        <w:jc w:val="both"/>
        <w:rPr>
          <w:rFonts w:ascii="Arial" w:hAnsi="Arial" w:cs="Arial"/>
          <w:sz w:val="24"/>
          <w:szCs w:val="24"/>
        </w:rPr>
      </w:pPr>
    </w:p>
    <w:p w14:paraId="6291CAE3" w14:textId="77777777" w:rsidR="00760D9E" w:rsidRDefault="002B5A7D" w:rsidP="0026038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Menzies, in this regard, blows hot air as it does not base such serious assertions on established facts or </w:t>
      </w:r>
      <w:r w:rsidR="00F736E0">
        <w:rPr>
          <w:rFonts w:ascii="Arial" w:hAnsi="Arial" w:cs="Arial"/>
          <w:sz w:val="24"/>
          <w:szCs w:val="24"/>
        </w:rPr>
        <w:t xml:space="preserve">tangible evidence. </w:t>
      </w:r>
      <w:r w:rsidR="008F04BD">
        <w:rPr>
          <w:rFonts w:ascii="Arial" w:hAnsi="Arial" w:cs="Arial"/>
          <w:sz w:val="24"/>
          <w:szCs w:val="24"/>
        </w:rPr>
        <w:t xml:space="preserve">Menzies is not privy to the operations of Paragon. Paragon has stated under oath, </w:t>
      </w:r>
      <w:r w:rsidR="008F04BD" w:rsidRPr="0079494D">
        <w:rPr>
          <w:rFonts w:ascii="Arial" w:hAnsi="Arial" w:cs="Arial"/>
          <w:i/>
          <w:sz w:val="24"/>
          <w:szCs w:val="24"/>
        </w:rPr>
        <w:t>inter alia</w:t>
      </w:r>
      <w:r w:rsidR="008F04BD">
        <w:rPr>
          <w:rFonts w:ascii="Arial" w:hAnsi="Arial" w:cs="Arial"/>
          <w:sz w:val="24"/>
          <w:szCs w:val="24"/>
        </w:rPr>
        <w:t xml:space="preserve">, </w:t>
      </w:r>
      <w:r w:rsidR="0079494D">
        <w:rPr>
          <w:rFonts w:ascii="Arial" w:hAnsi="Arial" w:cs="Arial"/>
          <w:sz w:val="24"/>
          <w:szCs w:val="24"/>
        </w:rPr>
        <w:t xml:space="preserve">that it is able and ready to provide ground handling services at HKIA effective 1 July 2022 and further </w:t>
      </w:r>
      <w:r w:rsidR="008F04BD">
        <w:rPr>
          <w:rFonts w:ascii="Arial" w:hAnsi="Arial" w:cs="Arial"/>
          <w:sz w:val="24"/>
          <w:szCs w:val="24"/>
        </w:rPr>
        <w:t xml:space="preserve">that </w:t>
      </w:r>
      <w:proofErr w:type="gramStart"/>
      <w:r w:rsidR="008F04BD">
        <w:rPr>
          <w:rFonts w:ascii="Arial" w:hAnsi="Arial" w:cs="Arial"/>
          <w:sz w:val="24"/>
          <w:szCs w:val="24"/>
        </w:rPr>
        <w:t>subsequent to</w:t>
      </w:r>
      <w:proofErr w:type="gramEnd"/>
      <w:r w:rsidR="008F04BD">
        <w:rPr>
          <w:rFonts w:ascii="Arial" w:hAnsi="Arial" w:cs="Arial"/>
          <w:sz w:val="24"/>
          <w:szCs w:val="24"/>
        </w:rPr>
        <w:t xml:space="preserve"> being awarded the bid</w:t>
      </w:r>
      <w:r w:rsidR="00CA0717">
        <w:rPr>
          <w:rFonts w:ascii="Arial" w:hAnsi="Arial" w:cs="Arial"/>
          <w:sz w:val="24"/>
          <w:szCs w:val="24"/>
        </w:rPr>
        <w:t>,</w:t>
      </w:r>
      <w:r w:rsidR="008F04BD">
        <w:rPr>
          <w:rFonts w:ascii="Arial" w:hAnsi="Arial" w:cs="Arial"/>
          <w:sz w:val="24"/>
          <w:szCs w:val="24"/>
        </w:rPr>
        <w:t xml:space="preserve"> it has spent close to N$6 million in preparation to commence operations</w:t>
      </w:r>
      <w:r w:rsidR="00760D9E">
        <w:rPr>
          <w:rFonts w:ascii="Arial" w:hAnsi="Arial" w:cs="Arial"/>
          <w:sz w:val="24"/>
          <w:szCs w:val="24"/>
        </w:rPr>
        <w:t>.</w:t>
      </w:r>
    </w:p>
    <w:p w14:paraId="0E2141CE" w14:textId="77777777" w:rsidR="00760D9E" w:rsidRPr="00760D9E" w:rsidRDefault="00760D9E" w:rsidP="00760D9E">
      <w:pPr>
        <w:pStyle w:val="ListParagraph"/>
        <w:rPr>
          <w:rFonts w:ascii="Arial" w:hAnsi="Arial" w:cs="Arial"/>
          <w:sz w:val="24"/>
          <w:szCs w:val="24"/>
        </w:rPr>
      </w:pPr>
    </w:p>
    <w:p w14:paraId="2CE63F6C" w14:textId="77777777" w:rsidR="003732AF" w:rsidRDefault="00D803ED" w:rsidP="0026038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This court has no reason to </w:t>
      </w:r>
      <w:r w:rsidR="00AD78ED">
        <w:rPr>
          <w:rFonts w:ascii="Arial" w:hAnsi="Arial" w:cs="Arial"/>
          <w:sz w:val="24"/>
          <w:szCs w:val="24"/>
        </w:rPr>
        <w:t>doubt Paragon’</w:t>
      </w:r>
      <w:r w:rsidR="003732AF">
        <w:rPr>
          <w:rFonts w:ascii="Arial" w:hAnsi="Arial" w:cs="Arial"/>
          <w:sz w:val="24"/>
          <w:szCs w:val="24"/>
        </w:rPr>
        <w:t xml:space="preserve">s capabilities to render the ground handling services at HKIA, neither was clear evidence put before court to demonstrate such incapability. </w:t>
      </w:r>
    </w:p>
    <w:p w14:paraId="181BE5EF" w14:textId="77777777" w:rsidR="003732AF" w:rsidRPr="003732AF" w:rsidRDefault="003732AF" w:rsidP="003732AF">
      <w:pPr>
        <w:pStyle w:val="ListParagraph"/>
        <w:rPr>
          <w:rFonts w:ascii="Arial" w:hAnsi="Arial" w:cs="Arial"/>
          <w:sz w:val="24"/>
          <w:szCs w:val="24"/>
        </w:rPr>
      </w:pPr>
    </w:p>
    <w:p w14:paraId="0150B12F" w14:textId="77777777" w:rsidR="003732AF" w:rsidRDefault="003732AF" w:rsidP="0026038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In any event</w:t>
      </w:r>
      <w:r w:rsidR="0098790F">
        <w:rPr>
          <w:rFonts w:ascii="Arial" w:hAnsi="Arial" w:cs="Arial"/>
          <w:sz w:val="24"/>
          <w:szCs w:val="24"/>
        </w:rPr>
        <w:t>,</w:t>
      </w:r>
      <w:r>
        <w:rPr>
          <w:rFonts w:ascii="Arial" w:hAnsi="Arial" w:cs="Arial"/>
          <w:sz w:val="24"/>
          <w:szCs w:val="24"/>
        </w:rPr>
        <w:t xml:space="preserve"> NAC is duty-bound to ensure that the ground handling services rendered at HKIA are consistent with the objects of the NAC. Section 5(2)</w:t>
      </w:r>
      <w:r w:rsidRPr="00CA0717">
        <w:rPr>
          <w:rFonts w:ascii="Arial" w:hAnsi="Arial" w:cs="Arial"/>
          <w:i/>
          <w:sz w:val="24"/>
          <w:szCs w:val="24"/>
        </w:rPr>
        <w:t xml:space="preserve">(a) </w:t>
      </w:r>
      <w:r>
        <w:rPr>
          <w:rFonts w:ascii="Arial" w:hAnsi="Arial" w:cs="Arial"/>
          <w:sz w:val="24"/>
          <w:szCs w:val="24"/>
        </w:rPr>
        <w:t>of the Airports Company Act, 25 of 1998 provides that:</w:t>
      </w:r>
    </w:p>
    <w:p w14:paraId="0FAA03C3" w14:textId="77777777" w:rsidR="003732AF" w:rsidRPr="003732AF" w:rsidRDefault="003732AF" w:rsidP="003732AF">
      <w:pPr>
        <w:pStyle w:val="ListParagraph"/>
        <w:rPr>
          <w:rFonts w:ascii="Arial" w:hAnsi="Arial" w:cs="Arial"/>
          <w:sz w:val="24"/>
          <w:szCs w:val="24"/>
        </w:rPr>
      </w:pPr>
    </w:p>
    <w:p w14:paraId="085EFF59" w14:textId="77777777" w:rsidR="003732AF" w:rsidRPr="007A1080" w:rsidRDefault="003732AF" w:rsidP="003732AF">
      <w:pPr>
        <w:pStyle w:val="ListParagraph"/>
        <w:spacing w:line="360" w:lineRule="auto"/>
        <w:jc w:val="both"/>
        <w:rPr>
          <w:rFonts w:ascii="Arial" w:hAnsi="Arial" w:cs="Arial"/>
        </w:rPr>
      </w:pPr>
      <w:r w:rsidRPr="007A1080">
        <w:rPr>
          <w:rFonts w:ascii="Arial" w:hAnsi="Arial" w:cs="Arial"/>
        </w:rPr>
        <w:t xml:space="preserve">‘(2) The Company may – </w:t>
      </w:r>
    </w:p>
    <w:p w14:paraId="3F76BE74" w14:textId="77777777" w:rsidR="003732AF" w:rsidRPr="007A1080" w:rsidRDefault="003732AF" w:rsidP="00CE7748">
      <w:pPr>
        <w:pStyle w:val="ListParagraph"/>
        <w:numPr>
          <w:ilvl w:val="0"/>
          <w:numId w:val="8"/>
        </w:numPr>
        <w:spacing w:line="360" w:lineRule="auto"/>
        <w:ind w:left="0" w:firstLine="0"/>
        <w:jc w:val="both"/>
        <w:rPr>
          <w:rFonts w:ascii="Arial" w:hAnsi="Arial" w:cs="Arial"/>
        </w:rPr>
      </w:pPr>
      <w:r w:rsidRPr="007A1080">
        <w:rPr>
          <w:rFonts w:ascii="Arial" w:hAnsi="Arial" w:cs="Arial"/>
        </w:rPr>
        <w:t xml:space="preserve">Enter into an agreement with any person, organisation or authority to perform a particular act or render a particular service on behalf of or in favour of the </w:t>
      </w:r>
      <w:proofErr w:type="gramStart"/>
      <w:r w:rsidRPr="007A1080">
        <w:rPr>
          <w:rFonts w:ascii="Arial" w:hAnsi="Arial" w:cs="Arial"/>
        </w:rPr>
        <w:t>Company, and</w:t>
      </w:r>
      <w:proofErr w:type="gramEnd"/>
      <w:r w:rsidRPr="007A1080">
        <w:rPr>
          <w:rFonts w:ascii="Arial" w:hAnsi="Arial" w:cs="Arial"/>
        </w:rPr>
        <w:t xml:space="preserve"> may let or subcontract any facility or service it is required or entitled to provide or render, but any such contract shall be consistent with the objects of the Company.’</w:t>
      </w:r>
    </w:p>
    <w:p w14:paraId="4975446A" w14:textId="77777777" w:rsidR="003732AF" w:rsidRPr="001501DD" w:rsidRDefault="003732AF" w:rsidP="001501DD">
      <w:pPr>
        <w:pStyle w:val="ListParagraph"/>
        <w:spacing w:line="360" w:lineRule="auto"/>
        <w:jc w:val="both"/>
        <w:rPr>
          <w:rFonts w:ascii="Arial" w:hAnsi="Arial" w:cs="Arial"/>
          <w:sz w:val="24"/>
          <w:szCs w:val="24"/>
        </w:rPr>
      </w:pPr>
      <w:r>
        <w:rPr>
          <w:rFonts w:ascii="Arial" w:hAnsi="Arial" w:cs="Arial"/>
          <w:sz w:val="24"/>
          <w:szCs w:val="24"/>
        </w:rPr>
        <w:t xml:space="preserve"> </w:t>
      </w:r>
    </w:p>
    <w:p w14:paraId="32CE779E" w14:textId="77777777" w:rsidR="002B5A7D" w:rsidRDefault="00D10E11" w:rsidP="0026038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NAC retains a duty to ensure the entity appointed to carry out ground handling services at HKIA, carries out such functions in conformity with the objects of NAC. Failure to conform to the objects of NAC, may result in NAC acting accordingly </w:t>
      </w:r>
      <w:proofErr w:type="gramStart"/>
      <w:r>
        <w:rPr>
          <w:rFonts w:ascii="Arial" w:hAnsi="Arial" w:cs="Arial"/>
          <w:sz w:val="24"/>
          <w:szCs w:val="24"/>
        </w:rPr>
        <w:t>in order to</w:t>
      </w:r>
      <w:proofErr w:type="gramEnd"/>
      <w:r>
        <w:rPr>
          <w:rFonts w:ascii="Arial" w:hAnsi="Arial" w:cs="Arial"/>
          <w:sz w:val="24"/>
          <w:szCs w:val="24"/>
        </w:rPr>
        <w:t xml:space="preserve"> ensure that the rendering of ground handling services is consisted with the objects of NAC. </w:t>
      </w:r>
      <w:r w:rsidR="003732AF">
        <w:rPr>
          <w:rFonts w:ascii="Arial" w:hAnsi="Arial" w:cs="Arial"/>
          <w:sz w:val="24"/>
          <w:szCs w:val="24"/>
        </w:rPr>
        <w:t xml:space="preserve"> </w:t>
      </w:r>
      <w:r w:rsidR="00D803ED">
        <w:rPr>
          <w:rFonts w:ascii="Arial" w:hAnsi="Arial" w:cs="Arial"/>
          <w:sz w:val="24"/>
          <w:szCs w:val="24"/>
        </w:rPr>
        <w:t xml:space="preserve"> </w:t>
      </w:r>
      <w:r w:rsidR="008F04BD">
        <w:rPr>
          <w:rFonts w:ascii="Arial" w:hAnsi="Arial" w:cs="Arial"/>
          <w:sz w:val="24"/>
          <w:szCs w:val="24"/>
        </w:rPr>
        <w:t xml:space="preserve"> </w:t>
      </w:r>
      <w:r w:rsidR="002B5A7D">
        <w:rPr>
          <w:rFonts w:ascii="Arial" w:hAnsi="Arial" w:cs="Arial"/>
          <w:sz w:val="24"/>
          <w:szCs w:val="24"/>
        </w:rPr>
        <w:t xml:space="preserve"> </w:t>
      </w:r>
    </w:p>
    <w:p w14:paraId="35CFAB76" w14:textId="77777777" w:rsidR="002B5A7D" w:rsidRPr="002B5A7D" w:rsidRDefault="002B5A7D" w:rsidP="002B5A7D">
      <w:pPr>
        <w:pStyle w:val="ListParagraph"/>
        <w:rPr>
          <w:rFonts w:ascii="Arial" w:hAnsi="Arial" w:cs="Arial"/>
          <w:sz w:val="24"/>
          <w:szCs w:val="24"/>
        </w:rPr>
      </w:pPr>
    </w:p>
    <w:p w14:paraId="7AF19725" w14:textId="77777777" w:rsidR="00D53A00" w:rsidRDefault="002B5A7D" w:rsidP="0026038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 </w:t>
      </w:r>
      <w:r w:rsidR="00687042">
        <w:rPr>
          <w:rFonts w:ascii="Arial" w:hAnsi="Arial" w:cs="Arial"/>
          <w:sz w:val="24"/>
          <w:szCs w:val="24"/>
        </w:rPr>
        <w:t xml:space="preserve">Another important provision to the subject is section </w:t>
      </w:r>
      <w:r w:rsidR="00D53A00">
        <w:rPr>
          <w:rFonts w:ascii="Arial" w:hAnsi="Arial" w:cs="Arial"/>
          <w:sz w:val="24"/>
          <w:szCs w:val="24"/>
        </w:rPr>
        <w:t>63 of the Public Procurement Act</w:t>
      </w:r>
      <w:r w:rsidR="005927C5">
        <w:rPr>
          <w:rFonts w:ascii="Arial" w:hAnsi="Arial" w:cs="Arial"/>
          <w:sz w:val="24"/>
          <w:szCs w:val="24"/>
        </w:rPr>
        <w:t>,</w:t>
      </w:r>
      <w:r w:rsidR="00800716">
        <w:rPr>
          <w:rFonts w:ascii="Arial" w:hAnsi="Arial" w:cs="Arial"/>
          <w:sz w:val="24"/>
          <w:szCs w:val="24"/>
        </w:rPr>
        <w:t xml:space="preserve"> 15 of 2015</w:t>
      </w:r>
      <w:r w:rsidR="005927C5">
        <w:rPr>
          <w:rFonts w:ascii="Arial" w:hAnsi="Arial" w:cs="Arial"/>
          <w:sz w:val="24"/>
          <w:szCs w:val="24"/>
        </w:rPr>
        <w:t xml:space="preserve"> which provides that:</w:t>
      </w:r>
    </w:p>
    <w:p w14:paraId="21405902" w14:textId="77777777" w:rsidR="005927C5" w:rsidRPr="005927C5" w:rsidRDefault="005927C5" w:rsidP="005927C5">
      <w:pPr>
        <w:pStyle w:val="ListParagraph"/>
        <w:rPr>
          <w:rFonts w:ascii="Arial" w:hAnsi="Arial" w:cs="Arial"/>
          <w:sz w:val="24"/>
          <w:szCs w:val="24"/>
        </w:rPr>
      </w:pPr>
    </w:p>
    <w:p w14:paraId="3CA3713A" w14:textId="77777777" w:rsidR="005927C5" w:rsidRDefault="005927C5" w:rsidP="005927C5">
      <w:pPr>
        <w:pStyle w:val="ListParagraph"/>
        <w:spacing w:line="360" w:lineRule="auto"/>
        <w:ind w:left="0" w:firstLine="720"/>
        <w:jc w:val="both"/>
        <w:rPr>
          <w:rFonts w:ascii="Arial" w:hAnsi="Arial" w:cs="Arial"/>
        </w:rPr>
      </w:pPr>
      <w:r>
        <w:rPr>
          <w:rFonts w:ascii="Arial" w:hAnsi="Arial" w:cs="Arial"/>
        </w:rPr>
        <w:t>‘</w:t>
      </w:r>
      <w:r w:rsidRPr="005927C5">
        <w:rPr>
          <w:rFonts w:ascii="Arial" w:hAnsi="Arial" w:cs="Arial"/>
        </w:rPr>
        <w:t xml:space="preserve">(1) Despite anything to the contrary in any other law, a public entity may withdraw an award or terminate a procurement contract at any time for its convenience on the grounds of changed circumstances </w:t>
      </w:r>
      <w:r>
        <w:rPr>
          <w:rFonts w:ascii="Arial" w:hAnsi="Arial" w:cs="Arial"/>
        </w:rPr>
        <w:t>–</w:t>
      </w:r>
      <w:r w:rsidRPr="005927C5">
        <w:rPr>
          <w:rFonts w:ascii="Arial" w:hAnsi="Arial" w:cs="Arial"/>
        </w:rPr>
        <w:t xml:space="preserve"> </w:t>
      </w:r>
    </w:p>
    <w:p w14:paraId="653B8D31" w14:textId="77777777" w:rsidR="005927C5" w:rsidRDefault="005927C5" w:rsidP="005927C5">
      <w:pPr>
        <w:pStyle w:val="ListParagraph"/>
        <w:spacing w:line="360" w:lineRule="auto"/>
        <w:ind w:left="0"/>
        <w:jc w:val="both"/>
        <w:rPr>
          <w:rFonts w:ascii="Arial" w:hAnsi="Arial" w:cs="Arial"/>
        </w:rPr>
      </w:pPr>
      <w:r w:rsidRPr="005927C5">
        <w:rPr>
          <w:rFonts w:ascii="Arial" w:hAnsi="Arial" w:cs="Arial"/>
        </w:rPr>
        <w:t xml:space="preserve">(a) in that the continuation of the contract is not or will not be in the public interest; or </w:t>
      </w:r>
    </w:p>
    <w:p w14:paraId="38A489D0" w14:textId="77777777" w:rsidR="005927C5" w:rsidRDefault="005927C5" w:rsidP="005927C5">
      <w:pPr>
        <w:pStyle w:val="ListParagraph"/>
        <w:spacing w:line="360" w:lineRule="auto"/>
        <w:ind w:left="0"/>
        <w:jc w:val="both"/>
        <w:rPr>
          <w:rFonts w:ascii="Arial" w:hAnsi="Arial" w:cs="Arial"/>
        </w:rPr>
      </w:pPr>
      <w:r w:rsidRPr="005927C5">
        <w:rPr>
          <w:rFonts w:ascii="Arial" w:hAnsi="Arial" w:cs="Arial"/>
        </w:rPr>
        <w:t xml:space="preserve">(b) any variation in a contract price causes the total contract amount to exceed by more than 15 per cent. </w:t>
      </w:r>
    </w:p>
    <w:p w14:paraId="1B47B174" w14:textId="77777777" w:rsidR="005927C5" w:rsidRDefault="005927C5" w:rsidP="005927C5">
      <w:pPr>
        <w:pStyle w:val="ListParagraph"/>
        <w:spacing w:line="360" w:lineRule="auto"/>
        <w:ind w:left="0"/>
        <w:jc w:val="both"/>
        <w:rPr>
          <w:rFonts w:ascii="Arial" w:hAnsi="Arial" w:cs="Arial"/>
        </w:rPr>
      </w:pPr>
      <w:r w:rsidRPr="005927C5">
        <w:rPr>
          <w:rFonts w:ascii="Arial" w:hAnsi="Arial" w:cs="Arial"/>
        </w:rPr>
        <w:t xml:space="preserve">(2) Upon termination under subsection (1), the contractor is entitled to reimbursement of expenses incurred in the performance of the </w:t>
      </w:r>
      <w:proofErr w:type="gramStart"/>
      <w:r w:rsidRPr="005927C5">
        <w:rPr>
          <w:rFonts w:ascii="Arial" w:hAnsi="Arial" w:cs="Arial"/>
        </w:rPr>
        <w:t>contract, but</w:t>
      </w:r>
      <w:proofErr w:type="gramEnd"/>
      <w:r w:rsidRPr="005927C5">
        <w:rPr>
          <w:rFonts w:ascii="Arial" w:hAnsi="Arial" w:cs="Arial"/>
        </w:rPr>
        <w:t xml:space="preserve"> is not entitled to recover anticipated profits on the completion of the contract</w:t>
      </w:r>
      <w:r w:rsidR="00CA0717">
        <w:rPr>
          <w:rFonts w:ascii="Arial" w:hAnsi="Arial" w:cs="Arial"/>
        </w:rPr>
        <w:t>.</w:t>
      </w:r>
      <w:r w:rsidR="006C5C3F">
        <w:rPr>
          <w:rFonts w:ascii="Arial" w:hAnsi="Arial" w:cs="Arial"/>
        </w:rPr>
        <w:t>’</w:t>
      </w:r>
    </w:p>
    <w:p w14:paraId="286F6E28" w14:textId="77777777" w:rsidR="005927C5" w:rsidRDefault="005927C5" w:rsidP="005927C5">
      <w:pPr>
        <w:pStyle w:val="ListParagraph"/>
        <w:spacing w:line="360" w:lineRule="auto"/>
        <w:ind w:left="0"/>
        <w:jc w:val="both"/>
        <w:rPr>
          <w:rFonts w:ascii="Arial" w:hAnsi="Arial" w:cs="Arial"/>
        </w:rPr>
      </w:pPr>
    </w:p>
    <w:p w14:paraId="55E1C527" w14:textId="77777777" w:rsidR="00AD78ED" w:rsidRPr="001501DD" w:rsidRDefault="005927C5" w:rsidP="00772B11">
      <w:pPr>
        <w:pStyle w:val="ListParagraph"/>
        <w:numPr>
          <w:ilvl w:val="0"/>
          <w:numId w:val="1"/>
        </w:numPr>
        <w:spacing w:line="360" w:lineRule="auto"/>
        <w:ind w:left="0" w:firstLine="0"/>
        <w:jc w:val="both"/>
        <w:rPr>
          <w:rFonts w:ascii="Arial" w:hAnsi="Arial" w:cs="Arial"/>
          <w:sz w:val="24"/>
          <w:szCs w:val="24"/>
        </w:rPr>
      </w:pPr>
      <w:proofErr w:type="gramStart"/>
      <w:r w:rsidRPr="005927C5">
        <w:rPr>
          <w:rFonts w:ascii="Arial" w:hAnsi="Arial" w:cs="Arial"/>
          <w:sz w:val="24"/>
          <w:szCs w:val="24"/>
        </w:rPr>
        <w:t xml:space="preserve">In </w:t>
      </w:r>
      <w:r>
        <w:rPr>
          <w:rFonts w:ascii="Arial" w:hAnsi="Arial" w:cs="Arial"/>
          <w:sz w:val="24"/>
          <w:szCs w:val="24"/>
        </w:rPr>
        <w:t>light of</w:t>
      </w:r>
      <w:proofErr w:type="gramEnd"/>
      <w:r>
        <w:rPr>
          <w:rFonts w:ascii="Arial" w:hAnsi="Arial" w:cs="Arial"/>
          <w:sz w:val="24"/>
          <w:szCs w:val="24"/>
        </w:rPr>
        <w:t xml:space="preserve"> the above, it is clear as day that </w:t>
      </w:r>
      <w:r w:rsidR="00760D9E">
        <w:rPr>
          <w:rFonts w:ascii="Arial" w:hAnsi="Arial" w:cs="Arial"/>
          <w:sz w:val="24"/>
          <w:szCs w:val="24"/>
        </w:rPr>
        <w:t xml:space="preserve">if </w:t>
      </w:r>
      <w:r>
        <w:rPr>
          <w:rFonts w:ascii="Arial" w:hAnsi="Arial" w:cs="Arial"/>
          <w:sz w:val="24"/>
          <w:szCs w:val="24"/>
        </w:rPr>
        <w:t>Paragon cannot perform on the commended standard</w:t>
      </w:r>
      <w:r w:rsidR="007167B9">
        <w:rPr>
          <w:rFonts w:ascii="Arial" w:hAnsi="Arial" w:cs="Arial"/>
          <w:sz w:val="24"/>
          <w:szCs w:val="24"/>
        </w:rPr>
        <w:t>,</w:t>
      </w:r>
      <w:r>
        <w:rPr>
          <w:rFonts w:ascii="Arial" w:hAnsi="Arial" w:cs="Arial"/>
          <w:sz w:val="24"/>
          <w:szCs w:val="24"/>
        </w:rPr>
        <w:t xml:space="preserve"> the Award may be terminated. I thus find that </w:t>
      </w:r>
      <w:r w:rsidRPr="005927C5">
        <w:rPr>
          <w:rFonts w:ascii="Arial" w:hAnsi="Arial" w:cs="Arial"/>
          <w:sz w:val="24"/>
          <w:szCs w:val="24"/>
        </w:rPr>
        <w:t>Pa</w:t>
      </w:r>
      <w:r>
        <w:rPr>
          <w:rFonts w:ascii="Arial" w:hAnsi="Arial" w:cs="Arial"/>
          <w:sz w:val="24"/>
          <w:szCs w:val="24"/>
        </w:rPr>
        <w:t>ragon’s capabilities are irrelevant to this matter</w:t>
      </w:r>
      <w:r w:rsidRPr="005927C5">
        <w:rPr>
          <w:rFonts w:ascii="Arial" w:hAnsi="Arial" w:cs="Arial"/>
          <w:sz w:val="24"/>
          <w:szCs w:val="24"/>
        </w:rPr>
        <w:t xml:space="preserve"> </w:t>
      </w:r>
      <w:r>
        <w:rPr>
          <w:rFonts w:ascii="Arial" w:hAnsi="Arial" w:cs="Arial"/>
          <w:sz w:val="24"/>
          <w:szCs w:val="24"/>
        </w:rPr>
        <w:t>and purely academic in nature.</w:t>
      </w:r>
    </w:p>
    <w:p w14:paraId="51555417" w14:textId="77777777" w:rsidR="001501DD" w:rsidRDefault="001501DD" w:rsidP="00772B11">
      <w:pPr>
        <w:pStyle w:val="ListParagraph"/>
        <w:spacing w:line="360" w:lineRule="auto"/>
        <w:ind w:left="0"/>
        <w:jc w:val="both"/>
        <w:rPr>
          <w:rFonts w:ascii="Arial" w:hAnsi="Arial" w:cs="Arial"/>
          <w:sz w:val="24"/>
          <w:szCs w:val="24"/>
        </w:rPr>
      </w:pPr>
    </w:p>
    <w:p w14:paraId="5187D7E9" w14:textId="77777777" w:rsidR="00772B11" w:rsidRPr="00772B11" w:rsidRDefault="00772B11" w:rsidP="00772B11">
      <w:pPr>
        <w:pStyle w:val="ListParagraph"/>
        <w:spacing w:line="360" w:lineRule="auto"/>
        <w:ind w:left="0"/>
        <w:jc w:val="both"/>
        <w:rPr>
          <w:rFonts w:ascii="Arial" w:hAnsi="Arial" w:cs="Arial"/>
          <w:sz w:val="24"/>
          <w:szCs w:val="24"/>
          <w:u w:val="single"/>
        </w:rPr>
      </w:pPr>
      <w:r w:rsidRPr="00772B11">
        <w:rPr>
          <w:rFonts w:ascii="Arial" w:hAnsi="Arial" w:cs="Arial"/>
          <w:sz w:val="24"/>
          <w:szCs w:val="24"/>
          <w:u w:val="single"/>
        </w:rPr>
        <w:t>Non-Joinder</w:t>
      </w:r>
      <w:r w:rsidR="00B42C6B">
        <w:rPr>
          <w:rFonts w:ascii="Arial" w:hAnsi="Arial" w:cs="Arial"/>
          <w:sz w:val="24"/>
          <w:szCs w:val="24"/>
          <w:u w:val="single"/>
        </w:rPr>
        <w:t xml:space="preserve"> of the airlines and the Namibia Civil Aviation Authority</w:t>
      </w:r>
    </w:p>
    <w:p w14:paraId="6372F283" w14:textId="77777777" w:rsidR="00772B11" w:rsidRDefault="00772B11" w:rsidP="00772B11">
      <w:pPr>
        <w:pStyle w:val="ListParagraph"/>
        <w:spacing w:line="360" w:lineRule="auto"/>
        <w:ind w:left="0"/>
        <w:jc w:val="both"/>
        <w:rPr>
          <w:rFonts w:ascii="Arial" w:hAnsi="Arial" w:cs="Arial"/>
          <w:sz w:val="24"/>
          <w:szCs w:val="24"/>
        </w:rPr>
      </w:pPr>
    </w:p>
    <w:p w14:paraId="4BCE88DF" w14:textId="77777777" w:rsidR="00772B11" w:rsidRDefault="00F02074" w:rsidP="005927C5">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lastRenderedPageBreak/>
        <w:t xml:space="preserve">Menzies </w:t>
      </w:r>
      <w:r w:rsidR="005234A8">
        <w:rPr>
          <w:rFonts w:ascii="Arial" w:hAnsi="Arial" w:cs="Arial"/>
          <w:sz w:val="24"/>
          <w:szCs w:val="24"/>
        </w:rPr>
        <w:t>argued that NAC failed to join airlines and the Namibia Civil</w:t>
      </w:r>
      <w:r w:rsidR="00CA0717">
        <w:rPr>
          <w:rFonts w:ascii="Arial" w:hAnsi="Arial" w:cs="Arial"/>
          <w:sz w:val="24"/>
          <w:szCs w:val="24"/>
        </w:rPr>
        <w:t xml:space="preserve"> Aviation</w:t>
      </w:r>
      <w:r w:rsidR="005234A8">
        <w:rPr>
          <w:rFonts w:ascii="Arial" w:hAnsi="Arial" w:cs="Arial"/>
          <w:sz w:val="24"/>
          <w:szCs w:val="24"/>
        </w:rPr>
        <w:t xml:space="preserve"> Authority and that such non-joinder is fatal to NAC’s application. </w:t>
      </w:r>
      <w:r w:rsidR="00025072">
        <w:rPr>
          <w:rFonts w:ascii="Arial" w:hAnsi="Arial" w:cs="Arial"/>
          <w:sz w:val="24"/>
          <w:szCs w:val="24"/>
        </w:rPr>
        <w:t xml:space="preserve">Mr Heathcote argued that the NAC had a duty to </w:t>
      </w:r>
      <w:r w:rsidR="00CA0717">
        <w:rPr>
          <w:rFonts w:ascii="Arial" w:hAnsi="Arial" w:cs="Arial"/>
          <w:sz w:val="24"/>
          <w:szCs w:val="24"/>
        </w:rPr>
        <w:t>join the airlines that utilise</w:t>
      </w:r>
      <w:r w:rsidR="00025072">
        <w:rPr>
          <w:rFonts w:ascii="Arial" w:hAnsi="Arial" w:cs="Arial"/>
          <w:sz w:val="24"/>
          <w:szCs w:val="24"/>
        </w:rPr>
        <w:t xml:space="preserve"> </w:t>
      </w:r>
      <w:proofErr w:type="gramStart"/>
      <w:r w:rsidR="00025072">
        <w:rPr>
          <w:rFonts w:ascii="Arial" w:hAnsi="Arial" w:cs="Arial"/>
          <w:sz w:val="24"/>
          <w:szCs w:val="24"/>
        </w:rPr>
        <w:t>HKIA</w:t>
      </w:r>
      <w:proofErr w:type="gramEnd"/>
      <w:r w:rsidR="00025072">
        <w:rPr>
          <w:rFonts w:ascii="Arial" w:hAnsi="Arial" w:cs="Arial"/>
          <w:sz w:val="24"/>
          <w:szCs w:val="24"/>
        </w:rPr>
        <w:t xml:space="preserve"> and the ground handling services as they have a direct and substantial interest in the services rendered. </w:t>
      </w:r>
      <w:r w:rsidR="000108DA">
        <w:rPr>
          <w:rFonts w:ascii="Arial" w:hAnsi="Arial" w:cs="Arial"/>
          <w:sz w:val="24"/>
          <w:szCs w:val="24"/>
        </w:rPr>
        <w:t>Mr Heathcote argued that</w:t>
      </w:r>
      <w:r w:rsidR="00CA0717">
        <w:rPr>
          <w:rFonts w:ascii="Arial" w:hAnsi="Arial" w:cs="Arial"/>
          <w:sz w:val="24"/>
          <w:szCs w:val="24"/>
        </w:rPr>
        <w:t>,</w:t>
      </w:r>
      <w:r w:rsidR="000108DA">
        <w:rPr>
          <w:rFonts w:ascii="Arial" w:hAnsi="Arial" w:cs="Arial"/>
          <w:sz w:val="24"/>
          <w:szCs w:val="24"/>
        </w:rPr>
        <w:t xml:space="preserve"> where there are no airlines there is no Menzies and no Paragon and probably no NAC. He further argued that</w:t>
      </w:r>
      <w:r w:rsidR="00CA0717">
        <w:rPr>
          <w:rFonts w:ascii="Arial" w:hAnsi="Arial" w:cs="Arial"/>
          <w:sz w:val="24"/>
          <w:szCs w:val="24"/>
        </w:rPr>
        <w:t xml:space="preserve"> the</w:t>
      </w:r>
      <w:r w:rsidR="000108DA">
        <w:rPr>
          <w:rFonts w:ascii="Arial" w:hAnsi="Arial" w:cs="Arial"/>
          <w:sz w:val="24"/>
          <w:szCs w:val="24"/>
        </w:rPr>
        <w:t xml:space="preserve"> Directorate of </w:t>
      </w:r>
      <w:r w:rsidR="00CA0717">
        <w:rPr>
          <w:rFonts w:ascii="Arial" w:hAnsi="Arial" w:cs="Arial"/>
          <w:sz w:val="24"/>
          <w:szCs w:val="24"/>
        </w:rPr>
        <w:t>the Namibia</w:t>
      </w:r>
      <w:r w:rsidR="000108DA">
        <w:rPr>
          <w:rFonts w:ascii="Arial" w:hAnsi="Arial" w:cs="Arial"/>
          <w:sz w:val="24"/>
          <w:szCs w:val="24"/>
        </w:rPr>
        <w:t xml:space="preserve"> Civil Aviation </w:t>
      </w:r>
      <w:r w:rsidR="00CA0717">
        <w:rPr>
          <w:rFonts w:ascii="Arial" w:hAnsi="Arial" w:cs="Arial"/>
          <w:sz w:val="24"/>
          <w:szCs w:val="24"/>
        </w:rPr>
        <w:t xml:space="preserve">Authority </w:t>
      </w:r>
      <w:r w:rsidR="000108DA">
        <w:rPr>
          <w:rFonts w:ascii="Arial" w:hAnsi="Arial" w:cs="Arial"/>
          <w:sz w:val="24"/>
          <w:szCs w:val="24"/>
        </w:rPr>
        <w:t xml:space="preserve">should have been cited by virtue of the oversight role that it plays in civil aviation in Namibia. Failure to cite the said Directorate is fatal, so it was argued. </w:t>
      </w:r>
    </w:p>
    <w:p w14:paraId="4D65A176" w14:textId="77777777" w:rsidR="00BB476F" w:rsidRDefault="00BB476F" w:rsidP="00BB476F">
      <w:pPr>
        <w:pStyle w:val="ListParagraph"/>
        <w:spacing w:line="360" w:lineRule="auto"/>
        <w:ind w:left="0"/>
        <w:jc w:val="both"/>
        <w:rPr>
          <w:rFonts w:ascii="Arial" w:hAnsi="Arial" w:cs="Arial"/>
          <w:sz w:val="24"/>
          <w:szCs w:val="24"/>
        </w:rPr>
      </w:pPr>
    </w:p>
    <w:p w14:paraId="4EF00C86" w14:textId="77777777" w:rsidR="00BB476F" w:rsidRDefault="00B343DD" w:rsidP="005927C5">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It is established law that a party must be joined to the proceedings if it has a direct and substantial interest in the order sought. That means that it is necessary to join a party if the order cannot be sustained or carried into effect without prejudicing such party’s rights.</w:t>
      </w:r>
      <w:r w:rsidR="00CA4584">
        <w:rPr>
          <w:rStyle w:val="FootnoteReference"/>
          <w:rFonts w:ascii="Arial" w:hAnsi="Arial" w:cs="Arial"/>
          <w:sz w:val="24"/>
          <w:szCs w:val="24"/>
        </w:rPr>
        <w:footnoteReference w:id="11"/>
      </w:r>
      <w:r>
        <w:rPr>
          <w:rFonts w:ascii="Arial" w:hAnsi="Arial" w:cs="Arial"/>
          <w:sz w:val="24"/>
          <w:szCs w:val="24"/>
        </w:rPr>
        <w:t xml:space="preserve"> </w:t>
      </w:r>
    </w:p>
    <w:p w14:paraId="6A1D56A8" w14:textId="77777777" w:rsidR="00B957BA" w:rsidRPr="00B957BA" w:rsidRDefault="00B957BA" w:rsidP="00B957BA">
      <w:pPr>
        <w:pStyle w:val="ListParagraph"/>
        <w:rPr>
          <w:rFonts w:ascii="Arial" w:hAnsi="Arial" w:cs="Arial"/>
          <w:sz w:val="24"/>
          <w:szCs w:val="24"/>
        </w:rPr>
      </w:pPr>
    </w:p>
    <w:p w14:paraId="02924D0B" w14:textId="77777777" w:rsidR="00331848" w:rsidRDefault="00331848" w:rsidP="005927C5">
      <w:pPr>
        <w:pStyle w:val="ListParagraph"/>
        <w:numPr>
          <w:ilvl w:val="0"/>
          <w:numId w:val="1"/>
        </w:numPr>
        <w:spacing w:line="360" w:lineRule="auto"/>
        <w:ind w:left="0" w:firstLine="0"/>
        <w:jc w:val="both"/>
        <w:rPr>
          <w:rFonts w:ascii="Arial" w:hAnsi="Arial" w:cs="Arial"/>
          <w:sz w:val="24"/>
          <w:szCs w:val="24"/>
        </w:rPr>
      </w:pPr>
      <w:proofErr w:type="spellStart"/>
      <w:r>
        <w:rPr>
          <w:rFonts w:ascii="Arial" w:hAnsi="Arial" w:cs="Arial"/>
          <w:sz w:val="24"/>
          <w:szCs w:val="24"/>
        </w:rPr>
        <w:t>Cheda</w:t>
      </w:r>
      <w:proofErr w:type="spellEnd"/>
      <w:r>
        <w:rPr>
          <w:rFonts w:ascii="Arial" w:hAnsi="Arial" w:cs="Arial"/>
          <w:sz w:val="24"/>
          <w:szCs w:val="24"/>
        </w:rPr>
        <w:t xml:space="preserve"> J in </w:t>
      </w:r>
      <w:proofErr w:type="spellStart"/>
      <w:r w:rsidRPr="00331848">
        <w:rPr>
          <w:rFonts w:ascii="Arial" w:hAnsi="Arial" w:cs="Arial"/>
          <w:i/>
          <w:sz w:val="24"/>
          <w:szCs w:val="24"/>
        </w:rPr>
        <w:t>Maletzky</w:t>
      </w:r>
      <w:proofErr w:type="spellEnd"/>
      <w:r w:rsidRPr="00331848">
        <w:rPr>
          <w:rFonts w:ascii="Arial" w:hAnsi="Arial" w:cs="Arial"/>
          <w:i/>
          <w:sz w:val="24"/>
          <w:szCs w:val="24"/>
        </w:rPr>
        <w:t xml:space="preserve"> v Minister of Justice and Others</w:t>
      </w:r>
      <w:r>
        <w:rPr>
          <w:rFonts w:ascii="Arial" w:hAnsi="Arial" w:cs="Arial"/>
          <w:i/>
          <w:sz w:val="24"/>
          <w:szCs w:val="24"/>
        </w:rPr>
        <w:t>,</w:t>
      </w:r>
      <w:r>
        <w:rPr>
          <w:rStyle w:val="FootnoteReference"/>
          <w:rFonts w:ascii="Arial" w:hAnsi="Arial" w:cs="Arial"/>
          <w:sz w:val="24"/>
          <w:szCs w:val="24"/>
        </w:rPr>
        <w:footnoteReference w:id="12"/>
      </w:r>
      <w:r>
        <w:rPr>
          <w:rFonts w:ascii="Arial" w:hAnsi="Arial" w:cs="Arial"/>
          <w:i/>
          <w:sz w:val="24"/>
          <w:szCs w:val="24"/>
        </w:rPr>
        <w:t xml:space="preserve"> </w:t>
      </w:r>
      <w:r>
        <w:rPr>
          <w:rFonts w:ascii="Arial" w:hAnsi="Arial" w:cs="Arial"/>
          <w:sz w:val="24"/>
          <w:szCs w:val="24"/>
        </w:rPr>
        <w:t>discussed non-joinder of necessary parties and remarked as follows at para 10 and 11:</w:t>
      </w:r>
    </w:p>
    <w:p w14:paraId="41A24296" w14:textId="77777777" w:rsidR="00331848" w:rsidRPr="00331848" w:rsidRDefault="00331848" w:rsidP="00331848">
      <w:pPr>
        <w:pStyle w:val="ListParagraph"/>
        <w:rPr>
          <w:rFonts w:ascii="Arial" w:hAnsi="Arial" w:cs="Arial"/>
          <w:sz w:val="24"/>
          <w:szCs w:val="24"/>
        </w:rPr>
      </w:pPr>
    </w:p>
    <w:p w14:paraId="08E1590D" w14:textId="77777777" w:rsidR="00331848" w:rsidRPr="00FC683C" w:rsidRDefault="00331848" w:rsidP="00331848">
      <w:pPr>
        <w:spacing w:line="360" w:lineRule="auto"/>
        <w:ind w:firstLine="720"/>
        <w:jc w:val="both"/>
        <w:rPr>
          <w:rFonts w:ascii="Arial" w:hAnsi="Arial" w:cs="Arial"/>
        </w:rPr>
      </w:pPr>
      <w:r w:rsidRPr="00FC683C">
        <w:rPr>
          <w:rFonts w:ascii="Arial" w:hAnsi="Arial" w:cs="Arial"/>
        </w:rPr>
        <w:t xml:space="preserve">‘[10] A direct and substantial interest is an interest in the right which is the subject matter of the litigation by the litigant and not merely a pecuniary interest. See </w:t>
      </w:r>
      <w:r w:rsidRPr="00FC683C">
        <w:rPr>
          <w:rFonts w:ascii="Arial" w:hAnsi="Arial" w:cs="Arial"/>
          <w:i/>
        </w:rPr>
        <w:t xml:space="preserve">Ex </w:t>
      </w:r>
      <w:proofErr w:type="spellStart"/>
      <w:r w:rsidRPr="00FC683C">
        <w:rPr>
          <w:rFonts w:ascii="Arial" w:hAnsi="Arial" w:cs="Arial"/>
          <w:i/>
        </w:rPr>
        <w:t>parte</w:t>
      </w:r>
      <w:proofErr w:type="spellEnd"/>
      <w:r w:rsidRPr="00FC683C">
        <w:rPr>
          <w:rFonts w:ascii="Arial" w:hAnsi="Arial" w:cs="Arial"/>
          <w:i/>
        </w:rPr>
        <w:t xml:space="preserve"> </w:t>
      </w:r>
      <w:proofErr w:type="spellStart"/>
      <w:r w:rsidRPr="00FC683C">
        <w:rPr>
          <w:rFonts w:ascii="Arial" w:hAnsi="Arial" w:cs="Arial"/>
          <w:i/>
        </w:rPr>
        <w:t>Sudurhavid</w:t>
      </w:r>
      <w:proofErr w:type="spellEnd"/>
      <w:r w:rsidRPr="00FC683C">
        <w:rPr>
          <w:rFonts w:ascii="Arial" w:hAnsi="Arial" w:cs="Arial"/>
          <w:i/>
        </w:rPr>
        <w:t xml:space="preserve"> (Pty) Ltd: In re Namibia Marine Resources (Pty) Ltd v </w:t>
      </w:r>
      <w:proofErr w:type="spellStart"/>
      <w:r w:rsidRPr="00FC683C">
        <w:rPr>
          <w:rFonts w:ascii="Arial" w:hAnsi="Arial" w:cs="Arial"/>
          <w:i/>
        </w:rPr>
        <w:t>Ferina</w:t>
      </w:r>
      <w:proofErr w:type="spellEnd"/>
      <w:r w:rsidRPr="00FC683C">
        <w:rPr>
          <w:rFonts w:ascii="Arial" w:hAnsi="Arial" w:cs="Arial"/>
          <w:i/>
        </w:rPr>
        <w:t xml:space="preserve"> (Pty) Ltd</w:t>
      </w:r>
      <w:r w:rsidRPr="00FC683C">
        <w:rPr>
          <w:rFonts w:ascii="Arial" w:hAnsi="Arial" w:cs="Arial"/>
        </w:rPr>
        <w:t xml:space="preserve">.  Our courts have, in the interests of justice, adopted a strict approach to the need for joinder of parties with direct and substantial interest to an extent that when that need becomes apparent, they will ensure that interested parties are afforded an opportunity to be heard. This, of course, is in line with the time-honoured and revered principle of </w:t>
      </w:r>
      <w:proofErr w:type="spellStart"/>
      <w:r w:rsidRPr="00FC683C">
        <w:rPr>
          <w:rFonts w:ascii="Arial" w:hAnsi="Arial" w:cs="Arial"/>
          <w:i/>
        </w:rPr>
        <w:t>audi</w:t>
      </w:r>
      <w:proofErr w:type="spellEnd"/>
      <w:r w:rsidRPr="00FC683C">
        <w:rPr>
          <w:rFonts w:ascii="Arial" w:hAnsi="Arial" w:cs="Arial"/>
          <w:i/>
        </w:rPr>
        <w:t xml:space="preserve"> alteram partem</w:t>
      </w:r>
      <w:r w:rsidRPr="00FC683C">
        <w:rPr>
          <w:rFonts w:ascii="Arial" w:hAnsi="Arial" w:cs="Arial"/>
        </w:rPr>
        <w:t xml:space="preserve">. See </w:t>
      </w:r>
      <w:r w:rsidRPr="00FC683C">
        <w:rPr>
          <w:rFonts w:ascii="Arial" w:hAnsi="Arial" w:cs="Arial"/>
          <w:i/>
        </w:rPr>
        <w:t xml:space="preserve">Ex </w:t>
      </w:r>
      <w:proofErr w:type="spellStart"/>
      <w:r w:rsidRPr="00FC683C">
        <w:rPr>
          <w:rFonts w:ascii="Arial" w:hAnsi="Arial" w:cs="Arial"/>
          <w:i/>
        </w:rPr>
        <w:t>parte</w:t>
      </w:r>
      <w:proofErr w:type="spellEnd"/>
      <w:r w:rsidRPr="00FC683C">
        <w:rPr>
          <w:rFonts w:ascii="Arial" w:hAnsi="Arial" w:cs="Arial"/>
          <w:i/>
        </w:rPr>
        <w:t xml:space="preserve"> Body Corporate of Caroline Court and Pretorius v </w:t>
      </w:r>
      <w:proofErr w:type="spellStart"/>
      <w:r w:rsidRPr="00FC683C">
        <w:rPr>
          <w:rFonts w:ascii="Arial" w:hAnsi="Arial" w:cs="Arial"/>
          <w:i/>
        </w:rPr>
        <w:t>Slabbert</w:t>
      </w:r>
      <w:proofErr w:type="spellEnd"/>
      <w:r w:rsidRPr="00FC683C">
        <w:rPr>
          <w:rFonts w:ascii="Arial" w:hAnsi="Arial" w:cs="Arial"/>
          <w:i/>
        </w:rPr>
        <w:t>.</w:t>
      </w:r>
      <w:r w:rsidRPr="00FC683C">
        <w:rPr>
          <w:rFonts w:ascii="Arial" w:hAnsi="Arial" w:cs="Arial"/>
        </w:rPr>
        <w:t xml:space="preserve">   </w:t>
      </w:r>
    </w:p>
    <w:p w14:paraId="4822090F" w14:textId="77777777" w:rsidR="0001357C" w:rsidRDefault="00331848" w:rsidP="00FC683C">
      <w:pPr>
        <w:spacing w:line="360" w:lineRule="auto"/>
        <w:jc w:val="both"/>
        <w:rPr>
          <w:rFonts w:ascii="Arial" w:hAnsi="Arial" w:cs="Arial"/>
          <w:sz w:val="24"/>
          <w:szCs w:val="24"/>
          <w:u w:val="single"/>
        </w:rPr>
      </w:pPr>
      <w:r w:rsidRPr="00FC683C">
        <w:rPr>
          <w:rFonts w:ascii="Arial" w:hAnsi="Arial" w:cs="Arial"/>
        </w:rPr>
        <w:t>[11] The re</w:t>
      </w:r>
      <w:r w:rsidR="00FC683C">
        <w:rPr>
          <w:rFonts w:ascii="Arial" w:hAnsi="Arial" w:cs="Arial"/>
        </w:rPr>
        <w:t>lief so</w:t>
      </w:r>
      <w:r w:rsidRPr="00FC683C">
        <w:rPr>
          <w:rFonts w:ascii="Arial" w:hAnsi="Arial" w:cs="Arial"/>
        </w:rPr>
        <w:t xml:space="preserve">ught by applicant has far-reaching consequences as it affects the entire social, political, legal, </w:t>
      </w:r>
      <w:proofErr w:type="gramStart"/>
      <w:r w:rsidRPr="00FC683C">
        <w:rPr>
          <w:rFonts w:ascii="Arial" w:hAnsi="Arial" w:cs="Arial"/>
        </w:rPr>
        <w:t>commercial</w:t>
      </w:r>
      <w:proofErr w:type="gramEnd"/>
      <w:r w:rsidRPr="00FC683C">
        <w:rPr>
          <w:rFonts w:ascii="Arial" w:hAnsi="Arial" w:cs="Arial"/>
        </w:rPr>
        <w:t xml:space="preserve"> and economic strata of the nation. The parties who have not been cited are necessary parties as their non-joinder will no doubt result in serious prejudice to them</w:t>
      </w:r>
      <w:r w:rsidR="00FC683C" w:rsidRPr="00FC683C">
        <w:rPr>
          <w:rFonts w:ascii="Arial" w:hAnsi="Arial" w:cs="Arial"/>
        </w:rPr>
        <w:t>…’</w:t>
      </w:r>
      <w:r w:rsidRPr="00FC683C">
        <w:rPr>
          <w:rFonts w:ascii="Arial" w:hAnsi="Arial" w:cs="Arial"/>
        </w:rPr>
        <w:t xml:space="preserve"> </w:t>
      </w:r>
    </w:p>
    <w:p w14:paraId="5CC26D46" w14:textId="77777777" w:rsidR="0001357C" w:rsidRPr="0001357C" w:rsidRDefault="0001357C" w:rsidP="0001357C">
      <w:pPr>
        <w:pStyle w:val="ListParagraph"/>
        <w:spacing w:line="360" w:lineRule="auto"/>
        <w:ind w:left="0"/>
        <w:jc w:val="both"/>
        <w:rPr>
          <w:rFonts w:ascii="Arial" w:hAnsi="Arial" w:cs="Arial"/>
          <w:sz w:val="24"/>
          <w:szCs w:val="24"/>
          <w:u w:val="single"/>
        </w:rPr>
      </w:pPr>
    </w:p>
    <w:p w14:paraId="29E6F4B1" w14:textId="77777777" w:rsidR="001501DD" w:rsidRDefault="00EF4067" w:rsidP="001501DD">
      <w:pPr>
        <w:pStyle w:val="ListParagraph"/>
        <w:numPr>
          <w:ilvl w:val="0"/>
          <w:numId w:val="1"/>
        </w:numPr>
        <w:spacing w:line="360" w:lineRule="auto"/>
        <w:ind w:left="0" w:firstLine="0"/>
        <w:jc w:val="both"/>
        <w:rPr>
          <w:rFonts w:ascii="Arial" w:hAnsi="Arial" w:cs="Arial"/>
          <w:sz w:val="24"/>
          <w:szCs w:val="24"/>
        </w:rPr>
      </w:pPr>
      <w:r w:rsidRPr="006A63E4">
        <w:rPr>
          <w:rFonts w:ascii="Arial" w:hAnsi="Arial" w:cs="Arial"/>
          <w:sz w:val="24"/>
          <w:szCs w:val="24"/>
        </w:rPr>
        <w:lastRenderedPageBreak/>
        <w:t>The relief sought in this matter is to interdict Menzies from rendering ground handling services after the termination of the Service Agreement and evicting Menzies from HKIA</w:t>
      </w:r>
      <w:r w:rsidR="00F92721" w:rsidRPr="006A63E4">
        <w:rPr>
          <w:rFonts w:ascii="Arial" w:hAnsi="Arial" w:cs="Arial"/>
          <w:sz w:val="24"/>
          <w:szCs w:val="24"/>
        </w:rPr>
        <w:t xml:space="preserve"> and other relief. </w:t>
      </w:r>
      <w:r w:rsidR="006A63E4" w:rsidRPr="006A63E4">
        <w:rPr>
          <w:rFonts w:ascii="Arial" w:hAnsi="Arial" w:cs="Arial"/>
          <w:sz w:val="24"/>
          <w:szCs w:val="24"/>
        </w:rPr>
        <w:t xml:space="preserve">While airlines may have an indirect financial interest in the </w:t>
      </w:r>
      <w:r w:rsidR="00CA0717" w:rsidRPr="006A63E4">
        <w:rPr>
          <w:rFonts w:ascii="Arial" w:hAnsi="Arial" w:cs="Arial"/>
          <w:sz w:val="24"/>
          <w:szCs w:val="24"/>
        </w:rPr>
        <w:t>matter</w:t>
      </w:r>
      <w:r w:rsidR="00981B6C">
        <w:rPr>
          <w:rFonts w:ascii="Arial" w:hAnsi="Arial" w:cs="Arial"/>
          <w:sz w:val="24"/>
          <w:szCs w:val="24"/>
        </w:rPr>
        <w:t>,</w:t>
      </w:r>
      <w:r w:rsidR="00CA0717">
        <w:rPr>
          <w:rFonts w:ascii="Arial" w:hAnsi="Arial" w:cs="Arial"/>
          <w:sz w:val="24"/>
          <w:szCs w:val="24"/>
        </w:rPr>
        <w:t xml:space="preserve"> </w:t>
      </w:r>
      <w:r w:rsidR="00E97984">
        <w:rPr>
          <w:rFonts w:ascii="Arial" w:hAnsi="Arial" w:cs="Arial"/>
          <w:sz w:val="24"/>
          <w:szCs w:val="24"/>
        </w:rPr>
        <w:t xml:space="preserve">such interest </w:t>
      </w:r>
      <w:r w:rsidR="006A63E4" w:rsidRPr="006A63E4">
        <w:rPr>
          <w:rFonts w:ascii="Arial" w:hAnsi="Arial" w:cs="Arial"/>
          <w:sz w:val="24"/>
          <w:szCs w:val="24"/>
        </w:rPr>
        <w:t xml:space="preserve">cannot be said to constitute a direct and substantial right </w:t>
      </w:r>
      <w:proofErr w:type="gramStart"/>
      <w:r w:rsidR="006A63E4" w:rsidRPr="006A63E4">
        <w:rPr>
          <w:rFonts w:ascii="Arial" w:hAnsi="Arial" w:cs="Arial"/>
          <w:sz w:val="24"/>
          <w:szCs w:val="24"/>
        </w:rPr>
        <w:t>in view of the fact that</w:t>
      </w:r>
      <w:proofErr w:type="gramEnd"/>
      <w:r w:rsidR="006A63E4" w:rsidRPr="006A63E4">
        <w:rPr>
          <w:rFonts w:ascii="Arial" w:hAnsi="Arial" w:cs="Arial"/>
          <w:sz w:val="24"/>
          <w:szCs w:val="24"/>
        </w:rPr>
        <w:t xml:space="preserve"> it is NAC that appoints a ground handler to render </w:t>
      </w:r>
      <w:r w:rsidR="00E97984">
        <w:rPr>
          <w:rFonts w:ascii="Arial" w:hAnsi="Arial" w:cs="Arial"/>
          <w:sz w:val="24"/>
          <w:szCs w:val="24"/>
        </w:rPr>
        <w:t xml:space="preserve">ground handling services </w:t>
      </w:r>
      <w:r w:rsidR="006A63E4" w:rsidRPr="006A63E4">
        <w:rPr>
          <w:rFonts w:ascii="Arial" w:hAnsi="Arial" w:cs="Arial"/>
          <w:sz w:val="24"/>
          <w:szCs w:val="24"/>
        </w:rPr>
        <w:t>on its behalf.</w:t>
      </w:r>
      <w:r w:rsidR="006A63E4">
        <w:rPr>
          <w:rFonts w:ascii="Arial" w:hAnsi="Arial" w:cs="Arial"/>
          <w:sz w:val="24"/>
          <w:szCs w:val="24"/>
        </w:rPr>
        <w:t xml:space="preserve"> </w:t>
      </w:r>
    </w:p>
    <w:p w14:paraId="1C45F11C" w14:textId="77777777" w:rsidR="001501DD" w:rsidRDefault="001501DD" w:rsidP="001501DD">
      <w:pPr>
        <w:pStyle w:val="ListParagraph"/>
        <w:spacing w:line="360" w:lineRule="auto"/>
        <w:ind w:left="0"/>
        <w:jc w:val="both"/>
        <w:rPr>
          <w:rFonts w:ascii="Arial" w:hAnsi="Arial" w:cs="Arial"/>
          <w:sz w:val="24"/>
          <w:szCs w:val="24"/>
        </w:rPr>
      </w:pPr>
    </w:p>
    <w:p w14:paraId="423F8B99" w14:textId="77777777" w:rsidR="001501DD" w:rsidRDefault="006A63E4" w:rsidP="00A807BF">
      <w:pPr>
        <w:pStyle w:val="ListParagraph"/>
        <w:numPr>
          <w:ilvl w:val="0"/>
          <w:numId w:val="1"/>
        </w:numPr>
        <w:spacing w:line="360" w:lineRule="auto"/>
        <w:ind w:left="0" w:firstLine="0"/>
        <w:jc w:val="both"/>
        <w:rPr>
          <w:rFonts w:ascii="Arial" w:hAnsi="Arial" w:cs="Arial"/>
          <w:sz w:val="24"/>
          <w:szCs w:val="24"/>
        </w:rPr>
      </w:pPr>
      <w:r w:rsidRPr="001501DD">
        <w:rPr>
          <w:rFonts w:ascii="Arial" w:hAnsi="Arial" w:cs="Arial"/>
          <w:sz w:val="24"/>
          <w:szCs w:val="24"/>
        </w:rPr>
        <w:t>Except for stating that the Directorate of</w:t>
      </w:r>
      <w:r w:rsidR="00981B6C">
        <w:rPr>
          <w:rFonts w:ascii="Arial" w:hAnsi="Arial" w:cs="Arial"/>
          <w:sz w:val="24"/>
          <w:szCs w:val="24"/>
        </w:rPr>
        <w:t xml:space="preserve"> the Namibia </w:t>
      </w:r>
      <w:r w:rsidRPr="001501DD">
        <w:rPr>
          <w:rFonts w:ascii="Arial" w:hAnsi="Arial" w:cs="Arial"/>
          <w:sz w:val="24"/>
          <w:szCs w:val="24"/>
        </w:rPr>
        <w:t>Civil Aviation</w:t>
      </w:r>
      <w:r w:rsidR="00981B6C">
        <w:rPr>
          <w:rFonts w:ascii="Arial" w:hAnsi="Arial" w:cs="Arial"/>
          <w:sz w:val="24"/>
          <w:szCs w:val="24"/>
        </w:rPr>
        <w:t xml:space="preserve"> Authority</w:t>
      </w:r>
      <w:r w:rsidRPr="001501DD">
        <w:rPr>
          <w:rFonts w:ascii="Arial" w:hAnsi="Arial" w:cs="Arial"/>
          <w:sz w:val="24"/>
          <w:szCs w:val="24"/>
        </w:rPr>
        <w:t xml:space="preserve"> exercises </w:t>
      </w:r>
      <w:r w:rsidR="00981B6C" w:rsidRPr="001501DD">
        <w:rPr>
          <w:rFonts w:ascii="Arial" w:hAnsi="Arial" w:cs="Arial"/>
          <w:sz w:val="24"/>
          <w:szCs w:val="24"/>
        </w:rPr>
        <w:t>oversight</w:t>
      </w:r>
      <w:r w:rsidRPr="001501DD">
        <w:rPr>
          <w:rFonts w:ascii="Arial" w:hAnsi="Arial" w:cs="Arial"/>
          <w:sz w:val="24"/>
          <w:szCs w:val="24"/>
        </w:rPr>
        <w:t xml:space="preserve"> over civil aviation in Namibia, it is not clearly set out why the said Directorate should be joined in the proceedings. The relief sought by NAC causes no envisaged prejudice to the Directorate in the exercise of its statutory responsibilities to oversee the aircraft safety. It is not foreseeable as to how the relief sought by NAC could affect the Directorate. </w:t>
      </w:r>
      <w:r w:rsidR="00EE3D7E" w:rsidRPr="001501DD">
        <w:rPr>
          <w:rFonts w:ascii="Arial" w:hAnsi="Arial" w:cs="Arial"/>
          <w:sz w:val="24"/>
          <w:szCs w:val="24"/>
        </w:rPr>
        <w:t>In my view, there is no direct and substantial interest established that the airlines and the Directorate have in the orders sought by NAC to command their joinder in this matter.</w:t>
      </w:r>
      <w:r w:rsidR="006A19AF" w:rsidRPr="001501DD">
        <w:rPr>
          <w:rFonts w:ascii="Arial" w:hAnsi="Arial" w:cs="Arial"/>
          <w:sz w:val="24"/>
          <w:szCs w:val="24"/>
        </w:rPr>
        <w:t xml:space="preserve"> I, therefore, find that the point of non-joinder raised by Menzies lacks merit in this matter. </w:t>
      </w:r>
    </w:p>
    <w:p w14:paraId="1ADB50EA" w14:textId="77777777" w:rsidR="001501DD" w:rsidRPr="001501DD" w:rsidRDefault="001501DD" w:rsidP="001501DD">
      <w:pPr>
        <w:pStyle w:val="ListParagraph"/>
        <w:rPr>
          <w:rFonts w:ascii="Arial" w:hAnsi="Arial" w:cs="Arial"/>
          <w:sz w:val="24"/>
          <w:szCs w:val="24"/>
          <w:u w:val="single"/>
        </w:rPr>
      </w:pPr>
    </w:p>
    <w:p w14:paraId="6ABBDCCC" w14:textId="77777777" w:rsidR="001501DD" w:rsidRPr="001501DD" w:rsidRDefault="00A807BF" w:rsidP="001501DD">
      <w:pPr>
        <w:pStyle w:val="ListParagraph"/>
        <w:spacing w:line="360" w:lineRule="auto"/>
        <w:ind w:left="0"/>
        <w:jc w:val="both"/>
        <w:rPr>
          <w:rFonts w:ascii="Arial" w:hAnsi="Arial" w:cs="Arial"/>
          <w:sz w:val="24"/>
          <w:szCs w:val="24"/>
        </w:rPr>
      </w:pPr>
      <w:r w:rsidRPr="001501DD">
        <w:rPr>
          <w:rFonts w:ascii="Arial" w:hAnsi="Arial" w:cs="Arial"/>
          <w:sz w:val="24"/>
          <w:szCs w:val="24"/>
          <w:u w:val="single"/>
        </w:rPr>
        <w:t xml:space="preserve">Menzies’ </w:t>
      </w:r>
      <w:proofErr w:type="gramStart"/>
      <w:r w:rsidRPr="001501DD">
        <w:rPr>
          <w:rFonts w:ascii="Arial" w:hAnsi="Arial" w:cs="Arial"/>
          <w:sz w:val="24"/>
          <w:szCs w:val="24"/>
          <w:u w:val="single"/>
        </w:rPr>
        <w:t>counter-application</w:t>
      </w:r>
      <w:proofErr w:type="gramEnd"/>
    </w:p>
    <w:p w14:paraId="44127C5D" w14:textId="77777777" w:rsidR="001501DD" w:rsidRPr="001501DD" w:rsidRDefault="001501DD" w:rsidP="001501DD">
      <w:pPr>
        <w:pStyle w:val="ListParagraph"/>
        <w:rPr>
          <w:rFonts w:ascii="Arial" w:hAnsi="Arial" w:cs="Arial"/>
          <w:sz w:val="24"/>
          <w:szCs w:val="24"/>
        </w:rPr>
      </w:pPr>
    </w:p>
    <w:p w14:paraId="1439D81A" w14:textId="77777777" w:rsidR="001501DD" w:rsidRDefault="00E50FBC" w:rsidP="001501DD">
      <w:pPr>
        <w:pStyle w:val="ListParagraph"/>
        <w:numPr>
          <w:ilvl w:val="0"/>
          <w:numId w:val="1"/>
        </w:numPr>
        <w:spacing w:line="360" w:lineRule="auto"/>
        <w:ind w:left="0" w:firstLine="0"/>
        <w:jc w:val="both"/>
        <w:rPr>
          <w:rFonts w:ascii="Arial" w:hAnsi="Arial" w:cs="Arial"/>
          <w:sz w:val="24"/>
          <w:szCs w:val="24"/>
        </w:rPr>
      </w:pPr>
      <w:r w:rsidRPr="001501DD">
        <w:rPr>
          <w:rFonts w:ascii="Arial" w:hAnsi="Arial" w:cs="Arial"/>
          <w:sz w:val="24"/>
          <w:szCs w:val="24"/>
        </w:rPr>
        <w:t xml:space="preserve">Menzies launched a </w:t>
      </w:r>
      <w:proofErr w:type="gramStart"/>
      <w:r w:rsidRPr="001501DD">
        <w:rPr>
          <w:rFonts w:ascii="Arial" w:hAnsi="Arial" w:cs="Arial"/>
          <w:sz w:val="24"/>
          <w:szCs w:val="24"/>
        </w:rPr>
        <w:t>counter-application</w:t>
      </w:r>
      <w:proofErr w:type="gramEnd"/>
      <w:r w:rsidRPr="001501DD">
        <w:rPr>
          <w:rFonts w:ascii="Arial" w:hAnsi="Arial" w:cs="Arial"/>
          <w:sz w:val="24"/>
          <w:szCs w:val="24"/>
        </w:rPr>
        <w:t xml:space="preserve"> based on a collateral challenge which attacks the lawfulness of the award of the bid </w:t>
      </w:r>
      <w:r w:rsidR="00E97984">
        <w:rPr>
          <w:rFonts w:ascii="Arial" w:hAnsi="Arial" w:cs="Arial"/>
          <w:sz w:val="24"/>
          <w:szCs w:val="24"/>
        </w:rPr>
        <w:t xml:space="preserve">to </w:t>
      </w:r>
      <w:r w:rsidRPr="001501DD">
        <w:rPr>
          <w:rFonts w:ascii="Arial" w:hAnsi="Arial" w:cs="Arial"/>
          <w:sz w:val="24"/>
          <w:szCs w:val="24"/>
        </w:rPr>
        <w:t xml:space="preserve">render ground handling services at HKIA to Paragon. </w:t>
      </w:r>
      <w:r w:rsidR="001B31FE" w:rsidRPr="001501DD">
        <w:rPr>
          <w:rFonts w:ascii="Arial" w:hAnsi="Arial" w:cs="Arial"/>
          <w:sz w:val="24"/>
          <w:szCs w:val="24"/>
        </w:rPr>
        <w:t xml:space="preserve">Menzies filed a review application where it challenged the award of the bid by NAC to Paragon. The said review </w:t>
      </w:r>
      <w:r w:rsidR="00A76CF0">
        <w:rPr>
          <w:rFonts w:ascii="Arial" w:hAnsi="Arial" w:cs="Arial"/>
          <w:sz w:val="24"/>
          <w:szCs w:val="24"/>
        </w:rPr>
        <w:t xml:space="preserve">application </w:t>
      </w:r>
      <w:r w:rsidR="001B31FE" w:rsidRPr="001501DD">
        <w:rPr>
          <w:rFonts w:ascii="Arial" w:hAnsi="Arial" w:cs="Arial"/>
          <w:sz w:val="24"/>
          <w:szCs w:val="24"/>
        </w:rPr>
        <w:t xml:space="preserve">is pending before this court. </w:t>
      </w:r>
    </w:p>
    <w:p w14:paraId="0A240888" w14:textId="77777777" w:rsidR="001501DD" w:rsidRDefault="001501DD" w:rsidP="001501DD">
      <w:pPr>
        <w:pStyle w:val="ListParagraph"/>
        <w:spacing w:line="360" w:lineRule="auto"/>
        <w:ind w:left="0"/>
        <w:jc w:val="both"/>
        <w:rPr>
          <w:rFonts w:ascii="Arial" w:hAnsi="Arial" w:cs="Arial"/>
          <w:sz w:val="24"/>
          <w:szCs w:val="24"/>
        </w:rPr>
      </w:pPr>
    </w:p>
    <w:p w14:paraId="23680DE5" w14:textId="77777777" w:rsidR="001501DD" w:rsidRDefault="00FD77C9" w:rsidP="001501DD">
      <w:pPr>
        <w:pStyle w:val="ListParagraph"/>
        <w:numPr>
          <w:ilvl w:val="0"/>
          <w:numId w:val="1"/>
        </w:numPr>
        <w:spacing w:line="360" w:lineRule="auto"/>
        <w:ind w:left="0" w:firstLine="0"/>
        <w:jc w:val="both"/>
        <w:rPr>
          <w:rFonts w:ascii="Arial" w:hAnsi="Arial" w:cs="Arial"/>
          <w:sz w:val="24"/>
          <w:szCs w:val="24"/>
        </w:rPr>
      </w:pPr>
      <w:r w:rsidRPr="001501DD">
        <w:rPr>
          <w:rFonts w:ascii="Arial" w:hAnsi="Arial" w:cs="Arial"/>
          <w:sz w:val="24"/>
          <w:szCs w:val="24"/>
        </w:rPr>
        <w:t xml:space="preserve">It is beyond dispute that the review of the tender award is relevant to Paragon being awarded the bid. </w:t>
      </w:r>
    </w:p>
    <w:p w14:paraId="69E9BE6A" w14:textId="77777777" w:rsidR="001501DD" w:rsidRPr="001501DD" w:rsidRDefault="001501DD" w:rsidP="001501DD">
      <w:pPr>
        <w:pStyle w:val="ListParagraph"/>
        <w:rPr>
          <w:rFonts w:ascii="Arial" w:hAnsi="Arial" w:cs="Arial"/>
          <w:sz w:val="24"/>
          <w:szCs w:val="24"/>
        </w:rPr>
      </w:pPr>
    </w:p>
    <w:p w14:paraId="473AD980" w14:textId="77777777" w:rsidR="00981B6C" w:rsidRDefault="00134275" w:rsidP="00F256BC">
      <w:pPr>
        <w:pStyle w:val="ListParagraph"/>
        <w:numPr>
          <w:ilvl w:val="0"/>
          <w:numId w:val="1"/>
        </w:numPr>
        <w:spacing w:line="360" w:lineRule="auto"/>
        <w:ind w:left="0" w:firstLine="0"/>
        <w:jc w:val="both"/>
        <w:rPr>
          <w:rFonts w:ascii="Arial" w:hAnsi="Arial" w:cs="Arial"/>
          <w:sz w:val="24"/>
          <w:szCs w:val="24"/>
        </w:rPr>
      </w:pPr>
      <w:proofErr w:type="spellStart"/>
      <w:r w:rsidRPr="001501DD">
        <w:rPr>
          <w:rFonts w:ascii="Arial" w:hAnsi="Arial" w:cs="Arial"/>
          <w:sz w:val="24"/>
          <w:szCs w:val="24"/>
        </w:rPr>
        <w:t>Shivute</w:t>
      </w:r>
      <w:proofErr w:type="spellEnd"/>
      <w:r w:rsidRPr="001501DD">
        <w:rPr>
          <w:rFonts w:ascii="Arial" w:hAnsi="Arial" w:cs="Arial"/>
          <w:sz w:val="24"/>
          <w:szCs w:val="24"/>
        </w:rPr>
        <w:t xml:space="preserve"> CJ in </w:t>
      </w:r>
      <w:r w:rsidRPr="001501DD">
        <w:rPr>
          <w:rFonts w:ascii="Arial" w:hAnsi="Arial" w:cs="Arial"/>
          <w:i/>
          <w:sz w:val="24"/>
          <w:szCs w:val="24"/>
        </w:rPr>
        <w:t>Black Range Mining (Pty) Ltd v Minister of Mines and Energy and Others NNO</w:t>
      </w:r>
      <w:r>
        <w:rPr>
          <w:rStyle w:val="FootnoteReference"/>
          <w:rFonts w:ascii="Arial" w:hAnsi="Arial" w:cs="Arial"/>
          <w:i/>
          <w:sz w:val="24"/>
          <w:szCs w:val="24"/>
        </w:rPr>
        <w:footnoteReference w:id="13"/>
      </w:r>
      <w:r w:rsidRPr="001501DD">
        <w:rPr>
          <w:rFonts w:ascii="Arial" w:hAnsi="Arial" w:cs="Arial"/>
          <w:i/>
          <w:sz w:val="24"/>
          <w:szCs w:val="24"/>
        </w:rPr>
        <w:t xml:space="preserve"> </w:t>
      </w:r>
      <w:r w:rsidRPr="001501DD">
        <w:rPr>
          <w:rFonts w:ascii="Arial" w:hAnsi="Arial" w:cs="Arial"/>
          <w:sz w:val="24"/>
          <w:szCs w:val="24"/>
        </w:rPr>
        <w:t>discussed what a collateral challenge entails and</w:t>
      </w:r>
      <w:r w:rsidR="00981B6C">
        <w:rPr>
          <w:rFonts w:ascii="Arial" w:hAnsi="Arial" w:cs="Arial"/>
          <w:sz w:val="24"/>
          <w:szCs w:val="24"/>
        </w:rPr>
        <w:t xml:space="preserve"> said the following at para</w:t>
      </w:r>
      <w:r w:rsidRPr="001501DD">
        <w:rPr>
          <w:rFonts w:ascii="Arial" w:hAnsi="Arial" w:cs="Arial"/>
          <w:sz w:val="24"/>
          <w:szCs w:val="24"/>
        </w:rPr>
        <w:t xml:space="preserve"> 20:</w:t>
      </w:r>
    </w:p>
    <w:p w14:paraId="37B6DA0B" w14:textId="77777777" w:rsidR="00981B6C" w:rsidRPr="00981B6C" w:rsidRDefault="00981B6C" w:rsidP="00981B6C">
      <w:pPr>
        <w:pStyle w:val="ListParagraph"/>
        <w:rPr>
          <w:rFonts w:ascii="Arial" w:hAnsi="Arial" w:cs="Arial"/>
        </w:rPr>
      </w:pPr>
    </w:p>
    <w:p w14:paraId="7CD7A9F7" w14:textId="77777777" w:rsidR="00134275" w:rsidRPr="00981B6C" w:rsidRDefault="00134275" w:rsidP="00981B6C">
      <w:pPr>
        <w:pStyle w:val="ListParagraph"/>
        <w:spacing w:line="360" w:lineRule="auto"/>
        <w:ind w:left="0" w:firstLine="720"/>
        <w:jc w:val="both"/>
        <w:rPr>
          <w:rFonts w:ascii="Arial" w:hAnsi="Arial" w:cs="Arial"/>
          <w:sz w:val="24"/>
          <w:szCs w:val="24"/>
        </w:rPr>
      </w:pPr>
      <w:r w:rsidRPr="00981B6C">
        <w:rPr>
          <w:rFonts w:ascii="Arial" w:hAnsi="Arial" w:cs="Arial"/>
        </w:rPr>
        <w:t>‘</w:t>
      </w:r>
      <w:r w:rsidR="00F256BC" w:rsidRPr="00981B6C">
        <w:rPr>
          <w:rFonts w:ascii="Arial" w:hAnsi="Arial" w:cs="Arial"/>
        </w:rPr>
        <w:t xml:space="preserve">As a general principle, a collateral challenge to an administrative act or decision occurs when the act or decision is challenged in proceedings whose primary object is not the </w:t>
      </w:r>
      <w:r w:rsidR="00F256BC" w:rsidRPr="00981B6C">
        <w:rPr>
          <w:rFonts w:ascii="Arial" w:hAnsi="Arial" w:cs="Arial"/>
        </w:rPr>
        <w:lastRenderedPageBreak/>
        <w:t>setting aside or modification of that act or decision. The general thread that runs through the case law is that a collateral challenge may be allowed where an element of coercion exists: a typical example is where the subject is threatened with coercive action by a public authority into doing something or refraining from doing something and the subject challenges the administrative act in question “precisely because the legal force of the coercive action will most often depend upon the legal validity of the administrative act in question”.  It must be the right remedy sought by the right person in the right proceedings.’</w:t>
      </w:r>
    </w:p>
    <w:p w14:paraId="78A05DFD" w14:textId="77777777" w:rsidR="00466E0B" w:rsidRPr="00466E0B" w:rsidRDefault="00466E0B" w:rsidP="00466E0B">
      <w:pPr>
        <w:pStyle w:val="ListParagraph"/>
        <w:rPr>
          <w:rFonts w:ascii="Arial" w:hAnsi="Arial" w:cs="Arial"/>
          <w:sz w:val="24"/>
          <w:szCs w:val="24"/>
        </w:rPr>
      </w:pPr>
    </w:p>
    <w:p w14:paraId="3B42BD74" w14:textId="77777777" w:rsidR="00221F12" w:rsidRDefault="00466E0B" w:rsidP="00CE774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Menzies opted </w:t>
      </w:r>
      <w:r w:rsidR="003C7C10">
        <w:rPr>
          <w:rFonts w:ascii="Arial" w:hAnsi="Arial" w:cs="Arial"/>
          <w:sz w:val="24"/>
          <w:szCs w:val="24"/>
        </w:rPr>
        <w:t>to lodge a review application of the award of the bid to Paragon without seeking an in</w:t>
      </w:r>
      <w:r>
        <w:rPr>
          <w:rFonts w:ascii="Arial" w:hAnsi="Arial" w:cs="Arial"/>
          <w:sz w:val="24"/>
          <w:szCs w:val="24"/>
        </w:rPr>
        <w:t>terim interdict</w:t>
      </w:r>
      <w:r w:rsidR="003C7C10">
        <w:rPr>
          <w:rFonts w:ascii="Arial" w:hAnsi="Arial" w:cs="Arial"/>
          <w:sz w:val="24"/>
          <w:szCs w:val="24"/>
        </w:rPr>
        <w:t xml:space="preserve"> to stop any person from acting in terms of the impugned </w:t>
      </w:r>
      <w:r w:rsidR="00221F12">
        <w:rPr>
          <w:rFonts w:ascii="Arial" w:hAnsi="Arial" w:cs="Arial"/>
          <w:sz w:val="24"/>
          <w:szCs w:val="24"/>
        </w:rPr>
        <w:t xml:space="preserve">bid. </w:t>
      </w:r>
    </w:p>
    <w:p w14:paraId="0A6ADF70" w14:textId="77777777" w:rsidR="00221F12" w:rsidRDefault="00221F12" w:rsidP="00221F12">
      <w:pPr>
        <w:pStyle w:val="ListParagraph"/>
        <w:spacing w:line="360" w:lineRule="auto"/>
        <w:ind w:left="360"/>
        <w:jc w:val="both"/>
        <w:rPr>
          <w:rFonts w:ascii="Arial" w:hAnsi="Arial" w:cs="Arial"/>
          <w:sz w:val="24"/>
          <w:szCs w:val="24"/>
        </w:rPr>
      </w:pPr>
    </w:p>
    <w:p w14:paraId="410A8C6D" w14:textId="77777777" w:rsidR="00D17776" w:rsidRDefault="00D17776" w:rsidP="00CE7748">
      <w:pPr>
        <w:pStyle w:val="ListParagraph"/>
        <w:numPr>
          <w:ilvl w:val="0"/>
          <w:numId w:val="1"/>
        </w:numPr>
        <w:spacing w:line="360" w:lineRule="auto"/>
        <w:ind w:left="0" w:firstLine="0"/>
        <w:jc w:val="both"/>
        <w:rPr>
          <w:rFonts w:ascii="Arial" w:hAnsi="Arial" w:cs="Arial"/>
          <w:sz w:val="24"/>
          <w:szCs w:val="24"/>
        </w:rPr>
      </w:pPr>
      <w:proofErr w:type="spellStart"/>
      <w:r>
        <w:rPr>
          <w:rFonts w:ascii="Arial" w:hAnsi="Arial" w:cs="Arial"/>
          <w:sz w:val="24"/>
          <w:szCs w:val="24"/>
        </w:rPr>
        <w:t>Damaseb</w:t>
      </w:r>
      <w:proofErr w:type="spellEnd"/>
      <w:r>
        <w:rPr>
          <w:rFonts w:ascii="Arial" w:hAnsi="Arial" w:cs="Arial"/>
          <w:sz w:val="24"/>
          <w:szCs w:val="24"/>
        </w:rPr>
        <w:t xml:space="preserve"> DCJ in </w:t>
      </w:r>
      <w:r w:rsidR="00981B6C">
        <w:rPr>
          <w:rFonts w:ascii="Arial" w:hAnsi="Arial" w:cs="Arial"/>
          <w:i/>
          <w:sz w:val="24"/>
          <w:szCs w:val="24"/>
        </w:rPr>
        <w:t>New Era Investment (Pty) Ltd v R</w:t>
      </w:r>
      <w:r w:rsidRPr="00D17776">
        <w:rPr>
          <w:rFonts w:ascii="Arial" w:hAnsi="Arial" w:cs="Arial"/>
          <w:i/>
          <w:sz w:val="24"/>
          <w:szCs w:val="24"/>
        </w:rPr>
        <w:t>oads Authority</w:t>
      </w:r>
      <w:r w:rsidR="0077513E">
        <w:rPr>
          <w:rStyle w:val="FootnoteReference"/>
          <w:rFonts w:ascii="Arial" w:hAnsi="Arial" w:cs="Arial"/>
          <w:i/>
          <w:sz w:val="24"/>
          <w:szCs w:val="24"/>
        </w:rPr>
        <w:footnoteReference w:id="14"/>
      </w:r>
      <w:r>
        <w:rPr>
          <w:rFonts w:ascii="Arial" w:hAnsi="Arial" w:cs="Arial"/>
          <w:sz w:val="24"/>
          <w:szCs w:val="24"/>
        </w:rPr>
        <w:t xml:space="preserve"> </w:t>
      </w:r>
      <w:r w:rsidR="00981B6C">
        <w:rPr>
          <w:rFonts w:ascii="Arial" w:hAnsi="Arial" w:cs="Arial"/>
          <w:sz w:val="24"/>
          <w:szCs w:val="24"/>
        </w:rPr>
        <w:t>remarked as follows at para</w:t>
      </w:r>
      <w:r>
        <w:rPr>
          <w:rFonts w:ascii="Arial" w:hAnsi="Arial" w:cs="Arial"/>
          <w:sz w:val="24"/>
          <w:szCs w:val="24"/>
        </w:rPr>
        <w:t xml:space="preserve"> 45:</w:t>
      </w:r>
    </w:p>
    <w:p w14:paraId="4CBA090A" w14:textId="77777777" w:rsidR="00D17776" w:rsidRPr="00D17776" w:rsidRDefault="00D17776" w:rsidP="00D17776">
      <w:pPr>
        <w:pStyle w:val="ListParagraph"/>
        <w:rPr>
          <w:rFonts w:ascii="Arial" w:hAnsi="Arial" w:cs="Arial"/>
          <w:sz w:val="24"/>
          <w:szCs w:val="24"/>
        </w:rPr>
      </w:pPr>
    </w:p>
    <w:p w14:paraId="17F99D80" w14:textId="77777777" w:rsidR="00466E0B" w:rsidRPr="00D17776" w:rsidRDefault="00D17776" w:rsidP="00AF5DBE">
      <w:pPr>
        <w:spacing w:line="360" w:lineRule="auto"/>
        <w:ind w:firstLine="360"/>
        <w:jc w:val="both"/>
        <w:rPr>
          <w:rFonts w:ascii="Arial" w:hAnsi="Arial" w:cs="Arial"/>
          <w:sz w:val="24"/>
          <w:szCs w:val="24"/>
        </w:rPr>
      </w:pPr>
      <w:r w:rsidRPr="00D17776">
        <w:rPr>
          <w:rFonts w:ascii="Arial" w:hAnsi="Arial" w:cs="Arial"/>
        </w:rPr>
        <w:t xml:space="preserve">‘Given our conclusion on the other grounds, it is not strictly necessary to decide this ground. It however bears mention that in electing to seek urgent review without interim interdictory relief, the appellant accepted the risk that came with such an election. The point made by Mr </w:t>
      </w:r>
      <w:proofErr w:type="spellStart"/>
      <w:r w:rsidRPr="00D17776">
        <w:rPr>
          <w:rFonts w:ascii="Arial" w:hAnsi="Arial" w:cs="Arial"/>
        </w:rPr>
        <w:t>Maleka</w:t>
      </w:r>
      <w:proofErr w:type="spellEnd"/>
      <w:r w:rsidRPr="00D17776">
        <w:rPr>
          <w:rFonts w:ascii="Arial" w:hAnsi="Arial" w:cs="Arial"/>
        </w:rPr>
        <w:t xml:space="preserve"> should therefore serve as a warning to applicants who seek review without seeking interim interdictory relief.’</w:t>
      </w:r>
      <w:r>
        <w:rPr>
          <w:rFonts w:ascii="Arial" w:hAnsi="Arial" w:cs="Arial"/>
          <w:sz w:val="24"/>
          <w:szCs w:val="24"/>
        </w:rPr>
        <w:tab/>
      </w:r>
      <w:r w:rsidR="00466E0B" w:rsidRPr="00D17776">
        <w:rPr>
          <w:rFonts w:ascii="Arial" w:hAnsi="Arial" w:cs="Arial"/>
          <w:sz w:val="24"/>
          <w:szCs w:val="24"/>
        </w:rPr>
        <w:t xml:space="preserve"> </w:t>
      </w:r>
    </w:p>
    <w:p w14:paraId="5E1BFB4F" w14:textId="77777777" w:rsidR="006B1FED" w:rsidRPr="006B1FED" w:rsidRDefault="006B1FED" w:rsidP="006B1FED">
      <w:pPr>
        <w:pStyle w:val="ListParagraph"/>
        <w:rPr>
          <w:rFonts w:ascii="Arial" w:hAnsi="Arial" w:cs="Arial"/>
          <w:sz w:val="24"/>
          <w:szCs w:val="24"/>
        </w:rPr>
      </w:pPr>
    </w:p>
    <w:p w14:paraId="7284EE4C" w14:textId="77777777" w:rsidR="00CE7748" w:rsidRDefault="005A0BB1" w:rsidP="00CE774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M</w:t>
      </w:r>
      <w:r w:rsidRPr="005A0BB1">
        <w:rPr>
          <w:rFonts w:ascii="Arial" w:hAnsi="Arial" w:cs="Arial"/>
          <w:sz w:val="24"/>
          <w:szCs w:val="24"/>
        </w:rPr>
        <w:t>enzies chose to review the award of the bid</w:t>
      </w:r>
      <w:r w:rsidR="00981B6C">
        <w:rPr>
          <w:rFonts w:ascii="Arial" w:hAnsi="Arial" w:cs="Arial"/>
          <w:sz w:val="24"/>
          <w:szCs w:val="24"/>
        </w:rPr>
        <w:t>,</w:t>
      </w:r>
      <w:r w:rsidRPr="005A0BB1">
        <w:rPr>
          <w:rFonts w:ascii="Arial" w:hAnsi="Arial" w:cs="Arial"/>
          <w:sz w:val="24"/>
          <w:szCs w:val="24"/>
        </w:rPr>
        <w:t xml:space="preserve"> but did not seek an interim interdict, thus not taking heed of the above warning by </w:t>
      </w:r>
      <w:proofErr w:type="spellStart"/>
      <w:r w:rsidRPr="005A0BB1">
        <w:rPr>
          <w:rFonts w:ascii="Arial" w:hAnsi="Arial" w:cs="Arial"/>
          <w:sz w:val="24"/>
          <w:szCs w:val="24"/>
        </w:rPr>
        <w:t>Damaseb</w:t>
      </w:r>
      <w:proofErr w:type="spellEnd"/>
      <w:r w:rsidRPr="005A0BB1">
        <w:rPr>
          <w:rFonts w:ascii="Arial" w:hAnsi="Arial" w:cs="Arial"/>
          <w:sz w:val="24"/>
          <w:szCs w:val="24"/>
        </w:rPr>
        <w:t xml:space="preserve"> DCJ in the </w:t>
      </w:r>
      <w:r w:rsidRPr="005A0BB1">
        <w:rPr>
          <w:rFonts w:ascii="Arial" w:hAnsi="Arial" w:cs="Arial"/>
          <w:i/>
          <w:sz w:val="24"/>
          <w:szCs w:val="24"/>
        </w:rPr>
        <w:t xml:space="preserve">New Era Investment </w:t>
      </w:r>
      <w:r w:rsidRPr="005A0BB1">
        <w:rPr>
          <w:rFonts w:ascii="Arial" w:hAnsi="Arial" w:cs="Arial"/>
          <w:sz w:val="24"/>
          <w:szCs w:val="24"/>
        </w:rPr>
        <w:t xml:space="preserve">matter. Menzies made the said decision out of choice and which decision it must live with. In the absence of the interim interdict, nothing prevented NAC from effecting the award of the bid. </w:t>
      </w:r>
      <w:r w:rsidR="00464BEA">
        <w:rPr>
          <w:rFonts w:ascii="Arial" w:hAnsi="Arial" w:cs="Arial"/>
          <w:sz w:val="24"/>
          <w:szCs w:val="24"/>
        </w:rPr>
        <w:t xml:space="preserve"> </w:t>
      </w:r>
    </w:p>
    <w:p w14:paraId="70B6C953" w14:textId="77777777" w:rsidR="00CE7748" w:rsidRDefault="00CE7748" w:rsidP="00CE7748">
      <w:pPr>
        <w:pStyle w:val="ListParagraph"/>
        <w:spacing w:line="360" w:lineRule="auto"/>
        <w:ind w:left="0"/>
        <w:jc w:val="both"/>
        <w:rPr>
          <w:rFonts w:ascii="Arial" w:hAnsi="Arial" w:cs="Arial"/>
          <w:sz w:val="24"/>
          <w:szCs w:val="24"/>
        </w:rPr>
      </w:pPr>
    </w:p>
    <w:p w14:paraId="2F566EC3" w14:textId="77777777" w:rsidR="00CE7748" w:rsidRDefault="005C2A15" w:rsidP="00CE7748">
      <w:pPr>
        <w:pStyle w:val="ListParagraph"/>
        <w:numPr>
          <w:ilvl w:val="0"/>
          <w:numId w:val="1"/>
        </w:numPr>
        <w:spacing w:line="360" w:lineRule="auto"/>
        <w:ind w:left="0" w:firstLine="0"/>
        <w:jc w:val="both"/>
        <w:rPr>
          <w:rFonts w:ascii="Arial" w:hAnsi="Arial" w:cs="Arial"/>
          <w:sz w:val="24"/>
          <w:szCs w:val="24"/>
        </w:rPr>
      </w:pPr>
      <w:r w:rsidRPr="00CE7748">
        <w:rPr>
          <w:rFonts w:ascii="Arial" w:hAnsi="Arial" w:cs="Arial"/>
          <w:sz w:val="24"/>
          <w:szCs w:val="24"/>
        </w:rPr>
        <w:t>Menzies</w:t>
      </w:r>
      <w:r w:rsidR="00CA2074">
        <w:rPr>
          <w:rFonts w:ascii="Arial" w:hAnsi="Arial" w:cs="Arial"/>
          <w:sz w:val="24"/>
          <w:szCs w:val="24"/>
        </w:rPr>
        <w:t>, in the pending r</w:t>
      </w:r>
      <w:r w:rsidR="00F932F8" w:rsidRPr="00CE7748">
        <w:rPr>
          <w:rFonts w:ascii="Arial" w:hAnsi="Arial" w:cs="Arial"/>
          <w:sz w:val="24"/>
          <w:szCs w:val="24"/>
        </w:rPr>
        <w:t>eview application, challenges the decision of NAC to award the bid to render ground handling services to Paragon. The decision by NAC to award the bid to Paragon was challenged at the Review Panel in terms of the Public Procurement Act</w:t>
      </w:r>
      <w:r w:rsidR="00C8579F" w:rsidRPr="00CE7748">
        <w:rPr>
          <w:rFonts w:ascii="Arial" w:hAnsi="Arial" w:cs="Arial"/>
          <w:sz w:val="24"/>
          <w:szCs w:val="24"/>
        </w:rPr>
        <w:t xml:space="preserve">. The Review Panel dismissed Menzies’ review application. </w:t>
      </w:r>
      <w:r w:rsidR="009402CA" w:rsidRPr="00CE7748">
        <w:rPr>
          <w:rFonts w:ascii="Arial" w:hAnsi="Arial" w:cs="Arial"/>
          <w:sz w:val="24"/>
          <w:szCs w:val="24"/>
        </w:rPr>
        <w:t xml:space="preserve">Mr </w:t>
      </w:r>
      <w:proofErr w:type="spellStart"/>
      <w:r w:rsidR="009402CA" w:rsidRPr="00CE7748">
        <w:rPr>
          <w:rFonts w:ascii="Arial" w:hAnsi="Arial" w:cs="Arial"/>
          <w:sz w:val="24"/>
          <w:szCs w:val="24"/>
        </w:rPr>
        <w:t>Namandje</w:t>
      </w:r>
      <w:proofErr w:type="spellEnd"/>
      <w:r w:rsidR="009402CA" w:rsidRPr="00CE7748">
        <w:rPr>
          <w:rFonts w:ascii="Arial" w:hAnsi="Arial" w:cs="Arial"/>
          <w:sz w:val="24"/>
          <w:szCs w:val="24"/>
        </w:rPr>
        <w:t xml:space="preserve"> argued that the decision of NAC cannot be challenged in these proceedings where the Review Panel is not cited as a party. </w:t>
      </w:r>
    </w:p>
    <w:p w14:paraId="21E40130" w14:textId="77777777" w:rsidR="00CE7748" w:rsidRPr="00CE7748" w:rsidRDefault="00CE7748" w:rsidP="00CE7748">
      <w:pPr>
        <w:pStyle w:val="ListParagraph"/>
        <w:rPr>
          <w:rFonts w:ascii="Arial" w:hAnsi="Arial" w:cs="Arial"/>
          <w:sz w:val="24"/>
          <w:szCs w:val="24"/>
        </w:rPr>
      </w:pPr>
    </w:p>
    <w:p w14:paraId="430E59D1" w14:textId="77777777" w:rsidR="000678F4" w:rsidRPr="00CE7748" w:rsidRDefault="000678F4" w:rsidP="00CE7748">
      <w:pPr>
        <w:pStyle w:val="ListParagraph"/>
        <w:numPr>
          <w:ilvl w:val="0"/>
          <w:numId w:val="1"/>
        </w:numPr>
        <w:spacing w:line="360" w:lineRule="auto"/>
        <w:ind w:left="0" w:firstLine="0"/>
        <w:jc w:val="both"/>
        <w:rPr>
          <w:rFonts w:ascii="Arial" w:hAnsi="Arial" w:cs="Arial"/>
          <w:sz w:val="24"/>
          <w:szCs w:val="24"/>
        </w:rPr>
      </w:pPr>
      <w:r w:rsidRPr="00CE7748">
        <w:rPr>
          <w:rFonts w:ascii="Arial" w:hAnsi="Arial" w:cs="Arial"/>
          <w:sz w:val="24"/>
          <w:szCs w:val="24"/>
        </w:rPr>
        <w:t xml:space="preserve">The Supreme Court in </w:t>
      </w:r>
      <w:r w:rsidRPr="00CE7748">
        <w:rPr>
          <w:rFonts w:ascii="Arial" w:hAnsi="Arial" w:cs="Arial"/>
          <w:i/>
          <w:sz w:val="24"/>
          <w:szCs w:val="24"/>
        </w:rPr>
        <w:t>Rally for Democracy and Progress and Others v Electoral Commission of Namibia and Others</w:t>
      </w:r>
      <w:r w:rsidRPr="000678F4">
        <w:rPr>
          <w:rStyle w:val="FootnoteReference"/>
          <w:rFonts w:ascii="Arial" w:hAnsi="Arial" w:cs="Arial"/>
          <w:sz w:val="24"/>
          <w:szCs w:val="24"/>
        </w:rPr>
        <w:footnoteReference w:id="15"/>
      </w:r>
      <w:r w:rsidRPr="00CE7748">
        <w:rPr>
          <w:rFonts w:ascii="Arial" w:hAnsi="Arial" w:cs="Arial"/>
          <w:sz w:val="24"/>
          <w:szCs w:val="24"/>
        </w:rPr>
        <w:t xml:space="preserve"> </w:t>
      </w:r>
      <w:r w:rsidR="007C48B0" w:rsidRPr="00CE7748">
        <w:rPr>
          <w:rFonts w:ascii="Arial" w:hAnsi="Arial" w:cs="Arial"/>
          <w:sz w:val="24"/>
          <w:szCs w:val="24"/>
        </w:rPr>
        <w:t>considered the validity of impugned administrative decisions and the effect of challenging the legality of a decision without citing the decision maker and remarked as follows</w:t>
      </w:r>
      <w:r w:rsidR="008A2D4A" w:rsidRPr="00CE7748">
        <w:rPr>
          <w:rFonts w:ascii="Arial" w:hAnsi="Arial" w:cs="Arial"/>
          <w:sz w:val="24"/>
          <w:szCs w:val="24"/>
        </w:rPr>
        <w:t xml:space="preserve"> at paragraphs 51, 68 and 70</w:t>
      </w:r>
      <w:r w:rsidR="007C48B0" w:rsidRPr="00CE7748">
        <w:rPr>
          <w:rFonts w:ascii="Arial" w:hAnsi="Arial" w:cs="Arial"/>
          <w:sz w:val="24"/>
          <w:szCs w:val="24"/>
        </w:rPr>
        <w:t xml:space="preserve">: </w:t>
      </w:r>
    </w:p>
    <w:p w14:paraId="1898766D" w14:textId="77777777" w:rsidR="000678F4" w:rsidRPr="000678F4" w:rsidRDefault="000678F4" w:rsidP="000678F4">
      <w:pPr>
        <w:pStyle w:val="ListParagraph"/>
        <w:rPr>
          <w:rFonts w:ascii="Arial" w:hAnsi="Arial" w:cs="Arial"/>
        </w:rPr>
      </w:pPr>
    </w:p>
    <w:p w14:paraId="2C0402B9" w14:textId="77777777" w:rsidR="005C2A15" w:rsidRPr="000678F4" w:rsidRDefault="00B24734" w:rsidP="00B24734">
      <w:pPr>
        <w:spacing w:line="360" w:lineRule="auto"/>
        <w:ind w:firstLine="360"/>
        <w:jc w:val="both"/>
        <w:rPr>
          <w:rFonts w:ascii="Arial" w:hAnsi="Arial" w:cs="Arial"/>
        </w:rPr>
      </w:pPr>
      <w:r>
        <w:rPr>
          <w:rFonts w:ascii="Arial" w:hAnsi="Arial" w:cs="Arial"/>
        </w:rPr>
        <w:t>‘</w:t>
      </w:r>
      <w:r w:rsidR="005C2A15" w:rsidRPr="000678F4">
        <w:rPr>
          <w:rFonts w:ascii="Arial" w:hAnsi="Arial" w:cs="Arial"/>
        </w:rPr>
        <w:t xml:space="preserve">[51] The meaning and import of the presumption aside, Mr </w:t>
      </w:r>
      <w:proofErr w:type="spellStart"/>
      <w:r w:rsidR="005C2A15" w:rsidRPr="000678F4">
        <w:rPr>
          <w:rFonts w:ascii="Arial" w:hAnsi="Arial" w:cs="Arial"/>
        </w:rPr>
        <w:t>Tötemeyer</w:t>
      </w:r>
      <w:proofErr w:type="spellEnd"/>
      <w:r w:rsidR="005C2A15" w:rsidRPr="000678F4">
        <w:rPr>
          <w:rFonts w:ascii="Arial" w:hAnsi="Arial" w:cs="Arial"/>
        </w:rPr>
        <w:t xml:space="preserve"> contends that, in any event, it is settled law that administrative decisions stand until they are set aside by a court. In support, he cited the remarks of Lord Radcliffe in </w:t>
      </w:r>
      <w:r w:rsidR="005C2A15" w:rsidRPr="00767C1C">
        <w:rPr>
          <w:rFonts w:ascii="Arial" w:hAnsi="Arial" w:cs="Arial"/>
          <w:i/>
        </w:rPr>
        <w:t>Smith v Ea</w:t>
      </w:r>
      <w:r w:rsidR="00767C1C">
        <w:rPr>
          <w:rFonts w:ascii="Arial" w:hAnsi="Arial" w:cs="Arial"/>
          <w:i/>
        </w:rPr>
        <w:t xml:space="preserve">st </w:t>
      </w:r>
      <w:proofErr w:type="spellStart"/>
      <w:r w:rsidR="00767C1C">
        <w:rPr>
          <w:rFonts w:ascii="Arial" w:hAnsi="Arial" w:cs="Arial"/>
          <w:i/>
        </w:rPr>
        <w:t>Elloe</w:t>
      </w:r>
      <w:proofErr w:type="spellEnd"/>
      <w:r w:rsidR="00767C1C">
        <w:rPr>
          <w:rFonts w:ascii="Arial" w:hAnsi="Arial" w:cs="Arial"/>
          <w:i/>
        </w:rPr>
        <w:t xml:space="preserve"> Rural District Council</w:t>
      </w:r>
      <w:r w:rsidR="005C2A15" w:rsidRPr="000678F4">
        <w:rPr>
          <w:rFonts w:ascii="Arial" w:hAnsi="Arial" w:cs="Arial"/>
        </w:rPr>
        <w:t xml:space="preserve"> that an administrative order —</w:t>
      </w:r>
      <w:r w:rsidR="00767C1C">
        <w:rPr>
          <w:rFonts w:ascii="Arial" w:hAnsi="Arial" w:cs="Arial"/>
        </w:rPr>
        <w:t xml:space="preserve"> </w:t>
      </w:r>
    </w:p>
    <w:p w14:paraId="30E945DB" w14:textId="77777777" w:rsidR="005C2A15" w:rsidRPr="00767C1C" w:rsidRDefault="005C2A15" w:rsidP="00767C1C">
      <w:pPr>
        <w:spacing w:line="360" w:lineRule="auto"/>
        <w:jc w:val="both"/>
        <w:rPr>
          <w:rFonts w:ascii="Arial" w:hAnsi="Arial" w:cs="Arial"/>
        </w:rPr>
      </w:pPr>
      <w:r w:rsidRPr="00767C1C">
        <w:rPr>
          <w:rFonts w:ascii="Arial" w:hAnsi="Arial" w:cs="Arial"/>
        </w:rPr>
        <w:tab/>
        <w:t>'. . . is still an act capable of legal consequences. It bears no brand of invalidity upon its forehead. Unless the necessary proceedings are taken at law to establish the cause of invalidity and to get it quashed or otherwise upset, it will remain as effective for its ostensible purpose as the most impeccable of orders.'</w:t>
      </w:r>
    </w:p>
    <w:p w14:paraId="0029A373" w14:textId="77777777" w:rsidR="005C2A15" w:rsidRPr="00767C1C" w:rsidRDefault="005C2A15" w:rsidP="00767C1C">
      <w:pPr>
        <w:spacing w:line="360" w:lineRule="auto"/>
        <w:jc w:val="both"/>
        <w:rPr>
          <w:rFonts w:ascii="Arial" w:hAnsi="Arial" w:cs="Arial"/>
        </w:rPr>
      </w:pPr>
      <w:r w:rsidRPr="00767C1C">
        <w:rPr>
          <w:rFonts w:ascii="Arial" w:hAnsi="Arial" w:cs="Arial"/>
        </w:rPr>
        <w:t xml:space="preserve">Closer to this jurisdiction, he refers to the more recent judgment in </w:t>
      </w:r>
      <w:proofErr w:type="spellStart"/>
      <w:r w:rsidRPr="00767C1C">
        <w:rPr>
          <w:rFonts w:ascii="Arial" w:hAnsi="Arial" w:cs="Arial"/>
          <w:i/>
        </w:rPr>
        <w:t>Oudekraal</w:t>
      </w:r>
      <w:proofErr w:type="spellEnd"/>
      <w:r w:rsidRPr="00767C1C">
        <w:rPr>
          <w:rFonts w:ascii="Arial" w:hAnsi="Arial" w:cs="Arial"/>
          <w:i/>
        </w:rPr>
        <w:t xml:space="preserve"> Estates (Pty) Ltd v City of Cape Town and Others</w:t>
      </w:r>
      <w:r w:rsidRPr="00767C1C">
        <w:rPr>
          <w:rFonts w:ascii="Arial" w:hAnsi="Arial" w:cs="Arial"/>
        </w:rPr>
        <w:t xml:space="preserve"> where the South African Supreme Court of Appeal (per Howie P and Nugent JA) observed:  </w:t>
      </w:r>
    </w:p>
    <w:p w14:paraId="587031CA" w14:textId="77777777" w:rsidR="005C2A15" w:rsidRPr="00767C1C" w:rsidRDefault="005C2A15" w:rsidP="00767C1C">
      <w:pPr>
        <w:spacing w:line="360" w:lineRule="auto"/>
        <w:jc w:val="both"/>
        <w:rPr>
          <w:rFonts w:ascii="Arial" w:hAnsi="Arial" w:cs="Arial"/>
        </w:rPr>
      </w:pPr>
      <w:r w:rsidRPr="00767C1C">
        <w:rPr>
          <w:rFonts w:ascii="Arial" w:hAnsi="Arial" w:cs="Arial"/>
        </w:rPr>
        <w:t xml:space="preserve">'The proper functioning of a modern State would be considerably compromised if all administrative acts could be given effect to or ignored depending upon the view the subject takes of the validity of the act in question. No doubt it is for this reason that our law has always recognised that even an unlawful administrative act </w:t>
      </w:r>
      <w:proofErr w:type="gramStart"/>
      <w:r w:rsidRPr="00767C1C">
        <w:rPr>
          <w:rFonts w:ascii="Arial" w:hAnsi="Arial" w:cs="Arial"/>
        </w:rPr>
        <w:t>is capable of producing</w:t>
      </w:r>
      <w:proofErr w:type="gramEnd"/>
      <w:r w:rsidRPr="00767C1C">
        <w:rPr>
          <w:rFonts w:ascii="Arial" w:hAnsi="Arial" w:cs="Arial"/>
        </w:rPr>
        <w:t xml:space="preserve"> legally valid consequences for so long as the unlawful act is not set aside.'</w:t>
      </w:r>
    </w:p>
    <w:p w14:paraId="6333095E" w14:textId="77777777" w:rsidR="005C2A15" w:rsidRPr="00F23D7E" w:rsidRDefault="005C2A15" w:rsidP="00F23D7E">
      <w:pPr>
        <w:spacing w:line="360" w:lineRule="auto"/>
        <w:jc w:val="both"/>
        <w:rPr>
          <w:rFonts w:ascii="Arial" w:hAnsi="Arial" w:cs="Arial"/>
        </w:rPr>
      </w:pPr>
      <w:r w:rsidRPr="00F23D7E">
        <w:rPr>
          <w:rFonts w:ascii="Arial" w:hAnsi="Arial" w:cs="Arial"/>
        </w:rPr>
        <w:t xml:space="preserve">In an analytic and insightful </w:t>
      </w:r>
      <w:proofErr w:type="gramStart"/>
      <w:r w:rsidRPr="00F23D7E">
        <w:rPr>
          <w:rFonts w:ascii="Arial" w:hAnsi="Arial" w:cs="Arial"/>
        </w:rPr>
        <w:t>judgment</w:t>
      </w:r>
      <w:proofErr w:type="gramEnd"/>
      <w:r w:rsidRPr="00F23D7E">
        <w:rPr>
          <w:rFonts w:ascii="Arial" w:hAnsi="Arial" w:cs="Arial"/>
        </w:rPr>
        <w:t xml:space="preserve"> the court explored the legal basis for the apparent anomaly that even an unlawful act can produce legally effective consequences. In this context they considered the presumption of regularity and the notion of 'legal pragmatism' as possible explanations for the anomaly but ultimately adopted the proposition advanced by Forsyth that, while a void administrative act is not an act in law, it is, and remains, an act in fact' until it is set aside. In the context of that case (dealing with a public authority's disregard of the Administrator's approval to establish a township), the court held as follows (in para 37):</w:t>
      </w:r>
    </w:p>
    <w:p w14:paraId="37FB5475" w14:textId="77777777" w:rsidR="0076583C" w:rsidRPr="00D05AAC" w:rsidRDefault="005C2A15" w:rsidP="00D05AAC">
      <w:pPr>
        <w:spacing w:line="360" w:lineRule="auto"/>
        <w:ind w:firstLine="720"/>
        <w:jc w:val="both"/>
        <w:rPr>
          <w:rFonts w:ascii="Arial" w:hAnsi="Arial" w:cs="Arial"/>
        </w:rPr>
      </w:pPr>
      <w:r w:rsidRPr="00D05AAC">
        <w:rPr>
          <w:rFonts w:ascii="Arial" w:hAnsi="Arial" w:cs="Arial"/>
        </w:rPr>
        <w:t xml:space="preserve">'In our view, that analysis of the problems that arise in relation to unlawful administrative action recognises the value of certainty in a modern bureaucratic State, a value that the Legislature should be taken to have in mind as a desirable objective when it enacts enabling legislation, and it also gives proper effect to the principle of legality, which is </w:t>
      </w:r>
      <w:r w:rsidRPr="00D05AAC">
        <w:rPr>
          <w:rFonts w:ascii="Arial" w:hAnsi="Arial" w:cs="Arial"/>
        </w:rPr>
        <w:lastRenderedPageBreak/>
        <w:t>fundamental to our legal order . . . And this case illustrates a further aspect of the rule of law, which is that a public authority cannot justify a refusal on its part to perform a public duty by relying, without more, on the invalidity of the originating administrative act: it is required to take action to have it set aside and not simply to ignore it.'</w:t>
      </w:r>
    </w:p>
    <w:p w14:paraId="3FE3E944" w14:textId="77777777" w:rsidR="005C2A15" w:rsidRPr="005C2A15" w:rsidRDefault="005C2A15" w:rsidP="005C2A15">
      <w:pPr>
        <w:spacing w:line="360" w:lineRule="auto"/>
        <w:jc w:val="both"/>
        <w:rPr>
          <w:rFonts w:ascii="Arial" w:hAnsi="Arial" w:cs="Arial"/>
        </w:rPr>
      </w:pPr>
      <w:r w:rsidRPr="005C2A15">
        <w:rPr>
          <w:rFonts w:ascii="Arial" w:hAnsi="Arial" w:cs="Arial"/>
        </w:rPr>
        <w:t>[68] A collateral challenge to the validity of an administrative decision, it has been said,</w:t>
      </w:r>
      <w:r w:rsidR="0037339F">
        <w:rPr>
          <w:rFonts w:ascii="Arial" w:hAnsi="Arial" w:cs="Arial"/>
        </w:rPr>
        <w:t xml:space="preserve"> </w:t>
      </w:r>
      <w:r w:rsidRPr="005C2A15">
        <w:rPr>
          <w:rFonts w:ascii="Arial" w:hAnsi="Arial" w:cs="Arial"/>
        </w:rPr>
        <w:t>will be available only if the right remedy is sought by the right person in the right proceedings. We have earlier referred to the presumption of regularity,</w:t>
      </w:r>
      <w:r w:rsidR="0037339F">
        <w:rPr>
          <w:rFonts w:ascii="Arial" w:hAnsi="Arial" w:cs="Arial"/>
        </w:rPr>
        <w:t xml:space="preserve"> </w:t>
      </w:r>
      <w:r w:rsidRPr="005C2A15">
        <w:rPr>
          <w:rFonts w:ascii="Arial" w:hAnsi="Arial" w:cs="Arial"/>
        </w:rPr>
        <w:t>the assumption of ostensible effectiveness and the factual foundation-theory as a basis for attaching legal consequences to administrative acts (even those which may later prove to have been invalid) until they are set aside or otherwise avoided by a court of competent jurisdiction. Until then, they may be acted on and, in</w:t>
      </w:r>
      <w:r w:rsidR="0037339F">
        <w:rPr>
          <w:rFonts w:ascii="Arial" w:hAnsi="Arial" w:cs="Arial"/>
        </w:rPr>
        <w:t xml:space="preserve"> de</w:t>
      </w:r>
      <w:r w:rsidRPr="005C2A15">
        <w:rPr>
          <w:rFonts w:ascii="Arial" w:hAnsi="Arial" w:cs="Arial"/>
        </w:rPr>
        <w:t xml:space="preserve">termining the validity of the subsequent acts 'nothing but the formal validity' </w:t>
      </w:r>
      <w:r w:rsidR="00775625">
        <w:rPr>
          <w:rFonts w:ascii="Arial" w:hAnsi="Arial" w:cs="Arial"/>
        </w:rPr>
        <w:t>o</w:t>
      </w:r>
      <w:r w:rsidRPr="005C2A15">
        <w:rPr>
          <w:rFonts w:ascii="Arial" w:hAnsi="Arial" w:cs="Arial"/>
        </w:rPr>
        <w:t>f the first act will be relevant unless, of course, it is a case where the law requires substantive validity of the first-mentioned act as a necessary precondition for the validity of the consequent act. Generally, the formal (as opposed to legal) validity of an administrative act cannot simply be disregarded by those affected by it as if it is void and does not exist in either fact or law. There is, however, an exception to the general rule, which Forsyth explains as follows:</w:t>
      </w:r>
    </w:p>
    <w:p w14:paraId="2578AA99" w14:textId="77777777" w:rsidR="005C2A15" w:rsidRPr="005C2A15" w:rsidRDefault="005C2A15" w:rsidP="005C2A15">
      <w:pPr>
        <w:spacing w:line="360" w:lineRule="auto"/>
        <w:jc w:val="both"/>
        <w:rPr>
          <w:rFonts w:ascii="Arial" w:hAnsi="Arial" w:cs="Arial"/>
        </w:rPr>
      </w:pPr>
      <w:r w:rsidRPr="005C2A15">
        <w:rPr>
          <w:rFonts w:ascii="Arial" w:hAnsi="Arial" w:cs="Arial"/>
        </w:rPr>
        <w:tab/>
        <w:t>'Only where an individual is required by an administrative authority to do or not to do a particular thing, may that individual, if he doubts the lawfulness of the administrative act in question, choose to treat it as void and await developments. Enforcement proceedings will have to be brought by the administrative authority involved; and the individual will be able to raise the voidness of the underlying administrative act as a defence.'</w:t>
      </w:r>
    </w:p>
    <w:p w14:paraId="213581B5" w14:textId="77777777" w:rsidR="005C2A15" w:rsidRPr="005C2A15" w:rsidRDefault="005C2A15" w:rsidP="005C2A15">
      <w:pPr>
        <w:spacing w:line="360" w:lineRule="auto"/>
        <w:jc w:val="both"/>
        <w:rPr>
          <w:rFonts w:ascii="Arial" w:hAnsi="Arial" w:cs="Arial"/>
        </w:rPr>
      </w:pPr>
      <w:r w:rsidRPr="005C2A15">
        <w:rPr>
          <w:rFonts w:ascii="Arial" w:hAnsi="Arial" w:cs="Arial"/>
        </w:rPr>
        <w:t>In those circumstances, for example, (</w:t>
      </w:r>
      <w:proofErr w:type="spellStart"/>
      <w:r w:rsidRPr="005C2A15">
        <w:rPr>
          <w:rFonts w:ascii="Arial" w:hAnsi="Arial" w:cs="Arial"/>
        </w:rPr>
        <w:t>i</w:t>
      </w:r>
      <w:proofErr w:type="spellEnd"/>
      <w:r w:rsidRPr="005C2A15">
        <w:rPr>
          <w:rFonts w:ascii="Arial" w:hAnsi="Arial" w:cs="Arial"/>
        </w:rPr>
        <w:t xml:space="preserve">)t will generally avail a person to mount a collateral challenge to the validity of an administrative act where he is threatened by a public authority with coercive action precisely because the legal force of the coercive action will most often depend upon the legal validity of the </w:t>
      </w:r>
      <w:r w:rsidR="005A58D2">
        <w:rPr>
          <w:rFonts w:ascii="Arial" w:hAnsi="Arial" w:cs="Arial"/>
        </w:rPr>
        <w:t>administrative act in question…</w:t>
      </w:r>
    </w:p>
    <w:p w14:paraId="1CBDB33B" w14:textId="77777777" w:rsidR="005C2A15" w:rsidRPr="005C2A15" w:rsidRDefault="00A40209" w:rsidP="005C2A15">
      <w:pPr>
        <w:spacing w:line="360" w:lineRule="auto"/>
        <w:jc w:val="both"/>
        <w:rPr>
          <w:rFonts w:ascii="Arial" w:hAnsi="Arial" w:cs="Arial"/>
        </w:rPr>
      </w:pPr>
      <w:r w:rsidRPr="005C2A15">
        <w:rPr>
          <w:rFonts w:ascii="Arial" w:hAnsi="Arial" w:cs="Arial"/>
        </w:rPr>
        <w:t xml:space="preserve"> </w:t>
      </w:r>
      <w:r w:rsidR="005C2A15" w:rsidRPr="005C2A15">
        <w:rPr>
          <w:rFonts w:ascii="Arial" w:hAnsi="Arial" w:cs="Arial"/>
        </w:rPr>
        <w:t xml:space="preserve">[70] The registrar has a direct and substantial interest in any order invalidating her decision. To invalidate it in proceedings to which she has not been cited as a party and without according her an opportunity to defend the legality of her decision, would infringe the principles of natural justice and detract from her right to a fair hearing. That, in effect, will be the result if the collateral challenge is entertained without more. Had the second respondent been minded </w:t>
      </w:r>
      <w:proofErr w:type="gramStart"/>
      <w:r w:rsidR="005C2A15" w:rsidRPr="005C2A15">
        <w:rPr>
          <w:rFonts w:ascii="Arial" w:hAnsi="Arial" w:cs="Arial"/>
        </w:rPr>
        <w:t>to challenge</w:t>
      </w:r>
      <w:proofErr w:type="gramEnd"/>
      <w:r w:rsidR="005C2A15" w:rsidRPr="005C2A15">
        <w:rPr>
          <w:rFonts w:ascii="Arial" w:hAnsi="Arial" w:cs="Arial"/>
        </w:rPr>
        <w:t xml:space="preserve"> the validity of her decision — and we must again point out that their answering affidavits manifest no such intention — they could have sought reasons from her for her decision and brought an application for the urgent review thereof. The review application could have been enrolled before the same court either before the election application or simultaneously with it. This they did not do. In the absence of any prejudice suffered by them </w:t>
      </w:r>
      <w:proofErr w:type="gramStart"/>
      <w:r w:rsidR="005C2A15" w:rsidRPr="005C2A15">
        <w:rPr>
          <w:rFonts w:ascii="Arial" w:hAnsi="Arial" w:cs="Arial"/>
        </w:rPr>
        <w:lastRenderedPageBreak/>
        <w:t>as a result of</w:t>
      </w:r>
      <w:proofErr w:type="gramEnd"/>
      <w:r w:rsidR="005C2A15" w:rsidRPr="005C2A15">
        <w:rPr>
          <w:rFonts w:ascii="Arial" w:hAnsi="Arial" w:cs="Arial"/>
        </w:rPr>
        <w:t xml:space="preserve"> the assistant registrar's decision to accept the application outside ordinary office hours — properly conceded in argument in the court a quo — it would be inappropriate, if not manifestly wrong, to entertain the collateral</w:t>
      </w:r>
      <w:r w:rsidR="00981B6C">
        <w:rPr>
          <w:rFonts w:ascii="Arial" w:hAnsi="Arial" w:cs="Arial"/>
        </w:rPr>
        <w:t xml:space="preserve"> challenge in these proceedings.’</w:t>
      </w:r>
    </w:p>
    <w:p w14:paraId="349193EF" w14:textId="77777777" w:rsidR="00CD5A2D" w:rsidRPr="00442D70" w:rsidRDefault="00CD5A2D" w:rsidP="00442D70">
      <w:pPr>
        <w:pStyle w:val="ListParagraph"/>
        <w:spacing w:line="360" w:lineRule="auto"/>
        <w:ind w:left="360"/>
        <w:jc w:val="both"/>
        <w:rPr>
          <w:rFonts w:ascii="Arial" w:hAnsi="Arial" w:cs="Arial"/>
          <w:sz w:val="24"/>
          <w:szCs w:val="24"/>
        </w:rPr>
      </w:pPr>
    </w:p>
    <w:p w14:paraId="4FE505D3" w14:textId="77777777" w:rsidR="00CE7748" w:rsidRDefault="00E371BB" w:rsidP="00CE774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The Review Panel is not a party to these </w:t>
      </w:r>
      <w:proofErr w:type="gramStart"/>
      <w:r>
        <w:rPr>
          <w:rFonts w:ascii="Arial" w:hAnsi="Arial" w:cs="Arial"/>
          <w:sz w:val="24"/>
          <w:szCs w:val="24"/>
        </w:rPr>
        <w:t>proceedings</w:t>
      </w:r>
      <w:r w:rsidR="00981B6C">
        <w:rPr>
          <w:rFonts w:ascii="Arial" w:hAnsi="Arial" w:cs="Arial"/>
          <w:sz w:val="24"/>
          <w:szCs w:val="24"/>
        </w:rPr>
        <w:t>,</w:t>
      </w:r>
      <w:proofErr w:type="gramEnd"/>
      <w:r>
        <w:rPr>
          <w:rFonts w:ascii="Arial" w:hAnsi="Arial" w:cs="Arial"/>
          <w:sz w:val="24"/>
          <w:szCs w:val="24"/>
        </w:rPr>
        <w:t xml:space="preserve"> therefore</w:t>
      </w:r>
      <w:r w:rsidR="00981B6C">
        <w:rPr>
          <w:rFonts w:ascii="Arial" w:hAnsi="Arial" w:cs="Arial"/>
          <w:sz w:val="24"/>
          <w:szCs w:val="24"/>
        </w:rPr>
        <w:t>,</w:t>
      </w:r>
      <w:r>
        <w:rPr>
          <w:rFonts w:ascii="Arial" w:hAnsi="Arial" w:cs="Arial"/>
          <w:sz w:val="24"/>
          <w:szCs w:val="24"/>
        </w:rPr>
        <w:t xml:space="preserve"> the decision of the Review Panel cannot be challenged in this matter. </w:t>
      </w:r>
      <w:r w:rsidR="00EB24F4">
        <w:rPr>
          <w:rFonts w:ascii="Arial" w:hAnsi="Arial" w:cs="Arial"/>
          <w:sz w:val="24"/>
          <w:szCs w:val="24"/>
        </w:rPr>
        <w:t xml:space="preserve">The decision of NAC </w:t>
      </w:r>
      <w:r>
        <w:rPr>
          <w:rFonts w:ascii="Arial" w:hAnsi="Arial" w:cs="Arial"/>
          <w:sz w:val="24"/>
          <w:szCs w:val="24"/>
        </w:rPr>
        <w:t xml:space="preserve">to award the bid to Paragon </w:t>
      </w:r>
      <w:r w:rsidR="00EB24F4">
        <w:rPr>
          <w:rFonts w:ascii="Arial" w:hAnsi="Arial" w:cs="Arial"/>
          <w:sz w:val="24"/>
          <w:szCs w:val="24"/>
        </w:rPr>
        <w:t xml:space="preserve">cannot strictly be challenged without challenging the decision of the Review Panel that upheld </w:t>
      </w:r>
      <w:r>
        <w:rPr>
          <w:rFonts w:ascii="Arial" w:hAnsi="Arial" w:cs="Arial"/>
          <w:sz w:val="24"/>
          <w:szCs w:val="24"/>
        </w:rPr>
        <w:t xml:space="preserve">its </w:t>
      </w:r>
      <w:r w:rsidR="00EB24F4">
        <w:rPr>
          <w:rFonts w:ascii="Arial" w:hAnsi="Arial" w:cs="Arial"/>
          <w:sz w:val="24"/>
          <w:szCs w:val="24"/>
        </w:rPr>
        <w:t>decision</w:t>
      </w:r>
      <w:r>
        <w:rPr>
          <w:rFonts w:ascii="Arial" w:hAnsi="Arial" w:cs="Arial"/>
          <w:sz w:val="24"/>
          <w:szCs w:val="24"/>
        </w:rPr>
        <w:t xml:space="preserve">. </w:t>
      </w:r>
      <w:r w:rsidR="00D73001">
        <w:rPr>
          <w:rFonts w:ascii="Arial" w:hAnsi="Arial" w:cs="Arial"/>
          <w:sz w:val="24"/>
          <w:szCs w:val="24"/>
        </w:rPr>
        <w:t xml:space="preserve">I agree with Mr </w:t>
      </w:r>
      <w:proofErr w:type="spellStart"/>
      <w:r w:rsidR="00D73001">
        <w:rPr>
          <w:rFonts w:ascii="Arial" w:hAnsi="Arial" w:cs="Arial"/>
          <w:sz w:val="24"/>
          <w:szCs w:val="24"/>
        </w:rPr>
        <w:t>Namandje</w:t>
      </w:r>
      <w:proofErr w:type="spellEnd"/>
      <w:r w:rsidR="00D73001">
        <w:rPr>
          <w:rFonts w:ascii="Arial" w:hAnsi="Arial" w:cs="Arial"/>
          <w:sz w:val="24"/>
          <w:szCs w:val="24"/>
        </w:rPr>
        <w:t xml:space="preserve"> that a decision of a subordinate body, so to speak, which has been confirmed by a superior body</w:t>
      </w:r>
      <w:r>
        <w:rPr>
          <w:rFonts w:ascii="Arial" w:hAnsi="Arial" w:cs="Arial"/>
          <w:sz w:val="24"/>
          <w:szCs w:val="24"/>
        </w:rPr>
        <w:t>,</w:t>
      </w:r>
      <w:r w:rsidR="00D73001">
        <w:rPr>
          <w:rFonts w:ascii="Arial" w:hAnsi="Arial" w:cs="Arial"/>
          <w:sz w:val="24"/>
          <w:szCs w:val="24"/>
        </w:rPr>
        <w:t xml:space="preserve"> cannot strictly be attacked without attacking the decision of the superior body’s confirmation of such decision.</w:t>
      </w:r>
      <w:r w:rsidR="00DF7916">
        <w:rPr>
          <w:rStyle w:val="FootnoteReference"/>
          <w:rFonts w:ascii="Arial" w:hAnsi="Arial" w:cs="Arial"/>
          <w:sz w:val="24"/>
          <w:szCs w:val="24"/>
        </w:rPr>
        <w:footnoteReference w:id="16"/>
      </w:r>
    </w:p>
    <w:p w14:paraId="201D4CDE" w14:textId="77777777" w:rsidR="00CE7748" w:rsidRDefault="00CE7748" w:rsidP="00CE7748">
      <w:pPr>
        <w:pStyle w:val="ListParagraph"/>
        <w:spacing w:line="360" w:lineRule="auto"/>
        <w:ind w:left="0"/>
        <w:jc w:val="both"/>
        <w:rPr>
          <w:rFonts w:ascii="Arial" w:hAnsi="Arial" w:cs="Arial"/>
          <w:sz w:val="24"/>
          <w:szCs w:val="24"/>
        </w:rPr>
      </w:pPr>
    </w:p>
    <w:p w14:paraId="1F1A92A1" w14:textId="77777777" w:rsidR="00CE7748" w:rsidRDefault="00280B74" w:rsidP="00CE7748">
      <w:pPr>
        <w:pStyle w:val="ListParagraph"/>
        <w:numPr>
          <w:ilvl w:val="0"/>
          <w:numId w:val="1"/>
        </w:numPr>
        <w:spacing w:line="360" w:lineRule="auto"/>
        <w:ind w:left="0" w:firstLine="0"/>
        <w:jc w:val="both"/>
        <w:rPr>
          <w:rFonts w:ascii="Arial" w:hAnsi="Arial" w:cs="Arial"/>
          <w:sz w:val="24"/>
          <w:szCs w:val="24"/>
        </w:rPr>
      </w:pPr>
      <w:proofErr w:type="spellStart"/>
      <w:r w:rsidRPr="00CE7748">
        <w:rPr>
          <w:rFonts w:ascii="Arial" w:hAnsi="Arial" w:cs="Arial"/>
          <w:sz w:val="24"/>
          <w:szCs w:val="24"/>
        </w:rPr>
        <w:t>Menzie’s</w:t>
      </w:r>
      <w:proofErr w:type="spellEnd"/>
      <w:r w:rsidRPr="00CE7748">
        <w:rPr>
          <w:rFonts w:ascii="Arial" w:hAnsi="Arial" w:cs="Arial"/>
          <w:sz w:val="24"/>
          <w:szCs w:val="24"/>
        </w:rPr>
        <w:t xml:space="preserve"> failure to cite the Review Panel means that </w:t>
      </w:r>
      <w:r w:rsidR="00C2072E" w:rsidRPr="00CE7748">
        <w:rPr>
          <w:rFonts w:ascii="Arial" w:hAnsi="Arial" w:cs="Arial"/>
          <w:sz w:val="24"/>
          <w:szCs w:val="24"/>
        </w:rPr>
        <w:t>Menzies seek</w:t>
      </w:r>
      <w:r w:rsidR="00981B6C">
        <w:rPr>
          <w:rFonts w:ascii="Arial" w:hAnsi="Arial" w:cs="Arial"/>
          <w:sz w:val="24"/>
          <w:szCs w:val="24"/>
        </w:rPr>
        <w:t>s</w:t>
      </w:r>
      <w:r w:rsidR="00C2072E" w:rsidRPr="00CE7748">
        <w:rPr>
          <w:rFonts w:ascii="Arial" w:hAnsi="Arial" w:cs="Arial"/>
          <w:sz w:val="24"/>
          <w:szCs w:val="24"/>
        </w:rPr>
        <w:t xml:space="preserve"> to invalidate the decision of the Review Panel, which dismissed the challenge to the award of the bid to Paragon, without citing such Review Panel. En</w:t>
      </w:r>
      <w:r w:rsidRPr="00CE7748">
        <w:rPr>
          <w:rFonts w:ascii="Arial" w:hAnsi="Arial" w:cs="Arial"/>
          <w:sz w:val="24"/>
          <w:szCs w:val="24"/>
        </w:rPr>
        <w:t>tertaining the collateral challenge</w:t>
      </w:r>
      <w:r w:rsidR="00981B6C">
        <w:rPr>
          <w:rFonts w:ascii="Arial" w:hAnsi="Arial" w:cs="Arial"/>
          <w:sz w:val="24"/>
          <w:szCs w:val="24"/>
        </w:rPr>
        <w:t>,</w:t>
      </w:r>
      <w:r w:rsidR="00C2072E" w:rsidRPr="00CE7748">
        <w:rPr>
          <w:rFonts w:ascii="Arial" w:hAnsi="Arial" w:cs="Arial"/>
          <w:sz w:val="24"/>
          <w:szCs w:val="24"/>
        </w:rPr>
        <w:t xml:space="preserve"> which </w:t>
      </w:r>
      <w:r w:rsidR="009C414B">
        <w:rPr>
          <w:rFonts w:ascii="Arial" w:hAnsi="Arial" w:cs="Arial"/>
          <w:sz w:val="24"/>
          <w:szCs w:val="24"/>
        </w:rPr>
        <w:t xml:space="preserve">is premised on the </w:t>
      </w:r>
      <w:r w:rsidR="00C2072E" w:rsidRPr="00CE7748">
        <w:rPr>
          <w:rFonts w:ascii="Arial" w:hAnsi="Arial" w:cs="Arial"/>
          <w:sz w:val="24"/>
          <w:szCs w:val="24"/>
        </w:rPr>
        <w:t>legality of the award of the bid</w:t>
      </w:r>
      <w:r w:rsidR="00981B6C">
        <w:rPr>
          <w:rFonts w:ascii="Arial" w:hAnsi="Arial" w:cs="Arial"/>
          <w:sz w:val="24"/>
          <w:szCs w:val="24"/>
        </w:rPr>
        <w:t>,</w:t>
      </w:r>
      <w:r w:rsidR="00C2072E" w:rsidRPr="00CE7748">
        <w:rPr>
          <w:rFonts w:ascii="Arial" w:hAnsi="Arial" w:cs="Arial"/>
          <w:sz w:val="24"/>
          <w:szCs w:val="24"/>
        </w:rPr>
        <w:t xml:space="preserve"> will deny the Review Panel the opportunity to defend the legality of its decision to dismiss the review application of the award of the bid by NAC. </w:t>
      </w:r>
      <w:r w:rsidR="005139A7" w:rsidRPr="00CE7748">
        <w:rPr>
          <w:rFonts w:ascii="Arial" w:hAnsi="Arial" w:cs="Arial"/>
          <w:sz w:val="24"/>
          <w:szCs w:val="24"/>
        </w:rPr>
        <w:t xml:space="preserve">This </w:t>
      </w:r>
      <w:r w:rsidRPr="00CE7748">
        <w:rPr>
          <w:rFonts w:ascii="Arial" w:hAnsi="Arial" w:cs="Arial"/>
          <w:sz w:val="24"/>
          <w:szCs w:val="24"/>
        </w:rPr>
        <w:t xml:space="preserve">will </w:t>
      </w:r>
      <w:r w:rsidR="00981B6C">
        <w:rPr>
          <w:rFonts w:ascii="Arial" w:hAnsi="Arial" w:cs="Arial"/>
          <w:sz w:val="24"/>
          <w:szCs w:val="24"/>
        </w:rPr>
        <w:t xml:space="preserve">further </w:t>
      </w:r>
      <w:r w:rsidRPr="00CE7748">
        <w:rPr>
          <w:rFonts w:ascii="Arial" w:hAnsi="Arial" w:cs="Arial"/>
          <w:sz w:val="24"/>
          <w:szCs w:val="24"/>
        </w:rPr>
        <w:t>deny the Review Panel it</w:t>
      </w:r>
      <w:r w:rsidR="003641A7">
        <w:rPr>
          <w:rFonts w:ascii="Arial" w:hAnsi="Arial" w:cs="Arial"/>
          <w:sz w:val="24"/>
          <w:szCs w:val="24"/>
        </w:rPr>
        <w:t>’</w:t>
      </w:r>
      <w:r w:rsidRPr="00CE7748">
        <w:rPr>
          <w:rFonts w:ascii="Arial" w:hAnsi="Arial" w:cs="Arial"/>
          <w:sz w:val="24"/>
          <w:szCs w:val="24"/>
        </w:rPr>
        <w:t>s righ</w:t>
      </w:r>
      <w:r w:rsidR="00981B6C">
        <w:rPr>
          <w:rFonts w:ascii="Arial" w:hAnsi="Arial" w:cs="Arial"/>
          <w:sz w:val="24"/>
          <w:szCs w:val="24"/>
        </w:rPr>
        <w:t>t to be heard and this offends the</w:t>
      </w:r>
      <w:r w:rsidRPr="00CE7748">
        <w:rPr>
          <w:rFonts w:ascii="Arial" w:hAnsi="Arial" w:cs="Arial"/>
          <w:sz w:val="24"/>
          <w:szCs w:val="24"/>
        </w:rPr>
        <w:t xml:space="preserve"> critical rule of natural justice of </w:t>
      </w:r>
      <w:proofErr w:type="spellStart"/>
      <w:r w:rsidRPr="00CE7748">
        <w:rPr>
          <w:rFonts w:ascii="Arial" w:hAnsi="Arial" w:cs="Arial"/>
          <w:i/>
          <w:sz w:val="24"/>
          <w:szCs w:val="24"/>
        </w:rPr>
        <w:t>audi</w:t>
      </w:r>
      <w:proofErr w:type="spellEnd"/>
      <w:r w:rsidRPr="00CE7748">
        <w:rPr>
          <w:rFonts w:ascii="Arial" w:hAnsi="Arial" w:cs="Arial"/>
          <w:i/>
          <w:sz w:val="24"/>
          <w:szCs w:val="24"/>
        </w:rPr>
        <w:t xml:space="preserve"> alteram partem</w:t>
      </w:r>
      <w:r w:rsidRPr="00CE7748">
        <w:rPr>
          <w:rFonts w:ascii="Arial" w:hAnsi="Arial" w:cs="Arial"/>
          <w:sz w:val="24"/>
          <w:szCs w:val="24"/>
        </w:rPr>
        <w:t xml:space="preserve">. </w:t>
      </w:r>
      <w:r w:rsidR="00981B6C">
        <w:rPr>
          <w:rFonts w:ascii="Arial" w:hAnsi="Arial" w:cs="Arial"/>
          <w:sz w:val="24"/>
          <w:szCs w:val="24"/>
        </w:rPr>
        <w:t xml:space="preserve">What is worse for Menzies, </w:t>
      </w:r>
      <w:r w:rsidR="00463640" w:rsidRPr="00CE7748">
        <w:rPr>
          <w:rFonts w:ascii="Arial" w:hAnsi="Arial" w:cs="Arial"/>
          <w:sz w:val="24"/>
          <w:szCs w:val="24"/>
        </w:rPr>
        <w:t>is the fact that the Review Panel is n</w:t>
      </w:r>
      <w:r w:rsidR="00147A16" w:rsidRPr="00CE7748">
        <w:rPr>
          <w:rFonts w:ascii="Arial" w:hAnsi="Arial" w:cs="Arial"/>
          <w:sz w:val="24"/>
          <w:szCs w:val="24"/>
        </w:rPr>
        <w:t xml:space="preserve">ot a party to these proceedings. Menzies, in its </w:t>
      </w:r>
      <w:proofErr w:type="gramStart"/>
      <w:r w:rsidR="00147A16" w:rsidRPr="00CE7748">
        <w:rPr>
          <w:rFonts w:ascii="Arial" w:hAnsi="Arial" w:cs="Arial"/>
          <w:sz w:val="24"/>
          <w:szCs w:val="24"/>
        </w:rPr>
        <w:t>counter-application</w:t>
      </w:r>
      <w:proofErr w:type="gramEnd"/>
      <w:r w:rsidR="003641A7">
        <w:rPr>
          <w:rFonts w:ascii="Arial" w:hAnsi="Arial" w:cs="Arial"/>
          <w:sz w:val="24"/>
          <w:szCs w:val="24"/>
        </w:rPr>
        <w:t>,</w:t>
      </w:r>
      <w:r w:rsidR="00147A16" w:rsidRPr="00CE7748">
        <w:rPr>
          <w:rFonts w:ascii="Arial" w:hAnsi="Arial" w:cs="Arial"/>
          <w:sz w:val="24"/>
          <w:szCs w:val="24"/>
        </w:rPr>
        <w:t xml:space="preserve"> does not cite the Review Panel. </w:t>
      </w:r>
      <w:r w:rsidR="00463640" w:rsidRPr="00CE7748">
        <w:rPr>
          <w:rFonts w:ascii="Arial" w:hAnsi="Arial" w:cs="Arial"/>
          <w:sz w:val="24"/>
          <w:szCs w:val="24"/>
        </w:rPr>
        <w:t xml:space="preserve"> </w:t>
      </w:r>
    </w:p>
    <w:p w14:paraId="5977E3E2" w14:textId="77777777" w:rsidR="00CE7748" w:rsidRPr="00CE7748" w:rsidRDefault="00CE7748" w:rsidP="00CE7748">
      <w:pPr>
        <w:pStyle w:val="ListParagraph"/>
        <w:rPr>
          <w:rFonts w:ascii="Arial" w:hAnsi="Arial" w:cs="Arial"/>
          <w:sz w:val="24"/>
          <w:szCs w:val="24"/>
        </w:rPr>
      </w:pPr>
    </w:p>
    <w:p w14:paraId="676E342F" w14:textId="77777777" w:rsidR="00CE7748" w:rsidRDefault="00F42DC0" w:rsidP="00D045B2">
      <w:pPr>
        <w:pStyle w:val="ListParagraph"/>
        <w:numPr>
          <w:ilvl w:val="0"/>
          <w:numId w:val="1"/>
        </w:numPr>
        <w:spacing w:line="360" w:lineRule="auto"/>
        <w:ind w:left="0" w:firstLine="0"/>
        <w:jc w:val="both"/>
        <w:rPr>
          <w:rFonts w:ascii="Arial" w:hAnsi="Arial" w:cs="Arial"/>
          <w:sz w:val="24"/>
          <w:szCs w:val="24"/>
        </w:rPr>
      </w:pPr>
      <w:r w:rsidRPr="00CE7748">
        <w:rPr>
          <w:rFonts w:ascii="Arial" w:hAnsi="Arial" w:cs="Arial"/>
          <w:sz w:val="24"/>
          <w:szCs w:val="24"/>
        </w:rPr>
        <w:t xml:space="preserve">In view of the foregoing, the collateral challenge and the </w:t>
      </w:r>
      <w:proofErr w:type="gramStart"/>
      <w:r w:rsidRPr="00CE7748">
        <w:rPr>
          <w:rFonts w:ascii="Arial" w:hAnsi="Arial" w:cs="Arial"/>
          <w:sz w:val="24"/>
          <w:szCs w:val="24"/>
        </w:rPr>
        <w:t>counter-application</w:t>
      </w:r>
      <w:proofErr w:type="gramEnd"/>
      <w:r w:rsidRPr="00CE7748">
        <w:rPr>
          <w:rFonts w:ascii="Arial" w:hAnsi="Arial" w:cs="Arial"/>
          <w:sz w:val="24"/>
          <w:szCs w:val="24"/>
        </w:rPr>
        <w:t xml:space="preserve"> falls to be struck off the roll.</w:t>
      </w:r>
    </w:p>
    <w:p w14:paraId="09D4DC2C" w14:textId="77777777" w:rsidR="00CE7748" w:rsidRPr="00CE7748" w:rsidRDefault="00CE7748" w:rsidP="00CE7748">
      <w:pPr>
        <w:pStyle w:val="ListParagraph"/>
        <w:rPr>
          <w:rFonts w:ascii="Arial" w:hAnsi="Arial" w:cs="Arial"/>
          <w:sz w:val="24"/>
          <w:szCs w:val="24"/>
          <w:u w:val="single"/>
        </w:rPr>
      </w:pPr>
    </w:p>
    <w:p w14:paraId="460F4971" w14:textId="77777777" w:rsidR="00CE7748" w:rsidRPr="00CE7748" w:rsidRDefault="00D045B2" w:rsidP="00CE7748">
      <w:pPr>
        <w:pStyle w:val="ListParagraph"/>
        <w:spacing w:line="360" w:lineRule="auto"/>
        <w:ind w:left="0"/>
        <w:jc w:val="both"/>
        <w:rPr>
          <w:rFonts w:ascii="Arial" w:hAnsi="Arial" w:cs="Arial"/>
          <w:sz w:val="24"/>
          <w:szCs w:val="24"/>
        </w:rPr>
      </w:pPr>
      <w:r w:rsidRPr="00CE7748">
        <w:rPr>
          <w:rFonts w:ascii="Arial" w:hAnsi="Arial" w:cs="Arial"/>
          <w:sz w:val="24"/>
          <w:szCs w:val="24"/>
          <w:u w:val="single"/>
        </w:rPr>
        <w:t xml:space="preserve">The </w:t>
      </w:r>
      <w:r w:rsidR="00981B6C">
        <w:rPr>
          <w:rFonts w:ascii="Arial" w:hAnsi="Arial" w:cs="Arial"/>
          <w:sz w:val="24"/>
          <w:szCs w:val="24"/>
          <w:u w:val="single"/>
        </w:rPr>
        <w:t>declarator</w:t>
      </w:r>
    </w:p>
    <w:p w14:paraId="53815C80" w14:textId="77777777" w:rsidR="00CE7748" w:rsidRPr="00CE7748" w:rsidRDefault="00CE7748" w:rsidP="00CE7748">
      <w:pPr>
        <w:pStyle w:val="ListParagraph"/>
        <w:rPr>
          <w:rFonts w:ascii="Arial" w:hAnsi="Arial" w:cs="Arial"/>
          <w:sz w:val="24"/>
          <w:szCs w:val="24"/>
        </w:rPr>
      </w:pPr>
    </w:p>
    <w:p w14:paraId="24C67C49" w14:textId="77777777" w:rsidR="005A0BB1" w:rsidRDefault="00D045B2" w:rsidP="00CE7748">
      <w:pPr>
        <w:pStyle w:val="ListParagraph"/>
        <w:numPr>
          <w:ilvl w:val="0"/>
          <w:numId w:val="1"/>
        </w:numPr>
        <w:spacing w:line="360" w:lineRule="auto"/>
        <w:ind w:left="0" w:firstLine="0"/>
        <w:jc w:val="both"/>
        <w:rPr>
          <w:rFonts w:ascii="Arial" w:hAnsi="Arial" w:cs="Arial"/>
          <w:sz w:val="24"/>
          <w:szCs w:val="24"/>
        </w:rPr>
      </w:pPr>
      <w:r w:rsidRPr="00CE7748">
        <w:rPr>
          <w:rFonts w:ascii="Arial" w:hAnsi="Arial" w:cs="Arial"/>
          <w:sz w:val="24"/>
          <w:szCs w:val="24"/>
        </w:rPr>
        <w:t xml:space="preserve">Mr Heathcote reminded the court that, </w:t>
      </w:r>
      <w:proofErr w:type="gramStart"/>
      <w:r w:rsidRPr="00CE7748">
        <w:rPr>
          <w:rFonts w:ascii="Arial" w:hAnsi="Arial" w:cs="Arial"/>
          <w:sz w:val="24"/>
          <w:szCs w:val="24"/>
        </w:rPr>
        <w:t>in order to</w:t>
      </w:r>
      <w:proofErr w:type="gramEnd"/>
      <w:r w:rsidRPr="00CE7748">
        <w:rPr>
          <w:rFonts w:ascii="Arial" w:hAnsi="Arial" w:cs="Arial"/>
          <w:sz w:val="24"/>
          <w:szCs w:val="24"/>
        </w:rPr>
        <w:t xml:space="preserve"> exercise its jurisdiction to grant the relief of a declarator, the following requirements should be met:</w:t>
      </w:r>
    </w:p>
    <w:p w14:paraId="6D9AB191" w14:textId="77777777" w:rsidR="00CE7748" w:rsidRPr="00CE7748" w:rsidRDefault="00CE7748" w:rsidP="00CE7748">
      <w:pPr>
        <w:pStyle w:val="ListParagraph"/>
        <w:spacing w:line="360" w:lineRule="auto"/>
        <w:ind w:left="0"/>
        <w:jc w:val="both"/>
        <w:rPr>
          <w:rFonts w:ascii="Arial" w:hAnsi="Arial" w:cs="Arial"/>
          <w:sz w:val="24"/>
          <w:szCs w:val="24"/>
        </w:rPr>
      </w:pPr>
    </w:p>
    <w:p w14:paraId="629AF897" w14:textId="77777777" w:rsidR="00D045B2" w:rsidRDefault="00D045B2" w:rsidP="00CE7748">
      <w:pPr>
        <w:pStyle w:val="ListParagraph"/>
        <w:numPr>
          <w:ilvl w:val="0"/>
          <w:numId w:val="13"/>
        </w:numPr>
        <w:spacing w:line="360" w:lineRule="auto"/>
        <w:ind w:left="709" w:firstLine="0"/>
        <w:jc w:val="both"/>
        <w:rPr>
          <w:rFonts w:ascii="Arial" w:hAnsi="Arial" w:cs="Arial"/>
          <w:sz w:val="24"/>
          <w:szCs w:val="24"/>
        </w:rPr>
      </w:pPr>
      <w:r>
        <w:rPr>
          <w:rFonts w:ascii="Arial" w:hAnsi="Arial" w:cs="Arial"/>
          <w:sz w:val="24"/>
          <w:szCs w:val="24"/>
        </w:rPr>
        <w:lastRenderedPageBreak/>
        <w:t xml:space="preserve">The court must be satisfied that the applicant is a person interested in an existing, </w:t>
      </w:r>
      <w:proofErr w:type="gramStart"/>
      <w:r>
        <w:rPr>
          <w:rFonts w:ascii="Arial" w:hAnsi="Arial" w:cs="Arial"/>
          <w:sz w:val="24"/>
          <w:szCs w:val="24"/>
        </w:rPr>
        <w:t>future</w:t>
      </w:r>
      <w:proofErr w:type="gramEnd"/>
      <w:r>
        <w:rPr>
          <w:rFonts w:ascii="Arial" w:hAnsi="Arial" w:cs="Arial"/>
          <w:sz w:val="24"/>
          <w:szCs w:val="24"/>
        </w:rPr>
        <w:t xml:space="preserve"> or contingent right or obligation and then if satisfied on this aspect, then </w:t>
      </w:r>
    </w:p>
    <w:p w14:paraId="6E3FAEDD" w14:textId="77777777" w:rsidR="00CA2074" w:rsidRDefault="00CA2074" w:rsidP="00CA2074">
      <w:pPr>
        <w:pStyle w:val="ListParagraph"/>
        <w:spacing w:line="360" w:lineRule="auto"/>
        <w:ind w:left="709"/>
        <w:jc w:val="both"/>
        <w:rPr>
          <w:rFonts w:ascii="Arial" w:hAnsi="Arial" w:cs="Arial"/>
          <w:sz w:val="24"/>
          <w:szCs w:val="24"/>
        </w:rPr>
      </w:pPr>
    </w:p>
    <w:p w14:paraId="1C2457B6" w14:textId="77777777" w:rsidR="00D045B2" w:rsidRDefault="00D045B2" w:rsidP="00CE7748">
      <w:pPr>
        <w:pStyle w:val="ListParagraph"/>
        <w:numPr>
          <w:ilvl w:val="0"/>
          <w:numId w:val="13"/>
        </w:numPr>
        <w:spacing w:line="360" w:lineRule="auto"/>
        <w:ind w:left="851" w:hanging="142"/>
        <w:jc w:val="both"/>
        <w:rPr>
          <w:rFonts w:ascii="Arial" w:hAnsi="Arial" w:cs="Arial"/>
          <w:sz w:val="24"/>
          <w:szCs w:val="24"/>
        </w:rPr>
      </w:pPr>
      <w:r>
        <w:rPr>
          <w:rFonts w:ascii="Arial" w:hAnsi="Arial" w:cs="Arial"/>
          <w:sz w:val="24"/>
          <w:szCs w:val="24"/>
        </w:rPr>
        <w:t>The court must decide whether the case is a proper one for the exercise of the discretion conferred on it.</w:t>
      </w:r>
      <w:r w:rsidR="009A1E57">
        <w:rPr>
          <w:rStyle w:val="FootnoteReference"/>
          <w:rFonts w:ascii="Arial" w:hAnsi="Arial" w:cs="Arial"/>
          <w:sz w:val="24"/>
          <w:szCs w:val="24"/>
        </w:rPr>
        <w:footnoteReference w:id="17"/>
      </w:r>
    </w:p>
    <w:p w14:paraId="3945ABAC" w14:textId="77777777" w:rsidR="00985CBE" w:rsidRDefault="00985CBE" w:rsidP="00985CBE">
      <w:pPr>
        <w:pStyle w:val="ListParagraph"/>
        <w:spacing w:line="360" w:lineRule="auto"/>
        <w:jc w:val="both"/>
        <w:rPr>
          <w:rFonts w:ascii="Arial" w:hAnsi="Arial" w:cs="Arial"/>
          <w:sz w:val="24"/>
          <w:szCs w:val="24"/>
        </w:rPr>
      </w:pPr>
    </w:p>
    <w:p w14:paraId="40D7B50F" w14:textId="77777777" w:rsidR="00CE7748" w:rsidRPr="00CE7748" w:rsidRDefault="00985CBE" w:rsidP="00CE7748">
      <w:pPr>
        <w:pStyle w:val="ListParagraph"/>
        <w:numPr>
          <w:ilvl w:val="0"/>
          <w:numId w:val="1"/>
        </w:numPr>
        <w:spacing w:line="360" w:lineRule="auto"/>
        <w:ind w:left="0" w:firstLine="0"/>
        <w:jc w:val="both"/>
        <w:rPr>
          <w:rFonts w:ascii="Arial" w:hAnsi="Arial" w:cs="Arial"/>
          <w:sz w:val="24"/>
          <w:szCs w:val="24"/>
          <w:u w:val="single"/>
        </w:rPr>
      </w:pPr>
      <w:r>
        <w:rPr>
          <w:rFonts w:ascii="Arial" w:hAnsi="Arial" w:cs="Arial"/>
          <w:sz w:val="24"/>
          <w:szCs w:val="24"/>
        </w:rPr>
        <w:t xml:space="preserve">I am further of the view that for the reasons mentioned, findings </w:t>
      </w:r>
      <w:proofErr w:type="gramStart"/>
      <w:r>
        <w:rPr>
          <w:rFonts w:ascii="Arial" w:hAnsi="Arial" w:cs="Arial"/>
          <w:sz w:val="24"/>
          <w:szCs w:val="24"/>
        </w:rPr>
        <w:t>made</w:t>
      </w:r>
      <w:proofErr w:type="gramEnd"/>
      <w:r>
        <w:rPr>
          <w:rFonts w:ascii="Arial" w:hAnsi="Arial" w:cs="Arial"/>
          <w:sz w:val="24"/>
          <w:szCs w:val="24"/>
        </w:rPr>
        <w:t xml:space="preserve"> and conclusions reached above, the first respondent’s collateral challenge and counter-application fails to succeed. Mr Heathcote argued that NAC does not satisfy any of the said requirements and its application amounts to an abuse of the court process. </w:t>
      </w:r>
    </w:p>
    <w:p w14:paraId="2E49D68B" w14:textId="77777777" w:rsidR="00CE7748" w:rsidRPr="00CE7748" w:rsidRDefault="00CE7748" w:rsidP="00CE7748">
      <w:pPr>
        <w:pStyle w:val="ListParagraph"/>
        <w:spacing w:line="360" w:lineRule="auto"/>
        <w:ind w:left="0"/>
        <w:jc w:val="both"/>
        <w:rPr>
          <w:rFonts w:ascii="Arial" w:hAnsi="Arial" w:cs="Arial"/>
          <w:sz w:val="24"/>
          <w:szCs w:val="24"/>
          <w:u w:val="single"/>
        </w:rPr>
      </w:pPr>
    </w:p>
    <w:p w14:paraId="61B86105" w14:textId="77777777" w:rsidR="00CE7748" w:rsidRPr="00CE7748" w:rsidRDefault="00985CBE" w:rsidP="00CE7748">
      <w:pPr>
        <w:pStyle w:val="ListParagraph"/>
        <w:numPr>
          <w:ilvl w:val="0"/>
          <w:numId w:val="1"/>
        </w:numPr>
        <w:spacing w:line="360" w:lineRule="auto"/>
        <w:ind w:left="0" w:firstLine="0"/>
        <w:jc w:val="both"/>
        <w:rPr>
          <w:rFonts w:ascii="Arial" w:hAnsi="Arial" w:cs="Arial"/>
          <w:sz w:val="24"/>
          <w:szCs w:val="24"/>
          <w:u w:val="single"/>
        </w:rPr>
      </w:pPr>
      <w:r w:rsidRPr="00CE7748">
        <w:rPr>
          <w:rFonts w:ascii="Arial" w:hAnsi="Arial" w:cs="Arial"/>
          <w:sz w:val="24"/>
          <w:szCs w:val="24"/>
        </w:rPr>
        <w:t>From the facts of the matter, it appears that NAC does not have an existing right to interdict and evict Menzies from HKIA as the Service Agreement between the parties is still valid as found earlier. Menzies’ services will only terminate on 30 June 2022 and therefore NAC has a future right that will come into effect on 1 J</w:t>
      </w:r>
      <w:r w:rsidR="00CE7748">
        <w:rPr>
          <w:rFonts w:ascii="Arial" w:hAnsi="Arial" w:cs="Arial"/>
          <w:sz w:val="24"/>
          <w:szCs w:val="24"/>
        </w:rPr>
        <w:t>uly 2022.</w:t>
      </w:r>
    </w:p>
    <w:p w14:paraId="796EE470" w14:textId="77777777" w:rsidR="00CE7748" w:rsidRPr="00CE7748" w:rsidRDefault="00CE7748" w:rsidP="00CE7748">
      <w:pPr>
        <w:pStyle w:val="ListParagraph"/>
        <w:rPr>
          <w:rFonts w:ascii="Arial" w:hAnsi="Arial" w:cs="Arial"/>
          <w:sz w:val="24"/>
          <w:szCs w:val="24"/>
        </w:rPr>
      </w:pPr>
    </w:p>
    <w:p w14:paraId="2E3EA4E9" w14:textId="77777777" w:rsidR="00CE7748" w:rsidRPr="00CE7748" w:rsidRDefault="00985CBE" w:rsidP="00CE7748">
      <w:pPr>
        <w:pStyle w:val="ListParagraph"/>
        <w:numPr>
          <w:ilvl w:val="0"/>
          <w:numId w:val="1"/>
        </w:numPr>
        <w:spacing w:line="360" w:lineRule="auto"/>
        <w:ind w:left="0" w:firstLine="0"/>
        <w:jc w:val="both"/>
        <w:rPr>
          <w:rFonts w:ascii="Arial" w:hAnsi="Arial" w:cs="Arial"/>
          <w:sz w:val="24"/>
          <w:szCs w:val="24"/>
          <w:u w:val="single"/>
        </w:rPr>
      </w:pPr>
      <w:r w:rsidRPr="00CE7748">
        <w:rPr>
          <w:rFonts w:ascii="Arial" w:hAnsi="Arial" w:cs="Arial"/>
          <w:sz w:val="24"/>
          <w:szCs w:val="24"/>
        </w:rPr>
        <w:t xml:space="preserve">Menzies further argues that NAC’s case is an abuse of the court process as it lacks merit. This claim is primarily based on Menzies’ argument that the Service Agreement was terminated on 30 April 2022 and there was tacit relocation. I have already rejected Menzies’ argument that the Service Agreement terminated on 30 April 2022. The other defences raised by Menzies have been rejected by this court. The </w:t>
      </w:r>
      <w:proofErr w:type="gramStart"/>
      <w:r w:rsidRPr="00CE7748">
        <w:rPr>
          <w:rFonts w:ascii="Arial" w:hAnsi="Arial" w:cs="Arial"/>
          <w:sz w:val="24"/>
          <w:szCs w:val="24"/>
        </w:rPr>
        <w:t>counter-application</w:t>
      </w:r>
      <w:proofErr w:type="gramEnd"/>
      <w:r w:rsidRPr="00CE7748">
        <w:rPr>
          <w:rFonts w:ascii="Arial" w:hAnsi="Arial" w:cs="Arial"/>
          <w:sz w:val="24"/>
          <w:szCs w:val="24"/>
        </w:rPr>
        <w:t xml:space="preserve"> was also rejected. </w:t>
      </w:r>
    </w:p>
    <w:p w14:paraId="34493AD0" w14:textId="77777777" w:rsidR="00CE7748" w:rsidRPr="00CE7748" w:rsidRDefault="00CE7748" w:rsidP="00CE7748">
      <w:pPr>
        <w:pStyle w:val="ListParagraph"/>
        <w:rPr>
          <w:rFonts w:ascii="Arial" w:hAnsi="Arial" w:cs="Arial"/>
          <w:sz w:val="24"/>
          <w:szCs w:val="24"/>
        </w:rPr>
      </w:pPr>
    </w:p>
    <w:p w14:paraId="786211EE" w14:textId="77777777" w:rsidR="00CA2074" w:rsidRPr="00981B6C" w:rsidRDefault="00981B6C" w:rsidP="00981B6C">
      <w:pPr>
        <w:pStyle w:val="ListParagraph"/>
        <w:numPr>
          <w:ilvl w:val="0"/>
          <w:numId w:val="1"/>
        </w:numPr>
        <w:spacing w:line="360" w:lineRule="auto"/>
        <w:ind w:left="0" w:firstLine="0"/>
        <w:jc w:val="both"/>
        <w:rPr>
          <w:rFonts w:ascii="Arial" w:hAnsi="Arial" w:cs="Arial"/>
          <w:sz w:val="24"/>
          <w:szCs w:val="24"/>
          <w:u w:val="single"/>
        </w:rPr>
      </w:pPr>
      <w:r>
        <w:rPr>
          <w:rFonts w:ascii="Arial" w:hAnsi="Arial" w:cs="Arial"/>
          <w:sz w:val="24"/>
          <w:szCs w:val="24"/>
        </w:rPr>
        <w:t xml:space="preserve">In my view, NAC has </w:t>
      </w:r>
      <w:r w:rsidR="00985CBE" w:rsidRPr="00CE7748">
        <w:rPr>
          <w:rFonts w:ascii="Arial" w:hAnsi="Arial" w:cs="Arial"/>
          <w:sz w:val="24"/>
          <w:szCs w:val="24"/>
        </w:rPr>
        <w:t>proven that it has a future right with effect from 1 July 2022 and that a declaratory relief can be granted in the exe</w:t>
      </w:r>
      <w:r w:rsidR="00CE7748">
        <w:rPr>
          <w:rFonts w:ascii="Arial" w:hAnsi="Arial" w:cs="Arial"/>
          <w:sz w:val="24"/>
          <w:szCs w:val="24"/>
        </w:rPr>
        <w:t>rcise of the court’s discretion.</w:t>
      </w:r>
    </w:p>
    <w:p w14:paraId="6556C587" w14:textId="77777777" w:rsidR="00981B6C" w:rsidRPr="00981B6C" w:rsidRDefault="00981B6C" w:rsidP="00981B6C">
      <w:pPr>
        <w:pStyle w:val="ListParagraph"/>
        <w:rPr>
          <w:rFonts w:ascii="Arial" w:hAnsi="Arial" w:cs="Arial"/>
          <w:sz w:val="24"/>
          <w:szCs w:val="24"/>
          <w:u w:val="single"/>
        </w:rPr>
      </w:pPr>
    </w:p>
    <w:p w14:paraId="4CE4C5CD" w14:textId="77777777" w:rsidR="00CE7748" w:rsidRPr="00981B6C" w:rsidRDefault="00985CBE" w:rsidP="00981B6C">
      <w:pPr>
        <w:pStyle w:val="ListParagraph"/>
        <w:spacing w:line="360" w:lineRule="auto"/>
        <w:ind w:left="0"/>
        <w:jc w:val="both"/>
        <w:rPr>
          <w:rFonts w:ascii="Arial" w:hAnsi="Arial" w:cs="Arial"/>
          <w:sz w:val="24"/>
          <w:szCs w:val="24"/>
          <w:u w:val="single"/>
        </w:rPr>
      </w:pPr>
      <w:r w:rsidRPr="00981B6C">
        <w:rPr>
          <w:rFonts w:ascii="Arial" w:hAnsi="Arial" w:cs="Arial"/>
          <w:sz w:val="24"/>
          <w:szCs w:val="24"/>
          <w:u w:val="single"/>
        </w:rPr>
        <w:t>Conclusion</w:t>
      </w:r>
    </w:p>
    <w:p w14:paraId="7F8529AD" w14:textId="77777777" w:rsidR="00CE7748" w:rsidRPr="00CE7748" w:rsidRDefault="00CE7748" w:rsidP="00CE7748">
      <w:pPr>
        <w:pStyle w:val="ListParagraph"/>
        <w:rPr>
          <w:rFonts w:ascii="Arial" w:hAnsi="Arial" w:cs="Arial"/>
          <w:sz w:val="24"/>
          <w:szCs w:val="24"/>
        </w:rPr>
      </w:pPr>
    </w:p>
    <w:p w14:paraId="329CDABE" w14:textId="77777777" w:rsidR="00CE7748" w:rsidRPr="00CA2074" w:rsidRDefault="00BE5740" w:rsidP="00CE7748">
      <w:pPr>
        <w:pStyle w:val="ListParagraph"/>
        <w:numPr>
          <w:ilvl w:val="0"/>
          <w:numId w:val="1"/>
        </w:numPr>
        <w:spacing w:line="360" w:lineRule="auto"/>
        <w:ind w:left="0" w:firstLine="0"/>
        <w:jc w:val="both"/>
        <w:rPr>
          <w:rFonts w:ascii="Arial" w:hAnsi="Arial" w:cs="Arial"/>
          <w:sz w:val="24"/>
          <w:szCs w:val="24"/>
          <w:u w:val="single"/>
        </w:rPr>
      </w:pPr>
      <w:r w:rsidRPr="00CE7748">
        <w:rPr>
          <w:rFonts w:ascii="Arial" w:hAnsi="Arial" w:cs="Arial"/>
          <w:sz w:val="24"/>
          <w:szCs w:val="24"/>
        </w:rPr>
        <w:t xml:space="preserve">The conduct of the parties, including Menzies’ request for the extension of the Service Agreement from 1 July 2022 until the </w:t>
      </w:r>
      <w:r w:rsidR="00CA2074">
        <w:rPr>
          <w:rFonts w:ascii="Arial" w:hAnsi="Arial" w:cs="Arial"/>
          <w:sz w:val="24"/>
          <w:szCs w:val="24"/>
        </w:rPr>
        <w:t>date after finalisation of the r</w:t>
      </w:r>
      <w:r w:rsidRPr="00CE7748">
        <w:rPr>
          <w:rFonts w:ascii="Arial" w:hAnsi="Arial" w:cs="Arial"/>
          <w:sz w:val="24"/>
          <w:szCs w:val="24"/>
        </w:rPr>
        <w:t>eview applicat</w:t>
      </w:r>
      <w:r w:rsidR="00981B6C">
        <w:rPr>
          <w:rFonts w:ascii="Arial" w:hAnsi="Arial" w:cs="Arial"/>
          <w:sz w:val="24"/>
          <w:szCs w:val="24"/>
        </w:rPr>
        <w:t>ion is clear as day that</w:t>
      </w:r>
      <w:r w:rsidRPr="00CE7748">
        <w:rPr>
          <w:rFonts w:ascii="Arial" w:hAnsi="Arial" w:cs="Arial"/>
          <w:sz w:val="24"/>
          <w:szCs w:val="24"/>
        </w:rPr>
        <w:t xml:space="preserve"> the Service Agreement was not terminated on 30 April </w:t>
      </w:r>
      <w:r w:rsidRPr="00CE7748">
        <w:rPr>
          <w:rFonts w:ascii="Arial" w:hAnsi="Arial" w:cs="Arial"/>
          <w:sz w:val="24"/>
          <w:szCs w:val="24"/>
        </w:rPr>
        <w:lastRenderedPageBreak/>
        <w:t xml:space="preserve">2022. To the contrary, the withdrawal of the notice of cancellation was consented to by Menzies. I find that, in the premises, there was no tacit relocation between the parties. </w:t>
      </w:r>
      <w:r w:rsidR="00D64914" w:rsidRPr="00CE7748">
        <w:rPr>
          <w:rFonts w:ascii="Arial" w:hAnsi="Arial" w:cs="Arial"/>
          <w:sz w:val="24"/>
          <w:szCs w:val="24"/>
        </w:rPr>
        <w:t xml:space="preserve"> </w:t>
      </w:r>
    </w:p>
    <w:p w14:paraId="46807F78" w14:textId="77777777" w:rsidR="00CA2074" w:rsidRPr="00CE7748" w:rsidRDefault="00CA2074" w:rsidP="00CA2074">
      <w:pPr>
        <w:pStyle w:val="ListParagraph"/>
        <w:spacing w:line="360" w:lineRule="auto"/>
        <w:ind w:left="0"/>
        <w:jc w:val="both"/>
        <w:rPr>
          <w:rFonts w:ascii="Arial" w:hAnsi="Arial" w:cs="Arial"/>
          <w:sz w:val="24"/>
          <w:szCs w:val="24"/>
          <w:u w:val="single"/>
        </w:rPr>
      </w:pPr>
    </w:p>
    <w:p w14:paraId="4AA6ED45" w14:textId="77777777" w:rsidR="00CE7748" w:rsidRDefault="00BE5740" w:rsidP="00CE7748">
      <w:pPr>
        <w:pStyle w:val="ListParagraph"/>
        <w:numPr>
          <w:ilvl w:val="0"/>
          <w:numId w:val="1"/>
        </w:numPr>
        <w:spacing w:line="360" w:lineRule="auto"/>
        <w:ind w:left="0" w:firstLine="0"/>
        <w:jc w:val="both"/>
        <w:rPr>
          <w:rFonts w:ascii="Arial" w:hAnsi="Arial" w:cs="Arial"/>
          <w:sz w:val="24"/>
          <w:szCs w:val="24"/>
          <w:u w:val="single"/>
        </w:rPr>
      </w:pPr>
      <w:r w:rsidRPr="00CE7748">
        <w:rPr>
          <w:rFonts w:ascii="Arial" w:hAnsi="Arial" w:cs="Arial"/>
          <w:sz w:val="24"/>
          <w:szCs w:val="24"/>
        </w:rPr>
        <w:t xml:space="preserve">In consideration of the reasons mentioned, findings </w:t>
      </w:r>
      <w:proofErr w:type="gramStart"/>
      <w:r w:rsidRPr="00CE7748">
        <w:rPr>
          <w:rFonts w:ascii="Arial" w:hAnsi="Arial" w:cs="Arial"/>
          <w:sz w:val="24"/>
          <w:szCs w:val="24"/>
        </w:rPr>
        <w:t>made</w:t>
      </w:r>
      <w:proofErr w:type="gramEnd"/>
      <w:r w:rsidR="00981B6C">
        <w:rPr>
          <w:rFonts w:ascii="Arial" w:hAnsi="Arial" w:cs="Arial"/>
          <w:sz w:val="24"/>
          <w:szCs w:val="24"/>
        </w:rPr>
        <w:t xml:space="preserve"> and conclusions reached herein</w:t>
      </w:r>
      <w:r w:rsidRPr="00CE7748">
        <w:rPr>
          <w:rFonts w:ascii="Arial" w:hAnsi="Arial" w:cs="Arial"/>
          <w:sz w:val="24"/>
          <w:szCs w:val="24"/>
        </w:rPr>
        <w:t>above, I am of the view that the applicant has establishe</w:t>
      </w:r>
      <w:r w:rsidR="00CA2074">
        <w:rPr>
          <w:rFonts w:ascii="Arial" w:hAnsi="Arial" w:cs="Arial"/>
          <w:sz w:val="24"/>
          <w:szCs w:val="24"/>
        </w:rPr>
        <w:t xml:space="preserve">d a case for the relief </w:t>
      </w:r>
      <w:r w:rsidR="003641A7">
        <w:rPr>
          <w:rFonts w:ascii="Arial" w:hAnsi="Arial" w:cs="Arial"/>
          <w:sz w:val="24"/>
          <w:szCs w:val="24"/>
        </w:rPr>
        <w:t>that</w:t>
      </w:r>
      <w:r w:rsidR="00CA2074">
        <w:rPr>
          <w:rFonts w:ascii="Arial" w:hAnsi="Arial" w:cs="Arial"/>
          <w:sz w:val="24"/>
          <w:szCs w:val="24"/>
        </w:rPr>
        <w:t xml:space="preserve"> it</w:t>
      </w:r>
      <w:r w:rsidRPr="00CE7748">
        <w:rPr>
          <w:rFonts w:ascii="Arial" w:hAnsi="Arial" w:cs="Arial"/>
          <w:sz w:val="24"/>
          <w:szCs w:val="24"/>
        </w:rPr>
        <w:t xml:space="preserve"> seeks. </w:t>
      </w:r>
    </w:p>
    <w:p w14:paraId="00E93F45" w14:textId="77777777" w:rsidR="00CA2074" w:rsidRPr="00CA2074" w:rsidRDefault="00CA2074" w:rsidP="00CA2074">
      <w:pPr>
        <w:pStyle w:val="ListParagraph"/>
        <w:spacing w:line="360" w:lineRule="auto"/>
        <w:ind w:left="0"/>
        <w:jc w:val="both"/>
        <w:rPr>
          <w:rFonts w:ascii="Arial" w:hAnsi="Arial" w:cs="Arial"/>
          <w:sz w:val="24"/>
          <w:szCs w:val="24"/>
          <w:u w:val="single"/>
        </w:rPr>
      </w:pPr>
    </w:p>
    <w:p w14:paraId="0F2CED52" w14:textId="77777777" w:rsidR="00CE7748" w:rsidRDefault="00282CCF" w:rsidP="00CE7748">
      <w:pPr>
        <w:pStyle w:val="ListParagraph"/>
        <w:spacing w:line="360" w:lineRule="auto"/>
        <w:ind w:left="0"/>
        <w:jc w:val="both"/>
        <w:rPr>
          <w:rFonts w:ascii="Arial" w:hAnsi="Arial" w:cs="Arial"/>
          <w:sz w:val="24"/>
          <w:szCs w:val="24"/>
          <w:u w:val="single"/>
        </w:rPr>
      </w:pPr>
      <w:r w:rsidRPr="00CE7748">
        <w:rPr>
          <w:rFonts w:ascii="Arial" w:hAnsi="Arial" w:cs="Arial"/>
          <w:sz w:val="24"/>
          <w:szCs w:val="24"/>
          <w:u w:val="single"/>
        </w:rPr>
        <w:t>Variation of the order</w:t>
      </w:r>
    </w:p>
    <w:p w14:paraId="49991F8F" w14:textId="77777777" w:rsidR="00CE7748" w:rsidRPr="00CE7748" w:rsidRDefault="00CE7748" w:rsidP="00CE7748">
      <w:pPr>
        <w:pStyle w:val="ListParagraph"/>
        <w:rPr>
          <w:rFonts w:ascii="Arial" w:hAnsi="Arial" w:cs="Arial"/>
          <w:sz w:val="24"/>
          <w:szCs w:val="24"/>
        </w:rPr>
      </w:pPr>
    </w:p>
    <w:p w14:paraId="125C7BD8" w14:textId="77777777" w:rsidR="00CE7748" w:rsidRDefault="000E3A02" w:rsidP="00981B6C">
      <w:pPr>
        <w:pStyle w:val="ListParagraph"/>
        <w:numPr>
          <w:ilvl w:val="0"/>
          <w:numId w:val="1"/>
        </w:numPr>
        <w:spacing w:before="240" w:line="360" w:lineRule="auto"/>
        <w:ind w:left="0" w:firstLine="0"/>
        <w:jc w:val="both"/>
        <w:rPr>
          <w:rFonts w:ascii="Arial" w:hAnsi="Arial" w:cs="Arial"/>
          <w:sz w:val="24"/>
          <w:szCs w:val="24"/>
          <w:u w:val="single"/>
        </w:rPr>
      </w:pPr>
      <w:r w:rsidRPr="00CE7748">
        <w:rPr>
          <w:rFonts w:ascii="Arial" w:hAnsi="Arial" w:cs="Arial"/>
          <w:sz w:val="24"/>
          <w:szCs w:val="24"/>
        </w:rPr>
        <w:t xml:space="preserve">Order number </w:t>
      </w:r>
      <w:r w:rsidR="00981B6C">
        <w:rPr>
          <w:rFonts w:ascii="Arial" w:hAnsi="Arial" w:cs="Arial"/>
          <w:sz w:val="24"/>
          <w:szCs w:val="24"/>
        </w:rPr>
        <w:t>5 (</w:t>
      </w:r>
      <w:r w:rsidRPr="00CE7748">
        <w:rPr>
          <w:rFonts w:ascii="Arial" w:hAnsi="Arial" w:cs="Arial"/>
          <w:sz w:val="24"/>
          <w:szCs w:val="24"/>
        </w:rPr>
        <w:t>five</w:t>
      </w:r>
      <w:r w:rsidR="00981B6C">
        <w:rPr>
          <w:rFonts w:ascii="Arial" w:hAnsi="Arial" w:cs="Arial"/>
          <w:sz w:val="24"/>
          <w:szCs w:val="24"/>
        </w:rPr>
        <w:t>)</w:t>
      </w:r>
      <w:r w:rsidRPr="00CE7748">
        <w:rPr>
          <w:rFonts w:ascii="Arial" w:hAnsi="Arial" w:cs="Arial"/>
          <w:sz w:val="24"/>
          <w:szCs w:val="24"/>
        </w:rPr>
        <w:t xml:space="preserve"> </w:t>
      </w:r>
      <w:r w:rsidR="00B3741A" w:rsidRPr="00CE7748">
        <w:rPr>
          <w:rFonts w:ascii="Arial" w:hAnsi="Arial" w:cs="Arial"/>
          <w:sz w:val="24"/>
          <w:szCs w:val="24"/>
        </w:rPr>
        <w:t>of the order</w:t>
      </w:r>
      <w:r w:rsidR="00981B6C">
        <w:rPr>
          <w:rFonts w:ascii="Arial" w:hAnsi="Arial" w:cs="Arial"/>
          <w:sz w:val="24"/>
          <w:szCs w:val="24"/>
        </w:rPr>
        <w:t>s that were</w:t>
      </w:r>
      <w:r w:rsidR="00B3741A" w:rsidRPr="00CE7748">
        <w:rPr>
          <w:rFonts w:ascii="Arial" w:hAnsi="Arial" w:cs="Arial"/>
          <w:sz w:val="24"/>
          <w:szCs w:val="24"/>
        </w:rPr>
        <w:t xml:space="preserve"> read out before these reasons were released</w:t>
      </w:r>
      <w:r w:rsidR="00981B6C">
        <w:rPr>
          <w:rFonts w:ascii="Arial" w:hAnsi="Arial" w:cs="Arial"/>
          <w:sz w:val="24"/>
          <w:szCs w:val="24"/>
        </w:rPr>
        <w:t>,</w:t>
      </w:r>
      <w:r w:rsidR="00B3741A" w:rsidRPr="00CE7748">
        <w:rPr>
          <w:rFonts w:ascii="Arial" w:hAnsi="Arial" w:cs="Arial"/>
          <w:sz w:val="24"/>
          <w:szCs w:val="24"/>
        </w:rPr>
        <w:t xml:space="preserve"> </w:t>
      </w:r>
      <w:r w:rsidRPr="00CE7748">
        <w:rPr>
          <w:rFonts w:ascii="Arial" w:hAnsi="Arial" w:cs="Arial"/>
          <w:sz w:val="24"/>
          <w:szCs w:val="24"/>
        </w:rPr>
        <w:t xml:space="preserve">reads that the first respondent’s </w:t>
      </w:r>
      <w:proofErr w:type="gramStart"/>
      <w:r w:rsidRPr="00CE7748">
        <w:rPr>
          <w:rFonts w:ascii="Arial" w:hAnsi="Arial" w:cs="Arial"/>
          <w:sz w:val="24"/>
          <w:szCs w:val="24"/>
        </w:rPr>
        <w:t>counter-application</w:t>
      </w:r>
      <w:proofErr w:type="gramEnd"/>
      <w:r w:rsidRPr="00CE7748">
        <w:rPr>
          <w:rFonts w:ascii="Arial" w:hAnsi="Arial" w:cs="Arial"/>
          <w:sz w:val="24"/>
          <w:szCs w:val="24"/>
        </w:rPr>
        <w:t xml:space="preserve"> is dismissed. The veracity or the merits of the </w:t>
      </w:r>
      <w:proofErr w:type="gramStart"/>
      <w:r w:rsidRPr="00CE7748">
        <w:rPr>
          <w:rFonts w:ascii="Arial" w:hAnsi="Arial" w:cs="Arial"/>
          <w:sz w:val="24"/>
          <w:szCs w:val="24"/>
        </w:rPr>
        <w:t>counter-application</w:t>
      </w:r>
      <w:proofErr w:type="gramEnd"/>
      <w:r w:rsidRPr="00CE7748">
        <w:rPr>
          <w:rFonts w:ascii="Arial" w:hAnsi="Arial" w:cs="Arial"/>
          <w:sz w:val="24"/>
          <w:szCs w:val="24"/>
        </w:rPr>
        <w:t xml:space="preserve"> were not discussed. The </w:t>
      </w:r>
      <w:proofErr w:type="gramStart"/>
      <w:r w:rsidRPr="00CE7748">
        <w:rPr>
          <w:rFonts w:ascii="Arial" w:hAnsi="Arial" w:cs="Arial"/>
          <w:sz w:val="24"/>
          <w:szCs w:val="24"/>
        </w:rPr>
        <w:t>counter-application</w:t>
      </w:r>
      <w:proofErr w:type="gramEnd"/>
      <w:r w:rsidRPr="00CE7748">
        <w:rPr>
          <w:rFonts w:ascii="Arial" w:hAnsi="Arial" w:cs="Arial"/>
          <w:sz w:val="24"/>
          <w:szCs w:val="24"/>
        </w:rPr>
        <w:t xml:space="preserve"> failed on</w:t>
      </w:r>
      <w:r w:rsidR="00485175" w:rsidRPr="00CE7748">
        <w:rPr>
          <w:rFonts w:ascii="Arial" w:hAnsi="Arial" w:cs="Arial"/>
          <w:sz w:val="24"/>
          <w:szCs w:val="24"/>
        </w:rPr>
        <w:t xml:space="preserve"> two grounds, namely: firstly, first respondent’s failure to seek and obtain an interim interdict in pursuance of its Review application and secondly, the failure to cite the Review Panel in its counter-application. In the absence of considering the merits of the </w:t>
      </w:r>
      <w:proofErr w:type="gramStart"/>
      <w:r w:rsidR="00485175" w:rsidRPr="00CE7748">
        <w:rPr>
          <w:rFonts w:ascii="Arial" w:hAnsi="Arial" w:cs="Arial"/>
          <w:sz w:val="24"/>
          <w:szCs w:val="24"/>
        </w:rPr>
        <w:t>counter-application</w:t>
      </w:r>
      <w:proofErr w:type="gramEnd"/>
      <w:r w:rsidR="00485175" w:rsidRPr="00CE7748">
        <w:rPr>
          <w:rFonts w:ascii="Arial" w:hAnsi="Arial" w:cs="Arial"/>
          <w:sz w:val="24"/>
          <w:szCs w:val="24"/>
        </w:rPr>
        <w:t xml:space="preserve">, the counter-application </w:t>
      </w:r>
      <w:r w:rsidR="00981B6C">
        <w:rPr>
          <w:rFonts w:ascii="Arial" w:hAnsi="Arial" w:cs="Arial"/>
          <w:sz w:val="24"/>
          <w:szCs w:val="24"/>
        </w:rPr>
        <w:t>should not have</w:t>
      </w:r>
      <w:r w:rsidR="00485175" w:rsidRPr="00CE7748">
        <w:rPr>
          <w:rFonts w:ascii="Arial" w:hAnsi="Arial" w:cs="Arial"/>
          <w:sz w:val="24"/>
          <w:szCs w:val="24"/>
        </w:rPr>
        <w:t xml:space="preserve"> be</w:t>
      </w:r>
      <w:r w:rsidR="00981B6C">
        <w:rPr>
          <w:rFonts w:ascii="Arial" w:hAnsi="Arial" w:cs="Arial"/>
          <w:sz w:val="24"/>
          <w:szCs w:val="24"/>
        </w:rPr>
        <w:t>en</w:t>
      </w:r>
      <w:r w:rsidR="00485175" w:rsidRPr="00CE7748">
        <w:rPr>
          <w:rFonts w:ascii="Arial" w:hAnsi="Arial" w:cs="Arial"/>
          <w:sz w:val="24"/>
          <w:szCs w:val="24"/>
        </w:rPr>
        <w:t xml:space="preserve"> dismissed but ought to</w:t>
      </w:r>
      <w:r w:rsidR="00AF1342">
        <w:rPr>
          <w:rFonts w:ascii="Arial" w:hAnsi="Arial" w:cs="Arial"/>
          <w:sz w:val="24"/>
          <w:szCs w:val="24"/>
        </w:rPr>
        <w:t xml:space="preserve"> have</w:t>
      </w:r>
      <w:r w:rsidR="00485175" w:rsidRPr="00CE7748">
        <w:rPr>
          <w:rFonts w:ascii="Arial" w:hAnsi="Arial" w:cs="Arial"/>
          <w:sz w:val="24"/>
          <w:szCs w:val="24"/>
        </w:rPr>
        <w:t xml:space="preserve"> be</w:t>
      </w:r>
      <w:r w:rsidR="00AF1342">
        <w:rPr>
          <w:rFonts w:ascii="Arial" w:hAnsi="Arial" w:cs="Arial"/>
          <w:sz w:val="24"/>
          <w:szCs w:val="24"/>
        </w:rPr>
        <w:t>en</w:t>
      </w:r>
      <w:r w:rsidR="00485175" w:rsidRPr="00CE7748">
        <w:rPr>
          <w:rFonts w:ascii="Arial" w:hAnsi="Arial" w:cs="Arial"/>
          <w:sz w:val="24"/>
          <w:szCs w:val="24"/>
        </w:rPr>
        <w:t xml:space="preserve"> struck from the roll.</w:t>
      </w:r>
      <w:r w:rsidR="00330C54">
        <w:rPr>
          <w:rFonts w:ascii="Arial" w:hAnsi="Arial" w:cs="Arial"/>
          <w:sz w:val="24"/>
          <w:szCs w:val="24"/>
        </w:rPr>
        <w:t xml:space="preserve"> This is what the Supreme Court stated in </w:t>
      </w:r>
      <w:proofErr w:type="spellStart"/>
      <w:r w:rsidR="00330C54" w:rsidRPr="00330C54">
        <w:rPr>
          <w:rFonts w:ascii="Arial" w:hAnsi="Arial" w:cs="Arial"/>
          <w:i/>
          <w:sz w:val="24"/>
          <w:szCs w:val="24"/>
        </w:rPr>
        <w:t>Shetu</w:t>
      </w:r>
      <w:proofErr w:type="spellEnd"/>
      <w:r w:rsidR="00330C54" w:rsidRPr="00330C54">
        <w:rPr>
          <w:rFonts w:ascii="Arial" w:hAnsi="Arial" w:cs="Arial"/>
          <w:i/>
          <w:sz w:val="24"/>
          <w:szCs w:val="24"/>
        </w:rPr>
        <w:t xml:space="preserve"> Trading CC v Chair of the Tender Board of Namibia and Others</w:t>
      </w:r>
      <w:r w:rsidR="00330C54">
        <w:rPr>
          <w:rFonts w:ascii="Arial" w:hAnsi="Arial" w:cs="Arial"/>
          <w:sz w:val="24"/>
          <w:szCs w:val="24"/>
        </w:rPr>
        <w:t>.</w:t>
      </w:r>
      <w:r w:rsidR="007E21D2">
        <w:rPr>
          <w:rStyle w:val="FootnoteReference"/>
          <w:rFonts w:ascii="Arial" w:hAnsi="Arial" w:cs="Arial"/>
          <w:sz w:val="24"/>
          <w:szCs w:val="24"/>
        </w:rPr>
        <w:footnoteReference w:id="18"/>
      </w:r>
    </w:p>
    <w:p w14:paraId="0107C2D2" w14:textId="77777777" w:rsidR="00CE7748" w:rsidRPr="00CE7748" w:rsidRDefault="00CE7748" w:rsidP="00CE7748">
      <w:pPr>
        <w:pStyle w:val="ListParagraph"/>
        <w:rPr>
          <w:rFonts w:ascii="Arial" w:hAnsi="Arial"/>
          <w:sz w:val="24"/>
          <w:szCs w:val="24"/>
        </w:rPr>
      </w:pPr>
    </w:p>
    <w:p w14:paraId="21C9B25B" w14:textId="77777777" w:rsidR="00E50A6F" w:rsidRPr="00CE7748" w:rsidRDefault="00E50A6F" w:rsidP="00CE7748">
      <w:pPr>
        <w:pStyle w:val="ListParagraph"/>
        <w:numPr>
          <w:ilvl w:val="0"/>
          <w:numId w:val="1"/>
        </w:numPr>
        <w:spacing w:line="360" w:lineRule="auto"/>
        <w:ind w:left="0" w:firstLine="0"/>
        <w:jc w:val="both"/>
        <w:rPr>
          <w:rFonts w:ascii="Arial" w:hAnsi="Arial" w:cs="Arial"/>
          <w:sz w:val="24"/>
          <w:szCs w:val="24"/>
          <w:u w:val="single"/>
        </w:rPr>
      </w:pPr>
      <w:r w:rsidRPr="00CE7748">
        <w:rPr>
          <w:rFonts w:ascii="Arial" w:hAnsi="Arial"/>
          <w:sz w:val="24"/>
          <w:szCs w:val="24"/>
        </w:rPr>
        <w:t>Rule 103(1), reads as follows:</w:t>
      </w:r>
    </w:p>
    <w:p w14:paraId="51CC0C26" w14:textId="77777777" w:rsidR="009A4972" w:rsidRPr="00927BBD" w:rsidRDefault="009A4972" w:rsidP="009A4972">
      <w:pPr>
        <w:spacing w:line="360" w:lineRule="auto"/>
        <w:jc w:val="both"/>
        <w:rPr>
          <w:rFonts w:ascii="Arial" w:hAnsi="Arial"/>
        </w:rPr>
      </w:pPr>
      <w:r w:rsidRPr="00927BBD">
        <w:rPr>
          <w:rFonts w:ascii="Arial" w:hAnsi="Arial"/>
        </w:rPr>
        <w:t xml:space="preserve">‘In addition to the powers it may have, the court may of its own initiative or on the application of any party affected brought within a reasonable time, </w:t>
      </w:r>
      <w:proofErr w:type="gramStart"/>
      <w:r w:rsidRPr="00927BBD">
        <w:rPr>
          <w:rFonts w:ascii="Arial" w:hAnsi="Arial"/>
        </w:rPr>
        <w:t>rescind</w:t>
      </w:r>
      <w:proofErr w:type="gramEnd"/>
      <w:r w:rsidRPr="00927BBD">
        <w:rPr>
          <w:rFonts w:ascii="Arial" w:hAnsi="Arial"/>
        </w:rPr>
        <w:t xml:space="preserve"> or vary any order or judgment –</w:t>
      </w:r>
    </w:p>
    <w:p w14:paraId="1BFAF0E6" w14:textId="77777777" w:rsidR="009A4972" w:rsidRDefault="009A4972" w:rsidP="009A4972">
      <w:pPr>
        <w:pStyle w:val="ListParagraph"/>
        <w:numPr>
          <w:ilvl w:val="0"/>
          <w:numId w:val="9"/>
        </w:numPr>
        <w:spacing w:after="0" w:line="360" w:lineRule="auto"/>
        <w:jc w:val="both"/>
        <w:rPr>
          <w:rFonts w:ascii="Arial" w:hAnsi="Arial"/>
        </w:rPr>
      </w:pPr>
      <w:r w:rsidRPr="00927BBD">
        <w:rPr>
          <w:rFonts w:ascii="Arial" w:hAnsi="Arial"/>
        </w:rPr>
        <w:t xml:space="preserve">erroneously sought or erroneously granted in the absence of a party affected </w:t>
      </w:r>
      <w:proofErr w:type="gramStart"/>
      <w:r w:rsidRPr="00927BBD">
        <w:rPr>
          <w:rFonts w:ascii="Arial" w:hAnsi="Arial"/>
        </w:rPr>
        <w:t>thereby;.</w:t>
      </w:r>
      <w:proofErr w:type="gramEnd"/>
    </w:p>
    <w:p w14:paraId="04F876AF" w14:textId="77777777" w:rsidR="009A4972" w:rsidRDefault="009A4972" w:rsidP="009A4972">
      <w:pPr>
        <w:pStyle w:val="ListParagraph"/>
        <w:numPr>
          <w:ilvl w:val="0"/>
          <w:numId w:val="9"/>
        </w:numPr>
        <w:spacing w:after="0" w:line="360" w:lineRule="auto"/>
        <w:jc w:val="both"/>
        <w:rPr>
          <w:rFonts w:ascii="Arial" w:hAnsi="Arial"/>
        </w:rPr>
      </w:pPr>
      <w:r>
        <w:rPr>
          <w:rFonts w:ascii="Arial" w:hAnsi="Arial"/>
        </w:rPr>
        <w:t xml:space="preserve">In respect of interest or costs granted in the absence of any party affected </w:t>
      </w:r>
      <w:proofErr w:type="gramStart"/>
      <w:r>
        <w:rPr>
          <w:rFonts w:ascii="Arial" w:hAnsi="Arial"/>
        </w:rPr>
        <w:t>thereby;</w:t>
      </w:r>
      <w:proofErr w:type="gramEnd"/>
    </w:p>
    <w:p w14:paraId="4AEDC3DB" w14:textId="77777777" w:rsidR="009A4972" w:rsidRDefault="009A4972" w:rsidP="009A4972">
      <w:pPr>
        <w:pStyle w:val="ListParagraph"/>
        <w:numPr>
          <w:ilvl w:val="0"/>
          <w:numId w:val="9"/>
        </w:numPr>
        <w:spacing w:after="0" w:line="360" w:lineRule="auto"/>
        <w:jc w:val="both"/>
        <w:rPr>
          <w:rFonts w:ascii="Arial" w:hAnsi="Arial"/>
        </w:rPr>
      </w:pPr>
      <w:r>
        <w:rPr>
          <w:rFonts w:ascii="Arial" w:hAnsi="Arial"/>
        </w:rPr>
        <w:t xml:space="preserve">In which there is an ambiguity or patent error or omission, but only to the extent of that ambiguity or omission; or </w:t>
      </w:r>
    </w:p>
    <w:p w14:paraId="1E7F8FD0" w14:textId="77777777" w:rsidR="009A4972" w:rsidRPr="00927BBD" w:rsidRDefault="009A4972" w:rsidP="009A4972">
      <w:pPr>
        <w:pStyle w:val="ListParagraph"/>
        <w:numPr>
          <w:ilvl w:val="0"/>
          <w:numId w:val="9"/>
        </w:numPr>
        <w:spacing w:after="0" w:line="360" w:lineRule="auto"/>
        <w:jc w:val="both"/>
        <w:rPr>
          <w:rFonts w:ascii="Arial" w:hAnsi="Arial"/>
        </w:rPr>
      </w:pPr>
      <w:r>
        <w:rPr>
          <w:rFonts w:ascii="Arial" w:hAnsi="Arial"/>
        </w:rPr>
        <w:t xml:space="preserve">An order granted </w:t>
      </w:r>
      <w:proofErr w:type="gramStart"/>
      <w:r>
        <w:rPr>
          <w:rFonts w:ascii="Arial" w:hAnsi="Arial"/>
        </w:rPr>
        <w:t>as a result of</w:t>
      </w:r>
      <w:proofErr w:type="gramEnd"/>
      <w:r>
        <w:rPr>
          <w:rFonts w:ascii="Arial" w:hAnsi="Arial"/>
        </w:rPr>
        <w:t xml:space="preserve"> a mistake common to the parties.</w:t>
      </w:r>
      <w:r w:rsidRPr="00927BBD">
        <w:rPr>
          <w:rFonts w:ascii="Arial" w:hAnsi="Arial"/>
        </w:rPr>
        <w:t>’</w:t>
      </w:r>
    </w:p>
    <w:p w14:paraId="1EBCDD94" w14:textId="77777777" w:rsidR="009A4972" w:rsidRPr="009A4972" w:rsidRDefault="009A4972" w:rsidP="009A4972">
      <w:pPr>
        <w:pStyle w:val="ListParagraph"/>
        <w:rPr>
          <w:rFonts w:ascii="Arial" w:hAnsi="Arial"/>
        </w:rPr>
      </w:pPr>
    </w:p>
    <w:p w14:paraId="4E8D4763" w14:textId="77777777" w:rsidR="009A4972" w:rsidRPr="00282394" w:rsidRDefault="00E056C5" w:rsidP="00B14B06">
      <w:pPr>
        <w:pStyle w:val="ListParagraph"/>
        <w:numPr>
          <w:ilvl w:val="0"/>
          <w:numId w:val="1"/>
        </w:numPr>
        <w:spacing w:line="360" w:lineRule="auto"/>
        <w:ind w:left="0" w:firstLine="0"/>
        <w:jc w:val="both"/>
        <w:rPr>
          <w:rFonts w:ascii="Arial" w:hAnsi="Arial"/>
          <w:sz w:val="24"/>
          <w:szCs w:val="24"/>
        </w:rPr>
      </w:pPr>
      <w:r w:rsidRPr="00282394">
        <w:rPr>
          <w:rFonts w:ascii="Arial" w:hAnsi="Arial"/>
          <w:sz w:val="24"/>
          <w:szCs w:val="24"/>
        </w:rPr>
        <w:t xml:space="preserve">The order of dismissing the first respondent’s </w:t>
      </w:r>
      <w:proofErr w:type="gramStart"/>
      <w:r w:rsidRPr="00282394">
        <w:rPr>
          <w:rFonts w:ascii="Arial" w:hAnsi="Arial"/>
          <w:sz w:val="24"/>
          <w:szCs w:val="24"/>
        </w:rPr>
        <w:t>counter-application</w:t>
      </w:r>
      <w:proofErr w:type="gramEnd"/>
      <w:r w:rsidRPr="00282394">
        <w:rPr>
          <w:rFonts w:ascii="Arial" w:hAnsi="Arial"/>
          <w:sz w:val="24"/>
          <w:szCs w:val="24"/>
        </w:rPr>
        <w:t xml:space="preserve"> constitutes an error</w:t>
      </w:r>
      <w:r w:rsidR="00282394">
        <w:rPr>
          <w:rFonts w:ascii="Arial" w:hAnsi="Arial"/>
          <w:sz w:val="24"/>
          <w:szCs w:val="24"/>
        </w:rPr>
        <w:t xml:space="preserve">. Upon the realisation of the error, the </w:t>
      </w:r>
      <w:r w:rsidRPr="00282394">
        <w:rPr>
          <w:rFonts w:ascii="Arial" w:hAnsi="Arial"/>
          <w:sz w:val="24"/>
          <w:szCs w:val="24"/>
        </w:rPr>
        <w:t xml:space="preserve">court </w:t>
      </w:r>
      <w:r w:rsidR="00282394">
        <w:rPr>
          <w:rFonts w:ascii="Arial" w:hAnsi="Arial"/>
          <w:sz w:val="24"/>
          <w:szCs w:val="24"/>
        </w:rPr>
        <w:t>o</w:t>
      </w:r>
      <w:r w:rsidRPr="00282394">
        <w:rPr>
          <w:rFonts w:ascii="Arial" w:hAnsi="Arial"/>
          <w:sz w:val="24"/>
          <w:szCs w:val="24"/>
        </w:rPr>
        <w:t xml:space="preserve">n its own initiative decided to vary </w:t>
      </w:r>
      <w:r w:rsidRPr="00282394">
        <w:rPr>
          <w:rFonts w:ascii="Arial" w:hAnsi="Arial"/>
          <w:sz w:val="24"/>
          <w:szCs w:val="24"/>
        </w:rPr>
        <w:lastRenderedPageBreak/>
        <w:t xml:space="preserve">the said order to read that the </w:t>
      </w:r>
      <w:r w:rsidR="00A52AFF" w:rsidRPr="00282394">
        <w:rPr>
          <w:rFonts w:ascii="Arial" w:hAnsi="Arial"/>
          <w:sz w:val="24"/>
          <w:szCs w:val="24"/>
        </w:rPr>
        <w:t xml:space="preserve">order that the </w:t>
      </w:r>
      <w:r w:rsidRPr="00282394">
        <w:rPr>
          <w:rFonts w:ascii="Arial" w:hAnsi="Arial"/>
          <w:sz w:val="24"/>
          <w:szCs w:val="24"/>
        </w:rPr>
        <w:t xml:space="preserve">first respondent’s </w:t>
      </w:r>
      <w:proofErr w:type="gramStart"/>
      <w:r w:rsidRPr="00282394">
        <w:rPr>
          <w:rFonts w:ascii="Arial" w:hAnsi="Arial"/>
          <w:sz w:val="24"/>
          <w:szCs w:val="24"/>
        </w:rPr>
        <w:t>counter-application</w:t>
      </w:r>
      <w:proofErr w:type="gramEnd"/>
      <w:r w:rsidRPr="00282394">
        <w:rPr>
          <w:rFonts w:ascii="Arial" w:hAnsi="Arial"/>
          <w:sz w:val="24"/>
          <w:szCs w:val="24"/>
        </w:rPr>
        <w:t xml:space="preserve"> is </w:t>
      </w:r>
      <w:r w:rsidR="00A52AFF" w:rsidRPr="00282394">
        <w:rPr>
          <w:rFonts w:ascii="Arial" w:hAnsi="Arial"/>
          <w:sz w:val="24"/>
          <w:szCs w:val="24"/>
        </w:rPr>
        <w:t>dismissed is varied in terms of rule 103(1)</w:t>
      </w:r>
      <w:r w:rsidR="00282394">
        <w:rPr>
          <w:rFonts w:ascii="Arial" w:hAnsi="Arial"/>
          <w:sz w:val="24"/>
          <w:szCs w:val="24"/>
        </w:rPr>
        <w:t xml:space="preserve"> </w:t>
      </w:r>
      <w:r w:rsidR="00A52AFF" w:rsidRPr="00282394">
        <w:rPr>
          <w:rFonts w:ascii="Arial" w:hAnsi="Arial"/>
          <w:sz w:val="24"/>
          <w:szCs w:val="24"/>
        </w:rPr>
        <w:t>to read that the first respondent</w:t>
      </w:r>
      <w:r w:rsidR="00282394">
        <w:rPr>
          <w:rFonts w:ascii="Arial" w:hAnsi="Arial"/>
          <w:sz w:val="24"/>
          <w:szCs w:val="24"/>
        </w:rPr>
        <w:t>’</w:t>
      </w:r>
      <w:r w:rsidR="00A52AFF" w:rsidRPr="00282394">
        <w:rPr>
          <w:rFonts w:ascii="Arial" w:hAnsi="Arial"/>
          <w:sz w:val="24"/>
          <w:szCs w:val="24"/>
        </w:rPr>
        <w:t xml:space="preserve">s counter-application is </w:t>
      </w:r>
      <w:r w:rsidRPr="00282394">
        <w:rPr>
          <w:rFonts w:ascii="Arial" w:hAnsi="Arial"/>
          <w:sz w:val="24"/>
          <w:szCs w:val="24"/>
        </w:rPr>
        <w:t xml:space="preserve">struck from the roll. </w:t>
      </w:r>
    </w:p>
    <w:p w14:paraId="1CF88BE4" w14:textId="77777777" w:rsidR="009A4972" w:rsidRPr="009A4972" w:rsidRDefault="009A4972" w:rsidP="009A4972">
      <w:pPr>
        <w:pStyle w:val="ListParagraph"/>
        <w:rPr>
          <w:rFonts w:ascii="Arial" w:hAnsi="Arial"/>
        </w:rPr>
      </w:pPr>
    </w:p>
    <w:p w14:paraId="061B6506" w14:textId="77777777" w:rsidR="0001357C" w:rsidRPr="0001357C" w:rsidRDefault="0001357C" w:rsidP="005B71A8">
      <w:pPr>
        <w:pStyle w:val="ListParagraph"/>
        <w:tabs>
          <w:tab w:val="left" w:pos="2405"/>
        </w:tabs>
        <w:spacing w:line="360" w:lineRule="auto"/>
        <w:ind w:left="0"/>
        <w:jc w:val="both"/>
        <w:rPr>
          <w:rFonts w:ascii="Arial" w:hAnsi="Arial" w:cs="Arial"/>
          <w:sz w:val="24"/>
          <w:szCs w:val="24"/>
          <w:u w:val="single"/>
        </w:rPr>
      </w:pPr>
      <w:r w:rsidRPr="0001357C">
        <w:rPr>
          <w:rFonts w:ascii="Arial" w:hAnsi="Arial" w:cs="Arial"/>
          <w:sz w:val="24"/>
          <w:szCs w:val="24"/>
          <w:u w:val="single"/>
        </w:rPr>
        <w:t>C</w:t>
      </w:r>
      <w:r w:rsidR="005B71A8">
        <w:rPr>
          <w:rFonts w:ascii="Arial" w:hAnsi="Arial" w:cs="Arial"/>
          <w:sz w:val="24"/>
          <w:szCs w:val="24"/>
          <w:u w:val="single"/>
        </w:rPr>
        <w:t>osts</w:t>
      </w:r>
    </w:p>
    <w:p w14:paraId="63FF5DAF" w14:textId="77777777" w:rsidR="0001357C" w:rsidRDefault="0001357C" w:rsidP="0001357C">
      <w:pPr>
        <w:pStyle w:val="ListParagraph"/>
        <w:spacing w:line="360" w:lineRule="auto"/>
        <w:ind w:left="0"/>
        <w:jc w:val="both"/>
        <w:rPr>
          <w:rFonts w:ascii="Arial" w:hAnsi="Arial" w:cs="Arial"/>
          <w:sz w:val="24"/>
          <w:szCs w:val="24"/>
        </w:rPr>
      </w:pPr>
    </w:p>
    <w:p w14:paraId="56B9FFDA" w14:textId="77777777" w:rsidR="00CE7748" w:rsidRPr="00CE7748" w:rsidRDefault="00D72794" w:rsidP="008C121A">
      <w:pPr>
        <w:pStyle w:val="ListParagraph"/>
        <w:numPr>
          <w:ilvl w:val="0"/>
          <w:numId w:val="1"/>
        </w:numPr>
        <w:spacing w:line="360" w:lineRule="auto"/>
        <w:ind w:left="0" w:firstLine="0"/>
        <w:jc w:val="both"/>
        <w:rPr>
          <w:rFonts w:ascii="Arial" w:hAnsi="Arial" w:cs="Arial"/>
          <w:sz w:val="24"/>
          <w:szCs w:val="24"/>
        </w:rPr>
      </w:pPr>
      <w:r>
        <w:rPr>
          <w:rFonts w:ascii="Arial" w:eastAsia="Times New Roman" w:hAnsi="Arial" w:cs="Arial"/>
          <w:color w:val="000000"/>
          <w:sz w:val="24"/>
          <w:szCs w:val="24"/>
          <w:shd w:val="clear" w:color="auto" w:fill="FFFFFF"/>
          <w:lang w:val="en-GB"/>
        </w:rPr>
        <w:t xml:space="preserve">The principle regarding costs is firmly set in our law. It is that costs follow the event. I have not been persuaded nor could I find convincing reasons from the record why this well-established principle should not be applied in this matter. Therefore, in view of the conclusions reached above, the applicant and the second respondent are awarded costs. </w:t>
      </w:r>
    </w:p>
    <w:p w14:paraId="38994302" w14:textId="77777777" w:rsidR="00CE7748" w:rsidRPr="00CE7748" w:rsidRDefault="00CE7748" w:rsidP="00CE7748">
      <w:pPr>
        <w:pStyle w:val="ListParagraph"/>
        <w:spacing w:line="360" w:lineRule="auto"/>
        <w:ind w:left="0"/>
        <w:jc w:val="both"/>
        <w:rPr>
          <w:rFonts w:ascii="Arial" w:hAnsi="Arial" w:cs="Arial"/>
          <w:sz w:val="24"/>
          <w:szCs w:val="24"/>
        </w:rPr>
      </w:pPr>
    </w:p>
    <w:p w14:paraId="6AAC8462" w14:textId="77777777" w:rsidR="008C121A" w:rsidRPr="00CA2074" w:rsidRDefault="008C121A" w:rsidP="008C121A">
      <w:pPr>
        <w:pStyle w:val="ListParagraph"/>
        <w:numPr>
          <w:ilvl w:val="0"/>
          <w:numId w:val="1"/>
        </w:numPr>
        <w:spacing w:line="360" w:lineRule="auto"/>
        <w:ind w:left="0" w:firstLine="0"/>
        <w:jc w:val="both"/>
        <w:rPr>
          <w:rFonts w:ascii="Arial" w:hAnsi="Arial" w:cs="Arial"/>
          <w:sz w:val="24"/>
          <w:szCs w:val="24"/>
        </w:rPr>
      </w:pPr>
      <w:r w:rsidRPr="00CE7748">
        <w:rPr>
          <w:rFonts w:ascii="Arial" w:hAnsi="Arial" w:cs="Arial"/>
          <w:sz w:val="24"/>
          <w:szCs w:val="24"/>
          <w:u w:val="single"/>
        </w:rPr>
        <w:t>Order</w:t>
      </w:r>
    </w:p>
    <w:p w14:paraId="775F8993" w14:textId="77777777" w:rsidR="00CA2074" w:rsidRPr="00CA2074" w:rsidRDefault="00CA2074" w:rsidP="00CA2074">
      <w:pPr>
        <w:pStyle w:val="ListParagraph"/>
        <w:spacing w:line="360" w:lineRule="auto"/>
        <w:ind w:left="0"/>
        <w:jc w:val="both"/>
        <w:rPr>
          <w:rFonts w:ascii="Arial" w:hAnsi="Arial" w:cs="Arial"/>
          <w:sz w:val="24"/>
          <w:szCs w:val="24"/>
        </w:rPr>
      </w:pPr>
    </w:p>
    <w:p w14:paraId="272DD4C6" w14:textId="77777777" w:rsidR="008C121A" w:rsidRPr="00DB1E72" w:rsidRDefault="008C121A" w:rsidP="00DB1E72">
      <w:pPr>
        <w:pStyle w:val="ListParagraph"/>
        <w:numPr>
          <w:ilvl w:val="0"/>
          <w:numId w:val="10"/>
        </w:numPr>
        <w:autoSpaceDE w:val="0"/>
        <w:autoSpaceDN w:val="0"/>
        <w:adjustRightInd w:val="0"/>
        <w:spacing w:after="0" w:line="360" w:lineRule="auto"/>
        <w:jc w:val="both"/>
        <w:rPr>
          <w:rFonts w:ascii="Arial" w:hAnsi="Arial" w:cs="Arial"/>
          <w:sz w:val="24"/>
          <w:szCs w:val="24"/>
        </w:rPr>
      </w:pPr>
      <w:r w:rsidRPr="00DB1E72">
        <w:rPr>
          <w:rFonts w:ascii="Arial" w:hAnsi="Arial" w:cs="Arial"/>
          <w:sz w:val="24"/>
          <w:szCs w:val="24"/>
        </w:rPr>
        <w:t>The applicant’s non-compliance with the prescribed periods of time and forms of service, is hereby condoned and the matter is enrolled as one of urgency in terms of Rule 73 (3) of the Rules of this court.</w:t>
      </w:r>
    </w:p>
    <w:p w14:paraId="244879E3" w14:textId="77777777" w:rsidR="008C121A" w:rsidRPr="008C121A" w:rsidRDefault="008C121A" w:rsidP="008C121A">
      <w:pPr>
        <w:pStyle w:val="ListParagraph"/>
        <w:autoSpaceDE w:val="0"/>
        <w:autoSpaceDN w:val="0"/>
        <w:adjustRightInd w:val="0"/>
        <w:spacing w:line="360" w:lineRule="auto"/>
        <w:jc w:val="both"/>
        <w:rPr>
          <w:rFonts w:ascii="Arial" w:hAnsi="Arial" w:cs="Arial"/>
          <w:sz w:val="24"/>
          <w:szCs w:val="24"/>
        </w:rPr>
      </w:pPr>
    </w:p>
    <w:p w14:paraId="0B78B7A9" w14:textId="77777777" w:rsidR="008C121A" w:rsidRPr="00DB1E72" w:rsidRDefault="008C121A" w:rsidP="00DB1E72">
      <w:pPr>
        <w:pStyle w:val="ListParagraph"/>
        <w:numPr>
          <w:ilvl w:val="0"/>
          <w:numId w:val="10"/>
        </w:numPr>
        <w:autoSpaceDE w:val="0"/>
        <w:autoSpaceDN w:val="0"/>
        <w:adjustRightInd w:val="0"/>
        <w:spacing w:after="0" w:line="360" w:lineRule="auto"/>
        <w:jc w:val="both"/>
        <w:rPr>
          <w:rFonts w:ascii="Arial" w:hAnsi="Arial" w:cs="Arial"/>
          <w:sz w:val="24"/>
          <w:szCs w:val="24"/>
        </w:rPr>
      </w:pPr>
      <w:r w:rsidRPr="00DB1E72">
        <w:rPr>
          <w:rFonts w:ascii="Arial" w:hAnsi="Arial" w:cs="Arial"/>
          <w:sz w:val="24"/>
          <w:szCs w:val="24"/>
        </w:rPr>
        <w:t xml:space="preserve">It is declared that the agreement </w:t>
      </w:r>
      <w:proofErr w:type="gramStart"/>
      <w:r w:rsidRPr="00DB1E72">
        <w:rPr>
          <w:rFonts w:ascii="Arial" w:hAnsi="Arial" w:cs="Arial"/>
          <w:sz w:val="24"/>
          <w:szCs w:val="24"/>
        </w:rPr>
        <w:t>entered into</w:t>
      </w:r>
      <w:proofErr w:type="gramEnd"/>
      <w:r w:rsidRPr="00DB1E72">
        <w:rPr>
          <w:rFonts w:ascii="Arial" w:hAnsi="Arial" w:cs="Arial"/>
          <w:sz w:val="24"/>
          <w:szCs w:val="24"/>
        </w:rPr>
        <w:t xml:space="preserve"> between the applicant and the first respondent for the first respondent to provide ground handling services at Hosea </w:t>
      </w:r>
      <w:proofErr w:type="spellStart"/>
      <w:r w:rsidRPr="00DB1E72">
        <w:rPr>
          <w:rFonts w:ascii="Arial" w:hAnsi="Arial" w:cs="Arial"/>
          <w:sz w:val="24"/>
          <w:szCs w:val="24"/>
        </w:rPr>
        <w:t>Kutako</w:t>
      </w:r>
      <w:proofErr w:type="spellEnd"/>
      <w:r w:rsidRPr="00DB1E72">
        <w:rPr>
          <w:rFonts w:ascii="Arial" w:hAnsi="Arial" w:cs="Arial"/>
          <w:sz w:val="24"/>
          <w:szCs w:val="24"/>
        </w:rPr>
        <w:t xml:space="preserve"> International Airport (“HKIA”) shall terminate on 30 June 2022 (“the termination date”).</w:t>
      </w:r>
    </w:p>
    <w:p w14:paraId="312A78BB" w14:textId="77777777" w:rsidR="008C121A" w:rsidRPr="008C121A" w:rsidRDefault="008C121A" w:rsidP="008C121A">
      <w:pPr>
        <w:pStyle w:val="ListParagraph"/>
        <w:rPr>
          <w:rFonts w:ascii="Arial" w:hAnsi="Arial" w:cs="Arial"/>
          <w:sz w:val="24"/>
          <w:szCs w:val="24"/>
        </w:rPr>
      </w:pPr>
    </w:p>
    <w:p w14:paraId="45666976" w14:textId="77777777" w:rsidR="008C121A" w:rsidRPr="008C121A" w:rsidRDefault="008C121A" w:rsidP="00DB1E72">
      <w:pPr>
        <w:pStyle w:val="ListParagraph"/>
        <w:numPr>
          <w:ilvl w:val="0"/>
          <w:numId w:val="10"/>
        </w:numPr>
        <w:autoSpaceDE w:val="0"/>
        <w:autoSpaceDN w:val="0"/>
        <w:adjustRightInd w:val="0"/>
        <w:spacing w:after="0" w:line="360" w:lineRule="auto"/>
        <w:jc w:val="both"/>
        <w:rPr>
          <w:rFonts w:ascii="Arial" w:hAnsi="Arial" w:cs="Arial"/>
          <w:sz w:val="24"/>
          <w:szCs w:val="24"/>
        </w:rPr>
      </w:pPr>
      <w:r w:rsidRPr="008C121A">
        <w:rPr>
          <w:rFonts w:ascii="Arial" w:hAnsi="Arial" w:cs="Arial"/>
          <w:sz w:val="24"/>
          <w:szCs w:val="24"/>
        </w:rPr>
        <w:t xml:space="preserve">It is declared that the first respondent shall at the end of the day on the termination date: </w:t>
      </w:r>
    </w:p>
    <w:p w14:paraId="04E8B14F" w14:textId="77777777" w:rsidR="008C121A" w:rsidRPr="008C121A" w:rsidRDefault="008C121A" w:rsidP="008C121A">
      <w:pPr>
        <w:pStyle w:val="ListParagraph"/>
        <w:rPr>
          <w:rFonts w:ascii="Arial" w:hAnsi="Arial" w:cs="Arial"/>
          <w:sz w:val="24"/>
          <w:szCs w:val="24"/>
        </w:rPr>
      </w:pPr>
    </w:p>
    <w:p w14:paraId="6DE6C437" w14:textId="77777777" w:rsidR="008C121A" w:rsidRPr="005077C0" w:rsidRDefault="008C121A" w:rsidP="00CA2074">
      <w:pPr>
        <w:pStyle w:val="ListParagraph"/>
        <w:numPr>
          <w:ilvl w:val="1"/>
          <w:numId w:val="11"/>
        </w:numPr>
        <w:autoSpaceDE w:val="0"/>
        <w:autoSpaceDN w:val="0"/>
        <w:adjustRightInd w:val="0"/>
        <w:spacing w:after="0" w:line="360" w:lineRule="auto"/>
        <w:ind w:left="709" w:firstLine="0"/>
        <w:jc w:val="both"/>
        <w:rPr>
          <w:rFonts w:ascii="Arial" w:hAnsi="Arial" w:cs="Arial"/>
          <w:sz w:val="24"/>
          <w:szCs w:val="24"/>
        </w:rPr>
      </w:pPr>
      <w:r w:rsidRPr="005077C0">
        <w:rPr>
          <w:rFonts w:ascii="Arial" w:hAnsi="Arial" w:cs="Arial"/>
          <w:sz w:val="24"/>
          <w:szCs w:val="24"/>
        </w:rPr>
        <w:t xml:space="preserve">cease to provide ground handling services at </w:t>
      </w:r>
      <w:proofErr w:type="gramStart"/>
      <w:r w:rsidRPr="005077C0">
        <w:rPr>
          <w:rFonts w:ascii="Arial" w:hAnsi="Arial" w:cs="Arial"/>
          <w:sz w:val="24"/>
          <w:szCs w:val="24"/>
        </w:rPr>
        <w:t>HKIA;</w:t>
      </w:r>
      <w:proofErr w:type="gramEnd"/>
      <w:r w:rsidRPr="005077C0">
        <w:rPr>
          <w:rFonts w:ascii="Arial" w:hAnsi="Arial" w:cs="Arial"/>
          <w:sz w:val="24"/>
          <w:szCs w:val="24"/>
        </w:rPr>
        <w:t xml:space="preserve"> </w:t>
      </w:r>
    </w:p>
    <w:p w14:paraId="49026BBD" w14:textId="77777777" w:rsidR="008C121A" w:rsidRPr="008C121A" w:rsidRDefault="008C121A" w:rsidP="00CA2074">
      <w:pPr>
        <w:pStyle w:val="ListParagraph"/>
        <w:autoSpaceDE w:val="0"/>
        <w:autoSpaceDN w:val="0"/>
        <w:adjustRightInd w:val="0"/>
        <w:spacing w:line="360" w:lineRule="auto"/>
        <w:ind w:left="709"/>
        <w:jc w:val="both"/>
        <w:rPr>
          <w:rFonts w:ascii="Arial" w:hAnsi="Arial" w:cs="Arial"/>
          <w:sz w:val="24"/>
          <w:szCs w:val="24"/>
        </w:rPr>
      </w:pPr>
    </w:p>
    <w:p w14:paraId="7CEC11F1" w14:textId="77777777" w:rsidR="008C121A" w:rsidRPr="008C121A" w:rsidRDefault="008C121A" w:rsidP="006E3F44">
      <w:pPr>
        <w:pStyle w:val="ListParagraph"/>
        <w:numPr>
          <w:ilvl w:val="1"/>
          <w:numId w:val="11"/>
        </w:numPr>
        <w:autoSpaceDE w:val="0"/>
        <w:autoSpaceDN w:val="0"/>
        <w:adjustRightInd w:val="0"/>
        <w:spacing w:after="0" w:line="360" w:lineRule="auto"/>
        <w:ind w:left="1418" w:hanging="709"/>
        <w:jc w:val="both"/>
        <w:rPr>
          <w:rFonts w:ascii="Arial" w:hAnsi="Arial" w:cs="Arial"/>
          <w:sz w:val="24"/>
          <w:szCs w:val="24"/>
        </w:rPr>
      </w:pPr>
      <w:r w:rsidRPr="008C121A">
        <w:rPr>
          <w:rFonts w:ascii="Arial" w:hAnsi="Arial" w:cs="Arial"/>
          <w:sz w:val="24"/>
          <w:szCs w:val="24"/>
        </w:rPr>
        <w:t xml:space="preserve">hand over all security access cards or other equipment entitling it to access HKIA or any premises which it occupies at HKIA by virtue of the ground handling services agreement with the </w:t>
      </w:r>
      <w:proofErr w:type="gramStart"/>
      <w:r w:rsidRPr="008C121A">
        <w:rPr>
          <w:rFonts w:ascii="Arial" w:hAnsi="Arial" w:cs="Arial"/>
          <w:sz w:val="24"/>
          <w:szCs w:val="24"/>
        </w:rPr>
        <w:t>applicant;</w:t>
      </w:r>
      <w:proofErr w:type="gramEnd"/>
    </w:p>
    <w:p w14:paraId="0779340E" w14:textId="77777777" w:rsidR="008C121A" w:rsidRPr="008C121A" w:rsidRDefault="008C121A" w:rsidP="00CA2074">
      <w:pPr>
        <w:pStyle w:val="ListParagraph"/>
        <w:ind w:left="709"/>
        <w:rPr>
          <w:rFonts w:ascii="Arial" w:hAnsi="Arial" w:cs="Arial"/>
          <w:sz w:val="24"/>
          <w:szCs w:val="24"/>
        </w:rPr>
      </w:pPr>
    </w:p>
    <w:p w14:paraId="4FCEA6F8" w14:textId="77777777" w:rsidR="008C121A" w:rsidRPr="008C121A" w:rsidRDefault="008C121A" w:rsidP="006E3F44">
      <w:pPr>
        <w:pStyle w:val="ListParagraph"/>
        <w:numPr>
          <w:ilvl w:val="1"/>
          <w:numId w:val="11"/>
        </w:numPr>
        <w:autoSpaceDE w:val="0"/>
        <w:autoSpaceDN w:val="0"/>
        <w:adjustRightInd w:val="0"/>
        <w:spacing w:after="0" w:line="360" w:lineRule="auto"/>
        <w:ind w:left="1418" w:hanging="709"/>
        <w:jc w:val="both"/>
        <w:rPr>
          <w:rFonts w:ascii="Arial" w:hAnsi="Arial" w:cs="Arial"/>
          <w:sz w:val="24"/>
          <w:szCs w:val="24"/>
        </w:rPr>
      </w:pPr>
      <w:r w:rsidRPr="008C121A">
        <w:rPr>
          <w:rFonts w:ascii="Arial" w:hAnsi="Arial" w:cs="Arial"/>
          <w:sz w:val="24"/>
          <w:szCs w:val="24"/>
        </w:rPr>
        <w:t>vacate occupation of any premises at HKIA occupied by virtue of the ground handling services agreement.</w:t>
      </w:r>
    </w:p>
    <w:p w14:paraId="45E8668A" w14:textId="77777777" w:rsidR="008C121A" w:rsidRPr="008C121A" w:rsidRDefault="008C121A" w:rsidP="008C121A">
      <w:pPr>
        <w:autoSpaceDE w:val="0"/>
        <w:autoSpaceDN w:val="0"/>
        <w:adjustRightInd w:val="0"/>
        <w:spacing w:line="360" w:lineRule="auto"/>
        <w:jc w:val="both"/>
        <w:rPr>
          <w:rFonts w:ascii="Arial" w:hAnsi="Arial" w:cs="Arial"/>
          <w:sz w:val="24"/>
          <w:szCs w:val="24"/>
        </w:rPr>
      </w:pPr>
    </w:p>
    <w:p w14:paraId="7FB28BEE" w14:textId="77777777" w:rsidR="008C121A" w:rsidRPr="008C121A" w:rsidRDefault="008C121A" w:rsidP="005077C0">
      <w:pPr>
        <w:pStyle w:val="ListParagraph"/>
        <w:numPr>
          <w:ilvl w:val="0"/>
          <w:numId w:val="11"/>
        </w:numPr>
        <w:autoSpaceDE w:val="0"/>
        <w:autoSpaceDN w:val="0"/>
        <w:adjustRightInd w:val="0"/>
        <w:spacing w:after="0" w:line="360" w:lineRule="auto"/>
        <w:jc w:val="both"/>
        <w:rPr>
          <w:rFonts w:ascii="Arial" w:hAnsi="Arial" w:cs="Arial"/>
          <w:sz w:val="24"/>
          <w:szCs w:val="24"/>
        </w:rPr>
      </w:pPr>
      <w:r w:rsidRPr="008C121A">
        <w:rPr>
          <w:rFonts w:ascii="Arial" w:hAnsi="Arial" w:cs="Arial"/>
          <w:sz w:val="24"/>
          <w:szCs w:val="24"/>
        </w:rPr>
        <w:lastRenderedPageBreak/>
        <w:t>If the first respondent refuses to give effect to the order set out in paragraph 3 above, then the Deputy Sheriff of this Court is directed to:</w:t>
      </w:r>
    </w:p>
    <w:p w14:paraId="7FAF1474" w14:textId="77777777" w:rsidR="008C121A" w:rsidRPr="008C121A" w:rsidRDefault="008C121A" w:rsidP="008C121A">
      <w:pPr>
        <w:pStyle w:val="ListParagraph"/>
        <w:autoSpaceDE w:val="0"/>
        <w:autoSpaceDN w:val="0"/>
        <w:adjustRightInd w:val="0"/>
        <w:spacing w:line="360" w:lineRule="auto"/>
        <w:jc w:val="both"/>
        <w:rPr>
          <w:rFonts w:ascii="Arial" w:hAnsi="Arial" w:cs="Arial"/>
          <w:sz w:val="24"/>
          <w:szCs w:val="24"/>
        </w:rPr>
      </w:pPr>
    </w:p>
    <w:p w14:paraId="7AB0B507" w14:textId="77777777" w:rsidR="008C121A" w:rsidRDefault="008C121A" w:rsidP="006E3F44">
      <w:pPr>
        <w:pStyle w:val="ListParagraph"/>
        <w:numPr>
          <w:ilvl w:val="1"/>
          <w:numId w:val="11"/>
        </w:numPr>
        <w:autoSpaceDE w:val="0"/>
        <w:autoSpaceDN w:val="0"/>
        <w:adjustRightInd w:val="0"/>
        <w:spacing w:after="0" w:line="360" w:lineRule="auto"/>
        <w:ind w:left="1418" w:hanging="709"/>
        <w:jc w:val="both"/>
        <w:rPr>
          <w:rFonts w:ascii="Arial" w:hAnsi="Arial" w:cs="Arial"/>
          <w:sz w:val="24"/>
          <w:szCs w:val="24"/>
        </w:rPr>
      </w:pPr>
      <w:r w:rsidRPr="008C121A">
        <w:rPr>
          <w:rFonts w:ascii="Arial" w:hAnsi="Arial" w:cs="Arial"/>
          <w:sz w:val="24"/>
          <w:szCs w:val="24"/>
        </w:rPr>
        <w:t xml:space="preserve">evict the first respondent from HKIA and from all premises of HKIA occupied by the first respondent by virtue of the ground handling services </w:t>
      </w:r>
      <w:proofErr w:type="gramStart"/>
      <w:r w:rsidRPr="008C121A">
        <w:rPr>
          <w:rFonts w:ascii="Arial" w:hAnsi="Arial" w:cs="Arial"/>
          <w:sz w:val="24"/>
          <w:szCs w:val="24"/>
        </w:rPr>
        <w:t>agreement;</w:t>
      </w:r>
      <w:proofErr w:type="gramEnd"/>
    </w:p>
    <w:p w14:paraId="681DB65E" w14:textId="77777777" w:rsidR="00CA2074" w:rsidRPr="008C121A" w:rsidRDefault="00CA2074" w:rsidP="00CA2074">
      <w:pPr>
        <w:pStyle w:val="ListParagraph"/>
        <w:autoSpaceDE w:val="0"/>
        <w:autoSpaceDN w:val="0"/>
        <w:adjustRightInd w:val="0"/>
        <w:spacing w:after="0" w:line="360" w:lineRule="auto"/>
        <w:ind w:left="284"/>
        <w:jc w:val="both"/>
        <w:rPr>
          <w:rFonts w:ascii="Arial" w:hAnsi="Arial" w:cs="Arial"/>
          <w:sz w:val="24"/>
          <w:szCs w:val="24"/>
        </w:rPr>
      </w:pPr>
    </w:p>
    <w:p w14:paraId="56EA127B" w14:textId="77777777" w:rsidR="008C121A" w:rsidRPr="008C121A" w:rsidRDefault="008C121A" w:rsidP="006E3F44">
      <w:pPr>
        <w:pStyle w:val="ListParagraph"/>
        <w:numPr>
          <w:ilvl w:val="1"/>
          <w:numId w:val="11"/>
        </w:numPr>
        <w:autoSpaceDE w:val="0"/>
        <w:autoSpaceDN w:val="0"/>
        <w:adjustRightInd w:val="0"/>
        <w:spacing w:after="0" w:line="360" w:lineRule="auto"/>
        <w:ind w:left="1418" w:hanging="709"/>
        <w:jc w:val="both"/>
        <w:rPr>
          <w:rFonts w:ascii="Arial" w:hAnsi="Arial" w:cs="Arial"/>
          <w:sz w:val="24"/>
          <w:szCs w:val="24"/>
        </w:rPr>
      </w:pPr>
      <w:r w:rsidRPr="008C121A">
        <w:rPr>
          <w:rFonts w:ascii="Arial" w:hAnsi="Arial" w:cs="Arial"/>
          <w:sz w:val="24"/>
          <w:szCs w:val="24"/>
        </w:rPr>
        <w:t xml:space="preserve">remove all equipment belonging to the first respondent from the </w:t>
      </w:r>
      <w:proofErr w:type="gramStart"/>
      <w:r w:rsidRPr="008C121A">
        <w:rPr>
          <w:rFonts w:ascii="Arial" w:hAnsi="Arial" w:cs="Arial"/>
          <w:sz w:val="24"/>
          <w:szCs w:val="24"/>
        </w:rPr>
        <w:t>HKIA;</w:t>
      </w:r>
      <w:proofErr w:type="gramEnd"/>
    </w:p>
    <w:p w14:paraId="6CD3ECD2" w14:textId="77777777" w:rsidR="008C121A" w:rsidRPr="008C121A" w:rsidRDefault="008C121A" w:rsidP="008C121A">
      <w:pPr>
        <w:autoSpaceDE w:val="0"/>
        <w:autoSpaceDN w:val="0"/>
        <w:adjustRightInd w:val="0"/>
        <w:spacing w:line="360" w:lineRule="auto"/>
        <w:jc w:val="both"/>
        <w:rPr>
          <w:rFonts w:ascii="Arial" w:hAnsi="Arial" w:cs="Arial"/>
          <w:sz w:val="24"/>
          <w:szCs w:val="24"/>
        </w:rPr>
      </w:pPr>
    </w:p>
    <w:p w14:paraId="193122F6" w14:textId="77777777" w:rsidR="008C121A" w:rsidRPr="003A2792" w:rsidRDefault="008C121A" w:rsidP="005077C0">
      <w:pPr>
        <w:pStyle w:val="ListParagraph"/>
        <w:numPr>
          <w:ilvl w:val="0"/>
          <w:numId w:val="11"/>
        </w:numPr>
        <w:autoSpaceDE w:val="0"/>
        <w:autoSpaceDN w:val="0"/>
        <w:adjustRightInd w:val="0"/>
        <w:spacing w:after="0" w:line="360" w:lineRule="auto"/>
        <w:jc w:val="both"/>
        <w:rPr>
          <w:rFonts w:ascii="Arial" w:hAnsi="Arial" w:cs="Arial"/>
          <w:sz w:val="24"/>
          <w:szCs w:val="24"/>
        </w:rPr>
      </w:pPr>
      <w:r w:rsidRPr="003A2792">
        <w:rPr>
          <w:rFonts w:ascii="Arial" w:hAnsi="Arial" w:cs="Arial"/>
          <w:sz w:val="24"/>
          <w:szCs w:val="24"/>
        </w:rPr>
        <w:t xml:space="preserve">The </w:t>
      </w:r>
      <w:r w:rsidR="003A2792" w:rsidRPr="003A2792">
        <w:rPr>
          <w:rFonts w:ascii="Arial" w:hAnsi="Arial"/>
          <w:sz w:val="24"/>
          <w:szCs w:val="24"/>
        </w:rPr>
        <w:t xml:space="preserve">order that the first respondent’s </w:t>
      </w:r>
      <w:proofErr w:type="gramStart"/>
      <w:r w:rsidR="003A2792" w:rsidRPr="003A2792">
        <w:rPr>
          <w:rFonts w:ascii="Arial" w:hAnsi="Arial"/>
          <w:sz w:val="24"/>
          <w:szCs w:val="24"/>
        </w:rPr>
        <w:t>counter-application</w:t>
      </w:r>
      <w:proofErr w:type="gramEnd"/>
      <w:r w:rsidR="003A2792" w:rsidRPr="003A2792">
        <w:rPr>
          <w:rFonts w:ascii="Arial" w:hAnsi="Arial"/>
          <w:sz w:val="24"/>
          <w:szCs w:val="24"/>
        </w:rPr>
        <w:t xml:space="preserve"> is dismissed is varied in terms of rule 103(1)</w:t>
      </w:r>
      <w:r w:rsidR="003A2792">
        <w:rPr>
          <w:rFonts w:ascii="Arial" w:hAnsi="Arial"/>
          <w:sz w:val="24"/>
          <w:szCs w:val="24"/>
        </w:rPr>
        <w:t xml:space="preserve"> to read that the first respondent’s c</w:t>
      </w:r>
      <w:r w:rsidR="003A2792" w:rsidRPr="003A2792">
        <w:rPr>
          <w:rFonts w:ascii="Arial" w:hAnsi="Arial"/>
          <w:sz w:val="24"/>
          <w:szCs w:val="24"/>
        </w:rPr>
        <w:t>ounter-application is struck from the roll</w:t>
      </w:r>
      <w:r w:rsidR="003A2792">
        <w:rPr>
          <w:rFonts w:ascii="Arial" w:hAnsi="Arial"/>
          <w:sz w:val="24"/>
          <w:szCs w:val="24"/>
        </w:rPr>
        <w:t xml:space="preserve">. </w:t>
      </w:r>
      <w:r w:rsidRPr="003A2792">
        <w:rPr>
          <w:rFonts w:ascii="Arial" w:hAnsi="Arial" w:cs="Arial"/>
          <w:sz w:val="24"/>
          <w:szCs w:val="24"/>
        </w:rPr>
        <w:t xml:space="preserve"> </w:t>
      </w:r>
    </w:p>
    <w:p w14:paraId="0D16F5C9" w14:textId="77777777" w:rsidR="008C121A" w:rsidRPr="008C121A" w:rsidRDefault="008C121A" w:rsidP="008C121A">
      <w:pPr>
        <w:pStyle w:val="ListParagraph"/>
        <w:rPr>
          <w:rFonts w:ascii="Arial" w:hAnsi="Arial" w:cs="Arial"/>
          <w:sz w:val="24"/>
          <w:szCs w:val="24"/>
        </w:rPr>
      </w:pPr>
    </w:p>
    <w:p w14:paraId="44DFDF42" w14:textId="77777777" w:rsidR="008C121A" w:rsidRPr="008C121A" w:rsidRDefault="00AF1342" w:rsidP="005077C0">
      <w:pPr>
        <w:pStyle w:val="ListParagraph"/>
        <w:numPr>
          <w:ilvl w:val="0"/>
          <w:numId w:val="1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first r</w:t>
      </w:r>
      <w:r w:rsidR="008C121A" w:rsidRPr="008C121A">
        <w:rPr>
          <w:rFonts w:ascii="Arial" w:hAnsi="Arial" w:cs="Arial"/>
          <w:sz w:val="24"/>
          <w:szCs w:val="24"/>
        </w:rPr>
        <w:t xml:space="preserve">espondent is ordered to pay the applicant’s costs of the application and opposition to the counter application and such costs to include costs of one instructing and two instructed Counsel; and further pay the second respondent’s costs limited to the counter application which includes costs of two counsel. </w:t>
      </w:r>
    </w:p>
    <w:p w14:paraId="5B84CC81" w14:textId="77777777" w:rsidR="008C121A" w:rsidRPr="008C121A" w:rsidRDefault="008C121A" w:rsidP="008C121A">
      <w:pPr>
        <w:pStyle w:val="ListParagraph"/>
        <w:autoSpaceDE w:val="0"/>
        <w:autoSpaceDN w:val="0"/>
        <w:adjustRightInd w:val="0"/>
        <w:spacing w:line="360" w:lineRule="auto"/>
        <w:jc w:val="both"/>
        <w:rPr>
          <w:rFonts w:ascii="Arial" w:hAnsi="Arial" w:cs="Arial"/>
          <w:sz w:val="24"/>
          <w:szCs w:val="24"/>
        </w:rPr>
      </w:pPr>
    </w:p>
    <w:p w14:paraId="10A64F6D" w14:textId="77777777" w:rsidR="008C121A" w:rsidRPr="008C121A" w:rsidRDefault="008C121A" w:rsidP="005077C0">
      <w:pPr>
        <w:pStyle w:val="ListParagraph"/>
        <w:numPr>
          <w:ilvl w:val="0"/>
          <w:numId w:val="11"/>
        </w:numPr>
        <w:autoSpaceDE w:val="0"/>
        <w:autoSpaceDN w:val="0"/>
        <w:adjustRightInd w:val="0"/>
        <w:spacing w:after="0" w:line="360" w:lineRule="auto"/>
        <w:jc w:val="both"/>
        <w:rPr>
          <w:rFonts w:ascii="Arial" w:hAnsi="Arial" w:cs="Arial"/>
          <w:sz w:val="24"/>
          <w:szCs w:val="24"/>
        </w:rPr>
      </w:pPr>
      <w:r w:rsidRPr="008C121A">
        <w:rPr>
          <w:rFonts w:ascii="Arial" w:hAnsi="Arial" w:cs="Arial"/>
          <w:sz w:val="24"/>
          <w:szCs w:val="24"/>
        </w:rPr>
        <w:t xml:space="preserve">The matter is removed from the roll and regarded as finalised. </w:t>
      </w:r>
    </w:p>
    <w:p w14:paraId="5741C4EA" w14:textId="77777777" w:rsidR="008C121A" w:rsidRPr="008C121A" w:rsidRDefault="008C121A" w:rsidP="008C121A">
      <w:pPr>
        <w:rPr>
          <w:rFonts w:ascii="Arial" w:hAnsi="Arial" w:cs="Arial"/>
          <w:sz w:val="24"/>
          <w:szCs w:val="24"/>
        </w:rPr>
      </w:pPr>
    </w:p>
    <w:p w14:paraId="112C2751" w14:textId="77777777" w:rsidR="008C121A" w:rsidRPr="008C121A" w:rsidRDefault="008C121A" w:rsidP="008C121A">
      <w:pPr>
        <w:rPr>
          <w:rFonts w:ascii="Arial" w:hAnsi="Arial" w:cs="Arial"/>
          <w:sz w:val="24"/>
          <w:szCs w:val="24"/>
        </w:rPr>
      </w:pPr>
    </w:p>
    <w:p w14:paraId="65ED0DE3" w14:textId="77777777" w:rsidR="008C121A" w:rsidRPr="008C121A" w:rsidRDefault="008C121A" w:rsidP="008C121A">
      <w:pPr>
        <w:ind w:left="6480"/>
        <w:rPr>
          <w:rFonts w:ascii="Arial" w:hAnsi="Arial" w:cs="Arial"/>
          <w:sz w:val="24"/>
          <w:szCs w:val="24"/>
        </w:rPr>
      </w:pPr>
    </w:p>
    <w:p w14:paraId="523AB7E6" w14:textId="77777777" w:rsidR="008C121A" w:rsidRPr="008C121A" w:rsidRDefault="008C121A" w:rsidP="008C121A">
      <w:pPr>
        <w:pStyle w:val="ListParagraph"/>
        <w:spacing w:line="360" w:lineRule="auto"/>
        <w:jc w:val="right"/>
        <w:rPr>
          <w:rFonts w:ascii="Arial" w:hAnsi="Arial" w:cs="Arial"/>
          <w:sz w:val="24"/>
          <w:szCs w:val="24"/>
        </w:rPr>
      </w:pPr>
      <w:r w:rsidRPr="008C121A">
        <w:rPr>
          <w:rFonts w:ascii="Arial" w:hAnsi="Arial" w:cs="Arial"/>
          <w:sz w:val="24"/>
          <w:szCs w:val="24"/>
        </w:rPr>
        <w:t>_____________</w:t>
      </w:r>
    </w:p>
    <w:p w14:paraId="31ADC4C1" w14:textId="77777777" w:rsidR="008C121A" w:rsidRPr="008C121A" w:rsidRDefault="008C121A" w:rsidP="008C121A">
      <w:pPr>
        <w:pStyle w:val="ListParagraph"/>
        <w:spacing w:line="360" w:lineRule="auto"/>
        <w:jc w:val="right"/>
        <w:rPr>
          <w:rFonts w:ascii="Arial" w:hAnsi="Arial" w:cs="Arial"/>
          <w:sz w:val="24"/>
          <w:szCs w:val="24"/>
        </w:rPr>
      </w:pPr>
      <w:r w:rsidRPr="008C121A">
        <w:rPr>
          <w:rFonts w:ascii="Arial" w:hAnsi="Arial" w:cs="Arial"/>
          <w:sz w:val="24"/>
          <w:szCs w:val="24"/>
        </w:rPr>
        <w:t>O S SIBEYA</w:t>
      </w:r>
    </w:p>
    <w:p w14:paraId="7261DD8D" w14:textId="77777777" w:rsidR="008C121A" w:rsidRPr="008C121A" w:rsidRDefault="008C121A" w:rsidP="008C121A">
      <w:pPr>
        <w:pStyle w:val="ListParagraph"/>
        <w:spacing w:line="360" w:lineRule="auto"/>
        <w:jc w:val="right"/>
        <w:rPr>
          <w:rFonts w:ascii="Arial" w:hAnsi="Arial" w:cs="Arial"/>
          <w:sz w:val="24"/>
          <w:szCs w:val="24"/>
        </w:rPr>
      </w:pPr>
      <w:r w:rsidRPr="008C121A">
        <w:rPr>
          <w:rFonts w:ascii="Arial" w:hAnsi="Arial" w:cs="Arial"/>
          <w:sz w:val="24"/>
          <w:szCs w:val="24"/>
        </w:rPr>
        <w:t>JUDGE</w:t>
      </w:r>
    </w:p>
    <w:p w14:paraId="2F7D6854" w14:textId="77777777" w:rsidR="008C121A" w:rsidRPr="008C121A" w:rsidRDefault="008C121A" w:rsidP="008C121A">
      <w:pPr>
        <w:ind w:left="6480"/>
        <w:rPr>
          <w:rFonts w:ascii="Arial" w:hAnsi="Arial" w:cs="Arial"/>
          <w:sz w:val="24"/>
          <w:szCs w:val="24"/>
        </w:rPr>
      </w:pPr>
    </w:p>
    <w:p w14:paraId="79182CF6" w14:textId="77777777" w:rsidR="008C121A" w:rsidRPr="008C121A" w:rsidRDefault="008C121A" w:rsidP="008C121A">
      <w:pPr>
        <w:rPr>
          <w:rFonts w:ascii="Arial" w:hAnsi="Arial" w:cs="Arial"/>
          <w:sz w:val="24"/>
          <w:szCs w:val="24"/>
        </w:rPr>
      </w:pPr>
    </w:p>
    <w:p w14:paraId="2F81E064" w14:textId="77777777" w:rsidR="008C121A" w:rsidRPr="008C121A" w:rsidRDefault="008C121A" w:rsidP="008C121A">
      <w:pPr>
        <w:spacing w:line="360" w:lineRule="auto"/>
        <w:jc w:val="both"/>
        <w:rPr>
          <w:rFonts w:ascii="Arial" w:hAnsi="Arial" w:cs="Arial"/>
          <w:sz w:val="24"/>
          <w:szCs w:val="24"/>
        </w:rPr>
      </w:pPr>
    </w:p>
    <w:p w14:paraId="248A1C18" w14:textId="77777777" w:rsidR="00A07A7E" w:rsidRDefault="00A07A7E" w:rsidP="008C121A">
      <w:pPr>
        <w:spacing w:line="360" w:lineRule="auto"/>
        <w:jc w:val="both"/>
        <w:rPr>
          <w:rFonts w:ascii="Arial" w:hAnsi="Arial" w:cs="Arial"/>
          <w:sz w:val="24"/>
          <w:szCs w:val="24"/>
        </w:rPr>
      </w:pPr>
    </w:p>
    <w:p w14:paraId="61648E4C" w14:textId="77777777" w:rsidR="00AF1342" w:rsidRDefault="00AF1342" w:rsidP="008C121A">
      <w:pPr>
        <w:spacing w:line="360" w:lineRule="auto"/>
        <w:jc w:val="both"/>
        <w:rPr>
          <w:rFonts w:ascii="Arial" w:hAnsi="Arial" w:cs="Arial"/>
          <w:sz w:val="24"/>
          <w:szCs w:val="24"/>
        </w:rPr>
      </w:pPr>
    </w:p>
    <w:p w14:paraId="69B3E1AF" w14:textId="77777777" w:rsidR="00AF1342" w:rsidRDefault="00AF1342" w:rsidP="008C121A">
      <w:pPr>
        <w:spacing w:line="360" w:lineRule="auto"/>
        <w:jc w:val="both"/>
        <w:rPr>
          <w:rFonts w:ascii="Arial" w:hAnsi="Arial" w:cs="Arial"/>
          <w:sz w:val="24"/>
          <w:szCs w:val="24"/>
        </w:rPr>
      </w:pPr>
    </w:p>
    <w:p w14:paraId="34E5DBE1" w14:textId="77777777" w:rsidR="00AF1342" w:rsidRDefault="00AF1342" w:rsidP="008C121A">
      <w:pPr>
        <w:spacing w:line="360" w:lineRule="auto"/>
        <w:jc w:val="both"/>
        <w:rPr>
          <w:rFonts w:ascii="Arial" w:hAnsi="Arial" w:cs="Arial"/>
          <w:sz w:val="24"/>
          <w:szCs w:val="24"/>
        </w:rPr>
      </w:pPr>
    </w:p>
    <w:p w14:paraId="71311064" w14:textId="77777777" w:rsidR="008C121A" w:rsidRDefault="00AF1342" w:rsidP="008C121A">
      <w:pPr>
        <w:spacing w:line="360" w:lineRule="auto"/>
        <w:jc w:val="both"/>
        <w:rPr>
          <w:rFonts w:ascii="Arial" w:hAnsi="Arial" w:cs="Arial"/>
          <w:sz w:val="24"/>
          <w:szCs w:val="24"/>
        </w:rPr>
      </w:pPr>
      <w:r>
        <w:rPr>
          <w:rFonts w:ascii="Arial" w:hAnsi="Arial" w:cs="Arial"/>
          <w:sz w:val="24"/>
          <w:szCs w:val="24"/>
        </w:rPr>
        <w:t>APPEARANCES:</w:t>
      </w:r>
    </w:p>
    <w:p w14:paraId="024EBB60" w14:textId="77777777" w:rsidR="00AF1342" w:rsidRPr="008C121A" w:rsidRDefault="00AF1342" w:rsidP="008C121A">
      <w:pPr>
        <w:spacing w:line="360" w:lineRule="auto"/>
        <w:jc w:val="both"/>
        <w:rPr>
          <w:rFonts w:ascii="Arial" w:hAnsi="Arial" w:cs="Arial"/>
          <w:sz w:val="24"/>
          <w:szCs w:val="24"/>
        </w:rPr>
      </w:pPr>
    </w:p>
    <w:p w14:paraId="21770CD9" w14:textId="77777777" w:rsidR="008C121A" w:rsidRPr="008C121A" w:rsidRDefault="008C121A" w:rsidP="008C121A">
      <w:pPr>
        <w:spacing w:line="360" w:lineRule="auto"/>
        <w:jc w:val="both"/>
        <w:rPr>
          <w:rFonts w:ascii="Arial" w:hAnsi="Arial" w:cs="Arial"/>
          <w:sz w:val="24"/>
          <w:szCs w:val="24"/>
        </w:rPr>
      </w:pPr>
      <w:r w:rsidRPr="008C121A">
        <w:rPr>
          <w:rFonts w:ascii="Arial" w:hAnsi="Arial" w:cs="Arial"/>
          <w:sz w:val="24"/>
          <w:szCs w:val="24"/>
        </w:rPr>
        <w:t>AP</w:t>
      </w:r>
      <w:r w:rsidR="00AF1342">
        <w:rPr>
          <w:rFonts w:ascii="Arial" w:hAnsi="Arial" w:cs="Arial"/>
          <w:sz w:val="24"/>
          <w:szCs w:val="24"/>
        </w:rPr>
        <w:t>PLICANT:</w:t>
      </w:r>
      <w:r w:rsidR="00AF1342">
        <w:rPr>
          <w:rFonts w:ascii="Arial" w:hAnsi="Arial" w:cs="Arial"/>
          <w:sz w:val="24"/>
          <w:szCs w:val="24"/>
        </w:rPr>
        <w:tab/>
      </w:r>
      <w:r w:rsidR="00AF1342">
        <w:rPr>
          <w:rFonts w:ascii="Arial" w:hAnsi="Arial" w:cs="Arial"/>
          <w:sz w:val="24"/>
          <w:szCs w:val="24"/>
        </w:rPr>
        <w:tab/>
      </w:r>
      <w:r w:rsidR="00AF1342">
        <w:rPr>
          <w:rFonts w:ascii="Arial" w:hAnsi="Arial" w:cs="Arial"/>
          <w:sz w:val="24"/>
          <w:szCs w:val="24"/>
        </w:rPr>
        <w:tab/>
      </w:r>
      <w:r w:rsidR="00AF1342">
        <w:rPr>
          <w:rFonts w:ascii="Arial" w:hAnsi="Arial" w:cs="Arial"/>
          <w:sz w:val="24"/>
          <w:szCs w:val="24"/>
        </w:rPr>
        <w:tab/>
        <w:t xml:space="preserve">R </w:t>
      </w:r>
      <w:proofErr w:type="spellStart"/>
      <w:r w:rsidR="00AF1342">
        <w:rPr>
          <w:rFonts w:ascii="Arial" w:hAnsi="Arial" w:cs="Arial"/>
          <w:sz w:val="24"/>
          <w:szCs w:val="24"/>
        </w:rPr>
        <w:t>Bhana</w:t>
      </w:r>
      <w:proofErr w:type="spellEnd"/>
      <w:r w:rsidR="00AF1342">
        <w:rPr>
          <w:rFonts w:ascii="Arial" w:hAnsi="Arial" w:cs="Arial"/>
          <w:sz w:val="24"/>
          <w:szCs w:val="24"/>
        </w:rPr>
        <w:t xml:space="preserve"> SC, (with U </w:t>
      </w:r>
      <w:proofErr w:type="spellStart"/>
      <w:r w:rsidR="00AF1342">
        <w:rPr>
          <w:rFonts w:ascii="Arial" w:hAnsi="Arial" w:cs="Arial"/>
          <w:sz w:val="24"/>
          <w:szCs w:val="24"/>
        </w:rPr>
        <w:t>Hengari</w:t>
      </w:r>
      <w:proofErr w:type="spellEnd"/>
      <w:r w:rsidR="00AF1342">
        <w:rPr>
          <w:rFonts w:ascii="Arial" w:hAnsi="Arial" w:cs="Arial"/>
          <w:sz w:val="24"/>
          <w:szCs w:val="24"/>
        </w:rPr>
        <w:t>)</w:t>
      </w:r>
      <w:r w:rsidRPr="008C121A">
        <w:rPr>
          <w:rFonts w:ascii="Arial" w:hAnsi="Arial" w:cs="Arial"/>
          <w:sz w:val="24"/>
          <w:szCs w:val="24"/>
        </w:rPr>
        <w:t xml:space="preserve">  </w:t>
      </w:r>
    </w:p>
    <w:p w14:paraId="6F34926F" w14:textId="77777777" w:rsidR="008C121A" w:rsidRPr="008C121A" w:rsidRDefault="00AF1342" w:rsidP="008C121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w:t>
      </w:r>
      <w:r w:rsidR="008C121A" w:rsidRPr="008C121A">
        <w:rPr>
          <w:rFonts w:ascii="Arial" w:hAnsi="Arial" w:cs="Arial"/>
          <w:sz w:val="24"/>
          <w:szCs w:val="24"/>
        </w:rPr>
        <w:t>nstructed by Shikongo Law Chambers.</w:t>
      </w:r>
    </w:p>
    <w:p w14:paraId="4EE2A69B" w14:textId="77777777" w:rsidR="008C121A" w:rsidRPr="008C121A" w:rsidRDefault="008C121A" w:rsidP="008C121A">
      <w:pPr>
        <w:spacing w:line="360" w:lineRule="auto"/>
        <w:jc w:val="both"/>
        <w:rPr>
          <w:rFonts w:ascii="Arial" w:hAnsi="Arial" w:cs="Arial"/>
          <w:sz w:val="24"/>
          <w:szCs w:val="24"/>
        </w:rPr>
      </w:pPr>
      <w:r w:rsidRPr="008C121A">
        <w:rPr>
          <w:rFonts w:ascii="Arial" w:hAnsi="Arial" w:cs="Arial"/>
          <w:sz w:val="24"/>
          <w:szCs w:val="24"/>
        </w:rPr>
        <w:tab/>
      </w:r>
      <w:r w:rsidRPr="008C121A">
        <w:rPr>
          <w:rFonts w:ascii="Arial" w:hAnsi="Arial" w:cs="Arial"/>
          <w:sz w:val="24"/>
          <w:szCs w:val="24"/>
        </w:rPr>
        <w:tab/>
      </w:r>
    </w:p>
    <w:p w14:paraId="681E72EE" w14:textId="77777777" w:rsidR="008C121A" w:rsidRPr="008C121A" w:rsidRDefault="008C121A" w:rsidP="008C121A">
      <w:pPr>
        <w:spacing w:line="360" w:lineRule="auto"/>
        <w:jc w:val="both"/>
        <w:rPr>
          <w:rFonts w:ascii="Arial" w:hAnsi="Arial" w:cs="Arial"/>
          <w:sz w:val="24"/>
          <w:szCs w:val="24"/>
        </w:rPr>
      </w:pPr>
      <w:r w:rsidRPr="008C121A">
        <w:rPr>
          <w:rFonts w:ascii="Arial" w:hAnsi="Arial" w:cs="Arial"/>
          <w:sz w:val="24"/>
          <w:szCs w:val="24"/>
        </w:rPr>
        <w:t>FIRST RESPON</w:t>
      </w:r>
      <w:r w:rsidR="00AF1342">
        <w:rPr>
          <w:rFonts w:ascii="Arial" w:hAnsi="Arial" w:cs="Arial"/>
          <w:sz w:val="24"/>
          <w:szCs w:val="24"/>
        </w:rPr>
        <w:t>DENT:</w:t>
      </w:r>
      <w:r w:rsidR="00AF1342">
        <w:rPr>
          <w:rFonts w:ascii="Arial" w:hAnsi="Arial" w:cs="Arial"/>
          <w:sz w:val="24"/>
          <w:szCs w:val="24"/>
        </w:rPr>
        <w:tab/>
      </w:r>
      <w:r w:rsidR="00AF1342">
        <w:rPr>
          <w:rFonts w:ascii="Arial" w:hAnsi="Arial" w:cs="Arial"/>
          <w:sz w:val="24"/>
          <w:szCs w:val="24"/>
        </w:rPr>
        <w:tab/>
        <w:t>R Heathcote SC, (with</w:t>
      </w:r>
      <w:r w:rsidRPr="008C121A">
        <w:rPr>
          <w:rFonts w:ascii="Arial" w:hAnsi="Arial" w:cs="Arial"/>
          <w:sz w:val="24"/>
          <w:szCs w:val="24"/>
        </w:rPr>
        <w:t xml:space="preserve"> JP Jones</w:t>
      </w:r>
      <w:r w:rsidR="00AF1342">
        <w:rPr>
          <w:rFonts w:ascii="Arial" w:hAnsi="Arial" w:cs="Arial"/>
          <w:sz w:val="24"/>
          <w:szCs w:val="24"/>
        </w:rPr>
        <w:t>)</w:t>
      </w:r>
    </w:p>
    <w:p w14:paraId="732C0081" w14:textId="77777777" w:rsidR="008C121A" w:rsidRPr="008C121A" w:rsidRDefault="00AF1342" w:rsidP="008C121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w:t>
      </w:r>
      <w:r w:rsidR="008C121A" w:rsidRPr="008C121A">
        <w:rPr>
          <w:rFonts w:ascii="Arial" w:hAnsi="Arial" w:cs="Arial"/>
          <w:sz w:val="24"/>
          <w:szCs w:val="24"/>
        </w:rPr>
        <w:t>nstructed by Viljoen &amp; Associates</w:t>
      </w:r>
    </w:p>
    <w:p w14:paraId="7A1C5237" w14:textId="77777777" w:rsidR="008C121A" w:rsidRPr="008C121A" w:rsidRDefault="008C121A" w:rsidP="008C121A">
      <w:pPr>
        <w:spacing w:line="360" w:lineRule="auto"/>
        <w:jc w:val="both"/>
        <w:rPr>
          <w:rFonts w:ascii="Arial" w:hAnsi="Arial" w:cs="Arial"/>
          <w:sz w:val="24"/>
          <w:szCs w:val="24"/>
        </w:rPr>
      </w:pPr>
    </w:p>
    <w:p w14:paraId="2B8B03D7" w14:textId="77777777" w:rsidR="008C121A" w:rsidRPr="008C121A" w:rsidRDefault="008C121A" w:rsidP="008C121A">
      <w:pPr>
        <w:spacing w:line="360" w:lineRule="auto"/>
        <w:jc w:val="both"/>
        <w:rPr>
          <w:rFonts w:ascii="Arial" w:hAnsi="Arial" w:cs="Arial"/>
          <w:sz w:val="24"/>
          <w:szCs w:val="24"/>
        </w:rPr>
      </w:pPr>
      <w:r w:rsidRPr="008C121A">
        <w:rPr>
          <w:rFonts w:ascii="Arial" w:hAnsi="Arial" w:cs="Arial"/>
          <w:sz w:val="24"/>
          <w:szCs w:val="24"/>
        </w:rPr>
        <w:t>SECOND R</w:t>
      </w:r>
      <w:r w:rsidR="00AF1342">
        <w:rPr>
          <w:rFonts w:ascii="Arial" w:hAnsi="Arial" w:cs="Arial"/>
          <w:sz w:val="24"/>
          <w:szCs w:val="24"/>
        </w:rPr>
        <w:t>ESEPONDENT:</w:t>
      </w:r>
      <w:r w:rsidR="00AF1342">
        <w:rPr>
          <w:rFonts w:ascii="Arial" w:hAnsi="Arial" w:cs="Arial"/>
          <w:sz w:val="24"/>
          <w:szCs w:val="24"/>
        </w:rPr>
        <w:tab/>
        <w:t xml:space="preserve">S </w:t>
      </w:r>
      <w:proofErr w:type="spellStart"/>
      <w:r w:rsidR="00AF1342">
        <w:rPr>
          <w:rFonts w:ascii="Arial" w:hAnsi="Arial" w:cs="Arial"/>
          <w:sz w:val="24"/>
          <w:szCs w:val="24"/>
        </w:rPr>
        <w:t>Namandje</w:t>
      </w:r>
      <w:proofErr w:type="spellEnd"/>
      <w:r w:rsidR="00AF1342">
        <w:rPr>
          <w:rFonts w:ascii="Arial" w:hAnsi="Arial" w:cs="Arial"/>
          <w:sz w:val="24"/>
          <w:szCs w:val="24"/>
        </w:rPr>
        <w:t>, (with</w:t>
      </w:r>
      <w:r w:rsidRPr="008C121A">
        <w:rPr>
          <w:rFonts w:ascii="Arial" w:hAnsi="Arial" w:cs="Arial"/>
          <w:sz w:val="24"/>
          <w:szCs w:val="24"/>
        </w:rPr>
        <w:t xml:space="preserve"> K </w:t>
      </w:r>
      <w:proofErr w:type="spellStart"/>
      <w:r w:rsidRPr="008C121A">
        <w:rPr>
          <w:rFonts w:ascii="Arial" w:hAnsi="Arial" w:cs="Arial"/>
          <w:sz w:val="24"/>
          <w:szCs w:val="24"/>
        </w:rPr>
        <w:t>Gaeb</w:t>
      </w:r>
      <w:proofErr w:type="spellEnd"/>
      <w:r w:rsidR="00AF1342">
        <w:rPr>
          <w:rFonts w:ascii="Arial" w:hAnsi="Arial" w:cs="Arial"/>
          <w:sz w:val="24"/>
          <w:szCs w:val="24"/>
        </w:rPr>
        <w:t>)</w:t>
      </w:r>
    </w:p>
    <w:p w14:paraId="0F1F0C53" w14:textId="77777777" w:rsidR="005927C5" w:rsidRPr="008C121A" w:rsidRDefault="00AF1342" w:rsidP="008C121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w:t>
      </w:r>
      <w:r w:rsidR="008C121A" w:rsidRPr="008C121A">
        <w:rPr>
          <w:rFonts w:ascii="Arial" w:hAnsi="Arial" w:cs="Arial"/>
          <w:sz w:val="24"/>
          <w:szCs w:val="24"/>
        </w:rPr>
        <w:t xml:space="preserve">f </w:t>
      </w:r>
      <w:proofErr w:type="spellStart"/>
      <w:r w:rsidR="008C121A" w:rsidRPr="008C121A">
        <w:rPr>
          <w:rFonts w:ascii="Arial" w:hAnsi="Arial" w:cs="Arial"/>
          <w:sz w:val="24"/>
          <w:szCs w:val="24"/>
        </w:rPr>
        <w:t>Sisa</w:t>
      </w:r>
      <w:proofErr w:type="spellEnd"/>
      <w:r w:rsidR="008C121A" w:rsidRPr="008C121A">
        <w:rPr>
          <w:rFonts w:ascii="Arial" w:hAnsi="Arial" w:cs="Arial"/>
          <w:sz w:val="24"/>
          <w:szCs w:val="24"/>
        </w:rPr>
        <w:t xml:space="preserve"> </w:t>
      </w:r>
      <w:proofErr w:type="spellStart"/>
      <w:r w:rsidR="008C121A" w:rsidRPr="008C121A">
        <w:rPr>
          <w:rFonts w:ascii="Arial" w:hAnsi="Arial" w:cs="Arial"/>
          <w:sz w:val="24"/>
          <w:szCs w:val="24"/>
        </w:rPr>
        <w:t>Namandje</w:t>
      </w:r>
      <w:proofErr w:type="spellEnd"/>
      <w:r w:rsidR="008C121A" w:rsidRPr="008C121A">
        <w:rPr>
          <w:rFonts w:ascii="Arial" w:hAnsi="Arial" w:cs="Arial"/>
          <w:sz w:val="24"/>
          <w:szCs w:val="24"/>
        </w:rPr>
        <w:t xml:space="preserve"> &amp; Co Inc</w:t>
      </w:r>
      <w:r w:rsidR="005927C5" w:rsidRPr="008C121A">
        <w:rPr>
          <w:rFonts w:ascii="Arial" w:hAnsi="Arial" w:cs="Arial"/>
          <w:sz w:val="24"/>
          <w:szCs w:val="24"/>
        </w:rPr>
        <w:t xml:space="preserve"> </w:t>
      </w:r>
    </w:p>
    <w:sectPr w:rsidR="005927C5" w:rsidRPr="008C121A" w:rsidSect="00533082">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4EA5" w14:textId="77777777" w:rsidR="00184D07" w:rsidRDefault="00184D07" w:rsidP="00894680">
      <w:pPr>
        <w:spacing w:after="0" w:line="240" w:lineRule="auto"/>
      </w:pPr>
      <w:r>
        <w:separator/>
      </w:r>
    </w:p>
  </w:endnote>
  <w:endnote w:type="continuationSeparator" w:id="0">
    <w:p w14:paraId="69CA23EE" w14:textId="77777777" w:rsidR="00184D07" w:rsidRDefault="00184D07" w:rsidP="0089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FB57" w14:textId="77777777" w:rsidR="00184D07" w:rsidRDefault="00184D07" w:rsidP="00894680">
      <w:pPr>
        <w:spacing w:after="0" w:line="240" w:lineRule="auto"/>
      </w:pPr>
      <w:r>
        <w:separator/>
      </w:r>
    </w:p>
  </w:footnote>
  <w:footnote w:type="continuationSeparator" w:id="0">
    <w:p w14:paraId="08B0D58F" w14:textId="77777777" w:rsidR="00184D07" w:rsidRDefault="00184D07" w:rsidP="00894680">
      <w:pPr>
        <w:spacing w:after="0" w:line="240" w:lineRule="auto"/>
      </w:pPr>
      <w:r>
        <w:continuationSeparator/>
      </w:r>
    </w:p>
  </w:footnote>
  <w:footnote w:id="1">
    <w:p w14:paraId="208CD216"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006E3F44" w:rsidRPr="006E3F44">
        <w:rPr>
          <w:rFonts w:ascii="Arial" w:hAnsi="Arial" w:cs="Arial"/>
          <w:i/>
        </w:rPr>
        <w:t>Chief Lesapo v North West Agricultural Bank and Another</w:t>
      </w:r>
      <w:r w:rsidR="006E3F44" w:rsidRPr="006E3F44">
        <w:rPr>
          <w:rFonts w:ascii="Arial" w:hAnsi="Arial" w:cs="Arial"/>
          <w:lang w:val="en-US"/>
        </w:rPr>
        <w:t xml:space="preserve"> </w:t>
      </w:r>
      <w:r w:rsidRPr="006E3F44">
        <w:rPr>
          <w:rFonts w:ascii="Arial" w:hAnsi="Arial" w:cs="Arial"/>
          <w:lang w:val="en-US"/>
        </w:rPr>
        <w:t>2000 (1) SA 409 (CC).</w:t>
      </w:r>
    </w:p>
  </w:footnote>
  <w:footnote w:id="2">
    <w:p w14:paraId="5564487E"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006E3F44" w:rsidRPr="006E3F44">
        <w:rPr>
          <w:rFonts w:ascii="Arial" w:hAnsi="Arial" w:cs="Arial"/>
          <w:i/>
        </w:rPr>
        <w:t>Concorde Plastics (Pty) Ltd v NUMSA and Others</w:t>
      </w:r>
      <w:r w:rsidR="006E3F44" w:rsidRPr="006E3F44">
        <w:rPr>
          <w:rFonts w:ascii="Arial" w:hAnsi="Arial" w:cs="Arial"/>
        </w:rPr>
        <w:t xml:space="preserve"> </w:t>
      </w:r>
      <w:r w:rsidRPr="006E3F44">
        <w:rPr>
          <w:rFonts w:ascii="Arial" w:hAnsi="Arial" w:cs="Arial"/>
        </w:rPr>
        <w:t>1997 (11) BCLR 1624 (LAC) at 1644F - 1645A.</w:t>
      </w:r>
    </w:p>
  </w:footnote>
  <w:footnote w:id="3">
    <w:p w14:paraId="033DF3F3"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006E3F44" w:rsidRPr="006E3F44">
        <w:rPr>
          <w:rFonts w:ascii="Arial" w:hAnsi="Arial" w:cs="Arial"/>
          <w:i/>
        </w:rPr>
        <w:t>Rustenberg Town Council v Minister of Labour and Others</w:t>
      </w:r>
      <w:r w:rsidR="006E3F44" w:rsidRPr="006E3F44">
        <w:rPr>
          <w:rFonts w:ascii="Arial" w:hAnsi="Arial" w:cs="Arial"/>
          <w:lang w:val="en-US"/>
        </w:rPr>
        <w:t xml:space="preserve"> </w:t>
      </w:r>
      <w:r w:rsidRPr="006E3F44">
        <w:rPr>
          <w:rFonts w:ascii="Arial" w:hAnsi="Arial" w:cs="Arial"/>
          <w:lang w:val="en-US"/>
        </w:rPr>
        <w:t xml:space="preserve">1942 TPD 220 at 224. </w:t>
      </w:r>
    </w:p>
  </w:footnote>
  <w:footnote w:id="4">
    <w:p w14:paraId="7AC47383"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006E3F44" w:rsidRPr="006E3F44">
        <w:rPr>
          <w:rFonts w:ascii="Arial" w:hAnsi="Arial" w:cs="Arial"/>
          <w:i/>
        </w:rPr>
        <w:t>Golden Fried Chicken (Pty) Ltd v Sirad Fast Foods CC and Others</w:t>
      </w:r>
      <w:r w:rsidR="006E3F44" w:rsidRPr="006E3F44">
        <w:rPr>
          <w:rFonts w:ascii="Arial" w:hAnsi="Arial" w:cs="Arial"/>
        </w:rPr>
        <w:t xml:space="preserve"> </w:t>
      </w:r>
      <w:r w:rsidRPr="006E3F44">
        <w:rPr>
          <w:rFonts w:ascii="Arial" w:hAnsi="Arial" w:cs="Arial"/>
        </w:rPr>
        <w:t>2002 (1) SA 822 (SCA).</w:t>
      </w:r>
    </w:p>
  </w:footnote>
  <w:footnote w:id="5">
    <w:p w14:paraId="5D90584F"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006E3F44" w:rsidRPr="006E3F44">
        <w:rPr>
          <w:rFonts w:ascii="Arial" w:hAnsi="Arial" w:cs="Arial"/>
          <w:i/>
        </w:rPr>
        <w:t>Petroneft International Glencor Energy UK Ltd and Another v Minister of Mines and Energy and Others</w:t>
      </w:r>
      <w:r w:rsidR="006E3F44" w:rsidRPr="006E3F44">
        <w:rPr>
          <w:rFonts w:ascii="Arial" w:hAnsi="Arial" w:cs="Arial"/>
          <w:lang w:val="en-US"/>
        </w:rPr>
        <w:t xml:space="preserve"> </w:t>
      </w:r>
      <w:r w:rsidRPr="006E3F44">
        <w:rPr>
          <w:rFonts w:ascii="Arial" w:hAnsi="Arial" w:cs="Arial"/>
          <w:lang w:val="en-US"/>
        </w:rPr>
        <w:t>(A24/2011) [2011] NAHC 125 (28 April 2011).</w:t>
      </w:r>
    </w:p>
  </w:footnote>
  <w:footnote w:id="6">
    <w:p w14:paraId="0598B8E0"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Pr="006E3F44">
        <w:rPr>
          <w:rFonts w:ascii="Arial" w:hAnsi="Arial" w:cs="Arial"/>
          <w:i/>
        </w:rPr>
        <w:t>Twentieth Century Fox Film Corporation v Anthony Black Films (Pty)</w:t>
      </w:r>
      <w:r w:rsidRPr="006E3F44">
        <w:rPr>
          <w:rFonts w:ascii="Arial" w:hAnsi="Arial" w:cs="Arial"/>
        </w:rPr>
        <w:t xml:space="preserve"> Ltd 1982 (3) SA 582 (W) at 586G-H; </w:t>
      </w:r>
      <w:r w:rsidRPr="006E3F44">
        <w:rPr>
          <w:rFonts w:ascii="Arial" w:hAnsi="Arial" w:cs="Arial"/>
          <w:i/>
          <w:lang w:val="en-US"/>
        </w:rPr>
        <w:t>Mweb v Telecom</w:t>
      </w:r>
      <w:r w:rsidRPr="006E3F44">
        <w:rPr>
          <w:rFonts w:ascii="Arial" w:hAnsi="Arial" w:cs="Arial"/>
          <w:lang w:val="en-US"/>
        </w:rPr>
        <w:t xml:space="preserve"> 2012 (1) NR 331 (HC) para 22. </w:t>
      </w:r>
    </w:p>
  </w:footnote>
  <w:footnote w:id="7">
    <w:p w14:paraId="4EF92B9C" w14:textId="77777777" w:rsidR="00981B6C" w:rsidRPr="006E3F44" w:rsidRDefault="00981B6C" w:rsidP="008631A6">
      <w:pPr>
        <w:pStyle w:val="FootnoteText"/>
        <w:jc w:val="both"/>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Pr="006E3F44">
        <w:rPr>
          <w:rFonts w:ascii="Arial" w:hAnsi="Arial" w:cs="Arial"/>
          <w:lang w:val="en-US"/>
        </w:rPr>
        <w:t xml:space="preserve">Annexure “FA6” and “FA7” to the Founding Affidavit where it is stated that: “... It is common knowledge that Paragon Investment Holdings (Pty) Ltd JV Ethiopian is not capable of providing ground handling services, thereby forcing your client to withdraw its cancellation letter of 31 March 2022 and requesting our client to provide such services until 30 June 2022. </w:t>
      </w:r>
    </w:p>
    <w:p w14:paraId="480AEF64" w14:textId="77777777" w:rsidR="00981B6C" w:rsidRPr="006E3F44" w:rsidRDefault="00981B6C" w:rsidP="008631A6">
      <w:pPr>
        <w:pStyle w:val="FootnoteText"/>
        <w:jc w:val="both"/>
        <w:rPr>
          <w:rFonts w:ascii="Arial" w:hAnsi="Arial" w:cs="Arial"/>
          <w:lang w:val="en-US"/>
        </w:rPr>
      </w:pPr>
      <w:r w:rsidRPr="006E3F44">
        <w:rPr>
          <w:rFonts w:ascii="Arial" w:hAnsi="Arial" w:cs="Arial"/>
          <w:lang w:val="en-US"/>
        </w:rPr>
        <w:t>Having regard to the specific requirements of various stakeholders, in particular airlines, you are hereby advised that Paragon would not be capable to provide proper service from 1 July 2022.</w:t>
      </w:r>
    </w:p>
    <w:p w14:paraId="668EA27F" w14:textId="77777777" w:rsidR="00981B6C" w:rsidRPr="006E3F44" w:rsidRDefault="00981B6C" w:rsidP="008631A6">
      <w:pPr>
        <w:pStyle w:val="FootnoteText"/>
        <w:jc w:val="both"/>
        <w:rPr>
          <w:rFonts w:ascii="Arial" w:hAnsi="Arial" w:cs="Arial"/>
          <w:lang w:val="en-US"/>
        </w:rPr>
      </w:pPr>
      <w:r w:rsidRPr="006E3F44">
        <w:rPr>
          <w:rFonts w:ascii="Arial" w:hAnsi="Arial" w:cs="Arial"/>
          <w:lang w:val="en-US"/>
        </w:rPr>
        <w:t>The Review would also not be finalized by 1 July 2022. You are urged to advise your client, in its own interest to extend our client’s agreement until finalization of the Review process.”</w:t>
      </w:r>
    </w:p>
  </w:footnote>
  <w:footnote w:id="8">
    <w:p w14:paraId="08FCD3CE"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006E3F44" w:rsidRPr="006E3F44">
        <w:rPr>
          <w:rFonts w:ascii="Arial" w:hAnsi="Arial" w:cs="Arial"/>
          <w:i/>
        </w:rPr>
        <w:t>Ramirez v Frans</w:t>
      </w:r>
      <w:r w:rsidR="006E3F44" w:rsidRPr="006E3F44">
        <w:rPr>
          <w:rFonts w:ascii="Arial" w:hAnsi="Arial" w:cs="Arial"/>
        </w:rPr>
        <w:t xml:space="preserve"> </w:t>
      </w:r>
      <w:r w:rsidRPr="006E3F44">
        <w:rPr>
          <w:rFonts w:ascii="Arial" w:hAnsi="Arial" w:cs="Arial"/>
        </w:rPr>
        <w:t>(I 933/2013) [2016] NAHCM</w:t>
      </w:r>
      <w:r w:rsidR="00E97984" w:rsidRPr="006E3F44">
        <w:rPr>
          <w:rFonts w:ascii="Arial" w:hAnsi="Arial" w:cs="Arial"/>
        </w:rPr>
        <w:t>D</w:t>
      </w:r>
      <w:r w:rsidRPr="006E3F44">
        <w:rPr>
          <w:rFonts w:ascii="Arial" w:hAnsi="Arial" w:cs="Arial"/>
        </w:rPr>
        <w:t xml:space="preserve"> 376 (25 November 2016).</w:t>
      </w:r>
    </w:p>
  </w:footnote>
  <w:footnote w:id="9">
    <w:p w14:paraId="66564E5D"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006E3F44" w:rsidRPr="006E3F44">
        <w:rPr>
          <w:rFonts w:ascii="Arial" w:hAnsi="Arial" w:cs="Arial"/>
          <w:i/>
        </w:rPr>
        <w:t>Golden Fried Chicken (Pty) Ltd v Sirad Fast Foods CC and Others</w:t>
      </w:r>
      <w:r w:rsidR="006E3F44" w:rsidRPr="006E3F44">
        <w:rPr>
          <w:rFonts w:ascii="Arial" w:hAnsi="Arial" w:cs="Arial"/>
          <w:lang w:val="en-US"/>
        </w:rPr>
        <w:t xml:space="preserve"> </w:t>
      </w:r>
      <w:r w:rsidRPr="006E3F44">
        <w:rPr>
          <w:rFonts w:ascii="Arial" w:hAnsi="Arial" w:cs="Arial"/>
          <w:lang w:val="en-US"/>
        </w:rPr>
        <w:t>2002 (1) SA 822 (SCA).</w:t>
      </w:r>
    </w:p>
  </w:footnote>
  <w:footnote w:id="10">
    <w:p w14:paraId="18093F66"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006E3F44" w:rsidRPr="006E3F44">
        <w:rPr>
          <w:rFonts w:ascii="Arial" w:hAnsi="Arial" w:cs="Arial"/>
          <w:i/>
        </w:rPr>
        <w:t>Kalipi Ngelenge t/a Rundu Construction v Anton E Van Schalkwyk t/a Rundu Welding &amp; Construction</w:t>
      </w:r>
      <w:r w:rsidR="006E3F44" w:rsidRPr="006E3F44">
        <w:rPr>
          <w:rFonts w:ascii="Arial" w:hAnsi="Arial" w:cs="Arial"/>
        </w:rPr>
        <w:t xml:space="preserve"> </w:t>
      </w:r>
      <w:r w:rsidRPr="006E3F44">
        <w:rPr>
          <w:rFonts w:ascii="Arial" w:hAnsi="Arial" w:cs="Arial"/>
        </w:rPr>
        <w:t>2010 (2) NR 406 (HC).</w:t>
      </w:r>
    </w:p>
  </w:footnote>
  <w:footnote w:id="11">
    <w:p w14:paraId="35D1D7F7"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Pr="006E3F44">
        <w:rPr>
          <w:rFonts w:ascii="Arial" w:hAnsi="Arial" w:cs="Arial"/>
          <w:i/>
          <w:lang w:val="en-US"/>
        </w:rPr>
        <w:t>Amalgamated Engineering Union v Minister of Labour</w:t>
      </w:r>
      <w:r w:rsidRPr="006E3F44">
        <w:rPr>
          <w:rFonts w:ascii="Arial" w:hAnsi="Arial" w:cs="Arial"/>
          <w:lang w:val="en-US"/>
        </w:rPr>
        <w:t xml:space="preserve"> 1949 (3) SA 637 (A) 659.</w:t>
      </w:r>
    </w:p>
  </w:footnote>
  <w:footnote w:id="12">
    <w:p w14:paraId="4E56E324"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006E3F44" w:rsidRPr="006E3F44">
        <w:rPr>
          <w:rFonts w:ascii="Arial" w:hAnsi="Arial" w:cs="Arial"/>
          <w:i/>
        </w:rPr>
        <w:t>Maletzky v Minister of Justice and Others</w:t>
      </w:r>
      <w:r w:rsidR="006E3F44" w:rsidRPr="006E3F44">
        <w:rPr>
          <w:rFonts w:ascii="Arial" w:hAnsi="Arial" w:cs="Arial"/>
          <w:lang w:val="en-US"/>
        </w:rPr>
        <w:t xml:space="preserve"> </w:t>
      </w:r>
      <w:r w:rsidRPr="006E3F44">
        <w:rPr>
          <w:rFonts w:ascii="Arial" w:hAnsi="Arial" w:cs="Arial"/>
          <w:lang w:val="en-US"/>
        </w:rPr>
        <w:t>2014 (4) NR (HC) 960-961.</w:t>
      </w:r>
    </w:p>
  </w:footnote>
  <w:footnote w:id="13">
    <w:p w14:paraId="7654AFB2"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006E3F44" w:rsidRPr="006E3F44">
        <w:rPr>
          <w:rFonts w:ascii="Arial" w:hAnsi="Arial" w:cs="Arial"/>
          <w:i/>
        </w:rPr>
        <w:t>Black Range Mining (Pty) Ltd v Minister of Mines and Energy and Others NNO</w:t>
      </w:r>
      <w:r w:rsidRPr="006E3F44">
        <w:rPr>
          <w:rFonts w:ascii="Arial" w:hAnsi="Arial" w:cs="Arial"/>
        </w:rPr>
        <w:t xml:space="preserve"> </w:t>
      </w:r>
      <w:r w:rsidRPr="006E3F44">
        <w:rPr>
          <w:rFonts w:ascii="Arial" w:hAnsi="Arial" w:cs="Arial"/>
          <w:lang w:val="en-US"/>
        </w:rPr>
        <w:t>2014 (2) NR 320 (SC).</w:t>
      </w:r>
    </w:p>
  </w:footnote>
  <w:footnote w:id="14">
    <w:p w14:paraId="29E534C7" w14:textId="77777777" w:rsidR="0077513E" w:rsidRPr="006E3F44" w:rsidRDefault="0077513E">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006E3F44" w:rsidRPr="006E3F44">
        <w:rPr>
          <w:rFonts w:ascii="Arial" w:hAnsi="Arial" w:cs="Arial"/>
          <w:i/>
        </w:rPr>
        <w:t>New Era Investment (Pty) Ltd v Roads Authority</w:t>
      </w:r>
      <w:r w:rsidR="006E3F44" w:rsidRPr="006E3F44">
        <w:rPr>
          <w:rFonts w:ascii="Arial" w:hAnsi="Arial" w:cs="Arial"/>
        </w:rPr>
        <w:t xml:space="preserve"> </w:t>
      </w:r>
      <w:r w:rsidRPr="006E3F44">
        <w:rPr>
          <w:rFonts w:ascii="Arial" w:hAnsi="Arial" w:cs="Arial"/>
        </w:rPr>
        <w:t>2017 (4) NR 1160 (SC) at 1172.</w:t>
      </w:r>
    </w:p>
  </w:footnote>
  <w:footnote w:id="15">
    <w:p w14:paraId="59268C89"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Pr="006E3F44">
        <w:rPr>
          <w:rFonts w:ascii="Arial" w:hAnsi="Arial" w:cs="Arial"/>
          <w:lang w:val="en-US"/>
        </w:rPr>
        <w:t xml:space="preserve">2010 (2) NR 487 (SC). </w:t>
      </w:r>
    </w:p>
  </w:footnote>
  <w:footnote w:id="16">
    <w:p w14:paraId="36EA403B"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Pr="006E3F44">
        <w:rPr>
          <w:rFonts w:ascii="Arial" w:hAnsi="Arial" w:cs="Arial"/>
          <w:i/>
          <w:lang w:val="en-US"/>
        </w:rPr>
        <w:t>Wingspark Port Elizabeth (Pty) Ltd v MEC, Environmental Affairs</w:t>
      </w:r>
      <w:r w:rsidRPr="006E3F44">
        <w:rPr>
          <w:rFonts w:ascii="Arial" w:hAnsi="Arial" w:cs="Arial"/>
          <w:lang w:val="en-US"/>
        </w:rPr>
        <w:t xml:space="preserve"> 2019 (2) SA 606 para 325.</w:t>
      </w:r>
    </w:p>
  </w:footnote>
  <w:footnote w:id="17">
    <w:p w14:paraId="53AEF6D1"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Pr="006E3F44">
        <w:rPr>
          <w:rFonts w:ascii="Arial" w:hAnsi="Arial" w:cs="Arial"/>
          <w:lang w:val="en-US"/>
        </w:rPr>
        <w:t xml:space="preserve">Section 16 (d) of the High Court Act, 16 of 1990.  See also: </w:t>
      </w:r>
      <w:r w:rsidRPr="006E3F44">
        <w:rPr>
          <w:rFonts w:ascii="Arial" w:hAnsi="Arial" w:cs="Arial"/>
          <w:i/>
          <w:lang w:val="en-US"/>
        </w:rPr>
        <w:t>Durban City Council v Association of Building Societies</w:t>
      </w:r>
      <w:r w:rsidRPr="006E3F44">
        <w:rPr>
          <w:rFonts w:ascii="Arial" w:hAnsi="Arial" w:cs="Arial"/>
          <w:lang w:val="en-US"/>
        </w:rPr>
        <w:t xml:space="preserve"> 1942 AD 27 at 32.</w:t>
      </w:r>
    </w:p>
  </w:footnote>
  <w:footnote w:id="18">
    <w:p w14:paraId="7A3F9287" w14:textId="77777777" w:rsidR="00981B6C" w:rsidRPr="006E3F44" w:rsidRDefault="00981B6C">
      <w:pPr>
        <w:pStyle w:val="FootnoteText"/>
        <w:rPr>
          <w:rFonts w:ascii="Arial" w:hAnsi="Arial" w:cs="Arial"/>
          <w:lang w:val="en-US"/>
        </w:rPr>
      </w:pPr>
      <w:r w:rsidRPr="006E3F44">
        <w:rPr>
          <w:rStyle w:val="FootnoteReference"/>
          <w:rFonts w:ascii="Arial" w:hAnsi="Arial" w:cs="Arial"/>
        </w:rPr>
        <w:footnoteRef/>
      </w:r>
      <w:r w:rsidRPr="006E3F44">
        <w:rPr>
          <w:rFonts w:ascii="Arial" w:hAnsi="Arial" w:cs="Arial"/>
        </w:rPr>
        <w:t xml:space="preserve"> </w:t>
      </w:r>
      <w:r w:rsidR="006E3F44" w:rsidRPr="006E3F44">
        <w:rPr>
          <w:rFonts w:ascii="Arial" w:hAnsi="Arial" w:cs="Arial"/>
          <w:i/>
        </w:rPr>
        <w:t>Shetu Trading CC v Chair of the Tender Board of Namibia and Others</w:t>
      </w:r>
      <w:r w:rsidR="006E3F44" w:rsidRPr="006E3F44">
        <w:rPr>
          <w:rFonts w:ascii="Arial" w:hAnsi="Arial" w:cs="Arial"/>
          <w:lang w:val="en-US"/>
        </w:rPr>
        <w:t xml:space="preserve"> </w:t>
      </w:r>
      <w:r w:rsidRPr="006E3F44">
        <w:rPr>
          <w:rFonts w:ascii="Arial" w:hAnsi="Arial" w:cs="Arial"/>
          <w:lang w:val="en-US"/>
        </w:rPr>
        <w:t>2012 (1) NR 162 (SC)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253255"/>
      <w:docPartObj>
        <w:docPartGallery w:val="Page Numbers (Top of Page)"/>
        <w:docPartUnique/>
      </w:docPartObj>
    </w:sdtPr>
    <w:sdtEndPr>
      <w:rPr>
        <w:noProof/>
      </w:rPr>
    </w:sdtEndPr>
    <w:sdtContent>
      <w:p w14:paraId="3EE04508" w14:textId="77777777" w:rsidR="00981B6C" w:rsidRDefault="00981B6C">
        <w:pPr>
          <w:pStyle w:val="Header"/>
          <w:jc w:val="right"/>
        </w:pPr>
        <w:r>
          <w:fldChar w:fldCharType="begin"/>
        </w:r>
        <w:r>
          <w:instrText xml:space="preserve"> PAGE   \* MERGEFORMAT </w:instrText>
        </w:r>
        <w:r>
          <w:fldChar w:fldCharType="separate"/>
        </w:r>
        <w:r w:rsidR="006E3F44">
          <w:rPr>
            <w:noProof/>
          </w:rPr>
          <w:t>21</w:t>
        </w:r>
        <w:r>
          <w:rPr>
            <w:noProof/>
          </w:rPr>
          <w:fldChar w:fldCharType="end"/>
        </w:r>
      </w:p>
    </w:sdtContent>
  </w:sdt>
  <w:p w14:paraId="3CC52743" w14:textId="77777777" w:rsidR="00981B6C" w:rsidRDefault="00981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604"/>
    <w:multiLevelType w:val="hybridMultilevel"/>
    <w:tmpl w:val="0C323746"/>
    <w:lvl w:ilvl="0" w:tplc="92822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3AE2"/>
    <w:multiLevelType w:val="hybridMultilevel"/>
    <w:tmpl w:val="3A424926"/>
    <w:lvl w:ilvl="0" w:tplc="DB9C8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929A1"/>
    <w:multiLevelType w:val="multilevel"/>
    <w:tmpl w:val="1A627B26"/>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17387793"/>
    <w:multiLevelType w:val="hybridMultilevel"/>
    <w:tmpl w:val="77B01CEE"/>
    <w:lvl w:ilvl="0" w:tplc="EF08C6B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020EB"/>
    <w:multiLevelType w:val="hybridMultilevel"/>
    <w:tmpl w:val="5B265538"/>
    <w:lvl w:ilvl="0" w:tplc="CCA438FE">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9B6DDA"/>
    <w:multiLevelType w:val="hybridMultilevel"/>
    <w:tmpl w:val="8B70CCC4"/>
    <w:lvl w:ilvl="0" w:tplc="A2F64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91E6E"/>
    <w:multiLevelType w:val="hybridMultilevel"/>
    <w:tmpl w:val="4A004142"/>
    <w:lvl w:ilvl="0" w:tplc="E22EB66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55AE4138"/>
    <w:multiLevelType w:val="multilevel"/>
    <w:tmpl w:val="98C2D30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23AE5"/>
    <w:multiLevelType w:val="hybridMultilevel"/>
    <w:tmpl w:val="229E8F02"/>
    <w:lvl w:ilvl="0" w:tplc="7E784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9267A"/>
    <w:multiLevelType w:val="hybridMultilevel"/>
    <w:tmpl w:val="C972CF8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62B46874"/>
    <w:multiLevelType w:val="hybridMultilevel"/>
    <w:tmpl w:val="84F2E1E2"/>
    <w:lvl w:ilvl="0" w:tplc="C088A62E">
      <w:start w:val="1"/>
      <w:numFmt w:val="decimal"/>
      <w:lvlText w:val="%1."/>
      <w:lvlJc w:val="left"/>
      <w:pPr>
        <w:ind w:left="720" w:hanging="360"/>
      </w:pPr>
      <w:rPr>
        <w:rFonts w:hint="default"/>
      </w:rPr>
    </w:lvl>
    <w:lvl w:ilvl="1" w:tplc="5D7CCB6C">
      <w:start w:val="1"/>
      <w:numFmt w:val="lowerLetter"/>
      <w:lvlText w:val="(%2)"/>
      <w:lvlJc w:val="left"/>
      <w:pPr>
        <w:ind w:left="1440" w:hanging="360"/>
      </w:pPr>
      <w:rPr>
        <w:rFonts w:ascii="Arial" w:eastAsiaTheme="minorEastAsia" w:hAnsi="Arial" w:cs="Arial"/>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9F7008C"/>
    <w:multiLevelType w:val="hybridMultilevel"/>
    <w:tmpl w:val="CBA2A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A032C"/>
    <w:multiLevelType w:val="hybridMultilevel"/>
    <w:tmpl w:val="654EF898"/>
    <w:lvl w:ilvl="0" w:tplc="722C8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15E1C"/>
    <w:multiLevelType w:val="hybridMultilevel"/>
    <w:tmpl w:val="3EDAB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249751">
    <w:abstractNumId w:val="4"/>
  </w:num>
  <w:num w:numId="2" w16cid:durableId="1153639568">
    <w:abstractNumId w:val="6"/>
  </w:num>
  <w:num w:numId="3" w16cid:durableId="1045299305">
    <w:abstractNumId w:val="1"/>
  </w:num>
  <w:num w:numId="4" w16cid:durableId="439298217">
    <w:abstractNumId w:val="9"/>
  </w:num>
  <w:num w:numId="5" w16cid:durableId="297221863">
    <w:abstractNumId w:val="2"/>
  </w:num>
  <w:num w:numId="6" w16cid:durableId="1710569327">
    <w:abstractNumId w:val="10"/>
  </w:num>
  <w:num w:numId="7" w16cid:durableId="374892277">
    <w:abstractNumId w:val="12"/>
  </w:num>
  <w:num w:numId="8" w16cid:durableId="1795057784">
    <w:abstractNumId w:val="0"/>
  </w:num>
  <w:num w:numId="9" w16cid:durableId="123501460">
    <w:abstractNumId w:val="3"/>
  </w:num>
  <w:num w:numId="10" w16cid:durableId="505245902">
    <w:abstractNumId w:val="11"/>
  </w:num>
  <w:num w:numId="11" w16cid:durableId="1280452934">
    <w:abstractNumId w:val="7"/>
  </w:num>
  <w:num w:numId="12" w16cid:durableId="1734741313">
    <w:abstractNumId w:val="8"/>
  </w:num>
  <w:num w:numId="13" w16cid:durableId="815683345">
    <w:abstractNumId w:val="5"/>
  </w:num>
  <w:num w:numId="14" w16cid:durableId="18332526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6"/>
    <w:rsid w:val="000108DA"/>
    <w:rsid w:val="0001357C"/>
    <w:rsid w:val="00016454"/>
    <w:rsid w:val="000170A0"/>
    <w:rsid w:val="000239E3"/>
    <w:rsid w:val="00025072"/>
    <w:rsid w:val="00027E49"/>
    <w:rsid w:val="00034573"/>
    <w:rsid w:val="00043F4E"/>
    <w:rsid w:val="000678F4"/>
    <w:rsid w:val="00074F31"/>
    <w:rsid w:val="0009124A"/>
    <w:rsid w:val="000A177D"/>
    <w:rsid w:val="000A4321"/>
    <w:rsid w:val="000A5FF9"/>
    <w:rsid w:val="000E11B7"/>
    <w:rsid w:val="000E3A02"/>
    <w:rsid w:val="00105698"/>
    <w:rsid w:val="0010672C"/>
    <w:rsid w:val="00115F62"/>
    <w:rsid w:val="00117AEC"/>
    <w:rsid w:val="00122793"/>
    <w:rsid w:val="001231E6"/>
    <w:rsid w:val="00134275"/>
    <w:rsid w:val="00146AF1"/>
    <w:rsid w:val="00147A16"/>
    <w:rsid w:val="001501DD"/>
    <w:rsid w:val="00157A5A"/>
    <w:rsid w:val="00160ECC"/>
    <w:rsid w:val="00171733"/>
    <w:rsid w:val="00177F8B"/>
    <w:rsid w:val="0018241B"/>
    <w:rsid w:val="00184D07"/>
    <w:rsid w:val="00191D62"/>
    <w:rsid w:val="00197EDC"/>
    <w:rsid w:val="001A2EA8"/>
    <w:rsid w:val="001A7B58"/>
    <w:rsid w:val="001B31FE"/>
    <w:rsid w:val="001B7C63"/>
    <w:rsid w:val="001C3D71"/>
    <w:rsid w:val="001C76DF"/>
    <w:rsid w:val="001D2FBC"/>
    <w:rsid w:val="001D7543"/>
    <w:rsid w:val="001E480E"/>
    <w:rsid w:val="001F1496"/>
    <w:rsid w:val="001F361C"/>
    <w:rsid w:val="001F4FC6"/>
    <w:rsid w:val="002038D4"/>
    <w:rsid w:val="00211FC6"/>
    <w:rsid w:val="00216BD8"/>
    <w:rsid w:val="00221F12"/>
    <w:rsid w:val="00233178"/>
    <w:rsid w:val="002363C8"/>
    <w:rsid w:val="00243F1A"/>
    <w:rsid w:val="00247D00"/>
    <w:rsid w:val="00250327"/>
    <w:rsid w:val="00260388"/>
    <w:rsid w:val="0026650E"/>
    <w:rsid w:val="002666D9"/>
    <w:rsid w:val="00266A55"/>
    <w:rsid w:val="00280B74"/>
    <w:rsid w:val="00282394"/>
    <w:rsid w:val="00282CCF"/>
    <w:rsid w:val="00283AEE"/>
    <w:rsid w:val="00287833"/>
    <w:rsid w:val="00291064"/>
    <w:rsid w:val="002B1272"/>
    <w:rsid w:val="002B5340"/>
    <w:rsid w:val="002B5A7D"/>
    <w:rsid w:val="002C4ADE"/>
    <w:rsid w:val="002C53FC"/>
    <w:rsid w:val="002D064D"/>
    <w:rsid w:val="002E1A43"/>
    <w:rsid w:val="002F3EA8"/>
    <w:rsid w:val="00315063"/>
    <w:rsid w:val="00316F22"/>
    <w:rsid w:val="00321039"/>
    <w:rsid w:val="00322255"/>
    <w:rsid w:val="00323045"/>
    <w:rsid w:val="00330C54"/>
    <w:rsid w:val="00331848"/>
    <w:rsid w:val="00332BF9"/>
    <w:rsid w:val="00335E11"/>
    <w:rsid w:val="003415FC"/>
    <w:rsid w:val="0035474A"/>
    <w:rsid w:val="003641A7"/>
    <w:rsid w:val="003651CA"/>
    <w:rsid w:val="003658C0"/>
    <w:rsid w:val="0036681F"/>
    <w:rsid w:val="003705BB"/>
    <w:rsid w:val="003724DB"/>
    <w:rsid w:val="003732AF"/>
    <w:rsid w:val="0037339F"/>
    <w:rsid w:val="00380206"/>
    <w:rsid w:val="00391051"/>
    <w:rsid w:val="003A2792"/>
    <w:rsid w:val="003A6A45"/>
    <w:rsid w:val="003A6F39"/>
    <w:rsid w:val="003C197B"/>
    <w:rsid w:val="003C7C10"/>
    <w:rsid w:val="003D22CF"/>
    <w:rsid w:val="004035E9"/>
    <w:rsid w:val="004056BB"/>
    <w:rsid w:val="00405CD9"/>
    <w:rsid w:val="00410AB5"/>
    <w:rsid w:val="004160FD"/>
    <w:rsid w:val="00416A20"/>
    <w:rsid w:val="00431F90"/>
    <w:rsid w:val="004367A4"/>
    <w:rsid w:val="00442D70"/>
    <w:rsid w:val="0045231F"/>
    <w:rsid w:val="0045622A"/>
    <w:rsid w:val="00463640"/>
    <w:rsid w:val="00464BEA"/>
    <w:rsid w:val="00464F2B"/>
    <w:rsid w:val="004662CA"/>
    <w:rsid w:val="00466E0B"/>
    <w:rsid w:val="0047166D"/>
    <w:rsid w:val="00483511"/>
    <w:rsid w:val="00485175"/>
    <w:rsid w:val="004B42C4"/>
    <w:rsid w:val="004C3C1C"/>
    <w:rsid w:val="004E0AFE"/>
    <w:rsid w:val="004E0F42"/>
    <w:rsid w:val="004E45BE"/>
    <w:rsid w:val="004F391C"/>
    <w:rsid w:val="00500537"/>
    <w:rsid w:val="00501C8C"/>
    <w:rsid w:val="00506EC6"/>
    <w:rsid w:val="005077C0"/>
    <w:rsid w:val="005139A7"/>
    <w:rsid w:val="00513AC7"/>
    <w:rsid w:val="00523447"/>
    <w:rsid w:val="005234A8"/>
    <w:rsid w:val="00533082"/>
    <w:rsid w:val="00543AC0"/>
    <w:rsid w:val="00550987"/>
    <w:rsid w:val="005545E3"/>
    <w:rsid w:val="00557B0F"/>
    <w:rsid w:val="005635EE"/>
    <w:rsid w:val="005712EF"/>
    <w:rsid w:val="005774ED"/>
    <w:rsid w:val="00582342"/>
    <w:rsid w:val="0058374B"/>
    <w:rsid w:val="00592243"/>
    <w:rsid w:val="005927C5"/>
    <w:rsid w:val="005A0BB1"/>
    <w:rsid w:val="005A4B97"/>
    <w:rsid w:val="005A58D2"/>
    <w:rsid w:val="005A723E"/>
    <w:rsid w:val="005B63F6"/>
    <w:rsid w:val="005B71A8"/>
    <w:rsid w:val="005B78B4"/>
    <w:rsid w:val="005C2A15"/>
    <w:rsid w:val="005C3EBD"/>
    <w:rsid w:val="005F45FE"/>
    <w:rsid w:val="005F4BBA"/>
    <w:rsid w:val="005F773B"/>
    <w:rsid w:val="00601C55"/>
    <w:rsid w:val="00604001"/>
    <w:rsid w:val="00604264"/>
    <w:rsid w:val="00605E5A"/>
    <w:rsid w:val="0061384F"/>
    <w:rsid w:val="00633017"/>
    <w:rsid w:val="00637B10"/>
    <w:rsid w:val="00641E24"/>
    <w:rsid w:val="006733E9"/>
    <w:rsid w:val="0067445B"/>
    <w:rsid w:val="00674641"/>
    <w:rsid w:val="00687042"/>
    <w:rsid w:val="0068725F"/>
    <w:rsid w:val="006A19AF"/>
    <w:rsid w:val="006A2C44"/>
    <w:rsid w:val="006A63E4"/>
    <w:rsid w:val="006B1FED"/>
    <w:rsid w:val="006C0F50"/>
    <w:rsid w:val="006C5C3F"/>
    <w:rsid w:val="006C7ED9"/>
    <w:rsid w:val="006D00DD"/>
    <w:rsid w:val="006D025E"/>
    <w:rsid w:val="006D131E"/>
    <w:rsid w:val="006D41A7"/>
    <w:rsid w:val="006D60CA"/>
    <w:rsid w:val="006E3F44"/>
    <w:rsid w:val="006E5AC6"/>
    <w:rsid w:val="006F7436"/>
    <w:rsid w:val="00706505"/>
    <w:rsid w:val="00711C57"/>
    <w:rsid w:val="0071369B"/>
    <w:rsid w:val="00715E99"/>
    <w:rsid w:val="007167B9"/>
    <w:rsid w:val="007247AE"/>
    <w:rsid w:val="00725419"/>
    <w:rsid w:val="007261ED"/>
    <w:rsid w:val="0072627C"/>
    <w:rsid w:val="007270D3"/>
    <w:rsid w:val="00732505"/>
    <w:rsid w:val="007333B6"/>
    <w:rsid w:val="00733D0F"/>
    <w:rsid w:val="00735268"/>
    <w:rsid w:val="0075429C"/>
    <w:rsid w:val="00760D9E"/>
    <w:rsid w:val="0076583C"/>
    <w:rsid w:val="00765849"/>
    <w:rsid w:val="00767C1C"/>
    <w:rsid w:val="00772B11"/>
    <w:rsid w:val="0077513E"/>
    <w:rsid w:val="00775625"/>
    <w:rsid w:val="00784A64"/>
    <w:rsid w:val="00791BF8"/>
    <w:rsid w:val="0079494D"/>
    <w:rsid w:val="007A1080"/>
    <w:rsid w:val="007B6BB2"/>
    <w:rsid w:val="007C48B0"/>
    <w:rsid w:val="007E1564"/>
    <w:rsid w:val="007E21D2"/>
    <w:rsid w:val="00800716"/>
    <w:rsid w:val="0081018A"/>
    <w:rsid w:val="008133AD"/>
    <w:rsid w:val="0081540F"/>
    <w:rsid w:val="00816DD8"/>
    <w:rsid w:val="0083661E"/>
    <w:rsid w:val="00841E4A"/>
    <w:rsid w:val="00855655"/>
    <w:rsid w:val="00855EDB"/>
    <w:rsid w:val="008631A6"/>
    <w:rsid w:val="00880057"/>
    <w:rsid w:val="00881332"/>
    <w:rsid w:val="00881A07"/>
    <w:rsid w:val="00885CE1"/>
    <w:rsid w:val="00890388"/>
    <w:rsid w:val="00892595"/>
    <w:rsid w:val="00894680"/>
    <w:rsid w:val="008A254A"/>
    <w:rsid w:val="008A2D4A"/>
    <w:rsid w:val="008A74DC"/>
    <w:rsid w:val="008B29B3"/>
    <w:rsid w:val="008B6EEA"/>
    <w:rsid w:val="008C00EF"/>
    <w:rsid w:val="008C121A"/>
    <w:rsid w:val="008C1326"/>
    <w:rsid w:val="008C3860"/>
    <w:rsid w:val="008C3C4C"/>
    <w:rsid w:val="008D3682"/>
    <w:rsid w:val="008E4157"/>
    <w:rsid w:val="008E6A95"/>
    <w:rsid w:val="008F04BD"/>
    <w:rsid w:val="008F0EF8"/>
    <w:rsid w:val="008F2433"/>
    <w:rsid w:val="008F3B82"/>
    <w:rsid w:val="008F6A99"/>
    <w:rsid w:val="00900002"/>
    <w:rsid w:val="00903936"/>
    <w:rsid w:val="009142D0"/>
    <w:rsid w:val="0092096B"/>
    <w:rsid w:val="009402CA"/>
    <w:rsid w:val="009415EE"/>
    <w:rsid w:val="00944253"/>
    <w:rsid w:val="009509CD"/>
    <w:rsid w:val="009512DF"/>
    <w:rsid w:val="00954776"/>
    <w:rsid w:val="009550D2"/>
    <w:rsid w:val="00963095"/>
    <w:rsid w:val="009648FB"/>
    <w:rsid w:val="00981B6C"/>
    <w:rsid w:val="009849B0"/>
    <w:rsid w:val="00985057"/>
    <w:rsid w:val="00985CBE"/>
    <w:rsid w:val="0098790F"/>
    <w:rsid w:val="00987D8E"/>
    <w:rsid w:val="009A025A"/>
    <w:rsid w:val="009A1E57"/>
    <w:rsid w:val="009A4972"/>
    <w:rsid w:val="009A4B62"/>
    <w:rsid w:val="009A4FEC"/>
    <w:rsid w:val="009C2DFC"/>
    <w:rsid w:val="009C414B"/>
    <w:rsid w:val="009D19A9"/>
    <w:rsid w:val="009E025C"/>
    <w:rsid w:val="009E0F96"/>
    <w:rsid w:val="009F77FB"/>
    <w:rsid w:val="00A026E9"/>
    <w:rsid w:val="00A07A7E"/>
    <w:rsid w:val="00A11712"/>
    <w:rsid w:val="00A36669"/>
    <w:rsid w:val="00A40209"/>
    <w:rsid w:val="00A40BD2"/>
    <w:rsid w:val="00A52AFF"/>
    <w:rsid w:val="00A7022F"/>
    <w:rsid w:val="00A70A24"/>
    <w:rsid w:val="00A73D9A"/>
    <w:rsid w:val="00A74F2F"/>
    <w:rsid w:val="00A76CF0"/>
    <w:rsid w:val="00A807BF"/>
    <w:rsid w:val="00A847D0"/>
    <w:rsid w:val="00A95BDB"/>
    <w:rsid w:val="00A95FAA"/>
    <w:rsid w:val="00AB1CBB"/>
    <w:rsid w:val="00AB2894"/>
    <w:rsid w:val="00AC14AB"/>
    <w:rsid w:val="00AC1E14"/>
    <w:rsid w:val="00AD6C31"/>
    <w:rsid w:val="00AD78ED"/>
    <w:rsid w:val="00AD7CF3"/>
    <w:rsid w:val="00AE25D5"/>
    <w:rsid w:val="00AF1342"/>
    <w:rsid w:val="00AF24EB"/>
    <w:rsid w:val="00AF524B"/>
    <w:rsid w:val="00AF5DBE"/>
    <w:rsid w:val="00B120D1"/>
    <w:rsid w:val="00B14871"/>
    <w:rsid w:val="00B14B06"/>
    <w:rsid w:val="00B15216"/>
    <w:rsid w:val="00B218B7"/>
    <w:rsid w:val="00B23E61"/>
    <w:rsid w:val="00B23FC1"/>
    <w:rsid w:val="00B24734"/>
    <w:rsid w:val="00B33D99"/>
    <w:rsid w:val="00B343DD"/>
    <w:rsid w:val="00B3741A"/>
    <w:rsid w:val="00B40371"/>
    <w:rsid w:val="00B423C3"/>
    <w:rsid w:val="00B42AD6"/>
    <w:rsid w:val="00B42C6B"/>
    <w:rsid w:val="00B5398D"/>
    <w:rsid w:val="00B957BA"/>
    <w:rsid w:val="00BB3725"/>
    <w:rsid w:val="00BB476F"/>
    <w:rsid w:val="00BC4CDF"/>
    <w:rsid w:val="00BD1F9A"/>
    <w:rsid w:val="00BD69D6"/>
    <w:rsid w:val="00BE06A6"/>
    <w:rsid w:val="00BE0A60"/>
    <w:rsid w:val="00BE5740"/>
    <w:rsid w:val="00BF21CC"/>
    <w:rsid w:val="00C2072E"/>
    <w:rsid w:val="00C31DAF"/>
    <w:rsid w:val="00C443E6"/>
    <w:rsid w:val="00C5460D"/>
    <w:rsid w:val="00C579C9"/>
    <w:rsid w:val="00C57BFA"/>
    <w:rsid w:val="00C839F3"/>
    <w:rsid w:val="00C8579F"/>
    <w:rsid w:val="00CA0717"/>
    <w:rsid w:val="00CA2074"/>
    <w:rsid w:val="00CA36F7"/>
    <w:rsid w:val="00CA3FFB"/>
    <w:rsid w:val="00CA4584"/>
    <w:rsid w:val="00CC7242"/>
    <w:rsid w:val="00CD56DE"/>
    <w:rsid w:val="00CD5A2D"/>
    <w:rsid w:val="00CD5AA8"/>
    <w:rsid w:val="00CD788B"/>
    <w:rsid w:val="00CE46EE"/>
    <w:rsid w:val="00CE7748"/>
    <w:rsid w:val="00CF1D59"/>
    <w:rsid w:val="00CF59D4"/>
    <w:rsid w:val="00D045B2"/>
    <w:rsid w:val="00D05AAC"/>
    <w:rsid w:val="00D0644A"/>
    <w:rsid w:val="00D10E11"/>
    <w:rsid w:val="00D17776"/>
    <w:rsid w:val="00D17DA9"/>
    <w:rsid w:val="00D22B1C"/>
    <w:rsid w:val="00D254A5"/>
    <w:rsid w:val="00D31945"/>
    <w:rsid w:val="00D32A31"/>
    <w:rsid w:val="00D36C71"/>
    <w:rsid w:val="00D4381F"/>
    <w:rsid w:val="00D53A00"/>
    <w:rsid w:val="00D6136A"/>
    <w:rsid w:val="00D64914"/>
    <w:rsid w:val="00D72794"/>
    <w:rsid w:val="00D73001"/>
    <w:rsid w:val="00D759C8"/>
    <w:rsid w:val="00D803ED"/>
    <w:rsid w:val="00D81436"/>
    <w:rsid w:val="00D85007"/>
    <w:rsid w:val="00DB1E72"/>
    <w:rsid w:val="00DB63B7"/>
    <w:rsid w:val="00DB74D7"/>
    <w:rsid w:val="00DB7C19"/>
    <w:rsid w:val="00DC2011"/>
    <w:rsid w:val="00DF25AB"/>
    <w:rsid w:val="00DF5D3E"/>
    <w:rsid w:val="00DF7916"/>
    <w:rsid w:val="00E056C5"/>
    <w:rsid w:val="00E07A96"/>
    <w:rsid w:val="00E103AC"/>
    <w:rsid w:val="00E20FB6"/>
    <w:rsid w:val="00E371BB"/>
    <w:rsid w:val="00E50A6F"/>
    <w:rsid w:val="00E50FBC"/>
    <w:rsid w:val="00E71113"/>
    <w:rsid w:val="00E85F18"/>
    <w:rsid w:val="00E90D26"/>
    <w:rsid w:val="00E97984"/>
    <w:rsid w:val="00EA0292"/>
    <w:rsid w:val="00EA6DE3"/>
    <w:rsid w:val="00EB24F4"/>
    <w:rsid w:val="00EE02F0"/>
    <w:rsid w:val="00EE3D7E"/>
    <w:rsid w:val="00EF160C"/>
    <w:rsid w:val="00EF2A2B"/>
    <w:rsid w:val="00EF4067"/>
    <w:rsid w:val="00EF56A4"/>
    <w:rsid w:val="00F02074"/>
    <w:rsid w:val="00F05E80"/>
    <w:rsid w:val="00F11796"/>
    <w:rsid w:val="00F21313"/>
    <w:rsid w:val="00F238BC"/>
    <w:rsid w:val="00F23D7E"/>
    <w:rsid w:val="00F256BC"/>
    <w:rsid w:val="00F411B7"/>
    <w:rsid w:val="00F42317"/>
    <w:rsid w:val="00F42DC0"/>
    <w:rsid w:val="00F4540D"/>
    <w:rsid w:val="00F50C7C"/>
    <w:rsid w:val="00F677AE"/>
    <w:rsid w:val="00F736E0"/>
    <w:rsid w:val="00F83A66"/>
    <w:rsid w:val="00F92721"/>
    <w:rsid w:val="00F932F8"/>
    <w:rsid w:val="00FA0CA0"/>
    <w:rsid w:val="00FA2E2E"/>
    <w:rsid w:val="00FB28C3"/>
    <w:rsid w:val="00FC683C"/>
    <w:rsid w:val="00FD77C9"/>
    <w:rsid w:val="00FE0B79"/>
    <w:rsid w:val="00FF5BCB"/>
    <w:rsid w:val="00FF78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B61B"/>
  <w15:chartTrackingRefBased/>
  <w15:docId w15:val="{0809C312-7E39-4814-A54D-3F6D3C40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326"/>
    <w:pPr>
      <w:ind w:left="720"/>
      <w:contextualSpacing/>
    </w:pPr>
  </w:style>
  <w:style w:type="paragraph" w:styleId="FootnoteText">
    <w:name w:val="footnote text"/>
    <w:basedOn w:val="Normal"/>
    <w:link w:val="FootnoteTextChar"/>
    <w:uiPriority w:val="99"/>
    <w:unhideWhenUsed/>
    <w:rsid w:val="00894680"/>
    <w:pPr>
      <w:spacing w:after="0" w:line="240" w:lineRule="auto"/>
    </w:pPr>
    <w:rPr>
      <w:sz w:val="20"/>
      <w:szCs w:val="20"/>
    </w:rPr>
  </w:style>
  <w:style w:type="character" w:customStyle="1" w:styleId="FootnoteTextChar">
    <w:name w:val="Footnote Text Char"/>
    <w:basedOn w:val="DefaultParagraphFont"/>
    <w:link w:val="FootnoteText"/>
    <w:uiPriority w:val="99"/>
    <w:rsid w:val="00894680"/>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894680"/>
    <w:rPr>
      <w:vertAlign w:val="superscript"/>
    </w:rPr>
  </w:style>
  <w:style w:type="paragraph" w:styleId="Header">
    <w:name w:val="header"/>
    <w:basedOn w:val="Normal"/>
    <w:link w:val="HeaderChar"/>
    <w:uiPriority w:val="99"/>
    <w:unhideWhenUsed/>
    <w:rsid w:val="00FA2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2E"/>
  </w:style>
  <w:style w:type="paragraph" w:styleId="Footer">
    <w:name w:val="footer"/>
    <w:basedOn w:val="Normal"/>
    <w:link w:val="FooterChar"/>
    <w:uiPriority w:val="99"/>
    <w:unhideWhenUsed/>
    <w:rsid w:val="00FA2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2E"/>
  </w:style>
  <w:style w:type="character" w:customStyle="1" w:styleId="ListParagraphChar">
    <w:name w:val="List Paragraph Char"/>
    <w:link w:val="ListParagraph"/>
    <w:uiPriority w:val="34"/>
    <w:locked/>
    <w:rsid w:val="00D64914"/>
  </w:style>
  <w:style w:type="paragraph" w:styleId="BalloonText">
    <w:name w:val="Balloon Text"/>
    <w:basedOn w:val="Normal"/>
    <w:link w:val="BalloonTextChar"/>
    <w:uiPriority w:val="99"/>
    <w:semiHidden/>
    <w:unhideWhenUsed/>
    <w:rsid w:val="00A07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2022-08-10T18:30:00+00:00</Judgment_x0020_Date>
    <Year xmlns="c1afb1bd-f2fb-40fd-9abb-aea55b4d7662">2022</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F0F1E-D862-4FCA-92F8-B8F8B190981A}">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4ECD13CB-84A0-49EF-9C24-1E98649B6480}">
  <ds:schemaRefs>
    <ds:schemaRef ds:uri="http://schemas.openxmlformats.org/officeDocument/2006/bibliography"/>
  </ds:schemaRefs>
</ds:datastoreItem>
</file>

<file path=customXml/itemProps3.xml><?xml version="1.0" encoding="utf-8"?>
<ds:datastoreItem xmlns:ds="http://schemas.openxmlformats.org/officeDocument/2006/customXml" ds:itemID="{6919AE87-800E-44A9-B264-533518CD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FD8AE-E556-4ECB-B5C4-E38FF29FF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9092</Words>
  <Characters>51828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Airports Company Limited v Menzies Aviation Namibia (Pty) Ltd and Another (HC-MD-CIV-MOT-GEN-2022-00233) [2022] NAHCMD 403 (11 August 2022)</dc:title>
  <dc:subject/>
  <dc:creator>Collins Omalu</dc:creator>
  <cp:keywords/>
  <dc:description/>
  <cp:lastModifiedBy>Mariana Anguelov</cp:lastModifiedBy>
  <cp:revision>2</cp:revision>
  <cp:lastPrinted>2022-08-11T13:31:00Z</cp:lastPrinted>
  <dcterms:created xsi:type="dcterms:W3CDTF">2022-09-30T19:41:00Z</dcterms:created>
  <dcterms:modified xsi:type="dcterms:W3CDTF">2022-09-30T19:41:00Z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