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8A" w:rsidRPr="00A61B62" w:rsidRDefault="00E1018A" w:rsidP="0033704E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  <w:r w:rsidRPr="00A61B62">
        <w:rPr>
          <w:rFonts w:ascii="Arial" w:hAnsi="Arial" w:cs="Arial"/>
          <w:b/>
          <w:noProof/>
          <w:sz w:val="24"/>
          <w:szCs w:val="24"/>
          <w:lang w:eastAsia="en-ZA"/>
        </w:rPr>
        <w:t>REPUBLIC OF NAMIBIA</w:t>
      </w:r>
    </w:p>
    <w:p w:rsidR="00DA52C4" w:rsidRPr="00707B80" w:rsidRDefault="0033704E" w:rsidP="00E101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7B80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1276350" cy="1323975"/>
            <wp:effectExtent l="0" t="0" r="0" b="9525"/>
            <wp:wrapSquare wrapText="right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C4" w:rsidRPr="00707B80" w:rsidRDefault="00DA52C4" w:rsidP="00DA52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52C4" w:rsidRPr="00707B80" w:rsidRDefault="00DA52C4" w:rsidP="00DA52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52C4" w:rsidRDefault="00DA52C4" w:rsidP="00DA52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52C4" w:rsidRDefault="00DA52C4" w:rsidP="00DA52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64ED7" w:rsidRDefault="00164ED7" w:rsidP="00164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52C4" w:rsidRPr="00A61B62" w:rsidRDefault="00DA52C4" w:rsidP="00164E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B62">
        <w:rPr>
          <w:rFonts w:ascii="Arial" w:hAnsi="Arial" w:cs="Arial"/>
          <w:b/>
          <w:sz w:val="24"/>
          <w:szCs w:val="24"/>
        </w:rPr>
        <w:t>IN THE HIGH COURT OF NAMIBIA</w:t>
      </w:r>
    </w:p>
    <w:p w:rsidR="00E1018A" w:rsidRPr="00A61B62" w:rsidRDefault="00E1018A" w:rsidP="00164E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B62">
        <w:rPr>
          <w:rFonts w:ascii="Arial" w:hAnsi="Arial" w:cs="Arial"/>
          <w:b/>
          <w:sz w:val="24"/>
          <w:szCs w:val="24"/>
        </w:rPr>
        <w:t>REVIEW JUDGMENT</w:t>
      </w:r>
    </w:p>
    <w:p w:rsidR="00DA52C4" w:rsidRPr="00B14D24" w:rsidRDefault="00DA52C4" w:rsidP="00DA52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717"/>
        <w:gridCol w:w="4323"/>
      </w:tblGrid>
      <w:tr w:rsidR="00DA52C4" w:rsidRPr="00707B80" w:rsidTr="00D43998">
        <w:trPr>
          <w:trHeight w:val="744"/>
        </w:trPr>
        <w:tc>
          <w:tcPr>
            <w:tcW w:w="5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 xml:space="preserve">Case Title:  </w:t>
            </w:r>
          </w:p>
          <w:p w:rsidR="00DA52C4" w:rsidRPr="005E1384" w:rsidRDefault="00DA52C4" w:rsidP="00337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F15499" w:rsidP="00D439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State</w:t>
            </w:r>
          </w:p>
          <w:p w:rsidR="00E70DB4" w:rsidRDefault="00E70DB4" w:rsidP="00337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E70DB4" w:rsidP="00D439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E70DB4" w:rsidRDefault="00E70DB4" w:rsidP="00337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3A8" w:rsidRPr="00707B80" w:rsidRDefault="00F15499" w:rsidP="00E1018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Randy Bock</w:t>
            </w:r>
            <w:r w:rsidR="004263A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E101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426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61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Accused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Case No: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CR </w:t>
            </w:r>
            <w:r w:rsidR="00CC2614">
              <w:rPr>
                <w:rFonts w:ascii="Arial" w:hAnsi="Arial" w:cs="Arial"/>
                <w:b/>
                <w:sz w:val="24"/>
                <w:szCs w:val="24"/>
              </w:rPr>
              <w:t>48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2C4" w:rsidRPr="00707B80" w:rsidTr="00D43998">
        <w:trPr>
          <w:trHeight w:val="8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4" w:rsidRPr="00707B80" w:rsidRDefault="00DA52C4" w:rsidP="00D439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B80">
              <w:rPr>
                <w:rFonts w:ascii="Arial" w:hAnsi="Arial" w:cs="Arial"/>
                <w:sz w:val="24"/>
                <w:szCs w:val="24"/>
              </w:rPr>
              <w:t>High Court, Main Division</w:t>
            </w:r>
          </w:p>
        </w:tc>
      </w:tr>
      <w:tr w:rsidR="00DA52C4" w:rsidRPr="00707B80" w:rsidTr="00D43998">
        <w:trPr>
          <w:trHeight w:val="645"/>
        </w:trPr>
        <w:tc>
          <w:tcPr>
            <w:tcW w:w="5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DA52C4" w:rsidRPr="00827D42" w:rsidRDefault="00B92513" w:rsidP="00D439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</w:t>
            </w:r>
            <w:r w:rsidR="00DA52C4" w:rsidRPr="00827D42">
              <w:rPr>
                <w:rFonts w:ascii="Arial" w:hAnsi="Arial" w:cs="Arial"/>
                <w:sz w:val="24"/>
                <w:szCs w:val="24"/>
                <w:lang w:val="en-US"/>
              </w:rPr>
              <w:t xml:space="preserve"> J</w:t>
            </w:r>
            <w:r w:rsidR="00F15499">
              <w:rPr>
                <w:rFonts w:ascii="Arial" w:hAnsi="Arial" w:cs="Arial"/>
                <w:sz w:val="24"/>
                <w:szCs w:val="24"/>
                <w:lang w:val="en-US"/>
              </w:rPr>
              <w:t xml:space="preserve"> et </w:t>
            </w:r>
            <w:r w:rsidR="0033704E">
              <w:rPr>
                <w:rFonts w:ascii="Arial" w:hAnsi="Arial" w:cs="Arial"/>
                <w:sz w:val="24"/>
                <w:szCs w:val="24"/>
              </w:rPr>
              <w:t xml:space="preserve">D </w:t>
            </w:r>
            <w:proofErr w:type="spellStart"/>
            <w:r w:rsidR="00F15499" w:rsidRPr="00F15499"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  <w:r w:rsidR="00F15499" w:rsidRPr="00F15499"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Date of hearing:</w:t>
            </w:r>
          </w:p>
          <w:p w:rsidR="00DA52C4" w:rsidRPr="00707B80" w:rsidRDefault="00CC2614" w:rsidP="00D439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15499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DA52C4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DA52C4" w:rsidRPr="00707B80" w:rsidTr="00D43998">
        <w:trPr>
          <w:trHeight w:val="5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4" w:rsidRPr="00707B80" w:rsidRDefault="00DA52C4" w:rsidP="00D439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99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DA52C4" w:rsidRPr="00F15499" w:rsidRDefault="00CC261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15499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DA52C4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DA52C4" w:rsidRPr="00707B80" w:rsidTr="00D4399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Default="00DA52C4" w:rsidP="00D43998">
            <w:pPr>
              <w:spacing w:after="0" w:line="240" w:lineRule="auto"/>
              <w:ind w:left="2160" w:hanging="2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2C4" w:rsidRDefault="00DA52C4" w:rsidP="00D43998">
            <w:pPr>
              <w:spacing w:after="0" w:line="360" w:lineRule="auto"/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 xml:space="preserve">Neutral citation:  </w:t>
            </w:r>
            <w:bookmarkStart w:id="0" w:name="_GoBack"/>
            <w:r w:rsidR="00F15499">
              <w:rPr>
                <w:rFonts w:ascii="Arial" w:hAnsi="Arial" w:cs="Arial"/>
                <w:i/>
                <w:sz w:val="24"/>
                <w:szCs w:val="24"/>
              </w:rPr>
              <w:t>S v Bock</w:t>
            </w:r>
            <w:r w:rsidR="00E1018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1549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F15499">
              <w:rPr>
                <w:rFonts w:ascii="Arial" w:hAnsi="Arial" w:cs="Arial"/>
                <w:sz w:val="24"/>
                <w:szCs w:val="24"/>
                <w:lang w:val="en-US"/>
              </w:rPr>
              <w:t xml:space="preserve">CR </w:t>
            </w:r>
            <w:r w:rsidR="00CC2614">
              <w:rPr>
                <w:rFonts w:ascii="Arial" w:hAnsi="Arial" w:cs="Arial"/>
                <w:sz w:val="24"/>
                <w:szCs w:val="24"/>
                <w:lang w:val="en-US"/>
              </w:rPr>
              <w:t>48/2023</w:t>
            </w:r>
            <w:r w:rsidR="00F15499">
              <w:rPr>
                <w:rFonts w:ascii="Arial" w:hAnsi="Arial" w:cs="Arial"/>
                <w:sz w:val="24"/>
                <w:szCs w:val="24"/>
                <w:lang w:val="en-US"/>
              </w:rPr>
              <w:t xml:space="preserve">) [2023] NAHCMD </w:t>
            </w:r>
            <w:r w:rsidR="00CC2614">
              <w:rPr>
                <w:rFonts w:ascii="Arial" w:hAnsi="Arial" w:cs="Arial"/>
                <w:sz w:val="24"/>
                <w:szCs w:val="24"/>
                <w:lang w:val="en-US"/>
              </w:rPr>
              <w:t>212</w:t>
            </w:r>
            <w:r w:rsidR="00F1549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CC2614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F15499">
              <w:rPr>
                <w:rFonts w:ascii="Arial" w:hAnsi="Arial" w:cs="Arial"/>
                <w:sz w:val="24"/>
                <w:szCs w:val="24"/>
                <w:lang w:val="en-US"/>
              </w:rPr>
              <w:t xml:space="preserve"> April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2023</w:t>
            </w:r>
            <w:r w:rsidRPr="007546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bookmarkEnd w:id="0"/>
          </w:p>
          <w:p w:rsidR="00DA52C4" w:rsidRPr="0075464A" w:rsidRDefault="00DA52C4" w:rsidP="00D43998">
            <w:pPr>
              <w:spacing w:after="0" w:line="240" w:lineRule="auto"/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52C4" w:rsidRPr="00707B80" w:rsidTr="00D4399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Default="00DA52C4" w:rsidP="00D43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2C4" w:rsidRPr="00707B80" w:rsidRDefault="00DA52C4" w:rsidP="00D439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</w:t>
            </w:r>
          </w:p>
        </w:tc>
      </w:tr>
      <w:tr w:rsidR="00DA52C4" w:rsidRPr="00707B80" w:rsidTr="00D4399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Default="00DA52C4" w:rsidP="00D43998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DA52C4" w:rsidP="00F154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499">
              <w:rPr>
                <w:rFonts w:ascii="Arial" w:hAnsi="Arial" w:cs="Arial"/>
                <w:sz w:val="24"/>
                <w:szCs w:val="24"/>
              </w:rPr>
              <w:t xml:space="preserve">The conviction and sentence </w:t>
            </w:r>
            <w:r w:rsidR="00A61B62" w:rsidRPr="00F15499">
              <w:rPr>
                <w:rFonts w:ascii="Arial" w:hAnsi="Arial" w:cs="Arial"/>
                <w:sz w:val="24"/>
                <w:szCs w:val="24"/>
              </w:rPr>
              <w:t>is</w:t>
            </w:r>
            <w:r w:rsidR="003D008F" w:rsidRPr="00F15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499">
              <w:rPr>
                <w:rFonts w:ascii="Arial" w:hAnsi="Arial" w:cs="Arial"/>
                <w:sz w:val="24"/>
                <w:szCs w:val="24"/>
              </w:rPr>
              <w:t>set aside.</w:t>
            </w:r>
          </w:p>
          <w:p w:rsidR="00F15499" w:rsidRPr="00F15499" w:rsidRDefault="00F15499" w:rsidP="00F154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accused must be released from custody forthwith.</w:t>
            </w:r>
          </w:p>
          <w:p w:rsidR="00DA52C4" w:rsidRPr="00DA52C4" w:rsidRDefault="00DA52C4" w:rsidP="00DA52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2C4" w:rsidRPr="00707B80" w:rsidTr="00D4399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Default="00DA52C4" w:rsidP="00D439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2C4" w:rsidRPr="00707B80" w:rsidRDefault="00DA52C4" w:rsidP="00D439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74B">
              <w:rPr>
                <w:rFonts w:ascii="Arial" w:hAnsi="Arial" w:cs="Arial"/>
                <w:b/>
                <w:sz w:val="24"/>
                <w:szCs w:val="24"/>
              </w:rPr>
              <w:t>REASONS FOR ORDERS:</w:t>
            </w:r>
          </w:p>
        </w:tc>
      </w:tr>
      <w:tr w:rsidR="00DA52C4" w:rsidRPr="00707B80" w:rsidTr="001E5538">
        <w:trPr>
          <w:trHeight w:val="1701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E3" w:rsidRDefault="00F752E3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33704E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 (January</w:t>
            </w:r>
            <w:r w:rsidR="00DA52C4">
              <w:rPr>
                <w:rFonts w:ascii="Arial" w:hAnsi="Arial" w:cs="Arial"/>
                <w:sz w:val="24"/>
                <w:szCs w:val="24"/>
              </w:rPr>
              <w:t xml:space="preserve"> J concurring)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A52C4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DA52C4" w:rsidP="00AE0F49">
            <w:pPr>
              <w:tabs>
                <w:tab w:val="left" w:pos="729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655E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[1]</w:t>
            </w:r>
            <w:r w:rsidRPr="004655E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matter before me is an automatic review from the m</w:t>
            </w:r>
            <w:r w:rsidR="00454BD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agistrate’s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court in terms of s 302 of the Criminal Procedure Act 51 of 1977</w:t>
            </w:r>
            <w:r w:rsidR="004F223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</w:t>
            </w:r>
            <w:r w:rsidR="00F752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as amended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:rsidR="00423C57" w:rsidRDefault="00423C57" w:rsidP="00AE0F49">
            <w:pPr>
              <w:tabs>
                <w:tab w:val="left" w:pos="729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423C57" w:rsidRDefault="00423C57" w:rsidP="00AE0F49">
            <w:pPr>
              <w:tabs>
                <w:tab w:val="left" w:pos="729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[2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 w:rsidRPr="00423C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423C5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accused appeared before the </w:t>
            </w:r>
            <w:proofErr w:type="spellStart"/>
            <w:r w:rsidRPr="00423C5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Mariental</w:t>
            </w:r>
            <w:proofErr w:type="spellEnd"/>
            <w:r w:rsidRPr="00423C5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Magistrate’s Court</w:t>
            </w:r>
            <w:r w:rsidR="00EA26A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</w:t>
            </w:r>
            <w:r w:rsidRPr="00423C5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charged with assault with intent to do grievous bodily harm. Accused was convicted and sentenced to three (3) years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’</w:t>
            </w:r>
            <w:r w:rsidRPr="00423C5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imprisonment.      </w:t>
            </w:r>
          </w:p>
          <w:p w:rsidR="00DA52C4" w:rsidRPr="00E635CE" w:rsidRDefault="00DA52C4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423C57" w:rsidRPr="00423C57" w:rsidRDefault="00423C57" w:rsidP="00423C57">
            <w:pPr>
              <w:tabs>
                <w:tab w:val="left" w:pos="720"/>
                <w:tab w:val="left" w:pos="2268"/>
              </w:tabs>
              <w:spacing w:after="0" w:line="36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[3</w:t>
            </w:r>
            <w:r w:rsidR="00DA52C4" w:rsidRPr="004655E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 w:rsidR="00DA52C4" w:rsidRPr="004655E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Pr="00423C57">
              <w:rPr>
                <w:rFonts w:ascii="Arial" w:eastAsia="Times New Roman" w:hAnsi="Arial" w:cs="Arial"/>
                <w:sz w:val="24"/>
                <w:szCs w:val="24"/>
              </w:rPr>
              <w:t>Although no query was directed to the magistrate in this regard, the conviction and sentence is clearly not in accordance with justice and the accused</w:t>
            </w:r>
            <w:r w:rsidR="00A61B62">
              <w:rPr>
                <w:rFonts w:ascii="Arial" w:eastAsia="Times New Roman" w:hAnsi="Arial" w:cs="Arial"/>
                <w:sz w:val="24"/>
                <w:szCs w:val="24"/>
              </w:rPr>
              <w:t xml:space="preserve"> person</w:t>
            </w:r>
            <w:r w:rsidRPr="00423C57">
              <w:rPr>
                <w:rFonts w:ascii="Arial" w:eastAsia="Times New Roman" w:hAnsi="Arial" w:cs="Arial"/>
                <w:sz w:val="24"/>
                <w:szCs w:val="24"/>
              </w:rPr>
              <w:t xml:space="preserve"> would be prejudiced if the review of this matter is delayed.</w:t>
            </w:r>
          </w:p>
          <w:p w:rsidR="00825302" w:rsidRDefault="00825302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DA52C4" w:rsidRDefault="00A73963" w:rsidP="00EB7174">
            <w:pPr>
              <w:tabs>
                <w:tab w:val="left" w:pos="-122"/>
                <w:tab w:val="left" w:pos="2268"/>
              </w:tabs>
              <w:spacing w:after="0" w:line="360" w:lineRule="auto"/>
              <w:ind w:left="20" w:hanging="786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[3]      </w:t>
            </w:r>
            <w:r w:rsidR="00EA26A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423C5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[4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</w:t>
            </w:r>
            <w:r w:rsid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On 6 March 2020,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during accused’s first appearance, the court explained 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his</w:t>
            </w:r>
            <w:r w:rsidR="00EA26A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right</w:t>
            </w:r>
            <w:r w:rsidR="00EB71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to 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legal representation and </w:t>
            </w:r>
            <w:r w:rsidR="006C1CCB" w:rsidRP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accused informed the court that he 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would conduct his own</w:t>
            </w:r>
            <w:r w:rsidR="00EA26A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defence.</w:t>
            </w:r>
            <w:r w:rsidR="00EB71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matter </w:t>
            </w:r>
            <w:proofErr w:type="gramStart"/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was subsequently postponed</w:t>
            </w:r>
            <w:proofErr w:type="gramEnd"/>
            <w:r w:rsidR="00423C5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on several occasions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:rsidR="006C1CCB" w:rsidRDefault="006C1CCB" w:rsidP="006C1CCB">
            <w:pPr>
              <w:tabs>
                <w:tab w:val="left" w:pos="2268"/>
              </w:tabs>
              <w:spacing w:after="0" w:line="360" w:lineRule="auto"/>
              <w:ind w:left="-122" w:hanging="786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F15499" w:rsidRDefault="006C1CCB" w:rsidP="00F15499">
            <w:pPr>
              <w:tabs>
                <w:tab w:val="left" w:pos="2268"/>
              </w:tabs>
              <w:spacing w:after="0" w:line="360" w:lineRule="auto"/>
              <w:ind w:left="729" w:hanging="786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</w:t>
            </w:r>
            <w:r w:rsidR="00423C5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]       </w:t>
            </w:r>
            <w:r w:rsid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  <w:r w:rsidR="00B9251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On 08 March 2022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matter was scheduled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for plea and trial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 B</w:t>
            </w:r>
            <w:r w:rsidR="00B9251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efore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CB0A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charge</w:t>
            </w:r>
          </w:p>
          <w:p w:rsidR="006C1CCB" w:rsidRDefault="00CB0A1C" w:rsidP="00E70DB4">
            <w:pPr>
              <w:tabs>
                <w:tab w:val="left" w:pos="2268"/>
              </w:tabs>
              <w:spacing w:after="0" w:line="360" w:lineRule="auto"/>
              <w:ind w:hanging="57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was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put to the accused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he 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informed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he court that he a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pplied for legal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representation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that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morning. Upon enquiring why it took him so long to apply for legal aid, he</w:t>
            </w:r>
            <w:r w:rsidR="00B9251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informed the </w:t>
            </w:r>
            <w:r w:rsidR="00F15499" w:rsidRP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court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F15499" w:rsidRP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that the reason it took him so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long to apply for</w:t>
            </w:r>
            <w:r w:rsidR="00B9251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legal aid is </w:t>
            </w:r>
            <w:proofErr w:type="gramStart"/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because</w:t>
            </w:r>
            <w:proofErr w:type="gramEnd"/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he was alone with 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his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6C1C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grandmother.</w:t>
            </w:r>
          </w:p>
          <w:p w:rsidR="00892E93" w:rsidRDefault="00892E93" w:rsidP="006C1CCB">
            <w:pPr>
              <w:tabs>
                <w:tab w:val="left" w:pos="2268"/>
              </w:tabs>
              <w:spacing w:after="0" w:line="360" w:lineRule="auto"/>
              <w:ind w:left="729" w:hanging="786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892E93" w:rsidRDefault="00423C57" w:rsidP="00EB7174">
            <w:pPr>
              <w:tabs>
                <w:tab w:val="left" w:pos="2268"/>
              </w:tabs>
              <w:spacing w:after="0" w:line="360" w:lineRule="auto"/>
              <w:ind w:left="5" w:hanging="62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[6</w:t>
            </w:r>
            <w:r w:rsidR="00892E9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]      </w:t>
            </w:r>
            <w:r w:rsid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892E9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Despite the accused’s indication to have applied for legal aid, the court did not afford</w:t>
            </w:r>
            <w:r w:rsidR="00EB71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892E9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him the opportunity to obtain legal representation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. The court directed that the charge </w:t>
            </w:r>
            <w:proofErr w:type="gramStart"/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should be put</w:t>
            </w:r>
            <w:proofErr w:type="gramEnd"/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to the accused.</w:t>
            </w:r>
            <w:r w:rsidR="00892E9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accused was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ask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ed</w:t>
            </w:r>
            <w:r w:rsidR="00F1549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to plead to the charge without legal representation.</w:t>
            </w:r>
          </w:p>
          <w:p w:rsidR="00F15499" w:rsidRDefault="00F15499" w:rsidP="00F15499">
            <w:pPr>
              <w:tabs>
                <w:tab w:val="left" w:pos="297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892E93" w:rsidRDefault="00423C57" w:rsidP="00AE0F49">
            <w:pPr>
              <w:tabs>
                <w:tab w:val="left" w:pos="2268"/>
              </w:tabs>
              <w:spacing w:after="0" w:line="360" w:lineRule="auto"/>
              <w:ind w:right="-1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[7</w:t>
            </w:r>
            <w:r w:rsid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]   </w:t>
            </w:r>
            <w:r w:rsidR="00AE0F49" w:rsidRP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From the record of proceedings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</w:t>
            </w:r>
            <w:r w:rsidR="00AE0F49" w:rsidRP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it is evident that </w:t>
            </w:r>
            <w:r w:rsid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</w:t>
            </w:r>
            <w:r w:rsidR="00AE0F49" w:rsidRP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accused wanted legal representation, however his right to legal representation was denied.</w:t>
            </w:r>
          </w:p>
          <w:p w:rsidR="00AE0F49" w:rsidRDefault="00AE0F49" w:rsidP="00AE0F49">
            <w:pPr>
              <w:tabs>
                <w:tab w:val="left" w:pos="588"/>
                <w:tab w:val="left" w:pos="2268"/>
              </w:tabs>
              <w:spacing w:after="0" w:line="360" w:lineRule="auto"/>
              <w:ind w:right="-1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E0F49" w:rsidRDefault="00423C57" w:rsidP="00AE0F49">
            <w:pPr>
              <w:tabs>
                <w:tab w:val="left" w:pos="582"/>
                <w:tab w:val="left" w:pos="729"/>
                <w:tab w:val="left" w:pos="2268"/>
              </w:tabs>
              <w:spacing w:after="0" w:line="360" w:lineRule="auto"/>
              <w:ind w:right="-1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[8</w:t>
            </w:r>
            <w:r w:rsid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]      </w:t>
            </w:r>
            <w:r w:rsidR="00E7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Article 12(1)</w:t>
            </w:r>
            <w:r w:rsidR="00AE0F49" w:rsidRP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</w:t>
            </w:r>
            <w:r w:rsidR="00AE0F49" w:rsidRPr="00AE0F49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e</w:t>
            </w:r>
            <w:r w:rsidR="00AE0F49" w:rsidRP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 of the Constitution of the Republic of Namibia states that, all persons should be afforded adequate time and facilities for the</w:t>
            </w:r>
            <w:r w:rsidR="006869A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preparation of their defence b</w:t>
            </w:r>
            <w:r w:rsidR="00AE0F49" w:rsidRPr="00AE0F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efore the commencement of and during their trial, and shall be entitled to be defended by a legal practitioner of their choice. The right to be legally represented is a fundamental right.</w:t>
            </w:r>
            <w:r w:rsidR="00AE0F49" w:rsidRPr="00AE0F49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  <w:p w:rsidR="00AE0F49" w:rsidRDefault="00AE0F49" w:rsidP="00AE0F49">
            <w:pPr>
              <w:tabs>
                <w:tab w:val="left" w:pos="582"/>
                <w:tab w:val="left" w:pos="729"/>
                <w:tab w:val="left" w:pos="2268"/>
              </w:tabs>
              <w:spacing w:after="0" w:line="360" w:lineRule="auto"/>
              <w:ind w:right="-1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CB0A1C" w:rsidRPr="00CB0A1C" w:rsidRDefault="00AE0F49" w:rsidP="00CB0A1C">
            <w:pPr>
              <w:tabs>
                <w:tab w:val="left" w:pos="582"/>
                <w:tab w:val="left" w:pos="720"/>
                <w:tab w:val="left" w:pos="2268"/>
              </w:tabs>
              <w:spacing w:after="0" w:line="360" w:lineRule="auto"/>
              <w:ind w:right="-1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</w:t>
            </w:r>
            <w:r w:rsidR="00423C5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]    </w:t>
            </w:r>
            <w:r w:rsidR="00CB0A1C" w:rsidRPr="00CB0A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refusal to grant the accused an opportunity to obtain legal representation </w:t>
            </w:r>
            <w:r w:rsidR="00CB0A1C" w:rsidRPr="00CB0A1C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in </w:t>
            </w:r>
            <w:proofErr w:type="spellStart"/>
            <w:r w:rsidR="00CB0A1C" w:rsidRPr="00CB0A1C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casu</w:t>
            </w:r>
            <w:proofErr w:type="spellEnd"/>
            <w:r w:rsidR="00CB0A1C" w:rsidRPr="00CB0A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caused a flagrant disregard of the accused’s constitutional right to a fair trial. In </w:t>
            </w:r>
            <w:proofErr w:type="spellStart"/>
            <w:r w:rsidR="00CB0A1C" w:rsidRPr="00CB0A1C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Nowaseb</w:t>
            </w:r>
            <w:proofErr w:type="spellEnd"/>
            <w:r w:rsidR="00CB0A1C" w:rsidRPr="00CB0A1C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v State</w:t>
            </w:r>
            <w:r w:rsidR="00CB0A1C" w:rsidRPr="00CB0A1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/>
              </w:rPr>
              <w:footnoteReference w:id="2"/>
            </w:r>
            <w:r w:rsidR="00E70DB4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,</w:t>
            </w:r>
            <w:r w:rsidR="00CB0A1C" w:rsidRPr="00CB0A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this court set aside both conviction and sentence for the reason that the regional</w:t>
            </w:r>
            <w:r w:rsidR="00B9251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court </w:t>
            </w:r>
            <w:r w:rsidR="00CB0A1C" w:rsidRPr="00CB0A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magistrate refused a postponement to enable the accused to secure legal representation. The court went on to refer to various </w:t>
            </w:r>
            <w:r w:rsidR="00E70DB4" w:rsidRPr="00CB0A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factors, which</w:t>
            </w:r>
            <w:r w:rsidR="00CB0A1C" w:rsidRPr="00CB0A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 court must take into account wheth</w:t>
            </w:r>
            <w:r w:rsidR="007A4E9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er to grant such a postponement</w:t>
            </w:r>
            <w:r w:rsidR="00CB0A1C" w:rsidRPr="00CB0A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or not, stressing that such a consideration should be within the context of the fundamental right to legal representation.</w:t>
            </w:r>
          </w:p>
          <w:p w:rsidR="00AE0F49" w:rsidRDefault="00AE0F49" w:rsidP="00AE0F49">
            <w:pPr>
              <w:tabs>
                <w:tab w:val="left" w:pos="582"/>
                <w:tab w:val="left" w:pos="729"/>
                <w:tab w:val="left" w:pos="2268"/>
              </w:tabs>
              <w:spacing w:after="0" w:line="360" w:lineRule="auto"/>
              <w:ind w:right="-1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CB0A1C" w:rsidRDefault="00423C57" w:rsidP="00EB7174">
            <w:pPr>
              <w:tabs>
                <w:tab w:val="left" w:pos="2268"/>
              </w:tabs>
              <w:spacing w:after="0" w:line="360" w:lineRule="auto"/>
              <w:ind w:left="5" w:right="-14" w:hanging="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[10</w:t>
            </w:r>
            <w:r w:rsidR="00EB7174">
              <w:rPr>
                <w:rFonts w:ascii="Arial" w:eastAsia="Times New Roman" w:hAnsi="Arial" w:cs="Arial"/>
                <w:sz w:val="24"/>
                <w:szCs w:val="24"/>
              </w:rPr>
              <w:t xml:space="preserve">]    </w:t>
            </w:r>
            <w:r w:rsidR="00CB0A1C" w:rsidRPr="00CB0A1C">
              <w:rPr>
                <w:rFonts w:ascii="Arial" w:eastAsia="Times New Roman" w:hAnsi="Arial" w:cs="Arial"/>
                <w:sz w:val="24"/>
                <w:szCs w:val="24"/>
              </w:rPr>
              <w:t xml:space="preserve">Consequently, the proceedings in this case cannot be said to be in </w:t>
            </w:r>
            <w:r w:rsidR="00EB7174">
              <w:rPr>
                <w:rFonts w:ascii="Arial" w:eastAsia="Times New Roman" w:hAnsi="Arial" w:cs="Arial"/>
                <w:sz w:val="24"/>
                <w:szCs w:val="24"/>
              </w:rPr>
              <w:t xml:space="preserve">accordance </w:t>
            </w:r>
            <w:r w:rsidR="00CB0A1C">
              <w:rPr>
                <w:rFonts w:ascii="Arial" w:eastAsia="Times New Roman" w:hAnsi="Arial" w:cs="Arial"/>
                <w:sz w:val="24"/>
                <w:szCs w:val="24"/>
              </w:rPr>
              <w:t>with</w:t>
            </w:r>
          </w:p>
          <w:p w:rsidR="00CB0A1C" w:rsidRPr="00CB0A1C" w:rsidRDefault="00CB0A1C" w:rsidP="00CB0A1C">
            <w:pPr>
              <w:tabs>
                <w:tab w:val="left" w:pos="2268"/>
              </w:tabs>
              <w:spacing w:after="0" w:line="360" w:lineRule="auto"/>
              <w:ind w:left="729" w:right="-14" w:hanging="786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B0A1C">
              <w:rPr>
                <w:rFonts w:ascii="Arial" w:eastAsia="Times New Roman" w:hAnsi="Arial" w:cs="Arial"/>
                <w:sz w:val="24"/>
                <w:szCs w:val="24"/>
              </w:rPr>
              <w:t>justice</w:t>
            </w:r>
            <w:proofErr w:type="gramEnd"/>
            <w:r w:rsidRPr="00CB0A1C">
              <w:rPr>
                <w:rFonts w:ascii="Arial" w:eastAsia="Times New Roman" w:hAnsi="Arial" w:cs="Arial"/>
                <w:sz w:val="24"/>
                <w:szCs w:val="24"/>
              </w:rPr>
              <w:t>, because there was a failure of justice, which resulted in</w:t>
            </w:r>
            <w:r w:rsidR="007A4E9B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 w:rsidRPr="00CB0A1C">
              <w:rPr>
                <w:rFonts w:ascii="Arial" w:eastAsia="Times New Roman" w:hAnsi="Arial" w:cs="Arial"/>
                <w:sz w:val="24"/>
                <w:szCs w:val="24"/>
              </w:rPr>
              <w:t xml:space="preserve"> gross irregularity.</w:t>
            </w:r>
          </w:p>
          <w:p w:rsidR="00CB0A1C" w:rsidRPr="00CB0A1C" w:rsidRDefault="00CB0A1C" w:rsidP="00CB0A1C">
            <w:pPr>
              <w:tabs>
                <w:tab w:val="left" w:pos="2268"/>
              </w:tabs>
              <w:spacing w:after="0" w:line="360" w:lineRule="auto"/>
              <w:ind w:left="729" w:right="-14" w:hanging="786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CB0A1C" w:rsidRPr="00CB0A1C" w:rsidRDefault="00423C57" w:rsidP="00CB0A1C">
            <w:pPr>
              <w:tabs>
                <w:tab w:val="left" w:pos="2268"/>
              </w:tabs>
              <w:spacing w:after="0" w:line="360" w:lineRule="auto"/>
              <w:ind w:left="729" w:right="-14" w:hanging="786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[11</w:t>
            </w:r>
            <w:r w:rsidR="00CB0A1C" w:rsidRPr="00CB0A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 w:rsidR="00CB0A1C" w:rsidRPr="00CB0A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In the result, the following order is made:</w:t>
            </w:r>
          </w:p>
          <w:p w:rsidR="00CB0A1C" w:rsidRPr="00CB0A1C" w:rsidRDefault="00CB0A1C" w:rsidP="007A4E9B">
            <w:pPr>
              <w:tabs>
                <w:tab w:val="left" w:pos="2268"/>
              </w:tabs>
              <w:spacing w:after="0" w:line="360" w:lineRule="auto"/>
              <w:ind w:left="729" w:right="-14" w:hanging="786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CB0A1C" w:rsidRDefault="00A61B62" w:rsidP="007A4E9B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</w:tabs>
              <w:spacing w:after="0" w:line="360" w:lineRule="auto"/>
              <w:ind w:right="-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E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0A1C" w:rsidRPr="007A4E9B">
              <w:rPr>
                <w:rFonts w:ascii="Arial" w:eastAsia="Times New Roman" w:hAnsi="Arial" w:cs="Arial"/>
                <w:sz w:val="24"/>
                <w:szCs w:val="24"/>
              </w:rPr>
              <w:t xml:space="preserve">The conviction and sentence </w:t>
            </w:r>
            <w:r w:rsidRPr="007A4E9B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="00CB0A1C" w:rsidRPr="007A4E9B">
              <w:rPr>
                <w:rFonts w:ascii="Arial" w:eastAsia="Times New Roman" w:hAnsi="Arial" w:cs="Arial"/>
                <w:sz w:val="24"/>
                <w:szCs w:val="24"/>
              </w:rPr>
              <w:t xml:space="preserve"> set aside.</w:t>
            </w:r>
          </w:p>
          <w:p w:rsidR="00892E93" w:rsidRPr="007A4E9B" w:rsidRDefault="00B92513" w:rsidP="007A4E9B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</w:tabs>
              <w:spacing w:after="0" w:line="360" w:lineRule="auto"/>
              <w:ind w:right="-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E9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accused </w:t>
            </w:r>
            <w:proofErr w:type="gramStart"/>
            <w:r w:rsidRPr="007A4E9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must be released</w:t>
            </w:r>
            <w:proofErr w:type="gramEnd"/>
            <w:r w:rsidRPr="007A4E9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from custody forthwith.</w:t>
            </w:r>
          </w:p>
          <w:p w:rsidR="00892E93" w:rsidRPr="00892E93" w:rsidRDefault="00892E93" w:rsidP="00AE0F49">
            <w:pPr>
              <w:tabs>
                <w:tab w:val="left" w:pos="2268"/>
              </w:tabs>
              <w:spacing w:after="0" w:line="360" w:lineRule="auto"/>
              <w:ind w:right="-1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DA52C4" w:rsidRPr="00707B80" w:rsidTr="00180833">
        <w:trPr>
          <w:trHeight w:val="4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704E" w:rsidRDefault="0033704E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2C4" w:rsidRPr="00715C97" w:rsidRDefault="00DA52C4" w:rsidP="001808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Default="00DA52C4" w:rsidP="00D4399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DA52C4" w:rsidP="00D4399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33" w:rsidRPr="00707B80" w:rsidTr="00D43998">
        <w:trPr>
          <w:trHeight w:val="7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4E" w:rsidRDefault="0033704E" w:rsidP="007A4E9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E9B" w:rsidRPr="007A4E9B" w:rsidRDefault="00EB7174" w:rsidP="007A4E9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USIKU</w:t>
            </w:r>
          </w:p>
          <w:p w:rsidR="00180833" w:rsidRDefault="007A4E9B" w:rsidP="007A4E9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E9B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4E" w:rsidRDefault="0033704E" w:rsidP="007A4E9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E9B" w:rsidRPr="007A4E9B" w:rsidRDefault="00EB7174" w:rsidP="007A4E9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 C JANUARY</w:t>
            </w:r>
          </w:p>
          <w:p w:rsidR="00180833" w:rsidRPr="0082764E" w:rsidRDefault="007A4E9B" w:rsidP="007A4E9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E9B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DA52C4" w:rsidRPr="00707B80" w:rsidRDefault="00DA52C4" w:rsidP="00DA52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2E72" w:rsidRDefault="009E2E72"/>
    <w:sectPr w:rsidR="009E2E72" w:rsidSect="0033704E">
      <w:headerReference w:type="default" r:id="rId10"/>
      <w:pgSz w:w="11906" w:h="16838"/>
      <w:pgMar w:top="993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8D" w:rsidRDefault="0093178D" w:rsidP="00DA52C4">
      <w:pPr>
        <w:spacing w:after="0" w:line="240" w:lineRule="auto"/>
      </w:pPr>
      <w:r>
        <w:separator/>
      </w:r>
    </w:p>
  </w:endnote>
  <w:endnote w:type="continuationSeparator" w:id="0">
    <w:p w:rsidR="0093178D" w:rsidRDefault="0093178D" w:rsidP="00DA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8D" w:rsidRDefault="0093178D" w:rsidP="00DA52C4">
      <w:pPr>
        <w:spacing w:after="0" w:line="240" w:lineRule="auto"/>
      </w:pPr>
      <w:r>
        <w:separator/>
      </w:r>
    </w:p>
  </w:footnote>
  <w:footnote w:type="continuationSeparator" w:id="0">
    <w:p w:rsidR="0093178D" w:rsidRDefault="0093178D" w:rsidP="00DA52C4">
      <w:pPr>
        <w:spacing w:after="0" w:line="240" w:lineRule="auto"/>
      </w:pPr>
      <w:r>
        <w:continuationSeparator/>
      </w:r>
    </w:p>
  </w:footnote>
  <w:footnote w:id="1">
    <w:p w:rsidR="00AE0F49" w:rsidRPr="007A4E9B" w:rsidRDefault="00AE0F49" w:rsidP="00AE0F49">
      <w:pPr>
        <w:pStyle w:val="FootnoteText"/>
        <w:rPr>
          <w:rFonts w:ascii="Arial" w:hAnsi="Arial" w:cs="Arial"/>
        </w:rPr>
      </w:pPr>
      <w:r w:rsidRPr="007A4E9B">
        <w:rPr>
          <w:rStyle w:val="FootnoteReference"/>
          <w:rFonts w:ascii="Arial" w:hAnsi="Arial" w:cs="Arial"/>
        </w:rPr>
        <w:footnoteRef/>
      </w:r>
      <w:r w:rsidRPr="007A4E9B">
        <w:rPr>
          <w:rFonts w:ascii="Arial" w:hAnsi="Arial" w:cs="Arial"/>
        </w:rPr>
        <w:t xml:space="preserve"> </w:t>
      </w:r>
      <w:proofErr w:type="spellStart"/>
      <w:r w:rsidRPr="007A4E9B">
        <w:rPr>
          <w:rFonts w:ascii="Arial" w:hAnsi="Arial" w:cs="Arial"/>
          <w:i/>
        </w:rPr>
        <w:t>Kambatuku</w:t>
      </w:r>
      <w:proofErr w:type="spellEnd"/>
      <w:r w:rsidRPr="007A4E9B">
        <w:rPr>
          <w:rFonts w:ascii="Arial" w:hAnsi="Arial" w:cs="Arial"/>
          <w:i/>
        </w:rPr>
        <w:t xml:space="preserve"> v State</w:t>
      </w:r>
      <w:r w:rsidRPr="007A4E9B">
        <w:rPr>
          <w:rFonts w:ascii="Arial" w:hAnsi="Arial" w:cs="Arial"/>
        </w:rPr>
        <w:t xml:space="preserve"> (</w:t>
      </w:r>
      <w:proofErr w:type="gramStart"/>
      <w:r w:rsidRPr="007A4E9B">
        <w:rPr>
          <w:rFonts w:ascii="Arial" w:hAnsi="Arial" w:cs="Arial"/>
        </w:rPr>
        <w:t>CA 48/2013</w:t>
      </w:r>
      <w:proofErr w:type="gramEnd"/>
      <w:r w:rsidRPr="007A4E9B">
        <w:rPr>
          <w:rFonts w:ascii="Arial" w:hAnsi="Arial" w:cs="Arial"/>
        </w:rPr>
        <w:t>) [2014] NAHCMD 41 (12 February 2014).</w:t>
      </w:r>
    </w:p>
  </w:footnote>
  <w:footnote w:id="2">
    <w:p w:rsidR="00CB0A1C" w:rsidRPr="00CB0A1C" w:rsidRDefault="00CB0A1C" w:rsidP="00CB0A1C">
      <w:pPr>
        <w:pStyle w:val="FootnoteText"/>
        <w:rPr>
          <w:rFonts w:ascii="Arial" w:hAnsi="Arial" w:cs="Arial"/>
          <w:lang w:val="en-US"/>
        </w:rPr>
      </w:pPr>
      <w:r w:rsidRPr="007A4E9B">
        <w:rPr>
          <w:rStyle w:val="FootnoteReference"/>
          <w:rFonts w:ascii="Arial" w:hAnsi="Arial" w:cs="Arial"/>
        </w:rPr>
        <w:footnoteRef/>
      </w:r>
      <w:r w:rsidRPr="007A4E9B">
        <w:rPr>
          <w:rFonts w:ascii="Arial" w:hAnsi="Arial" w:cs="Arial"/>
        </w:rPr>
        <w:t xml:space="preserve"> </w:t>
      </w:r>
      <w:proofErr w:type="spellStart"/>
      <w:r w:rsidRPr="007A4E9B">
        <w:rPr>
          <w:rFonts w:ascii="Arial" w:hAnsi="Arial" w:cs="Arial"/>
          <w:i/>
        </w:rPr>
        <w:t>Nowaseb</w:t>
      </w:r>
      <w:proofErr w:type="spellEnd"/>
      <w:r w:rsidRPr="007A4E9B">
        <w:rPr>
          <w:rFonts w:ascii="Arial" w:hAnsi="Arial" w:cs="Arial"/>
          <w:i/>
        </w:rPr>
        <w:t xml:space="preserve"> v State</w:t>
      </w:r>
      <w:r w:rsidRPr="007A4E9B">
        <w:rPr>
          <w:rFonts w:ascii="Arial" w:hAnsi="Arial" w:cs="Arial"/>
        </w:rPr>
        <w:t xml:space="preserve"> (CA 93/95) [1996] NAHCMD (28 October 1996).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7B" w:rsidRDefault="00FE75B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2614">
      <w:rPr>
        <w:noProof/>
      </w:rPr>
      <w:t>3</w:t>
    </w:r>
    <w:r>
      <w:rPr>
        <w:noProof/>
      </w:rPr>
      <w:fldChar w:fldCharType="end"/>
    </w:r>
  </w:p>
  <w:p w:rsidR="005A587B" w:rsidRDefault="00931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3FA"/>
    <w:multiLevelType w:val="multilevel"/>
    <w:tmpl w:val="F64ED7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1">
    <w:nsid w:val="5DC10916"/>
    <w:multiLevelType w:val="hybridMultilevel"/>
    <w:tmpl w:val="6D0A72A6"/>
    <w:lvl w:ilvl="0" w:tplc="41E0C322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8" w:hanging="360"/>
      </w:pPr>
    </w:lvl>
    <w:lvl w:ilvl="2" w:tplc="1C09001B" w:tentative="1">
      <w:start w:val="1"/>
      <w:numFmt w:val="lowerRoman"/>
      <w:lvlText w:val="%3."/>
      <w:lvlJc w:val="right"/>
      <w:pPr>
        <w:ind w:left="2478" w:hanging="180"/>
      </w:pPr>
    </w:lvl>
    <w:lvl w:ilvl="3" w:tplc="1C09000F" w:tentative="1">
      <w:start w:val="1"/>
      <w:numFmt w:val="decimal"/>
      <w:lvlText w:val="%4."/>
      <w:lvlJc w:val="left"/>
      <w:pPr>
        <w:ind w:left="3198" w:hanging="360"/>
      </w:pPr>
    </w:lvl>
    <w:lvl w:ilvl="4" w:tplc="1C090019" w:tentative="1">
      <w:start w:val="1"/>
      <w:numFmt w:val="lowerLetter"/>
      <w:lvlText w:val="%5."/>
      <w:lvlJc w:val="left"/>
      <w:pPr>
        <w:ind w:left="3918" w:hanging="360"/>
      </w:pPr>
    </w:lvl>
    <w:lvl w:ilvl="5" w:tplc="1C09001B" w:tentative="1">
      <w:start w:val="1"/>
      <w:numFmt w:val="lowerRoman"/>
      <w:lvlText w:val="%6."/>
      <w:lvlJc w:val="right"/>
      <w:pPr>
        <w:ind w:left="4638" w:hanging="180"/>
      </w:pPr>
    </w:lvl>
    <w:lvl w:ilvl="6" w:tplc="1C09000F" w:tentative="1">
      <w:start w:val="1"/>
      <w:numFmt w:val="decimal"/>
      <w:lvlText w:val="%7."/>
      <w:lvlJc w:val="left"/>
      <w:pPr>
        <w:ind w:left="5358" w:hanging="360"/>
      </w:pPr>
    </w:lvl>
    <w:lvl w:ilvl="7" w:tplc="1C090019" w:tentative="1">
      <w:start w:val="1"/>
      <w:numFmt w:val="lowerLetter"/>
      <w:lvlText w:val="%8."/>
      <w:lvlJc w:val="left"/>
      <w:pPr>
        <w:ind w:left="6078" w:hanging="360"/>
      </w:pPr>
    </w:lvl>
    <w:lvl w:ilvl="8" w:tplc="1C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651F1C01"/>
    <w:multiLevelType w:val="hybridMultilevel"/>
    <w:tmpl w:val="CC0EE414"/>
    <w:lvl w:ilvl="0" w:tplc="3B882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B18F2"/>
    <w:multiLevelType w:val="multilevel"/>
    <w:tmpl w:val="299E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4"/>
    <w:rsid w:val="00001C6E"/>
    <w:rsid w:val="00040694"/>
    <w:rsid w:val="000407D6"/>
    <w:rsid w:val="001416DC"/>
    <w:rsid w:val="0015603E"/>
    <w:rsid w:val="00164ED7"/>
    <w:rsid w:val="00180833"/>
    <w:rsid w:val="001B0C84"/>
    <w:rsid w:val="001E5538"/>
    <w:rsid w:val="001E5A83"/>
    <w:rsid w:val="00230789"/>
    <w:rsid w:val="00284915"/>
    <w:rsid w:val="00291CFC"/>
    <w:rsid w:val="002F5F39"/>
    <w:rsid w:val="0032364B"/>
    <w:rsid w:val="00330793"/>
    <w:rsid w:val="0033704E"/>
    <w:rsid w:val="003630AF"/>
    <w:rsid w:val="003736CF"/>
    <w:rsid w:val="00381173"/>
    <w:rsid w:val="003B165B"/>
    <w:rsid w:val="003D008F"/>
    <w:rsid w:val="003F248B"/>
    <w:rsid w:val="00405964"/>
    <w:rsid w:val="00423C57"/>
    <w:rsid w:val="004263A8"/>
    <w:rsid w:val="00432AD8"/>
    <w:rsid w:val="00454BDE"/>
    <w:rsid w:val="00454C5D"/>
    <w:rsid w:val="004C708C"/>
    <w:rsid w:val="004F2231"/>
    <w:rsid w:val="0050068E"/>
    <w:rsid w:val="00576285"/>
    <w:rsid w:val="00590526"/>
    <w:rsid w:val="005D0CF2"/>
    <w:rsid w:val="00644F64"/>
    <w:rsid w:val="006605EB"/>
    <w:rsid w:val="006615C9"/>
    <w:rsid w:val="006869AD"/>
    <w:rsid w:val="006A40A1"/>
    <w:rsid w:val="006B03EF"/>
    <w:rsid w:val="006C053A"/>
    <w:rsid w:val="006C1CCB"/>
    <w:rsid w:val="006D47F6"/>
    <w:rsid w:val="0072339D"/>
    <w:rsid w:val="00782BF6"/>
    <w:rsid w:val="007A4E9B"/>
    <w:rsid w:val="007F0414"/>
    <w:rsid w:val="00822539"/>
    <w:rsid w:val="00825302"/>
    <w:rsid w:val="0082764E"/>
    <w:rsid w:val="00887CA3"/>
    <w:rsid w:val="00892E93"/>
    <w:rsid w:val="00895097"/>
    <w:rsid w:val="00896D68"/>
    <w:rsid w:val="008B523B"/>
    <w:rsid w:val="009316D2"/>
    <w:rsid w:val="0093178D"/>
    <w:rsid w:val="00954B13"/>
    <w:rsid w:val="0096001B"/>
    <w:rsid w:val="009850E1"/>
    <w:rsid w:val="009A39D2"/>
    <w:rsid w:val="009E2E72"/>
    <w:rsid w:val="009F088A"/>
    <w:rsid w:val="009F6250"/>
    <w:rsid w:val="00A11A71"/>
    <w:rsid w:val="00A61B62"/>
    <w:rsid w:val="00A73963"/>
    <w:rsid w:val="00AC3370"/>
    <w:rsid w:val="00AE0F49"/>
    <w:rsid w:val="00AE405F"/>
    <w:rsid w:val="00B1020A"/>
    <w:rsid w:val="00B761B4"/>
    <w:rsid w:val="00B92513"/>
    <w:rsid w:val="00B946F2"/>
    <w:rsid w:val="00BB6D77"/>
    <w:rsid w:val="00BC5BD6"/>
    <w:rsid w:val="00C0574F"/>
    <w:rsid w:val="00C1239D"/>
    <w:rsid w:val="00C138F8"/>
    <w:rsid w:val="00C2206F"/>
    <w:rsid w:val="00C51F38"/>
    <w:rsid w:val="00C81A25"/>
    <w:rsid w:val="00C871CA"/>
    <w:rsid w:val="00C95A0C"/>
    <w:rsid w:val="00CB0872"/>
    <w:rsid w:val="00CB0A1C"/>
    <w:rsid w:val="00CC2614"/>
    <w:rsid w:val="00CC5C5F"/>
    <w:rsid w:val="00CF5CB5"/>
    <w:rsid w:val="00D375B9"/>
    <w:rsid w:val="00DA52C4"/>
    <w:rsid w:val="00DC44EF"/>
    <w:rsid w:val="00E1018A"/>
    <w:rsid w:val="00E25015"/>
    <w:rsid w:val="00E5099F"/>
    <w:rsid w:val="00E70DB4"/>
    <w:rsid w:val="00E87D8B"/>
    <w:rsid w:val="00EA26A1"/>
    <w:rsid w:val="00EB7174"/>
    <w:rsid w:val="00EF61B7"/>
    <w:rsid w:val="00F04ADE"/>
    <w:rsid w:val="00F15499"/>
    <w:rsid w:val="00F752E3"/>
    <w:rsid w:val="00FE75BE"/>
    <w:rsid w:val="00FE7D09"/>
    <w:rsid w:val="00FF2D16"/>
    <w:rsid w:val="00FF2EC0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C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5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2C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52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7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C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5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2C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52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2023-04-19T18:30:00+00:00</Judgment_x0020_Date>
  </documentManagement>
</p:properties>
</file>

<file path=customXml/itemProps1.xml><?xml version="1.0" encoding="utf-8"?>
<ds:datastoreItem xmlns:ds="http://schemas.openxmlformats.org/officeDocument/2006/customXml" ds:itemID="{F14E9B09-4A26-491F-901D-F62A442CCD5D}"/>
</file>

<file path=customXml/itemProps2.xml><?xml version="1.0" encoding="utf-8"?>
<ds:datastoreItem xmlns:ds="http://schemas.openxmlformats.org/officeDocument/2006/customXml" ds:itemID="{5EA6A2D9-2505-4D4B-8601-2D840B04784A}"/>
</file>

<file path=customXml/itemProps3.xml><?xml version="1.0" encoding="utf-8"?>
<ds:datastoreItem xmlns:ds="http://schemas.openxmlformats.org/officeDocument/2006/customXml" ds:itemID="{139CB9F9-359D-49F6-9B96-E80A604B2663}"/>
</file>

<file path=customXml/itemProps4.xml><?xml version="1.0" encoding="utf-8"?>
<ds:datastoreItem xmlns:ds="http://schemas.openxmlformats.org/officeDocument/2006/customXml" ds:itemID="{457BE5B8-1657-4C1A-BF90-4DB1D6D69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Bock (CR 48-2023) [2023] NAHCMD 212 (20 April 2023)</dc:title>
  <dc:creator>Emilia Mulunga</dc:creator>
  <cp:lastModifiedBy>Michelle N. Ullrich</cp:lastModifiedBy>
  <cp:revision>2</cp:revision>
  <cp:lastPrinted>2023-04-12T07:14:00Z</cp:lastPrinted>
  <dcterms:created xsi:type="dcterms:W3CDTF">2023-04-20T14:02:00Z</dcterms:created>
  <dcterms:modified xsi:type="dcterms:W3CDTF">2023-04-20T14:02:00Z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