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5470FD" w:rsidP="00184C3A">
      <w:pPr>
        <w:spacing w:after="0" w:line="360" w:lineRule="auto"/>
        <w:jc w:val="center"/>
        <w:rPr>
          <w:rFonts w:ascii="Arial" w:hAnsi="Arial" w:cs="Arial"/>
          <w:b/>
          <w:sz w:val="24"/>
          <w:szCs w:val="24"/>
        </w:rPr>
      </w:pPr>
      <w:r w:rsidRPr="00077FC7">
        <w:rPr>
          <w:rFonts w:ascii="Arial" w:hAnsi="Arial" w:cs="Arial"/>
          <w:b/>
          <w:noProof/>
          <w:sz w:val="24"/>
          <w:szCs w:val="24"/>
          <w:lang w:val="en-ZA" w:eastAsia="en-ZA"/>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7A0586" w:rsidRDefault="007A0586" w:rsidP="00184C3A">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5" type="#_x0000_t202" style="width:123pt;height:19.5pt;margin-top:-4.5pt;margin-left:358.5pt;mso-height-percent:0;mso-height-relative:page;mso-width-percent:0;mso-width-relative:page;mso-wrap-distance-bottom:0;mso-wrap-distance-left:9pt;mso-wrap-distance-right:9pt;mso-wrap-distance-top:0;mso-wrap-style:square;position:absolute;visibility:visible;v-text-anchor:top;z-index:251659264" strokecolor="white">
                <v:textbox>
                  <w:txbxContent>
                    <w:p w:rsidR="007A0586" w:rsidP="00184C3A">
                      <w:pPr>
                        <w:jc w:val="center"/>
                      </w:pPr>
                    </w:p>
                  </w:txbxContent>
                </v:textbox>
              </v:shape>
            </w:pict>
          </mc:Fallback>
        </mc:AlternateContent>
      </w:r>
      <w:r w:rsidR="00526DEF">
        <w:rPr>
          <w:rFonts w:ascii="Arial" w:hAnsi="Arial" w:cs="Arial"/>
          <w:b/>
          <w:sz w:val="24"/>
          <w:szCs w:val="24"/>
        </w:rPr>
        <w:t xml:space="preserve"> </w:t>
      </w:r>
      <w:r w:rsidRPr="00077FC7">
        <w:rPr>
          <w:rFonts w:ascii="Arial" w:hAnsi="Arial" w:cs="Arial"/>
          <w:b/>
          <w:sz w:val="24"/>
          <w:szCs w:val="24"/>
        </w:rPr>
        <w:t>REPUBLIC OF NAMIBIA</w:t>
      </w:r>
    </w:p>
    <w:p w:rsidR="00184C3A" w:rsidRPr="00077FC7" w:rsidRDefault="005470FD" w:rsidP="00184C3A">
      <w:pPr>
        <w:spacing w:after="0" w:line="360" w:lineRule="auto"/>
        <w:jc w:val="center"/>
        <w:rPr>
          <w:rFonts w:ascii="Arial" w:hAnsi="Arial" w:cs="Arial"/>
          <w:b/>
          <w:sz w:val="28"/>
          <w:szCs w:val="32"/>
        </w:rPr>
      </w:pPr>
      <w:r w:rsidRPr="00077FC7">
        <w:rPr>
          <w:rFonts w:ascii="Arial" w:hAnsi="Arial" w:cs="Arial"/>
          <w:b/>
          <w:noProof/>
          <w:sz w:val="32"/>
          <w:szCs w:val="32"/>
          <w:lang w:val="en-ZA" w:eastAsia="en-ZA"/>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5470FD" w:rsidP="00184C3A">
      <w:pPr>
        <w:spacing w:after="0" w:line="360" w:lineRule="auto"/>
        <w:jc w:val="center"/>
        <w:rPr>
          <w:rFonts w:ascii="Arial" w:hAnsi="Arial" w:cs="Arial"/>
          <w:bCs/>
          <w:sz w:val="24"/>
          <w:szCs w:val="24"/>
        </w:rPr>
      </w:pPr>
      <w:r>
        <w:rPr>
          <w:rFonts w:ascii="Arial" w:hAnsi="Arial" w:cs="Arial"/>
          <w:b/>
          <w:sz w:val="24"/>
          <w:szCs w:val="24"/>
        </w:rPr>
        <w:t>HIGH</w:t>
      </w:r>
      <w:r w:rsidR="000F5D13">
        <w:rPr>
          <w:rFonts w:ascii="Arial" w:hAnsi="Arial" w:cs="Arial"/>
          <w:b/>
          <w:sz w:val="24"/>
          <w:szCs w:val="24"/>
        </w:rPr>
        <w:t xml:space="preserve"> </w:t>
      </w:r>
      <w:r w:rsidRPr="00077FC7">
        <w:rPr>
          <w:rFonts w:ascii="Arial" w:hAnsi="Arial" w:cs="Arial"/>
          <w:b/>
          <w:sz w:val="24"/>
          <w:szCs w:val="24"/>
        </w:rPr>
        <w:t>COURT OF NAMIBIA MAIN DIVISION, WINDHOEK</w:t>
      </w:r>
    </w:p>
    <w:p w:rsidR="00184C3A" w:rsidRPr="00077FC7" w:rsidRDefault="00184C3A" w:rsidP="00184C3A">
      <w:pPr>
        <w:spacing w:after="0" w:line="360" w:lineRule="auto"/>
        <w:jc w:val="center"/>
        <w:rPr>
          <w:rFonts w:ascii="Arial" w:hAnsi="Arial" w:cs="Arial"/>
          <w:bCs/>
          <w:sz w:val="24"/>
          <w:szCs w:val="24"/>
        </w:rPr>
      </w:pPr>
    </w:p>
    <w:p w:rsidR="00184C3A" w:rsidRPr="00077FC7" w:rsidRDefault="005470FD" w:rsidP="00184C3A">
      <w:pPr>
        <w:spacing w:after="0" w:line="360" w:lineRule="auto"/>
        <w:jc w:val="center"/>
        <w:rPr>
          <w:rFonts w:ascii="Arial" w:hAnsi="Arial" w:cs="Arial"/>
          <w:b/>
          <w:sz w:val="24"/>
          <w:szCs w:val="24"/>
        </w:rPr>
      </w:pPr>
      <w:r>
        <w:rPr>
          <w:rFonts w:ascii="Arial" w:hAnsi="Arial" w:cs="Arial"/>
          <w:b/>
          <w:sz w:val="24"/>
          <w:szCs w:val="24"/>
        </w:rPr>
        <w:t>RULING</w:t>
      </w:r>
    </w:p>
    <w:p w:rsidR="00184C3A" w:rsidRPr="006E2B3B" w:rsidRDefault="00184C3A" w:rsidP="00184C3A">
      <w:pPr>
        <w:spacing w:after="0" w:line="360" w:lineRule="auto"/>
        <w:jc w:val="center"/>
        <w:rPr>
          <w:rFonts w:ascii="Arial" w:hAnsi="Arial" w:cs="Arial"/>
          <w:b/>
          <w:sz w:val="24"/>
          <w:szCs w:val="24"/>
        </w:rPr>
      </w:pPr>
    </w:p>
    <w:p w:rsidR="00F348BE" w:rsidRDefault="005470FD" w:rsidP="007B5F17">
      <w:pPr>
        <w:tabs>
          <w:tab w:val="right" w:pos="9000"/>
        </w:tabs>
        <w:spacing w:after="0" w:line="360" w:lineRule="auto"/>
        <w:jc w:val="right"/>
        <w:rPr>
          <w:rFonts w:ascii="Arial" w:hAnsi="Arial" w:cs="Arial"/>
          <w:sz w:val="24"/>
          <w:szCs w:val="24"/>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Pr="006E2B3B">
        <w:rPr>
          <w:rFonts w:ascii="Arial" w:hAnsi="Arial" w:cs="Arial"/>
          <w:sz w:val="24"/>
          <w:szCs w:val="24"/>
        </w:rPr>
        <w:t xml:space="preserve">o: </w:t>
      </w:r>
      <w:r w:rsidR="009758C6" w:rsidRPr="009758C6">
        <w:rPr>
          <w:rFonts w:ascii="Arial" w:hAnsi="Arial" w:cs="Arial"/>
          <w:sz w:val="24"/>
          <w:szCs w:val="24"/>
        </w:rPr>
        <w:t xml:space="preserve"> </w:t>
      </w:r>
      <w:r w:rsidR="002107B1" w:rsidRPr="002107B1">
        <w:rPr>
          <w:rFonts w:ascii="Arial" w:hAnsi="Arial" w:cs="Arial"/>
          <w:sz w:val="24"/>
          <w:szCs w:val="24"/>
        </w:rPr>
        <w:t>HC-MD-CIV-MOT-REV-2022/00155</w:t>
      </w:r>
    </w:p>
    <w:p w:rsidR="007B5F17" w:rsidRDefault="005470FD" w:rsidP="007B5F17">
      <w:pPr>
        <w:tabs>
          <w:tab w:val="right" w:pos="9000"/>
        </w:tabs>
        <w:spacing w:after="0" w:line="360" w:lineRule="auto"/>
        <w:jc w:val="right"/>
        <w:rPr>
          <w:rFonts w:ascii="Arial" w:hAnsi="Arial" w:cs="Arial"/>
          <w:sz w:val="24"/>
          <w:szCs w:val="24"/>
        </w:rPr>
      </w:pPr>
      <w:r>
        <w:rPr>
          <w:rFonts w:ascii="Arial" w:hAnsi="Arial" w:cs="Arial"/>
          <w:sz w:val="24"/>
          <w:szCs w:val="24"/>
        </w:rPr>
        <w:t>INT-HC-OTH-2022/00331</w:t>
      </w:r>
    </w:p>
    <w:p w:rsidR="007B5F17" w:rsidRDefault="005470FD" w:rsidP="007B5F17">
      <w:pPr>
        <w:tabs>
          <w:tab w:val="right" w:pos="9000"/>
        </w:tabs>
        <w:spacing w:after="0" w:line="360" w:lineRule="auto"/>
        <w:jc w:val="right"/>
        <w:rPr>
          <w:rFonts w:ascii="Arial" w:hAnsi="Arial" w:cs="Arial"/>
          <w:sz w:val="24"/>
          <w:szCs w:val="24"/>
        </w:rPr>
      </w:pPr>
      <w:r>
        <w:rPr>
          <w:rFonts w:ascii="Arial" w:hAnsi="Arial" w:cs="Arial"/>
          <w:sz w:val="24"/>
          <w:szCs w:val="24"/>
        </w:rPr>
        <w:t>INT-HC-OTH-2022/00335</w:t>
      </w:r>
    </w:p>
    <w:p w:rsidR="007B5F17" w:rsidRDefault="007B5F17" w:rsidP="007B5F17">
      <w:pPr>
        <w:tabs>
          <w:tab w:val="right" w:pos="9000"/>
        </w:tabs>
        <w:spacing w:after="0" w:line="360" w:lineRule="auto"/>
        <w:jc w:val="right"/>
        <w:rPr>
          <w:rFonts w:ascii="Arial" w:hAnsi="Arial" w:cs="Arial"/>
          <w:sz w:val="24"/>
          <w:szCs w:val="24"/>
        </w:rPr>
      </w:pPr>
    </w:p>
    <w:p w:rsidR="00184C3A" w:rsidRPr="00077FC7" w:rsidRDefault="005470FD" w:rsidP="00853A00">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6C3AF0" w:rsidRPr="006C3AF0" w:rsidRDefault="006C3AF0" w:rsidP="00853A00">
      <w:pPr>
        <w:spacing w:after="3" w:line="360" w:lineRule="auto"/>
        <w:ind w:right="25"/>
        <w:jc w:val="both"/>
        <w:rPr>
          <w:rFonts w:ascii="Arial" w:eastAsia="Arial Unicode MS" w:hAnsi="Arial" w:cs="Arial"/>
          <w:color w:val="000000"/>
          <w:sz w:val="24"/>
          <w:szCs w:val="24"/>
        </w:rPr>
      </w:pPr>
    </w:p>
    <w:p w:rsidR="006C3AF0" w:rsidRPr="006C3AF0" w:rsidRDefault="005470FD" w:rsidP="00853A00">
      <w:pPr>
        <w:spacing w:after="0" w:line="360" w:lineRule="auto"/>
        <w:ind w:left="33" w:right="25" w:hanging="10"/>
        <w:rPr>
          <w:rFonts w:ascii="Arial" w:eastAsia="Arial Unicode MS" w:hAnsi="Arial" w:cs="Arial"/>
          <w:b/>
          <w:color w:val="000000"/>
          <w:sz w:val="24"/>
          <w:szCs w:val="24"/>
        </w:rPr>
      </w:pPr>
      <w:r>
        <w:rPr>
          <w:rFonts w:ascii="Arial" w:eastAsia="Arial Unicode MS" w:hAnsi="Arial" w:cs="Arial"/>
          <w:b/>
          <w:color w:val="000000"/>
          <w:sz w:val="24"/>
          <w:szCs w:val="24"/>
        </w:rPr>
        <w:t>MENZIES AVIATION (NAMIBIA)</w:t>
      </w:r>
      <w:r w:rsidR="00066623">
        <w:rPr>
          <w:rFonts w:ascii="Arial" w:eastAsia="Arial Unicode MS" w:hAnsi="Arial" w:cs="Arial"/>
          <w:b/>
          <w:color w:val="000000"/>
          <w:sz w:val="24"/>
          <w:szCs w:val="24"/>
        </w:rPr>
        <w:t xml:space="preserve"> (PTY) LTD</w:t>
      </w:r>
      <w:r w:rsidR="002107B1">
        <w:rPr>
          <w:rFonts w:ascii="Arial" w:eastAsia="Arial Unicode MS" w:hAnsi="Arial" w:cs="Arial"/>
          <w:b/>
          <w:color w:val="000000"/>
          <w:sz w:val="24"/>
          <w:szCs w:val="24"/>
        </w:rPr>
        <w:tab/>
      </w:r>
      <w:r w:rsidR="002107B1">
        <w:rPr>
          <w:rFonts w:ascii="Arial" w:eastAsia="Arial Unicode MS" w:hAnsi="Arial" w:cs="Arial"/>
          <w:b/>
          <w:color w:val="000000"/>
          <w:sz w:val="24"/>
          <w:szCs w:val="24"/>
        </w:rPr>
        <w:tab/>
      </w:r>
      <w:r w:rsidR="006B49BD">
        <w:rPr>
          <w:rFonts w:ascii="Arial" w:eastAsia="Arial Unicode MS" w:hAnsi="Arial" w:cs="Arial"/>
          <w:b/>
          <w:color w:val="000000"/>
          <w:sz w:val="24"/>
          <w:szCs w:val="24"/>
        </w:rPr>
        <w:t xml:space="preserve">       </w:t>
      </w:r>
      <w:r w:rsidR="00066623">
        <w:rPr>
          <w:rFonts w:ascii="Arial" w:eastAsia="Arial Unicode MS" w:hAnsi="Arial" w:cs="Arial"/>
          <w:b/>
          <w:color w:val="000000"/>
          <w:sz w:val="24"/>
          <w:szCs w:val="24"/>
        </w:rPr>
        <w:t xml:space="preserve">   </w:t>
      </w:r>
      <w:r w:rsidR="00066623">
        <w:rPr>
          <w:rFonts w:ascii="Arial" w:eastAsia="Arial Unicode MS" w:hAnsi="Arial" w:cs="Arial"/>
          <w:b/>
          <w:color w:val="000000"/>
          <w:sz w:val="24"/>
          <w:szCs w:val="24"/>
        </w:rPr>
        <w:tab/>
      </w:r>
      <w:r w:rsidR="00066623">
        <w:rPr>
          <w:rFonts w:ascii="Arial" w:eastAsia="Arial Unicode MS" w:hAnsi="Arial" w:cs="Arial"/>
          <w:b/>
          <w:color w:val="000000"/>
          <w:sz w:val="24"/>
          <w:szCs w:val="24"/>
        </w:rPr>
        <w:tab/>
        <w:t xml:space="preserve">       </w:t>
      </w:r>
      <w:r w:rsidR="002107B1">
        <w:rPr>
          <w:rFonts w:ascii="Arial" w:eastAsia="Arial Unicode MS" w:hAnsi="Arial" w:cs="Arial"/>
          <w:b/>
          <w:color w:val="000000"/>
          <w:sz w:val="24"/>
          <w:szCs w:val="24"/>
        </w:rPr>
        <w:t>APPLICANT</w:t>
      </w:r>
    </w:p>
    <w:p w:rsidR="006C3AF0" w:rsidRPr="006C3AF0" w:rsidRDefault="006C3AF0" w:rsidP="00853A00">
      <w:pPr>
        <w:spacing w:after="0" w:line="360" w:lineRule="auto"/>
        <w:ind w:left="33" w:right="25" w:hanging="10"/>
        <w:jc w:val="both"/>
        <w:rPr>
          <w:rFonts w:ascii="Arial" w:eastAsia="Arial Unicode MS" w:hAnsi="Arial" w:cs="Arial"/>
          <w:color w:val="000000"/>
          <w:sz w:val="24"/>
          <w:szCs w:val="24"/>
        </w:rPr>
      </w:pPr>
    </w:p>
    <w:p w:rsidR="006C3AF0" w:rsidRPr="006C3AF0" w:rsidRDefault="005470FD" w:rsidP="00853A00">
      <w:pPr>
        <w:spacing w:after="0" w:line="360" w:lineRule="auto"/>
        <w:ind w:left="33" w:right="25" w:hanging="10"/>
        <w:jc w:val="both"/>
        <w:rPr>
          <w:rFonts w:ascii="Arial" w:eastAsia="Arial Unicode MS" w:hAnsi="Arial" w:cs="Arial"/>
          <w:color w:val="000000"/>
          <w:sz w:val="24"/>
          <w:szCs w:val="24"/>
        </w:rPr>
      </w:pPr>
      <w:r w:rsidRPr="006C3AF0">
        <w:rPr>
          <w:rFonts w:ascii="Arial" w:eastAsia="Arial Unicode MS" w:hAnsi="Arial" w:cs="Arial"/>
          <w:color w:val="000000"/>
          <w:sz w:val="24"/>
          <w:szCs w:val="24"/>
        </w:rPr>
        <w:t>and</w:t>
      </w:r>
    </w:p>
    <w:p w:rsidR="006C3AF0" w:rsidRPr="006C3AF0" w:rsidRDefault="006C3AF0" w:rsidP="00853A00">
      <w:pPr>
        <w:spacing w:after="0" w:line="360" w:lineRule="auto"/>
        <w:ind w:left="33" w:right="25" w:hanging="10"/>
        <w:jc w:val="both"/>
        <w:rPr>
          <w:rFonts w:ascii="Arial" w:eastAsia="Arial Unicode MS" w:hAnsi="Arial" w:cs="Arial"/>
          <w:color w:val="000000"/>
          <w:sz w:val="24"/>
          <w:szCs w:val="24"/>
        </w:rPr>
      </w:pPr>
    </w:p>
    <w:p w:rsidR="002107B1" w:rsidRPr="002107B1" w:rsidRDefault="005470FD" w:rsidP="00853A00">
      <w:pPr>
        <w:spacing w:after="0" w:line="360" w:lineRule="auto"/>
        <w:ind w:right="25"/>
        <w:rPr>
          <w:rFonts w:ascii="Arial" w:eastAsia="Arial Unicode MS" w:hAnsi="Arial" w:cs="Arial"/>
          <w:b/>
          <w:color w:val="000000"/>
          <w:sz w:val="24"/>
          <w:szCs w:val="24"/>
        </w:rPr>
      </w:pPr>
      <w:r>
        <w:rPr>
          <w:rFonts w:ascii="Arial" w:eastAsia="Arial Unicode MS" w:hAnsi="Arial" w:cs="Arial"/>
          <w:b/>
          <w:color w:val="000000"/>
          <w:sz w:val="24"/>
          <w:szCs w:val="24"/>
        </w:rPr>
        <w:t>NAMIBIA AIRPORTS COMPANY LTD</w:t>
      </w:r>
      <w:r w:rsidRPr="002107B1">
        <w:rPr>
          <w:rFonts w:ascii="Arial" w:eastAsia="Arial Unicode MS" w:hAnsi="Arial" w:cs="Arial"/>
          <w:b/>
          <w:color w:val="000000"/>
          <w:sz w:val="24"/>
          <w:szCs w:val="24"/>
        </w:rPr>
        <w:t xml:space="preserve"> </w:t>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sidR="006B49BD">
        <w:rPr>
          <w:rFonts w:ascii="Arial" w:eastAsia="Arial Unicode MS" w:hAnsi="Arial" w:cs="Arial"/>
          <w:b/>
          <w:color w:val="000000"/>
          <w:sz w:val="24"/>
          <w:szCs w:val="24"/>
        </w:rPr>
        <w:t xml:space="preserve">       </w:t>
      </w:r>
      <w:r w:rsidR="00066623">
        <w:rPr>
          <w:rFonts w:ascii="Arial" w:eastAsia="Arial Unicode MS" w:hAnsi="Arial" w:cs="Arial"/>
          <w:b/>
          <w:color w:val="000000"/>
          <w:sz w:val="24"/>
          <w:szCs w:val="24"/>
        </w:rPr>
        <w:t>1</w:t>
      </w:r>
      <w:r w:rsidR="00066623" w:rsidRPr="00066623">
        <w:rPr>
          <w:rFonts w:ascii="Arial" w:eastAsia="Arial Unicode MS" w:hAnsi="Arial" w:cs="Arial"/>
          <w:b/>
          <w:color w:val="000000"/>
          <w:sz w:val="24"/>
          <w:szCs w:val="24"/>
          <w:vertAlign w:val="superscript"/>
        </w:rPr>
        <w:t>ST</w:t>
      </w:r>
      <w:r w:rsidR="00066623">
        <w:rPr>
          <w:rFonts w:ascii="Arial" w:eastAsia="Arial Unicode MS" w:hAnsi="Arial" w:cs="Arial"/>
          <w:b/>
          <w:color w:val="000000"/>
          <w:sz w:val="24"/>
          <w:szCs w:val="24"/>
        </w:rPr>
        <w:t xml:space="preserve"> </w:t>
      </w:r>
      <w:r w:rsidRPr="002107B1">
        <w:rPr>
          <w:rFonts w:ascii="Arial" w:eastAsia="Arial Unicode MS" w:hAnsi="Arial" w:cs="Arial"/>
          <w:b/>
          <w:color w:val="000000"/>
          <w:sz w:val="24"/>
          <w:szCs w:val="24"/>
        </w:rPr>
        <w:t>RESPONDENT</w:t>
      </w:r>
    </w:p>
    <w:p w:rsidR="002107B1" w:rsidRPr="002107B1" w:rsidRDefault="005470FD" w:rsidP="002107B1">
      <w:pPr>
        <w:spacing w:after="3" w:line="480" w:lineRule="auto"/>
        <w:ind w:left="33" w:right="25" w:hanging="10"/>
        <w:rPr>
          <w:rFonts w:ascii="Arial" w:eastAsia="Arial Unicode MS" w:hAnsi="Arial" w:cs="Arial"/>
          <w:b/>
          <w:color w:val="000000"/>
          <w:sz w:val="24"/>
          <w:szCs w:val="24"/>
        </w:rPr>
      </w:pPr>
      <w:r w:rsidRPr="002107B1">
        <w:rPr>
          <w:rFonts w:ascii="Arial" w:eastAsia="Arial Unicode MS" w:hAnsi="Arial" w:cs="Arial"/>
          <w:b/>
          <w:color w:val="000000"/>
          <w:sz w:val="24"/>
          <w:szCs w:val="24"/>
        </w:rPr>
        <w:t xml:space="preserve">PARAGON INVESTMENT HOLDINGS (PTY) LTD </w:t>
      </w:r>
      <w:r>
        <w:rPr>
          <w:rFonts w:ascii="Arial" w:eastAsia="Arial Unicode MS" w:hAnsi="Arial" w:cs="Arial"/>
          <w:b/>
          <w:color w:val="000000"/>
          <w:sz w:val="24"/>
          <w:szCs w:val="24"/>
        </w:rPr>
        <w:tab/>
      </w:r>
      <w:r>
        <w:rPr>
          <w:rFonts w:ascii="Arial" w:eastAsia="Arial Unicode MS" w:hAnsi="Arial" w:cs="Arial"/>
          <w:b/>
          <w:color w:val="000000"/>
          <w:sz w:val="24"/>
          <w:szCs w:val="24"/>
        </w:rPr>
        <w:tab/>
      </w:r>
      <w:r w:rsidR="006B49BD">
        <w:rPr>
          <w:rFonts w:ascii="Arial" w:eastAsia="Arial Unicode MS" w:hAnsi="Arial" w:cs="Arial"/>
          <w:b/>
          <w:color w:val="000000"/>
          <w:sz w:val="24"/>
          <w:szCs w:val="24"/>
        </w:rPr>
        <w:t xml:space="preserve">     </w:t>
      </w:r>
      <w:r w:rsidR="00066623">
        <w:rPr>
          <w:rFonts w:ascii="Arial" w:eastAsia="Arial Unicode MS" w:hAnsi="Arial" w:cs="Arial"/>
          <w:b/>
          <w:color w:val="000000"/>
          <w:sz w:val="24"/>
          <w:szCs w:val="24"/>
        </w:rPr>
        <w:t xml:space="preserve"> </w:t>
      </w:r>
      <w:r w:rsidR="006B49BD">
        <w:rPr>
          <w:rFonts w:ascii="Arial" w:eastAsia="Arial Unicode MS" w:hAnsi="Arial" w:cs="Arial"/>
          <w:b/>
          <w:color w:val="000000"/>
          <w:sz w:val="24"/>
          <w:szCs w:val="24"/>
        </w:rPr>
        <w:t xml:space="preserve"> </w:t>
      </w:r>
      <w:r w:rsidR="00066623">
        <w:rPr>
          <w:rFonts w:ascii="Arial" w:eastAsia="Arial Unicode MS" w:hAnsi="Arial" w:cs="Arial"/>
          <w:b/>
          <w:color w:val="000000"/>
          <w:sz w:val="24"/>
          <w:szCs w:val="24"/>
        </w:rPr>
        <w:t>2</w:t>
      </w:r>
      <w:r w:rsidR="00066623" w:rsidRPr="00066623">
        <w:rPr>
          <w:rFonts w:ascii="Arial" w:eastAsia="Arial Unicode MS" w:hAnsi="Arial" w:cs="Arial"/>
          <w:b/>
          <w:color w:val="000000"/>
          <w:sz w:val="24"/>
          <w:szCs w:val="24"/>
          <w:vertAlign w:val="superscript"/>
        </w:rPr>
        <w:t>ND</w:t>
      </w:r>
      <w:r w:rsidR="00066623">
        <w:rPr>
          <w:rFonts w:ascii="Arial" w:eastAsia="Arial Unicode MS" w:hAnsi="Arial" w:cs="Arial"/>
          <w:b/>
          <w:color w:val="000000"/>
          <w:sz w:val="24"/>
          <w:szCs w:val="24"/>
        </w:rPr>
        <w:t xml:space="preserve"> </w:t>
      </w:r>
      <w:r w:rsidRPr="002107B1">
        <w:rPr>
          <w:rFonts w:ascii="Arial" w:eastAsia="Arial Unicode MS" w:hAnsi="Arial" w:cs="Arial"/>
          <w:b/>
          <w:color w:val="000000"/>
          <w:sz w:val="24"/>
          <w:szCs w:val="24"/>
        </w:rPr>
        <w:t>RESPONDENT</w:t>
      </w:r>
    </w:p>
    <w:p w:rsidR="002107B1" w:rsidRPr="002107B1" w:rsidRDefault="005470FD" w:rsidP="002107B1">
      <w:pPr>
        <w:spacing w:after="3" w:line="480" w:lineRule="auto"/>
        <w:ind w:left="33" w:right="25" w:hanging="10"/>
        <w:rPr>
          <w:rFonts w:ascii="Arial" w:eastAsia="Arial Unicode MS" w:hAnsi="Arial" w:cs="Arial"/>
          <w:b/>
          <w:color w:val="000000"/>
          <w:sz w:val="24"/>
          <w:szCs w:val="24"/>
        </w:rPr>
      </w:pPr>
      <w:r w:rsidRPr="002107B1">
        <w:rPr>
          <w:rFonts w:ascii="Arial" w:eastAsia="Arial Unicode MS" w:hAnsi="Arial" w:cs="Arial"/>
          <w:b/>
          <w:color w:val="000000"/>
          <w:sz w:val="24"/>
          <w:szCs w:val="24"/>
        </w:rPr>
        <w:t>JV ETHIOPIAN AIRLINES</w:t>
      </w:r>
    </w:p>
    <w:p w:rsidR="002107B1" w:rsidRPr="002107B1" w:rsidRDefault="005470FD" w:rsidP="002107B1">
      <w:pPr>
        <w:spacing w:after="3" w:line="480" w:lineRule="auto"/>
        <w:ind w:left="33" w:right="25" w:hanging="10"/>
        <w:rPr>
          <w:rFonts w:ascii="Arial" w:eastAsia="Arial Unicode MS" w:hAnsi="Arial" w:cs="Arial"/>
          <w:b/>
          <w:color w:val="000000"/>
          <w:sz w:val="24"/>
          <w:szCs w:val="24"/>
        </w:rPr>
      </w:pPr>
      <w:r w:rsidRPr="002107B1">
        <w:rPr>
          <w:rFonts w:ascii="Arial" w:eastAsia="Arial Unicode MS" w:hAnsi="Arial" w:cs="Arial"/>
          <w:b/>
          <w:color w:val="000000"/>
          <w:sz w:val="24"/>
          <w:szCs w:val="24"/>
        </w:rPr>
        <w:t xml:space="preserve">SKYE AVIATION SERVICES (PTY) LTD </w:t>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sidR="006B49BD">
        <w:rPr>
          <w:rFonts w:ascii="Arial" w:eastAsia="Arial Unicode MS" w:hAnsi="Arial" w:cs="Arial"/>
          <w:b/>
          <w:color w:val="000000"/>
          <w:sz w:val="24"/>
          <w:szCs w:val="24"/>
        </w:rPr>
        <w:t xml:space="preserve">      </w:t>
      </w:r>
      <w:r w:rsidR="00066623">
        <w:rPr>
          <w:rFonts w:ascii="Arial" w:eastAsia="Arial Unicode MS" w:hAnsi="Arial" w:cs="Arial"/>
          <w:b/>
          <w:color w:val="000000"/>
          <w:sz w:val="24"/>
          <w:szCs w:val="24"/>
        </w:rPr>
        <w:t xml:space="preserve"> 3</w:t>
      </w:r>
      <w:r w:rsidR="00066623" w:rsidRPr="00066623">
        <w:rPr>
          <w:rFonts w:ascii="Arial" w:eastAsia="Arial Unicode MS" w:hAnsi="Arial" w:cs="Arial"/>
          <w:b/>
          <w:color w:val="000000"/>
          <w:sz w:val="24"/>
          <w:szCs w:val="24"/>
          <w:vertAlign w:val="superscript"/>
        </w:rPr>
        <w:t>RD</w:t>
      </w:r>
      <w:r w:rsidR="00066623">
        <w:rPr>
          <w:rFonts w:ascii="Arial" w:eastAsia="Arial Unicode MS" w:hAnsi="Arial" w:cs="Arial"/>
          <w:b/>
          <w:color w:val="000000"/>
          <w:sz w:val="24"/>
          <w:szCs w:val="24"/>
        </w:rPr>
        <w:t xml:space="preserve"> </w:t>
      </w:r>
      <w:r w:rsidRPr="002107B1">
        <w:rPr>
          <w:rFonts w:ascii="Arial" w:eastAsia="Arial Unicode MS" w:hAnsi="Arial" w:cs="Arial"/>
          <w:b/>
          <w:color w:val="000000"/>
          <w:sz w:val="24"/>
          <w:szCs w:val="24"/>
        </w:rPr>
        <w:t>RESPONDENT</w:t>
      </w:r>
    </w:p>
    <w:p w:rsidR="002107B1" w:rsidRPr="002107B1" w:rsidRDefault="005470FD" w:rsidP="002107B1">
      <w:pPr>
        <w:spacing w:after="3" w:line="480" w:lineRule="auto"/>
        <w:ind w:left="33" w:right="25" w:hanging="10"/>
        <w:rPr>
          <w:rFonts w:ascii="Arial" w:eastAsia="Arial Unicode MS" w:hAnsi="Arial" w:cs="Arial"/>
          <w:b/>
          <w:color w:val="000000"/>
          <w:sz w:val="24"/>
          <w:szCs w:val="24"/>
        </w:rPr>
      </w:pPr>
      <w:r w:rsidRPr="002107B1">
        <w:rPr>
          <w:rFonts w:ascii="Arial" w:eastAsia="Arial Unicode MS" w:hAnsi="Arial" w:cs="Arial"/>
          <w:b/>
          <w:color w:val="000000"/>
          <w:sz w:val="24"/>
          <w:szCs w:val="24"/>
        </w:rPr>
        <w:t>NAMIBIA FLIGHT SUPPORT CC JV EQUITY AVIATION</w:t>
      </w:r>
      <w:r>
        <w:rPr>
          <w:rFonts w:ascii="Arial" w:eastAsia="Arial Unicode MS" w:hAnsi="Arial" w:cs="Arial"/>
          <w:b/>
          <w:color w:val="000000"/>
          <w:sz w:val="24"/>
          <w:szCs w:val="24"/>
        </w:rPr>
        <w:tab/>
      </w:r>
      <w:r w:rsidR="006B49BD">
        <w:rPr>
          <w:rFonts w:ascii="Arial" w:eastAsia="Arial Unicode MS" w:hAnsi="Arial" w:cs="Arial"/>
          <w:b/>
          <w:color w:val="000000"/>
          <w:sz w:val="24"/>
          <w:szCs w:val="24"/>
        </w:rPr>
        <w:t xml:space="preserve">      </w:t>
      </w:r>
      <w:r w:rsidR="00066623">
        <w:rPr>
          <w:rFonts w:ascii="Arial" w:eastAsia="Arial Unicode MS" w:hAnsi="Arial" w:cs="Arial"/>
          <w:b/>
          <w:color w:val="000000"/>
          <w:sz w:val="24"/>
          <w:szCs w:val="24"/>
        </w:rPr>
        <w:t xml:space="preserve"> 4</w:t>
      </w:r>
      <w:r w:rsidR="00066623" w:rsidRPr="00066623">
        <w:rPr>
          <w:rFonts w:ascii="Arial" w:eastAsia="Arial Unicode MS" w:hAnsi="Arial" w:cs="Arial"/>
          <w:b/>
          <w:color w:val="000000"/>
          <w:sz w:val="24"/>
          <w:szCs w:val="24"/>
          <w:vertAlign w:val="superscript"/>
        </w:rPr>
        <w:t>TH</w:t>
      </w:r>
      <w:r w:rsidR="00066623">
        <w:rPr>
          <w:rFonts w:ascii="Arial" w:eastAsia="Arial Unicode MS" w:hAnsi="Arial" w:cs="Arial"/>
          <w:b/>
          <w:color w:val="000000"/>
          <w:sz w:val="24"/>
          <w:szCs w:val="24"/>
        </w:rPr>
        <w:t xml:space="preserve"> </w:t>
      </w:r>
      <w:r w:rsidRPr="002107B1">
        <w:rPr>
          <w:rFonts w:ascii="Arial" w:eastAsia="Arial Unicode MS" w:hAnsi="Arial" w:cs="Arial"/>
          <w:b/>
          <w:color w:val="000000"/>
          <w:sz w:val="24"/>
          <w:szCs w:val="24"/>
        </w:rPr>
        <w:t>RESPONDENT</w:t>
      </w:r>
    </w:p>
    <w:p w:rsidR="002107B1" w:rsidRPr="002107B1" w:rsidRDefault="005470FD" w:rsidP="002107B1">
      <w:pPr>
        <w:spacing w:after="3" w:line="480" w:lineRule="auto"/>
        <w:ind w:left="33" w:right="25" w:hanging="10"/>
        <w:rPr>
          <w:rFonts w:ascii="Arial" w:eastAsia="Arial Unicode MS" w:hAnsi="Arial" w:cs="Arial"/>
          <w:b/>
          <w:color w:val="000000"/>
          <w:sz w:val="24"/>
          <w:szCs w:val="24"/>
        </w:rPr>
      </w:pPr>
      <w:r w:rsidRPr="002107B1">
        <w:rPr>
          <w:rFonts w:ascii="Arial" w:eastAsia="Arial Unicode MS" w:hAnsi="Arial" w:cs="Arial"/>
          <w:b/>
          <w:color w:val="000000"/>
          <w:sz w:val="24"/>
          <w:szCs w:val="24"/>
        </w:rPr>
        <w:t xml:space="preserve">KINGS GROUND AIRPORT SERVICES (PTY) LTD </w:t>
      </w:r>
      <w:r>
        <w:rPr>
          <w:rFonts w:ascii="Arial" w:eastAsia="Arial Unicode MS" w:hAnsi="Arial" w:cs="Arial"/>
          <w:b/>
          <w:color w:val="000000"/>
          <w:sz w:val="24"/>
          <w:szCs w:val="24"/>
        </w:rPr>
        <w:tab/>
      </w:r>
      <w:r>
        <w:rPr>
          <w:rFonts w:ascii="Arial" w:eastAsia="Arial Unicode MS" w:hAnsi="Arial" w:cs="Arial"/>
          <w:b/>
          <w:color w:val="000000"/>
          <w:sz w:val="24"/>
          <w:szCs w:val="24"/>
        </w:rPr>
        <w:tab/>
      </w:r>
      <w:r w:rsidR="006B49BD">
        <w:rPr>
          <w:rFonts w:ascii="Arial" w:eastAsia="Arial Unicode MS" w:hAnsi="Arial" w:cs="Arial"/>
          <w:b/>
          <w:color w:val="000000"/>
          <w:sz w:val="24"/>
          <w:szCs w:val="24"/>
        </w:rPr>
        <w:t xml:space="preserve">       </w:t>
      </w:r>
      <w:r w:rsidR="00066623">
        <w:rPr>
          <w:rFonts w:ascii="Arial" w:eastAsia="Arial Unicode MS" w:hAnsi="Arial" w:cs="Arial"/>
          <w:b/>
          <w:color w:val="000000"/>
          <w:sz w:val="24"/>
          <w:szCs w:val="24"/>
        </w:rPr>
        <w:t>5</w:t>
      </w:r>
      <w:r w:rsidR="00066623" w:rsidRPr="00066623">
        <w:rPr>
          <w:rFonts w:ascii="Arial" w:eastAsia="Arial Unicode MS" w:hAnsi="Arial" w:cs="Arial"/>
          <w:b/>
          <w:color w:val="000000"/>
          <w:sz w:val="24"/>
          <w:szCs w:val="24"/>
          <w:vertAlign w:val="superscript"/>
        </w:rPr>
        <w:t>TH</w:t>
      </w:r>
      <w:r w:rsidR="00066623">
        <w:rPr>
          <w:rFonts w:ascii="Arial" w:eastAsia="Arial Unicode MS" w:hAnsi="Arial" w:cs="Arial"/>
          <w:b/>
          <w:color w:val="000000"/>
          <w:sz w:val="24"/>
          <w:szCs w:val="24"/>
        </w:rPr>
        <w:t xml:space="preserve"> </w:t>
      </w:r>
      <w:r w:rsidRPr="002107B1">
        <w:rPr>
          <w:rFonts w:ascii="Arial" w:eastAsia="Arial Unicode MS" w:hAnsi="Arial" w:cs="Arial"/>
          <w:b/>
          <w:color w:val="000000"/>
          <w:sz w:val="24"/>
          <w:szCs w:val="24"/>
        </w:rPr>
        <w:t>RESPONDENT</w:t>
      </w:r>
    </w:p>
    <w:p w:rsidR="002107B1" w:rsidRPr="002107B1" w:rsidRDefault="005470FD" w:rsidP="002107B1">
      <w:pPr>
        <w:spacing w:after="3" w:line="480" w:lineRule="auto"/>
        <w:ind w:left="33" w:right="25" w:hanging="10"/>
        <w:rPr>
          <w:rFonts w:ascii="Arial" w:eastAsia="Arial Unicode MS" w:hAnsi="Arial" w:cs="Arial"/>
          <w:b/>
          <w:color w:val="000000"/>
          <w:sz w:val="24"/>
          <w:szCs w:val="24"/>
        </w:rPr>
      </w:pPr>
      <w:r w:rsidRPr="002107B1">
        <w:rPr>
          <w:rFonts w:ascii="Arial" w:eastAsia="Arial Unicode MS" w:hAnsi="Arial" w:cs="Arial"/>
          <w:b/>
          <w:color w:val="000000"/>
          <w:sz w:val="24"/>
          <w:szCs w:val="24"/>
        </w:rPr>
        <w:t xml:space="preserve">MENELL INVESTMENT CC JV NAS </w:t>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sidR="006B49BD">
        <w:rPr>
          <w:rFonts w:ascii="Arial" w:eastAsia="Arial Unicode MS" w:hAnsi="Arial" w:cs="Arial"/>
          <w:b/>
          <w:color w:val="000000"/>
          <w:sz w:val="24"/>
          <w:szCs w:val="24"/>
        </w:rPr>
        <w:t xml:space="preserve">       </w:t>
      </w:r>
      <w:r w:rsidR="00066623">
        <w:rPr>
          <w:rFonts w:ascii="Arial" w:eastAsia="Arial Unicode MS" w:hAnsi="Arial" w:cs="Arial"/>
          <w:b/>
          <w:color w:val="000000"/>
          <w:sz w:val="24"/>
          <w:szCs w:val="24"/>
        </w:rPr>
        <w:t>6</w:t>
      </w:r>
      <w:r w:rsidR="00066623" w:rsidRPr="00066623">
        <w:rPr>
          <w:rFonts w:ascii="Arial" w:eastAsia="Arial Unicode MS" w:hAnsi="Arial" w:cs="Arial"/>
          <w:b/>
          <w:color w:val="000000"/>
          <w:sz w:val="24"/>
          <w:szCs w:val="24"/>
          <w:vertAlign w:val="superscript"/>
        </w:rPr>
        <w:t>TH</w:t>
      </w:r>
      <w:r w:rsidR="00066623">
        <w:rPr>
          <w:rFonts w:ascii="Arial" w:eastAsia="Arial Unicode MS" w:hAnsi="Arial" w:cs="Arial"/>
          <w:b/>
          <w:color w:val="000000"/>
          <w:sz w:val="24"/>
          <w:szCs w:val="24"/>
        </w:rPr>
        <w:t xml:space="preserve"> </w:t>
      </w:r>
      <w:r w:rsidRPr="002107B1">
        <w:rPr>
          <w:rFonts w:ascii="Arial" w:eastAsia="Arial Unicode MS" w:hAnsi="Arial" w:cs="Arial"/>
          <w:b/>
          <w:color w:val="000000"/>
          <w:sz w:val="24"/>
          <w:szCs w:val="24"/>
        </w:rPr>
        <w:t>RESPONDENT</w:t>
      </w:r>
    </w:p>
    <w:p w:rsidR="002107B1" w:rsidRPr="002107B1" w:rsidRDefault="005470FD" w:rsidP="002107B1">
      <w:pPr>
        <w:spacing w:after="3" w:line="480" w:lineRule="auto"/>
        <w:ind w:left="33" w:right="25" w:hanging="10"/>
        <w:rPr>
          <w:rFonts w:ascii="Arial" w:eastAsia="Arial Unicode MS" w:hAnsi="Arial" w:cs="Arial"/>
          <w:b/>
          <w:color w:val="000000"/>
          <w:sz w:val="24"/>
          <w:szCs w:val="24"/>
        </w:rPr>
      </w:pPr>
      <w:r w:rsidRPr="002107B1">
        <w:rPr>
          <w:rFonts w:ascii="Arial" w:eastAsia="Arial Unicode MS" w:hAnsi="Arial" w:cs="Arial"/>
          <w:b/>
          <w:color w:val="000000"/>
          <w:sz w:val="24"/>
          <w:szCs w:val="24"/>
        </w:rPr>
        <w:t xml:space="preserve">CENTRAL PROCUREMENT BOARD OF NAMIBIA </w:t>
      </w:r>
      <w:r>
        <w:rPr>
          <w:rFonts w:ascii="Arial" w:eastAsia="Arial Unicode MS" w:hAnsi="Arial" w:cs="Arial"/>
          <w:b/>
          <w:color w:val="000000"/>
          <w:sz w:val="24"/>
          <w:szCs w:val="24"/>
        </w:rPr>
        <w:tab/>
      </w:r>
      <w:r>
        <w:rPr>
          <w:rFonts w:ascii="Arial" w:eastAsia="Arial Unicode MS" w:hAnsi="Arial" w:cs="Arial"/>
          <w:b/>
          <w:color w:val="000000"/>
          <w:sz w:val="24"/>
          <w:szCs w:val="24"/>
        </w:rPr>
        <w:tab/>
      </w:r>
      <w:r w:rsidR="006B49BD">
        <w:rPr>
          <w:rFonts w:ascii="Arial" w:eastAsia="Arial Unicode MS" w:hAnsi="Arial" w:cs="Arial"/>
          <w:b/>
          <w:color w:val="000000"/>
          <w:sz w:val="24"/>
          <w:szCs w:val="24"/>
        </w:rPr>
        <w:t xml:space="preserve">       </w:t>
      </w:r>
      <w:r w:rsidR="00066623">
        <w:rPr>
          <w:rFonts w:ascii="Arial" w:eastAsia="Arial Unicode MS" w:hAnsi="Arial" w:cs="Arial"/>
          <w:b/>
          <w:color w:val="000000"/>
          <w:sz w:val="24"/>
          <w:szCs w:val="24"/>
        </w:rPr>
        <w:t>7</w:t>
      </w:r>
      <w:r w:rsidR="00066623" w:rsidRPr="00066623">
        <w:rPr>
          <w:rFonts w:ascii="Arial" w:eastAsia="Arial Unicode MS" w:hAnsi="Arial" w:cs="Arial"/>
          <w:b/>
          <w:color w:val="000000"/>
          <w:sz w:val="24"/>
          <w:szCs w:val="24"/>
          <w:vertAlign w:val="superscript"/>
        </w:rPr>
        <w:t>TH</w:t>
      </w:r>
      <w:r w:rsidR="00066623">
        <w:rPr>
          <w:rFonts w:ascii="Arial" w:eastAsia="Arial Unicode MS" w:hAnsi="Arial" w:cs="Arial"/>
          <w:b/>
          <w:color w:val="000000"/>
          <w:sz w:val="24"/>
          <w:szCs w:val="24"/>
        </w:rPr>
        <w:t xml:space="preserve"> </w:t>
      </w:r>
      <w:r w:rsidRPr="002107B1">
        <w:rPr>
          <w:rFonts w:ascii="Arial" w:eastAsia="Arial Unicode MS" w:hAnsi="Arial" w:cs="Arial"/>
          <w:b/>
          <w:color w:val="000000"/>
          <w:sz w:val="24"/>
          <w:szCs w:val="24"/>
        </w:rPr>
        <w:t>RESPONDENT</w:t>
      </w:r>
    </w:p>
    <w:p w:rsidR="002107B1" w:rsidRPr="002107B1" w:rsidRDefault="005470FD" w:rsidP="002107B1">
      <w:pPr>
        <w:spacing w:after="3" w:line="480" w:lineRule="auto"/>
        <w:ind w:left="33" w:right="25" w:hanging="10"/>
        <w:rPr>
          <w:rFonts w:ascii="Arial" w:eastAsia="Arial Unicode MS" w:hAnsi="Arial" w:cs="Arial"/>
          <w:b/>
          <w:color w:val="000000"/>
          <w:sz w:val="24"/>
          <w:szCs w:val="24"/>
        </w:rPr>
      </w:pPr>
      <w:r w:rsidRPr="002107B1">
        <w:rPr>
          <w:rFonts w:ascii="Arial" w:eastAsia="Arial Unicode MS" w:hAnsi="Arial" w:cs="Arial"/>
          <w:b/>
          <w:color w:val="000000"/>
          <w:sz w:val="24"/>
          <w:szCs w:val="24"/>
        </w:rPr>
        <w:t xml:space="preserve">CHAIRPERSON OF THE REVIEW PANEL </w:t>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sidR="006B49BD">
        <w:rPr>
          <w:rFonts w:ascii="Arial" w:eastAsia="Arial Unicode MS" w:hAnsi="Arial" w:cs="Arial"/>
          <w:b/>
          <w:color w:val="000000"/>
          <w:sz w:val="24"/>
          <w:szCs w:val="24"/>
        </w:rPr>
        <w:t xml:space="preserve">       </w:t>
      </w:r>
      <w:r w:rsidR="00066623">
        <w:rPr>
          <w:rFonts w:ascii="Arial" w:eastAsia="Arial Unicode MS" w:hAnsi="Arial" w:cs="Arial"/>
          <w:b/>
          <w:color w:val="000000"/>
          <w:sz w:val="24"/>
          <w:szCs w:val="24"/>
        </w:rPr>
        <w:t>8</w:t>
      </w:r>
      <w:r w:rsidR="00066623" w:rsidRPr="00066623">
        <w:rPr>
          <w:rFonts w:ascii="Arial" w:eastAsia="Arial Unicode MS" w:hAnsi="Arial" w:cs="Arial"/>
          <w:b/>
          <w:color w:val="000000"/>
          <w:sz w:val="24"/>
          <w:szCs w:val="24"/>
          <w:vertAlign w:val="superscript"/>
        </w:rPr>
        <w:t>TH</w:t>
      </w:r>
      <w:r w:rsidR="00066623">
        <w:rPr>
          <w:rFonts w:ascii="Arial" w:eastAsia="Arial Unicode MS" w:hAnsi="Arial" w:cs="Arial"/>
          <w:b/>
          <w:color w:val="000000"/>
          <w:sz w:val="24"/>
          <w:szCs w:val="24"/>
        </w:rPr>
        <w:t xml:space="preserve"> </w:t>
      </w:r>
      <w:r w:rsidRPr="002107B1">
        <w:rPr>
          <w:rFonts w:ascii="Arial" w:eastAsia="Arial Unicode MS" w:hAnsi="Arial" w:cs="Arial"/>
          <w:b/>
          <w:color w:val="000000"/>
          <w:sz w:val="24"/>
          <w:szCs w:val="24"/>
        </w:rPr>
        <w:t>RESPONDENT</w:t>
      </w:r>
    </w:p>
    <w:p w:rsidR="002107B1" w:rsidRPr="002107B1" w:rsidRDefault="005470FD" w:rsidP="008F23D3">
      <w:pPr>
        <w:spacing w:after="3" w:line="480" w:lineRule="auto"/>
        <w:ind w:left="33" w:right="25" w:hanging="10"/>
        <w:rPr>
          <w:rFonts w:ascii="Arial" w:eastAsia="Arial Unicode MS" w:hAnsi="Arial" w:cs="Arial"/>
          <w:b/>
          <w:color w:val="000000"/>
          <w:sz w:val="24"/>
          <w:szCs w:val="24"/>
        </w:rPr>
      </w:pPr>
      <w:r>
        <w:rPr>
          <w:rFonts w:ascii="Arial" w:eastAsia="Arial Unicode MS" w:hAnsi="Arial" w:cs="Arial"/>
          <w:b/>
          <w:color w:val="000000"/>
          <w:sz w:val="24"/>
          <w:szCs w:val="24"/>
        </w:rPr>
        <w:t>GOVERNMENT ATTORNEY</w:t>
      </w:r>
      <w:r w:rsidRPr="002107B1">
        <w:rPr>
          <w:rFonts w:ascii="Arial" w:eastAsia="Arial Unicode MS" w:hAnsi="Arial" w:cs="Arial"/>
          <w:b/>
          <w:color w:val="000000"/>
          <w:sz w:val="24"/>
          <w:szCs w:val="24"/>
        </w:rPr>
        <w:t xml:space="preserve"> </w:t>
      </w:r>
      <w:r w:rsidR="008F23D3">
        <w:rPr>
          <w:rFonts w:ascii="Arial" w:eastAsia="Arial Unicode MS" w:hAnsi="Arial" w:cs="Arial"/>
          <w:b/>
          <w:color w:val="000000"/>
          <w:sz w:val="24"/>
          <w:szCs w:val="24"/>
        </w:rPr>
        <w:tab/>
      </w:r>
      <w:r w:rsidR="008F23D3">
        <w:rPr>
          <w:rFonts w:ascii="Arial" w:eastAsia="Arial Unicode MS" w:hAnsi="Arial" w:cs="Arial"/>
          <w:b/>
          <w:color w:val="000000"/>
          <w:sz w:val="24"/>
          <w:szCs w:val="24"/>
        </w:rPr>
        <w:tab/>
      </w:r>
      <w:r w:rsidR="008F23D3">
        <w:rPr>
          <w:rFonts w:ascii="Arial" w:eastAsia="Arial Unicode MS" w:hAnsi="Arial" w:cs="Arial"/>
          <w:b/>
          <w:color w:val="000000"/>
          <w:sz w:val="24"/>
          <w:szCs w:val="24"/>
        </w:rPr>
        <w:tab/>
      </w:r>
      <w:r w:rsidR="008F23D3">
        <w:rPr>
          <w:rFonts w:ascii="Arial" w:eastAsia="Arial Unicode MS" w:hAnsi="Arial" w:cs="Arial"/>
          <w:b/>
          <w:color w:val="000000"/>
          <w:sz w:val="24"/>
          <w:szCs w:val="24"/>
        </w:rPr>
        <w:tab/>
      </w:r>
      <w:r w:rsidR="008F23D3">
        <w:rPr>
          <w:rFonts w:ascii="Arial" w:eastAsia="Arial Unicode MS" w:hAnsi="Arial" w:cs="Arial"/>
          <w:b/>
          <w:color w:val="000000"/>
          <w:sz w:val="24"/>
          <w:szCs w:val="24"/>
        </w:rPr>
        <w:tab/>
      </w:r>
      <w:r>
        <w:rPr>
          <w:rFonts w:ascii="Arial" w:eastAsia="Arial Unicode MS" w:hAnsi="Arial" w:cs="Arial"/>
          <w:b/>
          <w:color w:val="000000"/>
          <w:sz w:val="24"/>
          <w:szCs w:val="24"/>
        </w:rPr>
        <w:t xml:space="preserve">       9</w:t>
      </w:r>
      <w:r w:rsidRPr="00066623">
        <w:rPr>
          <w:rFonts w:ascii="Arial" w:eastAsia="Arial Unicode MS" w:hAnsi="Arial" w:cs="Arial"/>
          <w:b/>
          <w:color w:val="000000"/>
          <w:sz w:val="24"/>
          <w:szCs w:val="24"/>
          <w:vertAlign w:val="superscript"/>
        </w:rPr>
        <w:t>TH</w:t>
      </w:r>
      <w:r>
        <w:rPr>
          <w:rFonts w:ascii="Arial" w:eastAsia="Arial Unicode MS" w:hAnsi="Arial" w:cs="Arial"/>
          <w:b/>
          <w:color w:val="000000"/>
          <w:sz w:val="24"/>
          <w:szCs w:val="24"/>
        </w:rPr>
        <w:t xml:space="preserve"> </w:t>
      </w:r>
      <w:r w:rsidRPr="002107B1">
        <w:rPr>
          <w:rFonts w:ascii="Arial" w:eastAsia="Arial Unicode MS" w:hAnsi="Arial" w:cs="Arial"/>
          <w:b/>
          <w:color w:val="000000"/>
          <w:sz w:val="24"/>
          <w:szCs w:val="24"/>
        </w:rPr>
        <w:t>RESPONDENT</w:t>
      </w:r>
    </w:p>
    <w:p w:rsidR="002107B1" w:rsidRDefault="005470FD" w:rsidP="008F23D3">
      <w:pPr>
        <w:spacing w:after="3" w:line="480" w:lineRule="auto"/>
        <w:ind w:left="33" w:right="25" w:hanging="10"/>
        <w:rPr>
          <w:rFonts w:ascii="Arial" w:eastAsia="Arial Unicode MS" w:hAnsi="Arial" w:cs="Arial"/>
          <w:b/>
          <w:color w:val="000000"/>
          <w:sz w:val="24"/>
          <w:szCs w:val="24"/>
        </w:rPr>
      </w:pPr>
      <w:r>
        <w:rPr>
          <w:rFonts w:ascii="Arial" w:eastAsia="Arial Unicode MS" w:hAnsi="Arial" w:cs="Arial"/>
          <w:b/>
          <w:color w:val="000000"/>
          <w:sz w:val="24"/>
          <w:szCs w:val="24"/>
        </w:rPr>
        <w:t>GOVERNMENT ATTORNEYS</w:t>
      </w:r>
      <w:r w:rsidR="008F23D3">
        <w:rPr>
          <w:rFonts w:ascii="Arial" w:eastAsia="Arial Unicode MS" w:hAnsi="Arial" w:cs="Arial"/>
          <w:b/>
          <w:color w:val="000000"/>
          <w:sz w:val="24"/>
          <w:szCs w:val="24"/>
        </w:rPr>
        <w:tab/>
      </w:r>
      <w:r w:rsidR="008F23D3">
        <w:rPr>
          <w:rFonts w:ascii="Arial" w:eastAsia="Arial Unicode MS" w:hAnsi="Arial" w:cs="Arial"/>
          <w:b/>
          <w:color w:val="000000"/>
          <w:sz w:val="24"/>
          <w:szCs w:val="24"/>
        </w:rPr>
        <w:tab/>
      </w:r>
      <w:r w:rsidR="008F23D3">
        <w:rPr>
          <w:rFonts w:ascii="Arial" w:eastAsia="Arial Unicode MS" w:hAnsi="Arial" w:cs="Arial"/>
          <w:b/>
          <w:color w:val="000000"/>
          <w:sz w:val="24"/>
          <w:szCs w:val="24"/>
        </w:rPr>
        <w:tab/>
      </w:r>
      <w:r w:rsidR="008F23D3">
        <w:rPr>
          <w:rFonts w:ascii="Arial" w:eastAsia="Arial Unicode MS" w:hAnsi="Arial" w:cs="Arial"/>
          <w:b/>
          <w:color w:val="000000"/>
          <w:sz w:val="24"/>
          <w:szCs w:val="24"/>
        </w:rPr>
        <w:tab/>
      </w:r>
      <w:r w:rsidR="008F23D3">
        <w:rPr>
          <w:rFonts w:ascii="Arial" w:eastAsia="Arial Unicode MS" w:hAnsi="Arial" w:cs="Arial"/>
          <w:b/>
          <w:color w:val="000000"/>
          <w:sz w:val="24"/>
          <w:szCs w:val="24"/>
        </w:rPr>
        <w:tab/>
      </w:r>
      <w:r w:rsidR="006B49BD">
        <w:rPr>
          <w:rFonts w:ascii="Arial" w:eastAsia="Arial Unicode MS" w:hAnsi="Arial" w:cs="Arial"/>
          <w:b/>
          <w:color w:val="000000"/>
          <w:sz w:val="24"/>
          <w:szCs w:val="24"/>
        </w:rPr>
        <w:t xml:space="preserve">     </w:t>
      </w:r>
      <w:r>
        <w:rPr>
          <w:rFonts w:ascii="Arial" w:eastAsia="Arial Unicode MS" w:hAnsi="Arial" w:cs="Arial"/>
          <w:b/>
          <w:color w:val="000000"/>
          <w:sz w:val="24"/>
          <w:szCs w:val="24"/>
        </w:rPr>
        <w:t>10</w:t>
      </w:r>
      <w:r w:rsidRPr="00066623">
        <w:rPr>
          <w:rFonts w:ascii="Arial" w:eastAsia="Arial Unicode MS" w:hAnsi="Arial" w:cs="Arial"/>
          <w:b/>
          <w:color w:val="000000"/>
          <w:sz w:val="24"/>
          <w:szCs w:val="24"/>
          <w:vertAlign w:val="superscript"/>
        </w:rPr>
        <w:t>TH</w:t>
      </w:r>
      <w:r>
        <w:rPr>
          <w:rFonts w:ascii="Arial" w:eastAsia="Arial Unicode MS" w:hAnsi="Arial" w:cs="Arial"/>
          <w:b/>
          <w:color w:val="000000"/>
          <w:sz w:val="24"/>
          <w:szCs w:val="24"/>
        </w:rPr>
        <w:t xml:space="preserve"> </w:t>
      </w:r>
      <w:r w:rsidRPr="002107B1">
        <w:rPr>
          <w:rFonts w:ascii="Arial" w:eastAsia="Arial Unicode MS" w:hAnsi="Arial" w:cs="Arial"/>
          <w:b/>
          <w:color w:val="000000"/>
          <w:sz w:val="24"/>
          <w:szCs w:val="24"/>
        </w:rPr>
        <w:t>RESPONDENT</w:t>
      </w:r>
    </w:p>
    <w:p w:rsidR="00FC4490" w:rsidRDefault="00FC4490" w:rsidP="006D32EE">
      <w:pPr>
        <w:spacing w:after="0" w:line="360" w:lineRule="auto"/>
        <w:ind w:hanging="2160"/>
        <w:jc w:val="both"/>
        <w:rPr>
          <w:rFonts w:ascii="Arial" w:hAnsi="Arial" w:cs="Arial"/>
          <w:b/>
          <w:sz w:val="24"/>
          <w:szCs w:val="24"/>
        </w:rPr>
      </w:pPr>
    </w:p>
    <w:p w:rsidR="00184C3A" w:rsidRPr="00280F03" w:rsidRDefault="005470FD" w:rsidP="002E2B32">
      <w:pPr>
        <w:spacing w:after="0" w:line="360" w:lineRule="auto"/>
        <w:ind w:left="2127" w:hanging="2127"/>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bookmarkStart w:id="0" w:name="_GoBack"/>
      <w:r w:rsidR="002107B1">
        <w:rPr>
          <w:rFonts w:ascii="Arial" w:hAnsi="Arial" w:cs="Arial"/>
          <w:i/>
          <w:sz w:val="24"/>
          <w:szCs w:val="24"/>
        </w:rPr>
        <w:t xml:space="preserve">Menzies Aviation (Namibia) </w:t>
      </w:r>
      <w:r w:rsidR="006433CE">
        <w:rPr>
          <w:rFonts w:ascii="Arial" w:hAnsi="Arial" w:cs="Arial"/>
          <w:i/>
          <w:sz w:val="24"/>
          <w:szCs w:val="24"/>
        </w:rPr>
        <w:t xml:space="preserve">(Pty) Ltd </w:t>
      </w:r>
      <w:r w:rsidR="00A945DE">
        <w:rPr>
          <w:rFonts w:ascii="Arial" w:hAnsi="Arial" w:cs="Arial"/>
          <w:i/>
          <w:sz w:val="24"/>
          <w:szCs w:val="24"/>
        </w:rPr>
        <w:t xml:space="preserve"> </w:t>
      </w:r>
      <w:r w:rsidRPr="00D56390">
        <w:rPr>
          <w:rFonts w:ascii="Arial" w:eastAsia="Times New Roman" w:hAnsi="Arial" w:cs="Arial"/>
          <w:i/>
          <w:sz w:val="24"/>
          <w:szCs w:val="24"/>
          <w:lang w:eastAsia="en-GB"/>
        </w:rPr>
        <w:t xml:space="preserve">v </w:t>
      </w:r>
      <w:r w:rsidR="006433CE">
        <w:rPr>
          <w:rFonts w:ascii="Arial" w:eastAsia="Times New Roman" w:hAnsi="Arial" w:cs="Arial"/>
          <w:i/>
          <w:sz w:val="24"/>
          <w:szCs w:val="24"/>
          <w:lang w:eastAsia="en-GB"/>
        </w:rPr>
        <w:t>Namibia Airports Company Ltd</w:t>
      </w:r>
      <w:r w:rsidR="002A0049" w:rsidRPr="002A0049">
        <w:rPr>
          <w:rFonts w:ascii="Arial" w:eastAsia="Times New Roman" w:hAnsi="Arial" w:cs="Arial"/>
          <w:i/>
          <w:sz w:val="24"/>
          <w:szCs w:val="24"/>
          <w:lang w:eastAsia="en-GB"/>
        </w:rPr>
        <w:t xml:space="preserve"> </w:t>
      </w:r>
      <w:r w:rsidR="009758C6">
        <w:rPr>
          <w:rFonts w:ascii="Arial" w:eastAsia="Times New Roman" w:hAnsi="Arial" w:cs="Arial"/>
          <w:sz w:val="24"/>
          <w:szCs w:val="24"/>
          <w:lang w:eastAsia="en-GB"/>
        </w:rPr>
        <w:t>(</w:t>
      </w:r>
      <w:r w:rsidR="002107B1" w:rsidRPr="002107B1">
        <w:rPr>
          <w:rFonts w:ascii="Arial" w:eastAsia="Times New Roman" w:hAnsi="Arial" w:cs="Arial"/>
          <w:sz w:val="24"/>
          <w:szCs w:val="24"/>
          <w:lang w:eastAsia="en-GB"/>
        </w:rPr>
        <w:t>HC-MD-CIV-MOT-REV-2022/00155</w:t>
      </w:r>
      <w:r w:rsidRPr="00280F03">
        <w:rPr>
          <w:rFonts w:ascii="Arial" w:eastAsia="Times New Roman" w:hAnsi="Arial" w:cs="Arial"/>
          <w:sz w:val="24"/>
          <w:szCs w:val="24"/>
          <w:lang w:eastAsia="en-GB"/>
        </w:rPr>
        <w:t>) [202</w:t>
      </w:r>
      <w:r w:rsidR="00526DEF">
        <w:rPr>
          <w:rFonts w:ascii="Arial" w:eastAsia="Times New Roman" w:hAnsi="Arial" w:cs="Arial"/>
          <w:sz w:val="24"/>
          <w:szCs w:val="24"/>
          <w:lang w:eastAsia="en-GB"/>
        </w:rPr>
        <w:t>3</w:t>
      </w:r>
      <w:r w:rsidR="000F5D13">
        <w:rPr>
          <w:rFonts w:ascii="Arial" w:eastAsia="Times New Roman" w:hAnsi="Arial" w:cs="Arial"/>
          <w:sz w:val="24"/>
          <w:szCs w:val="24"/>
          <w:lang w:eastAsia="en-GB"/>
        </w:rPr>
        <w:t>] NA</w:t>
      </w:r>
      <w:r w:rsidR="00666E35">
        <w:rPr>
          <w:rFonts w:ascii="Arial" w:eastAsia="Times New Roman" w:hAnsi="Arial" w:cs="Arial"/>
          <w:sz w:val="24"/>
          <w:szCs w:val="24"/>
          <w:lang w:eastAsia="en-GB"/>
        </w:rPr>
        <w:t>H</w:t>
      </w:r>
      <w:r w:rsidRPr="00280F03">
        <w:rPr>
          <w:rFonts w:ascii="Arial" w:eastAsia="Times New Roman" w:hAnsi="Arial" w:cs="Arial"/>
          <w:sz w:val="24"/>
          <w:szCs w:val="24"/>
          <w:lang w:eastAsia="en-GB"/>
        </w:rPr>
        <w:t>CMD</w:t>
      </w:r>
      <w:r w:rsidR="002107B1">
        <w:rPr>
          <w:rFonts w:ascii="Arial" w:eastAsia="Times New Roman" w:hAnsi="Arial" w:cs="Arial"/>
          <w:sz w:val="24"/>
          <w:szCs w:val="24"/>
          <w:lang w:eastAsia="en-GB"/>
        </w:rPr>
        <w:t xml:space="preserve"> </w:t>
      </w:r>
      <w:r w:rsidR="00306467" w:rsidRPr="00306467">
        <w:rPr>
          <w:rFonts w:ascii="Arial" w:eastAsia="Times New Roman" w:hAnsi="Arial" w:cs="Arial"/>
          <w:sz w:val="24"/>
          <w:szCs w:val="24"/>
          <w:lang w:eastAsia="en-GB"/>
        </w:rPr>
        <w:t>281</w:t>
      </w:r>
      <w:r w:rsidR="006C3AF0">
        <w:rPr>
          <w:rFonts w:ascii="Arial" w:eastAsia="Times New Roman" w:hAnsi="Arial" w:cs="Arial"/>
          <w:sz w:val="24"/>
          <w:szCs w:val="24"/>
          <w:lang w:eastAsia="en-GB"/>
        </w:rPr>
        <w:t xml:space="preserve"> (</w:t>
      </w:r>
      <w:r w:rsidR="00F8210D">
        <w:rPr>
          <w:rFonts w:ascii="Arial" w:eastAsia="Times New Roman" w:hAnsi="Arial" w:cs="Arial"/>
          <w:sz w:val="24"/>
          <w:szCs w:val="24"/>
          <w:lang w:eastAsia="en-GB"/>
        </w:rPr>
        <w:t>23</w:t>
      </w:r>
      <w:r w:rsidR="00720245">
        <w:rPr>
          <w:rFonts w:ascii="Arial" w:eastAsia="Times New Roman" w:hAnsi="Arial" w:cs="Arial"/>
          <w:sz w:val="24"/>
          <w:szCs w:val="24"/>
          <w:lang w:eastAsia="en-GB"/>
        </w:rPr>
        <w:t xml:space="preserve"> May</w:t>
      </w:r>
      <w:r w:rsidR="00F348BE" w:rsidRPr="00F348BE">
        <w:rPr>
          <w:rFonts w:ascii="Arial" w:eastAsia="Times New Roman" w:hAnsi="Arial" w:cs="Arial"/>
          <w:sz w:val="24"/>
          <w:szCs w:val="24"/>
          <w:lang w:eastAsia="en-GB"/>
        </w:rPr>
        <w:t xml:space="preserve"> 202</w:t>
      </w:r>
      <w:r w:rsidR="00526DEF">
        <w:rPr>
          <w:rFonts w:ascii="Arial" w:eastAsia="Times New Roman" w:hAnsi="Arial" w:cs="Arial"/>
          <w:sz w:val="24"/>
          <w:szCs w:val="24"/>
          <w:lang w:eastAsia="en-GB"/>
        </w:rPr>
        <w:t>3</w:t>
      </w:r>
      <w:r w:rsidRPr="00280F03">
        <w:rPr>
          <w:rFonts w:ascii="Arial" w:eastAsia="Times New Roman" w:hAnsi="Arial" w:cs="Arial"/>
          <w:sz w:val="24"/>
          <w:szCs w:val="24"/>
          <w:lang w:eastAsia="en-GB"/>
        </w:rPr>
        <w:t>)</w:t>
      </w:r>
      <w:bookmarkEnd w:id="0"/>
    </w:p>
    <w:p w:rsidR="00184C3A" w:rsidRPr="00077FC7" w:rsidRDefault="00184C3A" w:rsidP="00184C3A">
      <w:pPr>
        <w:spacing w:after="0" w:line="360" w:lineRule="auto"/>
        <w:jc w:val="both"/>
        <w:rPr>
          <w:rFonts w:ascii="Arial" w:hAnsi="Arial" w:cs="Arial"/>
          <w:sz w:val="24"/>
          <w:szCs w:val="24"/>
        </w:rPr>
      </w:pPr>
    </w:p>
    <w:p w:rsidR="00184C3A" w:rsidRPr="00077FC7" w:rsidRDefault="005470FD" w:rsidP="00184C3A">
      <w:pPr>
        <w:spacing w:after="0" w:line="480" w:lineRule="auto"/>
        <w:ind w:left="1440" w:hanging="1440"/>
        <w:jc w:val="both"/>
        <w:rPr>
          <w:rFonts w:ascii="Arial" w:hAnsi="Arial" w:cs="Arial"/>
          <w:b/>
          <w:i/>
          <w:sz w:val="24"/>
          <w:szCs w:val="24"/>
        </w:rPr>
      </w:pPr>
      <w:r w:rsidRPr="00077FC7">
        <w:rPr>
          <w:rFonts w:ascii="Arial" w:hAnsi="Arial" w:cs="Arial"/>
          <w:b/>
          <w:sz w:val="24"/>
          <w:szCs w:val="24"/>
        </w:rPr>
        <w:t>Coram:</w:t>
      </w:r>
      <w:r>
        <w:rPr>
          <w:rFonts w:ascii="Arial" w:hAnsi="Arial" w:cs="Arial"/>
          <w:sz w:val="24"/>
          <w:szCs w:val="24"/>
        </w:rPr>
        <w:tab/>
      </w:r>
      <w:r w:rsidR="009758C6">
        <w:rPr>
          <w:rFonts w:ascii="Arial" w:hAnsi="Arial" w:cs="Arial"/>
          <w:sz w:val="24"/>
          <w:szCs w:val="24"/>
        </w:rPr>
        <w:t>RAKOW</w:t>
      </w:r>
      <w:r>
        <w:rPr>
          <w:rFonts w:ascii="Arial" w:hAnsi="Arial" w:cs="Arial"/>
          <w:sz w:val="24"/>
          <w:szCs w:val="24"/>
        </w:rPr>
        <w:t xml:space="preserve"> </w:t>
      </w:r>
      <w:r w:rsidRPr="00077FC7">
        <w:rPr>
          <w:rFonts w:ascii="Arial" w:hAnsi="Arial" w:cs="Arial"/>
          <w:sz w:val="24"/>
          <w:szCs w:val="24"/>
        </w:rPr>
        <w:t>J</w:t>
      </w:r>
    </w:p>
    <w:p w:rsidR="00184C3A" w:rsidRPr="00746204" w:rsidRDefault="005470FD" w:rsidP="00184C3A">
      <w:pPr>
        <w:spacing w:after="0" w:line="24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720245">
        <w:rPr>
          <w:rFonts w:ascii="Arial" w:hAnsi="Arial" w:cs="Arial"/>
          <w:b/>
          <w:sz w:val="24"/>
          <w:szCs w:val="24"/>
        </w:rPr>
        <w:t>2</w:t>
      </w:r>
      <w:r w:rsidR="002107B1">
        <w:rPr>
          <w:rFonts w:ascii="Arial" w:hAnsi="Arial" w:cs="Arial"/>
          <w:b/>
          <w:sz w:val="24"/>
          <w:szCs w:val="24"/>
        </w:rPr>
        <w:t>4</w:t>
      </w:r>
      <w:r w:rsidR="00835F89">
        <w:rPr>
          <w:rFonts w:ascii="Arial" w:hAnsi="Arial" w:cs="Arial"/>
          <w:b/>
          <w:sz w:val="24"/>
          <w:szCs w:val="24"/>
        </w:rPr>
        <w:t xml:space="preserve"> </w:t>
      </w:r>
      <w:r w:rsidR="002A0049">
        <w:rPr>
          <w:rFonts w:ascii="Arial" w:hAnsi="Arial" w:cs="Arial"/>
          <w:b/>
          <w:sz w:val="24"/>
          <w:szCs w:val="24"/>
        </w:rPr>
        <w:t>April</w:t>
      </w:r>
      <w:r w:rsidR="00F348BE" w:rsidRPr="00F348BE">
        <w:rPr>
          <w:rFonts w:ascii="Arial" w:hAnsi="Arial" w:cs="Arial"/>
          <w:b/>
          <w:sz w:val="24"/>
          <w:szCs w:val="24"/>
        </w:rPr>
        <w:t xml:space="preserve"> 202</w:t>
      </w:r>
      <w:r w:rsidR="00526DEF">
        <w:rPr>
          <w:rFonts w:ascii="Arial" w:hAnsi="Arial" w:cs="Arial"/>
          <w:b/>
          <w:sz w:val="24"/>
          <w:szCs w:val="24"/>
        </w:rPr>
        <w:t>3</w:t>
      </w:r>
    </w:p>
    <w:p w:rsidR="00184C3A" w:rsidRPr="00746204" w:rsidRDefault="00184C3A" w:rsidP="00184C3A">
      <w:pPr>
        <w:spacing w:after="0" w:line="240" w:lineRule="auto"/>
        <w:ind w:left="1440" w:hanging="1440"/>
        <w:jc w:val="both"/>
        <w:rPr>
          <w:rFonts w:ascii="Arial" w:hAnsi="Arial" w:cs="Arial"/>
          <w:b/>
          <w:sz w:val="24"/>
          <w:szCs w:val="24"/>
        </w:rPr>
      </w:pPr>
    </w:p>
    <w:p w:rsidR="00184C3A" w:rsidRPr="00746204" w:rsidRDefault="005470FD" w:rsidP="00F434E0">
      <w:pPr>
        <w:spacing w:after="0" w:line="360" w:lineRule="auto"/>
        <w:jc w:val="both"/>
        <w:rPr>
          <w:rFonts w:ascii="Arial" w:hAnsi="Arial" w:cs="Arial"/>
          <w:b/>
          <w:sz w:val="24"/>
          <w:szCs w:val="24"/>
        </w:rPr>
      </w:pPr>
      <w:r w:rsidRPr="00746204">
        <w:rPr>
          <w:rFonts w:ascii="Arial" w:hAnsi="Arial" w:cs="Arial"/>
          <w:b/>
          <w:bCs/>
          <w:sz w:val="24"/>
          <w:szCs w:val="24"/>
        </w:rPr>
        <w:t>Delivered</w:t>
      </w:r>
      <w:r w:rsidRPr="00746204">
        <w:rPr>
          <w:rFonts w:ascii="Arial" w:hAnsi="Arial" w:cs="Arial"/>
          <w:b/>
          <w:sz w:val="24"/>
          <w:szCs w:val="24"/>
        </w:rPr>
        <w:t>:</w:t>
      </w:r>
      <w:r w:rsidRPr="00746204">
        <w:rPr>
          <w:rFonts w:ascii="Arial" w:hAnsi="Arial" w:cs="Arial"/>
          <w:b/>
          <w:sz w:val="24"/>
          <w:szCs w:val="24"/>
        </w:rPr>
        <w:tab/>
      </w:r>
      <w:r w:rsidR="00F8210D">
        <w:rPr>
          <w:rFonts w:ascii="Arial" w:hAnsi="Arial" w:cs="Arial"/>
          <w:b/>
          <w:sz w:val="24"/>
          <w:szCs w:val="24"/>
        </w:rPr>
        <w:t>23</w:t>
      </w:r>
      <w:r w:rsidR="00720245">
        <w:rPr>
          <w:rFonts w:ascii="Arial" w:hAnsi="Arial" w:cs="Arial"/>
          <w:b/>
          <w:sz w:val="24"/>
          <w:szCs w:val="24"/>
        </w:rPr>
        <w:t xml:space="preserve"> May</w:t>
      </w:r>
      <w:r w:rsidR="00F348BE" w:rsidRPr="00F348BE">
        <w:rPr>
          <w:rFonts w:ascii="Arial" w:hAnsi="Arial" w:cs="Arial"/>
          <w:b/>
          <w:sz w:val="24"/>
          <w:szCs w:val="24"/>
        </w:rPr>
        <w:t xml:space="preserve"> 202</w:t>
      </w:r>
      <w:r w:rsidR="00526DEF">
        <w:rPr>
          <w:rFonts w:ascii="Arial" w:hAnsi="Arial" w:cs="Arial"/>
          <w:b/>
          <w:sz w:val="24"/>
          <w:szCs w:val="24"/>
        </w:rPr>
        <w:t>3</w:t>
      </w:r>
    </w:p>
    <w:p w:rsidR="00184C3A" w:rsidRPr="008803AA" w:rsidRDefault="00184C3A" w:rsidP="00F434E0">
      <w:pPr>
        <w:spacing w:after="0" w:line="360" w:lineRule="auto"/>
        <w:jc w:val="both"/>
        <w:rPr>
          <w:rFonts w:ascii="Arial" w:hAnsi="Arial" w:cs="Arial"/>
          <w:sz w:val="24"/>
          <w:szCs w:val="24"/>
        </w:rPr>
      </w:pPr>
    </w:p>
    <w:p w:rsidR="00184C3A" w:rsidRDefault="005470FD" w:rsidP="00F434E0">
      <w:pPr>
        <w:spacing w:line="360" w:lineRule="auto"/>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130823">
        <w:rPr>
          <w:rFonts w:ascii="Arial" w:hAnsi="Arial" w:cs="Arial"/>
          <w:sz w:val="24"/>
          <w:szCs w:val="24"/>
        </w:rPr>
        <w:t xml:space="preserve">Interlocutory </w:t>
      </w:r>
      <w:r w:rsidR="00130823" w:rsidRPr="00717AFA">
        <w:rPr>
          <w:rFonts w:ascii="Arial" w:hAnsi="Arial" w:cs="Arial"/>
          <w:sz w:val="24"/>
          <w:szCs w:val="24"/>
        </w:rPr>
        <w:t>–</w:t>
      </w:r>
      <w:r w:rsidR="00130823">
        <w:rPr>
          <w:rFonts w:ascii="Arial" w:hAnsi="Arial" w:cs="Arial"/>
          <w:sz w:val="24"/>
          <w:szCs w:val="24"/>
        </w:rPr>
        <w:t xml:space="preserve"> Application to supplement founding papers </w:t>
      </w:r>
      <w:r w:rsidR="00130823" w:rsidRPr="00717AFA">
        <w:rPr>
          <w:rFonts w:ascii="Arial" w:hAnsi="Arial" w:cs="Arial"/>
          <w:sz w:val="24"/>
          <w:szCs w:val="24"/>
        </w:rPr>
        <w:t>–</w:t>
      </w:r>
      <w:r w:rsidR="00130823">
        <w:rPr>
          <w:rFonts w:ascii="Arial" w:hAnsi="Arial" w:cs="Arial"/>
          <w:sz w:val="24"/>
          <w:szCs w:val="24"/>
        </w:rPr>
        <w:t xml:space="preserve"> Application for a </w:t>
      </w:r>
      <w:r w:rsidR="006F4174">
        <w:rPr>
          <w:rFonts w:ascii="Arial" w:hAnsi="Arial" w:cs="Arial"/>
          <w:i/>
          <w:sz w:val="24"/>
          <w:szCs w:val="24"/>
        </w:rPr>
        <w:t>pendent l</w:t>
      </w:r>
      <w:r w:rsidR="00130823" w:rsidRPr="00130823">
        <w:rPr>
          <w:rFonts w:ascii="Arial" w:hAnsi="Arial" w:cs="Arial"/>
          <w:i/>
          <w:sz w:val="24"/>
          <w:szCs w:val="24"/>
        </w:rPr>
        <w:t>ite</w:t>
      </w:r>
      <w:r w:rsidR="006F4174">
        <w:rPr>
          <w:rFonts w:ascii="Arial" w:hAnsi="Arial" w:cs="Arial"/>
          <w:sz w:val="24"/>
          <w:szCs w:val="24"/>
        </w:rPr>
        <w:t xml:space="preserve"> i</w:t>
      </w:r>
      <w:r w:rsidR="00130823">
        <w:rPr>
          <w:rFonts w:ascii="Arial" w:hAnsi="Arial" w:cs="Arial"/>
          <w:sz w:val="24"/>
          <w:szCs w:val="24"/>
        </w:rPr>
        <w:t xml:space="preserve">nterdict </w:t>
      </w:r>
      <w:r w:rsidR="00130823" w:rsidRPr="00717AFA">
        <w:rPr>
          <w:rFonts w:ascii="Arial" w:hAnsi="Arial" w:cs="Arial"/>
          <w:sz w:val="24"/>
          <w:szCs w:val="24"/>
        </w:rPr>
        <w:t>–</w:t>
      </w:r>
      <w:r w:rsidR="00130823">
        <w:rPr>
          <w:rFonts w:ascii="Arial" w:hAnsi="Arial" w:cs="Arial"/>
          <w:sz w:val="24"/>
          <w:szCs w:val="24"/>
        </w:rPr>
        <w:t xml:space="preserve"> The application to supplement founding papers </w:t>
      </w:r>
      <w:r w:rsidR="00130823" w:rsidRPr="007816A0">
        <w:rPr>
          <w:rFonts w:ascii="Arial" w:hAnsi="Arial" w:cs="Arial"/>
          <w:sz w:val="24"/>
          <w:szCs w:val="24"/>
        </w:rPr>
        <w:t>amounts to special circumstances as it re</w:t>
      </w:r>
      <w:r w:rsidR="00EE3E01">
        <w:rPr>
          <w:rFonts w:ascii="Arial" w:hAnsi="Arial" w:cs="Arial"/>
          <w:sz w:val="24"/>
          <w:szCs w:val="24"/>
        </w:rPr>
        <w:t xml:space="preserve">lates to the record before </w:t>
      </w:r>
      <w:r w:rsidR="00EE3E01" w:rsidRPr="00717AFA">
        <w:rPr>
          <w:rFonts w:ascii="Arial" w:hAnsi="Arial" w:cs="Arial"/>
          <w:sz w:val="24"/>
          <w:szCs w:val="24"/>
        </w:rPr>
        <w:t>–</w:t>
      </w:r>
      <w:r w:rsidR="00EE3E01">
        <w:rPr>
          <w:rFonts w:ascii="Arial" w:hAnsi="Arial" w:cs="Arial"/>
          <w:sz w:val="24"/>
          <w:szCs w:val="24"/>
        </w:rPr>
        <w:t xml:space="preserve"> A</w:t>
      </w:r>
      <w:r w:rsidR="00EE3E01" w:rsidRPr="007816A0">
        <w:rPr>
          <w:rFonts w:ascii="Arial" w:hAnsi="Arial" w:cs="Arial"/>
          <w:sz w:val="24"/>
          <w:szCs w:val="24"/>
        </w:rPr>
        <w:t>pplicant further advanced a reasonable explanation as to why the information was not placed before court at an earlier stage</w:t>
      </w:r>
      <w:r w:rsidR="00EE3E01">
        <w:rPr>
          <w:rFonts w:ascii="Arial" w:hAnsi="Arial" w:cs="Arial"/>
          <w:sz w:val="24"/>
          <w:szCs w:val="24"/>
        </w:rPr>
        <w:t xml:space="preserve"> </w:t>
      </w:r>
      <w:r w:rsidR="00EE3E01" w:rsidRPr="00717AFA">
        <w:rPr>
          <w:rFonts w:ascii="Arial" w:hAnsi="Arial" w:cs="Arial"/>
          <w:sz w:val="24"/>
          <w:szCs w:val="24"/>
        </w:rPr>
        <w:t>–</w:t>
      </w:r>
      <w:r w:rsidR="00EE3E01">
        <w:rPr>
          <w:rFonts w:ascii="Arial" w:hAnsi="Arial" w:cs="Arial"/>
          <w:sz w:val="24"/>
          <w:szCs w:val="24"/>
        </w:rPr>
        <w:t xml:space="preserve"> No </w:t>
      </w:r>
      <w:r w:rsidR="00EE3E01" w:rsidRPr="00EC1520">
        <w:rPr>
          <w:rFonts w:ascii="Arial" w:hAnsi="Arial" w:cs="Arial"/>
          <w:sz w:val="24"/>
          <w:szCs w:val="24"/>
        </w:rPr>
        <w:t>new agreement came into place</w:t>
      </w:r>
      <w:r w:rsidR="00EE3E01">
        <w:rPr>
          <w:rFonts w:ascii="Arial" w:hAnsi="Arial" w:cs="Arial"/>
          <w:sz w:val="24"/>
          <w:szCs w:val="24"/>
        </w:rPr>
        <w:t xml:space="preserve"> regarding the </w:t>
      </w:r>
      <w:r w:rsidR="006F4174">
        <w:rPr>
          <w:rFonts w:ascii="Arial" w:hAnsi="Arial" w:cs="Arial"/>
          <w:i/>
          <w:sz w:val="24"/>
          <w:szCs w:val="24"/>
        </w:rPr>
        <w:t>pendente l</w:t>
      </w:r>
      <w:r w:rsidR="00EE3E01" w:rsidRPr="00EE3E01">
        <w:rPr>
          <w:rFonts w:ascii="Arial" w:hAnsi="Arial" w:cs="Arial"/>
          <w:i/>
          <w:sz w:val="24"/>
          <w:szCs w:val="24"/>
        </w:rPr>
        <w:t>ite</w:t>
      </w:r>
      <w:r w:rsidR="006F4174">
        <w:rPr>
          <w:rFonts w:ascii="Arial" w:hAnsi="Arial" w:cs="Arial"/>
          <w:sz w:val="24"/>
          <w:szCs w:val="24"/>
        </w:rPr>
        <w:t xml:space="preserve"> i</w:t>
      </w:r>
      <w:r w:rsidR="00EE3E01">
        <w:rPr>
          <w:rFonts w:ascii="Arial" w:hAnsi="Arial" w:cs="Arial"/>
          <w:sz w:val="24"/>
          <w:szCs w:val="24"/>
        </w:rPr>
        <w:t>nterdict</w:t>
      </w:r>
      <w:r w:rsidR="00EE3E01" w:rsidRPr="00EE3E01">
        <w:rPr>
          <w:rFonts w:ascii="Arial" w:hAnsi="Arial" w:cs="Arial"/>
          <w:sz w:val="24"/>
          <w:szCs w:val="24"/>
        </w:rPr>
        <w:t xml:space="preserve"> </w:t>
      </w:r>
      <w:r w:rsidR="00EE3E01" w:rsidRPr="00EC1520">
        <w:rPr>
          <w:rFonts w:ascii="Arial" w:hAnsi="Arial" w:cs="Arial"/>
          <w:sz w:val="24"/>
          <w:szCs w:val="24"/>
        </w:rPr>
        <w:t xml:space="preserve"> </w:t>
      </w:r>
      <w:r w:rsidR="00EE3E01" w:rsidRPr="00717AFA">
        <w:rPr>
          <w:rFonts w:ascii="Arial" w:hAnsi="Arial" w:cs="Arial"/>
          <w:sz w:val="24"/>
          <w:szCs w:val="24"/>
        </w:rPr>
        <w:t>–</w:t>
      </w:r>
      <w:r w:rsidR="00EE3E01">
        <w:rPr>
          <w:rFonts w:ascii="Arial" w:hAnsi="Arial" w:cs="Arial"/>
          <w:sz w:val="24"/>
          <w:szCs w:val="24"/>
        </w:rPr>
        <w:t xml:space="preserve"> N</w:t>
      </w:r>
      <w:r w:rsidR="00EE3E01" w:rsidRPr="00EC1520">
        <w:rPr>
          <w:rFonts w:ascii="Arial" w:hAnsi="Arial" w:cs="Arial"/>
          <w:sz w:val="24"/>
          <w:szCs w:val="24"/>
        </w:rPr>
        <w:t xml:space="preserve">o explanation put before the court explaining the delay in bringing the </w:t>
      </w:r>
      <w:r w:rsidR="006F4174">
        <w:rPr>
          <w:rFonts w:ascii="Arial" w:hAnsi="Arial" w:cs="Arial"/>
          <w:i/>
          <w:sz w:val="24"/>
          <w:szCs w:val="24"/>
        </w:rPr>
        <w:t>pendente l</w:t>
      </w:r>
      <w:r w:rsidR="00EE3E01" w:rsidRPr="00EE3E01">
        <w:rPr>
          <w:rFonts w:ascii="Arial" w:hAnsi="Arial" w:cs="Arial"/>
          <w:i/>
          <w:sz w:val="24"/>
          <w:szCs w:val="24"/>
        </w:rPr>
        <w:t>ite</w:t>
      </w:r>
      <w:r w:rsidR="006F4174">
        <w:rPr>
          <w:rFonts w:ascii="Arial" w:hAnsi="Arial" w:cs="Arial"/>
          <w:sz w:val="24"/>
          <w:szCs w:val="24"/>
        </w:rPr>
        <w:t xml:space="preserve"> i</w:t>
      </w:r>
      <w:r w:rsidR="00EE3E01">
        <w:rPr>
          <w:rFonts w:ascii="Arial" w:hAnsi="Arial" w:cs="Arial"/>
          <w:sz w:val="24"/>
          <w:szCs w:val="24"/>
        </w:rPr>
        <w:t>nterdict</w:t>
      </w:r>
      <w:r w:rsidR="00EE3E01" w:rsidRPr="00EC1520">
        <w:rPr>
          <w:rFonts w:ascii="Arial" w:hAnsi="Arial" w:cs="Arial"/>
          <w:sz w:val="24"/>
          <w:szCs w:val="24"/>
        </w:rPr>
        <w:t xml:space="preserve"> application</w:t>
      </w:r>
      <w:r w:rsidR="00EE3E01">
        <w:rPr>
          <w:rFonts w:ascii="Arial" w:hAnsi="Arial" w:cs="Arial"/>
          <w:sz w:val="24"/>
          <w:szCs w:val="24"/>
        </w:rPr>
        <w:t>.</w:t>
      </w:r>
    </w:p>
    <w:p w:rsidR="00335288" w:rsidRDefault="005470FD" w:rsidP="00335288">
      <w:pPr>
        <w:pStyle w:val="ListParagraph"/>
        <w:spacing w:after="0" w:line="360" w:lineRule="auto"/>
        <w:ind w:left="0"/>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Pr>
          <w:rFonts w:ascii="Arial" w:hAnsi="Arial" w:cs="Arial"/>
          <w:sz w:val="24"/>
          <w:szCs w:val="24"/>
        </w:rPr>
        <w:t>Two applications came before the court</w:t>
      </w:r>
      <w:r w:rsidRPr="002D55FD">
        <w:rPr>
          <w:rFonts w:ascii="Arial" w:hAnsi="Arial" w:cs="Arial"/>
          <w:sz w:val="24"/>
          <w:szCs w:val="24"/>
        </w:rPr>
        <w:t xml:space="preserve"> at the same time in this matter.  The first was an application to present new evidence in a pending review matter</w:t>
      </w:r>
      <w:r>
        <w:rPr>
          <w:rFonts w:ascii="Arial" w:hAnsi="Arial" w:cs="Arial"/>
          <w:sz w:val="24"/>
          <w:szCs w:val="24"/>
        </w:rPr>
        <w:t>,</w:t>
      </w:r>
      <w:r w:rsidRPr="002D55FD">
        <w:rPr>
          <w:rFonts w:ascii="Arial" w:hAnsi="Arial" w:cs="Arial"/>
          <w:sz w:val="24"/>
          <w:szCs w:val="24"/>
        </w:rPr>
        <w:t xml:space="preserve"> in that they wish to supplement their founding papers, and the second was an application for a </w:t>
      </w:r>
      <w:r w:rsidR="00002AB7">
        <w:rPr>
          <w:rFonts w:ascii="Arial" w:hAnsi="Arial" w:cs="Arial"/>
          <w:i/>
          <w:sz w:val="24"/>
          <w:szCs w:val="24"/>
        </w:rPr>
        <w:t>pendente l</w:t>
      </w:r>
      <w:r w:rsidRPr="002D55FD">
        <w:rPr>
          <w:rFonts w:ascii="Arial" w:hAnsi="Arial" w:cs="Arial"/>
          <w:i/>
          <w:sz w:val="24"/>
          <w:szCs w:val="24"/>
        </w:rPr>
        <w:t>ite</w:t>
      </w:r>
      <w:r w:rsidR="00002AB7">
        <w:rPr>
          <w:rFonts w:ascii="Arial" w:hAnsi="Arial" w:cs="Arial"/>
          <w:sz w:val="24"/>
          <w:szCs w:val="24"/>
        </w:rPr>
        <w:t xml:space="preserve"> i</w:t>
      </w:r>
      <w:r w:rsidRPr="002D55FD">
        <w:rPr>
          <w:rFonts w:ascii="Arial" w:hAnsi="Arial" w:cs="Arial"/>
          <w:sz w:val="24"/>
          <w:szCs w:val="24"/>
        </w:rPr>
        <w:t xml:space="preserve">nterdict.  Two separate </w:t>
      </w:r>
      <w:r>
        <w:rPr>
          <w:rFonts w:ascii="Arial" w:hAnsi="Arial" w:cs="Arial"/>
          <w:sz w:val="24"/>
          <w:szCs w:val="24"/>
        </w:rPr>
        <w:t>applications were filed in this case</w:t>
      </w:r>
      <w:r w:rsidRPr="002D55FD">
        <w:rPr>
          <w:rFonts w:ascii="Arial" w:hAnsi="Arial" w:cs="Arial"/>
          <w:sz w:val="24"/>
          <w:szCs w:val="24"/>
        </w:rPr>
        <w:t xml:space="preserve"> by the applicant but the arguments were heard on the same day.</w:t>
      </w:r>
    </w:p>
    <w:p w:rsidR="00335288" w:rsidRDefault="00335288" w:rsidP="00335288">
      <w:pPr>
        <w:pStyle w:val="ListParagraph"/>
        <w:spacing w:after="0" w:line="360" w:lineRule="auto"/>
        <w:ind w:left="0"/>
        <w:jc w:val="both"/>
        <w:rPr>
          <w:rFonts w:ascii="Arial" w:hAnsi="Arial" w:cs="Arial"/>
          <w:sz w:val="24"/>
          <w:szCs w:val="24"/>
        </w:rPr>
      </w:pPr>
    </w:p>
    <w:p w:rsidR="00335288" w:rsidRDefault="005470FD" w:rsidP="005D2D33">
      <w:pPr>
        <w:pStyle w:val="ListParagraph"/>
        <w:spacing w:after="0" w:line="360" w:lineRule="auto"/>
        <w:ind w:left="0"/>
        <w:jc w:val="both"/>
        <w:rPr>
          <w:rFonts w:ascii="Arial" w:hAnsi="Arial" w:cs="Arial"/>
          <w:sz w:val="24"/>
          <w:szCs w:val="24"/>
        </w:rPr>
      </w:pPr>
      <w:r w:rsidRPr="002D55FD">
        <w:rPr>
          <w:rFonts w:ascii="Arial" w:hAnsi="Arial" w:cs="Arial"/>
          <w:sz w:val="24"/>
          <w:szCs w:val="24"/>
        </w:rPr>
        <w:t>Both these applications are opposed by the first and second respondents only. The eight</w:t>
      </w:r>
      <w:r>
        <w:rPr>
          <w:rFonts w:ascii="Arial" w:hAnsi="Arial" w:cs="Arial"/>
          <w:sz w:val="24"/>
          <w:szCs w:val="24"/>
        </w:rPr>
        <w:t>h</w:t>
      </w:r>
      <w:r w:rsidRPr="002D55FD">
        <w:rPr>
          <w:rFonts w:ascii="Arial" w:hAnsi="Arial" w:cs="Arial"/>
          <w:sz w:val="24"/>
          <w:szCs w:val="24"/>
        </w:rPr>
        <w:t xml:space="preserve"> respondent chose not to oppose these applications. The other respondents are not currently bef</w:t>
      </w:r>
      <w:r w:rsidR="00002AB7">
        <w:rPr>
          <w:rFonts w:ascii="Arial" w:hAnsi="Arial" w:cs="Arial"/>
          <w:sz w:val="24"/>
          <w:szCs w:val="24"/>
        </w:rPr>
        <w:t>ore the court.  The second respondent</w:t>
      </w:r>
      <w:r w:rsidRPr="002D55FD">
        <w:rPr>
          <w:rFonts w:ascii="Arial" w:hAnsi="Arial" w:cs="Arial"/>
          <w:sz w:val="24"/>
          <w:szCs w:val="24"/>
        </w:rPr>
        <w:t xml:space="preserve"> further filed a condonation application for the late filing of its opposing affidavit.  The applicant also filed a condonation application seeking an </w:t>
      </w:r>
      <w:r w:rsidRPr="009A79F5">
        <w:rPr>
          <w:rFonts w:ascii="Arial" w:hAnsi="Arial" w:cs="Arial"/>
          <w:sz w:val="24"/>
          <w:szCs w:val="24"/>
        </w:rPr>
        <w:t xml:space="preserve">order that the </w:t>
      </w:r>
      <w:r>
        <w:rPr>
          <w:rFonts w:ascii="Arial" w:hAnsi="Arial" w:cs="Arial"/>
          <w:sz w:val="24"/>
          <w:szCs w:val="24"/>
        </w:rPr>
        <w:t>a</w:t>
      </w:r>
      <w:r w:rsidRPr="002D55FD">
        <w:rPr>
          <w:rFonts w:ascii="Arial" w:hAnsi="Arial" w:cs="Arial"/>
          <w:sz w:val="24"/>
          <w:szCs w:val="24"/>
        </w:rPr>
        <w:t>pplicant’s non-complia</w:t>
      </w:r>
      <w:r w:rsidR="006C7773">
        <w:rPr>
          <w:rFonts w:ascii="Arial" w:hAnsi="Arial" w:cs="Arial"/>
          <w:sz w:val="24"/>
          <w:szCs w:val="24"/>
        </w:rPr>
        <w:t xml:space="preserve">nce with the court order dated 8 </w:t>
      </w:r>
      <w:r w:rsidRPr="002D55FD">
        <w:rPr>
          <w:rFonts w:ascii="Arial" w:hAnsi="Arial" w:cs="Arial"/>
          <w:sz w:val="24"/>
          <w:szCs w:val="24"/>
        </w:rPr>
        <w:t xml:space="preserve">November 2022 and the late filing of the applicant’s interlocutory application to provide leave to supplement its founding papers be condoned. </w:t>
      </w:r>
    </w:p>
    <w:p w:rsidR="000E6398" w:rsidRDefault="000E6398" w:rsidP="005D2D33">
      <w:pPr>
        <w:pStyle w:val="ListParagraph"/>
        <w:spacing w:after="0" w:line="360" w:lineRule="auto"/>
        <w:ind w:left="0"/>
        <w:jc w:val="both"/>
        <w:rPr>
          <w:rFonts w:ascii="Arial" w:hAnsi="Arial" w:cs="Arial"/>
          <w:sz w:val="24"/>
          <w:szCs w:val="24"/>
        </w:rPr>
      </w:pPr>
    </w:p>
    <w:p w:rsidR="00BC05EB" w:rsidRDefault="005470FD" w:rsidP="00BC05EB">
      <w:pPr>
        <w:pStyle w:val="ListParagraph"/>
        <w:spacing w:after="0" w:line="360" w:lineRule="auto"/>
        <w:ind w:left="0"/>
        <w:jc w:val="both"/>
        <w:rPr>
          <w:rFonts w:ascii="Arial" w:hAnsi="Arial" w:cs="Arial"/>
          <w:sz w:val="24"/>
          <w:szCs w:val="24"/>
        </w:rPr>
      </w:pPr>
      <w:r w:rsidRPr="000E6398">
        <w:rPr>
          <w:rFonts w:ascii="Arial" w:hAnsi="Arial" w:cs="Arial"/>
          <w:i/>
          <w:sz w:val="24"/>
          <w:szCs w:val="24"/>
        </w:rPr>
        <w:t>Held that:</w:t>
      </w:r>
      <w:r w:rsidRPr="00BC05EB">
        <w:rPr>
          <w:rFonts w:ascii="Arial" w:hAnsi="Arial" w:cs="Arial"/>
          <w:sz w:val="24"/>
          <w:szCs w:val="24"/>
        </w:rPr>
        <w:t xml:space="preserve"> </w:t>
      </w:r>
      <w:r>
        <w:rPr>
          <w:rFonts w:ascii="Arial" w:hAnsi="Arial" w:cs="Arial"/>
          <w:sz w:val="24"/>
          <w:szCs w:val="24"/>
        </w:rPr>
        <w:t>r</w:t>
      </w:r>
      <w:r w:rsidRPr="007816A0">
        <w:rPr>
          <w:rFonts w:ascii="Arial" w:hAnsi="Arial" w:cs="Arial"/>
          <w:sz w:val="24"/>
          <w:szCs w:val="24"/>
        </w:rPr>
        <w:t xml:space="preserve">egarding the question of whether the applicants made out a case for special circumstances allowing for the granting of the order, the court must find in the affirmative.  The issue raised by the applicant in this application indeed amounts to special circumstances as it relates to the record before the court, which in turn forms </w:t>
      </w:r>
      <w:r w:rsidRPr="007816A0">
        <w:rPr>
          <w:rFonts w:ascii="Arial" w:hAnsi="Arial" w:cs="Arial"/>
          <w:sz w:val="24"/>
          <w:szCs w:val="24"/>
        </w:rPr>
        <w:lastRenderedPageBreak/>
        <w:t>the basis of the review application as the allegation is made that the bid of the second respondent was not properly completed and the allegatio</w:t>
      </w:r>
      <w:r>
        <w:rPr>
          <w:rFonts w:ascii="Arial" w:hAnsi="Arial" w:cs="Arial"/>
          <w:sz w:val="24"/>
          <w:szCs w:val="24"/>
        </w:rPr>
        <w:t xml:space="preserve">n made was </w:t>
      </w:r>
      <w:r w:rsidRPr="007816A0">
        <w:rPr>
          <w:rFonts w:ascii="Arial" w:hAnsi="Arial" w:cs="Arial"/>
          <w:sz w:val="24"/>
          <w:szCs w:val="24"/>
        </w:rPr>
        <w:t>that it was completed after the initial records were filed.  This indeed requires an answer from the first and second respondent</w:t>
      </w:r>
      <w:r w:rsidR="005F36DE">
        <w:rPr>
          <w:rFonts w:ascii="Arial" w:hAnsi="Arial" w:cs="Arial"/>
          <w:sz w:val="24"/>
          <w:szCs w:val="24"/>
        </w:rPr>
        <w:t>s</w:t>
      </w:r>
      <w:r w:rsidRPr="007816A0">
        <w:rPr>
          <w:rFonts w:ascii="Arial" w:hAnsi="Arial" w:cs="Arial"/>
          <w:sz w:val="24"/>
          <w:szCs w:val="24"/>
        </w:rPr>
        <w:t xml:space="preserve"> and the allegation is of such a nature that it indeed impact</w:t>
      </w:r>
      <w:r>
        <w:rPr>
          <w:rFonts w:ascii="Arial" w:hAnsi="Arial" w:cs="Arial"/>
          <w:sz w:val="24"/>
          <w:szCs w:val="24"/>
        </w:rPr>
        <w:t>ed</w:t>
      </w:r>
      <w:r w:rsidRPr="007816A0">
        <w:rPr>
          <w:rFonts w:ascii="Arial" w:hAnsi="Arial" w:cs="Arial"/>
          <w:sz w:val="24"/>
          <w:szCs w:val="24"/>
        </w:rPr>
        <w:t xml:space="preserve"> the crux of the matter.</w:t>
      </w:r>
    </w:p>
    <w:p w:rsidR="00B04954" w:rsidRDefault="00B04954" w:rsidP="006257E2">
      <w:pPr>
        <w:pStyle w:val="ListParagraph"/>
        <w:spacing w:after="0" w:line="360" w:lineRule="auto"/>
        <w:ind w:left="0"/>
        <w:jc w:val="both"/>
        <w:rPr>
          <w:rFonts w:ascii="Arial" w:hAnsi="Arial" w:cs="Arial"/>
          <w:i/>
          <w:sz w:val="24"/>
          <w:szCs w:val="24"/>
        </w:rPr>
      </w:pPr>
    </w:p>
    <w:p w:rsidR="000E6398" w:rsidRDefault="005470FD" w:rsidP="006257E2">
      <w:pPr>
        <w:pStyle w:val="ListParagraph"/>
        <w:spacing w:after="0" w:line="360" w:lineRule="auto"/>
        <w:ind w:left="0"/>
        <w:jc w:val="both"/>
        <w:rPr>
          <w:rFonts w:ascii="Arial" w:hAnsi="Arial" w:cs="Arial"/>
          <w:sz w:val="24"/>
          <w:szCs w:val="24"/>
        </w:rPr>
      </w:pPr>
      <w:r w:rsidRPr="000E6398">
        <w:rPr>
          <w:rFonts w:ascii="Arial" w:hAnsi="Arial" w:cs="Arial"/>
          <w:i/>
          <w:sz w:val="24"/>
          <w:szCs w:val="24"/>
        </w:rPr>
        <w:t>Held that:</w:t>
      </w:r>
      <w:r w:rsidR="00BC05EB" w:rsidRPr="00BC05EB">
        <w:rPr>
          <w:rFonts w:ascii="Arial" w:hAnsi="Arial" w:cs="Arial"/>
          <w:sz w:val="24"/>
          <w:szCs w:val="24"/>
        </w:rPr>
        <w:t xml:space="preserve"> </w:t>
      </w:r>
      <w:r w:rsidR="00EE3E01">
        <w:rPr>
          <w:rFonts w:ascii="Arial" w:hAnsi="Arial" w:cs="Arial"/>
          <w:sz w:val="24"/>
          <w:szCs w:val="24"/>
        </w:rPr>
        <w:t>T</w:t>
      </w:r>
      <w:r w:rsidR="00EE3E01" w:rsidRPr="007816A0">
        <w:rPr>
          <w:rFonts w:ascii="Arial" w:hAnsi="Arial" w:cs="Arial"/>
          <w:sz w:val="24"/>
          <w:szCs w:val="24"/>
        </w:rPr>
        <w:t>he applicant further advanced a reasonable explanation as to why the information was not placed before the court at an earlier stage when it explained that it had no reason to believe that the hard copy of the record they received</w:t>
      </w:r>
      <w:r w:rsidR="00EE3E01">
        <w:rPr>
          <w:rFonts w:ascii="Arial" w:hAnsi="Arial" w:cs="Arial"/>
          <w:sz w:val="24"/>
          <w:szCs w:val="24"/>
        </w:rPr>
        <w:t xml:space="preserve"> and the records uploaded on e-j</w:t>
      </w:r>
      <w:r w:rsidR="00EE3E01" w:rsidRPr="007816A0">
        <w:rPr>
          <w:rFonts w:ascii="Arial" w:hAnsi="Arial" w:cs="Arial"/>
          <w:sz w:val="24"/>
          <w:szCs w:val="24"/>
        </w:rPr>
        <w:t xml:space="preserve">ustice would differ from one another, only to realize the same at a later stage when they perused the records and noted such discrepancies.  It is also true that the applicant had complained numerous times about the record not being uploaded fully and missing some parts.  </w:t>
      </w:r>
    </w:p>
    <w:p w:rsidR="006257E2" w:rsidRPr="006257E2" w:rsidRDefault="006257E2" w:rsidP="006257E2">
      <w:pPr>
        <w:pStyle w:val="ListParagraph"/>
        <w:spacing w:after="0" w:line="360" w:lineRule="auto"/>
        <w:ind w:left="0"/>
        <w:jc w:val="both"/>
        <w:rPr>
          <w:rFonts w:ascii="Arial" w:hAnsi="Arial" w:cs="Arial"/>
          <w:sz w:val="24"/>
          <w:szCs w:val="24"/>
        </w:rPr>
      </w:pPr>
    </w:p>
    <w:p w:rsidR="00E477B1" w:rsidRDefault="005470FD" w:rsidP="00E477B1">
      <w:pPr>
        <w:pStyle w:val="ListParagraph"/>
        <w:spacing w:after="0" w:line="360" w:lineRule="auto"/>
        <w:ind w:left="0"/>
        <w:jc w:val="both"/>
        <w:rPr>
          <w:rFonts w:ascii="Arial" w:hAnsi="Arial" w:cs="Arial"/>
          <w:sz w:val="24"/>
          <w:szCs w:val="24"/>
        </w:rPr>
      </w:pPr>
      <w:r w:rsidRPr="000E6398">
        <w:rPr>
          <w:rFonts w:ascii="Arial" w:hAnsi="Arial" w:cs="Arial"/>
          <w:i/>
          <w:sz w:val="24"/>
          <w:szCs w:val="24"/>
        </w:rPr>
        <w:t>Held that:</w:t>
      </w:r>
      <w:r w:rsidRPr="00E477B1">
        <w:rPr>
          <w:rFonts w:ascii="Arial" w:hAnsi="Arial" w:cs="Arial"/>
          <w:sz w:val="24"/>
          <w:szCs w:val="24"/>
        </w:rPr>
        <w:t xml:space="preserve"> </w:t>
      </w:r>
      <w:r>
        <w:rPr>
          <w:rFonts w:ascii="Arial" w:hAnsi="Arial" w:cs="Arial"/>
          <w:sz w:val="24"/>
          <w:szCs w:val="24"/>
        </w:rPr>
        <w:t>t</w:t>
      </w:r>
      <w:r w:rsidRPr="00EC1520">
        <w:rPr>
          <w:rFonts w:ascii="Arial" w:hAnsi="Arial" w:cs="Arial"/>
          <w:sz w:val="24"/>
          <w:szCs w:val="24"/>
        </w:rPr>
        <w:t>he court finds that the interpretation by the first respondent is the most probable interpretation and that no new agreement came into place.</w:t>
      </w:r>
    </w:p>
    <w:p w:rsidR="006257E2" w:rsidRDefault="006257E2" w:rsidP="006257E2">
      <w:pPr>
        <w:pStyle w:val="ListParagraph"/>
        <w:spacing w:after="0" w:line="360" w:lineRule="auto"/>
        <w:ind w:left="0"/>
        <w:jc w:val="both"/>
        <w:rPr>
          <w:rFonts w:ascii="Arial" w:hAnsi="Arial" w:cs="Arial"/>
          <w:sz w:val="24"/>
          <w:szCs w:val="24"/>
        </w:rPr>
      </w:pPr>
    </w:p>
    <w:p w:rsidR="000E6398" w:rsidRPr="006257E2" w:rsidRDefault="005470FD" w:rsidP="006257E2">
      <w:pPr>
        <w:pStyle w:val="ListParagraph"/>
        <w:spacing w:after="0" w:line="360" w:lineRule="auto"/>
        <w:ind w:left="0"/>
        <w:jc w:val="both"/>
        <w:rPr>
          <w:rFonts w:ascii="Arial" w:hAnsi="Arial" w:cs="Arial"/>
          <w:sz w:val="24"/>
          <w:szCs w:val="24"/>
        </w:rPr>
      </w:pPr>
      <w:r w:rsidRPr="000E6398">
        <w:rPr>
          <w:rFonts w:ascii="Arial" w:hAnsi="Arial" w:cs="Arial"/>
          <w:i/>
          <w:sz w:val="24"/>
          <w:szCs w:val="24"/>
        </w:rPr>
        <w:t>Held further that:</w:t>
      </w:r>
      <w:r w:rsidR="006257E2" w:rsidRPr="006257E2">
        <w:rPr>
          <w:rFonts w:ascii="Arial" w:hAnsi="Arial" w:cs="Arial"/>
          <w:sz w:val="24"/>
          <w:szCs w:val="24"/>
        </w:rPr>
        <w:t xml:space="preserve"> </w:t>
      </w:r>
      <w:r w:rsidR="006257E2">
        <w:rPr>
          <w:rFonts w:ascii="Arial" w:hAnsi="Arial" w:cs="Arial"/>
          <w:sz w:val="24"/>
          <w:szCs w:val="24"/>
        </w:rPr>
        <w:t xml:space="preserve">a </w:t>
      </w:r>
      <w:r w:rsidR="006257E2" w:rsidRPr="00EC1520">
        <w:rPr>
          <w:rFonts w:ascii="Arial" w:hAnsi="Arial" w:cs="Arial"/>
          <w:sz w:val="24"/>
          <w:szCs w:val="24"/>
        </w:rPr>
        <w:t xml:space="preserve">year later is simply too long a period from bringing the review application to instituting the </w:t>
      </w:r>
      <w:r w:rsidR="000B777D">
        <w:rPr>
          <w:rFonts w:ascii="Arial" w:hAnsi="Arial" w:cs="Arial"/>
          <w:i/>
          <w:sz w:val="24"/>
          <w:szCs w:val="24"/>
        </w:rPr>
        <w:t>pendente l</w:t>
      </w:r>
      <w:r w:rsidR="006257E2" w:rsidRPr="00EC1520">
        <w:rPr>
          <w:rFonts w:ascii="Arial" w:hAnsi="Arial" w:cs="Arial"/>
          <w:i/>
          <w:sz w:val="24"/>
          <w:szCs w:val="24"/>
        </w:rPr>
        <w:t>ite</w:t>
      </w:r>
      <w:r w:rsidR="000B777D">
        <w:rPr>
          <w:rFonts w:ascii="Arial" w:hAnsi="Arial" w:cs="Arial"/>
          <w:sz w:val="24"/>
          <w:szCs w:val="24"/>
        </w:rPr>
        <w:t xml:space="preserve"> application. </w:t>
      </w:r>
      <w:r w:rsidR="006257E2" w:rsidRPr="00EC1520">
        <w:rPr>
          <w:rFonts w:ascii="Arial" w:hAnsi="Arial" w:cs="Arial"/>
          <w:sz w:val="24"/>
          <w:szCs w:val="24"/>
        </w:rPr>
        <w:t xml:space="preserve">There was further no explanation put before the court explaining the delay in bringing the said application and the court must conclude that as such, the application lacks bona fides.  To add to this, the court also took into account that the applicant knew since at least November 2021 that they were not successful but chose to only institute </w:t>
      </w:r>
      <w:r w:rsidR="006257E2">
        <w:rPr>
          <w:rFonts w:ascii="Arial" w:hAnsi="Arial" w:cs="Arial"/>
          <w:sz w:val="24"/>
          <w:szCs w:val="24"/>
        </w:rPr>
        <w:t>review proceedings in June 2022.</w:t>
      </w:r>
    </w:p>
    <w:p w:rsidR="00184C3A" w:rsidRPr="00D9070C" w:rsidRDefault="005049A7" w:rsidP="00184C3A">
      <w:pPr>
        <w:spacing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5470FD" w:rsidP="00184C3A">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5049A7" w:rsidP="00184C3A">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292AAA" w:rsidRDefault="005470FD" w:rsidP="00292AAA">
      <w:pPr>
        <w:pStyle w:val="ListParagraph"/>
        <w:numPr>
          <w:ilvl w:val="0"/>
          <w:numId w:val="21"/>
        </w:numPr>
        <w:spacing w:after="160" w:line="360" w:lineRule="auto"/>
        <w:jc w:val="both"/>
        <w:rPr>
          <w:rFonts w:ascii="Arial" w:hAnsi="Arial" w:cs="Arial"/>
          <w:sz w:val="24"/>
          <w:szCs w:val="24"/>
        </w:rPr>
      </w:pPr>
      <w:r w:rsidRPr="00292AAA">
        <w:rPr>
          <w:rFonts w:ascii="Arial" w:hAnsi="Arial" w:cs="Arial"/>
          <w:sz w:val="24"/>
          <w:szCs w:val="24"/>
        </w:rPr>
        <w:t>The application to supplement is hereby granted with each party to carry its own costs.</w:t>
      </w:r>
    </w:p>
    <w:p w:rsidR="00292AAA" w:rsidRDefault="00292AAA" w:rsidP="00292AAA">
      <w:pPr>
        <w:pStyle w:val="ListParagraph"/>
        <w:spacing w:after="160" w:line="360" w:lineRule="auto"/>
        <w:ind w:left="360"/>
        <w:jc w:val="both"/>
        <w:rPr>
          <w:rFonts w:ascii="Arial" w:hAnsi="Arial" w:cs="Arial"/>
          <w:sz w:val="24"/>
          <w:szCs w:val="24"/>
        </w:rPr>
      </w:pPr>
    </w:p>
    <w:p w:rsidR="00292AAA" w:rsidRDefault="005470FD" w:rsidP="00292AAA">
      <w:pPr>
        <w:pStyle w:val="ListParagraph"/>
        <w:numPr>
          <w:ilvl w:val="0"/>
          <w:numId w:val="21"/>
        </w:numPr>
        <w:spacing w:after="160" w:line="360" w:lineRule="auto"/>
        <w:jc w:val="both"/>
        <w:rPr>
          <w:rFonts w:ascii="Arial" w:hAnsi="Arial" w:cs="Arial"/>
          <w:sz w:val="24"/>
          <w:szCs w:val="24"/>
        </w:rPr>
      </w:pPr>
      <w:r w:rsidRPr="00292AAA">
        <w:rPr>
          <w:rFonts w:ascii="Arial" w:hAnsi="Arial" w:cs="Arial"/>
          <w:sz w:val="24"/>
          <w:szCs w:val="24"/>
        </w:rPr>
        <w:t xml:space="preserve">The </w:t>
      </w:r>
      <w:r w:rsidR="000B777D">
        <w:rPr>
          <w:rFonts w:ascii="Arial" w:hAnsi="Arial" w:cs="Arial"/>
          <w:i/>
          <w:sz w:val="24"/>
          <w:szCs w:val="24"/>
        </w:rPr>
        <w:t>pendente l</w:t>
      </w:r>
      <w:r w:rsidRPr="002D55FD">
        <w:rPr>
          <w:rFonts w:ascii="Arial" w:hAnsi="Arial" w:cs="Arial"/>
          <w:i/>
          <w:sz w:val="24"/>
          <w:szCs w:val="24"/>
        </w:rPr>
        <w:t>ite</w:t>
      </w:r>
      <w:r w:rsidRPr="00292AAA">
        <w:rPr>
          <w:rFonts w:ascii="Arial" w:hAnsi="Arial" w:cs="Arial"/>
          <w:sz w:val="24"/>
          <w:szCs w:val="24"/>
        </w:rPr>
        <w:t xml:space="preserve"> application is dismissed with costs, which costs shall include the costs of one instructed and two instructing counsel and the costs of two legal practitioners in the case of the second respondent.</w:t>
      </w:r>
    </w:p>
    <w:p w:rsidR="00292AAA" w:rsidRDefault="00292AAA" w:rsidP="00292AAA">
      <w:pPr>
        <w:pStyle w:val="ListParagraph"/>
        <w:spacing w:after="160" w:line="360" w:lineRule="auto"/>
        <w:ind w:left="360"/>
        <w:jc w:val="both"/>
        <w:rPr>
          <w:rFonts w:ascii="Arial" w:hAnsi="Arial" w:cs="Arial"/>
          <w:sz w:val="24"/>
          <w:szCs w:val="24"/>
        </w:rPr>
      </w:pPr>
    </w:p>
    <w:p w:rsidR="00184C3A" w:rsidRPr="00292AAA" w:rsidRDefault="005470FD" w:rsidP="00292AAA">
      <w:pPr>
        <w:pStyle w:val="ListParagraph"/>
        <w:numPr>
          <w:ilvl w:val="0"/>
          <w:numId w:val="21"/>
        </w:numPr>
        <w:spacing w:after="160" w:line="360" w:lineRule="auto"/>
        <w:jc w:val="both"/>
        <w:rPr>
          <w:rFonts w:ascii="Arial" w:hAnsi="Arial" w:cs="Arial"/>
          <w:sz w:val="24"/>
          <w:szCs w:val="24"/>
        </w:rPr>
      </w:pPr>
      <w:r w:rsidRPr="00292AAA">
        <w:rPr>
          <w:rFonts w:ascii="Arial" w:hAnsi="Arial" w:cs="Arial"/>
          <w:sz w:val="24"/>
          <w:szCs w:val="24"/>
        </w:rPr>
        <w:lastRenderedPageBreak/>
        <w:t xml:space="preserve">The review matter is postponed to 6 June 2023 </w:t>
      </w:r>
      <w:r w:rsidR="000B777D">
        <w:rPr>
          <w:rFonts w:ascii="Arial" w:hAnsi="Arial" w:cs="Arial"/>
          <w:sz w:val="24"/>
          <w:szCs w:val="24"/>
        </w:rPr>
        <w:t xml:space="preserve">at 15:30 </w:t>
      </w:r>
      <w:r w:rsidRPr="00292AAA">
        <w:rPr>
          <w:rFonts w:ascii="Arial" w:hAnsi="Arial" w:cs="Arial"/>
          <w:sz w:val="24"/>
          <w:szCs w:val="24"/>
        </w:rPr>
        <w:t xml:space="preserve">to allocate new dates for the filing of the supplementary affidavit as well as further </w:t>
      </w:r>
      <w:r w:rsidR="00164E90">
        <w:rPr>
          <w:rFonts w:ascii="Arial" w:hAnsi="Arial" w:cs="Arial"/>
          <w:sz w:val="24"/>
          <w:szCs w:val="24"/>
        </w:rPr>
        <w:t xml:space="preserve">papers.  Parties are to file a joint </w:t>
      </w:r>
      <w:r w:rsidRPr="00292AAA">
        <w:rPr>
          <w:rFonts w:ascii="Arial" w:hAnsi="Arial" w:cs="Arial"/>
          <w:sz w:val="24"/>
          <w:szCs w:val="24"/>
        </w:rPr>
        <w:t xml:space="preserve">status report </w:t>
      </w:r>
      <w:r w:rsidR="009F20B7">
        <w:rPr>
          <w:rFonts w:ascii="Arial" w:hAnsi="Arial" w:cs="Arial"/>
          <w:sz w:val="24"/>
          <w:szCs w:val="24"/>
        </w:rPr>
        <w:t xml:space="preserve">on or before 1 June 2023 </w:t>
      </w:r>
      <w:r w:rsidRPr="00292AAA">
        <w:rPr>
          <w:rFonts w:ascii="Arial" w:hAnsi="Arial" w:cs="Arial"/>
          <w:sz w:val="24"/>
          <w:szCs w:val="24"/>
        </w:rPr>
        <w:t>setting out possible further filing dates.</w:t>
      </w:r>
    </w:p>
    <w:p w:rsidR="00184C3A" w:rsidRPr="00D9070C" w:rsidRDefault="005049A7" w:rsidP="00184C3A">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5470FD" w:rsidP="00184C3A">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5049A7" w:rsidP="00184C3A">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9517B3" w:rsidRDefault="009517B3" w:rsidP="00184C3A">
      <w:pPr>
        <w:spacing w:after="0" w:line="360" w:lineRule="auto"/>
        <w:jc w:val="both"/>
        <w:rPr>
          <w:rFonts w:ascii="Arial" w:hAnsi="Arial" w:cs="Arial"/>
          <w:sz w:val="24"/>
          <w:szCs w:val="24"/>
        </w:rPr>
      </w:pPr>
    </w:p>
    <w:p w:rsidR="00184C3A" w:rsidRDefault="005470FD" w:rsidP="00184C3A">
      <w:pPr>
        <w:spacing w:after="0" w:line="360" w:lineRule="auto"/>
        <w:jc w:val="both"/>
        <w:rPr>
          <w:rFonts w:ascii="Arial" w:hAnsi="Arial" w:cs="Arial"/>
          <w:sz w:val="24"/>
          <w:szCs w:val="24"/>
        </w:rPr>
      </w:pPr>
      <w:r w:rsidRPr="00F3639A">
        <w:rPr>
          <w:rFonts w:ascii="Arial" w:hAnsi="Arial" w:cs="Arial"/>
          <w:sz w:val="24"/>
          <w:szCs w:val="24"/>
        </w:rPr>
        <w:t>RAKOW J</w:t>
      </w:r>
      <w:r w:rsidR="00110ED0">
        <w:rPr>
          <w:rFonts w:ascii="Arial" w:hAnsi="Arial" w:cs="Arial"/>
          <w:sz w:val="24"/>
          <w:szCs w:val="24"/>
        </w:rPr>
        <w:t>:</w:t>
      </w:r>
    </w:p>
    <w:p w:rsidR="00164E90" w:rsidRPr="00F3639A" w:rsidRDefault="00164E90" w:rsidP="00184C3A">
      <w:pPr>
        <w:spacing w:after="0" w:line="360" w:lineRule="auto"/>
        <w:jc w:val="both"/>
        <w:rPr>
          <w:rFonts w:ascii="Arial" w:hAnsi="Arial" w:cs="Arial"/>
          <w:sz w:val="24"/>
          <w:szCs w:val="24"/>
        </w:rPr>
      </w:pPr>
    </w:p>
    <w:p w:rsidR="009758C6" w:rsidRDefault="005470FD" w:rsidP="00164E90">
      <w:pPr>
        <w:spacing w:after="0" w:line="360" w:lineRule="auto"/>
        <w:jc w:val="both"/>
        <w:rPr>
          <w:rFonts w:ascii="Arial" w:hAnsi="Arial" w:cs="Arial"/>
          <w:sz w:val="24"/>
          <w:szCs w:val="24"/>
          <w:u w:val="single"/>
        </w:rPr>
      </w:pPr>
      <w:r w:rsidRPr="00564515">
        <w:rPr>
          <w:rFonts w:ascii="Arial" w:hAnsi="Arial" w:cs="Arial"/>
          <w:sz w:val="24"/>
          <w:szCs w:val="24"/>
          <w:u w:val="single"/>
        </w:rPr>
        <w:t>Introduction</w:t>
      </w:r>
    </w:p>
    <w:p w:rsidR="00164E90" w:rsidRDefault="00164E90" w:rsidP="00164E90">
      <w:pPr>
        <w:spacing w:after="0" w:line="360" w:lineRule="auto"/>
        <w:jc w:val="both"/>
        <w:rPr>
          <w:rFonts w:ascii="Arial" w:hAnsi="Arial" w:cs="Arial"/>
          <w:sz w:val="24"/>
          <w:szCs w:val="24"/>
        </w:rPr>
      </w:pPr>
    </w:p>
    <w:p w:rsidR="002D55FD" w:rsidRDefault="005470FD" w:rsidP="00164E90">
      <w:pPr>
        <w:pStyle w:val="ListParagraph"/>
        <w:numPr>
          <w:ilvl w:val="0"/>
          <w:numId w:val="22"/>
        </w:numPr>
        <w:spacing w:after="0" w:line="360" w:lineRule="auto"/>
        <w:ind w:left="0" w:firstLine="0"/>
        <w:jc w:val="both"/>
        <w:rPr>
          <w:rFonts w:ascii="Arial" w:hAnsi="Arial" w:cs="Arial"/>
          <w:sz w:val="24"/>
          <w:szCs w:val="24"/>
        </w:rPr>
      </w:pPr>
      <w:r w:rsidRPr="002D55FD">
        <w:rPr>
          <w:rFonts w:ascii="Arial" w:hAnsi="Arial" w:cs="Arial"/>
          <w:sz w:val="24"/>
          <w:szCs w:val="24"/>
        </w:rPr>
        <w:t>Two applications came before me at the same time in this matter.  The first was an application to present new evidence in a pending review matter</w:t>
      </w:r>
      <w:r>
        <w:rPr>
          <w:rFonts w:ascii="Arial" w:hAnsi="Arial" w:cs="Arial"/>
          <w:sz w:val="24"/>
          <w:szCs w:val="24"/>
        </w:rPr>
        <w:t>,</w:t>
      </w:r>
      <w:r w:rsidR="00C7129D">
        <w:rPr>
          <w:rFonts w:ascii="Arial" w:hAnsi="Arial" w:cs="Arial"/>
          <w:sz w:val="24"/>
          <w:szCs w:val="24"/>
        </w:rPr>
        <w:t xml:space="preserve"> in that the applicant </w:t>
      </w:r>
      <w:r w:rsidRPr="002D55FD">
        <w:rPr>
          <w:rFonts w:ascii="Arial" w:hAnsi="Arial" w:cs="Arial"/>
          <w:sz w:val="24"/>
          <w:szCs w:val="24"/>
        </w:rPr>
        <w:t>wish to supplement their founding papers</w:t>
      </w:r>
      <w:r w:rsidR="00321755" w:rsidRPr="002D55FD">
        <w:rPr>
          <w:rFonts w:ascii="Arial" w:hAnsi="Arial" w:cs="Arial"/>
          <w:sz w:val="24"/>
          <w:szCs w:val="24"/>
        </w:rPr>
        <w:t>, and</w:t>
      </w:r>
      <w:r w:rsidRPr="002D55FD">
        <w:rPr>
          <w:rFonts w:ascii="Arial" w:hAnsi="Arial" w:cs="Arial"/>
          <w:sz w:val="24"/>
          <w:szCs w:val="24"/>
        </w:rPr>
        <w:t xml:space="preserve"> the second was an application for a </w:t>
      </w:r>
      <w:r w:rsidR="00C7129D">
        <w:rPr>
          <w:rFonts w:ascii="Arial" w:hAnsi="Arial" w:cs="Arial"/>
          <w:i/>
          <w:sz w:val="24"/>
          <w:szCs w:val="24"/>
        </w:rPr>
        <w:t>pendente l</w:t>
      </w:r>
      <w:r w:rsidRPr="002D55FD">
        <w:rPr>
          <w:rFonts w:ascii="Arial" w:hAnsi="Arial" w:cs="Arial"/>
          <w:i/>
          <w:sz w:val="24"/>
          <w:szCs w:val="24"/>
        </w:rPr>
        <w:t>ite</w:t>
      </w:r>
      <w:r w:rsidR="00C7129D">
        <w:rPr>
          <w:rFonts w:ascii="Arial" w:hAnsi="Arial" w:cs="Arial"/>
          <w:sz w:val="24"/>
          <w:szCs w:val="24"/>
        </w:rPr>
        <w:t xml:space="preserve"> i</w:t>
      </w:r>
      <w:r w:rsidRPr="002D55FD">
        <w:rPr>
          <w:rFonts w:ascii="Arial" w:hAnsi="Arial" w:cs="Arial"/>
          <w:sz w:val="24"/>
          <w:szCs w:val="24"/>
        </w:rPr>
        <w:t xml:space="preserve">nterdict.  Two separate </w:t>
      </w:r>
      <w:r>
        <w:rPr>
          <w:rFonts w:ascii="Arial" w:hAnsi="Arial" w:cs="Arial"/>
          <w:sz w:val="24"/>
          <w:szCs w:val="24"/>
        </w:rPr>
        <w:t>applications were filed in this case</w:t>
      </w:r>
      <w:r w:rsidRPr="002D55FD">
        <w:rPr>
          <w:rFonts w:ascii="Arial" w:hAnsi="Arial" w:cs="Arial"/>
          <w:sz w:val="24"/>
          <w:szCs w:val="24"/>
        </w:rPr>
        <w:t xml:space="preserve"> by the applicant but the arguments were heard on the same day.</w:t>
      </w:r>
    </w:p>
    <w:p w:rsidR="002D55FD" w:rsidRDefault="002D55FD" w:rsidP="002D55FD">
      <w:pPr>
        <w:pStyle w:val="ListParagraph"/>
        <w:spacing w:after="0" w:line="360" w:lineRule="auto"/>
        <w:ind w:left="0"/>
        <w:jc w:val="both"/>
        <w:rPr>
          <w:rFonts w:ascii="Arial" w:hAnsi="Arial" w:cs="Arial"/>
          <w:sz w:val="24"/>
          <w:szCs w:val="24"/>
        </w:rPr>
      </w:pPr>
    </w:p>
    <w:p w:rsidR="006A119F" w:rsidRDefault="005470FD" w:rsidP="00515E72">
      <w:pPr>
        <w:pStyle w:val="ListParagraph"/>
        <w:numPr>
          <w:ilvl w:val="0"/>
          <w:numId w:val="22"/>
        </w:numPr>
        <w:spacing w:after="0" w:line="360" w:lineRule="auto"/>
        <w:ind w:left="0" w:firstLine="0"/>
        <w:jc w:val="both"/>
        <w:rPr>
          <w:rFonts w:ascii="Arial" w:hAnsi="Arial" w:cs="Arial"/>
          <w:sz w:val="24"/>
          <w:szCs w:val="24"/>
        </w:rPr>
      </w:pPr>
      <w:r w:rsidRPr="002D55FD">
        <w:rPr>
          <w:rFonts w:ascii="Arial" w:hAnsi="Arial" w:cs="Arial"/>
          <w:sz w:val="24"/>
          <w:szCs w:val="24"/>
        </w:rPr>
        <w:t>Both these applications are opposed by the</w:t>
      </w:r>
      <w:r w:rsidR="00515E72" w:rsidRPr="002D55FD">
        <w:rPr>
          <w:rFonts w:ascii="Arial" w:hAnsi="Arial" w:cs="Arial"/>
          <w:sz w:val="24"/>
          <w:szCs w:val="24"/>
        </w:rPr>
        <w:t xml:space="preserve"> first and second</w:t>
      </w:r>
      <w:r w:rsidRPr="002D55FD">
        <w:rPr>
          <w:rFonts w:ascii="Arial" w:hAnsi="Arial" w:cs="Arial"/>
          <w:sz w:val="24"/>
          <w:szCs w:val="24"/>
        </w:rPr>
        <w:t xml:space="preserve"> respondents only. </w:t>
      </w:r>
      <w:r w:rsidR="00515E72" w:rsidRPr="002D55FD">
        <w:rPr>
          <w:rFonts w:ascii="Arial" w:hAnsi="Arial" w:cs="Arial"/>
          <w:sz w:val="24"/>
          <w:szCs w:val="24"/>
        </w:rPr>
        <w:t>The eight</w:t>
      </w:r>
      <w:r w:rsidR="00335288">
        <w:rPr>
          <w:rFonts w:ascii="Arial" w:hAnsi="Arial" w:cs="Arial"/>
          <w:sz w:val="24"/>
          <w:szCs w:val="24"/>
        </w:rPr>
        <w:t>h</w:t>
      </w:r>
      <w:r w:rsidR="00515E72" w:rsidRPr="002D55FD">
        <w:rPr>
          <w:rFonts w:ascii="Arial" w:hAnsi="Arial" w:cs="Arial"/>
          <w:sz w:val="24"/>
          <w:szCs w:val="24"/>
        </w:rPr>
        <w:t xml:space="preserve"> respondent chose not to oppose these applications.</w:t>
      </w:r>
      <w:r w:rsidRPr="002D55FD">
        <w:rPr>
          <w:rFonts w:ascii="Arial" w:hAnsi="Arial" w:cs="Arial"/>
          <w:sz w:val="24"/>
          <w:szCs w:val="24"/>
        </w:rPr>
        <w:t xml:space="preserve"> The other respondents are not currently before the court.</w:t>
      </w:r>
      <w:r w:rsidR="005512EB">
        <w:rPr>
          <w:rFonts w:ascii="Arial" w:hAnsi="Arial" w:cs="Arial"/>
          <w:sz w:val="24"/>
          <w:szCs w:val="24"/>
        </w:rPr>
        <w:t xml:space="preserve">  The second respondent</w:t>
      </w:r>
      <w:r w:rsidR="005833AE" w:rsidRPr="002D55FD">
        <w:rPr>
          <w:rFonts w:ascii="Arial" w:hAnsi="Arial" w:cs="Arial"/>
          <w:sz w:val="24"/>
          <w:szCs w:val="24"/>
        </w:rPr>
        <w:t xml:space="preserve"> further filed a condonation application for the late filing of its opposing affidavit.  </w:t>
      </w:r>
      <w:r w:rsidR="00515E72" w:rsidRPr="002D55FD">
        <w:rPr>
          <w:rFonts w:ascii="Arial" w:hAnsi="Arial" w:cs="Arial"/>
          <w:sz w:val="24"/>
          <w:szCs w:val="24"/>
        </w:rPr>
        <w:t xml:space="preserve">The applicant also filed a condonation application seeking an order </w:t>
      </w:r>
      <w:r w:rsidR="00335288" w:rsidRPr="00EA6141">
        <w:rPr>
          <w:rFonts w:ascii="Arial" w:hAnsi="Arial" w:cs="Arial"/>
          <w:color w:val="000000" w:themeColor="text1"/>
          <w:sz w:val="24"/>
          <w:szCs w:val="24"/>
        </w:rPr>
        <w:t xml:space="preserve">that the </w:t>
      </w:r>
      <w:r w:rsidR="00335288">
        <w:rPr>
          <w:rFonts w:ascii="Arial" w:hAnsi="Arial" w:cs="Arial"/>
          <w:sz w:val="24"/>
          <w:szCs w:val="24"/>
        </w:rPr>
        <w:t>a</w:t>
      </w:r>
      <w:r w:rsidR="00515E72" w:rsidRPr="002D55FD">
        <w:rPr>
          <w:rFonts w:ascii="Arial" w:hAnsi="Arial" w:cs="Arial"/>
          <w:sz w:val="24"/>
          <w:szCs w:val="24"/>
        </w:rPr>
        <w:t>pplicant’s non-compliance</w:t>
      </w:r>
      <w:r w:rsidR="00B74286">
        <w:rPr>
          <w:rFonts w:ascii="Arial" w:hAnsi="Arial" w:cs="Arial"/>
          <w:sz w:val="24"/>
          <w:szCs w:val="24"/>
        </w:rPr>
        <w:t xml:space="preserve"> with the court order dated 8 </w:t>
      </w:r>
      <w:r w:rsidR="00515E72" w:rsidRPr="002D55FD">
        <w:rPr>
          <w:rFonts w:ascii="Arial" w:hAnsi="Arial" w:cs="Arial"/>
          <w:sz w:val="24"/>
          <w:szCs w:val="24"/>
        </w:rPr>
        <w:t>November 2022 and the late filing of the applicant’s interlocutory application to provide leave to supplement its founding papers be condoned.</w:t>
      </w:r>
      <w:r w:rsidR="005833AE" w:rsidRPr="002D55FD">
        <w:rPr>
          <w:rFonts w:ascii="Arial" w:hAnsi="Arial" w:cs="Arial"/>
          <w:sz w:val="24"/>
          <w:szCs w:val="24"/>
        </w:rPr>
        <w:t xml:space="preserve"> </w:t>
      </w:r>
    </w:p>
    <w:p w:rsidR="00335288" w:rsidRPr="002D55FD" w:rsidRDefault="00335288" w:rsidP="00335288">
      <w:pPr>
        <w:pStyle w:val="ListParagraph"/>
        <w:spacing w:after="0" w:line="360" w:lineRule="auto"/>
        <w:ind w:left="0"/>
        <w:jc w:val="both"/>
        <w:rPr>
          <w:rFonts w:ascii="Arial" w:hAnsi="Arial" w:cs="Arial"/>
          <w:sz w:val="24"/>
          <w:szCs w:val="24"/>
        </w:rPr>
      </w:pPr>
    </w:p>
    <w:p w:rsidR="000935C4" w:rsidRDefault="005470FD" w:rsidP="00321315">
      <w:pPr>
        <w:spacing w:after="0" w:line="360" w:lineRule="auto"/>
        <w:jc w:val="both"/>
        <w:rPr>
          <w:rFonts w:ascii="Arial" w:hAnsi="Arial" w:cs="Arial"/>
          <w:sz w:val="24"/>
          <w:szCs w:val="24"/>
          <w:u w:val="single"/>
        </w:rPr>
      </w:pPr>
      <w:r w:rsidRPr="000935C4">
        <w:rPr>
          <w:rFonts w:ascii="Arial" w:hAnsi="Arial" w:cs="Arial"/>
          <w:sz w:val="24"/>
          <w:szCs w:val="24"/>
          <w:u w:val="single"/>
        </w:rPr>
        <w:t>Background</w:t>
      </w:r>
    </w:p>
    <w:p w:rsidR="00321315" w:rsidRDefault="00321315" w:rsidP="00321315">
      <w:pPr>
        <w:spacing w:after="0" w:line="360" w:lineRule="auto"/>
        <w:jc w:val="both"/>
        <w:rPr>
          <w:rFonts w:ascii="Arial" w:hAnsi="Arial" w:cs="Arial"/>
          <w:sz w:val="24"/>
          <w:szCs w:val="24"/>
          <w:u w:val="single"/>
        </w:rPr>
      </w:pPr>
    </w:p>
    <w:p w:rsidR="005D2D33" w:rsidRDefault="005470FD" w:rsidP="00321315">
      <w:pPr>
        <w:pStyle w:val="ListParagraph"/>
        <w:numPr>
          <w:ilvl w:val="0"/>
          <w:numId w:val="22"/>
        </w:numPr>
        <w:spacing w:after="0" w:line="360" w:lineRule="auto"/>
        <w:ind w:left="0" w:firstLine="0"/>
        <w:jc w:val="both"/>
        <w:rPr>
          <w:rFonts w:ascii="Arial" w:hAnsi="Arial" w:cs="Arial"/>
          <w:sz w:val="24"/>
          <w:szCs w:val="24"/>
        </w:rPr>
      </w:pPr>
      <w:r w:rsidRPr="00335288">
        <w:rPr>
          <w:rFonts w:ascii="Arial" w:hAnsi="Arial" w:cs="Arial"/>
          <w:sz w:val="24"/>
          <w:szCs w:val="24"/>
        </w:rPr>
        <w:t>On 1 January 2014</w:t>
      </w:r>
      <w:r w:rsidR="00335288">
        <w:rPr>
          <w:rFonts w:ascii="Arial" w:hAnsi="Arial" w:cs="Arial"/>
          <w:sz w:val="24"/>
          <w:szCs w:val="24"/>
        </w:rPr>
        <w:t>,</w:t>
      </w:r>
      <w:r w:rsidRPr="00335288">
        <w:rPr>
          <w:rFonts w:ascii="Arial" w:hAnsi="Arial" w:cs="Arial"/>
          <w:sz w:val="24"/>
          <w:szCs w:val="24"/>
        </w:rPr>
        <w:t xml:space="preserve"> the first respondent and the applicant concluded a ground-handling services agreement (</w:t>
      </w:r>
      <w:r w:rsidR="00EA6141">
        <w:rPr>
          <w:rFonts w:ascii="Arial" w:hAnsi="Arial" w:cs="Arial"/>
          <w:sz w:val="24"/>
          <w:szCs w:val="24"/>
        </w:rPr>
        <w:t>“</w:t>
      </w:r>
      <w:r w:rsidRPr="00335288">
        <w:rPr>
          <w:rFonts w:ascii="Arial" w:hAnsi="Arial" w:cs="Arial"/>
          <w:sz w:val="24"/>
          <w:szCs w:val="24"/>
        </w:rPr>
        <w:t>the Agreement") for five years, in other words, the agreement had to endure from 1 January 2014 to 31 December 2018. The agreement was extended on 1 Janu</w:t>
      </w:r>
      <w:r w:rsidR="00335288">
        <w:rPr>
          <w:rFonts w:ascii="Arial" w:hAnsi="Arial" w:cs="Arial"/>
          <w:sz w:val="24"/>
          <w:szCs w:val="24"/>
        </w:rPr>
        <w:t>ary 2019 to 31 December 2021.</w:t>
      </w:r>
      <w:r w:rsidRPr="00335288">
        <w:rPr>
          <w:rFonts w:ascii="Arial" w:hAnsi="Arial" w:cs="Arial"/>
          <w:sz w:val="24"/>
          <w:szCs w:val="24"/>
        </w:rPr>
        <w:t xml:space="preserve"> On 1 January 2022</w:t>
      </w:r>
      <w:r w:rsidR="00755B09">
        <w:rPr>
          <w:rFonts w:ascii="Arial" w:hAnsi="Arial" w:cs="Arial"/>
          <w:sz w:val="24"/>
          <w:szCs w:val="24"/>
        </w:rPr>
        <w:t>,</w:t>
      </w:r>
      <w:r w:rsidRPr="00335288">
        <w:rPr>
          <w:rFonts w:ascii="Arial" w:hAnsi="Arial" w:cs="Arial"/>
          <w:sz w:val="24"/>
          <w:szCs w:val="24"/>
        </w:rPr>
        <w:t xml:space="preserve"> the parties agreed to an extension by means of an addendum for a period of six months, with an end date of 30 June 2022. In addition, the addendum provided by way of clause 3.2 for a one-month cancellation notice.</w:t>
      </w:r>
    </w:p>
    <w:p w:rsidR="005D2D33" w:rsidRDefault="005D2D33" w:rsidP="005D2D33">
      <w:pPr>
        <w:pStyle w:val="ListParagraph"/>
        <w:spacing w:after="0" w:line="360" w:lineRule="auto"/>
        <w:ind w:left="0"/>
        <w:jc w:val="both"/>
        <w:rPr>
          <w:rFonts w:ascii="Arial" w:hAnsi="Arial" w:cs="Arial"/>
          <w:sz w:val="24"/>
          <w:szCs w:val="24"/>
        </w:rPr>
      </w:pPr>
    </w:p>
    <w:p w:rsidR="005D2D33" w:rsidRDefault="005470FD" w:rsidP="008F23D3">
      <w:pPr>
        <w:pStyle w:val="ListParagraph"/>
        <w:numPr>
          <w:ilvl w:val="0"/>
          <w:numId w:val="22"/>
        </w:numPr>
        <w:spacing w:after="0" w:line="360" w:lineRule="auto"/>
        <w:ind w:left="0" w:firstLine="0"/>
        <w:jc w:val="both"/>
        <w:rPr>
          <w:rFonts w:ascii="Arial" w:hAnsi="Arial" w:cs="Arial"/>
          <w:sz w:val="24"/>
          <w:szCs w:val="24"/>
        </w:rPr>
      </w:pPr>
      <w:r w:rsidRPr="005D2D33">
        <w:rPr>
          <w:rFonts w:ascii="Arial" w:hAnsi="Arial" w:cs="Arial"/>
          <w:sz w:val="24"/>
          <w:szCs w:val="24"/>
        </w:rPr>
        <w:lastRenderedPageBreak/>
        <w:t>As the first respondent is a public enterprise, it needs to follow the public procurement process as prescribed in the</w:t>
      </w:r>
      <w:r>
        <w:rPr>
          <w:rFonts w:ascii="Arial" w:hAnsi="Arial" w:cs="Arial"/>
          <w:sz w:val="24"/>
          <w:szCs w:val="24"/>
        </w:rPr>
        <w:t xml:space="preserve"> Public Procurement Act 15 of 2015</w:t>
      </w:r>
      <w:r w:rsidRPr="005D2D33">
        <w:rPr>
          <w:rFonts w:ascii="Arial" w:hAnsi="Arial" w:cs="Arial"/>
          <w:sz w:val="24"/>
          <w:szCs w:val="24"/>
        </w:rPr>
        <w:t xml:space="preserve">.  </w:t>
      </w:r>
      <w:r w:rsidR="00C60AF1" w:rsidRPr="005D2D33">
        <w:rPr>
          <w:rFonts w:ascii="Arial" w:hAnsi="Arial" w:cs="Arial"/>
          <w:sz w:val="24"/>
          <w:szCs w:val="24"/>
        </w:rPr>
        <w:t>It accordingly issued an invitation for bids for providing ground-handling services in August 2021. The tender for the provision of ground-handling services at Hosea Kuta</w:t>
      </w:r>
      <w:r w:rsidRPr="005D2D33">
        <w:rPr>
          <w:rFonts w:ascii="Arial" w:hAnsi="Arial" w:cs="Arial"/>
          <w:sz w:val="24"/>
          <w:szCs w:val="24"/>
        </w:rPr>
        <w:t xml:space="preserve">ko International Airport </w:t>
      </w:r>
      <w:r w:rsidR="00C60AF1" w:rsidRPr="005D2D33">
        <w:rPr>
          <w:rFonts w:ascii="Arial" w:hAnsi="Arial" w:cs="Arial"/>
          <w:sz w:val="24"/>
          <w:szCs w:val="24"/>
        </w:rPr>
        <w:t xml:space="preserve">was awarded to </w:t>
      </w:r>
      <w:r w:rsidR="00755B09">
        <w:rPr>
          <w:rFonts w:ascii="Arial" w:hAnsi="Arial" w:cs="Arial"/>
          <w:sz w:val="24"/>
          <w:szCs w:val="24"/>
        </w:rPr>
        <w:t>the second respondent</w:t>
      </w:r>
      <w:r w:rsidRPr="005D2D33">
        <w:rPr>
          <w:rFonts w:ascii="Arial" w:hAnsi="Arial" w:cs="Arial"/>
          <w:sz w:val="24"/>
          <w:szCs w:val="24"/>
        </w:rPr>
        <w:t xml:space="preserve"> on 13 December 2021</w:t>
      </w:r>
      <w:r w:rsidR="00C60AF1" w:rsidRPr="005D2D33">
        <w:rPr>
          <w:rFonts w:ascii="Arial" w:hAnsi="Arial" w:cs="Arial"/>
          <w:sz w:val="24"/>
          <w:szCs w:val="24"/>
        </w:rPr>
        <w:t xml:space="preserve">. The </w:t>
      </w:r>
      <w:r w:rsidR="00755B09">
        <w:rPr>
          <w:rFonts w:ascii="Arial" w:hAnsi="Arial" w:cs="Arial"/>
          <w:sz w:val="24"/>
          <w:szCs w:val="24"/>
        </w:rPr>
        <w:t>first respondent</w:t>
      </w:r>
      <w:r w:rsidR="00C60AF1" w:rsidRPr="005D2D33">
        <w:rPr>
          <w:rFonts w:ascii="Arial" w:hAnsi="Arial" w:cs="Arial"/>
          <w:sz w:val="24"/>
          <w:szCs w:val="24"/>
        </w:rPr>
        <w:t xml:space="preserve"> entered into a contract for the purposes of providing ground-handling services at Hosea Kutako International Airport with </w:t>
      </w:r>
      <w:r w:rsidR="00755B09">
        <w:rPr>
          <w:rFonts w:ascii="Arial" w:hAnsi="Arial" w:cs="Arial"/>
          <w:sz w:val="24"/>
          <w:szCs w:val="24"/>
        </w:rPr>
        <w:t>the second respondent on 9 February 2022</w:t>
      </w:r>
      <w:r w:rsidRPr="005D2D33">
        <w:rPr>
          <w:rFonts w:ascii="Arial" w:hAnsi="Arial" w:cs="Arial"/>
          <w:sz w:val="24"/>
          <w:szCs w:val="24"/>
        </w:rPr>
        <w:t xml:space="preserve">.  The applicant </w:t>
      </w:r>
      <w:r w:rsidR="00C60AF1" w:rsidRPr="005D2D33">
        <w:rPr>
          <w:rFonts w:ascii="Arial" w:hAnsi="Arial" w:cs="Arial"/>
          <w:sz w:val="24"/>
          <w:szCs w:val="24"/>
        </w:rPr>
        <w:t xml:space="preserve">informed </w:t>
      </w:r>
      <w:r w:rsidRPr="005D2D33">
        <w:rPr>
          <w:rFonts w:ascii="Arial" w:hAnsi="Arial" w:cs="Arial"/>
          <w:sz w:val="24"/>
          <w:szCs w:val="24"/>
        </w:rPr>
        <w:t>the f</w:t>
      </w:r>
      <w:r w:rsidR="00755B09">
        <w:rPr>
          <w:rFonts w:ascii="Arial" w:hAnsi="Arial" w:cs="Arial"/>
          <w:sz w:val="24"/>
          <w:szCs w:val="24"/>
        </w:rPr>
        <w:t>irst respondent on 7 April 2022</w:t>
      </w:r>
      <w:r w:rsidR="00C60AF1" w:rsidRPr="005D2D33">
        <w:rPr>
          <w:rFonts w:ascii="Arial" w:hAnsi="Arial" w:cs="Arial"/>
          <w:sz w:val="24"/>
          <w:szCs w:val="24"/>
        </w:rPr>
        <w:t xml:space="preserve"> of its intention that </w:t>
      </w:r>
      <w:r w:rsidRPr="005D2D33">
        <w:rPr>
          <w:rFonts w:ascii="Arial" w:hAnsi="Arial" w:cs="Arial"/>
          <w:sz w:val="24"/>
          <w:szCs w:val="24"/>
        </w:rPr>
        <w:t xml:space="preserve">the second respondent will not be permitted </w:t>
      </w:r>
      <w:r w:rsidR="00C60AF1" w:rsidRPr="005D2D33">
        <w:rPr>
          <w:rFonts w:ascii="Arial" w:hAnsi="Arial" w:cs="Arial"/>
          <w:sz w:val="24"/>
          <w:szCs w:val="24"/>
        </w:rPr>
        <w:t>to take over any ground-handling operations</w:t>
      </w:r>
      <w:r w:rsidRPr="005D2D33">
        <w:rPr>
          <w:rFonts w:ascii="Arial" w:hAnsi="Arial" w:cs="Arial"/>
          <w:sz w:val="24"/>
          <w:szCs w:val="24"/>
        </w:rPr>
        <w:t xml:space="preserve"> and that the applicant will continue to render these services until further notice.  </w:t>
      </w:r>
    </w:p>
    <w:p w:rsidR="005D2D33" w:rsidRPr="005D2D33" w:rsidRDefault="005D2D33" w:rsidP="005D2D33">
      <w:pPr>
        <w:pStyle w:val="ListParagraph"/>
        <w:rPr>
          <w:rFonts w:ascii="Arial" w:hAnsi="Arial" w:cs="Arial"/>
          <w:sz w:val="24"/>
          <w:szCs w:val="24"/>
        </w:rPr>
      </w:pPr>
    </w:p>
    <w:p w:rsidR="005D2D33" w:rsidRDefault="005470FD" w:rsidP="008F23D3">
      <w:pPr>
        <w:pStyle w:val="ListParagraph"/>
        <w:numPr>
          <w:ilvl w:val="0"/>
          <w:numId w:val="22"/>
        </w:numPr>
        <w:spacing w:after="0" w:line="360" w:lineRule="auto"/>
        <w:ind w:left="0" w:firstLine="0"/>
        <w:jc w:val="both"/>
        <w:rPr>
          <w:rFonts w:ascii="Arial" w:hAnsi="Arial" w:cs="Arial"/>
          <w:sz w:val="24"/>
          <w:szCs w:val="24"/>
        </w:rPr>
      </w:pPr>
      <w:r w:rsidRPr="005D2D33">
        <w:rPr>
          <w:rFonts w:ascii="Arial" w:hAnsi="Arial" w:cs="Arial"/>
          <w:sz w:val="24"/>
          <w:szCs w:val="24"/>
        </w:rPr>
        <w:t xml:space="preserve">On 13 </w:t>
      </w:r>
      <w:r w:rsidRPr="009A79F5">
        <w:rPr>
          <w:rFonts w:ascii="Arial" w:hAnsi="Arial" w:cs="Arial"/>
          <w:sz w:val="24"/>
          <w:szCs w:val="24"/>
        </w:rPr>
        <w:t>April 2022</w:t>
      </w:r>
      <w:r w:rsidR="00EC060F" w:rsidRPr="009A79F5">
        <w:rPr>
          <w:rFonts w:ascii="Arial" w:hAnsi="Arial" w:cs="Arial"/>
          <w:sz w:val="24"/>
          <w:szCs w:val="24"/>
        </w:rPr>
        <w:t xml:space="preserve">, </w:t>
      </w:r>
      <w:r w:rsidR="00470E3E" w:rsidRPr="009A79F5">
        <w:rPr>
          <w:rFonts w:ascii="Arial" w:hAnsi="Arial" w:cs="Arial"/>
          <w:sz w:val="24"/>
          <w:szCs w:val="24"/>
        </w:rPr>
        <w:t xml:space="preserve">the applicant </w:t>
      </w:r>
      <w:r w:rsidRPr="009A79F5">
        <w:rPr>
          <w:rFonts w:ascii="Arial" w:hAnsi="Arial" w:cs="Arial"/>
          <w:sz w:val="24"/>
          <w:szCs w:val="24"/>
        </w:rPr>
        <w:t xml:space="preserve">launched the current review application still pending </w:t>
      </w:r>
      <w:r w:rsidR="00470E3E" w:rsidRPr="009A79F5">
        <w:rPr>
          <w:rFonts w:ascii="Arial" w:hAnsi="Arial" w:cs="Arial"/>
          <w:sz w:val="24"/>
          <w:szCs w:val="24"/>
        </w:rPr>
        <w:t>before this court. The first respondent</w:t>
      </w:r>
      <w:r w:rsidRPr="009A79F5">
        <w:rPr>
          <w:rFonts w:ascii="Arial" w:hAnsi="Arial" w:cs="Arial"/>
          <w:sz w:val="24"/>
          <w:szCs w:val="24"/>
        </w:rPr>
        <w:t xml:space="preserve"> requested undertakings from </w:t>
      </w:r>
      <w:r w:rsidR="00470E3E" w:rsidRPr="009A79F5">
        <w:rPr>
          <w:rFonts w:ascii="Arial" w:hAnsi="Arial" w:cs="Arial"/>
          <w:sz w:val="24"/>
          <w:szCs w:val="24"/>
        </w:rPr>
        <w:t>the applicant</w:t>
      </w:r>
      <w:r w:rsidRPr="009A79F5">
        <w:rPr>
          <w:rFonts w:ascii="Arial" w:hAnsi="Arial" w:cs="Arial"/>
          <w:sz w:val="24"/>
          <w:szCs w:val="24"/>
        </w:rPr>
        <w:t xml:space="preserve"> that</w:t>
      </w:r>
      <w:r w:rsidR="00470E3E" w:rsidRPr="009A79F5">
        <w:rPr>
          <w:rFonts w:ascii="Arial" w:hAnsi="Arial" w:cs="Arial"/>
          <w:sz w:val="24"/>
          <w:szCs w:val="24"/>
        </w:rPr>
        <w:t xml:space="preserve"> it would vacate on 1 May 2022</w:t>
      </w:r>
      <w:r w:rsidRPr="009A79F5">
        <w:rPr>
          <w:rFonts w:ascii="Arial" w:hAnsi="Arial" w:cs="Arial"/>
          <w:sz w:val="24"/>
          <w:szCs w:val="24"/>
        </w:rPr>
        <w:t xml:space="preserve"> on 30 June 2022. The </w:t>
      </w:r>
      <w:r w:rsidR="00470E3E" w:rsidRPr="005D2D33">
        <w:rPr>
          <w:rFonts w:ascii="Arial" w:hAnsi="Arial" w:cs="Arial"/>
          <w:sz w:val="24"/>
          <w:szCs w:val="24"/>
        </w:rPr>
        <w:t>first respondent did not receive any satisfactory reply from the applicant and</w:t>
      </w:r>
      <w:r w:rsidRPr="005D2D33">
        <w:rPr>
          <w:rFonts w:ascii="Arial" w:hAnsi="Arial" w:cs="Arial"/>
          <w:sz w:val="24"/>
          <w:szCs w:val="24"/>
        </w:rPr>
        <w:t xml:space="preserve"> filed its ur</w:t>
      </w:r>
      <w:r w:rsidR="00470E3E" w:rsidRPr="005D2D33">
        <w:rPr>
          <w:rFonts w:ascii="Arial" w:hAnsi="Arial" w:cs="Arial"/>
          <w:sz w:val="24"/>
          <w:szCs w:val="24"/>
        </w:rPr>
        <w:t>gent application on 27 May 2022 to compel the applicant to vacate the pr</w:t>
      </w:r>
      <w:r w:rsidR="006C0A20">
        <w:rPr>
          <w:rFonts w:ascii="Arial" w:hAnsi="Arial" w:cs="Arial"/>
          <w:sz w:val="24"/>
          <w:szCs w:val="24"/>
        </w:rPr>
        <w:t>emises and hand over the ground-</w:t>
      </w:r>
      <w:r w:rsidR="00470E3E" w:rsidRPr="005D2D33">
        <w:rPr>
          <w:rFonts w:ascii="Arial" w:hAnsi="Arial" w:cs="Arial"/>
          <w:sz w:val="24"/>
          <w:szCs w:val="24"/>
        </w:rPr>
        <w:t>handling services at Hosea Kutako International Airport, which application was opposed by the applicant and</w:t>
      </w:r>
      <w:r w:rsidR="006C0A20">
        <w:rPr>
          <w:rFonts w:ascii="Arial" w:hAnsi="Arial" w:cs="Arial"/>
          <w:sz w:val="24"/>
          <w:szCs w:val="24"/>
        </w:rPr>
        <w:t xml:space="preserve"> they also instituted a counter-</w:t>
      </w:r>
      <w:r w:rsidR="00470E3E" w:rsidRPr="005D2D33">
        <w:rPr>
          <w:rFonts w:ascii="Arial" w:hAnsi="Arial" w:cs="Arial"/>
          <w:sz w:val="24"/>
          <w:szCs w:val="24"/>
        </w:rPr>
        <w:t>application.</w:t>
      </w:r>
    </w:p>
    <w:p w:rsidR="005D2D33" w:rsidRPr="005D2D33" w:rsidRDefault="005D2D33" w:rsidP="005D2D33">
      <w:pPr>
        <w:pStyle w:val="ListParagraph"/>
        <w:rPr>
          <w:rFonts w:ascii="Arial" w:hAnsi="Arial" w:cs="Arial"/>
          <w:sz w:val="24"/>
          <w:szCs w:val="24"/>
        </w:rPr>
      </w:pPr>
    </w:p>
    <w:p w:rsidR="00470E3E" w:rsidRDefault="005470FD" w:rsidP="008F23D3">
      <w:pPr>
        <w:pStyle w:val="ListParagraph"/>
        <w:numPr>
          <w:ilvl w:val="0"/>
          <w:numId w:val="22"/>
        </w:numPr>
        <w:spacing w:after="0" w:line="360" w:lineRule="auto"/>
        <w:ind w:left="0" w:firstLine="0"/>
        <w:jc w:val="both"/>
        <w:rPr>
          <w:rFonts w:ascii="Arial" w:hAnsi="Arial" w:cs="Arial"/>
          <w:sz w:val="24"/>
          <w:szCs w:val="24"/>
        </w:rPr>
      </w:pPr>
      <w:r w:rsidRPr="005D2D33">
        <w:rPr>
          <w:rFonts w:ascii="Arial" w:hAnsi="Arial" w:cs="Arial"/>
          <w:sz w:val="24"/>
          <w:szCs w:val="24"/>
        </w:rPr>
        <w:t>This application came before my brother</w:t>
      </w:r>
      <w:r w:rsidR="00286118">
        <w:rPr>
          <w:rFonts w:ascii="Arial" w:hAnsi="Arial" w:cs="Arial"/>
          <w:sz w:val="24"/>
          <w:szCs w:val="24"/>
        </w:rPr>
        <w:t xml:space="preserve">, </w:t>
      </w:r>
      <w:r w:rsidRPr="005D2D33">
        <w:rPr>
          <w:rFonts w:ascii="Arial" w:hAnsi="Arial" w:cs="Arial"/>
          <w:sz w:val="24"/>
          <w:szCs w:val="24"/>
        </w:rPr>
        <w:t>Sibeya J</w:t>
      </w:r>
      <w:r w:rsidR="00286118">
        <w:rPr>
          <w:rFonts w:ascii="Arial" w:hAnsi="Arial" w:cs="Arial"/>
          <w:sz w:val="24"/>
          <w:szCs w:val="24"/>
        </w:rPr>
        <w:t xml:space="preserve">, </w:t>
      </w:r>
      <w:r w:rsidRPr="005D2D33">
        <w:rPr>
          <w:rFonts w:ascii="Arial" w:hAnsi="Arial" w:cs="Arial"/>
          <w:sz w:val="24"/>
          <w:szCs w:val="24"/>
        </w:rPr>
        <w:t xml:space="preserve">on 21 June 2021.  The applicant’s counter-application was first dismissed on 29 June 2022, with the first applicant obtaining the relief it sought. Sibeya J ordered that: </w:t>
      </w:r>
    </w:p>
    <w:p w:rsidR="005D2D33" w:rsidRPr="005D2D33" w:rsidRDefault="005D2D33" w:rsidP="005D2D33">
      <w:pPr>
        <w:pStyle w:val="ListParagraph"/>
        <w:spacing w:after="0" w:line="360" w:lineRule="auto"/>
        <w:ind w:left="0"/>
        <w:jc w:val="both"/>
        <w:rPr>
          <w:rFonts w:ascii="Arial" w:hAnsi="Arial" w:cs="Arial"/>
          <w:sz w:val="24"/>
          <w:szCs w:val="24"/>
        </w:rPr>
      </w:pPr>
    </w:p>
    <w:p w:rsidR="00470E3E" w:rsidRPr="00470E3E" w:rsidRDefault="005470FD" w:rsidP="005D2D33">
      <w:pPr>
        <w:spacing w:line="360" w:lineRule="auto"/>
        <w:ind w:firstLine="720"/>
        <w:jc w:val="both"/>
        <w:rPr>
          <w:rFonts w:ascii="Arial" w:hAnsi="Arial" w:cs="Arial"/>
        </w:rPr>
      </w:pPr>
      <w:r>
        <w:rPr>
          <w:rFonts w:ascii="Arial" w:hAnsi="Arial" w:cs="Arial"/>
        </w:rPr>
        <w:t>‘</w:t>
      </w:r>
      <w:r w:rsidRPr="00470E3E">
        <w:rPr>
          <w:rFonts w:ascii="Arial" w:hAnsi="Arial" w:cs="Arial"/>
        </w:rPr>
        <w:t xml:space="preserve">2. It is declared that the agreement entered into between the applicant and the first respondent for the first respondent to provide ground handling services at Hosea Kutako International Airport ("HKIA") shall terminate on 30 June 2022 ("the termination date"). </w:t>
      </w:r>
    </w:p>
    <w:p w:rsidR="00470E3E" w:rsidRPr="00470E3E" w:rsidRDefault="005470FD" w:rsidP="008F23D3">
      <w:pPr>
        <w:spacing w:line="360" w:lineRule="auto"/>
        <w:jc w:val="both"/>
        <w:rPr>
          <w:rFonts w:ascii="Arial" w:hAnsi="Arial" w:cs="Arial"/>
        </w:rPr>
      </w:pPr>
      <w:r w:rsidRPr="00470E3E">
        <w:rPr>
          <w:rFonts w:ascii="Arial" w:hAnsi="Arial" w:cs="Arial"/>
        </w:rPr>
        <w:t xml:space="preserve">3. It is declared that the first respondent shall at the end of the day on the termination date: </w:t>
      </w:r>
    </w:p>
    <w:p w:rsidR="00470E3E" w:rsidRPr="00470E3E" w:rsidRDefault="005470FD" w:rsidP="005D2D33">
      <w:pPr>
        <w:spacing w:line="360" w:lineRule="auto"/>
        <w:ind w:firstLine="720"/>
        <w:jc w:val="both"/>
        <w:rPr>
          <w:rFonts w:ascii="Arial" w:hAnsi="Arial" w:cs="Arial"/>
        </w:rPr>
      </w:pPr>
      <w:r w:rsidRPr="00470E3E">
        <w:rPr>
          <w:rFonts w:ascii="Arial" w:hAnsi="Arial" w:cs="Arial"/>
        </w:rPr>
        <w:t xml:space="preserve">3.1 cease to provide ground-handling services at HKIA; </w:t>
      </w:r>
    </w:p>
    <w:p w:rsidR="00470E3E" w:rsidRPr="00470E3E" w:rsidRDefault="005470FD" w:rsidP="00470E3E">
      <w:pPr>
        <w:spacing w:line="360" w:lineRule="auto"/>
        <w:ind w:left="720"/>
        <w:jc w:val="both"/>
        <w:rPr>
          <w:rFonts w:ascii="Arial" w:hAnsi="Arial" w:cs="Arial"/>
        </w:rPr>
      </w:pPr>
      <w:r w:rsidRPr="00470E3E">
        <w:rPr>
          <w:rFonts w:ascii="Arial" w:hAnsi="Arial" w:cs="Arial"/>
        </w:rPr>
        <w:t xml:space="preserve">3.2 hand over all security access cards or other equipment entitling it to access HKIA or any premises which it occupies at HKIA by virtue of the ground-handling services agreement with the applicant; and </w:t>
      </w:r>
    </w:p>
    <w:p w:rsidR="00470E3E" w:rsidRDefault="005470FD" w:rsidP="005D2D33">
      <w:pPr>
        <w:spacing w:after="0" w:line="360" w:lineRule="auto"/>
        <w:ind w:left="720"/>
        <w:jc w:val="both"/>
        <w:rPr>
          <w:rFonts w:ascii="Arial" w:hAnsi="Arial" w:cs="Arial"/>
        </w:rPr>
      </w:pPr>
      <w:r w:rsidRPr="00470E3E">
        <w:rPr>
          <w:rFonts w:ascii="Arial" w:hAnsi="Arial" w:cs="Arial"/>
        </w:rPr>
        <w:t>3.3 vacate occupation of any premises at HKIA occupied by virtue of the grou</w:t>
      </w:r>
      <w:r w:rsidR="005D2D33">
        <w:rPr>
          <w:rFonts w:ascii="Arial" w:hAnsi="Arial" w:cs="Arial"/>
        </w:rPr>
        <w:t>nd handling services agreement.’</w:t>
      </w:r>
    </w:p>
    <w:p w:rsidR="005D2D33" w:rsidRPr="00470E3E" w:rsidRDefault="005D2D33" w:rsidP="005D2D33">
      <w:pPr>
        <w:spacing w:after="0" w:line="360" w:lineRule="auto"/>
        <w:ind w:left="720"/>
        <w:jc w:val="both"/>
        <w:rPr>
          <w:rFonts w:ascii="Arial" w:hAnsi="Arial" w:cs="Arial"/>
        </w:rPr>
      </w:pPr>
    </w:p>
    <w:p w:rsidR="00C36E1C" w:rsidRDefault="005470FD" w:rsidP="005D2D33">
      <w:pPr>
        <w:pStyle w:val="ListParagraph"/>
        <w:numPr>
          <w:ilvl w:val="0"/>
          <w:numId w:val="22"/>
        </w:numPr>
        <w:spacing w:after="0" w:line="360" w:lineRule="auto"/>
        <w:ind w:left="0" w:firstLine="0"/>
        <w:jc w:val="both"/>
        <w:rPr>
          <w:rFonts w:ascii="Arial" w:hAnsi="Arial" w:cs="Arial"/>
          <w:sz w:val="24"/>
          <w:szCs w:val="24"/>
        </w:rPr>
      </w:pPr>
      <w:r w:rsidRPr="005D2D33">
        <w:rPr>
          <w:rFonts w:ascii="Arial" w:hAnsi="Arial" w:cs="Arial"/>
          <w:sz w:val="24"/>
          <w:szCs w:val="24"/>
        </w:rPr>
        <w:t>Pursuant to the orders being granted, the applicant noted an appeal to the Supreme Court on 30 June 2022, which was the last day on which they had to vacate and cease providing ground-handling services at Hosea Kutaku International Airport. The applicant further indicated that whilst the appeal is pending that they wil</w:t>
      </w:r>
      <w:r w:rsidR="00B42A4D">
        <w:rPr>
          <w:rFonts w:ascii="Arial" w:hAnsi="Arial" w:cs="Arial"/>
          <w:sz w:val="24"/>
          <w:szCs w:val="24"/>
        </w:rPr>
        <w:t>l continue to render the ground-</w:t>
      </w:r>
      <w:r w:rsidRPr="005D2D33">
        <w:rPr>
          <w:rFonts w:ascii="Arial" w:hAnsi="Arial" w:cs="Arial"/>
          <w:sz w:val="24"/>
          <w:szCs w:val="24"/>
        </w:rPr>
        <w:t xml:space="preserve">handling services as before. </w:t>
      </w:r>
    </w:p>
    <w:p w:rsidR="005D2D33" w:rsidRPr="005D2D33" w:rsidRDefault="005D2D33" w:rsidP="005D2D33">
      <w:pPr>
        <w:pStyle w:val="ListParagraph"/>
        <w:spacing w:after="0" w:line="360" w:lineRule="auto"/>
        <w:ind w:left="0"/>
        <w:jc w:val="both"/>
        <w:rPr>
          <w:rFonts w:ascii="Arial" w:hAnsi="Arial" w:cs="Arial"/>
          <w:sz w:val="24"/>
          <w:szCs w:val="24"/>
        </w:rPr>
      </w:pPr>
    </w:p>
    <w:p w:rsidR="00515E72" w:rsidRDefault="005470FD" w:rsidP="005D2D33">
      <w:pPr>
        <w:spacing w:after="0" w:line="360" w:lineRule="auto"/>
        <w:jc w:val="both"/>
        <w:rPr>
          <w:rFonts w:ascii="Arial" w:hAnsi="Arial" w:cs="Arial"/>
          <w:sz w:val="24"/>
          <w:szCs w:val="24"/>
          <w:u w:val="single"/>
        </w:rPr>
      </w:pPr>
      <w:r w:rsidRPr="0003055A">
        <w:rPr>
          <w:rFonts w:ascii="Arial" w:hAnsi="Arial" w:cs="Arial"/>
          <w:sz w:val="24"/>
          <w:szCs w:val="24"/>
          <w:u w:val="single"/>
        </w:rPr>
        <w:t>Point in limine</w:t>
      </w:r>
    </w:p>
    <w:p w:rsidR="005D2D33" w:rsidRPr="0003055A" w:rsidRDefault="005D2D33" w:rsidP="005D2D33">
      <w:pPr>
        <w:spacing w:after="0" w:line="360" w:lineRule="auto"/>
        <w:jc w:val="both"/>
        <w:rPr>
          <w:rFonts w:ascii="Arial" w:hAnsi="Arial" w:cs="Arial"/>
          <w:sz w:val="24"/>
          <w:szCs w:val="24"/>
          <w:u w:val="single"/>
        </w:rPr>
      </w:pPr>
    </w:p>
    <w:p w:rsidR="0003055A" w:rsidRDefault="005470FD" w:rsidP="005D2D33">
      <w:pPr>
        <w:pStyle w:val="ListParagraph"/>
        <w:numPr>
          <w:ilvl w:val="0"/>
          <w:numId w:val="22"/>
        </w:numPr>
        <w:spacing w:after="0" w:line="360" w:lineRule="auto"/>
        <w:ind w:left="0" w:firstLine="0"/>
        <w:jc w:val="both"/>
        <w:rPr>
          <w:rFonts w:ascii="Arial" w:hAnsi="Arial" w:cs="Arial"/>
          <w:sz w:val="24"/>
          <w:szCs w:val="24"/>
        </w:rPr>
      </w:pPr>
      <w:r w:rsidRPr="005D2D33">
        <w:rPr>
          <w:rFonts w:ascii="Arial" w:hAnsi="Arial" w:cs="Arial"/>
          <w:sz w:val="24"/>
          <w:szCs w:val="24"/>
        </w:rPr>
        <w:t>The first and second respondent</w:t>
      </w:r>
      <w:r w:rsidR="00B42A4D">
        <w:rPr>
          <w:rFonts w:ascii="Arial" w:hAnsi="Arial" w:cs="Arial"/>
          <w:sz w:val="24"/>
          <w:szCs w:val="24"/>
        </w:rPr>
        <w:t>s</w:t>
      </w:r>
      <w:r w:rsidRPr="005D2D33">
        <w:rPr>
          <w:rFonts w:ascii="Arial" w:hAnsi="Arial" w:cs="Arial"/>
          <w:sz w:val="24"/>
          <w:szCs w:val="24"/>
        </w:rPr>
        <w:t xml:space="preserve"> raised the issue that the applicant failed to comply with rules 32(9) and 32(10) when </w:t>
      </w:r>
      <w:r w:rsidR="005D2D33">
        <w:rPr>
          <w:rFonts w:ascii="Arial" w:hAnsi="Arial" w:cs="Arial"/>
          <w:sz w:val="24"/>
          <w:szCs w:val="24"/>
        </w:rPr>
        <w:t xml:space="preserve">they brought this application. </w:t>
      </w:r>
      <w:r w:rsidRPr="005D2D33">
        <w:rPr>
          <w:rFonts w:ascii="Arial" w:hAnsi="Arial" w:cs="Arial"/>
          <w:sz w:val="24"/>
          <w:szCs w:val="24"/>
        </w:rPr>
        <w:t>Fro</w:t>
      </w:r>
      <w:r w:rsidR="005D2D33">
        <w:rPr>
          <w:rFonts w:ascii="Arial" w:hAnsi="Arial" w:cs="Arial"/>
          <w:sz w:val="24"/>
          <w:szCs w:val="24"/>
        </w:rPr>
        <w:t>m the documents filed on the e-j</w:t>
      </w:r>
      <w:r w:rsidRPr="005D2D33">
        <w:rPr>
          <w:rFonts w:ascii="Arial" w:hAnsi="Arial" w:cs="Arial"/>
          <w:sz w:val="24"/>
          <w:szCs w:val="24"/>
        </w:rPr>
        <w:t>ustice system</w:t>
      </w:r>
      <w:r w:rsidR="005D2D33">
        <w:rPr>
          <w:rFonts w:ascii="Arial" w:hAnsi="Arial" w:cs="Arial"/>
          <w:sz w:val="24"/>
          <w:szCs w:val="24"/>
        </w:rPr>
        <w:t>,</w:t>
      </w:r>
      <w:r w:rsidRPr="005D2D33">
        <w:rPr>
          <w:rFonts w:ascii="Arial" w:hAnsi="Arial" w:cs="Arial"/>
          <w:sz w:val="24"/>
          <w:szCs w:val="24"/>
        </w:rPr>
        <w:t xml:space="preserve"> it is clear that this application was brought without engaging the respondents in terms of rule 32(9)</w:t>
      </w:r>
      <w:r w:rsidR="00B42A4D">
        <w:rPr>
          <w:rFonts w:ascii="Arial" w:hAnsi="Arial" w:cs="Arial"/>
          <w:sz w:val="24"/>
          <w:szCs w:val="24"/>
        </w:rPr>
        <w:t xml:space="preserve">, </w:t>
      </w:r>
      <w:r w:rsidRPr="005D2D33">
        <w:rPr>
          <w:rFonts w:ascii="Arial" w:hAnsi="Arial" w:cs="Arial"/>
          <w:sz w:val="24"/>
          <w:szCs w:val="24"/>
        </w:rPr>
        <w:t xml:space="preserve">subsequently filing a rule 32(10) report pertaining to the engagement.  </w:t>
      </w:r>
      <w:r w:rsidR="001022CB" w:rsidRPr="005D2D33">
        <w:rPr>
          <w:rFonts w:ascii="Arial" w:hAnsi="Arial" w:cs="Arial"/>
          <w:sz w:val="24"/>
          <w:szCs w:val="24"/>
        </w:rPr>
        <w:t>Although this is true, the supplementation application is an application that only the court can decide upon.  Parties cannot agree between themselves regarding the relief that is being sought and for that reason</w:t>
      </w:r>
      <w:r w:rsidR="00B42A4D">
        <w:rPr>
          <w:rFonts w:ascii="Arial" w:hAnsi="Arial" w:cs="Arial"/>
          <w:sz w:val="24"/>
          <w:szCs w:val="24"/>
        </w:rPr>
        <w:t>,</w:t>
      </w:r>
      <w:r w:rsidR="001022CB" w:rsidRPr="005D2D33">
        <w:rPr>
          <w:rFonts w:ascii="Arial" w:hAnsi="Arial" w:cs="Arial"/>
          <w:sz w:val="24"/>
          <w:szCs w:val="24"/>
        </w:rPr>
        <w:t xml:space="preserve"> the court is inclined to proceed with the hearing of the application although there was no c</w:t>
      </w:r>
      <w:r w:rsidR="00B42A4D">
        <w:rPr>
          <w:rFonts w:ascii="Arial" w:hAnsi="Arial" w:cs="Arial"/>
          <w:sz w:val="24"/>
          <w:szCs w:val="24"/>
        </w:rPr>
        <w:t xml:space="preserve">ompliance with rules 32(9) and </w:t>
      </w:r>
      <w:r w:rsidR="001022CB" w:rsidRPr="005D2D33">
        <w:rPr>
          <w:rFonts w:ascii="Arial" w:hAnsi="Arial" w:cs="Arial"/>
          <w:sz w:val="24"/>
          <w:szCs w:val="24"/>
        </w:rPr>
        <w:t>(10).  The non-compliance will however be taken into account when deciding on</w:t>
      </w:r>
      <w:r w:rsidR="008D4DD3" w:rsidRPr="005D2D33">
        <w:rPr>
          <w:rFonts w:ascii="Arial" w:hAnsi="Arial" w:cs="Arial"/>
          <w:sz w:val="24"/>
          <w:szCs w:val="24"/>
        </w:rPr>
        <w:t xml:space="preserve"> an appropriate cost order as the rule 32 process</w:t>
      </w:r>
      <w:r w:rsidR="001022CB" w:rsidRPr="005D2D33">
        <w:rPr>
          <w:rFonts w:ascii="Arial" w:hAnsi="Arial" w:cs="Arial"/>
          <w:sz w:val="24"/>
          <w:szCs w:val="24"/>
        </w:rPr>
        <w:t xml:space="preserve"> had the potential to allow for the </w:t>
      </w:r>
      <w:r w:rsidR="008D4DD3" w:rsidRPr="005D2D33">
        <w:rPr>
          <w:rFonts w:ascii="Arial" w:hAnsi="Arial" w:cs="Arial"/>
          <w:sz w:val="24"/>
          <w:szCs w:val="24"/>
        </w:rPr>
        <w:t>shortening of proceedings.</w:t>
      </w:r>
    </w:p>
    <w:p w:rsidR="00C65E23" w:rsidRPr="005D2D33" w:rsidRDefault="00C65E23" w:rsidP="00C65E23">
      <w:pPr>
        <w:pStyle w:val="ListParagraph"/>
        <w:spacing w:after="0" w:line="360" w:lineRule="auto"/>
        <w:ind w:left="0"/>
        <w:jc w:val="both"/>
        <w:rPr>
          <w:rFonts w:ascii="Arial" w:hAnsi="Arial" w:cs="Arial"/>
          <w:sz w:val="24"/>
          <w:szCs w:val="24"/>
        </w:rPr>
      </w:pPr>
    </w:p>
    <w:p w:rsidR="00C65E23" w:rsidRDefault="005470FD" w:rsidP="00C65E23">
      <w:pPr>
        <w:spacing w:after="0" w:line="360" w:lineRule="auto"/>
        <w:jc w:val="both"/>
        <w:rPr>
          <w:rFonts w:ascii="Arial" w:hAnsi="Arial" w:cs="Arial"/>
          <w:sz w:val="24"/>
          <w:szCs w:val="24"/>
          <w:u w:val="single"/>
        </w:rPr>
      </w:pPr>
      <w:r w:rsidRPr="00880C7F">
        <w:rPr>
          <w:rFonts w:ascii="Arial" w:hAnsi="Arial" w:cs="Arial"/>
          <w:sz w:val="24"/>
          <w:szCs w:val="24"/>
          <w:u w:val="single"/>
        </w:rPr>
        <w:t xml:space="preserve">Purpose of the application </w:t>
      </w:r>
      <w:r w:rsidR="00880C7F" w:rsidRPr="00880C7F">
        <w:rPr>
          <w:rFonts w:ascii="Arial" w:hAnsi="Arial" w:cs="Arial"/>
          <w:sz w:val="24"/>
          <w:szCs w:val="24"/>
          <w:u w:val="single"/>
        </w:rPr>
        <w:t>seeking leave to supplement the founding papers in the main application</w:t>
      </w:r>
    </w:p>
    <w:p w:rsidR="00C65E23" w:rsidRDefault="00C65E23" w:rsidP="00C65E23">
      <w:pPr>
        <w:spacing w:after="0" w:line="360" w:lineRule="auto"/>
        <w:jc w:val="both"/>
        <w:rPr>
          <w:rFonts w:ascii="Arial" w:hAnsi="Arial" w:cs="Arial"/>
          <w:sz w:val="24"/>
          <w:szCs w:val="24"/>
          <w:u w:val="single"/>
        </w:rPr>
      </w:pPr>
    </w:p>
    <w:p w:rsidR="00C65E23" w:rsidRDefault="005470FD" w:rsidP="008F23D3">
      <w:pPr>
        <w:pStyle w:val="ListParagraph"/>
        <w:numPr>
          <w:ilvl w:val="0"/>
          <w:numId w:val="22"/>
        </w:numPr>
        <w:spacing w:after="0" w:line="360" w:lineRule="auto"/>
        <w:ind w:left="0" w:firstLine="0"/>
        <w:jc w:val="both"/>
        <w:rPr>
          <w:rFonts w:ascii="Arial" w:hAnsi="Arial" w:cs="Arial"/>
          <w:sz w:val="24"/>
          <w:szCs w:val="24"/>
        </w:rPr>
      </w:pPr>
      <w:r w:rsidRPr="00C65E23">
        <w:rPr>
          <w:rFonts w:ascii="Arial" w:hAnsi="Arial" w:cs="Arial"/>
          <w:sz w:val="24"/>
          <w:szCs w:val="24"/>
        </w:rPr>
        <w:t>The applicant placed the following before court</w:t>
      </w:r>
      <w:r w:rsidR="00B42A4D">
        <w:rPr>
          <w:rFonts w:ascii="Arial" w:hAnsi="Arial" w:cs="Arial"/>
          <w:sz w:val="24"/>
          <w:szCs w:val="24"/>
        </w:rPr>
        <w:t>,</w:t>
      </w:r>
      <w:r w:rsidRPr="00C65E23">
        <w:rPr>
          <w:rFonts w:ascii="Arial" w:hAnsi="Arial" w:cs="Arial"/>
          <w:sz w:val="24"/>
          <w:szCs w:val="24"/>
        </w:rPr>
        <w:t xml:space="preserve"> in its founding affidavit.  The review proceedings in this matter was launched in April 2022.  The first respondent was responsible for the uploading of the review record and started uploading the said record on 10 May 2022, 11 May 2022 ,and again on 27 May 2022.  These documents were not paginated and the financial proposal which formed part of the second respondent's bid was not initia</w:t>
      </w:r>
      <w:r w:rsidR="00B42A4D">
        <w:rPr>
          <w:rFonts w:ascii="Arial" w:hAnsi="Arial" w:cs="Arial"/>
          <w:sz w:val="24"/>
          <w:szCs w:val="24"/>
        </w:rPr>
        <w:t xml:space="preserve">led on the uploaded documents. </w:t>
      </w:r>
      <w:r w:rsidRPr="00C65E23">
        <w:rPr>
          <w:rFonts w:ascii="Arial" w:hAnsi="Arial" w:cs="Arial"/>
          <w:sz w:val="24"/>
          <w:szCs w:val="24"/>
        </w:rPr>
        <w:t>The second respondent's original bid was anitialed by M</w:t>
      </w:r>
      <w:r>
        <w:rPr>
          <w:rFonts w:ascii="Arial" w:hAnsi="Arial" w:cs="Arial"/>
          <w:sz w:val="24"/>
          <w:szCs w:val="24"/>
        </w:rPr>
        <w:t>r</w:t>
      </w:r>
      <w:r w:rsidRPr="00C65E23">
        <w:rPr>
          <w:rFonts w:ascii="Arial" w:hAnsi="Arial" w:cs="Arial"/>
          <w:sz w:val="24"/>
          <w:szCs w:val="24"/>
        </w:rPr>
        <w:t xml:space="preserve"> Amunyela (fo</w:t>
      </w:r>
      <w:r>
        <w:rPr>
          <w:rFonts w:ascii="Arial" w:hAnsi="Arial" w:cs="Arial"/>
          <w:sz w:val="24"/>
          <w:szCs w:val="24"/>
        </w:rPr>
        <w:t>r the second respondent) and Mr</w:t>
      </w:r>
      <w:r w:rsidRPr="00C65E23">
        <w:rPr>
          <w:rFonts w:ascii="Arial" w:hAnsi="Arial" w:cs="Arial"/>
          <w:sz w:val="24"/>
          <w:szCs w:val="24"/>
        </w:rPr>
        <w:t xml:space="preserve"> /Uirab who is the Chief Executive O</w:t>
      </w:r>
      <w:r>
        <w:rPr>
          <w:rFonts w:ascii="Arial" w:hAnsi="Arial" w:cs="Arial"/>
          <w:sz w:val="24"/>
          <w:szCs w:val="24"/>
        </w:rPr>
        <w:t>fficer for the first respondent.</w:t>
      </w:r>
    </w:p>
    <w:p w:rsidR="00C65E23" w:rsidRDefault="00C65E23" w:rsidP="00C65E23">
      <w:pPr>
        <w:pStyle w:val="ListParagraph"/>
        <w:spacing w:after="0" w:line="360" w:lineRule="auto"/>
        <w:ind w:left="0"/>
        <w:jc w:val="both"/>
        <w:rPr>
          <w:rFonts w:ascii="Arial" w:hAnsi="Arial" w:cs="Arial"/>
          <w:sz w:val="24"/>
          <w:szCs w:val="24"/>
        </w:rPr>
      </w:pPr>
    </w:p>
    <w:p w:rsidR="00C65E23" w:rsidRDefault="005470FD" w:rsidP="008F23D3">
      <w:pPr>
        <w:pStyle w:val="ListParagraph"/>
        <w:numPr>
          <w:ilvl w:val="0"/>
          <w:numId w:val="22"/>
        </w:numPr>
        <w:spacing w:after="0" w:line="360" w:lineRule="auto"/>
        <w:ind w:left="0" w:firstLine="0"/>
        <w:jc w:val="both"/>
        <w:rPr>
          <w:rFonts w:ascii="Arial" w:hAnsi="Arial" w:cs="Arial"/>
          <w:sz w:val="24"/>
          <w:szCs w:val="24"/>
        </w:rPr>
      </w:pPr>
      <w:r w:rsidRPr="00C65E23">
        <w:rPr>
          <w:rFonts w:ascii="Arial" w:hAnsi="Arial" w:cs="Arial"/>
          <w:sz w:val="24"/>
          <w:szCs w:val="24"/>
        </w:rPr>
        <w:t xml:space="preserve">The record was scrutinized and several defects and anomalies were identified.  These were set out in a status report and subsequently ,the first respondent uploaded </w:t>
      </w:r>
      <w:r w:rsidRPr="00C65E23">
        <w:rPr>
          <w:rFonts w:ascii="Arial" w:hAnsi="Arial" w:cs="Arial"/>
          <w:sz w:val="24"/>
          <w:szCs w:val="24"/>
        </w:rPr>
        <w:lastRenderedPageBreak/>
        <w:t>a second review r</w:t>
      </w:r>
      <w:r w:rsidR="00107D49">
        <w:rPr>
          <w:rFonts w:ascii="Arial" w:hAnsi="Arial" w:cs="Arial"/>
          <w:sz w:val="24"/>
          <w:szCs w:val="24"/>
        </w:rPr>
        <w:t>ecord on 13 June 2022. There were</w:t>
      </w:r>
      <w:r w:rsidRPr="00C65E23">
        <w:rPr>
          <w:rFonts w:ascii="Arial" w:hAnsi="Arial" w:cs="Arial"/>
          <w:sz w:val="24"/>
          <w:szCs w:val="24"/>
        </w:rPr>
        <w:t xml:space="preserve"> differences between this record and the first</w:t>
      </w:r>
      <w:r>
        <w:rPr>
          <w:rFonts w:ascii="Arial" w:hAnsi="Arial" w:cs="Arial"/>
          <w:sz w:val="24"/>
          <w:szCs w:val="24"/>
        </w:rPr>
        <w:t>,</w:t>
      </w:r>
      <w:r w:rsidRPr="00C65E23">
        <w:rPr>
          <w:rFonts w:ascii="Arial" w:hAnsi="Arial" w:cs="Arial"/>
          <w:sz w:val="24"/>
          <w:szCs w:val="24"/>
        </w:rPr>
        <w:t xml:space="preserve"> for example</w:t>
      </w:r>
      <w:r w:rsidR="00107D49">
        <w:rPr>
          <w:rFonts w:ascii="Arial" w:hAnsi="Arial" w:cs="Arial"/>
          <w:sz w:val="24"/>
          <w:szCs w:val="24"/>
        </w:rPr>
        <w:t>,</w:t>
      </w:r>
      <w:r w:rsidRPr="00C65E23">
        <w:rPr>
          <w:rFonts w:ascii="Arial" w:hAnsi="Arial" w:cs="Arial"/>
          <w:sz w:val="24"/>
          <w:szCs w:val="24"/>
        </w:rPr>
        <w:t xml:space="preserve"> the arrangement of </w:t>
      </w:r>
      <w:r w:rsidR="00C907DF" w:rsidRPr="00C65E23">
        <w:rPr>
          <w:rFonts w:ascii="Arial" w:hAnsi="Arial" w:cs="Arial"/>
          <w:sz w:val="24"/>
          <w:szCs w:val="24"/>
        </w:rPr>
        <w:t>the pages and sections differed</w:t>
      </w:r>
      <w:r w:rsidRPr="00C65E23">
        <w:rPr>
          <w:rFonts w:ascii="Arial" w:hAnsi="Arial" w:cs="Arial"/>
          <w:sz w:val="24"/>
          <w:szCs w:val="24"/>
        </w:rPr>
        <w:t>.  The financ</w:t>
      </w:r>
      <w:r w:rsidR="00C907DF" w:rsidRPr="00C65E23">
        <w:rPr>
          <w:rFonts w:ascii="Arial" w:hAnsi="Arial" w:cs="Arial"/>
          <w:sz w:val="24"/>
          <w:szCs w:val="24"/>
        </w:rPr>
        <w:t>ial proposal that appeared in the second record remained unsigned.  The applicant used this record to prepare its supplementary founding affidavit and brought these shortcomings to the attention of the first respondent’s legal practitioners.</w:t>
      </w:r>
    </w:p>
    <w:p w:rsidR="00C65E23" w:rsidRPr="00C65E23" w:rsidRDefault="00C65E23" w:rsidP="00C65E23">
      <w:pPr>
        <w:pStyle w:val="ListParagraph"/>
        <w:rPr>
          <w:rFonts w:ascii="Arial" w:hAnsi="Arial" w:cs="Arial"/>
          <w:sz w:val="24"/>
          <w:szCs w:val="24"/>
        </w:rPr>
      </w:pPr>
    </w:p>
    <w:p w:rsidR="00C65E23" w:rsidRDefault="005470FD" w:rsidP="008F23D3">
      <w:pPr>
        <w:pStyle w:val="ListParagraph"/>
        <w:numPr>
          <w:ilvl w:val="0"/>
          <w:numId w:val="22"/>
        </w:numPr>
        <w:spacing w:after="0" w:line="360" w:lineRule="auto"/>
        <w:ind w:left="0" w:firstLine="0"/>
        <w:jc w:val="both"/>
        <w:rPr>
          <w:rFonts w:ascii="Arial" w:hAnsi="Arial" w:cs="Arial"/>
          <w:sz w:val="24"/>
          <w:szCs w:val="24"/>
        </w:rPr>
      </w:pPr>
      <w:r w:rsidRPr="00C65E23">
        <w:rPr>
          <w:rFonts w:ascii="Arial" w:hAnsi="Arial" w:cs="Arial"/>
          <w:sz w:val="24"/>
          <w:szCs w:val="24"/>
        </w:rPr>
        <w:t>The first respondent’s legal practitioners then uploaded a third record, on 1 August 2022, 3 August 2022 and 16 August 2022.  On 4 August 2022</w:t>
      </w:r>
      <w:r w:rsidR="00107D49">
        <w:rPr>
          <w:rFonts w:ascii="Arial" w:hAnsi="Arial" w:cs="Arial"/>
          <w:sz w:val="24"/>
          <w:szCs w:val="24"/>
        </w:rPr>
        <w:t>,</w:t>
      </w:r>
      <w:r w:rsidRPr="00C65E23">
        <w:rPr>
          <w:rFonts w:ascii="Arial" w:hAnsi="Arial" w:cs="Arial"/>
          <w:sz w:val="24"/>
          <w:szCs w:val="24"/>
        </w:rPr>
        <w:t xml:space="preserve"> the applicant’s legal representatives received a hard copy of what purports to be the second respondent’s original bid.  Thi</w:t>
      </w:r>
      <w:r w:rsidR="005526FD" w:rsidRPr="00C65E23">
        <w:rPr>
          <w:rFonts w:ascii="Arial" w:hAnsi="Arial" w:cs="Arial"/>
          <w:sz w:val="24"/>
          <w:szCs w:val="24"/>
        </w:rPr>
        <w:t>s copy of the record included the second respondent’s financial documents as well as the company documents which now appeared to be signe</w:t>
      </w:r>
      <w:r>
        <w:rPr>
          <w:rFonts w:ascii="Arial" w:hAnsi="Arial" w:cs="Arial"/>
          <w:sz w:val="24"/>
          <w:szCs w:val="24"/>
        </w:rPr>
        <w:t>d. It however only contained Mr</w:t>
      </w:r>
      <w:r w:rsidR="005526FD" w:rsidRPr="00C65E23">
        <w:rPr>
          <w:rFonts w:ascii="Arial" w:hAnsi="Arial" w:cs="Arial"/>
          <w:sz w:val="24"/>
          <w:szCs w:val="24"/>
        </w:rPr>
        <w:t xml:space="preserve"> Amunyela’s signature and not the signature of the representative of Ethiopian Airlines and although Mr /Uirab’s signature appeared on the bid documents of the first and second record, the financial documents did not have the said signature but the hard</w:t>
      </w:r>
      <w:r w:rsidR="00107D49">
        <w:rPr>
          <w:rFonts w:ascii="Arial" w:hAnsi="Arial" w:cs="Arial"/>
          <w:sz w:val="24"/>
          <w:szCs w:val="24"/>
        </w:rPr>
        <w:t xml:space="preserve"> copy set’s financial documents, </w:t>
      </w:r>
      <w:r w:rsidR="005526FD" w:rsidRPr="00C65E23">
        <w:rPr>
          <w:rFonts w:ascii="Arial" w:hAnsi="Arial" w:cs="Arial"/>
          <w:sz w:val="24"/>
          <w:szCs w:val="24"/>
        </w:rPr>
        <w:t>now had his signature displayed on it. These documents did not form part of the third record uploaded on the electronic file.  The actual bid documents were also not uploaded together with the third record.</w:t>
      </w:r>
    </w:p>
    <w:p w:rsidR="00C65E23" w:rsidRPr="00C65E23" w:rsidRDefault="00C65E23" w:rsidP="00C65E23">
      <w:pPr>
        <w:pStyle w:val="ListParagraph"/>
        <w:rPr>
          <w:rFonts w:ascii="Arial" w:hAnsi="Arial" w:cs="Arial"/>
          <w:sz w:val="24"/>
          <w:szCs w:val="24"/>
        </w:rPr>
      </w:pPr>
    </w:p>
    <w:p w:rsidR="00C65E23" w:rsidRDefault="005470FD" w:rsidP="008F23D3">
      <w:pPr>
        <w:pStyle w:val="ListParagraph"/>
        <w:numPr>
          <w:ilvl w:val="0"/>
          <w:numId w:val="22"/>
        </w:numPr>
        <w:spacing w:after="0" w:line="360" w:lineRule="auto"/>
        <w:ind w:left="0" w:firstLine="0"/>
        <w:jc w:val="both"/>
        <w:rPr>
          <w:rFonts w:ascii="Arial" w:hAnsi="Arial" w:cs="Arial"/>
          <w:sz w:val="24"/>
          <w:szCs w:val="24"/>
        </w:rPr>
      </w:pPr>
      <w:r w:rsidRPr="00C65E23">
        <w:rPr>
          <w:rFonts w:ascii="Arial" w:hAnsi="Arial" w:cs="Arial"/>
          <w:sz w:val="24"/>
          <w:szCs w:val="24"/>
        </w:rPr>
        <w:t>The applicant instructed a handwriting expert to inspect these documents and to prepare a report on her findings.  The expert is a certain Ms Yvette Palm who is based in Cape Town, South Africa.  She travelled to Namibia and inspected the original bid documents of the second respondent, the hard copy of the record, and t</w:t>
      </w:r>
      <w:r>
        <w:rPr>
          <w:rFonts w:ascii="Arial" w:hAnsi="Arial" w:cs="Arial"/>
          <w:sz w:val="24"/>
          <w:szCs w:val="24"/>
        </w:rPr>
        <w:t>he documents uploaded on the e-j</w:t>
      </w:r>
      <w:r w:rsidRPr="00C65E23">
        <w:rPr>
          <w:rFonts w:ascii="Arial" w:hAnsi="Arial" w:cs="Arial"/>
          <w:sz w:val="24"/>
          <w:szCs w:val="24"/>
        </w:rPr>
        <w:t xml:space="preserve">ustice system.  </w:t>
      </w:r>
    </w:p>
    <w:p w:rsidR="00C65E23" w:rsidRPr="00C65E23" w:rsidRDefault="00C65E23" w:rsidP="00C65E23">
      <w:pPr>
        <w:pStyle w:val="ListParagraph"/>
        <w:rPr>
          <w:rFonts w:ascii="Arial" w:hAnsi="Arial" w:cs="Arial"/>
          <w:sz w:val="24"/>
          <w:szCs w:val="24"/>
        </w:rPr>
      </w:pPr>
    </w:p>
    <w:p w:rsidR="00D31D89" w:rsidRPr="00C65E23" w:rsidRDefault="005470FD" w:rsidP="008F23D3">
      <w:pPr>
        <w:pStyle w:val="ListParagraph"/>
        <w:numPr>
          <w:ilvl w:val="0"/>
          <w:numId w:val="22"/>
        </w:numPr>
        <w:spacing w:after="0" w:line="360" w:lineRule="auto"/>
        <w:ind w:left="0" w:firstLine="0"/>
        <w:jc w:val="both"/>
        <w:rPr>
          <w:rFonts w:ascii="Arial" w:hAnsi="Arial" w:cs="Arial"/>
          <w:sz w:val="24"/>
          <w:szCs w:val="24"/>
        </w:rPr>
      </w:pPr>
      <w:r w:rsidRPr="00C65E23">
        <w:rPr>
          <w:rFonts w:ascii="Arial" w:hAnsi="Arial" w:cs="Arial"/>
          <w:sz w:val="24"/>
          <w:szCs w:val="24"/>
        </w:rPr>
        <w:t xml:space="preserve">The current application before the court therefore is limited to dealing with an expert report compiled by Ms Palm whose report deals with </w:t>
      </w:r>
      <w:r w:rsidR="00C65E23">
        <w:rPr>
          <w:rFonts w:ascii="Arial" w:hAnsi="Arial" w:cs="Arial"/>
          <w:sz w:val="24"/>
          <w:szCs w:val="24"/>
        </w:rPr>
        <w:t>specific investigations, analysi</w:t>
      </w:r>
      <w:r w:rsidRPr="00C65E23">
        <w:rPr>
          <w:rFonts w:ascii="Arial" w:hAnsi="Arial" w:cs="Arial"/>
          <w:sz w:val="24"/>
          <w:szCs w:val="24"/>
        </w:rPr>
        <w:t xml:space="preserve">s, and opinions in respect of the handwriting appearing on the original bid of the second respondent as compared to several other documents in the first two records.  </w:t>
      </w:r>
    </w:p>
    <w:p w:rsidR="00C65E23" w:rsidRDefault="00C65E23" w:rsidP="008F23D3">
      <w:pPr>
        <w:spacing w:line="360" w:lineRule="auto"/>
        <w:jc w:val="both"/>
        <w:rPr>
          <w:rFonts w:ascii="Arial" w:hAnsi="Arial" w:cs="Arial"/>
          <w:sz w:val="24"/>
          <w:szCs w:val="24"/>
          <w:u w:val="single"/>
        </w:rPr>
      </w:pPr>
    </w:p>
    <w:p w:rsidR="00D31D89" w:rsidRPr="00D31D89" w:rsidRDefault="005470FD" w:rsidP="008F23D3">
      <w:pPr>
        <w:spacing w:line="360" w:lineRule="auto"/>
        <w:jc w:val="both"/>
        <w:rPr>
          <w:rFonts w:ascii="Arial" w:hAnsi="Arial" w:cs="Arial"/>
          <w:sz w:val="24"/>
          <w:szCs w:val="24"/>
          <w:u w:val="single"/>
        </w:rPr>
      </w:pPr>
      <w:r w:rsidRPr="00D31D89">
        <w:rPr>
          <w:rFonts w:ascii="Arial" w:hAnsi="Arial" w:cs="Arial"/>
          <w:sz w:val="24"/>
          <w:szCs w:val="24"/>
          <w:u w:val="single"/>
        </w:rPr>
        <w:t>The arguments on the supplementation application</w:t>
      </w:r>
    </w:p>
    <w:p w:rsidR="00C65E23" w:rsidRDefault="005470FD" w:rsidP="008F23D3">
      <w:pPr>
        <w:pStyle w:val="ListParagraph"/>
        <w:numPr>
          <w:ilvl w:val="0"/>
          <w:numId w:val="22"/>
        </w:numPr>
        <w:spacing w:after="0" w:line="360" w:lineRule="auto"/>
        <w:ind w:left="0" w:firstLine="0"/>
        <w:jc w:val="both"/>
        <w:rPr>
          <w:rFonts w:ascii="Arial" w:hAnsi="Arial" w:cs="Arial"/>
          <w:sz w:val="24"/>
          <w:szCs w:val="24"/>
        </w:rPr>
      </w:pPr>
      <w:r w:rsidRPr="00C65E23">
        <w:rPr>
          <w:rFonts w:ascii="Arial" w:hAnsi="Arial" w:cs="Arial"/>
          <w:sz w:val="24"/>
          <w:szCs w:val="24"/>
        </w:rPr>
        <w:t xml:space="preserve">For the applicant, it was argued that they needed to follow this process as it would not be fair just to deal with the </w:t>
      </w:r>
      <w:r w:rsidR="00487596" w:rsidRPr="00C65E23">
        <w:rPr>
          <w:rFonts w:ascii="Arial" w:hAnsi="Arial" w:cs="Arial"/>
          <w:sz w:val="24"/>
          <w:szCs w:val="24"/>
        </w:rPr>
        <w:t xml:space="preserve">findings of Ms Palm in a replying affidavit as the respondents would then have no opportunity to deal with these allegations.  It would </w:t>
      </w:r>
      <w:r w:rsidR="00487596" w:rsidRPr="00C65E23">
        <w:rPr>
          <w:rFonts w:ascii="Arial" w:hAnsi="Arial" w:cs="Arial"/>
          <w:sz w:val="24"/>
          <w:szCs w:val="24"/>
        </w:rPr>
        <w:lastRenderedPageBreak/>
        <w:t xml:space="preserve">be proper to amplify the founding affidavit and then proceed and allow the respondents to deal with the said findings in answering affidavits, should they wish to do so.  </w:t>
      </w:r>
    </w:p>
    <w:p w:rsidR="00C65E23" w:rsidRDefault="00C65E23" w:rsidP="00C65E23">
      <w:pPr>
        <w:pStyle w:val="ListParagraph"/>
        <w:spacing w:after="0" w:line="360" w:lineRule="auto"/>
        <w:ind w:left="0"/>
        <w:jc w:val="both"/>
        <w:rPr>
          <w:rFonts w:ascii="Arial" w:hAnsi="Arial" w:cs="Arial"/>
          <w:sz w:val="24"/>
          <w:szCs w:val="24"/>
        </w:rPr>
      </w:pPr>
    </w:p>
    <w:p w:rsidR="00C65E23" w:rsidRDefault="005470FD" w:rsidP="008F23D3">
      <w:pPr>
        <w:pStyle w:val="ListParagraph"/>
        <w:numPr>
          <w:ilvl w:val="0"/>
          <w:numId w:val="22"/>
        </w:numPr>
        <w:spacing w:after="0" w:line="360" w:lineRule="auto"/>
        <w:ind w:left="0" w:firstLine="0"/>
        <w:jc w:val="both"/>
        <w:rPr>
          <w:rFonts w:ascii="Arial" w:hAnsi="Arial" w:cs="Arial"/>
          <w:sz w:val="24"/>
          <w:szCs w:val="24"/>
        </w:rPr>
      </w:pPr>
      <w:r w:rsidRPr="00C65E23">
        <w:rPr>
          <w:rFonts w:ascii="Arial" w:hAnsi="Arial" w:cs="Arial"/>
          <w:sz w:val="24"/>
          <w:szCs w:val="24"/>
        </w:rPr>
        <w:t xml:space="preserve">It was further argued that courts will only grant leave to supplement founding papers in exceptional and special circumstances.  The facts which the applicant wishes to introduce in the supplementary founding papers are indeed new and were indeed unexpected since the applicant could not have reasonably expected that the second respondent's bid documents contained in the first and second review records would have differed materially from those documents contained in the third review record.  They could also not have expected the presence of what seems to be forged initials appearing in the second respondent's bid as observed by Ms Palm.  </w:t>
      </w:r>
    </w:p>
    <w:p w:rsidR="00C65E23" w:rsidRPr="00C65E23" w:rsidRDefault="00C65E23" w:rsidP="00C65E23">
      <w:pPr>
        <w:pStyle w:val="ListParagraph"/>
        <w:rPr>
          <w:rFonts w:ascii="Arial" w:hAnsi="Arial" w:cs="Arial"/>
          <w:sz w:val="24"/>
          <w:szCs w:val="24"/>
        </w:rPr>
      </w:pPr>
    </w:p>
    <w:p w:rsidR="00C65E23" w:rsidRDefault="005470FD" w:rsidP="008F23D3">
      <w:pPr>
        <w:pStyle w:val="ListParagraph"/>
        <w:numPr>
          <w:ilvl w:val="0"/>
          <w:numId w:val="22"/>
        </w:numPr>
        <w:spacing w:after="0" w:line="360" w:lineRule="auto"/>
        <w:ind w:left="0" w:firstLine="0"/>
        <w:jc w:val="both"/>
        <w:rPr>
          <w:rFonts w:ascii="Arial" w:hAnsi="Arial" w:cs="Arial"/>
          <w:sz w:val="24"/>
          <w:szCs w:val="24"/>
        </w:rPr>
      </w:pPr>
      <w:r w:rsidRPr="00C65E23">
        <w:rPr>
          <w:rFonts w:ascii="Arial" w:hAnsi="Arial" w:cs="Arial"/>
          <w:sz w:val="24"/>
          <w:szCs w:val="24"/>
        </w:rPr>
        <w:t>On behalf of the first respondent, it was argued that the applicant in truth do</w:t>
      </w:r>
      <w:r w:rsidR="00550A6A">
        <w:rPr>
          <w:rFonts w:ascii="Arial" w:hAnsi="Arial" w:cs="Arial"/>
          <w:sz w:val="24"/>
          <w:szCs w:val="24"/>
        </w:rPr>
        <w:t xml:space="preserve">es not want ‘to deal with’ </w:t>
      </w:r>
      <w:r w:rsidR="009A79F5">
        <w:rPr>
          <w:rFonts w:ascii="Arial" w:hAnsi="Arial" w:cs="Arial"/>
          <w:sz w:val="24"/>
          <w:szCs w:val="24"/>
        </w:rPr>
        <w:t>the</w:t>
      </w:r>
      <w:r w:rsidR="00550A6A">
        <w:rPr>
          <w:rFonts w:ascii="Arial" w:hAnsi="Arial" w:cs="Arial"/>
          <w:sz w:val="24"/>
          <w:szCs w:val="24"/>
        </w:rPr>
        <w:t xml:space="preserve"> ‘</w:t>
      </w:r>
      <w:r w:rsidRPr="009A79F5">
        <w:rPr>
          <w:rFonts w:ascii="Arial" w:hAnsi="Arial" w:cs="Arial"/>
          <w:sz w:val="24"/>
          <w:szCs w:val="24"/>
        </w:rPr>
        <w:t>expert report of Ms Yvette Palm</w:t>
      </w:r>
      <w:r w:rsidR="00550A6A" w:rsidRPr="009A79F5">
        <w:rPr>
          <w:rFonts w:ascii="Arial" w:hAnsi="Arial" w:cs="Arial"/>
          <w:sz w:val="24"/>
          <w:szCs w:val="24"/>
        </w:rPr>
        <w:t>’</w:t>
      </w:r>
      <w:r w:rsidRPr="00C65E23">
        <w:rPr>
          <w:rFonts w:ascii="Arial" w:hAnsi="Arial" w:cs="Arial"/>
          <w:sz w:val="24"/>
          <w:szCs w:val="24"/>
        </w:rPr>
        <w:t>. What the applicant wants to do is to file a fourth set of papers to put up an affidavit about what it says will be in a report yet to be produced. It has failed to explain when it will come to hand. The applica</w:t>
      </w:r>
      <w:r w:rsidR="007D335A">
        <w:rPr>
          <w:rFonts w:ascii="Arial" w:hAnsi="Arial" w:cs="Arial"/>
          <w:sz w:val="24"/>
          <w:szCs w:val="24"/>
        </w:rPr>
        <w:t>nt inexplicably awaited the fil</w:t>
      </w:r>
      <w:r w:rsidRPr="00C65E23">
        <w:rPr>
          <w:rFonts w:ascii="Arial" w:hAnsi="Arial" w:cs="Arial"/>
          <w:sz w:val="24"/>
          <w:szCs w:val="24"/>
        </w:rPr>
        <w:t>ing of the NAC and Paragon</w:t>
      </w:r>
      <w:r w:rsidR="007D335A">
        <w:rPr>
          <w:rFonts w:ascii="Arial" w:hAnsi="Arial" w:cs="Arial"/>
          <w:sz w:val="24"/>
          <w:szCs w:val="24"/>
        </w:rPr>
        <w:t>’s</w:t>
      </w:r>
      <w:r w:rsidRPr="00C65E23">
        <w:rPr>
          <w:rFonts w:ascii="Arial" w:hAnsi="Arial" w:cs="Arial"/>
          <w:sz w:val="24"/>
          <w:szCs w:val="24"/>
        </w:rPr>
        <w:t xml:space="preserve"> answering affidavits before seeking to supplement its founding affidavit</w:t>
      </w:r>
      <w:r w:rsidR="009E1E73" w:rsidRPr="00C65E23">
        <w:rPr>
          <w:rFonts w:ascii="Arial" w:hAnsi="Arial" w:cs="Arial"/>
          <w:sz w:val="24"/>
          <w:szCs w:val="24"/>
        </w:rPr>
        <w:t>.</w:t>
      </w:r>
    </w:p>
    <w:p w:rsidR="00C65E23" w:rsidRPr="00C65E23" w:rsidRDefault="00C65E23" w:rsidP="00C65E23">
      <w:pPr>
        <w:pStyle w:val="ListParagraph"/>
        <w:rPr>
          <w:rFonts w:ascii="Arial" w:hAnsi="Arial" w:cs="Arial"/>
          <w:sz w:val="24"/>
          <w:szCs w:val="24"/>
        </w:rPr>
      </w:pPr>
    </w:p>
    <w:p w:rsidR="00480E9B" w:rsidRDefault="005470FD" w:rsidP="008F23D3">
      <w:pPr>
        <w:pStyle w:val="ListParagraph"/>
        <w:numPr>
          <w:ilvl w:val="0"/>
          <w:numId w:val="22"/>
        </w:numPr>
        <w:spacing w:after="0" w:line="360" w:lineRule="auto"/>
        <w:ind w:left="0" w:firstLine="0"/>
        <w:jc w:val="both"/>
        <w:rPr>
          <w:rFonts w:ascii="Arial" w:hAnsi="Arial" w:cs="Arial"/>
          <w:sz w:val="24"/>
          <w:szCs w:val="24"/>
        </w:rPr>
      </w:pPr>
      <w:r w:rsidRPr="00C65E23">
        <w:rPr>
          <w:rFonts w:ascii="Arial" w:hAnsi="Arial" w:cs="Arial"/>
          <w:sz w:val="24"/>
          <w:szCs w:val="24"/>
        </w:rPr>
        <w:t xml:space="preserve">It was further argued that the following is clear and cannot be disputed: First, the applicant had the full review record (ie the third record) by August 2022; Secondly, the applicant, as a consequence, had the opportunity to address issues pertaining to any alleged defects and inconsistencies in the record, by the time when the supplementary founding affidavit was filed by 21 September 2022; Thirdly, the applicant’s explanation why it did not bother with the third record was as explained entails two wholly inconsistent and internally inadequate propositions. The first is that </w:t>
      </w:r>
      <w:r w:rsidR="001E6BB7" w:rsidRPr="009A79F5">
        <w:rPr>
          <w:rFonts w:ascii="Arial" w:hAnsi="Arial" w:cs="Arial"/>
          <w:sz w:val="24"/>
          <w:szCs w:val="24"/>
        </w:rPr>
        <w:t xml:space="preserve">the </w:t>
      </w:r>
      <w:r w:rsidR="007D335A" w:rsidRPr="009A79F5">
        <w:rPr>
          <w:rFonts w:ascii="Arial" w:hAnsi="Arial" w:cs="Arial"/>
          <w:sz w:val="24"/>
          <w:szCs w:val="24"/>
        </w:rPr>
        <w:t>applicant</w:t>
      </w:r>
      <w:r w:rsidRPr="009A79F5">
        <w:rPr>
          <w:rFonts w:ascii="Arial" w:hAnsi="Arial" w:cs="Arial"/>
          <w:sz w:val="24"/>
          <w:szCs w:val="24"/>
        </w:rPr>
        <w:t xml:space="preserve"> was entitled to assume, without even scrutinizing, that the third record </w:t>
      </w:r>
      <w:r w:rsidRPr="00C65E23">
        <w:rPr>
          <w:rFonts w:ascii="Arial" w:hAnsi="Arial" w:cs="Arial"/>
          <w:sz w:val="24"/>
          <w:szCs w:val="24"/>
        </w:rPr>
        <w:t xml:space="preserve">was identical to what it had received. The second is that </w:t>
      </w:r>
      <w:r w:rsidR="007D335A">
        <w:rPr>
          <w:rFonts w:ascii="Arial" w:hAnsi="Arial" w:cs="Arial"/>
          <w:sz w:val="24"/>
          <w:szCs w:val="24"/>
        </w:rPr>
        <w:t>‘</w:t>
      </w:r>
      <w:r w:rsidRPr="00C65E23">
        <w:rPr>
          <w:rFonts w:ascii="Arial" w:hAnsi="Arial" w:cs="Arial"/>
          <w:sz w:val="24"/>
          <w:szCs w:val="24"/>
        </w:rPr>
        <w:t>Menzies’ counsel had already completed the bulk of the supplementary founding affidavit with regard to the Paragon Bid as contained in t</w:t>
      </w:r>
      <w:r w:rsidR="007D335A">
        <w:rPr>
          <w:rFonts w:ascii="Arial" w:hAnsi="Arial" w:cs="Arial"/>
          <w:sz w:val="24"/>
          <w:szCs w:val="24"/>
        </w:rPr>
        <w:t>he first and second record.’</w:t>
      </w:r>
      <w:r w:rsidRPr="00C65E23">
        <w:rPr>
          <w:rFonts w:ascii="Arial" w:hAnsi="Arial" w:cs="Arial"/>
          <w:sz w:val="24"/>
          <w:szCs w:val="24"/>
        </w:rPr>
        <w:t xml:space="preserve"> Fourthly, when a party </w:t>
      </w:r>
      <w:r w:rsidR="007D335A">
        <w:rPr>
          <w:rFonts w:ascii="Arial" w:hAnsi="Arial" w:cs="Arial"/>
          <w:sz w:val="24"/>
          <w:szCs w:val="24"/>
        </w:rPr>
        <w:t>is provided with what it terms ‘a third record’</w:t>
      </w:r>
      <w:r w:rsidRPr="00C65E23">
        <w:rPr>
          <w:rFonts w:ascii="Arial" w:hAnsi="Arial" w:cs="Arial"/>
          <w:sz w:val="24"/>
          <w:szCs w:val="24"/>
        </w:rPr>
        <w:t>, it is indeed incumbent upon it and its legal practitioners to scrutinize that record for any material differences from a prior record. They have no entitlem</w:t>
      </w:r>
      <w:r w:rsidR="009E627F">
        <w:rPr>
          <w:rFonts w:ascii="Arial" w:hAnsi="Arial" w:cs="Arial"/>
          <w:sz w:val="24"/>
          <w:szCs w:val="24"/>
        </w:rPr>
        <w:t>ent, as is asserted, to ‘expect’</w:t>
      </w:r>
      <w:r w:rsidRPr="00C65E23">
        <w:rPr>
          <w:rFonts w:ascii="Arial" w:hAnsi="Arial" w:cs="Arial"/>
          <w:sz w:val="24"/>
          <w:szCs w:val="24"/>
        </w:rPr>
        <w:t xml:space="preserve"> (i.e assume) that what has been separately provided is the same as not one, but two, prior iterations. Nor are they entitled to call in aid, as bizarrely here is done, that because a draft of the supplementary affidavit </w:t>
      </w:r>
      <w:r w:rsidRPr="00C65E23">
        <w:rPr>
          <w:rFonts w:ascii="Arial" w:hAnsi="Arial" w:cs="Arial"/>
          <w:sz w:val="24"/>
          <w:szCs w:val="24"/>
        </w:rPr>
        <w:lastRenderedPageBreak/>
        <w:t xml:space="preserve">was prepared before the third record was received, the latter could be ignored. Neither misconception entitles </w:t>
      </w:r>
      <w:r w:rsidR="001E6BB7" w:rsidRPr="00C65E23">
        <w:rPr>
          <w:rFonts w:ascii="Arial" w:hAnsi="Arial" w:cs="Arial"/>
          <w:sz w:val="24"/>
          <w:szCs w:val="24"/>
        </w:rPr>
        <w:t>the plaintiff</w:t>
      </w:r>
      <w:r w:rsidRPr="00C65E23">
        <w:rPr>
          <w:rFonts w:ascii="Arial" w:hAnsi="Arial" w:cs="Arial"/>
          <w:sz w:val="24"/>
          <w:szCs w:val="24"/>
        </w:rPr>
        <w:t xml:space="preserve"> to do what it now attempts.</w:t>
      </w:r>
    </w:p>
    <w:p w:rsidR="00480E9B" w:rsidRDefault="00480E9B" w:rsidP="00480E9B">
      <w:pPr>
        <w:pStyle w:val="ListParagraph"/>
        <w:spacing w:after="0" w:line="360" w:lineRule="auto"/>
        <w:ind w:left="0"/>
        <w:jc w:val="both"/>
        <w:rPr>
          <w:rFonts w:ascii="Arial" w:hAnsi="Arial" w:cs="Arial"/>
          <w:sz w:val="24"/>
          <w:szCs w:val="24"/>
        </w:rPr>
      </w:pPr>
    </w:p>
    <w:p w:rsidR="00480E9B" w:rsidRDefault="005470FD" w:rsidP="008F23D3">
      <w:pPr>
        <w:pStyle w:val="ListParagraph"/>
        <w:numPr>
          <w:ilvl w:val="0"/>
          <w:numId w:val="22"/>
        </w:numPr>
        <w:spacing w:after="0" w:line="360" w:lineRule="auto"/>
        <w:ind w:left="0" w:firstLine="0"/>
        <w:jc w:val="both"/>
        <w:rPr>
          <w:rFonts w:ascii="Arial" w:hAnsi="Arial" w:cs="Arial"/>
          <w:sz w:val="24"/>
          <w:szCs w:val="24"/>
        </w:rPr>
      </w:pPr>
      <w:r w:rsidRPr="00480E9B">
        <w:rPr>
          <w:rFonts w:ascii="Arial" w:hAnsi="Arial" w:cs="Arial"/>
          <w:sz w:val="24"/>
          <w:szCs w:val="24"/>
        </w:rPr>
        <w:t>The first respondent will further be suffering prejudice in that finality in a review challenge instituted over two years ago will inevitably be yet further delayed by the introduction of new evidence and that the evidence, if admitted, would naturally have be</w:t>
      </w:r>
      <w:r>
        <w:rPr>
          <w:rFonts w:ascii="Arial" w:hAnsi="Arial" w:cs="Arial"/>
          <w:sz w:val="24"/>
          <w:szCs w:val="24"/>
        </w:rPr>
        <w:t>en</w:t>
      </w:r>
      <w:r w:rsidRPr="00480E9B">
        <w:rPr>
          <w:rFonts w:ascii="Arial" w:hAnsi="Arial" w:cs="Arial"/>
          <w:sz w:val="24"/>
          <w:szCs w:val="24"/>
        </w:rPr>
        <w:t xml:space="preserve"> addressed by both respondents. Had that evidence been proffered in the founding affidavit, or the supplementary founding affidavit, it could have been addressed in the answering affidavits. But these have already been filed. It also entails that the late expert evidence almost inevitably must be met by each of the respondents in fairness being allowed to file what would be a fifth and sixth set of papers filed by the parties. With, no doubt, a seventh set in reply by the plaintiff.</w:t>
      </w:r>
    </w:p>
    <w:p w:rsidR="00480E9B" w:rsidRPr="00480E9B" w:rsidRDefault="00480E9B" w:rsidP="00480E9B">
      <w:pPr>
        <w:pStyle w:val="ListParagraph"/>
        <w:rPr>
          <w:rFonts w:ascii="Arial" w:hAnsi="Arial" w:cs="Arial"/>
          <w:sz w:val="24"/>
          <w:szCs w:val="24"/>
        </w:rPr>
      </w:pPr>
    </w:p>
    <w:p w:rsidR="00487596" w:rsidRDefault="005470FD" w:rsidP="008F23D3">
      <w:pPr>
        <w:pStyle w:val="ListParagraph"/>
        <w:numPr>
          <w:ilvl w:val="0"/>
          <w:numId w:val="22"/>
        </w:numPr>
        <w:spacing w:after="0" w:line="360" w:lineRule="auto"/>
        <w:ind w:left="0" w:firstLine="0"/>
        <w:jc w:val="both"/>
        <w:rPr>
          <w:rFonts w:ascii="Arial" w:hAnsi="Arial" w:cs="Arial"/>
          <w:sz w:val="24"/>
          <w:szCs w:val="24"/>
        </w:rPr>
      </w:pPr>
      <w:r w:rsidRPr="00480E9B">
        <w:rPr>
          <w:rFonts w:ascii="Arial" w:hAnsi="Arial" w:cs="Arial"/>
          <w:sz w:val="24"/>
          <w:szCs w:val="24"/>
        </w:rPr>
        <w:t xml:space="preserve">On behalf of the </w:t>
      </w:r>
      <w:r w:rsidR="001E6BB7" w:rsidRPr="00480E9B">
        <w:rPr>
          <w:rFonts w:ascii="Arial" w:hAnsi="Arial" w:cs="Arial"/>
          <w:sz w:val="24"/>
          <w:szCs w:val="24"/>
        </w:rPr>
        <w:t xml:space="preserve">second respondent, it was </w:t>
      </w:r>
      <w:r w:rsidRPr="00480E9B">
        <w:rPr>
          <w:rFonts w:ascii="Arial" w:hAnsi="Arial" w:cs="Arial"/>
          <w:sz w:val="24"/>
          <w:szCs w:val="24"/>
        </w:rPr>
        <w:t>submit</w:t>
      </w:r>
      <w:r w:rsidR="00480E9B">
        <w:rPr>
          <w:rFonts w:ascii="Arial" w:hAnsi="Arial" w:cs="Arial"/>
          <w:sz w:val="24"/>
          <w:szCs w:val="24"/>
        </w:rPr>
        <w:t>ted</w:t>
      </w:r>
      <w:r w:rsidRPr="00480E9B">
        <w:rPr>
          <w:rFonts w:ascii="Arial" w:hAnsi="Arial" w:cs="Arial"/>
          <w:sz w:val="24"/>
          <w:szCs w:val="24"/>
        </w:rPr>
        <w:t xml:space="preserve"> that there would be massive prejudice to the </w:t>
      </w:r>
      <w:r w:rsidR="001E6BB7" w:rsidRPr="00480E9B">
        <w:rPr>
          <w:rFonts w:ascii="Arial" w:hAnsi="Arial" w:cs="Arial"/>
          <w:sz w:val="24"/>
          <w:szCs w:val="24"/>
        </w:rPr>
        <w:t>r</w:t>
      </w:r>
      <w:r w:rsidR="009E627F">
        <w:rPr>
          <w:rFonts w:ascii="Arial" w:hAnsi="Arial" w:cs="Arial"/>
          <w:sz w:val="24"/>
          <w:szCs w:val="24"/>
        </w:rPr>
        <w:t>espondents who have</w:t>
      </w:r>
      <w:r w:rsidRPr="00480E9B">
        <w:rPr>
          <w:rFonts w:ascii="Arial" w:hAnsi="Arial" w:cs="Arial"/>
          <w:sz w:val="24"/>
          <w:szCs w:val="24"/>
        </w:rPr>
        <w:t xml:space="preserve"> since filed their a</w:t>
      </w:r>
      <w:r w:rsidR="009E627F">
        <w:rPr>
          <w:rFonts w:ascii="Arial" w:hAnsi="Arial" w:cs="Arial"/>
          <w:sz w:val="24"/>
          <w:szCs w:val="24"/>
        </w:rPr>
        <w:t xml:space="preserve">nswering affidavits. Further, </w:t>
      </w:r>
      <w:r w:rsidR="009E627F" w:rsidRPr="009A79F5">
        <w:rPr>
          <w:rFonts w:ascii="Arial" w:hAnsi="Arial" w:cs="Arial"/>
          <w:sz w:val="24"/>
          <w:szCs w:val="24"/>
        </w:rPr>
        <w:t>they</w:t>
      </w:r>
      <w:r w:rsidR="009E627F">
        <w:rPr>
          <w:rFonts w:ascii="Arial" w:hAnsi="Arial" w:cs="Arial"/>
          <w:color w:val="FF0000"/>
          <w:sz w:val="24"/>
          <w:szCs w:val="24"/>
        </w:rPr>
        <w:t xml:space="preserve"> </w:t>
      </w:r>
      <w:r w:rsidRPr="00480E9B">
        <w:rPr>
          <w:rFonts w:ascii="Arial" w:hAnsi="Arial" w:cs="Arial"/>
          <w:sz w:val="24"/>
          <w:szCs w:val="24"/>
        </w:rPr>
        <w:t xml:space="preserve">submit that acceptance of a further affidavit will be against public policy </w:t>
      </w:r>
      <w:r w:rsidR="001E6BB7" w:rsidRPr="00480E9B">
        <w:rPr>
          <w:rFonts w:ascii="Arial" w:hAnsi="Arial" w:cs="Arial"/>
          <w:sz w:val="24"/>
          <w:szCs w:val="24"/>
        </w:rPr>
        <w:t>and interest in particular that</w:t>
      </w:r>
      <w:r w:rsidRPr="00480E9B">
        <w:rPr>
          <w:rFonts w:ascii="Arial" w:hAnsi="Arial" w:cs="Arial"/>
          <w:sz w:val="24"/>
          <w:szCs w:val="24"/>
        </w:rPr>
        <w:t xml:space="preserve"> finality will not be reached in the near future in a context of a procurement award of a tender for </w:t>
      </w:r>
      <w:r w:rsidR="009E627F">
        <w:rPr>
          <w:rFonts w:ascii="Arial" w:hAnsi="Arial" w:cs="Arial"/>
          <w:sz w:val="24"/>
          <w:szCs w:val="24"/>
        </w:rPr>
        <w:t xml:space="preserve">a fixed time period of five </w:t>
      </w:r>
      <w:r w:rsidRPr="00480E9B">
        <w:rPr>
          <w:rFonts w:ascii="Arial" w:hAnsi="Arial" w:cs="Arial"/>
          <w:sz w:val="24"/>
          <w:szCs w:val="24"/>
        </w:rPr>
        <w:t>years.</w:t>
      </w:r>
    </w:p>
    <w:p w:rsidR="00480E9B" w:rsidRPr="00480E9B" w:rsidRDefault="00480E9B" w:rsidP="00480E9B">
      <w:pPr>
        <w:pStyle w:val="ListParagraph"/>
        <w:spacing w:after="0" w:line="360" w:lineRule="auto"/>
        <w:ind w:left="0"/>
        <w:jc w:val="both"/>
        <w:rPr>
          <w:rFonts w:ascii="Arial" w:hAnsi="Arial" w:cs="Arial"/>
          <w:sz w:val="24"/>
          <w:szCs w:val="24"/>
        </w:rPr>
      </w:pPr>
    </w:p>
    <w:p w:rsidR="00480E9B" w:rsidRDefault="005470FD" w:rsidP="00480E9B">
      <w:pPr>
        <w:spacing w:after="0" w:line="360" w:lineRule="auto"/>
        <w:jc w:val="both"/>
        <w:rPr>
          <w:rFonts w:ascii="Arial" w:hAnsi="Arial" w:cs="Arial"/>
          <w:sz w:val="24"/>
          <w:szCs w:val="24"/>
          <w:u w:val="single"/>
        </w:rPr>
      </w:pPr>
      <w:r w:rsidRPr="00487596">
        <w:rPr>
          <w:rFonts w:ascii="Arial" w:hAnsi="Arial" w:cs="Arial"/>
          <w:sz w:val="24"/>
          <w:szCs w:val="24"/>
          <w:u w:val="single"/>
        </w:rPr>
        <w:t xml:space="preserve">Legal Considerations </w:t>
      </w:r>
      <w:r w:rsidR="001E6BB7">
        <w:rPr>
          <w:rFonts w:ascii="Arial" w:hAnsi="Arial" w:cs="Arial"/>
          <w:sz w:val="24"/>
          <w:szCs w:val="24"/>
          <w:u w:val="single"/>
        </w:rPr>
        <w:t xml:space="preserve">in </w:t>
      </w:r>
      <w:r w:rsidR="001E6BB7" w:rsidRPr="001E6BB7">
        <w:rPr>
          <w:rFonts w:ascii="Arial" w:hAnsi="Arial" w:cs="Arial"/>
          <w:sz w:val="24"/>
          <w:szCs w:val="24"/>
          <w:u w:val="single"/>
        </w:rPr>
        <w:t>the supplementation application</w:t>
      </w:r>
    </w:p>
    <w:p w:rsidR="00480E9B" w:rsidRDefault="00480E9B" w:rsidP="00480E9B">
      <w:pPr>
        <w:spacing w:after="0" w:line="360" w:lineRule="auto"/>
        <w:jc w:val="both"/>
        <w:rPr>
          <w:rFonts w:ascii="Arial" w:hAnsi="Arial" w:cs="Arial"/>
          <w:sz w:val="24"/>
          <w:szCs w:val="24"/>
          <w:u w:val="single"/>
        </w:rPr>
      </w:pPr>
    </w:p>
    <w:p w:rsidR="00487596" w:rsidRDefault="005470FD" w:rsidP="00480E9B">
      <w:pPr>
        <w:spacing w:after="0" w:line="360" w:lineRule="auto"/>
        <w:jc w:val="both"/>
        <w:rPr>
          <w:rFonts w:ascii="Arial" w:hAnsi="Arial" w:cs="Arial"/>
          <w:sz w:val="24"/>
          <w:szCs w:val="24"/>
        </w:rPr>
      </w:pPr>
      <w:r w:rsidRPr="00487596">
        <w:rPr>
          <w:rFonts w:ascii="Arial" w:hAnsi="Arial" w:cs="Arial"/>
          <w:sz w:val="24"/>
          <w:szCs w:val="24"/>
        </w:rPr>
        <w:t>[20]</w:t>
      </w:r>
      <w:r>
        <w:rPr>
          <w:rFonts w:ascii="Arial" w:hAnsi="Arial" w:cs="Arial"/>
          <w:sz w:val="24"/>
          <w:szCs w:val="24"/>
        </w:rPr>
        <w:tab/>
      </w:r>
      <w:r w:rsidRPr="00487596">
        <w:rPr>
          <w:rFonts w:ascii="Arial" w:hAnsi="Arial" w:cs="Arial"/>
          <w:sz w:val="24"/>
          <w:szCs w:val="24"/>
        </w:rPr>
        <w:t>An applicant must establish a prima facie case in its founding pa</w:t>
      </w:r>
      <w:r>
        <w:rPr>
          <w:rFonts w:ascii="Arial" w:hAnsi="Arial" w:cs="Arial"/>
          <w:sz w:val="24"/>
          <w:szCs w:val="24"/>
        </w:rPr>
        <w:t>pers</w:t>
      </w:r>
      <w:r>
        <w:rPr>
          <w:rStyle w:val="FootnoteReference"/>
          <w:rFonts w:ascii="Arial" w:hAnsi="Arial" w:cs="Arial"/>
          <w:sz w:val="24"/>
          <w:szCs w:val="24"/>
        </w:rPr>
        <w:footnoteReference w:id="1"/>
      </w:r>
      <w:r>
        <w:rPr>
          <w:rFonts w:ascii="Arial" w:hAnsi="Arial" w:cs="Arial"/>
          <w:sz w:val="24"/>
          <w:szCs w:val="24"/>
        </w:rPr>
        <w:t xml:space="preserve"> </w:t>
      </w:r>
      <w:r w:rsidRPr="00487596">
        <w:rPr>
          <w:rFonts w:ascii="Arial" w:hAnsi="Arial" w:cs="Arial"/>
          <w:sz w:val="24"/>
          <w:szCs w:val="24"/>
        </w:rPr>
        <w:t>and as such it is crucial that an applicant’s founding affidavit must contain all evidence necessary to support its case.</w:t>
      </w:r>
      <w:r>
        <w:rPr>
          <w:rStyle w:val="FootnoteReference"/>
          <w:rFonts w:ascii="Arial" w:hAnsi="Arial" w:cs="Arial"/>
          <w:sz w:val="24"/>
          <w:szCs w:val="24"/>
        </w:rPr>
        <w:footnoteReference w:id="2"/>
      </w:r>
      <w:r w:rsidR="00926BC9">
        <w:rPr>
          <w:rFonts w:ascii="Arial" w:hAnsi="Arial" w:cs="Arial"/>
          <w:sz w:val="24"/>
          <w:szCs w:val="24"/>
        </w:rPr>
        <w:t xml:space="preserve"> </w:t>
      </w:r>
      <w:r w:rsidR="00622DEF">
        <w:rPr>
          <w:rFonts w:ascii="Arial" w:hAnsi="Arial" w:cs="Arial"/>
          <w:sz w:val="24"/>
          <w:szCs w:val="24"/>
        </w:rPr>
        <w:t xml:space="preserve">In </w:t>
      </w:r>
      <w:r w:rsidR="00622DEF" w:rsidRPr="009E2799">
        <w:rPr>
          <w:rFonts w:ascii="Arial" w:hAnsi="Arial" w:cs="Arial"/>
          <w:i/>
          <w:sz w:val="24"/>
          <w:szCs w:val="24"/>
        </w:rPr>
        <w:t>Kapia v Minister of Urban and R</w:t>
      </w:r>
      <w:r w:rsidR="009E2799">
        <w:rPr>
          <w:rFonts w:ascii="Arial" w:hAnsi="Arial" w:cs="Arial"/>
          <w:i/>
          <w:sz w:val="24"/>
          <w:szCs w:val="24"/>
        </w:rPr>
        <w:t>ural D</w:t>
      </w:r>
      <w:r w:rsidR="00622DEF" w:rsidRPr="009E2799">
        <w:rPr>
          <w:rFonts w:ascii="Arial" w:hAnsi="Arial" w:cs="Arial"/>
          <w:i/>
          <w:sz w:val="24"/>
          <w:szCs w:val="24"/>
        </w:rPr>
        <w:t>evelopment</w:t>
      </w:r>
      <w:r>
        <w:rPr>
          <w:rStyle w:val="FootnoteReference"/>
          <w:rFonts w:ascii="Arial" w:hAnsi="Arial" w:cs="Arial"/>
          <w:sz w:val="24"/>
          <w:szCs w:val="24"/>
        </w:rPr>
        <w:footnoteReference w:id="3"/>
      </w:r>
      <w:r w:rsidR="00926BC9">
        <w:rPr>
          <w:rFonts w:ascii="Arial" w:hAnsi="Arial" w:cs="Arial"/>
          <w:i/>
          <w:sz w:val="24"/>
          <w:szCs w:val="24"/>
        </w:rPr>
        <w:t xml:space="preserve"> </w:t>
      </w:r>
      <w:r w:rsidR="00622DEF">
        <w:rPr>
          <w:rFonts w:ascii="Arial" w:hAnsi="Arial" w:cs="Arial"/>
          <w:sz w:val="24"/>
          <w:szCs w:val="24"/>
        </w:rPr>
        <w:t xml:space="preserve">Prinsloo, J </w:t>
      </w:r>
      <w:r w:rsidR="00480E9B">
        <w:rPr>
          <w:rFonts w:ascii="Arial" w:hAnsi="Arial" w:cs="Arial"/>
          <w:sz w:val="24"/>
          <w:szCs w:val="24"/>
        </w:rPr>
        <w:t>analyzed</w:t>
      </w:r>
      <w:r w:rsidR="00622DEF">
        <w:rPr>
          <w:rFonts w:ascii="Arial" w:hAnsi="Arial" w:cs="Arial"/>
          <w:sz w:val="24"/>
          <w:szCs w:val="24"/>
        </w:rPr>
        <w:t xml:space="preserve"> the requirements for the granting of such relief.  She said:</w:t>
      </w:r>
    </w:p>
    <w:p w:rsidR="00480E9B" w:rsidRDefault="00480E9B" w:rsidP="00480E9B">
      <w:pPr>
        <w:spacing w:after="0" w:line="360" w:lineRule="auto"/>
        <w:jc w:val="both"/>
        <w:rPr>
          <w:rFonts w:ascii="Arial" w:hAnsi="Arial" w:cs="Arial"/>
          <w:sz w:val="24"/>
          <w:szCs w:val="24"/>
        </w:rPr>
      </w:pPr>
    </w:p>
    <w:p w:rsidR="00622DEF" w:rsidRPr="009E2799" w:rsidRDefault="005470FD" w:rsidP="00622DEF">
      <w:pPr>
        <w:spacing w:line="360" w:lineRule="auto"/>
        <w:ind w:firstLine="360"/>
        <w:jc w:val="both"/>
        <w:rPr>
          <w:rFonts w:ascii="Arial" w:hAnsi="Arial" w:cs="Arial"/>
          <w:lang w:val="en-ZA"/>
        </w:rPr>
      </w:pPr>
      <w:r>
        <w:rPr>
          <w:rFonts w:ascii="Arial" w:hAnsi="Arial" w:cs="Arial"/>
        </w:rPr>
        <w:t>‘</w:t>
      </w:r>
      <w:r w:rsidRPr="009E2799">
        <w:rPr>
          <w:rFonts w:ascii="Arial" w:hAnsi="Arial" w:cs="Arial"/>
        </w:rPr>
        <w:t xml:space="preserve">It is trite that in motion proceedings, the evidence must be led before the court by way of affidavit. The affidavits are limited to three sets. These affidavits are </w:t>
      </w:r>
      <w:r w:rsidRPr="009E2799">
        <w:rPr>
          <w:rFonts w:ascii="Arial" w:hAnsi="Arial" w:cs="Arial"/>
          <w:lang w:val="en-ZA"/>
        </w:rPr>
        <w:t>supporting affidavits, answering affidavits, and replying affidavits. If a party requires the filing of further affidavits, leave must be sought from the court to do so.</w:t>
      </w:r>
    </w:p>
    <w:p w:rsidR="00622DEF" w:rsidRPr="009E2799" w:rsidRDefault="005470FD" w:rsidP="00622DEF">
      <w:pPr>
        <w:pStyle w:val="ListParagraph"/>
        <w:numPr>
          <w:ilvl w:val="0"/>
          <w:numId w:val="20"/>
        </w:numPr>
        <w:spacing w:line="360" w:lineRule="auto"/>
        <w:ind w:left="0" w:firstLine="0"/>
        <w:jc w:val="both"/>
        <w:rPr>
          <w:rFonts w:ascii="Arial" w:hAnsi="Arial" w:cs="Arial"/>
          <w:lang w:val="en-ZA"/>
        </w:rPr>
      </w:pPr>
      <w:r w:rsidRPr="009E2799">
        <w:rPr>
          <w:rFonts w:ascii="Arial" w:hAnsi="Arial" w:cs="Arial"/>
          <w:lang w:val="en-ZA"/>
        </w:rPr>
        <w:lastRenderedPageBreak/>
        <w:t>The practice in respect of filing affidavits in application or motion proceedings has been developed by various decisions over time and was previously not formulated by the rules of court or statutes. That position was, however, remedied by rule 66(2) of the Rules of Court, which reads as follows:</w:t>
      </w:r>
    </w:p>
    <w:p w:rsidR="00622DEF" w:rsidRPr="009E2799" w:rsidRDefault="005470FD" w:rsidP="00622DEF">
      <w:pPr>
        <w:spacing w:line="360" w:lineRule="auto"/>
        <w:jc w:val="both"/>
        <w:rPr>
          <w:rFonts w:ascii="Arial" w:hAnsi="Arial" w:cs="Arial"/>
          <w:lang w:val="en-ZA"/>
        </w:rPr>
      </w:pPr>
      <w:r w:rsidRPr="009E2799">
        <w:rPr>
          <w:rFonts w:ascii="Arial" w:hAnsi="Arial" w:cs="Arial"/>
          <w:lang w:val="en-ZA"/>
        </w:rPr>
        <w:t>‘</w:t>
      </w:r>
      <w:r w:rsidRPr="009E2799">
        <w:rPr>
          <w:rFonts w:ascii="Arial" w:hAnsi="Arial" w:cs="Arial"/>
        </w:rPr>
        <w:t>(2) The applicant may, within 14 days of the service on him or her of the affidavit and documents referred to in subrule (1)(b), deliver a replying affidavit </w:t>
      </w:r>
      <w:r w:rsidRPr="009E2799">
        <w:rPr>
          <w:rFonts w:ascii="Arial" w:hAnsi="Arial" w:cs="Arial"/>
          <w:u w:val="single"/>
        </w:rPr>
        <w:t>and the court may in its discretion permit the filing of further affidavits.</w:t>
      </w:r>
      <w:r w:rsidRPr="009E2799">
        <w:rPr>
          <w:rFonts w:ascii="Arial" w:hAnsi="Arial" w:cs="Arial"/>
        </w:rPr>
        <w:t>’ (my emphasis)</w:t>
      </w:r>
    </w:p>
    <w:p w:rsidR="00622DEF" w:rsidRPr="009E2799" w:rsidRDefault="005470FD" w:rsidP="00622DEF">
      <w:pPr>
        <w:numPr>
          <w:ilvl w:val="0"/>
          <w:numId w:val="15"/>
        </w:numPr>
        <w:spacing w:line="360" w:lineRule="auto"/>
        <w:ind w:left="0" w:firstLine="0"/>
        <w:jc w:val="both"/>
        <w:rPr>
          <w:rFonts w:ascii="Arial" w:hAnsi="Arial" w:cs="Arial"/>
          <w:lang w:val="en-ZA"/>
        </w:rPr>
      </w:pPr>
      <w:r w:rsidRPr="009E2799">
        <w:rPr>
          <w:rFonts w:ascii="Arial" w:hAnsi="Arial" w:cs="Arial"/>
        </w:rPr>
        <w:t>In </w:t>
      </w:r>
      <w:r w:rsidRPr="009E2799">
        <w:rPr>
          <w:rFonts w:ascii="Arial" w:hAnsi="Arial" w:cs="Arial"/>
          <w:i/>
          <w:iCs/>
        </w:rPr>
        <w:t>Fisher v Seelenbinder</w:t>
      </w:r>
      <w:r>
        <w:rPr>
          <w:rStyle w:val="FootnoteReference"/>
          <w:rFonts w:ascii="Arial" w:hAnsi="Arial" w:cs="Arial"/>
          <w:i/>
          <w:iCs/>
        </w:rPr>
        <w:footnoteReference w:id="4"/>
      </w:r>
      <w:r w:rsidRPr="009E2799">
        <w:rPr>
          <w:rFonts w:ascii="Arial" w:hAnsi="Arial" w:cs="Arial"/>
          <w:i/>
          <w:iCs/>
        </w:rPr>
        <w:t>,</w:t>
      </w:r>
      <w:r w:rsidRPr="009E2799">
        <w:rPr>
          <w:rFonts w:ascii="Arial" w:hAnsi="Arial" w:cs="Arial"/>
        </w:rPr>
        <w:t> Ueitele J discussed the filing of further affidavits as follows</w:t>
      </w:r>
      <w:r>
        <w:rPr>
          <w:rStyle w:val="FootnoteReference"/>
          <w:rFonts w:ascii="Arial" w:hAnsi="Arial" w:cs="Arial"/>
        </w:rPr>
        <w:footnoteReference w:id="5"/>
      </w:r>
      <w:r w:rsidRPr="009E2799">
        <w:rPr>
          <w:rFonts w:ascii="Arial" w:hAnsi="Arial" w:cs="Arial"/>
        </w:rPr>
        <w:t>:</w:t>
      </w:r>
    </w:p>
    <w:p w:rsidR="00622DEF" w:rsidRPr="009E2799" w:rsidRDefault="005470FD" w:rsidP="00622DEF">
      <w:pPr>
        <w:spacing w:line="360" w:lineRule="auto"/>
        <w:jc w:val="both"/>
        <w:rPr>
          <w:rFonts w:ascii="Arial" w:hAnsi="Arial" w:cs="Arial"/>
          <w:lang w:val="en-ZA"/>
        </w:rPr>
      </w:pPr>
      <w:r w:rsidRPr="009E2799">
        <w:rPr>
          <w:rFonts w:ascii="Arial" w:hAnsi="Arial" w:cs="Arial"/>
          <w:lang w:val="en-ZA"/>
        </w:rPr>
        <w:t>‘</w:t>
      </w:r>
      <w:r w:rsidRPr="009E2799">
        <w:rPr>
          <w:rFonts w:ascii="Arial" w:hAnsi="Arial" w:cs="Arial"/>
        </w:rPr>
        <w:t xml:space="preserve">[17] It is trite that in motion proceedings the ordinary rule is that three sets of affidavits are allowed, i.e. the supporting affidavits, the answering affidavits, and the replying affidavit. In the matter of </w:t>
      </w:r>
      <w:r w:rsidRPr="009E2799">
        <w:rPr>
          <w:rFonts w:ascii="Arial" w:hAnsi="Arial" w:cs="Arial"/>
          <w:i/>
          <w:iCs/>
        </w:rPr>
        <w:t>Ritz Reise (Pty) Ltd v Air Namibia (Pty) Ltd</w:t>
      </w:r>
      <w:r>
        <w:rPr>
          <w:rStyle w:val="FootnoteReference"/>
          <w:rFonts w:ascii="Arial" w:hAnsi="Arial" w:cs="Arial"/>
          <w:i/>
          <w:iCs/>
        </w:rPr>
        <w:footnoteReference w:id="6"/>
      </w:r>
      <w:r w:rsidRPr="009E2799">
        <w:rPr>
          <w:rFonts w:ascii="Arial" w:hAnsi="Arial" w:cs="Arial"/>
          <w:i/>
          <w:iCs/>
        </w:rPr>
        <w:t>, </w:t>
      </w:r>
      <w:r w:rsidRPr="009E2799">
        <w:rPr>
          <w:rFonts w:ascii="Arial" w:hAnsi="Arial" w:cs="Arial"/>
        </w:rPr>
        <w:t xml:space="preserve">this Court stated that it may in its discretion permit the filing of further affidavit. Quoting from the South African case of </w:t>
      </w:r>
      <w:r w:rsidRPr="009E2799">
        <w:rPr>
          <w:rFonts w:ascii="Arial" w:hAnsi="Arial" w:cs="Arial"/>
          <w:i/>
          <w:iCs/>
        </w:rPr>
        <w:t>Juntgen T/A Paul Juntgen Real Estate v Nottbusch</w:t>
      </w:r>
      <w:r>
        <w:rPr>
          <w:rStyle w:val="FootnoteReference"/>
          <w:rFonts w:ascii="Arial" w:hAnsi="Arial" w:cs="Arial"/>
          <w:i/>
          <w:iCs/>
        </w:rPr>
        <w:footnoteReference w:id="7"/>
      </w:r>
      <w:r w:rsidRPr="009E2799">
        <w:rPr>
          <w:rFonts w:ascii="Arial" w:hAnsi="Arial" w:cs="Arial"/>
        </w:rPr>
        <w:t>, it said:</w:t>
      </w:r>
    </w:p>
    <w:p w:rsidR="00622DEF" w:rsidRPr="009E2799" w:rsidRDefault="005470FD" w:rsidP="00622DEF">
      <w:pPr>
        <w:spacing w:line="360" w:lineRule="auto"/>
        <w:jc w:val="both"/>
        <w:rPr>
          <w:rFonts w:ascii="Arial" w:hAnsi="Arial" w:cs="Arial"/>
        </w:rPr>
      </w:pPr>
      <w:r w:rsidRPr="009E2799">
        <w:rPr>
          <w:rFonts w:ascii="Arial" w:hAnsi="Arial" w:cs="Arial"/>
        </w:rPr>
        <w:t>'Generally, a Court has a discretion, which is inherent to the just performance of its decision reaching process, to grant that relief which is necessary to enable a party to make a full representation of his true case.'</w:t>
      </w:r>
    </w:p>
    <w:p w:rsidR="00622DEF" w:rsidRPr="009E2799" w:rsidRDefault="005470FD" w:rsidP="00622DEF">
      <w:pPr>
        <w:spacing w:line="360" w:lineRule="auto"/>
        <w:jc w:val="both"/>
        <w:rPr>
          <w:rFonts w:ascii="Arial" w:hAnsi="Arial" w:cs="Arial"/>
          <w:lang w:val="en-ZA"/>
        </w:rPr>
      </w:pPr>
      <w:r w:rsidRPr="009E2799">
        <w:rPr>
          <w:rFonts w:ascii="Arial" w:hAnsi="Arial" w:cs="Arial"/>
        </w:rPr>
        <w:t>[18] In the matter of </w:t>
      </w:r>
      <w:r w:rsidRPr="009E2799">
        <w:rPr>
          <w:rFonts w:ascii="Arial" w:hAnsi="Arial" w:cs="Arial"/>
          <w:i/>
          <w:iCs/>
        </w:rPr>
        <w:t>Maritima Consulting Services CC v Northgate Distribution Services Ltd</w:t>
      </w:r>
      <w:r>
        <w:rPr>
          <w:rStyle w:val="FootnoteReference"/>
          <w:rFonts w:ascii="Arial" w:hAnsi="Arial" w:cs="Arial"/>
          <w:i/>
          <w:iCs/>
        </w:rPr>
        <w:footnoteReference w:id="8"/>
      </w:r>
      <w:r w:rsidRPr="009E2799">
        <w:rPr>
          <w:rFonts w:ascii="Arial" w:hAnsi="Arial" w:cs="Arial"/>
          <w:i/>
          <w:iCs/>
        </w:rPr>
        <w:t>, </w:t>
      </w:r>
      <w:r w:rsidRPr="009E2799">
        <w:rPr>
          <w:rFonts w:ascii="Arial" w:hAnsi="Arial" w:cs="Arial"/>
        </w:rPr>
        <w:t>the Court held </w:t>
      </w:r>
      <w:r w:rsidRPr="009E2799">
        <w:rPr>
          <w:rFonts w:ascii="Arial" w:hAnsi="Arial" w:cs="Arial"/>
          <w:u w:val="single"/>
        </w:rPr>
        <w:t>that leave to file further affidavits by a party will be granted only in special circumstances or if the court considers such a course advisable.</w:t>
      </w:r>
      <w:r w:rsidRPr="009E2799">
        <w:rPr>
          <w:rFonts w:ascii="Arial" w:hAnsi="Arial" w:cs="Arial"/>
        </w:rPr>
        <w:t> Thus, the filing of further answering affidavits will be permitted where, for instance, ‘there is a possibility of prejudice to the respondent if further information is not allowed’.’ (my underlining)</w:t>
      </w:r>
    </w:p>
    <w:p w:rsidR="00622DEF" w:rsidRPr="009E2799" w:rsidRDefault="005470FD" w:rsidP="00622DEF">
      <w:pPr>
        <w:numPr>
          <w:ilvl w:val="0"/>
          <w:numId w:val="16"/>
        </w:numPr>
        <w:spacing w:line="360" w:lineRule="auto"/>
        <w:ind w:left="0" w:firstLine="0"/>
        <w:jc w:val="both"/>
        <w:rPr>
          <w:rFonts w:ascii="Arial" w:hAnsi="Arial" w:cs="Arial"/>
          <w:lang w:val="en-ZA"/>
        </w:rPr>
      </w:pPr>
      <w:r w:rsidRPr="009E2799">
        <w:rPr>
          <w:rFonts w:ascii="Arial" w:hAnsi="Arial" w:cs="Arial"/>
        </w:rPr>
        <w:t>In </w:t>
      </w:r>
      <w:r w:rsidRPr="009E2799">
        <w:rPr>
          <w:rFonts w:ascii="Arial" w:hAnsi="Arial" w:cs="Arial"/>
          <w:i/>
          <w:iCs/>
        </w:rPr>
        <w:t>The Namibian Competition Commission v Puma Energy (Pty) Ltd</w:t>
      </w:r>
      <w:r>
        <w:rPr>
          <w:rStyle w:val="FootnoteReference"/>
          <w:rFonts w:ascii="Arial" w:hAnsi="Arial" w:cs="Arial"/>
          <w:i/>
          <w:iCs/>
        </w:rPr>
        <w:footnoteReference w:id="9"/>
      </w:r>
      <w:r w:rsidRPr="009E2799">
        <w:rPr>
          <w:rFonts w:ascii="Arial" w:hAnsi="Arial" w:cs="Arial"/>
          <w:i/>
          <w:iCs/>
        </w:rPr>
        <w:t>,</w:t>
      </w:r>
      <w:r w:rsidRPr="009E2799">
        <w:rPr>
          <w:rFonts w:ascii="Arial" w:hAnsi="Arial" w:cs="Arial"/>
        </w:rPr>
        <w:t> Ueitele J expanded on the issue of ‘special circumstances’ and prejudice but, more importantly, the discretion of the court and discussed it as follows:</w:t>
      </w:r>
    </w:p>
    <w:p w:rsidR="00622DEF" w:rsidRPr="009E2799" w:rsidRDefault="005470FD" w:rsidP="00622DEF">
      <w:pPr>
        <w:spacing w:line="360" w:lineRule="auto"/>
        <w:jc w:val="both"/>
        <w:rPr>
          <w:rFonts w:ascii="Arial" w:hAnsi="Arial" w:cs="Arial"/>
          <w:lang w:val="en-ZA"/>
        </w:rPr>
      </w:pPr>
      <w:r w:rsidRPr="009E2799">
        <w:rPr>
          <w:rFonts w:ascii="Arial" w:hAnsi="Arial" w:cs="Arial"/>
          <w:lang w:val="en-ZA"/>
        </w:rPr>
        <w:t>‘[11] In the South African case of </w:t>
      </w:r>
      <w:r w:rsidRPr="009E2799">
        <w:rPr>
          <w:rFonts w:ascii="Arial" w:hAnsi="Arial" w:cs="Arial"/>
          <w:i/>
          <w:iCs/>
          <w:lang w:val="en-ZA"/>
        </w:rPr>
        <w:t>James Brown &amp; Hamer (Pty) Ltd v Simmons N.O</w:t>
      </w:r>
      <w:r>
        <w:rPr>
          <w:rStyle w:val="FootnoteReference"/>
          <w:rFonts w:ascii="Arial" w:hAnsi="Arial" w:cs="Arial"/>
          <w:i/>
          <w:iCs/>
          <w:lang w:val="en-ZA"/>
        </w:rPr>
        <w:footnoteReference w:id="10"/>
      </w:r>
      <w:r w:rsidRPr="009E2799">
        <w:rPr>
          <w:rFonts w:ascii="Arial" w:hAnsi="Arial" w:cs="Arial"/>
          <w:lang w:val="en-ZA"/>
        </w:rPr>
        <w:t> the Court said:</w:t>
      </w:r>
    </w:p>
    <w:p w:rsidR="00622DEF" w:rsidRPr="009E2799" w:rsidRDefault="005470FD" w:rsidP="00622DEF">
      <w:pPr>
        <w:spacing w:line="360" w:lineRule="auto"/>
        <w:jc w:val="both"/>
        <w:rPr>
          <w:rFonts w:ascii="Arial" w:hAnsi="Arial" w:cs="Arial"/>
          <w:lang w:val="en-ZA"/>
        </w:rPr>
      </w:pPr>
      <w:r w:rsidRPr="009E2799">
        <w:rPr>
          <w:rFonts w:ascii="Arial" w:hAnsi="Arial" w:cs="Arial"/>
          <w:lang w:val="en-ZA"/>
        </w:rPr>
        <w:lastRenderedPageBreak/>
        <w:t>‘It is in the interests of the administration of justice that the well-known and well-established general rules regarding the number of sets and the proper sequence of affidavits in motion proceedings should ordinarily be observed. </w:t>
      </w:r>
      <w:r w:rsidRPr="009E2799">
        <w:rPr>
          <w:rFonts w:ascii="Arial" w:hAnsi="Arial" w:cs="Arial"/>
          <w:u w:val="single"/>
          <w:lang w:val="en-ZA"/>
        </w:rPr>
        <w:t>That is not to say that those general rules must always be rigidly applied: some flexibility, controlled by the presiding Judge exercising his discretion in relation to the facts of the case before him, must necessarily also be permitted</w:t>
      </w:r>
      <w:r w:rsidRPr="009E2799">
        <w:rPr>
          <w:rFonts w:ascii="Arial" w:hAnsi="Arial" w:cs="Arial"/>
          <w:lang w:val="en-ZA"/>
        </w:rPr>
        <w:t>. Where, as in the present case, an affidavit is tendered in motion proceedings both late and out of its ordinary sequence, the party tendering it is seeking not a right, but an indulgence from the Court: he must </w:t>
      </w:r>
      <w:r w:rsidRPr="009E2799">
        <w:rPr>
          <w:rFonts w:ascii="Arial" w:hAnsi="Arial" w:cs="Arial"/>
          <w:u w:val="single"/>
          <w:lang w:val="en-ZA"/>
        </w:rPr>
        <w:t>both advance his explanation of why the affidavit is out of time and satisfy the Court that, although the affidavit is late, it should, having regard to all the circumstances of the case, nevertheless be received.</w:t>
      </w:r>
      <w:r w:rsidRPr="009E2799">
        <w:rPr>
          <w:rFonts w:ascii="Arial" w:hAnsi="Arial" w:cs="Arial"/>
          <w:lang w:val="en-ZA"/>
        </w:rPr>
        <w:t> Attempted definition of the ambit of a discretion is neither easy nor desirable.’</w:t>
      </w:r>
    </w:p>
    <w:p w:rsidR="00622DEF" w:rsidRPr="009E2799" w:rsidRDefault="005470FD" w:rsidP="00622DEF">
      <w:pPr>
        <w:spacing w:line="360" w:lineRule="auto"/>
        <w:jc w:val="both"/>
        <w:rPr>
          <w:rFonts w:ascii="Arial" w:hAnsi="Arial" w:cs="Arial"/>
          <w:lang w:val="en-ZA"/>
        </w:rPr>
      </w:pPr>
      <w:r w:rsidRPr="009E2799">
        <w:rPr>
          <w:rFonts w:ascii="Arial" w:hAnsi="Arial" w:cs="Arial"/>
          <w:lang w:val="en-ZA"/>
        </w:rPr>
        <w:t>[12] The above principle was endorsed by this Court when it held that leave to file further affidavits by a party will be granted only in special circumstances or if the court considers such a course advisable. Thus, the filing of further answering affidavits will be permitted where, for instance, ‘there is a possibility of prejudice to the respondent if further information is not allowed.’</w:t>
      </w:r>
      <w:r>
        <w:rPr>
          <w:rStyle w:val="FootnoteReference"/>
          <w:rFonts w:ascii="Arial" w:hAnsi="Arial" w:cs="Arial"/>
          <w:lang w:val="en-ZA"/>
        </w:rPr>
        <w:footnoteReference w:id="11"/>
      </w:r>
      <w:r w:rsidRPr="009E2799">
        <w:rPr>
          <w:rFonts w:ascii="Arial" w:hAnsi="Arial" w:cs="Arial"/>
          <w:lang w:val="en-ZA"/>
        </w:rPr>
        <w:t> The court will allow the filing of further affidavits only in exceptional circumstances and will expect an explanation as to why the filing of further affidavits is necessary.</w:t>
      </w:r>
      <w:r>
        <w:rPr>
          <w:rStyle w:val="FootnoteReference"/>
          <w:rFonts w:ascii="Arial" w:hAnsi="Arial" w:cs="Arial"/>
          <w:lang w:val="en-ZA"/>
        </w:rPr>
        <w:footnoteReference w:id="12"/>
      </w:r>
    </w:p>
    <w:p w:rsidR="00622DEF" w:rsidRPr="009E2799" w:rsidRDefault="005470FD" w:rsidP="00622DEF">
      <w:pPr>
        <w:spacing w:line="360" w:lineRule="auto"/>
        <w:jc w:val="both"/>
        <w:rPr>
          <w:rFonts w:ascii="Arial" w:hAnsi="Arial" w:cs="Arial"/>
          <w:lang w:val="en-ZA"/>
        </w:rPr>
      </w:pPr>
      <w:r w:rsidRPr="009E2799">
        <w:rPr>
          <w:rFonts w:ascii="Arial" w:hAnsi="Arial" w:cs="Arial"/>
        </w:rPr>
        <w:t>[13] </w:t>
      </w:r>
      <w:r w:rsidRPr="009E2799">
        <w:rPr>
          <w:rFonts w:ascii="Arial" w:hAnsi="Arial" w:cs="Arial"/>
          <w:u w:val="single"/>
        </w:rPr>
        <w:t xml:space="preserve">The court exercises judicial discretion when it considers whether or not to allow the filing of a further affidavit. In the exercising of discretion, the Court essentially asks the question </w:t>
      </w:r>
      <w:r w:rsidRPr="009E2799">
        <w:rPr>
          <w:rFonts w:ascii="Arial" w:hAnsi="Arial" w:cs="Arial"/>
          <w:i/>
          <w:iCs/>
          <w:u w:val="single"/>
        </w:rPr>
        <w:t>'Do the circumstances of the case demand the filling of an additional affidavit?'</w:t>
      </w:r>
      <w:r w:rsidRPr="009E2799">
        <w:rPr>
          <w:rFonts w:ascii="Arial" w:hAnsi="Arial" w:cs="Arial"/>
        </w:rPr>
        <w:t> The authorities that I have perused indicate that special circumstances have been held to exist and a departure from the general rule has been allowed where there was something unexpected in the applicant's replying affidavits</w:t>
      </w:r>
      <w:r>
        <w:rPr>
          <w:rStyle w:val="FootnoteReference"/>
          <w:rFonts w:ascii="Arial" w:hAnsi="Arial" w:cs="Arial"/>
        </w:rPr>
        <w:footnoteReference w:id="13"/>
      </w:r>
      <w:r w:rsidRPr="009E2799">
        <w:rPr>
          <w:rFonts w:ascii="Arial" w:hAnsi="Arial" w:cs="Arial"/>
        </w:rPr>
        <w:t> or where a new matter was raised therein and also where the Court desired to have fuller information on record.</w:t>
      </w:r>
    </w:p>
    <w:p w:rsidR="00622DEF" w:rsidRPr="002D70A3" w:rsidRDefault="005470FD" w:rsidP="00622DEF">
      <w:pPr>
        <w:spacing w:line="360" w:lineRule="auto"/>
        <w:jc w:val="both"/>
        <w:rPr>
          <w:rFonts w:ascii="Arial" w:hAnsi="Arial" w:cs="Arial"/>
          <w:lang w:val="en-ZA"/>
        </w:rPr>
      </w:pPr>
      <w:r w:rsidRPr="009E2799">
        <w:rPr>
          <w:rFonts w:ascii="Arial" w:hAnsi="Arial" w:cs="Arial"/>
        </w:rPr>
        <w:t>[14] Where, however, there is a possibility of prejudice to the respondent if further information is not allowed the Court will, so the learned authors </w:t>
      </w:r>
      <w:r w:rsidRPr="009E2799">
        <w:rPr>
          <w:rFonts w:ascii="Arial" w:hAnsi="Arial" w:cs="Arial"/>
          <w:i/>
          <w:iCs/>
        </w:rPr>
        <w:t>Herbstein and van Winsen</w:t>
      </w:r>
      <w:r>
        <w:rPr>
          <w:rStyle w:val="FootnoteReference"/>
          <w:rFonts w:ascii="Arial" w:hAnsi="Arial" w:cs="Arial"/>
          <w:i/>
          <w:iCs/>
        </w:rPr>
        <w:footnoteReference w:id="14"/>
      </w:r>
      <w:r w:rsidRPr="009E2799">
        <w:rPr>
          <w:rFonts w:ascii="Arial" w:hAnsi="Arial" w:cs="Arial"/>
        </w:rPr>
        <w:t> say, admit the further affidavits. There must, however, be a proper and satisfactory explanation which negatives </w:t>
      </w:r>
      <w:r w:rsidRPr="009E2799">
        <w:rPr>
          <w:rFonts w:ascii="Arial" w:hAnsi="Arial" w:cs="Arial"/>
          <w:i/>
          <w:iCs/>
        </w:rPr>
        <w:t>mala fides</w:t>
      </w:r>
      <w:r w:rsidRPr="009E2799">
        <w:rPr>
          <w:rFonts w:ascii="Arial" w:hAnsi="Arial" w:cs="Arial"/>
        </w:rPr>
        <w:t> or culpable remissness as to the cause of the facts or information not being put before the Court at an earlier stage and what is more important is that the Court must be satisfied that no prejudice is caused by the filing of the additional affidavits which cannot be remedied by an appropriate order as to costs.’ (my underlining)</w:t>
      </w:r>
    </w:p>
    <w:p w:rsidR="00622DEF" w:rsidRPr="009E2799" w:rsidRDefault="005470FD" w:rsidP="00622DEF">
      <w:pPr>
        <w:numPr>
          <w:ilvl w:val="0"/>
          <w:numId w:val="17"/>
        </w:numPr>
        <w:spacing w:line="360" w:lineRule="auto"/>
        <w:ind w:left="0" w:firstLine="0"/>
        <w:jc w:val="both"/>
        <w:rPr>
          <w:rFonts w:ascii="Arial" w:hAnsi="Arial" w:cs="Arial"/>
          <w:lang w:val="en-ZA"/>
        </w:rPr>
      </w:pPr>
      <w:r w:rsidRPr="009E2799">
        <w:rPr>
          <w:rFonts w:ascii="Arial" w:hAnsi="Arial" w:cs="Arial"/>
        </w:rPr>
        <w:lastRenderedPageBreak/>
        <w:t>A party seeking to introduce further affidavits in proceedings is seeking the court’s indulgence. In the matter of </w:t>
      </w:r>
      <w:r w:rsidRPr="009E2799">
        <w:rPr>
          <w:rFonts w:ascii="Arial" w:hAnsi="Arial" w:cs="Arial"/>
          <w:i/>
          <w:iCs/>
        </w:rPr>
        <w:t>Bangtoo Bros and Others v National Transport Commission and Others</w:t>
      </w:r>
      <w:r>
        <w:rPr>
          <w:rStyle w:val="FootnoteReference"/>
          <w:rFonts w:ascii="Arial" w:hAnsi="Arial" w:cs="Arial"/>
          <w:i/>
          <w:iCs/>
        </w:rPr>
        <w:footnoteReference w:id="15"/>
      </w:r>
      <w:r w:rsidRPr="009E2799">
        <w:rPr>
          <w:rFonts w:ascii="Arial" w:hAnsi="Arial" w:cs="Arial"/>
        </w:rPr>
        <w:t>, the court held that where supplementary affidavits do not deal with new matters arising from the reply by an applicant or evidence which came to the attention of the parties subsequent to the filing of their affidavits, the party seeking the indulgence must provide an explanation which is sufficient to assuage any concern that the application is mala fide or that the failure to have introduced the evidence in question is not due to a culpable remissness of such party.</w:t>
      </w:r>
    </w:p>
    <w:p w:rsidR="00622DEF" w:rsidRPr="009E2799" w:rsidRDefault="005470FD" w:rsidP="00622DEF">
      <w:pPr>
        <w:numPr>
          <w:ilvl w:val="0"/>
          <w:numId w:val="18"/>
        </w:numPr>
        <w:spacing w:line="360" w:lineRule="auto"/>
        <w:ind w:left="0" w:firstLine="0"/>
        <w:jc w:val="both"/>
        <w:rPr>
          <w:rFonts w:ascii="Arial" w:hAnsi="Arial" w:cs="Arial"/>
          <w:lang w:val="en-ZA"/>
        </w:rPr>
      </w:pPr>
      <w:r w:rsidRPr="009E2799">
        <w:rPr>
          <w:rFonts w:ascii="Arial" w:hAnsi="Arial" w:cs="Arial"/>
        </w:rPr>
        <w:t>...</w:t>
      </w:r>
    </w:p>
    <w:p w:rsidR="00622DEF" w:rsidRPr="009E2799" w:rsidRDefault="005470FD" w:rsidP="00622DEF">
      <w:pPr>
        <w:numPr>
          <w:ilvl w:val="0"/>
          <w:numId w:val="19"/>
        </w:numPr>
        <w:spacing w:line="360" w:lineRule="auto"/>
        <w:ind w:left="0" w:firstLine="0"/>
        <w:jc w:val="both"/>
        <w:rPr>
          <w:rFonts w:ascii="Arial" w:hAnsi="Arial" w:cs="Arial"/>
        </w:rPr>
      </w:pPr>
      <w:r w:rsidRPr="009E2799">
        <w:rPr>
          <w:rFonts w:ascii="Arial" w:hAnsi="Arial" w:cs="Arial"/>
        </w:rPr>
        <w:t>I am of the view that the findings that this court needs to make in the current instance are three-fold, namely: a) whether the applicants made out a case for special circumstances that would allow the granting of the order sought by the applicants, b) whether a reasonable explanation was advanced as to why the facts or information not being put before the Court at an earlier stage, and lastly if the respondents would suffer prejudice if the court grants the application.</w:t>
      </w:r>
      <w:r w:rsidR="009E2799" w:rsidRPr="009E2799">
        <w:rPr>
          <w:rFonts w:ascii="Arial" w:hAnsi="Arial" w:cs="Arial"/>
        </w:rPr>
        <w:t>’</w:t>
      </w:r>
    </w:p>
    <w:p w:rsidR="00622DEF" w:rsidRDefault="005470FD" w:rsidP="00480E9B">
      <w:pPr>
        <w:pStyle w:val="ListParagraph"/>
        <w:numPr>
          <w:ilvl w:val="0"/>
          <w:numId w:val="25"/>
        </w:numPr>
        <w:spacing w:after="0" w:line="360" w:lineRule="auto"/>
        <w:ind w:left="0" w:firstLine="0"/>
        <w:jc w:val="both"/>
        <w:rPr>
          <w:rFonts w:ascii="Arial" w:hAnsi="Arial" w:cs="Arial"/>
          <w:sz w:val="24"/>
          <w:szCs w:val="24"/>
        </w:rPr>
      </w:pPr>
      <w:r w:rsidRPr="00480E9B">
        <w:rPr>
          <w:rFonts w:ascii="Arial" w:hAnsi="Arial" w:cs="Arial"/>
          <w:sz w:val="24"/>
          <w:szCs w:val="24"/>
        </w:rPr>
        <w:t xml:space="preserve">Regarding prejudice, the court in </w:t>
      </w:r>
      <w:r w:rsidRPr="00480E9B">
        <w:rPr>
          <w:rFonts w:ascii="Arial" w:hAnsi="Arial" w:cs="Arial"/>
          <w:i/>
          <w:sz w:val="24"/>
          <w:szCs w:val="24"/>
        </w:rPr>
        <w:t>Transvaal Racing Club v Jockey Club of South Africa</w:t>
      </w:r>
      <w:r>
        <w:rPr>
          <w:rStyle w:val="FootnoteReference"/>
          <w:rFonts w:ascii="Arial" w:hAnsi="Arial" w:cs="Arial"/>
          <w:sz w:val="24"/>
          <w:szCs w:val="24"/>
        </w:rPr>
        <w:footnoteReference w:id="16"/>
      </w:r>
      <w:r w:rsidR="00291196">
        <w:rPr>
          <w:rFonts w:ascii="Arial" w:hAnsi="Arial" w:cs="Arial"/>
          <w:i/>
          <w:sz w:val="24"/>
          <w:szCs w:val="24"/>
        </w:rPr>
        <w:t xml:space="preserve"> </w:t>
      </w:r>
      <w:r w:rsidR="00531DE9" w:rsidRPr="00480E9B">
        <w:rPr>
          <w:rFonts w:ascii="Arial" w:hAnsi="Arial" w:cs="Arial"/>
          <w:sz w:val="24"/>
          <w:szCs w:val="24"/>
        </w:rPr>
        <w:t>said the following:</w:t>
      </w:r>
    </w:p>
    <w:p w:rsidR="00480E9B" w:rsidRPr="00480E9B" w:rsidRDefault="00480E9B" w:rsidP="00480E9B">
      <w:pPr>
        <w:pStyle w:val="ListParagraph"/>
        <w:spacing w:after="0" w:line="360" w:lineRule="auto"/>
        <w:ind w:left="0"/>
        <w:jc w:val="both"/>
        <w:rPr>
          <w:rFonts w:ascii="Arial" w:hAnsi="Arial" w:cs="Arial"/>
          <w:sz w:val="24"/>
          <w:szCs w:val="24"/>
        </w:rPr>
      </w:pPr>
    </w:p>
    <w:p w:rsidR="00531DE9" w:rsidRDefault="005470FD" w:rsidP="00291196">
      <w:pPr>
        <w:spacing w:after="0" w:line="360" w:lineRule="auto"/>
        <w:jc w:val="both"/>
        <w:rPr>
          <w:rFonts w:ascii="Arial" w:hAnsi="Arial" w:cs="Arial"/>
        </w:rPr>
      </w:pPr>
      <w:r w:rsidRPr="00531DE9">
        <w:rPr>
          <w:rFonts w:ascii="Arial" w:hAnsi="Arial" w:cs="Arial"/>
        </w:rPr>
        <w:tab/>
        <w:t>‘ I think that if there is an explanation which negatives mala fides or culpable remissness as the cause of the facts or information not being put before the Court at an earlier stage, the Court should incline towards allowing the affidavits to be filed. As in the analogous cases of the late amendment of pleadings or the leading of further evidence in a trial, the Court tends to that course which will allow a party to put his full case before the Court. But there must be a proper and satisfactory explanation as to why it was not done earlier, and, what is also important, the Court must be satisfied that no prejudice is caused to the opposite party which cannot be remedied by an appropriate order as to costs.’</w:t>
      </w:r>
    </w:p>
    <w:p w:rsidR="00291196" w:rsidRPr="00531DE9" w:rsidRDefault="00291196" w:rsidP="00291196">
      <w:pPr>
        <w:spacing w:after="0" w:line="360" w:lineRule="auto"/>
        <w:jc w:val="both"/>
        <w:rPr>
          <w:rFonts w:ascii="Arial" w:hAnsi="Arial" w:cs="Arial"/>
        </w:rPr>
      </w:pPr>
    </w:p>
    <w:p w:rsidR="00184C3A" w:rsidRDefault="005470FD" w:rsidP="00291196">
      <w:pPr>
        <w:spacing w:after="0" w:line="360" w:lineRule="auto"/>
        <w:jc w:val="both"/>
        <w:rPr>
          <w:rFonts w:ascii="Arial" w:hAnsi="Arial" w:cs="Arial"/>
          <w:sz w:val="24"/>
          <w:szCs w:val="24"/>
          <w:u w:val="single"/>
        </w:rPr>
      </w:pPr>
      <w:r w:rsidRPr="001E6BB7">
        <w:rPr>
          <w:rFonts w:ascii="Arial" w:hAnsi="Arial" w:cs="Arial"/>
          <w:sz w:val="24"/>
          <w:szCs w:val="24"/>
          <w:u w:val="single"/>
        </w:rPr>
        <w:t xml:space="preserve">The </w:t>
      </w:r>
      <w:r w:rsidR="00291196">
        <w:rPr>
          <w:rFonts w:ascii="Arial" w:hAnsi="Arial" w:cs="Arial"/>
          <w:i/>
          <w:sz w:val="24"/>
          <w:szCs w:val="24"/>
          <w:u w:val="single"/>
        </w:rPr>
        <w:t>pendente l</w:t>
      </w:r>
      <w:r w:rsidRPr="001E6BB7">
        <w:rPr>
          <w:rFonts w:ascii="Arial" w:hAnsi="Arial" w:cs="Arial"/>
          <w:i/>
          <w:sz w:val="24"/>
          <w:szCs w:val="24"/>
          <w:u w:val="single"/>
        </w:rPr>
        <w:t>ite</w:t>
      </w:r>
      <w:r w:rsidR="00291196">
        <w:rPr>
          <w:rFonts w:ascii="Arial" w:hAnsi="Arial" w:cs="Arial"/>
          <w:sz w:val="24"/>
          <w:szCs w:val="24"/>
          <w:u w:val="single"/>
        </w:rPr>
        <w:t xml:space="preserve"> i</w:t>
      </w:r>
      <w:r w:rsidRPr="001E6BB7">
        <w:rPr>
          <w:rFonts w:ascii="Arial" w:hAnsi="Arial" w:cs="Arial"/>
          <w:sz w:val="24"/>
          <w:szCs w:val="24"/>
          <w:u w:val="single"/>
        </w:rPr>
        <w:t>nterdict</w:t>
      </w:r>
    </w:p>
    <w:p w:rsidR="00480E9B" w:rsidRDefault="00480E9B" w:rsidP="001E6BB7">
      <w:pPr>
        <w:spacing w:after="0" w:line="360" w:lineRule="auto"/>
        <w:jc w:val="both"/>
        <w:rPr>
          <w:rFonts w:ascii="Arial" w:hAnsi="Arial" w:cs="Arial"/>
          <w:sz w:val="24"/>
          <w:szCs w:val="24"/>
          <w:u w:val="single"/>
        </w:rPr>
      </w:pPr>
    </w:p>
    <w:p w:rsidR="001E6BB7" w:rsidRPr="00F04123" w:rsidRDefault="005470FD" w:rsidP="001E6BB7">
      <w:pPr>
        <w:spacing w:after="0" w:line="360" w:lineRule="auto"/>
        <w:jc w:val="both"/>
        <w:rPr>
          <w:rFonts w:ascii="Arial" w:hAnsi="Arial" w:cs="Arial"/>
          <w:i/>
          <w:sz w:val="24"/>
          <w:szCs w:val="24"/>
        </w:rPr>
      </w:pPr>
      <w:r w:rsidRPr="00F04123">
        <w:rPr>
          <w:rFonts w:ascii="Arial" w:hAnsi="Arial" w:cs="Arial"/>
          <w:i/>
          <w:sz w:val="24"/>
          <w:szCs w:val="24"/>
        </w:rPr>
        <w:t>Background</w:t>
      </w:r>
    </w:p>
    <w:p w:rsidR="00480E9B" w:rsidRDefault="00480E9B" w:rsidP="001E6BB7">
      <w:pPr>
        <w:spacing w:after="0" w:line="360" w:lineRule="auto"/>
        <w:jc w:val="both"/>
        <w:rPr>
          <w:rFonts w:ascii="Arial" w:hAnsi="Arial" w:cs="Arial"/>
          <w:sz w:val="24"/>
          <w:szCs w:val="24"/>
          <w:u w:val="single"/>
        </w:rPr>
      </w:pPr>
    </w:p>
    <w:p w:rsidR="00C656A1" w:rsidRDefault="005470FD" w:rsidP="00480E9B">
      <w:pPr>
        <w:pStyle w:val="ListParagraph"/>
        <w:numPr>
          <w:ilvl w:val="0"/>
          <w:numId w:val="25"/>
        </w:numPr>
        <w:spacing w:after="0" w:line="360" w:lineRule="auto"/>
        <w:ind w:left="0" w:firstLine="0"/>
        <w:jc w:val="both"/>
        <w:rPr>
          <w:rFonts w:ascii="Arial" w:hAnsi="Arial" w:cs="Arial"/>
          <w:sz w:val="24"/>
          <w:szCs w:val="24"/>
        </w:rPr>
      </w:pPr>
      <w:r w:rsidRPr="00480E9B">
        <w:rPr>
          <w:rFonts w:ascii="Arial" w:hAnsi="Arial" w:cs="Arial"/>
          <w:sz w:val="24"/>
          <w:szCs w:val="24"/>
        </w:rPr>
        <w:t>The</w:t>
      </w:r>
      <w:r w:rsidR="00E812DA">
        <w:rPr>
          <w:rFonts w:ascii="Arial" w:hAnsi="Arial" w:cs="Arial"/>
          <w:sz w:val="24"/>
          <w:szCs w:val="24"/>
        </w:rPr>
        <w:t xml:space="preserve"> applicant was rendering ground-</w:t>
      </w:r>
      <w:r w:rsidRPr="00480E9B">
        <w:rPr>
          <w:rFonts w:ascii="Arial" w:hAnsi="Arial" w:cs="Arial"/>
          <w:sz w:val="24"/>
          <w:szCs w:val="24"/>
        </w:rPr>
        <w:t xml:space="preserve">handling services to the </w:t>
      </w:r>
      <w:r w:rsidR="00480E9B">
        <w:rPr>
          <w:rFonts w:ascii="Arial" w:hAnsi="Arial" w:cs="Arial"/>
          <w:sz w:val="24"/>
          <w:szCs w:val="24"/>
        </w:rPr>
        <w:t>first respondent at Hosea Kutako</w:t>
      </w:r>
      <w:r w:rsidRPr="00480E9B">
        <w:rPr>
          <w:rFonts w:ascii="Arial" w:hAnsi="Arial" w:cs="Arial"/>
          <w:sz w:val="24"/>
          <w:szCs w:val="24"/>
        </w:rPr>
        <w:t xml:space="preserve"> International Airport as per an agreement between the applicant and </w:t>
      </w:r>
      <w:r w:rsidRPr="00480E9B">
        <w:rPr>
          <w:rFonts w:ascii="Arial" w:hAnsi="Arial" w:cs="Arial"/>
          <w:sz w:val="24"/>
          <w:szCs w:val="24"/>
        </w:rPr>
        <w:lastRenderedPageBreak/>
        <w:t>the first respondent.  Accord</w:t>
      </w:r>
      <w:r w:rsidR="00480E9B">
        <w:rPr>
          <w:rFonts w:ascii="Arial" w:hAnsi="Arial" w:cs="Arial"/>
          <w:sz w:val="24"/>
          <w:szCs w:val="24"/>
        </w:rPr>
        <w:t>ing to the first respondent, that</w:t>
      </w:r>
      <w:r w:rsidRPr="00480E9B">
        <w:rPr>
          <w:rFonts w:ascii="Arial" w:hAnsi="Arial" w:cs="Arial"/>
          <w:sz w:val="24"/>
          <w:szCs w:val="24"/>
        </w:rPr>
        <w:t xml:space="preserve"> agreement came to an end on 30 June 2022.  The first respondent then sought the applicant’s urgent ejectment, which order was granted and is appealed against.</w:t>
      </w:r>
      <w:r w:rsidR="00E812DA">
        <w:rPr>
          <w:rFonts w:ascii="Arial" w:hAnsi="Arial" w:cs="Arial"/>
          <w:sz w:val="24"/>
          <w:szCs w:val="24"/>
        </w:rPr>
        <w:t xml:space="preserve"> The first respondent - in its ‘Notice to Stakeholders’</w:t>
      </w:r>
      <w:r w:rsidRPr="00480E9B">
        <w:rPr>
          <w:rFonts w:ascii="Arial" w:hAnsi="Arial" w:cs="Arial"/>
          <w:sz w:val="24"/>
          <w:szCs w:val="24"/>
        </w:rPr>
        <w:t xml:space="preserve"> da</w:t>
      </w:r>
      <w:r w:rsidR="00E812DA">
        <w:rPr>
          <w:rFonts w:ascii="Arial" w:hAnsi="Arial" w:cs="Arial"/>
          <w:sz w:val="24"/>
          <w:szCs w:val="24"/>
        </w:rPr>
        <w:t>ted 30 June 2022 - stated that ‘</w:t>
      </w:r>
      <w:r w:rsidRPr="00480E9B">
        <w:rPr>
          <w:rFonts w:ascii="Arial" w:hAnsi="Arial" w:cs="Arial"/>
          <w:sz w:val="24"/>
          <w:szCs w:val="24"/>
        </w:rPr>
        <w:t>Kindly take notice that Menzies Aviation will continue to provide ground handling services at HKIA until further notice.</w:t>
      </w:r>
      <w:r w:rsidR="00E812DA">
        <w:rPr>
          <w:rFonts w:ascii="Arial" w:hAnsi="Arial" w:cs="Arial"/>
          <w:sz w:val="24"/>
          <w:szCs w:val="24"/>
        </w:rPr>
        <w:t>’</w:t>
      </w:r>
      <w:r w:rsidRPr="00480E9B">
        <w:rPr>
          <w:rFonts w:ascii="Arial" w:hAnsi="Arial" w:cs="Arial"/>
          <w:sz w:val="24"/>
          <w:szCs w:val="24"/>
        </w:rPr>
        <w:t xml:space="preserve"> The applicant contends that in so doing, an agreement was reached and remains in place.  The applicant therefore continues to occupy and prov</w:t>
      </w:r>
      <w:r w:rsidR="00E812DA">
        <w:rPr>
          <w:rFonts w:ascii="Arial" w:hAnsi="Arial" w:cs="Arial"/>
          <w:sz w:val="24"/>
          <w:szCs w:val="24"/>
        </w:rPr>
        <w:t>ide ground-</w:t>
      </w:r>
      <w:r w:rsidRPr="00480E9B">
        <w:rPr>
          <w:rFonts w:ascii="Arial" w:hAnsi="Arial" w:cs="Arial"/>
          <w:sz w:val="24"/>
          <w:szCs w:val="24"/>
        </w:rPr>
        <w:t>handling services in terms of a new agreement con</w:t>
      </w:r>
      <w:r w:rsidR="00E812DA">
        <w:rPr>
          <w:rFonts w:ascii="Arial" w:hAnsi="Arial" w:cs="Arial"/>
          <w:sz w:val="24"/>
          <w:szCs w:val="24"/>
        </w:rPr>
        <w:t>cluded after the Sibeya J judg</w:t>
      </w:r>
      <w:r w:rsidRPr="00480E9B">
        <w:rPr>
          <w:rFonts w:ascii="Arial" w:hAnsi="Arial" w:cs="Arial"/>
          <w:sz w:val="24"/>
          <w:szCs w:val="24"/>
        </w:rPr>
        <w:t>ment</w:t>
      </w:r>
      <w:r w:rsidR="00E812DA">
        <w:rPr>
          <w:rFonts w:ascii="Arial" w:hAnsi="Arial" w:cs="Arial"/>
          <w:sz w:val="24"/>
          <w:szCs w:val="24"/>
        </w:rPr>
        <w:t>,</w:t>
      </w:r>
      <w:r w:rsidRPr="00480E9B">
        <w:rPr>
          <w:rFonts w:ascii="Arial" w:hAnsi="Arial" w:cs="Arial"/>
          <w:sz w:val="24"/>
          <w:szCs w:val="24"/>
        </w:rPr>
        <w:t xml:space="preserve"> in the urgent application.  </w:t>
      </w:r>
    </w:p>
    <w:p w:rsidR="00480E9B" w:rsidRDefault="00480E9B" w:rsidP="00480E9B">
      <w:pPr>
        <w:pStyle w:val="ListParagraph"/>
        <w:spacing w:after="0" w:line="360" w:lineRule="auto"/>
        <w:ind w:left="0"/>
        <w:jc w:val="both"/>
        <w:rPr>
          <w:rFonts w:ascii="Arial" w:hAnsi="Arial" w:cs="Arial"/>
          <w:sz w:val="24"/>
          <w:szCs w:val="24"/>
        </w:rPr>
      </w:pPr>
    </w:p>
    <w:p w:rsidR="001E6BB7" w:rsidRPr="00480E9B" w:rsidRDefault="005470FD" w:rsidP="001E6BB7">
      <w:pPr>
        <w:pStyle w:val="ListParagraph"/>
        <w:numPr>
          <w:ilvl w:val="0"/>
          <w:numId w:val="25"/>
        </w:numPr>
        <w:spacing w:after="0" w:line="360" w:lineRule="auto"/>
        <w:ind w:left="0" w:firstLine="0"/>
        <w:jc w:val="both"/>
        <w:rPr>
          <w:rFonts w:ascii="Arial" w:hAnsi="Arial" w:cs="Arial"/>
          <w:sz w:val="24"/>
          <w:szCs w:val="24"/>
        </w:rPr>
      </w:pPr>
      <w:r w:rsidRPr="00480E9B">
        <w:rPr>
          <w:rFonts w:ascii="Arial" w:hAnsi="Arial" w:cs="Arial"/>
          <w:sz w:val="24"/>
          <w:szCs w:val="24"/>
        </w:rPr>
        <w:t xml:space="preserve">The applicant currently enjoys undisturbed possession of the rental premises at the Hosea Kutako International Airport and also </w:t>
      </w:r>
      <w:r w:rsidR="00E812DA">
        <w:rPr>
          <w:rFonts w:ascii="Arial" w:hAnsi="Arial" w:cs="Arial"/>
          <w:sz w:val="24"/>
          <w:szCs w:val="24"/>
        </w:rPr>
        <w:t>continues to provide ground</w:t>
      </w:r>
      <w:r w:rsidRPr="00480E9B">
        <w:rPr>
          <w:rFonts w:ascii="Arial" w:hAnsi="Arial" w:cs="Arial"/>
          <w:sz w:val="24"/>
          <w:szCs w:val="24"/>
        </w:rPr>
        <w:t xml:space="preserve"> handling at the airport in terms of a new agreement reached on 30 June 2022. With the appeal pending, the first respondent expressly elected not to ac</w:t>
      </w:r>
      <w:r w:rsidR="00480E9B">
        <w:rPr>
          <w:rFonts w:ascii="Arial" w:hAnsi="Arial" w:cs="Arial"/>
          <w:sz w:val="24"/>
          <w:szCs w:val="24"/>
        </w:rPr>
        <w:t>t in terms of r</w:t>
      </w:r>
      <w:r w:rsidRPr="00480E9B">
        <w:rPr>
          <w:rFonts w:ascii="Arial" w:hAnsi="Arial" w:cs="Arial"/>
          <w:sz w:val="24"/>
          <w:szCs w:val="24"/>
        </w:rPr>
        <w:t xml:space="preserve">ule 121(2) and despite the tender being awarded to Paragon, it was never implemented.  </w:t>
      </w:r>
    </w:p>
    <w:p w:rsidR="00C656A1" w:rsidRDefault="00C656A1" w:rsidP="001E6BB7">
      <w:pPr>
        <w:spacing w:after="0" w:line="360" w:lineRule="auto"/>
        <w:jc w:val="both"/>
        <w:rPr>
          <w:rFonts w:ascii="Arial" w:hAnsi="Arial" w:cs="Arial"/>
          <w:sz w:val="24"/>
          <w:szCs w:val="24"/>
        </w:rPr>
      </w:pPr>
    </w:p>
    <w:p w:rsidR="00C656A1" w:rsidRDefault="005470FD" w:rsidP="001E6BB7">
      <w:pPr>
        <w:spacing w:after="0" w:line="360" w:lineRule="auto"/>
        <w:jc w:val="both"/>
        <w:rPr>
          <w:rFonts w:ascii="Arial" w:hAnsi="Arial" w:cs="Arial"/>
          <w:sz w:val="24"/>
          <w:szCs w:val="24"/>
          <w:u w:val="single"/>
        </w:rPr>
      </w:pPr>
      <w:r w:rsidRPr="00784043">
        <w:rPr>
          <w:rFonts w:ascii="Arial" w:hAnsi="Arial" w:cs="Arial"/>
          <w:sz w:val="24"/>
          <w:szCs w:val="24"/>
          <w:u w:val="single"/>
        </w:rPr>
        <w:t xml:space="preserve">The </w:t>
      </w:r>
      <w:r w:rsidR="000743F3">
        <w:rPr>
          <w:rFonts w:ascii="Arial" w:hAnsi="Arial" w:cs="Arial"/>
          <w:i/>
          <w:sz w:val="24"/>
          <w:szCs w:val="24"/>
          <w:u w:val="single"/>
        </w:rPr>
        <w:t>pendente l</w:t>
      </w:r>
      <w:r w:rsidRPr="001022CB">
        <w:rPr>
          <w:rFonts w:ascii="Arial" w:hAnsi="Arial" w:cs="Arial"/>
          <w:i/>
          <w:sz w:val="24"/>
          <w:szCs w:val="24"/>
          <w:u w:val="single"/>
        </w:rPr>
        <w:t>ite</w:t>
      </w:r>
      <w:r w:rsidR="000743F3">
        <w:rPr>
          <w:rFonts w:ascii="Arial" w:hAnsi="Arial" w:cs="Arial"/>
          <w:sz w:val="24"/>
          <w:szCs w:val="24"/>
          <w:u w:val="single"/>
        </w:rPr>
        <w:t xml:space="preserve"> i</w:t>
      </w:r>
      <w:r w:rsidRPr="00784043">
        <w:rPr>
          <w:rFonts w:ascii="Arial" w:hAnsi="Arial" w:cs="Arial"/>
          <w:sz w:val="24"/>
          <w:szCs w:val="24"/>
          <w:u w:val="single"/>
        </w:rPr>
        <w:t>nterdict application</w:t>
      </w:r>
    </w:p>
    <w:p w:rsidR="001B137C" w:rsidRDefault="001B137C" w:rsidP="001E6BB7">
      <w:pPr>
        <w:spacing w:after="0" w:line="360" w:lineRule="auto"/>
        <w:jc w:val="both"/>
        <w:rPr>
          <w:rFonts w:ascii="Arial" w:hAnsi="Arial" w:cs="Arial"/>
          <w:sz w:val="24"/>
          <w:szCs w:val="24"/>
          <w:u w:val="single"/>
        </w:rPr>
      </w:pPr>
    </w:p>
    <w:p w:rsidR="00784043" w:rsidRDefault="005470FD" w:rsidP="00F04123">
      <w:pPr>
        <w:spacing w:after="0" w:line="360" w:lineRule="auto"/>
        <w:jc w:val="both"/>
        <w:rPr>
          <w:rFonts w:ascii="Arial" w:hAnsi="Arial" w:cs="Arial"/>
          <w:sz w:val="24"/>
          <w:szCs w:val="24"/>
        </w:rPr>
      </w:pPr>
      <w:r w:rsidRPr="00784043">
        <w:rPr>
          <w:rFonts w:ascii="Arial" w:hAnsi="Arial" w:cs="Arial"/>
          <w:sz w:val="24"/>
          <w:szCs w:val="24"/>
        </w:rPr>
        <w:t>[24]</w:t>
      </w:r>
      <w:r w:rsidRPr="00784043">
        <w:rPr>
          <w:rFonts w:ascii="Arial" w:hAnsi="Arial" w:cs="Arial"/>
          <w:sz w:val="24"/>
          <w:szCs w:val="24"/>
        </w:rPr>
        <w:tab/>
      </w:r>
      <w:r>
        <w:rPr>
          <w:rFonts w:ascii="Arial" w:hAnsi="Arial" w:cs="Arial"/>
          <w:sz w:val="24"/>
          <w:szCs w:val="24"/>
        </w:rPr>
        <w:t>The application filed by the applicants seeks the following orders:</w:t>
      </w:r>
    </w:p>
    <w:p w:rsidR="00F04123" w:rsidRDefault="00F04123" w:rsidP="00F04123">
      <w:pPr>
        <w:spacing w:after="0" w:line="360" w:lineRule="auto"/>
        <w:jc w:val="both"/>
        <w:rPr>
          <w:rFonts w:ascii="Arial" w:hAnsi="Arial" w:cs="Arial"/>
        </w:rPr>
      </w:pPr>
    </w:p>
    <w:p w:rsidR="00784043" w:rsidRPr="00784043" w:rsidRDefault="005470FD" w:rsidP="00F04123">
      <w:pPr>
        <w:spacing w:after="0" w:line="360" w:lineRule="auto"/>
        <w:ind w:firstLine="720"/>
        <w:jc w:val="both"/>
        <w:rPr>
          <w:rFonts w:ascii="Arial" w:hAnsi="Arial" w:cs="Arial"/>
        </w:rPr>
      </w:pPr>
      <w:r w:rsidRPr="00784043">
        <w:rPr>
          <w:rFonts w:ascii="Arial" w:hAnsi="Arial" w:cs="Arial"/>
        </w:rPr>
        <w:t>‘Interdicting the first respondent from</w:t>
      </w:r>
    </w:p>
    <w:p w:rsidR="00784043" w:rsidRPr="00784043" w:rsidRDefault="00784043" w:rsidP="001E6BB7">
      <w:pPr>
        <w:spacing w:after="0" w:line="360" w:lineRule="auto"/>
        <w:jc w:val="both"/>
        <w:rPr>
          <w:rFonts w:ascii="Arial" w:hAnsi="Arial" w:cs="Arial"/>
        </w:rPr>
      </w:pPr>
    </w:p>
    <w:p w:rsidR="00784043" w:rsidRPr="00784043" w:rsidRDefault="005470FD" w:rsidP="001E6BB7">
      <w:pPr>
        <w:spacing w:after="0" w:line="360" w:lineRule="auto"/>
        <w:jc w:val="both"/>
        <w:rPr>
          <w:rFonts w:ascii="Arial" w:hAnsi="Arial" w:cs="Arial"/>
        </w:rPr>
      </w:pPr>
      <w:r w:rsidRPr="00784043">
        <w:rPr>
          <w:rFonts w:ascii="Arial" w:hAnsi="Arial" w:cs="Arial"/>
        </w:rPr>
        <w:t>1.1 implementing the purported award, or any contract entered into between the first and second respondent as a result of the purported award, in respect of tender/procurement refe</w:t>
      </w:r>
      <w:r>
        <w:rPr>
          <w:rFonts w:ascii="Arial" w:hAnsi="Arial" w:cs="Arial"/>
        </w:rPr>
        <w:t>re</w:t>
      </w:r>
      <w:r w:rsidRPr="00784043">
        <w:rPr>
          <w:rFonts w:ascii="Arial" w:hAnsi="Arial" w:cs="Arial"/>
        </w:rPr>
        <w:t xml:space="preserve">nce number NCS/ONB/NAC-054/2021; pending final determination of applicant's pending review in case number HC-MD-CIV-MOT-REV-2022/00155 and Applicant's pending appeal in the Supreme Court of Namibia in case number SA 48/2022 and /or; </w:t>
      </w:r>
    </w:p>
    <w:p w:rsidR="00784043" w:rsidRPr="00784043" w:rsidRDefault="00784043" w:rsidP="001E6BB7">
      <w:pPr>
        <w:spacing w:after="0" w:line="360" w:lineRule="auto"/>
        <w:jc w:val="both"/>
        <w:rPr>
          <w:rFonts w:ascii="Arial" w:hAnsi="Arial" w:cs="Arial"/>
        </w:rPr>
      </w:pPr>
    </w:p>
    <w:p w:rsidR="00784043" w:rsidRPr="00784043" w:rsidRDefault="005470FD" w:rsidP="001E6BB7">
      <w:pPr>
        <w:spacing w:after="0" w:line="360" w:lineRule="auto"/>
        <w:jc w:val="both"/>
        <w:rPr>
          <w:rFonts w:ascii="Arial" w:hAnsi="Arial" w:cs="Arial"/>
        </w:rPr>
      </w:pPr>
      <w:r w:rsidRPr="00784043">
        <w:rPr>
          <w:rFonts w:ascii="Arial" w:hAnsi="Arial" w:cs="Arial"/>
        </w:rPr>
        <w:t xml:space="preserve">1.2. terminating the agreement entered into between the applicant and the first respondent – which came about as a result of the applicant's appointment by the first respondent in its "Notice to Stakeholders" dated 30 June 2022 (attached hereto as NOM1) in terms of which first respondent stated that "Kindly take notice that Menzies Aviation will continue to provide ground handling services at HKIA until further notice." - </w:t>
      </w:r>
      <w:r w:rsidR="00F04123" w:rsidRPr="00784043">
        <w:rPr>
          <w:rFonts w:ascii="Arial" w:hAnsi="Arial" w:cs="Arial"/>
        </w:rPr>
        <w:t>Unless</w:t>
      </w:r>
      <w:r w:rsidRPr="00784043">
        <w:rPr>
          <w:rFonts w:ascii="Arial" w:hAnsi="Arial" w:cs="Arial"/>
        </w:rPr>
        <w:t xml:space="preserve"> the applicant has given first respondent twelve months' notice. Alternatively, as from the moment, the first respondent has (if so advised) successfully applied to a court of law to set aside its decision to appoint the applicant in its letter dated 30 June 2022 where to set aside its decision to appoint applicant in its letter dated 30 June 2022 where applicant gave notice to the world at large that: "Kindly </w:t>
      </w:r>
      <w:r w:rsidRPr="00784043">
        <w:rPr>
          <w:rFonts w:ascii="Arial" w:hAnsi="Arial" w:cs="Arial"/>
        </w:rPr>
        <w:lastRenderedPageBreak/>
        <w:t xml:space="preserve">take notice that Menzies Aviation will continue to provide ground handling services at HKIA until further notice." </w:t>
      </w:r>
    </w:p>
    <w:p w:rsidR="00784043" w:rsidRPr="00784043" w:rsidRDefault="00784043" w:rsidP="001E6BB7">
      <w:pPr>
        <w:spacing w:after="0" w:line="360" w:lineRule="auto"/>
        <w:jc w:val="both"/>
        <w:rPr>
          <w:rFonts w:ascii="Arial" w:hAnsi="Arial" w:cs="Arial"/>
        </w:rPr>
      </w:pPr>
    </w:p>
    <w:p w:rsidR="00784043" w:rsidRDefault="005470FD" w:rsidP="001E6BB7">
      <w:pPr>
        <w:spacing w:after="0" w:line="360" w:lineRule="auto"/>
        <w:jc w:val="both"/>
        <w:rPr>
          <w:rFonts w:ascii="Arial" w:hAnsi="Arial" w:cs="Arial"/>
        </w:rPr>
      </w:pPr>
      <w:r w:rsidRPr="00784043">
        <w:rPr>
          <w:rFonts w:ascii="Arial" w:hAnsi="Arial" w:cs="Arial"/>
        </w:rPr>
        <w:t>2. Costs of the application in respect of those respondents opposing this relief, such costs to include the costs of one instructing and two instructed counsel and to be taxed and not to be limited to the provisions of rule 32(11)</w:t>
      </w:r>
      <w:r w:rsidR="00F04123">
        <w:rPr>
          <w:rFonts w:ascii="Arial" w:hAnsi="Arial" w:cs="Arial"/>
        </w:rPr>
        <w:t>.</w:t>
      </w:r>
      <w:r>
        <w:rPr>
          <w:rFonts w:ascii="Arial" w:hAnsi="Arial" w:cs="Arial"/>
        </w:rPr>
        <w:t>’</w:t>
      </w:r>
    </w:p>
    <w:p w:rsidR="00784043" w:rsidRDefault="00784043" w:rsidP="001E6BB7">
      <w:pPr>
        <w:spacing w:after="0" w:line="360" w:lineRule="auto"/>
        <w:jc w:val="both"/>
        <w:rPr>
          <w:rFonts w:ascii="Arial" w:hAnsi="Arial" w:cs="Arial"/>
        </w:rPr>
      </w:pPr>
    </w:p>
    <w:p w:rsidR="00784043" w:rsidRPr="00F04123" w:rsidRDefault="005470FD" w:rsidP="00F04123">
      <w:pPr>
        <w:pStyle w:val="ListParagraph"/>
        <w:numPr>
          <w:ilvl w:val="0"/>
          <w:numId w:val="26"/>
        </w:numPr>
        <w:spacing w:after="0" w:line="360" w:lineRule="auto"/>
        <w:ind w:left="0" w:firstLine="0"/>
        <w:jc w:val="both"/>
        <w:rPr>
          <w:rFonts w:ascii="Arial" w:hAnsi="Arial" w:cs="Arial"/>
          <w:sz w:val="24"/>
          <w:szCs w:val="24"/>
        </w:rPr>
      </w:pPr>
      <w:r w:rsidRPr="00F04123">
        <w:rPr>
          <w:rFonts w:ascii="Arial" w:hAnsi="Arial" w:cs="Arial"/>
          <w:sz w:val="24"/>
          <w:szCs w:val="24"/>
        </w:rPr>
        <w:t xml:space="preserve">Simply put the purpose of this application is to seek interdictory </w:t>
      </w:r>
      <w:r w:rsidRPr="00F04123">
        <w:rPr>
          <w:rFonts w:ascii="Arial" w:hAnsi="Arial" w:cs="Arial"/>
          <w:i/>
          <w:sz w:val="24"/>
          <w:szCs w:val="24"/>
        </w:rPr>
        <w:t>pendente lite</w:t>
      </w:r>
      <w:r w:rsidRPr="00F04123">
        <w:rPr>
          <w:rFonts w:ascii="Arial" w:hAnsi="Arial" w:cs="Arial"/>
          <w:sz w:val="24"/>
          <w:szCs w:val="24"/>
        </w:rPr>
        <w:t xml:space="preserve"> relief pending the outcome of the main application, being the review application in case number HC-MD-CIV-MOT-REV-2022/00155.</w:t>
      </w:r>
    </w:p>
    <w:p w:rsidR="00896641" w:rsidRDefault="00896641" w:rsidP="001E6BB7">
      <w:pPr>
        <w:spacing w:after="0" w:line="360" w:lineRule="auto"/>
        <w:jc w:val="both"/>
        <w:rPr>
          <w:rFonts w:ascii="Arial" w:hAnsi="Arial" w:cs="Arial"/>
          <w:sz w:val="24"/>
          <w:szCs w:val="24"/>
        </w:rPr>
      </w:pPr>
    </w:p>
    <w:p w:rsidR="00DD2FD4" w:rsidRDefault="005470FD" w:rsidP="001E6BB7">
      <w:pPr>
        <w:spacing w:after="0" w:line="360" w:lineRule="auto"/>
        <w:jc w:val="both"/>
        <w:rPr>
          <w:rFonts w:ascii="Arial" w:hAnsi="Arial" w:cs="Arial"/>
          <w:sz w:val="24"/>
          <w:szCs w:val="24"/>
          <w:u w:val="single"/>
        </w:rPr>
      </w:pPr>
      <w:r w:rsidRPr="00DD2FD4">
        <w:rPr>
          <w:rFonts w:ascii="Arial" w:hAnsi="Arial" w:cs="Arial"/>
          <w:sz w:val="24"/>
          <w:szCs w:val="24"/>
          <w:u w:val="single"/>
        </w:rPr>
        <w:t>Arguments raised by the parties</w:t>
      </w:r>
    </w:p>
    <w:p w:rsidR="00F04123" w:rsidRDefault="00F04123" w:rsidP="001E6BB7">
      <w:pPr>
        <w:spacing w:after="0" w:line="360" w:lineRule="auto"/>
        <w:jc w:val="both"/>
        <w:rPr>
          <w:rFonts w:ascii="Arial" w:hAnsi="Arial" w:cs="Arial"/>
          <w:sz w:val="24"/>
          <w:szCs w:val="24"/>
          <w:u w:val="single"/>
        </w:rPr>
      </w:pPr>
    </w:p>
    <w:p w:rsidR="003E6D46" w:rsidRDefault="005470FD" w:rsidP="001E6BB7">
      <w:pPr>
        <w:spacing w:after="0" w:line="360" w:lineRule="auto"/>
        <w:jc w:val="both"/>
        <w:rPr>
          <w:rFonts w:ascii="Arial" w:hAnsi="Arial" w:cs="Arial"/>
          <w:i/>
          <w:sz w:val="24"/>
          <w:szCs w:val="24"/>
        </w:rPr>
      </w:pPr>
      <w:r w:rsidRPr="00F04123">
        <w:rPr>
          <w:rFonts w:ascii="Arial" w:hAnsi="Arial" w:cs="Arial"/>
          <w:i/>
          <w:sz w:val="24"/>
          <w:szCs w:val="24"/>
        </w:rPr>
        <w:t>The applicant</w:t>
      </w:r>
    </w:p>
    <w:p w:rsidR="00F04123" w:rsidRPr="00F04123" w:rsidRDefault="00F04123" w:rsidP="001E6BB7">
      <w:pPr>
        <w:spacing w:after="0" w:line="360" w:lineRule="auto"/>
        <w:jc w:val="both"/>
        <w:rPr>
          <w:rFonts w:ascii="Arial" w:hAnsi="Arial" w:cs="Arial"/>
          <w:i/>
          <w:sz w:val="24"/>
          <w:szCs w:val="24"/>
        </w:rPr>
      </w:pPr>
    </w:p>
    <w:p w:rsidR="00DD2FD4" w:rsidRDefault="005470FD" w:rsidP="00F04123">
      <w:pPr>
        <w:pStyle w:val="ListParagraph"/>
        <w:numPr>
          <w:ilvl w:val="0"/>
          <w:numId w:val="26"/>
        </w:numPr>
        <w:spacing w:after="0" w:line="360" w:lineRule="auto"/>
        <w:ind w:left="0" w:firstLine="0"/>
        <w:jc w:val="both"/>
        <w:rPr>
          <w:rFonts w:ascii="Arial" w:hAnsi="Arial" w:cs="Arial"/>
          <w:sz w:val="24"/>
          <w:szCs w:val="24"/>
        </w:rPr>
      </w:pPr>
      <w:r w:rsidRPr="00F04123">
        <w:rPr>
          <w:rFonts w:ascii="Arial" w:hAnsi="Arial" w:cs="Arial"/>
          <w:sz w:val="24"/>
          <w:szCs w:val="24"/>
        </w:rPr>
        <w:t xml:space="preserve">On behalf of the applicant, it was argued that the interdict should be approached from the premise that: </w:t>
      </w:r>
    </w:p>
    <w:p w:rsidR="00F04123" w:rsidRPr="00F04123" w:rsidRDefault="00F04123" w:rsidP="00F04123">
      <w:pPr>
        <w:pStyle w:val="ListParagraph"/>
        <w:spacing w:after="0" w:line="360" w:lineRule="auto"/>
        <w:ind w:left="0"/>
        <w:jc w:val="both"/>
        <w:rPr>
          <w:rFonts w:ascii="Arial" w:hAnsi="Arial" w:cs="Arial"/>
          <w:sz w:val="24"/>
          <w:szCs w:val="24"/>
        </w:rPr>
      </w:pPr>
    </w:p>
    <w:p w:rsidR="00DD2FD4" w:rsidRDefault="005470FD" w:rsidP="001E6BB7">
      <w:pPr>
        <w:spacing w:after="0" w:line="360" w:lineRule="auto"/>
        <w:jc w:val="both"/>
        <w:rPr>
          <w:rFonts w:ascii="Arial" w:hAnsi="Arial" w:cs="Arial"/>
          <w:sz w:val="24"/>
          <w:szCs w:val="24"/>
        </w:rPr>
      </w:pPr>
      <w:r w:rsidRPr="00DD2FD4">
        <w:rPr>
          <w:rFonts w:ascii="Arial" w:hAnsi="Arial" w:cs="Arial"/>
          <w:sz w:val="24"/>
          <w:szCs w:val="24"/>
        </w:rPr>
        <w:t xml:space="preserve">1. </w:t>
      </w:r>
      <w:r w:rsidR="003E6D46">
        <w:rPr>
          <w:rFonts w:ascii="Arial" w:hAnsi="Arial" w:cs="Arial"/>
          <w:sz w:val="24"/>
          <w:szCs w:val="24"/>
        </w:rPr>
        <w:t>The applicant</w:t>
      </w:r>
      <w:r w:rsidRPr="00DD2FD4">
        <w:rPr>
          <w:rFonts w:ascii="Arial" w:hAnsi="Arial" w:cs="Arial"/>
          <w:sz w:val="24"/>
          <w:szCs w:val="24"/>
        </w:rPr>
        <w:t xml:space="preserve"> has a clear right, or at the very least a prima facie right to remain in possession of the rental premises and to provide the ground handling services in terms of the 30 June 2022 agreement, until it is lawfu</w:t>
      </w:r>
      <w:r>
        <w:rPr>
          <w:rFonts w:ascii="Arial" w:hAnsi="Arial" w:cs="Arial"/>
          <w:sz w:val="24"/>
          <w:szCs w:val="24"/>
        </w:rPr>
        <w:t xml:space="preserve">lly terminated or set aside; </w:t>
      </w:r>
    </w:p>
    <w:p w:rsidR="00DD2FD4" w:rsidRDefault="005470FD" w:rsidP="001E6BB7">
      <w:pPr>
        <w:spacing w:after="0" w:line="360" w:lineRule="auto"/>
        <w:jc w:val="both"/>
        <w:rPr>
          <w:rFonts w:ascii="Arial" w:hAnsi="Arial" w:cs="Arial"/>
          <w:sz w:val="24"/>
          <w:szCs w:val="24"/>
        </w:rPr>
      </w:pPr>
      <w:r w:rsidRPr="00DD2FD4">
        <w:rPr>
          <w:rFonts w:ascii="Arial" w:hAnsi="Arial" w:cs="Arial"/>
          <w:sz w:val="24"/>
          <w:szCs w:val="24"/>
        </w:rPr>
        <w:t xml:space="preserve">2. The </w:t>
      </w:r>
      <w:r w:rsidR="003E6D46">
        <w:rPr>
          <w:rFonts w:ascii="Arial" w:hAnsi="Arial" w:cs="Arial"/>
          <w:sz w:val="24"/>
          <w:szCs w:val="24"/>
        </w:rPr>
        <w:t xml:space="preserve">first and second </w:t>
      </w:r>
      <w:r w:rsidR="00F04123">
        <w:rPr>
          <w:rFonts w:ascii="Arial" w:hAnsi="Arial" w:cs="Arial"/>
          <w:sz w:val="24"/>
          <w:szCs w:val="24"/>
        </w:rPr>
        <w:t>respondent’s</w:t>
      </w:r>
      <w:r w:rsidRPr="00DD2FD4">
        <w:rPr>
          <w:rFonts w:ascii="Arial" w:hAnsi="Arial" w:cs="Arial"/>
          <w:sz w:val="24"/>
          <w:szCs w:val="24"/>
        </w:rPr>
        <w:t xml:space="preserve"> contractual relationship and ultimately their rights stem from a nullity</w:t>
      </w:r>
      <w:r>
        <w:rPr>
          <w:rFonts w:ascii="Arial" w:hAnsi="Arial" w:cs="Arial"/>
          <w:sz w:val="24"/>
          <w:szCs w:val="24"/>
        </w:rPr>
        <w:t xml:space="preserve"> and as such they have none; </w:t>
      </w:r>
    </w:p>
    <w:p w:rsidR="003E6D46" w:rsidRDefault="005470FD" w:rsidP="001E6BB7">
      <w:pPr>
        <w:spacing w:after="0" w:line="360" w:lineRule="auto"/>
        <w:jc w:val="both"/>
        <w:rPr>
          <w:rFonts w:ascii="Arial" w:hAnsi="Arial" w:cs="Arial"/>
          <w:sz w:val="24"/>
          <w:szCs w:val="24"/>
        </w:rPr>
      </w:pPr>
      <w:r w:rsidRPr="00DD2FD4">
        <w:rPr>
          <w:rFonts w:ascii="Arial" w:hAnsi="Arial" w:cs="Arial"/>
          <w:sz w:val="24"/>
          <w:szCs w:val="24"/>
        </w:rPr>
        <w:t xml:space="preserve">3. The </w:t>
      </w:r>
      <w:r>
        <w:rPr>
          <w:rFonts w:ascii="Arial" w:hAnsi="Arial" w:cs="Arial"/>
          <w:sz w:val="24"/>
          <w:szCs w:val="24"/>
        </w:rPr>
        <w:t>first respondent</w:t>
      </w:r>
      <w:r w:rsidRPr="00DD2FD4">
        <w:rPr>
          <w:rFonts w:ascii="Arial" w:hAnsi="Arial" w:cs="Arial"/>
          <w:sz w:val="24"/>
          <w:szCs w:val="24"/>
        </w:rPr>
        <w:t xml:space="preserve"> has obligations towards </w:t>
      </w:r>
      <w:r>
        <w:rPr>
          <w:rFonts w:ascii="Arial" w:hAnsi="Arial" w:cs="Arial"/>
          <w:sz w:val="24"/>
          <w:szCs w:val="24"/>
        </w:rPr>
        <w:t>the applicant</w:t>
      </w:r>
      <w:r w:rsidRPr="00DD2FD4">
        <w:rPr>
          <w:rFonts w:ascii="Arial" w:hAnsi="Arial" w:cs="Arial"/>
          <w:sz w:val="24"/>
          <w:szCs w:val="24"/>
        </w:rPr>
        <w:t xml:space="preserve"> in terms of</w:t>
      </w:r>
      <w:r>
        <w:rPr>
          <w:rFonts w:ascii="Arial" w:hAnsi="Arial" w:cs="Arial"/>
          <w:sz w:val="24"/>
          <w:szCs w:val="24"/>
        </w:rPr>
        <w:t xml:space="preserve"> the 30 June 2022 agreement; </w:t>
      </w:r>
    </w:p>
    <w:p w:rsidR="00C656A1" w:rsidRDefault="00C656A1" w:rsidP="001E6BB7">
      <w:pPr>
        <w:spacing w:after="0" w:line="360" w:lineRule="auto"/>
        <w:jc w:val="both"/>
        <w:rPr>
          <w:rFonts w:ascii="Arial" w:hAnsi="Arial" w:cs="Arial"/>
          <w:sz w:val="24"/>
          <w:szCs w:val="24"/>
        </w:rPr>
      </w:pPr>
    </w:p>
    <w:p w:rsidR="00C67801" w:rsidRDefault="005470FD" w:rsidP="009F5E78">
      <w:pPr>
        <w:pStyle w:val="ListParagraph"/>
        <w:numPr>
          <w:ilvl w:val="0"/>
          <w:numId w:val="26"/>
        </w:numPr>
        <w:spacing w:after="0" w:line="360" w:lineRule="auto"/>
        <w:ind w:left="0" w:firstLine="0"/>
        <w:jc w:val="both"/>
        <w:rPr>
          <w:rFonts w:ascii="Arial" w:hAnsi="Arial" w:cs="Arial"/>
          <w:sz w:val="24"/>
          <w:szCs w:val="24"/>
        </w:rPr>
      </w:pPr>
      <w:r w:rsidRPr="00F04123">
        <w:rPr>
          <w:rFonts w:ascii="Arial" w:hAnsi="Arial" w:cs="Arial"/>
          <w:sz w:val="24"/>
          <w:szCs w:val="24"/>
        </w:rPr>
        <w:t xml:space="preserve">It was submitted that the second respondent's rights to the actual implementation of "the contract" awarded pursuant to "the bid process" are squarely attacked together with the validity of the entire tender process and award of the contract. What then ultimately remains is a consideration of the balance of convenience and the balance of convenience unquestionably favours the applicant, as the applicant contended that the tender is a nullity, the second respondent is unable to provide the services, and that the applicant entered into a new contract with the first respondent.  </w:t>
      </w:r>
      <w:r w:rsidRPr="00C67801">
        <w:rPr>
          <w:rFonts w:ascii="Arial" w:hAnsi="Arial" w:cs="Arial"/>
          <w:sz w:val="24"/>
          <w:szCs w:val="24"/>
        </w:rPr>
        <w:t xml:space="preserve">The plaintiff further remains in possession of the leased premises and continues to provide services to </w:t>
      </w:r>
      <w:r>
        <w:rPr>
          <w:rFonts w:ascii="Arial" w:hAnsi="Arial" w:cs="Arial"/>
          <w:sz w:val="24"/>
          <w:szCs w:val="24"/>
        </w:rPr>
        <w:t xml:space="preserve">the </w:t>
      </w:r>
      <w:r w:rsidRPr="00C67801">
        <w:rPr>
          <w:rFonts w:ascii="Arial" w:hAnsi="Arial" w:cs="Arial"/>
          <w:sz w:val="24"/>
          <w:szCs w:val="24"/>
        </w:rPr>
        <w:t>first respondent’s customers.</w:t>
      </w:r>
      <w:r w:rsidR="00C60AF1" w:rsidRPr="00C60AF1">
        <w:t xml:space="preserve"> </w:t>
      </w:r>
      <w:r w:rsidR="00C60AF1" w:rsidRPr="00C67801">
        <w:rPr>
          <w:rFonts w:ascii="Arial" w:hAnsi="Arial" w:cs="Arial"/>
          <w:sz w:val="24"/>
          <w:szCs w:val="24"/>
        </w:rPr>
        <w:t xml:space="preserve">It is more convenient to leave the applicant in occupation of the premises, providing safe and regulation-compliant </w:t>
      </w:r>
      <w:r w:rsidR="00C60AF1" w:rsidRPr="00C67801">
        <w:rPr>
          <w:rFonts w:ascii="Arial" w:hAnsi="Arial" w:cs="Arial"/>
          <w:sz w:val="24"/>
          <w:szCs w:val="24"/>
        </w:rPr>
        <w:lastRenderedPageBreak/>
        <w:t>services to the first respondent, than to dispossess the applicant and allow the second respondent to take possession and then only for it to be confirmed later that the tender and contract pursuant thereto was indeed a nullity which would then leave the first respondent with no ground handler.</w:t>
      </w:r>
    </w:p>
    <w:p w:rsidR="00C67801" w:rsidRDefault="00C67801" w:rsidP="00C67801">
      <w:pPr>
        <w:pStyle w:val="ListParagraph"/>
        <w:spacing w:after="0" w:line="360" w:lineRule="auto"/>
        <w:ind w:left="0"/>
        <w:jc w:val="both"/>
        <w:rPr>
          <w:rFonts w:ascii="Arial" w:hAnsi="Arial" w:cs="Arial"/>
          <w:sz w:val="24"/>
          <w:szCs w:val="24"/>
        </w:rPr>
      </w:pPr>
    </w:p>
    <w:p w:rsidR="00C67801" w:rsidRDefault="005470FD" w:rsidP="00AC3D26">
      <w:pPr>
        <w:pStyle w:val="ListParagraph"/>
        <w:numPr>
          <w:ilvl w:val="0"/>
          <w:numId w:val="26"/>
        </w:numPr>
        <w:spacing w:after="0" w:line="360" w:lineRule="auto"/>
        <w:ind w:left="0" w:firstLine="0"/>
        <w:jc w:val="both"/>
        <w:rPr>
          <w:rFonts w:ascii="Arial" w:hAnsi="Arial" w:cs="Arial"/>
          <w:sz w:val="24"/>
          <w:szCs w:val="24"/>
        </w:rPr>
      </w:pPr>
      <w:r w:rsidRPr="00C67801">
        <w:rPr>
          <w:rFonts w:ascii="Arial" w:hAnsi="Arial" w:cs="Arial"/>
          <w:sz w:val="24"/>
          <w:szCs w:val="24"/>
        </w:rPr>
        <w:t xml:space="preserve">Regarding the other requirements for interim relief, </w:t>
      </w:r>
      <w:r w:rsidR="00B618C5" w:rsidRPr="00C67801">
        <w:rPr>
          <w:rFonts w:ascii="Arial" w:hAnsi="Arial" w:cs="Arial"/>
          <w:sz w:val="24"/>
          <w:szCs w:val="24"/>
        </w:rPr>
        <w:t xml:space="preserve">the applicant argues that they did establish a prima facie right.  The first respondent had no </w:t>
      </w:r>
      <w:r w:rsidR="009F5E78" w:rsidRPr="00C67801">
        <w:rPr>
          <w:rFonts w:ascii="Arial" w:hAnsi="Arial" w:cs="Arial"/>
          <w:sz w:val="24"/>
          <w:szCs w:val="24"/>
        </w:rPr>
        <w:t>exemption</w:t>
      </w:r>
      <w:r w:rsidR="00B618C5" w:rsidRPr="00C67801">
        <w:rPr>
          <w:rFonts w:ascii="Arial" w:hAnsi="Arial" w:cs="Arial"/>
          <w:sz w:val="24"/>
          <w:szCs w:val="24"/>
        </w:rPr>
        <w:t xml:space="preserve"> from the Ministry of Finance to run the procurement process themselves as the procurement amount is N$25 000 000.  </w:t>
      </w:r>
      <w:r w:rsidR="009F5E78" w:rsidRPr="00C67801">
        <w:rPr>
          <w:rFonts w:ascii="Arial" w:hAnsi="Arial" w:cs="Arial"/>
          <w:sz w:val="24"/>
          <w:szCs w:val="24"/>
        </w:rPr>
        <w:t>In addition, it also became clear that the applicant is the only bidder who qualified for the tender, and in actual fact the applicant should have been granted the tender. Thus, but for the fact that the first respondent should have, but did not, obtain an exemption from the Minister of Finance to go out on tender, the tender would and should have been awarded to the applicant.</w:t>
      </w:r>
      <w:r w:rsidR="003E6D46" w:rsidRPr="00C67801">
        <w:rPr>
          <w:rFonts w:ascii="Arial" w:hAnsi="Arial" w:cs="Arial"/>
          <w:sz w:val="24"/>
          <w:szCs w:val="24"/>
        </w:rPr>
        <w:t xml:space="preserve">  The fact that the bid amount exceeds the threshold is denied by the first respondent but the applicant argues that it is a bare denial without any substance to it.</w:t>
      </w:r>
    </w:p>
    <w:p w:rsidR="00C67801" w:rsidRPr="00C67801" w:rsidRDefault="00C67801" w:rsidP="00C67801">
      <w:pPr>
        <w:pStyle w:val="ListParagraph"/>
        <w:rPr>
          <w:rFonts w:ascii="Arial" w:hAnsi="Arial" w:cs="Arial"/>
          <w:sz w:val="24"/>
          <w:szCs w:val="24"/>
        </w:rPr>
      </w:pPr>
    </w:p>
    <w:p w:rsidR="00C67801" w:rsidRDefault="005470FD" w:rsidP="00AC3D26">
      <w:pPr>
        <w:pStyle w:val="ListParagraph"/>
        <w:numPr>
          <w:ilvl w:val="0"/>
          <w:numId w:val="26"/>
        </w:numPr>
        <w:spacing w:after="0" w:line="360" w:lineRule="auto"/>
        <w:ind w:left="0" w:firstLine="0"/>
        <w:jc w:val="both"/>
        <w:rPr>
          <w:rFonts w:ascii="Arial" w:hAnsi="Arial" w:cs="Arial"/>
          <w:sz w:val="24"/>
          <w:szCs w:val="24"/>
        </w:rPr>
      </w:pPr>
      <w:r w:rsidRPr="00C67801">
        <w:rPr>
          <w:rFonts w:ascii="Arial" w:hAnsi="Arial" w:cs="Arial"/>
          <w:sz w:val="24"/>
          <w:szCs w:val="24"/>
        </w:rPr>
        <w:t xml:space="preserve">It is further argued </w:t>
      </w:r>
      <w:r w:rsidRPr="009A79F5">
        <w:rPr>
          <w:rFonts w:ascii="Arial" w:hAnsi="Arial" w:cs="Arial"/>
          <w:sz w:val="24"/>
          <w:szCs w:val="24"/>
        </w:rPr>
        <w:t>by the applicant that the first respondent</w:t>
      </w:r>
      <w:r w:rsidR="003E6D46" w:rsidRPr="009A79F5">
        <w:rPr>
          <w:rFonts w:ascii="Arial" w:hAnsi="Arial" w:cs="Arial"/>
          <w:sz w:val="24"/>
          <w:szCs w:val="24"/>
        </w:rPr>
        <w:t xml:space="preserve"> was provided with</w:t>
      </w:r>
      <w:r w:rsidRPr="009A79F5">
        <w:rPr>
          <w:rFonts w:ascii="Arial" w:hAnsi="Arial" w:cs="Arial"/>
          <w:sz w:val="24"/>
          <w:szCs w:val="24"/>
        </w:rPr>
        <w:t>,</w:t>
      </w:r>
      <w:r w:rsidR="003E6D46" w:rsidRPr="009A79F5">
        <w:rPr>
          <w:rFonts w:ascii="Arial" w:hAnsi="Arial" w:cs="Arial"/>
          <w:sz w:val="24"/>
          <w:szCs w:val="24"/>
        </w:rPr>
        <w:t xml:space="preserve"> </w:t>
      </w:r>
      <w:r w:rsidRPr="009A79F5">
        <w:rPr>
          <w:rFonts w:ascii="Arial" w:hAnsi="Arial" w:cs="Arial"/>
          <w:sz w:val="24"/>
          <w:szCs w:val="24"/>
        </w:rPr>
        <w:t xml:space="preserve">and accepted an advance </w:t>
      </w:r>
      <w:r w:rsidR="008057AF" w:rsidRPr="009A79F5">
        <w:rPr>
          <w:rFonts w:ascii="Arial" w:hAnsi="Arial" w:cs="Arial"/>
          <w:sz w:val="24"/>
          <w:szCs w:val="24"/>
        </w:rPr>
        <w:t>‘</w:t>
      </w:r>
      <w:r w:rsidRPr="009A79F5">
        <w:rPr>
          <w:rFonts w:ascii="Arial" w:hAnsi="Arial" w:cs="Arial"/>
          <w:sz w:val="24"/>
          <w:szCs w:val="24"/>
        </w:rPr>
        <w:t xml:space="preserve">draft </w:t>
      </w:r>
      <w:r w:rsidR="008057AF" w:rsidRPr="009A79F5">
        <w:rPr>
          <w:rFonts w:ascii="Arial" w:hAnsi="Arial" w:cs="Arial"/>
          <w:sz w:val="24"/>
          <w:szCs w:val="24"/>
        </w:rPr>
        <w:t>copy’</w:t>
      </w:r>
      <w:r w:rsidR="003E6D46" w:rsidRPr="009A79F5">
        <w:rPr>
          <w:rFonts w:ascii="Arial" w:hAnsi="Arial" w:cs="Arial"/>
          <w:sz w:val="24"/>
          <w:szCs w:val="24"/>
        </w:rPr>
        <w:t xml:space="preserve"> of the </w:t>
      </w:r>
      <w:r w:rsidRPr="009A79F5">
        <w:rPr>
          <w:rFonts w:ascii="Arial" w:hAnsi="Arial" w:cs="Arial"/>
          <w:sz w:val="24"/>
          <w:szCs w:val="24"/>
        </w:rPr>
        <w:t xml:space="preserve">second respondents </w:t>
      </w:r>
      <w:r w:rsidR="003E6D46" w:rsidRPr="009A79F5">
        <w:rPr>
          <w:rFonts w:ascii="Arial" w:hAnsi="Arial" w:cs="Arial"/>
          <w:sz w:val="24"/>
          <w:szCs w:val="24"/>
        </w:rPr>
        <w:t xml:space="preserve">bidding documents. </w:t>
      </w:r>
      <w:r w:rsidRPr="009A79F5">
        <w:rPr>
          <w:rFonts w:ascii="Arial" w:hAnsi="Arial" w:cs="Arial"/>
          <w:sz w:val="24"/>
          <w:szCs w:val="24"/>
        </w:rPr>
        <w:t xml:space="preserve">It was also submitted that the second respondent's bid </w:t>
      </w:r>
      <w:r w:rsidRPr="00C67801">
        <w:rPr>
          <w:rFonts w:ascii="Arial" w:hAnsi="Arial" w:cs="Arial"/>
          <w:sz w:val="24"/>
          <w:szCs w:val="24"/>
        </w:rPr>
        <w:t xml:space="preserve">was corrected after the fact and both these scenarios point to a gross irregularity.  The first respondent further entered into a new agreement with the </w:t>
      </w:r>
      <w:r w:rsidR="008057AF">
        <w:rPr>
          <w:rFonts w:ascii="Arial" w:hAnsi="Arial" w:cs="Arial"/>
          <w:sz w:val="24"/>
          <w:szCs w:val="24"/>
        </w:rPr>
        <w:t>applicant after the Sibeya J judge</w:t>
      </w:r>
      <w:r w:rsidRPr="00C67801">
        <w:rPr>
          <w:rFonts w:ascii="Arial" w:hAnsi="Arial" w:cs="Arial"/>
          <w:sz w:val="24"/>
          <w:szCs w:val="24"/>
        </w:rPr>
        <w:t>ment on the urgent application, which agreement is still in place.</w:t>
      </w:r>
    </w:p>
    <w:p w:rsidR="00C67801" w:rsidRPr="00C67801" w:rsidRDefault="00C67801" w:rsidP="00C67801">
      <w:pPr>
        <w:pStyle w:val="ListParagraph"/>
        <w:rPr>
          <w:rFonts w:ascii="Arial" w:hAnsi="Arial" w:cs="Arial"/>
          <w:sz w:val="24"/>
          <w:szCs w:val="24"/>
        </w:rPr>
      </w:pPr>
    </w:p>
    <w:p w:rsidR="00C67801" w:rsidRDefault="005470FD" w:rsidP="00C60AF1">
      <w:pPr>
        <w:pStyle w:val="ListParagraph"/>
        <w:numPr>
          <w:ilvl w:val="0"/>
          <w:numId w:val="26"/>
        </w:numPr>
        <w:spacing w:after="0" w:line="360" w:lineRule="auto"/>
        <w:ind w:left="0" w:firstLine="0"/>
        <w:jc w:val="both"/>
        <w:rPr>
          <w:rFonts w:ascii="Arial" w:hAnsi="Arial" w:cs="Arial"/>
          <w:sz w:val="24"/>
          <w:szCs w:val="24"/>
        </w:rPr>
      </w:pPr>
      <w:r w:rsidRPr="00C67801">
        <w:rPr>
          <w:rFonts w:ascii="Arial" w:hAnsi="Arial" w:cs="Arial"/>
          <w:sz w:val="24"/>
          <w:szCs w:val="24"/>
        </w:rPr>
        <w:t>It is further submitted that there is a well-grounded apprehension of irreparable harm if the relief is not granted.  The applicant alleges that the second respondent will n</w:t>
      </w:r>
      <w:r w:rsidR="008057AF">
        <w:rPr>
          <w:rFonts w:ascii="Arial" w:hAnsi="Arial" w:cs="Arial"/>
          <w:sz w:val="24"/>
          <w:szCs w:val="24"/>
        </w:rPr>
        <w:t>ot be able to render ground-</w:t>
      </w:r>
      <w:r w:rsidRPr="00C67801">
        <w:rPr>
          <w:rFonts w:ascii="Arial" w:hAnsi="Arial" w:cs="Arial"/>
          <w:sz w:val="24"/>
          <w:szCs w:val="24"/>
        </w:rPr>
        <w:t xml:space="preserve">handling services at the airport.  It further seems that this contention is not denied by the first respondent in its answer to this allegation.  It is also clear from the first respondent’s answering affidavit that the first respondent does not recognize the fact that </w:t>
      </w:r>
      <w:r w:rsidR="00C60AF1" w:rsidRPr="00C67801">
        <w:rPr>
          <w:rFonts w:ascii="Arial" w:hAnsi="Arial" w:cs="Arial"/>
          <w:sz w:val="24"/>
          <w:szCs w:val="24"/>
        </w:rPr>
        <w:t>the applicant</w:t>
      </w:r>
      <w:r w:rsidRPr="00C67801">
        <w:rPr>
          <w:rFonts w:ascii="Arial" w:hAnsi="Arial" w:cs="Arial"/>
          <w:sz w:val="24"/>
          <w:szCs w:val="24"/>
        </w:rPr>
        <w:t xml:space="preserve"> is providing services in terms of a new agreement but that is an arrangement pending the outcome of the appeal matter.</w:t>
      </w:r>
    </w:p>
    <w:p w:rsidR="00C67801" w:rsidRPr="00C67801" w:rsidRDefault="00C67801" w:rsidP="00C67801">
      <w:pPr>
        <w:pStyle w:val="ListParagraph"/>
        <w:rPr>
          <w:rFonts w:ascii="Arial" w:hAnsi="Arial" w:cs="Arial"/>
          <w:sz w:val="24"/>
          <w:szCs w:val="24"/>
        </w:rPr>
      </w:pPr>
    </w:p>
    <w:p w:rsidR="00AC3D26" w:rsidRPr="00C67801" w:rsidRDefault="005470FD" w:rsidP="00C60AF1">
      <w:pPr>
        <w:pStyle w:val="ListParagraph"/>
        <w:numPr>
          <w:ilvl w:val="0"/>
          <w:numId w:val="26"/>
        </w:numPr>
        <w:spacing w:after="0" w:line="360" w:lineRule="auto"/>
        <w:ind w:left="0" w:firstLine="0"/>
        <w:jc w:val="both"/>
        <w:rPr>
          <w:rFonts w:ascii="Arial" w:hAnsi="Arial" w:cs="Arial"/>
          <w:sz w:val="24"/>
          <w:szCs w:val="24"/>
        </w:rPr>
      </w:pPr>
      <w:r w:rsidRPr="00C67801">
        <w:rPr>
          <w:rFonts w:ascii="Arial" w:hAnsi="Arial" w:cs="Arial"/>
          <w:sz w:val="24"/>
          <w:szCs w:val="24"/>
        </w:rPr>
        <w:t xml:space="preserve">The applicant further contends that the harm will be irreparable in circumstances where </w:t>
      </w:r>
      <w:r w:rsidR="00C60AF1" w:rsidRPr="00C67801">
        <w:rPr>
          <w:rFonts w:ascii="Arial" w:hAnsi="Arial" w:cs="Arial"/>
          <w:sz w:val="24"/>
          <w:szCs w:val="24"/>
        </w:rPr>
        <w:t>it would</w:t>
      </w:r>
      <w:r w:rsidRPr="00C67801">
        <w:rPr>
          <w:rFonts w:ascii="Arial" w:hAnsi="Arial" w:cs="Arial"/>
          <w:sz w:val="24"/>
          <w:szCs w:val="24"/>
        </w:rPr>
        <w:t xml:space="preserve"> need to de-establish the site; retrench workers and move equipment into storage.  It will further also have financial implications </w:t>
      </w:r>
      <w:r w:rsidR="00C60AF1" w:rsidRPr="00C67801">
        <w:rPr>
          <w:rFonts w:ascii="Arial" w:hAnsi="Arial" w:cs="Arial"/>
          <w:sz w:val="24"/>
          <w:szCs w:val="24"/>
        </w:rPr>
        <w:t>for the applicant should they have to vacate the site.</w:t>
      </w:r>
      <w:r w:rsidR="00C60AF1" w:rsidRPr="00C60AF1">
        <w:t xml:space="preserve"> </w:t>
      </w:r>
      <w:r w:rsidR="00C60AF1" w:rsidRPr="00C67801">
        <w:rPr>
          <w:rFonts w:ascii="Arial" w:hAnsi="Arial" w:cs="Arial"/>
          <w:sz w:val="24"/>
          <w:szCs w:val="24"/>
        </w:rPr>
        <w:t xml:space="preserve">The applicant also argues that it has no other remedy other than to approach this court seeking the relief that it does as it has elected to enforce </w:t>
      </w:r>
      <w:r w:rsidR="00C60AF1" w:rsidRPr="00C67801">
        <w:rPr>
          <w:rFonts w:ascii="Arial" w:hAnsi="Arial" w:cs="Arial"/>
          <w:sz w:val="24"/>
          <w:szCs w:val="24"/>
        </w:rPr>
        <w:lastRenderedPageBreak/>
        <w:t>its rights in terms of the 30 June 2022 contract and as such to seek specific performance.</w:t>
      </w:r>
    </w:p>
    <w:p w:rsidR="00C60AF1" w:rsidRPr="00C67801" w:rsidRDefault="00C60AF1" w:rsidP="00C60AF1">
      <w:pPr>
        <w:spacing w:after="0" w:line="360" w:lineRule="auto"/>
        <w:jc w:val="both"/>
        <w:rPr>
          <w:rFonts w:ascii="Arial" w:hAnsi="Arial" w:cs="Arial"/>
          <w:sz w:val="24"/>
          <w:szCs w:val="24"/>
        </w:rPr>
      </w:pPr>
    </w:p>
    <w:p w:rsidR="00C60AF1" w:rsidRPr="00C67801" w:rsidRDefault="005470FD" w:rsidP="00C60AF1">
      <w:pPr>
        <w:spacing w:after="0" w:line="360" w:lineRule="auto"/>
        <w:jc w:val="both"/>
        <w:rPr>
          <w:rFonts w:ascii="Arial" w:hAnsi="Arial" w:cs="Arial"/>
          <w:i/>
          <w:sz w:val="24"/>
          <w:szCs w:val="24"/>
        </w:rPr>
      </w:pPr>
      <w:r w:rsidRPr="00C67801">
        <w:rPr>
          <w:rFonts w:ascii="Arial" w:hAnsi="Arial" w:cs="Arial"/>
          <w:i/>
          <w:sz w:val="24"/>
          <w:szCs w:val="24"/>
        </w:rPr>
        <w:t>The first respondent</w:t>
      </w:r>
    </w:p>
    <w:p w:rsidR="00C67801" w:rsidRPr="00C60AF1" w:rsidRDefault="00C67801" w:rsidP="00C60AF1">
      <w:pPr>
        <w:spacing w:after="0" w:line="360" w:lineRule="auto"/>
        <w:jc w:val="both"/>
        <w:rPr>
          <w:rFonts w:ascii="Arial" w:hAnsi="Arial" w:cs="Arial"/>
          <w:i/>
          <w:sz w:val="24"/>
          <w:szCs w:val="24"/>
          <w:u w:val="single"/>
        </w:rPr>
      </w:pPr>
    </w:p>
    <w:p w:rsidR="00C36E1C" w:rsidRDefault="005470FD" w:rsidP="00C67801">
      <w:pPr>
        <w:pStyle w:val="ListParagraph"/>
        <w:numPr>
          <w:ilvl w:val="0"/>
          <w:numId w:val="26"/>
        </w:numPr>
        <w:spacing w:after="0" w:line="360" w:lineRule="auto"/>
        <w:ind w:left="0" w:firstLine="0"/>
        <w:jc w:val="both"/>
        <w:rPr>
          <w:rFonts w:ascii="Arial" w:hAnsi="Arial" w:cs="Arial"/>
          <w:sz w:val="24"/>
          <w:szCs w:val="24"/>
        </w:rPr>
      </w:pPr>
      <w:r w:rsidRPr="00C67801">
        <w:rPr>
          <w:rFonts w:ascii="Arial" w:hAnsi="Arial" w:cs="Arial"/>
          <w:sz w:val="24"/>
          <w:szCs w:val="24"/>
        </w:rPr>
        <w:t>For the first respondent, it was argued that the judgment of Sibeya J, which is</w:t>
      </w:r>
      <w:r w:rsidR="00C67801">
        <w:rPr>
          <w:rFonts w:ascii="Arial" w:hAnsi="Arial" w:cs="Arial"/>
          <w:sz w:val="24"/>
          <w:szCs w:val="24"/>
        </w:rPr>
        <w:t xml:space="preserve"> appealed against, found that:</w:t>
      </w:r>
    </w:p>
    <w:p w:rsidR="00C67801" w:rsidRPr="00C67801" w:rsidRDefault="00C67801" w:rsidP="00C67801">
      <w:pPr>
        <w:pStyle w:val="ListParagraph"/>
        <w:spacing w:after="0" w:line="360" w:lineRule="auto"/>
        <w:ind w:left="0"/>
        <w:jc w:val="both"/>
        <w:rPr>
          <w:rFonts w:ascii="Arial" w:hAnsi="Arial" w:cs="Arial"/>
          <w:sz w:val="24"/>
          <w:szCs w:val="24"/>
        </w:rPr>
      </w:pPr>
    </w:p>
    <w:p w:rsidR="00C36E1C" w:rsidRDefault="005470FD" w:rsidP="00C36E1C">
      <w:pPr>
        <w:spacing w:after="0" w:line="360" w:lineRule="auto"/>
        <w:ind w:left="720"/>
        <w:jc w:val="both"/>
        <w:rPr>
          <w:rFonts w:ascii="Arial" w:hAnsi="Arial" w:cs="Arial"/>
        </w:rPr>
      </w:pPr>
      <w:r w:rsidRPr="00C36E1C">
        <w:rPr>
          <w:rFonts w:ascii="Arial" w:hAnsi="Arial" w:cs="Arial"/>
        </w:rPr>
        <w:t>‘</w:t>
      </w:r>
      <w:r w:rsidR="00C67801">
        <w:rPr>
          <w:rFonts w:ascii="Arial" w:hAnsi="Arial" w:cs="Arial"/>
        </w:rPr>
        <w:t xml:space="preserve"> </w:t>
      </w:r>
      <w:r w:rsidRPr="00C36E1C">
        <w:rPr>
          <w:rFonts w:ascii="Arial" w:hAnsi="Arial" w:cs="Arial"/>
        </w:rPr>
        <w:t>[43] Having appointed Paragon to take over the ground handling services by 1 July 2022 and considering that Paragon was notified and prepared to commence to render ground handling services and the stakeholders were informed of the new ground handler, Paragon, by 22 April 2022, NAC had the responsibility to ensure that Paragon commences rendering the ground handling services by 1 July 2022 free from any encumbrance. NAC became aware on 23 May 2022 that Menzies will not vacate HKIA as such, NAC opted not to sleep on its rights</w:t>
      </w:r>
      <w:r w:rsidR="00C67801">
        <w:rPr>
          <w:rFonts w:ascii="Arial" w:hAnsi="Arial" w:cs="Arial"/>
        </w:rPr>
        <w:t xml:space="preserve"> by waiting until 30 June 2022.’</w:t>
      </w:r>
    </w:p>
    <w:p w:rsidR="00C67801" w:rsidRPr="00C36E1C" w:rsidRDefault="00C67801" w:rsidP="00C36E1C">
      <w:pPr>
        <w:spacing w:after="0" w:line="360" w:lineRule="auto"/>
        <w:ind w:left="720"/>
        <w:jc w:val="both"/>
        <w:rPr>
          <w:rFonts w:ascii="Arial" w:hAnsi="Arial" w:cs="Arial"/>
        </w:rPr>
      </w:pPr>
    </w:p>
    <w:p w:rsidR="0052524E" w:rsidRDefault="005470FD" w:rsidP="00F73E7F">
      <w:pPr>
        <w:pStyle w:val="ListParagraph"/>
        <w:numPr>
          <w:ilvl w:val="0"/>
          <w:numId w:val="26"/>
        </w:numPr>
        <w:spacing w:after="0" w:line="360" w:lineRule="auto"/>
        <w:ind w:left="0" w:firstLine="0"/>
        <w:jc w:val="both"/>
        <w:rPr>
          <w:rFonts w:ascii="Arial" w:hAnsi="Arial" w:cs="Arial"/>
          <w:sz w:val="24"/>
          <w:szCs w:val="24"/>
        </w:rPr>
      </w:pPr>
      <w:r w:rsidRPr="00C67801">
        <w:rPr>
          <w:rFonts w:ascii="Arial" w:hAnsi="Arial" w:cs="Arial"/>
          <w:sz w:val="24"/>
          <w:szCs w:val="24"/>
        </w:rPr>
        <w:t xml:space="preserve">The effect of what Sibeya J held was that the first respondent had a responsibility to ensure that </w:t>
      </w:r>
      <w:r w:rsidR="00C67801">
        <w:rPr>
          <w:rFonts w:ascii="Arial" w:hAnsi="Arial" w:cs="Arial"/>
          <w:sz w:val="24"/>
          <w:szCs w:val="24"/>
        </w:rPr>
        <w:t xml:space="preserve">the </w:t>
      </w:r>
      <w:r w:rsidRPr="00C67801">
        <w:rPr>
          <w:rFonts w:ascii="Arial" w:hAnsi="Arial" w:cs="Arial"/>
          <w:sz w:val="24"/>
          <w:szCs w:val="24"/>
        </w:rPr>
        <w:t>second respondent commences with gr</w:t>
      </w:r>
      <w:r w:rsidR="006C0737">
        <w:rPr>
          <w:rFonts w:ascii="Arial" w:hAnsi="Arial" w:cs="Arial"/>
          <w:sz w:val="24"/>
          <w:szCs w:val="24"/>
        </w:rPr>
        <w:t>ound-</w:t>
      </w:r>
      <w:r w:rsidR="00C67801">
        <w:rPr>
          <w:rFonts w:ascii="Arial" w:hAnsi="Arial" w:cs="Arial"/>
          <w:sz w:val="24"/>
          <w:szCs w:val="24"/>
        </w:rPr>
        <w:t xml:space="preserve">handling services. </w:t>
      </w:r>
      <w:r w:rsidR="0013323D">
        <w:rPr>
          <w:rFonts w:ascii="Arial" w:hAnsi="Arial" w:cs="Arial"/>
          <w:sz w:val="24"/>
          <w:szCs w:val="24"/>
        </w:rPr>
        <w:t xml:space="preserve">The applicant, however, </w:t>
      </w:r>
      <w:r w:rsidRPr="00C67801">
        <w:rPr>
          <w:rFonts w:ascii="Arial" w:hAnsi="Arial" w:cs="Arial"/>
          <w:sz w:val="24"/>
          <w:szCs w:val="24"/>
        </w:rPr>
        <w:t>never sought to timeously interdict the first responden</w:t>
      </w:r>
      <w:r w:rsidR="0013323D">
        <w:rPr>
          <w:rFonts w:ascii="Arial" w:hAnsi="Arial" w:cs="Arial"/>
          <w:sz w:val="24"/>
          <w:szCs w:val="24"/>
        </w:rPr>
        <w:t>t from entering into the ground-</w:t>
      </w:r>
      <w:r w:rsidRPr="00C67801">
        <w:rPr>
          <w:rFonts w:ascii="Arial" w:hAnsi="Arial" w:cs="Arial"/>
          <w:sz w:val="24"/>
          <w:szCs w:val="24"/>
        </w:rPr>
        <w:t>handling services agreement with the second respondent or the implementation of the award. The applicant knew already by 9 February 2022 or latest March 2022 that the first respondent entered into an agreement with the second respond</w:t>
      </w:r>
      <w:r w:rsidR="0013323D">
        <w:rPr>
          <w:rFonts w:ascii="Arial" w:hAnsi="Arial" w:cs="Arial"/>
          <w:sz w:val="24"/>
          <w:szCs w:val="24"/>
        </w:rPr>
        <w:t>ent for the provision of ground-</w:t>
      </w:r>
      <w:r w:rsidRPr="00C67801">
        <w:rPr>
          <w:rFonts w:ascii="Arial" w:hAnsi="Arial" w:cs="Arial"/>
          <w:sz w:val="24"/>
          <w:szCs w:val="24"/>
        </w:rPr>
        <w:t>h</w:t>
      </w:r>
      <w:r>
        <w:rPr>
          <w:rFonts w:ascii="Arial" w:hAnsi="Arial" w:cs="Arial"/>
          <w:sz w:val="24"/>
          <w:szCs w:val="24"/>
        </w:rPr>
        <w:t>andling services at Hosea Kutako</w:t>
      </w:r>
      <w:r w:rsidRPr="00C67801">
        <w:rPr>
          <w:rFonts w:ascii="Arial" w:hAnsi="Arial" w:cs="Arial"/>
          <w:sz w:val="24"/>
          <w:szCs w:val="24"/>
        </w:rPr>
        <w:t xml:space="preserve"> International Airport.</w:t>
      </w:r>
    </w:p>
    <w:p w:rsidR="00C36E1C" w:rsidRPr="0052524E" w:rsidRDefault="005470FD" w:rsidP="00F73E7F">
      <w:pPr>
        <w:pStyle w:val="ListParagraph"/>
        <w:numPr>
          <w:ilvl w:val="0"/>
          <w:numId w:val="26"/>
        </w:numPr>
        <w:spacing w:after="0" w:line="360" w:lineRule="auto"/>
        <w:ind w:left="0" w:firstLine="0"/>
        <w:jc w:val="both"/>
        <w:rPr>
          <w:rFonts w:ascii="Arial" w:hAnsi="Arial" w:cs="Arial"/>
          <w:sz w:val="24"/>
          <w:szCs w:val="24"/>
        </w:rPr>
      </w:pPr>
      <w:r w:rsidRPr="0052524E">
        <w:rPr>
          <w:rFonts w:ascii="Arial" w:hAnsi="Arial" w:cs="Arial"/>
          <w:sz w:val="24"/>
          <w:szCs w:val="24"/>
        </w:rPr>
        <w:t xml:space="preserve">On behalf of the first respondent, it was pointed out that the applicant failed to seek interdictory relief against the first respondent when it launched its review application in April 2022. The applicant claimed a full six months later that they seek interdictory </w:t>
      </w:r>
      <w:r w:rsidRPr="0052524E">
        <w:rPr>
          <w:rFonts w:ascii="Arial" w:hAnsi="Arial" w:cs="Arial"/>
          <w:i/>
          <w:sz w:val="24"/>
          <w:szCs w:val="24"/>
        </w:rPr>
        <w:t>pendente lite</w:t>
      </w:r>
      <w:r w:rsidRPr="0052524E">
        <w:rPr>
          <w:rFonts w:ascii="Arial" w:hAnsi="Arial" w:cs="Arial"/>
          <w:sz w:val="24"/>
          <w:szCs w:val="24"/>
        </w:rPr>
        <w:t xml:space="preserve"> relief pending the outcome of the main application.  It is not explained by the applicant why it waited this long to bring its interdict before this court.</w:t>
      </w:r>
    </w:p>
    <w:p w:rsidR="0052524E" w:rsidRDefault="005470FD" w:rsidP="00F73E7F">
      <w:pPr>
        <w:spacing w:after="0" w:line="360" w:lineRule="auto"/>
        <w:jc w:val="both"/>
        <w:rPr>
          <w:rFonts w:ascii="Arial" w:hAnsi="Arial" w:cs="Arial"/>
          <w:sz w:val="24"/>
          <w:szCs w:val="24"/>
        </w:rPr>
      </w:pPr>
      <w:r w:rsidRPr="00F73E7F">
        <w:rPr>
          <w:rFonts w:ascii="Arial" w:hAnsi="Arial" w:cs="Arial"/>
          <w:sz w:val="24"/>
          <w:szCs w:val="24"/>
        </w:rPr>
        <w:t>The interdictory relief flows directly from the review</w:t>
      </w:r>
      <w:r>
        <w:rPr>
          <w:rFonts w:ascii="Arial" w:hAnsi="Arial" w:cs="Arial"/>
          <w:sz w:val="24"/>
          <w:szCs w:val="24"/>
        </w:rPr>
        <w:t xml:space="preserve"> application launched in April </w:t>
      </w:r>
      <w:r w:rsidRPr="00F73E7F">
        <w:rPr>
          <w:rFonts w:ascii="Arial" w:hAnsi="Arial" w:cs="Arial"/>
          <w:sz w:val="24"/>
          <w:szCs w:val="24"/>
        </w:rPr>
        <w:t>2022 and must have</w:t>
      </w:r>
      <w:r>
        <w:rPr>
          <w:rFonts w:ascii="Arial" w:hAnsi="Arial" w:cs="Arial"/>
          <w:sz w:val="24"/>
          <w:szCs w:val="24"/>
        </w:rPr>
        <w:t xml:space="preserve"> been sought together with the </w:t>
      </w:r>
      <w:r w:rsidRPr="00F73E7F">
        <w:rPr>
          <w:rFonts w:ascii="Arial" w:hAnsi="Arial" w:cs="Arial"/>
          <w:sz w:val="24"/>
          <w:szCs w:val="24"/>
        </w:rPr>
        <w:t>main review relief, in order to avoid a multiplicity of applications.</w:t>
      </w:r>
    </w:p>
    <w:p w:rsidR="0052524E" w:rsidRDefault="0052524E" w:rsidP="00F73E7F">
      <w:pPr>
        <w:spacing w:after="0" w:line="360" w:lineRule="auto"/>
        <w:jc w:val="both"/>
        <w:rPr>
          <w:rFonts w:ascii="Arial" w:hAnsi="Arial" w:cs="Arial"/>
          <w:sz w:val="24"/>
          <w:szCs w:val="24"/>
        </w:rPr>
      </w:pPr>
    </w:p>
    <w:p w:rsidR="0052524E" w:rsidRDefault="005470FD" w:rsidP="00F73E7F">
      <w:pPr>
        <w:pStyle w:val="ListParagraph"/>
        <w:numPr>
          <w:ilvl w:val="0"/>
          <w:numId w:val="26"/>
        </w:numPr>
        <w:spacing w:after="0" w:line="360" w:lineRule="auto"/>
        <w:ind w:left="0" w:firstLine="0"/>
        <w:jc w:val="both"/>
        <w:rPr>
          <w:rFonts w:ascii="Arial" w:hAnsi="Arial" w:cs="Arial"/>
          <w:sz w:val="24"/>
          <w:szCs w:val="24"/>
        </w:rPr>
      </w:pPr>
      <w:r w:rsidRPr="0052524E">
        <w:rPr>
          <w:rFonts w:ascii="Arial" w:hAnsi="Arial" w:cs="Arial"/>
          <w:sz w:val="24"/>
          <w:szCs w:val="24"/>
        </w:rPr>
        <w:t xml:space="preserve">The most important consideration which arise in this application is that the applicant failed to explain why it could not in April 2022 apply to interdict the implementation of the award as its review application before a review panel was </w:t>
      </w:r>
      <w:r w:rsidRPr="0052524E">
        <w:rPr>
          <w:rFonts w:ascii="Arial" w:hAnsi="Arial" w:cs="Arial"/>
          <w:sz w:val="24"/>
          <w:szCs w:val="24"/>
        </w:rPr>
        <w:lastRenderedPageBreak/>
        <w:t>already dismissed in early January 2022.  The applicant should have interdicted the first respondent in early February 2022 from concluding the contract with the second respondent, yet it failed to do so.</w:t>
      </w:r>
      <w:r w:rsidR="00CC3FAB" w:rsidRPr="0052524E">
        <w:rPr>
          <w:rFonts w:ascii="Arial" w:hAnsi="Arial" w:cs="Arial"/>
          <w:sz w:val="24"/>
          <w:szCs w:val="24"/>
        </w:rPr>
        <w:t xml:space="preserve">  It was further argued that t</w:t>
      </w:r>
      <w:r w:rsidR="00256887">
        <w:rPr>
          <w:rFonts w:ascii="Arial" w:hAnsi="Arial" w:cs="Arial"/>
          <w:sz w:val="24"/>
          <w:szCs w:val="24"/>
        </w:rPr>
        <w:t>he relief sought by the applicant</w:t>
      </w:r>
      <w:r w:rsidRPr="0052524E">
        <w:rPr>
          <w:rFonts w:ascii="Arial" w:hAnsi="Arial" w:cs="Arial"/>
          <w:sz w:val="24"/>
          <w:szCs w:val="24"/>
        </w:rPr>
        <w:t xml:space="preserve"> in its notice of motion</w:t>
      </w:r>
      <w:r w:rsidR="00CC3FAB" w:rsidRPr="0052524E">
        <w:rPr>
          <w:rFonts w:ascii="Arial" w:hAnsi="Arial" w:cs="Arial"/>
          <w:sz w:val="24"/>
          <w:szCs w:val="24"/>
        </w:rPr>
        <w:t xml:space="preserve"> in the current application is </w:t>
      </w:r>
      <w:r w:rsidRPr="0052524E">
        <w:rPr>
          <w:rFonts w:ascii="Arial" w:hAnsi="Arial" w:cs="Arial"/>
          <w:sz w:val="24"/>
          <w:szCs w:val="24"/>
        </w:rPr>
        <w:t>almost identical to the relief sought in its urgent</w:t>
      </w:r>
      <w:r w:rsidR="00CC3FAB" w:rsidRPr="0052524E">
        <w:rPr>
          <w:rFonts w:ascii="Arial" w:hAnsi="Arial" w:cs="Arial"/>
          <w:sz w:val="24"/>
          <w:szCs w:val="24"/>
        </w:rPr>
        <w:t xml:space="preserve"> counter-application which was </w:t>
      </w:r>
      <w:r w:rsidRPr="0052524E">
        <w:rPr>
          <w:rFonts w:ascii="Arial" w:hAnsi="Arial" w:cs="Arial"/>
          <w:sz w:val="24"/>
          <w:szCs w:val="24"/>
        </w:rPr>
        <w:t>struck from the roll, and is now awaiting appe</w:t>
      </w:r>
      <w:r w:rsidR="00CC3FAB" w:rsidRPr="0052524E">
        <w:rPr>
          <w:rFonts w:ascii="Arial" w:hAnsi="Arial" w:cs="Arial"/>
          <w:sz w:val="24"/>
          <w:szCs w:val="24"/>
        </w:rPr>
        <w:t xml:space="preserve">al determination. The founding </w:t>
      </w:r>
      <w:r w:rsidRPr="0052524E">
        <w:rPr>
          <w:rFonts w:ascii="Arial" w:hAnsi="Arial" w:cs="Arial"/>
          <w:sz w:val="24"/>
          <w:szCs w:val="24"/>
        </w:rPr>
        <w:t xml:space="preserve">affidavit indeed contains portions directly lifted </w:t>
      </w:r>
      <w:r w:rsidR="00CC3FAB" w:rsidRPr="0052524E">
        <w:rPr>
          <w:rFonts w:ascii="Arial" w:hAnsi="Arial" w:cs="Arial"/>
          <w:sz w:val="24"/>
          <w:szCs w:val="24"/>
        </w:rPr>
        <w:t xml:space="preserve">from </w:t>
      </w:r>
      <w:r w:rsidRPr="0052524E">
        <w:rPr>
          <w:rFonts w:ascii="Arial" w:hAnsi="Arial" w:cs="Arial"/>
          <w:sz w:val="24"/>
          <w:szCs w:val="24"/>
        </w:rPr>
        <w:t>the founding and founding supplementary affi</w:t>
      </w:r>
      <w:r w:rsidR="00CC3FAB" w:rsidRPr="0052524E">
        <w:rPr>
          <w:rFonts w:ascii="Arial" w:hAnsi="Arial" w:cs="Arial"/>
          <w:sz w:val="24"/>
          <w:szCs w:val="24"/>
        </w:rPr>
        <w:t xml:space="preserve">davits filed by the applicant in the </w:t>
      </w:r>
      <w:r w:rsidRPr="0052524E">
        <w:rPr>
          <w:rFonts w:ascii="Arial" w:hAnsi="Arial" w:cs="Arial"/>
          <w:sz w:val="24"/>
          <w:szCs w:val="24"/>
        </w:rPr>
        <w:t>pending review.</w:t>
      </w:r>
    </w:p>
    <w:p w:rsidR="0052524E" w:rsidRDefault="0052524E" w:rsidP="0052524E">
      <w:pPr>
        <w:pStyle w:val="ListParagraph"/>
        <w:spacing w:after="0" w:line="360" w:lineRule="auto"/>
        <w:ind w:left="0"/>
        <w:jc w:val="both"/>
        <w:rPr>
          <w:rFonts w:ascii="Arial" w:hAnsi="Arial" w:cs="Arial"/>
          <w:sz w:val="24"/>
          <w:szCs w:val="24"/>
        </w:rPr>
      </w:pPr>
    </w:p>
    <w:p w:rsidR="0052524E" w:rsidRDefault="005470FD" w:rsidP="00D079FF">
      <w:pPr>
        <w:pStyle w:val="ListParagraph"/>
        <w:numPr>
          <w:ilvl w:val="0"/>
          <w:numId w:val="26"/>
        </w:numPr>
        <w:spacing w:after="0" w:line="360" w:lineRule="auto"/>
        <w:ind w:left="0" w:firstLine="0"/>
        <w:jc w:val="both"/>
        <w:rPr>
          <w:rFonts w:ascii="Arial" w:hAnsi="Arial" w:cs="Arial"/>
          <w:sz w:val="24"/>
          <w:szCs w:val="24"/>
        </w:rPr>
      </w:pPr>
      <w:r w:rsidRPr="0052524E">
        <w:rPr>
          <w:rFonts w:ascii="Arial" w:hAnsi="Arial" w:cs="Arial"/>
          <w:sz w:val="24"/>
          <w:szCs w:val="24"/>
        </w:rPr>
        <w:t>The applicant, in correspondence dated 30 June 2022</w:t>
      </w:r>
      <w:r w:rsidR="00252A85">
        <w:rPr>
          <w:rFonts w:ascii="Arial" w:hAnsi="Arial" w:cs="Arial"/>
          <w:sz w:val="24"/>
          <w:szCs w:val="24"/>
        </w:rPr>
        <w:t xml:space="preserve">, </w:t>
      </w:r>
      <w:r w:rsidRPr="0052524E">
        <w:rPr>
          <w:rFonts w:ascii="Arial" w:hAnsi="Arial" w:cs="Arial"/>
          <w:sz w:val="24"/>
          <w:szCs w:val="24"/>
        </w:rPr>
        <w:t xml:space="preserve">indicated to the first respondent's legal advisors to advise their client of </w:t>
      </w:r>
      <w:r>
        <w:rPr>
          <w:rFonts w:ascii="Arial" w:hAnsi="Arial" w:cs="Arial"/>
          <w:sz w:val="24"/>
          <w:szCs w:val="24"/>
        </w:rPr>
        <w:t>the effect of r</w:t>
      </w:r>
      <w:r w:rsidRPr="0052524E">
        <w:rPr>
          <w:rFonts w:ascii="Arial" w:hAnsi="Arial" w:cs="Arial"/>
          <w:sz w:val="24"/>
          <w:szCs w:val="24"/>
        </w:rPr>
        <w:t>ule 121(2) regarding the suspension of the operation of and execution of the order of 29 July 2022. It indicated that evicting the applicant in the face of an appeal will be mala fide and illegal and will also constitute spoliation. More importantly, the letter further recorded that while the appeal is pending the applicant will continue to render the services.  So there was no new agreement that came into force.  The first respondent can in any event not enter into a new agreement with the applicant without complying with the terms of the Public Procurement Act.</w:t>
      </w:r>
    </w:p>
    <w:p w:rsidR="0052524E" w:rsidRPr="0052524E" w:rsidRDefault="0052524E" w:rsidP="0052524E">
      <w:pPr>
        <w:pStyle w:val="ListParagraph"/>
        <w:rPr>
          <w:rFonts w:ascii="Arial" w:hAnsi="Arial" w:cs="Arial"/>
          <w:sz w:val="24"/>
          <w:szCs w:val="24"/>
        </w:rPr>
      </w:pPr>
    </w:p>
    <w:p w:rsidR="00F91E2B" w:rsidRPr="0052524E" w:rsidRDefault="005470FD" w:rsidP="00D079FF">
      <w:pPr>
        <w:pStyle w:val="ListParagraph"/>
        <w:numPr>
          <w:ilvl w:val="0"/>
          <w:numId w:val="26"/>
        </w:numPr>
        <w:spacing w:after="0" w:line="360" w:lineRule="auto"/>
        <w:ind w:left="0" w:firstLine="0"/>
        <w:jc w:val="both"/>
        <w:rPr>
          <w:rFonts w:ascii="Arial" w:hAnsi="Arial" w:cs="Arial"/>
          <w:sz w:val="24"/>
          <w:szCs w:val="24"/>
        </w:rPr>
      </w:pPr>
      <w:r w:rsidRPr="0052524E">
        <w:rPr>
          <w:rFonts w:ascii="Arial" w:hAnsi="Arial" w:cs="Arial"/>
          <w:sz w:val="24"/>
          <w:szCs w:val="24"/>
        </w:rPr>
        <w:t xml:space="preserve">It was submitted that the applicant has not met the requisites for the grant of interim interdicts. The first respondent has an extant agreement with the second respondent. In the year 2020, the applicant’s annual financial statements recorded </w:t>
      </w:r>
      <w:r w:rsidR="0052524E" w:rsidRPr="0052524E">
        <w:rPr>
          <w:rFonts w:ascii="Arial" w:hAnsi="Arial" w:cs="Arial"/>
          <w:sz w:val="24"/>
          <w:szCs w:val="24"/>
        </w:rPr>
        <w:t>accumulated losses of N$</w:t>
      </w:r>
      <w:r w:rsidR="000535B7">
        <w:rPr>
          <w:rFonts w:ascii="Arial" w:hAnsi="Arial" w:cs="Arial"/>
          <w:sz w:val="24"/>
          <w:szCs w:val="24"/>
        </w:rPr>
        <w:t>13 106 720</w:t>
      </w:r>
      <w:r w:rsidRPr="0052524E">
        <w:rPr>
          <w:rFonts w:ascii="Arial" w:hAnsi="Arial" w:cs="Arial"/>
          <w:sz w:val="24"/>
          <w:szCs w:val="24"/>
        </w:rPr>
        <w:t xml:space="preserve"> and the applicant’s total liabilities exceeded its a</w:t>
      </w:r>
      <w:r w:rsidR="0052524E" w:rsidRPr="0052524E">
        <w:rPr>
          <w:rFonts w:ascii="Arial" w:hAnsi="Arial" w:cs="Arial"/>
          <w:sz w:val="24"/>
          <w:szCs w:val="24"/>
        </w:rPr>
        <w:t>ssets by N$</w:t>
      </w:r>
      <w:r w:rsidR="00701D49">
        <w:rPr>
          <w:rFonts w:ascii="Arial" w:hAnsi="Arial" w:cs="Arial"/>
          <w:sz w:val="24"/>
          <w:szCs w:val="24"/>
        </w:rPr>
        <w:t>13 106 620</w:t>
      </w:r>
      <w:r w:rsidRPr="0052524E">
        <w:rPr>
          <w:rFonts w:ascii="Arial" w:hAnsi="Arial" w:cs="Arial"/>
          <w:sz w:val="24"/>
          <w:szCs w:val="24"/>
        </w:rPr>
        <w:t>.  As it is</w:t>
      </w:r>
      <w:r w:rsidR="006033B0">
        <w:rPr>
          <w:rFonts w:ascii="Arial" w:hAnsi="Arial" w:cs="Arial"/>
          <w:sz w:val="24"/>
          <w:szCs w:val="24"/>
        </w:rPr>
        <w:t>,</w:t>
      </w:r>
      <w:r w:rsidRPr="0052524E">
        <w:rPr>
          <w:rFonts w:ascii="Arial" w:hAnsi="Arial" w:cs="Arial"/>
          <w:sz w:val="24"/>
          <w:szCs w:val="24"/>
        </w:rPr>
        <w:t xml:space="preserve"> the applicant has provided no evidentiary response quite apart from the bare claim</w:t>
      </w:r>
      <w:r w:rsidR="00F57D00">
        <w:rPr>
          <w:rFonts w:ascii="Arial" w:hAnsi="Arial" w:cs="Arial"/>
          <w:sz w:val="24"/>
          <w:szCs w:val="24"/>
        </w:rPr>
        <w:t xml:space="preserve"> that ‘</w:t>
      </w:r>
      <w:r w:rsidRPr="0052524E">
        <w:rPr>
          <w:rFonts w:ascii="Arial" w:hAnsi="Arial" w:cs="Arial"/>
          <w:sz w:val="24"/>
          <w:szCs w:val="24"/>
        </w:rPr>
        <w:t>Menzies is</w:t>
      </w:r>
      <w:r w:rsidR="00F57D00">
        <w:rPr>
          <w:rFonts w:ascii="Arial" w:hAnsi="Arial" w:cs="Arial"/>
          <w:sz w:val="24"/>
          <w:szCs w:val="24"/>
        </w:rPr>
        <w:t xml:space="preserve"> not under any financial strain’</w:t>
      </w:r>
      <w:r w:rsidRPr="0052524E">
        <w:rPr>
          <w:rFonts w:ascii="Arial" w:hAnsi="Arial" w:cs="Arial"/>
          <w:sz w:val="24"/>
          <w:szCs w:val="24"/>
        </w:rPr>
        <w:t>.   In summary, it was argued that the applicant has not shown that it has a prima facie right, in the sense that even if the award was to be set aside.</w:t>
      </w:r>
    </w:p>
    <w:p w:rsidR="00D079FF" w:rsidRPr="0052524E" w:rsidRDefault="00D079FF" w:rsidP="00D079FF">
      <w:pPr>
        <w:spacing w:after="0" w:line="360" w:lineRule="auto"/>
        <w:jc w:val="both"/>
        <w:rPr>
          <w:rFonts w:ascii="Arial" w:hAnsi="Arial" w:cs="Arial"/>
          <w:sz w:val="24"/>
          <w:szCs w:val="24"/>
        </w:rPr>
      </w:pPr>
    </w:p>
    <w:p w:rsidR="00D079FF" w:rsidRDefault="005470FD" w:rsidP="00D079FF">
      <w:pPr>
        <w:spacing w:after="0" w:line="360" w:lineRule="auto"/>
        <w:jc w:val="both"/>
        <w:rPr>
          <w:rFonts w:ascii="Arial" w:hAnsi="Arial" w:cs="Arial"/>
          <w:i/>
          <w:sz w:val="24"/>
          <w:szCs w:val="24"/>
        </w:rPr>
      </w:pPr>
      <w:r w:rsidRPr="0052524E">
        <w:rPr>
          <w:rFonts w:ascii="Arial" w:hAnsi="Arial" w:cs="Arial"/>
          <w:i/>
          <w:sz w:val="24"/>
          <w:szCs w:val="24"/>
        </w:rPr>
        <w:t>The second respondent</w:t>
      </w:r>
    </w:p>
    <w:p w:rsidR="0052524E" w:rsidRPr="0052524E" w:rsidRDefault="0052524E" w:rsidP="00D079FF">
      <w:pPr>
        <w:spacing w:after="0" w:line="360" w:lineRule="auto"/>
        <w:jc w:val="both"/>
        <w:rPr>
          <w:rFonts w:ascii="Arial" w:hAnsi="Arial" w:cs="Arial"/>
          <w:i/>
          <w:sz w:val="24"/>
          <w:szCs w:val="24"/>
        </w:rPr>
      </w:pPr>
    </w:p>
    <w:p w:rsidR="0052524E" w:rsidRDefault="005470FD" w:rsidP="001E6BB7">
      <w:pPr>
        <w:pStyle w:val="ListParagraph"/>
        <w:numPr>
          <w:ilvl w:val="0"/>
          <w:numId w:val="26"/>
        </w:numPr>
        <w:spacing w:after="0" w:line="360" w:lineRule="auto"/>
        <w:ind w:left="0" w:firstLine="0"/>
        <w:jc w:val="both"/>
        <w:rPr>
          <w:rFonts w:ascii="Arial" w:hAnsi="Arial" w:cs="Arial"/>
          <w:sz w:val="24"/>
          <w:szCs w:val="24"/>
        </w:rPr>
      </w:pPr>
      <w:r w:rsidRPr="0052524E">
        <w:rPr>
          <w:rFonts w:ascii="Arial" w:hAnsi="Arial" w:cs="Arial"/>
          <w:sz w:val="24"/>
          <w:szCs w:val="24"/>
        </w:rPr>
        <w:t>On behalf of the second respondent it was argued that the application should</w:t>
      </w:r>
      <w:r>
        <w:rPr>
          <w:rFonts w:ascii="Arial" w:hAnsi="Arial" w:cs="Arial"/>
          <w:sz w:val="24"/>
          <w:szCs w:val="24"/>
        </w:rPr>
        <w:t xml:space="preserve"> be dismissed by the c</w:t>
      </w:r>
      <w:r w:rsidRPr="0052524E">
        <w:rPr>
          <w:rFonts w:ascii="Arial" w:hAnsi="Arial" w:cs="Arial"/>
          <w:sz w:val="24"/>
          <w:szCs w:val="24"/>
        </w:rPr>
        <w:t>ourt using its wide discretion on the basis that by the date of hearing of this application</w:t>
      </w:r>
      <w:r>
        <w:rPr>
          <w:rFonts w:ascii="Arial" w:hAnsi="Arial" w:cs="Arial"/>
          <w:sz w:val="24"/>
          <w:szCs w:val="24"/>
        </w:rPr>
        <w:t>,</w:t>
      </w:r>
      <w:r w:rsidRPr="0052524E">
        <w:rPr>
          <w:rFonts w:ascii="Arial" w:hAnsi="Arial" w:cs="Arial"/>
          <w:sz w:val="24"/>
          <w:szCs w:val="24"/>
        </w:rPr>
        <w:t xml:space="preserve"> the Supreme Court would have heard the applicant’s appeal on 19 April 2023. The parties would therefore be waiting for the Supreme Court’s decision. If that appeal is dismissed, then it would ha</w:t>
      </w:r>
      <w:r w:rsidR="0076199F">
        <w:rPr>
          <w:rFonts w:ascii="Arial" w:hAnsi="Arial" w:cs="Arial"/>
          <w:sz w:val="24"/>
          <w:szCs w:val="24"/>
        </w:rPr>
        <w:t>ve been inappropriate for this</w:t>
      </w:r>
      <w:r>
        <w:rPr>
          <w:rFonts w:ascii="Arial" w:hAnsi="Arial" w:cs="Arial"/>
          <w:sz w:val="24"/>
          <w:szCs w:val="24"/>
        </w:rPr>
        <w:t xml:space="preserve"> </w:t>
      </w:r>
      <w:r>
        <w:rPr>
          <w:rFonts w:ascii="Arial" w:hAnsi="Arial" w:cs="Arial"/>
          <w:sz w:val="24"/>
          <w:szCs w:val="24"/>
        </w:rPr>
        <w:lastRenderedPageBreak/>
        <w:t>c</w:t>
      </w:r>
      <w:r w:rsidRPr="0052524E">
        <w:rPr>
          <w:rFonts w:ascii="Arial" w:hAnsi="Arial" w:cs="Arial"/>
          <w:sz w:val="24"/>
          <w:szCs w:val="24"/>
        </w:rPr>
        <w:t>ourt to, in the meantime, make an order when the same issues may be disposed of by the Supreme Court</w:t>
      </w:r>
      <w:r w:rsidR="00D825BA">
        <w:rPr>
          <w:rFonts w:ascii="Arial" w:hAnsi="Arial" w:cs="Arial"/>
          <w:sz w:val="24"/>
          <w:szCs w:val="24"/>
        </w:rPr>
        <w:t>,</w:t>
      </w:r>
      <w:r w:rsidRPr="0052524E">
        <w:rPr>
          <w:rFonts w:ascii="Arial" w:hAnsi="Arial" w:cs="Arial"/>
          <w:sz w:val="24"/>
          <w:szCs w:val="24"/>
        </w:rPr>
        <w:t xml:space="preserve"> altogether. </w:t>
      </w:r>
      <w:r w:rsidR="00683C85" w:rsidRPr="0052524E">
        <w:rPr>
          <w:rFonts w:ascii="Arial" w:hAnsi="Arial" w:cs="Arial"/>
          <w:sz w:val="24"/>
          <w:szCs w:val="24"/>
        </w:rPr>
        <w:t>Because of the real possibility of the Supreme</w:t>
      </w:r>
      <w:r w:rsidR="00D825BA">
        <w:rPr>
          <w:rFonts w:ascii="Arial" w:hAnsi="Arial" w:cs="Arial"/>
          <w:sz w:val="24"/>
          <w:szCs w:val="24"/>
        </w:rPr>
        <w:t xml:space="preserve"> Court not setting aside Sibeya J</w:t>
      </w:r>
      <w:r w:rsidR="00683C85" w:rsidRPr="0052524E">
        <w:rPr>
          <w:rFonts w:ascii="Arial" w:hAnsi="Arial" w:cs="Arial"/>
          <w:sz w:val="24"/>
          <w:szCs w:val="24"/>
        </w:rPr>
        <w:t>’s order it w</w:t>
      </w:r>
      <w:r w:rsidR="00D825BA">
        <w:rPr>
          <w:rFonts w:ascii="Arial" w:hAnsi="Arial" w:cs="Arial"/>
          <w:sz w:val="24"/>
          <w:szCs w:val="24"/>
        </w:rPr>
        <w:t>ould be inappropriate for this c</w:t>
      </w:r>
      <w:r w:rsidR="00683C85" w:rsidRPr="0052524E">
        <w:rPr>
          <w:rFonts w:ascii="Arial" w:hAnsi="Arial" w:cs="Arial"/>
          <w:sz w:val="24"/>
          <w:szCs w:val="24"/>
        </w:rPr>
        <w:t xml:space="preserve">ourt to, at this stage, make an order that may be incompatible with the possible outcome of the Supreme Court which can be any time as that appeal had since been heard. </w:t>
      </w:r>
    </w:p>
    <w:p w:rsidR="0052524E" w:rsidRDefault="0052524E" w:rsidP="0052524E">
      <w:pPr>
        <w:pStyle w:val="ListParagraph"/>
        <w:spacing w:after="0" w:line="360" w:lineRule="auto"/>
        <w:ind w:left="0"/>
        <w:jc w:val="both"/>
        <w:rPr>
          <w:rFonts w:ascii="Arial" w:hAnsi="Arial" w:cs="Arial"/>
          <w:sz w:val="24"/>
          <w:szCs w:val="24"/>
        </w:rPr>
      </w:pPr>
    </w:p>
    <w:p w:rsidR="0052524E" w:rsidRDefault="005470FD" w:rsidP="001E6BB7">
      <w:pPr>
        <w:pStyle w:val="ListParagraph"/>
        <w:numPr>
          <w:ilvl w:val="0"/>
          <w:numId w:val="26"/>
        </w:numPr>
        <w:spacing w:after="0" w:line="360" w:lineRule="auto"/>
        <w:ind w:left="0" w:firstLine="0"/>
        <w:jc w:val="both"/>
        <w:rPr>
          <w:rFonts w:ascii="Arial" w:hAnsi="Arial" w:cs="Arial"/>
          <w:sz w:val="24"/>
          <w:szCs w:val="24"/>
        </w:rPr>
      </w:pPr>
      <w:r w:rsidRPr="0052524E">
        <w:rPr>
          <w:rFonts w:ascii="Arial" w:hAnsi="Arial" w:cs="Arial"/>
          <w:sz w:val="24"/>
          <w:szCs w:val="24"/>
        </w:rPr>
        <w:t>The applicant further</w:t>
      </w:r>
      <w:r>
        <w:rPr>
          <w:rFonts w:ascii="Arial" w:hAnsi="Arial" w:cs="Arial"/>
          <w:sz w:val="24"/>
          <w:szCs w:val="24"/>
        </w:rPr>
        <w:t xml:space="preserve"> asks the c</w:t>
      </w:r>
      <w:r w:rsidRPr="0052524E">
        <w:rPr>
          <w:rFonts w:ascii="Arial" w:hAnsi="Arial" w:cs="Arial"/>
          <w:sz w:val="24"/>
          <w:szCs w:val="24"/>
        </w:rPr>
        <w:t>ourt to amend an agreement between parties. This is because the applicant itself alleges an agreement between it and the first respondent that it wou</w:t>
      </w:r>
      <w:r w:rsidR="00226E5D">
        <w:rPr>
          <w:rFonts w:ascii="Arial" w:hAnsi="Arial" w:cs="Arial"/>
          <w:sz w:val="24"/>
          <w:szCs w:val="24"/>
        </w:rPr>
        <w:t>ld continue rendering services ‘</w:t>
      </w:r>
      <w:r w:rsidRPr="0052524E">
        <w:rPr>
          <w:rFonts w:ascii="Arial" w:hAnsi="Arial" w:cs="Arial"/>
          <w:sz w:val="24"/>
          <w:szCs w:val="24"/>
        </w:rPr>
        <w:t xml:space="preserve">until </w:t>
      </w:r>
      <w:r w:rsidR="00226E5D">
        <w:rPr>
          <w:rFonts w:ascii="Arial" w:hAnsi="Arial" w:cs="Arial"/>
          <w:sz w:val="24"/>
          <w:szCs w:val="24"/>
        </w:rPr>
        <w:t>further notice.’</w:t>
      </w:r>
      <w:r w:rsidRPr="0052524E">
        <w:rPr>
          <w:rFonts w:ascii="Arial" w:hAnsi="Arial" w:cs="Arial"/>
          <w:sz w:val="24"/>
          <w:szCs w:val="24"/>
        </w:rPr>
        <w:t xml:space="preserve"> That notw</w:t>
      </w:r>
      <w:r>
        <w:rPr>
          <w:rFonts w:ascii="Arial" w:hAnsi="Arial" w:cs="Arial"/>
          <w:sz w:val="24"/>
          <w:szCs w:val="24"/>
        </w:rPr>
        <w:t>ithstanding, it now seeks</w:t>
      </w:r>
      <w:r w:rsidR="00437E25">
        <w:rPr>
          <w:rFonts w:ascii="Arial" w:hAnsi="Arial" w:cs="Arial"/>
          <w:sz w:val="24"/>
          <w:szCs w:val="24"/>
        </w:rPr>
        <w:t xml:space="preserve"> that</w:t>
      </w:r>
      <w:r>
        <w:rPr>
          <w:rFonts w:ascii="Arial" w:hAnsi="Arial" w:cs="Arial"/>
          <w:sz w:val="24"/>
          <w:szCs w:val="24"/>
        </w:rPr>
        <w:t xml:space="preserve"> this c</w:t>
      </w:r>
      <w:r w:rsidR="00437E25">
        <w:rPr>
          <w:rFonts w:ascii="Arial" w:hAnsi="Arial" w:cs="Arial"/>
          <w:sz w:val="24"/>
          <w:szCs w:val="24"/>
        </w:rPr>
        <w:t>ourt</w:t>
      </w:r>
      <w:r w:rsidRPr="0052524E">
        <w:rPr>
          <w:rFonts w:ascii="Arial" w:hAnsi="Arial" w:cs="Arial"/>
          <w:sz w:val="24"/>
          <w:szCs w:val="24"/>
        </w:rPr>
        <w:t xml:space="preserve"> amends the agreement, through an order sou</w:t>
      </w:r>
      <w:r w:rsidR="00437E25">
        <w:rPr>
          <w:rFonts w:ascii="Arial" w:hAnsi="Arial" w:cs="Arial"/>
          <w:sz w:val="24"/>
          <w:szCs w:val="24"/>
        </w:rPr>
        <w:t>ght under paragraph 1.2 of the notice of m</w:t>
      </w:r>
      <w:r w:rsidRPr="0052524E">
        <w:rPr>
          <w:rFonts w:ascii="Arial" w:hAnsi="Arial" w:cs="Arial"/>
          <w:sz w:val="24"/>
          <w:szCs w:val="24"/>
        </w:rPr>
        <w:t xml:space="preserve">otion, to introduce a term that the ground handling services must be provided and the contract must not be </w:t>
      </w:r>
      <w:r w:rsidR="00437E25">
        <w:rPr>
          <w:rFonts w:ascii="Arial" w:hAnsi="Arial" w:cs="Arial"/>
          <w:sz w:val="24"/>
          <w:szCs w:val="24"/>
        </w:rPr>
        <w:t>terminated ‘</w:t>
      </w:r>
      <w:r w:rsidRPr="0052524E">
        <w:rPr>
          <w:rFonts w:ascii="Arial" w:hAnsi="Arial" w:cs="Arial"/>
          <w:sz w:val="24"/>
          <w:szCs w:val="24"/>
        </w:rPr>
        <w:t>unless the applicant has given the first re</w:t>
      </w:r>
      <w:r w:rsidR="00437E25">
        <w:rPr>
          <w:rFonts w:ascii="Arial" w:hAnsi="Arial" w:cs="Arial"/>
          <w:sz w:val="24"/>
          <w:szCs w:val="24"/>
        </w:rPr>
        <w:t>spondent twelve months’ notice.’</w:t>
      </w:r>
      <w:r w:rsidRPr="0052524E">
        <w:rPr>
          <w:rFonts w:ascii="Arial" w:hAnsi="Arial" w:cs="Arial"/>
          <w:sz w:val="24"/>
          <w:szCs w:val="24"/>
        </w:rPr>
        <w:t xml:space="preserve"> It was submitted that once the applicant alleges that it has accepted</w:t>
      </w:r>
      <w:r w:rsidR="00437E25">
        <w:rPr>
          <w:rFonts w:ascii="Arial" w:hAnsi="Arial" w:cs="Arial"/>
          <w:sz w:val="24"/>
          <w:szCs w:val="24"/>
        </w:rPr>
        <w:t xml:space="preserve"> the</w:t>
      </w:r>
      <w:r w:rsidRPr="0052524E">
        <w:rPr>
          <w:rFonts w:ascii="Arial" w:hAnsi="Arial" w:cs="Arial"/>
          <w:sz w:val="24"/>
          <w:szCs w:val="24"/>
        </w:rPr>
        <w:t xml:space="preserve"> first respondent’s interim agreement,</w:t>
      </w:r>
      <w:r>
        <w:rPr>
          <w:rFonts w:ascii="Arial" w:hAnsi="Arial" w:cs="Arial"/>
          <w:sz w:val="24"/>
          <w:szCs w:val="24"/>
        </w:rPr>
        <w:t xml:space="preserve"> it must follow that the c</w:t>
      </w:r>
      <w:r w:rsidRPr="0052524E">
        <w:rPr>
          <w:rFonts w:ascii="Arial" w:hAnsi="Arial" w:cs="Arial"/>
          <w:sz w:val="24"/>
          <w:szCs w:val="24"/>
        </w:rPr>
        <w:t xml:space="preserve">ourt would not have the competence to amend terms agreed upon by the parties so as to introduce a term that the agreement cannot be terminated unless the first respondent has given the applicant 12 months' notice. </w:t>
      </w:r>
    </w:p>
    <w:p w:rsidR="0052524E" w:rsidRPr="0052524E" w:rsidRDefault="0052524E" w:rsidP="0052524E">
      <w:pPr>
        <w:pStyle w:val="ListParagraph"/>
        <w:rPr>
          <w:rFonts w:ascii="Arial" w:hAnsi="Arial" w:cs="Arial"/>
          <w:sz w:val="24"/>
          <w:szCs w:val="24"/>
        </w:rPr>
      </w:pPr>
    </w:p>
    <w:p w:rsidR="00F73E7F" w:rsidRPr="0052524E" w:rsidRDefault="005470FD" w:rsidP="001E6BB7">
      <w:pPr>
        <w:pStyle w:val="ListParagraph"/>
        <w:numPr>
          <w:ilvl w:val="0"/>
          <w:numId w:val="26"/>
        </w:numPr>
        <w:spacing w:after="0" w:line="360" w:lineRule="auto"/>
        <w:ind w:left="0" w:firstLine="0"/>
        <w:jc w:val="both"/>
        <w:rPr>
          <w:rFonts w:ascii="Arial" w:hAnsi="Arial" w:cs="Arial"/>
          <w:sz w:val="24"/>
          <w:szCs w:val="24"/>
        </w:rPr>
      </w:pPr>
      <w:r w:rsidRPr="0052524E">
        <w:rPr>
          <w:rFonts w:ascii="Arial" w:hAnsi="Arial" w:cs="Arial"/>
          <w:sz w:val="24"/>
          <w:szCs w:val="24"/>
        </w:rPr>
        <w:t>The applicant further attempted to obtain the same results through its purported collateral challenge in the first responde</w:t>
      </w:r>
      <w:r w:rsidR="00437E25">
        <w:rPr>
          <w:rFonts w:ascii="Arial" w:hAnsi="Arial" w:cs="Arial"/>
          <w:sz w:val="24"/>
          <w:szCs w:val="24"/>
        </w:rPr>
        <w:t xml:space="preserve">nt’s application before </w:t>
      </w:r>
      <w:r w:rsidRPr="0052524E">
        <w:rPr>
          <w:rFonts w:ascii="Arial" w:hAnsi="Arial" w:cs="Arial"/>
          <w:sz w:val="24"/>
          <w:szCs w:val="24"/>
        </w:rPr>
        <w:t>Sibeya</w:t>
      </w:r>
      <w:r w:rsidR="00437E25">
        <w:rPr>
          <w:rFonts w:ascii="Arial" w:hAnsi="Arial" w:cs="Arial"/>
          <w:sz w:val="24"/>
          <w:szCs w:val="24"/>
        </w:rPr>
        <w:t xml:space="preserve"> J</w:t>
      </w:r>
      <w:r w:rsidRPr="0052524E">
        <w:rPr>
          <w:rFonts w:ascii="Arial" w:hAnsi="Arial" w:cs="Arial"/>
          <w:sz w:val="24"/>
          <w:szCs w:val="24"/>
        </w:rPr>
        <w:t>. Having failed after its a</w:t>
      </w:r>
      <w:r w:rsidR="00437E25">
        <w:rPr>
          <w:rFonts w:ascii="Arial" w:hAnsi="Arial" w:cs="Arial"/>
          <w:sz w:val="24"/>
          <w:szCs w:val="24"/>
        </w:rPr>
        <w:t>pplication was struck from the r</w:t>
      </w:r>
      <w:r w:rsidRPr="0052524E">
        <w:rPr>
          <w:rFonts w:ascii="Arial" w:hAnsi="Arial" w:cs="Arial"/>
          <w:sz w:val="24"/>
          <w:szCs w:val="24"/>
        </w:rPr>
        <w:t>oll, it proceeded w</w:t>
      </w:r>
      <w:r w:rsidR="0052524E">
        <w:rPr>
          <w:rFonts w:ascii="Arial" w:hAnsi="Arial" w:cs="Arial"/>
          <w:sz w:val="24"/>
          <w:szCs w:val="24"/>
        </w:rPr>
        <w:t>ithout seeking leave from this court as required under s</w:t>
      </w:r>
      <w:r w:rsidRPr="0052524E">
        <w:rPr>
          <w:rFonts w:ascii="Arial" w:hAnsi="Arial" w:cs="Arial"/>
          <w:sz w:val="24"/>
          <w:szCs w:val="24"/>
        </w:rPr>
        <w:t xml:space="preserve"> 18(3) of </w:t>
      </w:r>
      <w:r w:rsidR="00712F60">
        <w:rPr>
          <w:rFonts w:ascii="Arial" w:hAnsi="Arial" w:cs="Arial"/>
          <w:sz w:val="24"/>
          <w:szCs w:val="24"/>
        </w:rPr>
        <w:t>the High Court Act</w:t>
      </w:r>
      <w:r w:rsidR="00E803B7" w:rsidRPr="0052524E">
        <w:rPr>
          <w:rFonts w:ascii="Arial" w:hAnsi="Arial" w:cs="Arial"/>
          <w:sz w:val="24"/>
          <w:szCs w:val="24"/>
        </w:rPr>
        <w:t xml:space="preserve"> 16 of 1990,</w:t>
      </w:r>
      <w:r w:rsidRPr="0052524E">
        <w:rPr>
          <w:rFonts w:ascii="Arial" w:hAnsi="Arial" w:cs="Arial"/>
          <w:sz w:val="24"/>
          <w:szCs w:val="24"/>
        </w:rPr>
        <w:t xml:space="preserve"> to file an </w:t>
      </w:r>
      <w:r w:rsidR="00437E25">
        <w:rPr>
          <w:rFonts w:ascii="Arial" w:hAnsi="Arial" w:cs="Arial"/>
          <w:sz w:val="24"/>
          <w:szCs w:val="24"/>
        </w:rPr>
        <w:t xml:space="preserve">appeal to the Supreme Court. They </w:t>
      </w:r>
      <w:r w:rsidRPr="0052524E">
        <w:rPr>
          <w:rFonts w:ascii="Arial" w:hAnsi="Arial" w:cs="Arial"/>
          <w:sz w:val="24"/>
          <w:szCs w:val="24"/>
        </w:rPr>
        <w:t xml:space="preserve">submit that the Supreme Court is more than likely (than not) to strike </w:t>
      </w:r>
      <w:r w:rsidR="00E803B7" w:rsidRPr="0052524E">
        <w:rPr>
          <w:rFonts w:ascii="Arial" w:hAnsi="Arial" w:cs="Arial"/>
          <w:sz w:val="24"/>
          <w:szCs w:val="24"/>
        </w:rPr>
        <w:t>the applicant</w:t>
      </w:r>
      <w:r w:rsidRPr="0052524E">
        <w:rPr>
          <w:rFonts w:ascii="Arial" w:hAnsi="Arial" w:cs="Arial"/>
          <w:sz w:val="24"/>
          <w:szCs w:val="24"/>
        </w:rPr>
        <w:t>’</w:t>
      </w:r>
      <w:r w:rsidR="00E803B7" w:rsidRPr="0052524E">
        <w:rPr>
          <w:rFonts w:ascii="Arial" w:hAnsi="Arial" w:cs="Arial"/>
          <w:sz w:val="24"/>
          <w:szCs w:val="24"/>
        </w:rPr>
        <w:t>s</w:t>
      </w:r>
      <w:r w:rsidRPr="0052524E">
        <w:rPr>
          <w:rFonts w:ascii="Arial" w:hAnsi="Arial" w:cs="Arial"/>
          <w:sz w:val="24"/>
          <w:szCs w:val="24"/>
        </w:rPr>
        <w:t xml:space="preserve"> appeal against the striking of its purported </w:t>
      </w:r>
      <w:r w:rsidR="00712F60">
        <w:rPr>
          <w:rFonts w:ascii="Arial" w:hAnsi="Arial" w:cs="Arial"/>
          <w:sz w:val="24"/>
          <w:szCs w:val="24"/>
        </w:rPr>
        <w:t>collateral challenge from this court’s r</w:t>
      </w:r>
      <w:r w:rsidRPr="0052524E">
        <w:rPr>
          <w:rFonts w:ascii="Arial" w:hAnsi="Arial" w:cs="Arial"/>
          <w:sz w:val="24"/>
          <w:szCs w:val="24"/>
        </w:rPr>
        <w:t xml:space="preserve">oll on the basis that </w:t>
      </w:r>
      <w:r w:rsidR="00E803B7" w:rsidRPr="0052524E">
        <w:rPr>
          <w:rFonts w:ascii="Arial" w:hAnsi="Arial" w:cs="Arial"/>
          <w:sz w:val="24"/>
          <w:szCs w:val="24"/>
        </w:rPr>
        <w:t>it required leave.</w:t>
      </w:r>
    </w:p>
    <w:p w:rsidR="00F73E7F" w:rsidRDefault="00F73E7F" w:rsidP="001E6BB7">
      <w:pPr>
        <w:spacing w:after="0" w:line="360" w:lineRule="auto"/>
        <w:jc w:val="both"/>
        <w:rPr>
          <w:rFonts w:ascii="Arial" w:hAnsi="Arial" w:cs="Arial"/>
          <w:sz w:val="24"/>
          <w:szCs w:val="24"/>
        </w:rPr>
      </w:pPr>
    </w:p>
    <w:p w:rsidR="00F73E7F" w:rsidRDefault="005470FD" w:rsidP="001E6BB7">
      <w:pPr>
        <w:spacing w:after="0" w:line="360" w:lineRule="auto"/>
        <w:jc w:val="both"/>
        <w:rPr>
          <w:rFonts w:ascii="Arial" w:hAnsi="Arial" w:cs="Arial"/>
          <w:sz w:val="24"/>
          <w:szCs w:val="24"/>
          <w:u w:val="single"/>
        </w:rPr>
      </w:pPr>
      <w:r w:rsidRPr="00683C85">
        <w:rPr>
          <w:rFonts w:ascii="Arial" w:hAnsi="Arial" w:cs="Arial"/>
          <w:sz w:val="24"/>
          <w:szCs w:val="24"/>
          <w:u w:val="single"/>
        </w:rPr>
        <w:t>Legal considerations</w:t>
      </w:r>
    </w:p>
    <w:p w:rsidR="00712F60" w:rsidRPr="00683C85" w:rsidRDefault="00712F60" w:rsidP="001E6BB7">
      <w:pPr>
        <w:spacing w:after="0" w:line="360" w:lineRule="auto"/>
        <w:jc w:val="both"/>
        <w:rPr>
          <w:rFonts w:ascii="Arial" w:hAnsi="Arial" w:cs="Arial"/>
          <w:sz w:val="24"/>
          <w:szCs w:val="24"/>
          <w:u w:val="single"/>
        </w:rPr>
      </w:pPr>
    </w:p>
    <w:p w:rsidR="00F73E7F" w:rsidRPr="00712F60" w:rsidRDefault="005470FD" w:rsidP="00712F60">
      <w:pPr>
        <w:pStyle w:val="ListParagraph"/>
        <w:numPr>
          <w:ilvl w:val="0"/>
          <w:numId w:val="26"/>
        </w:numPr>
        <w:spacing w:after="0" w:line="360" w:lineRule="auto"/>
        <w:ind w:left="0" w:firstLine="0"/>
        <w:jc w:val="both"/>
        <w:rPr>
          <w:rFonts w:ascii="Arial" w:hAnsi="Arial" w:cs="Arial"/>
          <w:sz w:val="24"/>
          <w:szCs w:val="24"/>
        </w:rPr>
      </w:pPr>
      <w:r w:rsidRPr="00712F60">
        <w:rPr>
          <w:rFonts w:ascii="Arial" w:hAnsi="Arial" w:cs="Arial"/>
          <w:sz w:val="24"/>
          <w:szCs w:val="24"/>
        </w:rPr>
        <w:t xml:space="preserve">In </w:t>
      </w:r>
      <w:r w:rsidRPr="00712F60">
        <w:rPr>
          <w:rFonts w:ascii="Arial" w:hAnsi="Arial" w:cs="Arial"/>
          <w:i/>
          <w:sz w:val="24"/>
          <w:szCs w:val="24"/>
        </w:rPr>
        <w:t>Namibia Airports Company Ltd v Fire Tech Systems CC</w:t>
      </w:r>
      <w:r>
        <w:rPr>
          <w:rStyle w:val="FootnoteReference"/>
          <w:rFonts w:ascii="Arial" w:hAnsi="Arial" w:cs="Arial"/>
          <w:sz w:val="24"/>
          <w:szCs w:val="24"/>
        </w:rPr>
        <w:footnoteReference w:id="17"/>
      </w:r>
      <w:r w:rsidR="00683C85" w:rsidRPr="00712F60">
        <w:rPr>
          <w:rFonts w:ascii="Arial" w:hAnsi="Arial" w:cs="Arial"/>
          <w:sz w:val="24"/>
          <w:szCs w:val="24"/>
        </w:rPr>
        <w:t>, the Supreme Court said</w:t>
      </w:r>
      <w:r w:rsidRPr="00712F60">
        <w:rPr>
          <w:rFonts w:ascii="Arial" w:hAnsi="Arial" w:cs="Arial"/>
          <w:sz w:val="24"/>
          <w:szCs w:val="24"/>
        </w:rPr>
        <w:t>:</w:t>
      </w:r>
    </w:p>
    <w:p w:rsidR="00F73E7F" w:rsidRDefault="005470FD" w:rsidP="00683C85">
      <w:pPr>
        <w:spacing w:after="0" w:line="360" w:lineRule="auto"/>
        <w:ind w:firstLine="720"/>
        <w:jc w:val="both"/>
        <w:rPr>
          <w:rFonts w:ascii="Arial" w:hAnsi="Arial" w:cs="Arial"/>
        </w:rPr>
      </w:pPr>
      <w:r w:rsidRPr="00BC54AA">
        <w:rPr>
          <w:rFonts w:ascii="Arial" w:hAnsi="Arial" w:cs="Arial"/>
        </w:rPr>
        <w:t>‘ [42] Mr Tötemeyer emphasised that the sought in the augmented notice of motion was and remains pre-eminently in the public interest – national security and public safety issues are at play, and that no factual basis was set out by the appellant for the conclusion that it would be C severely inequitable or disastrous if the requested relief would be granted.</w:t>
      </w:r>
    </w:p>
    <w:p w:rsidR="00624AA2" w:rsidRPr="00BC54AA" w:rsidRDefault="00624AA2" w:rsidP="00683C85">
      <w:pPr>
        <w:spacing w:after="0" w:line="360" w:lineRule="auto"/>
        <w:ind w:firstLine="720"/>
        <w:jc w:val="both"/>
        <w:rPr>
          <w:rFonts w:ascii="Arial" w:hAnsi="Arial" w:cs="Arial"/>
        </w:rPr>
      </w:pPr>
    </w:p>
    <w:p w:rsidR="00683C85" w:rsidRDefault="005470FD" w:rsidP="00F73E7F">
      <w:pPr>
        <w:spacing w:after="0" w:line="360" w:lineRule="auto"/>
        <w:jc w:val="both"/>
        <w:rPr>
          <w:rFonts w:ascii="Arial" w:hAnsi="Arial" w:cs="Arial"/>
        </w:rPr>
      </w:pPr>
      <w:r w:rsidRPr="00BC54AA">
        <w:rPr>
          <w:rFonts w:ascii="Arial" w:hAnsi="Arial" w:cs="Arial"/>
        </w:rPr>
        <w:t>[43] It is common cause, firstly, that the first respondent had not as soon as it became aware of the facts through the newspaper article in September 2014, or immediately thereafter, instituted urgent proceedings – its notice of motion sought relief in the ordinary course. Secondly, the first respondent had not sought to interdict performance under the contract. In these circumstances the appellant was not only entitled, but indeed obliged to give effect to an extant administrative act.</w:t>
      </w:r>
    </w:p>
    <w:p w:rsidR="00624AA2" w:rsidRPr="00BC54AA" w:rsidRDefault="00624AA2" w:rsidP="00F73E7F">
      <w:pPr>
        <w:spacing w:after="0" w:line="360" w:lineRule="auto"/>
        <w:jc w:val="both"/>
        <w:rPr>
          <w:rFonts w:ascii="Arial" w:hAnsi="Arial" w:cs="Arial"/>
        </w:rPr>
      </w:pPr>
    </w:p>
    <w:p w:rsidR="00683C85" w:rsidRDefault="005470FD" w:rsidP="00F73E7F">
      <w:pPr>
        <w:spacing w:after="0" w:line="360" w:lineRule="auto"/>
        <w:jc w:val="both"/>
        <w:rPr>
          <w:rFonts w:ascii="Arial" w:hAnsi="Arial" w:cs="Arial"/>
        </w:rPr>
      </w:pPr>
      <w:r w:rsidRPr="00BC54AA">
        <w:rPr>
          <w:rFonts w:ascii="Arial" w:hAnsi="Arial" w:cs="Arial"/>
        </w:rPr>
        <w:t>[44] I agree with the submission by Mr Gauntlett, that because E respondent elected to lodge its application only in November/December 2014, despite reasonably being in a position to do so already in September 2014, but importantly, in my view, because the first respondent elected not to seek urgent interim relief, the equipment was shipped in January 2015, and that is why the time of the hearing of the application in the court a quo the contract had already been fully performed.</w:t>
      </w:r>
    </w:p>
    <w:p w:rsidR="00624AA2" w:rsidRPr="00BC54AA" w:rsidRDefault="00624AA2" w:rsidP="00F73E7F">
      <w:pPr>
        <w:spacing w:after="0" w:line="360" w:lineRule="auto"/>
        <w:jc w:val="both"/>
        <w:rPr>
          <w:rFonts w:ascii="Arial" w:hAnsi="Arial" w:cs="Arial"/>
        </w:rPr>
      </w:pPr>
    </w:p>
    <w:p w:rsidR="00683C85" w:rsidRDefault="005470FD" w:rsidP="00F73E7F">
      <w:pPr>
        <w:spacing w:after="0" w:line="360" w:lineRule="auto"/>
        <w:jc w:val="both"/>
        <w:rPr>
          <w:rFonts w:ascii="Arial" w:hAnsi="Arial" w:cs="Arial"/>
        </w:rPr>
      </w:pPr>
      <w:r w:rsidRPr="00BC54AA">
        <w:rPr>
          <w:rFonts w:ascii="Arial" w:hAnsi="Arial" w:cs="Arial"/>
        </w:rPr>
        <w:t xml:space="preserve">[45] In </w:t>
      </w:r>
      <w:r w:rsidRPr="00BC54AA">
        <w:rPr>
          <w:rFonts w:ascii="Arial" w:hAnsi="Arial" w:cs="Arial"/>
          <w:i/>
        </w:rPr>
        <w:t>Chico/Octagon Joint Venture v Roads Authority and Others</w:t>
      </w:r>
      <w:r w:rsidRPr="00BC54AA">
        <w:rPr>
          <w:rFonts w:ascii="Arial" w:hAnsi="Arial" w:cs="Arial"/>
        </w:rPr>
        <w:t>,</w:t>
      </w:r>
      <w:r>
        <w:rPr>
          <w:rStyle w:val="FootnoteReference"/>
          <w:rFonts w:ascii="Arial" w:hAnsi="Arial" w:cs="Arial"/>
        </w:rPr>
        <w:footnoteReference w:id="18"/>
      </w:r>
      <w:r w:rsidRPr="00BC54AA">
        <w:rPr>
          <w:rFonts w:ascii="Arial" w:hAnsi="Arial" w:cs="Arial"/>
        </w:rPr>
        <w:t xml:space="preserve"> the appellant in an attempt to persuade the Roads Authority to award the tender to it, launched an application to review and set aside the decision of the Roads Authority. This application was coupled with an application for an urgent interdict preventing the implementation pending the review application. The parties in that matter not only agreed to expedite the proceedings in the review application, but after the application was dismissed agreed to expedite the appeal hearing. The first respondent in this appeal elected not to follow this route and cannot now complain that H the appellant ignored its request not to implement any decisions relating to the said tender, since the appellant never sought interim relief.</w:t>
      </w:r>
    </w:p>
    <w:p w:rsidR="00624AA2" w:rsidRPr="00BC54AA" w:rsidRDefault="00624AA2" w:rsidP="00F73E7F">
      <w:pPr>
        <w:spacing w:after="0" w:line="360" w:lineRule="auto"/>
        <w:jc w:val="both"/>
        <w:rPr>
          <w:rFonts w:ascii="Arial" w:hAnsi="Arial" w:cs="Arial"/>
        </w:rPr>
      </w:pPr>
    </w:p>
    <w:p w:rsidR="00F73E7F" w:rsidRPr="00BC54AA" w:rsidRDefault="005470FD" w:rsidP="00F73E7F">
      <w:pPr>
        <w:spacing w:after="0" w:line="360" w:lineRule="auto"/>
        <w:jc w:val="both"/>
        <w:rPr>
          <w:rFonts w:ascii="Arial" w:hAnsi="Arial" w:cs="Arial"/>
        </w:rPr>
      </w:pPr>
      <w:r w:rsidRPr="00BC54AA">
        <w:rPr>
          <w:rFonts w:ascii="Arial" w:hAnsi="Arial" w:cs="Arial"/>
        </w:rPr>
        <w:t>[46] My understanding of Mr Tötemeyer’s submis</w:t>
      </w:r>
      <w:r w:rsidR="00683C85" w:rsidRPr="00BC54AA">
        <w:rPr>
          <w:rFonts w:ascii="Arial" w:hAnsi="Arial" w:cs="Arial"/>
        </w:rPr>
        <w:t xml:space="preserve">sion in [39] supra is that the </w:t>
      </w:r>
      <w:r w:rsidRPr="00BC54AA">
        <w:rPr>
          <w:rFonts w:ascii="Arial" w:hAnsi="Arial" w:cs="Arial"/>
        </w:rPr>
        <w:t>appellant and second respondent should im</w:t>
      </w:r>
      <w:r w:rsidR="00683C85" w:rsidRPr="00BC54AA">
        <w:rPr>
          <w:rFonts w:ascii="Arial" w:hAnsi="Arial" w:cs="Arial"/>
        </w:rPr>
        <w:t xml:space="preserve">mediately (and prudently) have </w:t>
      </w:r>
      <w:r w:rsidRPr="00BC54AA">
        <w:rPr>
          <w:rFonts w:ascii="Arial" w:hAnsi="Arial" w:cs="Arial"/>
        </w:rPr>
        <w:t>desisted from giving effect to the terms of the conclu</w:t>
      </w:r>
      <w:r w:rsidR="00683C85" w:rsidRPr="00BC54AA">
        <w:rPr>
          <w:rFonts w:ascii="Arial" w:hAnsi="Arial" w:cs="Arial"/>
        </w:rPr>
        <w:t xml:space="preserve">ded contract. In this regard </w:t>
      </w:r>
      <w:r w:rsidRPr="00BC54AA">
        <w:rPr>
          <w:rFonts w:ascii="Arial" w:hAnsi="Arial" w:cs="Arial"/>
        </w:rPr>
        <w:t>it is in my view instructive to refer to the judgmen</w:t>
      </w:r>
      <w:r w:rsidR="00683C85" w:rsidRPr="00BC54AA">
        <w:rPr>
          <w:rFonts w:ascii="Arial" w:hAnsi="Arial" w:cs="Arial"/>
        </w:rPr>
        <w:t xml:space="preserve">t of Mogoeng CJ, in the matter </w:t>
      </w:r>
      <w:r w:rsidRPr="00BC54AA">
        <w:rPr>
          <w:rFonts w:ascii="Arial" w:hAnsi="Arial" w:cs="Arial"/>
        </w:rPr>
        <w:t xml:space="preserve">of </w:t>
      </w:r>
      <w:r w:rsidRPr="00BC54AA">
        <w:rPr>
          <w:rFonts w:ascii="Arial" w:hAnsi="Arial" w:cs="Arial"/>
          <w:i/>
        </w:rPr>
        <w:t>Tshwane City v Afriforum and Another</w:t>
      </w:r>
      <w:r w:rsidRPr="00BC54AA">
        <w:rPr>
          <w:rFonts w:ascii="Arial" w:hAnsi="Arial" w:cs="Arial"/>
        </w:rPr>
        <w:t>,</w:t>
      </w:r>
      <w:r>
        <w:rPr>
          <w:rStyle w:val="FootnoteReference"/>
          <w:rFonts w:ascii="Arial" w:hAnsi="Arial" w:cs="Arial"/>
        </w:rPr>
        <w:footnoteReference w:id="19"/>
      </w:r>
      <w:r w:rsidR="00683C85" w:rsidRPr="00BC54AA">
        <w:rPr>
          <w:rFonts w:ascii="Arial" w:hAnsi="Arial" w:cs="Arial"/>
        </w:rPr>
        <w:t xml:space="preserve"> </w:t>
      </w:r>
      <w:r w:rsidRPr="00BC54AA">
        <w:rPr>
          <w:rFonts w:ascii="Arial" w:hAnsi="Arial" w:cs="Arial"/>
        </w:rPr>
        <w:t xml:space="preserve"> whe</w:t>
      </w:r>
      <w:r w:rsidR="00683C85" w:rsidRPr="00BC54AA">
        <w:rPr>
          <w:rFonts w:ascii="Arial" w:hAnsi="Arial" w:cs="Arial"/>
        </w:rPr>
        <w:t xml:space="preserve">re it was stated that it ‘is a </w:t>
      </w:r>
      <w:r w:rsidRPr="00BC54AA">
        <w:rPr>
          <w:rFonts w:ascii="Arial" w:hAnsi="Arial" w:cs="Arial"/>
        </w:rPr>
        <w:t xml:space="preserve">restraining order itself, as opposed to the sheer hope </w:t>
      </w:r>
      <w:r w:rsidR="00683C85" w:rsidRPr="00BC54AA">
        <w:rPr>
          <w:rFonts w:ascii="Arial" w:hAnsi="Arial" w:cs="Arial"/>
        </w:rPr>
        <w:t xml:space="preserve">or fear of one being </w:t>
      </w:r>
      <w:r w:rsidRPr="00BC54AA">
        <w:rPr>
          <w:rFonts w:ascii="Arial" w:hAnsi="Arial" w:cs="Arial"/>
        </w:rPr>
        <w:t>granted, that can in law restrain’. And he continued in para 75 –</w:t>
      </w:r>
    </w:p>
    <w:p w:rsidR="00F73E7F" w:rsidRPr="00BC54AA" w:rsidRDefault="005470FD" w:rsidP="00F73E7F">
      <w:pPr>
        <w:spacing w:after="0" w:line="360" w:lineRule="auto"/>
        <w:jc w:val="both"/>
        <w:rPr>
          <w:rFonts w:ascii="Arial" w:hAnsi="Arial" w:cs="Arial"/>
        </w:rPr>
      </w:pPr>
      <w:r w:rsidRPr="00BC54AA">
        <w:rPr>
          <w:rFonts w:ascii="Arial" w:hAnsi="Arial" w:cs="Arial"/>
        </w:rPr>
        <w:t>‘there was no obligation on Council to desist from removing old street names upon becoming aware of an urgent application for a restraining order had been filed. Only sheer choice or discretion, but certainly not any legal obligation or barrier, would lead to action being desisted from in anticipation of a successful challenge or application for an interdict.’</w:t>
      </w:r>
    </w:p>
    <w:p w:rsidR="00683C85" w:rsidRPr="00BC54AA" w:rsidRDefault="00683C85" w:rsidP="00F73E7F">
      <w:pPr>
        <w:spacing w:after="0" w:line="360" w:lineRule="auto"/>
        <w:jc w:val="both"/>
        <w:rPr>
          <w:rFonts w:ascii="Arial" w:hAnsi="Arial" w:cs="Arial"/>
        </w:rPr>
      </w:pPr>
    </w:p>
    <w:p w:rsidR="00F73E7F" w:rsidRPr="00BC54AA" w:rsidRDefault="005470FD" w:rsidP="00F73E7F">
      <w:pPr>
        <w:spacing w:after="0" w:line="360" w:lineRule="auto"/>
        <w:jc w:val="both"/>
        <w:rPr>
          <w:rFonts w:ascii="Arial" w:hAnsi="Arial" w:cs="Arial"/>
          <w:i/>
        </w:rPr>
      </w:pPr>
      <w:r w:rsidRPr="00BC54AA">
        <w:rPr>
          <w:rFonts w:ascii="Arial" w:hAnsi="Arial" w:cs="Arial"/>
        </w:rPr>
        <w:t xml:space="preserve">[47] C This court in </w:t>
      </w:r>
      <w:r w:rsidRPr="00BC54AA">
        <w:rPr>
          <w:rFonts w:ascii="Arial" w:hAnsi="Arial" w:cs="Arial"/>
          <w:i/>
        </w:rPr>
        <w:t>President of the Republic</w:t>
      </w:r>
      <w:r w:rsidR="00683C85" w:rsidRPr="00BC54AA">
        <w:rPr>
          <w:rFonts w:ascii="Arial" w:hAnsi="Arial" w:cs="Arial"/>
          <w:i/>
        </w:rPr>
        <w:t xml:space="preserve"> of Namibia and Others v Anhui </w:t>
      </w:r>
      <w:r w:rsidRPr="00BC54AA">
        <w:rPr>
          <w:rFonts w:ascii="Arial" w:hAnsi="Arial" w:cs="Arial"/>
          <w:i/>
        </w:rPr>
        <w:t>Foreign Economic Construction Group Corporation Ltd and Another</w:t>
      </w:r>
      <w:r w:rsidRPr="00BC54AA">
        <w:rPr>
          <w:rFonts w:ascii="Arial" w:hAnsi="Arial" w:cs="Arial"/>
        </w:rPr>
        <w:t xml:space="preserve">, </w:t>
      </w:r>
      <w:r>
        <w:rPr>
          <w:rStyle w:val="FootnoteReference"/>
          <w:rFonts w:ascii="Arial" w:hAnsi="Arial" w:cs="Arial"/>
        </w:rPr>
        <w:footnoteReference w:id="20"/>
      </w:r>
      <w:r w:rsidR="00683C85" w:rsidRPr="00BC54AA">
        <w:rPr>
          <w:rFonts w:ascii="Arial" w:hAnsi="Arial" w:cs="Arial"/>
        </w:rPr>
        <w:t xml:space="preserve"> referred </w:t>
      </w:r>
      <w:r w:rsidRPr="00BC54AA">
        <w:rPr>
          <w:rFonts w:ascii="Arial" w:hAnsi="Arial" w:cs="Arial"/>
        </w:rPr>
        <w:t xml:space="preserve">with approval to Kirland Investments, 20 which in turn referred to </w:t>
      </w:r>
      <w:r w:rsidRPr="00BC54AA">
        <w:rPr>
          <w:rFonts w:ascii="Arial" w:hAnsi="Arial" w:cs="Arial"/>
          <w:i/>
        </w:rPr>
        <w:t>Oudekraal Estates (Pty) Ltd v City of Cape Town &amp; Others</w:t>
      </w:r>
      <w:r w:rsidR="00683C85" w:rsidRPr="00BC54AA">
        <w:rPr>
          <w:rFonts w:ascii="Arial" w:hAnsi="Arial" w:cs="Arial"/>
        </w:rPr>
        <w:t>,</w:t>
      </w:r>
      <w:r>
        <w:rPr>
          <w:rStyle w:val="FootnoteReference"/>
          <w:rFonts w:ascii="Arial" w:hAnsi="Arial" w:cs="Arial"/>
        </w:rPr>
        <w:footnoteReference w:id="21"/>
      </w:r>
      <w:r w:rsidRPr="00BC54AA">
        <w:rPr>
          <w:rFonts w:ascii="Arial" w:hAnsi="Arial" w:cs="Arial"/>
        </w:rPr>
        <w:t xml:space="preserve"> where the position was explained as follows:</w:t>
      </w:r>
    </w:p>
    <w:p w:rsidR="00F73E7F" w:rsidRPr="00BC54AA" w:rsidRDefault="005470FD" w:rsidP="00F73E7F">
      <w:pPr>
        <w:spacing w:after="0" w:line="360" w:lineRule="auto"/>
        <w:jc w:val="both"/>
        <w:rPr>
          <w:rFonts w:ascii="Arial" w:hAnsi="Arial" w:cs="Arial"/>
        </w:rPr>
      </w:pPr>
      <w:r w:rsidRPr="00BC54AA">
        <w:rPr>
          <w:rFonts w:ascii="Arial" w:hAnsi="Arial" w:cs="Arial"/>
        </w:rPr>
        <w:t>‘Until the administrator’s approval (and thus also the consequences of the approval) is set aside by a court in proceedings for judicial review it exists in fact and has legal consequences that cannot simply be overlooked. The proper functioning of a modern State would be considerably compromised if all administrative acts could be given effect to or ignored depending upon the view the subject takes of the validity of the act in question. No doubt it is for this reason that our law has always recognised that even an unlawful administrative act is capable of producing legally valid consequences for so long as the unlawful act is not set aside.’</w:t>
      </w:r>
    </w:p>
    <w:p w:rsidR="00BC54AA" w:rsidRPr="00BC54AA" w:rsidRDefault="00BC54AA" w:rsidP="00F73E7F">
      <w:pPr>
        <w:spacing w:after="0" w:line="360" w:lineRule="auto"/>
        <w:jc w:val="both"/>
        <w:rPr>
          <w:rFonts w:ascii="Arial" w:hAnsi="Arial" w:cs="Arial"/>
        </w:rPr>
      </w:pPr>
    </w:p>
    <w:p w:rsidR="00F73E7F" w:rsidRPr="00BC54AA" w:rsidRDefault="005470FD" w:rsidP="00F73E7F">
      <w:pPr>
        <w:spacing w:after="0" w:line="360" w:lineRule="auto"/>
        <w:jc w:val="both"/>
        <w:rPr>
          <w:rFonts w:ascii="Arial" w:hAnsi="Arial" w:cs="Arial"/>
        </w:rPr>
      </w:pPr>
      <w:r w:rsidRPr="00BC54AA">
        <w:rPr>
          <w:rFonts w:ascii="Arial" w:hAnsi="Arial" w:cs="Arial"/>
        </w:rPr>
        <w:t>[48] The court in Anhui supra at 35</w:t>
      </w:r>
      <w:r w:rsidR="00BC54AA" w:rsidRPr="00BC54AA">
        <w:rPr>
          <w:rFonts w:ascii="Arial" w:hAnsi="Arial" w:cs="Arial"/>
        </w:rPr>
        <w:t xml:space="preserve">1A-B, quoting Baxter where the learned </w:t>
      </w:r>
      <w:r w:rsidRPr="00BC54AA">
        <w:rPr>
          <w:rFonts w:ascii="Arial" w:hAnsi="Arial" w:cs="Arial"/>
        </w:rPr>
        <w:t>author stated in this regard that, ‘we are entitled to</w:t>
      </w:r>
      <w:r w:rsidR="00BC54AA" w:rsidRPr="00BC54AA">
        <w:rPr>
          <w:rFonts w:ascii="Arial" w:hAnsi="Arial" w:cs="Arial"/>
        </w:rPr>
        <w:t xml:space="preserve"> rely upon decisions of public </w:t>
      </w:r>
      <w:r w:rsidRPr="00BC54AA">
        <w:rPr>
          <w:rFonts w:ascii="Arial" w:hAnsi="Arial" w:cs="Arial"/>
        </w:rPr>
        <w:t>authorities and intolerable uncertainty would result</w:t>
      </w:r>
      <w:r w:rsidR="00BC54AA" w:rsidRPr="00BC54AA">
        <w:rPr>
          <w:rFonts w:ascii="Arial" w:hAnsi="Arial" w:cs="Arial"/>
        </w:rPr>
        <w:t xml:space="preserve"> if these could be reversed at </w:t>
      </w:r>
      <w:r w:rsidRPr="00BC54AA">
        <w:rPr>
          <w:rFonts w:ascii="Arial" w:hAnsi="Arial" w:cs="Arial"/>
        </w:rPr>
        <w:t>any moment.”</w:t>
      </w:r>
    </w:p>
    <w:p w:rsidR="00C656A1" w:rsidRPr="00BC54AA" w:rsidRDefault="00C656A1" w:rsidP="001E6BB7">
      <w:pPr>
        <w:spacing w:after="0" w:line="360" w:lineRule="auto"/>
        <w:jc w:val="both"/>
        <w:rPr>
          <w:rFonts w:ascii="Arial" w:hAnsi="Arial" w:cs="Arial"/>
        </w:rPr>
      </w:pPr>
    </w:p>
    <w:p w:rsidR="00F91E2B" w:rsidRPr="00EA66FD" w:rsidRDefault="005470FD" w:rsidP="00EA66FD">
      <w:pPr>
        <w:pStyle w:val="ListParagraph"/>
        <w:numPr>
          <w:ilvl w:val="0"/>
          <w:numId w:val="26"/>
        </w:numPr>
        <w:spacing w:after="0" w:line="360" w:lineRule="auto"/>
        <w:ind w:left="0" w:firstLine="0"/>
        <w:jc w:val="both"/>
        <w:rPr>
          <w:rFonts w:ascii="Arial" w:hAnsi="Arial" w:cs="Arial"/>
          <w:sz w:val="24"/>
          <w:szCs w:val="24"/>
        </w:rPr>
      </w:pPr>
      <w:r w:rsidRPr="00EA66FD">
        <w:rPr>
          <w:rFonts w:ascii="Arial" w:hAnsi="Arial" w:cs="Arial"/>
          <w:sz w:val="24"/>
          <w:szCs w:val="24"/>
        </w:rPr>
        <w:t xml:space="preserve">In </w:t>
      </w:r>
      <w:r w:rsidRPr="00EA66FD">
        <w:rPr>
          <w:rFonts w:ascii="Arial" w:hAnsi="Arial" w:cs="Arial"/>
          <w:i/>
          <w:sz w:val="24"/>
          <w:szCs w:val="24"/>
        </w:rPr>
        <w:t>New Era Investments (Pty) Ltd v Roads Authority</w:t>
      </w:r>
      <w:r>
        <w:rPr>
          <w:rStyle w:val="FootnoteReference"/>
          <w:rFonts w:ascii="Arial" w:hAnsi="Arial" w:cs="Arial"/>
          <w:sz w:val="24"/>
          <w:szCs w:val="24"/>
        </w:rPr>
        <w:footnoteReference w:id="22"/>
      </w:r>
      <w:r w:rsidRPr="00EA66FD">
        <w:rPr>
          <w:rFonts w:ascii="Arial" w:hAnsi="Arial" w:cs="Arial"/>
          <w:sz w:val="24"/>
          <w:szCs w:val="24"/>
        </w:rPr>
        <w:t>, Damaseb DCJ remarked in para 45 that:</w:t>
      </w:r>
    </w:p>
    <w:p w:rsidR="00EA66FD" w:rsidRPr="00F91E2B" w:rsidRDefault="00EA66FD" w:rsidP="00F91E2B">
      <w:pPr>
        <w:spacing w:after="0" w:line="360" w:lineRule="auto"/>
        <w:jc w:val="both"/>
        <w:rPr>
          <w:rFonts w:ascii="Arial" w:hAnsi="Arial" w:cs="Arial"/>
          <w:sz w:val="24"/>
          <w:szCs w:val="24"/>
        </w:rPr>
      </w:pPr>
    </w:p>
    <w:p w:rsidR="00C656A1" w:rsidRPr="00BC54AA" w:rsidRDefault="005470FD" w:rsidP="00BC54AA">
      <w:pPr>
        <w:spacing w:after="0" w:line="360" w:lineRule="auto"/>
        <w:ind w:firstLine="720"/>
        <w:jc w:val="both"/>
        <w:rPr>
          <w:rFonts w:ascii="Arial" w:hAnsi="Arial" w:cs="Arial"/>
        </w:rPr>
      </w:pPr>
      <w:r>
        <w:rPr>
          <w:rFonts w:ascii="Arial" w:hAnsi="Arial" w:cs="Arial"/>
        </w:rPr>
        <w:t>‘</w:t>
      </w:r>
      <w:r w:rsidR="00F91E2B" w:rsidRPr="00BC54AA">
        <w:rPr>
          <w:rFonts w:ascii="Arial" w:hAnsi="Arial" w:cs="Arial"/>
        </w:rPr>
        <w:t xml:space="preserve">Given our conclusion on the other grounds, it is not strictly necessary to decide on this ground. It however bears mention that in </w:t>
      </w:r>
      <w:r w:rsidR="00BC54AA" w:rsidRPr="00BC54AA">
        <w:rPr>
          <w:rFonts w:ascii="Arial" w:hAnsi="Arial" w:cs="Arial"/>
        </w:rPr>
        <w:t xml:space="preserve">electing to seek urgent review </w:t>
      </w:r>
      <w:r w:rsidR="00F91E2B" w:rsidRPr="00BC54AA">
        <w:rPr>
          <w:rFonts w:ascii="Arial" w:hAnsi="Arial" w:cs="Arial"/>
        </w:rPr>
        <w:t>without interim interdictory relief, the appellant ac</w:t>
      </w:r>
      <w:r w:rsidR="00BC54AA" w:rsidRPr="00BC54AA">
        <w:rPr>
          <w:rFonts w:ascii="Arial" w:hAnsi="Arial" w:cs="Arial"/>
        </w:rPr>
        <w:t xml:space="preserve">cepted the risk that came with </w:t>
      </w:r>
      <w:r w:rsidR="00F91E2B" w:rsidRPr="00BC54AA">
        <w:rPr>
          <w:rFonts w:ascii="Arial" w:hAnsi="Arial" w:cs="Arial"/>
        </w:rPr>
        <w:t>such an election. The point made by Mr Male</w:t>
      </w:r>
      <w:r w:rsidR="00BC54AA" w:rsidRPr="00BC54AA">
        <w:rPr>
          <w:rFonts w:ascii="Arial" w:hAnsi="Arial" w:cs="Arial"/>
        </w:rPr>
        <w:t xml:space="preserve">ka should therefore serve as a </w:t>
      </w:r>
      <w:r w:rsidR="00F91E2B" w:rsidRPr="00BC54AA">
        <w:rPr>
          <w:rFonts w:ascii="Arial" w:hAnsi="Arial" w:cs="Arial"/>
        </w:rPr>
        <w:t>warning to applicants who seek review without seeking interim interdictory relief.</w:t>
      </w:r>
      <w:r w:rsidR="00BC54AA" w:rsidRPr="00BC54AA">
        <w:rPr>
          <w:rFonts w:ascii="Arial" w:hAnsi="Arial" w:cs="Arial"/>
        </w:rPr>
        <w:t>’</w:t>
      </w:r>
    </w:p>
    <w:p w:rsidR="00F91E2B" w:rsidRDefault="00F91E2B" w:rsidP="00F91E2B">
      <w:pPr>
        <w:spacing w:after="0" w:line="360" w:lineRule="auto"/>
        <w:jc w:val="both"/>
        <w:rPr>
          <w:rFonts w:ascii="Arial" w:hAnsi="Arial" w:cs="Arial"/>
          <w:sz w:val="24"/>
          <w:szCs w:val="24"/>
        </w:rPr>
      </w:pPr>
    </w:p>
    <w:p w:rsidR="00F91E2B" w:rsidRPr="00EA66FD" w:rsidRDefault="005470FD" w:rsidP="00EA66FD">
      <w:pPr>
        <w:pStyle w:val="ListParagraph"/>
        <w:numPr>
          <w:ilvl w:val="0"/>
          <w:numId w:val="26"/>
        </w:numPr>
        <w:spacing w:after="0" w:line="360" w:lineRule="auto"/>
        <w:ind w:left="0" w:firstLine="0"/>
        <w:jc w:val="both"/>
        <w:rPr>
          <w:rFonts w:ascii="Arial" w:hAnsi="Arial" w:cs="Arial"/>
          <w:sz w:val="24"/>
          <w:szCs w:val="24"/>
        </w:rPr>
      </w:pPr>
      <w:r w:rsidRPr="00EA66FD">
        <w:rPr>
          <w:rFonts w:ascii="Arial" w:hAnsi="Arial" w:cs="Arial"/>
          <w:sz w:val="24"/>
          <w:szCs w:val="24"/>
        </w:rPr>
        <w:t xml:space="preserve">Sibeya J in </w:t>
      </w:r>
      <w:r w:rsidRPr="00EA66FD">
        <w:rPr>
          <w:rFonts w:ascii="Arial" w:hAnsi="Arial" w:cs="Arial"/>
          <w:i/>
          <w:sz w:val="24"/>
          <w:szCs w:val="24"/>
        </w:rPr>
        <w:t>Namibia Airports Company Limited v Menzies Aviation Namibia (Pty) Ltd and Another</w:t>
      </w:r>
      <w:r>
        <w:rPr>
          <w:rStyle w:val="FootnoteReference"/>
          <w:rFonts w:ascii="Arial" w:hAnsi="Arial" w:cs="Arial"/>
          <w:sz w:val="24"/>
          <w:szCs w:val="24"/>
        </w:rPr>
        <w:footnoteReference w:id="23"/>
      </w:r>
      <w:r w:rsidRPr="00EA66FD">
        <w:rPr>
          <w:rFonts w:ascii="Arial" w:hAnsi="Arial" w:cs="Arial"/>
          <w:sz w:val="24"/>
          <w:szCs w:val="24"/>
        </w:rPr>
        <w:t xml:space="preserve"> already said that:</w:t>
      </w:r>
    </w:p>
    <w:p w:rsidR="00EA66FD" w:rsidRPr="00F91E2B" w:rsidRDefault="00EA66FD" w:rsidP="00F91E2B">
      <w:pPr>
        <w:spacing w:after="0" w:line="360" w:lineRule="auto"/>
        <w:jc w:val="both"/>
        <w:rPr>
          <w:rFonts w:ascii="Arial" w:hAnsi="Arial" w:cs="Arial"/>
          <w:sz w:val="24"/>
          <w:szCs w:val="24"/>
        </w:rPr>
      </w:pPr>
    </w:p>
    <w:p w:rsidR="00F91E2B" w:rsidRPr="00690D9D" w:rsidRDefault="005470FD" w:rsidP="00690D9D">
      <w:pPr>
        <w:spacing w:after="0" w:line="360" w:lineRule="auto"/>
        <w:ind w:firstLine="720"/>
        <w:jc w:val="both"/>
        <w:rPr>
          <w:rFonts w:ascii="Arial" w:hAnsi="Arial" w:cs="Arial"/>
        </w:rPr>
      </w:pPr>
      <w:r>
        <w:rPr>
          <w:rFonts w:ascii="Arial" w:hAnsi="Arial" w:cs="Arial"/>
        </w:rPr>
        <w:t>‘</w:t>
      </w:r>
      <w:r w:rsidRPr="00690D9D">
        <w:rPr>
          <w:rFonts w:ascii="Arial" w:hAnsi="Arial" w:cs="Arial"/>
        </w:rPr>
        <w:t xml:space="preserve">[78] Menzies opted to lodge a review application of the award of the bid to Paragon without seeking an interdict to stop any person from acting in terms of </w:t>
      </w:r>
      <w:r w:rsidR="00690D9D" w:rsidRPr="00690D9D">
        <w:rPr>
          <w:rFonts w:ascii="Arial" w:hAnsi="Arial" w:cs="Arial"/>
        </w:rPr>
        <w:t xml:space="preserve">the impugned bid.’ </w:t>
      </w:r>
    </w:p>
    <w:p w:rsidR="00F91E2B" w:rsidRPr="00EA66FD" w:rsidRDefault="005470FD" w:rsidP="00F91E2B">
      <w:pPr>
        <w:spacing w:after="0" w:line="360" w:lineRule="auto"/>
        <w:jc w:val="both"/>
        <w:rPr>
          <w:rFonts w:ascii="Arial" w:hAnsi="Arial" w:cs="Arial"/>
        </w:rPr>
      </w:pPr>
      <w:r w:rsidRPr="00EA66FD">
        <w:rPr>
          <w:rFonts w:ascii="Arial" w:hAnsi="Arial" w:cs="Arial"/>
        </w:rPr>
        <w:lastRenderedPageBreak/>
        <w:t>And further that:</w:t>
      </w:r>
    </w:p>
    <w:p w:rsidR="00F91E2B" w:rsidRPr="001E6BB7" w:rsidRDefault="005470FD" w:rsidP="00EA66FD">
      <w:pPr>
        <w:spacing w:after="0" w:line="360" w:lineRule="auto"/>
        <w:jc w:val="both"/>
        <w:rPr>
          <w:rFonts w:ascii="Arial" w:hAnsi="Arial" w:cs="Arial"/>
          <w:sz w:val="24"/>
          <w:szCs w:val="24"/>
        </w:rPr>
      </w:pPr>
      <w:r>
        <w:rPr>
          <w:rFonts w:ascii="Arial" w:hAnsi="Arial" w:cs="Arial"/>
          <w:sz w:val="24"/>
          <w:szCs w:val="24"/>
        </w:rPr>
        <w:t>‘</w:t>
      </w:r>
      <w:r w:rsidRPr="00690D9D">
        <w:rPr>
          <w:rFonts w:ascii="Arial" w:hAnsi="Arial" w:cs="Arial"/>
        </w:rPr>
        <w:t xml:space="preserve">[80] Menzies chose to review the award of the bid, but did not seek an interim interdict, those not taking heed of the above warning by Damaseb DCJ in the </w:t>
      </w:r>
      <w:r w:rsidRPr="00690D9D">
        <w:rPr>
          <w:rFonts w:ascii="Arial" w:hAnsi="Arial" w:cs="Arial"/>
          <w:i/>
        </w:rPr>
        <w:t>New Era</w:t>
      </w:r>
      <w:r>
        <w:rPr>
          <w:rStyle w:val="FootnoteReference"/>
          <w:rFonts w:ascii="Arial" w:hAnsi="Arial" w:cs="Arial"/>
          <w:i/>
        </w:rPr>
        <w:footnoteReference w:id="24"/>
      </w:r>
      <w:r w:rsidRPr="00690D9D">
        <w:rPr>
          <w:rFonts w:ascii="Arial" w:hAnsi="Arial" w:cs="Arial"/>
        </w:rPr>
        <w:t xml:space="preserve"> Investment matter. Menzies made the s</w:t>
      </w:r>
      <w:r w:rsidR="00690D9D" w:rsidRPr="00690D9D">
        <w:rPr>
          <w:rFonts w:ascii="Arial" w:hAnsi="Arial" w:cs="Arial"/>
        </w:rPr>
        <w:t xml:space="preserve">aid decision out of choice and </w:t>
      </w:r>
      <w:r w:rsidRPr="00690D9D">
        <w:rPr>
          <w:rFonts w:ascii="Arial" w:hAnsi="Arial" w:cs="Arial"/>
        </w:rPr>
        <w:t xml:space="preserve">which decision it must live with. In the absence of </w:t>
      </w:r>
      <w:r w:rsidR="00690D9D" w:rsidRPr="00690D9D">
        <w:rPr>
          <w:rFonts w:ascii="Arial" w:hAnsi="Arial" w:cs="Arial"/>
        </w:rPr>
        <w:t xml:space="preserve">the interim interdict, nothing </w:t>
      </w:r>
      <w:r w:rsidRPr="00690D9D">
        <w:rPr>
          <w:rFonts w:ascii="Arial" w:hAnsi="Arial" w:cs="Arial"/>
        </w:rPr>
        <w:t>prevented NAC from effecting the award of the bid.</w:t>
      </w:r>
      <w:r w:rsidR="00690D9D" w:rsidRPr="00690D9D">
        <w:rPr>
          <w:rFonts w:ascii="Arial" w:hAnsi="Arial" w:cs="Arial"/>
        </w:rPr>
        <w:t>’</w:t>
      </w:r>
    </w:p>
    <w:p w:rsidR="00EA66FD" w:rsidRDefault="00EA66FD" w:rsidP="00D079FF">
      <w:pPr>
        <w:spacing w:after="0" w:line="360" w:lineRule="auto"/>
        <w:jc w:val="both"/>
        <w:rPr>
          <w:rFonts w:ascii="Arial" w:hAnsi="Arial" w:cs="Arial"/>
          <w:sz w:val="24"/>
          <w:szCs w:val="24"/>
        </w:rPr>
      </w:pPr>
    </w:p>
    <w:p w:rsidR="00690D9D" w:rsidRPr="00EA66FD" w:rsidRDefault="005470FD" w:rsidP="00EA66FD">
      <w:pPr>
        <w:pStyle w:val="ListParagraph"/>
        <w:numPr>
          <w:ilvl w:val="0"/>
          <w:numId w:val="26"/>
        </w:numPr>
        <w:spacing w:after="0" w:line="360" w:lineRule="auto"/>
        <w:ind w:left="0" w:firstLine="0"/>
        <w:jc w:val="both"/>
        <w:rPr>
          <w:rFonts w:ascii="Arial" w:hAnsi="Arial" w:cs="Arial"/>
          <w:sz w:val="24"/>
          <w:szCs w:val="24"/>
        </w:rPr>
      </w:pPr>
      <w:r w:rsidRPr="00EA66FD">
        <w:rPr>
          <w:rFonts w:ascii="Arial" w:hAnsi="Arial" w:cs="Arial"/>
          <w:sz w:val="24"/>
          <w:szCs w:val="24"/>
        </w:rPr>
        <w:t xml:space="preserve">In </w:t>
      </w:r>
      <w:r w:rsidRPr="00EA66FD">
        <w:rPr>
          <w:rFonts w:ascii="Arial" w:hAnsi="Arial" w:cs="Arial"/>
          <w:i/>
          <w:sz w:val="24"/>
          <w:szCs w:val="24"/>
        </w:rPr>
        <w:t>J</w:t>
      </w:r>
      <w:r w:rsidR="00F91E2B" w:rsidRPr="00EA66FD">
        <w:rPr>
          <w:rFonts w:ascii="Arial" w:hAnsi="Arial" w:cs="Arial"/>
          <w:i/>
          <w:sz w:val="24"/>
          <w:szCs w:val="24"/>
        </w:rPr>
        <w:t>antjies v Jantjies and Others</w:t>
      </w:r>
      <w:r>
        <w:rPr>
          <w:rStyle w:val="FootnoteReference"/>
          <w:rFonts w:ascii="Arial" w:hAnsi="Arial" w:cs="Arial"/>
          <w:i/>
          <w:sz w:val="24"/>
          <w:szCs w:val="24"/>
        </w:rPr>
        <w:footnoteReference w:id="25"/>
      </w:r>
      <w:r w:rsidRPr="00EA66FD">
        <w:rPr>
          <w:rFonts w:ascii="Arial" w:hAnsi="Arial" w:cs="Arial"/>
          <w:sz w:val="24"/>
          <w:szCs w:val="24"/>
        </w:rPr>
        <w:t xml:space="preserve"> </w:t>
      </w:r>
      <w:r w:rsidR="00F91E2B" w:rsidRPr="00EA66FD">
        <w:rPr>
          <w:rFonts w:ascii="Arial" w:hAnsi="Arial" w:cs="Arial"/>
          <w:sz w:val="24"/>
          <w:szCs w:val="24"/>
        </w:rPr>
        <w:t xml:space="preserve">where Levy AJ said that: </w:t>
      </w:r>
    </w:p>
    <w:p w:rsidR="00690D9D" w:rsidRDefault="00690D9D" w:rsidP="00690D9D">
      <w:pPr>
        <w:spacing w:after="0" w:line="360" w:lineRule="auto"/>
        <w:ind w:firstLine="720"/>
        <w:jc w:val="both"/>
        <w:rPr>
          <w:rFonts w:ascii="Arial" w:hAnsi="Arial" w:cs="Arial"/>
          <w:sz w:val="24"/>
          <w:szCs w:val="24"/>
        </w:rPr>
      </w:pPr>
    </w:p>
    <w:p w:rsidR="00690D9D" w:rsidRPr="0067482D" w:rsidRDefault="005470FD" w:rsidP="00690D9D">
      <w:pPr>
        <w:spacing w:after="0" w:line="360" w:lineRule="auto"/>
        <w:ind w:firstLine="720"/>
        <w:jc w:val="both"/>
        <w:rPr>
          <w:rFonts w:ascii="Arial" w:hAnsi="Arial" w:cs="Arial"/>
        </w:rPr>
      </w:pPr>
      <w:r>
        <w:rPr>
          <w:rFonts w:ascii="Arial" w:hAnsi="Arial" w:cs="Arial"/>
        </w:rPr>
        <w:t>‘</w:t>
      </w:r>
      <w:r w:rsidR="00F91E2B" w:rsidRPr="0067482D">
        <w:rPr>
          <w:rFonts w:ascii="Arial" w:hAnsi="Arial" w:cs="Arial"/>
        </w:rPr>
        <w:t xml:space="preserve">Inherent in an order granted </w:t>
      </w:r>
      <w:r w:rsidR="00F91E2B" w:rsidRPr="0067482D">
        <w:rPr>
          <w:rFonts w:ascii="Arial" w:hAnsi="Arial" w:cs="Arial"/>
          <w:i/>
        </w:rPr>
        <w:t>pendente lite</w:t>
      </w:r>
      <w:r w:rsidR="00F91E2B" w:rsidRPr="0067482D">
        <w:rPr>
          <w:rFonts w:ascii="Arial" w:hAnsi="Arial" w:cs="Arial"/>
        </w:rPr>
        <w:t xml:space="preserve"> is that an applicant shows its </w:t>
      </w:r>
      <w:r w:rsidR="00F91E2B" w:rsidRPr="0067482D">
        <w:rPr>
          <w:rFonts w:ascii="Arial" w:hAnsi="Arial" w:cs="Arial"/>
          <w:i/>
        </w:rPr>
        <w:t>bona fides</w:t>
      </w:r>
      <w:r w:rsidR="00F91E2B" w:rsidRPr="0067482D">
        <w:rPr>
          <w:rFonts w:ascii="Arial" w:hAnsi="Arial" w:cs="Arial"/>
        </w:rPr>
        <w:t xml:space="preserve"> by instituting the action as soon as possible. The applicant advances no reason for the delay. Ms Van Niekerk argues that the matter can be decided on motion. This cannot be done as the dispute is material and oral evidence and cross-examination is necessary. In </w:t>
      </w:r>
      <w:r w:rsidR="00F91E2B" w:rsidRPr="0067482D">
        <w:rPr>
          <w:rFonts w:ascii="Arial" w:hAnsi="Arial" w:cs="Arial"/>
          <w:i/>
        </w:rPr>
        <w:t>Juta &amp; Co Ltd v Legal and Financial Publishing Co (Pty) Ltd 1969 (4) SA 443 (C)</w:t>
      </w:r>
      <w:r w:rsidR="00F91E2B" w:rsidRPr="0067482D">
        <w:rPr>
          <w:rFonts w:ascii="Arial" w:hAnsi="Arial" w:cs="Arial"/>
        </w:rPr>
        <w:t xml:space="preserve"> where an interdict was granted pendente lite but despite the lapse of some five months the applicant had not issued summons to institute the action, the Court discharged the rule nisi. In that case Van Wyk J (as he then was) said at 445E-F: </w:t>
      </w:r>
    </w:p>
    <w:p w:rsidR="00690D9D" w:rsidRPr="0067482D" w:rsidRDefault="00690D9D" w:rsidP="00690D9D">
      <w:pPr>
        <w:spacing w:after="0" w:line="360" w:lineRule="auto"/>
        <w:ind w:firstLine="720"/>
        <w:jc w:val="both"/>
        <w:rPr>
          <w:rFonts w:ascii="Arial" w:hAnsi="Arial" w:cs="Arial"/>
        </w:rPr>
      </w:pPr>
    </w:p>
    <w:p w:rsidR="00690D9D" w:rsidRPr="0067482D" w:rsidRDefault="005470FD" w:rsidP="00690D9D">
      <w:pPr>
        <w:spacing w:after="0" w:line="360" w:lineRule="auto"/>
        <w:ind w:firstLine="720"/>
        <w:jc w:val="both"/>
        <w:rPr>
          <w:rFonts w:ascii="Arial" w:hAnsi="Arial" w:cs="Arial"/>
        </w:rPr>
      </w:pPr>
      <w:r w:rsidRPr="0067482D">
        <w:rPr>
          <w:rFonts w:ascii="Arial" w:hAnsi="Arial" w:cs="Arial"/>
        </w:rPr>
        <w:t>“</w:t>
      </w:r>
      <w:r w:rsidR="00F91E2B" w:rsidRPr="0067482D">
        <w:rPr>
          <w:rFonts w:ascii="Arial" w:hAnsi="Arial" w:cs="Arial"/>
        </w:rPr>
        <w:t xml:space="preserve">There is such a thing as tyranny of litigation and a Court of law should not allow a party to drag out proceedings unduly. In this case, we are considering an application for an interdict </w:t>
      </w:r>
      <w:r w:rsidR="00F91E2B" w:rsidRPr="0067482D">
        <w:rPr>
          <w:rFonts w:ascii="Arial" w:hAnsi="Arial" w:cs="Arial"/>
          <w:i/>
        </w:rPr>
        <w:t>pendente lite</w:t>
      </w:r>
      <w:r w:rsidR="00F91E2B" w:rsidRPr="0067482D">
        <w:rPr>
          <w:rFonts w:ascii="Arial" w:hAnsi="Arial" w:cs="Arial"/>
        </w:rPr>
        <w:t xml:space="preserve"> which from its very nature, requires the maximum expedition </w:t>
      </w:r>
      <w:r w:rsidRPr="0067482D">
        <w:rPr>
          <w:rFonts w:ascii="Arial" w:hAnsi="Arial" w:cs="Arial"/>
        </w:rPr>
        <w:t>on the part of an applicant.”</w:t>
      </w:r>
      <w:r w:rsidR="00F91E2B" w:rsidRPr="0067482D">
        <w:rPr>
          <w:rFonts w:ascii="Arial" w:hAnsi="Arial" w:cs="Arial"/>
        </w:rPr>
        <w:t xml:space="preserve"> </w:t>
      </w:r>
    </w:p>
    <w:p w:rsidR="00690D9D" w:rsidRPr="0067482D" w:rsidRDefault="00690D9D" w:rsidP="00690D9D">
      <w:pPr>
        <w:spacing w:after="0" w:line="360" w:lineRule="auto"/>
        <w:jc w:val="both"/>
        <w:rPr>
          <w:rFonts w:ascii="Arial" w:hAnsi="Arial" w:cs="Arial"/>
        </w:rPr>
      </w:pPr>
    </w:p>
    <w:p w:rsidR="00690D9D" w:rsidRPr="0067482D" w:rsidRDefault="005470FD" w:rsidP="00690D9D">
      <w:pPr>
        <w:spacing w:after="0" w:line="360" w:lineRule="auto"/>
        <w:jc w:val="both"/>
        <w:rPr>
          <w:rFonts w:ascii="Arial" w:hAnsi="Arial" w:cs="Arial"/>
        </w:rPr>
      </w:pPr>
      <w:r w:rsidRPr="0067482D">
        <w:rPr>
          <w:rFonts w:ascii="Arial" w:hAnsi="Arial" w:cs="Arial"/>
        </w:rPr>
        <w:t xml:space="preserve">See </w:t>
      </w:r>
      <w:r w:rsidRPr="0067482D">
        <w:rPr>
          <w:rFonts w:ascii="Arial" w:hAnsi="Arial" w:cs="Arial"/>
          <w:i/>
        </w:rPr>
        <w:t>BP Namibia (Pty) Ltd v Southline Retail Centre CC 2009 (1) NR (HC) 268 at p 272 para 14:</w:t>
      </w:r>
      <w:r w:rsidRPr="0067482D">
        <w:rPr>
          <w:rFonts w:ascii="Arial" w:hAnsi="Arial" w:cs="Arial"/>
        </w:rPr>
        <w:t xml:space="preserve"> </w:t>
      </w:r>
    </w:p>
    <w:p w:rsidR="00184C3A" w:rsidRPr="0067482D" w:rsidRDefault="005470FD" w:rsidP="00690D9D">
      <w:pPr>
        <w:spacing w:after="0" w:line="360" w:lineRule="auto"/>
        <w:ind w:firstLine="720"/>
        <w:jc w:val="both"/>
        <w:rPr>
          <w:rFonts w:ascii="Arial" w:hAnsi="Arial" w:cs="Arial"/>
        </w:rPr>
      </w:pPr>
      <w:r w:rsidRPr="0067482D">
        <w:rPr>
          <w:rFonts w:ascii="Arial" w:hAnsi="Arial" w:cs="Arial"/>
        </w:rPr>
        <w:t xml:space="preserve">“The applicant on the other hand has approached the court for an order evicting the respondent from the premises on the ground that the lease has expired by effluxion of time. The issue is one of contract between the parties </w:t>
      </w:r>
      <w:r w:rsidRPr="0067482D">
        <w:rPr>
          <w:rFonts w:ascii="Arial" w:hAnsi="Arial" w:cs="Arial"/>
          <w:i/>
        </w:rPr>
        <w:t>inter se</w:t>
      </w:r>
      <w:r w:rsidRPr="0067482D">
        <w:rPr>
          <w:rFonts w:ascii="Arial" w:hAnsi="Arial" w:cs="Arial"/>
        </w:rPr>
        <w:t>. It is an established principle of the law that the public interest requires that the parties should comply with</w:t>
      </w:r>
      <w:r w:rsidR="00D079FF" w:rsidRPr="0067482D">
        <w:t xml:space="preserve"> </w:t>
      </w:r>
      <w:r w:rsidR="00D079FF" w:rsidRPr="0067482D">
        <w:rPr>
          <w:rFonts w:ascii="Arial" w:hAnsi="Arial" w:cs="Arial"/>
        </w:rPr>
        <w:t xml:space="preserve">their contractual obligations and this is the principle to which the applicant holds the respondent. The authority for this proposition is </w:t>
      </w:r>
      <w:r w:rsidR="00D079FF" w:rsidRPr="0067482D">
        <w:rPr>
          <w:rFonts w:ascii="Arial" w:hAnsi="Arial" w:cs="Arial"/>
          <w:i/>
        </w:rPr>
        <w:t>Reddy v Siemens Telecommunications (Pty) Ltd 2007 (2) SA SCA at para 15</w:t>
      </w:r>
      <w:r w:rsidR="00D079FF" w:rsidRPr="0067482D">
        <w:rPr>
          <w:rFonts w:ascii="Arial" w:hAnsi="Arial" w:cs="Arial"/>
        </w:rPr>
        <w:t>.”</w:t>
      </w:r>
    </w:p>
    <w:p w:rsidR="00690D9D" w:rsidRDefault="00690D9D" w:rsidP="00683C85">
      <w:pPr>
        <w:spacing w:after="0" w:line="360" w:lineRule="auto"/>
        <w:jc w:val="both"/>
        <w:rPr>
          <w:rFonts w:ascii="Arial" w:hAnsi="Arial" w:cs="Arial"/>
          <w:sz w:val="24"/>
          <w:szCs w:val="24"/>
        </w:rPr>
      </w:pPr>
    </w:p>
    <w:p w:rsidR="00683C85" w:rsidRDefault="005470FD" w:rsidP="007816A0">
      <w:pPr>
        <w:pStyle w:val="ListParagraph"/>
        <w:numPr>
          <w:ilvl w:val="0"/>
          <w:numId w:val="26"/>
        </w:numPr>
        <w:spacing w:after="0" w:line="360" w:lineRule="auto"/>
        <w:ind w:left="0" w:firstLine="0"/>
        <w:jc w:val="both"/>
        <w:rPr>
          <w:rFonts w:ascii="Arial" w:hAnsi="Arial" w:cs="Arial"/>
          <w:sz w:val="24"/>
          <w:szCs w:val="24"/>
        </w:rPr>
      </w:pPr>
      <w:r w:rsidRPr="007816A0">
        <w:rPr>
          <w:rFonts w:ascii="Arial" w:hAnsi="Arial" w:cs="Arial"/>
          <w:i/>
          <w:sz w:val="24"/>
          <w:szCs w:val="24"/>
        </w:rPr>
        <w:t xml:space="preserve">Mushwena v Government of the </w:t>
      </w:r>
      <w:r w:rsidR="003E1782" w:rsidRPr="007816A0">
        <w:rPr>
          <w:rFonts w:ascii="Arial" w:hAnsi="Arial" w:cs="Arial"/>
          <w:i/>
          <w:sz w:val="24"/>
          <w:szCs w:val="24"/>
        </w:rPr>
        <w:t>Republic of Namibia</w:t>
      </w:r>
      <w:r w:rsidR="003E1782" w:rsidRPr="007816A0">
        <w:rPr>
          <w:rFonts w:ascii="Arial" w:hAnsi="Arial" w:cs="Arial"/>
          <w:sz w:val="24"/>
          <w:szCs w:val="24"/>
        </w:rPr>
        <w:t xml:space="preserve"> </w:t>
      </w:r>
      <w:r>
        <w:rPr>
          <w:rStyle w:val="FootnoteReference"/>
          <w:rFonts w:ascii="Arial" w:hAnsi="Arial" w:cs="Arial"/>
          <w:sz w:val="24"/>
          <w:szCs w:val="24"/>
        </w:rPr>
        <w:footnoteReference w:id="26"/>
      </w:r>
      <w:r w:rsidRPr="007816A0">
        <w:rPr>
          <w:rFonts w:ascii="Arial" w:hAnsi="Arial" w:cs="Arial"/>
          <w:sz w:val="24"/>
          <w:szCs w:val="24"/>
        </w:rPr>
        <w:t>stated at paragraph 23:</w:t>
      </w:r>
    </w:p>
    <w:p w:rsidR="007816A0" w:rsidRPr="007816A0" w:rsidRDefault="007816A0" w:rsidP="007816A0">
      <w:pPr>
        <w:pStyle w:val="ListParagraph"/>
        <w:spacing w:after="0" w:line="360" w:lineRule="auto"/>
        <w:ind w:left="0"/>
        <w:jc w:val="both"/>
        <w:rPr>
          <w:rFonts w:ascii="Arial" w:hAnsi="Arial" w:cs="Arial"/>
          <w:sz w:val="24"/>
          <w:szCs w:val="24"/>
        </w:rPr>
      </w:pPr>
    </w:p>
    <w:p w:rsidR="00683C85" w:rsidRPr="003E1782" w:rsidRDefault="005470FD" w:rsidP="003E1782">
      <w:pPr>
        <w:spacing w:after="0" w:line="360" w:lineRule="auto"/>
        <w:ind w:firstLine="720"/>
        <w:jc w:val="both"/>
        <w:rPr>
          <w:rFonts w:ascii="Arial" w:hAnsi="Arial" w:cs="Arial"/>
        </w:rPr>
      </w:pPr>
      <w:r w:rsidRPr="003E1782">
        <w:rPr>
          <w:rFonts w:ascii="Arial" w:hAnsi="Arial" w:cs="Arial"/>
        </w:rPr>
        <w:lastRenderedPageBreak/>
        <w:t>‘ [23] It is no small matter that there is now pending before the highest Court in the land a live appeal on the ruling of Hoff J that the Courts of Namibia have no jurisdiction to try the applicants. If I understand Mr Frank’s argument properly, this Court has to shut its eyes to that. With the greatest respect, that would be artificial. If that argument is to hold sway, it would mean that there is no productive purpose to be served by the appeal now before the Supreme Court. The workings of the judiciary would then become a great mystery to the public whose interest it is meant to serve.’</w:t>
      </w:r>
    </w:p>
    <w:p w:rsidR="003E1782" w:rsidRDefault="003E1782" w:rsidP="003E1782">
      <w:pPr>
        <w:spacing w:after="0" w:line="360" w:lineRule="auto"/>
        <w:ind w:firstLine="720"/>
        <w:jc w:val="both"/>
        <w:rPr>
          <w:rFonts w:ascii="Arial" w:hAnsi="Arial" w:cs="Arial"/>
          <w:sz w:val="24"/>
          <w:szCs w:val="24"/>
        </w:rPr>
      </w:pPr>
    </w:p>
    <w:p w:rsidR="003E1782" w:rsidRDefault="005470FD" w:rsidP="008D4DD3">
      <w:pPr>
        <w:spacing w:after="0" w:line="360" w:lineRule="auto"/>
        <w:jc w:val="both"/>
        <w:rPr>
          <w:rFonts w:ascii="Arial" w:hAnsi="Arial" w:cs="Arial"/>
          <w:sz w:val="24"/>
          <w:szCs w:val="24"/>
          <w:u w:val="single"/>
        </w:rPr>
      </w:pPr>
      <w:r w:rsidRPr="003C6C90">
        <w:rPr>
          <w:rFonts w:ascii="Arial" w:hAnsi="Arial" w:cs="Arial"/>
          <w:sz w:val="24"/>
          <w:szCs w:val="24"/>
          <w:u w:val="single"/>
        </w:rPr>
        <w:t>Conclusion</w:t>
      </w:r>
      <w:r w:rsidR="003C6C90">
        <w:rPr>
          <w:rFonts w:ascii="Arial" w:hAnsi="Arial" w:cs="Arial"/>
          <w:sz w:val="24"/>
          <w:szCs w:val="24"/>
          <w:u w:val="single"/>
        </w:rPr>
        <w:t>s</w:t>
      </w:r>
    </w:p>
    <w:p w:rsidR="007816A0" w:rsidRPr="003C6C90" w:rsidRDefault="007816A0" w:rsidP="008D4DD3">
      <w:pPr>
        <w:spacing w:after="0" w:line="360" w:lineRule="auto"/>
        <w:jc w:val="both"/>
        <w:rPr>
          <w:rFonts w:ascii="Arial" w:hAnsi="Arial" w:cs="Arial"/>
          <w:sz w:val="24"/>
          <w:szCs w:val="24"/>
          <w:u w:val="single"/>
        </w:rPr>
      </w:pPr>
    </w:p>
    <w:p w:rsidR="008D4DD3" w:rsidRDefault="005470FD" w:rsidP="008D4DD3">
      <w:pPr>
        <w:spacing w:after="0" w:line="360" w:lineRule="auto"/>
        <w:jc w:val="both"/>
        <w:rPr>
          <w:rFonts w:ascii="Arial" w:hAnsi="Arial" w:cs="Arial"/>
          <w:i/>
          <w:sz w:val="24"/>
          <w:szCs w:val="24"/>
        </w:rPr>
      </w:pPr>
      <w:r w:rsidRPr="007816A0">
        <w:rPr>
          <w:rFonts w:ascii="Arial" w:hAnsi="Arial" w:cs="Arial"/>
          <w:i/>
          <w:sz w:val="24"/>
          <w:szCs w:val="24"/>
        </w:rPr>
        <w:t>Supplementation application</w:t>
      </w:r>
    </w:p>
    <w:p w:rsidR="007816A0" w:rsidRPr="007816A0" w:rsidRDefault="007816A0" w:rsidP="008D4DD3">
      <w:pPr>
        <w:spacing w:after="0" w:line="360" w:lineRule="auto"/>
        <w:jc w:val="both"/>
        <w:rPr>
          <w:rFonts w:ascii="Arial" w:hAnsi="Arial" w:cs="Arial"/>
          <w:i/>
          <w:sz w:val="24"/>
          <w:szCs w:val="24"/>
        </w:rPr>
      </w:pPr>
    </w:p>
    <w:p w:rsidR="008D4DD3" w:rsidRDefault="005470FD" w:rsidP="007816A0">
      <w:pPr>
        <w:pStyle w:val="ListParagraph"/>
        <w:numPr>
          <w:ilvl w:val="0"/>
          <w:numId w:val="26"/>
        </w:numPr>
        <w:spacing w:after="0" w:line="360" w:lineRule="auto"/>
        <w:ind w:left="0" w:firstLine="0"/>
        <w:jc w:val="both"/>
        <w:rPr>
          <w:rFonts w:ascii="Arial" w:hAnsi="Arial" w:cs="Arial"/>
          <w:sz w:val="24"/>
          <w:szCs w:val="24"/>
        </w:rPr>
      </w:pPr>
      <w:r w:rsidRPr="007816A0">
        <w:rPr>
          <w:rFonts w:ascii="Arial" w:hAnsi="Arial" w:cs="Arial"/>
          <w:sz w:val="24"/>
          <w:szCs w:val="24"/>
        </w:rPr>
        <w:t xml:space="preserve">Prinsloo J in </w:t>
      </w:r>
      <w:r w:rsidR="00DA39A6" w:rsidRPr="007816A0">
        <w:rPr>
          <w:rFonts w:ascii="Arial" w:hAnsi="Arial" w:cs="Arial"/>
          <w:i/>
          <w:sz w:val="24"/>
          <w:szCs w:val="24"/>
        </w:rPr>
        <w:t>Kapia v Minister of Urban and Rural Development</w:t>
      </w:r>
      <w:r>
        <w:rPr>
          <w:rStyle w:val="FootnoteReference"/>
          <w:rFonts w:ascii="Arial" w:hAnsi="Arial" w:cs="Arial"/>
          <w:i/>
          <w:sz w:val="24"/>
          <w:szCs w:val="24"/>
        </w:rPr>
        <w:footnoteReference w:id="27"/>
      </w:r>
      <w:r w:rsidRPr="007816A0">
        <w:rPr>
          <w:rFonts w:ascii="Arial" w:hAnsi="Arial" w:cs="Arial"/>
          <w:sz w:val="24"/>
          <w:szCs w:val="24"/>
        </w:rPr>
        <w:t xml:space="preserve"> identified three questions that need to be answered</w:t>
      </w:r>
      <w:r w:rsidR="003C6C90" w:rsidRPr="007816A0">
        <w:rPr>
          <w:rFonts w:ascii="Arial" w:hAnsi="Arial" w:cs="Arial"/>
          <w:sz w:val="24"/>
          <w:szCs w:val="24"/>
        </w:rPr>
        <w:t xml:space="preserve"> when considering whether to allow supplementary affidavits to be filed or not.  These are</w:t>
      </w:r>
      <w:r w:rsidRPr="007816A0">
        <w:rPr>
          <w:rFonts w:ascii="Arial" w:hAnsi="Arial" w:cs="Arial"/>
          <w:sz w:val="24"/>
          <w:szCs w:val="24"/>
        </w:rPr>
        <w:t>:</w:t>
      </w:r>
    </w:p>
    <w:p w:rsidR="007816A0" w:rsidRPr="007816A0" w:rsidRDefault="007816A0" w:rsidP="007816A0">
      <w:pPr>
        <w:pStyle w:val="ListParagraph"/>
        <w:spacing w:after="0" w:line="360" w:lineRule="auto"/>
        <w:ind w:left="0"/>
        <w:jc w:val="both"/>
        <w:rPr>
          <w:rFonts w:ascii="Arial" w:hAnsi="Arial" w:cs="Arial"/>
          <w:sz w:val="24"/>
          <w:szCs w:val="24"/>
        </w:rPr>
      </w:pPr>
    </w:p>
    <w:p w:rsidR="008D4DD3" w:rsidRDefault="005470FD" w:rsidP="008D4DD3">
      <w:pPr>
        <w:spacing w:after="0" w:line="360" w:lineRule="auto"/>
        <w:jc w:val="both"/>
        <w:rPr>
          <w:rFonts w:ascii="Arial" w:hAnsi="Arial" w:cs="Arial"/>
          <w:sz w:val="24"/>
          <w:szCs w:val="24"/>
        </w:rPr>
      </w:pPr>
      <w:r w:rsidRPr="008D4DD3">
        <w:rPr>
          <w:rFonts w:ascii="Arial" w:hAnsi="Arial" w:cs="Arial"/>
          <w:sz w:val="24"/>
          <w:szCs w:val="24"/>
        </w:rPr>
        <w:t xml:space="preserve">a) whether the applicants made out a case for special circumstances that would allow the granting of the order sought by the applicants, </w:t>
      </w:r>
    </w:p>
    <w:p w:rsidR="00D64CF7" w:rsidRDefault="00D64CF7" w:rsidP="008D4DD3">
      <w:pPr>
        <w:spacing w:after="0" w:line="360" w:lineRule="auto"/>
        <w:jc w:val="both"/>
        <w:rPr>
          <w:rFonts w:ascii="Arial" w:hAnsi="Arial" w:cs="Arial"/>
          <w:sz w:val="24"/>
          <w:szCs w:val="24"/>
        </w:rPr>
      </w:pPr>
    </w:p>
    <w:p w:rsidR="008D4DD3" w:rsidRDefault="005470FD" w:rsidP="008D4DD3">
      <w:pPr>
        <w:spacing w:after="0" w:line="360" w:lineRule="auto"/>
        <w:jc w:val="both"/>
        <w:rPr>
          <w:rFonts w:ascii="Arial" w:hAnsi="Arial" w:cs="Arial"/>
          <w:sz w:val="24"/>
          <w:szCs w:val="24"/>
        </w:rPr>
      </w:pPr>
      <w:r w:rsidRPr="008D4DD3">
        <w:rPr>
          <w:rFonts w:ascii="Arial" w:hAnsi="Arial" w:cs="Arial"/>
          <w:sz w:val="24"/>
          <w:szCs w:val="24"/>
        </w:rPr>
        <w:t xml:space="preserve">b) whether a reasonable explanation was advanced as to why the facts or information were not being put before the Court at an earlier stage, and </w:t>
      </w:r>
    </w:p>
    <w:p w:rsidR="00D64CF7" w:rsidRDefault="00D64CF7" w:rsidP="008D4DD3">
      <w:pPr>
        <w:spacing w:after="0" w:line="360" w:lineRule="auto"/>
        <w:jc w:val="both"/>
        <w:rPr>
          <w:rFonts w:ascii="Arial" w:hAnsi="Arial" w:cs="Arial"/>
          <w:sz w:val="24"/>
          <w:szCs w:val="24"/>
        </w:rPr>
      </w:pPr>
    </w:p>
    <w:p w:rsidR="003E1782" w:rsidRDefault="005470FD" w:rsidP="008D4DD3">
      <w:pPr>
        <w:spacing w:after="0" w:line="360" w:lineRule="auto"/>
        <w:jc w:val="both"/>
        <w:rPr>
          <w:rFonts w:ascii="Arial" w:hAnsi="Arial" w:cs="Arial"/>
          <w:sz w:val="24"/>
          <w:szCs w:val="24"/>
        </w:rPr>
      </w:pPr>
      <w:r>
        <w:rPr>
          <w:rFonts w:ascii="Arial" w:hAnsi="Arial" w:cs="Arial"/>
          <w:sz w:val="24"/>
          <w:szCs w:val="24"/>
        </w:rPr>
        <w:t>c)</w:t>
      </w:r>
      <w:r w:rsidRPr="008D4DD3">
        <w:rPr>
          <w:rFonts w:ascii="Arial" w:hAnsi="Arial" w:cs="Arial"/>
          <w:sz w:val="24"/>
          <w:szCs w:val="24"/>
        </w:rPr>
        <w:t xml:space="preserve"> if the respondents would suffer prejudice if the court grants the application</w:t>
      </w:r>
    </w:p>
    <w:p w:rsidR="008D4DD3" w:rsidRDefault="008D4DD3" w:rsidP="008D4DD3">
      <w:pPr>
        <w:spacing w:after="0" w:line="360" w:lineRule="auto"/>
        <w:jc w:val="both"/>
        <w:rPr>
          <w:rFonts w:ascii="Arial" w:hAnsi="Arial" w:cs="Arial"/>
          <w:sz w:val="24"/>
          <w:szCs w:val="24"/>
        </w:rPr>
      </w:pPr>
    </w:p>
    <w:p w:rsidR="007816A0" w:rsidRDefault="005470FD" w:rsidP="008D4DD3">
      <w:pPr>
        <w:pStyle w:val="ListParagraph"/>
        <w:numPr>
          <w:ilvl w:val="0"/>
          <w:numId w:val="26"/>
        </w:numPr>
        <w:spacing w:after="0" w:line="360" w:lineRule="auto"/>
        <w:ind w:left="0" w:firstLine="0"/>
        <w:jc w:val="both"/>
        <w:rPr>
          <w:rFonts w:ascii="Arial" w:hAnsi="Arial" w:cs="Arial"/>
          <w:sz w:val="24"/>
          <w:szCs w:val="24"/>
        </w:rPr>
      </w:pPr>
      <w:r w:rsidRPr="007816A0">
        <w:rPr>
          <w:rFonts w:ascii="Arial" w:hAnsi="Arial" w:cs="Arial"/>
          <w:sz w:val="24"/>
          <w:szCs w:val="24"/>
        </w:rPr>
        <w:t>Regarding the question of whether the applicants made out a case for special circumstances allowing for the granting of the order, the court must find in the affirmative.  The issue raised by the applicant in this application indeed amounts to special circumstances as it relates to the record before the court, which in turn forms the basis of the review application as the allegation is made that the bid of the second respondent was not properly completed and the allegatio</w:t>
      </w:r>
      <w:r>
        <w:rPr>
          <w:rFonts w:ascii="Arial" w:hAnsi="Arial" w:cs="Arial"/>
          <w:sz w:val="24"/>
          <w:szCs w:val="24"/>
        </w:rPr>
        <w:t xml:space="preserve">n made was </w:t>
      </w:r>
      <w:r w:rsidRPr="007816A0">
        <w:rPr>
          <w:rFonts w:ascii="Arial" w:hAnsi="Arial" w:cs="Arial"/>
          <w:sz w:val="24"/>
          <w:szCs w:val="24"/>
        </w:rPr>
        <w:t>that it was completed after the initial records were filed.  This indeed requires an answer from the first and second respondent</w:t>
      </w:r>
      <w:r w:rsidR="0025596A">
        <w:rPr>
          <w:rFonts w:ascii="Arial" w:hAnsi="Arial" w:cs="Arial"/>
          <w:sz w:val="24"/>
          <w:szCs w:val="24"/>
        </w:rPr>
        <w:t>s</w:t>
      </w:r>
      <w:r w:rsidRPr="007816A0">
        <w:rPr>
          <w:rFonts w:ascii="Arial" w:hAnsi="Arial" w:cs="Arial"/>
          <w:sz w:val="24"/>
          <w:szCs w:val="24"/>
        </w:rPr>
        <w:t xml:space="preserve"> and the allegation is of such a nature that it indeed impact</w:t>
      </w:r>
      <w:r>
        <w:rPr>
          <w:rFonts w:ascii="Arial" w:hAnsi="Arial" w:cs="Arial"/>
          <w:sz w:val="24"/>
          <w:szCs w:val="24"/>
        </w:rPr>
        <w:t>ed</w:t>
      </w:r>
      <w:r w:rsidRPr="007816A0">
        <w:rPr>
          <w:rFonts w:ascii="Arial" w:hAnsi="Arial" w:cs="Arial"/>
          <w:sz w:val="24"/>
          <w:szCs w:val="24"/>
        </w:rPr>
        <w:t xml:space="preserve"> the crux of the matter.</w:t>
      </w:r>
    </w:p>
    <w:p w:rsidR="007816A0" w:rsidRDefault="007816A0" w:rsidP="007816A0">
      <w:pPr>
        <w:pStyle w:val="ListParagraph"/>
        <w:spacing w:after="0" w:line="360" w:lineRule="auto"/>
        <w:ind w:left="0"/>
        <w:jc w:val="both"/>
        <w:rPr>
          <w:rFonts w:ascii="Arial" w:hAnsi="Arial" w:cs="Arial"/>
          <w:sz w:val="24"/>
          <w:szCs w:val="24"/>
        </w:rPr>
      </w:pPr>
    </w:p>
    <w:p w:rsidR="007816A0" w:rsidRDefault="005470FD" w:rsidP="008D4DD3">
      <w:pPr>
        <w:pStyle w:val="ListParagraph"/>
        <w:numPr>
          <w:ilvl w:val="0"/>
          <w:numId w:val="26"/>
        </w:numPr>
        <w:spacing w:after="0" w:line="360" w:lineRule="auto"/>
        <w:ind w:left="0" w:firstLine="0"/>
        <w:jc w:val="both"/>
        <w:rPr>
          <w:rFonts w:ascii="Arial" w:hAnsi="Arial" w:cs="Arial"/>
          <w:sz w:val="24"/>
          <w:szCs w:val="24"/>
        </w:rPr>
      </w:pPr>
      <w:r w:rsidRPr="007816A0">
        <w:rPr>
          <w:rFonts w:ascii="Arial" w:hAnsi="Arial" w:cs="Arial"/>
          <w:sz w:val="24"/>
          <w:szCs w:val="24"/>
        </w:rPr>
        <w:lastRenderedPageBreak/>
        <w:t>The applicant further advanced a reasonable explanation as to why the information was not placed before the court at an earlier stage when it explained that it had no reason to believe that the hard copy of the record they received</w:t>
      </w:r>
      <w:r>
        <w:rPr>
          <w:rFonts w:ascii="Arial" w:hAnsi="Arial" w:cs="Arial"/>
          <w:sz w:val="24"/>
          <w:szCs w:val="24"/>
        </w:rPr>
        <w:t xml:space="preserve"> and the records uploaded on e-j</w:t>
      </w:r>
      <w:r w:rsidRPr="007816A0">
        <w:rPr>
          <w:rFonts w:ascii="Arial" w:hAnsi="Arial" w:cs="Arial"/>
          <w:sz w:val="24"/>
          <w:szCs w:val="24"/>
        </w:rPr>
        <w:t xml:space="preserve">ustice would differ from one another, only to realize the same at a later stage when they perused the records and noted such discrepancies.  It is also true that the applicant had complained numerous times about the record not being uploaded fully and missing some parts.  </w:t>
      </w:r>
    </w:p>
    <w:p w:rsidR="007816A0" w:rsidRPr="007816A0" w:rsidRDefault="007816A0" w:rsidP="007816A0">
      <w:pPr>
        <w:pStyle w:val="ListParagraph"/>
        <w:rPr>
          <w:rFonts w:ascii="Arial" w:hAnsi="Arial" w:cs="Arial"/>
          <w:sz w:val="24"/>
          <w:szCs w:val="24"/>
        </w:rPr>
      </w:pPr>
    </w:p>
    <w:p w:rsidR="00EC1520" w:rsidRDefault="005470FD" w:rsidP="008D4DD3">
      <w:pPr>
        <w:pStyle w:val="ListParagraph"/>
        <w:numPr>
          <w:ilvl w:val="0"/>
          <w:numId w:val="26"/>
        </w:numPr>
        <w:spacing w:after="0" w:line="360" w:lineRule="auto"/>
        <w:ind w:left="0" w:firstLine="0"/>
        <w:jc w:val="both"/>
        <w:rPr>
          <w:rFonts w:ascii="Arial" w:hAnsi="Arial" w:cs="Arial"/>
          <w:sz w:val="24"/>
          <w:szCs w:val="24"/>
        </w:rPr>
      </w:pPr>
      <w:r w:rsidRPr="007816A0">
        <w:rPr>
          <w:rFonts w:ascii="Arial" w:hAnsi="Arial" w:cs="Arial"/>
          <w:sz w:val="24"/>
          <w:szCs w:val="24"/>
        </w:rPr>
        <w:t>Regarding the questio</w:t>
      </w:r>
      <w:r w:rsidR="0025596A">
        <w:rPr>
          <w:rFonts w:ascii="Arial" w:hAnsi="Arial" w:cs="Arial"/>
          <w:sz w:val="24"/>
          <w:szCs w:val="24"/>
        </w:rPr>
        <w:t>n of whether the respondents stand</w:t>
      </w:r>
      <w:r w:rsidRPr="007816A0">
        <w:rPr>
          <w:rFonts w:ascii="Arial" w:hAnsi="Arial" w:cs="Arial"/>
          <w:sz w:val="24"/>
          <w:szCs w:val="24"/>
        </w:rPr>
        <w:t xml:space="preserve"> to be prejudiced by allowing another set of affidavits to be filed, the court finds that the applicant is indeed correct in not raising this issue in its reply to the answering affidavits of the respondents but to afford them the opportunity to ventilate the issue properly in further answering affidavits, which they will be entitled to file should the court allow for the filing of a further supplementary founding affidavit. </w:t>
      </w:r>
    </w:p>
    <w:p w:rsidR="00EC1520" w:rsidRPr="00EC1520" w:rsidRDefault="00EC1520" w:rsidP="00EC1520">
      <w:pPr>
        <w:pStyle w:val="ListParagraph"/>
        <w:rPr>
          <w:rFonts w:ascii="Arial" w:hAnsi="Arial" w:cs="Arial"/>
          <w:sz w:val="24"/>
          <w:szCs w:val="24"/>
        </w:rPr>
      </w:pPr>
    </w:p>
    <w:p w:rsidR="003C6C90" w:rsidRPr="00EC1520" w:rsidRDefault="005470FD" w:rsidP="008D4DD3">
      <w:pPr>
        <w:pStyle w:val="ListParagraph"/>
        <w:numPr>
          <w:ilvl w:val="0"/>
          <w:numId w:val="26"/>
        </w:numPr>
        <w:spacing w:after="0" w:line="360" w:lineRule="auto"/>
        <w:ind w:left="0" w:firstLine="0"/>
        <w:jc w:val="both"/>
        <w:rPr>
          <w:rFonts w:ascii="Arial" w:hAnsi="Arial" w:cs="Arial"/>
          <w:sz w:val="24"/>
          <w:szCs w:val="24"/>
        </w:rPr>
      </w:pPr>
      <w:r w:rsidRPr="00EC1520">
        <w:rPr>
          <w:rFonts w:ascii="Arial" w:hAnsi="Arial" w:cs="Arial"/>
          <w:sz w:val="24"/>
          <w:szCs w:val="24"/>
        </w:rPr>
        <w:t>Taking these arguments into account as well as the reasoning followed by the court, the court will indeed permit the filing of further supplementary affidavits by the applicant.  Earlier in this judgement</w:t>
      </w:r>
      <w:r w:rsidR="00EC1520" w:rsidRPr="00EC1520">
        <w:rPr>
          <w:rFonts w:ascii="Arial" w:hAnsi="Arial" w:cs="Arial"/>
          <w:sz w:val="24"/>
          <w:szCs w:val="24"/>
        </w:rPr>
        <w:t>,</w:t>
      </w:r>
      <w:r w:rsidRPr="00EC1520">
        <w:rPr>
          <w:rFonts w:ascii="Arial" w:hAnsi="Arial" w:cs="Arial"/>
          <w:sz w:val="24"/>
          <w:szCs w:val="24"/>
        </w:rPr>
        <w:t xml:space="preserve"> I pointed out that I intend to take into account the non-c</w:t>
      </w:r>
      <w:r w:rsidR="0025596A">
        <w:rPr>
          <w:rFonts w:ascii="Arial" w:hAnsi="Arial" w:cs="Arial"/>
          <w:sz w:val="24"/>
          <w:szCs w:val="24"/>
        </w:rPr>
        <w:t xml:space="preserve">ompliance with rules 32(9) and </w:t>
      </w:r>
      <w:r w:rsidRPr="00EC1520">
        <w:rPr>
          <w:rFonts w:ascii="Arial" w:hAnsi="Arial" w:cs="Arial"/>
          <w:sz w:val="24"/>
          <w:szCs w:val="24"/>
        </w:rPr>
        <w:t>(10) when deciding on the allocation of costs in this application.  For that reason</w:t>
      </w:r>
      <w:r w:rsidR="0025596A">
        <w:rPr>
          <w:rFonts w:ascii="Arial" w:hAnsi="Arial" w:cs="Arial"/>
          <w:sz w:val="24"/>
          <w:szCs w:val="24"/>
        </w:rPr>
        <w:t>,</w:t>
      </w:r>
      <w:r w:rsidRPr="00EC1520">
        <w:rPr>
          <w:rFonts w:ascii="Arial" w:hAnsi="Arial" w:cs="Arial"/>
          <w:sz w:val="24"/>
          <w:szCs w:val="24"/>
        </w:rPr>
        <w:t xml:space="preserve"> I find that regarding the costs of this application, I am not going to let it follow the event but make an order that each party will carry its costs.</w:t>
      </w:r>
    </w:p>
    <w:p w:rsidR="003C6C90" w:rsidRDefault="003C6C90" w:rsidP="008D4DD3">
      <w:pPr>
        <w:spacing w:after="0" w:line="360" w:lineRule="auto"/>
        <w:jc w:val="both"/>
        <w:rPr>
          <w:rFonts w:ascii="Arial" w:hAnsi="Arial" w:cs="Arial"/>
          <w:sz w:val="24"/>
          <w:szCs w:val="24"/>
        </w:rPr>
      </w:pPr>
    </w:p>
    <w:p w:rsidR="003C6C90" w:rsidRPr="00EC1520" w:rsidRDefault="005470FD" w:rsidP="003C6C90">
      <w:pPr>
        <w:spacing w:after="0" w:line="360" w:lineRule="auto"/>
        <w:jc w:val="both"/>
        <w:rPr>
          <w:rFonts w:ascii="Arial" w:hAnsi="Arial" w:cs="Arial"/>
          <w:i/>
          <w:sz w:val="24"/>
          <w:szCs w:val="24"/>
        </w:rPr>
      </w:pPr>
      <w:r>
        <w:rPr>
          <w:rFonts w:ascii="Arial" w:hAnsi="Arial" w:cs="Arial"/>
          <w:i/>
          <w:sz w:val="24"/>
          <w:szCs w:val="24"/>
        </w:rPr>
        <w:t>The pendente lite i</w:t>
      </w:r>
      <w:r w:rsidRPr="00EC1520">
        <w:rPr>
          <w:rFonts w:ascii="Arial" w:hAnsi="Arial" w:cs="Arial"/>
          <w:i/>
          <w:sz w:val="24"/>
          <w:szCs w:val="24"/>
        </w:rPr>
        <w:t>nterdict application</w:t>
      </w:r>
    </w:p>
    <w:p w:rsidR="00EC1520" w:rsidRPr="003C6C90" w:rsidRDefault="00EC1520" w:rsidP="003C6C90">
      <w:pPr>
        <w:spacing w:after="0" w:line="360" w:lineRule="auto"/>
        <w:jc w:val="both"/>
        <w:rPr>
          <w:rFonts w:ascii="Arial" w:hAnsi="Arial" w:cs="Arial"/>
          <w:sz w:val="24"/>
          <w:szCs w:val="24"/>
          <w:u w:val="single"/>
        </w:rPr>
      </w:pPr>
    </w:p>
    <w:p w:rsidR="00EC1520" w:rsidRDefault="005470FD" w:rsidP="008D4DD3">
      <w:pPr>
        <w:pStyle w:val="ListParagraph"/>
        <w:numPr>
          <w:ilvl w:val="0"/>
          <w:numId w:val="26"/>
        </w:numPr>
        <w:spacing w:after="0" w:line="360" w:lineRule="auto"/>
        <w:ind w:left="0" w:firstLine="0"/>
        <w:jc w:val="both"/>
        <w:rPr>
          <w:rFonts w:ascii="Arial" w:hAnsi="Arial" w:cs="Arial"/>
          <w:sz w:val="24"/>
          <w:szCs w:val="24"/>
        </w:rPr>
      </w:pPr>
      <w:r w:rsidRPr="00EC1520">
        <w:rPr>
          <w:rFonts w:ascii="Arial" w:hAnsi="Arial" w:cs="Arial"/>
          <w:sz w:val="24"/>
          <w:szCs w:val="24"/>
        </w:rPr>
        <w:t>This application specifically seeks to allow the a</w:t>
      </w:r>
      <w:r w:rsidR="0025596A">
        <w:rPr>
          <w:rFonts w:ascii="Arial" w:hAnsi="Arial" w:cs="Arial"/>
          <w:sz w:val="24"/>
          <w:szCs w:val="24"/>
        </w:rPr>
        <w:t>pplicant to continue the ground-</w:t>
      </w:r>
      <w:r w:rsidRPr="00EC1520">
        <w:rPr>
          <w:rFonts w:ascii="Arial" w:hAnsi="Arial" w:cs="Arial"/>
          <w:sz w:val="24"/>
          <w:szCs w:val="24"/>
        </w:rPr>
        <w:t>handling services until the review process is complete, which ca</w:t>
      </w:r>
      <w:r>
        <w:rPr>
          <w:rFonts w:ascii="Arial" w:hAnsi="Arial" w:cs="Arial"/>
          <w:sz w:val="24"/>
          <w:szCs w:val="24"/>
        </w:rPr>
        <w:t>n include a possible appeal as well</w:t>
      </w:r>
      <w:r w:rsidRPr="00EC1520">
        <w:rPr>
          <w:rFonts w:ascii="Arial" w:hAnsi="Arial" w:cs="Arial"/>
          <w:sz w:val="24"/>
          <w:szCs w:val="24"/>
        </w:rPr>
        <w:t>.  The nature of the current arrangement plays a huge role in the decision the court is eventually going to take.</w:t>
      </w:r>
    </w:p>
    <w:p w:rsidR="00EC1520" w:rsidRDefault="00EC1520" w:rsidP="00EC1520">
      <w:pPr>
        <w:pStyle w:val="ListParagraph"/>
        <w:spacing w:after="0" w:line="360" w:lineRule="auto"/>
        <w:ind w:left="0"/>
        <w:jc w:val="both"/>
        <w:rPr>
          <w:rFonts w:ascii="Arial" w:hAnsi="Arial" w:cs="Arial"/>
          <w:sz w:val="24"/>
          <w:szCs w:val="24"/>
        </w:rPr>
      </w:pPr>
    </w:p>
    <w:p w:rsidR="00EC1520" w:rsidRDefault="005470FD" w:rsidP="008D4DD3">
      <w:pPr>
        <w:pStyle w:val="ListParagraph"/>
        <w:numPr>
          <w:ilvl w:val="0"/>
          <w:numId w:val="26"/>
        </w:numPr>
        <w:spacing w:after="0" w:line="360" w:lineRule="auto"/>
        <w:ind w:left="0" w:firstLine="0"/>
        <w:jc w:val="both"/>
        <w:rPr>
          <w:rFonts w:ascii="Arial" w:hAnsi="Arial" w:cs="Arial"/>
          <w:sz w:val="24"/>
          <w:szCs w:val="24"/>
        </w:rPr>
      </w:pPr>
      <w:r w:rsidRPr="00EC1520">
        <w:rPr>
          <w:rFonts w:ascii="Arial" w:hAnsi="Arial" w:cs="Arial"/>
          <w:sz w:val="24"/>
          <w:szCs w:val="24"/>
        </w:rPr>
        <w:t>The applicant maintains that a new agreement was concluded between itself and the first respondent, which will continue until further notice.  The first respondent argued that this was not the case, the old agreement continued after the applicant filed an appeal at the</w:t>
      </w:r>
      <w:r w:rsidR="0025596A">
        <w:rPr>
          <w:rFonts w:ascii="Arial" w:hAnsi="Arial" w:cs="Arial"/>
          <w:sz w:val="24"/>
          <w:szCs w:val="24"/>
        </w:rPr>
        <w:t xml:space="preserve"> Supreme Court against the judg</w:t>
      </w:r>
      <w:r w:rsidRPr="00EC1520">
        <w:rPr>
          <w:rFonts w:ascii="Arial" w:hAnsi="Arial" w:cs="Arial"/>
          <w:sz w:val="24"/>
          <w:szCs w:val="24"/>
        </w:rPr>
        <w:t xml:space="preserve">ment of Sibeya J and after its legal practitioners were informed by the legal practitioners of the applicant that the status quo is to remain pending the outcome of the Supreme Court matter.  The court finds </w:t>
      </w:r>
      <w:r w:rsidRPr="00EC1520">
        <w:rPr>
          <w:rFonts w:ascii="Arial" w:hAnsi="Arial" w:cs="Arial"/>
          <w:sz w:val="24"/>
          <w:szCs w:val="24"/>
        </w:rPr>
        <w:lastRenderedPageBreak/>
        <w:t>that the interpretation by the first respondent is the most probable interpretation and that no new agreement came into place.</w:t>
      </w:r>
    </w:p>
    <w:p w:rsidR="00EC1520" w:rsidRPr="00EC1520" w:rsidRDefault="00EC1520" w:rsidP="00EC1520">
      <w:pPr>
        <w:pStyle w:val="ListParagraph"/>
        <w:rPr>
          <w:rFonts w:ascii="Arial" w:hAnsi="Arial" w:cs="Arial"/>
          <w:sz w:val="24"/>
          <w:szCs w:val="24"/>
        </w:rPr>
      </w:pPr>
    </w:p>
    <w:p w:rsidR="00EC1520" w:rsidRDefault="005470FD" w:rsidP="008D4DD3">
      <w:pPr>
        <w:pStyle w:val="ListParagraph"/>
        <w:numPr>
          <w:ilvl w:val="0"/>
          <w:numId w:val="26"/>
        </w:numPr>
        <w:spacing w:after="0" w:line="360" w:lineRule="auto"/>
        <w:ind w:left="0" w:firstLine="0"/>
        <w:jc w:val="both"/>
        <w:rPr>
          <w:rFonts w:ascii="Arial" w:hAnsi="Arial" w:cs="Arial"/>
          <w:sz w:val="24"/>
          <w:szCs w:val="24"/>
        </w:rPr>
      </w:pPr>
      <w:r w:rsidRPr="00EC1520">
        <w:rPr>
          <w:rFonts w:ascii="Arial" w:hAnsi="Arial" w:cs="Arial"/>
          <w:sz w:val="24"/>
          <w:szCs w:val="24"/>
        </w:rPr>
        <w:t xml:space="preserve">The applicant further took longer than a year since instituting the review proceedings to bring the </w:t>
      </w:r>
      <w:r w:rsidR="0025596A">
        <w:rPr>
          <w:rFonts w:ascii="Arial" w:hAnsi="Arial" w:cs="Arial"/>
          <w:i/>
          <w:sz w:val="24"/>
          <w:szCs w:val="24"/>
        </w:rPr>
        <w:t>pendente l</w:t>
      </w:r>
      <w:r w:rsidRPr="00EC1520">
        <w:rPr>
          <w:rFonts w:ascii="Arial" w:hAnsi="Arial" w:cs="Arial"/>
          <w:i/>
          <w:sz w:val="24"/>
          <w:szCs w:val="24"/>
        </w:rPr>
        <w:t>ite</w:t>
      </w:r>
      <w:r w:rsidRPr="00EC1520">
        <w:rPr>
          <w:rFonts w:ascii="Arial" w:hAnsi="Arial" w:cs="Arial"/>
          <w:sz w:val="24"/>
          <w:szCs w:val="24"/>
        </w:rPr>
        <w:t xml:space="preserve"> application.  Looking at the authorities which w</w:t>
      </w:r>
      <w:r w:rsidR="0025596A">
        <w:rPr>
          <w:rFonts w:ascii="Arial" w:hAnsi="Arial" w:cs="Arial"/>
          <w:sz w:val="24"/>
          <w:szCs w:val="24"/>
        </w:rPr>
        <w:t>ere c</w:t>
      </w:r>
      <w:r w:rsidRPr="00EC1520">
        <w:rPr>
          <w:rFonts w:ascii="Arial" w:hAnsi="Arial" w:cs="Arial"/>
          <w:sz w:val="24"/>
          <w:szCs w:val="24"/>
        </w:rPr>
        <w:t xml:space="preserve">ited, this application must be brought as soon as possible.  A year later is simply too long a period from bringing the review application to instituting the </w:t>
      </w:r>
      <w:r w:rsidR="0025596A">
        <w:rPr>
          <w:rFonts w:ascii="Arial" w:hAnsi="Arial" w:cs="Arial"/>
          <w:i/>
          <w:sz w:val="24"/>
          <w:szCs w:val="24"/>
        </w:rPr>
        <w:t>pendente l</w:t>
      </w:r>
      <w:r w:rsidRPr="00EC1520">
        <w:rPr>
          <w:rFonts w:ascii="Arial" w:hAnsi="Arial" w:cs="Arial"/>
          <w:i/>
          <w:sz w:val="24"/>
          <w:szCs w:val="24"/>
        </w:rPr>
        <w:t>ite</w:t>
      </w:r>
      <w:r w:rsidRPr="00EC1520">
        <w:rPr>
          <w:rFonts w:ascii="Arial" w:hAnsi="Arial" w:cs="Arial"/>
          <w:sz w:val="24"/>
          <w:szCs w:val="24"/>
        </w:rPr>
        <w:t xml:space="preserve"> application.  </w:t>
      </w:r>
      <w:r w:rsidR="0067482D" w:rsidRPr="00EC1520">
        <w:rPr>
          <w:rFonts w:ascii="Arial" w:hAnsi="Arial" w:cs="Arial"/>
          <w:sz w:val="24"/>
          <w:szCs w:val="24"/>
        </w:rPr>
        <w:t xml:space="preserve">There was further no explanation put before the court explaining the delay in bringing the said application and the court must conclude that as such, the application lacks bona fides.  To add to this, the court also took into account that the applicant knew since at least November 2021 that they were not successful but chose to only institute </w:t>
      </w:r>
      <w:r>
        <w:rPr>
          <w:rFonts w:ascii="Arial" w:hAnsi="Arial" w:cs="Arial"/>
          <w:sz w:val="24"/>
          <w:szCs w:val="24"/>
        </w:rPr>
        <w:t>review proceedings in June 2022.</w:t>
      </w:r>
    </w:p>
    <w:p w:rsidR="00EC1520" w:rsidRPr="00EC1520" w:rsidRDefault="00EC1520" w:rsidP="00EC1520">
      <w:pPr>
        <w:pStyle w:val="ListParagraph"/>
        <w:rPr>
          <w:rFonts w:ascii="Arial" w:hAnsi="Arial" w:cs="Arial"/>
          <w:sz w:val="24"/>
          <w:szCs w:val="24"/>
        </w:rPr>
      </w:pPr>
    </w:p>
    <w:p w:rsidR="00EC1520" w:rsidRDefault="005470FD" w:rsidP="008D4DD3">
      <w:pPr>
        <w:pStyle w:val="ListParagraph"/>
        <w:numPr>
          <w:ilvl w:val="0"/>
          <w:numId w:val="26"/>
        </w:numPr>
        <w:spacing w:after="0" w:line="360" w:lineRule="auto"/>
        <w:ind w:left="0" w:firstLine="0"/>
        <w:jc w:val="both"/>
        <w:rPr>
          <w:rFonts w:ascii="Arial" w:hAnsi="Arial" w:cs="Arial"/>
          <w:sz w:val="24"/>
          <w:szCs w:val="24"/>
        </w:rPr>
      </w:pPr>
      <w:r w:rsidRPr="00EC1520">
        <w:rPr>
          <w:rFonts w:ascii="Arial" w:hAnsi="Arial" w:cs="Arial"/>
          <w:sz w:val="24"/>
          <w:szCs w:val="24"/>
        </w:rPr>
        <w:t>T</w:t>
      </w:r>
      <w:r w:rsidR="0025596A">
        <w:rPr>
          <w:rFonts w:ascii="Arial" w:hAnsi="Arial" w:cs="Arial"/>
          <w:sz w:val="24"/>
          <w:szCs w:val="24"/>
        </w:rPr>
        <w:t xml:space="preserve">he most important consideration, </w:t>
      </w:r>
      <w:r w:rsidRPr="00EC1520">
        <w:rPr>
          <w:rFonts w:ascii="Arial" w:hAnsi="Arial" w:cs="Arial"/>
          <w:sz w:val="24"/>
          <w:szCs w:val="24"/>
        </w:rPr>
        <w:t>however</w:t>
      </w:r>
      <w:r w:rsidR="0025596A">
        <w:rPr>
          <w:rFonts w:ascii="Arial" w:hAnsi="Arial" w:cs="Arial"/>
          <w:sz w:val="24"/>
          <w:szCs w:val="24"/>
        </w:rPr>
        <w:t>,</w:t>
      </w:r>
      <w:r w:rsidRPr="00EC1520">
        <w:rPr>
          <w:rFonts w:ascii="Arial" w:hAnsi="Arial" w:cs="Arial"/>
          <w:sz w:val="24"/>
          <w:szCs w:val="24"/>
        </w:rPr>
        <w:t xml:space="preserve"> is that the Sibeya </w:t>
      </w:r>
      <w:r w:rsidR="0025596A">
        <w:rPr>
          <w:rFonts w:ascii="Arial" w:hAnsi="Arial" w:cs="Arial"/>
          <w:sz w:val="24"/>
          <w:szCs w:val="24"/>
        </w:rPr>
        <w:t>J judg</w:t>
      </w:r>
      <w:r w:rsidRPr="00EC1520">
        <w:rPr>
          <w:rFonts w:ascii="Arial" w:hAnsi="Arial" w:cs="Arial"/>
          <w:sz w:val="24"/>
          <w:szCs w:val="24"/>
        </w:rPr>
        <w:t xml:space="preserve">ment dealt with an almost similar application and the applicant appealed that outcome to the Supreme Court.  The matter is therefore currently under consideration at the Supreme Court as the arguments were already heard.  For this court to grant the </w:t>
      </w:r>
      <w:r w:rsidR="0025596A">
        <w:rPr>
          <w:rFonts w:ascii="Arial" w:hAnsi="Arial" w:cs="Arial"/>
          <w:i/>
          <w:sz w:val="24"/>
          <w:szCs w:val="24"/>
        </w:rPr>
        <w:t>Pendente L</w:t>
      </w:r>
      <w:r w:rsidRPr="00EC1520">
        <w:rPr>
          <w:rFonts w:ascii="Arial" w:hAnsi="Arial" w:cs="Arial"/>
          <w:i/>
          <w:sz w:val="24"/>
          <w:szCs w:val="24"/>
        </w:rPr>
        <w:t>ite</w:t>
      </w:r>
      <w:r w:rsidRPr="00EC1520">
        <w:rPr>
          <w:rFonts w:ascii="Arial" w:hAnsi="Arial" w:cs="Arial"/>
          <w:sz w:val="24"/>
          <w:szCs w:val="24"/>
        </w:rPr>
        <w:t xml:space="preserve"> application would result in the Supreme Court matter becoming an academic exercise and this court cannot simply shut its eyes to that. </w:t>
      </w:r>
    </w:p>
    <w:p w:rsidR="00EC1520" w:rsidRPr="00EC1520" w:rsidRDefault="00EC1520" w:rsidP="00EC1520">
      <w:pPr>
        <w:pStyle w:val="ListParagraph"/>
        <w:rPr>
          <w:rFonts w:ascii="Arial" w:hAnsi="Arial" w:cs="Arial"/>
          <w:sz w:val="24"/>
          <w:szCs w:val="24"/>
        </w:rPr>
      </w:pPr>
    </w:p>
    <w:p w:rsidR="00EC1520" w:rsidRDefault="005470FD" w:rsidP="008D4DD3">
      <w:pPr>
        <w:pStyle w:val="ListParagraph"/>
        <w:numPr>
          <w:ilvl w:val="0"/>
          <w:numId w:val="26"/>
        </w:numPr>
        <w:spacing w:after="0" w:line="360" w:lineRule="auto"/>
        <w:ind w:left="0" w:firstLine="0"/>
        <w:jc w:val="both"/>
        <w:rPr>
          <w:rFonts w:ascii="Arial" w:hAnsi="Arial" w:cs="Arial"/>
          <w:sz w:val="24"/>
          <w:szCs w:val="24"/>
        </w:rPr>
      </w:pPr>
      <w:r w:rsidRPr="00EC1520">
        <w:rPr>
          <w:rFonts w:ascii="Arial" w:hAnsi="Arial" w:cs="Arial"/>
          <w:sz w:val="24"/>
          <w:szCs w:val="24"/>
        </w:rPr>
        <w:t xml:space="preserve">As a result of the above reasons, the court dismiss the </w:t>
      </w:r>
      <w:r w:rsidR="0025596A">
        <w:rPr>
          <w:rFonts w:ascii="Arial" w:hAnsi="Arial" w:cs="Arial"/>
          <w:i/>
          <w:sz w:val="24"/>
          <w:szCs w:val="24"/>
        </w:rPr>
        <w:t>Pendente l</w:t>
      </w:r>
      <w:r w:rsidRPr="00EC1520">
        <w:rPr>
          <w:rFonts w:ascii="Arial" w:hAnsi="Arial" w:cs="Arial"/>
          <w:i/>
          <w:sz w:val="24"/>
          <w:szCs w:val="24"/>
        </w:rPr>
        <w:t>ite</w:t>
      </w:r>
      <w:r w:rsidRPr="00EC1520">
        <w:rPr>
          <w:rFonts w:ascii="Arial" w:hAnsi="Arial" w:cs="Arial"/>
          <w:sz w:val="24"/>
          <w:szCs w:val="24"/>
        </w:rPr>
        <w:t xml:space="preserve"> application with costs, such costs to include the costs of one instru</w:t>
      </w:r>
      <w:r>
        <w:rPr>
          <w:rFonts w:ascii="Arial" w:hAnsi="Arial" w:cs="Arial"/>
          <w:sz w:val="24"/>
          <w:szCs w:val="24"/>
        </w:rPr>
        <w:t>cting and two instructed counsel</w:t>
      </w:r>
      <w:r w:rsidRPr="00EC1520">
        <w:rPr>
          <w:rFonts w:ascii="Arial" w:hAnsi="Arial" w:cs="Arial"/>
          <w:sz w:val="24"/>
          <w:szCs w:val="24"/>
        </w:rPr>
        <w:t xml:space="preserve"> in the case o</w:t>
      </w:r>
      <w:r w:rsidR="00DA39A6" w:rsidRPr="00EC1520">
        <w:rPr>
          <w:rFonts w:ascii="Arial" w:hAnsi="Arial" w:cs="Arial"/>
          <w:sz w:val="24"/>
          <w:szCs w:val="24"/>
        </w:rPr>
        <w:t>f the first respondent and the costs of two legal practitioners in the case of the second respondent.</w:t>
      </w:r>
    </w:p>
    <w:p w:rsidR="00EC1520" w:rsidRPr="00EC1520" w:rsidRDefault="00EC1520" w:rsidP="00EC1520">
      <w:pPr>
        <w:pStyle w:val="ListParagraph"/>
        <w:rPr>
          <w:rFonts w:ascii="Arial" w:hAnsi="Arial" w:cs="Arial"/>
          <w:sz w:val="24"/>
          <w:szCs w:val="24"/>
        </w:rPr>
      </w:pPr>
    </w:p>
    <w:p w:rsidR="00DA39A6" w:rsidRPr="00EC1520" w:rsidRDefault="005470FD" w:rsidP="008D4DD3">
      <w:pPr>
        <w:pStyle w:val="ListParagraph"/>
        <w:numPr>
          <w:ilvl w:val="0"/>
          <w:numId w:val="26"/>
        </w:numPr>
        <w:spacing w:after="0" w:line="360" w:lineRule="auto"/>
        <w:ind w:left="0" w:firstLine="0"/>
        <w:jc w:val="both"/>
        <w:rPr>
          <w:rFonts w:ascii="Arial" w:hAnsi="Arial" w:cs="Arial"/>
          <w:sz w:val="24"/>
          <w:szCs w:val="24"/>
        </w:rPr>
      </w:pPr>
      <w:r w:rsidRPr="00EC1520">
        <w:rPr>
          <w:rFonts w:ascii="Arial" w:hAnsi="Arial" w:cs="Arial"/>
          <w:sz w:val="24"/>
          <w:szCs w:val="24"/>
        </w:rPr>
        <w:t>I, therefore, make the following orders</w:t>
      </w:r>
      <w:r w:rsidR="00EC1520" w:rsidRPr="00EC1520">
        <w:rPr>
          <w:rFonts w:ascii="Arial" w:hAnsi="Arial" w:cs="Arial"/>
          <w:sz w:val="24"/>
          <w:szCs w:val="24"/>
        </w:rPr>
        <w:t>:</w:t>
      </w:r>
    </w:p>
    <w:p w:rsidR="00EC1520" w:rsidRDefault="00EC1520" w:rsidP="008D4DD3">
      <w:pPr>
        <w:spacing w:after="0" w:line="360" w:lineRule="auto"/>
        <w:jc w:val="both"/>
        <w:rPr>
          <w:rFonts w:ascii="Arial" w:hAnsi="Arial" w:cs="Arial"/>
          <w:sz w:val="24"/>
          <w:szCs w:val="24"/>
        </w:rPr>
      </w:pPr>
    </w:p>
    <w:p w:rsidR="00DA39A6" w:rsidRDefault="005470FD" w:rsidP="008D4DD3">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application to supplement is hereby granted with each party to carry its own costs.</w:t>
      </w:r>
    </w:p>
    <w:p w:rsidR="00DA39A6" w:rsidRDefault="00DA39A6" w:rsidP="008D4DD3">
      <w:pPr>
        <w:spacing w:after="0" w:line="360" w:lineRule="auto"/>
        <w:jc w:val="both"/>
        <w:rPr>
          <w:rFonts w:ascii="Arial" w:hAnsi="Arial" w:cs="Arial"/>
          <w:sz w:val="24"/>
          <w:szCs w:val="24"/>
        </w:rPr>
      </w:pPr>
    </w:p>
    <w:p w:rsidR="00DA39A6" w:rsidRDefault="005470FD" w:rsidP="008D4DD3">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w:t>
      </w:r>
      <w:r w:rsidRPr="00C64133">
        <w:rPr>
          <w:rFonts w:ascii="Arial" w:hAnsi="Arial" w:cs="Arial"/>
          <w:i/>
          <w:sz w:val="24"/>
          <w:szCs w:val="24"/>
        </w:rPr>
        <w:t>pendente lite</w:t>
      </w:r>
      <w:r>
        <w:rPr>
          <w:rFonts w:ascii="Arial" w:hAnsi="Arial" w:cs="Arial"/>
          <w:sz w:val="24"/>
          <w:szCs w:val="24"/>
        </w:rPr>
        <w:t xml:space="preserve"> application is dismissed with costs, which costs shall include the costs of one instructed and two instructing counsel and</w:t>
      </w:r>
      <w:r w:rsidRPr="00DA39A6">
        <w:rPr>
          <w:rFonts w:ascii="Arial" w:hAnsi="Arial" w:cs="Arial"/>
          <w:sz w:val="24"/>
          <w:szCs w:val="24"/>
        </w:rPr>
        <w:t xml:space="preserve"> the costs of two legal practitioners in the case of the second respondent.</w:t>
      </w:r>
    </w:p>
    <w:p w:rsidR="00DA39A6" w:rsidRDefault="005470FD" w:rsidP="00DA39A6">
      <w:pPr>
        <w:tabs>
          <w:tab w:val="left" w:pos="6096"/>
        </w:tabs>
        <w:spacing w:after="0" w:line="360" w:lineRule="auto"/>
        <w:jc w:val="both"/>
        <w:rPr>
          <w:rFonts w:ascii="Arial" w:hAnsi="Arial" w:cs="Arial"/>
          <w:sz w:val="24"/>
          <w:szCs w:val="24"/>
        </w:rPr>
      </w:pPr>
      <w:r>
        <w:rPr>
          <w:rFonts w:ascii="Arial" w:hAnsi="Arial" w:cs="Arial"/>
          <w:sz w:val="24"/>
          <w:szCs w:val="24"/>
        </w:rPr>
        <w:tab/>
      </w:r>
    </w:p>
    <w:p w:rsidR="00DA39A6" w:rsidRDefault="005470FD" w:rsidP="008D4DD3">
      <w:pPr>
        <w:spacing w:after="0"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The review matter is postponed to 6 June 2023</w:t>
      </w:r>
      <w:r w:rsidR="00C64133">
        <w:rPr>
          <w:rFonts w:ascii="Arial" w:hAnsi="Arial" w:cs="Arial"/>
          <w:sz w:val="24"/>
          <w:szCs w:val="24"/>
        </w:rPr>
        <w:t xml:space="preserve"> at 15:30</w:t>
      </w:r>
      <w:r>
        <w:rPr>
          <w:rFonts w:ascii="Arial" w:hAnsi="Arial" w:cs="Arial"/>
          <w:sz w:val="24"/>
          <w:szCs w:val="24"/>
        </w:rPr>
        <w:t xml:space="preserve"> to allocate new dates for the filing of the supplementary affidavit as well as further </w:t>
      </w:r>
      <w:r w:rsidR="00EC1520">
        <w:rPr>
          <w:rFonts w:ascii="Arial" w:hAnsi="Arial" w:cs="Arial"/>
          <w:sz w:val="24"/>
          <w:szCs w:val="24"/>
        </w:rPr>
        <w:t xml:space="preserve">papers.  Parties to file a joint </w:t>
      </w:r>
      <w:r>
        <w:rPr>
          <w:rFonts w:ascii="Arial" w:hAnsi="Arial" w:cs="Arial"/>
          <w:sz w:val="24"/>
          <w:szCs w:val="24"/>
        </w:rPr>
        <w:t xml:space="preserve">status report </w:t>
      </w:r>
      <w:r w:rsidR="00C64133">
        <w:rPr>
          <w:rFonts w:ascii="Arial" w:hAnsi="Arial" w:cs="Arial"/>
          <w:sz w:val="24"/>
          <w:szCs w:val="24"/>
        </w:rPr>
        <w:t xml:space="preserve">on or before 1 June 2023 </w:t>
      </w:r>
      <w:r>
        <w:rPr>
          <w:rFonts w:ascii="Arial" w:hAnsi="Arial" w:cs="Arial"/>
          <w:sz w:val="24"/>
          <w:szCs w:val="24"/>
        </w:rPr>
        <w:t>setting out possible further filing dates.</w:t>
      </w:r>
    </w:p>
    <w:p w:rsidR="008D4DD3" w:rsidRDefault="008D4DD3" w:rsidP="008D4DD3">
      <w:pPr>
        <w:spacing w:after="0" w:line="360" w:lineRule="auto"/>
        <w:jc w:val="both"/>
        <w:rPr>
          <w:rFonts w:ascii="Arial" w:hAnsi="Arial" w:cs="Arial"/>
          <w:sz w:val="24"/>
          <w:szCs w:val="24"/>
        </w:rPr>
      </w:pPr>
    </w:p>
    <w:p w:rsidR="003E1782" w:rsidRDefault="003E1782" w:rsidP="003E1782">
      <w:pPr>
        <w:spacing w:after="0" w:line="360" w:lineRule="auto"/>
        <w:ind w:firstLine="720"/>
        <w:jc w:val="both"/>
        <w:rPr>
          <w:rFonts w:ascii="Arial" w:hAnsi="Arial" w:cs="Arial"/>
          <w:sz w:val="24"/>
          <w:szCs w:val="24"/>
        </w:rPr>
      </w:pPr>
    </w:p>
    <w:p w:rsidR="009517B3" w:rsidRPr="00D9070C" w:rsidRDefault="009517B3" w:rsidP="003E1782">
      <w:pPr>
        <w:spacing w:after="0" w:line="360" w:lineRule="auto"/>
        <w:ind w:firstLine="720"/>
        <w:jc w:val="both"/>
        <w:rPr>
          <w:rFonts w:ascii="Arial" w:hAnsi="Arial" w:cs="Arial"/>
          <w:sz w:val="24"/>
          <w:szCs w:val="24"/>
        </w:rPr>
      </w:pPr>
    </w:p>
    <w:p w:rsidR="00184C3A" w:rsidRPr="00D9070C" w:rsidRDefault="005470FD" w:rsidP="00184C3A">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5470FD" w:rsidP="00184C3A">
      <w:pPr>
        <w:spacing w:after="0" w:line="360" w:lineRule="auto"/>
        <w:jc w:val="right"/>
        <w:rPr>
          <w:rFonts w:ascii="Arial" w:hAnsi="Arial" w:cs="Arial"/>
          <w:sz w:val="24"/>
          <w:szCs w:val="24"/>
        </w:rPr>
      </w:pPr>
      <w:r>
        <w:rPr>
          <w:rFonts w:ascii="Arial" w:hAnsi="Arial" w:cs="Arial"/>
          <w:sz w:val="24"/>
          <w:szCs w:val="24"/>
        </w:rPr>
        <w:t>E  RAKOW</w:t>
      </w:r>
    </w:p>
    <w:p w:rsidR="00184C3A" w:rsidRDefault="005470FD" w:rsidP="00184C3A">
      <w:pPr>
        <w:spacing w:after="0" w:line="360" w:lineRule="auto"/>
        <w:jc w:val="right"/>
        <w:rPr>
          <w:rFonts w:ascii="Arial" w:hAnsi="Arial" w:cs="Arial"/>
          <w:sz w:val="24"/>
          <w:szCs w:val="24"/>
        </w:rPr>
      </w:pPr>
      <w:r w:rsidRPr="00D9070C">
        <w:rPr>
          <w:rFonts w:ascii="Arial" w:hAnsi="Arial" w:cs="Arial"/>
          <w:sz w:val="24"/>
          <w:szCs w:val="24"/>
        </w:rPr>
        <w:t>Judge</w:t>
      </w:r>
    </w:p>
    <w:p w:rsidR="00EC1520" w:rsidRDefault="00EC1520" w:rsidP="00184C3A">
      <w:pPr>
        <w:spacing w:after="0" w:line="360" w:lineRule="auto"/>
        <w:jc w:val="right"/>
        <w:rPr>
          <w:rFonts w:ascii="Arial" w:hAnsi="Arial" w:cs="Arial"/>
          <w:sz w:val="24"/>
          <w:szCs w:val="24"/>
        </w:rPr>
      </w:pPr>
    </w:p>
    <w:p w:rsidR="00EC1520" w:rsidRDefault="00EC1520" w:rsidP="00184C3A">
      <w:pPr>
        <w:spacing w:after="0" w:line="360" w:lineRule="auto"/>
        <w:jc w:val="right"/>
        <w:rPr>
          <w:rFonts w:ascii="Arial" w:hAnsi="Arial" w:cs="Arial"/>
          <w:sz w:val="24"/>
          <w:szCs w:val="24"/>
        </w:rPr>
      </w:pPr>
    </w:p>
    <w:p w:rsidR="00EC1520" w:rsidRDefault="00EC1520" w:rsidP="00184C3A">
      <w:pPr>
        <w:spacing w:after="0" w:line="360" w:lineRule="auto"/>
        <w:jc w:val="right"/>
        <w:rPr>
          <w:rFonts w:ascii="Arial" w:hAnsi="Arial" w:cs="Arial"/>
          <w:sz w:val="24"/>
          <w:szCs w:val="24"/>
        </w:rPr>
      </w:pPr>
    </w:p>
    <w:p w:rsidR="00EC1520" w:rsidRDefault="00EC1520" w:rsidP="00184C3A">
      <w:pPr>
        <w:spacing w:after="0" w:line="360" w:lineRule="auto"/>
        <w:jc w:val="right"/>
        <w:rPr>
          <w:rFonts w:ascii="Arial" w:hAnsi="Arial" w:cs="Arial"/>
          <w:sz w:val="24"/>
          <w:szCs w:val="24"/>
        </w:rPr>
      </w:pPr>
    </w:p>
    <w:p w:rsidR="00EC1520" w:rsidRDefault="00EC1520" w:rsidP="00184C3A">
      <w:pPr>
        <w:spacing w:after="0" w:line="360" w:lineRule="auto"/>
        <w:jc w:val="right"/>
        <w:rPr>
          <w:rFonts w:ascii="Arial" w:hAnsi="Arial" w:cs="Arial"/>
          <w:sz w:val="24"/>
          <w:szCs w:val="24"/>
        </w:rPr>
      </w:pPr>
    </w:p>
    <w:p w:rsidR="00EC1520" w:rsidRDefault="00EC1520" w:rsidP="009E4AE0">
      <w:pPr>
        <w:spacing w:after="0" w:line="360" w:lineRule="auto"/>
        <w:rPr>
          <w:rFonts w:ascii="Arial" w:hAnsi="Arial" w:cs="Arial"/>
          <w:sz w:val="24"/>
          <w:szCs w:val="24"/>
        </w:rPr>
      </w:pPr>
    </w:p>
    <w:p w:rsidR="009E4AE0" w:rsidRDefault="009E4AE0" w:rsidP="009E4AE0">
      <w:pPr>
        <w:spacing w:after="0" w:line="360" w:lineRule="auto"/>
        <w:rPr>
          <w:rFonts w:ascii="Arial" w:hAnsi="Arial" w:cs="Arial"/>
          <w:sz w:val="24"/>
          <w:szCs w:val="24"/>
        </w:rPr>
      </w:pPr>
    </w:p>
    <w:p w:rsidR="00184C3A" w:rsidRDefault="00184C3A"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9517B3" w:rsidRDefault="009517B3" w:rsidP="00184C3A">
      <w:pPr>
        <w:autoSpaceDE w:val="0"/>
        <w:autoSpaceDN w:val="0"/>
        <w:adjustRightInd w:val="0"/>
        <w:spacing w:after="0" w:line="360" w:lineRule="auto"/>
        <w:jc w:val="both"/>
        <w:rPr>
          <w:rFonts w:ascii="Arial" w:hAnsi="Arial" w:cs="Arial"/>
          <w:sz w:val="24"/>
          <w:szCs w:val="24"/>
        </w:rPr>
      </w:pPr>
    </w:p>
    <w:p w:rsidR="00EC1520" w:rsidRPr="00D9070C" w:rsidRDefault="00EC1520" w:rsidP="00184C3A">
      <w:pPr>
        <w:autoSpaceDE w:val="0"/>
        <w:autoSpaceDN w:val="0"/>
        <w:adjustRightInd w:val="0"/>
        <w:spacing w:after="0" w:line="360" w:lineRule="auto"/>
        <w:jc w:val="both"/>
        <w:rPr>
          <w:rFonts w:ascii="Arial" w:eastAsia="Times New Roman" w:hAnsi="Arial" w:cs="Arial"/>
          <w:sz w:val="24"/>
          <w:szCs w:val="24"/>
          <w:lang w:val="en-GB"/>
        </w:rPr>
      </w:pPr>
    </w:p>
    <w:p w:rsidR="00184C3A" w:rsidRDefault="005470FD" w:rsidP="00184C3A">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APPEARANCES</w:t>
      </w:r>
    </w:p>
    <w:p w:rsidR="00EE3E01" w:rsidRDefault="00EE3E01" w:rsidP="00184C3A">
      <w:pPr>
        <w:autoSpaceDE w:val="0"/>
        <w:autoSpaceDN w:val="0"/>
        <w:adjustRightInd w:val="0"/>
        <w:spacing w:after="0" w:line="360" w:lineRule="auto"/>
        <w:jc w:val="both"/>
        <w:rPr>
          <w:rFonts w:ascii="Arial" w:eastAsia="Times New Roman" w:hAnsi="Arial" w:cs="Arial"/>
          <w:sz w:val="24"/>
          <w:szCs w:val="24"/>
          <w:lang w:val="en-GB"/>
        </w:rPr>
      </w:pPr>
    </w:p>
    <w:p w:rsidR="00EE3E01" w:rsidRDefault="00EE3E01" w:rsidP="00184C3A">
      <w:pPr>
        <w:autoSpaceDE w:val="0"/>
        <w:autoSpaceDN w:val="0"/>
        <w:adjustRightInd w:val="0"/>
        <w:spacing w:after="0" w:line="360" w:lineRule="auto"/>
        <w:jc w:val="both"/>
        <w:rPr>
          <w:rFonts w:ascii="Arial" w:eastAsia="Times New Roman" w:hAnsi="Arial" w:cs="Arial"/>
          <w:sz w:val="24"/>
          <w:szCs w:val="24"/>
          <w:lang w:val="en-GB"/>
        </w:rPr>
      </w:pPr>
    </w:p>
    <w:p w:rsidR="00EE3E01" w:rsidRPr="007A0586" w:rsidRDefault="005470FD" w:rsidP="00184C3A">
      <w:pPr>
        <w:autoSpaceDE w:val="0"/>
        <w:autoSpaceDN w:val="0"/>
        <w:adjustRightInd w:val="0"/>
        <w:spacing w:after="0" w:line="360" w:lineRule="auto"/>
        <w:jc w:val="both"/>
        <w:rPr>
          <w:rFonts w:ascii="Arial" w:hAnsi="Arial" w:cs="Arial"/>
          <w:sz w:val="24"/>
          <w:szCs w:val="24"/>
        </w:rPr>
      </w:pPr>
      <w:r w:rsidRPr="007A0586">
        <w:rPr>
          <w:rFonts w:ascii="Arial" w:eastAsia="Times New Roman" w:hAnsi="Arial" w:cs="Arial"/>
          <w:sz w:val="24"/>
          <w:szCs w:val="24"/>
          <w:lang w:val="en-GB"/>
        </w:rPr>
        <w:t>Applicant:</w:t>
      </w:r>
      <w:r w:rsidRPr="007A0586">
        <w:rPr>
          <w:rFonts w:ascii="Arial" w:eastAsia="Times New Roman" w:hAnsi="Arial" w:cs="Arial"/>
          <w:sz w:val="24"/>
          <w:szCs w:val="24"/>
          <w:lang w:val="en-GB"/>
        </w:rPr>
        <w:tab/>
      </w:r>
      <w:r w:rsidRPr="007A0586">
        <w:rPr>
          <w:rFonts w:ascii="Arial" w:eastAsia="Times New Roman" w:hAnsi="Arial" w:cs="Arial"/>
          <w:sz w:val="24"/>
          <w:szCs w:val="24"/>
          <w:lang w:val="en-GB"/>
        </w:rPr>
        <w:tab/>
      </w:r>
      <w:r w:rsidRPr="007A0586">
        <w:rPr>
          <w:rFonts w:ascii="Arial" w:eastAsia="Times New Roman" w:hAnsi="Arial" w:cs="Arial"/>
          <w:sz w:val="24"/>
          <w:szCs w:val="24"/>
          <w:lang w:val="en-GB"/>
        </w:rPr>
        <w:tab/>
      </w:r>
      <w:r w:rsidRPr="007A0586">
        <w:rPr>
          <w:rFonts w:ascii="Arial" w:eastAsia="Times New Roman" w:hAnsi="Arial" w:cs="Arial"/>
          <w:sz w:val="24"/>
          <w:szCs w:val="24"/>
          <w:lang w:val="en-GB"/>
        </w:rPr>
        <w:tab/>
      </w:r>
      <w:r w:rsidRPr="007A0586">
        <w:rPr>
          <w:rFonts w:ascii="Arial" w:eastAsia="Times New Roman" w:hAnsi="Arial" w:cs="Arial"/>
          <w:sz w:val="24"/>
          <w:szCs w:val="24"/>
          <w:lang w:val="en-GB"/>
        </w:rPr>
        <w:tab/>
      </w:r>
      <w:r w:rsidR="007A0586" w:rsidRPr="007A0586">
        <w:rPr>
          <w:rFonts w:ascii="Arial" w:hAnsi="Arial" w:cs="Arial"/>
          <w:sz w:val="24"/>
          <w:szCs w:val="24"/>
        </w:rPr>
        <w:t xml:space="preserve">R </w:t>
      </w:r>
      <w:r w:rsidRPr="007A0586">
        <w:rPr>
          <w:rFonts w:ascii="Arial" w:hAnsi="Arial" w:cs="Arial"/>
          <w:sz w:val="24"/>
          <w:szCs w:val="24"/>
        </w:rPr>
        <w:t>H</w:t>
      </w:r>
      <w:r w:rsidR="007A0586" w:rsidRPr="007A0586">
        <w:rPr>
          <w:rFonts w:ascii="Arial" w:hAnsi="Arial" w:cs="Arial"/>
          <w:sz w:val="24"/>
          <w:szCs w:val="24"/>
        </w:rPr>
        <w:t xml:space="preserve">eathcote </w:t>
      </w:r>
      <w:r w:rsidR="009E4AE0">
        <w:rPr>
          <w:rFonts w:ascii="Arial" w:hAnsi="Arial" w:cs="Arial"/>
          <w:sz w:val="24"/>
          <w:szCs w:val="24"/>
        </w:rPr>
        <w:t xml:space="preserve">SC </w:t>
      </w:r>
      <w:r w:rsidR="007A0586" w:rsidRPr="007A0586">
        <w:rPr>
          <w:rFonts w:ascii="Arial" w:hAnsi="Arial" w:cs="Arial"/>
          <w:sz w:val="24"/>
          <w:szCs w:val="24"/>
        </w:rPr>
        <w:t xml:space="preserve">with JP </w:t>
      </w:r>
      <w:r w:rsidRPr="007A0586">
        <w:rPr>
          <w:rFonts w:ascii="Arial" w:hAnsi="Arial" w:cs="Arial"/>
          <w:sz w:val="24"/>
          <w:szCs w:val="24"/>
        </w:rPr>
        <w:t>J</w:t>
      </w:r>
      <w:r w:rsidR="007A0586" w:rsidRPr="007A0586">
        <w:rPr>
          <w:rFonts w:ascii="Arial" w:hAnsi="Arial" w:cs="Arial"/>
          <w:sz w:val="24"/>
          <w:szCs w:val="24"/>
        </w:rPr>
        <w:t>ones</w:t>
      </w:r>
      <w:r w:rsidRPr="007A0586">
        <w:rPr>
          <w:rFonts w:ascii="Arial" w:hAnsi="Arial" w:cs="Arial"/>
          <w:sz w:val="24"/>
          <w:szCs w:val="24"/>
        </w:rPr>
        <w:t>,</w:t>
      </w:r>
    </w:p>
    <w:p w:rsidR="007A0586" w:rsidRPr="007A0586" w:rsidRDefault="005470FD" w:rsidP="00184C3A">
      <w:pPr>
        <w:autoSpaceDE w:val="0"/>
        <w:autoSpaceDN w:val="0"/>
        <w:adjustRightInd w:val="0"/>
        <w:spacing w:after="0" w:line="360" w:lineRule="auto"/>
        <w:jc w:val="both"/>
        <w:rPr>
          <w:rFonts w:ascii="Arial" w:hAnsi="Arial" w:cs="Arial"/>
          <w:sz w:val="24"/>
          <w:szCs w:val="24"/>
        </w:rPr>
      </w:pPr>
      <w:r w:rsidRPr="007A0586">
        <w:rPr>
          <w:rFonts w:ascii="Arial" w:hAnsi="Arial" w:cs="Arial"/>
          <w:sz w:val="24"/>
          <w:szCs w:val="24"/>
        </w:rPr>
        <w:tab/>
      </w:r>
      <w:r w:rsidRPr="007A0586">
        <w:rPr>
          <w:rFonts w:ascii="Arial" w:hAnsi="Arial" w:cs="Arial"/>
          <w:sz w:val="24"/>
          <w:szCs w:val="24"/>
        </w:rPr>
        <w:tab/>
      </w:r>
      <w:r w:rsidRPr="007A0586">
        <w:rPr>
          <w:rFonts w:ascii="Arial" w:hAnsi="Arial" w:cs="Arial"/>
          <w:sz w:val="24"/>
          <w:szCs w:val="24"/>
        </w:rPr>
        <w:tab/>
      </w:r>
      <w:r w:rsidRPr="007A0586">
        <w:rPr>
          <w:rFonts w:ascii="Arial" w:hAnsi="Arial" w:cs="Arial"/>
          <w:sz w:val="24"/>
          <w:szCs w:val="24"/>
        </w:rPr>
        <w:tab/>
      </w:r>
      <w:r w:rsidRPr="007A0586">
        <w:rPr>
          <w:rFonts w:ascii="Arial" w:hAnsi="Arial" w:cs="Arial"/>
          <w:sz w:val="24"/>
          <w:szCs w:val="24"/>
        </w:rPr>
        <w:tab/>
      </w:r>
      <w:r w:rsidRPr="007A0586">
        <w:rPr>
          <w:rFonts w:ascii="Arial" w:hAnsi="Arial" w:cs="Arial"/>
          <w:sz w:val="24"/>
          <w:szCs w:val="24"/>
        </w:rPr>
        <w:tab/>
      </w:r>
      <w:r w:rsidR="00DC6BD2">
        <w:rPr>
          <w:rFonts w:ascii="Arial" w:hAnsi="Arial" w:cs="Arial"/>
          <w:sz w:val="24"/>
          <w:szCs w:val="24"/>
        </w:rPr>
        <w:t>Instructed</w:t>
      </w:r>
      <w:r>
        <w:rPr>
          <w:rFonts w:ascii="Arial" w:hAnsi="Arial" w:cs="Arial"/>
          <w:sz w:val="24"/>
          <w:szCs w:val="24"/>
        </w:rPr>
        <w:t xml:space="preserve"> by</w:t>
      </w:r>
      <w:r w:rsidRPr="007A0586">
        <w:rPr>
          <w:rFonts w:ascii="Arial" w:hAnsi="Arial" w:cs="Arial"/>
          <w:sz w:val="24"/>
          <w:szCs w:val="24"/>
        </w:rPr>
        <w:t xml:space="preserve"> Viljoen &amp; Associates, </w:t>
      </w:r>
    </w:p>
    <w:p w:rsidR="007A0586" w:rsidRDefault="005470FD" w:rsidP="007A0586">
      <w:pPr>
        <w:autoSpaceDE w:val="0"/>
        <w:autoSpaceDN w:val="0"/>
        <w:adjustRightInd w:val="0"/>
        <w:spacing w:after="0" w:line="360" w:lineRule="auto"/>
        <w:ind w:left="3600" w:firstLine="720"/>
        <w:jc w:val="both"/>
        <w:rPr>
          <w:rFonts w:ascii="Arial" w:hAnsi="Arial" w:cs="Arial"/>
          <w:sz w:val="24"/>
          <w:szCs w:val="24"/>
        </w:rPr>
      </w:pPr>
      <w:r w:rsidRPr="007A0586">
        <w:rPr>
          <w:rFonts w:ascii="Arial" w:hAnsi="Arial" w:cs="Arial"/>
          <w:sz w:val="24"/>
          <w:szCs w:val="24"/>
        </w:rPr>
        <w:t>Windhoek</w:t>
      </w:r>
    </w:p>
    <w:p w:rsidR="007A0586" w:rsidRPr="007A0586" w:rsidRDefault="007A0586" w:rsidP="007A0586">
      <w:pPr>
        <w:autoSpaceDE w:val="0"/>
        <w:autoSpaceDN w:val="0"/>
        <w:adjustRightInd w:val="0"/>
        <w:spacing w:after="0" w:line="360" w:lineRule="auto"/>
        <w:ind w:left="3600" w:firstLine="720"/>
        <w:jc w:val="both"/>
        <w:rPr>
          <w:rFonts w:ascii="Arial" w:hAnsi="Arial" w:cs="Arial"/>
          <w:sz w:val="24"/>
          <w:szCs w:val="24"/>
        </w:rPr>
      </w:pPr>
    </w:p>
    <w:p w:rsidR="007A0586" w:rsidRDefault="005470FD" w:rsidP="007A0586">
      <w:pPr>
        <w:autoSpaceDE w:val="0"/>
        <w:autoSpaceDN w:val="0"/>
        <w:adjustRightInd w:val="0"/>
        <w:spacing w:after="0" w:line="360" w:lineRule="auto"/>
        <w:jc w:val="both"/>
        <w:rPr>
          <w:rFonts w:ascii="Arial" w:hAnsi="Arial" w:cs="Arial"/>
          <w:sz w:val="24"/>
          <w:szCs w:val="24"/>
        </w:rPr>
      </w:pPr>
      <w:r w:rsidRPr="007A0586">
        <w:rPr>
          <w:rFonts w:ascii="Arial" w:hAnsi="Arial" w:cs="Arial"/>
          <w:sz w:val="24"/>
          <w:szCs w:val="24"/>
        </w:rPr>
        <w:t>First respondent:</w:t>
      </w:r>
      <w:r w:rsidRPr="007A0586">
        <w:rPr>
          <w:rFonts w:ascii="Arial" w:hAnsi="Arial" w:cs="Arial"/>
          <w:sz w:val="24"/>
          <w:szCs w:val="24"/>
        </w:rPr>
        <w:tab/>
      </w:r>
      <w:r w:rsidRPr="007A0586">
        <w:rPr>
          <w:rFonts w:ascii="Arial" w:hAnsi="Arial" w:cs="Arial"/>
          <w:sz w:val="24"/>
          <w:szCs w:val="24"/>
        </w:rPr>
        <w:tab/>
      </w:r>
      <w:r w:rsidRPr="007A0586">
        <w:rPr>
          <w:rFonts w:ascii="Arial" w:hAnsi="Arial" w:cs="Arial"/>
          <w:sz w:val="24"/>
          <w:szCs w:val="24"/>
        </w:rPr>
        <w:tab/>
      </w:r>
      <w:r w:rsidRPr="007A0586">
        <w:rPr>
          <w:rFonts w:ascii="Arial" w:hAnsi="Arial" w:cs="Arial"/>
          <w:sz w:val="24"/>
          <w:szCs w:val="24"/>
        </w:rPr>
        <w:tab/>
        <w:t xml:space="preserve">J Gauntlett </w:t>
      </w:r>
      <w:r w:rsidR="009E4AE0">
        <w:rPr>
          <w:rFonts w:ascii="Arial" w:hAnsi="Arial" w:cs="Arial"/>
          <w:sz w:val="24"/>
          <w:szCs w:val="24"/>
        </w:rPr>
        <w:t xml:space="preserve">SC </w:t>
      </w:r>
      <w:r w:rsidRPr="007A0586">
        <w:rPr>
          <w:rFonts w:ascii="Arial" w:hAnsi="Arial" w:cs="Arial"/>
          <w:sz w:val="24"/>
          <w:szCs w:val="24"/>
        </w:rPr>
        <w:t>with AT Hengari</w:t>
      </w:r>
    </w:p>
    <w:p w:rsidR="007A0586" w:rsidRDefault="005470FD" w:rsidP="007A058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w:t>
      </w:r>
      <w:r w:rsidRPr="007A0586">
        <w:rPr>
          <w:rFonts w:ascii="Arial" w:hAnsi="Arial" w:cs="Arial"/>
          <w:sz w:val="24"/>
          <w:szCs w:val="24"/>
        </w:rPr>
        <w:t>Shikongo Law Chambers</w:t>
      </w:r>
      <w:r>
        <w:rPr>
          <w:rFonts w:ascii="Arial" w:hAnsi="Arial" w:cs="Arial"/>
          <w:sz w:val="24"/>
          <w:szCs w:val="24"/>
        </w:rPr>
        <w:t>,</w:t>
      </w:r>
    </w:p>
    <w:p w:rsidR="007A0586" w:rsidRDefault="005470FD" w:rsidP="007A058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7A0586" w:rsidRPr="007A0586" w:rsidRDefault="007A0586" w:rsidP="007A0586">
      <w:pPr>
        <w:autoSpaceDE w:val="0"/>
        <w:autoSpaceDN w:val="0"/>
        <w:adjustRightInd w:val="0"/>
        <w:spacing w:after="0" w:line="360" w:lineRule="auto"/>
        <w:jc w:val="both"/>
        <w:rPr>
          <w:rFonts w:ascii="Arial" w:hAnsi="Arial" w:cs="Arial"/>
          <w:sz w:val="24"/>
          <w:szCs w:val="24"/>
        </w:rPr>
      </w:pPr>
    </w:p>
    <w:p w:rsidR="007A0586" w:rsidRPr="007A0586" w:rsidRDefault="005470FD" w:rsidP="007A0586">
      <w:pPr>
        <w:autoSpaceDE w:val="0"/>
        <w:autoSpaceDN w:val="0"/>
        <w:adjustRightInd w:val="0"/>
        <w:spacing w:after="0" w:line="360" w:lineRule="auto"/>
        <w:jc w:val="both"/>
        <w:rPr>
          <w:rFonts w:ascii="Arial" w:hAnsi="Arial" w:cs="Arial"/>
          <w:sz w:val="24"/>
          <w:szCs w:val="24"/>
        </w:rPr>
      </w:pPr>
      <w:r w:rsidRPr="007A0586">
        <w:rPr>
          <w:rFonts w:ascii="Arial" w:hAnsi="Arial" w:cs="Arial"/>
          <w:sz w:val="24"/>
          <w:szCs w:val="24"/>
        </w:rPr>
        <w:t>Second respondent:</w:t>
      </w:r>
      <w:r w:rsidRPr="007A0586">
        <w:rPr>
          <w:rFonts w:ascii="Arial" w:hAnsi="Arial" w:cs="Arial"/>
          <w:sz w:val="24"/>
          <w:szCs w:val="24"/>
        </w:rPr>
        <w:tab/>
      </w:r>
      <w:r w:rsidRPr="007A0586">
        <w:rPr>
          <w:rFonts w:ascii="Arial" w:hAnsi="Arial" w:cs="Arial"/>
          <w:sz w:val="24"/>
          <w:szCs w:val="24"/>
        </w:rPr>
        <w:tab/>
      </w:r>
      <w:r w:rsidRPr="007A0586">
        <w:rPr>
          <w:rFonts w:ascii="Arial" w:hAnsi="Arial" w:cs="Arial"/>
          <w:sz w:val="24"/>
          <w:szCs w:val="24"/>
        </w:rPr>
        <w:tab/>
      </w:r>
      <w:r w:rsidRPr="007A0586">
        <w:rPr>
          <w:rFonts w:ascii="Arial" w:hAnsi="Arial" w:cs="Arial"/>
          <w:sz w:val="24"/>
          <w:szCs w:val="24"/>
        </w:rPr>
        <w:tab/>
        <w:t xml:space="preserve">S Namandje with </w:t>
      </w:r>
      <w:r w:rsidR="00F434E0">
        <w:rPr>
          <w:rFonts w:ascii="Arial" w:hAnsi="Arial" w:cs="Arial"/>
          <w:sz w:val="24"/>
          <w:szCs w:val="24"/>
        </w:rPr>
        <w:t xml:space="preserve">J </w:t>
      </w:r>
      <w:r w:rsidRPr="007A0586">
        <w:rPr>
          <w:rFonts w:ascii="Arial" w:hAnsi="Arial" w:cs="Arial"/>
          <w:sz w:val="24"/>
          <w:szCs w:val="24"/>
        </w:rPr>
        <w:t>Arnols</w:t>
      </w:r>
    </w:p>
    <w:p w:rsidR="007A0586" w:rsidRDefault="005470FD" w:rsidP="007A0586">
      <w:pPr>
        <w:autoSpaceDE w:val="0"/>
        <w:autoSpaceDN w:val="0"/>
        <w:adjustRightInd w:val="0"/>
        <w:spacing w:after="0" w:line="360" w:lineRule="auto"/>
        <w:jc w:val="both"/>
        <w:rPr>
          <w:rFonts w:ascii="Arial" w:hAnsi="Arial" w:cs="Arial"/>
          <w:sz w:val="24"/>
          <w:szCs w:val="24"/>
        </w:rPr>
      </w:pPr>
      <w:r w:rsidRPr="007A0586">
        <w:rPr>
          <w:rFonts w:ascii="Arial" w:hAnsi="Arial" w:cs="Arial"/>
          <w:sz w:val="24"/>
          <w:szCs w:val="24"/>
        </w:rPr>
        <w:tab/>
      </w:r>
      <w:r w:rsidRPr="007A0586">
        <w:rPr>
          <w:rFonts w:ascii="Arial" w:hAnsi="Arial" w:cs="Arial"/>
          <w:sz w:val="24"/>
          <w:szCs w:val="24"/>
        </w:rPr>
        <w:tab/>
      </w:r>
      <w:r w:rsidRPr="007A0586">
        <w:rPr>
          <w:rFonts w:ascii="Arial" w:hAnsi="Arial" w:cs="Arial"/>
          <w:sz w:val="24"/>
          <w:szCs w:val="24"/>
        </w:rPr>
        <w:tab/>
      </w:r>
      <w:r w:rsidRPr="007A0586">
        <w:rPr>
          <w:rFonts w:ascii="Arial" w:hAnsi="Arial" w:cs="Arial"/>
          <w:sz w:val="24"/>
          <w:szCs w:val="24"/>
        </w:rPr>
        <w:tab/>
      </w:r>
      <w:r w:rsidRPr="007A0586">
        <w:rPr>
          <w:rFonts w:ascii="Arial" w:hAnsi="Arial" w:cs="Arial"/>
          <w:sz w:val="24"/>
          <w:szCs w:val="24"/>
        </w:rPr>
        <w:tab/>
      </w:r>
      <w:r w:rsidRPr="007A0586">
        <w:rPr>
          <w:rFonts w:ascii="Arial" w:hAnsi="Arial" w:cs="Arial"/>
          <w:sz w:val="24"/>
          <w:szCs w:val="24"/>
        </w:rPr>
        <w:tab/>
        <w:t>Of Sisa Namandje &amp; Co.</w:t>
      </w:r>
      <w:r>
        <w:rPr>
          <w:rFonts w:ascii="Arial" w:hAnsi="Arial" w:cs="Arial"/>
          <w:sz w:val="24"/>
          <w:szCs w:val="24"/>
        </w:rPr>
        <w:t xml:space="preserve"> Inc., Windhoek</w:t>
      </w:r>
    </w:p>
    <w:p w:rsidR="007A0586" w:rsidRPr="007A0586" w:rsidRDefault="007A0586" w:rsidP="007A0586">
      <w:pPr>
        <w:autoSpaceDE w:val="0"/>
        <w:autoSpaceDN w:val="0"/>
        <w:adjustRightInd w:val="0"/>
        <w:spacing w:after="0" w:line="360" w:lineRule="auto"/>
        <w:jc w:val="both"/>
        <w:rPr>
          <w:rFonts w:ascii="Arial" w:hAnsi="Arial" w:cs="Arial"/>
          <w:sz w:val="24"/>
          <w:szCs w:val="24"/>
        </w:rPr>
      </w:pPr>
    </w:p>
    <w:p w:rsidR="007A0586" w:rsidRDefault="007A0586" w:rsidP="007A0586">
      <w:pPr>
        <w:autoSpaceDE w:val="0"/>
        <w:autoSpaceDN w:val="0"/>
        <w:adjustRightInd w:val="0"/>
        <w:spacing w:after="0" w:line="360" w:lineRule="auto"/>
        <w:jc w:val="both"/>
      </w:pPr>
    </w:p>
    <w:p w:rsidR="007A0586" w:rsidRDefault="007A0586" w:rsidP="007A0586">
      <w:pPr>
        <w:autoSpaceDE w:val="0"/>
        <w:autoSpaceDN w:val="0"/>
        <w:adjustRightInd w:val="0"/>
        <w:spacing w:after="0" w:line="360" w:lineRule="auto"/>
        <w:ind w:left="3600" w:firstLine="720"/>
        <w:jc w:val="both"/>
      </w:pPr>
    </w:p>
    <w:p w:rsidR="007A0586" w:rsidRPr="00D9070C" w:rsidRDefault="007A0586" w:rsidP="007A0586">
      <w:pPr>
        <w:autoSpaceDE w:val="0"/>
        <w:autoSpaceDN w:val="0"/>
        <w:adjustRightInd w:val="0"/>
        <w:spacing w:after="0" w:line="360" w:lineRule="auto"/>
        <w:jc w:val="both"/>
        <w:rPr>
          <w:rFonts w:ascii="Arial" w:eastAsia="Times New Roman" w:hAnsi="Arial" w:cs="Arial"/>
          <w:sz w:val="24"/>
          <w:szCs w:val="24"/>
          <w:lang w:val="en-GB"/>
        </w:rPr>
      </w:pPr>
    </w:p>
    <w:p w:rsidR="00184C3A" w:rsidRPr="00D9070C" w:rsidRDefault="00184C3A" w:rsidP="00184C3A">
      <w:pPr>
        <w:tabs>
          <w:tab w:val="left" w:pos="1394"/>
          <w:tab w:val="left" w:pos="2528"/>
          <w:tab w:val="left" w:pos="3780"/>
        </w:tabs>
        <w:spacing w:after="0" w:line="360" w:lineRule="auto"/>
        <w:jc w:val="both"/>
        <w:rPr>
          <w:rFonts w:ascii="Arial" w:hAnsi="Arial" w:cs="Arial"/>
          <w:sz w:val="24"/>
          <w:szCs w:val="24"/>
        </w:rPr>
      </w:pPr>
    </w:p>
    <w:p w:rsidR="006C3AF0" w:rsidRDefault="006C3AF0" w:rsidP="00392656">
      <w:pPr>
        <w:autoSpaceDE w:val="0"/>
        <w:autoSpaceDN w:val="0"/>
        <w:adjustRightInd w:val="0"/>
        <w:spacing w:after="0" w:line="360" w:lineRule="auto"/>
        <w:ind w:left="1418"/>
        <w:jc w:val="both"/>
        <w:rPr>
          <w:rFonts w:ascii="Arial" w:hAnsi="Arial" w:cs="Arial"/>
          <w:sz w:val="24"/>
          <w:szCs w:val="24"/>
        </w:rPr>
      </w:pPr>
    </w:p>
    <w:sectPr w:rsidR="006C3AF0" w:rsidSect="009517B3">
      <w:headerReference w:type="default" r:id="rId12"/>
      <w:pgSz w:w="11907" w:h="16839" w:code="9"/>
      <w:pgMar w:top="1276" w:right="1275" w:bottom="993"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A7" w:rsidRDefault="005049A7">
      <w:pPr>
        <w:spacing w:after="0" w:line="240" w:lineRule="auto"/>
      </w:pPr>
      <w:r>
        <w:separator/>
      </w:r>
    </w:p>
  </w:endnote>
  <w:endnote w:type="continuationSeparator" w:id="0">
    <w:p w:rsidR="005049A7" w:rsidRDefault="0050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A7" w:rsidRDefault="005049A7" w:rsidP="00CD474E">
      <w:pPr>
        <w:spacing w:after="0" w:line="240" w:lineRule="auto"/>
      </w:pPr>
      <w:r>
        <w:separator/>
      </w:r>
    </w:p>
  </w:footnote>
  <w:footnote w:type="continuationSeparator" w:id="0">
    <w:p w:rsidR="005049A7" w:rsidRDefault="005049A7" w:rsidP="00CD474E">
      <w:pPr>
        <w:spacing w:after="0" w:line="240" w:lineRule="auto"/>
      </w:pPr>
      <w:r>
        <w:continuationSeparator/>
      </w:r>
    </w:p>
  </w:footnote>
  <w:footnote w:id="1">
    <w:p w:rsidR="007A0586" w:rsidRPr="00480E9B" w:rsidRDefault="005470FD">
      <w:pPr>
        <w:pStyle w:val="FootnoteText"/>
        <w:rPr>
          <w:rFonts w:ascii="Arial" w:hAnsi="Arial" w:cs="Arial"/>
        </w:rPr>
      </w:pPr>
      <w:r>
        <w:rPr>
          <w:rStyle w:val="FootnoteReference"/>
        </w:rPr>
        <w:footnoteRef/>
      </w:r>
      <w:r>
        <w:t xml:space="preserve"> </w:t>
      </w:r>
      <w:r w:rsidRPr="00480E9B">
        <w:rPr>
          <w:rFonts w:ascii="Arial" w:hAnsi="Arial" w:cs="Arial"/>
        </w:rPr>
        <w:t>Damaseb, P Court Managed Civil Procedure of the High Court of Namibia Law, Procedure and Practice 1 st Ed at 153; See also Transnet Ltd v Rubenstein 2006 (1) SA 591 (SCA) at 600</w:t>
      </w:r>
      <w:r>
        <w:rPr>
          <w:rFonts w:ascii="Arial" w:hAnsi="Arial" w:cs="Arial"/>
        </w:rPr>
        <w:t>.</w:t>
      </w:r>
    </w:p>
  </w:footnote>
  <w:footnote w:id="2">
    <w:p w:rsidR="007A0586" w:rsidRPr="00480E9B" w:rsidRDefault="005470FD" w:rsidP="00622DEF">
      <w:pPr>
        <w:pStyle w:val="FootnoteText"/>
        <w:rPr>
          <w:rFonts w:ascii="Arial" w:hAnsi="Arial" w:cs="Arial"/>
          <w:i/>
        </w:rPr>
      </w:pPr>
      <w:r w:rsidRPr="00480E9B">
        <w:rPr>
          <w:rStyle w:val="FootnoteReference"/>
          <w:rFonts w:ascii="Arial" w:hAnsi="Arial" w:cs="Arial"/>
        </w:rPr>
        <w:footnoteRef/>
      </w:r>
      <w:r w:rsidRPr="00480E9B">
        <w:rPr>
          <w:rFonts w:ascii="Arial" w:hAnsi="Arial" w:cs="Arial"/>
        </w:rPr>
        <w:t xml:space="preserve"> </w:t>
      </w:r>
      <w:r w:rsidRPr="00480E9B">
        <w:rPr>
          <w:rFonts w:ascii="Arial" w:hAnsi="Arial" w:cs="Arial"/>
          <w:i/>
        </w:rPr>
        <w:t xml:space="preserve">Erastus Tjiundikua Kahuure and Another v Minister of Regional and Local Government and </w:t>
      </w:r>
    </w:p>
    <w:p w:rsidR="007A0586" w:rsidRPr="00480E9B" w:rsidRDefault="005470FD" w:rsidP="00622DEF">
      <w:pPr>
        <w:pStyle w:val="FootnoteText"/>
        <w:rPr>
          <w:rFonts w:ascii="Arial" w:hAnsi="Arial" w:cs="Arial"/>
        </w:rPr>
      </w:pPr>
      <w:r w:rsidRPr="00480E9B">
        <w:rPr>
          <w:rFonts w:ascii="Arial" w:hAnsi="Arial" w:cs="Arial"/>
          <w:i/>
        </w:rPr>
        <w:t xml:space="preserve">Housing and Rural Development </w:t>
      </w:r>
      <w:r w:rsidR="00926BC9">
        <w:rPr>
          <w:rFonts w:ascii="Arial" w:hAnsi="Arial" w:cs="Arial"/>
        </w:rPr>
        <w:t>2012 (28) (SC)</w:t>
      </w:r>
      <w:r w:rsidRPr="00480E9B">
        <w:rPr>
          <w:rFonts w:ascii="Arial" w:hAnsi="Arial" w:cs="Arial"/>
        </w:rPr>
        <w:t xml:space="preserve"> par</w:t>
      </w:r>
      <w:r w:rsidR="00926BC9">
        <w:rPr>
          <w:rFonts w:ascii="Arial" w:hAnsi="Arial" w:cs="Arial"/>
        </w:rPr>
        <w:t>a</w:t>
      </w:r>
      <w:r w:rsidRPr="00480E9B">
        <w:rPr>
          <w:rFonts w:ascii="Arial" w:hAnsi="Arial" w:cs="Arial"/>
        </w:rPr>
        <w:t xml:space="preserve"> 25; Damaseb supra</w:t>
      </w:r>
      <w:r>
        <w:rPr>
          <w:rFonts w:ascii="Arial" w:hAnsi="Arial" w:cs="Arial"/>
        </w:rPr>
        <w:t>.</w:t>
      </w:r>
    </w:p>
  </w:footnote>
  <w:footnote w:id="3">
    <w:p w:rsidR="007A0586" w:rsidRPr="00480E9B" w:rsidRDefault="005470FD">
      <w:pPr>
        <w:pStyle w:val="FootnoteText"/>
        <w:rPr>
          <w:rFonts w:ascii="Arial" w:hAnsi="Arial" w:cs="Arial"/>
        </w:rPr>
      </w:pPr>
      <w:r w:rsidRPr="00480E9B">
        <w:rPr>
          <w:rStyle w:val="FootnoteReference"/>
          <w:rFonts w:ascii="Arial" w:hAnsi="Arial" w:cs="Arial"/>
        </w:rPr>
        <w:footnoteRef/>
      </w:r>
      <w:r w:rsidRPr="00480E9B">
        <w:rPr>
          <w:rFonts w:ascii="Arial" w:hAnsi="Arial" w:cs="Arial"/>
        </w:rPr>
        <w:t xml:space="preserve"> </w:t>
      </w:r>
      <w:r w:rsidRPr="00480E9B">
        <w:rPr>
          <w:rFonts w:ascii="Arial" w:hAnsi="Arial" w:cs="Arial"/>
          <w:i/>
        </w:rPr>
        <w:t>Kapia and Another v Minister of Urban and Rural Development and Others</w:t>
      </w:r>
      <w:r w:rsidRPr="00480E9B">
        <w:rPr>
          <w:rFonts w:ascii="Arial" w:hAnsi="Arial" w:cs="Arial"/>
        </w:rPr>
        <w:t xml:space="preserve"> (HC-MD-CIV-MOT-REV 395 of 2019) [2023] NAHCMD 47 (13 February 2023)</w:t>
      </w:r>
      <w:r>
        <w:rPr>
          <w:rFonts w:ascii="Arial" w:hAnsi="Arial" w:cs="Arial"/>
        </w:rPr>
        <w:t>.</w:t>
      </w:r>
    </w:p>
  </w:footnote>
  <w:footnote w:id="4">
    <w:p w:rsidR="007A0586" w:rsidRPr="002A5500" w:rsidRDefault="005470FD">
      <w:pPr>
        <w:pStyle w:val="FootnoteText"/>
        <w:rPr>
          <w:rFonts w:ascii="Arial" w:hAnsi="Arial" w:cs="Arial"/>
        </w:rPr>
      </w:pPr>
      <w:r>
        <w:rPr>
          <w:rStyle w:val="FootnoteReference"/>
        </w:rPr>
        <w:footnoteRef/>
      </w:r>
      <w:r>
        <w:t xml:space="preserve"> </w:t>
      </w:r>
      <w:r w:rsidRPr="002A5500">
        <w:rPr>
          <w:rFonts w:ascii="Arial" w:hAnsi="Arial" w:cs="Arial"/>
          <w:i/>
          <w:iCs/>
        </w:rPr>
        <w:t>Fischer v Seelenbinder </w:t>
      </w:r>
      <w:r w:rsidRPr="002A5500">
        <w:rPr>
          <w:rFonts w:ascii="Arial" w:hAnsi="Arial" w:cs="Arial"/>
        </w:rPr>
        <w:t>(A 217/2015) </w:t>
      </w:r>
      <w:hyperlink r:id="rId1" w:history="1">
        <w:r w:rsidRPr="002A5500">
          <w:rPr>
            <w:rStyle w:val="Hyperlink"/>
            <w:rFonts w:ascii="Arial" w:hAnsi="Arial" w:cs="Arial"/>
            <w:color w:val="auto"/>
            <w:u w:val="none"/>
          </w:rPr>
          <w:t>[2017] NAHCMD 323</w:t>
        </w:r>
      </w:hyperlink>
      <w:r w:rsidRPr="002A5500">
        <w:rPr>
          <w:rFonts w:ascii="Arial" w:hAnsi="Arial" w:cs="Arial"/>
        </w:rPr>
        <w:t> (10 November 2017)</w:t>
      </w:r>
      <w:r w:rsidR="002A5500">
        <w:rPr>
          <w:rFonts w:ascii="Arial" w:hAnsi="Arial" w:cs="Arial"/>
        </w:rPr>
        <w:t>.</w:t>
      </w:r>
    </w:p>
  </w:footnote>
  <w:footnote w:id="5">
    <w:p w:rsidR="007A0586" w:rsidRPr="002A5500" w:rsidRDefault="005470FD" w:rsidP="00BF32F6">
      <w:pPr>
        <w:pStyle w:val="FootnoteText"/>
        <w:jc w:val="both"/>
        <w:rPr>
          <w:rFonts w:ascii="Arial" w:hAnsi="Arial" w:cs="Arial"/>
        </w:rPr>
      </w:pPr>
      <w:r w:rsidRPr="002A5500">
        <w:rPr>
          <w:rStyle w:val="FootnoteReference"/>
          <w:rFonts w:ascii="Arial" w:hAnsi="Arial" w:cs="Arial"/>
        </w:rPr>
        <w:footnoteRef/>
      </w:r>
      <w:r w:rsidRPr="002A5500">
        <w:rPr>
          <w:rFonts w:ascii="Arial" w:hAnsi="Arial" w:cs="Arial"/>
        </w:rPr>
        <w:t xml:space="preserve"> </w:t>
      </w:r>
      <w:r w:rsidRPr="002A5500">
        <w:rPr>
          <w:rFonts w:ascii="Arial" w:hAnsi="Arial" w:cs="Arial"/>
          <w:lang w:val="en-ZA"/>
        </w:rPr>
        <w:t xml:space="preserve">Also, see </w:t>
      </w:r>
      <w:r w:rsidRPr="002A5500">
        <w:rPr>
          <w:rFonts w:ascii="Arial" w:hAnsi="Arial" w:cs="Arial"/>
          <w:i/>
          <w:iCs/>
        </w:rPr>
        <w:t>Serve Investments Eight Four Pty Ltd v Agricultural Professional Services Pty Ltd &amp; 6 Others (</w:t>
      </w:r>
      <w:r w:rsidRPr="002A5500">
        <w:rPr>
          <w:rFonts w:ascii="Arial" w:hAnsi="Arial" w:cs="Arial"/>
        </w:rPr>
        <w:t>HC-MD-CIV-MOT-GEN-2021/00096) </w:t>
      </w:r>
      <w:hyperlink r:id="rId2" w:history="1">
        <w:r w:rsidRPr="002A5500">
          <w:rPr>
            <w:rStyle w:val="Hyperlink"/>
            <w:rFonts w:ascii="Arial" w:hAnsi="Arial" w:cs="Arial"/>
            <w:color w:val="auto"/>
            <w:u w:val="none"/>
          </w:rPr>
          <w:t>[2021] NAHCMD 470</w:t>
        </w:r>
      </w:hyperlink>
      <w:r w:rsidRPr="002A5500">
        <w:rPr>
          <w:rFonts w:ascii="Arial" w:hAnsi="Arial" w:cs="Arial"/>
        </w:rPr>
        <w:t> (08 October 2021)</w:t>
      </w:r>
      <w:r w:rsidR="002A5500">
        <w:rPr>
          <w:rFonts w:ascii="Arial" w:hAnsi="Arial" w:cs="Arial"/>
        </w:rPr>
        <w:t>.</w:t>
      </w:r>
    </w:p>
  </w:footnote>
  <w:footnote w:id="6">
    <w:p w:rsidR="007A0586" w:rsidRPr="002A5500" w:rsidRDefault="005470FD" w:rsidP="00BF32F6">
      <w:pPr>
        <w:pStyle w:val="FootnoteText"/>
        <w:jc w:val="both"/>
        <w:rPr>
          <w:rFonts w:ascii="Arial" w:hAnsi="Arial" w:cs="Arial"/>
        </w:rPr>
      </w:pPr>
      <w:r w:rsidRPr="002A5500">
        <w:rPr>
          <w:rStyle w:val="FootnoteReference"/>
          <w:rFonts w:ascii="Arial" w:hAnsi="Arial" w:cs="Arial"/>
        </w:rPr>
        <w:footnoteRef/>
      </w:r>
      <w:r w:rsidRPr="002A5500">
        <w:rPr>
          <w:rFonts w:ascii="Arial" w:hAnsi="Arial" w:cs="Arial"/>
          <w:i/>
          <w:iCs/>
        </w:rPr>
        <w:t>Ritz Reise (Pty) Ltd v Air Namibia (Pty) Ltd</w:t>
      </w:r>
      <w:r w:rsidRPr="002A5500">
        <w:rPr>
          <w:rFonts w:ascii="Arial" w:hAnsi="Arial" w:cs="Arial"/>
        </w:rPr>
        <w:t> 2007 (1) NR 222 (HC), Also see the matter </w:t>
      </w:r>
      <w:r w:rsidRPr="002A5500">
        <w:rPr>
          <w:rFonts w:ascii="Arial" w:hAnsi="Arial" w:cs="Arial"/>
          <w:i/>
          <w:iCs/>
        </w:rPr>
        <w:t>of Gabrielsen v Coertzen</w:t>
      </w:r>
      <w:r w:rsidRPr="002A5500">
        <w:rPr>
          <w:rFonts w:ascii="Arial" w:hAnsi="Arial" w:cs="Arial"/>
        </w:rPr>
        <w:t> Case No: (P) I 3062/2009 an unreported judgment of this Court delivered on 29 June 2011</w:t>
      </w:r>
      <w:r w:rsidR="002A5500">
        <w:rPr>
          <w:rFonts w:ascii="Arial" w:hAnsi="Arial" w:cs="Arial"/>
        </w:rPr>
        <w:t>.</w:t>
      </w:r>
    </w:p>
  </w:footnote>
  <w:footnote w:id="7">
    <w:p w:rsidR="007A0586" w:rsidRPr="002A5500" w:rsidRDefault="005470FD">
      <w:pPr>
        <w:pStyle w:val="FootnoteText"/>
        <w:rPr>
          <w:rFonts w:ascii="Arial" w:hAnsi="Arial" w:cs="Arial"/>
        </w:rPr>
      </w:pPr>
      <w:r w:rsidRPr="002A5500">
        <w:rPr>
          <w:rStyle w:val="FootnoteReference"/>
          <w:rFonts w:ascii="Arial" w:hAnsi="Arial" w:cs="Arial"/>
        </w:rPr>
        <w:footnoteRef/>
      </w:r>
      <w:r w:rsidRPr="002A5500">
        <w:rPr>
          <w:rFonts w:ascii="Arial" w:hAnsi="Arial" w:cs="Arial"/>
        </w:rPr>
        <w:t xml:space="preserve"> </w:t>
      </w:r>
      <w:r w:rsidRPr="002A5500">
        <w:rPr>
          <w:rFonts w:ascii="Arial" w:hAnsi="Arial" w:cs="Arial"/>
          <w:i/>
          <w:iCs/>
        </w:rPr>
        <w:t>Juntgen T/A Paul Juntgen Real Estate v Nottbusch</w:t>
      </w:r>
      <w:r w:rsidRPr="002A5500">
        <w:rPr>
          <w:rFonts w:ascii="Arial" w:hAnsi="Arial" w:cs="Arial"/>
        </w:rPr>
        <w:t> 1989 (4) SA 490 (W)</w:t>
      </w:r>
      <w:r w:rsidR="002A5500">
        <w:rPr>
          <w:rFonts w:ascii="Arial" w:hAnsi="Arial" w:cs="Arial"/>
        </w:rPr>
        <w:t>.</w:t>
      </w:r>
    </w:p>
  </w:footnote>
  <w:footnote w:id="8">
    <w:p w:rsidR="007A0586" w:rsidRPr="002A5500" w:rsidRDefault="005470FD" w:rsidP="00BF32F6">
      <w:pPr>
        <w:pStyle w:val="FootnoteText"/>
        <w:jc w:val="both"/>
        <w:rPr>
          <w:rFonts w:ascii="Arial" w:hAnsi="Arial" w:cs="Arial"/>
        </w:rPr>
      </w:pPr>
      <w:r w:rsidRPr="002A5500">
        <w:rPr>
          <w:rStyle w:val="FootnoteReference"/>
          <w:rFonts w:ascii="Arial" w:hAnsi="Arial" w:cs="Arial"/>
        </w:rPr>
        <w:footnoteRef/>
      </w:r>
      <w:r w:rsidRPr="002A5500">
        <w:rPr>
          <w:rFonts w:ascii="Arial" w:hAnsi="Arial" w:cs="Arial"/>
        </w:rPr>
        <w:t xml:space="preserve"> </w:t>
      </w:r>
      <w:r w:rsidRPr="002A5500">
        <w:rPr>
          <w:rFonts w:ascii="Arial" w:hAnsi="Arial" w:cs="Arial"/>
          <w:i/>
          <w:iCs/>
        </w:rPr>
        <w:t>Maritima Consulting Services CC v Northgate Distribution Services Ltd </w:t>
      </w:r>
      <w:r w:rsidRPr="002A5500">
        <w:rPr>
          <w:rFonts w:ascii="Arial" w:hAnsi="Arial" w:cs="Arial"/>
        </w:rPr>
        <w:t>(A 282-2014) </w:t>
      </w:r>
      <w:hyperlink r:id="rId3" w:history="1">
        <w:r w:rsidRPr="002A5500">
          <w:rPr>
            <w:rStyle w:val="Hyperlink"/>
            <w:rFonts w:ascii="Arial" w:hAnsi="Arial" w:cs="Arial"/>
            <w:color w:val="auto"/>
            <w:u w:val="none"/>
          </w:rPr>
          <w:t>[2015] NAHCMD 121</w:t>
        </w:r>
      </w:hyperlink>
      <w:r w:rsidRPr="002A5500">
        <w:rPr>
          <w:rFonts w:ascii="Arial" w:hAnsi="Arial" w:cs="Arial"/>
        </w:rPr>
        <w:t> (29 May 2015)</w:t>
      </w:r>
      <w:r w:rsidR="002A5500">
        <w:rPr>
          <w:rFonts w:ascii="Arial" w:hAnsi="Arial" w:cs="Arial"/>
        </w:rPr>
        <w:t>.</w:t>
      </w:r>
    </w:p>
  </w:footnote>
  <w:footnote w:id="9">
    <w:p w:rsidR="007A0586" w:rsidRPr="00480E9B" w:rsidRDefault="005470FD" w:rsidP="00055933">
      <w:pPr>
        <w:pStyle w:val="FootnoteText"/>
        <w:jc w:val="both"/>
        <w:rPr>
          <w:rFonts w:ascii="Arial" w:hAnsi="Arial" w:cs="Arial"/>
        </w:rPr>
      </w:pPr>
      <w:r w:rsidRPr="00480E9B">
        <w:rPr>
          <w:rStyle w:val="FootnoteReference"/>
          <w:rFonts w:ascii="Arial" w:hAnsi="Arial" w:cs="Arial"/>
        </w:rPr>
        <w:footnoteRef/>
      </w:r>
      <w:r w:rsidRPr="00480E9B">
        <w:rPr>
          <w:rFonts w:ascii="Arial" w:hAnsi="Arial" w:cs="Arial"/>
        </w:rPr>
        <w:t xml:space="preserve"> </w:t>
      </w:r>
      <w:r w:rsidRPr="00480E9B">
        <w:rPr>
          <w:rFonts w:ascii="Arial" w:hAnsi="Arial" w:cs="Arial"/>
          <w:i/>
          <w:iCs/>
        </w:rPr>
        <w:t>The Namibian Competition Commission v Puma Energy (Pty) Ltd</w:t>
      </w:r>
      <w:r w:rsidRPr="00480E9B">
        <w:rPr>
          <w:rFonts w:ascii="Arial" w:hAnsi="Arial" w:cs="Arial"/>
        </w:rPr>
        <w:t> (HC-MD-CIV-MOT-EXP-2016/00275) </w:t>
      </w:r>
      <w:hyperlink r:id="rId4" w:history="1">
        <w:r w:rsidRPr="00480E9B">
          <w:rPr>
            <w:rStyle w:val="Hyperlink"/>
            <w:rFonts w:ascii="Arial" w:hAnsi="Arial" w:cs="Arial"/>
            <w:color w:val="auto"/>
            <w:u w:val="none"/>
          </w:rPr>
          <w:t>[2018] NAHCMD 36</w:t>
        </w:r>
      </w:hyperlink>
      <w:r w:rsidRPr="00480E9B">
        <w:rPr>
          <w:rFonts w:ascii="Arial" w:hAnsi="Arial" w:cs="Arial"/>
        </w:rPr>
        <w:t> (16 February 2018)</w:t>
      </w:r>
      <w:r>
        <w:rPr>
          <w:rFonts w:ascii="Arial" w:hAnsi="Arial" w:cs="Arial"/>
        </w:rPr>
        <w:t>.</w:t>
      </w:r>
    </w:p>
  </w:footnote>
  <w:footnote w:id="10">
    <w:p w:rsidR="007A0586" w:rsidRPr="00480E9B" w:rsidRDefault="005470FD">
      <w:pPr>
        <w:pStyle w:val="FootnoteText"/>
        <w:rPr>
          <w:rFonts w:ascii="Arial" w:hAnsi="Arial" w:cs="Arial"/>
        </w:rPr>
      </w:pPr>
      <w:r w:rsidRPr="00480E9B">
        <w:rPr>
          <w:rStyle w:val="FootnoteReference"/>
          <w:rFonts w:ascii="Arial" w:hAnsi="Arial" w:cs="Arial"/>
        </w:rPr>
        <w:footnoteRef/>
      </w:r>
      <w:r w:rsidRPr="00480E9B">
        <w:rPr>
          <w:rFonts w:ascii="Arial" w:hAnsi="Arial" w:cs="Arial"/>
        </w:rPr>
        <w:t xml:space="preserve"> </w:t>
      </w:r>
      <w:r w:rsidRPr="00480E9B">
        <w:rPr>
          <w:rFonts w:ascii="Arial" w:hAnsi="Arial" w:cs="Arial"/>
          <w:i/>
          <w:iCs/>
        </w:rPr>
        <w:t>James Brown &amp; Hamer (Pty) Ltd v Simmons N.O </w:t>
      </w:r>
      <w:r w:rsidRPr="00480E9B">
        <w:rPr>
          <w:rFonts w:ascii="Arial" w:hAnsi="Arial" w:cs="Arial"/>
        </w:rPr>
        <w:t>1963 (4) SA 656 (AD) at 660</w:t>
      </w:r>
      <w:r>
        <w:rPr>
          <w:rFonts w:ascii="Arial" w:hAnsi="Arial" w:cs="Arial"/>
        </w:rPr>
        <w:t>.</w:t>
      </w:r>
    </w:p>
  </w:footnote>
  <w:footnote w:id="11">
    <w:p w:rsidR="007A0586" w:rsidRPr="00480E9B" w:rsidRDefault="005470FD" w:rsidP="00055933">
      <w:pPr>
        <w:pStyle w:val="FootnoteText"/>
        <w:jc w:val="both"/>
        <w:rPr>
          <w:rFonts w:ascii="Arial" w:hAnsi="Arial" w:cs="Arial"/>
        </w:rPr>
      </w:pPr>
      <w:r w:rsidRPr="00480E9B">
        <w:rPr>
          <w:rStyle w:val="FootnoteReference"/>
          <w:rFonts w:ascii="Arial" w:hAnsi="Arial" w:cs="Arial"/>
        </w:rPr>
        <w:footnoteRef/>
      </w:r>
      <w:r w:rsidRPr="00480E9B">
        <w:rPr>
          <w:rFonts w:ascii="Arial" w:hAnsi="Arial" w:cs="Arial"/>
        </w:rPr>
        <w:t xml:space="preserve"> </w:t>
      </w:r>
      <w:r w:rsidRPr="00480E9B">
        <w:rPr>
          <w:rFonts w:ascii="Arial" w:hAnsi="Arial" w:cs="Arial"/>
          <w:i/>
          <w:iCs/>
        </w:rPr>
        <w:t>See the unreported judgment in the matter of Maritima Consulting Services CC v Northgate Distribution Services Ltd </w:t>
      </w:r>
      <w:r w:rsidRPr="00480E9B">
        <w:rPr>
          <w:rFonts w:ascii="Arial" w:hAnsi="Arial" w:cs="Arial"/>
        </w:rPr>
        <w:t>A 282-2014) </w:t>
      </w:r>
      <w:hyperlink r:id="rId5" w:history="1">
        <w:r w:rsidRPr="00480E9B">
          <w:rPr>
            <w:rStyle w:val="Hyperlink"/>
            <w:rFonts w:ascii="Arial" w:hAnsi="Arial" w:cs="Arial"/>
            <w:color w:val="auto"/>
            <w:u w:val="none"/>
          </w:rPr>
          <w:t>[2015] NAHCMD 121</w:t>
        </w:r>
      </w:hyperlink>
      <w:r w:rsidRPr="00480E9B">
        <w:rPr>
          <w:rFonts w:ascii="Arial" w:hAnsi="Arial" w:cs="Arial"/>
        </w:rPr>
        <w:t> (delivered on 29 May 2015)</w:t>
      </w:r>
      <w:r>
        <w:rPr>
          <w:rFonts w:ascii="Arial" w:hAnsi="Arial" w:cs="Arial"/>
        </w:rPr>
        <w:t>.</w:t>
      </w:r>
    </w:p>
  </w:footnote>
  <w:footnote w:id="12">
    <w:p w:rsidR="007A0586" w:rsidRPr="00480E9B" w:rsidRDefault="005470FD">
      <w:pPr>
        <w:pStyle w:val="FootnoteText"/>
        <w:rPr>
          <w:rFonts w:ascii="Arial" w:hAnsi="Arial" w:cs="Arial"/>
        </w:rPr>
      </w:pPr>
      <w:r w:rsidRPr="00480E9B">
        <w:rPr>
          <w:rStyle w:val="FootnoteReference"/>
          <w:rFonts w:ascii="Arial" w:hAnsi="Arial" w:cs="Arial"/>
        </w:rPr>
        <w:footnoteRef/>
      </w:r>
      <w:r w:rsidRPr="00480E9B">
        <w:rPr>
          <w:rFonts w:ascii="Arial" w:hAnsi="Arial" w:cs="Arial"/>
        </w:rPr>
        <w:t xml:space="preserve"> </w:t>
      </w:r>
      <w:r w:rsidRPr="00480E9B">
        <w:rPr>
          <w:rFonts w:ascii="Arial" w:hAnsi="Arial" w:cs="Arial"/>
          <w:i/>
          <w:iCs/>
        </w:rPr>
        <w:t>James Brown &amp; Hamer (Pty) Ltd v Simmons N.O</w:t>
      </w:r>
      <w:r w:rsidRPr="00480E9B">
        <w:rPr>
          <w:rFonts w:ascii="Arial" w:hAnsi="Arial" w:cs="Arial"/>
        </w:rPr>
        <w:t> 1963 (4) SA 656 (AD)</w:t>
      </w:r>
      <w:r>
        <w:rPr>
          <w:rFonts w:ascii="Arial" w:hAnsi="Arial" w:cs="Arial"/>
        </w:rPr>
        <w:t>.</w:t>
      </w:r>
    </w:p>
  </w:footnote>
  <w:footnote w:id="13">
    <w:p w:rsidR="007A0586" w:rsidRPr="00480E9B" w:rsidRDefault="005470FD">
      <w:pPr>
        <w:pStyle w:val="FootnoteText"/>
        <w:rPr>
          <w:rFonts w:ascii="Arial" w:hAnsi="Arial" w:cs="Arial"/>
        </w:rPr>
      </w:pPr>
      <w:r w:rsidRPr="00480E9B">
        <w:rPr>
          <w:rStyle w:val="FootnoteReference"/>
          <w:rFonts w:ascii="Arial" w:hAnsi="Arial" w:cs="Arial"/>
        </w:rPr>
        <w:footnoteRef/>
      </w:r>
      <w:r w:rsidRPr="00480E9B">
        <w:rPr>
          <w:rFonts w:ascii="Arial" w:hAnsi="Arial" w:cs="Arial"/>
        </w:rPr>
        <w:t xml:space="preserve"> </w:t>
      </w:r>
      <w:r w:rsidRPr="00480E9B">
        <w:rPr>
          <w:rFonts w:ascii="Arial" w:hAnsi="Arial" w:cs="Arial"/>
          <w:i/>
          <w:iCs/>
        </w:rPr>
        <w:t>Rens v Gutman N.O</w:t>
      </w:r>
      <w:r w:rsidRPr="00480E9B">
        <w:rPr>
          <w:rFonts w:ascii="Arial" w:hAnsi="Arial" w:cs="Arial"/>
        </w:rPr>
        <w:t> 2002 4 All SA 30 (C)</w:t>
      </w:r>
      <w:r>
        <w:rPr>
          <w:rFonts w:ascii="Arial" w:hAnsi="Arial" w:cs="Arial"/>
        </w:rPr>
        <w:t>.</w:t>
      </w:r>
    </w:p>
  </w:footnote>
  <w:footnote w:id="14">
    <w:p w:rsidR="007A0586" w:rsidRPr="00480E9B" w:rsidRDefault="005470FD">
      <w:pPr>
        <w:pStyle w:val="FootnoteText"/>
        <w:rPr>
          <w:rFonts w:ascii="Arial" w:hAnsi="Arial" w:cs="Arial"/>
        </w:rPr>
      </w:pPr>
      <w:r>
        <w:rPr>
          <w:rStyle w:val="FootnoteReference"/>
        </w:rPr>
        <w:footnoteRef/>
      </w:r>
      <w:r>
        <w:t xml:space="preserve"> </w:t>
      </w:r>
      <w:r w:rsidRPr="00480E9B">
        <w:rPr>
          <w:rFonts w:ascii="Arial" w:hAnsi="Arial" w:cs="Arial"/>
        </w:rPr>
        <w:t>In their book </w:t>
      </w:r>
      <w:r w:rsidRPr="00480E9B">
        <w:rPr>
          <w:rFonts w:ascii="Arial" w:hAnsi="Arial" w:cs="Arial"/>
          <w:i/>
          <w:iCs/>
        </w:rPr>
        <w:t>The Civil Practice of the Supreme Court of South Africa</w:t>
      </w:r>
      <w:r w:rsidRPr="00480E9B">
        <w:rPr>
          <w:rFonts w:ascii="Arial" w:hAnsi="Arial" w:cs="Arial"/>
        </w:rPr>
        <w:t>, 5 ed, p 433</w:t>
      </w:r>
      <w:r>
        <w:rPr>
          <w:rFonts w:ascii="Arial" w:hAnsi="Arial" w:cs="Arial"/>
        </w:rPr>
        <w:t>.</w:t>
      </w:r>
    </w:p>
  </w:footnote>
  <w:footnote w:id="15">
    <w:p w:rsidR="007A0586" w:rsidRPr="00480E9B" w:rsidRDefault="005470FD">
      <w:pPr>
        <w:pStyle w:val="FootnoteText"/>
        <w:rPr>
          <w:rFonts w:ascii="Arial" w:hAnsi="Arial" w:cs="Arial"/>
        </w:rPr>
      </w:pPr>
      <w:r w:rsidRPr="00480E9B">
        <w:rPr>
          <w:rStyle w:val="FootnoteReference"/>
          <w:rFonts w:ascii="Arial" w:hAnsi="Arial" w:cs="Arial"/>
        </w:rPr>
        <w:footnoteRef/>
      </w:r>
      <w:r w:rsidRPr="00480E9B">
        <w:rPr>
          <w:rFonts w:ascii="Arial" w:hAnsi="Arial" w:cs="Arial"/>
        </w:rPr>
        <w:t xml:space="preserve"> </w:t>
      </w:r>
      <w:r w:rsidRPr="00480E9B">
        <w:rPr>
          <w:rFonts w:ascii="Arial" w:hAnsi="Arial" w:cs="Arial"/>
          <w:i/>
          <w:iCs/>
        </w:rPr>
        <w:t>Bangtoo Bros and Others v National Transport Commission and Others</w:t>
      </w:r>
      <w:r w:rsidRPr="00480E9B">
        <w:rPr>
          <w:rFonts w:ascii="Arial" w:hAnsi="Arial" w:cs="Arial"/>
        </w:rPr>
        <w:t> </w:t>
      </w:r>
      <w:hyperlink r:id="rId6" w:history="1">
        <w:r w:rsidRPr="00480E9B">
          <w:rPr>
            <w:rStyle w:val="Hyperlink"/>
            <w:rFonts w:ascii="Arial" w:hAnsi="Arial" w:cs="Arial"/>
          </w:rPr>
          <w:t>1973 (4) SA 667</w:t>
        </w:r>
      </w:hyperlink>
      <w:r w:rsidRPr="00480E9B">
        <w:rPr>
          <w:rFonts w:ascii="Arial" w:hAnsi="Arial" w:cs="Arial"/>
        </w:rPr>
        <w:t> (N) at 680B</w:t>
      </w:r>
      <w:r>
        <w:rPr>
          <w:rFonts w:ascii="Arial" w:hAnsi="Arial" w:cs="Arial"/>
        </w:rPr>
        <w:t>.</w:t>
      </w:r>
    </w:p>
  </w:footnote>
  <w:footnote w:id="16">
    <w:p w:rsidR="007A0586" w:rsidRPr="00480E9B" w:rsidRDefault="005470FD">
      <w:pPr>
        <w:pStyle w:val="FootnoteText"/>
        <w:rPr>
          <w:rFonts w:ascii="Arial" w:hAnsi="Arial" w:cs="Arial"/>
        </w:rPr>
      </w:pPr>
      <w:r w:rsidRPr="00480E9B">
        <w:rPr>
          <w:rStyle w:val="FootnoteReference"/>
          <w:rFonts w:ascii="Arial" w:hAnsi="Arial" w:cs="Arial"/>
        </w:rPr>
        <w:footnoteRef/>
      </w:r>
      <w:r w:rsidRPr="00480E9B">
        <w:rPr>
          <w:rFonts w:ascii="Arial" w:hAnsi="Arial" w:cs="Arial"/>
        </w:rPr>
        <w:t xml:space="preserve"> </w:t>
      </w:r>
      <w:r w:rsidRPr="00480E9B">
        <w:rPr>
          <w:rFonts w:ascii="Arial" w:hAnsi="Arial" w:cs="Arial"/>
          <w:i/>
        </w:rPr>
        <w:t>Transvaal Racing Club v Jockey Club of South Africa</w:t>
      </w:r>
      <w:r w:rsidRPr="00480E9B">
        <w:rPr>
          <w:rFonts w:ascii="Arial" w:hAnsi="Arial" w:cs="Arial"/>
        </w:rPr>
        <w:t xml:space="preserve"> 1958 (3) SA 599 (W) at 604 A-E</w:t>
      </w:r>
      <w:r>
        <w:rPr>
          <w:rFonts w:ascii="Arial" w:hAnsi="Arial" w:cs="Arial"/>
        </w:rPr>
        <w:t>.</w:t>
      </w:r>
    </w:p>
  </w:footnote>
  <w:footnote w:id="17">
    <w:p w:rsidR="007A0586" w:rsidRPr="00624AA2" w:rsidRDefault="005470FD">
      <w:pPr>
        <w:pStyle w:val="FootnoteText"/>
        <w:rPr>
          <w:rFonts w:ascii="Arial" w:hAnsi="Arial" w:cs="Arial"/>
        </w:rPr>
      </w:pPr>
      <w:r>
        <w:rPr>
          <w:rStyle w:val="FootnoteReference"/>
        </w:rPr>
        <w:footnoteRef/>
      </w:r>
      <w:r>
        <w:t xml:space="preserve"> </w:t>
      </w:r>
      <w:r w:rsidRPr="00624AA2">
        <w:rPr>
          <w:rFonts w:ascii="Arial" w:hAnsi="Arial" w:cs="Arial"/>
          <w:i/>
        </w:rPr>
        <w:t>Namibia Airports Company Ltd v Fire Tech Systems</w:t>
      </w:r>
      <w:r w:rsidRPr="00624AA2">
        <w:rPr>
          <w:rFonts w:ascii="Arial" w:hAnsi="Arial" w:cs="Arial"/>
        </w:rPr>
        <w:t xml:space="preserve"> CC 2019 (2) NR 541</w:t>
      </w:r>
      <w:r>
        <w:rPr>
          <w:rFonts w:ascii="Arial" w:hAnsi="Arial" w:cs="Arial"/>
        </w:rPr>
        <w:t>.</w:t>
      </w:r>
    </w:p>
  </w:footnote>
  <w:footnote w:id="18">
    <w:p w:rsidR="007A0586" w:rsidRPr="00624AA2" w:rsidRDefault="005470FD" w:rsidP="008264EE">
      <w:pPr>
        <w:pStyle w:val="FootnoteText"/>
        <w:jc w:val="both"/>
        <w:rPr>
          <w:rFonts w:ascii="Arial" w:hAnsi="Arial" w:cs="Arial"/>
        </w:rPr>
      </w:pPr>
      <w:r w:rsidRPr="00624AA2">
        <w:rPr>
          <w:rStyle w:val="FootnoteReference"/>
          <w:rFonts w:ascii="Arial" w:hAnsi="Arial" w:cs="Arial"/>
        </w:rPr>
        <w:footnoteRef/>
      </w:r>
      <w:r w:rsidRPr="00624AA2">
        <w:rPr>
          <w:rFonts w:ascii="Arial" w:hAnsi="Arial" w:cs="Arial"/>
        </w:rPr>
        <w:t xml:space="preserve"> </w:t>
      </w:r>
      <w:r w:rsidRPr="00624AA2">
        <w:rPr>
          <w:rFonts w:ascii="Arial" w:hAnsi="Arial" w:cs="Arial"/>
          <w:i/>
        </w:rPr>
        <w:t>Chico/Octagon Joint Venture v Roads Authority and Others</w:t>
      </w:r>
      <w:r w:rsidRPr="00624AA2">
        <w:rPr>
          <w:rFonts w:ascii="Arial" w:hAnsi="Arial" w:cs="Arial"/>
        </w:rPr>
        <w:t xml:space="preserve"> (81 of 2016) [2017] NASC 34 (21 August 2017)</w:t>
      </w:r>
      <w:r>
        <w:rPr>
          <w:rFonts w:ascii="Arial" w:hAnsi="Arial" w:cs="Arial"/>
        </w:rPr>
        <w:t>.</w:t>
      </w:r>
    </w:p>
  </w:footnote>
  <w:footnote w:id="19">
    <w:p w:rsidR="007A0586" w:rsidRPr="00624AA2" w:rsidRDefault="005470FD" w:rsidP="00D64CF7">
      <w:pPr>
        <w:pStyle w:val="FootnoteText"/>
        <w:jc w:val="both"/>
        <w:rPr>
          <w:rFonts w:ascii="Arial" w:hAnsi="Arial" w:cs="Arial"/>
        </w:rPr>
      </w:pPr>
      <w:r>
        <w:rPr>
          <w:rStyle w:val="FootnoteReference"/>
        </w:rPr>
        <w:footnoteRef/>
      </w:r>
      <w:r>
        <w:t xml:space="preserve"> </w:t>
      </w:r>
      <w:r w:rsidRPr="00624AA2">
        <w:rPr>
          <w:rFonts w:ascii="Arial" w:hAnsi="Arial" w:cs="Arial"/>
          <w:i/>
        </w:rPr>
        <w:t>City of Tshwane Metropolitan Municipality v Afriforum and Another</w:t>
      </w:r>
      <w:r w:rsidRPr="00624AA2">
        <w:rPr>
          <w:rFonts w:ascii="Arial" w:hAnsi="Arial" w:cs="Arial"/>
        </w:rPr>
        <w:t xml:space="preserve"> (157/15) [2016] ZACC 19; 2016 (9) BCLR 1133 (CC); 2016 (6) SA 279 (CC) (21 July 2016)</w:t>
      </w:r>
      <w:r>
        <w:rPr>
          <w:rFonts w:ascii="Arial" w:hAnsi="Arial" w:cs="Arial"/>
        </w:rPr>
        <w:t>.</w:t>
      </w:r>
    </w:p>
  </w:footnote>
  <w:footnote w:id="20">
    <w:p w:rsidR="007A0586" w:rsidRPr="00624AA2" w:rsidRDefault="005470FD" w:rsidP="00D64CF7">
      <w:pPr>
        <w:pStyle w:val="FootnoteText"/>
        <w:jc w:val="both"/>
        <w:rPr>
          <w:rFonts w:ascii="Arial" w:hAnsi="Arial" w:cs="Arial"/>
        </w:rPr>
      </w:pPr>
      <w:r w:rsidRPr="00624AA2">
        <w:rPr>
          <w:rStyle w:val="FootnoteReference"/>
          <w:rFonts w:ascii="Arial" w:hAnsi="Arial" w:cs="Arial"/>
        </w:rPr>
        <w:footnoteRef/>
      </w:r>
      <w:r w:rsidRPr="00624AA2">
        <w:rPr>
          <w:rFonts w:ascii="Arial" w:hAnsi="Arial" w:cs="Arial"/>
        </w:rPr>
        <w:t xml:space="preserve"> </w:t>
      </w:r>
      <w:r w:rsidRPr="00624AA2">
        <w:rPr>
          <w:rFonts w:ascii="Arial" w:hAnsi="Arial" w:cs="Arial"/>
          <w:i/>
        </w:rPr>
        <w:t>President of Republic of Namibia and Others v Anhui Foreign Economic Construction Group Corporation Ltd and Another</w:t>
      </w:r>
      <w:r w:rsidRPr="00624AA2">
        <w:rPr>
          <w:rFonts w:ascii="Arial" w:hAnsi="Arial" w:cs="Arial"/>
        </w:rPr>
        <w:t xml:space="preserve"> (SA 59 of 2016) [2017] NASC 7 (28 March 2017)</w:t>
      </w:r>
      <w:r>
        <w:rPr>
          <w:rFonts w:ascii="Arial" w:hAnsi="Arial" w:cs="Arial"/>
        </w:rPr>
        <w:t>.</w:t>
      </w:r>
    </w:p>
  </w:footnote>
  <w:footnote w:id="21">
    <w:p w:rsidR="007A0586" w:rsidRPr="00624AA2" w:rsidRDefault="005470FD" w:rsidP="00D64CF7">
      <w:pPr>
        <w:pStyle w:val="FootnoteText"/>
        <w:jc w:val="both"/>
        <w:rPr>
          <w:rFonts w:ascii="Arial" w:hAnsi="Arial" w:cs="Arial"/>
        </w:rPr>
      </w:pPr>
      <w:r w:rsidRPr="00624AA2">
        <w:rPr>
          <w:rStyle w:val="FootnoteReference"/>
          <w:rFonts w:ascii="Arial" w:hAnsi="Arial" w:cs="Arial"/>
        </w:rPr>
        <w:footnoteRef/>
      </w:r>
      <w:r w:rsidRPr="00624AA2">
        <w:rPr>
          <w:rFonts w:ascii="Arial" w:hAnsi="Arial" w:cs="Arial"/>
        </w:rPr>
        <w:t xml:space="preserve"> </w:t>
      </w:r>
      <w:r w:rsidRPr="00624AA2">
        <w:rPr>
          <w:rFonts w:ascii="Arial" w:hAnsi="Arial" w:cs="Arial"/>
          <w:i/>
        </w:rPr>
        <w:t>Oudekraal Estates (Pty) Ltd v City of Cape Town and Others</w:t>
      </w:r>
      <w:r w:rsidRPr="00624AA2">
        <w:rPr>
          <w:rFonts w:ascii="Arial" w:hAnsi="Arial" w:cs="Arial"/>
        </w:rPr>
        <w:t xml:space="preserve"> (41/2003) [2004] ZASCA 48; [2004] 3 All SA 1 (SCA) (28 May 2004)</w:t>
      </w:r>
      <w:r>
        <w:rPr>
          <w:rFonts w:ascii="Arial" w:hAnsi="Arial" w:cs="Arial"/>
        </w:rPr>
        <w:t>.</w:t>
      </w:r>
    </w:p>
  </w:footnote>
  <w:footnote w:id="22">
    <w:p w:rsidR="007A0586" w:rsidRPr="007816A0" w:rsidRDefault="005470FD" w:rsidP="007816A0">
      <w:pPr>
        <w:pStyle w:val="FootnoteText"/>
        <w:jc w:val="both"/>
        <w:rPr>
          <w:rFonts w:ascii="Arial" w:hAnsi="Arial" w:cs="Arial"/>
        </w:rPr>
      </w:pPr>
      <w:r w:rsidRPr="007816A0">
        <w:rPr>
          <w:rStyle w:val="FootnoteReference"/>
          <w:rFonts w:ascii="Arial" w:hAnsi="Arial" w:cs="Arial"/>
        </w:rPr>
        <w:footnoteRef/>
      </w:r>
      <w:r w:rsidRPr="007816A0">
        <w:rPr>
          <w:rFonts w:ascii="Arial" w:hAnsi="Arial" w:cs="Arial"/>
        </w:rPr>
        <w:t xml:space="preserve"> </w:t>
      </w:r>
      <w:r w:rsidRPr="007816A0">
        <w:rPr>
          <w:rFonts w:ascii="Arial" w:hAnsi="Arial" w:cs="Arial"/>
          <w:i/>
        </w:rPr>
        <w:t>New Era Investment (PTY) LTD v Roads Authority and Others</w:t>
      </w:r>
      <w:r w:rsidRPr="007816A0">
        <w:rPr>
          <w:rFonts w:ascii="Arial" w:hAnsi="Arial" w:cs="Arial"/>
        </w:rPr>
        <w:t xml:space="preserve"> (8 of 2014) [2017] NASC 36 (8 September 2017</w:t>
      </w:r>
      <w:r>
        <w:rPr>
          <w:rFonts w:ascii="Arial" w:hAnsi="Arial" w:cs="Arial"/>
        </w:rPr>
        <w:t>.</w:t>
      </w:r>
    </w:p>
  </w:footnote>
  <w:footnote w:id="23">
    <w:p w:rsidR="007A0586" w:rsidRPr="007816A0" w:rsidRDefault="005470FD" w:rsidP="007816A0">
      <w:pPr>
        <w:pStyle w:val="FootnoteText"/>
        <w:jc w:val="both"/>
        <w:rPr>
          <w:rFonts w:ascii="Arial" w:hAnsi="Arial" w:cs="Arial"/>
        </w:rPr>
      </w:pPr>
      <w:r w:rsidRPr="007816A0">
        <w:rPr>
          <w:rStyle w:val="FootnoteReference"/>
          <w:rFonts w:ascii="Arial" w:hAnsi="Arial" w:cs="Arial"/>
        </w:rPr>
        <w:footnoteRef/>
      </w:r>
      <w:r w:rsidRPr="007816A0">
        <w:rPr>
          <w:rFonts w:ascii="Arial" w:hAnsi="Arial" w:cs="Arial"/>
        </w:rPr>
        <w:t xml:space="preserve"> </w:t>
      </w:r>
      <w:r w:rsidRPr="007816A0">
        <w:rPr>
          <w:rFonts w:ascii="Arial" w:hAnsi="Arial" w:cs="Arial"/>
          <w:i/>
        </w:rPr>
        <w:t>Namibia Airports Company Limited v Menzies Aviation Namibia (Pty) Ltd and Another</w:t>
      </w:r>
      <w:r w:rsidRPr="007816A0">
        <w:rPr>
          <w:rFonts w:ascii="Arial" w:hAnsi="Arial" w:cs="Arial"/>
        </w:rPr>
        <w:t xml:space="preserve"> (HC-MD-CIV-MOT-GEN-2022/00233)[2022] NAHCMD 403 (11 August 2022)</w:t>
      </w:r>
      <w:r>
        <w:rPr>
          <w:rFonts w:ascii="Arial" w:hAnsi="Arial" w:cs="Arial"/>
        </w:rPr>
        <w:t>.</w:t>
      </w:r>
    </w:p>
  </w:footnote>
  <w:footnote w:id="24">
    <w:p w:rsidR="007A0586" w:rsidRPr="007816A0" w:rsidRDefault="005470FD">
      <w:pPr>
        <w:pStyle w:val="FootnoteText"/>
        <w:rPr>
          <w:rFonts w:ascii="Arial" w:hAnsi="Arial" w:cs="Arial"/>
        </w:rPr>
      </w:pPr>
      <w:r w:rsidRPr="007816A0">
        <w:rPr>
          <w:rStyle w:val="FootnoteReference"/>
          <w:rFonts w:ascii="Arial" w:hAnsi="Arial" w:cs="Arial"/>
        </w:rPr>
        <w:footnoteRef/>
      </w:r>
      <w:r w:rsidRPr="007816A0">
        <w:rPr>
          <w:rFonts w:ascii="Arial" w:hAnsi="Arial" w:cs="Arial"/>
        </w:rPr>
        <w:t xml:space="preserve"> Supra</w:t>
      </w:r>
      <w:r>
        <w:rPr>
          <w:rFonts w:ascii="Arial" w:hAnsi="Arial" w:cs="Arial"/>
        </w:rPr>
        <w:t>.</w:t>
      </w:r>
    </w:p>
  </w:footnote>
  <w:footnote w:id="25">
    <w:p w:rsidR="007A0586" w:rsidRPr="007816A0" w:rsidRDefault="005470FD">
      <w:pPr>
        <w:pStyle w:val="FootnoteText"/>
        <w:rPr>
          <w:rFonts w:ascii="Arial" w:hAnsi="Arial" w:cs="Arial"/>
        </w:rPr>
      </w:pPr>
      <w:r w:rsidRPr="007816A0">
        <w:rPr>
          <w:rStyle w:val="FootnoteReference"/>
          <w:rFonts w:ascii="Arial" w:hAnsi="Arial" w:cs="Arial"/>
        </w:rPr>
        <w:footnoteRef/>
      </w:r>
      <w:r w:rsidRPr="007816A0">
        <w:rPr>
          <w:rFonts w:ascii="Arial" w:hAnsi="Arial" w:cs="Arial"/>
        </w:rPr>
        <w:t xml:space="preserve"> </w:t>
      </w:r>
      <w:r w:rsidRPr="007816A0">
        <w:rPr>
          <w:rFonts w:ascii="Arial" w:hAnsi="Arial" w:cs="Arial"/>
          <w:i/>
        </w:rPr>
        <w:t>Jantjies v Jantjies and Others</w:t>
      </w:r>
      <w:r w:rsidRPr="007816A0">
        <w:rPr>
          <w:rFonts w:ascii="Arial" w:hAnsi="Arial" w:cs="Arial"/>
        </w:rPr>
        <w:t xml:space="preserve"> 2001 NR 26 (HC) at p30 E-H</w:t>
      </w:r>
      <w:r>
        <w:rPr>
          <w:rFonts w:ascii="Arial" w:hAnsi="Arial" w:cs="Arial"/>
        </w:rPr>
        <w:t>.</w:t>
      </w:r>
    </w:p>
  </w:footnote>
  <w:footnote w:id="26">
    <w:p w:rsidR="007A0586" w:rsidRPr="007816A0" w:rsidRDefault="005470FD">
      <w:pPr>
        <w:pStyle w:val="FootnoteText"/>
        <w:rPr>
          <w:rFonts w:ascii="Arial" w:hAnsi="Arial" w:cs="Arial"/>
        </w:rPr>
      </w:pPr>
      <w:r>
        <w:rPr>
          <w:rStyle w:val="FootnoteReference"/>
        </w:rPr>
        <w:footnoteRef/>
      </w:r>
      <w:r w:rsidRPr="007816A0">
        <w:rPr>
          <w:rFonts w:ascii="Arial" w:hAnsi="Arial" w:cs="Arial"/>
          <w:i/>
        </w:rPr>
        <w:t>Mushwena v Government of the Republic of Namibia</w:t>
      </w:r>
      <w:r w:rsidRPr="007816A0">
        <w:rPr>
          <w:rFonts w:ascii="Arial" w:hAnsi="Arial" w:cs="Arial"/>
        </w:rPr>
        <w:t xml:space="preserve"> 2004 NR 94</w:t>
      </w:r>
      <w:r>
        <w:rPr>
          <w:rFonts w:ascii="Arial" w:hAnsi="Arial" w:cs="Arial"/>
        </w:rPr>
        <w:t>.</w:t>
      </w:r>
    </w:p>
  </w:footnote>
  <w:footnote w:id="27">
    <w:p w:rsidR="007A0586" w:rsidRPr="00A47D04" w:rsidRDefault="005470FD">
      <w:pPr>
        <w:pStyle w:val="FootnoteText"/>
        <w:rPr>
          <w:rFonts w:ascii="Arial" w:hAnsi="Arial" w:cs="Arial"/>
        </w:rPr>
      </w:pPr>
      <w:r w:rsidRPr="007816A0">
        <w:rPr>
          <w:rStyle w:val="FootnoteReference"/>
          <w:rFonts w:ascii="Arial" w:hAnsi="Arial" w:cs="Arial"/>
        </w:rPr>
        <w:footnoteRef/>
      </w:r>
      <w:r w:rsidR="00A47D04">
        <w:rPr>
          <w:rFonts w:ascii="Arial" w:hAnsi="Arial" w:cs="Arial"/>
        </w:rPr>
        <w:t xml:space="preserve"> </w:t>
      </w:r>
      <w:r w:rsidR="00A47D04" w:rsidRPr="00A47D04">
        <w:rPr>
          <w:rFonts w:ascii="Arial" w:hAnsi="Arial" w:cs="Arial"/>
          <w:i/>
        </w:rPr>
        <w:t>Kapia v Minister of Urban and Rural Development</w:t>
      </w:r>
      <w:r w:rsidR="00A47D04" w:rsidRPr="00A47D04">
        <w:rPr>
          <w:rFonts w:ascii="Arial" w:hAnsi="Arial" w:cs="Arial"/>
        </w:rPr>
        <w:t xml:space="preserve"> (HC-MD-CIV-MOT- REV- 2019/00395) [2022] NAHCMD 47 (13 February 2023)</w:t>
      </w:r>
      <w:r w:rsidR="00A47D04">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73688"/>
      <w:docPartObj>
        <w:docPartGallery w:val="Page Numbers (Top of Page)"/>
        <w:docPartUnique/>
      </w:docPartObj>
    </w:sdtPr>
    <w:sdtEndPr/>
    <w:sdtContent>
      <w:p w:rsidR="007A0586" w:rsidRDefault="005470FD">
        <w:pPr>
          <w:pStyle w:val="Header"/>
          <w:jc w:val="right"/>
        </w:pPr>
        <w:r>
          <w:fldChar w:fldCharType="begin"/>
        </w:r>
        <w:r>
          <w:instrText xml:space="preserve"> PAGE   \* MERGEFORMAT </w:instrText>
        </w:r>
        <w:r>
          <w:fldChar w:fldCharType="separate"/>
        </w:r>
        <w:r w:rsidR="00306467">
          <w:rPr>
            <w:noProof/>
          </w:rPr>
          <w:t>2</w:t>
        </w:r>
        <w:r>
          <w:rPr>
            <w:noProof/>
          </w:rPr>
          <w:fldChar w:fldCharType="end"/>
        </w:r>
      </w:p>
    </w:sdtContent>
  </w:sdt>
  <w:p w:rsidR="007A0586" w:rsidRDefault="007A0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C03"/>
    <w:multiLevelType w:val="hybridMultilevel"/>
    <w:tmpl w:val="C1265AFE"/>
    <w:lvl w:ilvl="0" w:tplc="B658E16A">
      <w:start w:val="1"/>
      <w:numFmt w:val="lowerLetter"/>
      <w:lvlText w:val="(%1)"/>
      <w:lvlJc w:val="left"/>
      <w:pPr>
        <w:ind w:left="1440" w:hanging="720"/>
      </w:pPr>
      <w:rPr>
        <w:rFonts w:ascii="Arial" w:eastAsiaTheme="minorHAnsi" w:hAnsi="Arial" w:cs="Arial"/>
      </w:rPr>
    </w:lvl>
    <w:lvl w:ilvl="1" w:tplc="2CC04B20" w:tentative="1">
      <w:start w:val="1"/>
      <w:numFmt w:val="lowerLetter"/>
      <w:lvlText w:val="%2."/>
      <w:lvlJc w:val="left"/>
      <w:pPr>
        <w:ind w:left="1800" w:hanging="360"/>
      </w:pPr>
    </w:lvl>
    <w:lvl w:ilvl="2" w:tplc="7958B784" w:tentative="1">
      <w:start w:val="1"/>
      <w:numFmt w:val="lowerRoman"/>
      <w:lvlText w:val="%3."/>
      <w:lvlJc w:val="right"/>
      <w:pPr>
        <w:ind w:left="2520" w:hanging="180"/>
      </w:pPr>
    </w:lvl>
    <w:lvl w:ilvl="3" w:tplc="CEFC1A9E" w:tentative="1">
      <w:start w:val="1"/>
      <w:numFmt w:val="decimal"/>
      <w:lvlText w:val="%4."/>
      <w:lvlJc w:val="left"/>
      <w:pPr>
        <w:ind w:left="3240" w:hanging="360"/>
      </w:pPr>
    </w:lvl>
    <w:lvl w:ilvl="4" w:tplc="6EBA6374" w:tentative="1">
      <w:start w:val="1"/>
      <w:numFmt w:val="lowerLetter"/>
      <w:lvlText w:val="%5."/>
      <w:lvlJc w:val="left"/>
      <w:pPr>
        <w:ind w:left="3960" w:hanging="360"/>
      </w:pPr>
    </w:lvl>
    <w:lvl w:ilvl="5" w:tplc="CAA25184" w:tentative="1">
      <w:start w:val="1"/>
      <w:numFmt w:val="lowerRoman"/>
      <w:lvlText w:val="%6."/>
      <w:lvlJc w:val="right"/>
      <w:pPr>
        <w:ind w:left="4680" w:hanging="180"/>
      </w:pPr>
    </w:lvl>
    <w:lvl w:ilvl="6" w:tplc="C2D60656" w:tentative="1">
      <w:start w:val="1"/>
      <w:numFmt w:val="decimal"/>
      <w:lvlText w:val="%7."/>
      <w:lvlJc w:val="left"/>
      <w:pPr>
        <w:ind w:left="5400" w:hanging="360"/>
      </w:pPr>
    </w:lvl>
    <w:lvl w:ilvl="7" w:tplc="7A429F36" w:tentative="1">
      <w:start w:val="1"/>
      <w:numFmt w:val="lowerLetter"/>
      <w:lvlText w:val="%8."/>
      <w:lvlJc w:val="left"/>
      <w:pPr>
        <w:ind w:left="6120" w:hanging="360"/>
      </w:pPr>
    </w:lvl>
    <w:lvl w:ilvl="8" w:tplc="4C42DA70"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7BE6B990">
      <w:start w:val="1"/>
      <w:numFmt w:val="lowerLetter"/>
      <w:lvlText w:val="(%1)"/>
      <w:lvlJc w:val="left"/>
      <w:pPr>
        <w:ind w:left="1440" w:hanging="720"/>
      </w:pPr>
      <w:rPr>
        <w:rFonts w:ascii="Arial" w:eastAsiaTheme="minorHAnsi" w:hAnsi="Arial" w:cs="Arial"/>
      </w:rPr>
    </w:lvl>
    <w:lvl w:ilvl="1" w:tplc="44EC6F2E" w:tentative="1">
      <w:start w:val="1"/>
      <w:numFmt w:val="lowerLetter"/>
      <w:lvlText w:val="%2."/>
      <w:lvlJc w:val="left"/>
      <w:pPr>
        <w:ind w:left="1800" w:hanging="360"/>
      </w:pPr>
    </w:lvl>
    <w:lvl w:ilvl="2" w:tplc="C7C0A4FE" w:tentative="1">
      <w:start w:val="1"/>
      <w:numFmt w:val="lowerRoman"/>
      <w:lvlText w:val="%3."/>
      <w:lvlJc w:val="right"/>
      <w:pPr>
        <w:ind w:left="2520" w:hanging="180"/>
      </w:pPr>
    </w:lvl>
    <w:lvl w:ilvl="3" w:tplc="375AE974" w:tentative="1">
      <w:start w:val="1"/>
      <w:numFmt w:val="decimal"/>
      <w:lvlText w:val="%4."/>
      <w:lvlJc w:val="left"/>
      <w:pPr>
        <w:ind w:left="3240" w:hanging="360"/>
      </w:pPr>
    </w:lvl>
    <w:lvl w:ilvl="4" w:tplc="A2EEFDB0" w:tentative="1">
      <w:start w:val="1"/>
      <w:numFmt w:val="lowerLetter"/>
      <w:lvlText w:val="%5."/>
      <w:lvlJc w:val="left"/>
      <w:pPr>
        <w:ind w:left="3960" w:hanging="360"/>
      </w:pPr>
    </w:lvl>
    <w:lvl w:ilvl="5" w:tplc="EC2E42AA" w:tentative="1">
      <w:start w:val="1"/>
      <w:numFmt w:val="lowerRoman"/>
      <w:lvlText w:val="%6."/>
      <w:lvlJc w:val="right"/>
      <w:pPr>
        <w:ind w:left="4680" w:hanging="180"/>
      </w:pPr>
    </w:lvl>
    <w:lvl w:ilvl="6" w:tplc="DC4E4E2C" w:tentative="1">
      <w:start w:val="1"/>
      <w:numFmt w:val="decimal"/>
      <w:lvlText w:val="%7."/>
      <w:lvlJc w:val="left"/>
      <w:pPr>
        <w:ind w:left="5400" w:hanging="360"/>
      </w:pPr>
    </w:lvl>
    <w:lvl w:ilvl="7" w:tplc="76C02B8E" w:tentative="1">
      <w:start w:val="1"/>
      <w:numFmt w:val="lowerLetter"/>
      <w:lvlText w:val="%8."/>
      <w:lvlJc w:val="left"/>
      <w:pPr>
        <w:ind w:left="6120" w:hanging="360"/>
      </w:pPr>
    </w:lvl>
    <w:lvl w:ilvl="8" w:tplc="4476B66E" w:tentative="1">
      <w:start w:val="1"/>
      <w:numFmt w:val="lowerRoman"/>
      <w:lvlText w:val="%9."/>
      <w:lvlJc w:val="right"/>
      <w:pPr>
        <w:ind w:left="6840" w:hanging="180"/>
      </w:pPr>
    </w:lvl>
  </w:abstractNum>
  <w:abstractNum w:abstractNumId="2" w15:restartNumberingAfterBreak="0">
    <w:nsid w:val="06D54971"/>
    <w:multiLevelType w:val="hybridMultilevel"/>
    <w:tmpl w:val="7EF2ADEC"/>
    <w:lvl w:ilvl="0" w:tplc="BBCC1020">
      <w:start w:val="1"/>
      <w:numFmt w:val="decimal"/>
      <w:lvlText w:val="[%1]"/>
      <w:lvlJc w:val="left"/>
      <w:pPr>
        <w:ind w:left="720" w:hanging="360"/>
      </w:pPr>
      <w:rPr>
        <w:rFonts w:hint="default"/>
      </w:rPr>
    </w:lvl>
    <w:lvl w:ilvl="1" w:tplc="09C29AFA" w:tentative="1">
      <w:start w:val="1"/>
      <w:numFmt w:val="lowerLetter"/>
      <w:lvlText w:val="%2."/>
      <w:lvlJc w:val="left"/>
      <w:pPr>
        <w:ind w:left="1440" w:hanging="360"/>
      </w:pPr>
    </w:lvl>
    <w:lvl w:ilvl="2" w:tplc="E990BA58" w:tentative="1">
      <w:start w:val="1"/>
      <w:numFmt w:val="lowerRoman"/>
      <w:lvlText w:val="%3."/>
      <w:lvlJc w:val="right"/>
      <w:pPr>
        <w:ind w:left="2160" w:hanging="180"/>
      </w:pPr>
    </w:lvl>
    <w:lvl w:ilvl="3" w:tplc="462A25D4" w:tentative="1">
      <w:start w:val="1"/>
      <w:numFmt w:val="decimal"/>
      <w:lvlText w:val="%4."/>
      <w:lvlJc w:val="left"/>
      <w:pPr>
        <w:ind w:left="2880" w:hanging="360"/>
      </w:pPr>
    </w:lvl>
    <w:lvl w:ilvl="4" w:tplc="8612E478" w:tentative="1">
      <w:start w:val="1"/>
      <w:numFmt w:val="lowerLetter"/>
      <w:lvlText w:val="%5."/>
      <w:lvlJc w:val="left"/>
      <w:pPr>
        <w:ind w:left="3600" w:hanging="360"/>
      </w:pPr>
    </w:lvl>
    <w:lvl w:ilvl="5" w:tplc="940AE6B2" w:tentative="1">
      <w:start w:val="1"/>
      <w:numFmt w:val="lowerRoman"/>
      <w:lvlText w:val="%6."/>
      <w:lvlJc w:val="right"/>
      <w:pPr>
        <w:ind w:left="4320" w:hanging="180"/>
      </w:pPr>
    </w:lvl>
    <w:lvl w:ilvl="6" w:tplc="BF92E442" w:tentative="1">
      <w:start w:val="1"/>
      <w:numFmt w:val="decimal"/>
      <w:lvlText w:val="%7."/>
      <w:lvlJc w:val="left"/>
      <w:pPr>
        <w:ind w:left="5040" w:hanging="360"/>
      </w:pPr>
    </w:lvl>
    <w:lvl w:ilvl="7" w:tplc="734A5AB2" w:tentative="1">
      <w:start w:val="1"/>
      <w:numFmt w:val="lowerLetter"/>
      <w:lvlText w:val="%8."/>
      <w:lvlJc w:val="left"/>
      <w:pPr>
        <w:ind w:left="5760" w:hanging="360"/>
      </w:pPr>
    </w:lvl>
    <w:lvl w:ilvl="8" w:tplc="F0F0D4A2" w:tentative="1">
      <w:start w:val="1"/>
      <w:numFmt w:val="lowerRoman"/>
      <w:lvlText w:val="%9."/>
      <w:lvlJc w:val="right"/>
      <w:pPr>
        <w:ind w:left="6480" w:hanging="180"/>
      </w:pPr>
    </w:lvl>
  </w:abstractNum>
  <w:abstractNum w:abstractNumId="3" w15:restartNumberingAfterBreak="0">
    <w:nsid w:val="10F0690F"/>
    <w:multiLevelType w:val="hybridMultilevel"/>
    <w:tmpl w:val="5818E52E"/>
    <w:lvl w:ilvl="0" w:tplc="B3E6188A">
      <w:start w:val="1"/>
      <w:numFmt w:val="decimal"/>
      <w:lvlText w:val="[%1]"/>
      <w:lvlJc w:val="left"/>
      <w:pPr>
        <w:ind w:left="720" w:hanging="360"/>
      </w:pPr>
      <w:rPr>
        <w:rFonts w:hint="default"/>
      </w:rPr>
    </w:lvl>
    <w:lvl w:ilvl="1" w:tplc="DA9E6104" w:tentative="1">
      <w:start w:val="1"/>
      <w:numFmt w:val="lowerLetter"/>
      <w:lvlText w:val="%2."/>
      <w:lvlJc w:val="left"/>
      <w:pPr>
        <w:ind w:left="1440" w:hanging="360"/>
      </w:pPr>
    </w:lvl>
    <w:lvl w:ilvl="2" w:tplc="39EEBBA2" w:tentative="1">
      <w:start w:val="1"/>
      <w:numFmt w:val="lowerRoman"/>
      <w:lvlText w:val="%3."/>
      <w:lvlJc w:val="right"/>
      <w:pPr>
        <w:ind w:left="2160" w:hanging="180"/>
      </w:pPr>
    </w:lvl>
    <w:lvl w:ilvl="3" w:tplc="EC7E260C" w:tentative="1">
      <w:start w:val="1"/>
      <w:numFmt w:val="decimal"/>
      <w:lvlText w:val="%4."/>
      <w:lvlJc w:val="left"/>
      <w:pPr>
        <w:ind w:left="2880" w:hanging="360"/>
      </w:pPr>
    </w:lvl>
    <w:lvl w:ilvl="4" w:tplc="E0D4AF92" w:tentative="1">
      <w:start w:val="1"/>
      <w:numFmt w:val="lowerLetter"/>
      <w:lvlText w:val="%5."/>
      <w:lvlJc w:val="left"/>
      <w:pPr>
        <w:ind w:left="3600" w:hanging="360"/>
      </w:pPr>
    </w:lvl>
    <w:lvl w:ilvl="5" w:tplc="E3E41F44" w:tentative="1">
      <w:start w:val="1"/>
      <w:numFmt w:val="lowerRoman"/>
      <w:lvlText w:val="%6."/>
      <w:lvlJc w:val="right"/>
      <w:pPr>
        <w:ind w:left="4320" w:hanging="180"/>
      </w:pPr>
    </w:lvl>
    <w:lvl w:ilvl="6" w:tplc="F2BC9BC4" w:tentative="1">
      <w:start w:val="1"/>
      <w:numFmt w:val="decimal"/>
      <w:lvlText w:val="%7."/>
      <w:lvlJc w:val="left"/>
      <w:pPr>
        <w:ind w:left="5040" w:hanging="360"/>
      </w:pPr>
    </w:lvl>
    <w:lvl w:ilvl="7" w:tplc="1706ADD4" w:tentative="1">
      <w:start w:val="1"/>
      <w:numFmt w:val="lowerLetter"/>
      <w:lvlText w:val="%8."/>
      <w:lvlJc w:val="left"/>
      <w:pPr>
        <w:ind w:left="5760" w:hanging="360"/>
      </w:pPr>
    </w:lvl>
    <w:lvl w:ilvl="8" w:tplc="0BAC28C2" w:tentative="1">
      <w:start w:val="1"/>
      <w:numFmt w:val="lowerRoman"/>
      <w:lvlText w:val="%9."/>
      <w:lvlJc w:val="right"/>
      <w:pPr>
        <w:ind w:left="6480" w:hanging="180"/>
      </w:pPr>
    </w:lvl>
  </w:abstractNum>
  <w:abstractNum w:abstractNumId="4" w15:restartNumberingAfterBreak="0">
    <w:nsid w:val="1FB109B9"/>
    <w:multiLevelType w:val="multilevel"/>
    <w:tmpl w:val="5D7E3A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F26E28"/>
    <w:multiLevelType w:val="hybridMultilevel"/>
    <w:tmpl w:val="7EFCFDAA"/>
    <w:lvl w:ilvl="0" w:tplc="81A415EE">
      <w:start w:val="1"/>
      <w:numFmt w:val="decimal"/>
      <w:lvlText w:val="%1."/>
      <w:lvlJc w:val="left"/>
      <w:pPr>
        <w:ind w:left="720" w:hanging="360"/>
      </w:pPr>
      <w:rPr>
        <w:rFonts w:hint="default"/>
      </w:rPr>
    </w:lvl>
    <w:lvl w:ilvl="1" w:tplc="97FC12CC" w:tentative="1">
      <w:start w:val="1"/>
      <w:numFmt w:val="lowerLetter"/>
      <w:lvlText w:val="%2."/>
      <w:lvlJc w:val="left"/>
      <w:pPr>
        <w:ind w:left="1440" w:hanging="360"/>
      </w:pPr>
    </w:lvl>
    <w:lvl w:ilvl="2" w:tplc="80DE3F72" w:tentative="1">
      <w:start w:val="1"/>
      <w:numFmt w:val="lowerRoman"/>
      <w:lvlText w:val="%3."/>
      <w:lvlJc w:val="right"/>
      <w:pPr>
        <w:ind w:left="2160" w:hanging="180"/>
      </w:pPr>
    </w:lvl>
    <w:lvl w:ilvl="3" w:tplc="8888622A" w:tentative="1">
      <w:start w:val="1"/>
      <w:numFmt w:val="decimal"/>
      <w:lvlText w:val="%4."/>
      <w:lvlJc w:val="left"/>
      <w:pPr>
        <w:ind w:left="2880" w:hanging="360"/>
      </w:pPr>
    </w:lvl>
    <w:lvl w:ilvl="4" w:tplc="6630D07E" w:tentative="1">
      <w:start w:val="1"/>
      <w:numFmt w:val="lowerLetter"/>
      <w:lvlText w:val="%5."/>
      <w:lvlJc w:val="left"/>
      <w:pPr>
        <w:ind w:left="3600" w:hanging="360"/>
      </w:pPr>
    </w:lvl>
    <w:lvl w:ilvl="5" w:tplc="068444B6" w:tentative="1">
      <w:start w:val="1"/>
      <w:numFmt w:val="lowerRoman"/>
      <w:lvlText w:val="%6."/>
      <w:lvlJc w:val="right"/>
      <w:pPr>
        <w:ind w:left="4320" w:hanging="180"/>
      </w:pPr>
    </w:lvl>
    <w:lvl w:ilvl="6" w:tplc="4B24F82C" w:tentative="1">
      <w:start w:val="1"/>
      <w:numFmt w:val="decimal"/>
      <w:lvlText w:val="%7."/>
      <w:lvlJc w:val="left"/>
      <w:pPr>
        <w:ind w:left="5040" w:hanging="360"/>
      </w:pPr>
    </w:lvl>
    <w:lvl w:ilvl="7" w:tplc="32A8CA10" w:tentative="1">
      <w:start w:val="1"/>
      <w:numFmt w:val="lowerLetter"/>
      <w:lvlText w:val="%8."/>
      <w:lvlJc w:val="left"/>
      <w:pPr>
        <w:ind w:left="5760" w:hanging="360"/>
      </w:pPr>
    </w:lvl>
    <w:lvl w:ilvl="8" w:tplc="685E4876" w:tentative="1">
      <w:start w:val="1"/>
      <w:numFmt w:val="lowerRoman"/>
      <w:lvlText w:val="%9."/>
      <w:lvlJc w:val="right"/>
      <w:pPr>
        <w:ind w:left="6480" w:hanging="180"/>
      </w:pPr>
    </w:lvl>
  </w:abstractNum>
  <w:abstractNum w:abstractNumId="6" w15:restartNumberingAfterBreak="0">
    <w:nsid w:val="2A0134EF"/>
    <w:multiLevelType w:val="hybridMultilevel"/>
    <w:tmpl w:val="7E24A502"/>
    <w:lvl w:ilvl="0" w:tplc="49D4A520">
      <w:start w:val="1"/>
      <w:numFmt w:val="lowerRoman"/>
      <w:lvlText w:val="(%1)"/>
      <w:lvlJc w:val="left"/>
      <w:pPr>
        <w:ind w:left="1080" w:hanging="720"/>
      </w:pPr>
      <w:rPr>
        <w:rFonts w:hint="default"/>
      </w:rPr>
    </w:lvl>
    <w:lvl w:ilvl="1" w:tplc="405A1F0C" w:tentative="1">
      <w:start w:val="1"/>
      <w:numFmt w:val="lowerLetter"/>
      <w:lvlText w:val="%2."/>
      <w:lvlJc w:val="left"/>
      <w:pPr>
        <w:ind w:left="1440" w:hanging="360"/>
      </w:pPr>
    </w:lvl>
    <w:lvl w:ilvl="2" w:tplc="6C0A4E5E" w:tentative="1">
      <w:start w:val="1"/>
      <w:numFmt w:val="lowerRoman"/>
      <w:lvlText w:val="%3."/>
      <w:lvlJc w:val="right"/>
      <w:pPr>
        <w:ind w:left="2160" w:hanging="180"/>
      </w:pPr>
    </w:lvl>
    <w:lvl w:ilvl="3" w:tplc="D71CF9F6" w:tentative="1">
      <w:start w:val="1"/>
      <w:numFmt w:val="decimal"/>
      <w:lvlText w:val="%4."/>
      <w:lvlJc w:val="left"/>
      <w:pPr>
        <w:ind w:left="2880" w:hanging="360"/>
      </w:pPr>
    </w:lvl>
    <w:lvl w:ilvl="4" w:tplc="0D76B506" w:tentative="1">
      <w:start w:val="1"/>
      <w:numFmt w:val="lowerLetter"/>
      <w:lvlText w:val="%5."/>
      <w:lvlJc w:val="left"/>
      <w:pPr>
        <w:ind w:left="3600" w:hanging="360"/>
      </w:pPr>
    </w:lvl>
    <w:lvl w:ilvl="5" w:tplc="282C7DAA" w:tentative="1">
      <w:start w:val="1"/>
      <w:numFmt w:val="lowerRoman"/>
      <w:lvlText w:val="%6."/>
      <w:lvlJc w:val="right"/>
      <w:pPr>
        <w:ind w:left="4320" w:hanging="180"/>
      </w:pPr>
    </w:lvl>
    <w:lvl w:ilvl="6" w:tplc="623AC016" w:tentative="1">
      <w:start w:val="1"/>
      <w:numFmt w:val="decimal"/>
      <w:lvlText w:val="%7."/>
      <w:lvlJc w:val="left"/>
      <w:pPr>
        <w:ind w:left="5040" w:hanging="360"/>
      </w:pPr>
    </w:lvl>
    <w:lvl w:ilvl="7" w:tplc="7BAAC886" w:tentative="1">
      <w:start w:val="1"/>
      <w:numFmt w:val="lowerLetter"/>
      <w:lvlText w:val="%8."/>
      <w:lvlJc w:val="left"/>
      <w:pPr>
        <w:ind w:left="5760" w:hanging="360"/>
      </w:pPr>
    </w:lvl>
    <w:lvl w:ilvl="8" w:tplc="65F4D2AA" w:tentative="1">
      <w:start w:val="1"/>
      <w:numFmt w:val="lowerRoman"/>
      <w:lvlText w:val="%9."/>
      <w:lvlJc w:val="right"/>
      <w:pPr>
        <w:ind w:left="6480" w:hanging="180"/>
      </w:pPr>
    </w:lvl>
  </w:abstractNum>
  <w:abstractNum w:abstractNumId="7" w15:restartNumberingAfterBreak="0">
    <w:nsid w:val="3645381C"/>
    <w:multiLevelType w:val="hybridMultilevel"/>
    <w:tmpl w:val="DA34A6E2"/>
    <w:lvl w:ilvl="0" w:tplc="6582A2B4">
      <w:start w:val="13"/>
      <w:numFmt w:val="decimal"/>
      <w:lvlText w:val="%1."/>
      <w:lvlJc w:val="left"/>
      <w:pPr>
        <w:ind w:left="720" w:hanging="360"/>
      </w:pPr>
      <w:rPr>
        <w:rFonts w:hint="default"/>
      </w:rPr>
    </w:lvl>
    <w:lvl w:ilvl="1" w:tplc="6E8A0B34" w:tentative="1">
      <w:start w:val="1"/>
      <w:numFmt w:val="lowerLetter"/>
      <w:lvlText w:val="%2."/>
      <w:lvlJc w:val="left"/>
      <w:pPr>
        <w:ind w:left="1440" w:hanging="360"/>
      </w:pPr>
    </w:lvl>
    <w:lvl w:ilvl="2" w:tplc="2F02AA46" w:tentative="1">
      <w:start w:val="1"/>
      <w:numFmt w:val="lowerRoman"/>
      <w:lvlText w:val="%3."/>
      <w:lvlJc w:val="right"/>
      <w:pPr>
        <w:ind w:left="2160" w:hanging="180"/>
      </w:pPr>
    </w:lvl>
    <w:lvl w:ilvl="3" w:tplc="C15434A4" w:tentative="1">
      <w:start w:val="1"/>
      <w:numFmt w:val="decimal"/>
      <w:lvlText w:val="%4."/>
      <w:lvlJc w:val="left"/>
      <w:pPr>
        <w:ind w:left="2880" w:hanging="360"/>
      </w:pPr>
    </w:lvl>
    <w:lvl w:ilvl="4" w:tplc="F61046BE" w:tentative="1">
      <w:start w:val="1"/>
      <w:numFmt w:val="lowerLetter"/>
      <w:lvlText w:val="%5."/>
      <w:lvlJc w:val="left"/>
      <w:pPr>
        <w:ind w:left="3600" w:hanging="360"/>
      </w:pPr>
    </w:lvl>
    <w:lvl w:ilvl="5" w:tplc="63288000" w:tentative="1">
      <w:start w:val="1"/>
      <w:numFmt w:val="lowerRoman"/>
      <w:lvlText w:val="%6."/>
      <w:lvlJc w:val="right"/>
      <w:pPr>
        <w:ind w:left="4320" w:hanging="180"/>
      </w:pPr>
    </w:lvl>
    <w:lvl w:ilvl="6" w:tplc="FA984FB6" w:tentative="1">
      <w:start w:val="1"/>
      <w:numFmt w:val="decimal"/>
      <w:lvlText w:val="%7."/>
      <w:lvlJc w:val="left"/>
      <w:pPr>
        <w:ind w:left="5040" w:hanging="360"/>
      </w:pPr>
    </w:lvl>
    <w:lvl w:ilvl="7" w:tplc="62E6866C" w:tentative="1">
      <w:start w:val="1"/>
      <w:numFmt w:val="lowerLetter"/>
      <w:lvlText w:val="%8."/>
      <w:lvlJc w:val="left"/>
      <w:pPr>
        <w:ind w:left="5760" w:hanging="360"/>
      </w:pPr>
    </w:lvl>
    <w:lvl w:ilvl="8" w:tplc="729AFCCC" w:tentative="1">
      <w:start w:val="1"/>
      <w:numFmt w:val="lowerRoman"/>
      <w:lvlText w:val="%9."/>
      <w:lvlJc w:val="right"/>
      <w:pPr>
        <w:ind w:left="6480" w:hanging="180"/>
      </w:pPr>
    </w:lvl>
  </w:abstractNum>
  <w:abstractNum w:abstractNumId="8" w15:restartNumberingAfterBreak="0">
    <w:nsid w:val="36CD2674"/>
    <w:multiLevelType w:val="hybridMultilevel"/>
    <w:tmpl w:val="25EE9B9C"/>
    <w:lvl w:ilvl="0" w:tplc="2D28DB96">
      <w:start w:val="1"/>
      <w:numFmt w:val="decimal"/>
      <w:lvlText w:val="%1."/>
      <w:lvlJc w:val="left"/>
      <w:pPr>
        <w:ind w:left="720" w:hanging="360"/>
      </w:pPr>
      <w:rPr>
        <w:rFonts w:hint="default"/>
      </w:rPr>
    </w:lvl>
    <w:lvl w:ilvl="1" w:tplc="C9F8ECE0" w:tentative="1">
      <w:start w:val="1"/>
      <w:numFmt w:val="lowerLetter"/>
      <w:lvlText w:val="%2."/>
      <w:lvlJc w:val="left"/>
      <w:pPr>
        <w:ind w:left="1440" w:hanging="360"/>
      </w:pPr>
    </w:lvl>
    <w:lvl w:ilvl="2" w:tplc="FEB88076" w:tentative="1">
      <w:start w:val="1"/>
      <w:numFmt w:val="lowerRoman"/>
      <w:lvlText w:val="%3."/>
      <w:lvlJc w:val="right"/>
      <w:pPr>
        <w:ind w:left="2160" w:hanging="180"/>
      </w:pPr>
    </w:lvl>
    <w:lvl w:ilvl="3" w:tplc="BA04D3B4" w:tentative="1">
      <w:start w:val="1"/>
      <w:numFmt w:val="decimal"/>
      <w:lvlText w:val="%4."/>
      <w:lvlJc w:val="left"/>
      <w:pPr>
        <w:ind w:left="2880" w:hanging="360"/>
      </w:pPr>
    </w:lvl>
    <w:lvl w:ilvl="4" w:tplc="1878FBCC" w:tentative="1">
      <w:start w:val="1"/>
      <w:numFmt w:val="lowerLetter"/>
      <w:lvlText w:val="%5."/>
      <w:lvlJc w:val="left"/>
      <w:pPr>
        <w:ind w:left="3600" w:hanging="360"/>
      </w:pPr>
    </w:lvl>
    <w:lvl w:ilvl="5" w:tplc="8AE4F8A6" w:tentative="1">
      <w:start w:val="1"/>
      <w:numFmt w:val="lowerRoman"/>
      <w:lvlText w:val="%6."/>
      <w:lvlJc w:val="right"/>
      <w:pPr>
        <w:ind w:left="4320" w:hanging="180"/>
      </w:pPr>
    </w:lvl>
    <w:lvl w:ilvl="6" w:tplc="793EA61A" w:tentative="1">
      <w:start w:val="1"/>
      <w:numFmt w:val="decimal"/>
      <w:lvlText w:val="%7."/>
      <w:lvlJc w:val="left"/>
      <w:pPr>
        <w:ind w:left="5040" w:hanging="360"/>
      </w:pPr>
    </w:lvl>
    <w:lvl w:ilvl="7" w:tplc="A9E4083E" w:tentative="1">
      <w:start w:val="1"/>
      <w:numFmt w:val="lowerLetter"/>
      <w:lvlText w:val="%8."/>
      <w:lvlJc w:val="left"/>
      <w:pPr>
        <w:ind w:left="5760" w:hanging="360"/>
      </w:pPr>
    </w:lvl>
    <w:lvl w:ilvl="8" w:tplc="B1661726" w:tentative="1">
      <w:start w:val="1"/>
      <w:numFmt w:val="lowerRoman"/>
      <w:lvlText w:val="%9."/>
      <w:lvlJc w:val="right"/>
      <w:pPr>
        <w:ind w:left="6480" w:hanging="180"/>
      </w:pPr>
    </w:lvl>
  </w:abstractNum>
  <w:abstractNum w:abstractNumId="9" w15:restartNumberingAfterBreak="0">
    <w:nsid w:val="3B2D662B"/>
    <w:multiLevelType w:val="multilevel"/>
    <w:tmpl w:val="7348169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7C4BE4"/>
    <w:multiLevelType w:val="hybridMultilevel"/>
    <w:tmpl w:val="FE92C92A"/>
    <w:lvl w:ilvl="0" w:tplc="7FEE5014">
      <w:start w:val="1"/>
      <w:numFmt w:val="lowerRoman"/>
      <w:lvlText w:val="(%1)"/>
      <w:lvlJc w:val="left"/>
      <w:pPr>
        <w:ind w:left="1080" w:hanging="720"/>
      </w:pPr>
      <w:rPr>
        <w:rFonts w:hint="default"/>
      </w:rPr>
    </w:lvl>
    <w:lvl w:ilvl="1" w:tplc="91329B7C" w:tentative="1">
      <w:start w:val="1"/>
      <w:numFmt w:val="lowerLetter"/>
      <w:lvlText w:val="%2."/>
      <w:lvlJc w:val="left"/>
      <w:pPr>
        <w:ind w:left="1440" w:hanging="360"/>
      </w:pPr>
    </w:lvl>
    <w:lvl w:ilvl="2" w:tplc="4D5E5F9A" w:tentative="1">
      <w:start w:val="1"/>
      <w:numFmt w:val="lowerRoman"/>
      <w:lvlText w:val="%3."/>
      <w:lvlJc w:val="right"/>
      <w:pPr>
        <w:ind w:left="2160" w:hanging="180"/>
      </w:pPr>
    </w:lvl>
    <w:lvl w:ilvl="3" w:tplc="1B46C180" w:tentative="1">
      <w:start w:val="1"/>
      <w:numFmt w:val="decimal"/>
      <w:lvlText w:val="%4."/>
      <w:lvlJc w:val="left"/>
      <w:pPr>
        <w:ind w:left="2880" w:hanging="360"/>
      </w:pPr>
    </w:lvl>
    <w:lvl w:ilvl="4" w:tplc="DC22B1AA" w:tentative="1">
      <w:start w:val="1"/>
      <w:numFmt w:val="lowerLetter"/>
      <w:lvlText w:val="%5."/>
      <w:lvlJc w:val="left"/>
      <w:pPr>
        <w:ind w:left="3600" w:hanging="360"/>
      </w:pPr>
    </w:lvl>
    <w:lvl w:ilvl="5" w:tplc="5AA26BA4" w:tentative="1">
      <w:start w:val="1"/>
      <w:numFmt w:val="lowerRoman"/>
      <w:lvlText w:val="%6."/>
      <w:lvlJc w:val="right"/>
      <w:pPr>
        <w:ind w:left="4320" w:hanging="180"/>
      </w:pPr>
    </w:lvl>
    <w:lvl w:ilvl="6" w:tplc="EBDE223A" w:tentative="1">
      <w:start w:val="1"/>
      <w:numFmt w:val="decimal"/>
      <w:lvlText w:val="%7."/>
      <w:lvlJc w:val="left"/>
      <w:pPr>
        <w:ind w:left="5040" w:hanging="360"/>
      </w:pPr>
    </w:lvl>
    <w:lvl w:ilvl="7" w:tplc="87F4252E" w:tentative="1">
      <w:start w:val="1"/>
      <w:numFmt w:val="lowerLetter"/>
      <w:lvlText w:val="%8."/>
      <w:lvlJc w:val="left"/>
      <w:pPr>
        <w:ind w:left="5760" w:hanging="360"/>
      </w:pPr>
    </w:lvl>
    <w:lvl w:ilvl="8" w:tplc="9C8E8822" w:tentative="1">
      <w:start w:val="1"/>
      <w:numFmt w:val="lowerRoman"/>
      <w:lvlText w:val="%9."/>
      <w:lvlJc w:val="right"/>
      <w:pPr>
        <w:ind w:left="6480" w:hanging="180"/>
      </w:pPr>
    </w:lvl>
  </w:abstractNum>
  <w:abstractNum w:abstractNumId="11"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62A731F"/>
    <w:multiLevelType w:val="multilevel"/>
    <w:tmpl w:val="918632A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132C7"/>
    <w:multiLevelType w:val="hybridMultilevel"/>
    <w:tmpl w:val="C3CE4680"/>
    <w:lvl w:ilvl="0" w:tplc="21423956">
      <w:start w:val="25"/>
      <w:numFmt w:val="decimal"/>
      <w:lvlText w:val="[%1]"/>
      <w:lvlJc w:val="left"/>
      <w:pPr>
        <w:ind w:left="720" w:hanging="360"/>
      </w:pPr>
      <w:rPr>
        <w:rFonts w:hint="default"/>
      </w:rPr>
    </w:lvl>
    <w:lvl w:ilvl="1" w:tplc="E5DE393A" w:tentative="1">
      <w:start w:val="1"/>
      <w:numFmt w:val="lowerLetter"/>
      <w:lvlText w:val="%2."/>
      <w:lvlJc w:val="left"/>
      <w:pPr>
        <w:ind w:left="1440" w:hanging="360"/>
      </w:pPr>
    </w:lvl>
    <w:lvl w:ilvl="2" w:tplc="B5BEBBF8" w:tentative="1">
      <w:start w:val="1"/>
      <w:numFmt w:val="lowerRoman"/>
      <w:lvlText w:val="%3."/>
      <w:lvlJc w:val="right"/>
      <w:pPr>
        <w:ind w:left="2160" w:hanging="180"/>
      </w:pPr>
    </w:lvl>
    <w:lvl w:ilvl="3" w:tplc="AD16DAAE" w:tentative="1">
      <w:start w:val="1"/>
      <w:numFmt w:val="decimal"/>
      <w:lvlText w:val="%4."/>
      <w:lvlJc w:val="left"/>
      <w:pPr>
        <w:ind w:left="2880" w:hanging="360"/>
      </w:pPr>
    </w:lvl>
    <w:lvl w:ilvl="4" w:tplc="C6903082" w:tentative="1">
      <w:start w:val="1"/>
      <w:numFmt w:val="lowerLetter"/>
      <w:lvlText w:val="%5."/>
      <w:lvlJc w:val="left"/>
      <w:pPr>
        <w:ind w:left="3600" w:hanging="360"/>
      </w:pPr>
    </w:lvl>
    <w:lvl w:ilvl="5" w:tplc="779ADEF4" w:tentative="1">
      <w:start w:val="1"/>
      <w:numFmt w:val="lowerRoman"/>
      <w:lvlText w:val="%6."/>
      <w:lvlJc w:val="right"/>
      <w:pPr>
        <w:ind w:left="4320" w:hanging="180"/>
      </w:pPr>
    </w:lvl>
    <w:lvl w:ilvl="6" w:tplc="E392FC44" w:tentative="1">
      <w:start w:val="1"/>
      <w:numFmt w:val="decimal"/>
      <w:lvlText w:val="%7."/>
      <w:lvlJc w:val="left"/>
      <w:pPr>
        <w:ind w:left="5040" w:hanging="360"/>
      </w:pPr>
    </w:lvl>
    <w:lvl w:ilvl="7" w:tplc="6F36FB96" w:tentative="1">
      <w:start w:val="1"/>
      <w:numFmt w:val="lowerLetter"/>
      <w:lvlText w:val="%8."/>
      <w:lvlJc w:val="left"/>
      <w:pPr>
        <w:ind w:left="5760" w:hanging="360"/>
      </w:pPr>
    </w:lvl>
    <w:lvl w:ilvl="8" w:tplc="44D4C4E6" w:tentative="1">
      <w:start w:val="1"/>
      <w:numFmt w:val="lowerRoman"/>
      <w:lvlText w:val="%9."/>
      <w:lvlJc w:val="right"/>
      <w:pPr>
        <w:ind w:left="6480" w:hanging="180"/>
      </w:pPr>
    </w:lvl>
  </w:abstractNum>
  <w:abstractNum w:abstractNumId="14" w15:restartNumberingAfterBreak="0">
    <w:nsid w:val="4E317B03"/>
    <w:multiLevelType w:val="hybridMultilevel"/>
    <w:tmpl w:val="6B2E2D00"/>
    <w:lvl w:ilvl="0" w:tplc="8BBAFC1C">
      <w:start w:val="1"/>
      <w:numFmt w:val="lowerLetter"/>
      <w:lvlText w:val="(%1)"/>
      <w:lvlJc w:val="left"/>
      <w:pPr>
        <w:ind w:left="1080" w:hanging="720"/>
      </w:pPr>
      <w:rPr>
        <w:rFonts w:hint="default"/>
      </w:rPr>
    </w:lvl>
    <w:lvl w:ilvl="1" w:tplc="811226E2" w:tentative="1">
      <w:start w:val="1"/>
      <w:numFmt w:val="lowerLetter"/>
      <w:lvlText w:val="%2."/>
      <w:lvlJc w:val="left"/>
      <w:pPr>
        <w:ind w:left="1440" w:hanging="360"/>
      </w:pPr>
    </w:lvl>
    <w:lvl w:ilvl="2" w:tplc="EEBAF490" w:tentative="1">
      <w:start w:val="1"/>
      <w:numFmt w:val="lowerRoman"/>
      <w:lvlText w:val="%3."/>
      <w:lvlJc w:val="right"/>
      <w:pPr>
        <w:ind w:left="2160" w:hanging="180"/>
      </w:pPr>
    </w:lvl>
    <w:lvl w:ilvl="3" w:tplc="E9BEE402" w:tentative="1">
      <w:start w:val="1"/>
      <w:numFmt w:val="decimal"/>
      <w:lvlText w:val="%4."/>
      <w:lvlJc w:val="left"/>
      <w:pPr>
        <w:ind w:left="2880" w:hanging="360"/>
      </w:pPr>
    </w:lvl>
    <w:lvl w:ilvl="4" w:tplc="CED444CC" w:tentative="1">
      <w:start w:val="1"/>
      <w:numFmt w:val="lowerLetter"/>
      <w:lvlText w:val="%5."/>
      <w:lvlJc w:val="left"/>
      <w:pPr>
        <w:ind w:left="3600" w:hanging="360"/>
      </w:pPr>
    </w:lvl>
    <w:lvl w:ilvl="5" w:tplc="A07AFD1C" w:tentative="1">
      <w:start w:val="1"/>
      <w:numFmt w:val="lowerRoman"/>
      <w:lvlText w:val="%6."/>
      <w:lvlJc w:val="right"/>
      <w:pPr>
        <w:ind w:left="4320" w:hanging="180"/>
      </w:pPr>
    </w:lvl>
    <w:lvl w:ilvl="6" w:tplc="B40A7F98" w:tentative="1">
      <w:start w:val="1"/>
      <w:numFmt w:val="decimal"/>
      <w:lvlText w:val="%7."/>
      <w:lvlJc w:val="left"/>
      <w:pPr>
        <w:ind w:left="5040" w:hanging="360"/>
      </w:pPr>
    </w:lvl>
    <w:lvl w:ilvl="7" w:tplc="6674F394" w:tentative="1">
      <w:start w:val="1"/>
      <w:numFmt w:val="lowerLetter"/>
      <w:lvlText w:val="%8."/>
      <w:lvlJc w:val="left"/>
      <w:pPr>
        <w:ind w:left="5760" w:hanging="360"/>
      </w:pPr>
    </w:lvl>
    <w:lvl w:ilvl="8" w:tplc="3036CFC8" w:tentative="1">
      <w:start w:val="1"/>
      <w:numFmt w:val="lowerRoman"/>
      <w:lvlText w:val="%9."/>
      <w:lvlJc w:val="right"/>
      <w:pPr>
        <w:ind w:left="6480" w:hanging="180"/>
      </w:pPr>
    </w:lvl>
  </w:abstractNum>
  <w:abstractNum w:abstractNumId="15" w15:restartNumberingAfterBreak="0">
    <w:nsid w:val="4F901C63"/>
    <w:multiLevelType w:val="multilevel"/>
    <w:tmpl w:val="6AFCB1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E23048"/>
    <w:multiLevelType w:val="hybridMultilevel"/>
    <w:tmpl w:val="079E8F5A"/>
    <w:lvl w:ilvl="0" w:tplc="29F2A4B8">
      <w:start w:val="1"/>
      <w:numFmt w:val="decimal"/>
      <w:lvlText w:val="[%1]"/>
      <w:lvlJc w:val="left"/>
      <w:pPr>
        <w:ind w:left="720" w:hanging="360"/>
      </w:pPr>
      <w:rPr>
        <w:rFonts w:hint="default"/>
      </w:rPr>
    </w:lvl>
    <w:lvl w:ilvl="1" w:tplc="BDFADA3C" w:tentative="1">
      <w:start w:val="1"/>
      <w:numFmt w:val="lowerLetter"/>
      <w:lvlText w:val="%2."/>
      <w:lvlJc w:val="left"/>
      <w:pPr>
        <w:ind w:left="1440" w:hanging="360"/>
      </w:pPr>
    </w:lvl>
    <w:lvl w:ilvl="2" w:tplc="DADA585C" w:tentative="1">
      <w:start w:val="1"/>
      <w:numFmt w:val="lowerRoman"/>
      <w:lvlText w:val="%3."/>
      <w:lvlJc w:val="right"/>
      <w:pPr>
        <w:ind w:left="2160" w:hanging="180"/>
      </w:pPr>
    </w:lvl>
    <w:lvl w:ilvl="3" w:tplc="16F4CCFC" w:tentative="1">
      <w:start w:val="1"/>
      <w:numFmt w:val="decimal"/>
      <w:lvlText w:val="%4."/>
      <w:lvlJc w:val="left"/>
      <w:pPr>
        <w:ind w:left="2880" w:hanging="360"/>
      </w:pPr>
    </w:lvl>
    <w:lvl w:ilvl="4" w:tplc="75687F68" w:tentative="1">
      <w:start w:val="1"/>
      <w:numFmt w:val="lowerLetter"/>
      <w:lvlText w:val="%5."/>
      <w:lvlJc w:val="left"/>
      <w:pPr>
        <w:ind w:left="3600" w:hanging="360"/>
      </w:pPr>
    </w:lvl>
    <w:lvl w:ilvl="5" w:tplc="4B124680" w:tentative="1">
      <w:start w:val="1"/>
      <w:numFmt w:val="lowerRoman"/>
      <w:lvlText w:val="%6."/>
      <w:lvlJc w:val="right"/>
      <w:pPr>
        <w:ind w:left="4320" w:hanging="180"/>
      </w:pPr>
    </w:lvl>
    <w:lvl w:ilvl="6" w:tplc="2CA887D4" w:tentative="1">
      <w:start w:val="1"/>
      <w:numFmt w:val="decimal"/>
      <w:lvlText w:val="%7."/>
      <w:lvlJc w:val="left"/>
      <w:pPr>
        <w:ind w:left="5040" w:hanging="360"/>
      </w:pPr>
    </w:lvl>
    <w:lvl w:ilvl="7" w:tplc="4B1CDEFA" w:tentative="1">
      <w:start w:val="1"/>
      <w:numFmt w:val="lowerLetter"/>
      <w:lvlText w:val="%8."/>
      <w:lvlJc w:val="left"/>
      <w:pPr>
        <w:ind w:left="5760" w:hanging="360"/>
      </w:pPr>
    </w:lvl>
    <w:lvl w:ilvl="8" w:tplc="CD48F6F6" w:tentative="1">
      <w:start w:val="1"/>
      <w:numFmt w:val="lowerRoman"/>
      <w:lvlText w:val="%9."/>
      <w:lvlJc w:val="right"/>
      <w:pPr>
        <w:ind w:left="6480" w:hanging="180"/>
      </w:pPr>
    </w:lvl>
  </w:abstractNum>
  <w:abstractNum w:abstractNumId="17" w15:restartNumberingAfterBreak="0">
    <w:nsid w:val="53BF1182"/>
    <w:multiLevelType w:val="hybridMultilevel"/>
    <w:tmpl w:val="9AC63880"/>
    <w:lvl w:ilvl="0" w:tplc="313633B8">
      <w:start w:val="1"/>
      <w:numFmt w:val="decimal"/>
      <w:lvlText w:val="%1."/>
      <w:lvlJc w:val="left"/>
      <w:pPr>
        <w:ind w:left="360" w:hanging="360"/>
      </w:pPr>
    </w:lvl>
    <w:lvl w:ilvl="1" w:tplc="6932FE74" w:tentative="1">
      <w:start w:val="1"/>
      <w:numFmt w:val="lowerLetter"/>
      <w:lvlText w:val="%2."/>
      <w:lvlJc w:val="left"/>
      <w:pPr>
        <w:ind w:left="1080" w:hanging="360"/>
      </w:pPr>
    </w:lvl>
    <w:lvl w:ilvl="2" w:tplc="335A538A" w:tentative="1">
      <w:start w:val="1"/>
      <w:numFmt w:val="lowerRoman"/>
      <w:lvlText w:val="%3."/>
      <w:lvlJc w:val="right"/>
      <w:pPr>
        <w:ind w:left="1800" w:hanging="180"/>
      </w:pPr>
    </w:lvl>
    <w:lvl w:ilvl="3" w:tplc="34BEBB5C" w:tentative="1">
      <w:start w:val="1"/>
      <w:numFmt w:val="decimal"/>
      <w:lvlText w:val="%4."/>
      <w:lvlJc w:val="left"/>
      <w:pPr>
        <w:ind w:left="2520" w:hanging="360"/>
      </w:pPr>
    </w:lvl>
    <w:lvl w:ilvl="4" w:tplc="446AF72A" w:tentative="1">
      <w:start w:val="1"/>
      <w:numFmt w:val="lowerLetter"/>
      <w:lvlText w:val="%5."/>
      <w:lvlJc w:val="left"/>
      <w:pPr>
        <w:ind w:left="3240" w:hanging="360"/>
      </w:pPr>
    </w:lvl>
    <w:lvl w:ilvl="5" w:tplc="AAAC15A4" w:tentative="1">
      <w:start w:val="1"/>
      <w:numFmt w:val="lowerRoman"/>
      <w:lvlText w:val="%6."/>
      <w:lvlJc w:val="right"/>
      <w:pPr>
        <w:ind w:left="3960" w:hanging="180"/>
      </w:pPr>
    </w:lvl>
    <w:lvl w:ilvl="6" w:tplc="A26239FA" w:tentative="1">
      <w:start w:val="1"/>
      <w:numFmt w:val="decimal"/>
      <w:lvlText w:val="%7."/>
      <w:lvlJc w:val="left"/>
      <w:pPr>
        <w:ind w:left="4680" w:hanging="360"/>
      </w:pPr>
    </w:lvl>
    <w:lvl w:ilvl="7" w:tplc="B96CDAE8" w:tentative="1">
      <w:start w:val="1"/>
      <w:numFmt w:val="lowerLetter"/>
      <w:lvlText w:val="%8."/>
      <w:lvlJc w:val="left"/>
      <w:pPr>
        <w:ind w:left="5400" w:hanging="360"/>
      </w:pPr>
    </w:lvl>
    <w:lvl w:ilvl="8" w:tplc="96D62EB2" w:tentative="1">
      <w:start w:val="1"/>
      <w:numFmt w:val="lowerRoman"/>
      <w:lvlText w:val="%9."/>
      <w:lvlJc w:val="right"/>
      <w:pPr>
        <w:ind w:left="6120" w:hanging="180"/>
      </w:pPr>
    </w:lvl>
  </w:abstractNum>
  <w:abstractNum w:abstractNumId="18" w15:restartNumberingAfterBreak="0">
    <w:nsid w:val="5781430C"/>
    <w:multiLevelType w:val="hybridMultilevel"/>
    <w:tmpl w:val="4776E012"/>
    <w:lvl w:ilvl="0" w:tplc="F064B56A">
      <w:start w:val="1"/>
      <w:numFmt w:val="decimal"/>
      <w:lvlText w:val="%1."/>
      <w:lvlJc w:val="left"/>
      <w:pPr>
        <w:ind w:left="720" w:hanging="360"/>
      </w:pPr>
      <w:rPr>
        <w:rFonts w:hint="default"/>
      </w:rPr>
    </w:lvl>
    <w:lvl w:ilvl="1" w:tplc="343678DE" w:tentative="1">
      <w:start w:val="1"/>
      <w:numFmt w:val="lowerLetter"/>
      <w:lvlText w:val="%2."/>
      <w:lvlJc w:val="left"/>
      <w:pPr>
        <w:ind w:left="1440" w:hanging="360"/>
      </w:pPr>
    </w:lvl>
    <w:lvl w:ilvl="2" w:tplc="4434DA46" w:tentative="1">
      <w:start w:val="1"/>
      <w:numFmt w:val="lowerRoman"/>
      <w:lvlText w:val="%3."/>
      <w:lvlJc w:val="right"/>
      <w:pPr>
        <w:ind w:left="2160" w:hanging="180"/>
      </w:pPr>
    </w:lvl>
    <w:lvl w:ilvl="3" w:tplc="303CE5B0" w:tentative="1">
      <w:start w:val="1"/>
      <w:numFmt w:val="decimal"/>
      <w:lvlText w:val="%4."/>
      <w:lvlJc w:val="left"/>
      <w:pPr>
        <w:ind w:left="2880" w:hanging="360"/>
      </w:pPr>
    </w:lvl>
    <w:lvl w:ilvl="4" w:tplc="46D60CA4" w:tentative="1">
      <w:start w:val="1"/>
      <w:numFmt w:val="lowerLetter"/>
      <w:lvlText w:val="%5."/>
      <w:lvlJc w:val="left"/>
      <w:pPr>
        <w:ind w:left="3600" w:hanging="360"/>
      </w:pPr>
    </w:lvl>
    <w:lvl w:ilvl="5" w:tplc="488C80E4" w:tentative="1">
      <w:start w:val="1"/>
      <w:numFmt w:val="lowerRoman"/>
      <w:lvlText w:val="%6."/>
      <w:lvlJc w:val="right"/>
      <w:pPr>
        <w:ind w:left="4320" w:hanging="180"/>
      </w:pPr>
    </w:lvl>
    <w:lvl w:ilvl="6" w:tplc="185ABBA6" w:tentative="1">
      <w:start w:val="1"/>
      <w:numFmt w:val="decimal"/>
      <w:lvlText w:val="%7."/>
      <w:lvlJc w:val="left"/>
      <w:pPr>
        <w:ind w:left="5040" w:hanging="360"/>
      </w:pPr>
    </w:lvl>
    <w:lvl w:ilvl="7" w:tplc="75466FA8" w:tentative="1">
      <w:start w:val="1"/>
      <w:numFmt w:val="lowerLetter"/>
      <w:lvlText w:val="%8."/>
      <w:lvlJc w:val="left"/>
      <w:pPr>
        <w:ind w:left="5760" w:hanging="360"/>
      </w:pPr>
    </w:lvl>
    <w:lvl w:ilvl="8" w:tplc="20106D92" w:tentative="1">
      <w:start w:val="1"/>
      <w:numFmt w:val="lowerRoman"/>
      <w:lvlText w:val="%9."/>
      <w:lvlJc w:val="right"/>
      <w:pPr>
        <w:ind w:left="6480" w:hanging="180"/>
      </w:pPr>
    </w:lvl>
  </w:abstractNum>
  <w:abstractNum w:abstractNumId="19" w15:restartNumberingAfterBreak="0">
    <w:nsid w:val="5D0020F3"/>
    <w:multiLevelType w:val="hybridMultilevel"/>
    <w:tmpl w:val="BFD87382"/>
    <w:lvl w:ilvl="0" w:tplc="73C2743E">
      <w:start w:val="1"/>
      <w:numFmt w:val="decimal"/>
      <w:lvlText w:val="%1."/>
      <w:lvlJc w:val="left"/>
      <w:pPr>
        <w:ind w:left="720" w:hanging="360"/>
      </w:pPr>
      <w:rPr>
        <w:rFonts w:hint="default"/>
      </w:rPr>
    </w:lvl>
    <w:lvl w:ilvl="1" w:tplc="10666178" w:tentative="1">
      <w:start w:val="1"/>
      <w:numFmt w:val="lowerLetter"/>
      <w:lvlText w:val="%2."/>
      <w:lvlJc w:val="left"/>
      <w:pPr>
        <w:ind w:left="1440" w:hanging="360"/>
      </w:pPr>
    </w:lvl>
    <w:lvl w:ilvl="2" w:tplc="CC52EA6A" w:tentative="1">
      <w:start w:val="1"/>
      <w:numFmt w:val="lowerRoman"/>
      <w:lvlText w:val="%3."/>
      <w:lvlJc w:val="right"/>
      <w:pPr>
        <w:ind w:left="2160" w:hanging="180"/>
      </w:pPr>
    </w:lvl>
    <w:lvl w:ilvl="3" w:tplc="8582609E" w:tentative="1">
      <w:start w:val="1"/>
      <w:numFmt w:val="decimal"/>
      <w:lvlText w:val="%4."/>
      <w:lvlJc w:val="left"/>
      <w:pPr>
        <w:ind w:left="2880" w:hanging="360"/>
      </w:pPr>
    </w:lvl>
    <w:lvl w:ilvl="4" w:tplc="29063E00" w:tentative="1">
      <w:start w:val="1"/>
      <w:numFmt w:val="lowerLetter"/>
      <w:lvlText w:val="%5."/>
      <w:lvlJc w:val="left"/>
      <w:pPr>
        <w:ind w:left="3600" w:hanging="360"/>
      </w:pPr>
    </w:lvl>
    <w:lvl w:ilvl="5" w:tplc="0DA26374" w:tentative="1">
      <w:start w:val="1"/>
      <w:numFmt w:val="lowerRoman"/>
      <w:lvlText w:val="%6."/>
      <w:lvlJc w:val="right"/>
      <w:pPr>
        <w:ind w:left="4320" w:hanging="180"/>
      </w:pPr>
    </w:lvl>
    <w:lvl w:ilvl="6" w:tplc="DA326AFA" w:tentative="1">
      <w:start w:val="1"/>
      <w:numFmt w:val="decimal"/>
      <w:lvlText w:val="%7."/>
      <w:lvlJc w:val="left"/>
      <w:pPr>
        <w:ind w:left="5040" w:hanging="360"/>
      </w:pPr>
    </w:lvl>
    <w:lvl w:ilvl="7" w:tplc="7FBA8A36" w:tentative="1">
      <w:start w:val="1"/>
      <w:numFmt w:val="lowerLetter"/>
      <w:lvlText w:val="%8."/>
      <w:lvlJc w:val="left"/>
      <w:pPr>
        <w:ind w:left="5760" w:hanging="360"/>
      </w:pPr>
    </w:lvl>
    <w:lvl w:ilvl="8" w:tplc="C0F4F5C4" w:tentative="1">
      <w:start w:val="1"/>
      <w:numFmt w:val="lowerRoman"/>
      <w:lvlText w:val="%9."/>
      <w:lvlJc w:val="right"/>
      <w:pPr>
        <w:ind w:left="6480" w:hanging="180"/>
      </w:pPr>
    </w:lvl>
  </w:abstractNum>
  <w:abstractNum w:abstractNumId="20" w15:restartNumberingAfterBreak="0">
    <w:nsid w:val="62214F10"/>
    <w:multiLevelType w:val="hybridMultilevel"/>
    <w:tmpl w:val="77289FB8"/>
    <w:lvl w:ilvl="0" w:tplc="B65A171C">
      <w:start w:val="1"/>
      <w:numFmt w:val="decimal"/>
      <w:lvlText w:val="%1."/>
      <w:lvlJc w:val="left"/>
      <w:pPr>
        <w:ind w:left="720" w:hanging="360"/>
      </w:pPr>
      <w:rPr>
        <w:rFonts w:hint="default"/>
      </w:rPr>
    </w:lvl>
    <w:lvl w:ilvl="1" w:tplc="DD98B4A0" w:tentative="1">
      <w:start w:val="1"/>
      <w:numFmt w:val="lowerLetter"/>
      <w:lvlText w:val="%2."/>
      <w:lvlJc w:val="left"/>
      <w:pPr>
        <w:ind w:left="1440" w:hanging="360"/>
      </w:pPr>
    </w:lvl>
    <w:lvl w:ilvl="2" w:tplc="CE02AE08" w:tentative="1">
      <w:start w:val="1"/>
      <w:numFmt w:val="lowerRoman"/>
      <w:lvlText w:val="%3."/>
      <w:lvlJc w:val="right"/>
      <w:pPr>
        <w:ind w:left="2160" w:hanging="180"/>
      </w:pPr>
    </w:lvl>
    <w:lvl w:ilvl="3" w:tplc="FDBA6A3C" w:tentative="1">
      <w:start w:val="1"/>
      <w:numFmt w:val="decimal"/>
      <w:lvlText w:val="%4."/>
      <w:lvlJc w:val="left"/>
      <w:pPr>
        <w:ind w:left="2880" w:hanging="360"/>
      </w:pPr>
    </w:lvl>
    <w:lvl w:ilvl="4" w:tplc="00C4D2AE" w:tentative="1">
      <w:start w:val="1"/>
      <w:numFmt w:val="lowerLetter"/>
      <w:lvlText w:val="%5."/>
      <w:lvlJc w:val="left"/>
      <w:pPr>
        <w:ind w:left="3600" w:hanging="360"/>
      </w:pPr>
    </w:lvl>
    <w:lvl w:ilvl="5" w:tplc="07D8550E" w:tentative="1">
      <w:start w:val="1"/>
      <w:numFmt w:val="lowerRoman"/>
      <w:lvlText w:val="%6."/>
      <w:lvlJc w:val="right"/>
      <w:pPr>
        <w:ind w:left="4320" w:hanging="180"/>
      </w:pPr>
    </w:lvl>
    <w:lvl w:ilvl="6" w:tplc="6B3C5F46" w:tentative="1">
      <w:start w:val="1"/>
      <w:numFmt w:val="decimal"/>
      <w:lvlText w:val="%7."/>
      <w:lvlJc w:val="left"/>
      <w:pPr>
        <w:ind w:left="5040" w:hanging="360"/>
      </w:pPr>
    </w:lvl>
    <w:lvl w:ilvl="7" w:tplc="759AF08A" w:tentative="1">
      <w:start w:val="1"/>
      <w:numFmt w:val="lowerLetter"/>
      <w:lvlText w:val="%8."/>
      <w:lvlJc w:val="left"/>
      <w:pPr>
        <w:ind w:left="5760" w:hanging="360"/>
      </w:pPr>
    </w:lvl>
    <w:lvl w:ilvl="8" w:tplc="8BD87320" w:tentative="1">
      <w:start w:val="1"/>
      <w:numFmt w:val="lowerRoman"/>
      <w:lvlText w:val="%9."/>
      <w:lvlJc w:val="right"/>
      <w:pPr>
        <w:ind w:left="6480" w:hanging="180"/>
      </w:pPr>
    </w:lvl>
  </w:abstractNum>
  <w:abstractNum w:abstractNumId="21" w15:restartNumberingAfterBreak="0">
    <w:nsid w:val="62937BC0"/>
    <w:multiLevelType w:val="hybridMultilevel"/>
    <w:tmpl w:val="454E1348"/>
    <w:lvl w:ilvl="0" w:tplc="9BC66E16">
      <w:start w:val="1"/>
      <w:numFmt w:val="decimal"/>
      <w:lvlText w:val="%1."/>
      <w:lvlJc w:val="left"/>
      <w:pPr>
        <w:ind w:left="720" w:hanging="360"/>
      </w:pPr>
      <w:rPr>
        <w:rFonts w:hint="default"/>
      </w:rPr>
    </w:lvl>
    <w:lvl w:ilvl="1" w:tplc="B25C01A6" w:tentative="1">
      <w:start w:val="1"/>
      <w:numFmt w:val="lowerLetter"/>
      <w:lvlText w:val="%2."/>
      <w:lvlJc w:val="left"/>
      <w:pPr>
        <w:ind w:left="1440" w:hanging="360"/>
      </w:pPr>
    </w:lvl>
    <w:lvl w:ilvl="2" w:tplc="8910B904" w:tentative="1">
      <w:start w:val="1"/>
      <w:numFmt w:val="lowerRoman"/>
      <w:lvlText w:val="%3."/>
      <w:lvlJc w:val="right"/>
      <w:pPr>
        <w:ind w:left="2160" w:hanging="180"/>
      </w:pPr>
    </w:lvl>
    <w:lvl w:ilvl="3" w:tplc="54DE3C42" w:tentative="1">
      <w:start w:val="1"/>
      <w:numFmt w:val="decimal"/>
      <w:lvlText w:val="%4."/>
      <w:lvlJc w:val="left"/>
      <w:pPr>
        <w:ind w:left="2880" w:hanging="360"/>
      </w:pPr>
    </w:lvl>
    <w:lvl w:ilvl="4" w:tplc="0C3C98FA" w:tentative="1">
      <w:start w:val="1"/>
      <w:numFmt w:val="lowerLetter"/>
      <w:lvlText w:val="%5."/>
      <w:lvlJc w:val="left"/>
      <w:pPr>
        <w:ind w:left="3600" w:hanging="360"/>
      </w:pPr>
    </w:lvl>
    <w:lvl w:ilvl="5" w:tplc="29C6E086" w:tentative="1">
      <w:start w:val="1"/>
      <w:numFmt w:val="lowerRoman"/>
      <w:lvlText w:val="%6."/>
      <w:lvlJc w:val="right"/>
      <w:pPr>
        <w:ind w:left="4320" w:hanging="180"/>
      </w:pPr>
    </w:lvl>
    <w:lvl w:ilvl="6" w:tplc="3822FD8A" w:tentative="1">
      <w:start w:val="1"/>
      <w:numFmt w:val="decimal"/>
      <w:lvlText w:val="%7."/>
      <w:lvlJc w:val="left"/>
      <w:pPr>
        <w:ind w:left="5040" w:hanging="360"/>
      </w:pPr>
    </w:lvl>
    <w:lvl w:ilvl="7" w:tplc="646CF616" w:tentative="1">
      <w:start w:val="1"/>
      <w:numFmt w:val="lowerLetter"/>
      <w:lvlText w:val="%8."/>
      <w:lvlJc w:val="left"/>
      <w:pPr>
        <w:ind w:left="5760" w:hanging="360"/>
      </w:pPr>
    </w:lvl>
    <w:lvl w:ilvl="8" w:tplc="5F6E546C" w:tentative="1">
      <w:start w:val="1"/>
      <w:numFmt w:val="lowerRoman"/>
      <w:lvlText w:val="%9."/>
      <w:lvlJc w:val="right"/>
      <w:pPr>
        <w:ind w:left="6480" w:hanging="180"/>
      </w:pPr>
    </w:lvl>
  </w:abstractNum>
  <w:abstractNum w:abstractNumId="22" w15:restartNumberingAfterBreak="0">
    <w:nsid w:val="6AF74C40"/>
    <w:multiLevelType w:val="multilevel"/>
    <w:tmpl w:val="05E0C7F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C64E8C"/>
    <w:multiLevelType w:val="multilevel"/>
    <w:tmpl w:val="280A76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CB7D72"/>
    <w:multiLevelType w:val="hybridMultilevel"/>
    <w:tmpl w:val="F482E2E0"/>
    <w:lvl w:ilvl="0" w:tplc="13F4ED58">
      <w:start w:val="21"/>
      <w:numFmt w:val="decimal"/>
      <w:lvlText w:val="[%1]"/>
      <w:lvlJc w:val="left"/>
      <w:pPr>
        <w:ind w:left="720" w:hanging="360"/>
      </w:pPr>
      <w:rPr>
        <w:rFonts w:hint="default"/>
      </w:rPr>
    </w:lvl>
    <w:lvl w:ilvl="1" w:tplc="03EE04B4" w:tentative="1">
      <w:start w:val="1"/>
      <w:numFmt w:val="lowerLetter"/>
      <w:lvlText w:val="%2."/>
      <w:lvlJc w:val="left"/>
      <w:pPr>
        <w:ind w:left="1440" w:hanging="360"/>
      </w:pPr>
    </w:lvl>
    <w:lvl w:ilvl="2" w:tplc="A6A6AACE" w:tentative="1">
      <w:start w:val="1"/>
      <w:numFmt w:val="lowerRoman"/>
      <w:lvlText w:val="%3."/>
      <w:lvlJc w:val="right"/>
      <w:pPr>
        <w:ind w:left="2160" w:hanging="180"/>
      </w:pPr>
    </w:lvl>
    <w:lvl w:ilvl="3" w:tplc="1F322FF2" w:tentative="1">
      <w:start w:val="1"/>
      <w:numFmt w:val="decimal"/>
      <w:lvlText w:val="%4."/>
      <w:lvlJc w:val="left"/>
      <w:pPr>
        <w:ind w:left="2880" w:hanging="360"/>
      </w:pPr>
    </w:lvl>
    <w:lvl w:ilvl="4" w:tplc="A86835BE" w:tentative="1">
      <w:start w:val="1"/>
      <w:numFmt w:val="lowerLetter"/>
      <w:lvlText w:val="%5."/>
      <w:lvlJc w:val="left"/>
      <w:pPr>
        <w:ind w:left="3600" w:hanging="360"/>
      </w:pPr>
    </w:lvl>
    <w:lvl w:ilvl="5" w:tplc="1BFE5D00" w:tentative="1">
      <w:start w:val="1"/>
      <w:numFmt w:val="lowerRoman"/>
      <w:lvlText w:val="%6."/>
      <w:lvlJc w:val="right"/>
      <w:pPr>
        <w:ind w:left="4320" w:hanging="180"/>
      </w:pPr>
    </w:lvl>
    <w:lvl w:ilvl="6" w:tplc="3B8AAF88" w:tentative="1">
      <w:start w:val="1"/>
      <w:numFmt w:val="decimal"/>
      <w:lvlText w:val="%7."/>
      <w:lvlJc w:val="left"/>
      <w:pPr>
        <w:ind w:left="5040" w:hanging="360"/>
      </w:pPr>
    </w:lvl>
    <w:lvl w:ilvl="7" w:tplc="8962065E" w:tentative="1">
      <w:start w:val="1"/>
      <w:numFmt w:val="lowerLetter"/>
      <w:lvlText w:val="%8."/>
      <w:lvlJc w:val="left"/>
      <w:pPr>
        <w:ind w:left="5760" w:hanging="360"/>
      </w:pPr>
    </w:lvl>
    <w:lvl w:ilvl="8" w:tplc="B8AAF972" w:tentative="1">
      <w:start w:val="1"/>
      <w:numFmt w:val="lowerRoman"/>
      <w:lvlText w:val="%9."/>
      <w:lvlJc w:val="right"/>
      <w:pPr>
        <w:ind w:left="6480" w:hanging="180"/>
      </w:pPr>
    </w:lvl>
  </w:abstractNum>
  <w:abstractNum w:abstractNumId="25" w15:restartNumberingAfterBreak="0">
    <w:nsid w:val="7E863716"/>
    <w:multiLevelType w:val="multilevel"/>
    <w:tmpl w:val="2E78F86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20"/>
  </w:num>
  <w:num w:numId="4">
    <w:abstractNumId w:val="21"/>
  </w:num>
  <w:num w:numId="5">
    <w:abstractNumId w:val="18"/>
  </w:num>
  <w:num w:numId="6">
    <w:abstractNumId w:val="8"/>
  </w:num>
  <w:num w:numId="7">
    <w:abstractNumId w:val="11"/>
  </w:num>
  <w:num w:numId="8">
    <w:abstractNumId w:val="10"/>
  </w:num>
  <w:num w:numId="9">
    <w:abstractNumId w:val="6"/>
  </w:num>
  <w:num w:numId="10">
    <w:abstractNumId w:val="0"/>
  </w:num>
  <w:num w:numId="11">
    <w:abstractNumId w:val="1"/>
  </w:num>
  <w:num w:numId="12">
    <w:abstractNumId w:val="14"/>
  </w:num>
  <w:num w:numId="13">
    <w:abstractNumId w:val="23"/>
  </w:num>
  <w:num w:numId="14">
    <w:abstractNumId w:val="15"/>
  </w:num>
  <w:num w:numId="15">
    <w:abstractNumId w:val="9"/>
  </w:num>
  <w:num w:numId="16">
    <w:abstractNumId w:val="4"/>
  </w:num>
  <w:num w:numId="17">
    <w:abstractNumId w:val="25"/>
  </w:num>
  <w:num w:numId="18">
    <w:abstractNumId w:val="12"/>
  </w:num>
  <w:num w:numId="19">
    <w:abstractNumId w:val="22"/>
  </w:num>
  <w:num w:numId="20">
    <w:abstractNumId w:val="7"/>
  </w:num>
  <w:num w:numId="21">
    <w:abstractNumId w:val="17"/>
  </w:num>
  <w:num w:numId="22">
    <w:abstractNumId w:val="16"/>
  </w:num>
  <w:num w:numId="23">
    <w:abstractNumId w:val="2"/>
  </w:num>
  <w:num w:numId="24">
    <w:abstractNumId w:val="3"/>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AB7"/>
    <w:rsid w:val="00004B2C"/>
    <w:rsid w:val="000063D3"/>
    <w:rsid w:val="000064CD"/>
    <w:rsid w:val="0001086F"/>
    <w:rsid w:val="000125C7"/>
    <w:rsid w:val="00017F25"/>
    <w:rsid w:val="00020136"/>
    <w:rsid w:val="000230D9"/>
    <w:rsid w:val="00026E26"/>
    <w:rsid w:val="000271C3"/>
    <w:rsid w:val="00027AF8"/>
    <w:rsid w:val="00027C5A"/>
    <w:rsid w:val="0003055A"/>
    <w:rsid w:val="000364A7"/>
    <w:rsid w:val="00037749"/>
    <w:rsid w:val="00040752"/>
    <w:rsid w:val="00041A8D"/>
    <w:rsid w:val="00042759"/>
    <w:rsid w:val="000430DF"/>
    <w:rsid w:val="000504E0"/>
    <w:rsid w:val="0005091A"/>
    <w:rsid w:val="00051AC7"/>
    <w:rsid w:val="00051D63"/>
    <w:rsid w:val="000535B7"/>
    <w:rsid w:val="000539D9"/>
    <w:rsid w:val="00055933"/>
    <w:rsid w:val="000566B3"/>
    <w:rsid w:val="00057E62"/>
    <w:rsid w:val="00062D26"/>
    <w:rsid w:val="000640D6"/>
    <w:rsid w:val="00066623"/>
    <w:rsid w:val="00067647"/>
    <w:rsid w:val="000730F9"/>
    <w:rsid w:val="00073BDD"/>
    <w:rsid w:val="000743F3"/>
    <w:rsid w:val="00076FFC"/>
    <w:rsid w:val="00077FC7"/>
    <w:rsid w:val="00080AAD"/>
    <w:rsid w:val="000829E6"/>
    <w:rsid w:val="0008438C"/>
    <w:rsid w:val="00084927"/>
    <w:rsid w:val="000864BE"/>
    <w:rsid w:val="00090634"/>
    <w:rsid w:val="0009122E"/>
    <w:rsid w:val="00093484"/>
    <w:rsid w:val="000935C4"/>
    <w:rsid w:val="00094098"/>
    <w:rsid w:val="0009477A"/>
    <w:rsid w:val="00094CBB"/>
    <w:rsid w:val="000A472D"/>
    <w:rsid w:val="000A5654"/>
    <w:rsid w:val="000B03BE"/>
    <w:rsid w:val="000B1165"/>
    <w:rsid w:val="000B6DFA"/>
    <w:rsid w:val="000B777D"/>
    <w:rsid w:val="000C1131"/>
    <w:rsid w:val="000C1B16"/>
    <w:rsid w:val="000C4304"/>
    <w:rsid w:val="000C57C1"/>
    <w:rsid w:val="000C6423"/>
    <w:rsid w:val="000C6BD3"/>
    <w:rsid w:val="000C7CB1"/>
    <w:rsid w:val="000D175E"/>
    <w:rsid w:val="000D3BAF"/>
    <w:rsid w:val="000D6F7E"/>
    <w:rsid w:val="000E031D"/>
    <w:rsid w:val="000E0C22"/>
    <w:rsid w:val="000E1202"/>
    <w:rsid w:val="000E1C0D"/>
    <w:rsid w:val="000E6398"/>
    <w:rsid w:val="000F5D13"/>
    <w:rsid w:val="000F65B5"/>
    <w:rsid w:val="000F7167"/>
    <w:rsid w:val="001022CB"/>
    <w:rsid w:val="001038C5"/>
    <w:rsid w:val="00106C01"/>
    <w:rsid w:val="00106EA4"/>
    <w:rsid w:val="00107D49"/>
    <w:rsid w:val="00110ED0"/>
    <w:rsid w:val="00115F45"/>
    <w:rsid w:val="00130823"/>
    <w:rsid w:val="0013323D"/>
    <w:rsid w:val="00134231"/>
    <w:rsid w:val="0013560F"/>
    <w:rsid w:val="00141B66"/>
    <w:rsid w:val="00143557"/>
    <w:rsid w:val="00143F23"/>
    <w:rsid w:val="00145E00"/>
    <w:rsid w:val="00146E3B"/>
    <w:rsid w:val="00146EE5"/>
    <w:rsid w:val="00146FB7"/>
    <w:rsid w:val="001528A8"/>
    <w:rsid w:val="00154598"/>
    <w:rsid w:val="00155288"/>
    <w:rsid w:val="00157936"/>
    <w:rsid w:val="00160A7E"/>
    <w:rsid w:val="00162EFB"/>
    <w:rsid w:val="00163A0A"/>
    <w:rsid w:val="00163CC5"/>
    <w:rsid w:val="00164E90"/>
    <w:rsid w:val="0016528B"/>
    <w:rsid w:val="00175331"/>
    <w:rsid w:val="00175599"/>
    <w:rsid w:val="00180C2C"/>
    <w:rsid w:val="0018246D"/>
    <w:rsid w:val="00184C3A"/>
    <w:rsid w:val="00185A59"/>
    <w:rsid w:val="0018757E"/>
    <w:rsid w:val="00192DE9"/>
    <w:rsid w:val="00195EE7"/>
    <w:rsid w:val="001A0050"/>
    <w:rsid w:val="001A0799"/>
    <w:rsid w:val="001A1D27"/>
    <w:rsid w:val="001A2D88"/>
    <w:rsid w:val="001A366F"/>
    <w:rsid w:val="001A4079"/>
    <w:rsid w:val="001A4A5D"/>
    <w:rsid w:val="001B0557"/>
    <w:rsid w:val="001B0A90"/>
    <w:rsid w:val="001B0FBE"/>
    <w:rsid w:val="001B137C"/>
    <w:rsid w:val="001B67D7"/>
    <w:rsid w:val="001C017E"/>
    <w:rsid w:val="001C0892"/>
    <w:rsid w:val="001C1034"/>
    <w:rsid w:val="001C6012"/>
    <w:rsid w:val="001D4286"/>
    <w:rsid w:val="001D6B7D"/>
    <w:rsid w:val="001D6EAC"/>
    <w:rsid w:val="001E2990"/>
    <w:rsid w:val="001E6BB7"/>
    <w:rsid w:val="001F3A95"/>
    <w:rsid w:val="001F5DDF"/>
    <w:rsid w:val="001F6E75"/>
    <w:rsid w:val="00202517"/>
    <w:rsid w:val="0020668F"/>
    <w:rsid w:val="00207016"/>
    <w:rsid w:val="002072D1"/>
    <w:rsid w:val="002107B1"/>
    <w:rsid w:val="00211474"/>
    <w:rsid w:val="002162EA"/>
    <w:rsid w:val="0022166E"/>
    <w:rsid w:val="00223CF7"/>
    <w:rsid w:val="00225E2C"/>
    <w:rsid w:val="00226E5D"/>
    <w:rsid w:val="00227E6A"/>
    <w:rsid w:val="002312EA"/>
    <w:rsid w:val="00235E7A"/>
    <w:rsid w:val="00243A93"/>
    <w:rsid w:val="00244380"/>
    <w:rsid w:val="00246403"/>
    <w:rsid w:val="002514FD"/>
    <w:rsid w:val="00251886"/>
    <w:rsid w:val="00252626"/>
    <w:rsid w:val="0025270F"/>
    <w:rsid w:val="002529D2"/>
    <w:rsid w:val="00252A85"/>
    <w:rsid w:val="00252DD7"/>
    <w:rsid w:val="002558E5"/>
    <w:rsid w:val="0025596A"/>
    <w:rsid w:val="00256887"/>
    <w:rsid w:val="00260C79"/>
    <w:rsid w:val="00261D8D"/>
    <w:rsid w:val="00264C12"/>
    <w:rsid w:val="00265600"/>
    <w:rsid w:val="0026643E"/>
    <w:rsid w:val="002679F6"/>
    <w:rsid w:val="00267A53"/>
    <w:rsid w:val="00280BCD"/>
    <w:rsid w:val="00280F03"/>
    <w:rsid w:val="00282EF6"/>
    <w:rsid w:val="00282F10"/>
    <w:rsid w:val="00286118"/>
    <w:rsid w:val="002878B8"/>
    <w:rsid w:val="00291196"/>
    <w:rsid w:val="002922E4"/>
    <w:rsid w:val="00292AAA"/>
    <w:rsid w:val="00294C05"/>
    <w:rsid w:val="002A0049"/>
    <w:rsid w:val="002A2B49"/>
    <w:rsid w:val="002A3EC6"/>
    <w:rsid w:val="002A5500"/>
    <w:rsid w:val="002A70C6"/>
    <w:rsid w:val="002A7BFA"/>
    <w:rsid w:val="002B065D"/>
    <w:rsid w:val="002B4389"/>
    <w:rsid w:val="002B464C"/>
    <w:rsid w:val="002B6439"/>
    <w:rsid w:val="002B75D6"/>
    <w:rsid w:val="002C02CB"/>
    <w:rsid w:val="002C5277"/>
    <w:rsid w:val="002C60F8"/>
    <w:rsid w:val="002D2F15"/>
    <w:rsid w:val="002D34BB"/>
    <w:rsid w:val="002D55FD"/>
    <w:rsid w:val="002D5E15"/>
    <w:rsid w:val="002D70A3"/>
    <w:rsid w:val="002D738E"/>
    <w:rsid w:val="002D78F5"/>
    <w:rsid w:val="002E1863"/>
    <w:rsid w:val="002E2B32"/>
    <w:rsid w:val="002E47DA"/>
    <w:rsid w:val="002F1C1B"/>
    <w:rsid w:val="002F21C5"/>
    <w:rsid w:val="002F2776"/>
    <w:rsid w:val="00300CAB"/>
    <w:rsid w:val="00301B6C"/>
    <w:rsid w:val="0030371C"/>
    <w:rsid w:val="00303EB0"/>
    <w:rsid w:val="00305C67"/>
    <w:rsid w:val="00306467"/>
    <w:rsid w:val="00312549"/>
    <w:rsid w:val="00320CCC"/>
    <w:rsid w:val="00321315"/>
    <w:rsid w:val="00321755"/>
    <w:rsid w:val="0032364D"/>
    <w:rsid w:val="003242E5"/>
    <w:rsid w:val="003253D7"/>
    <w:rsid w:val="00326F62"/>
    <w:rsid w:val="003324E1"/>
    <w:rsid w:val="00333349"/>
    <w:rsid w:val="003337B6"/>
    <w:rsid w:val="00334C43"/>
    <w:rsid w:val="00335211"/>
    <w:rsid w:val="00335288"/>
    <w:rsid w:val="003412D7"/>
    <w:rsid w:val="00346758"/>
    <w:rsid w:val="00347D12"/>
    <w:rsid w:val="003525E9"/>
    <w:rsid w:val="00355861"/>
    <w:rsid w:val="00361C8E"/>
    <w:rsid w:val="00364D06"/>
    <w:rsid w:val="00365785"/>
    <w:rsid w:val="00365A63"/>
    <w:rsid w:val="00366F1B"/>
    <w:rsid w:val="00366F27"/>
    <w:rsid w:val="00367B9A"/>
    <w:rsid w:val="00371DD0"/>
    <w:rsid w:val="00372B5D"/>
    <w:rsid w:val="003740B5"/>
    <w:rsid w:val="003751C8"/>
    <w:rsid w:val="00377150"/>
    <w:rsid w:val="00382A87"/>
    <w:rsid w:val="00382A88"/>
    <w:rsid w:val="003839F5"/>
    <w:rsid w:val="0038565D"/>
    <w:rsid w:val="0038716E"/>
    <w:rsid w:val="003924AD"/>
    <w:rsid w:val="0039259A"/>
    <w:rsid w:val="00392656"/>
    <w:rsid w:val="00392A17"/>
    <w:rsid w:val="00393830"/>
    <w:rsid w:val="003A0646"/>
    <w:rsid w:val="003A19B5"/>
    <w:rsid w:val="003A2CA4"/>
    <w:rsid w:val="003A32B6"/>
    <w:rsid w:val="003A57E8"/>
    <w:rsid w:val="003B1BAB"/>
    <w:rsid w:val="003B420B"/>
    <w:rsid w:val="003B49BC"/>
    <w:rsid w:val="003B5954"/>
    <w:rsid w:val="003C3D8A"/>
    <w:rsid w:val="003C4063"/>
    <w:rsid w:val="003C6C90"/>
    <w:rsid w:val="003C7299"/>
    <w:rsid w:val="003D230E"/>
    <w:rsid w:val="003D49BD"/>
    <w:rsid w:val="003D51A8"/>
    <w:rsid w:val="003D65F2"/>
    <w:rsid w:val="003E1782"/>
    <w:rsid w:val="003E62ED"/>
    <w:rsid w:val="003E6D46"/>
    <w:rsid w:val="003F05C4"/>
    <w:rsid w:val="003F1C7F"/>
    <w:rsid w:val="003F2269"/>
    <w:rsid w:val="003F27B7"/>
    <w:rsid w:val="003F432F"/>
    <w:rsid w:val="003F5EBC"/>
    <w:rsid w:val="003F7847"/>
    <w:rsid w:val="004052A4"/>
    <w:rsid w:val="004108B1"/>
    <w:rsid w:val="00410B2F"/>
    <w:rsid w:val="00416212"/>
    <w:rsid w:val="0042010D"/>
    <w:rsid w:val="00420A99"/>
    <w:rsid w:val="00421B28"/>
    <w:rsid w:val="004223D1"/>
    <w:rsid w:val="0042353B"/>
    <w:rsid w:val="00424011"/>
    <w:rsid w:val="0042417A"/>
    <w:rsid w:val="00433B8A"/>
    <w:rsid w:val="0043487E"/>
    <w:rsid w:val="00435211"/>
    <w:rsid w:val="00436722"/>
    <w:rsid w:val="00437E25"/>
    <w:rsid w:val="00440909"/>
    <w:rsid w:val="00445687"/>
    <w:rsid w:val="004469C6"/>
    <w:rsid w:val="00446F9A"/>
    <w:rsid w:val="00455D5A"/>
    <w:rsid w:val="00456103"/>
    <w:rsid w:val="0046144F"/>
    <w:rsid w:val="00463839"/>
    <w:rsid w:val="00463FBA"/>
    <w:rsid w:val="00465EC9"/>
    <w:rsid w:val="004660D5"/>
    <w:rsid w:val="00470E3E"/>
    <w:rsid w:val="00477DD8"/>
    <w:rsid w:val="00480E9B"/>
    <w:rsid w:val="0048580C"/>
    <w:rsid w:val="00486121"/>
    <w:rsid w:val="00486A66"/>
    <w:rsid w:val="00487596"/>
    <w:rsid w:val="004909C8"/>
    <w:rsid w:val="00497FC2"/>
    <w:rsid w:val="004A2078"/>
    <w:rsid w:val="004A32E3"/>
    <w:rsid w:val="004A4D8C"/>
    <w:rsid w:val="004A7549"/>
    <w:rsid w:val="004B1F20"/>
    <w:rsid w:val="004B3F8D"/>
    <w:rsid w:val="004B6C6A"/>
    <w:rsid w:val="004C3F9D"/>
    <w:rsid w:val="004D0234"/>
    <w:rsid w:val="004D289F"/>
    <w:rsid w:val="004D2EC7"/>
    <w:rsid w:val="004D3F70"/>
    <w:rsid w:val="004E222B"/>
    <w:rsid w:val="004E41C0"/>
    <w:rsid w:val="004E431F"/>
    <w:rsid w:val="004F74A8"/>
    <w:rsid w:val="004F7C88"/>
    <w:rsid w:val="004F7DFB"/>
    <w:rsid w:val="005000DE"/>
    <w:rsid w:val="00500DBF"/>
    <w:rsid w:val="0050196C"/>
    <w:rsid w:val="00502AE2"/>
    <w:rsid w:val="0050455F"/>
    <w:rsid w:val="005049A7"/>
    <w:rsid w:val="005054DC"/>
    <w:rsid w:val="00510137"/>
    <w:rsid w:val="00510E7B"/>
    <w:rsid w:val="00512948"/>
    <w:rsid w:val="005138E9"/>
    <w:rsid w:val="00515803"/>
    <w:rsid w:val="00515E72"/>
    <w:rsid w:val="005165FB"/>
    <w:rsid w:val="00517240"/>
    <w:rsid w:val="005173E7"/>
    <w:rsid w:val="00524295"/>
    <w:rsid w:val="0052524E"/>
    <w:rsid w:val="00526DEF"/>
    <w:rsid w:val="00531DE9"/>
    <w:rsid w:val="00532DB7"/>
    <w:rsid w:val="005350FE"/>
    <w:rsid w:val="00535A18"/>
    <w:rsid w:val="00541ACB"/>
    <w:rsid w:val="005470FD"/>
    <w:rsid w:val="005503C1"/>
    <w:rsid w:val="00550A6A"/>
    <w:rsid w:val="005512EB"/>
    <w:rsid w:val="005526FD"/>
    <w:rsid w:val="00554F7B"/>
    <w:rsid w:val="005557E2"/>
    <w:rsid w:val="00560429"/>
    <w:rsid w:val="00561DAF"/>
    <w:rsid w:val="00563589"/>
    <w:rsid w:val="00564515"/>
    <w:rsid w:val="00565866"/>
    <w:rsid w:val="00567E36"/>
    <w:rsid w:val="00572466"/>
    <w:rsid w:val="00575748"/>
    <w:rsid w:val="00576861"/>
    <w:rsid w:val="00576CEB"/>
    <w:rsid w:val="005833AE"/>
    <w:rsid w:val="00583520"/>
    <w:rsid w:val="005844D9"/>
    <w:rsid w:val="0059020E"/>
    <w:rsid w:val="0059026D"/>
    <w:rsid w:val="00594D79"/>
    <w:rsid w:val="005A10E0"/>
    <w:rsid w:val="005A282A"/>
    <w:rsid w:val="005A33CD"/>
    <w:rsid w:val="005A7A6F"/>
    <w:rsid w:val="005B2DAF"/>
    <w:rsid w:val="005B3BBB"/>
    <w:rsid w:val="005B695C"/>
    <w:rsid w:val="005B6D53"/>
    <w:rsid w:val="005B7D28"/>
    <w:rsid w:val="005B7DBC"/>
    <w:rsid w:val="005C37E7"/>
    <w:rsid w:val="005C4DD1"/>
    <w:rsid w:val="005D1D2E"/>
    <w:rsid w:val="005D22BA"/>
    <w:rsid w:val="005D24A8"/>
    <w:rsid w:val="005D287E"/>
    <w:rsid w:val="005D2D33"/>
    <w:rsid w:val="005D3A6A"/>
    <w:rsid w:val="005D3AA4"/>
    <w:rsid w:val="005D48D0"/>
    <w:rsid w:val="005D56EE"/>
    <w:rsid w:val="005D5BEC"/>
    <w:rsid w:val="005D65AC"/>
    <w:rsid w:val="005E17B7"/>
    <w:rsid w:val="005E37C3"/>
    <w:rsid w:val="005F36DE"/>
    <w:rsid w:val="005F40E9"/>
    <w:rsid w:val="005F7017"/>
    <w:rsid w:val="005F71D6"/>
    <w:rsid w:val="006014C3"/>
    <w:rsid w:val="00601F5B"/>
    <w:rsid w:val="00602475"/>
    <w:rsid w:val="006033B0"/>
    <w:rsid w:val="00604B8F"/>
    <w:rsid w:val="006057C6"/>
    <w:rsid w:val="00607177"/>
    <w:rsid w:val="00612557"/>
    <w:rsid w:val="00612BA2"/>
    <w:rsid w:val="006137D0"/>
    <w:rsid w:val="00621644"/>
    <w:rsid w:val="00622DEF"/>
    <w:rsid w:val="00624AA2"/>
    <w:rsid w:val="00624EFE"/>
    <w:rsid w:val="006257E2"/>
    <w:rsid w:val="006279B6"/>
    <w:rsid w:val="0063453C"/>
    <w:rsid w:val="0063551C"/>
    <w:rsid w:val="006408D7"/>
    <w:rsid w:val="00641662"/>
    <w:rsid w:val="006433CE"/>
    <w:rsid w:val="00643CC7"/>
    <w:rsid w:val="00644F51"/>
    <w:rsid w:val="00647740"/>
    <w:rsid w:val="006508D4"/>
    <w:rsid w:val="00651AE1"/>
    <w:rsid w:val="00651B4B"/>
    <w:rsid w:val="00652969"/>
    <w:rsid w:val="006539C1"/>
    <w:rsid w:val="00653D4A"/>
    <w:rsid w:val="0065423A"/>
    <w:rsid w:val="0065571C"/>
    <w:rsid w:val="0065792A"/>
    <w:rsid w:val="00657F07"/>
    <w:rsid w:val="006616D2"/>
    <w:rsid w:val="00663FA9"/>
    <w:rsid w:val="00665134"/>
    <w:rsid w:val="00666088"/>
    <w:rsid w:val="00666E35"/>
    <w:rsid w:val="00670BCB"/>
    <w:rsid w:val="00671C84"/>
    <w:rsid w:val="0067482D"/>
    <w:rsid w:val="00683C85"/>
    <w:rsid w:val="00684F18"/>
    <w:rsid w:val="00687B2E"/>
    <w:rsid w:val="00690D9D"/>
    <w:rsid w:val="006914C3"/>
    <w:rsid w:val="006932BC"/>
    <w:rsid w:val="006939B3"/>
    <w:rsid w:val="006939D3"/>
    <w:rsid w:val="00695A86"/>
    <w:rsid w:val="006A119F"/>
    <w:rsid w:val="006B0006"/>
    <w:rsid w:val="006B10B3"/>
    <w:rsid w:val="006B140E"/>
    <w:rsid w:val="006B2DC3"/>
    <w:rsid w:val="006B49BD"/>
    <w:rsid w:val="006B60E4"/>
    <w:rsid w:val="006C05FC"/>
    <w:rsid w:val="006C0737"/>
    <w:rsid w:val="006C0A20"/>
    <w:rsid w:val="006C17DA"/>
    <w:rsid w:val="006C32E5"/>
    <w:rsid w:val="006C3AF0"/>
    <w:rsid w:val="006C7773"/>
    <w:rsid w:val="006D32EE"/>
    <w:rsid w:val="006D5427"/>
    <w:rsid w:val="006E06DB"/>
    <w:rsid w:val="006E1713"/>
    <w:rsid w:val="006E2B3B"/>
    <w:rsid w:val="006E47A6"/>
    <w:rsid w:val="006F0621"/>
    <w:rsid w:val="006F4174"/>
    <w:rsid w:val="006F5052"/>
    <w:rsid w:val="00701607"/>
    <w:rsid w:val="00701D49"/>
    <w:rsid w:val="00701D83"/>
    <w:rsid w:val="00701FAE"/>
    <w:rsid w:val="007073B8"/>
    <w:rsid w:val="00710FFC"/>
    <w:rsid w:val="00712F60"/>
    <w:rsid w:val="007162CE"/>
    <w:rsid w:val="00717746"/>
    <w:rsid w:val="00717AFA"/>
    <w:rsid w:val="00720245"/>
    <w:rsid w:val="00720D1F"/>
    <w:rsid w:val="00723003"/>
    <w:rsid w:val="0073157E"/>
    <w:rsid w:val="0073667A"/>
    <w:rsid w:val="0073790D"/>
    <w:rsid w:val="00737C71"/>
    <w:rsid w:val="00746204"/>
    <w:rsid w:val="0074738D"/>
    <w:rsid w:val="00750068"/>
    <w:rsid w:val="00750D03"/>
    <w:rsid w:val="007516A1"/>
    <w:rsid w:val="00754616"/>
    <w:rsid w:val="00755B09"/>
    <w:rsid w:val="007560A3"/>
    <w:rsid w:val="0076120C"/>
    <w:rsid w:val="0076199F"/>
    <w:rsid w:val="00763421"/>
    <w:rsid w:val="00763E27"/>
    <w:rsid w:val="00772134"/>
    <w:rsid w:val="007740E4"/>
    <w:rsid w:val="00777131"/>
    <w:rsid w:val="00777F42"/>
    <w:rsid w:val="007816A0"/>
    <w:rsid w:val="00781BAD"/>
    <w:rsid w:val="007828A8"/>
    <w:rsid w:val="00784043"/>
    <w:rsid w:val="00784CF0"/>
    <w:rsid w:val="00787862"/>
    <w:rsid w:val="00793AF6"/>
    <w:rsid w:val="00793D20"/>
    <w:rsid w:val="0079712A"/>
    <w:rsid w:val="007A0586"/>
    <w:rsid w:val="007A21EC"/>
    <w:rsid w:val="007A49ED"/>
    <w:rsid w:val="007A682A"/>
    <w:rsid w:val="007B1A22"/>
    <w:rsid w:val="007B1C3D"/>
    <w:rsid w:val="007B2322"/>
    <w:rsid w:val="007B5F17"/>
    <w:rsid w:val="007B76ED"/>
    <w:rsid w:val="007C644F"/>
    <w:rsid w:val="007C66B0"/>
    <w:rsid w:val="007C7D4F"/>
    <w:rsid w:val="007D0125"/>
    <w:rsid w:val="007D09B8"/>
    <w:rsid w:val="007D1DC4"/>
    <w:rsid w:val="007D2574"/>
    <w:rsid w:val="007D2BD3"/>
    <w:rsid w:val="007D335A"/>
    <w:rsid w:val="007D528F"/>
    <w:rsid w:val="007E0033"/>
    <w:rsid w:val="007E270B"/>
    <w:rsid w:val="007E3471"/>
    <w:rsid w:val="007E4960"/>
    <w:rsid w:val="007E6F34"/>
    <w:rsid w:val="007E6FF4"/>
    <w:rsid w:val="007F1EC7"/>
    <w:rsid w:val="007F245F"/>
    <w:rsid w:val="007F2766"/>
    <w:rsid w:val="007F44ED"/>
    <w:rsid w:val="007F6B42"/>
    <w:rsid w:val="00800474"/>
    <w:rsid w:val="008010D5"/>
    <w:rsid w:val="008057AF"/>
    <w:rsid w:val="00807F6D"/>
    <w:rsid w:val="00812415"/>
    <w:rsid w:val="00814A34"/>
    <w:rsid w:val="00821E90"/>
    <w:rsid w:val="00822534"/>
    <w:rsid w:val="008242CC"/>
    <w:rsid w:val="00826384"/>
    <w:rsid w:val="008264EE"/>
    <w:rsid w:val="00830D3A"/>
    <w:rsid w:val="008310FF"/>
    <w:rsid w:val="00833CDE"/>
    <w:rsid w:val="00835F89"/>
    <w:rsid w:val="0083669E"/>
    <w:rsid w:val="00841BBE"/>
    <w:rsid w:val="00842CF8"/>
    <w:rsid w:val="008510A0"/>
    <w:rsid w:val="008511B5"/>
    <w:rsid w:val="00853A00"/>
    <w:rsid w:val="00856D89"/>
    <w:rsid w:val="00860596"/>
    <w:rsid w:val="00863E60"/>
    <w:rsid w:val="008670E7"/>
    <w:rsid w:val="0086714C"/>
    <w:rsid w:val="00872C49"/>
    <w:rsid w:val="00874288"/>
    <w:rsid w:val="008803AA"/>
    <w:rsid w:val="00880C7F"/>
    <w:rsid w:val="00880F3A"/>
    <w:rsid w:val="008818C9"/>
    <w:rsid w:val="00886605"/>
    <w:rsid w:val="00890B32"/>
    <w:rsid w:val="008925F5"/>
    <w:rsid w:val="00896641"/>
    <w:rsid w:val="00897E20"/>
    <w:rsid w:val="008A1F6A"/>
    <w:rsid w:val="008A6D39"/>
    <w:rsid w:val="008A7B47"/>
    <w:rsid w:val="008B2D7D"/>
    <w:rsid w:val="008B6D75"/>
    <w:rsid w:val="008C08B0"/>
    <w:rsid w:val="008D1B5B"/>
    <w:rsid w:val="008D1D2E"/>
    <w:rsid w:val="008D2974"/>
    <w:rsid w:val="008D42C8"/>
    <w:rsid w:val="008D4DD3"/>
    <w:rsid w:val="008D69ED"/>
    <w:rsid w:val="008E2FF2"/>
    <w:rsid w:val="008F23D3"/>
    <w:rsid w:val="008F5486"/>
    <w:rsid w:val="008F694B"/>
    <w:rsid w:val="00902023"/>
    <w:rsid w:val="00903EE7"/>
    <w:rsid w:val="009111AB"/>
    <w:rsid w:val="0091323C"/>
    <w:rsid w:val="0091640E"/>
    <w:rsid w:val="0092176D"/>
    <w:rsid w:val="0092180D"/>
    <w:rsid w:val="00925103"/>
    <w:rsid w:val="0092544A"/>
    <w:rsid w:val="00926BC9"/>
    <w:rsid w:val="009314B4"/>
    <w:rsid w:val="0093169B"/>
    <w:rsid w:val="00935EE8"/>
    <w:rsid w:val="00937BFB"/>
    <w:rsid w:val="00943510"/>
    <w:rsid w:val="009435FA"/>
    <w:rsid w:val="00943FE9"/>
    <w:rsid w:val="00944FBE"/>
    <w:rsid w:val="00947F7B"/>
    <w:rsid w:val="009517B3"/>
    <w:rsid w:val="009520A0"/>
    <w:rsid w:val="0095607C"/>
    <w:rsid w:val="0095668D"/>
    <w:rsid w:val="009628EA"/>
    <w:rsid w:val="00962D35"/>
    <w:rsid w:val="00964C96"/>
    <w:rsid w:val="00967622"/>
    <w:rsid w:val="009707B6"/>
    <w:rsid w:val="009727BD"/>
    <w:rsid w:val="00973148"/>
    <w:rsid w:val="0097367E"/>
    <w:rsid w:val="009746F1"/>
    <w:rsid w:val="009758C6"/>
    <w:rsid w:val="00975C7F"/>
    <w:rsid w:val="0098088D"/>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171"/>
    <w:rsid w:val="009A6260"/>
    <w:rsid w:val="009A75D6"/>
    <w:rsid w:val="009A79F5"/>
    <w:rsid w:val="009B0FAB"/>
    <w:rsid w:val="009B2185"/>
    <w:rsid w:val="009B2714"/>
    <w:rsid w:val="009B4BBB"/>
    <w:rsid w:val="009C0B17"/>
    <w:rsid w:val="009C2265"/>
    <w:rsid w:val="009C29D4"/>
    <w:rsid w:val="009C74BF"/>
    <w:rsid w:val="009D228B"/>
    <w:rsid w:val="009D2C29"/>
    <w:rsid w:val="009D34FB"/>
    <w:rsid w:val="009D3786"/>
    <w:rsid w:val="009D7F99"/>
    <w:rsid w:val="009E1E73"/>
    <w:rsid w:val="009E2799"/>
    <w:rsid w:val="009E292A"/>
    <w:rsid w:val="009E4AE0"/>
    <w:rsid w:val="009E627F"/>
    <w:rsid w:val="009F04F5"/>
    <w:rsid w:val="009F20B7"/>
    <w:rsid w:val="009F44E1"/>
    <w:rsid w:val="009F5E78"/>
    <w:rsid w:val="009F6607"/>
    <w:rsid w:val="009F749B"/>
    <w:rsid w:val="009F7FE9"/>
    <w:rsid w:val="00A03FE4"/>
    <w:rsid w:val="00A149D0"/>
    <w:rsid w:val="00A15ADC"/>
    <w:rsid w:val="00A16889"/>
    <w:rsid w:val="00A17FD2"/>
    <w:rsid w:val="00A202A2"/>
    <w:rsid w:val="00A20DE9"/>
    <w:rsid w:val="00A225F7"/>
    <w:rsid w:val="00A31517"/>
    <w:rsid w:val="00A32540"/>
    <w:rsid w:val="00A331B5"/>
    <w:rsid w:val="00A3439D"/>
    <w:rsid w:val="00A3590E"/>
    <w:rsid w:val="00A36A77"/>
    <w:rsid w:val="00A4129B"/>
    <w:rsid w:val="00A420BE"/>
    <w:rsid w:val="00A46DD1"/>
    <w:rsid w:val="00A47D04"/>
    <w:rsid w:val="00A52A5A"/>
    <w:rsid w:val="00A5356C"/>
    <w:rsid w:val="00A53804"/>
    <w:rsid w:val="00A540BF"/>
    <w:rsid w:val="00A567F8"/>
    <w:rsid w:val="00A57A18"/>
    <w:rsid w:val="00A70CE0"/>
    <w:rsid w:val="00A72396"/>
    <w:rsid w:val="00A73205"/>
    <w:rsid w:val="00A74006"/>
    <w:rsid w:val="00A763E1"/>
    <w:rsid w:val="00A8091C"/>
    <w:rsid w:val="00A848F5"/>
    <w:rsid w:val="00A85712"/>
    <w:rsid w:val="00A866DB"/>
    <w:rsid w:val="00A939FC"/>
    <w:rsid w:val="00A945DE"/>
    <w:rsid w:val="00A94A15"/>
    <w:rsid w:val="00A958CD"/>
    <w:rsid w:val="00A97F14"/>
    <w:rsid w:val="00AA3815"/>
    <w:rsid w:val="00AA52C0"/>
    <w:rsid w:val="00AA6129"/>
    <w:rsid w:val="00AB0D34"/>
    <w:rsid w:val="00AB652B"/>
    <w:rsid w:val="00AB7F6B"/>
    <w:rsid w:val="00AC1813"/>
    <w:rsid w:val="00AC2920"/>
    <w:rsid w:val="00AC3AAC"/>
    <w:rsid w:val="00AC3D26"/>
    <w:rsid w:val="00AC44EF"/>
    <w:rsid w:val="00AC4777"/>
    <w:rsid w:val="00AC5C6B"/>
    <w:rsid w:val="00AD0247"/>
    <w:rsid w:val="00AD0E81"/>
    <w:rsid w:val="00AD18DB"/>
    <w:rsid w:val="00AD253A"/>
    <w:rsid w:val="00AD5020"/>
    <w:rsid w:val="00AE0683"/>
    <w:rsid w:val="00AE1313"/>
    <w:rsid w:val="00AE35CC"/>
    <w:rsid w:val="00AE4C16"/>
    <w:rsid w:val="00AE504D"/>
    <w:rsid w:val="00AE76A7"/>
    <w:rsid w:val="00AF42DC"/>
    <w:rsid w:val="00B016A5"/>
    <w:rsid w:val="00B02C90"/>
    <w:rsid w:val="00B02F47"/>
    <w:rsid w:val="00B03B94"/>
    <w:rsid w:val="00B04954"/>
    <w:rsid w:val="00B062DD"/>
    <w:rsid w:val="00B10FD9"/>
    <w:rsid w:val="00B11670"/>
    <w:rsid w:val="00B13504"/>
    <w:rsid w:val="00B153D6"/>
    <w:rsid w:val="00B17222"/>
    <w:rsid w:val="00B22440"/>
    <w:rsid w:val="00B2456B"/>
    <w:rsid w:val="00B25465"/>
    <w:rsid w:val="00B25E4E"/>
    <w:rsid w:val="00B314C6"/>
    <w:rsid w:val="00B31BCE"/>
    <w:rsid w:val="00B32286"/>
    <w:rsid w:val="00B36B42"/>
    <w:rsid w:val="00B3723F"/>
    <w:rsid w:val="00B423C1"/>
    <w:rsid w:val="00B427F2"/>
    <w:rsid w:val="00B42A4D"/>
    <w:rsid w:val="00B43D87"/>
    <w:rsid w:val="00B46938"/>
    <w:rsid w:val="00B477EC"/>
    <w:rsid w:val="00B47EA9"/>
    <w:rsid w:val="00B50CA0"/>
    <w:rsid w:val="00B52055"/>
    <w:rsid w:val="00B5357F"/>
    <w:rsid w:val="00B60EB0"/>
    <w:rsid w:val="00B618C5"/>
    <w:rsid w:val="00B61C93"/>
    <w:rsid w:val="00B62804"/>
    <w:rsid w:val="00B63775"/>
    <w:rsid w:val="00B67BC4"/>
    <w:rsid w:val="00B73D58"/>
    <w:rsid w:val="00B74286"/>
    <w:rsid w:val="00B75BB7"/>
    <w:rsid w:val="00B81653"/>
    <w:rsid w:val="00B82050"/>
    <w:rsid w:val="00B82854"/>
    <w:rsid w:val="00B82E01"/>
    <w:rsid w:val="00B87906"/>
    <w:rsid w:val="00B879CC"/>
    <w:rsid w:val="00B91399"/>
    <w:rsid w:val="00B918D3"/>
    <w:rsid w:val="00B91B42"/>
    <w:rsid w:val="00B920AB"/>
    <w:rsid w:val="00B943B1"/>
    <w:rsid w:val="00BA0313"/>
    <w:rsid w:val="00BA6382"/>
    <w:rsid w:val="00BC05EB"/>
    <w:rsid w:val="00BC0826"/>
    <w:rsid w:val="00BC14A4"/>
    <w:rsid w:val="00BC53D5"/>
    <w:rsid w:val="00BC54AA"/>
    <w:rsid w:val="00BC7AE8"/>
    <w:rsid w:val="00BD08AF"/>
    <w:rsid w:val="00BD5576"/>
    <w:rsid w:val="00BD59C0"/>
    <w:rsid w:val="00BE3543"/>
    <w:rsid w:val="00BE55E7"/>
    <w:rsid w:val="00BE5D7A"/>
    <w:rsid w:val="00BE6ADF"/>
    <w:rsid w:val="00BF222D"/>
    <w:rsid w:val="00BF32F6"/>
    <w:rsid w:val="00C009D7"/>
    <w:rsid w:val="00C00D3E"/>
    <w:rsid w:val="00C025E5"/>
    <w:rsid w:val="00C05075"/>
    <w:rsid w:val="00C0561B"/>
    <w:rsid w:val="00C105F4"/>
    <w:rsid w:val="00C1157E"/>
    <w:rsid w:val="00C11EBE"/>
    <w:rsid w:val="00C11F04"/>
    <w:rsid w:val="00C17D46"/>
    <w:rsid w:val="00C21A04"/>
    <w:rsid w:val="00C24161"/>
    <w:rsid w:val="00C248C8"/>
    <w:rsid w:val="00C26024"/>
    <w:rsid w:val="00C26136"/>
    <w:rsid w:val="00C34D37"/>
    <w:rsid w:val="00C3523A"/>
    <w:rsid w:val="00C36826"/>
    <w:rsid w:val="00C36E1C"/>
    <w:rsid w:val="00C425C4"/>
    <w:rsid w:val="00C479F1"/>
    <w:rsid w:val="00C47FC7"/>
    <w:rsid w:val="00C57779"/>
    <w:rsid w:val="00C60AF1"/>
    <w:rsid w:val="00C63118"/>
    <w:rsid w:val="00C632F1"/>
    <w:rsid w:val="00C64133"/>
    <w:rsid w:val="00C656A1"/>
    <w:rsid w:val="00C65E23"/>
    <w:rsid w:val="00C67500"/>
    <w:rsid w:val="00C67801"/>
    <w:rsid w:val="00C67BC8"/>
    <w:rsid w:val="00C71033"/>
    <w:rsid w:val="00C7129D"/>
    <w:rsid w:val="00C735DE"/>
    <w:rsid w:val="00C73716"/>
    <w:rsid w:val="00C7482C"/>
    <w:rsid w:val="00C74D11"/>
    <w:rsid w:val="00C83293"/>
    <w:rsid w:val="00C907DF"/>
    <w:rsid w:val="00C9324B"/>
    <w:rsid w:val="00C94BD3"/>
    <w:rsid w:val="00CA4837"/>
    <w:rsid w:val="00CA6D88"/>
    <w:rsid w:val="00CB2452"/>
    <w:rsid w:val="00CB32F7"/>
    <w:rsid w:val="00CB48D6"/>
    <w:rsid w:val="00CB7130"/>
    <w:rsid w:val="00CC0A65"/>
    <w:rsid w:val="00CC0F56"/>
    <w:rsid w:val="00CC2033"/>
    <w:rsid w:val="00CC287D"/>
    <w:rsid w:val="00CC37F6"/>
    <w:rsid w:val="00CC3FAB"/>
    <w:rsid w:val="00CC5083"/>
    <w:rsid w:val="00CD0CB9"/>
    <w:rsid w:val="00CD168D"/>
    <w:rsid w:val="00CD1ED1"/>
    <w:rsid w:val="00CD474E"/>
    <w:rsid w:val="00CD6139"/>
    <w:rsid w:val="00CE0EFB"/>
    <w:rsid w:val="00CE153D"/>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5AF3"/>
    <w:rsid w:val="00D079FF"/>
    <w:rsid w:val="00D1262D"/>
    <w:rsid w:val="00D2044B"/>
    <w:rsid w:val="00D219D0"/>
    <w:rsid w:val="00D227D6"/>
    <w:rsid w:val="00D31D89"/>
    <w:rsid w:val="00D3334E"/>
    <w:rsid w:val="00D4359F"/>
    <w:rsid w:val="00D468AC"/>
    <w:rsid w:val="00D47D03"/>
    <w:rsid w:val="00D500E0"/>
    <w:rsid w:val="00D53B94"/>
    <w:rsid w:val="00D55075"/>
    <w:rsid w:val="00D56390"/>
    <w:rsid w:val="00D61A42"/>
    <w:rsid w:val="00D61F0B"/>
    <w:rsid w:val="00D63079"/>
    <w:rsid w:val="00D64CF7"/>
    <w:rsid w:val="00D669B8"/>
    <w:rsid w:val="00D70A69"/>
    <w:rsid w:val="00D70C41"/>
    <w:rsid w:val="00D724DD"/>
    <w:rsid w:val="00D749AB"/>
    <w:rsid w:val="00D7583D"/>
    <w:rsid w:val="00D761CB"/>
    <w:rsid w:val="00D763A2"/>
    <w:rsid w:val="00D825BA"/>
    <w:rsid w:val="00D82D2D"/>
    <w:rsid w:val="00D84111"/>
    <w:rsid w:val="00D9070C"/>
    <w:rsid w:val="00D92E64"/>
    <w:rsid w:val="00D94678"/>
    <w:rsid w:val="00D95ED1"/>
    <w:rsid w:val="00DA34F2"/>
    <w:rsid w:val="00DA39A6"/>
    <w:rsid w:val="00DA5340"/>
    <w:rsid w:val="00DB4462"/>
    <w:rsid w:val="00DB6FB0"/>
    <w:rsid w:val="00DC069C"/>
    <w:rsid w:val="00DC178D"/>
    <w:rsid w:val="00DC2B60"/>
    <w:rsid w:val="00DC2F51"/>
    <w:rsid w:val="00DC6BD2"/>
    <w:rsid w:val="00DC708E"/>
    <w:rsid w:val="00DC7F52"/>
    <w:rsid w:val="00DD2FD4"/>
    <w:rsid w:val="00DD4052"/>
    <w:rsid w:val="00DD58CC"/>
    <w:rsid w:val="00DD663E"/>
    <w:rsid w:val="00DE0094"/>
    <w:rsid w:val="00DE18FE"/>
    <w:rsid w:val="00DE2BB1"/>
    <w:rsid w:val="00DE4C6B"/>
    <w:rsid w:val="00DE7D62"/>
    <w:rsid w:val="00DF04A3"/>
    <w:rsid w:val="00DF1742"/>
    <w:rsid w:val="00DF2BF2"/>
    <w:rsid w:val="00DF7B0A"/>
    <w:rsid w:val="00E00BD1"/>
    <w:rsid w:val="00E020AE"/>
    <w:rsid w:val="00E023A1"/>
    <w:rsid w:val="00E04069"/>
    <w:rsid w:val="00E0700C"/>
    <w:rsid w:val="00E0761B"/>
    <w:rsid w:val="00E1263B"/>
    <w:rsid w:val="00E1315B"/>
    <w:rsid w:val="00E17939"/>
    <w:rsid w:val="00E229D2"/>
    <w:rsid w:val="00E23374"/>
    <w:rsid w:val="00E25BCC"/>
    <w:rsid w:val="00E30E6E"/>
    <w:rsid w:val="00E34BF3"/>
    <w:rsid w:val="00E36053"/>
    <w:rsid w:val="00E37D30"/>
    <w:rsid w:val="00E42CBC"/>
    <w:rsid w:val="00E452DC"/>
    <w:rsid w:val="00E477B1"/>
    <w:rsid w:val="00E50364"/>
    <w:rsid w:val="00E50F79"/>
    <w:rsid w:val="00E602DB"/>
    <w:rsid w:val="00E60474"/>
    <w:rsid w:val="00E60E71"/>
    <w:rsid w:val="00E610C9"/>
    <w:rsid w:val="00E65619"/>
    <w:rsid w:val="00E67425"/>
    <w:rsid w:val="00E70C43"/>
    <w:rsid w:val="00E73D8A"/>
    <w:rsid w:val="00E74400"/>
    <w:rsid w:val="00E74C68"/>
    <w:rsid w:val="00E7577A"/>
    <w:rsid w:val="00E75F4A"/>
    <w:rsid w:val="00E76269"/>
    <w:rsid w:val="00E76862"/>
    <w:rsid w:val="00E803B7"/>
    <w:rsid w:val="00E812DA"/>
    <w:rsid w:val="00E83788"/>
    <w:rsid w:val="00E871B7"/>
    <w:rsid w:val="00E90CCA"/>
    <w:rsid w:val="00E91856"/>
    <w:rsid w:val="00E944CC"/>
    <w:rsid w:val="00E977A2"/>
    <w:rsid w:val="00EA090F"/>
    <w:rsid w:val="00EA14DD"/>
    <w:rsid w:val="00EA1A91"/>
    <w:rsid w:val="00EA2ED0"/>
    <w:rsid w:val="00EA434B"/>
    <w:rsid w:val="00EA45BF"/>
    <w:rsid w:val="00EA4891"/>
    <w:rsid w:val="00EA6141"/>
    <w:rsid w:val="00EA66FD"/>
    <w:rsid w:val="00EB5365"/>
    <w:rsid w:val="00EB57B9"/>
    <w:rsid w:val="00EC060F"/>
    <w:rsid w:val="00EC1520"/>
    <w:rsid w:val="00EC6045"/>
    <w:rsid w:val="00EC646B"/>
    <w:rsid w:val="00ED1971"/>
    <w:rsid w:val="00ED28D0"/>
    <w:rsid w:val="00ED28E9"/>
    <w:rsid w:val="00ED591E"/>
    <w:rsid w:val="00ED5B59"/>
    <w:rsid w:val="00ED5DB8"/>
    <w:rsid w:val="00ED734E"/>
    <w:rsid w:val="00ED797D"/>
    <w:rsid w:val="00EE1583"/>
    <w:rsid w:val="00EE3E01"/>
    <w:rsid w:val="00EF2C98"/>
    <w:rsid w:val="00EF5601"/>
    <w:rsid w:val="00F03449"/>
    <w:rsid w:val="00F04123"/>
    <w:rsid w:val="00F05649"/>
    <w:rsid w:val="00F065EF"/>
    <w:rsid w:val="00F14E7B"/>
    <w:rsid w:val="00F15485"/>
    <w:rsid w:val="00F1732B"/>
    <w:rsid w:val="00F1791F"/>
    <w:rsid w:val="00F237F2"/>
    <w:rsid w:val="00F23A45"/>
    <w:rsid w:val="00F24E87"/>
    <w:rsid w:val="00F305DA"/>
    <w:rsid w:val="00F308C1"/>
    <w:rsid w:val="00F330BD"/>
    <w:rsid w:val="00F33AF9"/>
    <w:rsid w:val="00F348BE"/>
    <w:rsid w:val="00F3639A"/>
    <w:rsid w:val="00F36DDB"/>
    <w:rsid w:val="00F37A15"/>
    <w:rsid w:val="00F40CD6"/>
    <w:rsid w:val="00F434E0"/>
    <w:rsid w:val="00F45705"/>
    <w:rsid w:val="00F561C4"/>
    <w:rsid w:val="00F57D00"/>
    <w:rsid w:val="00F57FB4"/>
    <w:rsid w:val="00F60052"/>
    <w:rsid w:val="00F60281"/>
    <w:rsid w:val="00F61CE9"/>
    <w:rsid w:val="00F626CA"/>
    <w:rsid w:val="00F653E8"/>
    <w:rsid w:val="00F73E7F"/>
    <w:rsid w:val="00F76E0D"/>
    <w:rsid w:val="00F7721B"/>
    <w:rsid w:val="00F80D38"/>
    <w:rsid w:val="00F819F0"/>
    <w:rsid w:val="00F8210D"/>
    <w:rsid w:val="00F83D73"/>
    <w:rsid w:val="00F8617C"/>
    <w:rsid w:val="00F9030E"/>
    <w:rsid w:val="00F906A8"/>
    <w:rsid w:val="00F91E2B"/>
    <w:rsid w:val="00F94838"/>
    <w:rsid w:val="00F97282"/>
    <w:rsid w:val="00F97F7E"/>
    <w:rsid w:val="00FA2E99"/>
    <w:rsid w:val="00FA3686"/>
    <w:rsid w:val="00FA4CE9"/>
    <w:rsid w:val="00FA6FEC"/>
    <w:rsid w:val="00FB3B55"/>
    <w:rsid w:val="00FC154B"/>
    <w:rsid w:val="00FC3E92"/>
    <w:rsid w:val="00FC4490"/>
    <w:rsid w:val="00FC4B9B"/>
    <w:rsid w:val="00FC5DE8"/>
    <w:rsid w:val="00FC61C3"/>
    <w:rsid w:val="00FC6F38"/>
    <w:rsid w:val="00FC7230"/>
    <w:rsid w:val="00FC7ECC"/>
    <w:rsid w:val="00FD21FB"/>
    <w:rsid w:val="00FD2F51"/>
    <w:rsid w:val="00FD6D61"/>
    <w:rsid w:val="00FD6F2D"/>
    <w:rsid w:val="00FD734E"/>
    <w:rsid w:val="00FE1F46"/>
    <w:rsid w:val="00FE32D0"/>
    <w:rsid w:val="00FE32D4"/>
    <w:rsid w:val="00FE372C"/>
    <w:rsid w:val="00FE412C"/>
    <w:rsid w:val="00FE7E8B"/>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C90"/>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character" w:styleId="Hyperlink">
    <w:name w:val="Hyperlink"/>
    <w:basedOn w:val="DefaultParagraphFont"/>
    <w:uiPriority w:val="99"/>
    <w:unhideWhenUsed/>
    <w:rsid w:val="00622DEF"/>
    <w:rPr>
      <w:color w:val="0000FF" w:themeColor="hyperlink"/>
      <w:u w:val="single"/>
    </w:rPr>
  </w:style>
  <w:style w:type="paragraph" w:styleId="Footer">
    <w:name w:val="footer"/>
    <w:basedOn w:val="Normal"/>
    <w:link w:val="FooterChar"/>
    <w:uiPriority w:val="99"/>
    <w:unhideWhenUsed/>
    <w:rsid w:val="006F4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17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amiblii.org/akn/na/judgment/nahcmd/2015/121" TargetMode="External"/><Relationship Id="rId2" Type="http://schemas.openxmlformats.org/officeDocument/2006/relationships/hyperlink" Target="https://namiblii.org/akn/na/judgment/nahcmd/2021/470" TargetMode="External"/><Relationship Id="rId1" Type="http://schemas.openxmlformats.org/officeDocument/2006/relationships/hyperlink" Target="https://namiblii.org/akn/na/judgment/nahcmd/2017/323" TargetMode="External"/><Relationship Id="rId6" Type="http://schemas.openxmlformats.org/officeDocument/2006/relationships/hyperlink" Target="https://www.saflii.org/cgi-bin/LawCite?cit=1973%20%284%29%20SA%20667" TargetMode="External"/><Relationship Id="rId5" Type="http://schemas.openxmlformats.org/officeDocument/2006/relationships/hyperlink" Target="https://namiblii.org/akn/na/judgment/nahcmd/2015/121" TargetMode="External"/><Relationship Id="rId4" Type="http://schemas.openxmlformats.org/officeDocument/2006/relationships/hyperlink" Target="https://namiblii.org/akn/na/judgment/nahcmd/201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2023-05-22T18:30:00+00:00</Judgment_x0020_Date>
    <Year xmlns="c1afb1bd-f2fb-40fd-9abb-aea55b4d7662">2023</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FC012-CDE3-499C-85DB-3E3607779EE2}"/>
</file>

<file path=customXml/itemProps2.xml><?xml version="1.0" encoding="utf-8"?>
<ds:datastoreItem xmlns:ds="http://schemas.openxmlformats.org/officeDocument/2006/customXml" ds:itemID="{4C94C128-0715-409B-8002-43322416BC2E}"/>
</file>

<file path=customXml/itemProps3.xml><?xml version="1.0" encoding="utf-8"?>
<ds:datastoreItem xmlns:ds="http://schemas.openxmlformats.org/officeDocument/2006/customXml" ds:itemID="{F3D5F115-3701-4AB1-84AC-A86F41251BBB}"/>
</file>

<file path=customXml/itemProps4.xml><?xml version="1.0" encoding="utf-8"?>
<ds:datastoreItem xmlns:ds="http://schemas.openxmlformats.org/officeDocument/2006/customXml" ds:itemID="{04CF6D7C-DBCD-42CF-A47D-0832322FD711}"/>
</file>

<file path=docProps/app.xml><?xml version="1.0" encoding="utf-8"?>
<Properties xmlns="http://schemas.openxmlformats.org/officeDocument/2006/extended-properties" xmlns:vt="http://schemas.openxmlformats.org/officeDocument/2006/docPropsVTypes">
  <Template>Normal</Template>
  <TotalTime>0</TotalTime>
  <Pages>26</Pages>
  <Words>7983</Words>
  <Characters>45509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53386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Menzies Aviation (Namibia) (Pty) Ltd  v Namibia Airports Company Ltd (HC-MD-CIV-MOT-REV-2022-00155) [2023] NAHCMD 281 (23 May 2023)</dc:title>
  <dc:creator>drisuro</dc:creator>
  <cp:lastModifiedBy>Selma Nambahu</cp:lastModifiedBy>
  <cp:revision>2</cp:revision>
  <cp:lastPrinted>2023-05-23T07:21:00Z</cp:lastPrinted>
  <dcterms:created xsi:type="dcterms:W3CDTF">2023-05-23T07:21:00Z</dcterms:created>
  <dcterms:modified xsi:type="dcterms:W3CDTF">2023-05-23T07:21:00Z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