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42646C" w:rsidRDefault="00853524" w:rsidP="0042646C">
      <w:pPr>
        <w:jc w:val="center"/>
        <w:rPr>
          <w:b/>
        </w:rPr>
      </w:pPr>
      <w:r w:rsidRPr="0042646C">
        <w:rPr>
          <w:b/>
        </w:rPr>
        <w:t>REPUBLIC OF NAMIBIA</w:t>
      </w:r>
    </w:p>
    <w:p w14:paraId="2FF7B931" w14:textId="77777777" w:rsidR="00853524" w:rsidRPr="0042646C" w:rsidRDefault="00853524" w:rsidP="0042646C">
      <w:pPr>
        <w:jc w:val="center"/>
        <w:rPr>
          <w:b/>
          <w:sz w:val="32"/>
          <w:szCs w:val="32"/>
        </w:rPr>
      </w:pPr>
      <w:r w:rsidRPr="0042646C">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42646C" w:rsidRDefault="00853524" w:rsidP="0042646C">
      <w:pPr>
        <w:jc w:val="center"/>
        <w:rPr>
          <w:b/>
        </w:rPr>
      </w:pPr>
    </w:p>
    <w:p w14:paraId="0121DDEF" w14:textId="32DF9456" w:rsidR="00853524" w:rsidRPr="0042646C" w:rsidRDefault="00853524" w:rsidP="0042646C">
      <w:pPr>
        <w:jc w:val="center"/>
        <w:rPr>
          <w:b/>
        </w:rPr>
      </w:pPr>
      <w:r w:rsidRPr="0042646C">
        <w:rPr>
          <w:b/>
        </w:rPr>
        <w:t>HIGH COURT OF NAMIBIA MAIN DIVISION, WINDHOEK</w:t>
      </w:r>
    </w:p>
    <w:p w14:paraId="464A717F" w14:textId="30F0EF34" w:rsidR="000B2EA5" w:rsidRPr="0042646C" w:rsidRDefault="000B2EA5" w:rsidP="0042646C">
      <w:pPr>
        <w:jc w:val="center"/>
        <w:rPr>
          <w:b/>
        </w:rPr>
      </w:pPr>
    </w:p>
    <w:p w14:paraId="26155E1B" w14:textId="55540E85" w:rsidR="000B2EA5" w:rsidRPr="00940917" w:rsidRDefault="000B2EA5" w:rsidP="0042646C">
      <w:pPr>
        <w:jc w:val="center"/>
        <w:rPr>
          <w:bCs/>
        </w:rPr>
      </w:pPr>
      <w:r w:rsidRPr="0042646C">
        <w:rPr>
          <w:b/>
        </w:rPr>
        <w:t>REASONS</w:t>
      </w:r>
    </w:p>
    <w:p w14:paraId="0B4BB7B9" w14:textId="77777777" w:rsidR="00853524" w:rsidRPr="0042646C" w:rsidRDefault="00853524" w:rsidP="0042646C">
      <w:pPr>
        <w:jc w:val="center"/>
        <w:rPr>
          <w:b/>
        </w:rPr>
      </w:pPr>
    </w:p>
    <w:p w14:paraId="656267F7" w14:textId="63BA8416" w:rsidR="00853524" w:rsidRPr="00940917" w:rsidRDefault="00853524" w:rsidP="0042646C">
      <w:pPr>
        <w:jc w:val="right"/>
        <w:rPr>
          <w:b/>
          <w:bCs/>
        </w:rPr>
      </w:pPr>
      <w:r w:rsidRPr="00940917">
        <w:rPr>
          <w:b/>
          <w:bCs/>
        </w:rPr>
        <w:t xml:space="preserve">           </w:t>
      </w:r>
      <w:r w:rsidR="0075127E">
        <w:rPr>
          <w:b/>
          <w:bCs/>
        </w:rPr>
        <w:t xml:space="preserve"> </w:t>
      </w:r>
      <w:r w:rsidRPr="00940917">
        <w:rPr>
          <w:b/>
          <w:bCs/>
        </w:rPr>
        <w:t xml:space="preserve"> </w:t>
      </w:r>
      <w:r w:rsidR="0075127E">
        <w:rPr>
          <w:b/>
          <w:bCs/>
        </w:rPr>
        <w:t xml:space="preserve">                </w:t>
      </w:r>
      <w:r w:rsidR="0075127E" w:rsidRPr="008A7F60">
        <w:rPr>
          <w:bCs/>
        </w:rPr>
        <w:t>Case N</w:t>
      </w:r>
      <w:r w:rsidRPr="008A7F60">
        <w:rPr>
          <w:bCs/>
        </w:rPr>
        <w:t>o</w:t>
      </w:r>
      <w:r w:rsidR="0075127E" w:rsidRPr="008A7F60">
        <w:rPr>
          <w:bCs/>
        </w:rPr>
        <w:t>.</w:t>
      </w:r>
      <w:bookmarkStart w:id="0" w:name="_Hlk134709666"/>
      <w:r w:rsidR="0075127E" w:rsidRPr="008A7F60">
        <w:rPr>
          <w:bCs/>
        </w:rPr>
        <w:t xml:space="preserve">: </w:t>
      </w:r>
      <w:r w:rsidR="00940917" w:rsidRPr="008A7F60">
        <w:rPr>
          <w:rFonts w:ascii="Open Sans" w:hAnsi="Open Sans" w:cs="Open Sans"/>
          <w:bCs/>
          <w:color w:val="333333"/>
          <w:shd w:val="clear" w:color="auto" w:fill="FFFFFF"/>
        </w:rPr>
        <w:t>HC</w:t>
      </w:r>
      <w:r w:rsidR="00940917" w:rsidRPr="00515D6A">
        <w:rPr>
          <w:rFonts w:ascii="Open Sans" w:hAnsi="Open Sans" w:cs="Open Sans"/>
          <w:bCs/>
          <w:color w:val="333333"/>
          <w:shd w:val="clear" w:color="auto" w:fill="FFFFFF"/>
        </w:rPr>
        <w:t>-MD-CIV-ACT-MAT-2023/00287</w:t>
      </w:r>
      <w:bookmarkEnd w:id="0"/>
    </w:p>
    <w:p w14:paraId="486597A8" w14:textId="77777777" w:rsidR="00D97FF6" w:rsidRPr="0042646C" w:rsidRDefault="00D97FF6" w:rsidP="0042646C"/>
    <w:p w14:paraId="01440233" w14:textId="77777777" w:rsidR="00853524" w:rsidRPr="0042646C" w:rsidRDefault="00853524" w:rsidP="0042646C">
      <w:r w:rsidRPr="0042646C">
        <w:t>In the matter between:</w:t>
      </w:r>
    </w:p>
    <w:p w14:paraId="291513BA" w14:textId="77777777" w:rsidR="00853524" w:rsidRPr="0042646C" w:rsidRDefault="00853524" w:rsidP="0042646C"/>
    <w:p w14:paraId="28A29F10" w14:textId="6F9807A5" w:rsidR="00853524" w:rsidRPr="0042646C" w:rsidRDefault="00970E62" w:rsidP="0042646C">
      <w:pPr>
        <w:pStyle w:val="Heading4"/>
        <w:numPr>
          <w:ilvl w:val="0"/>
          <w:numId w:val="0"/>
        </w:numPr>
        <w:tabs>
          <w:tab w:val="right" w:pos="8280"/>
        </w:tabs>
        <w:rPr>
          <w:b/>
        </w:rPr>
      </w:pPr>
      <w:r w:rsidRPr="00970E62">
        <w:rPr>
          <w:b/>
          <w:bCs/>
          <w:color w:val="333333"/>
          <w:shd w:val="clear" w:color="auto" w:fill="FFFFFF"/>
        </w:rPr>
        <w:t>REVONIA REZELDA DE WET</w:t>
      </w:r>
      <w:r w:rsidR="00853524" w:rsidRPr="0042646C">
        <w:rPr>
          <w:b/>
        </w:rPr>
        <w:tab/>
      </w:r>
      <w:r>
        <w:rPr>
          <w:b/>
        </w:rPr>
        <w:t xml:space="preserve">     </w:t>
      </w:r>
      <w:r w:rsidR="00822462" w:rsidRPr="0042646C">
        <w:rPr>
          <w:b/>
        </w:rPr>
        <w:t>PLAINTIFF</w:t>
      </w:r>
    </w:p>
    <w:p w14:paraId="75EB4495" w14:textId="77777777" w:rsidR="0075127E" w:rsidRDefault="0075127E" w:rsidP="0075127E"/>
    <w:p w14:paraId="16E0C753" w14:textId="22749348" w:rsidR="0075127E" w:rsidRDefault="0075127E" w:rsidP="0075127E">
      <w:r>
        <w:t>a</w:t>
      </w:r>
      <w:r w:rsidR="00853524" w:rsidRPr="0042646C">
        <w:t>nd</w:t>
      </w:r>
    </w:p>
    <w:p w14:paraId="5DB2F021" w14:textId="77777777" w:rsidR="0075127E" w:rsidRDefault="0075127E" w:rsidP="0075127E">
      <w:pPr>
        <w:rPr>
          <w:b/>
        </w:rPr>
      </w:pPr>
    </w:p>
    <w:p w14:paraId="5FAB02D2" w14:textId="48526A49" w:rsidR="00135CE1" w:rsidRPr="0075127E" w:rsidRDefault="00970E62" w:rsidP="0075127E">
      <w:r w:rsidRPr="00970E62">
        <w:rPr>
          <w:b/>
        </w:rPr>
        <w:t>ABRAHAM DE WET</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r>
        <w:rPr>
          <w:b/>
          <w:color w:val="000000" w:themeColor="text1"/>
        </w:rPr>
        <w:tab/>
      </w:r>
      <w:r w:rsidR="00822462" w:rsidRPr="0042646C">
        <w:rPr>
          <w:b/>
          <w:color w:val="000000" w:themeColor="text1"/>
        </w:rPr>
        <w:t>DEFENDANT</w:t>
      </w:r>
    </w:p>
    <w:p w14:paraId="58208DAB" w14:textId="77777777" w:rsidR="00656166" w:rsidRDefault="00656166" w:rsidP="00EE4522">
      <w:pPr>
        <w:rPr>
          <w:b/>
        </w:rPr>
      </w:pPr>
    </w:p>
    <w:p w14:paraId="1A4ADEBB" w14:textId="77777777" w:rsidR="00656166" w:rsidRDefault="00656166" w:rsidP="00EE4522">
      <w:pPr>
        <w:rPr>
          <w:b/>
        </w:rPr>
      </w:pPr>
    </w:p>
    <w:p w14:paraId="3E99A884" w14:textId="58D04181" w:rsidR="00EE4522" w:rsidRPr="00E00086" w:rsidRDefault="00010900" w:rsidP="00EE4522">
      <w:pPr>
        <w:rPr>
          <w:i/>
          <w:iCs/>
          <w:color w:val="000000" w:themeColor="text1"/>
        </w:rPr>
      </w:pPr>
      <w:r>
        <w:rPr>
          <w:b/>
        </w:rPr>
        <w:t xml:space="preserve">Neutral citation: </w:t>
      </w:r>
      <w:r w:rsidR="00C30E14">
        <w:rPr>
          <w:bCs/>
          <w:i/>
          <w:iCs/>
        </w:rPr>
        <w:t>De Wet</w:t>
      </w:r>
      <w:r w:rsidR="00EE4522" w:rsidRPr="00656166">
        <w:rPr>
          <w:bCs/>
          <w:i/>
          <w:iCs/>
        </w:rPr>
        <w:t xml:space="preserve"> </w:t>
      </w:r>
      <w:r w:rsidR="0075127E">
        <w:rPr>
          <w:bCs/>
          <w:i/>
          <w:iCs/>
        </w:rPr>
        <w:t xml:space="preserve">v </w:t>
      </w:r>
      <w:r w:rsidR="00C30E14">
        <w:rPr>
          <w:bCs/>
          <w:i/>
          <w:iCs/>
        </w:rPr>
        <w:t>De Wet</w:t>
      </w:r>
      <w:r w:rsidR="0075127E">
        <w:rPr>
          <w:bCs/>
          <w:i/>
          <w:iCs/>
        </w:rPr>
        <w:t xml:space="preserve"> (</w:t>
      </w:r>
      <w:r w:rsidR="00656166" w:rsidRPr="00656166">
        <w:rPr>
          <w:color w:val="000000" w:themeColor="text1"/>
        </w:rPr>
        <w:t>HC-MD-CIV-ACT-MAT-2023/00287</w:t>
      </w:r>
      <w:r w:rsidR="005B223F">
        <w:rPr>
          <w:color w:val="000000" w:themeColor="text1"/>
        </w:rPr>
        <w:t>)</w:t>
      </w:r>
      <w:r w:rsidR="0075127E">
        <w:rPr>
          <w:color w:val="000000" w:themeColor="text1"/>
        </w:rPr>
        <w:t xml:space="preserve"> </w:t>
      </w:r>
      <w:r>
        <w:rPr>
          <w:color w:val="000000" w:themeColor="text1"/>
        </w:rPr>
        <w:tab/>
      </w:r>
      <w:r>
        <w:rPr>
          <w:color w:val="000000" w:themeColor="text1"/>
        </w:rPr>
        <w:tab/>
      </w:r>
      <w:r>
        <w:rPr>
          <w:color w:val="000000" w:themeColor="text1"/>
        </w:rPr>
        <w:tab/>
        <w:t xml:space="preserve">      </w:t>
      </w:r>
      <w:r w:rsidR="0075127E">
        <w:rPr>
          <w:color w:val="000000" w:themeColor="text1"/>
        </w:rPr>
        <w:t>NAH</w:t>
      </w:r>
      <w:r w:rsidR="00EE4522" w:rsidRPr="00E00086">
        <w:rPr>
          <w:color w:val="000000" w:themeColor="text1"/>
        </w:rPr>
        <w:t xml:space="preserve">CMD </w:t>
      </w:r>
      <w:r w:rsidR="00694A6B" w:rsidRPr="00694A6B">
        <w:t>289</w:t>
      </w:r>
      <w:r w:rsidR="00EE4522" w:rsidRPr="00694A6B">
        <w:t xml:space="preserve"> </w:t>
      </w:r>
      <w:r w:rsidR="00EE4522" w:rsidRPr="00E00086">
        <w:rPr>
          <w:color w:val="000000" w:themeColor="text1"/>
        </w:rPr>
        <w:t>(</w:t>
      </w:r>
      <w:r w:rsidR="00C30E14" w:rsidRPr="00C30E14">
        <w:t>30</w:t>
      </w:r>
      <w:r>
        <w:t xml:space="preserve"> </w:t>
      </w:r>
      <w:r w:rsidR="00656166">
        <w:t>May 2023</w:t>
      </w:r>
      <w:r w:rsidR="00EE4522" w:rsidRPr="00E00086">
        <w:rPr>
          <w:color w:val="000000" w:themeColor="text1"/>
        </w:rPr>
        <w:t>)</w:t>
      </w:r>
    </w:p>
    <w:p w14:paraId="27E2A440" w14:textId="77777777" w:rsidR="00EE4522" w:rsidRPr="00E00086" w:rsidRDefault="00EE4522" w:rsidP="00EE4522">
      <w:pPr>
        <w:ind w:left="2160" w:hanging="2160"/>
      </w:pPr>
    </w:p>
    <w:p w14:paraId="3CC3EBFD" w14:textId="77777777" w:rsidR="00EE4522" w:rsidRPr="00E00086" w:rsidRDefault="00EE4522" w:rsidP="00EE4522">
      <w:pPr>
        <w:ind w:left="2160" w:hanging="2160"/>
        <w:rPr>
          <w:b/>
          <w:i/>
        </w:rPr>
      </w:pPr>
      <w:r w:rsidRPr="00E00086">
        <w:rPr>
          <w:b/>
        </w:rPr>
        <w:t>Coram:</w:t>
      </w:r>
      <w:r w:rsidRPr="00E00086">
        <w:tab/>
        <w:t>Schimming-Chase J</w:t>
      </w:r>
    </w:p>
    <w:p w14:paraId="4341205A" w14:textId="3849B825" w:rsidR="00EE4522" w:rsidRPr="0006053A" w:rsidRDefault="00EE4522" w:rsidP="00EE4522">
      <w:pPr>
        <w:ind w:left="2160" w:hanging="2160"/>
        <w:rPr>
          <w:bCs/>
        </w:rPr>
      </w:pPr>
      <w:r w:rsidRPr="00E00086">
        <w:rPr>
          <w:b/>
          <w:bCs/>
        </w:rPr>
        <w:t>Heard:</w:t>
      </w:r>
      <w:r w:rsidRPr="00E00086">
        <w:rPr>
          <w:b/>
        </w:rPr>
        <w:tab/>
      </w:r>
      <w:r w:rsidR="0075127E">
        <w:rPr>
          <w:bCs/>
        </w:rPr>
        <w:t>8 May</w:t>
      </w:r>
      <w:r w:rsidRPr="0006053A">
        <w:rPr>
          <w:bCs/>
        </w:rPr>
        <w:t xml:space="preserve"> 2023</w:t>
      </w:r>
    </w:p>
    <w:p w14:paraId="7F2A28AC" w14:textId="250A5752" w:rsidR="0075127E" w:rsidRDefault="0075127E" w:rsidP="00EE4522">
      <w:pPr>
        <w:ind w:left="2160" w:hanging="2160"/>
        <w:rPr>
          <w:b/>
          <w:bCs/>
        </w:rPr>
      </w:pPr>
      <w:r>
        <w:rPr>
          <w:b/>
          <w:bCs/>
        </w:rPr>
        <w:t>Order:</w:t>
      </w:r>
      <w:r>
        <w:rPr>
          <w:b/>
          <w:bCs/>
        </w:rPr>
        <w:tab/>
      </w:r>
      <w:r w:rsidRPr="0075127E">
        <w:rPr>
          <w:bCs/>
        </w:rPr>
        <w:t>8 May 2023</w:t>
      </w:r>
    </w:p>
    <w:p w14:paraId="3482F590" w14:textId="153F5CA8" w:rsidR="00EE4522" w:rsidRPr="0006053A" w:rsidRDefault="0075127E" w:rsidP="00EE4522">
      <w:pPr>
        <w:ind w:left="2160" w:hanging="2160"/>
      </w:pPr>
      <w:r>
        <w:rPr>
          <w:b/>
          <w:bCs/>
        </w:rPr>
        <w:t>Reasons</w:t>
      </w:r>
      <w:r w:rsidR="00EE4522" w:rsidRPr="00E00086">
        <w:rPr>
          <w:b/>
          <w:bCs/>
        </w:rPr>
        <w:t>:</w:t>
      </w:r>
      <w:r w:rsidR="00EE4522" w:rsidRPr="00E00086">
        <w:rPr>
          <w:b/>
          <w:bCs/>
        </w:rPr>
        <w:tab/>
      </w:r>
      <w:r w:rsidR="00C30E14" w:rsidRPr="00C30E14">
        <w:rPr>
          <w:bCs/>
        </w:rPr>
        <w:t>30</w:t>
      </w:r>
      <w:r w:rsidR="00010900">
        <w:rPr>
          <w:b/>
          <w:bCs/>
        </w:rPr>
        <w:t xml:space="preserve"> </w:t>
      </w:r>
      <w:r w:rsidRPr="0075127E">
        <w:rPr>
          <w:bCs/>
        </w:rPr>
        <w:t>May</w:t>
      </w:r>
      <w:r w:rsidR="00EE4522" w:rsidRPr="0075127E">
        <w:t xml:space="preserve"> 2023</w:t>
      </w:r>
    </w:p>
    <w:p w14:paraId="1F135920" w14:textId="77777777" w:rsidR="00EE4522" w:rsidRPr="00E00086" w:rsidRDefault="00EE4522" w:rsidP="00EE4522">
      <w:pPr>
        <w:ind w:left="1440" w:hanging="1440"/>
      </w:pPr>
    </w:p>
    <w:p w14:paraId="69BA2659" w14:textId="2AC84D59" w:rsidR="00EE4522" w:rsidRDefault="00EE4522" w:rsidP="00EE4522">
      <w:r w:rsidRPr="00E00086">
        <w:rPr>
          <w:b/>
        </w:rPr>
        <w:t>Flynote:</w:t>
      </w:r>
      <w:r w:rsidRPr="00E00086">
        <w:rPr>
          <w:b/>
        </w:rPr>
        <w:tab/>
      </w:r>
      <w:r w:rsidRPr="0075127E">
        <w:rPr>
          <w:bCs/>
        </w:rPr>
        <w:t>Law of Persons</w:t>
      </w:r>
      <w:r w:rsidRPr="0075127E">
        <w:t xml:space="preserve"> </w:t>
      </w:r>
      <w:r>
        <w:t>– Divorce proceedings – Restitution of conjugal rights</w:t>
      </w:r>
      <w:r w:rsidR="00B0477D">
        <w:t xml:space="preserve"> </w:t>
      </w:r>
      <w:r>
        <w:t xml:space="preserve">–  </w:t>
      </w:r>
      <w:r w:rsidR="00B0477D">
        <w:t>A</w:t>
      </w:r>
      <w:r>
        <w:t xml:space="preserve"> final order of divorce may be issued in circumstances where there is an existing final protection order</w:t>
      </w:r>
      <w:r w:rsidR="00656166">
        <w:t xml:space="preserve"> issued by the </w:t>
      </w:r>
      <w:r w:rsidR="00656166" w:rsidRPr="005E1C1A">
        <w:t xml:space="preserve">Magistrates Court Domestic </w:t>
      </w:r>
      <w:r w:rsidR="00656166" w:rsidRPr="005E1C1A">
        <w:lastRenderedPageBreak/>
        <w:t>Violence Unit.</w:t>
      </w:r>
    </w:p>
    <w:p w14:paraId="74A73ACE" w14:textId="77777777" w:rsidR="00EE4522" w:rsidRDefault="00EE4522" w:rsidP="00EE4522"/>
    <w:p w14:paraId="1CC80825" w14:textId="60939941" w:rsidR="00EE4522" w:rsidRDefault="00EE4522" w:rsidP="00EE4522">
      <w:pPr>
        <w:rPr>
          <w:color w:val="000000" w:themeColor="text1"/>
        </w:rPr>
      </w:pPr>
      <w:r w:rsidRPr="0075127E">
        <w:rPr>
          <w:bCs/>
        </w:rPr>
        <w:t>Rules of court</w:t>
      </w:r>
      <w:r w:rsidRPr="0075127E">
        <w:t xml:space="preserve"> —</w:t>
      </w:r>
      <w:r w:rsidRPr="00EE4522">
        <w:t xml:space="preserve"> Compliance with </w:t>
      </w:r>
      <w:r w:rsidR="00515D6A">
        <w:t xml:space="preserve">rules of court </w:t>
      </w:r>
      <w:r w:rsidRPr="00EE4522">
        <w:t xml:space="preserve">— Lay litigant — </w:t>
      </w:r>
      <w:r w:rsidR="00515D6A">
        <w:t>A</w:t>
      </w:r>
      <w:r w:rsidR="0075127E" w:rsidRPr="00EE4522">
        <w:t>lthough</w:t>
      </w:r>
      <w:r w:rsidRPr="00EE4522">
        <w:t xml:space="preserve"> court should be understanding of di</w:t>
      </w:r>
      <w:r w:rsidR="0075127E">
        <w:t>fficulties experienced by lay</w:t>
      </w:r>
      <w:r>
        <w:t xml:space="preserve"> litigants, t</w:t>
      </w:r>
      <w:r>
        <w:rPr>
          <w:color w:val="000000" w:themeColor="text1"/>
        </w:rPr>
        <w:t>he rules apply equally to all</w:t>
      </w:r>
      <w:r w:rsidR="00B0477D">
        <w:rPr>
          <w:color w:val="000000" w:themeColor="text1"/>
        </w:rPr>
        <w:t>.</w:t>
      </w:r>
    </w:p>
    <w:p w14:paraId="10597ED6" w14:textId="487C8BBB" w:rsidR="00B0477D" w:rsidRDefault="00EE2562" w:rsidP="00EE4522">
      <w:r w:rsidRPr="00EE2562">
        <w:t xml:space="preserve"> </w:t>
      </w:r>
    </w:p>
    <w:p w14:paraId="360BA99E" w14:textId="746B1518" w:rsidR="00EE4522" w:rsidRPr="00E00086" w:rsidRDefault="00B0477D" w:rsidP="00B0477D">
      <w:pPr>
        <w:rPr>
          <w:bCs/>
        </w:rPr>
      </w:pPr>
      <w:r w:rsidRPr="0075127E">
        <w:rPr>
          <w:bCs/>
        </w:rPr>
        <w:t>Practice</w:t>
      </w:r>
      <w:r w:rsidR="0075127E" w:rsidRPr="0075127E">
        <w:rPr>
          <w:bCs/>
        </w:rPr>
        <w:t xml:space="preserve"> </w:t>
      </w:r>
      <w:r w:rsidR="0075127E" w:rsidRPr="0075127E">
        <w:t>—</w:t>
      </w:r>
      <w:r>
        <w:t xml:space="preserve"> Case Management</w:t>
      </w:r>
      <w:r w:rsidR="0075127E">
        <w:t xml:space="preserve"> </w:t>
      </w:r>
      <w:r w:rsidR="0075127E" w:rsidRPr="0075127E">
        <w:t>—</w:t>
      </w:r>
      <w:r>
        <w:t xml:space="preserve"> Failure to participate meaningfully or at all in the case management process</w:t>
      </w:r>
      <w:r w:rsidR="0075127E">
        <w:t xml:space="preserve"> </w:t>
      </w:r>
      <w:r w:rsidR="0075127E" w:rsidRPr="0075127E">
        <w:t>—</w:t>
      </w:r>
      <w:r>
        <w:t xml:space="preserve"> Failure to file pleadings on time or at all </w:t>
      </w:r>
      <w:r w:rsidR="00515D6A" w:rsidRPr="00515D6A">
        <w:t>—</w:t>
      </w:r>
      <w:r w:rsidR="00864283">
        <w:t xml:space="preserve"> Rule 54(3</w:t>
      </w:r>
      <w:r>
        <w:t xml:space="preserve">) applicable and defendant </w:t>
      </w:r>
      <w:r w:rsidRPr="00515D6A">
        <w:rPr>
          <w:i/>
        </w:rPr>
        <w:t>ipso facto</w:t>
      </w:r>
      <w:r>
        <w:t xml:space="preserve"> barred. </w:t>
      </w:r>
    </w:p>
    <w:p w14:paraId="7876E5A4" w14:textId="77777777" w:rsidR="00EE4522" w:rsidRPr="00E00086" w:rsidRDefault="00EE4522" w:rsidP="00EE4522"/>
    <w:p w14:paraId="6CA98ED0" w14:textId="07483D27" w:rsidR="00607CA5" w:rsidRDefault="00EE4522" w:rsidP="00EE4522">
      <w:r w:rsidRPr="00E00086">
        <w:rPr>
          <w:b/>
        </w:rPr>
        <w:t>Summary:</w:t>
      </w:r>
      <w:r w:rsidRPr="00E00086">
        <w:rPr>
          <w:b/>
        </w:rPr>
        <w:tab/>
      </w:r>
      <w:r w:rsidRPr="00E00086">
        <w:t xml:space="preserve">The </w:t>
      </w:r>
      <w:r w:rsidR="00B0477D">
        <w:t>plaintiff instituted divorce proceedings against the defendant on the grounds of desertion alleging, amongs</w:t>
      </w:r>
      <w:r w:rsidR="00C004A4">
        <w:t>t</w:t>
      </w:r>
      <w:r w:rsidR="00B0477D">
        <w:t xml:space="preserve"> other</w:t>
      </w:r>
      <w:r w:rsidR="00C004A4">
        <w:t>s</w:t>
      </w:r>
      <w:r w:rsidR="00B0477D">
        <w:t xml:space="preserve"> that</w:t>
      </w:r>
      <w:r w:rsidR="00C004A4">
        <w:t xml:space="preserve"> during the course of the marriage</w:t>
      </w:r>
      <w:r w:rsidR="00B0477D">
        <w:t xml:space="preserve"> her husband, the defendant, </w:t>
      </w:r>
      <w:r w:rsidR="00C004A4">
        <w:t>had emotionally, verbally, psychologically</w:t>
      </w:r>
      <w:r w:rsidR="0075127E">
        <w:t>,</w:t>
      </w:r>
      <w:r w:rsidR="00C004A4">
        <w:t xml:space="preserve"> and</w:t>
      </w:r>
      <w:r w:rsidR="0075127E">
        <w:t xml:space="preserve"> physically abused her</w:t>
      </w:r>
      <w:r w:rsidR="00C004A4">
        <w:t xml:space="preserve"> resulting in </w:t>
      </w:r>
      <w:r w:rsidR="00656166">
        <w:t xml:space="preserve">the plaintiff </w:t>
      </w:r>
      <w:r w:rsidR="00C004A4">
        <w:t>obtaining a final protection order from the</w:t>
      </w:r>
      <w:r w:rsidR="00656166" w:rsidRPr="00656166">
        <w:t xml:space="preserve"> </w:t>
      </w:r>
      <w:r w:rsidR="0075127E">
        <w:t xml:space="preserve">Windhoek </w:t>
      </w:r>
      <w:r w:rsidR="00656166" w:rsidRPr="00656166">
        <w:t>Magistrates Court Domestic Violence Unit</w:t>
      </w:r>
      <w:r w:rsidR="00C004A4">
        <w:t xml:space="preserve"> on 20 December 202</w:t>
      </w:r>
      <w:r w:rsidR="0075127E">
        <w:t>2, effective for three</w:t>
      </w:r>
      <w:r w:rsidR="00C004A4">
        <w:t xml:space="preserve"> years. </w:t>
      </w:r>
      <w:r w:rsidR="00253B74">
        <w:t>In terms of the protection order the defendant was restrained from coming anywhere near the plaintiff at any time</w:t>
      </w:r>
      <w:r w:rsidR="00656166">
        <w:t xml:space="preserve"> </w:t>
      </w:r>
      <w:r w:rsidR="001D2766">
        <w:t xml:space="preserve">except in circumstances related to </w:t>
      </w:r>
      <w:r w:rsidR="00656166">
        <w:t>the defendant</w:t>
      </w:r>
      <w:r w:rsidR="001D2766">
        <w:t>’</w:t>
      </w:r>
      <w:r w:rsidR="00656166">
        <w:t>s reasonable access to the parties’ minor children</w:t>
      </w:r>
      <w:r w:rsidR="00253B74">
        <w:t>. The defendant defended the matter and delivered a notice to oppose. The d</w:t>
      </w:r>
      <w:r w:rsidR="0075127E">
        <w:t xml:space="preserve">efendant refused to partake in </w:t>
      </w:r>
      <w:r w:rsidR="00253B74">
        <w:t>the making of any case plan, and also failed to file his plea in accordance with the case plan order</w:t>
      </w:r>
      <w:r w:rsidR="00607CA5">
        <w:t xml:space="preserve">. The defendant was accordingly barred from pleading and the plaintiff was permitted to lead evidence in support of her claim on an unopposed basis. </w:t>
      </w:r>
    </w:p>
    <w:p w14:paraId="229B30C3" w14:textId="77777777" w:rsidR="00EE4522" w:rsidRPr="00E00086" w:rsidRDefault="00EE4522" w:rsidP="00EE4522"/>
    <w:p w14:paraId="7ECB0F18" w14:textId="78562A2F" w:rsidR="004B7691" w:rsidRPr="0075127E" w:rsidRDefault="00607CA5" w:rsidP="00607CA5">
      <w:r w:rsidRPr="005A2C99">
        <w:rPr>
          <w:i/>
        </w:rPr>
        <w:t>Held</w:t>
      </w:r>
      <w:r w:rsidR="0075127E">
        <w:t xml:space="preserve"> </w:t>
      </w:r>
      <w:r w:rsidR="0075127E" w:rsidRPr="00515D6A">
        <w:rPr>
          <w:i/>
        </w:rPr>
        <w:t>that</w:t>
      </w:r>
      <w:r w:rsidR="0075127E">
        <w:t>, t</w:t>
      </w:r>
      <w:r>
        <w:t xml:space="preserve">he defendant’s failure to participate in the case management of this matter, and failing to file a plea in terms of the case plan at any time, resulted in him being </w:t>
      </w:r>
      <w:r w:rsidRPr="00515D6A">
        <w:rPr>
          <w:i/>
        </w:rPr>
        <w:t>ipso facto</w:t>
      </w:r>
      <w:r>
        <w:t xml:space="preserve"> barred in terms of </w:t>
      </w:r>
      <w:r w:rsidR="00864283">
        <w:t>rule 54(3</w:t>
      </w:r>
      <w:r>
        <w:t>). The defendant’s reliance on being a lay litigant and not understanding the rules was not in line with his behaviour during th</w:t>
      </w:r>
      <w:r w:rsidR="00515D6A">
        <w:t>e case management process or his</w:t>
      </w:r>
      <w:r>
        <w:t xml:space="preserve"> failure to file the plea. The rules of court apply to everyone and in this instance</w:t>
      </w:r>
      <w:r w:rsidR="0075127E">
        <w:t>,</w:t>
      </w:r>
      <w:r>
        <w:t xml:space="preserve"> there was no excuse.</w:t>
      </w:r>
      <w:r w:rsidR="004B7691">
        <w:t xml:space="preserve"> </w:t>
      </w:r>
      <w:r>
        <w:t>The plaintiff was permitted to lead evidence in support of the restituti</w:t>
      </w:r>
      <w:r w:rsidR="0075127E">
        <w:t>on order on an unopposed basis.</w:t>
      </w:r>
    </w:p>
    <w:p w14:paraId="4F1324C4" w14:textId="77777777" w:rsidR="00515D6A" w:rsidRDefault="00515D6A" w:rsidP="00607CA5">
      <w:pPr>
        <w:rPr>
          <w:i/>
          <w:iCs/>
        </w:rPr>
      </w:pPr>
      <w:bookmarkStart w:id="1" w:name="_Hlk134710560"/>
    </w:p>
    <w:p w14:paraId="08CCECB9" w14:textId="45A0A911" w:rsidR="00607CA5" w:rsidRPr="001D2766" w:rsidRDefault="0075127E" w:rsidP="00607CA5">
      <w:pPr>
        <w:rPr>
          <w:i/>
          <w:iCs/>
        </w:rPr>
      </w:pPr>
      <w:r>
        <w:rPr>
          <w:i/>
          <w:iCs/>
        </w:rPr>
        <w:lastRenderedPageBreak/>
        <w:t xml:space="preserve">Held that, </w:t>
      </w:r>
      <w:r w:rsidRPr="0075127E">
        <w:rPr>
          <w:iCs/>
        </w:rPr>
        <w:t>t</w:t>
      </w:r>
      <w:r w:rsidR="00607CA5">
        <w:t>he order for restitution of conjugal rights is issued by the court in circumstances where there is a genuine and serious intention and willingness by the parties to resume the marital relationship</w:t>
      </w:r>
      <w:bookmarkEnd w:id="1"/>
      <w:r w:rsidR="00607CA5">
        <w:t>.</w:t>
      </w:r>
      <w:r w:rsidR="001D2766">
        <w:rPr>
          <w:i/>
          <w:iCs/>
        </w:rPr>
        <w:t xml:space="preserve"> </w:t>
      </w:r>
      <w:r w:rsidR="001D2766" w:rsidRPr="001D2766">
        <w:t>I</w:t>
      </w:r>
      <w:r w:rsidR="00607CA5">
        <w:t>t is inadvisable for the court to order restoration of conjugal rights where allegations of violence are pleaded in the papers and where a protection order is granted against one of the parties.</w:t>
      </w:r>
    </w:p>
    <w:p w14:paraId="42C7C9B3" w14:textId="77777777" w:rsidR="00607CA5" w:rsidRDefault="00607CA5" w:rsidP="00607CA5"/>
    <w:p w14:paraId="36AA605D" w14:textId="1BA6FA11" w:rsidR="004B7691" w:rsidRPr="0042646C" w:rsidRDefault="00607CA5" w:rsidP="004B7691">
      <w:pPr>
        <w:rPr>
          <w:b/>
          <w:u w:val="single"/>
        </w:rPr>
      </w:pPr>
      <w:r>
        <w:t>A final order of divorce was thus granted in favour of the plaintiff</w:t>
      </w:r>
      <w:r w:rsidR="004B7691">
        <w:t xml:space="preserve">. </w:t>
      </w:r>
    </w:p>
    <w:p w14:paraId="11C06559" w14:textId="370AA6D8" w:rsidR="00853524" w:rsidRPr="0042646C" w:rsidRDefault="00853524" w:rsidP="00EE4522">
      <w:pPr>
        <w:rPr>
          <w:b/>
          <w:u w:val="single"/>
        </w:rPr>
      </w:pPr>
    </w:p>
    <w:p w14:paraId="4A2B90D4" w14:textId="77777777" w:rsidR="00822462" w:rsidRPr="0042646C" w:rsidRDefault="00000000" w:rsidP="0042646C">
      <w:pPr>
        <w:rPr>
          <w:bCs/>
        </w:rPr>
      </w:pPr>
      <w:r>
        <w:rPr>
          <w:bCs/>
        </w:rPr>
        <w:pict w14:anchorId="299BD446">
          <v:rect id="_x0000_i1026" style="width:0;height:1.5pt" o:hralign="center" o:hrstd="t" o:hr="t" fillcolor="#a0a0a0" stroked="f"/>
        </w:pict>
      </w:r>
    </w:p>
    <w:p w14:paraId="045FE844" w14:textId="0A41C083" w:rsidR="00822462" w:rsidRPr="0042646C" w:rsidRDefault="00822462" w:rsidP="0042646C">
      <w:pPr>
        <w:jc w:val="center"/>
        <w:rPr>
          <w:b/>
        </w:rPr>
      </w:pPr>
      <w:r w:rsidRPr="0042646C">
        <w:rPr>
          <w:b/>
        </w:rPr>
        <w:t>ORDER</w:t>
      </w:r>
    </w:p>
    <w:p w14:paraId="48A97FE2" w14:textId="178308DB" w:rsidR="00822462" w:rsidRPr="0042646C" w:rsidRDefault="00000000" w:rsidP="0042646C">
      <w:pPr>
        <w:rPr>
          <w:bCs/>
        </w:rPr>
      </w:pPr>
      <w:r>
        <w:rPr>
          <w:bCs/>
        </w:rPr>
        <w:pict w14:anchorId="5A2B4CBB">
          <v:rect id="_x0000_i1027" style="width:0;height:1.5pt" o:hralign="center" o:bullet="t" o:hrstd="t" o:hr="t" fillcolor="#a0a0a0" stroked="f"/>
        </w:pict>
      </w:r>
    </w:p>
    <w:p w14:paraId="18F773EE" w14:textId="4B68AB34" w:rsidR="00822462" w:rsidRPr="0042646C" w:rsidRDefault="00822462" w:rsidP="0042646C">
      <w:pPr>
        <w:rPr>
          <w:bCs/>
        </w:rPr>
      </w:pPr>
    </w:p>
    <w:p w14:paraId="23F8A3C6" w14:textId="2284FDF6" w:rsidR="00515D6A" w:rsidRDefault="00B12F0D" w:rsidP="00B12F0D">
      <w:r>
        <w:rPr>
          <w:rFonts w:cs="Times New Roman"/>
          <w:spacing w:val="0"/>
          <w:szCs w:val="22"/>
          <w:lang w:val="en-US"/>
        </w:rPr>
        <w:t>1.</w:t>
      </w:r>
      <w:r>
        <w:rPr>
          <w:rFonts w:cs="Times New Roman"/>
          <w:spacing w:val="0"/>
          <w:szCs w:val="22"/>
          <w:lang w:val="en-US"/>
        </w:rPr>
        <w:tab/>
      </w:r>
      <w:r w:rsidR="00940917">
        <w:t xml:space="preserve">The bonds of marriage subsisting between the plaintiff and the defendant are hereby dissolved. </w:t>
      </w:r>
    </w:p>
    <w:p w14:paraId="7B5D306B" w14:textId="31231016" w:rsidR="00515D6A" w:rsidRDefault="00B12F0D" w:rsidP="00B12F0D">
      <w:r>
        <w:rPr>
          <w:rFonts w:cs="Times New Roman"/>
          <w:spacing w:val="0"/>
          <w:szCs w:val="22"/>
          <w:lang w:val="en-US"/>
        </w:rPr>
        <w:t>2.</w:t>
      </w:r>
      <w:r>
        <w:rPr>
          <w:rFonts w:cs="Times New Roman"/>
          <w:spacing w:val="0"/>
          <w:szCs w:val="22"/>
          <w:lang w:val="en-US"/>
        </w:rPr>
        <w:tab/>
      </w:r>
      <w:r w:rsidR="00940917">
        <w:t>The custody and control of the minor children, namely: Elshedei Hotago Belinda De Wet and Faith De Wet is h</w:t>
      </w:r>
      <w:r w:rsidR="00515D6A">
        <w:t>ereby awarded to the plaintiff.</w:t>
      </w:r>
    </w:p>
    <w:p w14:paraId="3A7A2E1B" w14:textId="6D324D10" w:rsidR="00515D6A" w:rsidRDefault="00B12F0D" w:rsidP="00B12F0D">
      <w:r>
        <w:rPr>
          <w:rFonts w:cs="Times New Roman"/>
          <w:spacing w:val="0"/>
          <w:szCs w:val="22"/>
          <w:lang w:val="en-US"/>
        </w:rPr>
        <w:t>3.</w:t>
      </w:r>
      <w:r>
        <w:rPr>
          <w:rFonts w:cs="Times New Roman"/>
          <w:spacing w:val="0"/>
          <w:szCs w:val="22"/>
          <w:lang w:val="en-US"/>
        </w:rPr>
        <w:tab/>
      </w:r>
      <w:r w:rsidR="00940917">
        <w:t xml:space="preserve"> The court hereby appoints a Social Worker with the mandate to investigate the question of the defendant's reasonable access to the minor children. </w:t>
      </w:r>
    </w:p>
    <w:p w14:paraId="1753DDFC" w14:textId="68967CE7" w:rsidR="00515D6A" w:rsidRDefault="00B12F0D" w:rsidP="00B12F0D">
      <w:r>
        <w:rPr>
          <w:rFonts w:cs="Times New Roman"/>
          <w:spacing w:val="0"/>
          <w:szCs w:val="22"/>
          <w:lang w:val="en-US"/>
        </w:rPr>
        <w:t>4.</w:t>
      </w:r>
      <w:r>
        <w:rPr>
          <w:rFonts w:cs="Times New Roman"/>
          <w:spacing w:val="0"/>
          <w:szCs w:val="22"/>
          <w:lang w:val="en-US"/>
        </w:rPr>
        <w:tab/>
      </w:r>
      <w:r w:rsidR="00940917">
        <w:t>The social worker must compile a report to the Children's Court for the District of Windhoek, for its determinatio</w:t>
      </w:r>
      <w:r w:rsidR="00515D6A">
        <w:t>n on or before 16 October 2023.</w:t>
      </w:r>
    </w:p>
    <w:p w14:paraId="10056261" w14:textId="0562B269" w:rsidR="00515D6A" w:rsidRDefault="00B12F0D" w:rsidP="00B12F0D">
      <w:r>
        <w:rPr>
          <w:rFonts w:cs="Times New Roman"/>
          <w:spacing w:val="0"/>
          <w:szCs w:val="22"/>
          <w:lang w:val="en-US"/>
        </w:rPr>
        <w:t>5.</w:t>
      </w:r>
      <w:r>
        <w:rPr>
          <w:rFonts w:cs="Times New Roman"/>
          <w:spacing w:val="0"/>
          <w:szCs w:val="22"/>
          <w:lang w:val="en-US"/>
        </w:rPr>
        <w:tab/>
      </w:r>
      <w:r w:rsidR="00940917">
        <w:t xml:space="preserve">The Office of the Registrar is directed to ensure that a copy of this order is served on the Ministry of Gender Equality, Poverty Eradication and Social Welfare. </w:t>
      </w:r>
    </w:p>
    <w:p w14:paraId="5C6D0ABC" w14:textId="7A9677C4" w:rsidR="00515D6A" w:rsidRDefault="00B12F0D" w:rsidP="00B12F0D">
      <w:r>
        <w:rPr>
          <w:rFonts w:cs="Times New Roman"/>
          <w:spacing w:val="0"/>
          <w:szCs w:val="22"/>
          <w:lang w:val="en-US"/>
        </w:rPr>
        <w:t>6.</w:t>
      </w:r>
      <w:r>
        <w:rPr>
          <w:rFonts w:cs="Times New Roman"/>
          <w:spacing w:val="0"/>
          <w:szCs w:val="22"/>
          <w:lang w:val="en-US"/>
        </w:rPr>
        <w:tab/>
      </w:r>
      <w:r w:rsidR="00C8086E">
        <w:t>The defendant is ordered to</w:t>
      </w:r>
      <w:r w:rsidR="00940917">
        <w:t xml:space="preserve"> pay maintenance in respect of the minor children in the amount of N$500.00 (Five Hundred Namibia Dollars) per month per child. </w:t>
      </w:r>
    </w:p>
    <w:p w14:paraId="443B8E44" w14:textId="652AD3C7" w:rsidR="00515D6A" w:rsidRDefault="00B12F0D" w:rsidP="00B12F0D">
      <w:r>
        <w:rPr>
          <w:rFonts w:cs="Times New Roman"/>
          <w:spacing w:val="0"/>
          <w:szCs w:val="22"/>
          <w:lang w:val="en-US"/>
        </w:rPr>
        <w:t>7.</w:t>
      </w:r>
      <w:r>
        <w:rPr>
          <w:rFonts w:cs="Times New Roman"/>
          <w:spacing w:val="0"/>
          <w:szCs w:val="22"/>
          <w:lang w:val="en-US"/>
        </w:rPr>
        <w:tab/>
      </w:r>
      <w:r w:rsidR="00940917">
        <w:t>The plaintiff and the defendant must contribute 50% each of all costs in respect of the said children's school, scholastic expenses, extra-mura</w:t>
      </w:r>
      <w:r w:rsidR="00C8086E">
        <w:t xml:space="preserve">l activities, </w:t>
      </w:r>
      <w:proofErr w:type="gramStart"/>
      <w:r w:rsidR="00C8086E">
        <w:t>books</w:t>
      </w:r>
      <w:proofErr w:type="gramEnd"/>
      <w:r w:rsidR="00C8086E">
        <w:t xml:space="preserve"> and statione</w:t>
      </w:r>
      <w:r w:rsidR="00940917">
        <w:t xml:space="preserve">ry as well as school clothes. </w:t>
      </w:r>
      <w:proofErr w:type="gramStart"/>
      <w:r w:rsidR="00940917">
        <w:t>In the event that</w:t>
      </w:r>
      <w:proofErr w:type="gramEnd"/>
      <w:r w:rsidR="00940917">
        <w:t xml:space="preserve"> the children show an aptitude for tertiary education both parties will be equally liable for all costs pertaining thereto including hostel fees. </w:t>
      </w:r>
    </w:p>
    <w:p w14:paraId="69C59A3A" w14:textId="2D1F9C28" w:rsidR="00515D6A" w:rsidRDefault="00B12F0D" w:rsidP="00B12F0D">
      <w:r>
        <w:rPr>
          <w:rFonts w:cs="Times New Roman"/>
          <w:spacing w:val="0"/>
          <w:szCs w:val="22"/>
          <w:lang w:val="en-US"/>
        </w:rPr>
        <w:t>8.</w:t>
      </w:r>
      <w:r>
        <w:rPr>
          <w:rFonts w:cs="Times New Roman"/>
          <w:spacing w:val="0"/>
          <w:szCs w:val="22"/>
          <w:lang w:val="en-US"/>
        </w:rPr>
        <w:tab/>
      </w:r>
      <w:r w:rsidR="00940917">
        <w:t xml:space="preserve">The plaintiff shall retain the minor children on </w:t>
      </w:r>
      <w:r w:rsidR="00C8086E">
        <w:t xml:space="preserve">her medical aid scheme </w:t>
      </w:r>
      <w:r w:rsidR="00C8086E">
        <w:lastRenderedPageBreak/>
        <w:t>and the d</w:t>
      </w:r>
      <w:r w:rsidR="00940917">
        <w:t xml:space="preserve">efendant shall pay all excess payments. </w:t>
      </w:r>
    </w:p>
    <w:p w14:paraId="7CDFF148" w14:textId="72556F01" w:rsidR="00515D6A" w:rsidRDefault="00B12F0D" w:rsidP="00B12F0D">
      <w:r>
        <w:rPr>
          <w:rFonts w:cs="Times New Roman"/>
          <w:spacing w:val="0"/>
          <w:szCs w:val="22"/>
          <w:lang w:val="en-US"/>
        </w:rPr>
        <w:t>9.</w:t>
      </w:r>
      <w:r>
        <w:rPr>
          <w:rFonts w:cs="Times New Roman"/>
          <w:spacing w:val="0"/>
          <w:szCs w:val="22"/>
          <w:lang w:val="en-US"/>
        </w:rPr>
        <w:tab/>
      </w:r>
      <w:r w:rsidR="00940917">
        <w:t>Division of the joint estate.</w:t>
      </w:r>
    </w:p>
    <w:p w14:paraId="16CFF052" w14:textId="4D175B33" w:rsidR="00515D6A" w:rsidRDefault="00B12F0D" w:rsidP="00B12F0D">
      <w:r>
        <w:rPr>
          <w:rFonts w:cs="Times New Roman"/>
          <w:spacing w:val="0"/>
          <w:szCs w:val="22"/>
          <w:lang w:val="en-US"/>
        </w:rPr>
        <w:t>10.</w:t>
      </w:r>
      <w:r>
        <w:rPr>
          <w:rFonts w:cs="Times New Roman"/>
          <w:spacing w:val="0"/>
          <w:szCs w:val="22"/>
          <w:lang w:val="en-US"/>
        </w:rPr>
        <w:tab/>
      </w:r>
      <w:r w:rsidR="00940917">
        <w:t xml:space="preserve">Costs of Suit. </w:t>
      </w:r>
    </w:p>
    <w:p w14:paraId="0CD76220" w14:textId="56F49EC7" w:rsidR="00822462" w:rsidRPr="00515D6A" w:rsidRDefault="00B12F0D" w:rsidP="00B12F0D">
      <w:r w:rsidRPr="00515D6A">
        <w:rPr>
          <w:rFonts w:cs="Times New Roman"/>
          <w:spacing w:val="0"/>
          <w:szCs w:val="22"/>
          <w:lang w:val="en-US"/>
        </w:rPr>
        <w:t>11.</w:t>
      </w:r>
      <w:r w:rsidRPr="00515D6A">
        <w:rPr>
          <w:rFonts w:cs="Times New Roman"/>
          <w:spacing w:val="0"/>
          <w:szCs w:val="22"/>
          <w:lang w:val="en-US"/>
        </w:rPr>
        <w:tab/>
      </w:r>
      <w:r w:rsidR="00940917">
        <w:t xml:space="preserve">The matter is removed from the roll: Case Finalised. </w:t>
      </w:r>
    </w:p>
    <w:p w14:paraId="6BCDA908" w14:textId="77777777" w:rsidR="00853524" w:rsidRPr="0042646C" w:rsidRDefault="00000000" w:rsidP="0042646C">
      <w:pPr>
        <w:rPr>
          <w:bCs/>
        </w:rPr>
      </w:pPr>
      <w:r>
        <w:rPr>
          <w:bCs/>
        </w:rPr>
        <w:pict w14:anchorId="2893D86E">
          <v:rect id="_x0000_i1028" style="width:0;height:1.5pt" o:hralign="center" o:hrstd="t" o:hr="t" fillcolor="#a0a0a0" stroked="f"/>
        </w:pict>
      </w:r>
    </w:p>
    <w:p w14:paraId="4BDA99AF" w14:textId="614380B3" w:rsidR="00853524" w:rsidRPr="0042646C" w:rsidRDefault="00822462" w:rsidP="0042646C">
      <w:pPr>
        <w:jc w:val="center"/>
        <w:rPr>
          <w:b/>
        </w:rPr>
      </w:pPr>
      <w:r w:rsidRPr="0042646C">
        <w:rPr>
          <w:b/>
        </w:rPr>
        <w:t>REASONS</w:t>
      </w:r>
    </w:p>
    <w:p w14:paraId="1C469921" w14:textId="77777777" w:rsidR="00853524" w:rsidRPr="0042646C" w:rsidRDefault="00000000" w:rsidP="0042646C">
      <w:pPr>
        <w:jc w:val="center"/>
        <w:rPr>
          <w:b/>
        </w:rPr>
      </w:pPr>
      <w:r>
        <w:rPr>
          <w:bCs/>
        </w:rPr>
        <w:pict w14:anchorId="4AE2B4B3">
          <v:rect id="_x0000_i1029" style="width:0;height:1.5pt" o:hralign="center" o:hrstd="t" o:hr="t" fillcolor="#a0a0a0" stroked="f"/>
        </w:pict>
      </w:r>
    </w:p>
    <w:p w14:paraId="5B6D5690" w14:textId="77777777" w:rsidR="00853524" w:rsidRPr="0042646C" w:rsidRDefault="00853524" w:rsidP="0042646C">
      <w:pPr>
        <w:ind w:left="1440" w:hanging="1440"/>
      </w:pPr>
    </w:p>
    <w:p w14:paraId="0C9EA869" w14:textId="1E624423" w:rsidR="00853524" w:rsidRPr="0042646C" w:rsidRDefault="0075127E" w:rsidP="0042646C">
      <w:pPr>
        <w:ind w:left="1440" w:hanging="1440"/>
        <w:rPr>
          <w:b/>
          <w:i/>
        </w:rPr>
      </w:pPr>
      <w:r>
        <w:t>SCHIMMING-CHASE</w:t>
      </w:r>
      <w:r w:rsidR="00853524" w:rsidRPr="0042646C">
        <w:t xml:space="preserve"> J</w:t>
      </w:r>
      <w:r>
        <w:t>:</w:t>
      </w:r>
    </w:p>
    <w:p w14:paraId="3DAF6C4E" w14:textId="5EC58AE5" w:rsidR="00853524" w:rsidRPr="0042646C" w:rsidRDefault="00853524" w:rsidP="0042646C"/>
    <w:p w14:paraId="54E001FD" w14:textId="1ADFF4A2" w:rsidR="00147E7B" w:rsidRDefault="00B12F0D" w:rsidP="00B12F0D">
      <w:pPr>
        <w:pStyle w:val="Heading1"/>
        <w:numPr>
          <w:ilvl w:val="0"/>
          <w:numId w:val="0"/>
        </w:numPr>
      </w:pPr>
      <w:r>
        <w:t>[1]</w:t>
      </w:r>
      <w:r>
        <w:tab/>
      </w:r>
      <w:r w:rsidR="00822462" w:rsidRPr="0042646C">
        <w:t xml:space="preserve">On 8 </w:t>
      </w:r>
      <w:r w:rsidR="00147E7B">
        <w:t>May 2023, and after hearing the evidence of the plaintiff in this divorce action, the court made the order above. Here are the reasons</w:t>
      </w:r>
      <w:r w:rsidR="004B7691">
        <w:t>.</w:t>
      </w:r>
    </w:p>
    <w:p w14:paraId="481923B5" w14:textId="77777777" w:rsidR="00147E7B" w:rsidRPr="00147E7B" w:rsidRDefault="00147E7B" w:rsidP="00147E7B"/>
    <w:p w14:paraId="13379CB4" w14:textId="43A7E3EE" w:rsidR="004B7691" w:rsidRDefault="00B12F0D" w:rsidP="00B12F0D">
      <w:pPr>
        <w:pStyle w:val="Heading1"/>
        <w:numPr>
          <w:ilvl w:val="0"/>
          <w:numId w:val="0"/>
        </w:numPr>
      </w:pPr>
      <w:r>
        <w:t>[2]</w:t>
      </w:r>
      <w:r>
        <w:tab/>
      </w:r>
      <w:r w:rsidR="007C332D">
        <w:t>The p</w:t>
      </w:r>
      <w:r w:rsidR="00147E7B">
        <w:t xml:space="preserve">laintiff instituted action against the defendant on 21 January 2023, </w:t>
      </w:r>
      <w:r w:rsidR="004B7691">
        <w:t xml:space="preserve">seeking </w:t>
      </w:r>
      <w:r w:rsidR="00147E7B">
        <w:t>a restitution order on the grounds of the defendant’s desertion.</w:t>
      </w:r>
      <w:r w:rsidR="00B81B7D">
        <w:t xml:space="preserve"> </w:t>
      </w:r>
    </w:p>
    <w:p w14:paraId="654E2A4F" w14:textId="77777777" w:rsidR="004B7691" w:rsidRPr="004B7691" w:rsidRDefault="004B7691" w:rsidP="0075127E"/>
    <w:p w14:paraId="68CCE219" w14:textId="469455AF" w:rsidR="00147E7B" w:rsidRDefault="00B12F0D" w:rsidP="00B12F0D">
      <w:pPr>
        <w:pStyle w:val="Heading1"/>
        <w:numPr>
          <w:ilvl w:val="0"/>
          <w:numId w:val="0"/>
        </w:numPr>
      </w:pPr>
      <w:r>
        <w:t>[3]</w:t>
      </w:r>
      <w:r>
        <w:tab/>
      </w:r>
      <w:r w:rsidR="00B81B7D">
        <w:t>The parties were married</w:t>
      </w:r>
      <w:r w:rsidR="00010900">
        <w:t xml:space="preserve"> to each other</w:t>
      </w:r>
      <w:r w:rsidR="00B81B7D">
        <w:t xml:space="preserve"> in com</w:t>
      </w:r>
      <w:r w:rsidR="00010900">
        <w:t>munity of property</w:t>
      </w:r>
      <w:r w:rsidR="00B81B7D">
        <w:t xml:space="preserve"> on 3 November 2007 at Windhoek. Two minor female children were born from the marriage</w:t>
      </w:r>
      <w:r w:rsidR="004B7691">
        <w:t xml:space="preserve">, ages 15 and </w:t>
      </w:r>
      <w:r w:rsidR="007C332D">
        <w:t>6</w:t>
      </w:r>
      <w:r w:rsidR="004B7691">
        <w:t xml:space="preserve"> respectively. At the time of institution of the divorce, the elder of the parties’ minor children resided with the defendant. However</w:t>
      </w:r>
      <w:r w:rsidR="00010900">
        <w:t>,</w:t>
      </w:r>
      <w:r w:rsidR="004B7691">
        <w:t xml:space="preserve"> the plaintiff claimed custody of both children, subject to the defendant</w:t>
      </w:r>
      <w:r w:rsidR="00010900">
        <w:t>’</w:t>
      </w:r>
      <w:r w:rsidR="004B7691">
        <w:t>s rights of reasonable access.</w:t>
      </w:r>
      <w:r w:rsidR="00B81B7D">
        <w:t xml:space="preserve"> </w:t>
      </w:r>
    </w:p>
    <w:p w14:paraId="164CF68C" w14:textId="77777777" w:rsidR="00147E7B" w:rsidRPr="00147E7B" w:rsidRDefault="00147E7B" w:rsidP="0075127E"/>
    <w:p w14:paraId="72915827" w14:textId="403B8619" w:rsidR="00147E7B" w:rsidRDefault="00B12F0D" w:rsidP="00B12F0D">
      <w:pPr>
        <w:pStyle w:val="Heading1"/>
        <w:numPr>
          <w:ilvl w:val="0"/>
          <w:numId w:val="0"/>
        </w:numPr>
        <w:rPr>
          <w:lang/>
        </w:rPr>
      </w:pPr>
      <w:r>
        <w:rPr>
          <w:lang/>
        </w:rPr>
        <w:t>[4]</w:t>
      </w:r>
      <w:r>
        <w:rPr>
          <w:lang/>
        </w:rPr>
        <w:tab/>
      </w:r>
      <w:r w:rsidR="00147E7B" w:rsidRPr="00FF1528">
        <w:rPr>
          <w:lang/>
        </w:rPr>
        <w:t>The defendant was granted the opportunity to defend the action, and he did so by filing a notice to defend on 15 February 2023.</w:t>
      </w:r>
    </w:p>
    <w:p w14:paraId="01B5ED07" w14:textId="77777777" w:rsidR="004B7691" w:rsidRPr="004B7691" w:rsidRDefault="004B7691" w:rsidP="0075127E">
      <w:pPr>
        <w:rPr>
          <w:lang/>
        </w:rPr>
      </w:pPr>
    </w:p>
    <w:p w14:paraId="0843AF09" w14:textId="3483D2D2" w:rsidR="0075127E" w:rsidRDefault="00B12F0D" w:rsidP="00B12F0D">
      <w:pPr>
        <w:pStyle w:val="Heading1"/>
        <w:numPr>
          <w:ilvl w:val="0"/>
          <w:numId w:val="0"/>
        </w:numPr>
        <w:rPr>
          <w:lang w:val="en-US"/>
        </w:rPr>
      </w:pPr>
      <w:r>
        <w:rPr>
          <w:lang w:val="en-US"/>
        </w:rPr>
        <w:t>[5]</w:t>
      </w:r>
      <w:r>
        <w:rPr>
          <w:lang w:val="en-US"/>
        </w:rPr>
        <w:tab/>
      </w:r>
      <w:r w:rsidR="00147E7B" w:rsidRPr="00FF1528">
        <w:rPr>
          <w:lang/>
        </w:rPr>
        <w:t>A case planning conference notice was issued on 21 February 2023, directing the parties to attend a case planning conferen</w:t>
      </w:r>
      <w:r w:rsidR="00010900">
        <w:rPr>
          <w:lang/>
        </w:rPr>
        <w:t>ce to be held at Windhoek on</w:t>
      </w:r>
      <w:r w:rsidR="00147E7B" w:rsidRPr="00FF1528">
        <w:rPr>
          <w:lang/>
        </w:rPr>
        <w:t xml:space="preserve"> 13 March 2023 at 15:30. The notice further ordered the parties to file a joint case plan in terms of rule 23(2) and (3) at least three days before the case planning conference to the managing</w:t>
      </w:r>
      <w:r w:rsidR="0075127E">
        <w:rPr>
          <w:lang/>
        </w:rPr>
        <w:t xml:space="preserve"> judge</w:t>
      </w:r>
      <w:r w:rsidR="00010900">
        <w:rPr>
          <w:lang w:val="en-US"/>
        </w:rPr>
        <w:t>.</w:t>
      </w:r>
    </w:p>
    <w:p w14:paraId="273A8F38" w14:textId="77777777" w:rsidR="00515D6A" w:rsidRPr="00515D6A" w:rsidRDefault="00515D6A" w:rsidP="00515D6A">
      <w:pPr>
        <w:rPr>
          <w:lang w:val="en-US"/>
        </w:rPr>
      </w:pPr>
    </w:p>
    <w:p w14:paraId="20A6F277" w14:textId="6018DA84" w:rsidR="00147E7B" w:rsidRDefault="00B12F0D" w:rsidP="00B12F0D">
      <w:pPr>
        <w:pStyle w:val="Heading1"/>
        <w:numPr>
          <w:ilvl w:val="0"/>
          <w:numId w:val="0"/>
        </w:numPr>
        <w:rPr>
          <w:lang/>
        </w:rPr>
      </w:pPr>
      <w:r>
        <w:rPr>
          <w:lang/>
        </w:rPr>
        <w:t>[6]</w:t>
      </w:r>
      <w:r>
        <w:rPr>
          <w:lang/>
        </w:rPr>
        <w:tab/>
      </w:r>
      <w:r w:rsidR="00147E7B" w:rsidRPr="00FF1528">
        <w:rPr>
          <w:lang/>
        </w:rPr>
        <w:t>Th</w:t>
      </w:r>
      <w:r w:rsidR="00010900">
        <w:rPr>
          <w:lang w:val="en-US"/>
        </w:rPr>
        <w:t>e</w:t>
      </w:r>
      <w:r w:rsidR="00147E7B" w:rsidRPr="00FF1528">
        <w:rPr>
          <w:lang/>
        </w:rPr>
        <w:t xml:space="preserve"> plaintiff's legal practitioner filed a unilateral case plan on 9 Marc</w:t>
      </w:r>
      <w:r w:rsidR="007C332D">
        <w:rPr>
          <w:lang/>
        </w:rPr>
        <w:t>h</w:t>
      </w:r>
      <w:r w:rsidR="00147E7B" w:rsidRPr="00FF1528">
        <w:rPr>
          <w:lang/>
        </w:rPr>
        <w:t xml:space="preserve"> 2023.</w:t>
      </w:r>
      <w:r w:rsidR="004B7691">
        <w:rPr>
          <w:lang/>
        </w:rPr>
        <w:t xml:space="preserve"> </w:t>
      </w:r>
      <w:r w:rsidR="00147E7B" w:rsidRPr="004B7691">
        <w:rPr>
          <w:lang/>
        </w:rPr>
        <w:t xml:space="preserve">The plaintiff's legal practitioner </w:t>
      </w:r>
      <w:r w:rsidR="004B7691">
        <w:rPr>
          <w:lang/>
        </w:rPr>
        <w:t xml:space="preserve">also </w:t>
      </w:r>
      <w:r w:rsidR="00147E7B" w:rsidRPr="004B7691">
        <w:rPr>
          <w:lang/>
        </w:rPr>
        <w:t xml:space="preserve">filed a status report on 13 March </w:t>
      </w:r>
      <w:r w:rsidR="00147E7B" w:rsidRPr="004B7691">
        <w:rPr>
          <w:lang/>
        </w:rPr>
        <w:lastRenderedPageBreak/>
        <w:t>2023, with annexures</w:t>
      </w:r>
      <w:r w:rsidR="007C332D">
        <w:rPr>
          <w:lang/>
        </w:rPr>
        <w:t>,</w:t>
      </w:r>
      <w:r w:rsidR="00147E7B" w:rsidRPr="004B7691">
        <w:rPr>
          <w:lang/>
        </w:rPr>
        <w:t xml:space="preserve"> indicating that the defendant was refusing to participate with her in the preparation of a joint case plan, and was acting in a derogatory and disrespectful manner towards her, aimed, </w:t>
      </w:r>
      <w:r w:rsidR="00147E7B" w:rsidRPr="004B7691">
        <w:rPr>
          <w:i/>
          <w:iCs/>
          <w:lang/>
        </w:rPr>
        <w:t>inter alia</w:t>
      </w:r>
      <w:r w:rsidR="00515D6A">
        <w:rPr>
          <w:i/>
          <w:iCs/>
          <w:lang w:val="en-US"/>
        </w:rPr>
        <w:t>,</w:t>
      </w:r>
      <w:r w:rsidR="00147E7B" w:rsidRPr="004B7691">
        <w:rPr>
          <w:lang/>
        </w:rPr>
        <w:t xml:space="preserve"> at delaying the matter.</w:t>
      </w:r>
    </w:p>
    <w:p w14:paraId="7F34C295" w14:textId="77777777" w:rsidR="004B7691" w:rsidRPr="004B7691" w:rsidRDefault="004B7691" w:rsidP="0075127E">
      <w:pPr>
        <w:rPr>
          <w:lang/>
        </w:rPr>
      </w:pPr>
    </w:p>
    <w:p w14:paraId="728D501E" w14:textId="4FD9582F" w:rsidR="007C332D" w:rsidRDefault="00B12F0D" w:rsidP="00B12F0D">
      <w:pPr>
        <w:pStyle w:val="Heading1"/>
        <w:numPr>
          <w:ilvl w:val="0"/>
          <w:numId w:val="0"/>
        </w:numPr>
        <w:rPr>
          <w:lang/>
        </w:rPr>
      </w:pPr>
      <w:r>
        <w:rPr>
          <w:lang/>
        </w:rPr>
        <w:t>[7]</w:t>
      </w:r>
      <w:r>
        <w:rPr>
          <w:lang/>
        </w:rPr>
        <w:tab/>
      </w:r>
      <w:r w:rsidR="0089073C">
        <w:rPr>
          <w:lang/>
        </w:rPr>
        <w:t xml:space="preserve">A consideration of the email exchange shows that </w:t>
      </w:r>
      <w:r w:rsidR="00010900">
        <w:rPr>
          <w:lang/>
        </w:rPr>
        <w:t xml:space="preserve">the </w:t>
      </w:r>
      <w:r w:rsidR="0089073C">
        <w:rPr>
          <w:lang/>
        </w:rPr>
        <w:t xml:space="preserve">plaintiff’s legal practitioner attempted to contact the defendant telephonically </w:t>
      </w:r>
      <w:proofErr w:type="gramStart"/>
      <w:r w:rsidR="0089073C">
        <w:rPr>
          <w:lang/>
        </w:rPr>
        <w:t>a nu</w:t>
      </w:r>
      <w:r w:rsidR="007C332D">
        <w:rPr>
          <w:lang/>
        </w:rPr>
        <w:t>m</w:t>
      </w:r>
      <w:r w:rsidR="0089073C">
        <w:rPr>
          <w:lang/>
        </w:rPr>
        <w:t>ber of</w:t>
      </w:r>
      <w:proofErr w:type="gramEnd"/>
      <w:r w:rsidR="0089073C">
        <w:rPr>
          <w:lang/>
        </w:rPr>
        <w:t xml:space="preserve"> times and there was no response. She the</w:t>
      </w:r>
      <w:r w:rsidR="007C332D">
        <w:rPr>
          <w:lang/>
        </w:rPr>
        <w:t>n</w:t>
      </w:r>
      <w:r w:rsidR="0089073C">
        <w:rPr>
          <w:lang/>
        </w:rPr>
        <w:t xml:space="preserve"> transmitted an email with a draft joint case plan to the defendant and asked </w:t>
      </w:r>
      <w:r w:rsidR="007C332D">
        <w:rPr>
          <w:lang/>
        </w:rPr>
        <w:t xml:space="preserve">him </w:t>
      </w:r>
      <w:r w:rsidR="0089073C">
        <w:rPr>
          <w:lang/>
        </w:rPr>
        <w:t xml:space="preserve">to consider and advise whether he agreed with the dates proposed for delivery of his pleadings. The defendant responded that the dates were not suitable to him as he was unavailable due to work commitments. </w:t>
      </w:r>
    </w:p>
    <w:p w14:paraId="7C33023E" w14:textId="77777777" w:rsidR="007C332D" w:rsidRPr="007C332D" w:rsidRDefault="007C332D" w:rsidP="0075127E">
      <w:pPr>
        <w:rPr>
          <w:lang/>
        </w:rPr>
      </w:pPr>
    </w:p>
    <w:p w14:paraId="495DD749" w14:textId="7168783B" w:rsidR="0089073C" w:rsidRDefault="00B12F0D" w:rsidP="00B12F0D">
      <w:pPr>
        <w:pStyle w:val="Heading1"/>
        <w:numPr>
          <w:ilvl w:val="0"/>
          <w:numId w:val="0"/>
        </w:numPr>
        <w:rPr>
          <w:lang/>
        </w:rPr>
      </w:pPr>
      <w:r>
        <w:rPr>
          <w:lang/>
        </w:rPr>
        <w:t>[8]</w:t>
      </w:r>
      <w:r>
        <w:rPr>
          <w:lang/>
        </w:rPr>
        <w:tab/>
      </w:r>
      <w:r w:rsidR="0089073C">
        <w:rPr>
          <w:lang/>
        </w:rPr>
        <w:t xml:space="preserve">In response, the plaintiff’s legal practitioner suggested that he include </w:t>
      </w:r>
      <w:r w:rsidR="007C332D">
        <w:rPr>
          <w:lang/>
        </w:rPr>
        <w:t xml:space="preserve">in the draft case plan, </w:t>
      </w:r>
      <w:r w:rsidR="0089073C">
        <w:rPr>
          <w:lang/>
        </w:rPr>
        <w:t xml:space="preserve">the dates that </w:t>
      </w:r>
      <w:r w:rsidR="007C332D">
        <w:rPr>
          <w:lang/>
        </w:rPr>
        <w:t>were</w:t>
      </w:r>
      <w:r w:rsidR="0089073C">
        <w:rPr>
          <w:lang/>
        </w:rPr>
        <w:t xml:space="preserve"> in line with his availability. The response of the defendant can only be described as a </w:t>
      </w:r>
      <w:r w:rsidR="007C332D">
        <w:rPr>
          <w:lang/>
        </w:rPr>
        <w:t xml:space="preserve">hostile </w:t>
      </w:r>
      <w:r w:rsidR="0089073C">
        <w:rPr>
          <w:lang/>
        </w:rPr>
        <w:t>and highly insulting tirade in which he used extremely derogatory remarks in describing the plaintiff. The plaintiff</w:t>
      </w:r>
      <w:r w:rsidR="007C332D">
        <w:rPr>
          <w:lang/>
        </w:rPr>
        <w:t xml:space="preserve">’s </w:t>
      </w:r>
      <w:r w:rsidR="00515D6A">
        <w:rPr>
          <w:lang/>
        </w:rPr>
        <w:t xml:space="preserve">legal </w:t>
      </w:r>
      <w:r w:rsidR="007C332D">
        <w:rPr>
          <w:lang/>
        </w:rPr>
        <w:t xml:space="preserve">practitioner </w:t>
      </w:r>
      <w:r w:rsidR="0089073C">
        <w:rPr>
          <w:lang/>
        </w:rPr>
        <w:t xml:space="preserve">in the result requested that the terms of the unilateral case plan be made an order of court. </w:t>
      </w:r>
    </w:p>
    <w:p w14:paraId="3FB07DF2" w14:textId="7323F3C9" w:rsidR="00147E7B" w:rsidRPr="00FF1528" w:rsidRDefault="00147E7B" w:rsidP="0075127E">
      <w:pPr>
        <w:pStyle w:val="Heading1"/>
        <w:numPr>
          <w:ilvl w:val="0"/>
          <w:numId w:val="0"/>
        </w:numPr>
        <w:rPr>
          <w:lang/>
        </w:rPr>
      </w:pPr>
      <w:bookmarkStart w:id="2" w:name="_Hlk134706138"/>
    </w:p>
    <w:bookmarkEnd w:id="2"/>
    <w:p w14:paraId="70DC8806" w14:textId="2DC4C93A" w:rsidR="00147E7B" w:rsidRDefault="00B12F0D" w:rsidP="00B12F0D">
      <w:pPr>
        <w:pStyle w:val="Heading1"/>
        <w:numPr>
          <w:ilvl w:val="0"/>
          <w:numId w:val="0"/>
        </w:numPr>
        <w:rPr>
          <w:lang/>
        </w:rPr>
      </w:pPr>
      <w:r>
        <w:rPr>
          <w:lang/>
        </w:rPr>
        <w:t>[9]</w:t>
      </w:r>
      <w:r>
        <w:rPr>
          <w:lang/>
        </w:rPr>
        <w:tab/>
      </w:r>
      <w:r w:rsidR="001E6E7B" w:rsidRPr="00FF1528">
        <w:rPr>
          <w:lang/>
        </w:rPr>
        <w:t xml:space="preserve">The defendant failed to appear in court </w:t>
      </w:r>
      <w:r w:rsidR="007C332D">
        <w:rPr>
          <w:lang/>
        </w:rPr>
        <w:t xml:space="preserve">for the case planning conference </w:t>
      </w:r>
      <w:r w:rsidR="001E6E7B" w:rsidRPr="00FF1528">
        <w:rPr>
          <w:lang/>
        </w:rPr>
        <w:t>on 13 March 2023.</w:t>
      </w:r>
      <w:r w:rsidR="001E6E7B">
        <w:rPr>
          <w:lang/>
        </w:rPr>
        <w:t xml:space="preserve"> </w:t>
      </w:r>
      <w:r w:rsidR="00147E7B" w:rsidRPr="001E6E7B">
        <w:rPr>
          <w:lang/>
        </w:rPr>
        <w:t xml:space="preserve">The court </w:t>
      </w:r>
      <w:r w:rsidR="001E6E7B">
        <w:rPr>
          <w:lang/>
        </w:rPr>
        <w:t xml:space="preserve">accordingly </w:t>
      </w:r>
      <w:r w:rsidR="00147E7B" w:rsidRPr="001E6E7B">
        <w:rPr>
          <w:lang/>
        </w:rPr>
        <w:t>issued a case planning order, requiring the defendant to file a plea on or before 24 March 2023, and requiring the</w:t>
      </w:r>
      <w:r w:rsidR="00694A6B">
        <w:rPr>
          <w:lang/>
        </w:rPr>
        <w:t xml:space="preserve"> parties to make discovery by 2</w:t>
      </w:r>
      <w:r w:rsidR="00694A6B">
        <w:rPr>
          <w:lang w:val="en-US"/>
        </w:rPr>
        <w:t>8</w:t>
      </w:r>
      <w:r w:rsidR="00147E7B" w:rsidRPr="001E6E7B">
        <w:rPr>
          <w:lang/>
        </w:rPr>
        <w:t xml:space="preserve"> April 2023. The case was postponed to 8 May 2023 for a case management conference.</w:t>
      </w:r>
    </w:p>
    <w:p w14:paraId="5A1E78EE" w14:textId="77777777" w:rsidR="001E6E7B" w:rsidRPr="001E6E7B" w:rsidRDefault="001E6E7B" w:rsidP="0075127E">
      <w:pPr>
        <w:rPr>
          <w:lang/>
        </w:rPr>
      </w:pPr>
    </w:p>
    <w:p w14:paraId="6422DFA0" w14:textId="7D75DDA4" w:rsidR="00147E7B" w:rsidRDefault="00B12F0D" w:rsidP="00B12F0D">
      <w:pPr>
        <w:pStyle w:val="Heading1"/>
        <w:numPr>
          <w:ilvl w:val="0"/>
          <w:numId w:val="0"/>
        </w:numPr>
        <w:rPr>
          <w:lang/>
        </w:rPr>
      </w:pPr>
      <w:r>
        <w:rPr>
          <w:lang/>
        </w:rPr>
        <w:t>[10]</w:t>
      </w:r>
      <w:r>
        <w:rPr>
          <w:lang/>
        </w:rPr>
        <w:tab/>
      </w:r>
      <w:r w:rsidR="00147E7B" w:rsidRPr="00FF1528">
        <w:rPr>
          <w:lang/>
        </w:rPr>
        <w:t xml:space="preserve">The defendant </w:t>
      </w:r>
      <w:r w:rsidR="00414FD9">
        <w:rPr>
          <w:lang/>
        </w:rPr>
        <w:t>was</w:t>
      </w:r>
      <w:r w:rsidR="00147E7B" w:rsidRPr="00FF1528">
        <w:rPr>
          <w:lang/>
        </w:rPr>
        <w:t xml:space="preserve"> served with the </w:t>
      </w:r>
      <w:r w:rsidR="007C332D">
        <w:rPr>
          <w:lang/>
        </w:rPr>
        <w:t>c</w:t>
      </w:r>
      <w:r w:rsidR="00147E7B" w:rsidRPr="00FF1528">
        <w:rPr>
          <w:lang/>
        </w:rPr>
        <w:t>ourt order of 13 March 2023 on 23 March 2023.</w:t>
      </w:r>
      <w:r w:rsidR="001E6E7B">
        <w:rPr>
          <w:lang/>
        </w:rPr>
        <w:t xml:space="preserve">  He however </w:t>
      </w:r>
      <w:r w:rsidR="00147E7B" w:rsidRPr="001E6E7B">
        <w:rPr>
          <w:lang/>
        </w:rPr>
        <w:t>failed to comply with the court order of 13 March 2023. </w:t>
      </w:r>
      <w:r w:rsidR="001E6E7B">
        <w:rPr>
          <w:lang/>
        </w:rPr>
        <w:t xml:space="preserve"> </w:t>
      </w:r>
    </w:p>
    <w:p w14:paraId="20FBE3D7" w14:textId="77777777" w:rsidR="001E6E7B" w:rsidRPr="001E6E7B" w:rsidRDefault="001E6E7B" w:rsidP="0075127E">
      <w:pPr>
        <w:rPr>
          <w:lang/>
        </w:rPr>
      </w:pPr>
    </w:p>
    <w:p w14:paraId="6C0284F2" w14:textId="17F06C42" w:rsidR="00FF734C" w:rsidRPr="00694A6B" w:rsidRDefault="00B12F0D" w:rsidP="00B12F0D">
      <w:pPr>
        <w:pStyle w:val="Heading1"/>
        <w:numPr>
          <w:ilvl w:val="0"/>
          <w:numId w:val="0"/>
        </w:numPr>
        <w:rPr>
          <w:lang/>
        </w:rPr>
      </w:pPr>
      <w:r w:rsidRPr="00694A6B">
        <w:rPr>
          <w:lang/>
        </w:rPr>
        <w:t>[11]</w:t>
      </w:r>
      <w:r w:rsidRPr="00694A6B">
        <w:rPr>
          <w:lang/>
        </w:rPr>
        <w:tab/>
      </w:r>
      <w:r w:rsidR="00FF734C">
        <w:rPr>
          <w:lang/>
        </w:rPr>
        <w:t>On 29 March 2023, t</w:t>
      </w:r>
      <w:r w:rsidR="00147E7B" w:rsidRPr="00FF1528">
        <w:rPr>
          <w:lang/>
        </w:rPr>
        <w:t>he plaintiff's legal practitioner reported</w:t>
      </w:r>
      <w:r w:rsidR="007C332D">
        <w:rPr>
          <w:lang/>
        </w:rPr>
        <w:t xml:space="preserve"> via </w:t>
      </w:r>
      <w:r w:rsidR="00515D6A">
        <w:rPr>
          <w:lang/>
        </w:rPr>
        <w:t xml:space="preserve">a </w:t>
      </w:r>
      <w:r w:rsidR="005444C7">
        <w:rPr>
          <w:lang/>
        </w:rPr>
        <w:t>status</w:t>
      </w:r>
      <w:r w:rsidR="007C332D">
        <w:rPr>
          <w:lang/>
        </w:rPr>
        <w:t xml:space="preserve"> report </w:t>
      </w:r>
      <w:r w:rsidR="00147E7B" w:rsidRPr="00FF1528">
        <w:rPr>
          <w:lang/>
        </w:rPr>
        <w:t>that the defendant had not complied with the case planning order and indicated</w:t>
      </w:r>
      <w:r w:rsidR="00FF734C">
        <w:rPr>
          <w:lang/>
        </w:rPr>
        <w:t xml:space="preserve"> an </w:t>
      </w:r>
      <w:r w:rsidR="00147E7B" w:rsidRPr="00FF1528">
        <w:rPr>
          <w:lang/>
        </w:rPr>
        <w:t xml:space="preserve">intention to move for a restitution order </w:t>
      </w:r>
      <w:r w:rsidR="00FF734C">
        <w:rPr>
          <w:lang/>
        </w:rPr>
        <w:t>on 8 May 2023</w:t>
      </w:r>
      <w:r w:rsidR="00414FD9">
        <w:rPr>
          <w:lang/>
        </w:rPr>
        <w:t>,</w:t>
      </w:r>
      <w:r w:rsidR="00FF734C">
        <w:rPr>
          <w:lang/>
        </w:rPr>
        <w:t xml:space="preserve"> </w:t>
      </w:r>
      <w:r w:rsidR="00147E7B" w:rsidRPr="00FF1528">
        <w:rPr>
          <w:lang/>
        </w:rPr>
        <w:t>as the defendant was barred.</w:t>
      </w:r>
    </w:p>
    <w:p w14:paraId="598B558A" w14:textId="2F7E3628" w:rsidR="005444C7" w:rsidRDefault="00B12F0D" w:rsidP="00B12F0D">
      <w:pPr>
        <w:pStyle w:val="Heading1"/>
        <w:numPr>
          <w:ilvl w:val="0"/>
          <w:numId w:val="0"/>
        </w:numPr>
        <w:rPr>
          <w:lang/>
        </w:rPr>
      </w:pPr>
      <w:r>
        <w:rPr>
          <w:lang/>
        </w:rPr>
        <w:t>[12]</w:t>
      </w:r>
      <w:r>
        <w:rPr>
          <w:lang/>
        </w:rPr>
        <w:tab/>
      </w:r>
      <w:r w:rsidR="00FF734C">
        <w:rPr>
          <w:lang/>
        </w:rPr>
        <w:t xml:space="preserve">At the hearing and when the plaintiff commenced her testimony, the </w:t>
      </w:r>
      <w:r w:rsidR="00FF734C">
        <w:rPr>
          <w:lang/>
        </w:rPr>
        <w:lastRenderedPageBreak/>
        <w:t xml:space="preserve">defendant </w:t>
      </w:r>
      <w:r w:rsidR="00515D6A">
        <w:rPr>
          <w:lang/>
        </w:rPr>
        <w:t>personally appeared in c</w:t>
      </w:r>
      <w:r w:rsidR="00147E7B" w:rsidRPr="00FF734C">
        <w:rPr>
          <w:lang/>
        </w:rPr>
        <w:t>ourt.</w:t>
      </w:r>
      <w:r w:rsidR="00FF734C">
        <w:rPr>
          <w:lang/>
        </w:rPr>
        <w:t xml:space="preserve">  He indicated that he did not oppose the divorce but had other issues that he wante</w:t>
      </w:r>
      <w:r w:rsidR="00414FD9">
        <w:rPr>
          <w:lang/>
        </w:rPr>
        <w:t>d to hear the plaintiff on</w:t>
      </w:r>
      <w:r w:rsidR="00FF734C">
        <w:rPr>
          <w:lang/>
        </w:rPr>
        <w:t xml:space="preserve">, that he had disagreement with. It was pointed out to him that he was barred from pleading and that it was </w:t>
      </w:r>
      <w:r w:rsidR="007C332D">
        <w:rPr>
          <w:lang/>
        </w:rPr>
        <w:t>too</w:t>
      </w:r>
      <w:r w:rsidR="00FF734C">
        <w:rPr>
          <w:lang/>
        </w:rPr>
        <w:t xml:space="preserve"> late to attempt to raise a defence at this late stage.</w:t>
      </w:r>
    </w:p>
    <w:p w14:paraId="0699B541" w14:textId="77777777" w:rsidR="005444C7" w:rsidRPr="005444C7" w:rsidRDefault="005444C7" w:rsidP="0075127E">
      <w:pPr>
        <w:rPr>
          <w:lang/>
        </w:rPr>
      </w:pPr>
    </w:p>
    <w:p w14:paraId="58B9A6E1" w14:textId="411DCE40" w:rsidR="00804104" w:rsidRDefault="00B12F0D" w:rsidP="00B12F0D">
      <w:pPr>
        <w:pStyle w:val="Heading1"/>
        <w:numPr>
          <w:ilvl w:val="0"/>
          <w:numId w:val="0"/>
        </w:numPr>
        <w:rPr>
          <w:lang/>
        </w:rPr>
      </w:pPr>
      <w:r>
        <w:rPr>
          <w:lang/>
        </w:rPr>
        <w:t>[13]</w:t>
      </w:r>
      <w:r>
        <w:rPr>
          <w:lang/>
        </w:rPr>
        <w:tab/>
      </w:r>
      <w:r w:rsidR="005444C7">
        <w:rPr>
          <w:lang/>
        </w:rPr>
        <w:t xml:space="preserve"> The defendant indicated that he should be given an opportunity to file a plea as he is a lay litigant and did not understand the rules. In this regard the defendant, who had delivered a notice of intention to defend, had not complied with a single rule of court or court order. </w:t>
      </w:r>
    </w:p>
    <w:p w14:paraId="7960715D" w14:textId="77777777" w:rsidR="00804104" w:rsidRPr="00804104" w:rsidRDefault="00804104" w:rsidP="0075127E">
      <w:pPr>
        <w:rPr>
          <w:lang/>
        </w:rPr>
      </w:pPr>
    </w:p>
    <w:p w14:paraId="279E145F" w14:textId="5A567044" w:rsidR="00FF734C" w:rsidRDefault="00B12F0D" w:rsidP="00B12F0D">
      <w:pPr>
        <w:pStyle w:val="Heading1"/>
        <w:numPr>
          <w:ilvl w:val="0"/>
          <w:numId w:val="0"/>
        </w:numPr>
        <w:rPr>
          <w:lang/>
        </w:rPr>
      </w:pPr>
      <w:r>
        <w:rPr>
          <w:lang/>
        </w:rPr>
        <w:t>[14]</w:t>
      </w:r>
      <w:r>
        <w:rPr>
          <w:lang/>
        </w:rPr>
        <w:tab/>
      </w:r>
      <w:r w:rsidR="005444C7">
        <w:rPr>
          <w:lang/>
        </w:rPr>
        <w:t xml:space="preserve">In </w:t>
      </w:r>
      <w:proofErr w:type="spellStart"/>
      <w:r w:rsidR="00804104" w:rsidRPr="005444C7">
        <w:rPr>
          <w:i/>
          <w:iCs/>
          <w:lang/>
        </w:rPr>
        <w:t>Worku</w:t>
      </w:r>
      <w:proofErr w:type="spellEnd"/>
      <w:r w:rsidR="00804104" w:rsidRPr="005444C7">
        <w:rPr>
          <w:i/>
          <w:iCs/>
          <w:lang/>
        </w:rPr>
        <w:t xml:space="preserve"> </w:t>
      </w:r>
      <w:r w:rsidR="00804104">
        <w:rPr>
          <w:i/>
          <w:iCs/>
          <w:lang/>
        </w:rPr>
        <w:t>v</w:t>
      </w:r>
      <w:r w:rsidR="00804104" w:rsidRPr="005444C7">
        <w:rPr>
          <w:i/>
          <w:iCs/>
          <w:lang/>
        </w:rPr>
        <w:t xml:space="preserve"> Equity Aviation Services (Namibia) (Pty) Ltd (In Liquidation) </w:t>
      </w:r>
      <w:r w:rsidR="00804104">
        <w:rPr>
          <w:i/>
          <w:iCs/>
          <w:lang/>
        </w:rPr>
        <w:t>a</w:t>
      </w:r>
      <w:r w:rsidR="00804104" w:rsidRPr="005444C7">
        <w:rPr>
          <w:i/>
          <w:iCs/>
          <w:lang/>
        </w:rPr>
        <w:t>nd Others</w:t>
      </w:r>
      <w:r w:rsidR="00414FD9">
        <w:rPr>
          <w:i/>
          <w:iCs/>
          <w:lang/>
        </w:rPr>
        <w:t>,</w:t>
      </w:r>
      <w:r w:rsidR="00804104">
        <w:rPr>
          <w:rStyle w:val="FootnoteReference"/>
          <w:i/>
          <w:iCs/>
          <w:lang/>
        </w:rPr>
        <w:footnoteReference w:id="1"/>
      </w:r>
      <w:r w:rsidR="005444C7" w:rsidRPr="005444C7">
        <w:rPr>
          <w:lang/>
        </w:rPr>
        <w:t xml:space="preserve"> </w:t>
      </w:r>
      <w:r w:rsidR="00804104">
        <w:rPr>
          <w:lang/>
        </w:rPr>
        <w:t>the Supreme Court held that the court c</w:t>
      </w:r>
      <w:r w:rsidR="005444C7" w:rsidRPr="005444C7">
        <w:rPr>
          <w:lang/>
        </w:rPr>
        <w:t>annot overlook the rules which are designed to control the procedures of the court</w:t>
      </w:r>
      <w:r w:rsidR="00804104">
        <w:rPr>
          <w:lang/>
        </w:rPr>
        <w:t>, and a</w:t>
      </w:r>
      <w:r w:rsidR="005444C7" w:rsidRPr="005444C7">
        <w:rPr>
          <w:lang/>
        </w:rPr>
        <w:t xml:space="preserve">lthough a court should be understanding of the difficulties that lay litigants experience and seek to assist them where possible, a court may not forget that court rules are adopted in order to ensure the fair and expeditious resolution of disputes in the interest of all litigants and the </w:t>
      </w:r>
      <w:r w:rsidR="00804104">
        <w:rPr>
          <w:lang/>
        </w:rPr>
        <w:t>a</w:t>
      </w:r>
      <w:r w:rsidR="005444C7" w:rsidRPr="005444C7">
        <w:rPr>
          <w:lang/>
        </w:rPr>
        <w:t>dministration of justice generally. Accordingly, a court may not condone non-compliance with the rules even by lay litigants where non-compliance with the rules would render the proceedings unfair or unduly prolonged.</w:t>
      </w:r>
    </w:p>
    <w:p w14:paraId="2FAA9ED5" w14:textId="77777777" w:rsidR="00FF734C" w:rsidRPr="00FF734C" w:rsidRDefault="00FF734C" w:rsidP="0075127E">
      <w:pPr>
        <w:rPr>
          <w:lang/>
        </w:rPr>
      </w:pPr>
    </w:p>
    <w:p w14:paraId="405C60A2" w14:textId="3E082A95" w:rsidR="00FF734C" w:rsidRDefault="00B12F0D" w:rsidP="00B12F0D">
      <w:pPr>
        <w:pStyle w:val="Heading1"/>
        <w:numPr>
          <w:ilvl w:val="0"/>
          <w:numId w:val="0"/>
        </w:numPr>
        <w:rPr>
          <w:lang/>
        </w:rPr>
      </w:pPr>
      <w:r>
        <w:rPr>
          <w:lang/>
        </w:rPr>
        <w:t>[15]</w:t>
      </w:r>
      <w:r>
        <w:rPr>
          <w:lang/>
        </w:rPr>
        <w:tab/>
      </w:r>
      <w:r w:rsidR="00FF734C">
        <w:rPr>
          <w:lang/>
        </w:rPr>
        <w:t xml:space="preserve">During this time the court observed the plaintiff becoming particularly </w:t>
      </w:r>
      <w:r w:rsidR="00D33E26">
        <w:rPr>
          <w:lang/>
        </w:rPr>
        <w:t>uneasy</w:t>
      </w:r>
      <w:r w:rsidR="00FF734C">
        <w:rPr>
          <w:lang/>
        </w:rPr>
        <w:t xml:space="preserve">. When asked whether she was </w:t>
      </w:r>
      <w:r w:rsidR="007C332D">
        <w:rPr>
          <w:lang/>
        </w:rPr>
        <w:t>alright</w:t>
      </w:r>
      <w:r w:rsidR="00FF734C">
        <w:rPr>
          <w:lang/>
        </w:rPr>
        <w:t xml:space="preserve">, she indicated that she was nervous. The issue of the protection order </w:t>
      </w:r>
      <w:r w:rsidR="00D33E26" w:rsidRPr="00FF1528">
        <w:rPr>
          <w:lang/>
        </w:rPr>
        <w:t>order issued on 20</w:t>
      </w:r>
      <w:r w:rsidR="00515D6A">
        <w:rPr>
          <w:lang/>
        </w:rPr>
        <w:t xml:space="preserve"> December 2022 for a period of three</w:t>
      </w:r>
      <w:r w:rsidR="00D33E26" w:rsidRPr="00FF1528">
        <w:rPr>
          <w:lang/>
        </w:rPr>
        <w:t xml:space="preserve"> year</w:t>
      </w:r>
      <w:r w:rsidR="00515D6A">
        <w:rPr>
          <w:lang w:val="en-US"/>
        </w:rPr>
        <w:t>s</w:t>
      </w:r>
      <w:r w:rsidR="00D33E26">
        <w:rPr>
          <w:lang/>
        </w:rPr>
        <w:t xml:space="preserve"> </w:t>
      </w:r>
      <w:r w:rsidR="00FF734C">
        <w:rPr>
          <w:lang/>
        </w:rPr>
        <w:t>was also raised.</w:t>
      </w:r>
    </w:p>
    <w:p w14:paraId="530557EA" w14:textId="77777777" w:rsidR="00FF734C" w:rsidRPr="00FF734C" w:rsidRDefault="00FF734C" w:rsidP="0075127E">
      <w:pPr>
        <w:rPr>
          <w:lang/>
        </w:rPr>
      </w:pPr>
    </w:p>
    <w:p w14:paraId="3751713C" w14:textId="05B9A554" w:rsidR="00D33E26" w:rsidRPr="00D33E26" w:rsidRDefault="00B12F0D" w:rsidP="00B12F0D">
      <w:pPr>
        <w:pStyle w:val="Heading1"/>
        <w:numPr>
          <w:ilvl w:val="0"/>
          <w:numId w:val="0"/>
        </w:numPr>
        <w:rPr>
          <w:lang/>
        </w:rPr>
      </w:pPr>
      <w:r w:rsidRPr="00D33E26">
        <w:rPr>
          <w:lang/>
        </w:rPr>
        <w:t>[16]</w:t>
      </w:r>
      <w:r w:rsidRPr="00D33E26">
        <w:rPr>
          <w:lang/>
        </w:rPr>
        <w:tab/>
      </w:r>
      <w:r w:rsidR="00FF734C">
        <w:rPr>
          <w:lang/>
        </w:rPr>
        <w:t xml:space="preserve">The defendant also became </w:t>
      </w:r>
      <w:r w:rsidR="00D33E26">
        <w:rPr>
          <w:lang/>
        </w:rPr>
        <w:t>belligerent</w:t>
      </w:r>
      <w:r w:rsidR="00FF734C">
        <w:rPr>
          <w:lang/>
        </w:rPr>
        <w:t xml:space="preserve"> both with the plaintiff and with the court. He was excused </w:t>
      </w:r>
      <w:r w:rsidR="00D33E26">
        <w:rPr>
          <w:lang/>
        </w:rPr>
        <w:t xml:space="preserve">from court and had to be escorted by a court orderly for disorderly conduct in court. </w:t>
      </w:r>
    </w:p>
    <w:p w14:paraId="64E9766D" w14:textId="32FF42FD" w:rsidR="00837E7C" w:rsidRDefault="00B12F0D" w:rsidP="00B12F0D">
      <w:pPr>
        <w:pStyle w:val="Heading1"/>
        <w:numPr>
          <w:ilvl w:val="0"/>
          <w:numId w:val="0"/>
        </w:numPr>
        <w:rPr>
          <w:lang/>
        </w:rPr>
      </w:pPr>
      <w:r>
        <w:rPr>
          <w:lang/>
        </w:rPr>
        <w:t>[17]</w:t>
      </w:r>
      <w:r>
        <w:rPr>
          <w:lang/>
        </w:rPr>
        <w:tab/>
      </w:r>
      <w:r w:rsidR="00147E7B" w:rsidRPr="00FF1528">
        <w:rPr>
          <w:lang/>
        </w:rPr>
        <w:t xml:space="preserve">The plaintiff </w:t>
      </w:r>
      <w:r w:rsidR="00D33E26">
        <w:rPr>
          <w:lang/>
        </w:rPr>
        <w:t xml:space="preserve">continued her </w:t>
      </w:r>
      <w:proofErr w:type="gramStart"/>
      <w:r w:rsidR="00D33E26">
        <w:rPr>
          <w:lang/>
        </w:rPr>
        <w:t>testimony, and</w:t>
      </w:r>
      <w:proofErr w:type="gramEnd"/>
      <w:r w:rsidR="00D33E26">
        <w:rPr>
          <w:lang/>
        </w:rPr>
        <w:t xml:space="preserve"> confirmed the allegations of </w:t>
      </w:r>
      <w:r w:rsidR="00D33E26">
        <w:rPr>
          <w:lang/>
        </w:rPr>
        <w:lastRenderedPageBreak/>
        <w:t xml:space="preserve">desertion contained in her particulars of claim. </w:t>
      </w:r>
      <w:r w:rsidR="00837E7C">
        <w:rPr>
          <w:lang/>
        </w:rPr>
        <w:t>She</w:t>
      </w:r>
      <w:r w:rsidR="00D33E26">
        <w:rPr>
          <w:lang/>
        </w:rPr>
        <w:t xml:space="preserve"> testified that </w:t>
      </w:r>
      <w:proofErr w:type="gramStart"/>
      <w:r w:rsidR="00D33E26">
        <w:rPr>
          <w:lang/>
        </w:rPr>
        <w:t>during the course of</w:t>
      </w:r>
      <w:proofErr w:type="gramEnd"/>
      <w:r w:rsidR="00D33E26">
        <w:rPr>
          <w:lang/>
        </w:rPr>
        <w:t xml:space="preserve"> the marriage between the parties, the defendant with the fixed and settled intention to</w:t>
      </w:r>
      <w:r w:rsidR="00414FD9">
        <w:rPr>
          <w:lang/>
        </w:rPr>
        <w:t xml:space="preserve"> terminate the marriage, failed</w:t>
      </w:r>
      <w:r w:rsidR="00D33E26">
        <w:rPr>
          <w:lang/>
        </w:rPr>
        <w:t xml:space="preserve"> to show</w:t>
      </w:r>
      <w:r w:rsidR="00414FD9">
        <w:rPr>
          <w:lang/>
        </w:rPr>
        <w:t xml:space="preserve"> her</w:t>
      </w:r>
      <w:r w:rsidR="00D33E26">
        <w:rPr>
          <w:lang/>
        </w:rPr>
        <w:t xml:space="preserve"> love and affection</w:t>
      </w:r>
      <w:r w:rsidR="00CD592D">
        <w:rPr>
          <w:lang/>
        </w:rPr>
        <w:t>;</w:t>
      </w:r>
      <w:r w:rsidR="00D33E26">
        <w:rPr>
          <w:lang/>
        </w:rPr>
        <w:t xml:space="preserve"> threatened to inflict physical harm</w:t>
      </w:r>
      <w:r w:rsidR="00CD592D">
        <w:rPr>
          <w:lang/>
        </w:rPr>
        <w:t xml:space="preserve"> on the plaintiff</w:t>
      </w:r>
      <w:r w:rsidR="00D33E26">
        <w:rPr>
          <w:lang/>
        </w:rPr>
        <w:t>; emotionally, verbally, psychologically</w:t>
      </w:r>
      <w:r w:rsidR="00414FD9">
        <w:rPr>
          <w:lang/>
        </w:rPr>
        <w:t>,</w:t>
      </w:r>
      <w:r w:rsidR="00D33E26">
        <w:rPr>
          <w:lang/>
        </w:rPr>
        <w:t xml:space="preserve"> and </w:t>
      </w:r>
      <w:r w:rsidR="00414FD9">
        <w:rPr>
          <w:lang/>
        </w:rPr>
        <w:t xml:space="preserve">physically abused her </w:t>
      </w:r>
      <w:r w:rsidR="00D33E26">
        <w:rPr>
          <w:lang/>
        </w:rPr>
        <w:t>to the extent that she had no option but obtain a final protection order which rema</w:t>
      </w:r>
      <w:r w:rsidR="00414FD9">
        <w:rPr>
          <w:lang/>
        </w:rPr>
        <w:t>ins in place until December 2025</w:t>
      </w:r>
      <w:r w:rsidR="00D33E26">
        <w:rPr>
          <w:lang/>
        </w:rPr>
        <w:t>. The plaintiff testified further that the defendant gambled regularly, absented himself</w:t>
      </w:r>
      <w:r w:rsidR="00414FD9">
        <w:rPr>
          <w:lang/>
        </w:rPr>
        <w:t xml:space="preserve"> regularly from the common home, </w:t>
      </w:r>
      <w:r w:rsidR="00837E7C">
        <w:rPr>
          <w:lang/>
        </w:rPr>
        <w:t>and had an extra marital affair</w:t>
      </w:r>
      <w:r w:rsidR="00414FD9">
        <w:rPr>
          <w:lang/>
        </w:rPr>
        <w:t xml:space="preserve"> from which a child was born</w:t>
      </w:r>
      <w:r w:rsidR="00837E7C">
        <w:rPr>
          <w:lang/>
        </w:rPr>
        <w:t>.</w:t>
      </w:r>
    </w:p>
    <w:p w14:paraId="779B1C76" w14:textId="77777777" w:rsidR="00837E7C" w:rsidRPr="00837E7C" w:rsidRDefault="00837E7C" w:rsidP="0075127E">
      <w:pPr>
        <w:rPr>
          <w:lang/>
        </w:rPr>
      </w:pPr>
    </w:p>
    <w:p w14:paraId="7AFC0A50" w14:textId="7A7343DC" w:rsidR="00837E7C" w:rsidRDefault="00B12F0D" w:rsidP="00B12F0D">
      <w:pPr>
        <w:pStyle w:val="Heading1"/>
        <w:numPr>
          <w:ilvl w:val="0"/>
          <w:numId w:val="0"/>
        </w:numPr>
        <w:rPr>
          <w:lang/>
        </w:rPr>
      </w:pPr>
      <w:r>
        <w:rPr>
          <w:lang/>
        </w:rPr>
        <w:t>[18]</w:t>
      </w:r>
      <w:r>
        <w:rPr>
          <w:lang/>
        </w:rPr>
        <w:tab/>
      </w:r>
      <w:r w:rsidR="00837E7C">
        <w:rPr>
          <w:lang/>
        </w:rPr>
        <w:t xml:space="preserve">The plaintiff also testified that the defendant had </w:t>
      </w:r>
      <w:r w:rsidR="00414FD9">
        <w:rPr>
          <w:lang/>
        </w:rPr>
        <w:t xml:space="preserve">over a </w:t>
      </w:r>
      <w:r w:rsidR="00CD592D">
        <w:rPr>
          <w:lang/>
        </w:rPr>
        <w:t xml:space="preserve">weekend </w:t>
      </w:r>
      <w:r w:rsidR="00837E7C">
        <w:rPr>
          <w:lang/>
        </w:rPr>
        <w:t xml:space="preserve">threatened their </w:t>
      </w:r>
      <w:r w:rsidR="00414FD9">
        <w:rPr>
          <w:lang/>
        </w:rPr>
        <w:t>firstborn</w:t>
      </w:r>
      <w:r w:rsidR="00837E7C">
        <w:rPr>
          <w:lang/>
        </w:rPr>
        <w:t xml:space="preserve"> child who was previously residing with him with </w:t>
      </w:r>
      <w:r w:rsidR="00D33E26">
        <w:rPr>
          <w:lang/>
        </w:rPr>
        <w:t xml:space="preserve">physical harm, </w:t>
      </w:r>
      <w:r w:rsidR="00837E7C">
        <w:rPr>
          <w:lang/>
        </w:rPr>
        <w:t>resulting in the minor child moving back with the plaintiff.</w:t>
      </w:r>
    </w:p>
    <w:p w14:paraId="69AF9A7D" w14:textId="77777777" w:rsidR="00837E7C" w:rsidRPr="00837E7C" w:rsidRDefault="00837E7C" w:rsidP="0075127E">
      <w:pPr>
        <w:rPr>
          <w:lang/>
        </w:rPr>
      </w:pPr>
    </w:p>
    <w:p w14:paraId="1A4E6E85" w14:textId="6CF7D355" w:rsidR="0071107A" w:rsidRDefault="00B12F0D" w:rsidP="00B12F0D">
      <w:pPr>
        <w:pStyle w:val="Heading1"/>
        <w:numPr>
          <w:ilvl w:val="0"/>
          <w:numId w:val="0"/>
        </w:numPr>
      </w:pPr>
      <w:r>
        <w:t>[19]</w:t>
      </w:r>
      <w:r>
        <w:tab/>
      </w:r>
      <w:r w:rsidR="0071107A" w:rsidRPr="005E1C1A">
        <w:t>The only question that the court is confronted with</w:t>
      </w:r>
      <w:r w:rsidR="00C33BA6">
        <w:t>,</w:t>
      </w:r>
      <w:r w:rsidR="0071107A" w:rsidRPr="005E1C1A">
        <w:t xml:space="preserve"> at this juncture, is to decide whether this case constitutes an appropriate one in which to grant a restitution order notwithstanding the common cause fact that the plaintiff obtained a final protection order, which in effect prohibits the defendant from coming to or near the plaintiff or his residence. </w:t>
      </w:r>
    </w:p>
    <w:p w14:paraId="29687437" w14:textId="77777777" w:rsidR="00CD592D" w:rsidRPr="00CD592D" w:rsidRDefault="00CD592D" w:rsidP="0075127E"/>
    <w:p w14:paraId="2946FADB" w14:textId="1D4B4DE4" w:rsidR="00323D06" w:rsidRDefault="00B12F0D" w:rsidP="00B12F0D">
      <w:pPr>
        <w:pStyle w:val="Heading1"/>
        <w:numPr>
          <w:ilvl w:val="0"/>
          <w:numId w:val="0"/>
        </w:numPr>
        <w:rPr>
          <w:lang/>
        </w:rPr>
      </w:pPr>
      <w:r>
        <w:rPr>
          <w:lang/>
        </w:rPr>
        <w:t>[20]</w:t>
      </w:r>
      <w:r>
        <w:rPr>
          <w:lang/>
        </w:rPr>
        <w:tab/>
      </w:r>
      <w:r w:rsidR="00837E7C">
        <w:rPr>
          <w:lang/>
        </w:rPr>
        <w:t>The evidence of the plaintiff, and in particular the protection order issued by the magist</w:t>
      </w:r>
      <w:r w:rsidR="00694A6B">
        <w:rPr>
          <w:lang/>
        </w:rPr>
        <w:t>rate’s court on 20</w:t>
      </w:r>
      <w:r w:rsidR="00414FD9">
        <w:rPr>
          <w:lang/>
        </w:rPr>
        <w:t xml:space="preserve"> December 2022</w:t>
      </w:r>
      <w:r w:rsidR="00837E7C">
        <w:rPr>
          <w:lang/>
        </w:rPr>
        <w:t xml:space="preserve">, makes it apparent, not only that the marriage has broken down irretrievable </w:t>
      </w:r>
      <w:proofErr w:type="gramStart"/>
      <w:r w:rsidR="00837E7C">
        <w:rPr>
          <w:lang/>
        </w:rPr>
        <w:t>as a result of</w:t>
      </w:r>
      <w:proofErr w:type="gramEnd"/>
      <w:r w:rsidR="00837E7C">
        <w:rPr>
          <w:lang/>
        </w:rPr>
        <w:t xml:space="preserve"> the defendant’s unlawful actions</w:t>
      </w:r>
      <w:r w:rsidR="00FB1138">
        <w:rPr>
          <w:lang/>
        </w:rPr>
        <w:t>,</w:t>
      </w:r>
      <w:r w:rsidR="00837E7C">
        <w:rPr>
          <w:lang/>
        </w:rPr>
        <w:t xml:space="preserve"> b</w:t>
      </w:r>
      <w:r w:rsidR="0071107A">
        <w:rPr>
          <w:lang/>
        </w:rPr>
        <w:t>u</w:t>
      </w:r>
      <w:r w:rsidR="00837E7C">
        <w:rPr>
          <w:lang/>
        </w:rPr>
        <w:t xml:space="preserve">t that a restitution order would not be appropriate in the circumstances. In this regard the judgment of Masuku J in </w:t>
      </w:r>
      <w:r w:rsidR="00837E7C" w:rsidRPr="00837E7C">
        <w:rPr>
          <w:i/>
          <w:iCs/>
          <w:lang/>
        </w:rPr>
        <w:t>Homba v Homba</w:t>
      </w:r>
      <w:r w:rsidR="00FB1138">
        <w:rPr>
          <w:i/>
          <w:iCs/>
          <w:lang w:val="en-US"/>
        </w:rPr>
        <w:t>,</w:t>
      </w:r>
      <w:r w:rsidR="00837E7C">
        <w:rPr>
          <w:rStyle w:val="FootnoteReference"/>
          <w:i/>
          <w:iCs/>
          <w:lang/>
        </w:rPr>
        <w:footnoteReference w:id="2"/>
      </w:r>
      <w:r w:rsidR="00837E7C" w:rsidRPr="00837E7C">
        <w:rPr>
          <w:lang/>
        </w:rPr>
        <w:t xml:space="preserve"> </w:t>
      </w:r>
      <w:r w:rsidR="0071107A">
        <w:rPr>
          <w:lang/>
        </w:rPr>
        <w:t>is instructive. In this case it was held</w:t>
      </w:r>
      <w:r w:rsidR="00FB1138">
        <w:rPr>
          <w:lang/>
        </w:rPr>
        <w:t>,</w:t>
      </w:r>
      <w:r w:rsidR="00323D06">
        <w:rPr>
          <w:rStyle w:val="FootnoteReference"/>
          <w:lang/>
        </w:rPr>
        <w:footnoteReference w:id="3"/>
      </w:r>
      <w:r w:rsidR="00323D06">
        <w:rPr>
          <w:lang/>
        </w:rPr>
        <w:t xml:space="preserve"> </w:t>
      </w:r>
      <w:r w:rsidR="001D2766" w:rsidRPr="001D2766">
        <w:rPr>
          <w:lang/>
        </w:rPr>
        <w:t>the order for restitution of conjugal rights is issued by the court in circumstances where there is a genuine and serious intention and willingness by the parties to resume the marital relationship</w:t>
      </w:r>
      <w:r w:rsidR="0075127E">
        <w:rPr>
          <w:lang/>
        </w:rPr>
        <w:t>. Further that:</w:t>
      </w:r>
    </w:p>
    <w:p w14:paraId="1242BEB4" w14:textId="77777777" w:rsidR="00323D06" w:rsidRDefault="00323D06" w:rsidP="0075127E">
      <w:pPr>
        <w:pStyle w:val="Heading1"/>
        <w:numPr>
          <w:ilvl w:val="0"/>
          <w:numId w:val="0"/>
        </w:numPr>
        <w:rPr>
          <w:lang/>
        </w:rPr>
      </w:pPr>
    </w:p>
    <w:p w14:paraId="2626B713" w14:textId="569B028F" w:rsidR="00323D06" w:rsidRDefault="0075127E" w:rsidP="0075127E">
      <w:pPr>
        <w:pStyle w:val="Heading1"/>
        <w:numPr>
          <w:ilvl w:val="0"/>
          <w:numId w:val="0"/>
        </w:numPr>
        <w:rPr>
          <w:sz w:val="22"/>
          <w:szCs w:val="22"/>
          <w:lang/>
        </w:rPr>
      </w:pPr>
      <w:r>
        <w:rPr>
          <w:sz w:val="22"/>
          <w:szCs w:val="22"/>
          <w:lang/>
        </w:rPr>
        <w:lastRenderedPageBreak/>
        <w:tab/>
      </w:r>
      <w:r w:rsidR="00323D06" w:rsidRPr="00323D06">
        <w:rPr>
          <w:sz w:val="22"/>
          <w:szCs w:val="22"/>
          <w:lang/>
        </w:rPr>
        <w:t>‘…</w:t>
      </w:r>
      <w:r w:rsidR="00323D06" w:rsidRPr="00323D06">
        <w:rPr>
          <w:sz w:val="22"/>
          <w:szCs w:val="22"/>
        </w:rPr>
        <w:t xml:space="preserve"> </w:t>
      </w:r>
      <w:r w:rsidR="00323D06" w:rsidRPr="00323D06">
        <w:rPr>
          <w:sz w:val="22"/>
          <w:szCs w:val="22"/>
          <w:lang/>
        </w:rPr>
        <w:t>in cases where allegations of violence which are pleaded in the papers or where, as in this case, there is a protection order issued, it is most inadvisable for the court to order restoration of conjugal rights in that scenario. That is so because where the parties resort to violence one against the other, in the course of complying with a restitution order, the marital home to which restoration is ordered, may be the very cradle of violence, if not the killing field.’</w:t>
      </w:r>
    </w:p>
    <w:p w14:paraId="47F25B1D" w14:textId="77777777" w:rsidR="00323D06" w:rsidRPr="00323D06" w:rsidRDefault="00323D06" w:rsidP="0075127E">
      <w:pPr>
        <w:rPr>
          <w:lang/>
        </w:rPr>
      </w:pPr>
    </w:p>
    <w:p w14:paraId="33DC7FF7" w14:textId="793A1029" w:rsidR="00323D06" w:rsidRDefault="00B12F0D" w:rsidP="00B12F0D">
      <w:pPr>
        <w:pStyle w:val="Heading1"/>
        <w:numPr>
          <w:ilvl w:val="0"/>
          <w:numId w:val="0"/>
        </w:numPr>
      </w:pPr>
      <w:r>
        <w:t>[21]</w:t>
      </w:r>
      <w:r>
        <w:tab/>
      </w:r>
      <w:r w:rsidR="00323D06">
        <w:t>I am in respectful agreement with the above dictum, and on this bas</w:t>
      </w:r>
      <w:r w:rsidR="00CD592D">
        <w:t>i</w:t>
      </w:r>
      <w:r w:rsidR="00323D06">
        <w:t xml:space="preserve">s, and the evidence adduced, </w:t>
      </w:r>
      <w:r w:rsidR="00CD592D">
        <w:t xml:space="preserve">I </w:t>
      </w:r>
      <w:r w:rsidR="00323D06">
        <w:t>find that</w:t>
      </w:r>
      <w:r w:rsidR="00C33BA6">
        <w:t xml:space="preserve">, </w:t>
      </w:r>
      <w:r w:rsidR="00323D06">
        <w:t>in the circumstances</w:t>
      </w:r>
      <w:r w:rsidR="00C33BA6">
        <w:t>,</w:t>
      </w:r>
      <w:r w:rsidR="00323D06">
        <w:t xml:space="preserve"> a final divorce order</w:t>
      </w:r>
      <w:r w:rsidR="00CD592D">
        <w:t xml:space="preserve"> should be made.</w:t>
      </w:r>
    </w:p>
    <w:p w14:paraId="2566B8EC" w14:textId="77777777" w:rsidR="00323D06" w:rsidRPr="00323D06" w:rsidRDefault="00323D06" w:rsidP="0075127E"/>
    <w:p w14:paraId="3967B45C" w14:textId="03D40E6D" w:rsidR="00F642E4" w:rsidRDefault="00B12F0D" w:rsidP="00B12F0D">
      <w:pPr>
        <w:pStyle w:val="Heading1"/>
        <w:numPr>
          <w:ilvl w:val="0"/>
          <w:numId w:val="0"/>
        </w:numPr>
      </w:pPr>
      <w:r>
        <w:t>[22]</w:t>
      </w:r>
      <w:r>
        <w:tab/>
      </w:r>
      <w:r w:rsidR="00323D06">
        <w:t>Given the un</w:t>
      </w:r>
      <w:r w:rsidR="00970E62">
        <w:t>con</w:t>
      </w:r>
      <w:r w:rsidR="00323D06">
        <w:t xml:space="preserve">tested evidence relating to the events that caused the minor child to leave the defendant’s home and return to the plaintiff, it would not at this stage be in the best interest of the minor child to award reasonable access </w:t>
      </w:r>
      <w:r w:rsidR="00CD592D">
        <w:t xml:space="preserve">to the defendant </w:t>
      </w:r>
      <w:r w:rsidR="00323D06">
        <w:t>pending an investigation to be conducted by a social worker</w:t>
      </w:r>
      <w:r w:rsidR="00CD592D">
        <w:t xml:space="preserve"> appointed in terms of </w:t>
      </w:r>
      <w:r w:rsidR="00C33BA6">
        <w:t>ss</w:t>
      </w:r>
      <w:r w:rsidR="00FB1138">
        <w:t xml:space="preserve"> </w:t>
      </w:r>
      <w:r w:rsidR="00970E62">
        <w:t xml:space="preserve">42 and </w:t>
      </w:r>
      <w:r w:rsidR="00FB1138">
        <w:t xml:space="preserve">139 of </w:t>
      </w:r>
      <w:r w:rsidR="00CD592D">
        <w:t xml:space="preserve">the Child Care </w:t>
      </w:r>
      <w:r w:rsidR="00FB1138">
        <w:t xml:space="preserve">and </w:t>
      </w:r>
      <w:r w:rsidR="00CD592D">
        <w:t xml:space="preserve">Protection Act </w:t>
      </w:r>
      <w:r w:rsidR="00FB1138">
        <w:t>3 of 2015</w:t>
      </w:r>
      <w:r w:rsidR="00970E62">
        <w:t xml:space="preserve">. </w:t>
      </w:r>
      <w:r w:rsidR="00323D06">
        <w:t>Custody arrangement</w:t>
      </w:r>
      <w:r w:rsidR="00CD592D">
        <w:t>s</w:t>
      </w:r>
      <w:r w:rsidR="00323D06">
        <w:t xml:space="preserve"> can be amended in the children’s court constituted in terms of the</w:t>
      </w:r>
      <w:r w:rsidR="00323D06" w:rsidRPr="00323D06">
        <w:t xml:space="preserve"> </w:t>
      </w:r>
      <w:r w:rsidR="00323D06">
        <w:t xml:space="preserve">Child Care and Protection Act 3 of 2015. The order made reflects the abovementioned circumstances. </w:t>
      </w:r>
    </w:p>
    <w:p w14:paraId="32C6E116" w14:textId="0E11E788" w:rsidR="008E3D66" w:rsidRDefault="008E3D66" w:rsidP="0042646C">
      <w:pPr>
        <w:widowControl/>
        <w:jc w:val="left"/>
      </w:pPr>
    </w:p>
    <w:p w14:paraId="7311CBC9" w14:textId="77777777" w:rsidR="00970E62" w:rsidRPr="0042646C" w:rsidRDefault="00970E62" w:rsidP="0042646C">
      <w:pPr>
        <w:widowControl/>
        <w:jc w:val="left"/>
      </w:pPr>
    </w:p>
    <w:p w14:paraId="5FEC099F" w14:textId="77777777" w:rsidR="005B5C7E" w:rsidRPr="0042646C" w:rsidRDefault="005B5C7E" w:rsidP="0042646C">
      <w:pPr>
        <w:widowControl/>
        <w:jc w:val="left"/>
      </w:pPr>
    </w:p>
    <w:p w14:paraId="7B24043E" w14:textId="590534DB" w:rsidR="00853524" w:rsidRPr="0042646C" w:rsidRDefault="00694A6B" w:rsidP="00694A6B">
      <w:pPr>
        <w:widowControl/>
        <w:ind w:left="4500"/>
        <w:jc w:val="left"/>
      </w:pPr>
      <w:r>
        <w:t xml:space="preserve">           </w:t>
      </w:r>
      <w:r w:rsidR="00853524" w:rsidRPr="0042646C">
        <w:t>________________</w:t>
      </w:r>
      <w:r>
        <w:t>_</w:t>
      </w:r>
      <w:r w:rsidR="00853524" w:rsidRPr="0042646C">
        <w:t>____</w:t>
      </w:r>
    </w:p>
    <w:p w14:paraId="2FC3ACD2" w14:textId="12B5DABE" w:rsidR="00853524" w:rsidRPr="0042646C" w:rsidRDefault="00853524" w:rsidP="0042646C">
      <w:pPr>
        <w:ind w:left="5220"/>
      </w:pPr>
      <w:r w:rsidRPr="0042646C">
        <w:t>EM SCHIMMING-CHASE</w:t>
      </w:r>
    </w:p>
    <w:p w14:paraId="00C9B628" w14:textId="352C8082" w:rsidR="00853524" w:rsidRPr="0042646C" w:rsidRDefault="00853524" w:rsidP="0042646C">
      <w:pPr>
        <w:ind w:left="5220"/>
      </w:pPr>
      <w:r w:rsidRPr="0042646C">
        <w:t>Judge</w:t>
      </w:r>
    </w:p>
    <w:p w14:paraId="555DC30B" w14:textId="77777777" w:rsidR="00853524" w:rsidRPr="0042646C" w:rsidRDefault="00853524" w:rsidP="0042646C"/>
    <w:p w14:paraId="091064C7" w14:textId="77777777" w:rsidR="00853524" w:rsidRPr="0042646C" w:rsidRDefault="00853524" w:rsidP="0042646C">
      <w:pPr>
        <w:pStyle w:val="BodyText"/>
        <w:autoSpaceDE w:val="0"/>
        <w:autoSpaceDN w:val="0"/>
        <w:adjustRightInd w:val="0"/>
        <w:spacing w:line="360" w:lineRule="auto"/>
        <w:jc w:val="both"/>
        <w:rPr>
          <w:rFonts w:ascii="Arial" w:hAnsi="Arial" w:cs="Arial"/>
        </w:rPr>
      </w:pPr>
    </w:p>
    <w:p w14:paraId="54F6D4D3" w14:textId="77777777" w:rsidR="00853524" w:rsidRPr="0042646C" w:rsidRDefault="00853524" w:rsidP="0042646C">
      <w:pPr>
        <w:jc w:val="right"/>
      </w:pPr>
      <w:r w:rsidRPr="0042646C">
        <w:br w:type="page"/>
      </w:r>
    </w:p>
    <w:p w14:paraId="1C4F74C7" w14:textId="77777777" w:rsidR="00853524" w:rsidRPr="0042646C" w:rsidRDefault="00853524" w:rsidP="0042646C">
      <w:pPr>
        <w:pStyle w:val="BodyText"/>
        <w:autoSpaceDE w:val="0"/>
        <w:autoSpaceDN w:val="0"/>
        <w:adjustRightInd w:val="0"/>
        <w:spacing w:line="360" w:lineRule="auto"/>
        <w:jc w:val="both"/>
        <w:rPr>
          <w:rFonts w:ascii="Arial" w:hAnsi="Arial" w:cs="Arial"/>
        </w:rPr>
      </w:pPr>
      <w:r w:rsidRPr="0042646C">
        <w:rPr>
          <w:rFonts w:ascii="Arial" w:hAnsi="Arial" w:cs="Arial"/>
        </w:rPr>
        <w:lastRenderedPageBreak/>
        <w:t>APPEARANCES</w:t>
      </w:r>
    </w:p>
    <w:p w14:paraId="2F3FACC4" w14:textId="77777777" w:rsidR="00853524" w:rsidRPr="0042646C" w:rsidRDefault="00853524" w:rsidP="0042646C">
      <w:pPr>
        <w:pStyle w:val="BodyText"/>
        <w:autoSpaceDE w:val="0"/>
        <w:autoSpaceDN w:val="0"/>
        <w:adjustRightInd w:val="0"/>
        <w:spacing w:line="360" w:lineRule="auto"/>
        <w:jc w:val="both"/>
        <w:rPr>
          <w:rFonts w:ascii="Arial" w:hAnsi="Arial" w:cs="Arial"/>
        </w:rPr>
      </w:pPr>
    </w:p>
    <w:p w14:paraId="7FC8B51C" w14:textId="74486B9D" w:rsidR="00323D06" w:rsidRDefault="00D36562" w:rsidP="0042646C">
      <w:pPr>
        <w:tabs>
          <w:tab w:val="left" w:pos="3960"/>
        </w:tabs>
      </w:pPr>
      <w:r w:rsidRPr="0042646C">
        <w:t>PLAINTIFF</w:t>
      </w:r>
      <w:r w:rsidR="00970E62">
        <w:t>:</w:t>
      </w:r>
      <w:r w:rsidR="00853524" w:rsidRPr="0042646C">
        <w:tab/>
      </w:r>
      <w:r w:rsidR="00323D06">
        <w:t>J Janser</w:t>
      </w:r>
    </w:p>
    <w:p w14:paraId="38D3B711" w14:textId="70A12448" w:rsidR="00853524" w:rsidRDefault="00323D06" w:rsidP="0042646C">
      <w:pPr>
        <w:tabs>
          <w:tab w:val="left" w:pos="3960"/>
        </w:tabs>
      </w:pPr>
      <w:r>
        <w:tab/>
      </w:r>
      <w:r w:rsidR="00970E62">
        <w:t xml:space="preserve">of </w:t>
      </w:r>
      <w:r>
        <w:t>Shikongo Law Chambers</w:t>
      </w:r>
      <w:r w:rsidR="00000D7C">
        <w:t>,</w:t>
      </w:r>
    </w:p>
    <w:p w14:paraId="70F9C63B" w14:textId="586BE2BB" w:rsidR="00000D7C" w:rsidRPr="0042646C" w:rsidRDefault="00000D7C" w:rsidP="0042646C">
      <w:pPr>
        <w:tabs>
          <w:tab w:val="left" w:pos="3960"/>
        </w:tabs>
      </w:pPr>
      <w:r>
        <w:tab/>
        <w:t>Windhoek</w:t>
      </w:r>
    </w:p>
    <w:p w14:paraId="05E055BE" w14:textId="592430B5" w:rsidR="00D36562" w:rsidRPr="0042646C" w:rsidRDefault="00D36562" w:rsidP="0042646C">
      <w:pPr>
        <w:tabs>
          <w:tab w:val="left" w:pos="3960"/>
        </w:tabs>
      </w:pPr>
      <w:r w:rsidRPr="0042646C">
        <w:tab/>
      </w:r>
    </w:p>
    <w:p w14:paraId="6CDDD24A" w14:textId="77777777" w:rsidR="00853524" w:rsidRPr="0042646C" w:rsidRDefault="00853524" w:rsidP="0042646C">
      <w:pPr>
        <w:autoSpaceDE w:val="0"/>
        <w:autoSpaceDN w:val="0"/>
        <w:adjustRightInd w:val="0"/>
        <w:ind w:left="3780" w:hanging="3780"/>
      </w:pPr>
    </w:p>
    <w:p w14:paraId="0985AA3C" w14:textId="5400F4C2" w:rsidR="00853524" w:rsidRPr="00AA10AC" w:rsidRDefault="00D36562" w:rsidP="00323D06">
      <w:pPr>
        <w:autoSpaceDE w:val="0"/>
        <w:autoSpaceDN w:val="0"/>
        <w:adjustRightInd w:val="0"/>
        <w:ind w:left="3960" w:hanging="3960"/>
      </w:pPr>
      <w:r w:rsidRPr="0042646C">
        <w:t>DEFENDANT</w:t>
      </w:r>
      <w:r w:rsidR="00970E62">
        <w:t>:</w:t>
      </w:r>
      <w:r w:rsidR="00853524" w:rsidRPr="0042646C">
        <w:tab/>
      </w:r>
      <w:r w:rsidR="00F40E48" w:rsidRPr="0042646C">
        <w:t xml:space="preserve"> </w:t>
      </w:r>
      <w:r w:rsidR="00323D06">
        <w:t>In person</w:t>
      </w:r>
    </w:p>
    <w:sectPr w:rsidR="00853524" w:rsidRPr="00AA10AC" w:rsidSect="00853524">
      <w:headerReference w:type="even" r:id="rId11"/>
      <w:headerReference w:type="default" r:id="rId12"/>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C3F2" w14:textId="77777777" w:rsidR="00CD2E3D" w:rsidRDefault="00CD2E3D" w:rsidP="00867D73">
      <w:pPr>
        <w:spacing w:line="240" w:lineRule="auto"/>
      </w:pPr>
      <w:r>
        <w:separator/>
      </w:r>
    </w:p>
  </w:endnote>
  <w:endnote w:type="continuationSeparator" w:id="0">
    <w:p w14:paraId="06B74F2B" w14:textId="77777777" w:rsidR="00CD2E3D" w:rsidRDefault="00CD2E3D"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0F4" w14:textId="77777777" w:rsidR="00CD2E3D" w:rsidRDefault="00CD2E3D" w:rsidP="00867D73">
      <w:pPr>
        <w:spacing w:line="240" w:lineRule="auto"/>
      </w:pPr>
      <w:r>
        <w:separator/>
      </w:r>
    </w:p>
  </w:footnote>
  <w:footnote w:type="continuationSeparator" w:id="0">
    <w:p w14:paraId="5917BDAE" w14:textId="77777777" w:rsidR="00CD2E3D" w:rsidRDefault="00CD2E3D" w:rsidP="00867D73">
      <w:pPr>
        <w:spacing w:line="240" w:lineRule="auto"/>
      </w:pPr>
      <w:r>
        <w:continuationSeparator/>
      </w:r>
    </w:p>
  </w:footnote>
  <w:footnote w:id="1">
    <w:p w14:paraId="6F10DF5E" w14:textId="296E0917" w:rsidR="00804104" w:rsidRDefault="00804104">
      <w:pPr>
        <w:pStyle w:val="FootnoteText"/>
      </w:pPr>
      <w:r>
        <w:rPr>
          <w:rStyle w:val="FootnoteReference"/>
        </w:rPr>
        <w:footnoteRef/>
      </w:r>
      <w:r>
        <w:t xml:space="preserve"> </w:t>
      </w:r>
      <w:r w:rsidR="00414FD9" w:rsidRPr="00414FD9">
        <w:rPr>
          <w:i/>
        </w:rPr>
        <w:t>Worku v Equity Aviation Services (Namibia) (Pty) Ltd (In Liquidation) and Others</w:t>
      </w:r>
      <w:r w:rsidR="00414FD9" w:rsidRPr="00414FD9">
        <w:t xml:space="preserve"> </w:t>
      </w:r>
      <w:r w:rsidRPr="005444C7">
        <w:rPr>
          <w:lang/>
        </w:rPr>
        <w:t>2014 (1) NR 234 (SC)</w:t>
      </w:r>
      <w:r w:rsidR="00515D6A">
        <w:rPr>
          <w:lang/>
        </w:rPr>
        <w:t xml:space="preserve"> </w:t>
      </w:r>
      <w:r>
        <w:rPr>
          <w:lang/>
        </w:rPr>
        <w:t>par</w:t>
      </w:r>
      <w:r w:rsidR="00515D6A">
        <w:rPr>
          <w:lang/>
        </w:rPr>
        <w:t>a 17-19</w:t>
      </w:r>
      <w:r>
        <w:rPr>
          <w:lang/>
        </w:rPr>
        <w:t xml:space="preserve">. See also </w:t>
      </w:r>
      <w:r w:rsidRPr="00804104">
        <w:rPr>
          <w:i/>
          <w:iCs/>
          <w:lang/>
        </w:rPr>
        <w:t>Somaeb v Standard Bank Namibia Ltd</w:t>
      </w:r>
      <w:r w:rsidR="00515D6A">
        <w:rPr>
          <w:lang/>
        </w:rPr>
        <w:t xml:space="preserve"> 2017 (1) NR</w:t>
      </w:r>
      <w:r w:rsidRPr="00804104">
        <w:rPr>
          <w:lang/>
        </w:rPr>
        <w:t xml:space="preserve"> 248 (S</w:t>
      </w:r>
      <w:r>
        <w:rPr>
          <w:lang/>
        </w:rPr>
        <w:t>C</w:t>
      </w:r>
      <w:r w:rsidRPr="00804104">
        <w:rPr>
          <w:lang/>
        </w:rPr>
        <w:t>)</w:t>
      </w:r>
      <w:r>
        <w:rPr>
          <w:lang/>
        </w:rPr>
        <w:t xml:space="preserve"> pa</w:t>
      </w:r>
      <w:r w:rsidR="00414FD9">
        <w:rPr>
          <w:lang/>
        </w:rPr>
        <w:t>ra</w:t>
      </w:r>
      <w:r w:rsidR="00515D6A">
        <w:rPr>
          <w:lang/>
        </w:rPr>
        <w:t>s 20-21</w:t>
      </w:r>
      <w:r>
        <w:rPr>
          <w:lang/>
        </w:rPr>
        <w:t>.</w:t>
      </w:r>
    </w:p>
  </w:footnote>
  <w:footnote w:id="2">
    <w:p w14:paraId="664EDB8F" w14:textId="02BE8F41" w:rsidR="00837E7C" w:rsidRPr="00FB1138" w:rsidRDefault="00837E7C">
      <w:pPr>
        <w:pStyle w:val="FootnoteText"/>
        <w:rPr>
          <w:lang w:val="en-US"/>
        </w:rPr>
      </w:pPr>
      <w:r>
        <w:rPr>
          <w:rStyle w:val="FootnoteReference"/>
        </w:rPr>
        <w:footnoteRef/>
      </w:r>
      <w:r>
        <w:t xml:space="preserve"> </w:t>
      </w:r>
      <w:r w:rsidR="00FB1138" w:rsidRPr="00FB1138">
        <w:rPr>
          <w:i/>
        </w:rPr>
        <w:t>Homba v Homba</w:t>
      </w:r>
      <w:r w:rsidR="00FB1138" w:rsidRPr="00FB1138">
        <w:t xml:space="preserve"> </w:t>
      </w:r>
      <w:r w:rsidRPr="00837E7C">
        <w:rPr>
          <w:lang/>
        </w:rPr>
        <w:t>(HC-MD-CIV-ACT-MAT-2021/03719) [2022] NAHCMD 600 (3 November 2022)</w:t>
      </w:r>
      <w:r w:rsidR="00FB1138">
        <w:rPr>
          <w:lang w:val="en-US"/>
        </w:rPr>
        <w:t>.</w:t>
      </w:r>
    </w:p>
  </w:footnote>
  <w:footnote w:id="3">
    <w:p w14:paraId="5BF52C07" w14:textId="70532B36" w:rsidR="00323D06" w:rsidRDefault="00323D06">
      <w:pPr>
        <w:pStyle w:val="FootnoteText"/>
      </w:pPr>
      <w:r>
        <w:rPr>
          <w:rStyle w:val="FootnoteReference"/>
        </w:rPr>
        <w:footnoteRef/>
      </w:r>
      <w:r w:rsidR="00C33BA6">
        <w:t xml:space="preserve"> Ibid </w:t>
      </w:r>
      <w:r>
        <w:t>par</w:t>
      </w:r>
      <w:r w:rsidR="00970E62">
        <w:t>a</w:t>
      </w:r>
      <w:r w:rsidR="00C33BA6">
        <w:t xml:space="preserve"> 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1763A5" w:rsidRDefault="001763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1763A5" w:rsidRDefault="00176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2128DB79" w:rsidR="001763A5" w:rsidRDefault="001763A5">
    <w:pPr>
      <w:ind w:right="360"/>
      <w:jc w:val="right"/>
    </w:pPr>
    <w:r>
      <w:rPr>
        <w:rStyle w:val="PageNumber"/>
      </w:rPr>
      <w:fldChar w:fldCharType="begin"/>
    </w:r>
    <w:r>
      <w:rPr>
        <w:rStyle w:val="PageNumber"/>
      </w:rPr>
      <w:instrText xml:space="preserve"> PAGE </w:instrText>
    </w:r>
    <w:r>
      <w:rPr>
        <w:rStyle w:val="PageNumber"/>
      </w:rPr>
      <w:fldChar w:fldCharType="separate"/>
    </w:r>
    <w:r w:rsidR="00694A6B">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16EF1056"/>
    <w:multiLevelType w:val="multilevel"/>
    <w:tmpl w:val="DF5A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6"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76DA4"/>
    <w:multiLevelType w:val="hybridMultilevel"/>
    <w:tmpl w:val="F7E6E04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A6AED"/>
    <w:multiLevelType w:val="hybridMultilevel"/>
    <w:tmpl w:val="39EA560C"/>
    <w:lvl w:ilvl="0" w:tplc="A5E859F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0"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89C"/>
    <w:multiLevelType w:val="hybridMultilevel"/>
    <w:tmpl w:val="C4543B88"/>
    <w:lvl w:ilvl="0" w:tplc="71543E6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9327856">
    <w:abstractNumId w:val="2"/>
  </w:num>
  <w:num w:numId="2" w16cid:durableId="1700397217">
    <w:abstractNumId w:val="2"/>
  </w:num>
  <w:num w:numId="3" w16cid:durableId="1173836512">
    <w:abstractNumId w:val="2"/>
  </w:num>
  <w:num w:numId="4" w16cid:durableId="1060976422">
    <w:abstractNumId w:val="2"/>
  </w:num>
  <w:num w:numId="5" w16cid:durableId="762141851">
    <w:abstractNumId w:val="2"/>
  </w:num>
  <w:num w:numId="6" w16cid:durableId="115300933">
    <w:abstractNumId w:val="2"/>
  </w:num>
  <w:num w:numId="7" w16cid:durableId="1405298234">
    <w:abstractNumId w:val="2"/>
  </w:num>
  <w:num w:numId="8" w16cid:durableId="1601720086">
    <w:abstractNumId w:val="2"/>
  </w:num>
  <w:num w:numId="9" w16cid:durableId="282930932">
    <w:abstractNumId w:val="2"/>
  </w:num>
  <w:num w:numId="10" w16cid:durableId="1301886078">
    <w:abstractNumId w:val="1"/>
  </w:num>
  <w:num w:numId="11" w16cid:durableId="508326129">
    <w:abstractNumId w:val="0"/>
  </w:num>
  <w:num w:numId="12" w16cid:durableId="137068006">
    <w:abstractNumId w:val="9"/>
  </w:num>
  <w:num w:numId="13" w16cid:durableId="365180573">
    <w:abstractNumId w:val="2"/>
  </w:num>
  <w:num w:numId="14" w16cid:durableId="1676227784">
    <w:abstractNumId w:val="6"/>
  </w:num>
  <w:num w:numId="15" w16cid:durableId="2056267453">
    <w:abstractNumId w:val="2"/>
    <w:lvlOverride w:ilvl="0">
      <w:startOverride w:val="1"/>
    </w:lvlOverride>
  </w:num>
  <w:num w:numId="16" w16cid:durableId="2141146223">
    <w:abstractNumId w:val="5"/>
  </w:num>
  <w:num w:numId="17" w16cid:durableId="408889262">
    <w:abstractNumId w:val="10"/>
  </w:num>
  <w:num w:numId="18" w16cid:durableId="180511891">
    <w:abstractNumId w:val="12"/>
  </w:num>
  <w:num w:numId="19" w16cid:durableId="2088531688">
    <w:abstractNumId w:val="4"/>
  </w:num>
  <w:num w:numId="20" w16cid:durableId="1725568447">
    <w:abstractNumId w:val="8"/>
  </w:num>
  <w:num w:numId="21" w16cid:durableId="1202552640">
    <w:abstractNumId w:val="11"/>
  </w:num>
  <w:num w:numId="22" w16cid:durableId="1502887557">
    <w:abstractNumId w:val="3"/>
  </w:num>
  <w:num w:numId="23" w16cid:durableId="1103838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D7C"/>
    <w:rsid w:val="00001C0C"/>
    <w:rsid w:val="00001E44"/>
    <w:rsid w:val="00002BC8"/>
    <w:rsid w:val="000031EF"/>
    <w:rsid w:val="00010900"/>
    <w:rsid w:val="00013787"/>
    <w:rsid w:val="00023197"/>
    <w:rsid w:val="000324F3"/>
    <w:rsid w:val="00066E3C"/>
    <w:rsid w:val="0007700E"/>
    <w:rsid w:val="00083864"/>
    <w:rsid w:val="00085D64"/>
    <w:rsid w:val="000917FE"/>
    <w:rsid w:val="00093246"/>
    <w:rsid w:val="000975CD"/>
    <w:rsid w:val="000B2EA5"/>
    <w:rsid w:val="000D490E"/>
    <w:rsid w:val="000D617B"/>
    <w:rsid w:val="000F3ED7"/>
    <w:rsid w:val="000F7F8A"/>
    <w:rsid w:val="0010488E"/>
    <w:rsid w:val="001063BC"/>
    <w:rsid w:val="00117DD9"/>
    <w:rsid w:val="00135CE1"/>
    <w:rsid w:val="00147238"/>
    <w:rsid w:val="00147E7B"/>
    <w:rsid w:val="001600D3"/>
    <w:rsid w:val="00162FA5"/>
    <w:rsid w:val="001763A5"/>
    <w:rsid w:val="001825ED"/>
    <w:rsid w:val="00185464"/>
    <w:rsid w:val="00185FD4"/>
    <w:rsid w:val="001A481C"/>
    <w:rsid w:val="001C373C"/>
    <w:rsid w:val="001C727F"/>
    <w:rsid w:val="001D2766"/>
    <w:rsid w:val="001E33FA"/>
    <w:rsid w:val="001E46B3"/>
    <w:rsid w:val="001E6E7B"/>
    <w:rsid w:val="001F6CB9"/>
    <w:rsid w:val="002076B9"/>
    <w:rsid w:val="00214E82"/>
    <w:rsid w:val="00216928"/>
    <w:rsid w:val="00220DB5"/>
    <w:rsid w:val="00222B92"/>
    <w:rsid w:val="002370B3"/>
    <w:rsid w:val="00237278"/>
    <w:rsid w:val="00240999"/>
    <w:rsid w:val="00250545"/>
    <w:rsid w:val="00253B74"/>
    <w:rsid w:val="00254B5A"/>
    <w:rsid w:val="00257BC9"/>
    <w:rsid w:val="00264113"/>
    <w:rsid w:val="00266D54"/>
    <w:rsid w:val="00275A78"/>
    <w:rsid w:val="00277E0C"/>
    <w:rsid w:val="00282CA3"/>
    <w:rsid w:val="002A1B4E"/>
    <w:rsid w:val="002A7BCD"/>
    <w:rsid w:val="002B0844"/>
    <w:rsid w:val="002B1453"/>
    <w:rsid w:val="002B24D7"/>
    <w:rsid w:val="002D08EE"/>
    <w:rsid w:val="002D0A9C"/>
    <w:rsid w:val="002D6836"/>
    <w:rsid w:val="002E380C"/>
    <w:rsid w:val="002E6D61"/>
    <w:rsid w:val="00315449"/>
    <w:rsid w:val="003209AD"/>
    <w:rsid w:val="00321344"/>
    <w:rsid w:val="00323D06"/>
    <w:rsid w:val="00331E5C"/>
    <w:rsid w:val="00347D03"/>
    <w:rsid w:val="00373CDF"/>
    <w:rsid w:val="00376F2E"/>
    <w:rsid w:val="003770DD"/>
    <w:rsid w:val="00391047"/>
    <w:rsid w:val="00391298"/>
    <w:rsid w:val="003A1151"/>
    <w:rsid w:val="003A667E"/>
    <w:rsid w:val="003C3E52"/>
    <w:rsid w:val="003D70E6"/>
    <w:rsid w:val="003E2810"/>
    <w:rsid w:val="003E2C84"/>
    <w:rsid w:val="003E58F3"/>
    <w:rsid w:val="003E6394"/>
    <w:rsid w:val="003F343E"/>
    <w:rsid w:val="003F5776"/>
    <w:rsid w:val="003F5D86"/>
    <w:rsid w:val="003F6093"/>
    <w:rsid w:val="003F6F0E"/>
    <w:rsid w:val="00403581"/>
    <w:rsid w:val="0040538D"/>
    <w:rsid w:val="00414D46"/>
    <w:rsid w:val="00414FD9"/>
    <w:rsid w:val="00415368"/>
    <w:rsid w:val="00417C20"/>
    <w:rsid w:val="0042646C"/>
    <w:rsid w:val="00430666"/>
    <w:rsid w:val="00437C3B"/>
    <w:rsid w:val="00440A23"/>
    <w:rsid w:val="0047151B"/>
    <w:rsid w:val="00497186"/>
    <w:rsid w:val="004B2778"/>
    <w:rsid w:val="004B3FC8"/>
    <w:rsid w:val="004B7691"/>
    <w:rsid w:val="004C713A"/>
    <w:rsid w:val="004D008F"/>
    <w:rsid w:val="004D59BF"/>
    <w:rsid w:val="004D63E7"/>
    <w:rsid w:val="004E16FD"/>
    <w:rsid w:val="004E3AEA"/>
    <w:rsid w:val="004F3D79"/>
    <w:rsid w:val="005011FC"/>
    <w:rsid w:val="00504963"/>
    <w:rsid w:val="00515D6A"/>
    <w:rsid w:val="00517078"/>
    <w:rsid w:val="00520746"/>
    <w:rsid w:val="00522C0C"/>
    <w:rsid w:val="00531A75"/>
    <w:rsid w:val="00534EC6"/>
    <w:rsid w:val="00536902"/>
    <w:rsid w:val="005444C7"/>
    <w:rsid w:val="00556AB7"/>
    <w:rsid w:val="00557623"/>
    <w:rsid w:val="005615F8"/>
    <w:rsid w:val="00564D69"/>
    <w:rsid w:val="0056666C"/>
    <w:rsid w:val="00570443"/>
    <w:rsid w:val="005807C6"/>
    <w:rsid w:val="00581707"/>
    <w:rsid w:val="005B04B8"/>
    <w:rsid w:val="005B223F"/>
    <w:rsid w:val="005B5C7E"/>
    <w:rsid w:val="005B6574"/>
    <w:rsid w:val="005B6D6B"/>
    <w:rsid w:val="005B78E3"/>
    <w:rsid w:val="005C4415"/>
    <w:rsid w:val="005C5E86"/>
    <w:rsid w:val="005E3952"/>
    <w:rsid w:val="005F15F7"/>
    <w:rsid w:val="005F18C7"/>
    <w:rsid w:val="005F2313"/>
    <w:rsid w:val="005F7044"/>
    <w:rsid w:val="00607CA5"/>
    <w:rsid w:val="00615357"/>
    <w:rsid w:val="00641F2D"/>
    <w:rsid w:val="00643D8B"/>
    <w:rsid w:val="00655BDC"/>
    <w:rsid w:val="00656166"/>
    <w:rsid w:val="006573D4"/>
    <w:rsid w:val="00667B46"/>
    <w:rsid w:val="006732A4"/>
    <w:rsid w:val="00681367"/>
    <w:rsid w:val="006814B2"/>
    <w:rsid w:val="00693E19"/>
    <w:rsid w:val="00694A6B"/>
    <w:rsid w:val="006A1816"/>
    <w:rsid w:val="006B3EE2"/>
    <w:rsid w:val="006B4221"/>
    <w:rsid w:val="006C4FAE"/>
    <w:rsid w:val="006D6DE7"/>
    <w:rsid w:val="006E69A8"/>
    <w:rsid w:val="006F3377"/>
    <w:rsid w:val="006F65AF"/>
    <w:rsid w:val="006F720F"/>
    <w:rsid w:val="0071107A"/>
    <w:rsid w:val="007200FB"/>
    <w:rsid w:val="00726BD2"/>
    <w:rsid w:val="007442DD"/>
    <w:rsid w:val="00746DBE"/>
    <w:rsid w:val="0075040C"/>
    <w:rsid w:val="0075127E"/>
    <w:rsid w:val="00757D64"/>
    <w:rsid w:val="00765944"/>
    <w:rsid w:val="00780102"/>
    <w:rsid w:val="00785D24"/>
    <w:rsid w:val="0079432D"/>
    <w:rsid w:val="00795D90"/>
    <w:rsid w:val="007B1D29"/>
    <w:rsid w:val="007B2F5C"/>
    <w:rsid w:val="007B7AF6"/>
    <w:rsid w:val="007C332D"/>
    <w:rsid w:val="007D3D85"/>
    <w:rsid w:val="007E0468"/>
    <w:rsid w:val="007E12E4"/>
    <w:rsid w:val="007F7ABD"/>
    <w:rsid w:val="00804104"/>
    <w:rsid w:val="00806373"/>
    <w:rsid w:val="008077F3"/>
    <w:rsid w:val="00814E3A"/>
    <w:rsid w:val="0081590F"/>
    <w:rsid w:val="00821E0B"/>
    <w:rsid w:val="00822462"/>
    <w:rsid w:val="00824C4F"/>
    <w:rsid w:val="00837E7C"/>
    <w:rsid w:val="008411B2"/>
    <w:rsid w:val="00845EB3"/>
    <w:rsid w:val="008507E5"/>
    <w:rsid w:val="00853524"/>
    <w:rsid w:val="00864283"/>
    <w:rsid w:val="008665CF"/>
    <w:rsid w:val="00867D73"/>
    <w:rsid w:val="0088248A"/>
    <w:rsid w:val="0088723F"/>
    <w:rsid w:val="0089073C"/>
    <w:rsid w:val="008925FE"/>
    <w:rsid w:val="00892889"/>
    <w:rsid w:val="00893153"/>
    <w:rsid w:val="00895684"/>
    <w:rsid w:val="008A443F"/>
    <w:rsid w:val="008A670E"/>
    <w:rsid w:val="008A7F60"/>
    <w:rsid w:val="008B61FB"/>
    <w:rsid w:val="008C3F7C"/>
    <w:rsid w:val="008D2CFD"/>
    <w:rsid w:val="008D5327"/>
    <w:rsid w:val="008E35C3"/>
    <w:rsid w:val="008E3D66"/>
    <w:rsid w:val="008F6648"/>
    <w:rsid w:val="008F70BF"/>
    <w:rsid w:val="00900EFC"/>
    <w:rsid w:val="009024F4"/>
    <w:rsid w:val="00904FF4"/>
    <w:rsid w:val="00913B34"/>
    <w:rsid w:val="00914691"/>
    <w:rsid w:val="00915DAC"/>
    <w:rsid w:val="0092146F"/>
    <w:rsid w:val="00933FFC"/>
    <w:rsid w:val="009366F1"/>
    <w:rsid w:val="00940917"/>
    <w:rsid w:val="00942F45"/>
    <w:rsid w:val="00945C76"/>
    <w:rsid w:val="00950B99"/>
    <w:rsid w:val="00953461"/>
    <w:rsid w:val="009605AF"/>
    <w:rsid w:val="0096179E"/>
    <w:rsid w:val="00970E62"/>
    <w:rsid w:val="00976BDB"/>
    <w:rsid w:val="009824E5"/>
    <w:rsid w:val="009938C2"/>
    <w:rsid w:val="009B4960"/>
    <w:rsid w:val="009C0647"/>
    <w:rsid w:val="009D361F"/>
    <w:rsid w:val="009F3851"/>
    <w:rsid w:val="009F40B4"/>
    <w:rsid w:val="009F531F"/>
    <w:rsid w:val="009F557C"/>
    <w:rsid w:val="009F7910"/>
    <w:rsid w:val="00A0004C"/>
    <w:rsid w:val="00A04557"/>
    <w:rsid w:val="00A134C3"/>
    <w:rsid w:val="00A220DE"/>
    <w:rsid w:val="00A27208"/>
    <w:rsid w:val="00A57B46"/>
    <w:rsid w:val="00A74905"/>
    <w:rsid w:val="00A8094D"/>
    <w:rsid w:val="00A824DB"/>
    <w:rsid w:val="00A87EE2"/>
    <w:rsid w:val="00A9094A"/>
    <w:rsid w:val="00A94D0B"/>
    <w:rsid w:val="00AA73BA"/>
    <w:rsid w:val="00AA7A97"/>
    <w:rsid w:val="00AB1C86"/>
    <w:rsid w:val="00AB56AC"/>
    <w:rsid w:val="00AB5D12"/>
    <w:rsid w:val="00AB71B8"/>
    <w:rsid w:val="00AC6678"/>
    <w:rsid w:val="00B01416"/>
    <w:rsid w:val="00B023C5"/>
    <w:rsid w:val="00B0477D"/>
    <w:rsid w:val="00B12F0D"/>
    <w:rsid w:val="00B15B75"/>
    <w:rsid w:val="00B211D8"/>
    <w:rsid w:val="00B21F75"/>
    <w:rsid w:val="00B2259D"/>
    <w:rsid w:val="00B23222"/>
    <w:rsid w:val="00B27B9B"/>
    <w:rsid w:val="00B322D3"/>
    <w:rsid w:val="00B5074D"/>
    <w:rsid w:val="00B51244"/>
    <w:rsid w:val="00B63465"/>
    <w:rsid w:val="00B662F2"/>
    <w:rsid w:val="00B76C39"/>
    <w:rsid w:val="00B80EF8"/>
    <w:rsid w:val="00B81B7D"/>
    <w:rsid w:val="00B81E8B"/>
    <w:rsid w:val="00B936E0"/>
    <w:rsid w:val="00B95662"/>
    <w:rsid w:val="00B97ECE"/>
    <w:rsid w:val="00BA27F5"/>
    <w:rsid w:val="00BA2BA0"/>
    <w:rsid w:val="00BA58EF"/>
    <w:rsid w:val="00BA5F62"/>
    <w:rsid w:val="00BA62E3"/>
    <w:rsid w:val="00BB0614"/>
    <w:rsid w:val="00BB540C"/>
    <w:rsid w:val="00BC1449"/>
    <w:rsid w:val="00BC303B"/>
    <w:rsid w:val="00C004A4"/>
    <w:rsid w:val="00C0103F"/>
    <w:rsid w:val="00C077DA"/>
    <w:rsid w:val="00C15F41"/>
    <w:rsid w:val="00C23DE6"/>
    <w:rsid w:val="00C30E14"/>
    <w:rsid w:val="00C33BA6"/>
    <w:rsid w:val="00C36EBE"/>
    <w:rsid w:val="00C44B26"/>
    <w:rsid w:val="00C53115"/>
    <w:rsid w:val="00C54B9D"/>
    <w:rsid w:val="00C64774"/>
    <w:rsid w:val="00C66DC7"/>
    <w:rsid w:val="00C800D0"/>
    <w:rsid w:val="00C8033C"/>
    <w:rsid w:val="00C8086E"/>
    <w:rsid w:val="00C860B6"/>
    <w:rsid w:val="00CA134F"/>
    <w:rsid w:val="00CC6380"/>
    <w:rsid w:val="00CD1079"/>
    <w:rsid w:val="00CD2876"/>
    <w:rsid w:val="00CD2E3D"/>
    <w:rsid w:val="00CD592D"/>
    <w:rsid w:val="00CF4FDD"/>
    <w:rsid w:val="00CF7085"/>
    <w:rsid w:val="00D13BD5"/>
    <w:rsid w:val="00D2082C"/>
    <w:rsid w:val="00D24F0B"/>
    <w:rsid w:val="00D27F45"/>
    <w:rsid w:val="00D312FE"/>
    <w:rsid w:val="00D32E28"/>
    <w:rsid w:val="00D33E26"/>
    <w:rsid w:val="00D36562"/>
    <w:rsid w:val="00D37AE2"/>
    <w:rsid w:val="00D41288"/>
    <w:rsid w:val="00D56C6C"/>
    <w:rsid w:val="00D61336"/>
    <w:rsid w:val="00D6476E"/>
    <w:rsid w:val="00D6713E"/>
    <w:rsid w:val="00D709D1"/>
    <w:rsid w:val="00D846C8"/>
    <w:rsid w:val="00D85C81"/>
    <w:rsid w:val="00D92F77"/>
    <w:rsid w:val="00D9358D"/>
    <w:rsid w:val="00D9377A"/>
    <w:rsid w:val="00D97FF6"/>
    <w:rsid w:val="00DA04DF"/>
    <w:rsid w:val="00DC0A0D"/>
    <w:rsid w:val="00DC5B78"/>
    <w:rsid w:val="00DD3657"/>
    <w:rsid w:val="00DD410E"/>
    <w:rsid w:val="00DD69EF"/>
    <w:rsid w:val="00DD7ADC"/>
    <w:rsid w:val="00DE0891"/>
    <w:rsid w:val="00DE21AA"/>
    <w:rsid w:val="00DE77EF"/>
    <w:rsid w:val="00E05C98"/>
    <w:rsid w:val="00E121F1"/>
    <w:rsid w:val="00E13FE5"/>
    <w:rsid w:val="00E207D2"/>
    <w:rsid w:val="00E379E3"/>
    <w:rsid w:val="00E54F9E"/>
    <w:rsid w:val="00E562FB"/>
    <w:rsid w:val="00E574E7"/>
    <w:rsid w:val="00E6075F"/>
    <w:rsid w:val="00E60D91"/>
    <w:rsid w:val="00E630D5"/>
    <w:rsid w:val="00E7645E"/>
    <w:rsid w:val="00E82B50"/>
    <w:rsid w:val="00E87B59"/>
    <w:rsid w:val="00E90C91"/>
    <w:rsid w:val="00E92B40"/>
    <w:rsid w:val="00E930A8"/>
    <w:rsid w:val="00EA1B5F"/>
    <w:rsid w:val="00EA50DB"/>
    <w:rsid w:val="00EB60B6"/>
    <w:rsid w:val="00ED76D2"/>
    <w:rsid w:val="00EE2562"/>
    <w:rsid w:val="00EE3AC4"/>
    <w:rsid w:val="00EE4522"/>
    <w:rsid w:val="00EF504B"/>
    <w:rsid w:val="00EF638E"/>
    <w:rsid w:val="00F0054C"/>
    <w:rsid w:val="00F124C5"/>
    <w:rsid w:val="00F12DCC"/>
    <w:rsid w:val="00F14228"/>
    <w:rsid w:val="00F27103"/>
    <w:rsid w:val="00F33C9C"/>
    <w:rsid w:val="00F35357"/>
    <w:rsid w:val="00F366C4"/>
    <w:rsid w:val="00F37A64"/>
    <w:rsid w:val="00F40E48"/>
    <w:rsid w:val="00F412BC"/>
    <w:rsid w:val="00F43293"/>
    <w:rsid w:val="00F441D3"/>
    <w:rsid w:val="00F53A94"/>
    <w:rsid w:val="00F54B07"/>
    <w:rsid w:val="00F602D6"/>
    <w:rsid w:val="00F62CE4"/>
    <w:rsid w:val="00F63999"/>
    <w:rsid w:val="00F642E4"/>
    <w:rsid w:val="00F6471C"/>
    <w:rsid w:val="00F6608A"/>
    <w:rsid w:val="00F67B26"/>
    <w:rsid w:val="00F7418D"/>
    <w:rsid w:val="00F81F96"/>
    <w:rsid w:val="00F83E60"/>
    <w:rsid w:val="00F84F29"/>
    <w:rsid w:val="00F90D6A"/>
    <w:rsid w:val="00F97417"/>
    <w:rsid w:val="00F977CD"/>
    <w:rsid w:val="00FB0757"/>
    <w:rsid w:val="00FB1138"/>
    <w:rsid w:val="00FC09E7"/>
    <w:rsid w:val="00FC1BA3"/>
    <w:rsid w:val="00FC2247"/>
    <w:rsid w:val="00FC67C0"/>
    <w:rsid w:val="00FD20E6"/>
    <w:rsid w:val="00FE6902"/>
    <w:rsid w:val="00FF734C"/>
    <w:rsid w:val="00FF7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C15F41"/>
    <w:pPr>
      <w:numPr>
        <w:numId w:val="13"/>
      </w:numPr>
      <w:outlineLvl w:val="0"/>
    </w:pPr>
  </w:style>
  <w:style w:type="paragraph" w:styleId="Heading2">
    <w:name w:val="heading 2"/>
    <w:basedOn w:val="Normal"/>
    <w:next w:val="Normal"/>
    <w:link w:val="Heading2Char"/>
    <w:qFormat/>
    <w:rsid w:val="00B51244"/>
    <w:pPr>
      <w:numPr>
        <w:ilvl w:val="1"/>
        <w:numId w:val="13"/>
      </w:numPr>
      <w:outlineLvl w:val="1"/>
    </w:pPr>
  </w:style>
  <w:style w:type="paragraph" w:styleId="Heading3">
    <w:name w:val="heading 3"/>
    <w:basedOn w:val="Normal"/>
    <w:next w:val="Normal"/>
    <w:qFormat/>
    <w:rsid w:val="001C373C"/>
    <w:pPr>
      <w:numPr>
        <w:ilvl w:val="2"/>
        <w:numId w:val="13"/>
      </w:numPr>
      <w:tabs>
        <w:tab w:val="left" w:pos="2520"/>
      </w:tabs>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C15F41"/>
    <w:rPr>
      <w:rFonts w:ascii="Arial" w:hAnsi="Arial" w:cs="Arial"/>
      <w:spacing w:val="-3"/>
      <w:sz w:val="24"/>
      <w:szCs w:val="24"/>
      <w:lang w:val="en-GB" w:eastAsia="en-US"/>
    </w:rPr>
  </w:style>
  <w:style w:type="character" w:customStyle="1" w:styleId="Heading2Char">
    <w:name w:val="Heading 2 Char"/>
    <w:basedOn w:val="DefaultParagraphFont"/>
    <w:link w:val="Heading2"/>
    <w:rsid w:val="00B51244"/>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822462"/>
    <w:pPr>
      <w:widowControl/>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2023-05-29T18:30:00+00:00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D3A95-A636-4553-BD45-CFBC7158E916}">
  <ds:schemaRefs>
    <ds:schemaRef ds:uri="http://schemas.microsoft.com/sharepoint/v3/contenttype/forms"/>
  </ds:schemaRefs>
</ds:datastoreItem>
</file>

<file path=customXml/itemProps2.xml><?xml version="1.0" encoding="utf-8"?>
<ds:datastoreItem xmlns:ds="http://schemas.openxmlformats.org/officeDocument/2006/customXml" ds:itemID="{93CA9132-3E92-482F-9343-E4EB3760087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724501E2-CEFA-4B7D-91AB-098B4794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1562</TotalTime>
  <Pages>9</Pages>
  <Words>2081</Words>
  <Characters>11115</Characters>
  <Application>Microsoft Office Word</Application>
  <DocSecurity>0</DocSecurity>
  <Lines>1852</Lines>
  <Paragraphs>659</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Wet v De Wet (HC-MD-CIV-ACT-MAT-2023-00287) NAHCMD 289 (30 May 2023)</dc:title>
  <dc:creator>Monica</dc:creator>
  <cp:lastModifiedBy>Mariana Anguelov</cp:lastModifiedBy>
  <cp:revision>19</cp:revision>
  <cp:lastPrinted>2020-12-08T10:23:00Z</cp:lastPrinted>
  <dcterms:created xsi:type="dcterms:W3CDTF">2023-05-09T14:47:00Z</dcterms:created>
  <dcterms:modified xsi:type="dcterms:W3CDTF">2023-06-04T18:10:00Z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d38d2e939862f28c8fadd3f3c3817f078188f6eef2e7eded43c0fe02269568aa</vt:lpwstr>
  </property>
  <property fmtid="{D5CDD505-2E9C-101B-9397-08002B2CF9AE}" pid="3" name="ContentTypeId">
    <vt:lpwstr>0x0101000ECE0F99B3F8644397ECB0C536651393</vt:lpwstr>
  </property>
</Properties>
</file>