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44" w:rsidRPr="006E026B" w:rsidRDefault="00B40844" w:rsidP="004358E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REPUBLIC OF NAMIBIA</w:t>
      </w:r>
    </w:p>
    <w:p w:rsidR="00B40844" w:rsidRPr="00EA2DE2" w:rsidRDefault="00B40844" w:rsidP="00B40844">
      <w:pPr>
        <w:spacing w:after="0" w:line="360" w:lineRule="auto"/>
        <w:jc w:val="both"/>
        <w:rPr>
          <w:rFonts w:ascii="Arial Narrow" w:hAnsi="Arial Narrow"/>
          <w:sz w:val="10"/>
          <w:szCs w:val="1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2A8CF2A1" wp14:editId="7C44D916">
            <wp:simplePos x="0" y="0"/>
            <wp:positionH relativeFrom="column">
              <wp:posOffset>2270760</wp:posOffset>
            </wp:positionH>
            <wp:positionV relativeFrom="paragraph">
              <wp:posOffset>80286</wp:posOffset>
            </wp:positionV>
            <wp:extent cx="1270000" cy="1320800"/>
            <wp:effectExtent l="0" t="0" r="6350" b="0"/>
            <wp:wrapSquare wrapText="bothSides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D92">
        <w:rPr>
          <w:rFonts w:ascii="Arial Narrow" w:hAnsi="Arial Narrow"/>
          <w:b/>
          <w:sz w:val="32"/>
          <w:szCs w:val="32"/>
        </w:rPr>
        <w:br w:type="textWrapping" w:clear="all"/>
      </w:r>
    </w:p>
    <w:p w:rsidR="00B40844" w:rsidRPr="006E026B" w:rsidRDefault="00B40844" w:rsidP="00B4084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E026B">
        <w:rPr>
          <w:rFonts w:ascii="Arial" w:hAnsi="Arial" w:cs="Arial"/>
          <w:b/>
          <w:sz w:val="24"/>
          <w:szCs w:val="24"/>
        </w:rPr>
        <w:t>HIGH COURT OF NAMIBIA MAIN DIVISION, WINDHOEK</w:t>
      </w:r>
    </w:p>
    <w:p w:rsidR="00B40844" w:rsidRPr="00EA2DE2" w:rsidRDefault="00B40844" w:rsidP="00B40844">
      <w:pPr>
        <w:spacing w:after="0" w:line="360" w:lineRule="auto"/>
        <w:jc w:val="center"/>
        <w:rPr>
          <w:rFonts w:ascii="Arial" w:hAnsi="Arial" w:cs="Arial"/>
          <w:b/>
          <w:sz w:val="14"/>
          <w:szCs w:val="14"/>
        </w:rPr>
      </w:pPr>
    </w:p>
    <w:p w:rsidR="00B40844" w:rsidRDefault="008006A3" w:rsidP="00B408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RULING</w:t>
      </w:r>
    </w:p>
    <w:p w:rsidR="00D965B8" w:rsidRDefault="00D965B8" w:rsidP="00B4084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DIRECTIVE 61</w:t>
      </w:r>
    </w:p>
    <w:p w:rsidR="00B40844" w:rsidRPr="00D965B8" w:rsidRDefault="00B40844" w:rsidP="00B408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770"/>
        <w:gridCol w:w="462"/>
        <w:gridCol w:w="4974"/>
      </w:tblGrid>
      <w:tr w:rsidR="00CA7995" w:rsidRPr="00CA7995" w:rsidTr="00136505">
        <w:trPr>
          <w:trHeight w:val="997"/>
        </w:trPr>
        <w:tc>
          <w:tcPr>
            <w:tcW w:w="5232" w:type="dxa"/>
            <w:gridSpan w:val="2"/>
            <w:vMerge w:val="restart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B40844" w:rsidRPr="00136505" w:rsidRDefault="00136505" w:rsidP="001365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5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DANIEL JACOBUS BAISAKO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//</w:t>
            </w:r>
            <w:r w:rsidRPr="001365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MINISTER OF HOME AFFAIRS, IMMIGRATION, SAFETY AND SECURITY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&amp; 2 OTHERS</w:t>
            </w:r>
          </w:p>
        </w:tc>
        <w:tc>
          <w:tcPr>
            <w:tcW w:w="4974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B40844" w:rsidRPr="00136505" w:rsidRDefault="00136505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365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HC-MD-CIV-MOT-REV-2022/00375</w:t>
            </w:r>
          </w:p>
        </w:tc>
      </w:tr>
      <w:tr w:rsidR="00CA7995" w:rsidRPr="00CA7995" w:rsidTr="00136505">
        <w:trPr>
          <w:trHeight w:val="968"/>
        </w:trPr>
        <w:tc>
          <w:tcPr>
            <w:tcW w:w="5232" w:type="dxa"/>
            <w:gridSpan w:val="2"/>
            <w:vMerge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4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sz w:val="24"/>
                <w:szCs w:val="24"/>
              </w:rPr>
              <w:t>HIGH COURT (MAIN DIVISION)</w:t>
            </w:r>
          </w:p>
        </w:tc>
      </w:tr>
      <w:tr w:rsidR="00CA7995" w:rsidRPr="00CA7995" w:rsidTr="00136505">
        <w:trPr>
          <w:trHeight w:val="965"/>
        </w:trPr>
        <w:tc>
          <w:tcPr>
            <w:tcW w:w="5232" w:type="dxa"/>
            <w:gridSpan w:val="2"/>
            <w:vMerge w:val="restart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B40844" w:rsidRPr="00CA7995" w:rsidRDefault="00B40844" w:rsidP="001365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sz w:val="24"/>
                <w:szCs w:val="24"/>
              </w:rPr>
              <w:t xml:space="preserve">HONOURABLE MR JUSTICE </w:t>
            </w:r>
            <w:r w:rsidR="00136505">
              <w:rPr>
                <w:rFonts w:ascii="Arial" w:hAnsi="Arial" w:cs="Arial"/>
                <w:sz w:val="24"/>
                <w:szCs w:val="24"/>
              </w:rPr>
              <w:t>PARKER</w:t>
            </w:r>
            <w:r w:rsidRPr="00CA79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36505">
              <w:rPr>
                <w:rFonts w:ascii="Arial" w:hAnsi="Arial" w:cs="Arial"/>
                <w:sz w:val="24"/>
                <w:szCs w:val="24"/>
              </w:rPr>
              <w:t>ACTING</w:t>
            </w:r>
          </w:p>
        </w:tc>
        <w:tc>
          <w:tcPr>
            <w:tcW w:w="4974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Date of hearing:</w:t>
            </w:r>
          </w:p>
          <w:p w:rsidR="00B40844" w:rsidRPr="00CA7995" w:rsidRDefault="00C2633E" w:rsidP="001365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3650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505">
              <w:rPr>
                <w:rFonts w:ascii="Arial" w:hAnsi="Arial" w:cs="Arial"/>
                <w:sz w:val="24"/>
                <w:szCs w:val="24"/>
              </w:rPr>
              <w:t>APRIL</w:t>
            </w:r>
            <w:r w:rsidR="00B40844" w:rsidRPr="00CA799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7995" w:rsidRPr="00CA7995" w:rsidTr="00136505">
        <w:trPr>
          <w:trHeight w:val="991"/>
        </w:trPr>
        <w:tc>
          <w:tcPr>
            <w:tcW w:w="5232" w:type="dxa"/>
            <w:gridSpan w:val="2"/>
            <w:vMerge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4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B40844" w:rsidRPr="00CA7995" w:rsidRDefault="00136505" w:rsidP="00C2633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JUNE</w:t>
            </w:r>
            <w:r w:rsidR="00B40844" w:rsidRPr="00CA799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C263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A7995" w:rsidRPr="00CA7995" w:rsidTr="00136505">
        <w:trPr>
          <w:trHeight w:val="876"/>
        </w:trPr>
        <w:tc>
          <w:tcPr>
            <w:tcW w:w="10206" w:type="dxa"/>
            <w:gridSpan w:val="3"/>
          </w:tcPr>
          <w:p w:rsidR="00B40844" w:rsidRPr="00CA7995" w:rsidRDefault="00B40844" w:rsidP="004416D0">
            <w:pPr>
              <w:spacing w:line="360" w:lineRule="auto"/>
              <w:ind w:left="2019" w:hanging="198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 w:rsidR="004E3B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3650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Baisako</w:t>
            </w:r>
            <w:proofErr w:type="spellEnd"/>
            <w:r w:rsidRPr="00CA7995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v </w:t>
            </w:r>
            <w:r w:rsidR="00136505" w:rsidRPr="001365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="001365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inister of Home Affairs, Immigration, Safety and Security</w:t>
            </w:r>
            <w:r w:rsidRPr="00CA799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36505" w:rsidRPr="0013650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HC-MD-CIV-MOT-REV-2022/00375</w:t>
            </w:r>
            <w:r w:rsidRPr="00CA7995">
              <w:rPr>
                <w:rFonts w:ascii="Arial" w:hAnsi="Arial" w:cs="Arial"/>
                <w:sz w:val="24"/>
                <w:szCs w:val="24"/>
              </w:rPr>
              <w:t>)</w:t>
            </w:r>
            <w:r w:rsidRPr="00CA7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7995">
              <w:rPr>
                <w:rFonts w:ascii="Arial" w:hAnsi="Arial" w:cs="Arial"/>
                <w:sz w:val="24"/>
                <w:szCs w:val="24"/>
              </w:rPr>
              <w:t>[202</w:t>
            </w:r>
            <w:r w:rsidR="00B47800">
              <w:rPr>
                <w:rFonts w:ascii="Arial" w:hAnsi="Arial" w:cs="Arial"/>
                <w:sz w:val="24"/>
                <w:szCs w:val="24"/>
              </w:rPr>
              <w:t>3</w:t>
            </w:r>
            <w:r w:rsidRPr="00CA7995">
              <w:rPr>
                <w:rFonts w:ascii="Arial" w:hAnsi="Arial" w:cs="Arial"/>
                <w:sz w:val="24"/>
                <w:szCs w:val="24"/>
              </w:rPr>
              <w:t xml:space="preserve">] NAHCMD </w:t>
            </w:r>
            <w:r w:rsidR="004416D0">
              <w:rPr>
                <w:rFonts w:ascii="Arial" w:hAnsi="Arial" w:cs="Arial"/>
                <w:sz w:val="24"/>
                <w:szCs w:val="24"/>
              </w:rPr>
              <w:t>300</w:t>
            </w:r>
            <w:bookmarkStart w:id="0" w:name="_GoBack"/>
            <w:bookmarkEnd w:id="0"/>
            <w:r w:rsidRPr="00CA799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36505">
              <w:rPr>
                <w:rFonts w:ascii="Arial" w:hAnsi="Arial" w:cs="Arial"/>
                <w:sz w:val="24"/>
                <w:szCs w:val="24"/>
              </w:rPr>
              <w:t>7 June</w:t>
            </w:r>
            <w:r w:rsidR="00B47800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Pr="00CA799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A7995" w:rsidRPr="00CA7995" w:rsidTr="00136505">
        <w:tc>
          <w:tcPr>
            <w:tcW w:w="10206" w:type="dxa"/>
            <w:gridSpan w:val="3"/>
          </w:tcPr>
          <w:p w:rsidR="00B40844" w:rsidRPr="00B47800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0844" w:rsidRDefault="004E3BFB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40844" w:rsidRPr="00CA7995">
              <w:rPr>
                <w:rFonts w:ascii="Arial" w:hAnsi="Arial" w:cs="Arial"/>
                <w:b/>
                <w:sz w:val="24"/>
                <w:szCs w:val="24"/>
              </w:rPr>
              <w:t>rder:</w:t>
            </w:r>
          </w:p>
          <w:p w:rsidR="004E3BFB" w:rsidRPr="00CA7995" w:rsidRDefault="004E3BFB" w:rsidP="00937C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BFB" w:rsidRPr="004E3BFB" w:rsidRDefault="004E3BFB" w:rsidP="004E3BF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43" w:hanging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BFB">
              <w:rPr>
                <w:rFonts w:ascii="Arial" w:hAnsi="Arial" w:cs="Arial"/>
                <w:sz w:val="24"/>
                <w:szCs w:val="24"/>
              </w:rPr>
              <w:t>The application is dismissed with costs on the scale as between party and party.</w:t>
            </w:r>
          </w:p>
          <w:p w:rsidR="004E3BFB" w:rsidRDefault="004E3BFB" w:rsidP="004E3BFB">
            <w:pPr>
              <w:tabs>
                <w:tab w:val="left" w:pos="729"/>
                <w:tab w:val="left" w:pos="1168"/>
              </w:tabs>
              <w:spacing w:line="360" w:lineRule="auto"/>
              <w:ind w:left="743" w:hanging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BFB" w:rsidRPr="00CA7995" w:rsidRDefault="004E3BFB" w:rsidP="004E3BFB">
            <w:pPr>
              <w:tabs>
                <w:tab w:val="left" w:pos="729"/>
                <w:tab w:val="left" w:pos="1168"/>
              </w:tabs>
              <w:spacing w:line="360" w:lineRule="auto"/>
              <w:ind w:left="743" w:hanging="7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23E2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The matter is finali</w:t>
            </w:r>
            <w:r w:rsidR="00700B1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 and removed from the roll.</w:t>
            </w:r>
          </w:p>
          <w:p w:rsidR="008C2200" w:rsidRPr="00B47800" w:rsidRDefault="008C2200" w:rsidP="00B4780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3"/>
              <w:jc w:val="both"/>
              <w:rPr>
                <w:rFonts w:ascii="Arial" w:hAnsi="Arial" w:cs="Arial"/>
              </w:rPr>
            </w:pPr>
          </w:p>
        </w:tc>
      </w:tr>
      <w:tr w:rsidR="00CA7995" w:rsidRPr="00CA7995" w:rsidTr="00136505">
        <w:trPr>
          <w:trHeight w:val="548"/>
        </w:trPr>
        <w:tc>
          <w:tcPr>
            <w:tcW w:w="10206" w:type="dxa"/>
            <w:gridSpan w:val="3"/>
          </w:tcPr>
          <w:p w:rsidR="00B40844" w:rsidRPr="00CA7995" w:rsidRDefault="003B03B0" w:rsidP="00937C89">
            <w:pPr>
              <w:tabs>
                <w:tab w:val="right" w:pos="9693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B40844" w:rsidRPr="00CA7995">
              <w:rPr>
                <w:rFonts w:ascii="Arial" w:hAnsi="Arial" w:cs="Arial"/>
                <w:b/>
                <w:sz w:val="24"/>
                <w:szCs w:val="24"/>
              </w:rPr>
              <w:t>easons for the above order:</w:t>
            </w:r>
          </w:p>
        </w:tc>
      </w:tr>
      <w:tr w:rsidR="00CA7995" w:rsidRPr="00CA7995" w:rsidTr="00136505">
        <w:tc>
          <w:tcPr>
            <w:tcW w:w="10206" w:type="dxa"/>
            <w:gridSpan w:val="3"/>
          </w:tcPr>
          <w:p w:rsidR="00B40844" w:rsidRDefault="003B03B0" w:rsidP="00ED76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PARKER AJ:</w:t>
            </w:r>
          </w:p>
          <w:p w:rsidR="003B03B0" w:rsidRPr="00CA7995" w:rsidRDefault="003B03B0" w:rsidP="00ED76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844" w:rsidRDefault="00B40844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A7995">
              <w:rPr>
                <w:rFonts w:ascii="Arial" w:hAnsi="Arial" w:cs="Arial"/>
                <w:sz w:val="24"/>
                <w:szCs w:val="24"/>
              </w:rPr>
              <w:t>[1]</w:t>
            </w:r>
            <w:r w:rsidRPr="00CA7995">
              <w:rPr>
                <w:rFonts w:ascii="Arial" w:hAnsi="Arial" w:cs="Arial"/>
                <w:sz w:val="24"/>
                <w:szCs w:val="24"/>
              </w:rPr>
              <w:tab/>
            </w:r>
            <w:r w:rsidR="00136505">
              <w:rPr>
                <w:rFonts w:ascii="Arial" w:hAnsi="Arial" w:cs="Arial"/>
                <w:sz w:val="24"/>
                <w:szCs w:val="24"/>
              </w:rPr>
              <w:t xml:space="preserve">The principal and substantial relief sought is a declaration (in para 1 of the notice of motion) that the application was brought within a reasonable time. In para 2 the applicant, represented by Ms </w:t>
            </w:r>
            <w:proofErr w:type="spellStart"/>
            <w:r w:rsidR="00136505">
              <w:rPr>
                <w:rFonts w:ascii="Arial" w:hAnsi="Arial" w:cs="Arial"/>
                <w:sz w:val="24"/>
                <w:szCs w:val="24"/>
              </w:rPr>
              <w:t>Lubbe</w:t>
            </w:r>
            <w:proofErr w:type="spellEnd"/>
            <w:r w:rsidR="00136505">
              <w:rPr>
                <w:rFonts w:ascii="Arial" w:hAnsi="Arial" w:cs="Arial"/>
                <w:sz w:val="24"/>
                <w:szCs w:val="24"/>
              </w:rPr>
              <w:t xml:space="preserve">, seeks an order reviewing and setting aside the decision of the </w:t>
            </w:r>
            <w:r w:rsidR="00136505">
              <w:rPr>
                <w:rFonts w:ascii="Arial" w:hAnsi="Arial" w:cs="Arial"/>
                <w:sz w:val="24"/>
                <w:szCs w:val="24"/>
              </w:rPr>
              <w:lastRenderedPageBreak/>
              <w:t xml:space="preserve">second respondent transferring the applicant from Internal Investigation, Sub-Division of the Namibian Police Force in Lüderitz to the Administration Unit of the </w:t>
            </w:r>
            <w:proofErr w:type="spellStart"/>
            <w:r w:rsidR="00136505">
              <w:rPr>
                <w:rFonts w:ascii="Arial" w:hAnsi="Arial" w:cs="Arial"/>
                <w:sz w:val="24"/>
                <w:szCs w:val="24"/>
              </w:rPr>
              <w:t>Keetmanshoop</w:t>
            </w:r>
            <w:proofErr w:type="spellEnd"/>
            <w:r w:rsidR="00136505">
              <w:rPr>
                <w:rFonts w:ascii="Arial" w:hAnsi="Arial" w:cs="Arial"/>
                <w:sz w:val="24"/>
                <w:szCs w:val="24"/>
              </w:rPr>
              <w:t xml:space="preserve"> Police Station. Alternative to para 2 is a prayer in para 3 for an order for a declaration </w:t>
            </w:r>
            <w:r w:rsidR="00F4726A">
              <w:rPr>
                <w:rFonts w:ascii="Arial" w:hAnsi="Arial" w:cs="Arial"/>
                <w:sz w:val="24"/>
                <w:szCs w:val="24"/>
              </w:rPr>
              <w:t xml:space="preserve">that the said transfer offends </w:t>
            </w:r>
            <w:r w:rsidR="00700B1F">
              <w:rPr>
                <w:rFonts w:ascii="Arial" w:hAnsi="Arial" w:cs="Arial"/>
                <w:sz w:val="24"/>
                <w:szCs w:val="24"/>
              </w:rPr>
              <w:t>A</w:t>
            </w:r>
            <w:r w:rsidR="00F4726A">
              <w:rPr>
                <w:rFonts w:ascii="Arial" w:hAnsi="Arial" w:cs="Arial"/>
                <w:sz w:val="24"/>
                <w:szCs w:val="24"/>
              </w:rPr>
              <w:t xml:space="preserve">rticle 18 of the Namibian Constitution. I do not see any jurisprudential difference between the </w:t>
            </w:r>
            <w:proofErr w:type="gramStart"/>
            <w:r w:rsidR="00F4726A">
              <w:rPr>
                <w:rFonts w:ascii="Arial" w:hAnsi="Arial" w:cs="Arial"/>
                <w:sz w:val="24"/>
                <w:szCs w:val="24"/>
              </w:rPr>
              <w:t>order</w:t>
            </w:r>
            <w:proofErr w:type="gramEnd"/>
            <w:r w:rsidR="00F4726A">
              <w:rPr>
                <w:rFonts w:ascii="Arial" w:hAnsi="Arial" w:cs="Arial"/>
                <w:sz w:val="24"/>
                <w:szCs w:val="24"/>
              </w:rPr>
              <w:t xml:space="preserve"> sought in para 2 and para 3 in terms of our administrative law</w:t>
            </w:r>
            <w:r w:rsidR="00F0783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FC2237" w:rsidRDefault="00FC2237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FC2237" w:rsidRDefault="00672C76" w:rsidP="00ED76B2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E22">
              <w:rPr>
                <w:rFonts w:ascii="Arial" w:hAnsi="Arial" w:cs="Arial"/>
                <w:sz w:val="24"/>
                <w:szCs w:val="24"/>
              </w:rPr>
              <w:t>[2]</w:t>
            </w:r>
            <w:r w:rsidR="000A6E7F" w:rsidRPr="00323E22">
              <w:rPr>
                <w:rFonts w:ascii="Arial" w:hAnsi="Arial" w:cs="Arial"/>
                <w:sz w:val="24"/>
                <w:szCs w:val="24"/>
              </w:rPr>
              <w:tab/>
            </w:r>
            <w:r w:rsidR="001E2A2D">
              <w:rPr>
                <w:rFonts w:ascii="Arial" w:hAnsi="Arial" w:cs="Arial"/>
                <w:sz w:val="24"/>
                <w:szCs w:val="24"/>
              </w:rPr>
              <w:t>The respondents have moved to reject the application and they have raised three preliminary objections, namely, prescription in terms of s 39(1) of the Police Act 19 of 1990, failure to exhaust internal statutory remedies and non-authentication of the founding affidavit. I shall consider the first preliminary objection first, because if were to uphold it, it would be dispositive of the application</w:t>
            </w:r>
            <w:r w:rsidR="0022480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4808" w:rsidRDefault="00224808" w:rsidP="00ED76B2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4808" w:rsidRDefault="002D20C5" w:rsidP="00ED76B2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[3]</w:t>
            </w:r>
            <w:r w:rsidRPr="00323E22">
              <w:rPr>
                <w:rFonts w:ascii="Arial" w:hAnsi="Arial" w:cs="Arial"/>
                <w:sz w:val="24"/>
                <w:szCs w:val="24"/>
              </w:rPr>
              <w:tab/>
            </w:r>
            <w:r w:rsidR="001E2A2D">
              <w:rPr>
                <w:rFonts w:ascii="Arial" w:hAnsi="Arial" w:cs="Arial"/>
                <w:sz w:val="24"/>
                <w:szCs w:val="24"/>
              </w:rPr>
              <w:t xml:space="preserve">I make the point that, as Mr </w:t>
            </w:r>
            <w:proofErr w:type="spellStart"/>
            <w:r w:rsidR="001E2A2D">
              <w:rPr>
                <w:rFonts w:ascii="Arial" w:hAnsi="Arial" w:cs="Arial"/>
                <w:sz w:val="24"/>
                <w:szCs w:val="24"/>
              </w:rPr>
              <w:t>Ncube</w:t>
            </w:r>
            <w:proofErr w:type="spellEnd"/>
            <w:r w:rsidR="001E2A2D">
              <w:rPr>
                <w:rFonts w:ascii="Arial" w:hAnsi="Arial" w:cs="Arial"/>
                <w:sz w:val="24"/>
                <w:szCs w:val="24"/>
              </w:rPr>
              <w:t>, counsel for the respondent, submitted, s 39(1) of the Police Act is a limitation clause properly so called. It limits the time within which proceedings by aggrieved persons must be instituted, else they are out of court.</w:t>
            </w:r>
            <w:r w:rsidR="001E2A2D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  <w:r w:rsidR="001E2A2D">
              <w:rPr>
                <w:rFonts w:ascii="Arial" w:hAnsi="Arial" w:cs="Arial"/>
                <w:sz w:val="24"/>
                <w:szCs w:val="24"/>
              </w:rPr>
              <w:t xml:space="preserve"> Limitation clauses ‘are of great importance in administrative law.’</w:t>
            </w:r>
            <w:r w:rsidR="001E2A2D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  <w:r w:rsidR="001E2A2D">
              <w:rPr>
                <w:rFonts w:ascii="Arial" w:hAnsi="Arial" w:cs="Arial"/>
                <w:sz w:val="24"/>
                <w:szCs w:val="24"/>
              </w:rPr>
              <w:t xml:space="preserve"> Significantly, the Supreme Court held as long ago as 2007 in </w:t>
            </w:r>
            <w:r w:rsidR="001E2A2D" w:rsidRPr="006B5854">
              <w:rPr>
                <w:rFonts w:ascii="Arial" w:hAnsi="Arial" w:cs="Arial"/>
                <w:i/>
                <w:sz w:val="24"/>
                <w:szCs w:val="24"/>
              </w:rPr>
              <w:t xml:space="preserve">Minister of Home Affairs v </w:t>
            </w:r>
            <w:proofErr w:type="spellStart"/>
            <w:r w:rsidR="001E2A2D" w:rsidRPr="006B5854">
              <w:rPr>
                <w:rFonts w:ascii="Arial" w:hAnsi="Arial" w:cs="Arial"/>
                <w:i/>
                <w:sz w:val="24"/>
                <w:szCs w:val="24"/>
              </w:rPr>
              <w:t>Majiedt</w:t>
            </w:r>
            <w:proofErr w:type="spellEnd"/>
            <w:r w:rsidR="001E2A2D" w:rsidRPr="006B5854">
              <w:rPr>
                <w:rFonts w:ascii="Arial" w:hAnsi="Arial" w:cs="Arial"/>
                <w:i/>
                <w:sz w:val="24"/>
                <w:szCs w:val="24"/>
              </w:rPr>
              <w:t xml:space="preserve"> and Others</w:t>
            </w:r>
            <w:r w:rsidR="00700B1F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E2A2D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  <w:r w:rsidR="006B5854">
              <w:rPr>
                <w:rFonts w:ascii="Arial" w:hAnsi="Arial" w:cs="Arial"/>
                <w:sz w:val="24"/>
                <w:szCs w:val="24"/>
              </w:rPr>
              <w:t xml:space="preserve"> that the limitation clause in s 39(1) of the Police Act is Constitution compliant. In </w:t>
            </w:r>
            <w:proofErr w:type="spellStart"/>
            <w:r w:rsidR="006B5854" w:rsidRPr="006F07B3">
              <w:rPr>
                <w:rFonts w:ascii="Arial" w:hAnsi="Arial" w:cs="Arial"/>
                <w:i/>
                <w:sz w:val="24"/>
                <w:szCs w:val="24"/>
              </w:rPr>
              <w:t>Hango</w:t>
            </w:r>
            <w:proofErr w:type="spellEnd"/>
            <w:r w:rsidR="006B5854" w:rsidRPr="006F07B3">
              <w:rPr>
                <w:rFonts w:ascii="Arial" w:hAnsi="Arial" w:cs="Arial"/>
                <w:i/>
                <w:sz w:val="24"/>
                <w:szCs w:val="24"/>
              </w:rPr>
              <w:t xml:space="preserve"> v </w:t>
            </w:r>
            <w:proofErr w:type="spellStart"/>
            <w:r w:rsidR="006B5854" w:rsidRPr="006F07B3">
              <w:rPr>
                <w:rFonts w:ascii="Arial" w:hAnsi="Arial" w:cs="Arial"/>
                <w:i/>
                <w:sz w:val="24"/>
                <w:szCs w:val="24"/>
              </w:rPr>
              <w:t>Shipe</w:t>
            </w:r>
            <w:r w:rsidR="00700B1F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="006B5854" w:rsidRPr="006F07B3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End"/>
            <w:r w:rsidR="00700B1F">
              <w:rPr>
                <w:rFonts w:ascii="Arial" w:hAnsi="Arial" w:cs="Arial"/>
                <w:i/>
                <w:sz w:val="24"/>
                <w:szCs w:val="24"/>
              </w:rPr>
              <w:t xml:space="preserve"> and Another</w:t>
            </w:r>
            <w:r w:rsidR="006B5854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  <w:r w:rsidR="006B5854">
              <w:rPr>
                <w:rFonts w:ascii="Arial" w:hAnsi="Arial" w:cs="Arial"/>
                <w:sz w:val="24"/>
                <w:szCs w:val="24"/>
              </w:rPr>
              <w:t>,</w:t>
            </w:r>
            <w:r w:rsidR="006F07B3">
              <w:rPr>
                <w:rFonts w:ascii="Arial" w:hAnsi="Arial" w:cs="Arial"/>
                <w:sz w:val="24"/>
                <w:szCs w:val="24"/>
              </w:rPr>
              <w:t xml:space="preserve"> the court held that a failure to institute proceeding</w:t>
            </w:r>
            <w:r w:rsidR="00700B1F">
              <w:rPr>
                <w:rFonts w:ascii="Arial" w:hAnsi="Arial" w:cs="Arial"/>
                <w:sz w:val="24"/>
                <w:szCs w:val="24"/>
              </w:rPr>
              <w:t>s</w:t>
            </w:r>
            <w:r w:rsidR="006F07B3">
              <w:rPr>
                <w:rFonts w:ascii="Arial" w:hAnsi="Arial" w:cs="Arial"/>
                <w:sz w:val="24"/>
                <w:szCs w:val="24"/>
              </w:rPr>
              <w:t xml:space="preserve"> within the time limit prescribed by s 39(1) is fatal</w:t>
            </w:r>
            <w:r w:rsidR="008A1447">
              <w:rPr>
                <w:rFonts w:ascii="Arial" w:hAnsi="Arial" w:cs="Arial"/>
                <w:sz w:val="24"/>
                <w:szCs w:val="24"/>
              </w:rPr>
              <w:t>.</w:t>
            </w:r>
            <w:r w:rsidR="006F07B3">
              <w:rPr>
                <w:rFonts w:ascii="Arial" w:hAnsi="Arial" w:cs="Arial"/>
                <w:sz w:val="24"/>
                <w:szCs w:val="24"/>
              </w:rPr>
              <w:t xml:space="preserve"> Such applicant would be out of court, unless the responsible </w:t>
            </w:r>
            <w:r w:rsidR="00153ED0">
              <w:rPr>
                <w:rFonts w:ascii="Arial" w:hAnsi="Arial" w:cs="Arial"/>
                <w:sz w:val="24"/>
                <w:szCs w:val="24"/>
              </w:rPr>
              <w:t>m</w:t>
            </w:r>
            <w:r w:rsidR="006F07B3">
              <w:rPr>
                <w:rFonts w:ascii="Arial" w:hAnsi="Arial" w:cs="Arial"/>
                <w:sz w:val="24"/>
                <w:szCs w:val="24"/>
              </w:rPr>
              <w:t xml:space="preserve">inister </w:t>
            </w:r>
            <w:r w:rsidR="00117280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F07B3">
              <w:rPr>
                <w:rFonts w:ascii="Arial" w:hAnsi="Arial" w:cs="Arial"/>
                <w:sz w:val="24"/>
                <w:szCs w:val="24"/>
              </w:rPr>
              <w:t>waive</w:t>
            </w:r>
            <w:r w:rsidR="00117280">
              <w:rPr>
                <w:rFonts w:ascii="Arial" w:hAnsi="Arial" w:cs="Arial"/>
                <w:sz w:val="24"/>
                <w:szCs w:val="24"/>
              </w:rPr>
              <w:t>d compliance</w:t>
            </w:r>
            <w:r w:rsidR="006F0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7280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6F07B3">
              <w:rPr>
                <w:rFonts w:ascii="Arial" w:hAnsi="Arial" w:cs="Arial"/>
                <w:sz w:val="24"/>
                <w:szCs w:val="24"/>
              </w:rPr>
              <w:t>the limitation clause in s 39(1) of the Police Act.</w:t>
            </w:r>
            <w:r w:rsidR="00700B1F">
              <w:rPr>
                <w:rFonts w:ascii="Arial" w:hAnsi="Arial" w:cs="Arial"/>
                <w:sz w:val="24"/>
                <w:szCs w:val="24"/>
              </w:rPr>
              <w:t xml:space="preserve">  In this</w:t>
            </w:r>
            <w:r w:rsidR="00E5361F">
              <w:rPr>
                <w:rFonts w:ascii="Arial" w:hAnsi="Arial" w:cs="Arial"/>
                <w:sz w:val="24"/>
                <w:szCs w:val="24"/>
              </w:rPr>
              <w:t xml:space="preserve"> instance the minister has not waived applicant’s compliance with s 39(1).</w:t>
            </w:r>
          </w:p>
          <w:p w:rsidR="00FC2237" w:rsidRDefault="00FC2237" w:rsidP="00ED76B2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2C76" w:rsidRPr="00CA7995" w:rsidRDefault="002D20C5" w:rsidP="00ED76B2">
            <w:pPr>
              <w:spacing w:line="360" w:lineRule="auto"/>
              <w:ind w:left="20"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[4]</w:t>
            </w:r>
            <w:r w:rsidRPr="00323E22">
              <w:rPr>
                <w:rFonts w:ascii="Arial" w:hAnsi="Arial" w:cs="Arial"/>
                <w:sz w:val="24"/>
                <w:szCs w:val="24"/>
              </w:rPr>
              <w:tab/>
            </w:r>
            <w:r w:rsidR="00F21EDB">
              <w:rPr>
                <w:rFonts w:ascii="Arial" w:hAnsi="Arial" w:cs="Arial"/>
                <w:sz w:val="24"/>
                <w:szCs w:val="24"/>
              </w:rPr>
              <w:t xml:space="preserve">On the papers, I find that the impugned decision was made on 12 August 2021 and the applicant became aware of it the same day. </w:t>
            </w:r>
            <w:r w:rsidR="00CB11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EDB">
              <w:rPr>
                <w:rFonts w:ascii="Arial" w:hAnsi="Arial" w:cs="Arial"/>
                <w:sz w:val="24"/>
                <w:szCs w:val="24"/>
              </w:rPr>
              <w:t>According to his legal representatives, the applicant was ‘[O]n 12 August 2021 … informed of his transfer ….’ Thus, in terms of th</w:t>
            </w:r>
            <w:r w:rsidR="00CB1183">
              <w:rPr>
                <w:rFonts w:ascii="Arial" w:hAnsi="Arial" w:cs="Arial"/>
                <w:sz w:val="24"/>
                <w:szCs w:val="24"/>
              </w:rPr>
              <w:t>e limitation clause in s 39(1) o</w:t>
            </w:r>
            <w:r w:rsidR="00F21EDB">
              <w:rPr>
                <w:rFonts w:ascii="Arial" w:hAnsi="Arial" w:cs="Arial"/>
                <w:sz w:val="24"/>
                <w:szCs w:val="24"/>
              </w:rPr>
              <w:t xml:space="preserve">f the Police Act, the applicant ought to have brought the application on or before 11 August 2021; but he brought it on 15 August 2021. </w:t>
            </w:r>
            <w:r w:rsidR="008736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1183">
              <w:rPr>
                <w:rFonts w:ascii="Arial" w:hAnsi="Arial" w:cs="Arial"/>
                <w:sz w:val="24"/>
                <w:szCs w:val="24"/>
              </w:rPr>
              <w:t xml:space="preserve">In that regard, it is important to note that </w:t>
            </w:r>
            <w:r w:rsidR="00F21EDB">
              <w:rPr>
                <w:rFonts w:ascii="Arial" w:hAnsi="Arial" w:cs="Arial"/>
                <w:sz w:val="24"/>
                <w:szCs w:val="24"/>
              </w:rPr>
              <w:t xml:space="preserve">there is </w:t>
            </w:r>
            <w:r w:rsidR="0087368D">
              <w:rPr>
                <w:rFonts w:ascii="Arial" w:hAnsi="Arial" w:cs="Arial"/>
                <w:sz w:val="24"/>
                <w:szCs w:val="24"/>
              </w:rPr>
              <w:t>cogent evidence before the court, establishing that as on 12 August 2021, the applicant knew the exact reason why the second respondent decided to transfer him</w:t>
            </w:r>
            <w:r w:rsidR="00A85792">
              <w:rPr>
                <w:rFonts w:ascii="Arial" w:hAnsi="Arial" w:cs="Arial"/>
                <w:sz w:val="24"/>
                <w:szCs w:val="24"/>
              </w:rPr>
              <w:t xml:space="preserve">. Consequently, I </w:t>
            </w:r>
            <w:r w:rsidR="002D407B">
              <w:rPr>
                <w:rFonts w:ascii="Arial" w:hAnsi="Arial" w:cs="Arial"/>
                <w:sz w:val="24"/>
                <w:szCs w:val="24"/>
              </w:rPr>
              <w:t xml:space="preserve">respectfully reject the submission by the applicant’s counsel that the applicant </w:t>
            </w:r>
            <w:r w:rsidR="002D407B">
              <w:rPr>
                <w:rFonts w:ascii="Arial" w:hAnsi="Arial" w:cs="Arial"/>
                <w:sz w:val="24"/>
                <w:szCs w:val="24"/>
              </w:rPr>
              <w:lastRenderedPageBreak/>
              <w:t xml:space="preserve">sought persistently in vain from the decision taker for a reason for his transfer.  Most telling is that the applicant’s professed ignorance of the reason for his transfer lacks credibility. </w:t>
            </w:r>
          </w:p>
          <w:p w:rsidR="00535F29" w:rsidRPr="00323E22" w:rsidRDefault="00535F29" w:rsidP="00ED76B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2FD9" w:rsidRDefault="00C06EB4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E22">
              <w:rPr>
                <w:rFonts w:ascii="Arial" w:hAnsi="Arial" w:cs="Arial"/>
                <w:sz w:val="24"/>
                <w:szCs w:val="24"/>
              </w:rPr>
              <w:t>[</w:t>
            </w:r>
            <w:r w:rsidR="002D20C5">
              <w:rPr>
                <w:rFonts w:ascii="Arial" w:hAnsi="Arial" w:cs="Arial"/>
                <w:sz w:val="24"/>
                <w:szCs w:val="24"/>
              </w:rPr>
              <w:t>5</w:t>
            </w:r>
            <w:r w:rsidR="00B40844" w:rsidRPr="00323E22">
              <w:rPr>
                <w:rFonts w:ascii="Arial" w:hAnsi="Arial" w:cs="Arial"/>
                <w:sz w:val="24"/>
                <w:szCs w:val="24"/>
              </w:rPr>
              <w:t>]</w:t>
            </w:r>
            <w:r w:rsidR="00B40844" w:rsidRPr="00323E22">
              <w:rPr>
                <w:rFonts w:ascii="Arial" w:hAnsi="Arial" w:cs="Arial"/>
                <w:sz w:val="24"/>
                <w:szCs w:val="24"/>
              </w:rPr>
              <w:tab/>
            </w:r>
            <w:r w:rsidR="000F2FD9">
              <w:rPr>
                <w:rFonts w:ascii="Arial" w:hAnsi="Arial" w:cs="Arial"/>
                <w:sz w:val="24"/>
                <w:szCs w:val="24"/>
              </w:rPr>
              <w:t xml:space="preserve">Accordingly, I find that there is no application properly before the court for the court to consider.  The applicant is out of court.  Consequently, I uphold the respondents’ first point </w:t>
            </w:r>
            <w:r w:rsidR="000F2FD9" w:rsidRPr="00157447">
              <w:rPr>
                <w:rFonts w:ascii="Arial" w:hAnsi="Arial" w:cs="Arial"/>
                <w:i/>
                <w:sz w:val="24"/>
                <w:szCs w:val="24"/>
              </w:rPr>
              <w:t xml:space="preserve">in </w:t>
            </w:r>
            <w:proofErr w:type="spellStart"/>
            <w:r w:rsidR="000F2FD9" w:rsidRPr="00157447">
              <w:rPr>
                <w:rFonts w:ascii="Arial" w:hAnsi="Arial" w:cs="Arial"/>
                <w:i/>
                <w:sz w:val="24"/>
                <w:szCs w:val="24"/>
              </w:rPr>
              <w:t>limine</w:t>
            </w:r>
            <w:proofErr w:type="spellEnd"/>
            <w:r w:rsidR="000F2FD9">
              <w:rPr>
                <w:rFonts w:ascii="Arial" w:hAnsi="Arial" w:cs="Arial"/>
                <w:sz w:val="24"/>
                <w:szCs w:val="24"/>
              </w:rPr>
              <w:t>.  The holding is dispositive of the application, as I intimated previously.</w:t>
            </w:r>
          </w:p>
          <w:p w:rsidR="000F2FD9" w:rsidRDefault="000F2FD9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844" w:rsidRDefault="000F2FD9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[6]</w:t>
            </w:r>
            <w:r w:rsidRPr="00323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3E22">
              <w:rPr>
                <w:rFonts w:ascii="Arial" w:hAnsi="Arial" w:cs="Arial"/>
                <w:sz w:val="24"/>
                <w:szCs w:val="24"/>
              </w:rPr>
              <w:tab/>
            </w:r>
            <w:r w:rsidR="00A85792">
              <w:rPr>
                <w:rFonts w:ascii="Arial" w:hAnsi="Arial" w:cs="Arial"/>
                <w:sz w:val="24"/>
                <w:szCs w:val="24"/>
              </w:rPr>
              <w:t>In the result, I order as follows:</w:t>
            </w:r>
          </w:p>
          <w:p w:rsidR="00A85792" w:rsidRDefault="00A85792" w:rsidP="00ED76B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5792" w:rsidRDefault="00A85792" w:rsidP="00157447">
            <w:pPr>
              <w:spacing w:line="360" w:lineRule="auto"/>
              <w:ind w:left="743" w:hanging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323E2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The application is dismissed with costs on the scale as between party and party.</w:t>
            </w:r>
          </w:p>
          <w:p w:rsidR="00A85792" w:rsidRDefault="00A85792" w:rsidP="00157447">
            <w:pPr>
              <w:spacing w:line="360" w:lineRule="auto"/>
              <w:ind w:left="743" w:hanging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5792" w:rsidRPr="00CA7995" w:rsidRDefault="00A85792" w:rsidP="00157447">
            <w:pPr>
              <w:spacing w:line="360" w:lineRule="auto"/>
              <w:ind w:left="743" w:hanging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23E22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The matter is finali</w:t>
            </w:r>
            <w:r w:rsidR="00700B1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ed and removed from the roll.</w:t>
            </w:r>
          </w:p>
          <w:p w:rsidR="00C04F28" w:rsidRPr="00CA7995" w:rsidRDefault="00C04F28" w:rsidP="00A85792">
            <w:pPr>
              <w:tabs>
                <w:tab w:val="left" w:pos="72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995" w:rsidRPr="00CA7995" w:rsidTr="00136505">
        <w:tc>
          <w:tcPr>
            <w:tcW w:w="4770" w:type="dxa"/>
          </w:tcPr>
          <w:p w:rsidR="00B40844" w:rsidRPr="00CA7995" w:rsidRDefault="00B40844" w:rsidP="00ED76B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Judge’s signature:</w:t>
            </w:r>
          </w:p>
        </w:tc>
        <w:tc>
          <w:tcPr>
            <w:tcW w:w="5436" w:type="dxa"/>
            <w:gridSpan w:val="2"/>
          </w:tcPr>
          <w:p w:rsidR="00B40844" w:rsidRPr="00CA7995" w:rsidRDefault="00B40844" w:rsidP="00937C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CA7995" w:rsidRPr="00CA7995" w:rsidTr="00136505">
        <w:trPr>
          <w:trHeight w:val="1114"/>
        </w:trPr>
        <w:tc>
          <w:tcPr>
            <w:tcW w:w="4770" w:type="dxa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6" w:type="dxa"/>
            <w:gridSpan w:val="2"/>
          </w:tcPr>
          <w:p w:rsidR="00B40844" w:rsidRPr="00CA7995" w:rsidRDefault="00B40844" w:rsidP="00937C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995">
              <w:rPr>
                <w:rFonts w:ascii="Arial" w:hAnsi="Arial" w:cs="Arial"/>
                <w:sz w:val="24"/>
                <w:szCs w:val="24"/>
              </w:rPr>
              <w:t>Not applicable.</w:t>
            </w:r>
          </w:p>
        </w:tc>
      </w:tr>
      <w:tr w:rsidR="00CA7995" w:rsidRPr="00CA7995" w:rsidTr="00136505">
        <w:tc>
          <w:tcPr>
            <w:tcW w:w="10206" w:type="dxa"/>
            <w:gridSpan w:val="3"/>
          </w:tcPr>
          <w:p w:rsidR="00B40844" w:rsidRPr="00CA7995" w:rsidRDefault="00B40844" w:rsidP="00937C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7995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</w:tc>
      </w:tr>
      <w:tr w:rsidR="00CA7995" w:rsidRPr="00CA7995" w:rsidTr="00136505">
        <w:tc>
          <w:tcPr>
            <w:tcW w:w="4770" w:type="dxa"/>
          </w:tcPr>
          <w:p w:rsidR="00B40844" w:rsidRPr="00CA7995" w:rsidRDefault="00136505" w:rsidP="00937C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5436" w:type="dxa"/>
            <w:gridSpan w:val="2"/>
          </w:tcPr>
          <w:p w:rsidR="00B40844" w:rsidRPr="00CA7995" w:rsidRDefault="00136505" w:rsidP="00937C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Respondents</w:t>
            </w:r>
          </w:p>
        </w:tc>
      </w:tr>
      <w:tr w:rsidR="00CA7995" w:rsidRPr="00CA7995" w:rsidTr="00136505">
        <w:tc>
          <w:tcPr>
            <w:tcW w:w="4770" w:type="dxa"/>
          </w:tcPr>
          <w:p w:rsidR="00B40844" w:rsidRPr="00D24453" w:rsidRDefault="00136505" w:rsidP="00937C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A85792">
              <w:rPr>
                <w:rFonts w:ascii="Arial" w:hAnsi="Arial" w:cs="Arial"/>
                <w:sz w:val="24"/>
                <w:szCs w:val="24"/>
              </w:rPr>
              <w:t>LUBBE</w:t>
            </w:r>
          </w:p>
          <w:p w:rsidR="00B40844" w:rsidRPr="00D24453" w:rsidRDefault="00B40844" w:rsidP="00937C89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4453">
              <w:rPr>
                <w:rFonts w:ascii="Arial" w:hAnsi="Arial" w:cs="Arial"/>
                <w:i/>
                <w:sz w:val="24"/>
                <w:szCs w:val="24"/>
              </w:rPr>
              <w:t>of</w:t>
            </w:r>
          </w:p>
          <w:p w:rsidR="00B40844" w:rsidRPr="00136505" w:rsidRDefault="00136505" w:rsidP="00937C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6505">
              <w:rPr>
                <w:rFonts w:ascii="Arial" w:hAnsi="Arial" w:cs="Arial"/>
                <w:sz w:val="24"/>
                <w:szCs w:val="24"/>
              </w:rPr>
              <w:t>Lubbe</w:t>
            </w:r>
            <w:proofErr w:type="spellEnd"/>
            <w:r w:rsidRPr="0013650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136505">
              <w:rPr>
                <w:rFonts w:ascii="Arial" w:hAnsi="Arial" w:cs="Arial"/>
                <w:sz w:val="24"/>
                <w:szCs w:val="24"/>
              </w:rPr>
              <w:t>Saaiman</w:t>
            </w:r>
            <w:proofErr w:type="spellEnd"/>
            <w:r w:rsidRPr="00136505">
              <w:rPr>
                <w:rFonts w:ascii="Arial" w:hAnsi="Arial" w:cs="Arial"/>
                <w:sz w:val="24"/>
                <w:szCs w:val="24"/>
              </w:rPr>
              <w:t xml:space="preserve"> Incorporated, Windhoek</w:t>
            </w:r>
          </w:p>
          <w:p w:rsidR="00B40844" w:rsidRPr="00D24453" w:rsidRDefault="00B40844" w:rsidP="00937C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6" w:type="dxa"/>
            <w:gridSpan w:val="2"/>
          </w:tcPr>
          <w:p w:rsidR="00136505" w:rsidRPr="00D24453" w:rsidRDefault="00136505" w:rsidP="001365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 </w:t>
            </w:r>
            <w:r w:rsidR="00A85792">
              <w:rPr>
                <w:rFonts w:ascii="Arial" w:hAnsi="Arial" w:cs="Arial"/>
                <w:sz w:val="24"/>
                <w:szCs w:val="24"/>
              </w:rPr>
              <w:t>NCUBE</w:t>
            </w:r>
          </w:p>
          <w:p w:rsidR="00136505" w:rsidRPr="00D24453" w:rsidRDefault="00136505" w:rsidP="0013650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24453">
              <w:rPr>
                <w:rFonts w:ascii="Arial" w:hAnsi="Arial" w:cs="Arial"/>
                <w:i/>
                <w:sz w:val="24"/>
                <w:szCs w:val="24"/>
              </w:rPr>
              <w:t>of</w:t>
            </w:r>
          </w:p>
          <w:p w:rsidR="00B40844" w:rsidRPr="00136505" w:rsidRDefault="00136505" w:rsidP="001365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505">
              <w:rPr>
                <w:rFonts w:ascii="Arial" w:hAnsi="Arial" w:cs="Arial"/>
                <w:sz w:val="24"/>
                <w:szCs w:val="24"/>
              </w:rPr>
              <w:t>Office of the Government Attorney, Windhoek</w:t>
            </w:r>
          </w:p>
          <w:p w:rsidR="00B40844" w:rsidRPr="00CA7995" w:rsidRDefault="00B40844" w:rsidP="00937C8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5CF" w:rsidRDefault="00B845CF"/>
    <w:sectPr w:rsidR="00B845CF" w:rsidSect="00340EA6">
      <w:headerReference w:type="default" r:id="rId9"/>
      <w:footerReference w:type="default" r:id="rId10"/>
      <w:pgSz w:w="11906" w:h="16838"/>
      <w:pgMar w:top="993" w:right="1440" w:bottom="851" w:left="1440" w:header="708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75" w:rsidRDefault="00523D75" w:rsidP="00B40844">
      <w:pPr>
        <w:spacing w:after="0" w:line="240" w:lineRule="auto"/>
      </w:pPr>
      <w:r>
        <w:separator/>
      </w:r>
    </w:p>
  </w:endnote>
  <w:endnote w:type="continuationSeparator" w:id="0">
    <w:p w:rsidR="00523D75" w:rsidRDefault="00523D75" w:rsidP="00B4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89" w:rsidRPr="00F674F4" w:rsidRDefault="00937C8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75" w:rsidRDefault="00523D75" w:rsidP="00B40844">
      <w:pPr>
        <w:spacing w:after="0" w:line="240" w:lineRule="auto"/>
      </w:pPr>
      <w:r>
        <w:separator/>
      </w:r>
    </w:p>
  </w:footnote>
  <w:footnote w:type="continuationSeparator" w:id="0">
    <w:p w:rsidR="00523D75" w:rsidRDefault="00523D75" w:rsidP="00B40844">
      <w:pPr>
        <w:spacing w:after="0" w:line="240" w:lineRule="auto"/>
      </w:pPr>
      <w:r>
        <w:continuationSeparator/>
      </w:r>
    </w:p>
  </w:footnote>
  <w:footnote w:id="1">
    <w:p w:rsidR="001E2A2D" w:rsidRPr="001E2A2D" w:rsidRDefault="001E2A2D" w:rsidP="001E2A2D">
      <w:pPr>
        <w:pStyle w:val="FootnoteText"/>
        <w:jc w:val="both"/>
        <w:rPr>
          <w:rFonts w:ascii="Arial" w:hAnsi="Arial" w:cs="Arial"/>
        </w:rPr>
      </w:pPr>
      <w:r w:rsidRPr="001E2A2D">
        <w:rPr>
          <w:rStyle w:val="FootnoteReference"/>
          <w:rFonts w:ascii="Arial" w:hAnsi="Arial" w:cs="Arial"/>
        </w:rPr>
        <w:footnoteRef/>
      </w:r>
      <w:r w:rsidRPr="001E2A2D">
        <w:rPr>
          <w:rFonts w:ascii="Arial" w:hAnsi="Arial" w:cs="Arial"/>
        </w:rPr>
        <w:t xml:space="preserve"> </w:t>
      </w:r>
      <w:r w:rsidRPr="001E2A2D">
        <w:rPr>
          <w:rFonts w:ascii="Arial" w:hAnsi="Arial" w:cs="Arial"/>
          <w:i/>
        </w:rPr>
        <w:t xml:space="preserve">R v Environment Secretary, ex parte </w:t>
      </w:r>
      <w:proofErr w:type="spellStart"/>
      <w:r w:rsidRPr="001E2A2D">
        <w:rPr>
          <w:rFonts w:ascii="Arial" w:hAnsi="Arial" w:cs="Arial"/>
          <w:i/>
        </w:rPr>
        <w:t>Ostler</w:t>
      </w:r>
      <w:proofErr w:type="spellEnd"/>
      <w:r>
        <w:rPr>
          <w:rFonts w:ascii="Arial" w:hAnsi="Arial" w:cs="Arial"/>
        </w:rPr>
        <w:t xml:space="preserve"> [1977] QB 122 (CA).</w:t>
      </w:r>
    </w:p>
  </w:footnote>
  <w:footnote w:id="2">
    <w:p w:rsidR="001E2A2D" w:rsidRPr="001E2A2D" w:rsidRDefault="001E2A2D" w:rsidP="001E2A2D">
      <w:pPr>
        <w:pStyle w:val="FootnoteText"/>
        <w:jc w:val="both"/>
        <w:rPr>
          <w:rFonts w:ascii="Arial" w:hAnsi="Arial" w:cs="Arial"/>
        </w:rPr>
      </w:pPr>
      <w:r w:rsidRPr="001E2A2D">
        <w:rPr>
          <w:rStyle w:val="FootnoteReference"/>
          <w:rFonts w:ascii="Arial" w:hAnsi="Arial" w:cs="Arial"/>
        </w:rPr>
        <w:footnoteRef/>
      </w:r>
      <w:r w:rsidRPr="001E2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Lawrence Baxter </w:t>
      </w:r>
      <w:r w:rsidRPr="001E2A2D">
        <w:rPr>
          <w:rFonts w:ascii="Arial" w:hAnsi="Arial" w:cs="Arial"/>
          <w:i/>
        </w:rPr>
        <w:t>Administrative Law</w:t>
      </w:r>
      <w:r>
        <w:rPr>
          <w:rFonts w:ascii="Arial" w:hAnsi="Arial" w:cs="Arial"/>
        </w:rPr>
        <w:t xml:space="preserve"> (1991) at 733.</w:t>
      </w:r>
    </w:p>
  </w:footnote>
  <w:footnote w:id="3">
    <w:p w:rsidR="001E2A2D" w:rsidRPr="001E2A2D" w:rsidRDefault="001E2A2D" w:rsidP="001E2A2D">
      <w:pPr>
        <w:pStyle w:val="FootnoteText"/>
        <w:jc w:val="both"/>
        <w:rPr>
          <w:rFonts w:ascii="Arial" w:hAnsi="Arial" w:cs="Arial"/>
        </w:rPr>
      </w:pPr>
      <w:r w:rsidRPr="001E2A2D">
        <w:rPr>
          <w:rStyle w:val="FootnoteReference"/>
          <w:rFonts w:ascii="Arial" w:hAnsi="Arial" w:cs="Arial"/>
        </w:rPr>
        <w:footnoteRef/>
      </w:r>
      <w:r w:rsidRPr="001E2A2D">
        <w:rPr>
          <w:rFonts w:ascii="Arial" w:hAnsi="Arial" w:cs="Arial"/>
        </w:rPr>
        <w:t xml:space="preserve"> </w:t>
      </w:r>
      <w:r w:rsidRPr="001E2A2D">
        <w:rPr>
          <w:rFonts w:ascii="Arial" w:hAnsi="Arial" w:cs="Arial"/>
          <w:i/>
        </w:rPr>
        <w:t xml:space="preserve">Minister of Home Affairs v </w:t>
      </w:r>
      <w:proofErr w:type="spellStart"/>
      <w:r w:rsidRPr="001E2A2D">
        <w:rPr>
          <w:rFonts w:ascii="Arial" w:hAnsi="Arial" w:cs="Arial"/>
          <w:i/>
        </w:rPr>
        <w:t>Majiedt</w:t>
      </w:r>
      <w:proofErr w:type="spellEnd"/>
      <w:r w:rsidRPr="001E2A2D">
        <w:rPr>
          <w:rFonts w:ascii="Arial" w:hAnsi="Arial" w:cs="Arial"/>
          <w:i/>
        </w:rPr>
        <w:t xml:space="preserve"> and Others</w:t>
      </w:r>
      <w:r>
        <w:rPr>
          <w:rFonts w:ascii="Arial" w:hAnsi="Arial" w:cs="Arial"/>
        </w:rPr>
        <w:t xml:space="preserve"> 2007 (2) NR 475 (SC).</w:t>
      </w:r>
    </w:p>
  </w:footnote>
  <w:footnote w:id="4">
    <w:p w:rsidR="006B5854" w:rsidRPr="006B5854" w:rsidRDefault="006B5854" w:rsidP="006B5854">
      <w:pPr>
        <w:pStyle w:val="FootnoteText"/>
        <w:jc w:val="both"/>
        <w:rPr>
          <w:rFonts w:ascii="Arial" w:hAnsi="Arial" w:cs="Arial"/>
        </w:rPr>
      </w:pPr>
      <w:r w:rsidRPr="006B5854">
        <w:rPr>
          <w:rStyle w:val="FootnoteReference"/>
          <w:rFonts w:ascii="Arial" w:hAnsi="Arial" w:cs="Arial"/>
        </w:rPr>
        <w:footnoteRef/>
      </w:r>
      <w:r w:rsidRPr="006B5854">
        <w:rPr>
          <w:rFonts w:ascii="Arial" w:hAnsi="Arial" w:cs="Arial"/>
        </w:rPr>
        <w:t xml:space="preserve"> </w:t>
      </w:r>
      <w:proofErr w:type="spellStart"/>
      <w:r w:rsidR="00700B1F">
        <w:rPr>
          <w:rFonts w:ascii="Arial" w:hAnsi="Arial" w:cs="Arial"/>
          <w:i/>
        </w:rPr>
        <w:t>Hango</w:t>
      </w:r>
      <w:proofErr w:type="spellEnd"/>
      <w:r w:rsidR="00700B1F">
        <w:rPr>
          <w:rFonts w:ascii="Arial" w:hAnsi="Arial" w:cs="Arial"/>
          <w:i/>
        </w:rPr>
        <w:t xml:space="preserve"> v </w:t>
      </w:r>
      <w:proofErr w:type="spellStart"/>
      <w:r w:rsidR="00700B1F">
        <w:rPr>
          <w:rFonts w:ascii="Arial" w:hAnsi="Arial" w:cs="Arial"/>
          <w:i/>
        </w:rPr>
        <w:t>Shipen</w:t>
      </w:r>
      <w:r w:rsidR="00001CE5" w:rsidRPr="00001CE5">
        <w:rPr>
          <w:rFonts w:ascii="Arial" w:hAnsi="Arial" w:cs="Arial"/>
          <w:i/>
        </w:rPr>
        <w:t>a</w:t>
      </w:r>
      <w:proofErr w:type="spellEnd"/>
      <w:r w:rsidR="00700B1F">
        <w:rPr>
          <w:rFonts w:ascii="Arial" w:hAnsi="Arial" w:cs="Arial"/>
          <w:i/>
        </w:rPr>
        <w:t xml:space="preserve"> and </w:t>
      </w:r>
      <w:proofErr w:type="gramStart"/>
      <w:r w:rsidR="00700B1F">
        <w:rPr>
          <w:rFonts w:ascii="Arial" w:hAnsi="Arial" w:cs="Arial"/>
          <w:i/>
        </w:rPr>
        <w:t>Another</w:t>
      </w:r>
      <w:proofErr w:type="gramEnd"/>
      <w:r w:rsidR="00001CE5">
        <w:rPr>
          <w:rFonts w:ascii="Arial" w:hAnsi="Arial" w:cs="Arial"/>
        </w:rPr>
        <w:t xml:space="preserve"> [2022] NAHCMD 99 (9 March 2022) para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575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7447" w:rsidRDefault="00157447">
        <w:pPr>
          <w:pStyle w:val="Header"/>
          <w:jc w:val="right"/>
        </w:pPr>
        <w:r w:rsidRPr="00157447">
          <w:rPr>
            <w:rFonts w:ascii="Arial" w:hAnsi="Arial" w:cs="Arial"/>
            <w:sz w:val="24"/>
            <w:szCs w:val="24"/>
          </w:rPr>
          <w:fldChar w:fldCharType="begin"/>
        </w:r>
        <w:r w:rsidRPr="0015744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57447">
          <w:rPr>
            <w:rFonts w:ascii="Arial" w:hAnsi="Arial" w:cs="Arial"/>
            <w:sz w:val="24"/>
            <w:szCs w:val="24"/>
          </w:rPr>
          <w:fldChar w:fldCharType="separate"/>
        </w:r>
        <w:r w:rsidR="004416D0">
          <w:rPr>
            <w:rFonts w:ascii="Arial" w:hAnsi="Arial" w:cs="Arial"/>
            <w:noProof/>
            <w:sz w:val="24"/>
            <w:szCs w:val="24"/>
          </w:rPr>
          <w:t>3</w:t>
        </w:r>
        <w:r w:rsidRPr="0015744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157447" w:rsidRDefault="00157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584"/>
    <w:multiLevelType w:val="hybridMultilevel"/>
    <w:tmpl w:val="BB623718"/>
    <w:lvl w:ilvl="0" w:tplc="294CA37C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02E0581"/>
    <w:multiLevelType w:val="hybridMultilevel"/>
    <w:tmpl w:val="B426A390"/>
    <w:lvl w:ilvl="0" w:tplc="04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 w15:restartNumberingAfterBreak="0">
    <w:nsid w:val="04B82690"/>
    <w:multiLevelType w:val="hybridMultilevel"/>
    <w:tmpl w:val="77A4533A"/>
    <w:lvl w:ilvl="0" w:tplc="CD98B92C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38C34F4F"/>
    <w:multiLevelType w:val="hybridMultilevel"/>
    <w:tmpl w:val="AFFAA764"/>
    <w:lvl w:ilvl="0" w:tplc="947E1C80">
      <w:start w:val="1"/>
      <w:numFmt w:val="lowerLetter"/>
      <w:lvlText w:val="(%1)"/>
      <w:lvlJc w:val="left"/>
      <w:pPr>
        <w:ind w:left="945" w:hanging="585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00F2"/>
    <w:multiLevelType w:val="hybridMultilevel"/>
    <w:tmpl w:val="EB6AC1A2"/>
    <w:lvl w:ilvl="0" w:tplc="CFD80FC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93CAC"/>
    <w:multiLevelType w:val="hybridMultilevel"/>
    <w:tmpl w:val="343E8924"/>
    <w:lvl w:ilvl="0" w:tplc="294CA37C">
      <w:start w:val="1"/>
      <w:numFmt w:val="decimal"/>
      <w:lvlText w:val="%1."/>
      <w:lvlJc w:val="left"/>
      <w:pPr>
        <w:ind w:left="4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57837C55"/>
    <w:multiLevelType w:val="hybridMultilevel"/>
    <w:tmpl w:val="79C4B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A7B9E"/>
    <w:multiLevelType w:val="hybridMultilevel"/>
    <w:tmpl w:val="D11E27FA"/>
    <w:lvl w:ilvl="0" w:tplc="57745AA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44"/>
    <w:rsid w:val="00001CE5"/>
    <w:rsid w:val="000142CE"/>
    <w:rsid w:val="00015808"/>
    <w:rsid w:val="000200BD"/>
    <w:rsid w:val="00030A66"/>
    <w:rsid w:val="00052806"/>
    <w:rsid w:val="00053646"/>
    <w:rsid w:val="000929C5"/>
    <w:rsid w:val="000A6E7F"/>
    <w:rsid w:val="000E7C99"/>
    <w:rsid w:val="000F2FD9"/>
    <w:rsid w:val="000F39A3"/>
    <w:rsid w:val="000F681E"/>
    <w:rsid w:val="00116AFB"/>
    <w:rsid w:val="00117280"/>
    <w:rsid w:val="001223B7"/>
    <w:rsid w:val="00124C63"/>
    <w:rsid w:val="00136505"/>
    <w:rsid w:val="00152FEA"/>
    <w:rsid w:val="00153ED0"/>
    <w:rsid w:val="00157447"/>
    <w:rsid w:val="0018718C"/>
    <w:rsid w:val="001B3825"/>
    <w:rsid w:val="001E097B"/>
    <w:rsid w:val="001E2A2D"/>
    <w:rsid w:val="00217744"/>
    <w:rsid w:val="00224808"/>
    <w:rsid w:val="002317B0"/>
    <w:rsid w:val="0023549A"/>
    <w:rsid w:val="002536EA"/>
    <w:rsid w:val="00276736"/>
    <w:rsid w:val="002863C2"/>
    <w:rsid w:val="002A4AA3"/>
    <w:rsid w:val="002B38E0"/>
    <w:rsid w:val="002C1EF6"/>
    <w:rsid w:val="002D20C5"/>
    <w:rsid w:val="002D407B"/>
    <w:rsid w:val="002E738E"/>
    <w:rsid w:val="00301CC7"/>
    <w:rsid w:val="0031523D"/>
    <w:rsid w:val="00322F39"/>
    <w:rsid w:val="00323AAF"/>
    <w:rsid w:val="00323E22"/>
    <w:rsid w:val="00340EA6"/>
    <w:rsid w:val="00371B8F"/>
    <w:rsid w:val="0038382D"/>
    <w:rsid w:val="003A18AD"/>
    <w:rsid w:val="003B03B0"/>
    <w:rsid w:val="003C2574"/>
    <w:rsid w:val="003D165C"/>
    <w:rsid w:val="003D3059"/>
    <w:rsid w:val="00404B70"/>
    <w:rsid w:val="00412278"/>
    <w:rsid w:val="00426C60"/>
    <w:rsid w:val="00431A65"/>
    <w:rsid w:val="004352E5"/>
    <w:rsid w:val="004358E2"/>
    <w:rsid w:val="00436C2B"/>
    <w:rsid w:val="004416D0"/>
    <w:rsid w:val="00463486"/>
    <w:rsid w:val="004665B1"/>
    <w:rsid w:val="00466B36"/>
    <w:rsid w:val="00474C2A"/>
    <w:rsid w:val="00475B7A"/>
    <w:rsid w:val="00490505"/>
    <w:rsid w:val="004907E4"/>
    <w:rsid w:val="004936A7"/>
    <w:rsid w:val="004A2D48"/>
    <w:rsid w:val="004C646F"/>
    <w:rsid w:val="004E3BFB"/>
    <w:rsid w:val="00503F36"/>
    <w:rsid w:val="00523D75"/>
    <w:rsid w:val="00535F29"/>
    <w:rsid w:val="00536EFF"/>
    <w:rsid w:val="005629DA"/>
    <w:rsid w:val="00594F6C"/>
    <w:rsid w:val="005A4D90"/>
    <w:rsid w:val="005B62A0"/>
    <w:rsid w:val="005C0E24"/>
    <w:rsid w:val="005C21D7"/>
    <w:rsid w:val="005C3354"/>
    <w:rsid w:val="005F325C"/>
    <w:rsid w:val="005F32EB"/>
    <w:rsid w:val="00610BF1"/>
    <w:rsid w:val="006115E2"/>
    <w:rsid w:val="00672C76"/>
    <w:rsid w:val="00695745"/>
    <w:rsid w:val="006976D9"/>
    <w:rsid w:val="006A0BA4"/>
    <w:rsid w:val="006A1E08"/>
    <w:rsid w:val="006B5854"/>
    <w:rsid w:val="006B7521"/>
    <w:rsid w:val="006D0991"/>
    <w:rsid w:val="006D7450"/>
    <w:rsid w:val="006E0FD4"/>
    <w:rsid w:val="006F07B3"/>
    <w:rsid w:val="00700B1F"/>
    <w:rsid w:val="00702C62"/>
    <w:rsid w:val="00703171"/>
    <w:rsid w:val="00736DA4"/>
    <w:rsid w:val="00746C0C"/>
    <w:rsid w:val="00766C68"/>
    <w:rsid w:val="0078274D"/>
    <w:rsid w:val="007853D8"/>
    <w:rsid w:val="007950C8"/>
    <w:rsid w:val="007979CA"/>
    <w:rsid w:val="007D0792"/>
    <w:rsid w:val="007D6C74"/>
    <w:rsid w:val="007E43B6"/>
    <w:rsid w:val="007F68C4"/>
    <w:rsid w:val="008006A3"/>
    <w:rsid w:val="00812409"/>
    <w:rsid w:val="00816D5D"/>
    <w:rsid w:val="00821A0C"/>
    <w:rsid w:val="008275AC"/>
    <w:rsid w:val="00835300"/>
    <w:rsid w:val="0087368D"/>
    <w:rsid w:val="00882F73"/>
    <w:rsid w:val="00890A20"/>
    <w:rsid w:val="00892D9A"/>
    <w:rsid w:val="008A1447"/>
    <w:rsid w:val="008C2200"/>
    <w:rsid w:val="008E0730"/>
    <w:rsid w:val="008F59A0"/>
    <w:rsid w:val="009279BE"/>
    <w:rsid w:val="00937C89"/>
    <w:rsid w:val="009733A9"/>
    <w:rsid w:val="009919F6"/>
    <w:rsid w:val="00997C11"/>
    <w:rsid w:val="009A7A59"/>
    <w:rsid w:val="009C35C9"/>
    <w:rsid w:val="009C6F3F"/>
    <w:rsid w:val="009D27E8"/>
    <w:rsid w:val="00A10E40"/>
    <w:rsid w:val="00A15CD1"/>
    <w:rsid w:val="00A22E0F"/>
    <w:rsid w:val="00A2391E"/>
    <w:rsid w:val="00A26B7B"/>
    <w:rsid w:val="00A3327E"/>
    <w:rsid w:val="00A50F13"/>
    <w:rsid w:val="00A66511"/>
    <w:rsid w:val="00A75ED6"/>
    <w:rsid w:val="00A85792"/>
    <w:rsid w:val="00A9498C"/>
    <w:rsid w:val="00AA3ECB"/>
    <w:rsid w:val="00AD72DD"/>
    <w:rsid w:val="00B01B6C"/>
    <w:rsid w:val="00B121EA"/>
    <w:rsid w:val="00B40844"/>
    <w:rsid w:val="00B47800"/>
    <w:rsid w:val="00B50C99"/>
    <w:rsid w:val="00B56E34"/>
    <w:rsid w:val="00B5737E"/>
    <w:rsid w:val="00B61AC7"/>
    <w:rsid w:val="00B808CB"/>
    <w:rsid w:val="00B845CF"/>
    <w:rsid w:val="00B92DE7"/>
    <w:rsid w:val="00B9407E"/>
    <w:rsid w:val="00BB13F4"/>
    <w:rsid w:val="00BB3273"/>
    <w:rsid w:val="00BC5931"/>
    <w:rsid w:val="00BE31AD"/>
    <w:rsid w:val="00C04F28"/>
    <w:rsid w:val="00C06EB4"/>
    <w:rsid w:val="00C2633E"/>
    <w:rsid w:val="00C73D5D"/>
    <w:rsid w:val="00CA7995"/>
    <w:rsid w:val="00CB1183"/>
    <w:rsid w:val="00CC7431"/>
    <w:rsid w:val="00CD62C0"/>
    <w:rsid w:val="00D04B6F"/>
    <w:rsid w:val="00D113DD"/>
    <w:rsid w:val="00D24453"/>
    <w:rsid w:val="00D25285"/>
    <w:rsid w:val="00D30D4D"/>
    <w:rsid w:val="00D37DAA"/>
    <w:rsid w:val="00D5070E"/>
    <w:rsid w:val="00D547B6"/>
    <w:rsid w:val="00D6224D"/>
    <w:rsid w:val="00D80947"/>
    <w:rsid w:val="00D960EA"/>
    <w:rsid w:val="00D965B8"/>
    <w:rsid w:val="00DA2283"/>
    <w:rsid w:val="00DB5AA2"/>
    <w:rsid w:val="00DD76E7"/>
    <w:rsid w:val="00E0573A"/>
    <w:rsid w:val="00E221FD"/>
    <w:rsid w:val="00E41BE5"/>
    <w:rsid w:val="00E533BE"/>
    <w:rsid w:val="00E5361F"/>
    <w:rsid w:val="00E62DB3"/>
    <w:rsid w:val="00E96F9E"/>
    <w:rsid w:val="00EA2DE2"/>
    <w:rsid w:val="00EB1AE0"/>
    <w:rsid w:val="00ED5B76"/>
    <w:rsid w:val="00ED7008"/>
    <w:rsid w:val="00ED76B2"/>
    <w:rsid w:val="00EF184A"/>
    <w:rsid w:val="00EF2FFD"/>
    <w:rsid w:val="00F0235A"/>
    <w:rsid w:val="00F05CAB"/>
    <w:rsid w:val="00F0783D"/>
    <w:rsid w:val="00F21EDB"/>
    <w:rsid w:val="00F4726A"/>
    <w:rsid w:val="00F65529"/>
    <w:rsid w:val="00F65903"/>
    <w:rsid w:val="00F72231"/>
    <w:rsid w:val="00F7691A"/>
    <w:rsid w:val="00F82EDF"/>
    <w:rsid w:val="00F92D04"/>
    <w:rsid w:val="00FB2E9E"/>
    <w:rsid w:val="00FB5F14"/>
    <w:rsid w:val="00FC2237"/>
    <w:rsid w:val="00FC6F2E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BFDA3-0F1F-46D3-90C9-5D095530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4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844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40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44"/>
    <w:rPr>
      <w:lang w:val="en-ZA"/>
    </w:rPr>
  </w:style>
  <w:style w:type="paragraph" w:styleId="FootnoteText">
    <w:name w:val="footnote text"/>
    <w:basedOn w:val="Normal"/>
    <w:link w:val="FootnoteTextChar"/>
    <w:uiPriority w:val="99"/>
    <w:unhideWhenUsed/>
    <w:rsid w:val="00B40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0844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unhideWhenUsed/>
    <w:rsid w:val="00B408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4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12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78"/>
    <w:rPr>
      <w:rFonts w:ascii="Segoe UI" w:hAnsi="Segoe UI" w:cs="Segoe UI"/>
      <w:sz w:val="18"/>
      <w:szCs w:val="18"/>
      <w:lang w:val="en-ZA"/>
    </w:rPr>
  </w:style>
  <w:style w:type="paragraph" w:customStyle="1" w:styleId="I">
    <w:name w:val="I"/>
    <w:uiPriority w:val="99"/>
    <w:rsid w:val="00FB2E9E"/>
    <w:pPr>
      <w:widowControl w:val="0"/>
      <w:tabs>
        <w:tab w:val="left" w:pos="578"/>
        <w:tab w:val="left" w:pos="862"/>
        <w:tab w:val="left" w:pos="1440"/>
        <w:tab w:val="left" w:pos="2013"/>
        <w:tab w:val="left" w:pos="2591"/>
        <w:tab w:val="left" w:pos="3311"/>
      </w:tabs>
      <w:autoSpaceDE w:val="0"/>
      <w:autoSpaceDN w:val="0"/>
      <w:adjustRightInd w:val="0"/>
      <w:spacing w:after="181" w:line="240" w:lineRule="auto"/>
      <w:ind w:left="578" w:hanging="578"/>
    </w:pPr>
    <w:rPr>
      <w:rFonts w:ascii="Arial" w:eastAsiaTheme="minorEastAsia" w:hAnsi="Arial" w:cs="Arial"/>
      <w:sz w:val="24"/>
      <w:szCs w:val="24"/>
    </w:rPr>
  </w:style>
  <w:style w:type="paragraph" w:customStyle="1" w:styleId="Pb">
    <w:name w:val="Pb"/>
    <w:uiPriority w:val="99"/>
    <w:rsid w:val="00FB2E9E"/>
    <w:pPr>
      <w:widowControl w:val="0"/>
      <w:pBdr>
        <w:top w:val="single" w:sz="6" w:space="2" w:color="008080"/>
      </w:pBdr>
      <w:autoSpaceDE w:val="0"/>
      <w:autoSpaceDN w:val="0"/>
      <w:adjustRightInd w:val="0"/>
      <w:spacing w:after="181" w:line="240" w:lineRule="auto"/>
      <w:jc w:val="right"/>
    </w:pPr>
    <w:rPr>
      <w:rFonts w:ascii="Arial" w:eastAsiaTheme="minorEastAsia" w:hAnsi="Arial" w:cs="Arial"/>
      <w:b/>
      <w:bCs/>
      <w:color w:val="808080"/>
      <w:sz w:val="18"/>
      <w:szCs w:val="18"/>
    </w:rPr>
  </w:style>
  <w:style w:type="paragraph" w:customStyle="1" w:styleId="TTI">
    <w:name w:val="TTI"/>
    <w:uiPriority w:val="99"/>
    <w:rsid w:val="00FB2E9E"/>
    <w:pPr>
      <w:widowControl w:val="0"/>
      <w:tabs>
        <w:tab w:val="left" w:pos="283"/>
        <w:tab w:val="left" w:pos="713"/>
        <w:tab w:val="left" w:pos="1293"/>
        <w:tab w:val="left" w:pos="1865"/>
        <w:tab w:val="left" w:pos="2443"/>
        <w:tab w:val="left" w:pos="3163"/>
      </w:tabs>
      <w:autoSpaceDE w:val="0"/>
      <w:autoSpaceDN w:val="0"/>
      <w:adjustRightInd w:val="0"/>
      <w:spacing w:after="181" w:line="240" w:lineRule="auto"/>
      <w:ind w:left="1293" w:hanging="1293"/>
    </w:pPr>
    <w:rPr>
      <w:rFonts w:ascii="Arial" w:eastAsiaTheme="minorEastAsia" w:hAnsi="Arial" w:cs="Arial"/>
      <w:sz w:val="24"/>
      <w:szCs w:val="24"/>
    </w:rPr>
  </w:style>
  <w:style w:type="character" w:customStyle="1" w:styleId="Mc">
    <w:name w:val="Mc"/>
    <w:uiPriority w:val="99"/>
    <w:rsid w:val="00FB2E9E"/>
    <w:rPr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157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47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2023-06-06T18:30:00+00:00</Judgment_x0020_Date>
    <Year xmlns="c1afb1bd-f2fb-40fd-9abb-aea55b4d7662">2023</Year>
  </documentManagement>
</p:properties>
</file>

<file path=customXml/itemProps1.xml><?xml version="1.0" encoding="utf-8"?>
<ds:datastoreItem xmlns:ds="http://schemas.openxmlformats.org/officeDocument/2006/customXml" ds:itemID="{E4FBF27E-0283-4C60-9F17-8342F14A9D17}"/>
</file>

<file path=customXml/itemProps2.xml><?xml version="1.0" encoding="utf-8"?>
<ds:datastoreItem xmlns:ds="http://schemas.openxmlformats.org/officeDocument/2006/customXml" ds:itemID="{CEF0B558-DF5D-4598-8737-0DA03C687DE3}"/>
</file>

<file path=customXml/itemProps3.xml><?xml version="1.0" encoding="utf-8"?>
<ds:datastoreItem xmlns:ds="http://schemas.openxmlformats.org/officeDocument/2006/customXml" ds:itemID="{76D3C7C6-30A2-4DF6-8186-44C6096D996D}"/>
</file>

<file path=customXml/itemProps4.xml><?xml version="1.0" encoding="utf-8"?>
<ds:datastoreItem xmlns:ds="http://schemas.openxmlformats.org/officeDocument/2006/customXml" ds:itemID="{BDC14DFC-D321-42AA-898F-6B7F823BA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Baisako v Minister of Home Affairs, Immigration, Safety and Security (HC-MD-CIV-MOT-REV-2022-00375) [2023] NAHCMD 300 (7 June 2023)</dc:title>
  <dc:subject/>
  <dc:creator>shomany keister</dc:creator>
  <cp:keywords/>
  <dc:description/>
  <cp:lastModifiedBy>Lusia Simon</cp:lastModifiedBy>
  <cp:revision>19</cp:revision>
  <cp:lastPrinted>2022-04-13T09:47:00Z</cp:lastPrinted>
  <dcterms:created xsi:type="dcterms:W3CDTF">2023-05-12T09:49:00Z</dcterms:created>
  <dcterms:modified xsi:type="dcterms:W3CDTF">2023-06-06T10:30:00Z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