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A8CF2A1" wp14:editId="7C44D916">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C70DE5" w:rsidP="00B40844">
      <w:pPr>
        <w:spacing w:after="0" w:line="360" w:lineRule="auto"/>
        <w:jc w:val="center"/>
        <w:rPr>
          <w:rFonts w:ascii="Arial" w:hAnsi="Arial" w:cs="Arial"/>
          <w:bCs/>
          <w:sz w:val="24"/>
          <w:szCs w:val="24"/>
        </w:rPr>
      </w:pPr>
      <w:r>
        <w:rPr>
          <w:rFonts w:ascii="Arial" w:hAnsi="Arial" w:cs="Arial"/>
          <w:b/>
          <w:sz w:val="24"/>
          <w:szCs w:val="24"/>
        </w:rPr>
        <w:t>HIGH</w:t>
      </w:r>
      <w:r w:rsidR="00B40844" w:rsidRPr="006E026B">
        <w:rPr>
          <w:rFonts w:ascii="Arial" w:hAnsi="Arial" w:cs="Arial"/>
          <w:b/>
          <w:sz w:val="24"/>
          <w:szCs w:val="24"/>
        </w:rPr>
        <w:t xml:space="preserve">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444155" w:rsidP="00B40844">
      <w:pPr>
        <w:spacing w:after="0" w:line="360" w:lineRule="auto"/>
        <w:jc w:val="center"/>
        <w:rPr>
          <w:rFonts w:ascii="Arial" w:hAnsi="Arial" w:cs="Arial"/>
          <w:b/>
          <w:sz w:val="24"/>
          <w:szCs w:val="24"/>
        </w:rPr>
      </w:pPr>
      <w:r>
        <w:rPr>
          <w:rFonts w:ascii="Arial" w:hAnsi="Arial" w:cs="Arial"/>
          <w:b/>
          <w:sz w:val="24"/>
          <w:szCs w:val="24"/>
        </w:rPr>
        <w:t>JUDGMENT</w:t>
      </w:r>
    </w:p>
    <w:p w:rsidR="00002E9A" w:rsidRDefault="00002E9A" w:rsidP="00B40844">
      <w:pPr>
        <w:spacing w:after="0" w:line="360" w:lineRule="auto"/>
        <w:jc w:val="center"/>
        <w:rPr>
          <w:rFonts w:ascii="Arial" w:hAnsi="Arial" w:cs="Arial"/>
          <w:b/>
          <w:sz w:val="24"/>
          <w:szCs w:val="24"/>
        </w:rPr>
      </w:pPr>
      <w:r>
        <w:rPr>
          <w:rFonts w:ascii="Arial" w:eastAsia="Times New Roman" w:hAnsi="Arial" w:cs="Arial"/>
          <w:b/>
          <w:sz w:val="24"/>
          <w:szCs w:val="24"/>
          <w:lang w:val="en-US"/>
        </w:rPr>
        <w:t>PRACTICE DIRECTIVE 61</w:t>
      </w:r>
    </w:p>
    <w:tbl>
      <w:tblPr>
        <w:tblStyle w:val="TableGrid"/>
        <w:tblW w:w="10476" w:type="dxa"/>
        <w:tblInd w:w="-275" w:type="dxa"/>
        <w:tblLook w:val="04A0" w:firstRow="1" w:lastRow="0" w:firstColumn="1" w:lastColumn="0" w:noHBand="0" w:noVBand="1"/>
      </w:tblPr>
      <w:tblGrid>
        <w:gridCol w:w="5232"/>
        <w:gridCol w:w="1134"/>
        <w:gridCol w:w="4110"/>
      </w:tblGrid>
      <w:tr w:rsidR="00CA7995" w:rsidRPr="00CA7995" w:rsidTr="00002E9A">
        <w:trPr>
          <w:trHeight w:val="1396"/>
        </w:trPr>
        <w:tc>
          <w:tcPr>
            <w:tcW w:w="6366" w:type="dxa"/>
            <w:gridSpan w:val="2"/>
            <w:vMerge w:val="restart"/>
          </w:tcPr>
          <w:p w:rsidR="00B40844" w:rsidRDefault="00B40844" w:rsidP="00937C89">
            <w:pPr>
              <w:spacing w:line="360" w:lineRule="auto"/>
              <w:jc w:val="both"/>
              <w:rPr>
                <w:rFonts w:ascii="Arial" w:hAnsi="Arial" w:cs="Arial"/>
                <w:b/>
                <w:sz w:val="24"/>
                <w:szCs w:val="24"/>
              </w:rPr>
            </w:pPr>
            <w:r w:rsidRPr="00CA7995">
              <w:rPr>
                <w:rFonts w:ascii="Arial" w:hAnsi="Arial" w:cs="Arial"/>
                <w:b/>
                <w:sz w:val="24"/>
                <w:szCs w:val="24"/>
              </w:rPr>
              <w:t>Case Title:</w:t>
            </w:r>
          </w:p>
          <w:p w:rsidR="000F1377" w:rsidRPr="00CA7995" w:rsidRDefault="000F1377" w:rsidP="00937C89">
            <w:pPr>
              <w:spacing w:line="360" w:lineRule="auto"/>
              <w:jc w:val="both"/>
              <w:rPr>
                <w:rFonts w:ascii="Arial" w:hAnsi="Arial" w:cs="Arial"/>
                <w:sz w:val="24"/>
                <w:szCs w:val="24"/>
              </w:rPr>
            </w:pPr>
          </w:p>
          <w:p w:rsidR="00B40844" w:rsidRDefault="00C70DE5" w:rsidP="00341C0F">
            <w:pPr>
              <w:tabs>
                <w:tab w:val="left" w:pos="3564"/>
                <w:tab w:val="left" w:pos="3706"/>
                <w:tab w:val="left" w:pos="4273"/>
              </w:tabs>
              <w:spacing w:line="360" w:lineRule="auto"/>
              <w:jc w:val="both"/>
              <w:rPr>
                <w:rFonts w:ascii="Arial" w:hAnsi="Arial" w:cs="Arial"/>
                <w:sz w:val="24"/>
                <w:szCs w:val="24"/>
              </w:rPr>
            </w:pPr>
            <w:r>
              <w:rPr>
                <w:rFonts w:ascii="Arial" w:hAnsi="Arial" w:cs="Arial"/>
                <w:sz w:val="24"/>
                <w:szCs w:val="24"/>
              </w:rPr>
              <w:t>JO</w:t>
            </w:r>
            <w:r w:rsidRPr="00C70DE5">
              <w:rPr>
                <w:rFonts w:ascii="Arial" w:hAnsi="Arial" w:cs="Arial"/>
                <w:sz w:val="24"/>
                <w:szCs w:val="24"/>
              </w:rPr>
              <w:t>H</w:t>
            </w:r>
            <w:r>
              <w:rPr>
                <w:rFonts w:ascii="Arial" w:hAnsi="Arial" w:cs="Arial"/>
                <w:sz w:val="24"/>
                <w:szCs w:val="24"/>
              </w:rPr>
              <w:t>A</w:t>
            </w:r>
            <w:r w:rsidRPr="00C70DE5">
              <w:rPr>
                <w:rFonts w:ascii="Arial" w:hAnsi="Arial" w:cs="Arial"/>
                <w:sz w:val="24"/>
                <w:szCs w:val="24"/>
              </w:rPr>
              <w:t xml:space="preserve">NNES ERASMUS VAN WYK </w:t>
            </w:r>
            <w:r>
              <w:rPr>
                <w:rFonts w:ascii="Arial" w:hAnsi="Arial" w:cs="Arial"/>
                <w:sz w:val="24"/>
                <w:szCs w:val="24"/>
              </w:rPr>
              <w:t xml:space="preserve">              </w:t>
            </w:r>
            <w:r w:rsidR="00FF4F9B">
              <w:rPr>
                <w:rFonts w:ascii="Arial" w:hAnsi="Arial" w:cs="Arial"/>
                <w:sz w:val="24"/>
                <w:szCs w:val="24"/>
              </w:rPr>
              <w:t>APPLICANT</w:t>
            </w:r>
          </w:p>
          <w:p w:rsidR="00002E9A" w:rsidRDefault="00341C0F" w:rsidP="00002E9A">
            <w:pPr>
              <w:spacing w:line="360" w:lineRule="auto"/>
              <w:jc w:val="both"/>
              <w:rPr>
                <w:rFonts w:ascii="Arial" w:hAnsi="Arial" w:cs="Arial"/>
                <w:sz w:val="24"/>
                <w:szCs w:val="24"/>
              </w:rPr>
            </w:pPr>
            <w:r>
              <w:rPr>
                <w:rFonts w:ascii="Arial" w:hAnsi="Arial" w:cs="Arial"/>
                <w:sz w:val="24"/>
                <w:szCs w:val="24"/>
              </w:rPr>
              <w:t>v</w:t>
            </w:r>
          </w:p>
          <w:p w:rsidR="00002E9A" w:rsidRDefault="00C70DE5" w:rsidP="000F1377">
            <w:pPr>
              <w:spacing w:line="360" w:lineRule="auto"/>
              <w:jc w:val="both"/>
              <w:rPr>
                <w:rFonts w:ascii="Arial" w:hAnsi="Arial" w:cs="Arial"/>
                <w:sz w:val="24"/>
                <w:szCs w:val="24"/>
              </w:rPr>
            </w:pPr>
            <w:r w:rsidRPr="00C70DE5">
              <w:rPr>
                <w:rFonts w:ascii="Arial" w:eastAsia="Times New Roman" w:hAnsi="Arial" w:cs="Arial"/>
                <w:sz w:val="24"/>
                <w:szCs w:val="24"/>
              </w:rPr>
              <w:t>WINDHOEK RENOVATIONS</w:t>
            </w:r>
            <w:r w:rsidR="00251549">
              <w:rPr>
                <w:rFonts w:ascii="Arial" w:eastAsia="Times New Roman" w:hAnsi="Arial" w:cs="Arial"/>
                <w:sz w:val="24"/>
                <w:szCs w:val="24"/>
              </w:rPr>
              <w:t xml:space="preserve">    </w:t>
            </w:r>
            <w:r>
              <w:rPr>
                <w:rFonts w:ascii="Arial" w:eastAsia="Times New Roman" w:hAnsi="Arial" w:cs="Arial"/>
                <w:sz w:val="24"/>
                <w:szCs w:val="24"/>
              </w:rPr>
              <w:t xml:space="preserve">          </w:t>
            </w:r>
            <w:r w:rsidR="00251549">
              <w:rPr>
                <w:rFonts w:ascii="Arial" w:eastAsia="Times New Roman" w:hAnsi="Arial" w:cs="Arial"/>
                <w:sz w:val="24"/>
                <w:szCs w:val="24"/>
              </w:rPr>
              <w:t>1</w:t>
            </w:r>
            <w:r w:rsidR="00251549">
              <w:rPr>
                <w:rFonts w:ascii="Arial" w:eastAsia="Times New Roman" w:hAnsi="Arial" w:cs="Arial"/>
                <w:sz w:val="24"/>
                <w:szCs w:val="24"/>
                <w:vertAlign w:val="superscript"/>
              </w:rPr>
              <w:t xml:space="preserve">ST </w:t>
            </w:r>
            <w:r w:rsidR="00251549">
              <w:rPr>
                <w:rFonts w:ascii="Arial" w:eastAsia="Times New Roman" w:hAnsi="Arial" w:cs="Arial"/>
                <w:sz w:val="24"/>
                <w:szCs w:val="24"/>
              </w:rPr>
              <w:t>RESPONDENT</w:t>
            </w:r>
          </w:p>
          <w:p w:rsidR="00251549" w:rsidRPr="00251549" w:rsidRDefault="00C70DE5" w:rsidP="00251549">
            <w:pPr>
              <w:spacing w:line="360" w:lineRule="auto"/>
              <w:jc w:val="both"/>
              <w:rPr>
                <w:rFonts w:ascii="Arial" w:hAnsi="Arial" w:cs="Arial"/>
                <w:sz w:val="24"/>
                <w:szCs w:val="24"/>
              </w:rPr>
            </w:pPr>
            <w:r>
              <w:rPr>
                <w:rFonts w:ascii="Arial" w:hAnsi="Arial" w:cs="Arial"/>
                <w:sz w:val="24"/>
                <w:szCs w:val="24"/>
              </w:rPr>
              <w:t xml:space="preserve">L H EQUIPMENT SALES CC                    </w:t>
            </w:r>
            <w:r w:rsidR="00251549">
              <w:rPr>
                <w:rFonts w:ascii="Arial" w:hAnsi="Arial" w:cs="Arial"/>
                <w:sz w:val="24"/>
                <w:szCs w:val="24"/>
              </w:rPr>
              <w:t>2</w:t>
            </w:r>
            <w:r w:rsidR="00251549" w:rsidRPr="00251549">
              <w:rPr>
                <w:rFonts w:ascii="Arial" w:hAnsi="Arial" w:cs="Arial"/>
                <w:sz w:val="24"/>
                <w:szCs w:val="24"/>
                <w:vertAlign w:val="superscript"/>
              </w:rPr>
              <w:t>ND</w:t>
            </w:r>
            <w:r w:rsidR="00251549" w:rsidRPr="00251549">
              <w:rPr>
                <w:rFonts w:ascii="Arial" w:hAnsi="Arial" w:cs="Arial"/>
                <w:sz w:val="24"/>
                <w:szCs w:val="24"/>
              </w:rPr>
              <w:t xml:space="preserve"> RESPONDENT</w:t>
            </w:r>
          </w:p>
          <w:p w:rsidR="00251549" w:rsidRPr="00251549" w:rsidRDefault="00C70DE5" w:rsidP="00251549">
            <w:pPr>
              <w:spacing w:line="360" w:lineRule="auto"/>
              <w:jc w:val="both"/>
              <w:rPr>
                <w:rFonts w:ascii="Arial" w:hAnsi="Arial" w:cs="Arial"/>
                <w:sz w:val="24"/>
                <w:szCs w:val="24"/>
              </w:rPr>
            </w:pPr>
            <w:r>
              <w:rPr>
                <w:rFonts w:ascii="Arial" w:hAnsi="Arial" w:cs="Arial"/>
                <w:sz w:val="24"/>
                <w:szCs w:val="24"/>
              </w:rPr>
              <w:t xml:space="preserve">ROBERT DOUGLAS WIRTZ         </w:t>
            </w:r>
            <w:r w:rsidR="00251549">
              <w:rPr>
                <w:rFonts w:ascii="Arial" w:hAnsi="Arial" w:cs="Arial"/>
                <w:sz w:val="24"/>
                <w:szCs w:val="24"/>
              </w:rPr>
              <w:t xml:space="preserve">     3</w:t>
            </w:r>
            <w:r w:rsidR="00251549" w:rsidRPr="00251549">
              <w:rPr>
                <w:rFonts w:ascii="Arial" w:hAnsi="Arial" w:cs="Arial"/>
                <w:sz w:val="24"/>
                <w:szCs w:val="24"/>
                <w:vertAlign w:val="superscript"/>
              </w:rPr>
              <w:t>RD</w:t>
            </w:r>
            <w:r w:rsidR="00251549" w:rsidRPr="00251549">
              <w:rPr>
                <w:rFonts w:ascii="Arial" w:hAnsi="Arial" w:cs="Arial"/>
                <w:sz w:val="24"/>
                <w:szCs w:val="24"/>
              </w:rPr>
              <w:t xml:space="preserve"> RESPONDENT</w:t>
            </w:r>
          </w:p>
          <w:p w:rsidR="00002E9A" w:rsidRPr="00002E9A" w:rsidRDefault="00002E9A" w:rsidP="00251549">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Pr="00C2633E" w:rsidRDefault="00C70DE5" w:rsidP="00937C89">
            <w:pPr>
              <w:spacing w:line="360" w:lineRule="auto"/>
              <w:jc w:val="both"/>
              <w:rPr>
                <w:rFonts w:ascii="Arial" w:hAnsi="Arial" w:cs="Arial"/>
                <w:sz w:val="24"/>
                <w:szCs w:val="24"/>
                <w:shd w:val="clear" w:color="auto" w:fill="FFFFFF"/>
              </w:rPr>
            </w:pPr>
            <w:r w:rsidRPr="00C70DE5">
              <w:rPr>
                <w:rFonts w:ascii="Arial" w:hAnsi="Arial" w:cs="Arial"/>
                <w:sz w:val="24"/>
                <w:szCs w:val="24"/>
                <w:shd w:val="clear" w:color="auto" w:fill="FFFFFF"/>
              </w:rPr>
              <w:t>HC-MD-CIV-MOT-GEN-2021/00128</w:t>
            </w:r>
          </w:p>
        </w:tc>
      </w:tr>
      <w:tr w:rsidR="00CA7995" w:rsidRPr="00CA7995" w:rsidTr="00002E9A">
        <w:trPr>
          <w:trHeight w:val="968"/>
        </w:trPr>
        <w:tc>
          <w:tcPr>
            <w:tcW w:w="6366" w:type="dxa"/>
            <w:gridSpan w:val="2"/>
            <w:vMerge/>
          </w:tcPr>
          <w:p w:rsidR="00B40844" w:rsidRPr="00CA7995" w:rsidRDefault="00B40844" w:rsidP="00937C89">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002E9A">
        <w:trPr>
          <w:trHeight w:val="965"/>
        </w:trPr>
        <w:tc>
          <w:tcPr>
            <w:tcW w:w="6366"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002E9A" w:rsidP="00937C89">
            <w:pPr>
              <w:spacing w:line="360" w:lineRule="auto"/>
              <w:jc w:val="both"/>
              <w:rPr>
                <w:rFonts w:ascii="Arial" w:hAnsi="Arial" w:cs="Arial"/>
                <w:sz w:val="24"/>
                <w:szCs w:val="24"/>
              </w:rPr>
            </w:pPr>
            <w:r w:rsidRPr="00806722">
              <w:rPr>
                <w:rFonts w:ascii="Arial" w:hAnsi="Arial" w:cs="Arial"/>
                <w:sz w:val="24"/>
                <w:szCs w:val="24"/>
                <w:lang w:val="en-US"/>
              </w:rPr>
              <w:t>HONOURABLE LADY JUSTICE PRINSLOO</w:t>
            </w:r>
          </w:p>
        </w:tc>
        <w:tc>
          <w:tcPr>
            <w:tcW w:w="4110" w:type="dxa"/>
          </w:tcPr>
          <w:p w:rsidR="00B40844" w:rsidRPr="00C46329" w:rsidRDefault="00B40844" w:rsidP="00937C89">
            <w:pPr>
              <w:spacing w:line="360" w:lineRule="auto"/>
              <w:jc w:val="both"/>
              <w:rPr>
                <w:rFonts w:ascii="Arial" w:hAnsi="Arial" w:cs="Arial"/>
                <w:b/>
                <w:sz w:val="24"/>
                <w:szCs w:val="24"/>
              </w:rPr>
            </w:pPr>
          </w:p>
          <w:p w:rsidR="00B40844" w:rsidRPr="00CA7995" w:rsidRDefault="00444155" w:rsidP="00C2633E">
            <w:pPr>
              <w:spacing w:line="360" w:lineRule="auto"/>
              <w:jc w:val="both"/>
              <w:rPr>
                <w:rFonts w:ascii="Arial" w:hAnsi="Arial" w:cs="Arial"/>
                <w:sz w:val="24"/>
                <w:szCs w:val="24"/>
              </w:rPr>
            </w:pPr>
            <w:r w:rsidRPr="00C46329">
              <w:rPr>
                <w:rFonts w:ascii="Arial" w:hAnsi="Arial" w:cs="Arial"/>
                <w:sz w:val="24"/>
                <w:szCs w:val="24"/>
                <w:lang w:val="en-US"/>
              </w:rPr>
              <w:t>Determined on the papers</w:t>
            </w:r>
          </w:p>
        </w:tc>
      </w:tr>
      <w:tr w:rsidR="00CA7995" w:rsidRPr="00CA7995" w:rsidTr="00002E9A">
        <w:trPr>
          <w:trHeight w:val="991"/>
        </w:trPr>
        <w:tc>
          <w:tcPr>
            <w:tcW w:w="6366" w:type="dxa"/>
            <w:gridSpan w:val="2"/>
            <w:vMerge/>
          </w:tcPr>
          <w:p w:rsidR="00B40844" w:rsidRPr="00CA7995" w:rsidRDefault="00B40844" w:rsidP="00937C89">
            <w:pPr>
              <w:spacing w:line="360" w:lineRule="auto"/>
              <w:jc w:val="both"/>
              <w:rPr>
                <w:rFonts w:ascii="Arial" w:hAnsi="Arial" w:cs="Arial"/>
                <w:b/>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C70DE5" w:rsidP="00C70DE5">
            <w:pPr>
              <w:spacing w:line="360" w:lineRule="auto"/>
              <w:jc w:val="both"/>
              <w:rPr>
                <w:rFonts w:ascii="Arial" w:hAnsi="Arial" w:cs="Arial"/>
                <w:b/>
                <w:sz w:val="24"/>
                <w:szCs w:val="24"/>
              </w:rPr>
            </w:pPr>
            <w:r>
              <w:rPr>
                <w:rFonts w:ascii="Arial" w:hAnsi="Arial" w:cs="Arial"/>
                <w:sz w:val="24"/>
                <w:szCs w:val="24"/>
                <w:lang w:val="en-US"/>
              </w:rPr>
              <w:t xml:space="preserve">9 </w:t>
            </w:r>
            <w:r w:rsidR="000F1377">
              <w:rPr>
                <w:rFonts w:ascii="Arial" w:hAnsi="Arial" w:cs="Arial"/>
                <w:sz w:val="24"/>
                <w:szCs w:val="24"/>
                <w:lang w:val="en-US"/>
              </w:rPr>
              <w:t>June</w:t>
            </w:r>
            <w:r w:rsidR="00002E9A">
              <w:rPr>
                <w:rFonts w:ascii="Arial" w:hAnsi="Arial" w:cs="Arial"/>
                <w:sz w:val="24"/>
                <w:szCs w:val="24"/>
                <w:lang w:val="en-US"/>
              </w:rPr>
              <w:t xml:space="preserve"> 2023</w:t>
            </w:r>
          </w:p>
        </w:tc>
      </w:tr>
      <w:tr w:rsidR="00CA7995" w:rsidRPr="00CA7995" w:rsidTr="00002E9A">
        <w:trPr>
          <w:trHeight w:val="876"/>
        </w:trPr>
        <w:tc>
          <w:tcPr>
            <w:tcW w:w="10476" w:type="dxa"/>
            <w:gridSpan w:val="3"/>
          </w:tcPr>
          <w:p w:rsidR="00B40844" w:rsidRPr="00CA7995" w:rsidRDefault="00B40844" w:rsidP="00507BD2">
            <w:pPr>
              <w:spacing w:line="360" w:lineRule="auto"/>
              <w:jc w:val="both"/>
              <w:rPr>
                <w:rFonts w:ascii="Arial" w:hAnsi="Arial" w:cs="Arial"/>
                <w:sz w:val="24"/>
                <w:szCs w:val="24"/>
              </w:rPr>
            </w:pPr>
            <w:r w:rsidRPr="00CA7995">
              <w:rPr>
                <w:rFonts w:ascii="Arial" w:hAnsi="Arial" w:cs="Arial"/>
                <w:b/>
                <w:sz w:val="24"/>
                <w:szCs w:val="24"/>
              </w:rPr>
              <w:t xml:space="preserve">Neutral citation: </w:t>
            </w:r>
            <w:r w:rsidR="00C70DE5">
              <w:rPr>
                <w:rFonts w:ascii="Arial" w:eastAsia="Times New Roman" w:hAnsi="Arial" w:cs="Arial"/>
                <w:i/>
                <w:sz w:val="24"/>
                <w:szCs w:val="24"/>
              </w:rPr>
              <w:t>Van Wyk</w:t>
            </w:r>
            <w:r w:rsidR="00002E9A" w:rsidRPr="00A927F8">
              <w:rPr>
                <w:rFonts w:ascii="Arial" w:eastAsia="Times New Roman" w:hAnsi="Arial" w:cs="Arial"/>
                <w:i/>
                <w:sz w:val="24"/>
                <w:szCs w:val="24"/>
              </w:rPr>
              <w:t xml:space="preserve"> v </w:t>
            </w:r>
            <w:r w:rsidR="00C70DE5">
              <w:rPr>
                <w:rFonts w:ascii="Arial" w:eastAsia="Times New Roman" w:hAnsi="Arial" w:cs="Arial"/>
                <w:i/>
                <w:sz w:val="24"/>
                <w:szCs w:val="24"/>
              </w:rPr>
              <w:t>Windhoek Renovations</w:t>
            </w:r>
            <w:r w:rsidR="00002E9A">
              <w:rPr>
                <w:rFonts w:ascii="Arial" w:eastAsia="Times New Roman" w:hAnsi="Arial" w:cs="Arial"/>
                <w:i/>
                <w:sz w:val="24"/>
                <w:szCs w:val="24"/>
              </w:rPr>
              <w:t xml:space="preserve"> </w:t>
            </w:r>
            <w:r w:rsidR="00002E9A" w:rsidRPr="007B0507">
              <w:rPr>
                <w:rFonts w:ascii="Arial" w:eastAsia="Times New Roman" w:hAnsi="Arial" w:cs="Arial"/>
                <w:sz w:val="24"/>
                <w:szCs w:val="24"/>
              </w:rPr>
              <w:t>(</w:t>
            </w:r>
            <w:r w:rsidR="00C70DE5" w:rsidRPr="00C70DE5">
              <w:rPr>
                <w:rFonts w:ascii="Arial" w:eastAsia="Times New Roman" w:hAnsi="Arial" w:cs="Arial"/>
                <w:sz w:val="24"/>
                <w:szCs w:val="24"/>
              </w:rPr>
              <w:t>HC-MD-CIV-MOT-GEN-2021/00128</w:t>
            </w:r>
            <w:r w:rsidR="00940E36">
              <w:rPr>
                <w:rFonts w:ascii="Arial" w:eastAsia="Times New Roman" w:hAnsi="Arial" w:cs="Arial"/>
                <w:sz w:val="24"/>
                <w:szCs w:val="24"/>
              </w:rPr>
              <w:t>)</w:t>
            </w:r>
            <w:r w:rsidR="00675F61">
              <w:rPr>
                <w:rFonts w:ascii="Arial" w:eastAsia="Times New Roman" w:hAnsi="Arial" w:cs="Arial"/>
                <w:sz w:val="24"/>
                <w:szCs w:val="24"/>
              </w:rPr>
              <w:t xml:space="preserve">        </w:t>
            </w:r>
            <w:r w:rsidR="00675F61">
              <w:rPr>
                <w:rFonts w:ascii="Arial" w:hAnsi="Arial" w:cs="Arial"/>
                <w:sz w:val="24"/>
                <w:szCs w:val="24"/>
              </w:rPr>
              <w:t xml:space="preserve">                                                                                                                           </w:t>
            </w:r>
            <w:r w:rsidR="00233678">
              <w:rPr>
                <w:rFonts w:ascii="Arial" w:hAnsi="Arial" w:cs="Arial"/>
                <w:sz w:val="24"/>
                <w:szCs w:val="24"/>
              </w:rPr>
              <w:t xml:space="preserve">            </w:t>
            </w:r>
            <w:r w:rsidR="00233678" w:rsidRPr="00233678">
              <w:rPr>
                <w:rFonts w:ascii="Arial" w:hAnsi="Arial" w:cs="Arial"/>
                <w:sz w:val="24"/>
                <w:szCs w:val="24"/>
              </w:rPr>
              <w:tab/>
              <w:t xml:space="preserve"> </w:t>
            </w:r>
            <w:r w:rsidR="00233678">
              <w:rPr>
                <w:rFonts w:ascii="Arial" w:hAnsi="Arial" w:cs="Arial"/>
                <w:sz w:val="24"/>
                <w:szCs w:val="24"/>
              </w:rPr>
              <w:t xml:space="preserve">                    </w:t>
            </w:r>
            <w:r w:rsidR="00675F61">
              <w:rPr>
                <w:rFonts w:ascii="Arial" w:hAnsi="Arial" w:cs="Arial"/>
                <w:sz w:val="24"/>
                <w:szCs w:val="24"/>
              </w:rPr>
              <w:t>[</w:t>
            </w:r>
            <w:r w:rsidR="00002E9A" w:rsidRPr="00FE3661">
              <w:rPr>
                <w:rFonts w:ascii="Arial" w:hAnsi="Arial" w:cs="Arial"/>
                <w:sz w:val="24"/>
                <w:szCs w:val="24"/>
              </w:rPr>
              <w:t>202</w:t>
            </w:r>
            <w:r w:rsidR="00002E9A">
              <w:rPr>
                <w:rFonts w:ascii="Arial" w:hAnsi="Arial" w:cs="Arial"/>
                <w:sz w:val="24"/>
                <w:szCs w:val="24"/>
              </w:rPr>
              <w:t>3</w:t>
            </w:r>
            <w:r w:rsidR="00002E9A" w:rsidRPr="00FE3661">
              <w:rPr>
                <w:rFonts w:ascii="Arial" w:hAnsi="Arial" w:cs="Arial"/>
                <w:sz w:val="24"/>
                <w:szCs w:val="24"/>
              </w:rPr>
              <w:t>]</w:t>
            </w:r>
            <w:r w:rsidR="00002E9A" w:rsidRPr="00FE3661">
              <w:rPr>
                <w:rFonts w:ascii="Arial" w:hAnsi="Arial" w:cs="Arial"/>
                <w:i/>
                <w:sz w:val="24"/>
                <w:szCs w:val="24"/>
              </w:rPr>
              <w:t xml:space="preserve"> </w:t>
            </w:r>
            <w:r w:rsidR="00C70DE5">
              <w:rPr>
                <w:rFonts w:ascii="Arial" w:hAnsi="Arial" w:cs="Arial"/>
                <w:sz w:val="24"/>
                <w:szCs w:val="24"/>
              </w:rPr>
              <w:t>NAH</w:t>
            </w:r>
            <w:r w:rsidR="009569D1">
              <w:rPr>
                <w:rFonts w:ascii="Arial" w:hAnsi="Arial" w:cs="Arial"/>
                <w:sz w:val="24"/>
                <w:szCs w:val="24"/>
              </w:rPr>
              <w:t>CM</w:t>
            </w:r>
            <w:r w:rsidR="00002E9A" w:rsidRPr="00FE3661">
              <w:rPr>
                <w:rFonts w:ascii="Arial" w:hAnsi="Arial" w:cs="Arial"/>
                <w:sz w:val="24"/>
                <w:szCs w:val="24"/>
              </w:rPr>
              <w:t xml:space="preserve">D </w:t>
            </w:r>
            <w:r w:rsidR="00507BD2">
              <w:rPr>
                <w:rFonts w:ascii="Arial" w:hAnsi="Arial" w:cs="Arial"/>
                <w:sz w:val="24"/>
                <w:szCs w:val="24"/>
              </w:rPr>
              <w:t>308</w:t>
            </w:r>
            <w:r w:rsidR="00C70DE5">
              <w:rPr>
                <w:rFonts w:ascii="Arial" w:hAnsi="Arial" w:cs="Arial"/>
                <w:sz w:val="24"/>
                <w:szCs w:val="24"/>
              </w:rPr>
              <w:t xml:space="preserve"> (9</w:t>
            </w:r>
            <w:r w:rsidR="000F1377">
              <w:rPr>
                <w:rFonts w:ascii="Arial" w:hAnsi="Arial" w:cs="Arial"/>
                <w:sz w:val="24"/>
                <w:szCs w:val="24"/>
              </w:rPr>
              <w:t xml:space="preserve"> June</w:t>
            </w:r>
            <w:r w:rsidR="00002E9A">
              <w:rPr>
                <w:rFonts w:ascii="Arial" w:hAnsi="Arial" w:cs="Arial"/>
                <w:sz w:val="24"/>
                <w:szCs w:val="24"/>
              </w:rPr>
              <w:t xml:space="preserve"> 2023)</w:t>
            </w:r>
            <w:r w:rsidR="00675F61">
              <w:rPr>
                <w:rFonts w:ascii="Arial" w:hAnsi="Arial" w:cs="Arial"/>
                <w:sz w:val="24"/>
                <w:szCs w:val="24"/>
              </w:rPr>
              <w:t xml:space="preserve"> </w:t>
            </w:r>
          </w:p>
        </w:tc>
      </w:tr>
      <w:tr w:rsidR="00002E9A" w:rsidRPr="00CA7995" w:rsidTr="00002E9A">
        <w:trPr>
          <w:trHeight w:val="876"/>
        </w:trPr>
        <w:tc>
          <w:tcPr>
            <w:tcW w:w="10476" w:type="dxa"/>
            <w:gridSpan w:val="3"/>
          </w:tcPr>
          <w:p w:rsidR="00002E9A" w:rsidRDefault="00002E9A" w:rsidP="00002E9A">
            <w:pPr>
              <w:shd w:val="clear" w:color="auto" w:fill="FFFFFF"/>
              <w:rPr>
                <w:rFonts w:ascii="Arial" w:eastAsia="Times New Roman" w:hAnsi="Arial" w:cs="Arial"/>
                <w:b/>
                <w:sz w:val="24"/>
                <w:szCs w:val="24"/>
                <w:lang w:val="en-US"/>
              </w:rPr>
            </w:pPr>
            <w:r w:rsidRPr="007B2C80">
              <w:rPr>
                <w:rFonts w:ascii="Arial" w:eastAsia="Times New Roman" w:hAnsi="Arial" w:cs="Arial"/>
                <w:b/>
                <w:sz w:val="24"/>
                <w:szCs w:val="24"/>
                <w:lang w:val="en-US"/>
              </w:rPr>
              <w:t>Results on merits:</w:t>
            </w:r>
          </w:p>
          <w:p w:rsidR="00002E9A" w:rsidRPr="00002E9A" w:rsidRDefault="00002E9A" w:rsidP="00002E9A">
            <w:pPr>
              <w:shd w:val="clear" w:color="auto" w:fill="FFFFFF"/>
              <w:rPr>
                <w:rFonts w:ascii="Arial" w:eastAsia="Times New Roman" w:hAnsi="Arial" w:cs="Arial"/>
                <w:sz w:val="24"/>
                <w:szCs w:val="24"/>
                <w:lang w:val="en-US"/>
              </w:rPr>
            </w:pPr>
          </w:p>
          <w:p w:rsidR="00002E9A" w:rsidRPr="00CA7995" w:rsidRDefault="00002E9A" w:rsidP="00002E9A">
            <w:pPr>
              <w:spacing w:line="360" w:lineRule="auto"/>
              <w:jc w:val="both"/>
              <w:rPr>
                <w:rFonts w:ascii="Arial" w:hAnsi="Arial" w:cs="Arial"/>
                <w:b/>
                <w:sz w:val="24"/>
                <w:szCs w:val="24"/>
              </w:rPr>
            </w:pPr>
            <w:r w:rsidRPr="00C46329">
              <w:rPr>
                <w:rFonts w:ascii="Arial" w:eastAsia="Times New Roman" w:hAnsi="Arial" w:cs="Arial"/>
                <w:sz w:val="24"/>
                <w:szCs w:val="24"/>
                <w:lang w:val="en-US"/>
              </w:rPr>
              <w:t>Merits not considered.</w:t>
            </w:r>
            <w:bookmarkStart w:id="0" w:name="_GoBack"/>
            <w:bookmarkEnd w:id="0"/>
          </w:p>
        </w:tc>
      </w:tr>
      <w:tr w:rsidR="00CA7995" w:rsidRPr="00CA7995" w:rsidTr="00002E9A">
        <w:tc>
          <w:tcPr>
            <w:tcW w:w="10476" w:type="dxa"/>
            <w:gridSpan w:val="3"/>
          </w:tcPr>
          <w:p w:rsidR="00B40844" w:rsidRPr="005579BC" w:rsidRDefault="00B40844" w:rsidP="00937C89">
            <w:pPr>
              <w:spacing w:line="360" w:lineRule="auto"/>
              <w:jc w:val="both"/>
              <w:rPr>
                <w:rFonts w:ascii="Arial" w:hAnsi="Arial" w:cs="Arial"/>
                <w:b/>
                <w:sz w:val="24"/>
                <w:szCs w:val="24"/>
              </w:rPr>
            </w:pPr>
            <w:r w:rsidRPr="00CA7995">
              <w:rPr>
                <w:rFonts w:ascii="Arial" w:hAnsi="Arial" w:cs="Arial"/>
                <w:b/>
                <w:sz w:val="24"/>
                <w:szCs w:val="24"/>
              </w:rPr>
              <w:t>The order:</w:t>
            </w:r>
          </w:p>
          <w:p w:rsidR="003A32E4" w:rsidRPr="003A32E4" w:rsidRDefault="006916C9" w:rsidP="003A32E4">
            <w:pPr>
              <w:pStyle w:val="NormalWeb"/>
              <w:shd w:val="clear" w:color="auto" w:fill="FFFFFF"/>
              <w:spacing w:after="0" w:line="360" w:lineRule="auto"/>
              <w:jc w:val="both"/>
              <w:rPr>
                <w:rFonts w:ascii="Arial" w:hAnsi="Arial" w:cs="Arial"/>
              </w:rPr>
            </w:pPr>
            <w:r>
              <w:rPr>
                <w:rFonts w:ascii="Arial" w:hAnsi="Arial" w:cs="Arial"/>
              </w:rPr>
              <w:t>1.</w:t>
            </w:r>
            <w:r w:rsidRPr="006916C9">
              <w:rPr>
                <w:rFonts w:ascii="Arial" w:hAnsi="Arial" w:cs="Arial"/>
              </w:rPr>
              <w:tab/>
            </w:r>
            <w:r w:rsidR="004B44CE" w:rsidRPr="004B44CE">
              <w:rPr>
                <w:rFonts w:ascii="Arial" w:hAnsi="Arial" w:cs="Arial"/>
              </w:rPr>
              <w:t>The application for review of the</w:t>
            </w:r>
            <w:r w:rsidR="004B44CE">
              <w:rPr>
                <w:rFonts w:ascii="Arial" w:hAnsi="Arial" w:cs="Arial"/>
              </w:rPr>
              <w:t xml:space="preserve"> allocatur of the taxing master</w:t>
            </w:r>
            <w:r w:rsidR="004B44CE" w:rsidRPr="004B44CE">
              <w:rPr>
                <w:rFonts w:ascii="Arial" w:hAnsi="Arial" w:cs="Arial"/>
              </w:rPr>
              <w:t xml:space="preserve"> succeeds.</w:t>
            </w:r>
          </w:p>
          <w:p w:rsidR="004B44CE" w:rsidRPr="004B44CE" w:rsidRDefault="004B44CE" w:rsidP="004B44CE">
            <w:pPr>
              <w:pStyle w:val="NormalWeb"/>
              <w:shd w:val="clear" w:color="auto" w:fill="FFFFFF"/>
              <w:spacing w:after="0" w:line="360" w:lineRule="auto"/>
              <w:jc w:val="both"/>
              <w:rPr>
                <w:rFonts w:ascii="Arial" w:hAnsi="Arial" w:cs="Arial"/>
              </w:rPr>
            </w:pPr>
            <w:r>
              <w:rPr>
                <w:rFonts w:ascii="Arial" w:hAnsi="Arial" w:cs="Arial"/>
              </w:rPr>
              <w:t>2.</w:t>
            </w:r>
            <w:r>
              <w:rPr>
                <w:rFonts w:ascii="Arial" w:hAnsi="Arial" w:cs="Arial"/>
              </w:rPr>
              <w:tab/>
            </w:r>
            <w:r w:rsidRPr="004B44CE">
              <w:rPr>
                <w:rFonts w:ascii="Arial" w:hAnsi="Arial" w:cs="Arial"/>
              </w:rPr>
              <w:t>Th</w:t>
            </w:r>
            <w:r>
              <w:rPr>
                <w:rFonts w:ascii="Arial" w:hAnsi="Arial" w:cs="Arial"/>
              </w:rPr>
              <w:t>e decision of the taxing master</w:t>
            </w:r>
            <w:r w:rsidRPr="004B44CE">
              <w:rPr>
                <w:rFonts w:ascii="Arial" w:hAnsi="Arial" w:cs="Arial"/>
              </w:rPr>
              <w:t xml:space="preserve"> </w:t>
            </w:r>
            <w:r>
              <w:rPr>
                <w:rFonts w:ascii="Arial" w:hAnsi="Arial" w:cs="Arial"/>
              </w:rPr>
              <w:t xml:space="preserve">granting the respondents their costs pertaining to the whole matter (both the main and vexatious proceedings) </w:t>
            </w:r>
            <w:r w:rsidRPr="004B44CE">
              <w:rPr>
                <w:rFonts w:ascii="Arial" w:hAnsi="Arial" w:cs="Arial"/>
              </w:rPr>
              <w:t>is set aside</w:t>
            </w:r>
            <w:r w:rsidR="00507BD2">
              <w:rPr>
                <w:rFonts w:ascii="Arial" w:hAnsi="Arial" w:cs="Arial"/>
              </w:rPr>
              <w:t>,</w:t>
            </w:r>
            <w:r w:rsidRPr="004B44CE">
              <w:rPr>
                <w:rFonts w:ascii="Arial" w:hAnsi="Arial" w:cs="Arial"/>
              </w:rPr>
              <w:t xml:space="preserve"> and the matter is referred back to the ta</w:t>
            </w:r>
            <w:r w:rsidR="00DA4A57">
              <w:rPr>
                <w:rFonts w:ascii="Arial" w:hAnsi="Arial" w:cs="Arial"/>
              </w:rPr>
              <w:t>xing master</w:t>
            </w:r>
            <w:r w:rsidRPr="004B44CE">
              <w:rPr>
                <w:rFonts w:ascii="Arial" w:hAnsi="Arial" w:cs="Arial"/>
              </w:rPr>
              <w:t xml:space="preserve"> to tax the bill of costs </w:t>
            </w:r>
            <w:r>
              <w:rPr>
                <w:rFonts w:ascii="Arial" w:hAnsi="Arial" w:cs="Arial"/>
              </w:rPr>
              <w:t>afresh pertaining to the point in limine raised only.</w:t>
            </w:r>
          </w:p>
          <w:p w:rsidR="004B44CE" w:rsidRPr="004B44CE" w:rsidRDefault="004B44CE" w:rsidP="004B44CE">
            <w:pPr>
              <w:pStyle w:val="NormalWeb"/>
              <w:shd w:val="clear" w:color="auto" w:fill="FFFFFF"/>
              <w:spacing w:after="0" w:line="360" w:lineRule="auto"/>
              <w:jc w:val="both"/>
              <w:rPr>
                <w:rFonts w:ascii="Arial" w:hAnsi="Arial" w:cs="Arial"/>
              </w:rPr>
            </w:pPr>
            <w:r w:rsidRPr="004B44CE">
              <w:rPr>
                <w:rFonts w:ascii="Arial" w:hAnsi="Arial" w:cs="Arial"/>
              </w:rPr>
              <w:lastRenderedPageBreak/>
              <w:t>3.</w:t>
            </w:r>
            <w:r w:rsidRPr="004B44CE">
              <w:rPr>
                <w:rFonts w:ascii="Arial" w:hAnsi="Arial" w:cs="Arial"/>
              </w:rPr>
              <w:tab/>
              <w:t>There is no order as to costs.</w:t>
            </w:r>
          </w:p>
          <w:p w:rsidR="008C2200" w:rsidRPr="00B47800" w:rsidRDefault="004B44CE" w:rsidP="004B44CE">
            <w:pPr>
              <w:pStyle w:val="NormalWeb"/>
              <w:shd w:val="clear" w:color="auto" w:fill="FFFFFF"/>
              <w:spacing w:after="0" w:line="360" w:lineRule="auto"/>
              <w:jc w:val="both"/>
              <w:rPr>
                <w:rFonts w:ascii="Arial" w:hAnsi="Arial" w:cs="Arial"/>
              </w:rPr>
            </w:pPr>
            <w:r w:rsidRPr="004B44CE">
              <w:rPr>
                <w:rFonts w:ascii="Arial" w:hAnsi="Arial" w:cs="Arial"/>
              </w:rPr>
              <w:t>The matter is removed from the roll and is regarded as finalised.</w:t>
            </w:r>
          </w:p>
        </w:tc>
      </w:tr>
      <w:tr w:rsidR="00CA7995" w:rsidRPr="00CA7995" w:rsidTr="00002E9A">
        <w:trPr>
          <w:trHeight w:val="548"/>
        </w:trPr>
        <w:tc>
          <w:tcPr>
            <w:tcW w:w="10476" w:type="dxa"/>
            <w:gridSpan w:val="3"/>
          </w:tcPr>
          <w:p w:rsidR="00B40844" w:rsidRPr="00CA7995" w:rsidRDefault="008F5871" w:rsidP="008F5871">
            <w:pPr>
              <w:tabs>
                <w:tab w:val="right" w:pos="9693"/>
              </w:tabs>
              <w:spacing w:line="360" w:lineRule="auto"/>
              <w:jc w:val="both"/>
              <w:rPr>
                <w:rFonts w:ascii="Arial" w:hAnsi="Arial" w:cs="Arial"/>
                <w:b/>
                <w:sz w:val="24"/>
                <w:szCs w:val="24"/>
              </w:rPr>
            </w:pPr>
            <w:r w:rsidRPr="00806722">
              <w:rPr>
                <w:rFonts w:ascii="Arial" w:hAnsi="Arial" w:cs="Arial"/>
                <w:b/>
                <w:sz w:val="24"/>
                <w:szCs w:val="24"/>
                <w:lang w:val="en-US"/>
              </w:rPr>
              <w:lastRenderedPageBreak/>
              <w:t>Reasons for orders:</w:t>
            </w:r>
          </w:p>
        </w:tc>
      </w:tr>
      <w:tr w:rsidR="00CA7995" w:rsidRPr="00CA7995" w:rsidTr="00002E9A">
        <w:tc>
          <w:tcPr>
            <w:tcW w:w="10476" w:type="dxa"/>
            <w:gridSpan w:val="3"/>
          </w:tcPr>
          <w:p w:rsidR="00EA2DE2" w:rsidRPr="00EA2DE2" w:rsidRDefault="00EA2DE2" w:rsidP="00ED76B2">
            <w:pPr>
              <w:spacing w:line="360" w:lineRule="auto"/>
              <w:jc w:val="both"/>
              <w:rPr>
                <w:rFonts w:ascii="Arial" w:hAnsi="Arial" w:cs="Arial"/>
                <w:sz w:val="24"/>
                <w:szCs w:val="24"/>
              </w:rPr>
            </w:pPr>
          </w:p>
          <w:p w:rsidR="00B40844" w:rsidRPr="00CA7995" w:rsidRDefault="00B40844" w:rsidP="00ED76B2">
            <w:pPr>
              <w:spacing w:line="360" w:lineRule="auto"/>
              <w:jc w:val="both"/>
              <w:rPr>
                <w:rFonts w:ascii="Arial" w:hAnsi="Arial" w:cs="Arial"/>
                <w:sz w:val="24"/>
                <w:szCs w:val="24"/>
                <w:u w:val="single"/>
              </w:rPr>
            </w:pPr>
            <w:r w:rsidRPr="00CA7995">
              <w:rPr>
                <w:rFonts w:ascii="Arial" w:hAnsi="Arial" w:cs="Arial"/>
                <w:sz w:val="24"/>
                <w:szCs w:val="24"/>
                <w:u w:val="single"/>
              </w:rPr>
              <w:t>Introduction</w:t>
            </w:r>
          </w:p>
          <w:p w:rsidR="00B40844" w:rsidRPr="00CA7995" w:rsidRDefault="00B40844" w:rsidP="00ED76B2">
            <w:pPr>
              <w:spacing w:line="360" w:lineRule="auto"/>
              <w:jc w:val="both"/>
              <w:rPr>
                <w:rFonts w:ascii="Arial" w:hAnsi="Arial" w:cs="Arial"/>
                <w:sz w:val="24"/>
                <w:szCs w:val="24"/>
              </w:rPr>
            </w:pPr>
          </w:p>
          <w:p w:rsidR="00B40844" w:rsidRPr="0078733C" w:rsidRDefault="00B40844" w:rsidP="0078733C">
            <w:pPr>
              <w:pStyle w:val="BodyText"/>
              <w:rPr>
                <w:rFonts w:eastAsia="Times New Roman"/>
                <w:lang w:val="en-US"/>
              </w:rPr>
            </w:pPr>
            <w:r w:rsidRPr="00CA7995">
              <w:t>[1]</w:t>
            </w:r>
            <w:r w:rsidRPr="00CA7995">
              <w:tab/>
            </w:r>
            <w:r w:rsidR="00386121">
              <w:t>The applicant is Mr</w:t>
            </w:r>
            <w:r w:rsidR="00DA0D55" w:rsidRPr="00DA0D55">
              <w:t xml:space="preserve"> Johannes Erasmus Van Wyk, an adult Namibian male who resides in Windhoek.</w:t>
            </w:r>
          </w:p>
          <w:p w:rsidR="00672C76" w:rsidRPr="0078733C" w:rsidRDefault="00672C76" w:rsidP="00ED76B2">
            <w:pPr>
              <w:spacing w:line="360" w:lineRule="auto"/>
              <w:ind w:left="20" w:hanging="20"/>
              <w:jc w:val="both"/>
              <w:rPr>
                <w:rFonts w:ascii="Arial" w:hAnsi="Arial" w:cs="Arial"/>
                <w:sz w:val="24"/>
                <w:szCs w:val="24"/>
              </w:rPr>
            </w:pPr>
          </w:p>
          <w:p w:rsidR="000466BD" w:rsidRDefault="00672C76" w:rsidP="000466BD">
            <w:pPr>
              <w:spacing w:line="360" w:lineRule="auto"/>
              <w:ind w:left="20" w:hanging="20"/>
              <w:jc w:val="both"/>
              <w:rPr>
                <w:rFonts w:ascii="Arial" w:hAnsi="Arial" w:cs="Arial"/>
                <w:sz w:val="24"/>
                <w:szCs w:val="24"/>
              </w:rPr>
            </w:pPr>
            <w:r w:rsidRPr="0078733C">
              <w:rPr>
                <w:rFonts w:ascii="Arial" w:hAnsi="Arial" w:cs="Arial"/>
                <w:sz w:val="24"/>
                <w:szCs w:val="24"/>
              </w:rPr>
              <w:t>[2]</w:t>
            </w:r>
            <w:r w:rsidR="000A6E7F" w:rsidRPr="0078733C">
              <w:rPr>
                <w:rFonts w:ascii="Arial" w:hAnsi="Arial" w:cs="Arial"/>
                <w:sz w:val="24"/>
                <w:szCs w:val="24"/>
              </w:rPr>
              <w:tab/>
            </w:r>
            <w:r w:rsidR="000466BD" w:rsidRPr="000466BD">
              <w:rPr>
                <w:rFonts w:ascii="Arial" w:hAnsi="Arial" w:cs="Arial"/>
                <w:sz w:val="24"/>
                <w:szCs w:val="24"/>
              </w:rPr>
              <w:t>The respondents are as follows:</w:t>
            </w:r>
          </w:p>
          <w:p w:rsidR="000466BD" w:rsidRPr="000466BD" w:rsidRDefault="000466BD" w:rsidP="000466BD">
            <w:pPr>
              <w:spacing w:line="360" w:lineRule="auto"/>
              <w:ind w:left="20" w:hanging="20"/>
              <w:jc w:val="both"/>
              <w:rPr>
                <w:rFonts w:ascii="Arial" w:hAnsi="Arial" w:cs="Arial"/>
                <w:sz w:val="24"/>
                <w:szCs w:val="24"/>
              </w:rPr>
            </w:pPr>
          </w:p>
          <w:p w:rsidR="000466BD" w:rsidRPr="000466BD" w:rsidRDefault="00D554A3" w:rsidP="000466BD">
            <w:pPr>
              <w:spacing w:line="360" w:lineRule="auto"/>
              <w:ind w:left="20" w:hanging="20"/>
              <w:jc w:val="both"/>
              <w:rPr>
                <w:rFonts w:ascii="Arial" w:hAnsi="Arial" w:cs="Arial"/>
                <w:sz w:val="24"/>
                <w:szCs w:val="24"/>
              </w:rPr>
            </w:pPr>
            <w:r>
              <w:rPr>
                <w:rFonts w:ascii="Arial" w:hAnsi="Arial" w:cs="Arial"/>
                <w:sz w:val="24"/>
                <w:szCs w:val="24"/>
              </w:rPr>
              <w:t>a)</w:t>
            </w:r>
            <w:r>
              <w:rPr>
                <w:rFonts w:ascii="Arial" w:hAnsi="Arial" w:cs="Arial"/>
                <w:sz w:val="24"/>
                <w:szCs w:val="24"/>
              </w:rPr>
              <w:tab/>
              <w:t>The first respondent</w:t>
            </w:r>
            <w:r w:rsidR="00DA0D55" w:rsidRPr="00DA0D55">
              <w:rPr>
                <w:rFonts w:ascii="Arial" w:hAnsi="Arial" w:cs="Arial"/>
                <w:sz w:val="24"/>
                <w:szCs w:val="24"/>
              </w:rPr>
              <w:t xml:space="preserve"> is Windhoek Renovations CC, a close corporation duly incorporated in terms of the</w:t>
            </w:r>
            <w:r>
              <w:rPr>
                <w:rFonts w:ascii="Arial" w:hAnsi="Arial" w:cs="Arial"/>
                <w:sz w:val="24"/>
                <w:szCs w:val="24"/>
              </w:rPr>
              <w:t xml:space="preserve"> close corporation laws of the </w:t>
            </w:r>
            <w:r w:rsidR="00DA0D55" w:rsidRPr="00DA0D55">
              <w:rPr>
                <w:rFonts w:ascii="Arial" w:hAnsi="Arial" w:cs="Arial"/>
                <w:sz w:val="24"/>
                <w:szCs w:val="24"/>
              </w:rPr>
              <w:t>Republic</w:t>
            </w:r>
            <w:r>
              <w:rPr>
                <w:rFonts w:ascii="Arial" w:hAnsi="Arial" w:cs="Arial"/>
                <w:sz w:val="24"/>
                <w:szCs w:val="24"/>
              </w:rPr>
              <w:t xml:space="preserve"> of Namibia</w:t>
            </w:r>
            <w:r w:rsidR="00DA0D55" w:rsidRPr="00DA0D55">
              <w:rPr>
                <w:rFonts w:ascii="Arial" w:hAnsi="Arial" w:cs="Arial"/>
                <w:sz w:val="24"/>
                <w:szCs w:val="24"/>
              </w:rPr>
              <w:t>. Its place of business is situate</w:t>
            </w:r>
            <w:r w:rsidR="005579BC">
              <w:rPr>
                <w:rFonts w:ascii="Arial" w:hAnsi="Arial" w:cs="Arial"/>
                <w:sz w:val="24"/>
                <w:szCs w:val="24"/>
              </w:rPr>
              <w:t>d</w:t>
            </w:r>
            <w:r w:rsidR="00DA0D55" w:rsidRPr="00DA0D55">
              <w:rPr>
                <w:rFonts w:ascii="Arial" w:hAnsi="Arial" w:cs="Arial"/>
                <w:sz w:val="24"/>
                <w:szCs w:val="24"/>
              </w:rPr>
              <w:t xml:space="preserve"> at 161 Mandume Ndemufayo Street</w:t>
            </w:r>
            <w:r w:rsidR="005579BC">
              <w:rPr>
                <w:rFonts w:ascii="Arial" w:hAnsi="Arial" w:cs="Arial"/>
                <w:sz w:val="24"/>
                <w:szCs w:val="24"/>
              </w:rPr>
              <w:t>,</w:t>
            </w:r>
            <w:r w:rsidR="00DA0D55" w:rsidRPr="00DA0D55">
              <w:rPr>
                <w:rFonts w:ascii="Arial" w:hAnsi="Arial" w:cs="Arial"/>
                <w:sz w:val="24"/>
                <w:szCs w:val="24"/>
              </w:rPr>
              <w:t xml:space="preserve"> Windhoek.</w:t>
            </w:r>
          </w:p>
          <w:p w:rsidR="00DA0D55" w:rsidRDefault="00DA0D55" w:rsidP="00DA0D55">
            <w:pPr>
              <w:spacing w:line="360" w:lineRule="auto"/>
              <w:ind w:left="20" w:hanging="20"/>
              <w:jc w:val="both"/>
              <w:rPr>
                <w:rFonts w:ascii="Arial" w:hAnsi="Arial" w:cs="Arial"/>
                <w:sz w:val="24"/>
                <w:szCs w:val="24"/>
              </w:rPr>
            </w:pPr>
            <w:r>
              <w:rPr>
                <w:rFonts w:ascii="Arial" w:hAnsi="Arial" w:cs="Arial"/>
                <w:sz w:val="24"/>
                <w:szCs w:val="24"/>
              </w:rPr>
              <w:t>b)</w:t>
            </w:r>
            <w:r>
              <w:rPr>
                <w:rFonts w:ascii="Arial" w:hAnsi="Arial" w:cs="Arial"/>
                <w:sz w:val="24"/>
                <w:szCs w:val="24"/>
              </w:rPr>
              <w:tab/>
              <w:t>The second respondent</w:t>
            </w:r>
            <w:r w:rsidR="000466BD" w:rsidRPr="000466BD">
              <w:rPr>
                <w:rFonts w:ascii="Arial" w:hAnsi="Arial" w:cs="Arial"/>
                <w:sz w:val="24"/>
                <w:szCs w:val="24"/>
              </w:rPr>
              <w:t xml:space="preserve"> </w:t>
            </w:r>
            <w:r w:rsidRPr="00DA0D55">
              <w:rPr>
                <w:rFonts w:ascii="Arial" w:hAnsi="Arial" w:cs="Arial"/>
                <w:sz w:val="24"/>
                <w:szCs w:val="24"/>
              </w:rPr>
              <w:t xml:space="preserve">is LH Equipment CC, a close corporation also incorporated in terms of this country’s close corporation laws. Its registered place of business coincides with that of the first respondent. </w:t>
            </w:r>
          </w:p>
          <w:p w:rsidR="00FC2237" w:rsidRDefault="000466BD" w:rsidP="00DA0D55">
            <w:pPr>
              <w:spacing w:line="360" w:lineRule="auto"/>
              <w:ind w:left="20" w:hanging="20"/>
              <w:jc w:val="both"/>
              <w:rPr>
                <w:rFonts w:ascii="Arial" w:hAnsi="Arial" w:cs="Arial"/>
                <w:sz w:val="24"/>
                <w:szCs w:val="24"/>
              </w:rPr>
            </w:pPr>
            <w:r w:rsidRPr="000466BD">
              <w:rPr>
                <w:rFonts w:ascii="Arial" w:hAnsi="Arial" w:cs="Arial"/>
                <w:sz w:val="24"/>
                <w:szCs w:val="24"/>
              </w:rPr>
              <w:t>c)</w:t>
            </w:r>
            <w:r w:rsidRPr="000466BD">
              <w:rPr>
                <w:rFonts w:ascii="Arial" w:hAnsi="Arial" w:cs="Arial"/>
                <w:sz w:val="24"/>
                <w:szCs w:val="24"/>
              </w:rPr>
              <w:tab/>
            </w:r>
            <w:r w:rsidR="00386121">
              <w:rPr>
                <w:rFonts w:ascii="Arial" w:hAnsi="Arial" w:cs="Arial"/>
                <w:sz w:val="24"/>
                <w:szCs w:val="24"/>
              </w:rPr>
              <w:t>The third respondent is Mr</w:t>
            </w:r>
            <w:r w:rsidR="00DA0D55" w:rsidRPr="00DA0D55">
              <w:rPr>
                <w:rFonts w:ascii="Arial" w:hAnsi="Arial" w:cs="Arial"/>
                <w:sz w:val="24"/>
                <w:szCs w:val="24"/>
              </w:rPr>
              <w:t xml:space="preserve"> Robert Douglas Wirtz, an adult male businessman whose address is the same as that of the first and second respondents.</w:t>
            </w:r>
          </w:p>
          <w:p w:rsidR="00224808" w:rsidRDefault="00224808" w:rsidP="00ED76B2">
            <w:pPr>
              <w:spacing w:line="360" w:lineRule="auto"/>
              <w:ind w:left="20" w:hanging="20"/>
              <w:jc w:val="both"/>
              <w:rPr>
                <w:rFonts w:ascii="Arial" w:hAnsi="Arial" w:cs="Arial"/>
                <w:sz w:val="24"/>
                <w:szCs w:val="24"/>
              </w:rPr>
            </w:pPr>
          </w:p>
          <w:p w:rsidR="008A69A0" w:rsidRPr="008A69A0" w:rsidRDefault="008A69A0" w:rsidP="00ED76B2">
            <w:pPr>
              <w:spacing w:line="360" w:lineRule="auto"/>
              <w:ind w:left="20" w:hanging="20"/>
              <w:jc w:val="both"/>
              <w:rPr>
                <w:rFonts w:ascii="Arial" w:hAnsi="Arial" w:cs="Arial"/>
                <w:sz w:val="24"/>
                <w:szCs w:val="24"/>
                <w:u w:val="single"/>
              </w:rPr>
            </w:pPr>
            <w:r w:rsidRPr="008A69A0">
              <w:rPr>
                <w:rFonts w:ascii="Arial" w:hAnsi="Arial" w:cs="Arial"/>
                <w:sz w:val="24"/>
                <w:szCs w:val="24"/>
                <w:u w:val="single"/>
              </w:rPr>
              <w:t>Background</w:t>
            </w:r>
          </w:p>
          <w:p w:rsidR="008A69A0" w:rsidRDefault="008A69A0" w:rsidP="00ED76B2">
            <w:pPr>
              <w:spacing w:line="360" w:lineRule="auto"/>
              <w:ind w:left="20" w:hanging="20"/>
              <w:jc w:val="both"/>
              <w:rPr>
                <w:rFonts w:ascii="Arial" w:hAnsi="Arial" w:cs="Arial"/>
                <w:sz w:val="24"/>
                <w:szCs w:val="24"/>
              </w:rPr>
            </w:pPr>
          </w:p>
          <w:p w:rsidR="000466BD" w:rsidRDefault="00DA0D55" w:rsidP="008A69A0">
            <w:pPr>
              <w:spacing w:line="360" w:lineRule="auto"/>
              <w:ind w:left="20" w:hanging="20"/>
              <w:jc w:val="both"/>
              <w:rPr>
                <w:rFonts w:ascii="Arial" w:hAnsi="Arial" w:cs="Arial"/>
                <w:sz w:val="24"/>
                <w:szCs w:val="24"/>
              </w:rPr>
            </w:pPr>
            <w:r>
              <w:rPr>
                <w:rFonts w:ascii="Arial" w:hAnsi="Arial" w:cs="Arial"/>
                <w:sz w:val="24"/>
                <w:szCs w:val="24"/>
              </w:rPr>
              <w:t>[3</w:t>
            </w:r>
            <w:r w:rsidR="002D20C5">
              <w:rPr>
                <w:rFonts w:ascii="Arial" w:hAnsi="Arial" w:cs="Arial"/>
                <w:sz w:val="24"/>
                <w:szCs w:val="24"/>
              </w:rPr>
              <w:t>]</w:t>
            </w:r>
            <w:r w:rsidR="002D20C5" w:rsidRPr="00323E22">
              <w:rPr>
                <w:rFonts w:ascii="Arial" w:hAnsi="Arial" w:cs="Arial"/>
                <w:sz w:val="24"/>
                <w:szCs w:val="24"/>
              </w:rPr>
              <w:tab/>
            </w:r>
            <w:r w:rsidR="008A69A0">
              <w:rPr>
                <w:rFonts w:ascii="Arial" w:hAnsi="Arial" w:cs="Arial"/>
                <w:sz w:val="24"/>
                <w:szCs w:val="24"/>
              </w:rPr>
              <w:t>T</w:t>
            </w:r>
            <w:r w:rsidR="008A69A0" w:rsidRPr="008A69A0">
              <w:rPr>
                <w:rFonts w:ascii="Arial" w:hAnsi="Arial" w:cs="Arial"/>
                <w:sz w:val="24"/>
                <w:szCs w:val="24"/>
              </w:rPr>
              <w:t xml:space="preserve">he applicant and the </w:t>
            </w:r>
            <w:r w:rsidR="008A69A0">
              <w:rPr>
                <w:rFonts w:ascii="Arial" w:hAnsi="Arial" w:cs="Arial"/>
                <w:sz w:val="24"/>
                <w:szCs w:val="24"/>
              </w:rPr>
              <w:t xml:space="preserve">third </w:t>
            </w:r>
            <w:r w:rsidR="008A69A0" w:rsidRPr="008A69A0">
              <w:rPr>
                <w:rFonts w:ascii="Arial" w:hAnsi="Arial" w:cs="Arial"/>
                <w:sz w:val="24"/>
                <w:szCs w:val="24"/>
              </w:rPr>
              <w:t xml:space="preserve">respondent are co-members </w:t>
            </w:r>
            <w:r w:rsidR="00507BD2">
              <w:rPr>
                <w:rFonts w:ascii="Arial" w:hAnsi="Arial" w:cs="Arial"/>
                <w:sz w:val="24"/>
                <w:szCs w:val="24"/>
              </w:rPr>
              <w:t>of</w:t>
            </w:r>
            <w:r w:rsidR="008A69A0" w:rsidRPr="008A69A0">
              <w:rPr>
                <w:rFonts w:ascii="Arial" w:hAnsi="Arial" w:cs="Arial"/>
                <w:sz w:val="24"/>
                <w:szCs w:val="24"/>
              </w:rPr>
              <w:t xml:space="preserve"> the first and</w:t>
            </w:r>
            <w:r w:rsidR="00D554A3">
              <w:rPr>
                <w:rFonts w:ascii="Arial" w:hAnsi="Arial" w:cs="Arial"/>
                <w:sz w:val="24"/>
                <w:szCs w:val="24"/>
              </w:rPr>
              <w:t xml:space="preserve"> second respondents.</w:t>
            </w:r>
            <w:r w:rsidR="008A69A0" w:rsidRPr="008A69A0">
              <w:rPr>
                <w:rFonts w:ascii="Arial" w:hAnsi="Arial" w:cs="Arial"/>
                <w:sz w:val="24"/>
                <w:szCs w:val="24"/>
              </w:rPr>
              <w:t xml:space="preserve"> </w:t>
            </w:r>
            <w:r w:rsidR="008A69A0">
              <w:rPr>
                <w:rFonts w:ascii="Arial" w:hAnsi="Arial" w:cs="Arial"/>
                <w:sz w:val="24"/>
                <w:szCs w:val="24"/>
              </w:rPr>
              <w:t>The court handed dow</w:t>
            </w:r>
            <w:r w:rsidR="00386121">
              <w:rPr>
                <w:rFonts w:ascii="Arial" w:hAnsi="Arial" w:cs="Arial"/>
                <w:sz w:val="24"/>
                <w:szCs w:val="24"/>
              </w:rPr>
              <w:t>n a judgment on 7 September 2022</w:t>
            </w:r>
            <w:r w:rsidR="008A69A0">
              <w:rPr>
                <w:rFonts w:ascii="Arial" w:hAnsi="Arial" w:cs="Arial"/>
                <w:sz w:val="24"/>
                <w:szCs w:val="24"/>
              </w:rPr>
              <w:t xml:space="preserve"> wherein the court had to </w:t>
            </w:r>
            <w:r w:rsidR="008A69A0" w:rsidRPr="00675F61">
              <w:rPr>
                <w:rFonts w:ascii="Arial" w:hAnsi="Arial" w:cs="Arial"/>
                <w:sz w:val="24"/>
                <w:szCs w:val="24"/>
              </w:rPr>
              <w:t xml:space="preserve">determine </w:t>
            </w:r>
            <w:r w:rsidR="005579BC" w:rsidRPr="00675F61">
              <w:rPr>
                <w:rFonts w:ascii="Arial" w:hAnsi="Arial" w:cs="Arial"/>
                <w:sz w:val="24"/>
                <w:szCs w:val="24"/>
              </w:rPr>
              <w:t>whether the applicant made out a case</w:t>
            </w:r>
            <w:r w:rsidR="008A69A0" w:rsidRPr="00675F61">
              <w:rPr>
                <w:rFonts w:ascii="Arial" w:hAnsi="Arial" w:cs="Arial"/>
                <w:sz w:val="24"/>
                <w:szCs w:val="24"/>
              </w:rPr>
              <w:t xml:space="preserve"> for the court to issue a winding-up order,</w:t>
            </w:r>
            <w:r w:rsidR="008A69A0" w:rsidRPr="008A69A0">
              <w:rPr>
                <w:rFonts w:ascii="Arial" w:hAnsi="Arial" w:cs="Arial"/>
                <w:sz w:val="24"/>
                <w:szCs w:val="24"/>
              </w:rPr>
              <w:t xml:space="preserve"> in terms of the provisions of s 68</w:t>
            </w:r>
            <w:r w:rsidR="008A69A0" w:rsidRPr="00675F61">
              <w:rPr>
                <w:rFonts w:ascii="Arial" w:hAnsi="Arial" w:cs="Arial"/>
                <w:sz w:val="24"/>
                <w:szCs w:val="24"/>
              </w:rPr>
              <w:t>(</w:t>
            </w:r>
            <w:r w:rsidR="008A69A0" w:rsidRPr="00675F61">
              <w:rPr>
                <w:rFonts w:ascii="Arial" w:hAnsi="Arial" w:cs="Arial"/>
                <w:i/>
                <w:sz w:val="24"/>
                <w:szCs w:val="24"/>
              </w:rPr>
              <w:t>d</w:t>
            </w:r>
            <w:r w:rsidR="008A69A0" w:rsidRPr="00675F61">
              <w:rPr>
                <w:rFonts w:ascii="Arial" w:hAnsi="Arial" w:cs="Arial"/>
                <w:sz w:val="24"/>
                <w:szCs w:val="24"/>
              </w:rPr>
              <w:t>)</w:t>
            </w:r>
            <w:r w:rsidR="008A69A0" w:rsidRPr="008A69A0">
              <w:rPr>
                <w:rFonts w:ascii="Arial" w:hAnsi="Arial" w:cs="Arial"/>
                <w:sz w:val="24"/>
                <w:szCs w:val="24"/>
              </w:rPr>
              <w:t xml:space="preserve"> of </w:t>
            </w:r>
            <w:r w:rsidR="005579BC">
              <w:rPr>
                <w:rFonts w:ascii="Arial" w:hAnsi="Arial" w:cs="Arial"/>
                <w:sz w:val="24"/>
                <w:szCs w:val="24"/>
              </w:rPr>
              <w:t xml:space="preserve">the Close Corporations Act </w:t>
            </w:r>
            <w:r w:rsidR="008A69A0" w:rsidRPr="008A69A0">
              <w:rPr>
                <w:rFonts w:ascii="Arial" w:hAnsi="Arial" w:cs="Arial"/>
                <w:sz w:val="24"/>
                <w:szCs w:val="24"/>
              </w:rPr>
              <w:t>26 of 1988 (‘the Act’).</w:t>
            </w:r>
            <w:r w:rsidR="00275493">
              <w:rPr>
                <w:rFonts w:ascii="Arial" w:hAnsi="Arial" w:cs="Arial"/>
                <w:sz w:val="24"/>
                <w:szCs w:val="24"/>
              </w:rPr>
              <w:t xml:space="preserve"> The court</w:t>
            </w:r>
            <w:r w:rsidR="00507BD2">
              <w:rPr>
                <w:rFonts w:ascii="Arial" w:hAnsi="Arial" w:cs="Arial"/>
                <w:sz w:val="24"/>
                <w:szCs w:val="24"/>
              </w:rPr>
              <w:t>,</w:t>
            </w:r>
            <w:r w:rsidR="00275493">
              <w:rPr>
                <w:rFonts w:ascii="Arial" w:hAnsi="Arial" w:cs="Arial"/>
                <w:sz w:val="24"/>
                <w:szCs w:val="24"/>
              </w:rPr>
              <w:t xml:space="preserve"> however</w:t>
            </w:r>
            <w:r w:rsidR="00507BD2">
              <w:rPr>
                <w:rFonts w:ascii="Arial" w:hAnsi="Arial" w:cs="Arial"/>
                <w:sz w:val="24"/>
                <w:szCs w:val="24"/>
              </w:rPr>
              <w:t>,</w:t>
            </w:r>
            <w:r w:rsidR="00386121">
              <w:rPr>
                <w:rFonts w:ascii="Arial" w:hAnsi="Arial" w:cs="Arial"/>
                <w:sz w:val="24"/>
                <w:szCs w:val="24"/>
              </w:rPr>
              <w:t xml:space="preserve"> on the date of the hearing</w:t>
            </w:r>
            <w:r w:rsidR="00507BD2">
              <w:rPr>
                <w:rFonts w:ascii="Arial" w:hAnsi="Arial" w:cs="Arial"/>
                <w:sz w:val="24"/>
                <w:szCs w:val="24"/>
              </w:rPr>
              <w:t>,</w:t>
            </w:r>
            <w:r w:rsidR="00275493">
              <w:rPr>
                <w:rFonts w:ascii="Arial" w:hAnsi="Arial" w:cs="Arial"/>
                <w:sz w:val="24"/>
                <w:szCs w:val="24"/>
              </w:rPr>
              <w:t xml:space="preserve"> only dealt with</w:t>
            </w:r>
            <w:r w:rsidR="00F7474A">
              <w:rPr>
                <w:rFonts w:ascii="Arial" w:hAnsi="Arial" w:cs="Arial"/>
                <w:sz w:val="24"/>
                <w:szCs w:val="24"/>
              </w:rPr>
              <w:t xml:space="preserve"> the point in limine raised by the </w:t>
            </w:r>
            <w:r w:rsidR="007F6C4C">
              <w:rPr>
                <w:rFonts w:ascii="Arial" w:hAnsi="Arial" w:cs="Arial"/>
                <w:sz w:val="24"/>
                <w:szCs w:val="24"/>
              </w:rPr>
              <w:t xml:space="preserve">third </w:t>
            </w:r>
            <w:r w:rsidR="007F6C4C" w:rsidRPr="007F6C4C">
              <w:rPr>
                <w:rFonts w:ascii="Arial" w:hAnsi="Arial" w:cs="Arial"/>
                <w:sz w:val="24"/>
                <w:szCs w:val="24"/>
              </w:rPr>
              <w:t>respondent</w:t>
            </w:r>
            <w:r w:rsidR="00275493">
              <w:rPr>
                <w:rFonts w:ascii="Arial" w:hAnsi="Arial" w:cs="Arial"/>
                <w:sz w:val="24"/>
                <w:szCs w:val="24"/>
              </w:rPr>
              <w:t xml:space="preserve"> and made a ruling on the issue of </w:t>
            </w:r>
            <w:r w:rsidR="00F7474A">
              <w:rPr>
                <w:rFonts w:ascii="Arial" w:hAnsi="Arial" w:cs="Arial"/>
                <w:sz w:val="24"/>
                <w:szCs w:val="24"/>
              </w:rPr>
              <w:t xml:space="preserve">whether the applicant’s application was vexatious </w:t>
            </w:r>
            <w:r w:rsidR="00DA4A57">
              <w:rPr>
                <w:rFonts w:ascii="Arial" w:hAnsi="Arial" w:cs="Arial"/>
                <w:sz w:val="24"/>
                <w:szCs w:val="24"/>
              </w:rPr>
              <w:t xml:space="preserve">in nature </w:t>
            </w:r>
            <w:r w:rsidR="00275493">
              <w:rPr>
                <w:rFonts w:ascii="Arial" w:hAnsi="Arial" w:cs="Arial"/>
                <w:sz w:val="24"/>
                <w:szCs w:val="24"/>
              </w:rPr>
              <w:t xml:space="preserve">and </w:t>
            </w:r>
            <w:r w:rsidR="00F7474A">
              <w:rPr>
                <w:rFonts w:ascii="Arial" w:hAnsi="Arial" w:cs="Arial"/>
                <w:sz w:val="24"/>
                <w:szCs w:val="24"/>
              </w:rPr>
              <w:t xml:space="preserve">whether </w:t>
            </w:r>
            <w:r w:rsidR="00275493">
              <w:rPr>
                <w:rFonts w:ascii="Arial" w:hAnsi="Arial" w:cs="Arial"/>
                <w:sz w:val="24"/>
                <w:szCs w:val="24"/>
              </w:rPr>
              <w:t>the applicant</w:t>
            </w:r>
            <w:r w:rsidR="00F7474A">
              <w:rPr>
                <w:rFonts w:ascii="Arial" w:hAnsi="Arial" w:cs="Arial"/>
                <w:sz w:val="24"/>
                <w:szCs w:val="24"/>
              </w:rPr>
              <w:t xml:space="preserve"> </w:t>
            </w:r>
            <w:r w:rsidR="005224E2">
              <w:rPr>
                <w:rFonts w:ascii="Arial" w:hAnsi="Arial" w:cs="Arial"/>
                <w:sz w:val="24"/>
                <w:szCs w:val="24"/>
              </w:rPr>
              <w:t>was</w:t>
            </w:r>
            <w:r w:rsidR="00F7474A">
              <w:rPr>
                <w:rFonts w:ascii="Arial" w:hAnsi="Arial" w:cs="Arial"/>
                <w:sz w:val="24"/>
                <w:szCs w:val="24"/>
              </w:rPr>
              <w:t xml:space="preserve"> guilty of abusing</w:t>
            </w:r>
            <w:r w:rsidR="00275493" w:rsidRPr="00275493">
              <w:rPr>
                <w:rFonts w:ascii="Arial" w:hAnsi="Arial" w:cs="Arial"/>
                <w:sz w:val="24"/>
                <w:szCs w:val="24"/>
              </w:rPr>
              <w:t xml:space="preserve"> the court</w:t>
            </w:r>
            <w:r w:rsidR="00F7474A">
              <w:rPr>
                <w:rFonts w:ascii="Arial" w:hAnsi="Arial" w:cs="Arial"/>
                <w:sz w:val="24"/>
                <w:szCs w:val="24"/>
              </w:rPr>
              <w:t>’s process</w:t>
            </w:r>
            <w:r w:rsidR="00275493">
              <w:rPr>
                <w:rFonts w:ascii="Arial" w:hAnsi="Arial" w:cs="Arial"/>
                <w:sz w:val="24"/>
                <w:szCs w:val="24"/>
              </w:rPr>
              <w:t xml:space="preserve">. </w:t>
            </w:r>
          </w:p>
          <w:p w:rsidR="00940E36" w:rsidRPr="000466BD" w:rsidRDefault="00940E36" w:rsidP="000466BD">
            <w:pPr>
              <w:spacing w:line="360" w:lineRule="auto"/>
              <w:ind w:left="20" w:hanging="20"/>
              <w:jc w:val="both"/>
              <w:rPr>
                <w:rFonts w:ascii="Arial" w:hAnsi="Arial" w:cs="Arial"/>
                <w:sz w:val="24"/>
                <w:szCs w:val="24"/>
              </w:rPr>
            </w:pPr>
          </w:p>
          <w:p w:rsidR="00FC2237" w:rsidRDefault="00D554A3" w:rsidP="00D554A3">
            <w:pPr>
              <w:spacing w:line="360" w:lineRule="auto"/>
              <w:ind w:left="20" w:hanging="20"/>
              <w:jc w:val="both"/>
              <w:rPr>
                <w:rFonts w:ascii="Arial" w:hAnsi="Arial" w:cs="Arial"/>
                <w:sz w:val="24"/>
                <w:szCs w:val="24"/>
              </w:rPr>
            </w:pPr>
            <w:r>
              <w:rPr>
                <w:rFonts w:ascii="Arial" w:hAnsi="Arial" w:cs="Arial"/>
                <w:sz w:val="24"/>
                <w:szCs w:val="24"/>
              </w:rPr>
              <w:t>[4]</w:t>
            </w:r>
            <w:r w:rsidRPr="00D554A3">
              <w:rPr>
                <w:rFonts w:ascii="Arial" w:hAnsi="Arial" w:cs="Arial"/>
                <w:sz w:val="24"/>
                <w:szCs w:val="24"/>
              </w:rPr>
              <w:tab/>
            </w:r>
            <w:r w:rsidR="00DA4A57">
              <w:rPr>
                <w:rFonts w:ascii="Arial" w:hAnsi="Arial" w:cs="Arial"/>
                <w:sz w:val="24"/>
                <w:szCs w:val="24"/>
              </w:rPr>
              <w:t>On 7 September 2022</w:t>
            </w:r>
            <w:r w:rsidR="00507BD2">
              <w:rPr>
                <w:rFonts w:ascii="Arial" w:hAnsi="Arial" w:cs="Arial"/>
                <w:sz w:val="24"/>
                <w:szCs w:val="24"/>
              </w:rPr>
              <w:t>,</w:t>
            </w:r>
            <w:r>
              <w:rPr>
                <w:rFonts w:ascii="Arial" w:hAnsi="Arial" w:cs="Arial"/>
                <w:sz w:val="24"/>
                <w:szCs w:val="24"/>
              </w:rPr>
              <w:t xml:space="preserve"> the court made the following order:</w:t>
            </w:r>
          </w:p>
          <w:p w:rsidR="00D554A3" w:rsidRDefault="00D554A3" w:rsidP="00D554A3">
            <w:pPr>
              <w:spacing w:line="360" w:lineRule="auto"/>
              <w:ind w:left="20" w:hanging="20"/>
              <w:jc w:val="both"/>
              <w:rPr>
                <w:rFonts w:ascii="Arial" w:hAnsi="Arial" w:cs="Arial"/>
                <w:sz w:val="24"/>
                <w:szCs w:val="24"/>
              </w:rPr>
            </w:pPr>
          </w:p>
          <w:p w:rsidR="00D554A3" w:rsidRPr="00D554A3" w:rsidRDefault="00D554A3" w:rsidP="00D554A3">
            <w:pPr>
              <w:spacing w:line="360" w:lineRule="auto"/>
              <w:ind w:left="20" w:hanging="20"/>
              <w:jc w:val="both"/>
              <w:rPr>
                <w:rFonts w:ascii="Arial" w:hAnsi="Arial" w:cs="Arial"/>
              </w:rPr>
            </w:pPr>
            <w:r>
              <w:rPr>
                <w:rFonts w:ascii="Arial" w:hAnsi="Arial" w:cs="Arial"/>
                <w:sz w:val="24"/>
                <w:szCs w:val="24"/>
              </w:rPr>
              <w:t xml:space="preserve">           ‘</w:t>
            </w:r>
            <w:r w:rsidRPr="00D554A3">
              <w:rPr>
                <w:rFonts w:ascii="Arial" w:hAnsi="Arial" w:cs="Arial"/>
              </w:rPr>
              <w:t>1.The applicant’s application is stayed pending the finalisation of the proceedings in case number HC-MD-CIV-</w:t>
            </w:r>
            <w:r w:rsidR="005579BC" w:rsidRPr="005224E2">
              <w:rPr>
                <w:rFonts w:ascii="Arial" w:hAnsi="Arial" w:cs="Arial"/>
              </w:rPr>
              <w:t>ACT</w:t>
            </w:r>
            <w:r w:rsidR="005579BC">
              <w:rPr>
                <w:rFonts w:ascii="Arial" w:hAnsi="Arial" w:cs="Arial"/>
              </w:rPr>
              <w:t>-</w:t>
            </w:r>
            <w:r w:rsidRPr="00D554A3">
              <w:rPr>
                <w:rFonts w:ascii="Arial" w:hAnsi="Arial" w:cs="Arial"/>
              </w:rPr>
              <w:t>OTH-2020/02046.</w:t>
            </w:r>
          </w:p>
          <w:p w:rsidR="00D554A3" w:rsidRPr="00D554A3" w:rsidRDefault="00D554A3" w:rsidP="00D554A3">
            <w:pPr>
              <w:spacing w:line="360" w:lineRule="auto"/>
              <w:ind w:left="20" w:hanging="20"/>
              <w:jc w:val="both"/>
              <w:rPr>
                <w:rFonts w:ascii="Arial" w:hAnsi="Arial" w:cs="Arial"/>
              </w:rPr>
            </w:pPr>
            <w:r w:rsidRPr="00D554A3">
              <w:rPr>
                <w:rFonts w:ascii="Arial" w:hAnsi="Arial" w:cs="Arial"/>
              </w:rPr>
              <w:lastRenderedPageBreak/>
              <w:t>2.</w:t>
            </w:r>
            <w:r w:rsidRPr="00D554A3">
              <w:rPr>
                <w:rFonts w:ascii="Arial" w:hAnsi="Arial" w:cs="Arial"/>
              </w:rPr>
              <w:tab/>
              <w:t>The applicant is ordered to pay the costs of this application consequent upon the employment of one instructing and one instructed legal practitioner.</w:t>
            </w:r>
          </w:p>
          <w:p w:rsidR="00D554A3" w:rsidRPr="00D554A3" w:rsidRDefault="00D554A3" w:rsidP="00D554A3">
            <w:pPr>
              <w:spacing w:line="360" w:lineRule="auto"/>
              <w:ind w:left="20" w:hanging="20"/>
              <w:jc w:val="both"/>
              <w:rPr>
                <w:rFonts w:ascii="Arial" w:hAnsi="Arial" w:cs="Arial"/>
              </w:rPr>
            </w:pPr>
            <w:r w:rsidRPr="00D554A3">
              <w:rPr>
                <w:rFonts w:ascii="Arial" w:hAnsi="Arial" w:cs="Arial"/>
              </w:rPr>
              <w:t>3.</w:t>
            </w:r>
            <w:r w:rsidRPr="00D554A3">
              <w:rPr>
                <w:rFonts w:ascii="Arial" w:hAnsi="Arial" w:cs="Arial"/>
              </w:rPr>
              <w:tab/>
              <w:t>The matter is postponed to 23 February 2023 for a status hearing regarding the action proceedings mentioned in paragraph 1 above.</w:t>
            </w:r>
            <w:r>
              <w:rPr>
                <w:rFonts w:ascii="Arial" w:hAnsi="Arial" w:cs="Arial"/>
              </w:rPr>
              <w:t>’</w:t>
            </w:r>
          </w:p>
          <w:p w:rsidR="00D554A3" w:rsidRDefault="00D554A3" w:rsidP="00D554A3">
            <w:pPr>
              <w:spacing w:line="360" w:lineRule="auto"/>
              <w:ind w:left="20" w:hanging="20"/>
              <w:jc w:val="both"/>
              <w:rPr>
                <w:rFonts w:ascii="Arial" w:hAnsi="Arial" w:cs="Arial"/>
                <w:sz w:val="24"/>
                <w:szCs w:val="24"/>
              </w:rPr>
            </w:pPr>
            <w:r w:rsidRPr="00D554A3">
              <w:rPr>
                <w:rFonts w:ascii="Arial" w:hAnsi="Arial" w:cs="Arial"/>
                <w:sz w:val="24"/>
                <w:szCs w:val="24"/>
              </w:rPr>
              <w:tab/>
            </w:r>
          </w:p>
          <w:p w:rsidR="000466BD" w:rsidRPr="00940E36" w:rsidRDefault="000466BD" w:rsidP="000466BD">
            <w:pPr>
              <w:spacing w:line="360" w:lineRule="auto"/>
              <w:ind w:left="20" w:hanging="20"/>
              <w:jc w:val="both"/>
              <w:rPr>
                <w:rFonts w:ascii="Arial" w:hAnsi="Arial" w:cs="Arial"/>
                <w:sz w:val="24"/>
                <w:szCs w:val="24"/>
                <w:u w:val="single"/>
              </w:rPr>
            </w:pPr>
            <w:r w:rsidRPr="00940E36">
              <w:rPr>
                <w:rFonts w:ascii="Arial" w:hAnsi="Arial" w:cs="Arial"/>
                <w:sz w:val="24"/>
                <w:szCs w:val="24"/>
                <w:u w:val="single"/>
              </w:rPr>
              <w:t xml:space="preserve">The </w:t>
            </w:r>
            <w:r w:rsidR="00D554A3">
              <w:rPr>
                <w:rFonts w:ascii="Arial" w:hAnsi="Arial" w:cs="Arial"/>
                <w:sz w:val="24"/>
                <w:szCs w:val="24"/>
                <w:u w:val="single"/>
              </w:rPr>
              <w:t>review</w:t>
            </w:r>
            <w:r w:rsidRPr="00940E36">
              <w:rPr>
                <w:rFonts w:ascii="Arial" w:hAnsi="Arial" w:cs="Arial"/>
                <w:sz w:val="24"/>
                <w:szCs w:val="24"/>
                <w:u w:val="single"/>
              </w:rPr>
              <w:t xml:space="preserve"> application</w:t>
            </w:r>
          </w:p>
          <w:p w:rsidR="000466BD" w:rsidRPr="000466BD" w:rsidRDefault="000466BD" w:rsidP="000466BD">
            <w:pPr>
              <w:spacing w:line="360" w:lineRule="auto"/>
              <w:ind w:left="20" w:hanging="20"/>
              <w:jc w:val="both"/>
              <w:rPr>
                <w:rFonts w:ascii="Arial" w:hAnsi="Arial" w:cs="Arial"/>
                <w:sz w:val="24"/>
                <w:szCs w:val="24"/>
              </w:rPr>
            </w:pPr>
          </w:p>
          <w:p w:rsidR="000466BD" w:rsidRDefault="00D554A3" w:rsidP="00DA0D55">
            <w:pPr>
              <w:spacing w:line="360" w:lineRule="auto"/>
              <w:ind w:left="20" w:hanging="20"/>
              <w:jc w:val="both"/>
              <w:rPr>
                <w:rFonts w:ascii="Arial" w:hAnsi="Arial" w:cs="Arial"/>
                <w:sz w:val="24"/>
                <w:szCs w:val="24"/>
              </w:rPr>
            </w:pPr>
            <w:r>
              <w:rPr>
                <w:rFonts w:ascii="Arial" w:hAnsi="Arial" w:cs="Arial"/>
                <w:sz w:val="24"/>
                <w:szCs w:val="24"/>
              </w:rPr>
              <w:t>[5</w:t>
            </w:r>
            <w:r w:rsidR="000466BD" w:rsidRPr="000466BD">
              <w:rPr>
                <w:rFonts w:ascii="Arial" w:hAnsi="Arial" w:cs="Arial"/>
                <w:sz w:val="24"/>
                <w:szCs w:val="24"/>
              </w:rPr>
              <w:t>]</w:t>
            </w:r>
            <w:r w:rsidR="000466BD" w:rsidRPr="000466BD">
              <w:rPr>
                <w:rFonts w:ascii="Arial" w:hAnsi="Arial" w:cs="Arial"/>
                <w:sz w:val="24"/>
                <w:szCs w:val="24"/>
              </w:rPr>
              <w:tab/>
            </w:r>
            <w:r w:rsidR="00453202">
              <w:rPr>
                <w:rFonts w:ascii="Arial" w:hAnsi="Arial" w:cs="Arial"/>
                <w:sz w:val="24"/>
                <w:szCs w:val="24"/>
              </w:rPr>
              <w:t xml:space="preserve">Following the </w:t>
            </w:r>
            <w:r w:rsidR="00507BD2">
              <w:rPr>
                <w:rFonts w:ascii="Arial" w:hAnsi="Arial" w:cs="Arial"/>
                <w:sz w:val="24"/>
                <w:szCs w:val="24"/>
              </w:rPr>
              <w:t>court’s judgment</w:t>
            </w:r>
            <w:r w:rsidR="00453202">
              <w:rPr>
                <w:rFonts w:ascii="Arial" w:hAnsi="Arial" w:cs="Arial"/>
                <w:sz w:val="24"/>
                <w:szCs w:val="24"/>
              </w:rPr>
              <w:t xml:space="preserve"> o</w:t>
            </w:r>
            <w:r>
              <w:rPr>
                <w:rFonts w:ascii="Arial" w:hAnsi="Arial" w:cs="Arial"/>
                <w:sz w:val="24"/>
                <w:szCs w:val="24"/>
              </w:rPr>
              <w:t>n 28 October 2022</w:t>
            </w:r>
            <w:r w:rsidR="00507BD2">
              <w:rPr>
                <w:rFonts w:ascii="Arial" w:hAnsi="Arial" w:cs="Arial"/>
                <w:sz w:val="24"/>
                <w:szCs w:val="24"/>
              </w:rPr>
              <w:t>,</w:t>
            </w:r>
            <w:r>
              <w:rPr>
                <w:rFonts w:ascii="Arial" w:hAnsi="Arial" w:cs="Arial"/>
                <w:sz w:val="24"/>
                <w:szCs w:val="24"/>
              </w:rPr>
              <w:t xml:space="preserve"> the matter was set down for taxat</w:t>
            </w:r>
            <w:r w:rsidR="00453202">
              <w:rPr>
                <w:rFonts w:ascii="Arial" w:hAnsi="Arial" w:cs="Arial"/>
                <w:sz w:val="24"/>
                <w:szCs w:val="24"/>
              </w:rPr>
              <w:t>ion. The taxation was finalised</w:t>
            </w:r>
            <w:r w:rsidR="00507BD2">
              <w:rPr>
                <w:rFonts w:ascii="Arial" w:hAnsi="Arial" w:cs="Arial"/>
                <w:sz w:val="24"/>
                <w:szCs w:val="24"/>
              </w:rPr>
              <w:t>,</w:t>
            </w:r>
            <w:r w:rsidR="00453202">
              <w:rPr>
                <w:rFonts w:ascii="Arial" w:hAnsi="Arial" w:cs="Arial"/>
                <w:sz w:val="24"/>
                <w:szCs w:val="24"/>
              </w:rPr>
              <w:t xml:space="preserve"> and subsequentl</w:t>
            </w:r>
            <w:r w:rsidR="00507BD2">
              <w:rPr>
                <w:rFonts w:ascii="Arial" w:hAnsi="Arial" w:cs="Arial"/>
                <w:sz w:val="24"/>
                <w:szCs w:val="24"/>
              </w:rPr>
              <w:t xml:space="preserve">y, </w:t>
            </w:r>
            <w:r w:rsidR="00453202">
              <w:rPr>
                <w:rFonts w:ascii="Arial" w:hAnsi="Arial" w:cs="Arial"/>
                <w:sz w:val="24"/>
                <w:szCs w:val="24"/>
              </w:rPr>
              <w:t xml:space="preserve">an </w:t>
            </w:r>
            <w:r w:rsidR="00275493">
              <w:rPr>
                <w:rFonts w:ascii="Arial" w:hAnsi="Arial" w:cs="Arial"/>
                <w:sz w:val="24"/>
                <w:szCs w:val="24"/>
              </w:rPr>
              <w:t>a</w:t>
            </w:r>
            <w:r w:rsidR="00386121">
              <w:rPr>
                <w:rFonts w:ascii="Arial" w:hAnsi="Arial" w:cs="Arial"/>
                <w:sz w:val="24"/>
                <w:szCs w:val="24"/>
              </w:rPr>
              <w:t>llocatu</w:t>
            </w:r>
            <w:r w:rsidR="00453202">
              <w:rPr>
                <w:rFonts w:ascii="Arial" w:hAnsi="Arial" w:cs="Arial"/>
                <w:sz w:val="24"/>
                <w:szCs w:val="24"/>
              </w:rPr>
              <w:t>r was issued by the taxing master.</w:t>
            </w:r>
          </w:p>
          <w:p w:rsidR="00D554A3" w:rsidRDefault="00D554A3" w:rsidP="00DA0D55">
            <w:pPr>
              <w:spacing w:line="360" w:lineRule="auto"/>
              <w:ind w:left="20" w:hanging="20"/>
              <w:jc w:val="both"/>
              <w:rPr>
                <w:rFonts w:ascii="Arial" w:hAnsi="Arial" w:cs="Arial"/>
                <w:sz w:val="24"/>
                <w:szCs w:val="24"/>
              </w:rPr>
            </w:pPr>
          </w:p>
          <w:p w:rsidR="00D554A3" w:rsidRPr="003A32E4" w:rsidRDefault="00453202" w:rsidP="00DA0D55">
            <w:pPr>
              <w:spacing w:line="360" w:lineRule="auto"/>
              <w:ind w:left="20" w:hanging="20"/>
              <w:jc w:val="both"/>
              <w:rPr>
                <w:rFonts w:ascii="Arial" w:hAnsi="Arial" w:cs="Arial"/>
                <w:sz w:val="24"/>
                <w:szCs w:val="24"/>
              </w:rPr>
            </w:pPr>
            <w:r>
              <w:rPr>
                <w:rFonts w:ascii="Arial" w:hAnsi="Arial" w:cs="Arial"/>
                <w:sz w:val="24"/>
                <w:szCs w:val="24"/>
              </w:rPr>
              <w:t>[6]</w:t>
            </w:r>
            <w:r w:rsidRPr="00453202">
              <w:rPr>
                <w:rFonts w:ascii="Arial" w:hAnsi="Arial" w:cs="Arial"/>
                <w:sz w:val="24"/>
                <w:szCs w:val="24"/>
              </w:rPr>
              <w:tab/>
            </w:r>
            <w:r>
              <w:rPr>
                <w:rFonts w:ascii="Arial" w:hAnsi="Arial" w:cs="Arial"/>
                <w:sz w:val="24"/>
                <w:szCs w:val="24"/>
              </w:rPr>
              <w:t>T</w:t>
            </w:r>
            <w:r w:rsidRPr="00453202">
              <w:rPr>
                <w:rFonts w:ascii="Arial" w:hAnsi="Arial" w:cs="Arial"/>
                <w:sz w:val="24"/>
                <w:szCs w:val="24"/>
              </w:rPr>
              <w:t>he applicant</w:t>
            </w:r>
            <w:r w:rsidR="00507BD2">
              <w:rPr>
                <w:rFonts w:ascii="Arial" w:hAnsi="Arial" w:cs="Arial"/>
                <w:sz w:val="24"/>
                <w:szCs w:val="24"/>
              </w:rPr>
              <w:t>,</w:t>
            </w:r>
            <w:r w:rsidRPr="00453202">
              <w:rPr>
                <w:rFonts w:ascii="Arial" w:hAnsi="Arial" w:cs="Arial"/>
                <w:sz w:val="24"/>
                <w:szCs w:val="24"/>
              </w:rPr>
              <w:t xml:space="preserve"> </w:t>
            </w:r>
            <w:r w:rsidR="00386121">
              <w:rPr>
                <w:rFonts w:ascii="Arial" w:hAnsi="Arial" w:cs="Arial"/>
                <w:sz w:val="24"/>
                <w:szCs w:val="24"/>
              </w:rPr>
              <w:t>dissatisfied with the allocatu</w:t>
            </w:r>
            <w:r>
              <w:rPr>
                <w:rFonts w:ascii="Arial" w:hAnsi="Arial" w:cs="Arial"/>
                <w:sz w:val="24"/>
                <w:szCs w:val="24"/>
              </w:rPr>
              <w:t>r</w:t>
            </w:r>
            <w:r w:rsidR="005579BC">
              <w:rPr>
                <w:rFonts w:ascii="Arial" w:hAnsi="Arial" w:cs="Arial"/>
                <w:sz w:val="24"/>
                <w:szCs w:val="24"/>
              </w:rPr>
              <w:t>,</w:t>
            </w:r>
            <w:r>
              <w:rPr>
                <w:rFonts w:ascii="Arial" w:hAnsi="Arial" w:cs="Arial"/>
                <w:sz w:val="24"/>
                <w:szCs w:val="24"/>
              </w:rPr>
              <w:t xml:space="preserve"> filed a notice in terms of rule 75(1) requesting the taxing master to state a case for the decision of a judge. </w:t>
            </w:r>
            <w:r w:rsidR="00275493">
              <w:rPr>
                <w:rFonts w:ascii="Arial" w:hAnsi="Arial" w:cs="Arial"/>
                <w:sz w:val="24"/>
                <w:szCs w:val="24"/>
              </w:rPr>
              <w:t>The taxing master</w:t>
            </w:r>
            <w:r w:rsidR="00507BD2">
              <w:rPr>
                <w:rFonts w:ascii="Arial" w:hAnsi="Arial" w:cs="Arial"/>
                <w:sz w:val="24"/>
                <w:szCs w:val="24"/>
              </w:rPr>
              <w:t>,</w:t>
            </w:r>
            <w:r w:rsidR="00275493">
              <w:rPr>
                <w:rFonts w:ascii="Arial" w:hAnsi="Arial" w:cs="Arial"/>
                <w:sz w:val="24"/>
                <w:szCs w:val="24"/>
              </w:rPr>
              <w:t xml:space="preserve"> in her </w:t>
            </w:r>
            <w:r w:rsidR="00C32B74">
              <w:rPr>
                <w:rFonts w:ascii="Arial" w:hAnsi="Arial" w:cs="Arial"/>
                <w:sz w:val="24"/>
                <w:szCs w:val="24"/>
              </w:rPr>
              <w:t>stated case in terms of rule 75(2)</w:t>
            </w:r>
            <w:r w:rsidR="00507BD2">
              <w:rPr>
                <w:rFonts w:ascii="Arial" w:hAnsi="Arial" w:cs="Arial"/>
                <w:sz w:val="24"/>
                <w:szCs w:val="24"/>
              </w:rPr>
              <w:t>,</w:t>
            </w:r>
            <w:r w:rsidR="00C32B74">
              <w:rPr>
                <w:rFonts w:ascii="Arial" w:hAnsi="Arial" w:cs="Arial"/>
                <w:sz w:val="24"/>
                <w:szCs w:val="24"/>
              </w:rPr>
              <w:t xml:space="preserve"> postulates that on the day of the taxation</w:t>
            </w:r>
            <w:r w:rsidR="00507BD2">
              <w:rPr>
                <w:rFonts w:ascii="Arial" w:hAnsi="Arial" w:cs="Arial"/>
                <w:sz w:val="24"/>
                <w:szCs w:val="24"/>
              </w:rPr>
              <w:t>,</w:t>
            </w:r>
            <w:r w:rsidR="00C32B74">
              <w:rPr>
                <w:rFonts w:ascii="Arial" w:hAnsi="Arial" w:cs="Arial"/>
                <w:sz w:val="24"/>
                <w:szCs w:val="24"/>
              </w:rPr>
              <w:t xml:space="preserve"> she was implored to rule on a point in limine which was raised by the applicant. </w:t>
            </w:r>
          </w:p>
          <w:p w:rsidR="000466BD" w:rsidRPr="00940E36" w:rsidRDefault="000466BD" w:rsidP="00B601AD">
            <w:pPr>
              <w:spacing w:line="360" w:lineRule="auto"/>
              <w:ind w:left="20" w:hanging="20"/>
              <w:jc w:val="both"/>
              <w:rPr>
                <w:rFonts w:ascii="Arial" w:hAnsi="Arial" w:cs="Arial"/>
                <w:sz w:val="24"/>
                <w:szCs w:val="24"/>
                <w:u w:val="single"/>
              </w:rPr>
            </w:pPr>
          </w:p>
          <w:p w:rsidR="00B601AD" w:rsidRPr="00B601AD" w:rsidRDefault="00940E36" w:rsidP="00DA0D55">
            <w:pPr>
              <w:pStyle w:val="BodyTextIndent"/>
            </w:pPr>
            <w:r>
              <w:t>[7</w:t>
            </w:r>
            <w:r w:rsidR="00B601AD" w:rsidRPr="00B601AD">
              <w:t>]</w:t>
            </w:r>
            <w:r w:rsidR="00B601AD" w:rsidRPr="00B601AD">
              <w:tab/>
            </w:r>
            <w:r w:rsidR="00C32B74">
              <w:t xml:space="preserve">The point </w:t>
            </w:r>
            <w:r w:rsidR="00636C8E">
              <w:t xml:space="preserve">in limine raised by the applicant was premised on </w:t>
            </w:r>
            <w:r w:rsidR="00C32B74" w:rsidRPr="00C32B74">
              <w:t>whether the respondents are entitled to the costs</w:t>
            </w:r>
            <w:r w:rsidR="00636C8E">
              <w:t xml:space="preserve"> of the whole (main and vexatiou</w:t>
            </w:r>
            <w:r w:rsidR="00C32B74" w:rsidRPr="00C32B74">
              <w:t>s proceedings) application, although the j</w:t>
            </w:r>
            <w:r w:rsidR="00636C8E">
              <w:t>udgment handed down by</w:t>
            </w:r>
            <w:r w:rsidR="00C32B74" w:rsidRPr="00C32B74">
              <w:t xml:space="preserve"> Masuku</w:t>
            </w:r>
            <w:r w:rsidR="00636C8E">
              <w:t xml:space="preserve"> J</w:t>
            </w:r>
            <w:r w:rsidR="00386121">
              <w:t xml:space="preserve"> did not finalis</w:t>
            </w:r>
            <w:r w:rsidR="00C32B74" w:rsidRPr="00C32B74">
              <w:t xml:space="preserve">e the </w:t>
            </w:r>
            <w:r w:rsidR="00636C8E">
              <w:t>main dispute between the parties</w:t>
            </w:r>
            <w:r w:rsidR="005579BC">
              <w:t>,</w:t>
            </w:r>
            <w:r w:rsidR="00636C8E">
              <w:t xml:space="preserve"> but</w:t>
            </w:r>
            <w:r w:rsidR="00C32B74" w:rsidRPr="00C32B74">
              <w:t xml:space="preserve"> only dealt with the issue of </w:t>
            </w:r>
            <w:r w:rsidR="00386121">
              <w:t xml:space="preserve">whether the applicant’s application was </w:t>
            </w:r>
            <w:r w:rsidR="00C32B74" w:rsidRPr="00C32B74">
              <w:t>vexatious</w:t>
            </w:r>
            <w:r w:rsidR="00386121">
              <w:t xml:space="preserve"> in nature </w:t>
            </w:r>
            <w:r w:rsidR="00C32B74" w:rsidRPr="00C32B74">
              <w:t xml:space="preserve">and </w:t>
            </w:r>
            <w:r w:rsidR="00386121">
              <w:t xml:space="preserve">the </w:t>
            </w:r>
            <w:r w:rsidR="00DA4A57">
              <w:t xml:space="preserve">abuse of court process. </w:t>
            </w:r>
          </w:p>
          <w:p w:rsidR="00B601AD" w:rsidRPr="00B601AD" w:rsidRDefault="00B601AD" w:rsidP="00B601AD">
            <w:pPr>
              <w:spacing w:line="360" w:lineRule="auto"/>
              <w:ind w:left="20" w:hanging="20"/>
              <w:jc w:val="both"/>
              <w:rPr>
                <w:rFonts w:ascii="Arial" w:hAnsi="Arial" w:cs="Arial"/>
                <w:sz w:val="24"/>
                <w:szCs w:val="24"/>
              </w:rPr>
            </w:pPr>
          </w:p>
          <w:p w:rsidR="003A32E4" w:rsidRPr="00940E36" w:rsidRDefault="00636C8E" w:rsidP="003A32E4">
            <w:pPr>
              <w:pStyle w:val="BodyTextIndent"/>
              <w:rPr>
                <w:u w:val="single"/>
              </w:rPr>
            </w:pPr>
            <w:r>
              <w:rPr>
                <w:u w:val="single"/>
              </w:rPr>
              <w:t>The applicant’s contentions</w:t>
            </w:r>
          </w:p>
          <w:p w:rsidR="003A32E4" w:rsidRDefault="003A32E4" w:rsidP="003A32E4">
            <w:pPr>
              <w:pStyle w:val="BodyTextIndent"/>
            </w:pPr>
          </w:p>
          <w:p w:rsidR="00B601AD" w:rsidRDefault="00940E36" w:rsidP="00342043">
            <w:pPr>
              <w:pStyle w:val="BodyTextIndent"/>
            </w:pPr>
            <w:r>
              <w:t>[8</w:t>
            </w:r>
            <w:r w:rsidR="003A32E4" w:rsidRPr="003A32E4">
              <w:t>]</w:t>
            </w:r>
            <w:r w:rsidR="003A32E4" w:rsidRPr="003A32E4">
              <w:tab/>
            </w:r>
            <w:r w:rsidR="00636C8E">
              <w:t xml:space="preserve">The applicant </w:t>
            </w:r>
            <w:r w:rsidR="00507BD2">
              <w:t>contends</w:t>
            </w:r>
            <w:r w:rsidR="00636C8E">
              <w:t xml:space="preserve"> that the taxing master acted on the wrong principle when finding that the whole application was argued (both the main and vexatious </w:t>
            </w:r>
            <w:r w:rsidR="00DA4A57">
              <w:t>and abuse of court process proceedings</w:t>
            </w:r>
            <w:r w:rsidR="00636C8E">
              <w:t>) and that she was wrong when finding that the respondents were entitled to the entire costs of the application.</w:t>
            </w:r>
            <w:r w:rsidR="00342043">
              <w:t xml:space="preserve"> </w:t>
            </w:r>
            <w:r w:rsidR="00636C8E">
              <w:t xml:space="preserve">The </w:t>
            </w:r>
            <w:r w:rsidR="00386121">
              <w:t>applicant</w:t>
            </w:r>
            <w:r w:rsidR="001A39D7">
              <w:t xml:space="preserve"> is</w:t>
            </w:r>
            <w:r w:rsidR="00636C8E">
              <w:t xml:space="preserve"> further of the view that the taxing master was wrong in finding that the court order of 7 September 2022 is clear and unambiguous and grants th</w:t>
            </w:r>
            <w:r w:rsidR="001A39D7">
              <w:t xml:space="preserve">e respondents all their costs. The applicant argues that the court order did not finalise and remove the matter from the roll, it simply stayed </w:t>
            </w:r>
            <w:r w:rsidR="005579BC">
              <w:t>the application for the winding-</w:t>
            </w:r>
            <w:r w:rsidR="001A39D7">
              <w:t>up of the secon</w:t>
            </w:r>
            <w:r w:rsidR="00DE31FE">
              <w:t>d respondent</w:t>
            </w:r>
            <w:r w:rsidR="00AF5CE4">
              <w:t>,</w:t>
            </w:r>
            <w:r w:rsidR="00DE31FE">
              <w:t xml:space="preserve"> pending the outcome</w:t>
            </w:r>
            <w:r w:rsidR="001A39D7">
              <w:t xml:space="preserve"> of the action proceedings under case number </w:t>
            </w:r>
            <w:r w:rsidR="001A39D7" w:rsidRPr="001A39D7">
              <w:t>HC-MD-CIV-ACT-OTH-2020/02046</w:t>
            </w:r>
            <w:r w:rsidR="001A39D7">
              <w:t xml:space="preserve">. </w:t>
            </w:r>
          </w:p>
          <w:p w:rsidR="00DE31FE" w:rsidRDefault="00DE31FE" w:rsidP="003A32E4">
            <w:pPr>
              <w:pStyle w:val="BodyTextIndent"/>
            </w:pPr>
          </w:p>
          <w:p w:rsidR="00DE31FE" w:rsidRDefault="00DE31FE" w:rsidP="003A32E4">
            <w:pPr>
              <w:pStyle w:val="BodyTextIndent"/>
            </w:pPr>
            <w:r>
              <w:t>[9]</w:t>
            </w:r>
            <w:r w:rsidRPr="00DE31FE">
              <w:tab/>
            </w:r>
            <w:r w:rsidR="00DA4A57">
              <w:t>Mr Steinbach</w:t>
            </w:r>
            <w:r w:rsidR="00507BD2">
              <w:t>,</w:t>
            </w:r>
            <w:r w:rsidR="00DA4A57">
              <w:t xml:space="preserve"> for the </w:t>
            </w:r>
            <w:r>
              <w:t>applicant</w:t>
            </w:r>
            <w:r w:rsidR="00507BD2">
              <w:t>,</w:t>
            </w:r>
            <w:r>
              <w:t xml:space="preserve"> submits that given that the main application pending before </w:t>
            </w:r>
            <w:r w:rsidR="00507BD2">
              <w:t xml:space="preserve">the </w:t>
            </w:r>
            <w:r>
              <w:t>court is yet to be finalised</w:t>
            </w:r>
            <w:r w:rsidR="00AF5CE4">
              <w:t>,</w:t>
            </w:r>
            <w:r>
              <w:t xml:space="preserve"> the respondents are only entitled to certain of the costs until such </w:t>
            </w:r>
            <w:r>
              <w:lastRenderedPageBreak/>
              <w:t xml:space="preserve">time </w:t>
            </w:r>
            <w:r w:rsidR="00D83BA2">
              <w:t xml:space="preserve">that the main application is finalised. The applicant contends that the respondents’ bill of costs should only reflect the following items: </w:t>
            </w:r>
          </w:p>
          <w:p w:rsidR="00DE31FE" w:rsidRDefault="00DE31FE" w:rsidP="003A32E4">
            <w:pPr>
              <w:pStyle w:val="BodyTextIndent"/>
            </w:pPr>
          </w:p>
          <w:p w:rsidR="00DE31FE" w:rsidRDefault="00D83BA2" w:rsidP="00D83BA2">
            <w:pPr>
              <w:pStyle w:val="BodyTextIndent"/>
              <w:numPr>
                <w:ilvl w:val="0"/>
                <w:numId w:val="8"/>
              </w:numPr>
            </w:pPr>
            <w:r>
              <w:t xml:space="preserve">Consulting and drafting fees relating to the vexatious and abuse of the process of court point raised by the respondent as per </w:t>
            </w:r>
            <w:r w:rsidR="00AF5CE4">
              <w:t xml:space="preserve">the </w:t>
            </w:r>
            <w:r>
              <w:t>r</w:t>
            </w:r>
            <w:r w:rsidR="00DA4A57">
              <w:t>espondent’s answering affidavit;</w:t>
            </w:r>
          </w:p>
          <w:p w:rsidR="00D83BA2" w:rsidRDefault="00DA4A57" w:rsidP="00D83BA2">
            <w:pPr>
              <w:pStyle w:val="BodyTextIndent"/>
              <w:numPr>
                <w:ilvl w:val="0"/>
                <w:numId w:val="8"/>
              </w:numPr>
            </w:pPr>
            <w:r>
              <w:t>Fees relating to the vexatiou</w:t>
            </w:r>
            <w:r w:rsidR="00D83BA2">
              <w:t>s and abuse of the process of court point raised by the respondent as per the Joint Case Management Report filed;</w:t>
            </w:r>
          </w:p>
          <w:p w:rsidR="00D83BA2" w:rsidRDefault="00D83BA2" w:rsidP="00D83BA2">
            <w:pPr>
              <w:pStyle w:val="BodyTextIndent"/>
              <w:numPr>
                <w:ilvl w:val="0"/>
                <w:numId w:val="8"/>
              </w:numPr>
            </w:pPr>
            <w:r>
              <w:t>Fees relating to the preparation and attendance of the hearin</w:t>
            </w:r>
            <w:r w:rsidR="00DA4A57">
              <w:t>g of the matter on 4 April 2022;</w:t>
            </w:r>
            <w:r w:rsidR="00507BD2">
              <w:t xml:space="preserve"> </w:t>
            </w:r>
            <w:r w:rsidR="00AF5CE4">
              <w:t xml:space="preserve">and </w:t>
            </w:r>
          </w:p>
          <w:p w:rsidR="00D83BA2" w:rsidRDefault="00D83BA2" w:rsidP="00D83BA2">
            <w:pPr>
              <w:pStyle w:val="BodyTextIndent"/>
              <w:numPr>
                <w:ilvl w:val="0"/>
                <w:numId w:val="8"/>
              </w:numPr>
            </w:pPr>
            <w:r>
              <w:t xml:space="preserve">Fees relating to the noting of the judgment on 7 September 2022. </w:t>
            </w:r>
          </w:p>
          <w:p w:rsidR="00DE31FE" w:rsidRDefault="00DE31FE" w:rsidP="003A32E4">
            <w:pPr>
              <w:pStyle w:val="BodyTextIndent"/>
            </w:pPr>
          </w:p>
          <w:p w:rsidR="00DE31FE" w:rsidRDefault="00D83BA2" w:rsidP="003A32E4">
            <w:pPr>
              <w:pStyle w:val="BodyTextIndent"/>
            </w:pPr>
            <w:r>
              <w:t>[10]</w:t>
            </w:r>
            <w:r w:rsidRPr="00D83BA2">
              <w:tab/>
            </w:r>
            <w:r>
              <w:t>In closing</w:t>
            </w:r>
            <w:r w:rsidR="00DA4A57">
              <w:t>,</w:t>
            </w:r>
            <w:r>
              <w:t xml:space="preserve"> the applicant contends that the remainder of the costs for work don</w:t>
            </w:r>
            <w:r w:rsidR="00386121">
              <w:t>e is not lost to the respondent,</w:t>
            </w:r>
            <w:r>
              <w:t xml:space="preserve"> </w:t>
            </w:r>
            <w:r w:rsidR="00AF5CE4">
              <w:t xml:space="preserve">as </w:t>
            </w:r>
            <w:r>
              <w:t>these costs are taxable in future once the matter is finalised and judgment is handed down dependin</w:t>
            </w:r>
            <w:r w:rsidR="00B01C8E">
              <w:t xml:space="preserve">g </w:t>
            </w:r>
            <w:r w:rsidR="00AF5CE4">
              <w:t>on which party is successful. The applicant further</w:t>
            </w:r>
            <w:r w:rsidR="00B01C8E">
              <w:t xml:space="preserve"> prays that the matter be referred back to the taxing master to determine the reasonable fees </w:t>
            </w:r>
            <w:r w:rsidR="00620A52">
              <w:t>resulting from</w:t>
            </w:r>
            <w:r w:rsidR="00B01C8E">
              <w:t xml:space="preserve"> the vexatious and abuse of court process application. </w:t>
            </w:r>
          </w:p>
          <w:p w:rsidR="00D83BA2" w:rsidRDefault="00D83BA2" w:rsidP="003A32E4">
            <w:pPr>
              <w:pStyle w:val="BodyTextIndent"/>
            </w:pPr>
          </w:p>
          <w:p w:rsidR="005579BC" w:rsidRDefault="00BF2081" w:rsidP="005579BC">
            <w:pPr>
              <w:pStyle w:val="BodyTextIndent"/>
              <w:rPr>
                <w:u w:val="single"/>
              </w:rPr>
            </w:pPr>
            <w:r w:rsidRPr="00BF2081">
              <w:rPr>
                <w:u w:val="single"/>
              </w:rPr>
              <w:t>The respondents’ contentions</w:t>
            </w:r>
          </w:p>
          <w:p w:rsidR="005579BC" w:rsidRPr="00854187" w:rsidRDefault="005579BC" w:rsidP="005579BC">
            <w:pPr>
              <w:pStyle w:val="BodyTextIndent"/>
              <w:rPr>
                <w:u w:val="single"/>
              </w:rPr>
            </w:pPr>
          </w:p>
          <w:p w:rsidR="00BC1266" w:rsidRDefault="00D83BA2" w:rsidP="00854187">
            <w:pPr>
              <w:pStyle w:val="BodyTextIndent"/>
            </w:pPr>
            <w:r>
              <w:t>[11]</w:t>
            </w:r>
            <w:r w:rsidRPr="00D83BA2">
              <w:tab/>
            </w:r>
            <w:r w:rsidR="00E92A6B">
              <w:t>In contrast</w:t>
            </w:r>
            <w:r w:rsidR="00DA4A57">
              <w:t>, Ms Kuzeeko</w:t>
            </w:r>
            <w:r w:rsidR="00620A52">
              <w:t>,</w:t>
            </w:r>
            <w:r w:rsidR="00DA4A57">
              <w:t xml:space="preserve"> for</w:t>
            </w:r>
            <w:r w:rsidR="00AF5CE4">
              <w:t xml:space="preserve"> the respondents</w:t>
            </w:r>
            <w:r w:rsidR="00620A52">
              <w:t>,</w:t>
            </w:r>
            <w:r w:rsidR="00AF5CE4">
              <w:t xml:space="preserve"> </w:t>
            </w:r>
            <w:r w:rsidR="00507BD2">
              <w:t>contends</w:t>
            </w:r>
            <w:r w:rsidR="00AF5CE4">
              <w:t xml:space="preserve"> </w:t>
            </w:r>
            <w:r w:rsidR="00E92A6B">
              <w:t xml:space="preserve">that the applicant’s abortive liquidation application was stayed pending the finalisation of the pending action for the liquidation of the </w:t>
            </w:r>
            <w:r w:rsidR="00DA4A57">
              <w:t xml:space="preserve">first and second </w:t>
            </w:r>
            <w:r w:rsidR="00E92A6B">
              <w:t>respondents.</w:t>
            </w:r>
            <w:r w:rsidR="00DA4A57">
              <w:t xml:space="preserve"> Respondents </w:t>
            </w:r>
            <w:r w:rsidR="00B125D3">
              <w:t>are of the view that</w:t>
            </w:r>
            <w:r w:rsidR="00E92A6B">
              <w:t xml:space="preserve"> “there is no guarantee” that the abortive liquidation application would be further pursued by the applicant. If its liquidation action were to be </w:t>
            </w:r>
            <w:r w:rsidR="00B125D3">
              <w:t xml:space="preserve">successful, there would </w:t>
            </w:r>
            <w:r w:rsidR="00E92A6B">
              <w:t>be no reason for the applicant to further pursue the stayed liquidation application. Even if the liquidation action were to be unsuccessful, there is still “no guarantee” that the applicant would further pursue the liquidation application. He (the app</w:t>
            </w:r>
            <w:r w:rsidR="00B125D3">
              <w:t xml:space="preserve">licant) may </w:t>
            </w:r>
            <w:r w:rsidR="00E92A6B">
              <w:t>decide that it does not make financial sense to do so, and abandon the application. There may be other reasons why the app</w:t>
            </w:r>
            <w:r w:rsidR="00B125D3">
              <w:t>licant may decide not to</w:t>
            </w:r>
            <w:r w:rsidR="00E92A6B">
              <w:t xml:space="preserve"> pursue the application</w:t>
            </w:r>
            <w:r w:rsidR="00B125D3">
              <w:t xml:space="preserve"> further</w:t>
            </w:r>
            <w:r w:rsidR="00854187">
              <w:t>.</w:t>
            </w:r>
          </w:p>
          <w:p w:rsidR="00BC1266" w:rsidRDefault="00BC1266" w:rsidP="00B125D3">
            <w:pPr>
              <w:pStyle w:val="BodyTextIndent"/>
            </w:pPr>
          </w:p>
          <w:p w:rsidR="00E92A6B" w:rsidRDefault="00E92A6B" w:rsidP="00B125D3">
            <w:pPr>
              <w:pStyle w:val="BodyTextIndent"/>
            </w:pPr>
            <w:r>
              <w:t>[12]</w:t>
            </w:r>
            <w:r>
              <w:tab/>
              <w:t xml:space="preserve">The respondents further </w:t>
            </w:r>
            <w:r w:rsidR="00507BD2">
              <w:t>submitted</w:t>
            </w:r>
            <w:r>
              <w:t xml:space="preserve"> that the taxing</w:t>
            </w:r>
            <w:r w:rsidR="00154246">
              <w:t xml:space="preserve"> master was</w:t>
            </w:r>
            <w:r w:rsidR="00B125D3">
              <w:t xml:space="preserve"> correct in </w:t>
            </w:r>
            <w:r>
              <w:t>tax</w:t>
            </w:r>
            <w:r w:rsidR="00B125D3">
              <w:t>ing</w:t>
            </w:r>
            <w:r>
              <w:t xml:space="preserve"> all the costs of</w:t>
            </w:r>
            <w:r w:rsidR="00154246">
              <w:t xml:space="preserve"> the respondents and that the </w:t>
            </w:r>
            <w:r w:rsidR="00B125D3">
              <w:t>allocat</w:t>
            </w:r>
            <w:r w:rsidR="00C87E8F">
              <w:t>u</w:t>
            </w:r>
            <w:r w:rsidR="00B125D3">
              <w:t>r</w:t>
            </w:r>
            <w:r w:rsidR="00154246">
              <w:t xml:space="preserve"> is not flawed</w:t>
            </w:r>
            <w:r>
              <w:t>.</w:t>
            </w:r>
            <w:r w:rsidR="00154246">
              <w:t xml:space="preserve"> </w:t>
            </w:r>
            <w:r w:rsidR="00B125D3">
              <w:t xml:space="preserve">They further </w:t>
            </w:r>
            <w:r w:rsidR="00154246" w:rsidRPr="00154246">
              <w:t xml:space="preserve">submitted that costs of the applicant’s review should be paid upon the scale as between attorney and client given the ongoing, persistent and relentless vexatious </w:t>
            </w:r>
            <w:r w:rsidR="00B125D3">
              <w:t xml:space="preserve">conduct of the applicant, which resulted in </w:t>
            </w:r>
            <w:r w:rsidR="00154246" w:rsidRPr="00154246">
              <w:t xml:space="preserve">unnecessary trouble </w:t>
            </w:r>
            <w:r w:rsidR="00B125D3">
              <w:t xml:space="preserve">and expense which the respondents ought not to bear. The applicant’s review application </w:t>
            </w:r>
            <w:r>
              <w:t>should therefore be dismissed with costs.</w:t>
            </w:r>
          </w:p>
          <w:p w:rsidR="00BF2081" w:rsidRDefault="00BF2081" w:rsidP="004E0A42">
            <w:pPr>
              <w:pStyle w:val="BodyTextIndent"/>
              <w:ind w:left="0" w:firstLine="0"/>
            </w:pPr>
          </w:p>
          <w:p w:rsidR="00BF2081" w:rsidRPr="0021638C" w:rsidRDefault="005F629F" w:rsidP="003A32E4">
            <w:pPr>
              <w:pStyle w:val="BodyTextIndent"/>
              <w:rPr>
                <w:u w:val="single"/>
              </w:rPr>
            </w:pPr>
            <w:r w:rsidRPr="0021638C">
              <w:rPr>
                <w:u w:val="single"/>
              </w:rPr>
              <w:t>The taxing master’s stated case</w:t>
            </w:r>
          </w:p>
          <w:p w:rsidR="005F629F" w:rsidRDefault="005F629F" w:rsidP="003A32E4">
            <w:pPr>
              <w:pStyle w:val="BodyTextIndent"/>
            </w:pPr>
          </w:p>
          <w:p w:rsidR="005F629F" w:rsidRDefault="005F629F" w:rsidP="003A32E4">
            <w:pPr>
              <w:pStyle w:val="BodyTextIndent"/>
            </w:pPr>
            <w:r>
              <w:t>[13]</w:t>
            </w:r>
            <w:r w:rsidRPr="005F629F">
              <w:tab/>
            </w:r>
            <w:r w:rsidR="00B81536">
              <w:t>The taxing master i</w:t>
            </w:r>
            <w:r>
              <w:t xml:space="preserve">s of the view that </w:t>
            </w:r>
            <w:r w:rsidRPr="005F629F">
              <w:t>the court dealt with the whole applicat</w:t>
            </w:r>
            <w:r w:rsidR="00B81536">
              <w:t>ion (both the main and vexatious</w:t>
            </w:r>
            <w:r w:rsidRPr="005F629F">
              <w:t xml:space="preserve"> </w:t>
            </w:r>
            <w:r w:rsidR="00DA4A57">
              <w:t xml:space="preserve">and abuse of court process </w:t>
            </w:r>
            <w:r w:rsidRPr="005F629F">
              <w:t xml:space="preserve">proceedings applications) </w:t>
            </w:r>
            <w:r w:rsidR="00DA4A57">
              <w:t>on the date of the hearing (4 April 2022)</w:t>
            </w:r>
            <w:r w:rsidR="00620A52">
              <w:t>,</w:t>
            </w:r>
            <w:r w:rsidR="00DA4A57">
              <w:t xml:space="preserve"> </w:t>
            </w:r>
            <w:r w:rsidRPr="005F629F">
              <w:t>and as such</w:t>
            </w:r>
            <w:r w:rsidR="00620A52">
              <w:t>,</w:t>
            </w:r>
            <w:r w:rsidRPr="005F629F">
              <w:t xml:space="preserve"> the respondents are entitled to their costs as per the jud</w:t>
            </w:r>
            <w:r>
              <w:t xml:space="preserve">gment handed down. It is further her position </w:t>
            </w:r>
            <w:r w:rsidR="00B81536">
              <w:t xml:space="preserve">that </w:t>
            </w:r>
            <w:r w:rsidRPr="005F629F">
              <w:t xml:space="preserve">the order </w:t>
            </w:r>
            <w:r>
              <w:t xml:space="preserve">handed down </w:t>
            </w:r>
            <w:r w:rsidR="00DA4A57">
              <w:t>by the court on 7 September 2022</w:t>
            </w:r>
            <w:r>
              <w:t xml:space="preserve"> </w:t>
            </w:r>
            <w:r w:rsidRPr="005F629F">
              <w:t>is clear and unambiguous</w:t>
            </w:r>
            <w:r w:rsidR="00620A52">
              <w:t>,</w:t>
            </w:r>
            <w:r w:rsidRPr="005F629F">
              <w:t xml:space="preserve"> and </w:t>
            </w:r>
            <w:r>
              <w:t>the court granted</w:t>
            </w:r>
            <w:r w:rsidRPr="005F629F">
              <w:t xml:space="preserve"> the respondents their costs pertaining </w:t>
            </w:r>
            <w:r>
              <w:t>to the whole matter</w:t>
            </w:r>
            <w:r w:rsidRPr="005F629F">
              <w:t>. It is</w:t>
            </w:r>
            <w:r>
              <w:t xml:space="preserve"> for that reason </w:t>
            </w:r>
            <w:r w:rsidRPr="005F629F">
              <w:t>that all of the respondents’ costs in respect of the application had to be taxed and not o</w:t>
            </w:r>
            <w:r>
              <w:t>nly specific portions thereof</w:t>
            </w:r>
            <w:r w:rsidR="00620A52">
              <w:t>,</w:t>
            </w:r>
            <w:r w:rsidR="00B81536">
              <w:t xml:space="preserve"> so her reasoning goes</w:t>
            </w:r>
            <w:r>
              <w:t xml:space="preserve">. </w:t>
            </w:r>
          </w:p>
          <w:p w:rsidR="00BF2081" w:rsidRDefault="00BF2081" w:rsidP="003A32E4">
            <w:pPr>
              <w:pStyle w:val="BodyTextIndent"/>
            </w:pPr>
          </w:p>
          <w:p w:rsidR="00BF2081" w:rsidRPr="0053345C" w:rsidRDefault="0053345C" w:rsidP="003A32E4">
            <w:pPr>
              <w:pStyle w:val="BodyTextIndent"/>
              <w:rPr>
                <w:u w:val="single"/>
              </w:rPr>
            </w:pPr>
            <w:r w:rsidRPr="0053345C">
              <w:rPr>
                <w:u w:val="single"/>
              </w:rPr>
              <w:t>Discussion</w:t>
            </w:r>
          </w:p>
          <w:p w:rsidR="0053345C" w:rsidRDefault="0053345C" w:rsidP="003A32E4">
            <w:pPr>
              <w:pStyle w:val="BodyTextIndent"/>
            </w:pPr>
          </w:p>
          <w:p w:rsidR="00BF2081" w:rsidRDefault="0021638C" w:rsidP="003A32E4">
            <w:pPr>
              <w:pStyle w:val="BodyTextIndent"/>
            </w:pPr>
            <w:r>
              <w:t>[14]</w:t>
            </w:r>
            <w:r w:rsidRPr="0021638C">
              <w:tab/>
            </w:r>
            <w:r w:rsidR="0064422B">
              <w:t>In the court’s judgment</w:t>
            </w:r>
            <w:r w:rsidR="00DA4A57">
              <w:t xml:space="preserve"> handed down on 7 September 2022</w:t>
            </w:r>
            <w:r w:rsidR="0064422B">
              <w:t>, the court made the</w:t>
            </w:r>
            <w:r w:rsidR="00907710">
              <w:t xml:space="preserve"> following remarks at paras</w:t>
            </w:r>
            <w:r w:rsidR="0064422B">
              <w:t xml:space="preserve"> 77 - 79:</w:t>
            </w:r>
          </w:p>
          <w:p w:rsidR="0064422B" w:rsidRDefault="0064422B" w:rsidP="003A32E4">
            <w:pPr>
              <w:pStyle w:val="BodyTextIndent"/>
            </w:pPr>
          </w:p>
          <w:p w:rsidR="0064422B" w:rsidRPr="0064422B" w:rsidRDefault="0064422B" w:rsidP="003A32E4">
            <w:pPr>
              <w:pStyle w:val="BodyTextIndent"/>
              <w:rPr>
                <w:sz w:val="22"/>
                <w:szCs w:val="22"/>
                <w:u w:val="single"/>
              </w:rPr>
            </w:pPr>
            <w:r>
              <w:t xml:space="preserve">           </w:t>
            </w:r>
            <w:r w:rsidRPr="0064422B">
              <w:rPr>
                <w:sz w:val="22"/>
                <w:szCs w:val="22"/>
              </w:rPr>
              <w:t>‘[77]</w:t>
            </w:r>
            <w:r w:rsidRPr="0064422B">
              <w:rPr>
                <w:sz w:val="22"/>
                <w:szCs w:val="22"/>
              </w:rPr>
              <w:tab/>
              <w:t xml:space="preserve">It would appear that there are presently two proceedings before court in relation to the same parties and the seeking basically the same relief. These are the action and this application, the counter-application having been withdrawn by the applicant. </w:t>
            </w:r>
            <w:r w:rsidRPr="0064422B">
              <w:rPr>
                <w:sz w:val="22"/>
                <w:szCs w:val="22"/>
                <w:u w:val="single"/>
              </w:rPr>
              <w:t>In the circumstances, it seems to me that the proper order, having regard to the proper approach stated by the learned authors above, would not be to dismiss the present application but rather, to stay it, pending the finalisation of the action, which is afoot.</w:t>
            </w:r>
          </w:p>
          <w:p w:rsidR="00BF2081" w:rsidRPr="0064422B" w:rsidRDefault="00BF2081" w:rsidP="003A32E4">
            <w:pPr>
              <w:pStyle w:val="BodyTextIndent"/>
              <w:rPr>
                <w:sz w:val="22"/>
                <w:szCs w:val="22"/>
              </w:rPr>
            </w:pPr>
          </w:p>
          <w:p w:rsidR="0064422B" w:rsidRPr="0064422B" w:rsidRDefault="0064422B" w:rsidP="0064422B">
            <w:pPr>
              <w:pStyle w:val="BodyTextIndent"/>
              <w:rPr>
                <w:sz w:val="22"/>
                <w:szCs w:val="22"/>
                <w:u w:val="single"/>
              </w:rPr>
            </w:pPr>
            <w:r w:rsidRPr="0064422B">
              <w:rPr>
                <w:sz w:val="22"/>
                <w:szCs w:val="22"/>
              </w:rPr>
              <w:t>[78]</w:t>
            </w:r>
            <w:r w:rsidRPr="0064422B">
              <w:rPr>
                <w:sz w:val="22"/>
                <w:szCs w:val="22"/>
              </w:rPr>
              <w:tab/>
            </w:r>
            <w:r w:rsidRPr="0064422B">
              <w:rPr>
                <w:sz w:val="22"/>
                <w:szCs w:val="22"/>
                <w:u w:val="single"/>
              </w:rPr>
              <w:t>Having regard to what is stated immediately above, it has become unnecessary for the court to deal with the rest of the issues that were raised by the parties in argument, especially the question whether this is a proper case in which the first respondent should be liquidated on the grounds that it is just and equitable to do so.</w:t>
            </w:r>
          </w:p>
          <w:p w:rsidR="00907710" w:rsidRPr="0064422B" w:rsidRDefault="00907710" w:rsidP="00854187">
            <w:pPr>
              <w:pStyle w:val="BodyTextIndent"/>
              <w:ind w:left="0" w:firstLine="0"/>
              <w:rPr>
                <w:sz w:val="22"/>
                <w:szCs w:val="22"/>
              </w:rPr>
            </w:pPr>
          </w:p>
          <w:p w:rsidR="0064422B" w:rsidRPr="0064422B" w:rsidRDefault="0064422B" w:rsidP="0064422B">
            <w:pPr>
              <w:pStyle w:val="BodyTextIndent"/>
              <w:rPr>
                <w:sz w:val="22"/>
                <w:szCs w:val="22"/>
              </w:rPr>
            </w:pPr>
            <w:r w:rsidRPr="0064422B">
              <w:rPr>
                <w:sz w:val="22"/>
                <w:szCs w:val="22"/>
              </w:rPr>
              <w:t>Costs</w:t>
            </w:r>
          </w:p>
          <w:p w:rsidR="0064422B" w:rsidRPr="0064422B" w:rsidRDefault="0064422B" w:rsidP="0064422B">
            <w:pPr>
              <w:pStyle w:val="BodyTextIndent"/>
              <w:rPr>
                <w:sz w:val="22"/>
                <w:szCs w:val="22"/>
              </w:rPr>
            </w:pPr>
          </w:p>
          <w:p w:rsidR="00BF2081" w:rsidRPr="0064422B" w:rsidRDefault="0064422B" w:rsidP="0064422B">
            <w:pPr>
              <w:pStyle w:val="BodyTextIndent"/>
              <w:rPr>
                <w:sz w:val="22"/>
                <w:szCs w:val="22"/>
              </w:rPr>
            </w:pPr>
            <w:r w:rsidRPr="0064422B">
              <w:rPr>
                <w:sz w:val="22"/>
                <w:szCs w:val="22"/>
              </w:rPr>
              <w:t>[79]</w:t>
            </w:r>
            <w:r w:rsidRPr="0064422B">
              <w:rPr>
                <w:sz w:val="22"/>
                <w:szCs w:val="22"/>
              </w:rPr>
              <w:tab/>
            </w:r>
            <w:r w:rsidRPr="004E7498">
              <w:rPr>
                <w:sz w:val="22"/>
                <w:szCs w:val="22"/>
                <w:u w:val="single"/>
              </w:rPr>
              <w:t>The ordinary rule applicable is that costs should follow the event. It is clear that the respondents have been successful in staying the current application and they should therefor be awarded their costs.</w:t>
            </w:r>
            <w:r w:rsidRPr="0064422B">
              <w:rPr>
                <w:sz w:val="22"/>
                <w:szCs w:val="22"/>
              </w:rPr>
              <w:t xml:space="preserve"> It must be recalled that the applicant was aware of the pending action, but still went ahead to launch the current proceedings.</w:t>
            </w:r>
            <w:r w:rsidR="004E7498">
              <w:rPr>
                <w:sz w:val="22"/>
                <w:szCs w:val="22"/>
              </w:rPr>
              <w:t>’</w:t>
            </w:r>
            <w:r w:rsidR="000903A8">
              <w:rPr>
                <w:rStyle w:val="FootnoteReference"/>
                <w:sz w:val="22"/>
                <w:szCs w:val="22"/>
              </w:rPr>
              <w:footnoteReference w:id="1"/>
            </w:r>
            <w:r w:rsidR="004E7498">
              <w:rPr>
                <w:sz w:val="22"/>
                <w:szCs w:val="22"/>
              </w:rPr>
              <w:t xml:space="preserve"> (my emphasis)</w:t>
            </w:r>
          </w:p>
          <w:p w:rsidR="00BF2081" w:rsidRDefault="00BF2081" w:rsidP="003A32E4">
            <w:pPr>
              <w:pStyle w:val="BodyTextIndent"/>
              <w:rPr>
                <w:sz w:val="22"/>
                <w:szCs w:val="22"/>
              </w:rPr>
            </w:pPr>
          </w:p>
          <w:p w:rsidR="000903A8" w:rsidRDefault="004E0A42" w:rsidP="000903A8">
            <w:pPr>
              <w:pStyle w:val="BodyTextIndent"/>
            </w:pPr>
            <w:r w:rsidRPr="00D74D0B">
              <w:t>[15]</w:t>
            </w:r>
            <w:r w:rsidRPr="00D74D0B">
              <w:tab/>
            </w:r>
            <w:r w:rsidR="000903A8">
              <w:t>The question before me is whether the taxing master applied her mind, bearing in mind</w:t>
            </w:r>
          </w:p>
          <w:p w:rsidR="005224E2" w:rsidRDefault="000903A8" w:rsidP="000903A8">
            <w:pPr>
              <w:pStyle w:val="BodyTextIndent"/>
            </w:pPr>
            <w:r>
              <w:lastRenderedPageBreak/>
              <w:t>the discretion she had in terms of rule 75 of the High Court rules, and whether she was correct to allow all the costs of the main application, knowing that the merits were not adjudicated upon.</w:t>
            </w:r>
          </w:p>
          <w:p w:rsidR="005224E2" w:rsidRDefault="005224E2" w:rsidP="000903A8">
            <w:pPr>
              <w:pStyle w:val="BodyTextIndent"/>
            </w:pPr>
          </w:p>
          <w:p w:rsidR="004E0A42" w:rsidRPr="00D74D0B" w:rsidRDefault="005224E2" w:rsidP="005224E2">
            <w:pPr>
              <w:pStyle w:val="BodyTextIndent"/>
              <w:ind w:left="0" w:firstLine="0"/>
            </w:pPr>
            <w:r>
              <w:t xml:space="preserve">[16]    </w:t>
            </w:r>
            <w:r w:rsidR="000903A8">
              <w:t xml:space="preserve"> </w:t>
            </w:r>
            <w:r w:rsidR="00D74D0B" w:rsidRPr="00D74D0B">
              <w:t xml:space="preserve">From the reading of the </w:t>
            </w:r>
            <w:r w:rsidR="00507BD2">
              <w:t>above-stated</w:t>
            </w:r>
            <w:r w:rsidR="00BC1266">
              <w:t xml:space="preserve"> para</w:t>
            </w:r>
            <w:r w:rsidR="00D74D0B" w:rsidRPr="00D74D0B">
              <w:t xml:space="preserve">s it is clear that the court did not hear the merits of the intended </w:t>
            </w:r>
            <w:r w:rsidR="00507BD2">
              <w:t>winding-up</w:t>
            </w:r>
            <w:r w:rsidR="00D74D0B" w:rsidRPr="00D74D0B">
              <w:t xml:space="preserve"> application but merely heard and determined the point in limine raised by the third respondent. </w:t>
            </w:r>
            <w:r w:rsidR="00D74D0B">
              <w:t>In my view</w:t>
            </w:r>
            <w:r w:rsidR="00BC1266">
              <w:t>,</w:t>
            </w:r>
            <w:r w:rsidR="00D74D0B">
              <w:t xml:space="preserve"> the court did not hand down a final judgment</w:t>
            </w:r>
            <w:r w:rsidR="00620A52">
              <w:t>,</w:t>
            </w:r>
            <w:r w:rsidR="00D74D0B">
              <w:t xml:space="preserve"> </w:t>
            </w:r>
            <w:r w:rsidR="00333BDA">
              <w:t xml:space="preserve">and the </w:t>
            </w:r>
            <w:r w:rsidR="000903A8">
              <w:t xml:space="preserve">third respondent </w:t>
            </w:r>
            <w:r w:rsidR="00333BDA">
              <w:t>cannot</w:t>
            </w:r>
            <w:r w:rsidR="00620A52">
              <w:t>,</w:t>
            </w:r>
            <w:r w:rsidR="00333BDA">
              <w:t xml:space="preserve"> at this stage</w:t>
            </w:r>
            <w:r w:rsidR="00BC1266">
              <w:t>,</w:t>
            </w:r>
            <w:r w:rsidR="00333BDA">
              <w:t xml:space="preserve"> </w:t>
            </w:r>
            <w:r w:rsidR="00B81536">
              <w:t>prematurely</w:t>
            </w:r>
            <w:r w:rsidR="00BC1266">
              <w:t>,</w:t>
            </w:r>
            <w:r w:rsidR="00B81536">
              <w:t xml:space="preserve"> </w:t>
            </w:r>
            <w:r w:rsidR="00333BDA">
              <w:t xml:space="preserve">claim all its costs incurred in </w:t>
            </w:r>
            <w:r w:rsidR="00507BD2">
              <w:t xml:space="preserve">the </w:t>
            </w:r>
            <w:r w:rsidR="00333BDA">
              <w:t xml:space="preserve">preparation of the application which stayed the matter pending the finalisation of the action. </w:t>
            </w:r>
          </w:p>
          <w:p w:rsidR="004E0A42" w:rsidRPr="0064422B" w:rsidRDefault="004E0A42" w:rsidP="003A32E4">
            <w:pPr>
              <w:pStyle w:val="BodyTextIndent"/>
              <w:rPr>
                <w:sz w:val="22"/>
                <w:szCs w:val="22"/>
              </w:rPr>
            </w:pPr>
          </w:p>
          <w:p w:rsidR="00BF2081" w:rsidRPr="0053345C" w:rsidRDefault="0053345C" w:rsidP="003A32E4">
            <w:pPr>
              <w:pStyle w:val="BodyTextIndent"/>
              <w:rPr>
                <w:u w:val="single"/>
              </w:rPr>
            </w:pPr>
            <w:r w:rsidRPr="0053345C">
              <w:rPr>
                <w:u w:val="single"/>
              </w:rPr>
              <w:t>The applicable legal principles</w:t>
            </w:r>
          </w:p>
          <w:p w:rsidR="003A32E4" w:rsidRDefault="003A32E4" w:rsidP="003A32E4">
            <w:pPr>
              <w:spacing w:line="360" w:lineRule="auto"/>
              <w:jc w:val="both"/>
              <w:rPr>
                <w:rFonts w:ascii="Arial" w:hAnsi="Arial" w:cs="Arial"/>
                <w:sz w:val="24"/>
                <w:szCs w:val="24"/>
              </w:rPr>
            </w:pPr>
          </w:p>
          <w:p w:rsidR="00333BDA" w:rsidRDefault="00333BDA" w:rsidP="00333BDA">
            <w:pPr>
              <w:spacing w:line="360" w:lineRule="auto"/>
              <w:jc w:val="both"/>
              <w:rPr>
                <w:rFonts w:ascii="Arial" w:hAnsi="Arial" w:cs="Arial"/>
                <w:sz w:val="24"/>
                <w:szCs w:val="24"/>
              </w:rPr>
            </w:pPr>
            <w:r>
              <w:rPr>
                <w:rFonts w:ascii="Arial" w:hAnsi="Arial" w:cs="Arial"/>
                <w:sz w:val="24"/>
                <w:szCs w:val="24"/>
              </w:rPr>
              <w:t>[1</w:t>
            </w:r>
            <w:r w:rsidR="005224E2">
              <w:rPr>
                <w:rFonts w:ascii="Arial" w:hAnsi="Arial" w:cs="Arial"/>
                <w:sz w:val="24"/>
                <w:szCs w:val="24"/>
              </w:rPr>
              <w:t>7</w:t>
            </w:r>
            <w:r>
              <w:rPr>
                <w:rFonts w:ascii="Arial" w:hAnsi="Arial" w:cs="Arial"/>
                <w:sz w:val="24"/>
                <w:szCs w:val="24"/>
              </w:rPr>
              <w:t>]</w:t>
            </w:r>
            <w:r w:rsidRPr="00333BDA">
              <w:rPr>
                <w:rFonts w:ascii="Arial" w:hAnsi="Arial" w:cs="Arial"/>
                <w:sz w:val="24"/>
                <w:szCs w:val="24"/>
              </w:rPr>
              <w:tab/>
              <w:t xml:space="preserve">In </w:t>
            </w:r>
            <w:r w:rsidRPr="000903A8">
              <w:rPr>
                <w:rFonts w:ascii="Arial" w:hAnsi="Arial" w:cs="Arial"/>
                <w:i/>
                <w:sz w:val="24"/>
                <w:szCs w:val="24"/>
              </w:rPr>
              <w:t>Bindco (Pty) Ltd v AC Ce Brindp</w:t>
            </w:r>
            <w:r w:rsidR="000903A8" w:rsidRPr="000903A8">
              <w:rPr>
                <w:rFonts w:ascii="Arial" w:hAnsi="Arial" w:cs="Arial"/>
                <w:i/>
                <w:sz w:val="24"/>
                <w:szCs w:val="24"/>
              </w:rPr>
              <w:t>ro</w:t>
            </w:r>
            <w:r w:rsidR="00620A52">
              <w:rPr>
                <w:rFonts w:ascii="Arial" w:hAnsi="Arial" w:cs="Arial"/>
                <w:i/>
                <w:sz w:val="24"/>
                <w:szCs w:val="24"/>
              </w:rPr>
              <w:t>,</w:t>
            </w:r>
            <w:r w:rsidR="000903A8">
              <w:rPr>
                <w:rStyle w:val="FootnoteReference"/>
                <w:rFonts w:ascii="Arial" w:hAnsi="Arial" w:cs="Arial"/>
                <w:i/>
                <w:sz w:val="24"/>
                <w:szCs w:val="24"/>
              </w:rPr>
              <w:footnoteReference w:id="2"/>
            </w:r>
            <w:r w:rsidR="000903A8">
              <w:rPr>
                <w:rFonts w:ascii="Arial" w:hAnsi="Arial" w:cs="Arial"/>
                <w:sz w:val="24"/>
                <w:szCs w:val="24"/>
              </w:rPr>
              <w:t xml:space="preserve"> an urgent application was </w:t>
            </w:r>
            <w:r w:rsidRPr="00333BDA">
              <w:rPr>
                <w:rFonts w:ascii="Arial" w:hAnsi="Arial" w:cs="Arial"/>
                <w:sz w:val="24"/>
                <w:szCs w:val="24"/>
              </w:rPr>
              <w:t>removed from the roll</w:t>
            </w:r>
            <w:r w:rsidR="00B81536">
              <w:rPr>
                <w:rFonts w:ascii="Arial" w:hAnsi="Arial" w:cs="Arial"/>
                <w:sz w:val="24"/>
                <w:szCs w:val="24"/>
              </w:rPr>
              <w:t xml:space="preserve"> for lack of urgency</w:t>
            </w:r>
            <w:r w:rsidRPr="00333BDA">
              <w:rPr>
                <w:rFonts w:ascii="Arial" w:hAnsi="Arial" w:cs="Arial"/>
                <w:sz w:val="24"/>
                <w:szCs w:val="24"/>
              </w:rPr>
              <w:t xml:space="preserve"> and the appli</w:t>
            </w:r>
            <w:r w:rsidR="00B81536">
              <w:rPr>
                <w:rFonts w:ascii="Arial" w:hAnsi="Arial" w:cs="Arial"/>
                <w:sz w:val="24"/>
                <w:szCs w:val="24"/>
              </w:rPr>
              <w:t>cant was ordered</w:t>
            </w:r>
            <w:r w:rsidRPr="00333BDA">
              <w:rPr>
                <w:rFonts w:ascii="Arial" w:hAnsi="Arial" w:cs="Arial"/>
                <w:sz w:val="24"/>
                <w:szCs w:val="24"/>
              </w:rPr>
              <w:t xml:space="preserve"> to pay the responde</w:t>
            </w:r>
            <w:r w:rsidR="000903A8">
              <w:rPr>
                <w:rFonts w:ascii="Arial" w:hAnsi="Arial" w:cs="Arial"/>
                <w:sz w:val="24"/>
                <w:szCs w:val="24"/>
              </w:rPr>
              <w:t>nt’s costs. On review</w:t>
            </w:r>
            <w:r w:rsidR="00BC1266">
              <w:rPr>
                <w:rFonts w:ascii="Arial" w:hAnsi="Arial" w:cs="Arial"/>
                <w:sz w:val="24"/>
                <w:szCs w:val="24"/>
              </w:rPr>
              <w:t>,</w:t>
            </w:r>
            <w:r w:rsidR="000903A8">
              <w:rPr>
                <w:rFonts w:ascii="Arial" w:hAnsi="Arial" w:cs="Arial"/>
                <w:sz w:val="24"/>
                <w:szCs w:val="24"/>
              </w:rPr>
              <w:t xml:space="preserve"> the court </w:t>
            </w:r>
            <w:r w:rsidRPr="00333BDA">
              <w:rPr>
                <w:rFonts w:ascii="Arial" w:hAnsi="Arial" w:cs="Arial"/>
                <w:sz w:val="24"/>
                <w:szCs w:val="24"/>
              </w:rPr>
              <w:t>held that:</w:t>
            </w:r>
          </w:p>
          <w:p w:rsidR="000903A8" w:rsidRPr="00333BDA" w:rsidRDefault="000903A8" w:rsidP="00333BDA">
            <w:pPr>
              <w:spacing w:line="360" w:lineRule="auto"/>
              <w:jc w:val="both"/>
              <w:rPr>
                <w:rFonts w:ascii="Arial" w:hAnsi="Arial" w:cs="Arial"/>
                <w:sz w:val="24"/>
                <w:szCs w:val="24"/>
              </w:rPr>
            </w:pPr>
          </w:p>
          <w:p w:rsidR="00333BDA" w:rsidRPr="000903A8" w:rsidRDefault="000903A8" w:rsidP="00333BDA">
            <w:pPr>
              <w:spacing w:line="360" w:lineRule="auto"/>
              <w:jc w:val="both"/>
              <w:rPr>
                <w:rFonts w:ascii="Arial" w:hAnsi="Arial" w:cs="Arial"/>
              </w:rPr>
            </w:pPr>
            <w:r>
              <w:rPr>
                <w:rFonts w:ascii="Arial" w:hAnsi="Arial" w:cs="Arial"/>
                <w:sz w:val="24"/>
                <w:szCs w:val="24"/>
              </w:rPr>
              <w:t xml:space="preserve">          </w:t>
            </w:r>
            <w:r w:rsidRPr="000903A8">
              <w:rPr>
                <w:rFonts w:ascii="Arial" w:hAnsi="Arial" w:cs="Arial"/>
              </w:rPr>
              <w:t>‘</w:t>
            </w:r>
            <w:r w:rsidR="00333BDA" w:rsidRPr="000903A8">
              <w:rPr>
                <w:rFonts w:ascii="Arial" w:hAnsi="Arial" w:cs="Arial"/>
              </w:rPr>
              <w:t xml:space="preserve">1) The fact that the urgent application was removed </w:t>
            </w:r>
            <w:r w:rsidRPr="000903A8">
              <w:rPr>
                <w:rFonts w:ascii="Arial" w:hAnsi="Arial" w:cs="Arial"/>
              </w:rPr>
              <w:t>from the roll and not dismissed</w:t>
            </w:r>
            <w:r w:rsidR="00333BDA" w:rsidRPr="000903A8">
              <w:rPr>
                <w:rFonts w:ascii="Arial" w:hAnsi="Arial" w:cs="Arial"/>
              </w:rPr>
              <w:t xml:space="preserve"> indicates that the merits have not been adjudicated.</w:t>
            </w:r>
          </w:p>
          <w:p w:rsidR="00333BDA" w:rsidRPr="000903A8" w:rsidRDefault="00333BDA" w:rsidP="00333BDA">
            <w:pPr>
              <w:spacing w:line="360" w:lineRule="auto"/>
              <w:jc w:val="both"/>
              <w:rPr>
                <w:rFonts w:ascii="Arial" w:hAnsi="Arial" w:cs="Arial"/>
              </w:rPr>
            </w:pPr>
            <w:r w:rsidRPr="000903A8">
              <w:rPr>
                <w:rFonts w:ascii="Arial" w:hAnsi="Arial" w:cs="Arial"/>
              </w:rPr>
              <w:t>2) The application is still alive and can still be set d</w:t>
            </w:r>
            <w:r w:rsidR="000903A8" w:rsidRPr="000903A8">
              <w:rPr>
                <w:rFonts w:ascii="Arial" w:hAnsi="Arial" w:cs="Arial"/>
              </w:rPr>
              <w:t xml:space="preserve">own on the roll at any time for </w:t>
            </w:r>
            <w:r w:rsidRPr="000903A8">
              <w:rPr>
                <w:rFonts w:ascii="Arial" w:hAnsi="Arial" w:cs="Arial"/>
              </w:rPr>
              <w:t>hearing.</w:t>
            </w:r>
          </w:p>
          <w:p w:rsidR="00333BDA" w:rsidRPr="000903A8" w:rsidRDefault="00333BDA" w:rsidP="00333BDA">
            <w:pPr>
              <w:spacing w:line="360" w:lineRule="auto"/>
              <w:jc w:val="both"/>
              <w:rPr>
                <w:rFonts w:ascii="Arial" w:hAnsi="Arial" w:cs="Arial"/>
              </w:rPr>
            </w:pPr>
            <w:r w:rsidRPr="000903A8">
              <w:rPr>
                <w:rFonts w:ascii="Arial" w:hAnsi="Arial" w:cs="Arial"/>
              </w:rPr>
              <w:t>3) The costs order can only apply to wasted costs inc</w:t>
            </w:r>
            <w:r w:rsidR="000903A8" w:rsidRPr="000903A8">
              <w:rPr>
                <w:rFonts w:ascii="Arial" w:hAnsi="Arial" w:cs="Arial"/>
              </w:rPr>
              <w:t xml:space="preserve">urred due to setting the matter </w:t>
            </w:r>
            <w:r w:rsidRPr="000903A8">
              <w:rPr>
                <w:rFonts w:ascii="Arial" w:hAnsi="Arial" w:cs="Arial"/>
              </w:rPr>
              <w:t>down on the urgent roll; and</w:t>
            </w:r>
          </w:p>
          <w:p w:rsidR="00333BDA" w:rsidRPr="000903A8" w:rsidRDefault="00333BDA" w:rsidP="00333BDA">
            <w:pPr>
              <w:spacing w:line="360" w:lineRule="auto"/>
              <w:jc w:val="both"/>
              <w:rPr>
                <w:rFonts w:ascii="Arial" w:hAnsi="Arial" w:cs="Arial"/>
              </w:rPr>
            </w:pPr>
            <w:r w:rsidRPr="000903A8">
              <w:rPr>
                <w:rFonts w:ascii="Arial" w:hAnsi="Arial" w:cs="Arial"/>
              </w:rPr>
              <w:t>4) As the matter had not been finalized the merits shou</w:t>
            </w:r>
            <w:r w:rsidR="000903A8" w:rsidRPr="000903A8">
              <w:rPr>
                <w:rFonts w:ascii="Arial" w:hAnsi="Arial" w:cs="Arial"/>
              </w:rPr>
              <w:t xml:space="preserve">ld still be adjudicated. Should </w:t>
            </w:r>
            <w:r w:rsidRPr="000903A8">
              <w:rPr>
                <w:rFonts w:ascii="Arial" w:hAnsi="Arial" w:cs="Arial"/>
              </w:rPr>
              <w:t>the applicant fail to set the matter down, the respon</w:t>
            </w:r>
            <w:r w:rsidR="000903A8" w:rsidRPr="000903A8">
              <w:rPr>
                <w:rFonts w:ascii="Arial" w:hAnsi="Arial" w:cs="Arial"/>
              </w:rPr>
              <w:t xml:space="preserve">dents have remedies to finalize </w:t>
            </w:r>
            <w:r w:rsidRPr="000903A8">
              <w:rPr>
                <w:rFonts w:ascii="Arial" w:hAnsi="Arial" w:cs="Arial"/>
              </w:rPr>
              <w:t xml:space="preserve">the matter. Only after a final set down the party who </w:t>
            </w:r>
            <w:r w:rsidR="000903A8" w:rsidRPr="000903A8">
              <w:rPr>
                <w:rFonts w:ascii="Arial" w:hAnsi="Arial" w:cs="Arial"/>
              </w:rPr>
              <w:t xml:space="preserve">obtains the relevant cost order </w:t>
            </w:r>
            <w:r w:rsidRPr="000903A8">
              <w:rPr>
                <w:rFonts w:ascii="Arial" w:hAnsi="Arial" w:cs="Arial"/>
              </w:rPr>
              <w:t>may tax all the costs with regard to the merits.</w:t>
            </w:r>
            <w:r w:rsidR="000903A8" w:rsidRPr="000903A8">
              <w:rPr>
                <w:rFonts w:ascii="Arial" w:hAnsi="Arial" w:cs="Arial"/>
              </w:rPr>
              <w:t>’</w:t>
            </w:r>
          </w:p>
          <w:p w:rsidR="003A32E4" w:rsidRPr="00CF3819" w:rsidRDefault="003A32E4" w:rsidP="003A32E4">
            <w:pPr>
              <w:spacing w:line="360" w:lineRule="auto"/>
              <w:jc w:val="both"/>
              <w:rPr>
                <w:rFonts w:ascii="Arial" w:hAnsi="Arial" w:cs="Arial"/>
              </w:rPr>
            </w:pPr>
          </w:p>
          <w:p w:rsidR="00BC1266" w:rsidRDefault="000903A8" w:rsidP="000903A8">
            <w:pPr>
              <w:spacing w:line="360" w:lineRule="auto"/>
              <w:jc w:val="both"/>
              <w:rPr>
                <w:rFonts w:ascii="Arial" w:hAnsi="Arial" w:cs="Arial"/>
                <w:sz w:val="24"/>
                <w:szCs w:val="24"/>
              </w:rPr>
            </w:pPr>
            <w:r>
              <w:rPr>
                <w:rFonts w:ascii="Arial" w:hAnsi="Arial" w:cs="Arial"/>
                <w:sz w:val="24"/>
                <w:szCs w:val="24"/>
              </w:rPr>
              <w:t>[1</w:t>
            </w:r>
            <w:r w:rsidR="005224E2">
              <w:rPr>
                <w:rFonts w:ascii="Arial" w:hAnsi="Arial" w:cs="Arial"/>
                <w:sz w:val="24"/>
                <w:szCs w:val="24"/>
              </w:rPr>
              <w:t>8</w:t>
            </w:r>
            <w:r>
              <w:rPr>
                <w:rFonts w:ascii="Arial" w:hAnsi="Arial" w:cs="Arial"/>
                <w:sz w:val="24"/>
                <w:szCs w:val="24"/>
              </w:rPr>
              <w:t>]</w:t>
            </w:r>
            <w:r w:rsidRPr="000903A8">
              <w:rPr>
                <w:rFonts w:ascii="Arial" w:hAnsi="Arial" w:cs="Arial"/>
                <w:sz w:val="24"/>
                <w:szCs w:val="24"/>
              </w:rPr>
              <w:tab/>
              <w:t>From the con</w:t>
            </w:r>
            <w:r w:rsidR="00E42599">
              <w:rPr>
                <w:rFonts w:ascii="Arial" w:hAnsi="Arial" w:cs="Arial"/>
                <w:sz w:val="24"/>
                <w:szCs w:val="24"/>
              </w:rPr>
              <w:t>tents of the court order dated 7 September 2022</w:t>
            </w:r>
            <w:r w:rsidRPr="000903A8">
              <w:rPr>
                <w:rFonts w:ascii="Arial" w:hAnsi="Arial" w:cs="Arial"/>
                <w:sz w:val="24"/>
                <w:szCs w:val="24"/>
              </w:rPr>
              <w:t>, it</w:t>
            </w:r>
            <w:r w:rsidR="00E42599">
              <w:rPr>
                <w:rFonts w:ascii="Arial" w:hAnsi="Arial" w:cs="Arial"/>
                <w:sz w:val="24"/>
                <w:szCs w:val="24"/>
              </w:rPr>
              <w:t xml:space="preserve"> is clear that the court stayed the applicant’s application for winding up pending the finalisation of the proceedings under </w:t>
            </w:r>
          </w:p>
          <w:p w:rsidR="003A32E4" w:rsidRPr="003A32E4" w:rsidRDefault="00E42599" w:rsidP="000903A8">
            <w:pPr>
              <w:spacing w:line="360" w:lineRule="auto"/>
              <w:jc w:val="both"/>
              <w:rPr>
                <w:rFonts w:ascii="Arial" w:hAnsi="Arial" w:cs="Arial"/>
                <w:sz w:val="24"/>
                <w:szCs w:val="24"/>
              </w:rPr>
            </w:pPr>
            <w:r>
              <w:rPr>
                <w:rFonts w:ascii="Arial" w:hAnsi="Arial" w:cs="Arial"/>
                <w:sz w:val="24"/>
                <w:szCs w:val="24"/>
              </w:rPr>
              <w:t xml:space="preserve">case number </w:t>
            </w:r>
            <w:r w:rsidRPr="00E42599">
              <w:rPr>
                <w:rFonts w:ascii="Arial" w:hAnsi="Arial" w:cs="Arial"/>
                <w:sz w:val="24"/>
                <w:szCs w:val="24"/>
              </w:rPr>
              <w:t>HC-MD-CIV</w:t>
            </w:r>
            <w:r w:rsidRPr="005224E2">
              <w:rPr>
                <w:rFonts w:ascii="Arial" w:hAnsi="Arial" w:cs="Arial"/>
                <w:sz w:val="24"/>
                <w:szCs w:val="24"/>
              </w:rPr>
              <w:t>-</w:t>
            </w:r>
            <w:r w:rsidR="00313390" w:rsidRPr="005224E2">
              <w:rPr>
                <w:rFonts w:ascii="Arial" w:hAnsi="Arial" w:cs="Arial"/>
                <w:sz w:val="24"/>
                <w:szCs w:val="24"/>
              </w:rPr>
              <w:t>ACT</w:t>
            </w:r>
            <w:r w:rsidR="00313390">
              <w:rPr>
                <w:rFonts w:ascii="Arial" w:hAnsi="Arial" w:cs="Arial"/>
                <w:sz w:val="24"/>
                <w:szCs w:val="24"/>
              </w:rPr>
              <w:t>-</w:t>
            </w:r>
            <w:r w:rsidRPr="00E42599">
              <w:rPr>
                <w:rFonts w:ascii="Arial" w:hAnsi="Arial" w:cs="Arial"/>
                <w:sz w:val="24"/>
                <w:szCs w:val="24"/>
              </w:rPr>
              <w:t>OTH-2020/02046.</w:t>
            </w:r>
            <w:r>
              <w:rPr>
                <w:rFonts w:ascii="Arial" w:hAnsi="Arial" w:cs="Arial"/>
                <w:sz w:val="24"/>
                <w:szCs w:val="24"/>
              </w:rPr>
              <w:t xml:space="preserve"> The court further ordered that the applicant pay</w:t>
            </w:r>
            <w:r w:rsidR="00BF1115">
              <w:rPr>
                <w:rFonts w:ascii="Arial" w:hAnsi="Arial" w:cs="Arial"/>
                <w:sz w:val="24"/>
                <w:szCs w:val="24"/>
              </w:rPr>
              <w:t>s</w:t>
            </w:r>
            <w:r>
              <w:rPr>
                <w:rFonts w:ascii="Arial" w:hAnsi="Arial" w:cs="Arial"/>
                <w:sz w:val="24"/>
                <w:szCs w:val="24"/>
              </w:rPr>
              <w:t xml:space="preserve"> the costs of </w:t>
            </w:r>
            <w:r w:rsidRPr="00E42599">
              <w:rPr>
                <w:rFonts w:ascii="Arial" w:hAnsi="Arial" w:cs="Arial"/>
                <w:sz w:val="24"/>
                <w:szCs w:val="24"/>
                <w:u w:val="single"/>
              </w:rPr>
              <w:t>this</w:t>
            </w:r>
            <w:r>
              <w:rPr>
                <w:rFonts w:ascii="Arial" w:hAnsi="Arial" w:cs="Arial"/>
                <w:sz w:val="24"/>
                <w:szCs w:val="24"/>
              </w:rPr>
              <w:t xml:space="preserve"> application </w:t>
            </w:r>
            <w:r w:rsidRPr="00E42599">
              <w:rPr>
                <w:rFonts w:ascii="Arial" w:hAnsi="Arial" w:cs="Arial"/>
                <w:sz w:val="24"/>
                <w:szCs w:val="24"/>
              </w:rPr>
              <w:t>consequent upon the employment of one instructing and one instructed legal practitioner.</w:t>
            </w:r>
            <w:r>
              <w:rPr>
                <w:rFonts w:ascii="Arial" w:hAnsi="Arial" w:cs="Arial"/>
                <w:sz w:val="24"/>
                <w:szCs w:val="24"/>
              </w:rPr>
              <w:t xml:space="preserve"> </w:t>
            </w:r>
            <w:r w:rsidR="00DA4A57">
              <w:rPr>
                <w:rFonts w:ascii="Arial" w:hAnsi="Arial" w:cs="Arial"/>
                <w:sz w:val="24"/>
                <w:szCs w:val="24"/>
              </w:rPr>
              <w:t>The court order</w:t>
            </w:r>
            <w:r w:rsidR="00B81536">
              <w:rPr>
                <w:rFonts w:ascii="Arial" w:hAnsi="Arial" w:cs="Arial"/>
                <w:sz w:val="24"/>
                <w:szCs w:val="24"/>
              </w:rPr>
              <w:t xml:space="preserve"> nowhere makes reference to the costs in the preparation of the main application. The court makes reference to </w:t>
            </w:r>
            <w:r w:rsidR="00CD7C9E">
              <w:rPr>
                <w:rFonts w:ascii="Arial" w:hAnsi="Arial" w:cs="Arial"/>
                <w:sz w:val="24"/>
                <w:szCs w:val="24"/>
              </w:rPr>
              <w:t>“</w:t>
            </w:r>
            <w:r w:rsidR="00B81536" w:rsidRPr="0023128B">
              <w:rPr>
                <w:rFonts w:ascii="Arial" w:hAnsi="Arial" w:cs="Arial"/>
                <w:sz w:val="24"/>
                <w:szCs w:val="24"/>
                <w:u w:val="single"/>
              </w:rPr>
              <w:t xml:space="preserve">this </w:t>
            </w:r>
            <w:r w:rsidR="00B81536">
              <w:rPr>
                <w:rFonts w:ascii="Arial" w:hAnsi="Arial" w:cs="Arial"/>
                <w:sz w:val="24"/>
                <w:szCs w:val="24"/>
              </w:rPr>
              <w:t>application</w:t>
            </w:r>
            <w:r w:rsidR="00CD7C9E">
              <w:rPr>
                <w:rFonts w:ascii="Arial" w:hAnsi="Arial" w:cs="Arial"/>
                <w:sz w:val="24"/>
                <w:szCs w:val="24"/>
              </w:rPr>
              <w:t>”</w:t>
            </w:r>
            <w:r w:rsidR="00B81536">
              <w:rPr>
                <w:rFonts w:ascii="Arial" w:hAnsi="Arial" w:cs="Arial"/>
                <w:sz w:val="24"/>
                <w:szCs w:val="24"/>
              </w:rPr>
              <w:t xml:space="preserve"> which I </w:t>
            </w:r>
            <w:r w:rsidR="00CD7C9E">
              <w:rPr>
                <w:rFonts w:ascii="Arial" w:hAnsi="Arial" w:cs="Arial"/>
                <w:sz w:val="24"/>
                <w:szCs w:val="24"/>
              </w:rPr>
              <w:t xml:space="preserve">can </w:t>
            </w:r>
            <w:r w:rsidR="00B81536">
              <w:rPr>
                <w:rFonts w:ascii="Arial" w:hAnsi="Arial" w:cs="Arial"/>
                <w:sz w:val="24"/>
                <w:szCs w:val="24"/>
              </w:rPr>
              <w:t xml:space="preserve">interpret as the application dealing with </w:t>
            </w:r>
            <w:r w:rsidR="00DA4A57">
              <w:rPr>
                <w:rFonts w:ascii="Arial" w:hAnsi="Arial" w:cs="Arial"/>
                <w:sz w:val="24"/>
                <w:szCs w:val="24"/>
              </w:rPr>
              <w:t xml:space="preserve">the </w:t>
            </w:r>
            <w:r w:rsidR="00B81536">
              <w:rPr>
                <w:rFonts w:ascii="Arial" w:hAnsi="Arial" w:cs="Arial"/>
                <w:sz w:val="24"/>
                <w:szCs w:val="24"/>
              </w:rPr>
              <w:t xml:space="preserve">vexatious </w:t>
            </w:r>
            <w:r w:rsidR="0023128B">
              <w:rPr>
                <w:rFonts w:ascii="Arial" w:hAnsi="Arial" w:cs="Arial"/>
                <w:sz w:val="24"/>
                <w:szCs w:val="24"/>
              </w:rPr>
              <w:t xml:space="preserve">conduct of the applicant </w:t>
            </w:r>
            <w:r w:rsidR="00B81536">
              <w:rPr>
                <w:rFonts w:ascii="Arial" w:hAnsi="Arial" w:cs="Arial"/>
                <w:sz w:val="24"/>
                <w:szCs w:val="24"/>
              </w:rPr>
              <w:t xml:space="preserve">and </w:t>
            </w:r>
            <w:r w:rsidR="0023128B">
              <w:rPr>
                <w:rFonts w:ascii="Arial" w:hAnsi="Arial" w:cs="Arial"/>
                <w:sz w:val="24"/>
                <w:szCs w:val="24"/>
              </w:rPr>
              <w:t xml:space="preserve">the </w:t>
            </w:r>
            <w:r w:rsidR="00DA4A57">
              <w:rPr>
                <w:rFonts w:ascii="Arial" w:hAnsi="Arial" w:cs="Arial"/>
                <w:sz w:val="24"/>
                <w:szCs w:val="24"/>
              </w:rPr>
              <w:t>abuse of process</w:t>
            </w:r>
            <w:r w:rsidR="0023128B">
              <w:rPr>
                <w:rFonts w:ascii="Arial" w:hAnsi="Arial" w:cs="Arial"/>
                <w:sz w:val="24"/>
                <w:szCs w:val="24"/>
              </w:rPr>
              <w:t xml:space="preserve"> proceedings. </w:t>
            </w:r>
            <w:r>
              <w:rPr>
                <w:rFonts w:ascii="Arial" w:hAnsi="Arial" w:cs="Arial"/>
                <w:sz w:val="24"/>
                <w:szCs w:val="24"/>
              </w:rPr>
              <w:t>The taxing m</w:t>
            </w:r>
            <w:r w:rsidR="000903A8" w:rsidRPr="000903A8">
              <w:rPr>
                <w:rFonts w:ascii="Arial" w:hAnsi="Arial" w:cs="Arial"/>
                <w:sz w:val="24"/>
                <w:szCs w:val="24"/>
              </w:rPr>
              <w:t xml:space="preserve">aster could not vary this order by accepting the merits </w:t>
            </w:r>
            <w:r>
              <w:rPr>
                <w:rFonts w:ascii="Arial" w:hAnsi="Arial" w:cs="Arial"/>
                <w:sz w:val="24"/>
                <w:szCs w:val="24"/>
              </w:rPr>
              <w:t xml:space="preserve">were moot. It is clear that the </w:t>
            </w:r>
            <w:r w:rsidR="000903A8" w:rsidRPr="000903A8">
              <w:rPr>
                <w:rFonts w:ascii="Arial" w:hAnsi="Arial" w:cs="Arial"/>
                <w:sz w:val="24"/>
                <w:szCs w:val="24"/>
              </w:rPr>
              <w:t>act</w:t>
            </w:r>
            <w:r>
              <w:rPr>
                <w:rFonts w:ascii="Arial" w:hAnsi="Arial" w:cs="Arial"/>
                <w:sz w:val="24"/>
                <w:szCs w:val="24"/>
              </w:rPr>
              <w:t>ion under case number HC-MD-CIV-</w:t>
            </w:r>
            <w:r w:rsidR="00313390" w:rsidRPr="00313390">
              <w:rPr>
                <w:rFonts w:ascii="Arial" w:hAnsi="Arial" w:cs="Arial"/>
                <w:sz w:val="24"/>
                <w:szCs w:val="24"/>
              </w:rPr>
              <w:t>ACT</w:t>
            </w:r>
            <w:r w:rsidR="00313390">
              <w:rPr>
                <w:rFonts w:ascii="Arial" w:hAnsi="Arial" w:cs="Arial"/>
                <w:sz w:val="24"/>
                <w:szCs w:val="24"/>
              </w:rPr>
              <w:t>-</w:t>
            </w:r>
            <w:r>
              <w:rPr>
                <w:rFonts w:ascii="Arial" w:hAnsi="Arial" w:cs="Arial"/>
                <w:sz w:val="24"/>
                <w:szCs w:val="24"/>
              </w:rPr>
              <w:t>OTH-2020/02046</w:t>
            </w:r>
            <w:r w:rsidR="000903A8" w:rsidRPr="000903A8">
              <w:rPr>
                <w:rFonts w:ascii="Arial" w:hAnsi="Arial" w:cs="Arial"/>
                <w:sz w:val="24"/>
                <w:szCs w:val="24"/>
              </w:rPr>
              <w:t xml:space="preserve"> is very much alive.</w:t>
            </w:r>
          </w:p>
          <w:p w:rsidR="00507BD2" w:rsidRDefault="00507BD2" w:rsidP="00B601AD">
            <w:pPr>
              <w:spacing w:line="360" w:lineRule="auto"/>
              <w:jc w:val="both"/>
              <w:rPr>
                <w:rFonts w:ascii="Arial" w:hAnsi="Arial" w:cs="Arial"/>
                <w:sz w:val="24"/>
                <w:szCs w:val="24"/>
                <w:u w:val="single"/>
              </w:rPr>
            </w:pPr>
          </w:p>
          <w:p w:rsidR="000903A8" w:rsidRPr="005224E2" w:rsidRDefault="00940E36" w:rsidP="00B601AD">
            <w:pPr>
              <w:spacing w:line="360" w:lineRule="auto"/>
              <w:jc w:val="both"/>
              <w:rPr>
                <w:rFonts w:ascii="Arial" w:hAnsi="Arial" w:cs="Arial"/>
                <w:sz w:val="24"/>
                <w:szCs w:val="24"/>
                <w:u w:val="single"/>
              </w:rPr>
            </w:pPr>
            <w:r w:rsidRPr="005224E2">
              <w:rPr>
                <w:rFonts w:ascii="Arial" w:hAnsi="Arial" w:cs="Arial"/>
                <w:sz w:val="24"/>
                <w:szCs w:val="24"/>
                <w:u w:val="single"/>
              </w:rPr>
              <w:lastRenderedPageBreak/>
              <w:t>Order:</w:t>
            </w:r>
          </w:p>
          <w:p w:rsidR="00737C3D" w:rsidRPr="0078733C" w:rsidRDefault="00737C3D" w:rsidP="00474C2A">
            <w:pPr>
              <w:tabs>
                <w:tab w:val="left" w:pos="837"/>
              </w:tabs>
              <w:spacing w:line="360" w:lineRule="auto"/>
              <w:jc w:val="both"/>
              <w:rPr>
                <w:rFonts w:ascii="Arial" w:hAnsi="Arial" w:cs="Arial"/>
                <w:sz w:val="24"/>
                <w:szCs w:val="24"/>
              </w:rPr>
            </w:pPr>
          </w:p>
          <w:p w:rsidR="00737C3D" w:rsidRDefault="00692D13" w:rsidP="00474C2A">
            <w:pPr>
              <w:tabs>
                <w:tab w:val="left" w:pos="837"/>
              </w:tabs>
              <w:spacing w:line="360" w:lineRule="auto"/>
              <w:jc w:val="both"/>
              <w:rPr>
                <w:rFonts w:ascii="Arial" w:hAnsi="Arial" w:cs="Arial"/>
                <w:sz w:val="24"/>
                <w:szCs w:val="24"/>
              </w:rPr>
            </w:pPr>
            <w:r>
              <w:rPr>
                <w:rFonts w:ascii="Arial" w:hAnsi="Arial" w:cs="Arial"/>
                <w:sz w:val="24"/>
                <w:szCs w:val="24"/>
              </w:rPr>
              <w:t>[1</w:t>
            </w:r>
            <w:r w:rsidR="005224E2">
              <w:rPr>
                <w:rFonts w:ascii="Arial" w:hAnsi="Arial" w:cs="Arial"/>
                <w:sz w:val="24"/>
                <w:szCs w:val="24"/>
              </w:rPr>
              <w:t>9</w:t>
            </w:r>
            <w:r w:rsidR="00737C3D" w:rsidRPr="0078733C">
              <w:rPr>
                <w:rFonts w:ascii="Arial" w:hAnsi="Arial" w:cs="Arial"/>
                <w:sz w:val="24"/>
                <w:szCs w:val="24"/>
              </w:rPr>
              <w:t>]</w:t>
            </w:r>
            <w:r w:rsidR="00737C3D" w:rsidRPr="0078733C">
              <w:rPr>
                <w:rFonts w:ascii="Arial" w:hAnsi="Arial" w:cs="Arial"/>
                <w:sz w:val="24"/>
                <w:szCs w:val="24"/>
              </w:rPr>
              <w:tab/>
            </w:r>
            <w:r w:rsidR="006916C9" w:rsidRPr="0078733C">
              <w:rPr>
                <w:rFonts w:ascii="Arial" w:hAnsi="Arial" w:cs="Arial"/>
                <w:sz w:val="24"/>
                <w:szCs w:val="24"/>
              </w:rPr>
              <w:t>In the result</w:t>
            </w:r>
            <w:r w:rsidR="0000513F" w:rsidRPr="0078733C">
              <w:rPr>
                <w:rFonts w:ascii="Arial" w:hAnsi="Arial" w:cs="Arial"/>
                <w:sz w:val="24"/>
                <w:szCs w:val="24"/>
              </w:rPr>
              <w:t>, I make the order as set out above.</w:t>
            </w:r>
          </w:p>
          <w:p w:rsidR="00C04F28" w:rsidRDefault="00C04F28" w:rsidP="00474C2A">
            <w:pPr>
              <w:tabs>
                <w:tab w:val="left" w:pos="837"/>
              </w:tabs>
              <w:spacing w:line="360" w:lineRule="auto"/>
              <w:jc w:val="both"/>
              <w:rPr>
                <w:rFonts w:ascii="Arial" w:hAnsi="Arial" w:cs="Arial"/>
                <w:sz w:val="24"/>
                <w:szCs w:val="24"/>
              </w:rPr>
            </w:pPr>
          </w:p>
          <w:p w:rsidR="007F6C4C" w:rsidRPr="00CA7995" w:rsidRDefault="007F6C4C" w:rsidP="00474C2A">
            <w:pPr>
              <w:tabs>
                <w:tab w:val="left" w:pos="837"/>
              </w:tabs>
              <w:spacing w:line="360" w:lineRule="auto"/>
              <w:jc w:val="both"/>
              <w:rPr>
                <w:rFonts w:ascii="Arial" w:hAnsi="Arial" w:cs="Arial"/>
                <w:sz w:val="24"/>
                <w:szCs w:val="24"/>
              </w:rPr>
            </w:pPr>
          </w:p>
        </w:tc>
      </w:tr>
      <w:tr w:rsidR="00CA7995" w:rsidRPr="00CA7995" w:rsidTr="0000513F">
        <w:tc>
          <w:tcPr>
            <w:tcW w:w="5232"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244"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00513F">
        <w:trPr>
          <w:trHeight w:val="1114"/>
        </w:trPr>
        <w:tc>
          <w:tcPr>
            <w:tcW w:w="5232" w:type="dxa"/>
          </w:tcPr>
          <w:p w:rsidR="00B40844" w:rsidRPr="00CA7995" w:rsidRDefault="00B40844" w:rsidP="00937C89">
            <w:pPr>
              <w:spacing w:line="360" w:lineRule="auto"/>
              <w:jc w:val="both"/>
              <w:rPr>
                <w:rFonts w:ascii="Arial" w:hAnsi="Arial" w:cs="Arial"/>
                <w:sz w:val="24"/>
                <w:szCs w:val="24"/>
              </w:rPr>
            </w:pPr>
          </w:p>
          <w:p w:rsidR="0000513F" w:rsidRPr="00CA7995" w:rsidRDefault="0000513F"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244"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002E9A">
        <w:tc>
          <w:tcPr>
            <w:tcW w:w="1047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00513F">
        <w:tc>
          <w:tcPr>
            <w:tcW w:w="5232" w:type="dxa"/>
          </w:tcPr>
          <w:p w:rsidR="00B40844" w:rsidRPr="00CA7995" w:rsidRDefault="00313390" w:rsidP="00937C89">
            <w:pPr>
              <w:spacing w:line="360" w:lineRule="auto"/>
              <w:jc w:val="center"/>
              <w:rPr>
                <w:rFonts w:ascii="Arial" w:hAnsi="Arial" w:cs="Arial"/>
                <w:b/>
                <w:sz w:val="24"/>
                <w:szCs w:val="24"/>
              </w:rPr>
            </w:pPr>
            <w:r>
              <w:rPr>
                <w:rFonts w:ascii="Arial" w:hAnsi="Arial" w:cs="Arial"/>
                <w:b/>
                <w:sz w:val="24"/>
                <w:szCs w:val="24"/>
              </w:rPr>
              <w:t>Applicant</w:t>
            </w:r>
          </w:p>
        </w:tc>
        <w:tc>
          <w:tcPr>
            <w:tcW w:w="5244" w:type="dxa"/>
            <w:gridSpan w:val="2"/>
          </w:tcPr>
          <w:p w:rsidR="00B40844" w:rsidRPr="00CA7995" w:rsidRDefault="007F6C4C" w:rsidP="00937C89">
            <w:pPr>
              <w:spacing w:line="360" w:lineRule="auto"/>
              <w:jc w:val="center"/>
              <w:rPr>
                <w:rFonts w:ascii="Arial" w:hAnsi="Arial" w:cs="Arial"/>
                <w:b/>
                <w:sz w:val="24"/>
                <w:szCs w:val="24"/>
              </w:rPr>
            </w:pPr>
            <w:r>
              <w:rPr>
                <w:rFonts w:ascii="Arial" w:hAnsi="Arial" w:cs="Arial"/>
                <w:b/>
                <w:sz w:val="24"/>
                <w:szCs w:val="24"/>
              </w:rPr>
              <w:t>Respondent</w:t>
            </w:r>
            <w:r w:rsidR="004B72D1">
              <w:rPr>
                <w:rFonts w:ascii="Arial" w:hAnsi="Arial" w:cs="Arial"/>
                <w:b/>
                <w:sz w:val="24"/>
                <w:szCs w:val="24"/>
              </w:rPr>
              <w:t>s</w:t>
            </w:r>
          </w:p>
        </w:tc>
      </w:tr>
      <w:tr w:rsidR="00CA7995" w:rsidRPr="00CA7995" w:rsidTr="0000513F">
        <w:tc>
          <w:tcPr>
            <w:tcW w:w="5232" w:type="dxa"/>
          </w:tcPr>
          <w:p w:rsidR="00B40844" w:rsidRPr="004B72D1" w:rsidRDefault="00CD7C9E" w:rsidP="00937C89">
            <w:pPr>
              <w:spacing w:line="360" w:lineRule="auto"/>
              <w:jc w:val="center"/>
              <w:rPr>
                <w:rFonts w:ascii="Arial" w:hAnsi="Arial" w:cs="Arial"/>
                <w:sz w:val="24"/>
                <w:szCs w:val="24"/>
              </w:rPr>
            </w:pPr>
            <w:r>
              <w:rPr>
                <w:rFonts w:ascii="Arial" w:hAnsi="Arial" w:cs="Arial"/>
                <w:sz w:val="24"/>
                <w:szCs w:val="24"/>
              </w:rPr>
              <w:t>R Steinbach</w:t>
            </w:r>
          </w:p>
          <w:p w:rsidR="00B40844" w:rsidRPr="00D24453" w:rsidRDefault="00313390" w:rsidP="00BC1266">
            <w:pPr>
              <w:spacing w:line="360" w:lineRule="auto"/>
              <w:jc w:val="center"/>
              <w:rPr>
                <w:rFonts w:ascii="Arial" w:hAnsi="Arial" w:cs="Arial"/>
                <w:sz w:val="24"/>
                <w:szCs w:val="24"/>
              </w:rPr>
            </w:pPr>
            <w:r>
              <w:rPr>
                <w:rFonts w:ascii="Arial" w:hAnsi="Arial" w:cs="Arial"/>
                <w:sz w:val="24"/>
                <w:szCs w:val="24"/>
              </w:rPr>
              <w:t>Of Cronje</w:t>
            </w:r>
            <w:r w:rsidR="007F6C4C">
              <w:rPr>
                <w:rFonts w:ascii="Arial" w:hAnsi="Arial" w:cs="Arial"/>
                <w:sz w:val="24"/>
                <w:szCs w:val="24"/>
              </w:rPr>
              <w:t xml:space="preserve"> Inc</w:t>
            </w:r>
            <w:r w:rsidR="00133961" w:rsidRPr="004B72D1">
              <w:rPr>
                <w:rFonts w:ascii="Arial" w:hAnsi="Arial" w:cs="Arial"/>
                <w:sz w:val="24"/>
                <w:szCs w:val="24"/>
              </w:rPr>
              <w:t>.</w:t>
            </w:r>
            <w:r>
              <w:rPr>
                <w:rFonts w:ascii="Arial" w:hAnsi="Arial" w:cs="Arial"/>
                <w:sz w:val="24"/>
                <w:szCs w:val="24"/>
              </w:rPr>
              <w:t>,</w:t>
            </w:r>
            <w:r w:rsidR="00133961" w:rsidRPr="004B72D1">
              <w:rPr>
                <w:rFonts w:ascii="Arial" w:hAnsi="Arial" w:cs="Arial"/>
                <w:sz w:val="24"/>
                <w:szCs w:val="24"/>
              </w:rPr>
              <w:t xml:space="preserve"> </w:t>
            </w:r>
            <w:r w:rsidR="0078733C" w:rsidRPr="004B72D1">
              <w:rPr>
                <w:rFonts w:ascii="Arial" w:hAnsi="Arial" w:cs="Arial"/>
                <w:sz w:val="24"/>
                <w:szCs w:val="24"/>
              </w:rPr>
              <w:t xml:space="preserve">Windhoek </w:t>
            </w:r>
          </w:p>
        </w:tc>
        <w:tc>
          <w:tcPr>
            <w:tcW w:w="5244" w:type="dxa"/>
            <w:gridSpan w:val="2"/>
          </w:tcPr>
          <w:p w:rsidR="004B72D1" w:rsidRDefault="00CD7C9E" w:rsidP="00937C89">
            <w:pPr>
              <w:spacing w:line="360" w:lineRule="auto"/>
              <w:jc w:val="center"/>
              <w:rPr>
                <w:rFonts w:ascii="Arial" w:hAnsi="Arial" w:cs="Arial"/>
                <w:sz w:val="24"/>
                <w:szCs w:val="24"/>
              </w:rPr>
            </w:pPr>
            <w:r>
              <w:rPr>
                <w:rFonts w:ascii="Arial" w:hAnsi="Arial" w:cs="Arial"/>
                <w:sz w:val="24"/>
                <w:szCs w:val="24"/>
              </w:rPr>
              <w:t>M Kuzeeko</w:t>
            </w:r>
          </w:p>
          <w:p w:rsidR="0000513F" w:rsidRPr="00CA7995" w:rsidRDefault="007F6C4C" w:rsidP="004B72D1">
            <w:pPr>
              <w:spacing w:line="360" w:lineRule="auto"/>
              <w:jc w:val="center"/>
              <w:rPr>
                <w:rFonts w:ascii="Arial" w:hAnsi="Arial" w:cs="Arial"/>
                <w:sz w:val="24"/>
                <w:szCs w:val="24"/>
              </w:rPr>
            </w:pPr>
            <w:r>
              <w:rPr>
                <w:rFonts w:ascii="Arial" w:hAnsi="Arial" w:cs="Arial"/>
                <w:sz w:val="24"/>
                <w:szCs w:val="24"/>
              </w:rPr>
              <w:t>Of Weder</w:t>
            </w:r>
            <w:r w:rsidR="004B72D1">
              <w:rPr>
                <w:rFonts w:ascii="Arial" w:hAnsi="Arial" w:cs="Arial"/>
                <w:sz w:val="24"/>
                <w:szCs w:val="24"/>
              </w:rPr>
              <w:t>,</w:t>
            </w:r>
            <w:r>
              <w:rPr>
                <w:rFonts w:ascii="Arial" w:hAnsi="Arial" w:cs="Arial"/>
                <w:sz w:val="24"/>
                <w:szCs w:val="24"/>
              </w:rPr>
              <w:t xml:space="preserve"> Kauta &amp; Hoveka Inc.</w:t>
            </w:r>
            <w:r w:rsidR="00313390">
              <w:rPr>
                <w:rFonts w:ascii="Arial" w:hAnsi="Arial" w:cs="Arial"/>
                <w:sz w:val="24"/>
                <w:szCs w:val="24"/>
              </w:rPr>
              <w:t>,</w:t>
            </w:r>
            <w:r w:rsidR="004B72D1">
              <w:rPr>
                <w:rFonts w:ascii="Arial" w:hAnsi="Arial" w:cs="Arial"/>
                <w:sz w:val="24"/>
                <w:szCs w:val="24"/>
              </w:rPr>
              <w:t xml:space="preserve"> Windhoek</w:t>
            </w:r>
          </w:p>
        </w:tc>
      </w:tr>
    </w:tbl>
    <w:p w:rsidR="00B845CF" w:rsidRDefault="00B845CF"/>
    <w:sectPr w:rsidR="00B845CF" w:rsidSect="0089248A">
      <w:headerReference w:type="default" r:id="rId9"/>
      <w:footerReference w:type="default" r:id="rId10"/>
      <w:headerReference w:type="first" r:id="rId11"/>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312" w:rsidRDefault="00540312" w:rsidP="00B40844">
      <w:pPr>
        <w:spacing w:after="0" w:line="240" w:lineRule="auto"/>
      </w:pPr>
      <w:r>
        <w:separator/>
      </w:r>
    </w:p>
  </w:endnote>
  <w:endnote w:type="continuationSeparator" w:id="0">
    <w:p w:rsidR="00540312" w:rsidRDefault="00540312"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312" w:rsidRDefault="00540312" w:rsidP="00B40844">
      <w:pPr>
        <w:spacing w:after="0" w:line="240" w:lineRule="auto"/>
      </w:pPr>
      <w:r>
        <w:separator/>
      </w:r>
    </w:p>
  </w:footnote>
  <w:footnote w:type="continuationSeparator" w:id="0">
    <w:p w:rsidR="00540312" w:rsidRDefault="00540312" w:rsidP="00B40844">
      <w:pPr>
        <w:spacing w:after="0" w:line="240" w:lineRule="auto"/>
      </w:pPr>
      <w:r>
        <w:continuationSeparator/>
      </w:r>
    </w:p>
  </w:footnote>
  <w:footnote w:id="1">
    <w:p w:rsidR="000903A8" w:rsidRPr="00C46329" w:rsidRDefault="000903A8" w:rsidP="00C46329">
      <w:pPr>
        <w:spacing w:after="0"/>
        <w:rPr>
          <w:rFonts w:ascii="Arial" w:hAnsi="Arial" w:cs="Arial"/>
          <w:sz w:val="20"/>
          <w:szCs w:val="20"/>
        </w:rPr>
      </w:pPr>
      <w:r>
        <w:rPr>
          <w:rStyle w:val="FootnoteReference"/>
        </w:rPr>
        <w:footnoteRef/>
      </w:r>
      <w:r>
        <w:t xml:space="preserve"> </w:t>
      </w:r>
      <w:r w:rsidRPr="00C46329">
        <w:rPr>
          <w:rFonts w:ascii="Arial" w:hAnsi="Arial" w:cs="Arial"/>
          <w:i/>
          <w:sz w:val="20"/>
          <w:szCs w:val="20"/>
        </w:rPr>
        <w:t>Van Wyk v Windhoek Renovations CC</w:t>
      </w:r>
      <w:r w:rsidRPr="00C46329">
        <w:rPr>
          <w:rFonts w:ascii="Arial" w:hAnsi="Arial" w:cs="Arial"/>
          <w:sz w:val="20"/>
          <w:szCs w:val="20"/>
        </w:rPr>
        <w:t xml:space="preserve"> (HC-MD-CIV-MOT-GEN-2021/00128) [2022] NAHCMD 467 (7 September 2022).</w:t>
      </w:r>
    </w:p>
  </w:footnote>
  <w:footnote w:id="2">
    <w:p w:rsidR="000903A8" w:rsidRPr="00C46329" w:rsidRDefault="000903A8" w:rsidP="00C46329">
      <w:pPr>
        <w:pStyle w:val="FootnoteText"/>
        <w:rPr>
          <w:rFonts w:ascii="Arial" w:hAnsi="Arial" w:cs="Arial"/>
          <w:lang w:val="en-US"/>
        </w:rPr>
      </w:pPr>
      <w:r w:rsidRPr="00C46329">
        <w:rPr>
          <w:rStyle w:val="FootnoteReference"/>
          <w:rFonts w:ascii="Arial" w:hAnsi="Arial" w:cs="Arial"/>
        </w:rPr>
        <w:footnoteRef/>
      </w:r>
      <w:r w:rsidRPr="00C46329">
        <w:rPr>
          <w:rFonts w:ascii="Arial" w:hAnsi="Arial" w:cs="Arial"/>
        </w:rPr>
        <w:t xml:space="preserve"> </w:t>
      </w:r>
      <w:r w:rsidRPr="00C46329">
        <w:rPr>
          <w:rFonts w:ascii="Arial" w:hAnsi="Arial" w:cs="Arial"/>
          <w:i/>
        </w:rPr>
        <w:t xml:space="preserve">Bindco (Pty) Ltd v AC Ce Brindpro </w:t>
      </w:r>
      <w:r w:rsidRPr="00C46329">
        <w:rPr>
          <w:rFonts w:ascii="Arial" w:hAnsi="Arial" w:cs="Arial"/>
        </w:rPr>
        <w:t>TPD case number 19055/2000.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252234"/>
      <w:docPartObj>
        <w:docPartGallery w:val="Page Numbers (Top of Page)"/>
        <w:docPartUnique/>
      </w:docPartObj>
    </w:sdtPr>
    <w:sdtEndPr>
      <w:rPr>
        <w:noProof/>
      </w:rPr>
    </w:sdtEndPr>
    <w:sdtContent>
      <w:p w:rsidR="0089248A" w:rsidRDefault="0089248A">
        <w:pPr>
          <w:pStyle w:val="Header"/>
          <w:jc w:val="right"/>
        </w:pPr>
        <w:r>
          <w:fldChar w:fldCharType="begin"/>
        </w:r>
        <w:r>
          <w:instrText xml:space="preserve"> PAGE   \* MERGEFORMAT </w:instrText>
        </w:r>
        <w:r>
          <w:fldChar w:fldCharType="separate"/>
        </w:r>
        <w:r w:rsidR="00233678">
          <w:rPr>
            <w:noProof/>
          </w:rPr>
          <w:t>7</w:t>
        </w:r>
        <w:r>
          <w:rPr>
            <w:noProof/>
          </w:rPr>
          <w:fldChar w:fldCharType="end"/>
        </w:r>
      </w:p>
    </w:sdtContent>
  </w:sdt>
  <w:p w:rsidR="0089248A" w:rsidRDefault="00892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8A" w:rsidRDefault="0089248A">
    <w:pPr>
      <w:pStyle w:val="Header"/>
      <w:jc w:val="right"/>
    </w:pPr>
  </w:p>
  <w:p w:rsidR="0089248A" w:rsidRDefault="00892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06D70874"/>
    <w:multiLevelType w:val="hybridMultilevel"/>
    <w:tmpl w:val="25664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2E9A"/>
    <w:rsid w:val="0000513F"/>
    <w:rsid w:val="000142CE"/>
    <w:rsid w:val="00015808"/>
    <w:rsid w:val="00030A66"/>
    <w:rsid w:val="000466BD"/>
    <w:rsid w:val="00052806"/>
    <w:rsid w:val="00053646"/>
    <w:rsid w:val="000903A8"/>
    <w:rsid w:val="000929C5"/>
    <w:rsid w:val="000A6E7F"/>
    <w:rsid w:val="000C03BB"/>
    <w:rsid w:val="000D3C9C"/>
    <w:rsid w:val="000F1377"/>
    <w:rsid w:val="000F39A3"/>
    <w:rsid w:val="000F681E"/>
    <w:rsid w:val="00114BF2"/>
    <w:rsid w:val="00116AFB"/>
    <w:rsid w:val="001223B7"/>
    <w:rsid w:val="00124C63"/>
    <w:rsid w:val="00126390"/>
    <w:rsid w:val="00133961"/>
    <w:rsid w:val="00145794"/>
    <w:rsid w:val="00152FEA"/>
    <w:rsid w:val="00154246"/>
    <w:rsid w:val="001744E0"/>
    <w:rsid w:val="0018718C"/>
    <w:rsid w:val="001A39D7"/>
    <w:rsid w:val="001B3825"/>
    <w:rsid w:val="001E097B"/>
    <w:rsid w:val="001F036C"/>
    <w:rsid w:val="0021638C"/>
    <w:rsid w:val="00217744"/>
    <w:rsid w:val="00224808"/>
    <w:rsid w:val="0023128B"/>
    <w:rsid w:val="002317B0"/>
    <w:rsid w:val="00233678"/>
    <w:rsid w:val="0023549A"/>
    <w:rsid w:val="00251549"/>
    <w:rsid w:val="002536EA"/>
    <w:rsid w:val="0026588D"/>
    <w:rsid w:val="00275493"/>
    <w:rsid w:val="00276736"/>
    <w:rsid w:val="002A4AA3"/>
    <w:rsid w:val="002B38E0"/>
    <w:rsid w:val="002C1EF6"/>
    <w:rsid w:val="002D20C5"/>
    <w:rsid w:val="002E0391"/>
    <w:rsid w:val="002E738E"/>
    <w:rsid w:val="002F4E1D"/>
    <w:rsid w:val="00313390"/>
    <w:rsid w:val="0031523D"/>
    <w:rsid w:val="00322F39"/>
    <w:rsid w:val="00323AAF"/>
    <w:rsid w:val="00323E22"/>
    <w:rsid w:val="00333BDA"/>
    <w:rsid w:val="00340EA6"/>
    <w:rsid w:val="003413C7"/>
    <w:rsid w:val="00341C0F"/>
    <w:rsid w:val="00342043"/>
    <w:rsid w:val="0035617B"/>
    <w:rsid w:val="00371B8F"/>
    <w:rsid w:val="0038382D"/>
    <w:rsid w:val="00384B95"/>
    <w:rsid w:val="00386121"/>
    <w:rsid w:val="003A18AD"/>
    <w:rsid w:val="003A32E4"/>
    <w:rsid w:val="003A49EA"/>
    <w:rsid w:val="003C2574"/>
    <w:rsid w:val="003D0355"/>
    <w:rsid w:val="003D165C"/>
    <w:rsid w:val="003D3059"/>
    <w:rsid w:val="00404B70"/>
    <w:rsid w:val="00412278"/>
    <w:rsid w:val="00426C60"/>
    <w:rsid w:val="00431A65"/>
    <w:rsid w:val="004352E5"/>
    <w:rsid w:val="004358E2"/>
    <w:rsid w:val="00436C2B"/>
    <w:rsid w:val="00444155"/>
    <w:rsid w:val="00453202"/>
    <w:rsid w:val="00463486"/>
    <w:rsid w:val="004665B1"/>
    <w:rsid w:val="00466B36"/>
    <w:rsid w:val="00474C2A"/>
    <w:rsid w:val="00475B7A"/>
    <w:rsid w:val="004907E4"/>
    <w:rsid w:val="004936A7"/>
    <w:rsid w:val="004A1B08"/>
    <w:rsid w:val="004A2D48"/>
    <w:rsid w:val="004B44CE"/>
    <w:rsid w:val="004B72D1"/>
    <w:rsid w:val="004C646F"/>
    <w:rsid w:val="004E0A42"/>
    <w:rsid w:val="004E7498"/>
    <w:rsid w:val="00503F36"/>
    <w:rsid w:val="00507BD2"/>
    <w:rsid w:val="005224E2"/>
    <w:rsid w:val="0053345C"/>
    <w:rsid w:val="00535F29"/>
    <w:rsid w:val="00536EFF"/>
    <w:rsid w:val="00540312"/>
    <w:rsid w:val="00545EEF"/>
    <w:rsid w:val="00552964"/>
    <w:rsid w:val="005579BC"/>
    <w:rsid w:val="00562322"/>
    <w:rsid w:val="005629DA"/>
    <w:rsid w:val="005676AD"/>
    <w:rsid w:val="00586C74"/>
    <w:rsid w:val="00594F6C"/>
    <w:rsid w:val="005A4D90"/>
    <w:rsid w:val="005B5190"/>
    <w:rsid w:val="005B62A0"/>
    <w:rsid w:val="005C0E24"/>
    <w:rsid w:val="005C21D7"/>
    <w:rsid w:val="005C3354"/>
    <w:rsid w:val="005D7BD0"/>
    <w:rsid w:val="005F325C"/>
    <w:rsid w:val="005F32EB"/>
    <w:rsid w:val="005F629F"/>
    <w:rsid w:val="00610BF1"/>
    <w:rsid w:val="006115E2"/>
    <w:rsid w:val="00620A52"/>
    <w:rsid w:val="00636C8E"/>
    <w:rsid w:val="0064422B"/>
    <w:rsid w:val="00672C76"/>
    <w:rsid w:val="00675F61"/>
    <w:rsid w:val="006916C9"/>
    <w:rsid w:val="00692D13"/>
    <w:rsid w:val="00695745"/>
    <w:rsid w:val="006976D9"/>
    <w:rsid w:val="006A0BA4"/>
    <w:rsid w:val="006B7521"/>
    <w:rsid w:val="006D0991"/>
    <w:rsid w:val="006D7450"/>
    <w:rsid w:val="006E0FD4"/>
    <w:rsid w:val="006F7810"/>
    <w:rsid w:val="00702C62"/>
    <w:rsid w:val="00703171"/>
    <w:rsid w:val="00712A7E"/>
    <w:rsid w:val="007243F3"/>
    <w:rsid w:val="00736DA4"/>
    <w:rsid w:val="00737C3D"/>
    <w:rsid w:val="00746C0C"/>
    <w:rsid w:val="00766C68"/>
    <w:rsid w:val="0078274D"/>
    <w:rsid w:val="007853D8"/>
    <w:rsid w:val="0078733C"/>
    <w:rsid w:val="007950C8"/>
    <w:rsid w:val="00796B9C"/>
    <w:rsid w:val="007B3898"/>
    <w:rsid w:val="007D0792"/>
    <w:rsid w:val="007D6C74"/>
    <w:rsid w:val="007F68C4"/>
    <w:rsid w:val="007F6C4C"/>
    <w:rsid w:val="008006A3"/>
    <w:rsid w:val="00805692"/>
    <w:rsid w:val="00812409"/>
    <w:rsid w:val="00816D5D"/>
    <w:rsid w:val="00821A0C"/>
    <w:rsid w:val="008275AC"/>
    <w:rsid w:val="00835300"/>
    <w:rsid w:val="0084650C"/>
    <w:rsid w:val="00854187"/>
    <w:rsid w:val="00882F73"/>
    <w:rsid w:val="00890A20"/>
    <w:rsid w:val="0089248A"/>
    <w:rsid w:val="00892D9A"/>
    <w:rsid w:val="008A1447"/>
    <w:rsid w:val="008A69A0"/>
    <w:rsid w:val="008B171D"/>
    <w:rsid w:val="008C2200"/>
    <w:rsid w:val="008E0730"/>
    <w:rsid w:val="008F5871"/>
    <w:rsid w:val="008F59A0"/>
    <w:rsid w:val="00907710"/>
    <w:rsid w:val="0091061F"/>
    <w:rsid w:val="009279BE"/>
    <w:rsid w:val="00933A14"/>
    <w:rsid w:val="00937C89"/>
    <w:rsid w:val="00940E36"/>
    <w:rsid w:val="009569D1"/>
    <w:rsid w:val="009617AA"/>
    <w:rsid w:val="009733A9"/>
    <w:rsid w:val="009919F6"/>
    <w:rsid w:val="00997C11"/>
    <w:rsid w:val="009A7A59"/>
    <w:rsid w:val="009C35C9"/>
    <w:rsid w:val="009C6F3F"/>
    <w:rsid w:val="009D27E8"/>
    <w:rsid w:val="009F5D03"/>
    <w:rsid w:val="00A10E40"/>
    <w:rsid w:val="00A15CD1"/>
    <w:rsid w:val="00A22E0F"/>
    <w:rsid w:val="00A26B7B"/>
    <w:rsid w:val="00A3327E"/>
    <w:rsid w:val="00A50F13"/>
    <w:rsid w:val="00A66511"/>
    <w:rsid w:val="00A75ED6"/>
    <w:rsid w:val="00A952E2"/>
    <w:rsid w:val="00AA3ECB"/>
    <w:rsid w:val="00AD72DD"/>
    <w:rsid w:val="00AF5CE4"/>
    <w:rsid w:val="00B01B6C"/>
    <w:rsid w:val="00B01C8E"/>
    <w:rsid w:val="00B121EA"/>
    <w:rsid w:val="00B125D3"/>
    <w:rsid w:val="00B15A74"/>
    <w:rsid w:val="00B40844"/>
    <w:rsid w:val="00B463CA"/>
    <w:rsid w:val="00B47800"/>
    <w:rsid w:val="00B50C99"/>
    <w:rsid w:val="00B56E34"/>
    <w:rsid w:val="00B5737E"/>
    <w:rsid w:val="00B601AD"/>
    <w:rsid w:val="00B61AC7"/>
    <w:rsid w:val="00B808CB"/>
    <w:rsid w:val="00B81536"/>
    <w:rsid w:val="00B845CF"/>
    <w:rsid w:val="00B92DE7"/>
    <w:rsid w:val="00B9407E"/>
    <w:rsid w:val="00BB13F4"/>
    <w:rsid w:val="00BB3273"/>
    <w:rsid w:val="00BC1266"/>
    <w:rsid w:val="00BC5931"/>
    <w:rsid w:val="00BE31AD"/>
    <w:rsid w:val="00BF1115"/>
    <w:rsid w:val="00BF2081"/>
    <w:rsid w:val="00C04F28"/>
    <w:rsid w:val="00C06EB4"/>
    <w:rsid w:val="00C2633E"/>
    <w:rsid w:val="00C32B74"/>
    <w:rsid w:val="00C46329"/>
    <w:rsid w:val="00C70DE5"/>
    <w:rsid w:val="00C73D5D"/>
    <w:rsid w:val="00C87E8F"/>
    <w:rsid w:val="00CA44E2"/>
    <w:rsid w:val="00CA7995"/>
    <w:rsid w:val="00CC7431"/>
    <w:rsid w:val="00CD62C0"/>
    <w:rsid w:val="00CD7C9E"/>
    <w:rsid w:val="00CE5E5B"/>
    <w:rsid w:val="00CF3819"/>
    <w:rsid w:val="00CF413C"/>
    <w:rsid w:val="00D006E9"/>
    <w:rsid w:val="00D113DD"/>
    <w:rsid w:val="00D14EF6"/>
    <w:rsid w:val="00D24453"/>
    <w:rsid w:val="00D25285"/>
    <w:rsid w:val="00D30D4D"/>
    <w:rsid w:val="00D36C17"/>
    <w:rsid w:val="00D37DAA"/>
    <w:rsid w:val="00D5070E"/>
    <w:rsid w:val="00D547B6"/>
    <w:rsid w:val="00D554A3"/>
    <w:rsid w:val="00D6224D"/>
    <w:rsid w:val="00D74D0B"/>
    <w:rsid w:val="00D80947"/>
    <w:rsid w:val="00D837ED"/>
    <w:rsid w:val="00D83BA2"/>
    <w:rsid w:val="00D91FF4"/>
    <w:rsid w:val="00D960EA"/>
    <w:rsid w:val="00DA0D55"/>
    <w:rsid w:val="00DA4A57"/>
    <w:rsid w:val="00DB5AA2"/>
    <w:rsid w:val="00DD76E7"/>
    <w:rsid w:val="00DD7A91"/>
    <w:rsid w:val="00DE31FE"/>
    <w:rsid w:val="00DF1565"/>
    <w:rsid w:val="00E01A84"/>
    <w:rsid w:val="00E0573A"/>
    <w:rsid w:val="00E10FDF"/>
    <w:rsid w:val="00E11E88"/>
    <w:rsid w:val="00E221FD"/>
    <w:rsid w:val="00E33022"/>
    <w:rsid w:val="00E41BE5"/>
    <w:rsid w:val="00E42599"/>
    <w:rsid w:val="00E47C47"/>
    <w:rsid w:val="00E533BE"/>
    <w:rsid w:val="00E540B7"/>
    <w:rsid w:val="00E62DB3"/>
    <w:rsid w:val="00E83C8A"/>
    <w:rsid w:val="00E90E55"/>
    <w:rsid w:val="00E92A6B"/>
    <w:rsid w:val="00E96F9E"/>
    <w:rsid w:val="00EA2DE2"/>
    <w:rsid w:val="00EB1AE0"/>
    <w:rsid w:val="00EC1A57"/>
    <w:rsid w:val="00EC29B1"/>
    <w:rsid w:val="00ED2F03"/>
    <w:rsid w:val="00ED5B76"/>
    <w:rsid w:val="00ED7008"/>
    <w:rsid w:val="00ED76B2"/>
    <w:rsid w:val="00ED7CC7"/>
    <w:rsid w:val="00EF184A"/>
    <w:rsid w:val="00EF2FFD"/>
    <w:rsid w:val="00F0235A"/>
    <w:rsid w:val="00F05CAB"/>
    <w:rsid w:val="00F0783D"/>
    <w:rsid w:val="00F258A0"/>
    <w:rsid w:val="00F502F0"/>
    <w:rsid w:val="00F62BCA"/>
    <w:rsid w:val="00F65529"/>
    <w:rsid w:val="00F65903"/>
    <w:rsid w:val="00F709AF"/>
    <w:rsid w:val="00F72231"/>
    <w:rsid w:val="00F7474A"/>
    <w:rsid w:val="00F7691A"/>
    <w:rsid w:val="00F82EDF"/>
    <w:rsid w:val="00F8480F"/>
    <w:rsid w:val="00F92D04"/>
    <w:rsid w:val="00FA07D9"/>
    <w:rsid w:val="00FB2E9E"/>
    <w:rsid w:val="00FB5F14"/>
    <w:rsid w:val="00FC2237"/>
    <w:rsid w:val="00FC6F2E"/>
    <w:rsid w:val="00FD68B7"/>
    <w:rsid w:val="00FF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iPriority w:val="99"/>
    <w:unhideWhenUsed/>
    <w:rsid w:val="0078733C"/>
    <w:pPr>
      <w:tabs>
        <w:tab w:val="left" w:pos="729"/>
      </w:tabs>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78733C"/>
    <w:rPr>
      <w:rFonts w:ascii="Arial" w:hAnsi="Arial" w:cs="Arial"/>
      <w:sz w:val="24"/>
      <w:szCs w:val="24"/>
      <w:lang w:val="en-ZA"/>
    </w:rPr>
  </w:style>
  <w:style w:type="paragraph" w:styleId="BodyTextIndent">
    <w:name w:val="Body Text Indent"/>
    <w:basedOn w:val="Normal"/>
    <w:link w:val="BodyTextIndentChar"/>
    <w:uiPriority w:val="99"/>
    <w:unhideWhenUsed/>
    <w:rsid w:val="0078733C"/>
    <w:pPr>
      <w:spacing w:after="0" w:line="360" w:lineRule="auto"/>
      <w:ind w:left="20" w:hanging="2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78733C"/>
    <w:rPr>
      <w:rFonts w:ascii="Arial" w:hAnsi="Arial" w:cs="Arial"/>
      <w:sz w:val="24"/>
      <w:szCs w:val="24"/>
      <w:lang w:val="en-ZA"/>
    </w:rPr>
  </w:style>
  <w:style w:type="paragraph" w:styleId="BodyText2">
    <w:name w:val="Body Text 2"/>
    <w:basedOn w:val="Normal"/>
    <w:link w:val="BodyText2Char"/>
    <w:uiPriority w:val="99"/>
    <w:unhideWhenUsed/>
    <w:rsid w:val="0078733C"/>
    <w:pPr>
      <w:spacing w:after="0" w:line="360" w:lineRule="auto"/>
    </w:pPr>
    <w:rPr>
      <w:rFonts w:ascii="Arial" w:hAnsi="Arial" w:cs="Arial"/>
      <w:color w:val="7030A0"/>
      <w:sz w:val="24"/>
      <w:szCs w:val="24"/>
    </w:rPr>
  </w:style>
  <w:style w:type="character" w:customStyle="1" w:styleId="BodyText2Char">
    <w:name w:val="Body Text 2 Char"/>
    <w:basedOn w:val="DefaultParagraphFont"/>
    <w:link w:val="BodyText2"/>
    <w:uiPriority w:val="99"/>
    <w:rsid w:val="0078733C"/>
    <w:rPr>
      <w:rFonts w:ascii="Arial" w:hAnsi="Arial" w:cs="Arial"/>
      <w:color w:val="7030A0"/>
      <w:sz w:val="24"/>
      <w:szCs w:val="24"/>
      <w:lang w:val="en-ZA"/>
    </w:rPr>
  </w:style>
  <w:style w:type="paragraph" w:styleId="Header">
    <w:name w:val="header"/>
    <w:basedOn w:val="Normal"/>
    <w:link w:val="HeaderChar"/>
    <w:uiPriority w:val="99"/>
    <w:unhideWhenUsed/>
    <w:rsid w:val="00892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8A"/>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2023-06-08T18:30:00+00:00</Judgment_x0020_Date>
    <Year xmlns="c1afb1bd-f2fb-40fd-9abb-aea55b4d7662">2023</Year>
  </documentManagement>
</p:properties>
</file>

<file path=customXml/itemProps1.xml><?xml version="1.0" encoding="utf-8"?>
<ds:datastoreItem xmlns:ds="http://schemas.openxmlformats.org/officeDocument/2006/customXml" ds:itemID="{B8291104-D45D-4046-B9B7-FBE72168DBC8}"/>
</file>

<file path=customXml/itemProps2.xml><?xml version="1.0" encoding="utf-8"?>
<ds:datastoreItem xmlns:ds="http://schemas.openxmlformats.org/officeDocument/2006/customXml" ds:itemID="{147C665A-5E2B-4829-890F-B2D8B2DAC480}"/>
</file>

<file path=customXml/itemProps3.xml><?xml version="1.0" encoding="utf-8"?>
<ds:datastoreItem xmlns:ds="http://schemas.openxmlformats.org/officeDocument/2006/customXml" ds:itemID="{3D7B757F-DC7B-4972-9717-BB70F94FEF8C}"/>
</file>

<file path=customXml/itemProps4.xml><?xml version="1.0" encoding="utf-8"?>
<ds:datastoreItem xmlns:ds="http://schemas.openxmlformats.org/officeDocument/2006/customXml" ds:itemID="{CAF85BBC-5FF3-4B24-B14C-8B2724C5F5B5}"/>
</file>

<file path=docProps/app.xml><?xml version="1.0" encoding="utf-8"?>
<Properties xmlns="http://schemas.openxmlformats.org/officeDocument/2006/extended-properties" xmlns:vt="http://schemas.openxmlformats.org/officeDocument/2006/docPropsVTypes">
  <Template>Normal</Template>
  <TotalTime>1</TotalTime>
  <Pages>7</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Wyk v Windhoek Renovations (HC-MD-CIV-MOT-GEN-2021-00128) [2023] NAHCMD 308 (9 June 2023)</dc:title>
  <dc:subject/>
  <dc:creator>shomany keister</dc:creator>
  <cp:keywords/>
  <dc:description/>
  <cp:lastModifiedBy>Charlet Mokomele</cp:lastModifiedBy>
  <cp:revision>3</cp:revision>
  <cp:lastPrinted>2023-06-09T08:28:00Z</cp:lastPrinted>
  <dcterms:created xsi:type="dcterms:W3CDTF">2023-06-12T13:19:00Z</dcterms:created>
  <dcterms:modified xsi:type="dcterms:W3CDTF">2023-06-12T13:20:00Z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2cdfba32e7b52501905398caff7c37cc1126380f00be713e6bfbfe12cbdb4e62</vt:lpwstr>
  </property>
  <property fmtid="{D5CDD505-2E9C-101B-9397-08002B2CF9AE}" pid="3" name="ContentTypeId">
    <vt:lpwstr>0x0101000ECE0F99B3F8644397ECB0C536651393</vt:lpwstr>
  </property>
</Properties>
</file>