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4" w:rsidRPr="00C1037C" w:rsidRDefault="005E0660" w:rsidP="00411DC4">
      <w:pPr>
        <w:spacing w:after="160" w:line="254" w:lineRule="auto"/>
        <w:jc w:val="center"/>
        <w:rPr>
          <w:rFonts w:ascii="Arial" w:hAnsi="Arial" w:cs="Arial"/>
          <w:b/>
          <w:sz w:val="24"/>
          <w:szCs w:val="24"/>
          <w:lang w:val="en-US"/>
        </w:rPr>
      </w:pPr>
      <w:r w:rsidRPr="00C1037C">
        <w:rPr>
          <w:rFonts w:ascii="Arial" w:hAnsi="Arial" w:cs="Arial"/>
          <w:b/>
          <w:sz w:val="24"/>
          <w:szCs w:val="24"/>
          <w:lang w:val="en-US"/>
        </w:rPr>
        <w:t>REPUBLIC OF NAMIBIA</w:t>
      </w:r>
    </w:p>
    <w:p w:rsidR="00411DC4" w:rsidRPr="00A91522" w:rsidRDefault="005E0660" w:rsidP="00411DC4">
      <w:pPr>
        <w:spacing w:after="160" w:line="254" w:lineRule="auto"/>
        <w:jc w:val="center"/>
        <w:rPr>
          <w:rFonts w:ascii="Arial Narrow" w:hAnsi="Arial Narrow" w:cs="Arial"/>
          <w:b/>
          <w:sz w:val="24"/>
          <w:szCs w:val="24"/>
          <w:lang w:val="en-US"/>
        </w:rPr>
      </w:pPr>
      <w:r w:rsidRPr="00A91522">
        <w:rPr>
          <w:rFonts w:ascii="Arial Narrow" w:hAnsi="Arial Narrow" w:cs="Arial"/>
          <w:b/>
          <w:noProof/>
          <w:sz w:val="24"/>
          <w:szCs w:val="24"/>
          <w:lang w:eastAsia="en-ZA"/>
        </w:rPr>
        <w:drawing>
          <wp:inline distT="0" distB="0" distL="0" distR="0">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NAM1"/>
                    <pic:cNvPicPr>
                      <a:picLocks noChangeAspect="1" noChangeArrowheads="1"/>
                    </pic:cNvPicPr>
                  </pic:nvPicPr>
                  <pic:blipFill>
                    <a:blip r:embed="rId8" cstate="prin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411DC4" w:rsidRPr="00A91522" w:rsidRDefault="00411DC4" w:rsidP="00411DC4">
      <w:pPr>
        <w:spacing w:after="160" w:line="254" w:lineRule="auto"/>
        <w:jc w:val="center"/>
        <w:rPr>
          <w:rFonts w:ascii="Arial Narrow" w:hAnsi="Arial Narrow" w:cs="Arial"/>
          <w:b/>
          <w:sz w:val="24"/>
          <w:szCs w:val="24"/>
          <w:lang w:val="en-US"/>
        </w:rPr>
      </w:pPr>
    </w:p>
    <w:p w:rsidR="00411DC4" w:rsidRDefault="005E0660" w:rsidP="00921C4D">
      <w:pPr>
        <w:spacing w:after="160" w:line="254" w:lineRule="auto"/>
        <w:jc w:val="center"/>
        <w:rPr>
          <w:rFonts w:ascii="Arial" w:hAnsi="Arial" w:cs="Arial"/>
          <w:b/>
          <w:sz w:val="24"/>
          <w:szCs w:val="24"/>
          <w:lang w:val="en-US"/>
        </w:rPr>
      </w:pPr>
      <w:r w:rsidRPr="00E729A1">
        <w:rPr>
          <w:rFonts w:ascii="Arial" w:hAnsi="Arial" w:cs="Arial"/>
          <w:b/>
          <w:sz w:val="24"/>
          <w:szCs w:val="24"/>
          <w:lang w:val="en-US"/>
        </w:rPr>
        <w:t>IN THE HIGH COURT OF NAMIBIA, MAIN DIVISION, WINDHOEK</w:t>
      </w:r>
    </w:p>
    <w:p w:rsidR="00411DC4" w:rsidRPr="006504C8" w:rsidRDefault="005E0660" w:rsidP="00411DC4">
      <w:pPr>
        <w:spacing w:after="160" w:line="254" w:lineRule="auto"/>
        <w:jc w:val="center"/>
        <w:rPr>
          <w:rFonts w:ascii="Arial" w:hAnsi="Arial" w:cs="Arial"/>
          <w:sz w:val="24"/>
          <w:szCs w:val="24"/>
          <w:lang w:val="en-US"/>
        </w:rPr>
      </w:pPr>
      <w:r w:rsidRPr="006504C8">
        <w:rPr>
          <w:rFonts w:ascii="Arial" w:hAnsi="Arial" w:cs="Arial"/>
          <w:sz w:val="24"/>
          <w:szCs w:val="24"/>
          <w:lang w:val="en-US"/>
        </w:rPr>
        <w:t>PRACTICE DIRECTIVE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751762" w:rsidTr="006504C8">
        <w:trPr>
          <w:trHeight w:val="599"/>
        </w:trPr>
        <w:tc>
          <w:tcPr>
            <w:tcW w:w="6379" w:type="dxa"/>
            <w:gridSpan w:val="2"/>
            <w:vMerge w:val="restart"/>
            <w:tcBorders>
              <w:top w:val="single" w:sz="4" w:space="0" w:color="auto"/>
              <w:left w:val="single" w:sz="4" w:space="0" w:color="auto"/>
              <w:right w:val="single" w:sz="4" w:space="0" w:color="auto"/>
            </w:tcBorders>
            <w:hideMark/>
          </w:tcPr>
          <w:p w:rsidR="00411DC4" w:rsidRDefault="005E0660" w:rsidP="00974323">
            <w:pPr>
              <w:spacing w:after="0" w:line="360" w:lineRule="auto"/>
              <w:jc w:val="both"/>
              <w:rPr>
                <w:rFonts w:ascii="Arial" w:hAnsi="Arial" w:cs="Arial"/>
                <w:b/>
                <w:sz w:val="24"/>
                <w:szCs w:val="24"/>
              </w:rPr>
            </w:pPr>
            <w:r w:rsidRPr="00A91522">
              <w:rPr>
                <w:rFonts w:ascii="Arial" w:hAnsi="Arial" w:cs="Arial"/>
                <w:b/>
                <w:sz w:val="24"/>
                <w:szCs w:val="24"/>
              </w:rPr>
              <w:t>Case Title:</w:t>
            </w:r>
          </w:p>
          <w:p w:rsidR="006504C8" w:rsidRDefault="006504C8" w:rsidP="00504652">
            <w:pPr>
              <w:spacing w:after="0" w:line="360" w:lineRule="auto"/>
              <w:jc w:val="both"/>
              <w:rPr>
                <w:rFonts w:ascii="Arial" w:hAnsi="Arial" w:cs="Arial"/>
                <w:sz w:val="24"/>
                <w:szCs w:val="24"/>
              </w:rPr>
            </w:pPr>
          </w:p>
          <w:p w:rsidR="00504652" w:rsidRPr="00504652" w:rsidRDefault="005E0660" w:rsidP="00504652">
            <w:pPr>
              <w:spacing w:after="0" w:line="360" w:lineRule="auto"/>
              <w:jc w:val="both"/>
              <w:rPr>
                <w:rFonts w:ascii="Arial" w:hAnsi="Arial" w:cs="Arial"/>
                <w:sz w:val="24"/>
                <w:szCs w:val="24"/>
              </w:rPr>
            </w:pPr>
            <w:r>
              <w:rPr>
                <w:rFonts w:ascii="Arial" w:hAnsi="Arial" w:cs="Arial"/>
                <w:sz w:val="24"/>
                <w:szCs w:val="24"/>
              </w:rPr>
              <w:t>Lydia Kandjimbi</w:t>
            </w:r>
            <w:r>
              <w:rPr>
                <w:rFonts w:ascii="Arial" w:hAnsi="Arial" w:cs="Arial"/>
                <w:sz w:val="24"/>
                <w:szCs w:val="24"/>
              </w:rPr>
              <w:tab/>
            </w:r>
            <w:r w:rsidR="006504C8">
              <w:rPr>
                <w:rFonts w:ascii="Arial" w:hAnsi="Arial" w:cs="Arial"/>
                <w:sz w:val="24"/>
                <w:szCs w:val="24"/>
              </w:rPr>
              <w:tab/>
            </w:r>
            <w:r>
              <w:rPr>
                <w:rFonts w:ascii="Arial" w:hAnsi="Arial" w:cs="Arial"/>
                <w:sz w:val="24"/>
                <w:szCs w:val="24"/>
              </w:rPr>
              <w:tab/>
            </w:r>
            <w:r w:rsidR="009363C3">
              <w:rPr>
                <w:rFonts w:ascii="Arial" w:hAnsi="Arial" w:cs="Arial"/>
                <w:sz w:val="24"/>
                <w:szCs w:val="24"/>
              </w:rPr>
              <w:t xml:space="preserve">               </w:t>
            </w:r>
            <w:r w:rsidR="006504C8">
              <w:rPr>
                <w:rFonts w:ascii="Arial" w:hAnsi="Arial" w:cs="Arial"/>
                <w:sz w:val="24"/>
                <w:szCs w:val="24"/>
              </w:rPr>
              <w:t xml:space="preserve">  </w:t>
            </w:r>
            <w:r w:rsidR="009363C3">
              <w:rPr>
                <w:rFonts w:ascii="Arial" w:hAnsi="Arial" w:cs="Arial"/>
                <w:sz w:val="24"/>
                <w:szCs w:val="24"/>
              </w:rPr>
              <w:t xml:space="preserve">         </w:t>
            </w:r>
            <w:r w:rsidRPr="00504652">
              <w:rPr>
                <w:rFonts w:ascii="Arial" w:hAnsi="Arial" w:cs="Arial"/>
                <w:sz w:val="24"/>
                <w:szCs w:val="24"/>
              </w:rPr>
              <w:t>Plaintiff</w:t>
            </w:r>
          </w:p>
          <w:p w:rsidR="00504652" w:rsidRPr="00504652" w:rsidRDefault="00504652" w:rsidP="00504652">
            <w:pPr>
              <w:spacing w:after="0" w:line="360" w:lineRule="auto"/>
              <w:jc w:val="both"/>
              <w:rPr>
                <w:rFonts w:ascii="Arial" w:hAnsi="Arial" w:cs="Arial"/>
                <w:sz w:val="24"/>
                <w:szCs w:val="24"/>
              </w:rPr>
            </w:pPr>
          </w:p>
          <w:p w:rsidR="00504652" w:rsidRPr="00504652" w:rsidRDefault="005E0660" w:rsidP="00504652">
            <w:pPr>
              <w:spacing w:after="0" w:line="360" w:lineRule="auto"/>
              <w:jc w:val="both"/>
              <w:rPr>
                <w:rFonts w:ascii="Arial" w:hAnsi="Arial" w:cs="Arial"/>
                <w:sz w:val="24"/>
                <w:szCs w:val="24"/>
              </w:rPr>
            </w:pPr>
            <w:r w:rsidRPr="00504652">
              <w:rPr>
                <w:rFonts w:ascii="Arial" w:hAnsi="Arial" w:cs="Arial"/>
                <w:sz w:val="24"/>
                <w:szCs w:val="24"/>
              </w:rPr>
              <w:t>and</w:t>
            </w:r>
          </w:p>
          <w:p w:rsidR="00504652" w:rsidRPr="00504652" w:rsidRDefault="00504652" w:rsidP="00504652">
            <w:pPr>
              <w:spacing w:after="0" w:line="360" w:lineRule="auto"/>
              <w:jc w:val="both"/>
              <w:rPr>
                <w:rFonts w:ascii="Arial" w:hAnsi="Arial" w:cs="Arial"/>
                <w:sz w:val="24"/>
                <w:szCs w:val="24"/>
              </w:rPr>
            </w:pPr>
          </w:p>
          <w:p w:rsidR="00504652" w:rsidRDefault="005E0660" w:rsidP="00504652">
            <w:pPr>
              <w:spacing w:after="0" w:line="360" w:lineRule="auto"/>
              <w:jc w:val="both"/>
              <w:rPr>
                <w:rFonts w:ascii="Arial" w:hAnsi="Arial" w:cs="Arial"/>
                <w:sz w:val="24"/>
                <w:szCs w:val="24"/>
              </w:rPr>
            </w:pPr>
            <w:r>
              <w:rPr>
                <w:rFonts w:ascii="Arial" w:hAnsi="Arial" w:cs="Arial"/>
                <w:sz w:val="24"/>
                <w:szCs w:val="24"/>
              </w:rPr>
              <w:t>Phillemon Joseph</w:t>
            </w:r>
            <w:r>
              <w:rPr>
                <w:rFonts w:ascii="Arial" w:hAnsi="Arial" w:cs="Arial"/>
                <w:sz w:val="24"/>
                <w:szCs w:val="24"/>
              </w:rPr>
              <w:tab/>
            </w:r>
            <w:r w:rsidR="009363C3">
              <w:rPr>
                <w:rFonts w:ascii="Arial" w:hAnsi="Arial" w:cs="Arial"/>
                <w:sz w:val="24"/>
                <w:szCs w:val="24"/>
              </w:rPr>
              <w:t xml:space="preserve">         </w:t>
            </w:r>
            <w:r w:rsidR="006504C8">
              <w:rPr>
                <w:rFonts w:ascii="Arial" w:hAnsi="Arial" w:cs="Arial"/>
                <w:sz w:val="24"/>
                <w:szCs w:val="24"/>
              </w:rPr>
              <w:t xml:space="preserve">            </w:t>
            </w:r>
            <w:r w:rsidR="009363C3">
              <w:rPr>
                <w:rFonts w:ascii="Arial" w:hAnsi="Arial" w:cs="Arial"/>
                <w:sz w:val="24"/>
                <w:szCs w:val="24"/>
              </w:rPr>
              <w:t xml:space="preserve">                 1</w:t>
            </w:r>
            <w:r w:rsidR="009363C3" w:rsidRPr="009363C3">
              <w:rPr>
                <w:rFonts w:ascii="Arial" w:hAnsi="Arial" w:cs="Arial"/>
                <w:sz w:val="24"/>
                <w:szCs w:val="24"/>
                <w:vertAlign w:val="superscript"/>
              </w:rPr>
              <w:t>st</w:t>
            </w:r>
            <w:r w:rsidR="009363C3">
              <w:rPr>
                <w:rFonts w:ascii="Arial" w:hAnsi="Arial" w:cs="Arial"/>
                <w:sz w:val="24"/>
                <w:szCs w:val="24"/>
              </w:rPr>
              <w:t xml:space="preserve"> Defendant</w:t>
            </w:r>
          </w:p>
          <w:p w:rsidR="00504652" w:rsidRPr="00504652" w:rsidRDefault="005E0660" w:rsidP="009363C3">
            <w:pPr>
              <w:tabs>
                <w:tab w:val="left" w:pos="720"/>
                <w:tab w:val="left" w:pos="1440"/>
                <w:tab w:val="left" w:pos="2160"/>
                <w:tab w:val="left" w:pos="2880"/>
                <w:tab w:val="left" w:pos="3720"/>
              </w:tabs>
              <w:spacing w:after="0" w:line="360" w:lineRule="auto"/>
              <w:jc w:val="both"/>
              <w:rPr>
                <w:rFonts w:ascii="Arial" w:hAnsi="Arial" w:cs="Arial"/>
                <w:sz w:val="24"/>
                <w:szCs w:val="24"/>
              </w:rPr>
            </w:pPr>
            <w:r>
              <w:rPr>
                <w:rFonts w:ascii="Arial" w:hAnsi="Arial" w:cs="Arial"/>
                <w:sz w:val="24"/>
                <w:szCs w:val="24"/>
              </w:rPr>
              <w:t xml:space="preserve">Juliana Roeder </w:t>
            </w:r>
            <w:r>
              <w:rPr>
                <w:rFonts w:ascii="Arial" w:hAnsi="Arial" w:cs="Arial"/>
                <w:sz w:val="24"/>
                <w:szCs w:val="24"/>
              </w:rPr>
              <w:tab/>
            </w:r>
            <w:r w:rsidR="006504C8">
              <w:rPr>
                <w:rFonts w:ascii="Arial" w:hAnsi="Arial" w:cs="Arial"/>
                <w:sz w:val="24"/>
                <w:szCs w:val="24"/>
              </w:rPr>
              <w:tab/>
            </w:r>
            <w:r>
              <w:rPr>
                <w:rFonts w:ascii="Arial" w:hAnsi="Arial" w:cs="Arial"/>
                <w:sz w:val="24"/>
                <w:szCs w:val="24"/>
              </w:rPr>
              <w:tab/>
              <w:t xml:space="preserve">     </w:t>
            </w:r>
            <w:r w:rsidR="006504C8">
              <w:rPr>
                <w:rFonts w:ascii="Arial" w:hAnsi="Arial" w:cs="Arial"/>
                <w:sz w:val="24"/>
                <w:szCs w:val="24"/>
              </w:rPr>
              <w:t xml:space="preserve">       </w:t>
            </w:r>
            <w:r w:rsidR="009363C3">
              <w:rPr>
                <w:rFonts w:ascii="Arial" w:hAnsi="Arial" w:cs="Arial"/>
                <w:sz w:val="24"/>
                <w:szCs w:val="24"/>
              </w:rPr>
              <w:t xml:space="preserve"> 2</w:t>
            </w:r>
            <w:r w:rsidR="009363C3" w:rsidRPr="009363C3">
              <w:rPr>
                <w:rFonts w:ascii="Arial" w:hAnsi="Arial" w:cs="Arial"/>
                <w:sz w:val="24"/>
                <w:szCs w:val="24"/>
                <w:vertAlign w:val="superscript"/>
              </w:rPr>
              <w:t>ND</w:t>
            </w:r>
            <w:r w:rsidR="009363C3">
              <w:rPr>
                <w:rFonts w:ascii="Arial" w:hAnsi="Arial" w:cs="Arial"/>
                <w:sz w:val="24"/>
                <w:szCs w:val="24"/>
              </w:rPr>
              <w:t xml:space="preserve"> Defendant</w:t>
            </w:r>
          </w:p>
          <w:p w:rsidR="009363C3" w:rsidRDefault="005E0660" w:rsidP="009363C3">
            <w:pPr>
              <w:spacing w:after="0" w:line="360" w:lineRule="auto"/>
              <w:rPr>
                <w:rFonts w:ascii="Arial" w:hAnsi="Arial" w:cs="Arial"/>
                <w:sz w:val="24"/>
                <w:szCs w:val="24"/>
              </w:rPr>
            </w:pPr>
            <w:r w:rsidRPr="00504652">
              <w:rPr>
                <w:rFonts w:ascii="Arial" w:hAnsi="Arial" w:cs="Arial"/>
                <w:sz w:val="24"/>
                <w:szCs w:val="24"/>
              </w:rPr>
              <w:t>The Masters of the High C</w:t>
            </w:r>
            <w:r w:rsidRPr="009363C3">
              <w:rPr>
                <w:rFonts w:ascii="Arial" w:hAnsi="Arial" w:cs="Arial"/>
                <w:szCs w:val="24"/>
              </w:rPr>
              <w:t>ourt</w:t>
            </w:r>
            <w:r w:rsidRPr="00504652">
              <w:rPr>
                <w:rFonts w:ascii="Arial" w:hAnsi="Arial" w:cs="Arial"/>
                <w:sz w:val="24"/>
                <w:szCs w:val="24"/>
              </w:rPr>
              <w:t xml:space="preserve"> o</w:t>
            </w:r>
            <w:r>
              <w:rPr>
                <w:rFonts w:ascii="Arial" w:hAnsi="Arial" w:cs="Arial"/>
                <w:sz w:val="24"/>
                <w:szCs w:val="24"/>
              </w:rPr>
              <w:t>f Namibia   3</w:t>
            </w:r>
            <w:r w:rsidRPr="009363C3">
              <w:rPr>
                <w:rFonts w:ascii="Arial" w:hAnsi="Arial" w:cs="Arial"/>
                <w:sz w:val="24"/>
                <w:szCs w:val="24"/>
                <w:vertAlign w:val="superscript"/>
              </w:rPr>
              <w:t>RD</w:t>
            </w:r>
            <w:r>
              <w:rPr>
                <w:rFonts w:ascii="Arial" w:hAnsi="Arial" w:cs="Arial"/>
                <w:sz w:val="24"/>
                <w:szCs w:val="24"/>
              </w:rPr>
              <w:t xml:space="preserve"> Defendant</w:t>
            </w:r>
          </w:p>
          <w:p w:rsidR="009363C3" w:rsidRDefault="005E0660" w:rsidP="00504652">
            <w:pPr>
              <w:spacing w:after="0" w:line="360" w:lineRule="auto"/>
              <w:rPr>
                <w:rFonts w:ascii="Arial" w:hAnsi="Arial" w:cs="Arial"/>
                <w:sz w:val="24"/>
                <w:szCs w:val="24"/>
              </w:rPr>
            </w:pPr>
            <w:r>
              <w:rPr>
                <w:rFonts w:ascii="Arial" w:hAnsi="Arial" w:cs="Arial"/>
                <w:sz w:val="24"/>
                <w:szCs w:val="24"/>
              </w:rPr>
              <w:t xml:space="preserve">The </w:t>
            </w:r>
            <w:r w:rsidR="00504652">
              <w:rPr>
                <w:rFonts w:ascii="Arial" w:hAnsi="Arial" w:cs="Arial"/>
                <w:sz w:val="24"/>
                <w:szCs w:val="24"/>
              </w:rPr>
              <w:t>R</w:t>
            </w:r>
            <w:r>
              <w:rPr>
                <w:rFonts w:ascii="Arial" w:hAnsi="Arial" w:cs="Arial"/>
                <w:sz w:val="24"/>
                <w:szCs w:val="24"/>
              </w:rPr>
              <w:t>egistrar</w:t>
            </w:r>
            <w:r w:rsidR="00504652">
              <w:rPr>
                <w:rFonts w:ascii="Arial" w:hAnsi="Arial" w:cs="Arial"/>
                <w:sz w:val="24"/>
                <w:szCs w:val="24"/>
              </w:rPr>
              <w:t xml:space="preserve"> </w:t>
            </w:r>
            <w:r>
              <w:rPr>
                <w:rFonts w:ascii="Arial" w:hAnsi="Arial" w:cs="Arial"/>
                <w:sz w:val="24"/>
                <w:szCs w:val="24"/>
              </w:rPr>
              <w:t>of</w:t>
            </w:r>
            <w:r w:rsidR="00504652">
              <w:rPr>
                <w:rFonts w:ascii="Arial" w:hAnsi="Arial" w:cs="Arial"/>
                <w:sz w:val="24"/>
                <w:szCs w:val="24"/>
              </w:rPr>
              <w:t xml:space="preserve"> D</w:t>
            </w:r>
            <w:r>
              <w:rPr>
                <w:rFonts w:ascii="Arial" w:hAnsi="Arial" w:cs="Arial"/>
                <w:sz w:val="24"/>
                <w:szCs w:val="24"/>
              </w:rPr>
              <w:t>eeds</w:t>
            </w:r>
            <w:r w:rsidR="006504C8">
              <w:rPr>
                <w:rFonts w:ascii="Arial" w:hAnsi="Arial" w:cs="Arial"/>
                <w:sz w:val="24"/>
                <w:szCs w:val="24"/>
              </w:rPr>
              <w:tab/>
            </w:r>
            <w:r w:rsidR="006504C8">
              <w:rPr>
                <w:rFonts w:ascii="Arial" w:hAnsi="Arial" w:cs="Arial"/>
                <w:sz w:val="24"/>
                <w:szCs w:val="24"/>
              </w:rPr>
              <w:tab/>
            </w:r>
            <w:r w:rsidR="006504C8">
              <w:rPr>
                <w:rFonts w:ascii="Arial" w:hAnsi="Arial" w:cs="Arial"/>
                <w:sz w:val="24"/>
                <w:szCs w:val="24"/>
              </w:rPr>
              <w:tab/>
            </w:r>
            <w:r>
              <w:rPr>
                <w:rFonts w:ascii="Arial" w:hAnsi="Arial" w:cs="Arial"/>
                <w:sz w:val="24"/>
                <w:szCs w:val="24"/>
              </w:rPr>
              <w:t xml:space="preserve">    4</w:t>
            </w:r>
            <w:r w:rsidRPr="009363C3">
              <w:rPr>
                <w:rFonts w:ascii="Arial" w:hAnsi="Arial" w:cs="Arial"/>
                <w:sz w:val="24"/>
                <w:szCs w:val="24"/>
                <w:vertAlign w:val="superscript"/>
              </w:rPr>
              <w:t>TH</w:t>
            </w:r>
            <w:r>
              <w:rPr>
                <w:rFonts w:ascii="Arial" w:hAnsi="Arial" w:cs="Arial"/>
                <w:sz w:val="24"/>
                <w:szCs w:val="24"/>
              </w:rPr>
              <w:t xml:space="preserve"> Defendant</w:t>
            </w:r>
          </w:p>
          <w:p w:rsidR="00411DC4" w:rsidRDefault="005E0660" w:rsidP="006504C8">
            <w:pPr>
              <w:spacing w:after="0" w:line="360" w:lineRule="auto"/>
              <w:rPr>
                <w:rFonts w:ascii="Arial" w:hAnsi="Arial" w:cs="Arial"/>
                <w:sz w:val="24"/>
                <w:szCs w:val="24"/>
              </w:rPr>
            </w:pPr>
            <w:r w:rsidRPr="00504652">
              <w:rPr>
                <w:rFonts w:ascii="Arial" w:hAnsi="Arial" w:cs="Arial"/>
                <w:sz w:val="24"/>
                <w:szCs w:val="24"/>
              </w:rPr>
              <w:t xml:space="preserve">The Magistrate for </w:t>
            </w:r>
            <w:r w:rsidRPr="009363C3">
              <w:rPr>
                <w:rFonts w:ascii="Arial" w:hAnsi="Arial" w:cs="Arial"/>
                <w:szCs w:val="24"/>
              </w:rPr>
              <w:t>the</w:t>
            </w:r>
            <w:r w:rsidRPr="00504652">
              <w:rPr>
                <w:rFonts w:ascii="Arial" w:hAnsi="Arial" w:cs="Arial"/>
                <w:sz w:val="24"/>
                <w:szCs w:val="24"/>
              </w:rPr>
              <w:t xml:space="preserve"> D</w:t>
            </w:r>
            <w:r w:rsidR="009363C3" w:rsidRPr="00504652">
              <w:rPr>
                <w:rFonts w:ascii="Arial" w:hAnsi="Arial" w:cs="Arial"/>
                <w:sz w:val="24"/>
                <w:szCs w:val="24"/>
              </w:rPr>
              <w:t>istrict</w:t>
            </w:r>
            <w:r w:rsidRPr="00504652">
              <w:rPr>
                <w:rFonts w:ascii="Arial" w:hAnsi="Arial" w:cs="Arial"/>
                <w:sz w:val="24"/>
                <w:szCs w:val="24"/>
              </w:rPr>
              <w:t xml:space="preserve"> </w:t>
            </w:r>
            <w:r w:rsidR="009363C3" w:rsidRPr="00504652">
              <w:rPr>
                <w:rFonts w:ascii="Arial" w:hAnsi="Arial" w:cs="Arial"/>
                <w:sz w:val="24"/>
                <w:szCs w:val="24"/>
              </w:rPr>
              <w:t xml:space="preserve">of </w:t>
            </w:r>
            <w:r w:rsidRPr="00504652">
              <w:rPr>
                <w:rFonts w:ascii="Arial" w:hAnsi="Arial" w:cs="Arial"/>
                <w:sz w:val="24"/>
                <w:szCs w:val="24"/>
              </w:rPr>
              <w:t>U</w:t>
            </w:r>
            <w:r w:rsidR="009363C3" w:rsidRPr="00504652">
              <w:rPr>
                <w:rFonts w:ascii="Arial" w:hAnsi="Arial" w:cs="Arial"/>
                <w:sz w:val="24"/>
                <w:szCs w:val="24"/>
              </w:rPr>
              <w:t>sakos</w:t>
            </w:r>
            <w:r w:rsidRPr="00504652">
              <w:rPr>
                <w:rFonts w:ascii="Arial" w:hAnsi="Arial" w:cs="Arial"/>
                <w:sz w:val="24"/>
                <w:szCs w:val="24"/>
              </w:rPr>
              <w:tab/>
            </w:r>
            <w:r w:rsidR="009363C3">
              <w:rPr>
                <w:rFonts w:ascii="Arial" w:hAnsi="Arial" w:cs="Arial"/>
                <w:sz w:val="24"/>
                <w:szCs w:val="24"/>
              </w:rPr>
              <w:t xml:space="preserve">     5</w:t>
            </w:r>
            <w:r w:rsidR="009363C3">
              <w:rPr>
                <w:rFonts w:ascii="Arial" w:hAnsi="Arial" w:cs="Arial"/>
                <w:sz w:val="24"/>
                <w:szCs w:val="24"/>
                <w:vertAlign w:val="superscript"/>
              </w:rPr>
              <w:t xml:space="preserve">TH </w:t>
            </w:r>
            <w:r w:rsidR="009363C3">
              <w:rPr>
                <w:rFonts w:ascii="Arial" w:hAnsi="Arial" w:cs="Arial"/>
                <w:sz w:val="24"/>
                <w:szCs w:val="24"/>
              </w:rPr>
              <w:t>Defendant</w:t>
            </w:r>
          </w:p>
          <w:p w:rsidR="006504C8" w:rsidRPr="000D0F54" w:rsidRDefault="006504C8" w:rsidP="006504C8">
            <w:pPr>
              <w:spacing w:after="0" w:line="360" w:lineRule="auto"/>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rsidR="00411DC4" w:rsidRDefault="005E0660" w:rsidP="00974323">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Pr>
                <w:rFonts w:ascii="Arial" w:hAnsi="Arial" w:cs="Arial"/>
                <w:b/>
                <w:sz w:val="24"/>
                <w:szCs w:val="24"/>
              </w:rPr>
              <w:t>ase No:</w:t>
            </w:r>
          </w:p>
          <w:p w:rsidR="00411DC4" w:rsidRPr="00A91522" w:rsidRDefault="005E0660" w:rsidP="00974323">
            <w:pPr>
              <w:spacing w:after="0" w:line="360" w:lineRule="auto"/>
              <w:ind w:left="1616" w:hanging="1559"/>
              <w:jc w:val="both"/>
              <w:rPr>
                <w:rFonts w:ascii="Arial" w:hAnsi="Arial" w:cs="Arial"/>
                <w:sz w:val="24"/>
                <w:szCs w:val="24"/>
              </w:rPr>
            </w:pPr>
            <w:r w:rsidRPr="007D566C">
              <w:rPr>
                <w:rFonts w:ascii="Arial" w:hAnsi="Arial" w:cs="Arial"/>
                <w:sz w:val="24"/>
                <w:szCs w:val="24"/>
              </w:rPr>
              <w:t>HC-MD-CIV-ACT-OTH-2020/04258</w:t>
            </w:r>
          </w:p>
        </w:tc>
      </w:tr>
      <w:tr w:rsidR="00751762" w:rsidTr="006504C8">
        <w:tc>
          <w:tcPr>
            <w:tcW w:w="6379" w:type="dxa"/>
            <w:gridSpan w:val="2"/>
            <w:vMerge/>
            <w:tcBorders>
              <w:left w:val="single" w:sz="4" w:space="0" w:color="auto"/>
              <w:right w:val="single" w:sz="4" w:space="0" w:color="auto"/>
            </w:tcBorders>
            <w:vAlign w:val="center"/>
            <w:hideMark/>
          </w:tcPr>
          <w:p w:rsidR="00411DC4" w:rsidRPr="00A91522" w:rsidRDefault="00411DC4" w:rsidP="00974323">
            <w:pPr>
              <w:spacing w:after="0" w:line="24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411DC4" w:rsidRPr="00A91522" w:rsidRDefault="005E0660" w:rsidP="00974323">
            <w:pPr>
              <w:spacing w:after="0" w:line="360" w:lineRule="auto"/>
              <w:jc w:val="both"/>
              <w:rPr>
                <w:rFonts w:ascii="Arial" w:hAnsi="Arial" w:cs="Arial"/>
                <w:b/>
                <w:sz w:val="24"/>
                <w:szCs w:val="24"/>
              </w:rPr>
            </w:pPr>
            <w:r>
              <w:rPr>
                <w:rFonts w:ascii="Arial" w:hAnsi="Arial" w:cs="Arial"/>
                <w:b/>
                <w:sz w:val="24"/>
                <w:szCs w:val="24"/>
              </w:rPr>
              <w:t>Division of Court:</w:t>
            </w:r>
          </w:p>
          <w:p w:rsidR="00411DC4" w:rsidRPr="00A91522" w:rsidRDefault="005E0660" w:rsidP="00974323">
            <w:pPr>
              <w:spacing w:after="0" w:line="360" w:lineRule="auto"/>
              <w:jc w:val="both"/>
              <w:rPr>
                <w:rFonts w:ascii="Arial" w:hAnsi="Arial" w:cs="Arial"/>
                <w:sz w:val="24"/>
                <w:szCs w:val="24"/>
              </w:rPr>
            </w:pPr>
            <w:r w:rsidRPr="00A91522">
              <w:rPr>
                <w:rFonts w:ascii="Arial" w:hAnsi="Arial" w:cs="Arial"/>
                <w:sz w:val="24"/>
                <w:szCs w:val="24"/>
              </w:rPr>
              <w:t>Main Division</w:t>
            </w:r>
          </w:p>
        </w:tc>
      </w:tr>
      <w:tr w:rsidR="00751762" w:rsidTr="006504C8">
        <w:tc>
          <w:tcPr>
            <w:tcW w:w="6379" w:type="dxa"/>
            <w:gridSpan w:val="2"/>
            <w:vMerge/>
            <w:tcBorders>
              <w:left w:val="single" w:sz="4" w:space="0" w:color="auto"/>
              <w:bottom w:val="single" w:sz="4" w:space="0" w:color="auto"/>
              <w:right w:val="single" w:sz="4" w:space="0" w:color="auto"/>
            </w:tcBorders>
            <w:vAlign w:val="center"/>
          </w:tcPr>
          <w:p w:rsidR="00411DC4" w:rsidRPr="00A91522" w:rsidRDefault="00411DC4" w:rsidP="00974323">
            <w:pPr>
              <w:spacing w:after="0" w:line="24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411DC4" w:rsidRPr="00A91522" w:rsidRDefault="005E0660" w:rsidP="00974323">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411DC4" w:rsidRPr="00504652" w:rsidRDefault="005E0660" w:rsidP="00974323">
            <w:pPr>
              <w:spacing w:after="0" w:line="360" w:lineRule="auto"/>
              <w:jc w:val="both"/>
              <w:rPr>
                <w:rFonts w:ascii="Arial" w:hAnsi="Arial" w:cs="Arial"/>
                <w:sz w:val="24"/>
                <w:szCs w:val="24"/>
              </w:rPr>
            </w:pPr>
            <w:r w:rsidRPr="00504652">
              <w:rPr>
                <w:rFonts w:ascii="Arial" w:hAnsi="Arial" w:cs="Arial"/>
                <w:sz w:val="24"/>
                <w:szCs w:val="24"/>
              </w:rPr>
              <w:t>6 March 2023</w:t>
            </w:r>
          </w:p>
        </w:tc>
      </w:tr>
      <w:tr w:rsidR="00751762" w:rsidTr="006504C8">
        <w:tc>
          <w:tcPr>
            <w:tcW w:w="6379" w:type="dxa"/>
            <w:gridSpan w:val="2"/>
            <w:tcBorders>
              <w:top w:val="single" w:sz="4" w:space="0" w:color="auto"/>
              <w:left w:val="single" w:sz="4" w:space="0" w:color="auto"/>
              <w:bottom w:val="single" w:sz="4" w:space="0" w:color="auto"/>
              <w:right w:val="single" w:sz="4" w:space="0" w:color="auto"/>
            </w:tcBorders>
          </w:tcPr>
          <w:p w:rsidR="00411DC4" w:rsidRPr="00A81F7C" w:rsidRDefault="005E0660" w:rsidP="00974323">
            <w:pPr>
              <w:spacing w:after="0" w:line="360" w:lineRule="auto"/>
              <w:jc w:val="both"/>
              <w:rPr>
                <w:rFonts w:ascii="Arial" w:hAnsi="Arial" w:cs="Arial"/>
                <w:b/>
                <w:sz w:val="24"/>
                <w:szCs w:val="24"/>
              </w:rPr>
            </w:pPr>
            <w:r w:rsidRPr="00A81F7C">
              <w:rPr>
                <w:rFonts w:ascii="Arial" w:hAnsi="Arial" w:cs="Arial"/>
                <w:b/>
                <w:sz w:val="24"/>
                <w:szCs w:val="24"/>
              </w:rPr>
              <w:t>Heard before:</w:t>
            </w:r>
          </w:p>
          <w:p w:rsidR="00411DC4" w:rsidRPr="00A81F7C" w:rsidRDefault="005E0660" w:rsidP="00974323">
            <w:pPr>
              <w:spacing w:after="0" w:line="360" w:lineRule="auto"/>
              <w:jc w:val="both"/>
              <w:rPr>
                <w:rFonts w:ascii="Arial" w:hAnsi="Arial" w:cs="Arial"/>
                <w:sz w:val="12"/>
                <w:szCs w:val="12"/>
              </w:rPr>
            </w:pPr>
            <w:r w:rsidRPr="00244918">
              <w:rPr>
                <w:rFonts w:ascii="Arial" w:hAnsi="Arial" w:cs="Arial"/>
                <w:sz w:val="24"/>
                <w:szCs w:val="24"/>
              </w:rPr>
              <w:t>Honourable Lady Justice Rakow</w:t>
            </w:r>
          </w:p>
        </w:tc>
        <w:tc>
          <w:tcPr>
            <w:tcW w:w="4111" w:type="dxa"/>
            <w:tcBorders>
              <w:top w:val="single" w:sz="4" w:space="0" w:color="auto"/>
              <w:left w:val="single" w:sz="4" w:space="0" w:color="auto"/>
              <w:bottom w:val="single" w:sz="4" w:space="0" w:color="auto"/>
              <w:right w:val="single" w:sz="4" w:space="0" w:color="auto"/>
            </w:tcBorders>
          </w:tcPr>
          <w:p w:rsidR="00411DC4" w:rsidRPr="00A91522" w:rsidRDefault="005E0660" w:rsidP="00974323">
            <w:pPr>
              <w:spacing w:after="0" w:line="360" w:lineRule="auto"/>
              <w:jc w:val="both"/>
              <w:rPr>
                <w:rFonts w:ascii="Arial" w:hAnsi="Arial" w:cs="Arial"/>
                <w:b/>
                <w:sz w:val="24"/>
                <w:szCs w:val="24"/>
              </w:rPr>
            </w:pPr>
            <w:r w:rsidRPr="00A91522">
              <w:rPr>
                <w:rFonts w:ascii="Arial" w:hAnsi="Arial" w:cs="Arial"/>
                <w:b/>
                <w:sz w:val="24"/>
                <w:szCs w:val="24"/>
              </w:rPr>
              <w:t>Delivered on:</w:t>
            </w:r>
          </w:p>
          <w:p w:rsidR="00411DC4" w:rsidRPr="00A91522" w:rsidRDefault="005E0660" w:rsidP="00974323">
            <w:pPr>
              <w:spacing w:after="0" w:line="360" w:lineRule="auto"/>
              <w:jc w:val="both"/>
              <w:rPr>
                <w:rFonts w:ascii="Arial" w:hAnsi="Arial" w:cs="Arial"/>
                <w:sz w:val="24"/>
                <w:szCs w:val="24"/>
              </w:rPr>
            </w:pPr>
            <w:r>
              <w:rPr>
                <w:rFonts w:ascii="Arial" w:hAnsi="Arial" w:cs="Arial"/>
                <w:sz w:val="24"/>
                <w:szCs w:val="24"/>
              </w:rPr>
              <w:t>13 June 2023</w:t>
            </w:r>
          </w:p>
        </w:tc>
      </w:tr>
      <w:tr w:rsidR="00751762" w:rsidTr="00974323">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411DC4" w:rsidRPr="00A81F7C" w:rsidRDefault="00411DC4" w:rsidP="00974323">
            <w:pPr>
              <w:spacing w:after="0" w:line="360" w:lineRule="auto"/>
              <w:ind w:left="2160" w:hanging="2160"/>
              <w:jc w:val="both"/>
              <w:rPr>
                <w:rFonts w:ascii="Arial" w:hAnsi="Arial" w:cs="Arial"/>
                <w:b/>
                <w:sz w:val="10"/>
                <w:szCs w:val="10"/>
              </w:rPr>
            </w:pPr>
          </w:p>
          <w:p w:rsidR="00411DC4" w:rsidRPr="00A81F7C" w:rsidRDefault="005E0660" w:rsidP="00411DC4">
            <w:pPr>
              <w:spacing w:after="0" w:line="360" w:lineRule="auto"/>
              <w:ind w:left="2019" w:right="175" w:hanging="2019"/>
              <w:jc w:val="both"/>
              <w:rPr>
                <w:rFonts w:ascii="Arial" w:hAnsi="Arial" w:cs="Arial"/>
                <w:sz w:val="10"/>
                <w:szCs w:val="10"/>
              </w:rPr>
            </w:pPr>
            <w:r w:rsidRPr="00A81F7C">
              <w:rPr>
                <w:rFonts w:ascii="Arial" w:hAnsi="Arial" w:cs="Arial"/>
                <w:b/>
                <w:sz w:val="24"/>
                <w:szCs w:val="24"/>
              </w:rPr>
              <w:t>Neutral citation</w:t>
            </w:r>
            <w:r w:rsidRPr="004347DC">
              <w:rPr>
                <w:rFonts w:ascii="Arial" w:hAnsi="Arial" w:cs="Arial"/>
                <w:sz w:val="24"/>
                <w:szCs w:val="24"/>
              </w:rPr>
              <w:t>:</w:t>
            </w:r>
            <w:r>
              <w:rPr>
                <w:rFonts w:ascii="Arial" w:hAnsi="Arial" w:cs="Arial"/>
                <w:sz w:val="24"/>
                <w:szCs w:val="24"/>
              </w:rPr>
              <w:tab/>
            </w:r>
            <w:r w:rsidR="00504652" w:rsidRPr="007D566C">
              <w:rPr>
                <w:rFonts w:ascii="Arial" w:eastAsia="Times New Roman" w:hAnsi="Arial" w:cs="Arial"/>
                <w:i/>
                <w:sz w:val="24"/>
                <w:szCs w:val="24"/>
                <w:lang w:eastAsia="en-GB"/>
              </w:rPr>
              <w:t>Kandjimbi</w:t>
            </w:r>
            <w:r w:rsidR="00504652" w:rsidRPr="00835F89">
              <w:rPr>
                <w:rFonts w:ascii="Arial" w:eastAsia="Times New Roman" w:hAnsi="Arial" w:cs="Arial"/>
                <w:i/>
                <w:sz w:val="24"/>
                <w:szCs w:val="24"/>
                <w:lang w:eastAsia="en-GB"/>
              </w:rPr>
              <w:t xml:space="preserve"> </w:t>
            </w:r>
            <w:r w:rsidR="00E2243C">
              <w:rPr>
                <w:rFonts w:ascii="Arial" w:eastAsia="Times New Roman" w:hAnsi="Arial" w:cs="Arial"/>
                <w:i/>
                <w:sz w:val="24"/>
                <w:szCs w:val="24"/>
                <w:lang w:eastAsia="en-GB"/>
              </w:rPr>
              <w:t>v</w:t>
            </w:r>
            <w:r w:rsidR="00504652" w:rsidRPr="00D56390">
              <w:rPr>
                <w:rFonts w:ascii="Arial" w:eastAsia="Times New Roman" w:hAnsi="Arial" w:cs="Arial"/>
                <w:i/>
                <w:sz w:val="24"/>
                <w:szCs w:val="24"/>
                <w:lang w:eastAsia="en-GB"/>
              </w:rPr>
              <w:t xml:space="preserve"> </w:t>
            </w:r>
            <w:r w:rsidR="00504652" w:rsidRPr="007D566C">
              <w:rPr>
                <w:rFonts w:ascii="Arial" w:eastAsia="Times New Roman" w:hAnsi="Arial" w:cs="Arial"/>
                <w:i/>
                <w:sz w:val="24"/>
                <w:szCs w:val="24"/>
                <w:lang w:eastAsia="en-GB"/>
              </w:rPr>
              <w:t xml:space="preserve">Joseph </w:t>
            </w:r>
            <w:r w:rsidR="00504652">
              <w:rPr>
                <w:rFonts w:ascii="Arial" w:eastAsia="Times New Roman" w:hAnsi="Arial" w:cs="Arial"/>
                <w:sz w:val="24"/>
                <w:szCs w:val="24"/>
                <w:lang w:eastAsia="en-GB"/>
              </w:rPr>
              <w:t>(</w:t>
            </w:r>
            <w:r w:rsidR="00504652" w:rsidRPr="007D566C">
              <w:rPr>
                <w:rFonts w:ascii="Arial" w:eastAsia="Times New Roman" w:hAnsi="Arial" w:cs="Arial"/>
                <w:sz w:val="24"/>
                <w:szCs w:val="24"/>
                <w:lang w:eastAsia="en-GB"/>
              </w:rPr>
              <w:t>HC-MD-CIV-ACT-OTH-2020/04258</w:t>
            </w:r>
            <w:r w:rsidR="00504652" w:rsidRPr="00280F03">
              <w:rPr>
                <w:rFonts w:ascii="Arial" w:eastAsia="Times New Roman" w:hAnsi="Arial" w:cs="Arial"/>
                <w:sz w:val="24"/>
                <w:szCs w:val="24"/>
                <w:lang w:eastAsia="en-GB"/>
              </w:rPr>
              <w:t>) [202</w:t>
            </w:r>
            <w:r w:rsidR="00504652">
              <w:rPr>
                <w:rFonts w:ascii="Arial" w:eastAsia="Times New Roman" w:hAnsi="Arial" w:cs="Arial"/>
                <w:sz w:val="24"/>
                <w:szCs w:val="24"/>
                <w:lang w:eastAsia="en-GB"/>
              </w:rPr>
              <w:t>3] NAH</w:t>
            </w:r>
            <w:r w:rsidR="00504652" w:rsidRPr="00280F03">
              <w:rPr>
                <w:rFonts w:ascii="Arial" w:eastAsia="Times New Roman" w:hAnsi="Arial" w:cs="Arial"/>
                <w:sz w:val="24"/>
                <w:szCs w:val="24"/>
                <w:lang w:eastAsia="en-GB"/>
              </w:rPr>
              <w:t>CMD</w:t>
            </w:r>
            <w:r w:rsidR="00A831CB">
              <w:rPr>
                <w:rFonts w:ascii="Arial" w:eastAsia="Times New Roman" w:hAnsi="Arial" w:cs="Arial"/>
                <w:sz w:val="24"/>
                <w:szCs w:val="24"/>
                <w:lang w:eastAsia="en-GB"/>
              </w:rPr>
              <w:t xml:space="preserve"> 314</w:t>
            </w:r>
            <w:r w:rsidR="00504652">
              <w:rPr>
                <w:rFonts w:ascii="Arial" w:eastAsia="Times New Roman" w:hAnsi="Arial" w:cs="Arial"/>
                <w:sz w:val="24"/>
                <w:szCs w:val="24"/>
                <w:lang w:eastAsia="en-GB"/>
              </w:rPr>
              <w:t xml:space="preserve"> (</w:t>
            </w:r>
            <w:r w:rsidR="00DA7F8B">
              <w:rPr>
                <w:rFonts w:ascii="Arial" w:eastAsia="Times New Roman" w:hAnsi="Arial" w:cs="Arial"/>
                <w:sz w:val="24"/>
                <w:szCs w:val="24"/>
                <w:lang w:eastAsia="en-GB"/>
              </w:rPr>
              <w:t>13 June</w:t>
            </w:r>
            <w:r w:rsidR="00504652" w:rsidRPr="00F348BE">
              <w:rPr>
                <w:rFonts w:ascii="Arial" w:eastAsia="Times New Roman" w:hAnsi="Arial" w:cs="Arial"/>
                <w:sz w:val="24"/>
                <w:szCs w:val="24"/>
                <w:lang w:eastAsia="en-GB"/>
              </w:rPr>
              <w:t xml:space="preserve"> 202</w:t>
            </w:r>
            <w:r w:rsidR="00504652">
              <w:rPr>
                <w:rFonts w:ascii="Arial" w:eastAsia="Times New Roman" w:hAnsi="Arial" w:cs="Arial"/>
                <w:sz w:val="24"/>
                <w:szCs w:val="24"/>
                <w:lang w:eastAsia="en-GB"/>
              </w:rPr>
              <w:t>3</w:t>
            </w:r>
            <w:r w:rsidR="00504652" w:rsidRPr="00280F03">
              <w:rPr>
                <w:rFonts w:ascii="Arial" w:eastAsia="Times New Roman" w:hAnsi="Arial" w:cs="Arial"/>
                <w:sz w:val="24"/>
                <w:szCs w:val="24"/>
                <w:lang w:eastAsia="en-GB"/>
              </w:rPr>
              <w:t>)</w:t>
            </w:r>
          </w:p>
        </w:tc>
      </w:tr>
      <w:tr w:rsidR="00751762" w:rsidTr="00974323">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411DC4" w:rsidRPr="005F6192" w:rsidRDefault="00411DC4" w:rsidP="00974323">
            <w:pPr>
              <w:spacing w:after="0" w:line="360" w:lineRule="auto"/>
              <w:jc w:val="both"/>
              <w:rPr>
                <w:rFonts w:ascii="Arial" w:hAnsi="Arial" w:cs="Arial"/>
                <w:b/>
                <w:sz w:val="10"/>
                <w:szCs w:val="10"/>
              </w:rPr>
            </w:pPr>
          </w:p>
          <w:p w:rsidR="00411DC4" w:rsidRPr="00A21211" w:rsidRDefault="005E0660" w:rsidP="00974323">
            <w:pPr>
              <w:spacing w:after="0" w:line="360" w:lineRule="auto"/>
              <w:jc w:val="both"/>
              <w:rPr>
                <w:rFonts w:ascii="Arial" w:hAnsi="Arial" w:cs="Arial"/>
                <w:b/>
                <w:sz w:val="24"/>
                <w:szCs w:val="24"/>
              </w:rPr>
            </w:pPr>
            <w:r>
              <w:rPr>
                <w:rFonts w:ascii="Arial" w:hAnsi="Arial" w:cs="Arial"/>
                <w:b/>
                <w:sz w:val="24"/>
                <w:szCs w:val="24"/>
              </w:rPr>
              <w:t>O</w:t>
            </w:r>
            <w:r w:rsidRPr="00A91522">
              <w:rPr>
                <w:rFonts w:ascii="Arial" w:hAnsi="Arial" w:cs="Arial"/>
                <w:b/>
                <w:sz w:val="24"/>
                <w:szCs w:val="24"/>
              </w:rPr>
              <w:t>rder:</w:t>
            </w:r>
          </w:p>
        </w:tc>
      </w:tr>
      <w:tr w:rsidR="00751762" w:rsidTr="00974323">
        <w:tc>
          <w:tcPr>
            <w:tcW w:w="10490" w:type="dxa"/>
            <w:gridSpan w:val="3"/>
            <w:tcBorders>
              <w:top w:val="single" w:sz="4" w:space="0" w:color="auto"/>
              <w:left w:val="single" w:sz="4" w:space="0" w:color="auto"/>
              <w:bottom w:val="single" w:sz="4" w:space="0" w:color="auto"/>
              <w:right w:val="single" w:sz="4" w:space="0" w:color="auto"/>
            </w:tcBorders>
            <w:hideMark/>
          </w:tcPr>
          <w:p w:rsidR="006504C8" w:rsidRDefault="006504C8" w:rsidP="006504C8">
            <w:pPr>
              <w:spacing w:line="360" w:lineRule="auto"/>
              <w:ind w:left="360"/>
              <w:jc w:val="both"/>
              <w:rPr>
                <w:rFonts w:ascii="Arial" w:eastAsia="Calibri" w:hAnsi="Arial" w:cs="Arial"/>
                <w:sz w:val="24"/>
                <w:szCs w:val="24"/>
              </w:rPr>
            </w:pPr>
          </w:p>
          <w:p w:rsidR="00411DC4" w:rsidRPr="00710E20" w:rsidRDefault="005E0660" w:rsidP="00710E20">
            <w:pPr>
              <w:pStyle w:val="ListParagraph"/>
              <w:numPr>
                <w:ilvl w:val="0"/>
                <w:numId w:val="8"/>
              </w:numPr>
              <w:spacing w:line="360" w:lineRule="auto"/>
              <w:jc w:val="both"/>
              <w:rPr>
                <w:rFonts w:ascii="Arial" w:eastAsia="Calibri" w:hAnsi="Arial" w:cs="Arial"/>
                <w:sz w:val="24"/>
                <w:szCs w:val="24"/>
              </w:rPr>
            </w:pPr>
            <w:bookmarkStart w:id="0" w:name="_GoBack"/>
            <w:bookmarkEnd w:id="0"/>
            <w:r w:rsidRPr="00710E20">
              <w:rPr>
                <w:rFonts w:ascii="Arial" w:eastAsia="Calibri" w:hAnsi="Arial" w:cs="Arial"/>
                <w:sz w:val="24"/>
                <w:szCs w:val="24"/>
              </w:rPr>
              <w:t>The claim is dismissed with costs, such costs to be on a party-party scale.</w:t>
            </w:r>
          </w:p>
          <w:p w:rsidR="00504652" w:rsidRPr="00504652" w:rsidRDefault="005E0660" w:rsidP="00504652">
            <w:pPr>
              <w:pStyle w:val="ListParagraph"/>
              <w:numPr>
                <w:ilvl w:val="0"/>
                <w:numId w:val="8"/>
              </w:numPr>
              <w:spacing w:line="360" w:lineRule="auto"/>
              <w:jc w:val="both"/>
              <w:rPr>
                <w:rFonts w:ascii="Arial" w:eastAsia="Calibri" w:hAnsi="Arial" w:cs="Arial"/>
                <w:sz w:val="24"/>
                <w:szCs w:val="24"/>
              </w:rPr>
            </w:pPr>
            <w:r>
              <w:rPr>
                <w:rFonts w:ascii="Arial" w:eastAsia="Calibri" w:hAnsi="Arial" w:cs="Arial"/>
                <w:sz w:val="24"/>
                <w:szCs w:val="24"/>
              </w:rPr>
              <w:t>The matter is finalized and removed from the roll.</w:t>
            </w:r>
          </w:p>
        </w:tc>
      </w:tr>
      <w:tr w:rsidR="00751762" w:rsidTr="00974323">
        <w:tc>
          <w:tcPr>
            <w:tcW w:w="10490" w:type="dxa"/>
            <w:gridSpan w:val="3"/>
            <w:tcBorders>
              <w:top w:val="single" w:sz="4" w:space="0" w:color="auto"/>
              <w:left w:val="single" w:sz="4" w:space="0" w:color="auto"/>
              <w:bottom w:val="single" w:sz="4" w:space="0" w:color="auto"/>
              <w:right w:val="single" w:sz="4" w:space="0" w:color="auto"/>
            </w:tcBorders>
          </w:tcPr>
          <w:p w:rsidR="00411DC4" w:rsidRPr="005F6192" w:rsidRDefault="00411DC4" w:rsidP="00974323">
            <w:pPr>
              <w:spacing w:after="0" w:line="360" w:lineRule="auto"/>
              <w:jc w:val="both"/>
              <w:rPr>
                <w:rFonts w:ascii="Arial" w:hAnsi="Arial" w:cs="Arial"/>
                <w:b/>
                <w:sz w:val="10"/>
                <w:szCs w:val="10"/>
              </w:rPr>
            </w:pPr>
          </w:p>
          <w:p w:rsidR="00411DC4" w:rsidRDefault="005E0660" w:rsidP="00974323">
            <w:pPr>
              <w:spacing w:after="16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751762" w:rsidTr="00974323">
        <w:tc>
          <w:tcPr>
            <w:tcW w:w="10490" w:type="dxa"/>
            <w:gridSpan w:val="3"/>
            <w:tcBorders>
              <w:top w:val="single" w:sz="4" w:space="0" w:color="auto"/>
              <w:left w:val="single" w:sz="4" w:space="0" w:color="auto"/>
              <w:bottom w:val="single" w:sz="4" w:space="0" w:color="auto"/>
              <w:right w:val="single" w:sz="4" w:space="0" w:color="auto"/>
            </w:tcBorders>
          </w:tcPr>
          <w:p w:rsidR="006504C8" w:rsidRPr="006504C8" w:rsidRDefault="006504C8" w:rsidP="00974323">
            <w:pPr>
              <w:spacing w:after="0" w:line="480" w:lineRule="auto"/>
              <w:jc w:val="both"/>
              <w:rPr>
                <w:rFonts w:ascii="Arial" w:hAnsi="Arial" w:cs="Arial"/>
                <w:sz w:val="24"/>
                <w:szCs w:val="24"/>
                <w:lang w:val="en-ZA"/>
              </w:rPr>
            </w:pPr>
          </w:p>
          <w:p w:rsidR="00411DC4" w:rsidRDefault="005E0660" w:rsidP="00974323">
            <w:pPr>
              <w:spacing w:after="0" w:line="480" w:lineRule="auto"/>
              <w:jc w:val="both"/>
              <w:rPr>
                <w:rFonts w:ascii="Arial" w:hAnsi="Arial" w:cs="Arial"/>
                <w:sz w:val="24"/>
                <w:szCs w:val="24"/>
                <w:lang w:val="en-ZA"/>
              </w:rPr>
            </w:pPr>
            <w:r>
              <w:rPr>
                <w:rFonts w:ascii="Arial" w:hAnsi="Arial" w:cs="Arial"/>
                <w:sz w:val="24"/>
                <w:szCs w:val="24"/>
                <w:lang w:val="en-ZA"/>
              </w:rPr>
              <w:t xml:space="preserve">RAKOW </w:t>
            </w:r>
            <w:r w:rsidR="00073545">
              <w:rPr>
                <w:rFonts w:ascii="Arial" w:hAnsi="Arial" w:cs="Arial"/>
                <w:sz w:val="24"/>
                <w:szCs w:val="24"/>
                <w:lang w:val="en-ZA"/>
              </w:rPr>
              <w:t>J</w:t>
            </w:r>
          </w:p>
          <w:p w:rsidR="00411DC4" w:rsidRPr="004228AB" w:rsidRDefault="005E0660" w:rsidP="00974323">
            <w:pPr>
              <w:spacing w:after="0" w:line="360" w:lineRule="auto"/>
              <w:jc w:val="both"/>
              <w:rPr>
                <w:rFonts w:ascii="Arial" w:hAnsi="Arial" w:cs="Arial"/>
                <w:sz w:val="24"/>
                <w:szCs w:val="24"/>
                <w:u w:val="single"/>
                <w:lang w:val="en-ZA"/>
              </w:rPr>
            </w:pPr>
            <w:r w:rsidRPr="004228AB">
              <w:rPr>
                <w:rFonts w:ascii="Arial" w:hAnsi="Arial" w:cs="Arial"/>
                <w:sz w:val="24"/>
                <w:szCs w:val="24"/>
                <w:u w:val="single"/>
                <w:lang w:val="en-ZA"/>
              </w:rPr>
              <w:lastRenderedPageBreak/>
              <w:t>Introduction</w:t>
            </w:r>
          </w:p>
          <w:p w:rsidR="00411DC4" w:rsidRPr="004228AB" w:rsidRDefault="00411DC4" w:rsidP="00974323">
            <w:pPr>
              <w:spacing w:after="0" w:line="360" w:lineRule="auto"/>
              <w:jc w:val="both"/>
              <w:rPr>
                <w:rFonts w:ascii="Arial" w:hAnsi="Arial" w:cs="Arial"/>
                <w:sz w:val="24"/>
                <w:szCs w:val="24"/>
                <w:lang w:val="en-ZA"/>
              </w:rPr>
            </w:pPr>
          </w:p>
          <w:p w:rsidR="00504652"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Pr>
                <w:rFonts w:ascii="Arial" w:eastAsia="Calibri" w:hAnsi="Arial" w:cs="Arial"/>
                <w:sz w:val="24"/>
                <w:szCs w:val="24"/>
              </w:rPr>
              <w:t>The p</w:t>
            </w:r>
            <w:r w:rsidRPr="00504652">
              <w:rPr>
                <w:rFonts w:ascii="Arial" w:eastAsia="Calibri" w:hAnsi="Arial" w:cs="Arial"/>
                <w:sz w:val="24"/>
                <w:szCs w:val="24"/>
              </w:rPr>
              <w:t xml:space="preserve">laintiff is Lydia Kandjimbi, an adult female person currently unemployed and residing at erf no 13 Omulunga Street, Windhoek, The </w:t>
            </w:r>
            <w:r w:rsidR="004B1A80">
              <w:rPr>
                <w:rFonts w:ascii="Arial" w:eastAsia="Calibri" w:hAnsi="Arial" w:cs="Arial"/>
                <w:sz w:val="24"/>
                <w:szCs w:val="24"/>
              </w:rPr>
              <w:t xml:space="preserve">first </w:t>
            </w:r>
            <w:r w:rsidRPr="00504652">
              <w:rPr>
                <w:rFonts w:ascii="Arial" w:eastAsia="Calibri" w:hAnsi="Arial" w:cs="Arial"/>
                <w:sz w:val="24"/>
                <w:szCs w:val="24"/>
              </w:rPr>
              <w:t>defendant is Phillemon Kaboy Josepth N.O.  He was the executor for the late estate of Toivo Kandjimbi Huafiku</w:t>
            </w:r>
            <w:r w:rsidR="008326FF">
              <w:rPr>
                <w:rFonts w:ascii="Arial" w:eastAsia="Calibri" w:hAnsi="Arial" w:cs="Arial"/>
                <w:sz w:val="24"/>
                <w:szCs w:val="24"/>
              </w:rPr>
              <w:t xml:space="preserve"> Thomas. </w:t>
            </w:r>
            <w:r w:rsidRPr="00504652">
              <w:rPr>
                <w:rFonts w:ascii="Arial" w:eastAsia="Calibri" w:hAnsi="Arial" w:cs="Arial"/>
                <w:sz w:val="24"/>
                <w:szCs w:val="24"/>
              </w:rPr>
              <w:t xml:space="preserve">The second defendant, Juliana Roeder N.O. is now appearing on </w:t>
            </w:r>
            <w:r w:rsidR="008326FF">
              <w:rPr>
                <w:rFonts w:ascii="Arial" w:eastAsia="Calibri" w:hAnsi="Arial" w:cs="Arial"/>
                <w:sz w:val="24"/>
                <w:szCs w:val="24"/>
              </w:rPr>
              <w:t xml:space="preserve">behalf of the first defendant. </w:t>
            </w:r>
            <w:r w:rsidRPr="00504652">
              <w:rPr>
                <w:rFonts w:ascii="Arial" w:eastAsia="Calibri" w:hAnsi="Arial" w:cs="Arial"/>
                <w:sz w:val="24"/>
                <w:szCs w:val="24"/>
              </w:rPr>
              <w:t>The third defendant is the Master of the High Court of Namibia but she did not file any opposition to this case, similarly, the fourth defendant is the Registrar of Deeds, and the fifth respondent, is the Magistrate for the district of Usakos.</w:t>
            </w:r>
          </w:p>
          <w:p w:rsidR="009363C3" w:rsidRPr="00504652" w:rsidRDefault="009363C3" w:rsidP="009363C3">
            <w:pPr>
              <w:spacing w:before="100" w:beforeAutospacing="1" w:after="100" w:afterAutospacing="1" w:line="360" w:lineRule="auto"/>
              <w:contextualSpacing/>
              <w:jc w:val="both"/>
              <w:rPr>
                <w:rFonts w:ascii="Arial" w:eastAsia="Calibri" w:hAnsi="Arial" w:cs="Arial"/>
                <w:sz w:val="24"/>
                <w:szCs w:val="24"/>
              </w:rPr>
            </w:pPr>
          </w:p>
          <w:p w:rsidR="00504652" w:rsidRPr="00504652" w:rsidRDefault="005E0660" w:rsidP="00504652">
            <w:pPr>
              <w:spacing w:before="100" w:beforeAutospacing="1" w:after="100" w:afterAutospacing="1" w:line="360" w:lineRule="auto"/>
              <w:jc w:val="both"/>
              <w:rPr>
                <w:rFonts w:ascii="Arial" w:hAnsi="Arial" w:cs="Arial"/>
                <w:sz w:val="24"/>
                <w:szCs w:val="24"/>
                <w:u w:val="single"/>
              </w:rPr>
            </w:pPr>
            <w:r w:rsidRPr="00504652">
              <w:rPr>
                <w:rFonts w:ascii="Arial" w:hAnsi="Arial" w:cs="Arial"/>
                <w:sz w:val="24"/>
                <w:szCs w:val="24"/>
                <w:u w:val="single"/>
              </w:rPr>
              <w:t>History</w:t>
            </w:r>
          </w:p>
          <w:p w:rsidR="00504652" w:rsidRPr="00504652"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On 25 January 2005, the plaintiff's father Mr Toivo</w:t>
            </w:r>
            <w:r w:rsidR="00015068">
              <w:rPr>
                <w:rFonts w:ascii="Arial" w:eastAsia="Calibri" w:hAnsi="Arial" w:cs="Arial"/>
                <w:sz w:val="24"/>
                <w:szCs w:val="24"/>
              </w:rPr>
              <w:t xml:space="preserve"> Kandjimbi Thomas passed away. </w:t>
            </w:r>
            <w:r w:rsidRPr="00504652">
              <w:rPr>
                <w:rFonts w:ascii="Arial" w:eastAsia="Calibri" w:hAnsi="Arial" w:cs="Arial"/>
                <w:sz w:val="24"/>
                <w:szCs w:val="24"/>
              </w:rPr>
              <w:t xml:space="preserve">He was the biological brother </w:t>
            </w:r>
            <w:r w:rsidR="00CE48FB">
              <w:rPr>
                <w:rFonts w:ascii="Arial" w:eastAsia="Calibri" w:hAnsi="Arial" w:cs="Arial"/>
                <w:sz w:val="24"/>
                <w:szCs w:val="24"/>
              </w:rPr>
              <w:t xml:space="preserve">of Phillemon Kaboy Josepth.  Mr </w:t>
            </w:r>
            <w:r w:rsidRPr="00504652">
              <w:rPr>
                <w:rFonts w:ascii="Arial" w:eastAsia="Calibri" w:hAnsi="Arial" w:cs="Arial"/>
                <w:sz w:val="24"/>
                <w:szCs w:val="24"/>
              </w:rPr>
              <w:t>Thomas was from the Aawambo Traditional Community and he died without a will.  Part of his es</w:t>
            </w:r>
            <w:r w:rsidR="008326FF">
              <w:rPr>
                <w:rFonts w:ascii="Arial" w:eastAsia="Calibri" w:hAnsi="Arial" w:cs="Arial"/>
                <w:sz w:val="24"/>
                <w:szCs w:val="24"/>
              </w:rPr>
              <w:t>tate included a plot in Hakahan</w:t>
            </w:r>
            <w:r w:rsidRPr="00504652">
              <w:rPr>
                <w:rFonts w:ascii="Arial" w:eastAsia="Calibri" w:hAnsi="Arial" w:cs="Arial"/>
                <w:sz w:val="24"/>
                <w:szCs w:val="24"/>
              </w:rPr>
              <w:t xml:space="preserve">a measuring 178m². </w:t>
            </w:r>
          </w:p>
          <w:p w:rsidR="00504652" w:rsidRPr="00504652" w:rsidRDefault="00504652" w:rsidP="00504652">
            <w:pPr>
              <w:spacing w:before="100" w:beforeAutospacing="1" w:after="100" w:afterAutospacing="1" w:line="360" w:lineRule="auto"/>
              <w:ind w:left="720"/>
              <w:contextualSpacing/>
              <w:jc w:val="both"/>
              <w:rPr>
                <w:rFonts w:ascii="Arial" w:eastAsia="Calibri" w:hAnsi="Arial" w:cs="Arial"/>
                <w:sz w:val="24"/>
                <w:szCs w:val="24"/>
              </w:rPr>
            </w:pPr>
          </w:p>
          <w:p w:rsidR="00504652" w:rsidRPr="00504652"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It seems that the biological children and possible common-law wife of the deceased were not consulted during the deliberations regarding the estate but it is also true that the possible common-law wife did not testify, neither did the first defendant who is deceased or the mother of the deceased and the first defendant, who is also deceased.</w:t>
            </w:r>
            <w:r w:rsidR="00CE48FB">
              <w:rPr>
                <w:rFonts w:ascii="Arial" w:eastAsia="Calibri" w:hAnsi="Arial" w:cs="Arial"/>
                <w:sz w:val="24"/>
                <w:szCs w:val="24"/>
              </w:rPr>
              <w:t xml:space="preserve"> </w:t>
            </w:r>
            <w:r w:rsidRPr="00504652">
              <w:rPr>
                <w:rFonts w:ascii="Arial" w:eastAsia="Calibri" w:hAnsi="Arial" w:cs="Arial"/>
                <w:sz w:val="24"/>
                <w:szCs w:val="24"/>
              </w:rPr>
              <w:t>The plaintiff testified that they traveled to the North at the time of the death of her father</w:t>
            </w:r>
            <w:r w:rsidR="00CE48FB">
              <w:rPr>
                <w:rFonts w:ascii="Arial" w:eastAsia="Calibri" w:hAnsi="Arial" w:cs="Arial"/>
                <w:sz w:val="24"/>
                <w:szCs w:val="24"/>
              </w:rPr>
              <w:t xml:space="preserve"> and that no meeting was held. </w:t>
            </w:r>
            <w:r w:rsidRPr="00504652">
              <w:rPr>
                <w:rFonts w:ascii="Arial" w:eastAsia="Calibri" w:hAnsi="Arial" w:cs="Arial"/>
                <w:sz w:val="24"/>
                <w:szCs w:val="24"/>
              </w:rPr>
              <w:t>They only saw that the first defendant is taking all her fath</w:t>
            </w:r>
            <w:r w:rsidR="00CE48FB">
              <w:rPr>
                <w:rFonts w:ascii="Arial" w:eastAsia="Calibri" w:hAnsi="Arial" w:cs="Arial"/>
                <w:sz w:val="24"/>
                <w:szCs w:val="24"/>
              </w:rPr>
              <w:t xml:space="preserve">er’s livestock and properties. </w:t>
            </w:r>
            <w:r w:rsidRPr="00504652">
              <w:rPr>
                <w:rFonts w:ascii="Arial" w:eastAsia="Calibri" w:hAnsi="Arial" w:cs="Arial"/>
                <w:sz w:val="24"/>
                <w:szCs w:val="24"/>
              </w:rPr>
              <w:t>They were only left with a house at the village.</w:t>
            </w:r>
          </w:p>
          <w:p w:rsidR="00504652" w:rsidRPr="00504652" w:rsidRDefault="00504652" w:rsidP="00504652">
            <w:pPr>
              <w:spacing w:before="100" w:beforeAutospacing="1" w:after="100" w:afterAutospacing="1" w:line="360" w:lineRule="auto"/>
              <w:ind w:left="720"/>
              <w:contextualSpacing/>
              <w:jc w:val="both"/>
              <w:rPr>
                <w:rFonts w:ascii="Arial" w:eastAsia="Calibri" w:hAnsi="Arial" w:cs="Arial"/>
                <w:sz w:val="24"/>
                <w:szCs w:val="24"/>
              </w:rPr>
            </w:pPr>
          </w:p>
          <w:p w:rsidR="009363C3" w:rsidRDefault="005E0660" w:rsidP="000B1503">
            <w:pPr>
              <w:numPr>
                <w:ilvl w:val="0"/>
                <w:numId w:val="6"/>
              </w:numPr>
              <w:spacing w:after="0"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On 19 November 2010 at Usakos the first defendant was appointed as the executo</w:t>
            </w:r>
            <w:r w:rsidR="00CE48FB">
              <w:rPr>
                <w:rFonts w:ascii="Arial" w:eastAsia="Calibri" w:hAnsi="Arial" w:cs="Arial"/>
                <w:sz w:val="24"/>
                <w:szCs w:val="24"/>
              </w:rPr>
              <w:t xml:space="preserve">r of the estate of the late Mr </w:t>
            </w:r>
            <w:r w:rsidRPr="00504652">
              <w:rPr>
                <w:rFonts w:ascii="Arial" w:eastAsia="Calibri" w:hAnsi="Arial" w:cs="Arial"/>
                <w:sz w:val="24"/>
                <w:szCs w:val="24"/>
              </w:rPr>
              <w:t>Toivo Kandjimbi Thomas.  He then transferred the Hakahana erf into his name on 12 August 2011.  After he passed on, the second defendant became the executor of his will and threatened the plaintiff and her siblings with legal action to get them to move from the house in Hakahana.  The claim of the first defendant is basically that she wants her father's house back.</w:t>
            </w:r>
          </w:p>
          <w:p w:rsidR="009363C3" w:rsidRPr="00504652" w:rsidRDefault="009363C3" w:rsidP="009363C3">
            <w:pPr>
              <w:spacing w:after="0" w:line="360" w:lineRule="auto"/>
              <w:contextualSpacing/>
              <w:jc w:val="both"/>
              <w:rPr>
                <w:rFonts w:ascii="Arial" w:eastAsia="Calibri" w:hAnsi="Arial" w:cs="Arial"/>
                <w:sz w:val="24"/>
                <w:szCs w:val="24"/>
              </w:rPr>
            </w:pPr>
          </w:p>
          <w:p w:rsidR="00504652" w:rsidRDefault="005E0660" w:rsidP="009363C3">
            <w:pPr>
              <w:spacing w:after="0" w:line="360" w:lineRule="auto"/>
              <w:jc w:val="both"/>
              <w:rPr>
                <w:rFonts w:ascii="Arial" w:hAnsi="Arial" w:cs="Arial"/>
                <w:sz w:val="24"/>
                <w:szCs w:val="24"/>
                <w:u w:val="single"/>
              </w:rPr>
            </w:pPr>
            <w:r w:rsidRPr="00504652">
              <w:rPr>
                <w:rFonts w:ascii="Arial" w:hAnsi="Arial" w:cs="Arial"/>
                <w:sz w:val="24"/>
                <w:szCs w:val="24"/>
                <w:u w:val="single"/>
              </w:rPr>
              <w:t>The claim</w:t>
            </w:r>
          </w:p>
          <w:p w:rsidR="00504652" w:rsidRPr="00504652" w:rsidRDefault="00504652" w:rsidP="009363C3">
            <w:pPr>
              <w:spacing w:after="0" w:line="360" w:lineRule="auto"/>
              <w:jc w:val="both"/>
              <w:rPr>
                <w:rFonts w:ascii="Arial" w:hAnsi="Arial" w:cs="Arial"/>
                <w:sz w:val="24"/>
                <w:szCs w:val="24"/>
                <w:u w:val="single"/>
              </w:rPr>
            </w:pPr>
          </w:p>
          <w:p w:rsidR="00504652" w:rsidRPr="00504652"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The plaintiff is claiming for the following:</w:t>
            </w:r>
          </w:p>
          <w:p w:rsidR="000B1503" w:rsidRDefault="005E0660" w:rsidP="000B1503">
            <w:pPr>
              <w:pStyle w:val="ListParagraph"/>
              <w:numPr>
                <w:ilvl w:val="0"/>
                <w:numId w:val="10"/>
              </w:numPr>
              <w:spacing w:before="100" w:beforeAutospacing="1" w:after="100" w:afterAutospacing="1" w:line="360" w:lineRule="auto"/>
              <w:jc w:val="both"/>
              <w:rPr>
                <w:rFonts w:ascii="Arial" w:eastAsia="Calibri" w:hAnsi="Arial" w:cs="Arial"/>
                <w:sz w:val="24"/>
                <w:szCs w:val="24"/>
              </w:rPr>
            </w:pPr>
            <w:r w:rsidRPr="000B1503">
              <w:rPr>
                <w:rFonts w:ascii="Arial" w:eastAsia="Calibri" w:hAnsi="Arial" w:cs="Arial"/>
                <w:sz w:val="24"/>
                <w:szCs w:val="24"/>
              </w:rPr>
              <w:lastRenderedPageBreak/>
              <w:t>Reviewing and setting aside the decision of the 5</w:t>
            </w:r>
            <w:r w:rsidRPr="000B1503">
              <w:rPr>
                <w:rFonts w:ascii="Arial" w:eastAsia="Calibri" w:hAnsi="Arial" w:cs="Arial"/>
                <w:sz w:val="24"/>
                <w:szCs w:val="24"/>
                <w:vertAlign w:val="superscript"/>
              </w:rPr>
              <w:t>th</w:t>
            </w:r>
            <w:r w:rsidRPr="000B1503">
              <w:rPr>
                <w:rFonts w:ascii="Arial" w:eastAsia="Calibri" w:hAnsi="Arial" w:cs="Arial"/>
                <w:sz w:val="24"/>
                <w:szCs w:val="24"/>
              </w:rPr>
              <w:t xml:space="preserve"> Defendant to appoint the 1</w:t>
            </w:r>
            <w:r w:rsidRPr="000B1503">
              <w:rPr>
                <w:rFonts w:ascii="Arial" w:eastAsia="Calibri" w:hAnsi="Arial" w:cs="Arial"/>
                <w:sz w:val="24"/>
                <w:szCs w:val="24"/>
                <w:vertAlign w:val="superscript"/>
              </w:rPr>
              <w:t>st</w:t>
            </w:r>
            <w:r w:rsidRPr="000B1503">
              <w:rPr>
                <w:rFonts w:ascii="Arial" w:eastAsia="Calibri" w:hAnsi="Arial" w:cs="Arial"/>
                <w:sz w:val="24"/>
                <w:szCs w:val="24"/>
              </w:rPr>
              <w:t xml:space="preserve"> Defendant as the executor of the estate of the late Toivo Kandjimbi Thomas;</w:t>
            </w:r>
          </w:p>
          <w:p w:rsidR="000B1503" w:rsidRDefault="005E0660" w:rsidP="000B1503">
            <w:pPr>
              <w:pStyle w:val="ListParagraph"/>
              <w:numPr>
                <w:ilvl w:val="0"/>
                <w:numId w:val="10"/>
              </w:numPr>
              <w:spacing w:before="100" w:beforeAutospacing="1" w:after="100" w:afterAutospacing="1" w:line="360" w:lineRule="auto"/>
              <w:jc w:val="both"/>
              <w:rPr>
                <w:rFonts w:ascii="Arial" w:eastAsia="Calibri" w:hAnsi="Arial" w:cs="Arial"/>
                <w:sz w:val="24"/>
                <w:szCs w:val="24"/>
              </w:rPr>
            </w:pPr>
            <w:r w:rsidRPr="000B1503">
              <w:rPr>
                <w:rFonts w:ascii="Arial" w:eastAsia="Calibri" w:hAnsi="Arial" w:cs="Arial"/>
                <w:sz w:val="24"/>
                <w:szCs w:val="24"/>
              </w:rPr>
              <w:t>Reviewing and setting aside a decision of the 4</w:t>
            </w:r>
            <w:r w:rsidRPr="000B1503">
              <w:rPr>
                <w:rFonts w:ascii="Arial" w:eastAsia="Calibri" w:hAnsi="Arial" w:cs="Arial"/>
                <w:sz w:val="24"/>
                <w:szCs w:val="24"/>
                <w:vertAlign w:val="superscript"/>
              </w:rPr>
              <w:t>th</w:t>
            </w:r>
            <w:r w:rsidRPr="000B1503">
              <w:rPr>
                <w:rFonts w:ascii="Arial" w:eastAsia="Calibri" w:hAnsi="Arial" w:cs="Arial"/>
                <w:sz w:val="24"/>
                <w:szCs w:val="24"/>
              </w:rPr>
              <w:t xml:space="preserve"> Defendant to transfer Erf 42, Hakahana into the name of the 1</w:t>
            </w:r>
            <w:r w:rsidRPr="000B1503">
              <w:rPr>
                <w:rFonts w:ascii="Arial" w:eastAsia="Calibri" w:hAnsi="Arial" w:cs="Arial"/>
                <w:sz w:val="24"/>
                <w:szCs w:val="24"/>
                <w:vertAlign w:val="superscript"/>
              </w:rPr>
              <w:t>st</w:t>
            </w:r>
            <w:r w:rsidRPr="000B1503">
              <w:rPr>
                <w:rFonts w:ascii="Arial" w:eastAsia="Calibri" w:hAnsi="Arial" w:cs="Arial"/>
                <w:sz w:val="24"/>
                <w:szCs w:val="24"/>
              </w:rPr>
              <w:t xml:space="preserve"> (sic) Defendant;</w:t>
            </w:r>
          </w:p>
          <w:p w:rsidR="000B1503" w:rsidRDefault="005E0660" w:rsidP="000B1503">
            <w:pPr>
              <w:pStyle w:val="ListParagraph"/>
              <w:numPr>
                <w:ilvl w:val="0"/>
                <w:numId w:val="10"/>
              </w:numPr>
              <w:spacing w:before="100" w:beforeAutospacing="1" w:after="100" w:afterAutospacing="1" w:line="360" w:lineRule="auto"/>
              <w:jc w:val="both"/>
              <w:rPr>
                <w:rFonts w:ascii="Arial" w:eastAsia="Calibri" w:hAnsi="Arial" w:cs="Arial"/>
                <w:sz w:val="24"/>
                <w:szCs w:val="24"/>
              </w:rPr>
            </w:pPr>
            <w:r w:rsidRPr="000B1503">
              <w:rPr>
                <w:rFonts w:ascii="Arial" w:eastAsia="Calibri" w:hAnsi="Arial" w:cs="Arial"/>
                <w:sz w:val="24"/>
                <w:szCs w:val="24"/>
              </w:rPr>
              <w:t>An order directing the 3</w:t>
            </w:r>
            <w:r w:rsidRPr="000B1503">
              <w:rPr>
                <w:rFonts w:ascii="Arial" w:eastAsia="Calibri" w:hAnsi="Arial" w:cs="Arial"/>
                <w:sz w:val="24"/>
                <w:szCs w:val="24"/>
                <w:vertAlign w:val="superscript"/>
              </w:rPr>
              <w:t>rd</w:t>
            </w:r>
            <w:r w:rsidRPr="000B1503">
              <w:rPr>
                <w:rFonts w:ascii="Arial" w:eastAsia="Calibri" w:hAnsi="Arial" w:cs="Arial"/>
                <w:sz w:val="24"/>
                <w:szCs w:val="24"/>
              </w:rPr>
              <w:t xml:space="preserve"> Defendant to appoint an executor in terms of the law within a period of 30 days from the date of judgement;</w:t>
            </w:r>
          </w:p>
          <w:p w:rsidR="000B1503" w:rsidRDefault="005E0660" w:rsidP="000B1503">
            <w:pPr>
              <w:pStyle w:val="ListParagraph"/>
              <w:numPr>
                <w:ilvl w:val="0"/>
                <w:numId w:val="10"/>
              </w:numPr>
              <w:spacing w:before="100" w:beforeAutospacing="1" w:after="100" w:afterAutospacing="1" w:line="360" w:lineRule="auto"/>
              <w:jc w:val="both"/>
              <w:rPr>
                <w:rFonts w:ascii="Arial" w:eastAsia="Calibri" w:hAnsi="Arial" w:cs="Arial"/>
                <w:sz w:val="24"/>
                <w:szCs w:val="24"/>
              </w:rPr>
            </w:pPr>
            <w:r w:rsidRPr="000B1503">
              <w:rPr>
                <w:rFonts w:ascii="Arial" w:eastAsia="Calibri" w:hAnsi="Arial" w:cs="Arial"/>
                <w:sz w:val="24"/>
                <w:szCs w:val="24"/>
              </w:rPr>
              <w:t>An order in terms of which the Defendants who oppose this action are directed to pay the cost of the Plaintiff on an Attorney-Client scale;</w:t>
            </w:r>
          </w:p>
          <w:p w:rsidR="00504652" w:rsidRDefault="005E0660" w:rsidP="000B1503">
            <w:pPr>
              <w:pStyle w:val="ListParagraph"/>
              <w:numPr>
                <w:ilvl w:val="0"/>
                <w:numId w:val="10"/>
              </w:numPr>
              <w:spacing w:after="0" w:line="360" w:lineRule="auto"/>
              <w:jc w:val="both"/>
              <w:rPr>
                <w:rFonts w:ascii="Arial" w:eastAsia="Calibri" w:hAnsi="Arial" w:cs="Arial"/>
                <w:sz w:val="24"/>
                <w:szCs w:val="24"/>
              </w:rPr>
            </w:pPr>
            <w:r w:rsidRPr="000B1503">
              <w:rPr>
                <w:rFonts w:ascii="Arial" w:eastAsia="Calibri" w:hAnsi="Arial" w:cs="Arial"/>
                <w:sz w:val="24"/>
                <w:szCs w:val="24"/>
              </w:rPr>
              <w:t>Further and or alternative relief.</w:t>
            </w:r>
          </w:p>
          <w:p w:rsidR="000B1503" w:rsidRPr="000B1503" w:rsidRDefault="000B1503" w:rsidP="000B1503">
            <w:pPr>
              <w:pStyle w:val="ListParagraph"/>
              <w:spacing w:after="0" w:line="360" w:lineRule="auto"/>
              <w:jc w:val="both"/>
              <w:rPr>
                <w:rFonts w:ascii="Arial" w:eastAsia="Calibri" w:hAnsi="Arial" w:cs="Arial"/>
                <w:sz w:val="24"/>
                <w:szCs w:val="24"/>
              </w:rPr>
            </w:pPr>
          </w:p>
          <w:p w:rsidR="009363C3" w:rsidRDefault="005E0660" w:rsidP="000B1503">
            <w:pPr>
              <w:spacing w:after="0" w:line="360" w:lineRule="auto"/>
              <w:jc w:val="both"/>
              <w:rPr>
                <w:rFonts w:ascii="Arial" w:eastAsia="Calibri" w:hAnsi="Arial" w:cs="Arial"/>
                <w:sz w:val="24"/>
                <w:szCs w:val="24"/>
                <w:u w:val="single"/>
              </w:rPr>
            </w:pPr>
            <w:r w:rsidRPr="00504652">
              <w:rPr>
                <w:rFonts w:ascii="Arial" w:eastAsia="Calibri" w:hAnsi="Arial" w:cs="Arial"/>
                <w:sz w:val="24"/>
                <w:szCs w:val="24"/>
                <w:u w:val="single"/>
              </w:rPr>
              <w:t>The evidence</w:t>
            </w:r>
          </w:p>
          <w:p w:rsidR="00C74A25" w:rsidRPr="00504652" w:rsidRDefault="00C74A25" w:rsidP="00C74A25">
            <w:pPr>
              <w:spacing w:after="0" w:line="360" w:lineRule="auto"/>
              <w:jc w:val="both"/>
              <w:rPr>
                <w:rFonts w:ascii="Arial" w:eastAsia="Calibri" w:hAnsi="Arial" w:cs="Arial"/>
                <w:sz w:val="24"/>
                <w:szCs w:val="24"/>
                <w:u w:val="single"/>
              </w:rPr>
            </w:pPr>
          </w:p>
          <w:p w:rsidR="00504652" w:rsidRPr="00504652" w:rsidRDefault="005E0660" w:rsidP="00504652">
            <w:pPr>
              <w:spacing w:line="360" w:lineRule="auto"/>
              <w:jc w:val="both"/>
              <w:rPr>
                <w:rFonts w:ascii="Arial" w:eastAsia="Calibri" w:hAnsi="Arial" w:cs="Arial"/>
                <w:i/>
                <w:sz w:val="24"/>
                <w:szCs w:val="24"/>
              </w:rPr>
            </w:pPr>
            <w:r w:rsidRPr="00504652">
              <w:rPr>
                <w:rFonts w:ascii="Arial" w:eastAsia="Calibri" w:hAnsi="Arial" w:cs="Arial"/>
                <w:i/>
                <w:sz w:val="24"/>
                <w:szCs w:val="24"/>
              </w:rPr>
              <w:t>For the plaintiff</w:t>
            </w:r>
          </w:p>
          <w:p w:rsidR="000B1503"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 xml:space="preserve">Penehafo Simon testified that she </w:t>
            </w:r>
            <w:r w:rsidR="004B1A80">
              <w:rPr>
                <w:rFonts w:ascii="Arial" w:eastAsia="Calibri" w:hAnsi="Arial" w:cs="Arial"/>
                <w:sz w:val="24"/>
                <w:szCs w:val="24"/>
              </w:rPr>
              <w:t xml:space="preserve">is </w:t>
            </w:r>
            <w:r w:rsidRPr="00504652">
              <w:rPr>
                <w:rFonts w:ascii="Arial" w:eastAsia="Calibri" w:hAnsi="Arial" w:cs="Arial"/>
                <w:sz w:val="24"/>
                <w:szCs w:val="24"/>
              </w:rPr>
              <w:t>the widow of the late Toivo Kandimbi Thomas.  She is the plaintiff’s biological mother and the first defendant is her brother-in-law.  She and her deceased husba</w:t>
            </w:r>
            <w:r w:rsidR="00062E42">
              <w:rPr>
                <w:rFonts w:ascii="Arial" w:eastAsia="Calibri" w:hAnsi="Arial" w:cs="Arial"/>
                <w:sz w:val="24"/>
                <w:szCs w:val="24"/>
              </w:rPr>
              <w:t>nd had seven children together.</w:t>
            </w:r>
            <w:r w:rsidRPr="00504652">
              <w:rPr>
                <w:rFonts w:ascii="Arial" w:eastAsia="Calibri" w:hAnsi="Arial" w:cs="Arial"/>
                <w:sz w:val="24"/>
                <w:szCs w:val="24"/>
              </w:rPr>
              <w:t xml:space="preserve"> After her husband's death, there were no issues but at a later stage her brother-in-law, the first defendant told them that he was now the rightful owner of the house.  They discovered that he transferred the house to his name without discussing it with her or her children.</w:t>
            </w:r>
          </w:p>
          <w:p w:rsidR="000B1503" w:rsidRDefault="000B1503" w:rsidP="000B1503">
            <w:pPr>
              <w:spacing w:before="100" w:beforeAutospacing="1" w:after="100" w:afterAutospacing="1" w:line="360" w:lineRule="auto"/>
              <w:contextualSpacing/>
              <w:jc w:val="both"/>
              <w:rPr>
                <w:rFonts w:ascii="Arial" w:eastAsia="Calibri" w:hAnsi="Arial" w:cs="Arial"/>
                <w:sz w:val="24"/>
                <w:szCs w:val="24"/>
              </w:rPr>
            </w:pPr>
          </w:p>
          <w:p w:rsidR="000B1503"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 xml:space="preserve">They also discovered that he appointed himself as executor and indicated that the deceased was not married.  She got married traditionally to her deceased husband in 1986 in the North.  She and the deceased had children together and he took her to a homestead in the North which they built together. The lobola paid for her was one cow. She admitted that according to the death certificate of the deceased, it indicated that he was single.  A copy of the death certificate was handed in as </w:t>
            </w:r>
            <w:r w:rsidR="004B1A80">
              <w:rPr>
                <w:rFonts w:ascii="Arial" w:eastAsia="Calibri" w:hAnsi="Arial" w:cs="Arial"/>
                <w:sz w:val="24"/>
                <w:szCs w:val="24"/>
              </w:rPr>
              <w:t xml:space="preserve">an </w:t>
            </w:r>
            <w:r w:rsidRPr="00504652">
              <w:rPr>
                <w:rFonts w:ascii="Arial" w:eastAsia="Calibri" w:hAnsi="Arial" w:cs="Arial"/>
                <w:sz w:val="24"/>
                <w:szCs w:val="24"/>
              </w:rPr>
              <w:t xml:space="preserve">exhibit.  She denied that the family agreed that the Hakahana property must be transferred to the first defendant.  </w:t>
            </w:r>
          </w:p>
          <w:p w:rsidR="000B1503" w:rsidRPr="000B1503" w:rsidRDefault="000B1503" w:rsidP="000B1503">
            <w:pPr>
              <w:rPr>
                <w:rFonts w:ascii="Arial" w:eastAsia="Calibri" w:hAnsi="Arial" w:cs="Arial"/>
                <w:sz w:val="24"/>
                <w:szCs w:val="24"/>
              </w:rPr>
            </w:pPr>
          </w:p>
          <w:p w:rsidR="000B1503" w:rsidRPr="006504C8" w:rsidRDefault="005E0660" w:rsidP="006504C8">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 xml:space="preserve">The plaintiff, Lydia Kandjimbi testified that the first defendant was her uncle, the brother of her father.  She lived with her father and mother in the Hakahana house.  Her father passed away on 25 January 2005 and they traveled to the North for his funeral.  There was no meeting held at the village as to how the estate must be divided and who was to be appointed as the executor of the estate.  She was eighteen years old at the time of her father's death and her youngest sibling was two years old.  </w:t>
            </w:r>
          </w:p>
          <w:p w:rsidR="00504652" w:rsidRPr="00504652"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lastRenderedPageBreak/>
              <w:t xml:space="preserve">She further testified that </w:t>
            </w:r>
            <w:r w:rsidR="00B47B80">
              <w:rPr>
                <w:rFonts w:ascii="Arial" w:eastAsia="Calibri" w:hAnsi="Arial" w:cs="Arial"/>
                <w:sz w:val="24"/>
                <w:szCs w:val="24"/>
              </w:rPr>
              <w:t xml:space="preserve">the </w:t>
            </w:r>
            <w:r w:rsidRPr="00504652">
              <w:rPr>
                <w:rFonts w:ascii="Arial" w:eastAsia="Calibri" w:hAnsi="Arial" w:cs="Arial"/>
                <w:sz w:val="24"/>
                <w:szCs w:val="24"/>
              </w:rPr>
              <w:t xml:space="preserve">summons in this matter was issued in 2020 only because that was the time they were told to leave the house.  She heard about other immovable property in Usakos but only knew about the Hakahana house because her parents also stayed there.  She saw that the value of the house was about N$70 000 on the deed documents.  The information provided for the death certificate was given in 2018 by the eldest sister of her deceased father.  </w:t>
            </w:r>
          </w:p>
          <w:p w:rsidR="00504652" w:rsidRPr="00504652" w:rsidRDefault="00504652" w:rsidP="009363C3">
            <w:pPr>
              <w:spacing w:after="0" w:line="360" w:lineRule="auto"/>
              <w:contextualSpacing/>
              <w:jc w:val="both"/>
              <w:rPr>
                <w:rFonts w:ascii="Arial" w:eastAsia="Calibri" w:hAnsi="Arial" w:cs="Arial"/>
                <w:sz w:val="24"/>
                <w:szCs w:val="24"/>
              </w:rPr>
            </w:pPr>
          </w:p>
          <w:p w:rsidR="009363C3" w:rsidRDefault="005E0660" w:rsidP="000B1503">
            <w:pPr>
              <w:spacing w:after="0" w:line="360" w:lineRule="auto"/>
              <w:jc w:val="both"/>
              <w:rPr>
                <w:rFonts w:ascii="Arial" w:eastAsia="Calibri" w:hAnsi="Arial" w:cs="Arial"/>
                <w:i/>
                <w:sz w:val="24"/>
                <w:szCs w:val="24"/>
              </w:rPr>
            </w:pPr>
            <w:r w:rsidRPr="00504652">
              <w:rPr>
                <w:rFonts w:ascii="Arial" w:eastAsia="Calibri" w:hAnsi="Arial" w:cs="Arial"/>
                <w:i/>
                <w:sz w:val="24"/>
                <w:szCs w:val="24"/>
              </w:rPr>
              <w:t>For the defendants</w:t>
            </w:r>
          </w:p>
          <w:p w:rsidR="000B1503" w:rsidRPr="00504652" w:rsidRDefault="000B1503" w:rsidP="000B1503">
            <w:pPr>
              <w:spacing w:after="0" w:line="360" w:lineRule="auto"/>
              <w:jc w:val="both"/>
              <w:rPr>
                <w:rFonts w:ascii="Arial" w:eastAsia="Calibri" w:hAnsi="Arial" w:cs="Arial"/>
                <w:i/>
                <w:sz w:val="24"/>
                <w:szCs w:val="24"/>
              </w:rPr>
            </w:pPr>
          </w:p>
          <w:p w:rsidR="00504652" w:rsidRDefault="005E0660" w:rsidP="000B1503">
            <w:pPr>
              <w:numPr>
                <w:ilvl w:val="0"/>
                <w:numId w:val="6"/>
              </w:numPr>
              <w:spacing w:before="100" w:beforeAutospacing="1" w:after="0"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 xml:space="preserve">Juliana Roeder testified on behalf of the first and second defendants.  She is the Executor of the estate of the first defendant who was her late husband.  She remembered that </w:t>
            </w:r>
            <w:r w:rsidR="00B47B80">
              <w:rPr>
                <w:rFonts w:ascii="Arial" w:eastAsia="Calibri" w:hAnsi="Arial" w:cs="Arial"/>
                <w:sz w:val="24"/>
                <w:szCs w:val="24"/>
              </w:rPr>
              <w:t>the father of the plaintiff, Mr</w:t>
            </w:r>
            <w:r w:rsidRPr="00504652">
              <w:rPr>
                <w:rFonts w:ascii="Arial" w:eastAsia="Calibri" w:hAnsi="Arial" w:cs="Arial"/>
                <w:sz w:val="24"/>
                <w:szCs w:val="24"/>
              </w:rPr>
              <w:t xml:space="preserve"> Toivo Kandjimbi Thomas passed away on 25 January 2005.  On 17 November 2010, the first defendant was appointed as executor of the estate of the late Mr Thomas at </w:t>
            </w:r>
            <w:r w:rsidR="00062E42">
              <w:rPr>
                <w:rFonts w:ascii="Arial" w:eastAsia="Calibri" w:hAnsi="Arial" w:cs="Arial"/>
                <w:sz w:val="24"/>
                <w:szCs w:val="24"/>
              </w:rPr>
              <w:t xml:space="preserve">the Usakos Magistrate’s Court. </w:t>
            </w:r>
            <w:r w:rsidRPr="00504652">
              <w:rPr>
                <w:rFonts w:ascii="Arial" w:eastAsia="Calibri" w:hAnsi="Arial" w:cs="Arial"/>
                <w:sz w:val="24"/>
                <w:szCs w:val="24"/>
              </w:rPr>
              <w:t>On 22 June 2011, the first defendant caused the transfer of er</w:t>
            </w:r>
            <w:r w:rsidR="00062E42">
              <w:rPr>
                <w:rFonts w:ascii="Arial" w:eastAsia="Calibri" w:hAnsi="Arial" w:cs="Arial"/>
                <w:sz w:val="24"/>
                <w:szCs w:val="24"/>
              </w:rPr>
              <w:t xml:space="preserve">f 42, Hakahana into his name. </w:t>
            </w:r>
            <w:r w:rsidRPr="00504652">
              <w:rPr>
                <w:rFonts w:ascii="Arial" w:eastAsia="Calibri" w:hAnsi="Arial" w:cs="Arial"/>
                <w:sz w:val="24"/>
                <w:szCs w:val="24"/>
              </w:rPr>
              <w:t xml:space="preserve">On 22 September 2012, the first defendant passed away and left her, his spouse to whom he was married in the community of property behind.  </w:t>
            </w:r>
          </w:p>
          <w:p w:rsidR="00504652" w:rsidRPr="00504652" w:rsidRDefault="00504652" w:rsidP="009363C3">
            <w:pPr>
              <w:spacing w:before="100" w:beforeAutospacing="1" w:after="100" w:afterAutospacing="1" w:line="360" w:lineRule="auto"/>
              <w:ind w:left="57"/>
              <w:contextualSpacing/>
              <w:jc w:val="both"/>
              <w:rPr>
                <w:rFonts w:ascii="Arial" w:eastAsia="Calibri" w:hAnsi="Arial" w:cs="Arial"/>
                <w:sz w:val="24"/>
                <w:szCs w:val="24"/>
              </w:rPr>
            </w:pPr>
          </w:p>
          <w:p w:rsidR="00504652" w:rsidRPr="00504652" w:rsidRDefault="005E0660" w:rsidP="00504652">
            <w:pPr>
              <w:spacing w:after="0" w:line="360" w:lineRule="auto"/>
              <w:jc w:val="both"/>
              <w:rPr>
                <w:rFonts w:ascii="Arial" w:eastAsia="Calibri" w:hAnsi="Arial" w:cs="Arial"/>
                <w:sz w:val="24"/>
                <w:szCs w:val="24"/>
                <w:u w:val="single"/>
              </w:rPr>
            </w:pPr>
            <w:r w:rsidRPr="00504652">
              <w:rPr>
                <w:rFonts w:ascii="Arial" w:eastAsia="Calibri" w:hAnsi="Arial" w:cs="Arial"/>
                <w:sz w:val="24"/>
                <w:szCs w:val="24"/>
                <w:u w:val="single"/>
              </w:rPr>
              <w:t>The arguments</w:t>
            </w:r>
          </w:p>
          <w:p w:rsidR="00504652" w:rsidRPr="00504652" w:rsidRDefault="00504652" w:rsidP="00504652">
            <w:pPr>
              <w:spacing w:after="0" w:line="360" w:lineRule="auto"/>
              <w:jc w:val="both"/>
              <w:rPr>
                <w:rFonts w:ascii="Arial" w:eastAsia="Calibri" w:hAnsi="Arial" w:cs="Arial"/>
                <w:sz w:val="24"/>
                <w:szCs w:val="24"/>
                <w:u w:val="single"/>
              </w:rPr>
            </w:pPr>
          </w:p>
          <w:p w:rsidR="00504652" w:rsidRPr="00504652"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It was argued on behalf of the plaintiff that it is common cause that the applicable customary law was not proven during the trial in this matter. The defendant is therefore not able to rely on customary law because this was not proven.</w:t>
            </w:r>
            <w:r w:rsidRPr="00504652">
              <w:rPr>
                <w:rFonts w:ascii="Calibri" w:eastAsia="Calibri" w:hAnsi="Calibri" w:cs="Times New Roman"/>
              </w:rPr>
              <w:t xml:space="preserve"> </w:t>
            </w:r>
            <w:r w:rsidRPr="00504652">
              <w:rPr>
                <w:rFonts w:ascii="Arial" w:eastAsia="Calibri" w:hAnsi="Arial" w:cs="Arial"/>
                <w:sz w:val="24"/>
                <w:szCs w:val="24"/>
              </w:rPr>
              <w:t>There is further no evidence that there was no decision made by the family members and no consultation took place. There is also no evidence of any decision taken in terms of customary laws and practices.</w:t>
            </w:r>
            <w:r w:rsidRPr="00504652">
              <w:rPr>
                <w:rFonts w:ascii="Calibri" w:eastAsia="Calibri" w:hAnsi="Calibri" w:cs="Times New Roman"/>
              </w:rPr>
              <w:t xml:space="preserve"> </w:t>
            </w:r>
            <w:r w:rsidRPr="00504652">
              <w:rPr>
                <w:rFonts w:ascii="Arial" w:eastAsia="Calibri" w:hAnsi="Arial" w:cs="Arial"/>
                <w:sz w:val="24"/>
                <w:szCs w:val="24"/>
              </w:rPr>
              <w:t>It is also common cause that the defendant was a secondary witness. Most of what she tried to confirm under oath, unfortunately, amounts to hearsay evidence. She was not present at any of the meetings which she purported to testify for.</w:t>
            </w:r>
          </w:p>
          <w:p w:rsidR="00504652" w:rsidRPr="00504652" w:rsidRDefault="00504652" w:rsidP="00504652">
            <w:pPr>
              <w:spacing w:after="0" w:line="360" w:lineRule="auto"/>
              <w:contextualSpacing/>
              <w:jc w:val="both"/>
              <w:rPr>
                <w:rFonts w:ascii="Arial" w:eastAsia="Calibri" w:hAnsi="Arial" w:cs="Arial"/>
                <w:sz w:val="24"/>
                <w:szCs w:val="24"/>
              </w:rPr>
            </w:pPr>
          </w:p>
          <w:p w:rsidR="00504652" w:rsidRPr="00504652"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The plaintiff further argued that in view of the need for the Honourable Court to do justice between man and man, and in view of the circumstances of this c</w:t>
            </w:r>
            <w:r w:rsidR="00062E42">
              <w:rPr>
                <w:rFonts w:ascii="Arial" w:eastAsia="Calibri" w:hAnsi="Arial" w:cs="Arial"/>
                <w:sz w:val="24"/>
                <w:szCs w:val="24"/>
              </w:rPr>
              <w:t>ase, we humbly submit that the p</w:t>
            </w:r>
            <w:r w:rsidRPr="00504652">
              <w:rPr>
                <w:rFonts w:ascii="Arial" w:eastAsia="Calibri" w:hAnsi="Arial" w:cs="Arial"/>
                <w:sz w:val="24"/>
                <w:szCs w:val="24"/>
              </w:rPr>
              <w:t>laintiff has proven her case on a balance of probabilities and that the prayers contained in her particulars of claim should succeed.</w:t>
            </w:r>
          </w:p>
          <w:p w:rsidR="00504652" w:rsidRPr="00504652" w:rsidRDefault="00504652" w:rsidP="00504652">
            <w:pPr>
              <w:spacing w:before="100" w:beforeAutospacing="1" w:after="100" w:afterAutospacing="1" w:line="360" w:lineRule="auto"/>
              <w:ind w:left="720"/>
              <w:contextualSpacing/>
              <w:jc w:val="both"/>
              <w:rPr>
                <w:rFonts w:ascii="Arial" w:eastAsia="Calibri" w:hAnsi="Arial" w:cs="Arial"/>
                <w:sz w:val="24"/>
                <w:szCs w:val="24"/>
              </w:rPr>
            </w:pPr>
          </w:p>
          <w:p w:rsidR="00504652" w:rsidRPr="00504652"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 xml:space="preserve">On behalf of the defendants it was argued that it was claimed by the plaintiff that the value of the deceased’s estate exceeded the jurisdiction of the fifth defendant, the plaintiff could not </w:t>
            </w:r>
            <w:r w:rsidRPr="00504652">
              <w:rPr>
                <w:rFonts w:ascii="Arial" w:eastAsia="Calibri" w:hAnsi="Arial" w:cs="Arial"/>
                <w:sz w:val="24"/>
                <w:szCs w:val="24"/>
              </w:rPr>
              <w:lastRenderedPageBreak/>
              <w:t>indicate what the value of the estate was. It was argued that no evidence was led to prove that the Magistrate of Usakos (fifth defendant) indeed acted ultra vires.</w:t>
            </w:r>
          </w:p>
          <w:p w:rsidR="00504652" w:rsidRPr="00504652" w:rsidRDefault="00504652" w:rsidP="00504652">
            <w:pPr>
              <w:spacing w:before="100" w:beforeAutospacing="1" w:after="100" w:afterAutospacing="1" w:line="360" w:lineRule="auto"/>
              <w:ind w:left="720"/>
              <w:contextualSpacing/>
              <w:jc w:val="both"/>
              <w:rPr>
                <w:rFonts w:ascii="Arial" w:eastAsia="Calibri" w:hAnsi="Arial" w:cs="Arial"/>
                <w:sz w:val="24"/>
                <w:szCs w:val="24"/>
              </w:rPr>
            </w:pPr>
          </w:p>
          <w:p w:rsidR="00504652" w:rsidRPr="00504652"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The customs observed in the reserve (as opposed to customary law) can be proved in the same manner as any other custom, i</w:t>
            </w:r>
            <w:r w:rsidR="00B47B80">
              <w:rPr>
                <w:rFonts w:ascii="Arial" w:eastAsia="Calibri" w:hAnsi="Arial" w:cs="Arial"/>
                <w:sz w:val="24"/>
                <w:szCs w:val="24"/>
              </w:rPr>
              <w:t>.</w:t>
            </w:r>
            <w:r w:rsidRPr="00504652">
              <w:rPr>
                <w:rFonts w:ascii="Arial" w:eastAsia="Calibri" w:hAnsi="Arial" w:cs="Arial"/>
                <w:sz w:val="24"/>
                <w:szCs w:val="24"/>
              </w:rPr>
              <w:t>e by ordinary persons who know the nature of the customs and the period over which they have been observed. It has authoritatively been held that the party relying on such a custom must prove it beyond a reasonable doubt.</w:t>
            </w:r>
          </w:p>
          <w:p w:rsidR="00504652" w:rsidRPr="00504652" w:rsidRDefault="00504652" w:rsidP="00504652">
            <w:pPr>
              <w:spacing w:before="100" w:beforeAutospacing="1" w:after="100" w:afterAutospacing="1" w:line="360" w:lineRule="auto"/>
              <w:ind w:left="720"/>
              <w:contextualSpacing/>
              <w:jc w:val="both"/>
              <w:rPr>
                <w:rFonts w:ascii="Arial" w:eastAsia="Calibri" w:hAnsi="Arial" w:cs="Arial"/>
                <w:sz w:val="24"/>
                <w:szCs w:val="24"/>
              </w:rPr>
            </w:pPr>
          </w:p>
          <w:p w:rsidR="00504652" w:rsidRPr="00504652"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The deceased is native, had no valid will, and if married, his marriage was out of the community of property. In light of the above-stated legal provisions, it is our submission that the deceased's estate was to be distributed in accordance with Aawambo (Ovambo) customary law/customs, whereby both the plaintiff and her mother are not legally required to be consulted.</w:t>
            </w:r>
          </w:p>
          <w:p w:rsidR="00504652" w:rsidRPr="00504652" w:rsidRDefault="00504652" w:rsidP="00504652">
            <w:pPr>
              <w:spacing w:before="100" w:beforeAutospacing="1" w:after="100" w:afterAutospacing="1" w:line="360" w:lineRule="auto"/>
              <w:ind w:left="720"/>
              <w:contextualSpacing/>
              <w:jc w:val="both"/>
              <w:rPr>
                <w:rFonts w:ascii="Arial" w:eastAsia="Calibri" w:hAnsi="Arial" w:cs="Arial"/>
                <w:sz w:val="24"/>
                <w:szCs w:val="24"/>
              </w:rPr>
            </w:pPr>
          </w:p>
          <w:p w:rsidR="00504652" w:rsidRPr="00504652"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As per Nehemia</w:t>
            </w:r>
            <w:r>
              <w:rPr>
                <w:vertAlign w:val="superscript"/>
              </w:rPr>
              <w:footnoteReference w:id="1"/>
            </w:r>
            <w:r w:rsidRPr="00504652">
              <w:rPr>
                <w:rFonts w:ascii="Arial" w:eastAsia="Calibri" w:hAnsi="Arial" w:cs="Arial"/>
                <w:sz w:val="24"/>
                <w:szCs w:val="24"/>
              </w:rPr>
              <w:t>, it was argued children inherit nothing from their deceased fathers, but the property return matrilineally to his clan. If a father wants to give something to his children, he must do so when still alive or write a valid Will. Those customary law/customs and/or practice is still applicable in Namibia in accordance with Article 66 of the Namibian Constitution. It is axiomatic that the plaintiff cannot inherit from her father who died intestate.</w:t>
            </w:r>
            <w:r w:rsidR="00062E42">
              <w:rPr>
                <w:rFonts w:ascii="Arial" w:eastAsia="Calibri" w:hAnsi="Arial" w:cs="Arial"/>
                <w:sz w:val="24"/>
                <w:szCs w:val="24"/>
              </w:rPr>
              <w:t xml:space="preserve"> </w:t>
            </w:r>
            <w:r w:rsidRPr="00504652">
              <w:rPr>
                <w:rFonts w:ascii="Arial" w:eastAsia="Calibri" w:hAnsi="Arial" w:cs="Arial"/>
                <w:sz w:val="24"/>
                <w:szCs w:val="24"/>
              </w:rPr>
              <w:t>In terms of Aawambo customs, she is automatically barred from inheriting from her father. Doing so will be contrary to the customs. It was therefore not a legal requirement for the plaintiff to be consulted regarding her father’s estate. She</w:t>
            </w:r>
            <w:r w:rsidR="00B47B80">
              <w:rPr>
                <w:rFonts w:ascii="Arial" w:eastAsia="Calibri" w:hAnsi="Arial" w:cs="Arial"/>
                <w:sz w:val="24"/>
                <w:szCs w:val="24"/>
              </w:rPr>
              <w:t xml:space="preserve"> </w:t>
            </w:r>
            <w:r w:rsidRPr="00504652">
              <w:rPr>
                <w:rFonts w:ascii="Arial" w:eastAsia="Calibri" w:hAnsi="Arial" w:cs="Arial"/>
                <w:sz w:val="24"/>
                <w:szCs w:val="24"/>
              </w:rPr>
              <w:t>has no legal rights in the property.</w:t>
            </w:r>
          </w:p>
          <w:p w:rsidR="00504652" w:rsidRPr="00504652" w:rsidRDefault="00504652" w:rsidP="00504652">
            <w:pPr>
              <w:spacing w:before="100" w:beforeAutospacing="1" w:after="100" w:afterAutospacing="1" w:line="360" w:lineRule="auto"/>
              <w:ind w:left="720"/>
              <w:contextualSpacing/>
              <w:jc w:val="both"/>
              <w:rPr>
                <w:rFonts w:ascii="Arial" w:eastAsia="Calibri" w:hAnsi="Arial" w:cs="Arial"/>
                <w:sz w:val="24"/>
                <w:szCs w:val="24"/>
              </w:rPr>
            </w:pPr>
          </w:p>
          <w:p w:rsidR="00504652" w:rsidRPr="00504652"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 xml:space="preserve">The plaintiff could not prove that the deceased’s estate was beyond the jurisdiction of the Magistrate of Usakos </w:t>
            </w:r>
            <w:r w:rsidR="00B47B80">
              <w:rPr>
                <w:rFonts w:ascii="Arial" w:eastAsia="Calibri" w:hAnsi="Arial" w:cs="Arial"/>
                <w:sz w:val="24"/>
                <w:szCs w:val="24"/>
              </w:rPr>
              <w:t>(more than N$100 000</w:t>
            </w:r>
            <w:r w:rsidRPr="00504652">
              <w:rPr>
                <w:rFonts w:ascii="Arial" w:eastAsia="Calibri" w:hAnsi="Arial" w:cs="Arial"/>
                <w:sz w:val="24"/>
                <w:szCs w:val="24"/>
              </w:rPr>
              <w:t>: One Hundred Thousand Namibia Dollars). The only evidence before Court is Exhibit B which indicates that the value of the property, as of 12 August 2011, in the</w:t>
            </w:r>
            <w:r w:rsidR="00B47B80">
              <w:rPr>
                <w:rFonts w:ascii="Arial" w:eastAsia="Calibri" w:hAnsi="Arial" w:cs="Arial"/>
                <w:sz w:val="24"/>
                <w:szCs w:val="24"/>
              </w:rPr>
              <w:t xml:space="preserve"> amount of N$70 000</w:t>
            </w:r>
            <w:r w:rsidRPr="00504652">
              <w:rPr>
                <w:rFonts w:ascii="Arial" w:eastAsia="Calibri" w:hAnsi="Arial" w:cs="Arial"/>
                <w:sz w:val="24"/>
                <w:szCs w:val="24"/>
              </w:rPr>
              <w:t xml:space="preserve"> (Seventy thousand Namibia Dollars). That evidence was not disputed by the plaintiff at all and, the Court should accept it as the true and correct value of the property at the relevant time.</w:t>
            </w:r>
          </w:p>
          <w:p w:rsidR="00504652" w:rsidRPr="00504652" w:rsidRDefault="00504652" w:rsidP="00504652">
            <w:pPr>
              <w:spacing w:after="0" w:line="360" w:lineRule="auto"/>
              <w:contextualSpacing/>
              <w:jc w:val="both"/>
              <w:rPr>
                <w:rFonts w:ascii="Arial" w:eastAsia="Calibri" w:hAnsi="Arial" w:cs="Arial"/>
                <w:sz w:val="24"/>
                <w:szCs w:val="24"/>
              </w:rPr>
            </w:pPr>
          </w:p>
          <w:p w:rsidR="00504652" w:rsidRPr="00504652" w:rsidRDefault="005E0660" w:rsidP="00504652">
            <w:pPr>
              <w:spacing w:after="0" w:line="360" w:lineRule="auto"/>
              <w:jc w:val="both"/>
              <w:rPr>
                <w:rFonts w:ascii="Arial" w:eastAsia="Calibri" w:hAnsi="Arial" w:cs="Arial"/>
                <w:sz w:val="24"/>
                <w:szCs w:val="24"/>
                <w:u w:val="single"/>
              </w:rPr>
            </w:pPr>
            <w:r w:rsidRPr="00504652">
              <w:rPr>
                <w:rFonts w:ascii="Arial" w:eastAsia="Calibri" w:hAnsi="Arial" w:cs="Arial"/>
                <w:sz w:val="24"/>
                <w:szCs w:val="24"/>
                <w:u w:val="single"/>
              </w:rPr>
              <w:t>Issues for determination</w:t>
            </w:r>
          </w:p>
          <w:p w:rsidR="00504652" w:rsidRPr="00504652" w:rsidRDefault="00504652" w:rsidP="00504652">
            <w:pPr>
              <w:spacing w:after="0" w:line="360" w:lineRule="auto"/>
              <w:jc w:val="both"/>
              <w:rPr>
                <w:rFonts w:ascii="Arial" w:eastAsia="Calibri" w:hAnsi="Arial" w:cs="Arial"/>
                <w:sz w:val="24"/>
                <w:szCs w:val="24"/>
                <w:u w:val="single"/>
              </w:rPr>
            </w:pPr>
          </w:p>
          <w:p w:rsidR="00504652" w:rsidRPr="006504C8" w:rsidRDefault="005E0660" w:rsidP="006504C8">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What law or regulation was applicable at the time of the death of the father of the plaintiff? What is the impact of the fact that the parents of the complainant were married in terms of customary law, if they were so married?  How does that affect the case of the plaintiff?</w:t>
            </w:r>
          </w:p>
          <w:p w:rsidR="00504652" w:rsidRDefault="005E0660" w:rsidP="009363C3">
            <w:pPr>
              <w:spacing w:after="0" w:line="360" w:lineRule="auto"/>
              <w:jc w:val="both"/>
              <w:rPr>
                <w:rFonts w:ascii="Arial" w:eastAsia="Calibri" w:hAnsi="Arial" w:cs="Arial"/>
                <w:sz w:val="24"/>
                <w:szCs w:val="24"/>
                <w:u w:val="single"/>
              </w:rPr>
            </w:pPr>
            <w:r w:rsidRPr="00504652">
              <w:rPr>
                <w:rFonts w:ascii="Arial" w:eastAsia="Calibri" w:hAnsi="Arial" w:cs="Arial"/>
                <w:sz w:val="24"/>
                <w:szCs w:val="24"/>
                <w:u w:val="single"/>
              </w:rPr>
              <w:lastRenderedPageBreak/>
              <w:t>Legal considerations</w:t>
            </w:r>
          </w:p>
          <w:p w:rsidR="009363C3" w:rsidRPr="00504652" w:rsidRDefault="009363C3" w:rsidP="009363C3">
            <w:pPr>
              <w:spacing w:after="0" w:line="360" w:lineRule="auto"/>
              <w:jc w:val="both"/>
              <w:rPr>
                <w:rFonts w:ascii="Arial" w:eastAsia="Calibri" w:hAnsi="Arial" w:cs="Arial"/>
                <w:sz w:val="24"/>
                <w:szCs w:val="24"/>
                <w:u w:val="single"/>
              </w:rPr>
            </w:pPr>
          </w:p>
          <w:p w:rsidR="00504652" w:rsidRPr="00504652" w:rsidRDefault="005E0660" w:rsidP="000B1503">
            <w:pPr>
              <w:numPr>
                <w:ilvl w:val="0"/>
                <w:numId w:val="6"/>
              </w:numPr>
              <w:spacing w:before="100" w:beforeAutospacing="1" w:after="0"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In terms of the</w:t>
            </w:r>
            <w:r w:rsidRPr="00504652">
              <w:rPr>
                <w:rFonts w:ascii="Calibri" w:eastAsia="Calibri" w:hAnsi="Calibri" w:cs="Times New Roman"/>
              </w:rPr>
              <w:t xml:space="preserve"> </w:t>
            </w:r>
            <w:r w:rsidRPr="00504652">
              <w:rPr>
                <w:rFonts w:ascii="Arial" w:eastAsia="Calibri" w:hAnsi="Arial" w:cs="Arial"/>
                <w:sz w:val="24"/>
                <w:szCs w:val="24"/>
              </w:rPr>
              <w:t>Native A</w:t>
            </w:r>
            <w:r w:rsidR="00EB4BED">
              <w:rPr>
                <w:rFonts w:ascii="Arial" w:eastAsia="Calibri" w:hAnsi="Arial" w:cs="Arial"/>
                <w:sz w:val="24"/>
                <w:szCs w:val="24"/>
              </w:rPr>
              <w:t>dministration Proclamation</w:t>
            </w:r>
            <w:r w:rsidRPr="00504652">
              <w:rPr>
                <w:rFonts w:ascii="Arial" w:eastAsia="Calibri" w:hAnsi="Arial" w:cs="Arial"/>
                <w:sz w:val="24"/>
                <w:szCs w:val="24"/>
              </w:rPr>
              <w:t xml:space="preserve"> 15 of 1928 the following is said about succession:</w:t>
            </w:r>
          </w:p>
          <w:p w:rsidR="00504652" w:rsidRPr="00504652" w:rsidRDefault="00504652" w:rsidP="00504652">
            <w:pPr>
              <w:spacing w:after="0" w:line="360" w:lineRule="auto"/>
              <w:contextualSpacing/>
              <w:jc w:val="both"/>
              <w:rPr>
                <w:rFonts w:ascii="Arial" w:eastAsia="Calibri" w:hAnsi="Arial" w:cs="Arial"/>
                <w:sz w:val="24"/>
                <w:szCs w:val="24"/>
              </w:rPr>
            </w:pPr>
          </w:p>
          <w:p w:rsidR="00504652" w:rsidRPr="00504652" w:rsidRDefault="005E0660" w:rsidP="00504652">
            <w:pPr>
              <w:spacing w:line="360" w:lineRule="auto"/>
              <w:ind w:firstLine="720"/>
              <w:jc w:val="both"/>
              <w:rPr>
                <w:rFonts w:ascii="Arial" w:eastAsia="Calibri" w:hAnsi="Arial" w:cs="Arial"/>
              </w:rPr>
            </w:pPr>
            <w:r w:rsidRPr="00504652">
              <w:rPr>
                <w:rFonts w:ascii="Arial" w:eastAsia="Calibri" w:hAnsi="Arial" w:cs="Arial"/>
              </w:rPr>
              <w:t>‘18. Succession</w:t>
            </w:r>
          </w:p>
          <w:p w:rsidR="00504652" w:rsidRPr="00504652" w:rsidRDefault="005E0660" w:rsidP="00504652">
            <w:pPr>
              <w:spacing w:line="360" w:lineRule="auto"/>
              <w:jc w:val="both"/>
              <w:rPr>
                <w:rFonts w:ascii="Arial" w:eastAsia="Calibri" w:hAnsi="Arial" w:cs="Arial"/>
              </w:rPr>
            </w:pPr>
            <w:r w:rsidRPr="00504652">
              <w:rPr>
                <w:rFonts w:ascii="Arial" w:eastAsia="Calibri" w:hAnsi="Arial" w:cs="Arial"/>
              </w:rPr>
              <w:t>(1)</w:t>
            </w:r>
            <w:r w:rsidRPr="00504652">
              <w:rPr>
                <w:rFonts w:ascii="Arial" w:eastAsia="Calibri" w:hAnsi="Arial" w:cs="Arial"/>
              </w:rPr>
              <w:tab/>
              <w:t>All movable property belonging to a Native and allotted by him or accruing under native law or custom to any woman with whom he lived in a customary union, or to any house, shall upon his death devolve and be administered under native law and custom.</w:t>
            </w:r>
          </w:p>
          <w:p w:rsidR="000B1503" w:rsidRDefault="005E0660" w:rsidP="000B1503">
            <w:pPr>
              <w:spacing w:after="0" w:line="360" w:lineRule="auto"/>
              <w:jc w:val="both"/>
              <w:rPr>
                <w:rFonts w:ascii="Arial" w:eastAsia="Calibri" w:hAnsi="Arial" w:cs="Arial"/>
              </w:rPr>
            </w:pPr>
            <w:r w:rsidRPr="00504652">
              <w:rPr>
                <w:rFonts w:ascii="Arial" w:eastAsia="Calibri" w:hAnsi="Arial" w:cs="Arial"/>
              </w:rPr>
              <w:t>(2)</w:t>
            </w:r>
            <w:r w:rsidRPr="00504652">
              <w:rPr>
                <w:rFonts w:ascii="Arial" w:eastAsia="Calibri" w:hAnsi="Arial" w:cs="Arial"/>
              </w:rPr>
              <w:tab/>
              <w:t>All other property of whatsoever kind belonging to a Native shall be capable of being devised by will. Any such property not so devised shall devolve and be administered according to native law and custom.’</w:t>
            </w:r>
          </w:p>
          <w:p w:rsidR="000B1503" w:rsidRPr="00504652" w:rsidRDefault="000B1503" w:rsidP="000B1503">
            <w:pPr>
              <w:spacing w:after="0" w:line="360" w:lineRule="auto"/>
              <w:jc w:val="both"/>
              <w:rPr>
                <w:rFonts w:ascii="Arial" w:eastAsia="Calibri" w:hAnsi="Arial" w:cs="Arial"/>
              </w:rPr>
            </w:pPr>
          </w:p>
          <w:p w:rsidR="00504652" w:rsidRDefault="005E0660" w:rsidP="000B1503">
            <w:pPr>
              <w:numPr>
                <w:ilvl w:val="0"/>
                <w:numId w:val="6"/>
              </w:numPr>
              <w:spacing w:before="100" w:beforeAutospacing="1" w:after="0"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 xml:space="preserve">In the matter of </w:t>
            </w:r>
            <w:r w:rsidRPr="00504652">
              <w:rPr>
                <w:rFonts w:ascii="Arial" w:eastAsia="Calibri" w:hAnsi="Arial" w:cs="Arial"/>
                <w:i/>
                <w:sz w:val="24"/>
                <w:szCs w:val="24"/>
              </w:rPr>
              <w:t>Gabriel v Nehemia</w:t>
            </w:r>
            <w:r w:rsidRPr="00504652">
              <w:rPr>
                <w:rFonts w:ascii="Arial" w:eastAsia="Calibri" w:hAnsi="Arial" w:cs="Arial"/>
                <w:sz w:val="24"/>
                <w:szCs w:val="24"/>
              </w:rPr>
              <w:t xml:space="preserve"> (HC-MD-CIV-MOT-GEN-2018/00367) [2019] NAHCMD 564 (6 December 2019), the factual matrix was summarized by Deputy Judge President, Angula DJP as follows:</w:t>
            </w:r>
          </w:p>
          <w:p w:rsidR="00504652" w:rsidRPr="00504652" w:rsidRDefault="00504652" w:rsidP="000B1503">
            <w:pPr>
              <w:spacing w:before="100" w:beforeAutospacing="1" w:after="100" w:afterAutospacing="1" w:line="360" w:lineRule="auto"/>
              <w:contextualSpacing/>
              <w:jc w:val="both"/>
              <w:rPr>
                <w:rFonts w:ascii="Arial" w:eastAsia="Calibri" w:hAnsi="Arial" w:cs="Arial"/>
                <w:sz w:val="24"/>
                <w:szCs w:val="24"/>
              </w:rPr>
            </w:pPr>
          </w:p>
          <w:p w:rsidR="00504652" w:rsidRPr="00504652" w:rsidRDefault="005E0660" w:rsidP="00504652">
            <w:pPr>
              <w:spacing w:line="360" w:lineRule="auto"/>
              <w:ind w:firstLine="720"/>
              <w:jc w:val="both"/>
              <w:rPr>
                <w:rFonts w:ascii="Arial" w:eastAsia="Calibri" w:hAnsi="Arial" w:cs="Arial"/>
                <w:lang w:val="en-GB"/>
              </w:rPr>
            </w:pPr>
            <w:r>
              <w:rPr>
                <w:rFonts w:ascii="Arial" w:eastAsia="Calibri" w:hAnsi="Arial" w:cs="Arial"/>
                <w:lang w:val="en-GB"/>
              </w:rPr>
              <w:t>‘</w:t>
            </w:r>
            <w:r w:rsidRPr="00504652">
              <w:rPr>
                <w:rFonts w:ascii="Arial" w:eastAsia="Calibri" w:hAnsi="Arial" w:cs="Arial"/>
                <w:lang w:val="en-GB"/>
              </w:rPr>
              <w:t>[36] It is common cause that the deceased as well as the parties to the present proceedings are black persons. It is further common cause that the deceased and the respondent were married out of community of property. As outlined herein before, when I dealt with the historically statutory provisions of intestate succession amongst various ethnic groups in Namibia, it emerged that intestate succession in respect of black persons has been regulated by the provisions of the Native Administration Proclamation, 1928. My finding is that the provisions of the Intestate Succession Ordinance, 1946, never regulated intestate succession in respect of black persons, but only regulated and still regulates interstate succession in respect of white persons.</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t>[37] It is argued on behalf of the respondent that since sections 18(1), (2), (9) and (10) of the Native Administration Proclamtion,1928 and the Regulations published in GN 70 of 1954 have been repealed, the statutes regulating the intestate succession of the deceased’s estate in the present matter are the Intestate Succession Ordinance, 1946 and the Intestate Succession Amendment Act, 2005</w:t>
            </w:r>
            <w:r w:rsidRPr="00504652">
              <w:rPr>
                <w:rFonts w:ascii="Arial" w:eastAsia="Calibri" w:hAnsi="Arial" w:cs="Arial"/>
                <w:i/>
                <w:iCs/>
                <w:lang w:val="en-GB"/>
              </w:rPr>
              <w:t>.</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t>[38] The respondent’s argument is premised on the incorrect reading of the Intestate Succession Amendment Act, 2005 in that, that Act did not repeal the Regulations promulgated in Government Notice 70 of 1954. This is because subsection 1 of section 1 the Act reads: ‘Section 18 of the Native Administration Proclamation, 1928 is amended by the repeal of subsections (1), (2), (9) and (10).’ No mention is made of the Regulation published in GN 70 1954 having been repealed. As a matter of fact, the said Regulations are still on the statute book.</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lastRenderedPageBreak/>
              <w:t>[39] It is further clear, in my view, from the reading of section 2 of the Intestate Succession Amendment Act, 2005 that Act retained and did not repeal the rules of intestate succession in respect of estates of black persons. In this connection section 2 reads:</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t>‘Despite the repeal of the provisions referred to in subsection (1), the rules of intestate succession that applied by virtue of those provisions before the date of their repeal continue to be of force in relation to persons to whom the relevant rules would have been applicable had the said provisions not been repealed’.</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t>[40] It follows therefore, in my view, that from the reading of the provisions of section 2 of the Intestate Succession Amendment Act, 2005, the intestate succession Regulations which apply to intestate succession estates of deceased black persons, are still applicable.</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t>[41] There is a further reason why the argument advanced on behalf of the first respondent cannot be sustained. This is: the Estates and Succession Amendment Act, 2005 which repealed subsections (1), (2), (9) and (10) of the Native Administration Proclamation, 1928, did not stipulate that since those provisions have been repealed, the provisions of the Intestate Succession Ordinance, 1946 will hence forth apply to all intestate successions in the Republic. It thus fair to conclude that had the Legislature intended that the provisions of the Intestate Succession Ordinance,1946 would apply to the estates of black persons following the repeal of the aforesaid subsection of the Native Administration Proclamation,1928, it would have said so in clear and precise language. As matters stand, the first respondent’s argument that the provisions of the Intestate Succession Ordinance, 1946 apply to the deceased estates of all persons in the Republic and thus to the estates of the deceased in the present matter, is not supported by any evidence or law. It is baseless and is liable to be rejected. I proceed to apply the intestate succession rules published in GN 70 of 1954 to the facts of the present matter.</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t>[42] As regards the provisions of regulation 2</w:t>
            </w:r>
            <w:r w:rsidRPr="00504652">
              <w:rPr>
                <w:rFonts w:ascii="Arial" w:eastAsia="Calibri" w:hAnsi="Arial" w:cs="Arial"/>
                <w:i/>
                <w:iCs/>
                <w:lang w:val="en-GB"/>
              </w:rPr>
              <w:t>(a)(i)</w:t>
            </w:r>
            <w:r w:rsidRPr="00504652">
              <w:rPr>
                <w:rFonts w:ascii="Arial" w:eastAsia="Calibri" w:hAnsi="Arial" w:cs="Arial"/>
                <w:lang w:val="en-GB"/>
              </w:rPr>
              <w:t> of the regulation published in GN 70 of 1954, it is common cause that the deceased, at the time of his death was not a partner in a marriage in community of property or under ante-nuptial contract. Section 17(6) of the Native Administration Proclamation, 1928, provides that the marriage between black persons solemnised north of the Police Zone is automatically out of community of property. The deceased and the respondent were married at Engela in the Ohangwena Region, which is situated north of the Police Zone. This regulation 2</w:t>
            </w:r>
            <w:r w:rsidRPr="00504652">
              <w:rPr>
                <w:rFonts w:ascii="Arial" w:eastAsia="Calibri" w:hAnsi="Arial" w:cs="Arial"/>
                <w:i/>
                <w:iCs/>
                <w:lang w:val="en-GB"/>
              </w:rPr>
              <w:t>(a)(i)</w:t>
            </w:r>
            <w:r w:rsidRPr="00504652">
              <w:rPr>
                <w:rFonts w:ascii="Arial" w:eastAsia="Calibri" w:hAnsi="Arial" w:cs="Arial"/>
                <w:lang w:val="en-GB"/>
              </w:rPr>
              <w:t> therefore does not apply to the present matter.</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t>[43] As far as the provisions of regulation 2</w:t>
            </w:r>
            <w:r w:rsidRPr="00504652">
              <w:rPr>
                <w:rFonts w:ascii="Arial" w:eastAsia="Calibri" w:hAnsi="Arial" w:cs="Arial"/>
                <w:i/>
                <w:iCs/>
                <w:lang w:val="en-GB"/>
              </w:rPr>
              <w:t>(a)(ii)</w:t>
            </w:r>
            <w:r w:rsidRPr="00504652">
              <w:rPr>
                <w:rFonts w:ascii="Arial" w:eastAsia="Calibri" w:hAnsi="Arial" w:cs="Arial"/>
                <w:lang w:val="en-GB"/>
              </w:rPr>
              <w:t> are concerned, it is common cause that the deceased was not at the time of his death a widower or divorcee, of a marriage in community of property or under an ante-nuptial contract and was not survived by a partner to a customary union entered into subsequent to such marriage. Accordingly, his estate cannot devolve as if he were a white person and thus the provisions of the Intestate Succession Ordinance, 1946 do not apply to the deceased’s estate in the present matter.</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lastRenderedPageBreak/>
              <w:t>[44] Lastly, as regards the provisions of regulation 2</w:t>
            </w:r>
            <w:r w:rsidRPr="00504652">
              <w:rPr>
                <w:rFonts w:ascii="Arial" w:eastAsia="Calibri" w:hAnsi="Arial" w:cs="Arial"/>
                <w:i/>
                <w:iCs/>
                <w:lang w:val="en-GB"/>
              </w:rPr>
              <w:t>(b)</w:t>
            </w:r>
            <w:r w:rsidRPr="00504652">
              <w:rPr>
                <w:rFonts w:ascii="Arial" w:eastAsia="Calibri" w:hAnsi="Arial" w:cs="Arial"/>
                <w:lang w:val="en-GB"/>
              </w:rPr>
              <w:t> it is common cause that the deceased does not fall in any of the classes stipulated in regulation 1</w:t>
            </w:r>
            <w:r w:rsidRPr="00504652">
              <w:rPr>
                <w:rFonts w:ascii="Arial" w:eastAsia="Calibri" w:hAnsi="Arial" w:cs="Arial"/>
                <w:i/>
                <w:iCs/>
                <w:lang w:val="en-GB"/>
              </w:rPr>
              <w:t>(i)</w:t>
            </w:r>
            <w:r w:rsidRPr="00504652">
              <w:rPr>
                <w:rFonts w:ascii="Arial" w:eastAsia="Calibri" w:hAnsi="Arial" w:cs="Arial"/>
                <w:lang w:val="en-GB"/>
              </w:rPr>
              <w:t> or </w:t>
            </w:r>
            <w:r w:rsidRPr="00504652">
              <w:rPr>
                <w:rFonts w:ascii="Arial" w:eastAsia="Calibri" w:hAnsi="Arial" w:cs="Arial"/>
                <w:i/>
                <w:iCs/>
                <w:lang w:val="en-GB"/>
              </w:rPr>
              <w:t>(ii)</w:t>
            </w:r>
            <w:r w:rsidRPr="00504652">
              <w:rPr>
                <w:rFonts w:ascii="Arial" w:eastAsia="Calibri" w:hAnsi="Arial" w:cs="Arial"/>
                <w:lang w:val="en-GB"/>
              </w:rPr>
              <w:t>. It follows therefore that the deceased estate ‘shall be distributed according to native law and custom’ as per regulation 2</w:t>
            </w:r>
            <w:r w:rsidRPr="00504652">
              <w:rPr>
                <w:rFonts w:ascii="Arial" w:eastAsia="Calibri" w:hAnsi="Arial" w:cs="Arial"/>
                <w:i/>
                <w:iCs/>
                <w:lang w:val="en-GB"/>
              </w:rPr>
              <w:t>(b)</w:t>
            </w:r>
            <w:r w:rsidRPr="00504652">
              <w:rPr>
                <w:rFonts w:ascii="Arial" w:eastAsia="Calibri" w:hAnsi="Arial" w:cs="Arial"/>
                <w:lang w:val="en-GB"/>
              </w:rPr>
              <w:t>.</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t>[45] In the light of the conclusion I have arrived at, as regard to applicable law, it follows as a matter of law that the estate of the deceased is to be administered and distributed according to customary law as stipulated by regulation 2</w:t>
            </w:r>
            <w:r w:rsidRPr="00504652">
              <w:rPr>
                <w:rFonts w:ascii="Arial" w:eastAsia="Calibri" w:hAnsi="Arial" w:cs="Arial"/>
                <w:i/>
                <w:iCs/>
                <w:lang w:val="en-GB"/>
              </w:rPr>
              <w:t>(b)</w:t>
            </w:r>
            <w:r w:rsidRPr="00504652">
              <w:rPr>
                <w:rFonts w:ascii="Arial" w:eastAsia="Calibri" w:hAnsi="Arial" w:cs="Arial"/>
                <w:lang w:val="en-GB"/>
              </w:rPr>
              <w:t> of the Regulations published in GN 70 of 1954. I proceed to consider the respondent’s alternative argument.</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t>[46] The respondent argues, in the alternative, that if it is found by this Court, that the provisions of the Intestate Succession Ordinance, 1946 are not applicable to the deceased’s estate in the present matter, then in that event, it is submitted, the applicant has failed to provide a </w:t>
            </w:r>
            <w:r w:rsidRPr="00504652">
              <w:rPr>
                <w:rFonts w:ascii="Arial" w:eastAsia="Calibri" w:hAnsi="Arial" w:cs="Arial"/>
                <w:i/>
                <w:iCs/>
                <w:lang w:val="en-GB"/>
              </w:rPr>
              <w:t>prima facie</w:t>
            </w:r>
            <w:r w:rsidRPr="00504652">
              <w:rPr>
                <w:rFonts w:ascii="Arial" w:eastAsia="Calibri" w:hAnsi="Arial" w:cs="Arial"/>
                <w:lang w:val="en-GB"/>
              </w:rPr>
              <w:t> proof of the inheritance lineage of his family.</w:t>
            </w:r>
          </w:p>
          <w:p w:rsidR="00504652" w:rsidRPr="00504652" w:rsidRDefault="005E0660" w:rsidP="00504652">
            <w:pPr>
              <w:spacing w:line="360" w:lineRule="auto"/>
              <w:jc w:val="both"/>
              <w:rPr>
                <w:rFonts w:ascii="Arial" w:eastAsia="Calibri" w:hAnsi="Arial" w:cs="Arial"/>
                <w:lang w:val="en-GB"/>
              </w:rPr>
            </w:pPr>
            <w:bookmarkStart w:id="1" w:name="sdfootnote11anc"/>
            <w:r>
              <w:rPr>
                <w:rFonts w:ascii="Arial" w:eastAsia="Calibri" w:hAnsi="Arial" w:cs="Arial"/>
                <w:lang w:val="en-GB"/>
              </w:rPr>
              <w:t>[47] Professor Amoo in his book</w:t>
            </w:r>
            <w:r>
              <w:rPr>
                <w:rStyle w:val="FootnoteReference"/>
                <w:rFonts w:ascii="Arial" w:eastAsia="Calibri" w:hAnsi="Arial" w:cs="Arial"/>
                <w:lang w:val="en-GB"/>
              </w:rPr>
              <w:footnoteReference w:id="2"/>
            </w:r>
            <w:r>
              <w:rPr>
                <w:rFonts w:ascii="Arial" w:eastAsia="Calibri" w:hAnsi="Arial" w:cs="Arial"/>
                <w:lang w:val="en-GB"/>
              </w:rPr>
              <w:t xml:space="preserve"> </w:t>
            </w:r>
            <w:bookmarkEnd w:id="1"/>
            <w:r w:rsidRPr="00504652">
              <w:rPr>
                <w:rFonts w:ascii="Arial" w:eastAsia="Calibri" w:hAnsi="Arial" w:cs="Arial"/>
                <w:i/>
                <w:iCs/>
                <w:lang w:val="en-GB"/>
              </w:rPr>
              <w:t>Property Law in Namibia</w:t>
            </w:r>
            <w:r w:rsidRPr="00504652">
              <w:rPr>
                <w:rFonts w:ascii="Arial" w:eastAsia="Calibri" w:hAnsi="Arial" w:cs="Arial"/>
                <w:lang w:val="en-GB"/>
              </w:rPr>
              <w:t>, correctly, in my view, points out that the customary rules on intestate succession are different from community to community, depending on whether a particular community follows a matrilineal or patrilineal system of succession. It follows therefore that with regard to immovable property, the rights of a widow of such marriage will be determined by the relevant customary law.</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t>[48] It is a matter of record and general knowledge that the Ovambo community, to which the parties in this matter belong, follows a matrilineal system. Historian Martti Eirola, a Finnish missionary who was born and bred in what was then Ovamboland states in his book, </w:t>
            </w:r>
            <w:r w:rsidRPr="00504652">
              <w:rPr>
                <w:rFonts w:ascii="Arial" w:eastAsia="Calibri" w:hAnsi="Arial" w:cs="Arial"/>
                <w:i/>
                <w:iCs/>
                <w:lang w:val="en-GB"/>
              </w:rPr>
              <w:t>The Ovambogefahr; the Owamboland Reservation in the Making (1992</w:t>
            </w:r>
            <w:r w:rsidRPr="00504652">
              <w:rPr>
                <w:rFonts w:ascii="Arial" w:eastAsia="Calibri" w:hAnsi="Arial" w:cs="Arial"/>
                <w:lang w:val="en-GB"/>
              </w:rPr>
              <w:t>) about the intestate succession amongst the Ovambo traditional community at page 41 as follows:</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t>‘There</w:t>
            </w:r>
            <w:r w:rsidRPr="00504652">
              <w:rPr>
                <w:rFonts w:ascii="Arial" w:eastAsia="Calibri" w:hAnsi="Arial" w:cs="Arial"/>
                <w:i/>
                <w:iCs/>
                <w:lang w:val="en-GB"/>
              </w:rPr>
              <w:t xml:space="preserve"> was no common property within the household, but everything was divided between the master, his wives and his fully-grown children. When a man died, </w:t>
            </w:r>
            <w:r w:rsidRPr="00504652">
              <w:rPr>
                <w:rFonts w:ascii="Arial" w:eastAsia="Calibri" w:hAnsi="Arial" w:cs="Arial"/>
                <w:i/>
                <w:iCs/>
                <w:u w:val="single"/>
                <w:lang w:val="en-GB"/>
              </w:rPr>
              <w:t>his wives and children inherited nothing from him,</w:t>
            </w:r>
            <w:r w:rsidRPr="00504652">
              <w:rPr>
                <w:rFonts w:ascii="Arial" w:eastAsia="Calibri" w:hAnsi="Arial" w:cs="Arial"/>
                <w:i/>
                <w:iCs/>
                <w:lang w:val="en-GB"/>
              </w:rPr>
              <w:t xml:space="preserve"> but the property returned matrilineally to his clan. Correspondingly, a man has no right to his wife’s property, as it belonged to her clan</w:t>
            </w:r>
            <w:r w:rsidRPr="00504652">
              <w:rPr>
                <w:rFonts w:ascii="Arial" w:eastAsia="Calibri" w:hAnsi="Arial" w:cs="Arial"/>
                <w:lang w:val="en-GB"/>
              </w:rPr>
              <w:t>.’</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t xml:space="preserve"> [49] In my view the facts of the present matter support what Eirola says in his book. This is demonstrated by the fact that the property was allocated by the family members to the deceased’s mother and not to the deceased paternal uncles. This fact is further demonstrated by the fact that before the deceased’s mother died it was agreed between the applicant and the deceased’s mother and the members of the family of the applicant that the applicant, as a maternal cousin to the deceased, would inherit the property.</w:t>
            </w:r>
          </w:p>
          <w:p w:rsidR="00504652" w:rsidRPr="00504652" w:rsidRDefault="005E0660" w:rsidP="00504652">
            <w:pPr>
              <w:spacing w:line="360" w:lineRule="auto"/>
              <w:jc w:val="both"/>
              <w:rPr>
                <w:rFonts w:ascii="Arial" w:eastAsia="Calibri" w:hAnsi="Arial" w:cs="Arial"/>
                <w:lang w:val="en-GB"/>
              </w:rPr>
            </w:pPr>
            <w:r w:rsidRPr="00504652">
              <w:rPr>
                <w:rFonts w:ascii="Arial" w:eastAsia="Calibri" w:hAnsi="Arial" w:cs="Arial"/>
                <w:lang w:val="en-GB"/>
              </w:rPr>
              <w:t xml:space="preserve">[50] I have therefore arrived at the conclusion that there is sufficient evidence before this Court which proves that the applicant’s family lineage follows the matrilineal rules of inheritance. The respondent not </w:t>
            </w:r>
            <w:r w:rsidRPr="00504652">
              <w:rPr>
                <w:rFonts w:ascii="Arial" w:eastAsia="Calibri" w:hAnsi="Arial" w:cs="Arial"/>
                <w:lang w:val="en-GB"/>
              </w:rPr>
              <w:lastRenderedPageBreak/>
              <w:t xml:space="preserve">being related to the deceased in any degree of consanguinity, as Eirola states, in terms of the rules of intestate succession of the Ovambo, has no right to inherit from her deceased husband.’ </w:t>
            </w:r>
          </w:p>
          <w:p w:rsidR="00504652" w:rsidRDefault="005E0660" w:rsidP="000B1503">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Pr>
                <w:rFonts w:ascii="Arial" w:eastAsia="Calibri" w:hAnsi="Arial" w:cs="Arial"/>
                <w:sz w:val="24"/>
                <w:szCs w:val="24"/>
              </w:rPr>
              <w:t xml:space="preserve">In </w:t>
            </w:r>
            <w:r w:rsidRPr="00504652">
              <w:rPr>
                <w:rFonts w:ascii="Arial" w:eastAsia="Calibri" w:hAnsi="Arial" w:cs="Arial"/>
                <w:i/>
                <w:sz w:val="24"/>
                <w:szCs w:val="24"/>
              </w:rPr>
              <w:t>Kaputuaza v Executive Committee of the Administration for the Hereros</w:t>
            </w:r>
            <w:r>
              <w:rPr>
                <w:rFonts w:ascii="Arial" w:eastAsia="Calibri" w:hAnsi="Arial" w:cs="Arial"/>
                <w:i/>
                <w:sz w:val="24"/>
                <w:szCs w:val="24"/>
              </w:rPr>
              <w:t xml:space="preserve"> and Others</w:t>
            </w:r>
            <w:r>
              <w:rPr>
                <w:i/>
                <w:vertAlign w:val="superscript"/>
              </w:rPr>
              <w:footnoteReference w:id="3"/>
            </w:r>
            <w:r w:rsidRPr="00504652">
              <w:rPr>
                <w:rFonts w:ascii="Arial" w:eastAsia="Calibri" w:hAnsi="Arial" w:cs="Arial"/>
                <w:i/>
                <w:sz w:val="24"/>
                <w:szCs w:val="24"/>
              </w:rPr>
              <w:t xml:space="preserve"> </w:t>
            </w:r>
            <w:r w:rsidRPr="00504652">
              <w:rPr>
                <w:rFonts w:ascii="Arial" w:eastAsia="Calibri" w:hAnsi="Arial" w:cs="Arial"/>
                <w:sz w:val="24"/>
                <w:szCs w:val="24"/>
              </w:rPr>
              <w:t>wherein the court, dealing with the admissibility of native customs, stated as follows:</w:t>
            </w:r>
          </w:p>
          <w:p w:rsidR="00504652" w:rsidRPr="00504652" w:rsidRDefault="00504652" w:rsidP="000B1503">
            <w:pPr>
              <w:spacing w:before="100" w:beforeAutospacing="1" w:after="100" w:afterAutospacing="1" w:line="360" w:lineRule="auto"/>
              <w:ind w:left="720"/>
              <w:contextualSpacing/>
              <w:jc w:val="both"/>
              <w:rPr>
                <w:rFonts w:ascii="Arial" w:eastAsia="Calibri" w:hAnsi="Arial" w:cs="Arial"/>
                <w:sz w:val="24"/>
                <w:szCs w:val="24"/>
              </w:rPr>
            </w:pPr>
          </w:p>
          <w:p w:rsidR="00504652" w:rsidRPr="00504652" w:rsidRDefault="005E0660" w:rsidP="00504652">
            <w:pPr>
              <w:spacing w:line="360" w:lineRule="auto"/>
              <w:ind w:firstLine="720"/>
              <w:jc w:val="both"/>
              <w:rPr>
                <w:rFonts w:ascii="Arial" w:eastAsia="Calibri" w:hAnsi="Arial" w:cs="Arial"/>
                <w:sz w:val="24"/>
                <w:szCs w:val="24"/>
              </w:rPr>
            </w:pPr>
            <w:r w:rsidRPr="00504652">
              <w:rPr>
                <w:rFonts w:ascii="Arial" w:eastAsia="Calibri" w:hAnsi="Arial" w:cs="Arial"/>
              </w:rPr>
              <w:t>‘Evidence was tendered concerning the alleged Herero customary law and considerable time was spent in canvassing this issue and questioning the qualifications of the persons who tendered the evidence. Mr Botha contented that customary law should be proved by qualified experts in the same manner as foreign law. It seems to me, however, that in so far as Herero customary law might be applicable, such law is part of the law of South West Africa of which the Court can take judicial notice; consequently it need not be proved in the same manner as foreign law. In the process of taking such judicial cognisance this Court may inform itself from history books. (See the remarks of Fagan CJ in Consolidated Diamond Mines of South West Africa Ltd v Administrator, SWA, and Another 1958 (4) SA 572 (A) at 610A.)</w:t>
            </w:r>
            <w:r w:rsidR="00B910CF">
              <w:rPr>
                <w:rFonts w:ascii="Arial" w:eastAsia="Calibri" w:hAnsi="Arial" w:cs="Arial"/>
              </w:rPr>
              <w:t>.</w:t>
            </w:r>
            <w:r w:rsidRPr="00504652">
              <w:rPr>
                <w:rFonts w:ascii="Arial" w:eastAsia="Calibri" w:hAnsi="Arial" w:cs="Arial"/>
                <w:sz w:val="24"/>
                <w:szCs w:val="24"/>
              </w:rPr>
              <w:t>’</w:t>
            </w:r>
          </w:p>
          <w:p w:rsidR="00504652" w:rsidRPr="00504652" w:rsidRDefault="005E0660" w:rsidP="00504652">
            <w:pPr>
              <w:spacing w:after="0" w:line="360" w:lineRule="auto"/>
              <w:jc w:val="both"/>
              <w:rPr>
                <w:rFonts w:ascii="Arial" w:eastAsia="Calibri" w:hAnsi="Arial" w:cs="Arial"/>
                <w:sz w:val="24"/>
                <w:szCs w:val="24"/>
                <w:u w:val="single"/>
              </w:rPr>
            </w:pPr>
            <w:r w:rsidRPr="00504652">
              <w:rPr>
                <w:rFonts w:ascii="Arial" w:eastAsia="Calibri" w:hAnsi="Arial" w:cs="Arial"/>
                <w:sz w:val="24"/>
                <w:szCs w:val="24"/>
                <w:u w:val="single"/>
              </w:rPr>
              <w:t>Conclusion</w:t>
            </w:r>
          </w:p>
          <w:p w:rsidR="00504652" w:rsidRPr="00504652" w:rsidRDefault="00504652" w:rsidP="00504652">
            <w:pPr>
              <w:spacing w:after="0" w:line="360" w:lineRule="auto"/>
              <w:jc w:val="both"/>
              <w:rPr>
                <w:rFonts w:ascii="Arial" w:eastAsia="Calibri" w:hAnsi="Arial" w:cs="Arial"/>
                <w:sz w:val="24"/>
                <w:szCs w:val="24"/>
                <w:u w:val="single"/>
              </w:rPr>
            </w:pPr>
          </w:p>
          <w:p w:rsidR="00C74A25" w:rsidRDefault="005E0660" w:rsidP="00C74A25">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 xml:space="preserve">From the above, it is clear that the Ovambo follow the matrilineal rules of inheritance and as such the </w:t>
            </w:r>
            <w:r w:rsidR="00A831CB">
              <w:rPr>
                <w:rFonts w:ascii="Arial" w:eastAsia="Calibri" w:hAnsi="Arial" w:cs="Arial"/>
                <w:sz w:val="24"/>
                <w:szCs w:val="24"/>
              </w:rPr>
              <w:t xml:space="preserve">maternal </w:t>
            </w:r>
            <w:r w:rsidRPr="00504652">
              <w:rPr>
                <w:rFonts w:ascii="Arial" w:eastAsia="Calibri" w:hAnsi="Arial" w:cs="Arial"/>
                <w:sz w:val="24"/>
                <w:szCs w:val="24"/>
              </w:rPr>
              <w:t>family of the husband, although traditionally married, stands to be the parti</w:t>
            </w:r>
            <w:r w:rsidR="00062409">
              <w:rPr>
                <w:rFonts w:ascii="Arial" w:eastAsia="Calibri" w:hAnsi="Arial" w:cs="Arial"/>
                <w:sz w:val="24"/>
                <w:szCs w:val="24"/>
              </w:rPr>
              <w:t xml:space="preserve">es inheriting from the deceased. </w:t>
            </w:r>
            <w:r w:rsidRPr="00504652">
              <w:rPr>
                <w:rFonts w:ascii="Arial" w:eastAsia="Calibri" w:hAnsi="Arial" w:cs="Arial"/>
                <w:sz w:val="24"/>
                <w:szCs w:val="24"/>
              </w:rPr>
              <w:t xml:space="preserve">That is the default possession in law as per </w:t>
            </w:r>
            <w:r w:rsidRPr="00A831CB">
              <w:rPr>
                <w:rFonts w:ascii="Arial" w:eastAsia="Calibri" w:hAnsi="Arial" w:cs="Arial"/>
                <w:sz w:val="24"/>
                <w:szCs w:val="24"/>
              </w:rPr>
              <w:t xml:space="preserve">the </w:t>
            </w:r>
            <w:r w:rsidR="00A831CB" w:rsidRPr="00A831CB">
              <w:rPr>
                <w:rFonts w:ascii="Arial" w:eastAsia="Calibri" w:hAnsi="Arial" w:cs="Arial"/>
                <w:sz w:val="24"/>
                <w:szCs w:val="24"/>
              </w:rPr>
              <w:t>extract from Gabriel which was by the defendant</w:t>
            </w:r>
            <w:r w:rsidRPr="00A831CB">
              <w:rPr>
                <w:rFonts w:ascii="Arial" w:eastAsia="Calibri" w:hAnsi="Arial" w:cs="Arial"/>
                <w:sz w:val="24"/>
                <w:szCs w:val="24"/>
              </w:rPr>
              <w:t xml:space="preserve"> quoted.  No additional traditional law was proved by the parties.  This remains the default position.  In the arguments placed before the court, t</w:t>
            </w:r>
            <w:r w:rsidRPr="00504652">
              <w:rPr>
                <w:rFonts w:ascii="Arial" w:eastAsia="Calibri" w:hAnsi="Arial" w:cs="Arial"/>
                <w:sz w:val="24"/>
                <w:szCs w:val="24"/>
              </w:rPr>
              <w:t>here is no reason put forward for the position to change.   For that reason</w:t>
            </w:r>
            <w:r w:rsidR="00062409">
              <w:rPr>
                <w:rFonts w:ascii="Arial" w:eastAsia="Calibri" w:hAnsi="Arial" w:cs="Arial"/>
                <w:sz w:val="24"/>
                <w:szCs w:val="24"/>
              </w:rPr>
              <w:t>, it is the order of the C</w:t>
            </w:r>
            <w:r w:rsidRPr="00504652">
              <w:rPr>
                <w:rFonts w:ascii="Arial" w:eastAsia="Calibri" w:hAnsi="Arial" w:cs="Arial"/>
                <w:sz w:val="24"/>
                <w:szCs w:val="24"/>
              </w:rPr>
              <w:t>ourt that the first respondent was indeed the holder of the right to the house, and as such the second respondent remains the legal holder of the right to the property in Hakahana.</w:t>
            </w:r>
          </w:p>
          <w:p w:rsidR="0021431E" w:rsidRDefault="0021431E" w:rsidP="0021431E">
            <w:pPr>
              <w:spacing w:before="100" w:beforeAutospacing="1" w:after="100" w:afterAutospacing="1" w:line="360" w:lineRule="auto"/>
              <w:contextualSpacing/>
              <w:jc w:val="both"/>
              <w:rPr>
                <w:rFonts w:ascii="Arial" w:eastAsia="Calibri" w:hAnsi="Arial" w:cs="Arial"/>
                <w:sz w:val="24"/>
                <w:szCs w:val="24"/>
              </w:rPr>
            </w:pPr>
          </w:p>
          <w:p w:rsidR="00C74A25" w:rsidRDefault="005E0660" w:rsidP="00C74A25">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504652">
              <w:rPr>
                <w:rFonts w:ascii="Arial" w:eastAsia="Calibri" w:hAnsi="Arial" w:cs="Arial"/>
                <w:sz w:val="24"/>
                <w:szCs w:val="24"/>
              </w:rPr>
              <w:t>The claim is therefore dismissed with costs.</w:t>
            </w:r>
          </w:p>
          <w:p w:rsidR="00C74A25" w:rsidRDefault="00C74A25" w:rsidP="00C74A25">
            <w:pPr>
              <w:spacing w:before="100" w:beforeAutospacing="1" w:after="100" w:afterAutospacing="1" w:line="360" w:lineRule="auto"/>
              <w:contextualSpacing/>
              <w:jc w:val="both"/>
              <w:rPr>
                <w:rFonts w:ascii="Arial" w:eastAsia="Calibri" w:hAnsi="Arial" w:cs="Arial"/>
                <w:sz w:val="24"/>
                <w:szCs w:val="24"/>
              </w:rPr>
            </w:pPr>
          </w:p>
          <w:p w:rsidR="00C74A25" w:rsidRPr="00C74A25" w:rsidRDefault="005E0660" w:rsidP="00C74A25">
            <w:pPr>
              <w:numPr>
                <w:ilvl w:val="0"/>
                <w:numId w:val="6"/>
              </w:numPr>
              <w:spacing w:before="100" w:beforeAutospacing="1" w:after="100" w:afterAutospacing="1" w:line="360" w:lineRule="auto"/>
              <w:ind w:left="0" w:firstLine="0"/>
              <w:contextualSpacing/>
              <w:jc w:val="both"/>
              <w:rPr>
                <w:rFonts w:ascii="Arial" w:eastAsia="Calibri" w:hAnsi="Arial" w:cs="Arial"/>
                <w:sz w:val="24"/>
                <w:szCs w:val="24"/>
              </w:rPr>
            </w:pPr>
            <w:r w:rsidRPr="00C74A25">
              <w:rPr>
                <w:rFonts w:ascii="Arial" w:hAnsi="Arial" w:cs="Arial"/>
                <w:sz w:val="24"/>
                <w:szCs w:val="24"/>
              </w:rPr>
              <w:t>In the result, I make the following order:</w:t>
            </w:r>
          </w:p>
          <w:p w:rsidR="0021431E" w:rsidRDefault="005E0660" w:rsidP="0021431E">
            <w:pPr>
              <w:pStyle w:val="ListParagraph"/>
              <w:numPr>
                <w:ilvl w:val="0"/>
                <w:numId w:val="9"/>
              </w:numPr>
              <w:spacing w:line="360" w:lineRule="auto"/>
              <w:jc w:val="both"/>
              <w:rPr>
                <w:rFonts w:ascii="Arial" w:eastAsia="Calibri" w:hAnsi="Arial" w:cs="Arial"/>
                <w:sz w:val="24"/>
                <w:szCs w:val="24"/>
              </w:rPr>
            </w:pPr>
            <w:r w:rsidRPr="0021431E">
              <w:rPr>
                <w:rFonts w:ascii="Arial" w:eastAsia="Calibri" w:hAnsi="Arial" w:cs="Arial"/>
                <w:sz w:val="24"/>
                <w:szCs w:val="24"/>
              </w:rPr>
              <w:t>The claim is dismissed with costs, such costs to be on a party-party scale.</w:t>
            </w:r>
          </w:p>
          <w:p w:rsidR="00411DC4" w:rsidRPr="006504C8" w:rsidRDefault="005E0660" w:rsidP="006504C8">
            <w:pPr>
              <w:pStyle w:val="ListParagraph"/>
              <w:numPr>
                <w:ilvl w:val="0"/>
                <w:numId w:val="9"/>
              </w:numPr>
              <w:spacing w:line="360" w:lineRule="auto"/>
              <w:jc w:val="both"/>
              <w:rPr>
                <w:rFonts w:ascii="Arial" w:eastAsia="Calibri" w:hAnsi="Arial" w:cs="Arial"/>
                <w:sz w:val="24"/>
                <w:szCs w:val="24"/>
              </w:rPr>
            </w:pPr>
            <w:r w:rsidRPr="0021431E">
              <w:rPr>
                <w:rFonts w:ascii="Arial" w:eastAsia="Calibri" w:hAnsi="Arial" w:cs="Arial"/>
                <w:sz w:val="24"/>
                <w:szCs w:val="24"/>
              </w:rPr>
              <w:t>The matter is finalized and removed from the roll.</w:t>
            </w:r>
          </w:p>
        </w:tc>
      </w:tr>
      <w:tr w:rsidR="00751762" w:rsidTr="00974323">
        <w:trPr>
          <w:trHeight w:val="421"/>
        </w:trPr>
        <w:tc>
          <w:tcPr>
            <w:tcW w:w="5245" w:type="dxa"/>
            <w:tcBorders>
              <w:top w:val="single" w:sz="4" w:space="0" w:color="auto"/>
              <w:left w:val="single" w:sz="4" w:space="0" w:color="auto"/>
              <w:bottom w:val="single" w:sz="4" w:space="0" w:color="auto"/>
              <w:right w:val="single" w:sz="4" w:space="0" w:color="auto"/>
            </w:tcBorders>
            <w:hideMark/>
          </w:tcPr>
          <w:p w:rsidR="00411DC4" w:rsidRPr="000D0F54" w:rsidRDefault="005E0660" w:rsidP="00974323">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411DC4" w:rsidRPr="000D0F54" w:rsidRDefault="00411DC4" w:rsidP="00974323">
            <w:pPr>
              <w:spacing w:after="0" w:line="360" w:lineRule="auto"/>
              <w:jc w:val="center"/>
              <w:rPr>
                <w:rFonts w:ascii="Arial" w:hAnsi="Arial" w:cs="Arial"/>
                <w:sz w:val="24"/>
                <w:szCs w:val="24"/>
              </w:rPr>
            </w:pPr>
          </w:p>
          <w:p w:rsidR="00411DC4" w:rsidRPr="000D0F54" w:rsidRDefault="00411DC4" w:rsidP="00974323">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411DC4" w:rsidRPr="000D0F54" w:rsidRDefault="005E0660" w:rsidP="00974323">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751762" w:rsidTr="006504C8">
        <w:trPr>
          <w:trHeight w:val="745"/>
        </w:trPr>
        <w:tc>
          <w:tcPr>
            <w:tcW w:w="5245" w:type="dxa"/>
            <w:tcBorders>
              <w:top w:val="single" w:sz="4" w:space="0" w:color="auto"/>
              <w:left w:val="single" w:sz="4" w:space="0" w:color="auto"/>
              <w:bottom w:val="single" w:sz="4" w:space="0" w:color="auto"/>
              <w:right w:val="single" w:sz="4" w:space="0" w:color="auto"/>
            </w:tcBorders>
          </w:tcPr>
          <w:p w:rsidR="00411DC4" w:rsidRPr="000D0F54" w:rsidRDefault="005E0660" w:rsidP="00974323">
            <w:pPr>
              <w:spacing w:after="0" w:line="360" w:lineRule="auto"/>
              <w:jc w:val="center"/>
              <w:rPr>
                <w:rFonts w:ascii="Arial" w:hAnsi="Arial" w:cs="Arial"/>
                <w:sz w:val="24"/>
                <w:szCs w:val="24"/>
              </w:rPr>
            </w:pPr>
            <w:r>
              <w:rPr>
                <w:rFonts w:ascii="Arial" w:hAnsi="Arial" w:cs="Arial"/>
                <w:sz w:val="24"/>
                <w:szCs w:val="24"/>
              </w:rPr>
              <w:lastRenderedPageBreak/>
              <w:t xml:space="preserve">E </w:t>
            </w:r>
            <w:r w:rsidRPr="000D0F54">
              <w:rPr>
                <w:rFonts w:ascii="Arial" w:hAnsi="Arial" w:cs="Arial"/>
                <w:sz w:val="24"/>
                <w:szCs w:val="24"/>
              </w:rPr>
              <w:t xml:space="preserve"> </w:t>
            </w:r>
            <w:r>
              <w:rPr>
                <w:rFonts w:ascii="Arial" w:hAnsi="Arial" w:cs="Arial"/>
                <w:sz w:val="24"/>
                <w:szCs w:val="24"/>
              </w:rPr>
              <w:t>RAKOW</w:t>
            </w:r>
          </w:p>
          <w:p w:rsidR="00411DC4" w:rsidRPr="000D0F54" w:rsidRDefault="005E0660" w:rsidP="00974323">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411DC4" w:rsidRPr="000D0F54" w:rsidRDefault="005E0660" w:rsidP="00974323">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751762" w:rsidTr="00974323">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11DC4" w:rsidRPr="000D0F54" w:rsidRDefault="005E0660" w:rsidP="00974323">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751762" w:rsidTr="00974323">
        <w:trPr>
          <w:trHeight w:val="329"/>
        </w:trPr>
        <w:tc>
          <w:tcPr>
            <w:tcW w:w="5245" w:type="dxa"/>
            <w:tcBorders>
              <w:top w:val="single" w:sz="4" w:space="0" w:color="auto"/>
              <w:left w:val="single" w:sz="4" w:space="0" w:color="auto"/>
              <w:bottom w:val="single" w:sz="4" w:space="0" w:color="auto"/>
              <w:right w:val="single" w:sz="4" w:space="0" w:color="auto"/>
            </w:tcBorders>
            <w:hideMark/>
          </w:tcPr>
          <w:p w:rsidR="00411DC4" w:rsidRPr="000D0F54" w:rsidRDefault="005E0660" w:rsidP="00974323">
            <w:pPr>
              <w:spacing w:after="0" w:line="360" w:lineRule="auto"/>
              <w:jc w:val="center"/>
              <w:rPr>
                <w:rFonts w:ascii="Arial" w:hAnsi="Arial" w:cs="Arial"/>
                <w:b/>
                <w:sz w:val="24"/>
                <w:szCs w:val="24"/>
              </w:rPr>
            </w:pPr>
            <w:r w:rsidRPr="000D0F54">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411DC4" w:rsidRPr="000D0F54" w:rsidRDefault="005E0660" w:rsidP="00974323">
            <w:pPr>
              <w:spacing w:after="0" w:line="360" w:lineRule="auto"/>
              <w:jc w:val="center"/>
              <w:rPr>
                <w:rFonts w:ascii="Arial" w:hAnsi="Arial" w:cs="Arial"/>
                <w:b/>
                <w:sz w:val="24"/>
                <w:szCs w:val="24"/>
              </w:rPr>
            </w:pPr>
            <w:r>
              <w:rPr>
                <w:rFonts w:ascii="Arial" w:eastAsia="Times New Roman" w:hAnsi="Arial" w:cs="Arial"/>
                <w:b/>
                <w:sz w:val="24"/>
                <w:szCs w:val="24"/>
                <w:lang w:eastAsia="en-GB"/>
              </w:rPr>
              <w:t>1</w:t>
            </w:r>
            <w:r w:rsidRPr="009363C3">
              <w:rPr>
                <w:rFonts w:ascii="Arial" w:eastAsia="Times New Roman" w:hAnsi="Arial" w:cs="Arial"/>
                <w:b/>
                <w:sz w:val="24"/>
                <w:szCs w:val="24"/>
                <w:vertAlign w:val="superscript"/>
                <w:lang w:eastAsia="en-GB"/>
              </w:rPr>
              <w:t>st</w:t>
            </w:r>
            <w:r>
              <w:rPr>
                <w:rFonts w:ascii="Arial" w:eastAsia="Times New Roman" w:hAnsi="Arial" w:cs="Arial"/>
                <w:b/>
                <w:sz w:val="24"/>
                <w:szCs w:val="24"/>
                <w:lang w:eastAsia="en-GB"/>
              </w:rPr>
              <w:t xml:space="preserve"> and 2</w:t>
            </w:r>
            <w:r w:rsidRPr="009363C3">
              <w:rPr>
                <w:rFonts w:ascii="Arial" w:eastAsia="Times New Roman" w:hAnsi="Arial" w:cs="Arial"/>
                <w:b/>
                <w:sz w:val="24"/>
                <w:szCs w:val="24"/>
                <w:vertAlign w:val="superscript"/>
                <w:lang w:eastAsia="en-GB"/>
              </w:rPr>
              <w:t>nd</w:t>
            </w:r>
            <w:r>
              <w:rPr>
                <w:rFonts w:ascii="Arial" w:eastAsia="Times New Roman" w:hAnsi="Arial" w:cs="Arial"/>
                <w:b/>
                <w:sz w:val="24"/>
                <w:szCs w:val="24"/>
                <w:lang w:eastAsia="en-GB"/>
              </w:rPr>
              <w:t xml:space="preserve"> </w:t>
            </w:r>
            <w:r w:rsidRPr="000D0F54">
              <w:rPr>
                <w:rFonts w:ascii="Arial" w:eastAsia="Times New Roman" w:hAnsi="Arial" w:cs="Arial"/>
                <w:b/>
                <w:sz w:val="24"/>
                <w:szCs w:val="24"/>
                <w:lang w:eastAsia="en-GB"/>
              </w:rPr>
              <w:t>Defendant</w:t>
            </w:r>
            <w:r w:rsidRPr="000D0F54">
              <w:rPr>
                <w:rFonts w:ascii="Arial" w:eastAsia="Times New Roman" w:hAnsi="Arial" w:cs="Arial"/>
                <w:sz w:val="24"/>
                <w:szCs w:val="24"/>
                <w:lang w:eastAsia="en-GB"/>
              </w:rPr>
              <w:t>:</w:t>
            </w:r>
          </w:p>
        </w:tc>
      </w:tr>
      <w:tr w:rsidR="00751762" w:rsidTr="00974323">
        <w:trPr>
          <w:trHeight w:val="590"/>
        </w:trPr>
        <w:tc>
          <w:tcPr>
            <w:tcW w:w="5245" w:type="dxa"/>
            <w:tcBorders>
              <w:top w:val="single" w:sz="4" w:space="0" w:color="auto"/>
              <w:left w:val="single" w:sz="4" w:space="0" w:color="auto"/>
              <w:bottom w:val="single" w:sz="4" w:space="0" w:color="auto"/>
              <w:right w:val="single" w:sz="4" w:space="0" w:color="auto"/>
            </w:tcBorders>
          </w:tcPr>
          <w:p w:rsidR="00E2243C" w:rsidRDefault="005E0660" w:rsidP="000B1503">
            <w:pPr>
              <w:autoSpaceDE w:val="0"/>
              <w:autoSpaceDN w:val="0"/>
              <w:adjustRightInd w:val="0"/>
              <w:spacing w:after="0" w:line="360" w:lineRule="auto"/>
              <w:ind w:hanging="11"/>
              <w:jc w:val="center"/>
              <w:rPr>
                <w:rFonts w:ascii="Arial" w:hAnsi="Arial" w:cs="Arial"/>
                <w:sz w:val="24"/>
                <w:szCs w:val="24"/>
              </w:rPr>
            </w:pPr>
            <w:r w:rsidRPr="001F4536">
              <w:rPr>
                <w:rFonts w:ascii="Arial" w:hAnsi="Arial" w:cs="Arial"/>
                <w:sz w:val="24"/>
                <w:szCs w:val="24"/>
              </w:rPr>
              <w:t>K Amoomo</w:t>
            </w:r>
          </w:p>
          <w:p w:rsidR="00411DC4" w:rsidRPr="00317404" w:rsidRDefault="005E0660" w:rsidP="006504C8">
            <w:pPr>
              <w:autoSpaceDE w:val="0"/>
              <w:autoSpaceDN w:val="0"/>
              <w:adjustRightInd w:val="0"/>
              <w:spacing w:after="0" w:line="360" w:lineRule="auto"/>
              <w:ind w:hanging="11"/>
              <w:jc w:val="center"/>
              <w:rPr>
                <w:rFonts w:ascii="Arial" w:eastAsia="Times New Roman" w:hAnsi="Arial" w:cs="Arial"/>
                <w:sz w:val="24"/>
                <w:szCs w:val="24"/>
                <w:lang w:eastAsia="en-GB"/>
              </w:rPr>
            </w:pPr>
            <w:r>
              <w:rPr>
                <w:rFonts w:ascii="Arial" w:hAnsi="Arial" w:cs="Arial"/>
                <w:sz w:val="24"/>
                <w:szCs w:val="24"/>
              </w:rPr>
              <w:t xml:space="preserve">Of </w:t>
            </w:r>
            <w:r w:rsidRPr="001F4536">
              <w:rPr>
                <w:rFonts w:ascii="Arial" w:hAnsi="Arial" w:cs="Arial"/>
                <w:sz w:val="24"/>
                <w:szCs w:val="24"/>
              </w:rPr>
              <w:t>Kadhila Amoomo Legal Practitioners, Windhoek</w:t>
            </w:r>
          </w:p>
        </w:tc>
        <w:tc>
          <w:tcPr>
            <w:tcW w:w="5245" w:type="dxa"/>
            <w:gridSpan w:val="2"/>
            <w:tcBorders>
              <w:top w:val="single" w:sz="4" w:space="0" w:color="auto"/>
              <w:left w:val="single" w:sz="4" w:space="0" w:color="auto"/>
              <w:bottom w:val="single" w:sz="4" w:space="0" w:color="auto"/>
              <w:right w:val="single" w:sz="4" w:space="0" w:color="auto"/>
            </w:tcBorders>
          </w:tcPr>
          <w:p w:rsidR="00E2243C" w:rsidRDefault="005E0660" w:rsidP="000B1503">
            <w:pPr>
              <w:autoSpaceDE w:val="0"/>
              <w:autoSpaceDN w:val="0"/>
              <w:adjustRightInd w:val="0"/>
              <w:spacing w:after="0" w:line="360" w:lineRule="auto"/>
              <w:ind w:left="1418" w:hanging="1560"/>
              <w:jc w:val="center"/>
              <w:rPr>
                <w:rFonts w:ascii="Arial" w:hAnsi="Arial" w:cs="Arial"/>
                <w:sz w:val="24"/>
                <w:szCs w:val="24"/>
              </w:rPr>
            </w:pPr>
            <w:r w:rsidRPr="001F4536">
              <w:rPr>
                <w:rFonts w:ascii="Arial" w:hAnsi="Arial" w:cs="Arial"/>
                <w:sz w:val="24"/>
                <w:szCs w:val="24"/>
              </w:rPr>
              <w:t>E Nangolo</w:t>
            </w:r>
          </w:p>
          <w:p w:rsidR="00E2243C" w:rsidRDefault="005E0660" w:rsidP="000B1503">
            <w:pPr>
              <w:autoSpaceDE w:val="0"/>
              <w:autoSpaceDN w:val="0"/>
              <w:adjustRightInd w:val="0"/>
              <w:spacing w:after="0" w:line="360" w:lineRule="auto"/>
              <w:ind w:left="1418" w:hanging="1560"/>
              <w:jc w:val="center"/>
              <w:rPr>
                <w:rFonts w:ascii="Arial" w:hAnsi="Arial" w:cs="Arial"/>
                <w:sz w:val="24"/>
                <w:szCs w:val="24"/>
              </w:rPr>
            </w:pPr>
            <w:r>
              <w:rPr>
                <w:rFonts w:ascii="Arial" w:hAnsi="Arial" w:cs="Arial"/>
                <w:sz w:val="24"/>
                <w:szCs w:val="24"/>
              </w:rPr>
              <w:t xml:space="preserve">Of </w:t>
            </w:r>
            <w:r w:rsidRPr="001F4536">
              <w:rPr>
                <w:rFonts w:ascii="Arial" w:hAnsi="Arial" w:cs="Arial"/>
                <w:sz w:val="24"/>
                <w:szCs w:val="24"/>
              </w:rPr>
              <w:t>Sisa Namandje &amp; Co. Inc.</w:t>
            </w:r>
            <w:r>
              <w:rPr>
                <w:rFonts w:ascii="Arial" w:hAnsi="Arial" w:cs="Arial"/>
                <w:sz w:val="24"/>
                <w:szCs w:val="24"/>
              </w:rPr>
              <w:t>,</w:t>
            </w:r>
          </w:p>
          <w:p w:rsidR="00411DC4" w:rsidRPr="00317404" w:rsidRDefault="005E0660" w:rsidP="006504C8">
            <w:pPr>
              <w:autoSpaceDE w:val="0"/>
              <w:autoSpaceDN w:val="0"/>
              <w:adjustRightInd w:val="0"/>
              <w:spacing w:after="0" w:line="360" w:lineRule="auto"/>
              <w:ind w:left="1418" w:hanging="1560"/>
              <w:jc w:val="center"/>
              <w:rPr>
                <w:rFonts w:ascii="Arial" w:eastAsia="Times New Roman" w:hAnsi="Arial" w:cs="Arial"/>
                <w:sz w:val="24"/>
                <w:szCs w:val="24"/>
                <w:lang w:eastAsia="en-GB"/>
              </w:rPr>
            </w:pPr>
            <w:r w:rsidRPr="00F348BE">
              <w:rPr>
                <w:rFonts w:ascii="Arial" w:hAnsi="Arial" w:cs="Arial"/>
                <w:sz w:val="24"/>
                <w:szCs w:val="24"/>
              </w:rPr>
              <w:t>Windhoek</w:t>
            </w:r>
          </w:p>
        </w:tc>
      </w:tr>
    </w:tbl>
    <w:p w:rsidR="00411DC4" w:rsidRDefault="00411DC4" w:rsidP="00411DC4">
      <w:pPr>
        <w:spacing w:line="360" w:lineRule="auto"/>
        <w:jc w:val="both"/>
        <w:rPr>
          <w:rFonts w:ascii="Arial" w:hAnsi="Arial" w:cs="Arial"/>
          <w:sz w:val="24"/>
          <w:szCs w:val="24"/>
        </w:rPr>
      </w:pPr>
    </w:p>
    <w:p w:rsidR="00C04D69" w:rsidRDefault="00C04D69"/>
    <w:sectPr w:rsidR="00C04D69"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4A5" w:rsidRDefault="009174A5">
      <w:pPr>
        <w:spacing w:after="0" w:line="240" w:lineRule="auto"/>
      </w:pPr>
      <w:r>
        <w:separator/>
      </w:r>
    </w:p>
  </w:endnote>
  <w:endnote w:type="continuationSeparator" w:id="0">
    <w:p w:rsidR="009174A5" w:rsidRDefault="0091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4A5" w:rsidRDefault="009174A5" w:rsidP="00411DC4">
      <w:pPr>
        <w:spacing w:after="0" w:line="240" w:lineRule="auto"/>
      </w:pPr>
      <w:r>
        <w:separator/>
      </w:r>
    </w:p>
  </w:footnote>
  <w:footnote w:type="continuationSeparator" w:id="0">
    <w:p w:rsidR="009174A5" w:rsidRDefault="009174A5" w:rsidP="00411DC4">
      <w:pPr>
        <w:spacing w:after="0" w:line="240" w:lineRule="auto"/>
      </w:pPr>
      <w:r>
        <w:continuationSeparator/>
      </w:r>
    </w:p>
  </w:footnote>
  <w:footnote w:id="1">
    <w:p w:rsidR="00504652" w:rsidRPr="006504C8" w:rsidRDefault="005E0660" w:rsidP="00504652">
      <w:pPr>
        <w:pStyle w:val="FootnoteText"/>
        <w:rPr>
          <w:rFonts w:ascii="Arial" w:hAnsi="Arial" w:cs="Arial"/>
        </w:rPr>
      </w:pPr>
      <w:r w:rsidRPr="006504C8">
        <w:rPr>
          <w:rStyle w:val="FootnoteReference"/>
          <w:rFonts w:ascii="Arial" w:hAnsi="Arial" w:cs="Arial"/>
        </w:rPr>
        <w:footnoteRef/>
      </w:r>
      <w:r w:rsidRPr="006504C8">
        <w:rPr>
          <w:rFonts w:ascii="Arial" w:hAnsi="Arial" w:cs="Arial"/>
        </w:rPr>
        <w:t xml:space="preserve"> </w:t>
      </w:r>
      <w:r w:rsidRPr="006504C8">
        <w:rPr>
          <w:rFonts w:ascii="Arial" w:hAnsi="Arial" w:cs="Arial"/>
          <w:i/>
        </w:rPr>
        <w:t>Gabriel v Nehemia</w:t>
      </w:r>
      <w:r w:rsidRPr="006504C8">
        <w:rPr>
          <w:rFonts w:ascii="Arial" w:hAnsi="Arial" w:cs="Arial"/>
        </w:rPr>
        <w:t xml:space="preserve"> (HC-MD-CIV-MOT-GEN-2018/00367) [2019] NAHCMD 564 (6 December 2019).</w:t>
      </w:r>
    </w:p>
  </w:footnote>
  <w:footnote w:id="2">
    <w:p w:rsidR="000E0A7D" w:rsidRPr="006504C8" w:rsidRDefault="005E0660">
      <w:pPr>
        <w:pStyle w:val="FootnoteText"/>
        <w:rPr>
          <w:rFonts w:ascii="Arial" w:hAnsi="Arial" w:cs="Arial"/>
          <w:lang w:val="en-US"/>
        </w:rPr>
      </w:pPr>
      <w:r w:rsidRPr="006504C8">
        <w:rPr>
          <w:rStyle w:val="FootnoteReference"/>
          <w:rFonts w:ascii="Arial" w:hAnsi="Arial" w:cs="Arial"/>
        </w:rPr>
        <w:footnoteRef/>
      </w:r>
      <w:r w:rsidRPr="006504C8">
        <w:rPr>
          <w:rFonts w:ascii="Arial" w:hAnsi="Arial" w:cs="Arial"/>
        </w:rPr>
        <w:t xml:space="preserve"> Amoo SK: Property Law in Namibia 2014 at page 214-215</w:t>
      </w:r>
      <w:r w:rsidR="006504C8">
        <w:rPr>
          <w:rFonts w:ascii="Arial" w:hAnsi="Arial" w:cs="Arial"/>
        </w:rPr>
        <w:t>.</w:t>
      </w:r>
    </w:p>
  </w:footnote>
  <w:footnote w:id="3">
    <w:p w:rsidR="00504652" w:rsidRPr="006504C8" w:rsidRDefault="005E0660" w:rsidP="00504652">
      <w:pPr>
        <w:pStyle w:val="FootnoteText"/>
        <w:rPr>
          <w:rFonts w:ascii="Arial" w:hAnsi="Arial" w:cs="Arial"/>
        </w:rPr>
      </w:pPr>
      <w:r w:rsidRPr="006504C8">
        <w:rPr>
          <w:rStyle w:val="FootnoteReference"/>
          <w:rFonts w:ascii="Arial" w:hAnsi="Arial" w:cs="Arial"/>
          <w:i/>
        </w:rPr>
        <w:footnoteRef/>
      </w:r>
      <w:r w:rsidRPr="006504C8">
        <w:rPr>
          <w:rFonts w:ascii="Arial" w:hAnsi="Arial" w:cs="Arial"/>
          <w:i/>
        </w:rPr>
        <w:t xml:space="preserve"> Kaputuaza v Executive Committee of the Administration for the Hereros and Others</w:t>
      </w:r>
      <w:r w:rsidRPr="006504C8">
        <w:rPr>
          <w:rFonts w:ascii="Arial" w:hAnsi="Arial" w:cs="Arial"/>
        </w:rPr>
        <w:t xml:space="preserve"> 1984 (4) 295.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5E0660">
        <w:pPr>
          <w:pStyle w:val="Header"/>
          <w:jc w:val="right"/>
        </w:pPr>
        <w:r>
          <w:fldChar w:fldCharType="begin"/>
        </w:r>
        <w:r>
          <w:instrText xml:space="preserve"> PAGE   \* MERGEFORMAT </w:instrText>
        </w:r>
        <w:r>
          <w:fldChar w:fldCharType="separate"/>
        </w:r>
        <w:r w:rsidR="00710E20">
          <w:rPr>
            <w:noProof/>
          </w:rPr>
          <w:t>10</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2E55"/>
    <w:multiLevelType w:val="hybridMultilevel"/>
    <w:tmpl w:val="6004DB38"/>
    <w:lvl w:ilvl="0" w:tplc="6CD6A94A">
      <w:start w:val="1"/>
      <w:numFmt w:val="lowerLetter"/>
      <w:lvlText w:val="%1)"/>
      <w:lvlJc w:val="left"/>
      <w:pPr>
        <w:ind w:left="720" w:hanging="360"/>
      </w:pPr>
    </w:lvl>
    <w:lvl w:ilvl="1" w:tplc="F18E699A" w:tentative="1">
      <w:start w:val="1"/>
      <w:numFmt w:val="lowerLetter"/>
      <w:lvlText w:val="%2."/>
      <w:lvlJc w:val="left"/>
      <w:pPr>
        <w:ind w:left="1440" w:hanging="360"/>
      </w:pPr>
    </w:lvl>
    <w:lvl w:ilvl="2" w:tplc="8FF080A6" w:tentative="1">
      <w:start w:val="1"/>
      <w:numFmt w:val="lowerRoman"/>
      <w:lvlText w:val="%3."/>
      <w:lvlJc w:val="right"/>
      <w:pPr>
        <w:ind w:left="2160" w:hanging="180"/>
      </w:pPr>
    </w:lvl>
    <w:lvl w:ilvl="3" w:tplc="E37EE188" w:tentative="1">
      <w:start w:val="1"/>
      <w:numFmt w:val="decimal"/>
      <w:lvlText w:val="%4."/>
      <w:lvlJc w:val="left"/>
      <w:pPr>
        <w:ind w:left="2880" w:hanging="360"/>
      </w:pPr>
    </w:lvl>
    <w:lvl w:ilvl="4" w:tplc="A97A33AA" w:tentative="1">
      <w:start w:val="1"/>
      <w:numFmt w:val="lowerLetter"/>
      <w:lvlText w:val="%5."/>
      <w:lvlJc w:val="left"/>
      <w:pPr>
        <w:ind w:left="3600" w:hanging="360"/>
      </w:pPr>
    </w:lvl>
    <w:lvl w:ilvl="5" w:tplc="543C181C" w:tentative="1">
      <w:start w:val="1"/>
      <w:numFmt w:val="lowerRoman"/>
      <w:lvlText w:val="%6."/>
      <w:lvlJc w:val="right"/>
      <w:pPr>
        <w:ind w:left="4320" w:hanging="180"/>
      </w:pPr>
    </w:lvl>
    <w:lvl w:ilvl="6" w:tplc="39AC0A82" w:tentative="1">
      <w:start w:val="1"/>
      <w:numFmt w:val="decimal"/>
      <w:lvlText w:val="%7."/>
      <w:lvlJc w:val="left"/>
      <w:pPr>
        <w:ind w:left="5040" w:hanging="360"/>
      </w:pPr>
    </w:lvl>
    <w:lvl w:ilvl="7" w:tplc="8EE802FC" w:tentative="1">
      <w:start w:val="1"/>
      <w:numFmt w:val="lowerLetter"/>
      <w:lvlText w:val="%8."/>
      <w:lvlJc w:val="left"/>
      <w:pPr>
        <w:ind w:left="5760" w:hanging="360"/>
      </w:pPr>
    </w:lvl>
    <w:lvl w:ilvl="8" w:tplc="EAD8E2F6" w:tentative="1">
      <w:start w:val="1"/>
      <w:numFmt w:val="lowerRoman"/>
      <w:lvlText w:val="%9."/>
      <w:lvlJc w:val="right"/>
      <w:pPr>
        <w:ind w:left="6480" w:hanging="180"/>
      </w:pPr>
    </w:lvl>
  </w:abstractNum>
  <w:abstractNum w:abstractNumId="1" w15:restartNumberingAfterBreak="0">
    <w:nsid w:val="13375BCD"/>
    <w:multiLevelType w:val="hybridMultilevel"/>
    <w:tmpl w:val="42D2C996"/>
    <w:lvl w:ilvl="0" w:tplc="A90CA86A">
      <w:start w:val="1"/>
      <w:numFmt w:val="lowerRoman"/>
      <w:lvlText w:val="%1."/>
      <w:lvlJc w:val="right"/>
      <w:pPr>
        <w:ind w:left="720" w:hanging="360"/>
      </w:pPr>
    </w:lvl>
    <w:lvl w:ilvl="1" w:tplc="67324D4A" w:tentative="1">
      <w:start w:val="1"/>
      <w:numFmt w:val="lowerLetter"/>
      <w:lvlText w:val="%2."/>
      <w:lvlJc w:val="left"/>
      <w:pPr>
        <w:ind w:left="1440" w:hanging="360"/>
      </w:pPr>
    </w:lvl>
    <w:lvl w:ilvl="2" w:tplc="5FACA1D8" w:tentative="1">
      <w:start w:val="1"/>
      <w:numFmt w:val="lowerRoman"/>
      <w:lvlText w:val="%3."/>
      <w:lvlJc w:val="right"/>
      <w:pPr>
        <w:ind w:left="2160" w:hanging="180"/>
      </w:pPr>
    </w:lvl>
    <w:lvl w:ilvl="3" w:tplc="4304741E" w:tentative="1">
      <w:start w:val="1"/>
      <w:numFmt w:val="decimal"/>
      <w:lvlText w:val="%4."/>
      <w:lvlJc w:val="left"/>
      <w:pPr>
        <w:ind w:left="2880" w:hanging="360"/>
      </w:pPr>
    </w:lvl>
    <w:lvl w:ilvl="4" w:tplc="0C4C1E2C" w:tentative="1">
      <w:start w:val="1"/>
      <w:numFmt w:val="lowerLetter"/>
      <w:lvlText w:val="%5."/>
      <w:lvlJc w:val="left"/>
      <w:pPr>
        <w:ind w:left="3600" w:hanging="360"/>
      </w:pPr>
    </w:lvl>
    <w:lvl w:ilvl="5" w:tplc="C2D84FDC" w:tentative="1">
      <w:start w:val="1"/>
      <w:numFmt w:val="lowerRoman"/>
      <w:lvlText w:val="%6."/>
      <w:lvlJc w:val="right"/>
      <w:pPr>
        <w:ind w:left="4320" w:hanging="180"/>
      </w:pPr>
    </w:lvl>
    <w:lvl w:ilvl="6" w:tplc="234EAF00" w:tentative="1">
      <w:start w:val="1"/>
      <w:numFmt w:val="decimal"/>
      <w:lvlText w:val="%7."/>
      <w:lvlJc w:val="left"/>
      <w:pPr>
        <w:ind w:left="5040" w:hanging="360"/>
      </w:pPr>
    </w:lvl>
    <w:lvl w:ilvl="7" w:tplc="02861A8A" w:tentative="1">
      <w:start w:val="1"/>
      <w:numFmt w:val="lowerLetter"/>
      <w:lvlText w:val="%8."/>
      <w:lvlJc w:val="left"/>
      <w:pPr>
        <w:ind w:left="5760" w:hanging="360"/>
      </w:pPr>
    </w:lvl>
    <w:lvl w:ilvl="8" w:tplc="8A9C1B8E" w:tentative="1">
      <w:start w:val="1"/>
      <w:numFmt w:val="lowerRoman"/>
      <w:lvlText w:val="%9."/>
      <w:lvlJc w:val="right"/>
      <w:pPr>
        <w:ind w:left="6480" w:hanging="180"/>
      </w:pPr>
    </w:lvl>
  </w:abstractNum>
  <w:abstractNum w:abstractNumId="2" w15:restartNumberingAfterBreak="0">
    <w:nsid w:val="13BC3E3D"/>
    <w:multiLevelType w:val="hybridMultilevel"/>
    <w:tmpl w:val="CA10774A"/>
    <w:lvl w:ilvl="0" w:tplc="560A2A9C">
      <w:start w:val="1"/>
      <w:numFmt w:val="decimal"/>
      <w:lvlText w:val="%1."/>
      <w:lvlJc w:val="left"/>
      <w:pPr>
        <w:ind w:left="720" w:hanging="360"/>
      </w:pPr>
    </w:lvl>
    <w:lvl w:ilvl="1" w:tplc="FEFA81C8" w:tentative="1">
      <w:start w:val="1"/>
      <w:numFmt w:val="lowerLetter"/>
      <w:lvlText w:val="%2."/>
      <w:lvlJc w:val="left"/>
      <w:pPr>
        <w:ind w:left="1440" w:hanging="360"/>
      </w:pPr>
    </w:lvl>
    <w:lvl w:ilvl="2" w:tplc="77B261A2" w:tentative="1">
      <w:start w:val="1"/>
      <w:numFmt w:val="lowerRoman"/>
      <w:lvlText w:val="%3."/>
      <w:lvlJc w:val="right"/>
      <w:pPr>
        <w:ind w:left="2160" w:hanging="180"/>
      </w:pPr>
    </w:lvl>
    <w:lvl w:ilvl="3" w:tplc="DF240BE0" w:tentative="1">
      <w:start w:val="1"/>
      <w:numFmt w:val="decimal"/>
      <w:lvlText w:val="%4."/>
      <w:lvlJc w:val="left"/>
      <w:pPr>
        <w:ind w:left="2880" w:hanging="360"/>
      </w:pPr>
    </w:lvl>
    <w:lvl w:ilvl="4" w:tplc="0C184F0A" w:tentative="1">
      <w:start w:val="1"/>
      <w:numFmt w:val="lowerLetter"/>
      <w:lvlText w:val="%5."/>
      <w:lvlJc w:val="left"/>
      <w:pPr>
        <w:ind w:left="3600" w:hanging="360"/>
      </w:pPr>
    </w:lvl>
    <w:lvl w:ilvl="5" w:tplc="8B8CE8C2" w:tentative="1">
      <w:start w:val="1"/>
      <w:numFmt w:val="lowerRoman"/>
      <w:lvlText w:val="%6."/>
      <w:lvlJc w:val="right"/>
      <w:pPr>
        <w:ind w:left="4320" w:hanging="180"/>
      </w:pPr>
    </w:lvl>
    <w:lvl w:ilvl="6" w:tplc="E1201A02" w:tentative="1">
      <w:start w:val="1"/>
      <w:numFmt w:val="decimal"/>
      <w:lvlText w:val="%7."/>
      <w:lvlJc w:val="left"/>
      <w:pPr>
        <w:ind w:left="5040" w:hanging="360"/>
      </w:pPr>
    </w:lvl>
    <w:lvl w:ilvl="7" w:tplc="453A0D4A" w:tentative="1">
      <w:start w:val="1"/>
      <w:numFmt w:val="lowerLetter"/>
      <w:lvlText w:val="%8."/>
      <w:lvlJc w:val="left"/>
      <w:pPr>
        <w:ind w:left="5760" w:hanging="360"/>
      </w:pPr>
    </w:lvl>
    <w:lvl w:ilvl="8" w:tplc="263400AE" w:tentative="1">
      <w:start w:val="1"/>
      <w:numFmt w:val="lowerRoman"/>
      <w:lvlText w:val="%9."/>
      <w:lvlJc w:val="right"/>
      <w:pPr>
        <w:ind w:left="6480" w:hanging="180"/>
      </w:pPr>
    </w:lvl>
  </w:abstractNum>
  <w:abstractNum w:abstractNumId="3" w15:restartNumberingAfterBreak="0">
    <w:nsid w:val="1B5D79A5"/>
    <w:multiLevelType w:val="hybridMultilevel"/>
    <w:tmpl w:val="1756B4AA"/>
    <w:lvl w:ilvl="0" w:tplc="64184E0C">
      <w:start w:val="1"/>
      <w:numFmt w:val="decimal"/>
      <w:lvlText w:val="%1."/>
      <w:lvlJc w:val="left"/>
      <w:pPr>
        <w:ind w:left="720" w:hanging="360"/>
      </w:pPr>
      <w:rPr>
        <w:rFonts w:ascii="Arial" w:eastAsia="Calibri" w:hAnsi="Arial" w:cs="Arial"/>
      </w:rPr>
    </w:lvl>
    <w:lvl w:ilvl="1" w:tplc="ECC2823A" w:tentative="1">
      <w:start w:val="1"/>
      <w:numFmt w:val="lowerLetter"/>
      <w:lvlText w:val="%2."/>
      <w:lvlJc w:val="left"/>
      <w:pPr>
        <w:ind w:left="1440" w:hanging="360"/>
      </w:pPr>
    </w:lvl>
    <w:lvl w:ilvl="2" w:tplc="524A2FF6" w:tentative="1">
      <w:start w:val="1"/>
      <w:numFmt w:val="lowerRoman"/>
      <w:lvlText w:val="%3."/>
      <w:lvlJc w:val="right"/>
      <w:pPr>
        <w:ind w:left="2160" w:hanging="180"/>
      </w:pPr>
    </w:lvl>
    <w:lvl w:ilvl="3" w:tplc="373AFD50" w:tentative="1">
      <w:start w:val="1"/>
      <w:numFmt w:val="decimal"/>
      <w:lvlText w:val="%4."/>
      <w:lvlJc w:val="left"/>
      <w:pPr>
        <w:ind w:left="2880" w:hanging="360"/>
      </w:pPr>
    </w:lvl>
    <w:lvl w:ilvl="4" w:tplc="684A4834" w:tentative="1">
      <w:start w:val="1"/>
      <w:numFmt w:val="lowerLetter"/>
      <w:lvlText w:val="%5."/>
      <w:lvlJc w:val="left"/>
      <w:pPr>
        <w:ind w:left="3600" w:hanging="360"/>
      </w:pPr>
    </w:lvl>
    <w:lvl w:ilvl="5" w:tplc="44CE0B0E" w:tentative="1">
      <w:start w:val="1"/>
      <w:numFmt w:val="lowerRoman"/>
      <w:lvlText w:val="%6."/>
      <w:lvlJc w:val="right"/>
      <w:pPr>
        <w:ind w:left="4320" w:hanging="180"/>
      </w:pPr>
    </w:lvl>
    <w:lvl w:ilvl="6" w:tplc="84701C88" w:tentative="1">
      <w:start w:val="1"/>
      <w:numFmt w:val="decimal"/>
      <w:lvlText w:val="%7."/>
      <w:lvlJc w:val="left"/>
      <w:pPr>
        <w:ind w:left="5040" w:hanging="360"/>
      </w:pPr>
    </w:lvl>
    <w:lvl w:ilvl="7" w:tplc="D5B63A12" w:tentative="1">
      <w:start w:val="1"/>
      <w:numFmt w:val="lowerLetter"/>
      <w:lvlText w:val="%8."/>
      <w:lvlJc w:val="left"/>
      <w:pPr>
        <w:ind w:left="5760" w:hanging="360"/>
      </w:pPr>
    </w:lvl>
    <w:lvl w:ilvl="8" w:tplc="2722BF1A" w:tentative="1">
      <w:start w:val="1"/>
      <w:numFmt w:val="lowerRoman"/>
      <w:lvlText w:val="%9."/>
      <w:lvlJc w:val="right"/>
      <w:pPr>
        <w:ind w:left="6480" w:hanging="180"/>
      </w:pPr>
    </w:lvl>
  </w:abstractNum>
  <w:abstractNum w:abstractNumId="4" w15:restartNumberingAfterBreak="0">
    <w:nsid w:val="2642762E"/>
    <w:multiLevelType w:val="hybridMultilevel"/>
    <w:tmpl w:val="812AB1EE"/>
    <w:lvl w:ilvl="0" w:tplc="8D08EA9A">
      <w:start w:val="1"/>
      <w:numFmt w:val="decimal"/>
      <w:lvlText w:val="[%1]"/>
      <w:lvlJc w:val="left"/>
      <w:pPr>
        <w:ind w:left="720" w:hanging="360"/>
      </w:pPr>
      <w:rPr>
        <w:rFonts w:hint="default"/>
      </w:rPr>
    </w:lvl>
    <w:lvl w:ilvl="1" w:tplc="979CD888" w:tentative="1">
      <w:start w:val="1"/>
      <w:numFmt w:val="lowerLetter"/>
      <w:lvlText w:val="%2."/>
      <w:lvlJc w:val="left"/>
      <w:pPr>
        <w:ind w:left="1440" w:hanging="360"/>
      </w:pPr>
    </w:lvl>
    <w:lvl w:ilvl="2" w:tplc="5A4A451E" w:tentative="1">
      <w:start w:val="1"/>
      <w:numFmt w:val="lowerRoman"/>
      <w:lvlText w:val="%3."/>
      <w:lvlJc w:val="right"/>
      <w:pPr>
        <w:ind w:left="2160" w:hanging="180"/>
      </w:pPr>
    </w:lvl>
    <w:lvl w:ilvl="3" w:tplc="E74259D2" w:tentative="1">
      <w:start w:val="1"/>
      <w:numFmt w:val="decimal"/>
      <w:lvlText w:val="%4."/>
      <w:lvlJc w:val="left"/>
      <w:pPr>
        <w:ind w:left="2880" w:hanging="360"/>
      </w:pPr>
    </w:lvl>
    <w:lvl w:ilvl="4" w:tplc="64C6737E" w:tentative="1">
      <w:start w:val="1"/>
      <w:numFmt w:val="lowerLetter"/>
      <w:lvlText w:val="%5."/>
      <w:lvlJc w:val="left"/>
      <w:pPr>
        <w:ind w:left="3600" w:hanging="360"/>
      </w:pPr>
    </w:lvl>
    <w:lvl w:ilvl="5" w:tplc="4E00DF2A" w:tentative="1">
      <w:start w:val="1"/>
      <w:numFmt w:val="lowerRoman"/>
      <w:lvlText w:val="%6."/>
      <w:lvlJc w:val="right"/>
      <w:pPr>
        <w:ind w:left="4320" w:hanging="180"/>
      </w:pPr>
    </w:lvl>
    <w:lvl w:ilvl="6" w:tplc="05C6B66E" w:tentative="1">
      <w:start w:val="1"/>
      <w:numFmt w:val="decimal"/>
      <w:lvlText w:val="%7."/>
      <w:lvlJc w:val="left"/>
      <w:pPr>
        <w:ind w:left="5040" w:hanging="360"/>
      </w:pPr>
    </w:lvl>
    <w:lvl w:ilvl="7" w:tplc="5080A7A8" w:tentative="1">
      <w:start w:val="1"/>
      <w:numFmt w:val="lowerLetter"/>
      <w:lvlText w:val="%8."/>
      <w:lvlJc w:val="left"/>
      <w:pPr>
        <w:ind w:left="5760" w:hanging="360"/>
      </w:pPr>
    </w:lvl>
    <w:lvl w:ilvl="8" w:tplc="8648E08C" w:tentative="1">
      <w:start w:val="1"/>
      <w:numFmt w:val="lowerRoman"/>
      <w:lvlText w:val="%9."/>
      <w:lvlJc w:val="right"/>
      <w:pPr>
        <w:ind w:left="6480" w:hanging="180"/>
      </w:pPr>
    </w:lvl>
  </w:abstractNum>
  <w:abstractNum w:abstractNumId="5" w15:restartNumberingAfterBreak="0">
    <w:nsid w:val="38414FAB"/>
    <w:multiLevelType w:val="hybridMultilevel"/>
    <w:tmpl w:val="B9E8A162"/>
    <w:lvl w:ilvl="0" w:tplc="7EAC0A24">
      <w:start w:val="1"/>
      <w:numFmt w:val="decimal"/>
      <w:lvlText w:val="[%1]"/>
      <w:lvlJc w:val="left"/>
      <w:pPr>
        <w:ind w:left="2486" w:hanging="360"/>
      </w:pPr>
      <w:rPr>
        <w:rFonts w:hint="default"/>
        <w:sz w:val="24"/>
        <w:szCs w:val="24"/>
      </w:rPr>
    </w:lvl>
    <w:lvl w:ilvl="1" w:tplc="5E8C8E46" w:tentative="1">
      <w:start w:val="1"/>
      <w:numFmt w:val="lowerLetter"/>
      <w:lvlText w:val="%2."/>
      <w:lvlJc w:val="left"/>
      <w:pPr>
        <w:ind w:left="3206" w:hanging="360"/>
      </w:pPr>
    </w:lvl>
    <w:lvl w:ilvl="2" w:tplc="BDF26BAE" w:tentative="1">
      <w:start w:val="1"/>
      <w:numFmt w:val="lowerRoman"/>
      <w:lvlText w:val="%3."/>
      <w:lvlJc w:val="right"/>
      <w:pPr>
        <w:ind w:left="3926" w:hanging="180"/>
      </w:pPr>
    </w:lvl>
    <w:lvl w:ilvl="3" w:tplc="5246C55E" w:tentative="1">
      <w:start w:val="1"/>
      <w:numFmt w:val="decimal"/>
      <w:lvlText w:val="%4."/>
      <w:lvlJc w:val="left"/>
      <w:pPr>
        <w:ind w:left="4646" w:hanging="360"/>
      </w:pPr>
    </w:lvl>
    <w:lvl w:ilvl="4" w:tplc="2DE05BB6" w:tentative="1">
      <w:start w:val="1"/>
      <w:numFmt w:val="lowerLetter"/>
      <w:lvlText w:val="%5."/>
      <w:lvlJc w:val="left"/>
      <w:pPr>
        <w:ind w:left="5366" w:hanging="360"/>
      </w:pPr>
    </w:lvl>
    <w:lvl w:ilvl="5" w:tplc="E22EA0FC" w:tentative="1">
      <w:start w:val="1"/>
      <w:numFmt w:val="lowerRoman"/>
      <w:lvlText w:val="%6."/>
      <w:lvlJc w:val="right"/>
      <w:pPr>
        <w:ind w:left="6086" w:hanging="180"/>
      </w:pPr>
    </w:lvl>
    <w:lvl w:ilvl="6" w:tplc="666813D2" w:tentative="1">
      <w:start w:val="1"/>
      <w:numFmt w:val="decimal"/>
      <w:lvlText w:val="%7."/>
      <w:lvlJc w:val="left"/>
      <w:pPr>
        <w:ind w:left="6806" w:hanging="360"/>
      </w:pPr>
    </w:lvl>
    <w:lvl w:ilvl="7" w:tplc="DADA6EE4" w:tentative="1">
      <w:start w:val="1"/>
      <w:numFmt w:val="lowerLetter"/>
      <w:lvlText w:val="%8."/>
      <w:lvlJc w:val="left"/>
      <w:pPr>
        <w:ind w:left="7526" w:hanging="360"/>
      </w:pPr>
    </w:lvl>
    <w:lvl w:ilvl="8" w:tplc="A1F4A22E" w:tentative="1">
      <w:start w:val="1"/>
      <w:numFmt w:val="lowerRoman"/>
      <w:lvlText w:val="%9."/>
      <w:lvlJc w:val="right"/>
      <w:pPr>
        <w:ind w:left="8246" w:hanging="180"/>
      </w:pPr>
    </w:lvl>
  </w:abstractNum>
  <w:abstractNum w:abstractNumId="6" w15:restartNumberingAfterBreak="0">
    <w:nsid w:val="3BB37A71"/>
    <w:multiLevelType w:val="hybridMultilevel"/>
    <w:tmpl w:val="138C54B2"/>
    <w:lvl w:ilvl="0" w:tplc="C83E81A6">
      <w:start w:val="1"/>
      <w:numFmt w:val="lowerLetter"/>
      <w:lvlText w:val="%1."/>
      <w:lvlJc w:val="left"/>
      <w:pPr>
        <w:ind w:left="720" w:hanging="360"/>
      </w:pPr>
      <w:rPr>
        <w:rFonts w:hint="default"/>
      </w:rPr>
    </w:lvl>
    <w:lvl w:ilvl="1" w:tplc="3920D976" w:tentative="1">
      <w:start w:val="1"/>
      <w:numFmt w:val="lowerLetter"/>
      <w:lvlText w:val="%2."/>
      <w:lvlJc w:val="left"/>
      <w:pPr>
        <w:ind w:left="1440" w:hanging="360"/>
      </w:pPr>
    </w:lvl>
    <w:lvl w:ilvl="2" w:tplc="1DA476C6" w:tentative="1">
      <w:start w:val="1"/>
      <w:numFmt w:val="lowerRoman"/>
      <w:lvlText w:val="%3."/>
      <w:lvlJc w:val="right"/>
      <w:pPr>
        <w:ind w:left="2160" w:hanging="180"/>
      </w:pPr>
    </w:lvl>
    <w:lvl w:ilvl="3" w:tplc="EA729EDA" w:tentative="1">
      <w:start w:val="1"/>
      <w:numFmt w:val="decimal"/>
      <w:lvlText w:val="%4."/>
      <w:lvlJc w:val="left"/>
      <w:pPr>
        <w:ind w:left="2880" w:hanging="360"/>
      </w:pPr>
    </w:lvl>
    <w:lvl w:ilvl="4" w:tplc="B8CCEAD2" w:tentative="1">
      <w:start w:val="1"/>
      <w:numFmt w:val="lowerLetter"/>
      <w:lvlText w:val="%5."/>
      <w:lvlJc w:val="left"/>
      <w:pPr>
        <w:ind w:left="3600" w:hanging="360"/>
      </w:pPr>
    </w:lvl>
    <w:lvl w:ilvl="5" w:tplc="1DAC9A9E" w:tentative="1">
      <w:start w:val="1"/>
      <w:numFmt w:val="lowerRoman"/>
      <w:lvlText w:val="%6."/>
      <w:lvlJc w:val="right"/>
      <w:pPr>
        <w:ind w:left="4320" w:hanging="180"/>
      </w:pPr>
    </w:lvl>
    <w:lvl w:ilvl="6" w:tplc="423EB704" w:tentative="1">
      <w:start w:val="1"/>
      <w:numFmt w:val="decimal"/>
      <w:lvlText w:val="%7."/>
      <w:lvlJc w:val="left"/>
      <w:pPr>
        <w:ind w:left="5040" w:hanging="360"/>
      </w:pPr>
    </w:lvl>
    <w:lvl w:ilvl="7" w:tplc="84204BF2" w:tentative="1">
      <w:start w:val="1"/>
      <w:numFmt w:val="lowerLetter"/>
      <w:lvlText w:val="%8."/>
      <w:lvlJc w:val="left"/>
      <w:pPr>
        <w:ind w:left="5760" w:hanging="360"/>
      </w:pPr>
    </w:lvl>
    <w:lvl w:ilvl="8" w:tplc="1436DCAA" w:tentative="1">
      <w:start w:val="1"/>
      <w:numFmt w:val="lowerRoman"/>
      <w:lvlText w:val="%9."/>
      <w:lvlJc w:val="right"/>
      <w:pPr>
        <w:ind w:left="6480" w:hanging="180"/>
      </w:pPr>
    </w:lvl>
  </w:abstractNum>
  <w:abstractNum w:abstractNumId="7" w15:restartNumberingAfterBreak="0">
    <w:nsid w:val="5D8A5156"/>
    <w:multiLevelType w:val="hybridMultilevel"/>
    <w:tmpl w:val="2BB6572E"/>
    <w:lvl w:ilvl="0" w:tplc="60A4E854">
      <w:start w:val="1"/>
      <w:numFmt w:val="lowerLetter"/>
      <w:lvlText w:val="%1)"/>
      <w:lvlJc w:val="left"/>
      <w:pPr>
        <w:ind w:left="720" w:hanging="360"/>
      </w:pPr>
    </w:lvl>
    <w:lvl w:ilvl="1" w:tplc="7C3CA1BE" w:tentative="1">
      <w:start w:val="1"/>
      <w:numFmt w:val="lowerLetter"/>
      <w:lvlText w:val="%2."/>
      <w:lvlJc w:val="left"/>
      <w:pPr>
        <w:ind w:left="1440" w:hanging="360"/>
      </w:pPr>
    </w:lvl>
    <w:lvl w:ilvl="2" w:tplc="7200FA48" w:tentative="1">
      <w:start w:val="1"/>
      <w:numFmt w:val="lowerRoman"/>
      <w:lvlText w:val="%3."/>
      <w:lvlJc w:val="right"/>
      <w:pPr>
        <w:ind w:left="2160" w:hanging="180"/>
      </w:pPr>
    </w:lvl>
    <w:lvl w:ilvl="3" w:tplc="3E349BC0" w:tentative="1">
      <w:start w:val="1"/>
      <w:numFmt w:val="decimal"/>
      <w:lvlText w:val="%4."/>
      <w:lvlJc w:val="left"/>
      <w:pPr>
        <w:ind w:left="2880" w:hanging="360"/>
      </w:pPr>
    </w:lvl>
    <w:lvl w:ilvl="4" w:tplc="933CE8C2" w:tentative="1">
      <w:start w:val="1"/>
      <w:numFmt w:val="lowerLetter"/>
      <w:lvlText w:val="%5."/>
      <w:lvlJc w:val="left"/>
      <w:pPr>
        <w:ind w:left="3600" w:hanging="360"/>
      </w:pPr>
    </w:lvl>
    <w:lvl w:ilvl="5" w:tplc="E8022144" w:tentative="1">
      <w:start w:val="1"/>
      <w:numFmt w:val="lowerRoman"/>
      <w:lvlText w:val="%6."/>
      <w:lvlJc w:val="right"/>
      <w:pPr>
        <w:ind w:left="4320" w:hanging="180"/>
      </w:pPr>
    </w:lvl>
    <w:lvl w:ilvl="6" w:tplc="84C61FA0" w:tentative="1">
      <w:start w:val="1"/>
      <w:numFmt w:val="decimal"/>
      <w:lvlText w:val="%7."/>
      <w:lvlJc w:val="left"/>
      <w:pPr>
        <w:ind w:left="5040" w:hanging="360"/>
      </w:pPr>
    </w:lvl>
    <w:lvl w:ilvl="7" w:tplc="86F26E76" w:tentative="1">
      <w:start w:val="1"/>
      <w:numFmt w:val="lowerLetter"/>
      <w:lvlText w:val="%8."/>
      <w:lvlJc w:val="left"/>
      <w:pPr>
        <w:ind w:left="5760" w:hanging="360"/>
      </w:pPr>
    </w:lvl>
    <w:lvl w:ilvl="8" w:tplc="43C2B8F4" w:tentative="1">
      <w:start w:val="1"/>
      <w:numFmt w:val="lowerRoman"/>
      <w:lvlText w:val="%9."/>
      <w:lvlJc w:val="right"/>
      <w:pPr>
        <w:ind w:left="6480" w:hanging="180"/>
      </w:pPr>
    </w:lvl>
  </w:abstractNum>
  <w:abstractNum w:abstractNumId="8" w15:restartNumberingAfterBreak="0">
    <w:nsid w:val="5DF2669A"/>
    <w:multiLevelType w:val="hybridMultilevel"/>
    <w:tmpl w:val="03541178"/>
    <w:lvl w:ilvl="0" w:tplc="CD920FDA">
      <w:start w:val="1"/>
      <w:numFmt w:val="decimal"/>
      <w:lvlText w:val="%1."/>
      <w:lvlJc w:val="left"/>
      <w:pPr>
        <w:ind w:left="720" w:hanging="360"/>
      </w:pPr>
    </w:lvl>
    <w:lvl w:ilvl="1" w:tplc="7ABCDCE0" w:tentative="1">
      <w:start w:val="1"/>
      <w:numFmt w:val="lowerLetter"/>
      <w:lvlText w:val="%2."/>
      <w:lvlJc w:val="left"/>
      <w:pPr>
        <w:ind w:left="1440" w:hanging="360"/>
      </w:pPr>
    </w:lvl>
    <w:lvl w:ilvl="2" w:tplc="2ACA043A" w:tentative="1">
      <w:start w:val="1"/>
      <w:numFmt w:val="lowerRoman"/>
      <w:lvlText w:val="%3."/>
      <w:lvlJc w:val="right"/>
      <w:pPr>
        <w:ind w:left="2160" w:hanging="180"/>
      </w:pPr>
    </w:lvl>
    <w:lvl w:ilvl="3" w:tplc="647AF9FE" w:tentative="1">
      <w:start w:val="1"/>
      <w:numFmt w:val="decimal"/>
      <w:lvlText w:val="%4."/>
      <w:lvlJc w:val="left"/>
      <w:pPr>
        <w:ind w:left="2880" w:hanging="360"/>
      </w:pPr>
    </w:lvl>
    <w:lvl w:ilvl="4" w:tplc="3CD04A68" w:tentative="1">
      <w:start w:val="1"/>
      <w:numFmt w:val="lowerLetter"/>
      <w:lvlText w:val="%5."/>
      <w:lvlJc w:val="left"/>
      <w:pPr>
        <w:ind w:left="3600" w:hanging="360"/>
      </w:pPr>
    </w:lvl>
    <w:lvl w:ilvl="5" w:tplc="E1C00648" w:tentative="1">
      <w:start w:val="1"/>
      <w:numFmt w:val="lowerRoman"/>
      <w:lvlText w:val="%6."/>
      <w:lvlJc w:val="right"/>
      <w:pPr>
        <w:ind w:left="4320" w:hanging="180"/>
      </w:pPr>
    </w:lvl>
    <w:lvl w:ilvl="6" w:tplc="36F0E478" w:tentative="1">
      <w:start w:val="1"/>
      <w:numFmt w:val="decimal"/>
      <w:lvlText w:val="%7."/>
      <w:lvlJc w:val="left"/>
      <w:pPr>
        <w:ind w:left="5040" w:hanging="360"/>
      </w:pPr>
    </w:lvl>
    <w:lvl w:ilvl="7" w:tplc="62F2682C" w:tentative="1">
      <w:start w:val="1"/>
      <w:numFmt w:val="lowerLetter"/>
      <w:lvlText w:val="%8."/>
      <w:lvlJc w:val="left"/>
      <w:pPr>
        <w:ind w:left="5760" w:hanging="360"/>
      </w:pPr>
    </w:lvl>
    <w:lvl w:ilvl="8" w:tplc="FECEE7BE" w:tentative="1">
      <w:start w:val="1"/>
      <w:numFmt w:val="lowerRoman"/>
      <w:lvlText w:val="%9."/>
      <w:lvlJc w:val="right"/>
      <w:pPr>
        <w:ind w:left="6480" w:hanging="180"/>
      </w:pPr>
    </w:lvl>
  </w:abstractNum>
  <w:abstractNum w:abstractNumId="9" w15:restartNumberingAfterBreak="0">
    <w:nsid w:val="7E4F65A0"/>
    <w:multiLevelType w:val="hybridMultilevel"/>
    <w:tmpl w:val="03541178"/>
    <w:lvl w:ilvl="0" w:tplc="60143A50">
      <w:start w:val="1"/>
      <w:numFmt w:val="decimal"/>
      <w:lvlText w:val="%1."/>
      <w:lvlJc w:val="left"/>
      <w:pPr>
        <w:ind w:left="720" w:hanging="360"/>
      </w:pPr>
    </w:lvl>
    <w:lvl w:ilvl="1" w:tplc="56F09032" w:tentative="1">
      <w:start w:val="1"/>
      <w:numFmt w:val="lowerLetter"/>
      <w:lvlText w:val="%2."/>
      <w:lvlJc w:val="left"/>
      <w:pPr>
        <w:ind w:left="1440" w:hanging="360"/>
      </w:pPr>
    </w:lvl>
    <w:lvl w:ilvl="2" w:tplc="658E80F4" w:tentative="1">
      <w:start w:val="1"/>
      <w:numFmt w:val="lowerRoman"/>
      <w:lvlText w:val="%3."/>
      <w:lvlJc w:val="right"/>
      <w:pPr>
        <w:ind w:left="2160" w:hanging="180"/>
      </w:pPr>
    </w:lvl>
    <w:lvl w:ilvl="3" w:tplc="85745A1E" w:tentative="1">
      <w:start w:val="1"/>
      <w:numFmt w:val="decimal"/>
      <w:lvlText w:val="%4."/>
      <w:lvlJc w:val="left"/>
      <w:pPr>
        <w:ind w:left="2880" w:hanging="360"/>
      </w:pPr>
    </w:lvl>
    <w:lvl w:ilvl="4" w:tplc="BE02E6D0" w:tentative="1">
      <w:start w:val="1"/>
      <w:numFmt w:val="lowerLetter"/>
      <w:lvlText w:val="%5."/>
      <w:lvlJc w:val="left"/>
      <w:pPr>
        <w:ind w:left="3600" w:hanging="360"/>
      </w:pPr>
    </w:lvl>
    <w:lvl w:ilvl="5" w:tplc="5FF48BF4" w:tentative="1">
      <w:start w:val="1"/>
      <w:numFmt w:val="lowerRoman"/>
      <w:lvlText w:val="%6."/>
      <w:lvlJc w:val="right"/>
      <w:pPr>
        <w:ind w:left="4320" w:hanging="180"/>
      </w:pPr>
    </w:lvl>
    <w:lvl w:ilvl="6" w:tplc="BA363A6E" w:tentative="1">
      <w:start w:val="1"/>
      <w:numFmt w:val="decimal"/>
      <w:lvlText w:val="%7."/>
      <w:lvlJc w:val="left"/>
      <w:pPr>
        <w:ind w:left="5040" w:hanging="360"/>
      </w:pPr>
    </w:lvl>
    <w:lvl w:ilvl="7" w:tplc="154ED46C" w:tentative="1">
      <w:start w:val="1"/>
      <w:numFmt w:val="lowerLetter"/>
      <w:lvlText w:val="%8."/>
      <w:lvlJc w:val="left"/>
      <w:pPr>
        <w:ind w:left="5760" w:hanging="360"/>
      </w:pPr>
    </w:lvl>
    <w:lvl w:ilvl="8" w:tplc="E66EA6EE"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8"/>
  </w:num>
  <w:num w:numId="6">
    <w:abstractNumId w:val="4"/>
  </w:num>
  <w:num w:numId="7">
    <w:abstractNumId w:val="7"/>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C4"/>
    <w:rsid w:val="00015068"/>
    <w:rsid w:val="00062409"/>
    <w:rsid w:val="00062E42"/>
    <w:rsid w:val="00073545"/>
    <w:rsid w:val="000B1503"/>
    <w:rsid w:val="000D0F54"/>
    <w:rsid w:val="000E0A7D"/>
    <w:rsid w:val="000F33B0"/>
    <w:rsid w:val="00140201"/>
    <w:rsid w:val="0018255E"/>
    <w:rsid w:val="00186830"/>
    <w:rsid w:val="001B5166"/>
    <w:rsid w:val="001F4536"/>
    <w:rsid w:val="0021431E"/>
    <w:rsid w:val="00244918"/>
    <w:rsid w:val="002530C0"/>
    <w:rsid w:val="002667DD"/>
    <w:rsid w:val="00280F03"/>
    <w:rsid w:val="00317404"/>
    <w:rsid w:val="00411DC4"/>
    <w:rsid w:val="004228AB"/>
    <w:rsid w:val="004347DC"/>
    <w:rsid w:val="004A30FC"/>
    <w:rsid w:val="004B1A80"/>
    <w:rsid w:val="005037EC"/>
    <w:rsid w:val="00504652"/>
    <w:rsid w:val="005E0660"/>
    <w:rsid w:val="005F6192"/>
    <w:rsid w:val="006504C8"/>
    <w:rsid w:val="00650743"/>
    <w:rsid w:val="00710E20"/>
    <w:rsid w:val="00751762"/>
    <w:rsid w:val="007D566C"/>
    <w:rsid w:val="00814AED"/>
    <w:rsid w:val="008326FF"/>
    <w:rsid w:val="00835F89"/>
    <w:rsid w:val="00913393"/>
    <w:rsid w:val="009174A5"/>
    <w:rsid w:val="00921C4D"/>
    <w:rsid w:val="009363C3"/>
    <w:rsid w:val="00974323"/>
    <w:rsid w:val="00984BD4"/>
    <w:rsid w:val="00A21211"/>
    <w:rsid w:val="00A81F7C"/>
    <w:rsid w:val="00A831CB"/>
    <w:rsid w:val="00A91522"/>
    <w:rsid w:val="00B47B80"/>
    <w:rsid w:val="00B910CF"/>
    <w:rsid w:val="00C04D69"/>
    <w:rsid w:val="00C1037C"/>
    <w:rsid w:val="00C74A25"/>
    <w:rsid w:val="00CE48FB"/>
    <w:rsid w:val="00D56390"/>
    <w:rsid w:val="00DA7F8B"/>
    <w:rsid w:val="00DF211C"/>
    <w:rsid w:val="00E013B2"/>
    <w:rsid w:val="00E0706C"/>
    <w:rsid w:val="00E2243C"/>
    <w:rsid w:val="00E729A1"/>
    <w:rsid w:val="00EB4BED"/>
    <w:rsid w:val="00EB7DF0"/>
    <w:rsid w:val="00F348BE"/>
    <w:rsid w:val="00F90BEA"/>
    <w:rsid w:val="00F93867"/>
    <w:rsid w:val="00FC77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CF289-97AE-4BFA-AFDA-1F7062DA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DC4"/>
    <w:pPr>
      <w:spacing w:before="0" w:beforeAutospacing="0" w:after="200" w:afterAutospacing="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1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DC4"/>
    <w:rPr>
      <w:sz w:val="20"/>
      <w:szCs w:val="20"/>
    </w:rPr>
  </w:style>
  <w:style w:type="character" w:styleId="FootnoteReference">
    <w:name w:val="footnote reference"/>
    <w:basedOn w:val="DefaultParagraphFont"/>
    <w:uiPriority w:val="99"/>
    <w:semiHidden/>
    <w:unhideWhenUsed/>
    <w:rsid w:val="00411DC4"/>
    <w:rPr>
      <w:vertAlign w:val="superscript"/>
    </w:rPr>
  </w:style>
  <w:style w:type="paragraph" w:styleId="Header">
    <w:name w:val="header"/>
    <w:basedOn w:val="Normal"/>
    <w:link w:val="HeaderChar"/>
    <w:uiPriority w:val="99"/>
    <w:unhideWhenUsed/>
    <w:rsid w:val="00411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DC4"/>
  </w:style>
  <w:style w:type="table" w:styleId="TableGrid">
    <w:name w:val="Table Grid"/>
    <w:basedOn w:val="TableNormal"/>
    <w:uiPriority w:val="39"/>
    <w:rsid w:val="00411DC4"/>
    <w:pPr>
      <w:spacing w:before="0" w:beforeAutospacing="0" w:after="0" w:afterAutospacing="0"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652"/>
    <w:pPr>
      <w:ind w:left="720"/>
      <w:contextualSpacing/>
    </w:pPr>
  </w:style>
  <w:style w:type="paragraph" w:styleId="BalloonText">
    <w:name w:val="Balloon Text"/>
    <w:basedOn w:val="Normal"/>
    <w:link w:val="BalloonTextChar"/>
    <w:uiPriority w:val="99"/>
    <w:semiHidden/>
    <w:unhideWhenUsed/>
    <w:rsid w:val="001B5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2023-06-12T18:30:00+00:00</Judgment_x0020_Date>
    <Year xmlns="c1afb1bd-f2fb-40fd-9abb-aea55b4d7662">2023</Year>
  </documentManagement>
</p:properties>
</file>

<file path=customXml/itemProps1.xml><?xml version="1.0" encoding="utf-8"?>
<ds:datastoreItem xmlns:ds="http://schemas.openxmlformats.org/officeDocument/2006/customXml" ds:itemID="{B1E148A3-51E2-44F8-B318-B684D15CF698}"/>
</file>

<file path=customXml/itemProps2.xml><?xml version="1.0" encoding="utf-8"?>
<ds:datastoreItem xmlns:ds="http://schemas.openxmlformats.org/officeDocument/2006/customXml" ds:itemID="{CFE69D77-AC6E-4E04-B202-32B0A3AA877C}"/>
</file>

<file path=customXml/itemProps3.xml><?xml version="1.0" encoding="utf-8"?>
<ds:datastoreItem xmlns:ds="http://schemas.openxmlformats.org/officeDocument/2006/customXml" ds:itemID="{A01A5F76-9D70-4A67-AB0C-3F5F49EFDBDE}"/>
</file>

<file path=customXml/itemProps4.xml><?xml version="1.0" encoding="utf-8"?>
<ds:datastoreItem xmlns:ds="http://schemas.openxmlformats.org/officeDocument/2006/customXml" ds:itemID="{75E86C71-7E87-4D99-BAF1-459CA117E2B9}"/>
</file>

<file path=docProps/app.xml><?xml version="1.0" encoding="utf-8"?>
<Properties xmlns="http://schemas.openxmlformats.org/officeDocument/2006/extended-properties" xmlns:vt="http://schemas.openxmlformats.org/officeDocument/2006/docPropsVTypes">
  <Template>Normal</Template>
  <TotalTime>2</TotalTime>
  <Pages>10</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Kandjimbi v Joseph (HC-MD-CIV-ACT-OTH-2020-04258) [2023] NAHCMD 314 (13 June 2023)</dc:title>
  <dc:creator>Hazel Davids</dc:creator>
  <cp:lastModifiedBy>Selma Nambahu</cp:lastModifiedBy>
  <cp:revision>4</cp:revision>
  <cp:lastPrinted>2023-06-13T10:44:00Z</cp:lastPrinted>
  <dcterms:created xsi:type="dcterms:W3CDTF">2023-06-13T10:42:00Z</dcterms:created>
  <dcterms:modified xsi:type="dcterms:W3CDTF">2023-06-13T10:50:00Z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