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42" w:rsidRPr="00845E2D" w:rsidRDefault="00126D42" w:rsidP="00126D42">
      <w:pPr>
        <w:spacing w:before="240" w:after="0" w:line="240" w:lineRule="auto"/>
        <w:jc w:val="center"/>
        <w:rPr>
          <w:rFonts w:ascii="Arial" w:eastAsia="Times New Roman" w:hAnsi="Arial" w:cs="Arial"/>
          <w:b/>
          <w:sz w:val="24"/>
          <w:szCs w:val="24"/>
          <w:lang w:val="en-GB"/>
        </w:rPr>
      </w:pPr>
      <w:r w:rsidRPr="00845E2D">
        <w:rPr>
          <w:rFonts w:ascii="Arial" w:eastAsia="Times New Roman" w:hAnsi="Arial" w:cs="Arial"/>
          <w:b/>
          <w:sz w:val="24"/>
          <w:szCs w:val="24"/>
          <w:lang w:val="en-GB"/>
        </w:rPr>
        <w:t>REPUBLIC OF NAMIBIA</w:t>
      </w:r>
    </w:p>
    <w:p w:rsidR="00126D42" w:rsidRPr="00845E2D" w:rsidRDefault="00126D42" w:rsidP="00126D42">
      <w:pPr>
        <w:spacing w:before="240" w:after="0" w:line="240" w:lineRule="auto"/>
        <w:jc w:val="center"/>
        <w:rPr>
          <w:rFonts w:ascii="Arial" w:eastAsia="Times New Roman" w:hAnsi="Arial" w:cs="Arial"/>
          <w:sz w:val="24"/>
          <w:szCs w:val="24"/>
          <w:lang w:val="en-GB"/>
        </w:rPr>
      </w:pPr>
      <w:r>
        <w:rPr>
          <w:rFonts w:ascii="Arial" w:eastAsia="Times New Roman" w:hAnsi="Arial" w:cs="Arial"/>
          <w:noProof/>
          <w:sz w:val="24"/>
          <w:szCs w:val="24"/>
        </w:rPr>
        <w:drawing>
          <wp:inline distT="0" distB="0" distL="0" distR="0" wp14:anchorId="6C2032BB" wp14:editId="2A470EDF">
            <wp:extent cx="808355" cy="818515"/>
            <wp:effectExtent l="0" t="0" r="0" b="63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355" cy="818515"/>
                    </a:xfrm>
                    <a:prstGeom prst="rect">
                      <a:avLst/>
                    </a:prstGeom>
                    <a:noFill/>
                    <a:ln>
                      <a:noFill/>
                    </a:ln>
                  </pic:spPr>
                </pic:pic>
              </a:graphicData>
            </a:graphic>
          </wp:inline>
        </w:drawing>
      </w:r>
    </w:p>
    <w:p w:rsidR="00126D42" w:rsidRPr="00845E2D" w:rsidRDefault="00126D42" w:rsidP="00126D42">
      <w:pPr>
        <w:spacing w:after="0" w:line="360" w:lineRule="auto"/>
        <w:jc w:val="center"/>
        <w:rPr>
          <w:rFonts w:ascii="Arial" w:eastAsia="Times New Roman" w:hAnsi="Arial" w:cs="Arial"/>
          <w:b/>
          <w:sz w:val="24"/>
          <w:szCs w:val="24"/>
          <w:lang w:val="en-GB"/>
        </w:rPr>
      </w:pPr>
      <w:r w:rsidRPr="00845E2D">
        <w:rPr>
          <w:rFonts w:ascii="Arial" w:eastAsia="Times New Roman" w:hAnsi="Arial" w:cs="Arial"/>
          <w:b/>
          <w:sz w:val="24"/>
          <w:szCs w:val="24"/>
          <w:lang w:val="en-GB"/>
        </w:rPr>
        <w:t>IN THE HIGH COURT OF NAMIBIA, MAIN DIVISION, WINDHOEK</w:t>
      </w:r>
    </w:p>
    <w:p w:rsidR="00126D42" w:rsidRPr="00845E2D" w:rsidRDefault="00126D42" w:rsidP="00126D42">
      <w:pPr>
        <w:spacing w:after="0" w:line="360" w:lineRule="auto"/>
        <w:jc w:val="center"/>
        <w:rPr>
          <w:rFonts w:ascii="Arial" w:eastAsia="Times New Roman" w:hAnsi="Arial" w:cs="Arial"/>
          <w:sz w:val="24"/>
          <w:szCs w:val="24"/>
          <w:lang w:val="en-GB"/>
        </w:rPr>
      </w:pPr>
      <w:r w:rsidRPr="00845E2D">
        <w:rPr>
          <w:rFonts w:ascii="Arial" w:eastAsia="Times New Roman" w:hAnsi="Arial" w:cs="Arial"/>
          <w:b/>
          <w:sz w:val="24"/>
          <w:szCs w:val="24"/>
          <w:lang w:val="en-GB"/>
        </w:rPr>
        <w:t>REVIEW JUDGMENT</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126D42" w:rsidRPr="00845E2D" w:rsidTr="009F1C58">
        <w:trPr>
          <w:trHeight w:val="744"/>
        </w:trPr>
        <w:tc>
          <w:tcPr>
            <w:tcW w:w="5397" w:type="dxa"/>
            <w:gridSpan w:val="2"/>
            <w:shd w:val="clear" w:color="auto" w:fill="auto"/>
          </w:tcPr>
          <w:p w:rsidR="00126D42" w:rsidRPr="00EB0A3E" w:rsidRDefault="00126D42" w:rsidP="009F1C58">
            <w:pPr>
              <w:spacing w:before="240" w:after="0" w:line="360" w:lineRule="auto"/>
              <w:jc w:val="both"/>
              <w:rPr>
                <w:rFonts w:ascii="Arial" w:eastAsia="Calibri" w:hAnsi="Arial" w:cs="Arial"/>
                <w:color w:val="171717"/>
                <w:sz w:val="24"/>
                <w:szCs w:val="24"/>
                <w:lang w:val="en-ZA"/>
              </w:rPr>
            </w:pPr>
            <w:r w:rsidRPr="00EB0A3E">
              <w:rPr>
                <w:rFonts w:ascii="Arial" w:eastAsia="Calibri" w:hAnsi="Arial" w:cs="Arial"/>
                <w:b/>
                <w:color w:val="171717"/>
                <w:sz w:val="24"/>
                <w:szCs w:val="24"/>
                <w:lang w:val="en-ZA"/>
              </w:rPr>
              <w:t>Case Title:</w:t>
            </w:r>
          </w:p>
          <w:p w:rsidR="00126D42" w:rsidRPr="00EB0A3E" w:rsidRDefault="00126D42" w:rsidP="00126D42">
            <w:pPr>
              <w:spacing w:before="240" w:after="0" w:line="360" w:lineRule="auto"/>
              <w:jc w:val="both"/>
              <w:rPr>
                <w:rFonts w:ascii="Arial" w:eastAsia="Calibri" w:hAnsi="Arial" w:cs="Arial"/>
                <w:i/>
                <w:color w:val="171717"/>
                <w:sz w:val="24"/>
                <w:szCs w:val="24"/>
                <w:lang w:val="en-ZA"/>
              </w:rPr>
            </w:pPr>
            <w:r w:rsidRPr="00EB0A3E">
              <w:rPr>
                <w:rFonts w:ascii="Arial" w:eastAsia="Calibri" w:hAnsi="Arial" w:cs="Arial"/>
                <w:i/>
                <w:color w:val="171717"/>
                <w:sz w:val="24"/>
                <w:szCs w:val="24"/>
                <w:lang w:val="en-ZA"/>
              </w:rPr>
              <w:t xml:space="preserve">The State v </w:t>
            </w:r>
            <w:r>
              <w:rPr>
                <w:rFonts w:ascii="Arial" w:eastAsia="Calibri" w:hAnsi="Arial" w:cs="Arial"/>
                <w:i/>
                <w:color w:val="171717"/>
                <w:sz w:val="24"/>
                <w:szCs w:val="24"/>
                <w:lang w:val="en-ZA"/>
              </w:rPr>
              <w:t xml:space="preserve">Cecil </w:t>
            </w:r>
            <w:proofErr w:type="spellStart"/>
            <w:r>
              <w:rPr>
                <w:rFonts w:ascii="Arial" w:eastAsia="Calibri" w:hAnsi="Arial" w:cs="Arial"/>
                <w:i/>
                <w:color w:val="171717"/>
                <w:sz w:val="24"/>
                <w:szCs w:val="24"/>
                <w:lang w:val="en-ZA"/>
              </w:rPr>
              <w:t>Kanguatjivi</w:t>
            </w:r>
            <w:proofErr w:type="spellEnd"/>
          </w:p>
        </w:tc>
        <w:tc>
          <w:tcPr>
            <w:tcW w:w="4323" w:type="dxa"/>
            <w:shd w:val="clear" w:color="auto" w:fill="auto"/>
          </w:tcPr>
          <w:p w:rsidR="00FA096E" w:rsidRPr="00FA096E" w:rsidRDefault="00FA096E" w:rsidP="009F1C58">
            <w:pPr>
              <w:spacing w:before="240" w:after="0" w:line="360" w:lineRule="auto"/>
              <w:jc w:val="both"/>
              <w:rPr>
                <w:rFonts w:ascii="Arial" w:eastAsia="Calibri" w:hAnsi="Arial" w:cs="Arial"/>
                <w:b/>
                <w:color w:val="171717"/>
                <w:sz w:val="24"/>
                <w:szCs w:val="24"/>
                <w:lang w:val="en-ZA"/>
              </w:rPr>
            </w:pPr>
            <w:r w:rsidRPr="00FA096E">
              <w:rPr>
                <w:rFonts w:ascii="Arial" w:eastAsia="Calibri" w:hAnsi="Arial" w:cs="Arial"/>
                <w:b/>
                <w:color w:val="171717"/>
                <w:sz w:val="24"/>
                <w:szCs w:val="24"/>
                <w:lang w:val="en-ZA"/>
              </w:rPr>
              <w:t>Case No:</w:t>
            </w:r>
          </w:p>
          <w:p w:rsidR="00126D42" w:rsidRPr="00EB0A3E" w:rsidRDefault="00EA0745" w:rsidP="009F1C58">
            <w:pPr>
              <w:spacing w:before="240" w:after="0" w:line="360" w:lineRule="auto"/>
              <w:jc w:val="both"/>
              <w:rPr>
                <w:rFonts w:ascii="Arial" w:eastAsia="Calibri" w:hAnsi="Arial" w:cs="Arial"/>
                <w:color w:val="171717"/>
                <w:sz w:val="24"/>
                <w:szCs w:val="24"/>
                <w:lang w:val="en-ZA"/>
              </w:rPr>
            </w:pPr>
            <w:r>
              <w:rPr>
                <w:rFonts w:ascii="Arial" w:eastAsia="Calibri" w:hAnsi="Arial" w:cs="Arial"/>
                <w:color w:val="171717"/>
                <w:sz w:val="24"/>
                <w:szCs w:val="24"/>
                <w:lang w:val="en-ZA"/>
              </w:rPr>
              <w:t>CR 16</w:t>
            </w:r>
            <w:r w:rsidR="00FE71D2">
              <w:rPr>
                <w:rFonts w:ascii="Arial" w:eastAsia="Calibri" w:hAnsi="Arial" w:cs="Arial"/>
                <w:color w:val="171717"/>
                <w:sz w:val="24"/>
                <w:szCs w:val="24"/>
                <w:lang w:val="en-ZA"/>
              </w:rPr>
              <w:t>/</w:t>
            </w:r>
            <w:bookmarkStart w:id="0" w:name="_GoBack"/>
            <w:bookmarkEnd w:id="0"/>
            <w:r w:rsidR="00FE71D2">
              <w:rPr>
                <w:rFonts w:ascii="Arial" w:eastAsia="Calibri" w:hAnsi="Arial" w:cs="Arial"/>
                <w:color w:val="171717"/>
                <w:sz w:val="24"/>
                <w:szCs w:val="24"/>
                <w:lang w:val="en-ZA"/>
              </w:rPr>
              <w:t>2023</w:t>
            </w:r>
          </w:p>
        </w:tc>
      </w:tr>
      <w:tr w:rsidR="00126D42" w:rsidRPr="00845E2D" w:rsidTr="009F1C58">
        <w:trPr>
          <w:trHeight w:val="844"/>
        </w:trPr>
        <w:tc>
          <w:tcPr>
            <w:tcW w:w="5397" w:type="dxa"/>
            <w:gridSpan w:val="2"/>
            <w:shd w:val="clear" w:color="auto" w:fill="auto"/>
          </w:tcPr>
          <w:p w:rsidR="00126D42" w:rsidRPr="00EB0A3E" w:rsidRDefault="00126D42" w:rsidP="009F1C58">
            <w:pPr>
              <w:spacing w:before="240" w:after="0" w:line="360" w:lineRule="auto"/>
              <w:jc w:val="both"/>
              <w:rPr>
                <w:rFonts w:ascii="Arial" w:eastAsia="Calibri" w:hAnsi="Arial" w:cs="Arial"/>
                <w:b/>
                <w:sz w:val="24"/>
                <w:szCs w:val="24"/>
                <w:lang w:val="en-ZA"/>
              </w:rPr>
            </w:pPr>
            <w:r w:rsidRPr="00EB0A3E">
              <w:rPr>
                <w:rFonts w:ascii="Arial" w:eastAsia="Calibri" w:hAnsi="Arial" w:cs="Arial"/>
                <w:b/>
                <w:sz w:val="24"/>
                <w:szCs w:val="24"/>
                <w:lang w:val="en-ZA"/>
              </w:rPr>
              <w:t>High Court MD Review No:</w:t>
            </w:r>
          </w:p>
          <w:p w:rsidR="00126D42" w:rsidRPr="00EB0A3E" w:rsidRDefault="00EA0745" w:rsidP="009F1C58">
            <w:pPr>
              <w:spacing w:before="240" w:after="0" w:line="360" w:lineRule="auto"/>
              <w:jc w:val="both"/>
              <w:rPr>
                <w:rFonts w:ascii="Arial" w:eastAsia="Calibri" w:hAnsi="Arial" w:cs="Arial"/>
                <w:b/>
                <w:sz w:val="24"/>
                <w:szCs w:val="24"/>
                <w:lang w:val="en-ZA"/>
              </w:rPr>
            </w:pPr>
            <w:r>
              <w:rPr>
                <w:rFonts w:ascii="Arial" w:eastAsia="Calibri" w:hAnsi="Arial" w:cs="Arial"/>
                <w:sz w:val="24"/>
                <w:szCs w:val="24"/>
                <w:lang w:val="en-ZA"/>
              </w:rPr>
              <w:t>121</w:t>
            </w:r>
            <w:r w:rsidR="00126D42">
              <w:rPr>
                <w:rFonts w:ascii="Arial" w:eastAsia="Calibri" w:hAnsi="Arial" w:cs="Arial"/>
                <w:sz w:val="24"/>
                <w:szCs w:val="24"/>
                <w:lang w:val="en-ZA"/>
              </w:rPr>
              <w:t>/2022</w:t>
            </w:r>
          </w:p>
        </w:tc>
        <w:tc>
          <w:tcPr>
            <w:tcW w:w="4323" w:type="dxa"/>
            <w:shd w:val="clear" w:color="auto" w:fill="auto"/>
          </w:tcPr>
          <w:p w:rsidR="00126D42" w:rsidRPr="00EB0A3E" w:rsidRDefault="00126D42" w:rsidP="009F1C58">
            <w:pPr>
              <w:spacing w:before="240" w:after="0" w:line="360" w:lineRule="auto"/>
              <w:jc w:val="both"/>
              <w:rPr>
                <w:rFonts w:ascii="Arial" w:eastAsia="Calibri" w:hAnsi="Arial" w:cs="Arial"/>
                <w:sz w:val="24"/>
                <w:szCs w:val="24"/>
                <w:lang w:val="en-ZA"/>
              </w:rPr>
            </w:pPr>
            <w:r w:rsidRPr="00EB0A3E">
              <w:rPr>
                <w:rFonts w:ascii="Arial" w:eastAsia="Calibri" w:hAnsi="Arial" w:cs="Arial"/>
                <w:b/>
                <w:sz w:val="24"/>
                <w:szCs w:val="24"/>
                <w:lang w:val="en-ZA"/>
              </w:rPr>
              <w:t>Division of Court:</w:t>
            </w:r>
          </w:p>
          <w:p w:rsidR="00126D42" w:rsidRPr="00EB0A3E" w:rsidRDefault="00126D42" w:rsidP="009F1C58">
            <w:pPr>
              <w:spacing w:before="240" w:after="0" w:line="360" w:lineRule="auto"/>
              <w:jc w:val="both"/>
              <w:rPr>
                <w:rFonts w:ascii="Arial" w:eastAsia="Calibri" w:hAnsi="Arial" w:cs="Arial"/>
                <w:sz w:val="24"/>
                <w:szCs w:val="24"/>
                <w:lang w:val="en-ZA"/>
              </w:rPr>
            </w:pPr>
            <w:r w:rsidRPr="00EB0A3E">
              <w:rPr>
                <w:rFonts w:ascii="Arial" w:eastAsia="Calibri" w:hAnsi="Arial" w:cs="Arial"/>
                <w:sz w:val="24"/>
                <w:szCs w:val="24"/>
                <w:lang w:val="en-ZA"/>
              </w:rPr>
              <w:t>Main Division</w:t>
            </w:r>
          </w:p>
        </w:tc>
      </w:tr>
      <w:tr w:rsidR="00126D42" w:rsidRPr="00845E2D" w:rsidTr="009F1C58">
        <w:trPr>
          <w:trHeight w:val="1277"/>
        </w:trPr>
        <w:tc>
          <w:tcPr>
            <w:tcW w:w="5397" w:type="dxa"/>
            <w:gridSpan w:val="2"/>
            <w:shd w:val="clear" w:color="auto" w:fill="auto"/>
          </w:tcPr>
          <w:p w:rsidR="00126D42" w:rsidRPr="00EB0A3E" w:rsidRDefault="00126D42" w:rsidP="009F1C58">
            <w:pPr>
              <w:spacing w:before="240" w:after="0" w:line="360" w:lineRule="auto"/>
              <w:contextualSpacing/>
              <w:jc w:val="both"/>
              <w:rPr>
                <w:rFonts w:ascii="Arial" w:eastAsia="Calibri" w:hAnsi="Arial" w:cs="Arial"/>
                <w:b/>
                <w:sz w:val="24"/>
                <w:szCs w:val="24"/>
                <w:lang w:val="en-ZA"/>
              </w:rPr>
            </w:pPr>
            <w:r w:rsidRPr="00EB0A3E">
              <w:rPr>
                <w:rFonts w:ascii="Arial" w:eastAsia="Calibri" w:hAnsi="Arial" w:cs="Arial"/>
                <w:b/>
                <w:sz w:val="24"/>
                <w:szCs w:val="24"/>
                <w:lang w:val="en-ZA"/>
              </w:rPr>
              <w:t>Heard before:</w:t>
            </w:r>
          </w:p>
          <w:p w:rsidR="00126D42" w:rsidRPr="00EB0A3E" w:rsidRDefault="00126D42" w:rsidP="00FE71D2">
            <w:pPr>
              <w:spacing w:before="240" w:after="0" w:line="360" w:lineRule="auto"/>
              <w:contextualSpacing/>
              <w:jc w:val="both"/>
              <w:rPr>
                <w:rFonts w:ascii="Arial" w:eastAsia="Calibri" w:hAnsi="Arial" w:cs="Arial"/>
                <w:color w:val="FF0000"/>
                <w:sz w:val="24"/>
                <w:szCs w:val="24"/>
                <w:lang w:val="en-ZA"/>
              </w:rPr>
            </w:pPr>
            <w:r w:rsidRPr="00264823">
              <w:rPr>
                <w:rFonts w:ascii="Arial" w:eastAsia="Calibri" w:hAnsi="Arial" w:cs="Arial"/>
                <w:sz w:val="24"/>
                <w:szCs w:val="24"/>
                <w:lang w:val="en-ZA"/>
              </w:rPr>
              <w:t>Judge January</w:t>
            </w:r>
            <w:r w:rsidR="00FE71D2">
              <w:rPr>
                <w:rFonts w:ascii="Arial" w:eastAsia="Calibri" w:hAnsi="Arial" w:cs="Arial"/>
                <w:sz w:val="24"/>
                <w:szCs w:val="24"/>
                <w:lang w:val="en-ZA"/>
              </w:rPr>
              <w:t xml:space="preserve"> and Acting Judge Christiaan</w:t>
            </w:r>
          </w:p>
        </w:tc>
        <w:tc>
          <w:tcPr>
            <w:tcW w:w="4323" w:type="dxa"/>
            <w:shd w:val="clear" w:color="auto" w:fill="auto"/>
          </w:tcPr>
          <w:p w:rsidR="00126D42" w:rsidRPr="00EB0A3E" w:rsidRDefault="00126D42" w:rsidP="009F1C58">
            <w:pPr>
              <w:spacing w:before="240" w:after="0" w:line="360" w:lineRule="auto"/>
              <w:contextualSpacing/>
              <w:jc w:val="both"/>
              <w:rPr>
                <w:rFonts w:ascii="Arial" w:eastAsia="Calibri" w:hAnsi="Arial" w:cs="Arial"/>
                <w:b/>
                <w:sz w:val="24"/>
                <w:szCs w:val="24"/>
                <w:lang w:val="en-ZA"/>
              </w:rPr>
            </w:pPr>
            <w:r w:rsidRPr="00EB0A3E">
              <w:rPr>
                <w:rFonts w:ascii="Arial" w:eastAsia="Calibri" w:hAnsi="Arial" w:cs="Arial"/>
                <w:b/>
                <w:sz w:val="24"/>
                <w:szCs w:val="24"/>
                <w:lang w:val="en-ZA"/>
              </w:rPr>
              <w:t>Delivered on:</w:t>
            </w:r>
          </w:p>
          <w:p w:rsidR="00126D42" w:rsidRPr="00EB0A3E" w:rsidRDefault="00147B41" w:rsidP="00FE71D2">
            <w:pPr>
              <w:spacing w:before="240" w:after="0" w:line="360" w:lineRule="auto"/>
              <w:contextualSpacing/>
              <w:jc w:val="both"/>
              <w:rPr>
                <w:rFonts w:ascii="Arial" w:eastAsia="Calibri" w:hAnsi="Arial" w:cs="Arial"/>
                <w:sz w:val="24"/>
                <w:szCs w:val="24"/>
                <w:lang w:val="en-ZA"/>
              </w:rPr>
            </w:pPr>
            <w:r>
              <w:rPr>
                <w:rFonts w:ascii="Arial" w:eastAsia="Calibri" w:hAnsi="Arial" w:cs="Arial"/>
                <w:sz w:val="24"/>
                <w:szCs w:val="24"/>
                <w:lang w:val="en-ZA"/>
              </w:rPr>
              <w:t xml:space="preserve">13 </w:t>
            </w:r>
            <w:r w:rsidR="00EA0745">
              <w:rPr>
                <w:rFonts w:ascii="Arial" w:eastAsia="Calibri" w:hAnsi="Arial" w:cs="Arial"/>
                <w:sz w:val="24"/>
                <w:szCs w:val="24"/>
                <w:lang w:val="en-ZA"/>
              </w:rPr>
              <w:t>June</w:t>
            </w:r>
            <w:r w:rsidR="00FE71D2">
              <w:rPr>
                <w:rFonts w:ascii="Arial" w:eastAsia="Calibri" w:hAnsi="Arial" w:cs="Arial"/>
                <w:sz w:val="24"/>
                <w:szCs w:val="24"/>
                <w:lang w:val="en-ZA"/>
              </w:rPr>
              <w:t xml:space="preserve"> 2023</w:t>
            </w:r>
          </w:p>
        </w:tc>
      </w:tr>
      <w:tr w:rsidR="00126D42" w:rsidRPr="00845E2D" w:rsidTr="009F1C58">
        <w:tc>
          <w:tcPr>
            <w:tcW w:w="9720" w:type="dxa"/>
            <w:gridSpan w:val="3"/>
            <w:shd w:val="clear" w:color="auto" w:fill="auto"/>
          </w:tcPr>
          <w:p w:rsidR="00126D42" w:rsidRPr="00EB0A3E" w:rsidRDefault="00126D42" w:rsidP="009F1C58">
            <w:pPr>
              <w:spacing w:after="0" w:line="360" w:lineRule="auto"/>
              <w:jc w:val="both"/>
              <w:rPr>
                <w:rFonts w:ascii="Arial" w:eastAsia="Calibri" w:hAnsi="Arial" w:cs="Arial"/>
                <w:b/>
                <w:color w:val="0D0D0D"/>
                <w:sz w:val="24"/>
                <w:szCs w:val="24"/>
                <w:lang w:val="en-ZA"/>
              </w:rPr>
            </w:pPr>
          </w:p>
          <w:p w:rsidR="00126D42" w:rsidRPr="00EB0A3E" w:rsidRDefault="00126D42" w:rsidP="009F1C58">
            <w:pPr>
              <w:spacing w:after="0" w:line="360" w:lineRule="auto"/>
              <w:jc w:val="both"/>
              <w:rPr>
                <w:rFonts w:ascii="Arial" w:eastAsia="Calibri" w:hAnsi="Arial" w:cs="Arial"/>
                <w:color w:val="0D0D0D"/>
                <w:sz w:val="24"/>
                <w:szCs w:val="24"/>
                <w:lang w:val="en-ZA"/>
              </w:rPr>
            </w:pPr>
            <w:r w:rsidRPr="00EB0A3E">
              <w:rPr>
                <w:rFonts w:ascii="Arial" w:eastAsia="Calibri" w:hAnsi="Arial" w:cs="Arial"/>
                <w:b/>
                <w:color w:val="0D0D0D"/>
                <w:sz w:val="24"/>
                <w:szCs w:val="24"/>
                <w:lang w:val="en-ZA"/>
              </w:rPr>
              <w:t xml:space="preserve">Neutral citation: </w:t>
            </w:r>
            <w:r w:rsidRPr="00EB0A3E">
              <w:rPr>
                <w:rFonts w:ascii="Arial" w:eastAsia="Calibri" w:hAnsi="Arial" w:cs="Arial"/>
                <w:i/>
                <w:color w:val="0D0D0D"/>
                <w:sz w:val="24"/>
                <w:szCs w:val="24"/>
                <w:lang w:val="en-ZA"/>
              </w:rPr>
              <w:t xml:space="preserve">S v </w:t>
            </w:r>
            <w:proofErr w:type="spellStart"/>
            <w:r w:rsidR="00726C06">
              <w:rPr>
                <w:rFonts w:ascii="Arial" w:eastAsia="Calibri" w:hAnsi="Arial" w:cs="Arial"/>
                <w:i/>
                <w:color w:val="171717"/>
                <w:sz w:val="24"/>
                <w:szCs w:val="24"/>
                <w:lang w:val="en-ZA"/>
              </w:rPr>
              <w:t>Kanguatjivi</w:t>
            </w:r>
            <w:proofErr w:type="spellEnd"/>
            <w:r>
              <w:rPr>
                <w:rFonts w:ascii="Arial" w:eastAsia="Calibri" w:hAnsi="Arial" w:cs="Arial"/>
                <w:i/>
                <w:color w:val="171717"/>
                <w:sz w:val="24"/>
                <w:szCs w:val="24"/>
                <w:lang w:val="en-ZA"/>
              </w:rPr>
              <w:t xml:space="preserve"> </w:t>
            </w:r>
            <w:r w:rsidRPr="00EB0A3E">
              <w:rPr>
                <w:rFonts w:ascii="Arial" w:eastAsia="Calibri" w:hAnsi="Arial" w:cs="Arial"/>
                <w:color w:val="0D0D0D"/>
                <w:sz w:val="24"/>
                <w:szCs w:val="24"/>
                <w:lang w:val="en-ZA"/>
              </w:rPr>
              <w:t xml:space="preserve">(CR </w:t>
            </w:r>
            <w:r w:rsidR="00147B41" w:rsidRPr="00147B41">
              <w:rPr>
                <w:rFonts w:ascii="Arial" w:eastAsia="Calibri" w:hAnsi="Arial" w:cs="Arial"/>
                <w:sz w:val="24"/>
                <w:szCs w:val="24"/>
                <w:lang w:val="en-ZA"/>
              </w:rPr>
              <w:t>16/2023</w:t>
            </w:r>
            <w:r w:rsidRPr="00EB0A3E">
              <w:rPr>
                <w:rFonts w:ascii="Arial" w:eastAsia="Calibri" w:hAnsi="Arial" w:cs="Arial"/>
                <w:color w:val="0D0D0D"/>
                <w:sz w:val="24"/>
                <w:szCs w:val="24"/>
                <w:lang w:val="en-ZA"/>
              </w:rPr>
              <w:t>) [202</w:t>
            </w:r>
            <w:r w:rsidR="00FE71D2">
              <w:rPr>
                <w:rFonts w:ascii="Arial" w:eastAsia="Calibri" w:hAnsi="Arial" w:cs="Arial"/>
                <w:color w:val="0D0D0D"/>
                <w:sz w:val="24"/>
                <w:szCs w:val="24"/>
                <w:lang w:val="en-ZA"/>
              </w:rPr>
              <w:t>3</w:t>
            </w:r>
            <w:r w:rsidRPr="00EB0A3E">
              <w:rPr>
                <w:rFonts w:ascii="Arial" w:eastAsia="Calibri" w:hAnsi="Arial" w:cs="Arial"/>
                <w:color w:val="0D0D0D"/>
                <w:sz w:val="24"/>
                <w:szCs w:val="24"/>
                <w:lang w:val="en-ZA"/>
              </w:rPr>
              <w:t xml:space="preserve">] NAHCMD </w:t>
            </w:r>
            <w:r w:rsidR="00147B41">
              <w:rPr>
                <w:rFonts w:ascii="Arial" w:eastAsia="Calibri" w:hAnsi="Arial" w:cs="Arial"/>
                <w:color w:val="0D0D0D"/>
                <w:sz w:val="24"/>
                <w:szCs w:val="24"/>
                <w:lang w:val="en-ZA"/>
              </w:rPr>
              <w:t xml:space="preserve">317 (13 </w:t>
            </w:r>
            <w:r w:rsidR="00EA0745">
              <w:rPr>
                <w:rFonts w:ascii="Arial" w:eastAsia="Calibri" w:hAnsi="Arial" w:cs="Arial"/>
                <w:sz w:val="24"/>
                <w:szCs w:val="24"/>
                <w:lang w:val="en-ZA"/>
              </w:rPr>
              <w:t>June</w:t>
            </w:r>
            <w:r w:rsidR="00FE71D2">
              <w:rPr>
                <w:rFonts w:ascii="Arial" w:eastAsia="Calibri" w:hAnsi="Arial" w:cs="Arial"/>
                <w:sz w:val="24"/>
                <w:szCs w:val="24"/>
                <w:lang w:val="en-ZA"/>
              </w:rPr>
              <w:t xml:space="preserve"> 2023</w:t>
            </w:r>
            <w:r w:rsidRPr="00EB0A3E">
              <w:rPr>
                <w:rFonts w:ascii="Arial" w:eastAsia="Calibri" w:hAnsi="Arial" w:cs="Arial"/>
                <w:color w:val="0D0D0D"/>
                <w:sz w:val="24"/>
                <w:szCs w:val="24"/>
                <w:lang w:val="en-ZA"/>
              </w:rPr>
              <w:t>)</w:t>
            </w:r>
          </w:p>
          <w:p w:rsidR="00126D42" w:rsidRPr="00EB0A3E" w:rsidRDefault="00126D42" w:rsidP="009F1C58">
            <w:pPr>
              <w:spacing w:after="0" w:line="360" w:lineRule="auto"/>
              <w:jc w:val="both"/>
              <w:rPr>
                <w:rFonts w:ascii="Arial" w:eastAsia="Calibri" w:hAnsi="Arial" w:cs="Arial"/>
                <w:color w:val="0D0D0D"/>
                <w:sz w:val="24"/>
                <w:szCs w:val="24"/>
                <w:lang w:val="en-ZA"/>
              </w:rPr>
            </w:pPr>
          </w:p>
        </w:tc>
      </w:tr>
      <w:tr w:rsidR="00126D42" w:rsidRPr="00845E2D" w:rsidTr="009F1C58">
        <w:tc>
          <w:tcPr>
            <w:tcW w:w="9720" w:type="dxa"/>
            <w:gridSpan w:val="3"/>
            <w:shd w:val="clear" w:color="auto" w:fill="auto"/>
          </w:tcPr>
          <w:p w:rsidR="00126D42" w:rsidRPr="00EB0A3E" w:rsidRDefault="00126D42" w:rsidP="009F1C58">
            <w:pPr>
              <w:spacing w:before="240" w:after="0" w:line="360" w:lineRule="auto"/>
              <w:contextualSpacing/>
              <w:jc w:val="both"/>
              <w:rPr>
                <w:rFonts w:ascii="Arial" w:eastAsia="Calibri" w:hAnsi="Arial" w:cs="Arial"/>
                <w:b/>
                <w:sz w:val="24"/>
                <w:szCs w:val="24"/>
                <w:lang w:val="en-ZA"/>
              </w:rPr>
            </w:pPr>
          </w:p>
          <w:p w:rsidR="00126D42" w:rsidRPr="00EB0A3E" w:rsidRDefault="00126D42" w:rsidP="009F1C58">
            <w:pPr>
              <w:spacing w:before="240" w:after="0" w:line="360" w:lineRule="auto"/>
              <w:contextualSpacing/>
              <w:jc w:val="both"/>
              <w:rPr>
                <w:rFonts w:ascii="Arial" w:eastAsia="Calibri" w:hAnsi="Arial" w:cs="Arial"/>
                <w:b/>
                <w:sz w:val="24"/>
                <w:szCs w:val="24"/>
                <w:lang w:val="en-ZA"/>
              </w:rPr>
            </w:pPr>
            <w:r w:rsidRPr="00EB0A3E">
              <w:rPr>
                <w:rFonts w:ascii="Arial" w:eastAsia="Calibri" w:hAnsi="Arial" w:cs="Arial"/>
                <w:b/>
                <w:sz w:val="24"/>
                <w:szCs w:val="24"/>
                <w:lang w:val="en-ZA"/>
              </w:rPr>
              <w:t>The order:</w:t>
            </w:r>
          </w:p>
          <w:p w:rsidR="007829CE" w:rsidRDefault="007829CE" w:rsidP="00EA0745">
            <w:pPr>
              <w:pStyle w:val="ListParagraph"/>
              <w:numPr>
                <w:ilvl w:val="0"/>
                <w:numId w:val="2"/>
              </w:num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The conviction and sentence on count one, fraud</w:t>
            </w:r>
            <w:r w:rsidR="002436E3">
              <w:rPr>
                <w:rFonts w:ascii="Arial" w:eastAsia="Calibri" w:hAnsi="Arial" w:cs="Arial"/>
                <w:sz w:val="24"/>
                <w:szCs w:val="24"/>
                <w:lang w:val="en-GB"/>
              </w:rPr>
              <w:t>,</w:t>
            </w:r>
            <w:r>
              <w:rPr>
                <w:rFonts w:ascii="Arial" w:eastAsia="Calibri" w:hAnsi="Arial" w:cs="Arial"/>
                <w:sz w:val="24"/>
                <w:szCs w:val="24"/>
                <w:lang w:val="en-GB"/>
              </w:rPr>
              <w:t xml:space="preserve"> are confirmed.</w:t>
            </w:r>
          </w:p>
          <w:p w:rsidR="002436E3" w:rsidRDefault="002436E3" w:rsidP="00EA0745">
            <w:pPr>
              <w:pStyle w:val="ListParagraph"/>
              <w:spacing w:after="0" w:line="240" w:lineRule="auto"/>
              <w:ind w:left="1962"/>
              <w:jc w:val="both"/>
              <w:rPr>
                <w:rFonts w:ascii="Arial" w:eastAsia="Calibri" w:hAnsi="Arial" w:cs="Arial"/>
                <w:sz w:val="24"/>
                <w:szCs w:val="24"/>
                <w:lang w:val="en-GB"/>
              </w:rPr>
            </w:pPr>
          </w:p>
          <w:p w:rsidR="00126D42" w:rsidRDefault="007829CE" w:rsidP="00EA0745">
            <w:pPr>
              <w:pStyle w:val="ListParagraph"/>
              <w:numPr>
                <w:ilvl w:val="0"/>
                <w:numId w:val="2"/>
              </w:numPr>
              <w:spacing w:after="0" w:line="240" w:lineRule="auto"/>
              <w:jc w:val="both"/>
              <w:rPr>
                <w:rFonts w:ascii="Arial" w:eastAsia="Calibri" w:hAnsi="Arial" w:cs="Arial"/>
                <w:sz w:val="24"/>
                <w:szCs w:val="24"/>
                <w:lang w:val="en-GB"/>
              </w:rPr>
            </w:pPr>
            <w:r>
              <w:rPr>
                <w:rFonts w:ascii="Arial" w:eastAsia="Calibri" w:hAnsi="Arial" w:cs="Arial"/>
                <w:sz w:val="24"/>
                <w:szCs w:val="24"/>
                <w:lang w:val="en-GB"/>
              </w:rPr>
              <w:t>The conviction</w:t>
            </w:r>
            <w:r w:rsidR="007D0011">
              <w:rPr>
                <w:rFonts w:ascii="Arial" w:eastAsia="Calibri" w:hAnsi="Arial" w:cs="Arial"/>
                <w:sz w:val="24"/>
                <w:szCs w:val="24"/>
                <w:lang w:val="en-GB"/>
              </w:rPr>
              <w:t xml:space="preserve"> and sentence</w:t>
            </w:r>
            <w:r>
              <w:rPr>
                <w:rFonts w:ascii="Arial" w:eastAsia="Calibri" w:hAnsi="Arial" w:cs="Arial"/>
                <w:sz w:val="24"/>
                <w:szCs w:val="24"/>
                <w:lang w:val="en-GB"/>
              </w:rPr>
              <w:t xml:space="preserve"> of </w:t>
            </w:r>
            <w:r w:rsidR="00CF5507">
              <w:rPr>
                <w:rFonts w:ascii="Arial" w:eastAsia="Calibri" w:hAnsi="Arial" w:cs="Arial"/>
                <w:sz w:val="24"/>
                <w:szCs w:val="24"/>
                <w:lang w:val="en-GB"/>
              </w:rPr>
              <w:t>fraud</w:t>
            </w:r>
            <w:r w:rsidR="002436E3">
              <w:rPr>
                <w:rFonts w:ascii="Arial" w:eastAsia="Calibri" w:hAnsi="Arial" w:cs="Arial"/>
                <w:sz w:val="24"/>
                <w:szCs w:val="24"/>
                <w:lang w:val="en-GB"/>
              </w:rPr>
              <w:t xml:space="preserve"> on count two</w:t>
            </w:r>
            <w:r>
              <w:rPr>
                <w:rFonts w:ascii="Arial" w:eastAsia="Calibri" w:hAnsi="Arial" w:cs="Arial"/>
                <w:sz w:val="24"/>
                <w:szCs w:val="24"/>
                <w:lang w:val="en-GB"/>
              </w:rPr>
              <w:t xml:space="preserve"> </w:t>
            </w:r>
            <w:r w:rsidR="0066735F">
              <w:rPr>
                <w:rFonts w:ascii="Arial" w:eastAsia="Calibri" w:hAnsi="Arial" w:cs="Arial"/>
                <w:sz w:val="24"/>
                <w:szCs w:val="24"/>
                <w:lang w:val="en-GB"/>
              </w:rPr>
              <w:t xml:space="preserve">are </w:t>
            </w:r>
            <w:r>
              <w:rPr>
                <w:rFonts w:ascii="Arial" w:eastAsia="Calibri" w:hAnsi="Arial" w:cs="Arial"/>
                <w:sz w:val="24"/>
                <w:szCs w:val="24"/>
                <w:lang w:val="en-GB"/>
              </w:rPr>
              <w:t>set aside;</w:t>
            </w:r>
          </w:p>
          <w:p w:rsidR="007829CE" w:rsidRPr="007829CE" w:rsidRDefault="007829CE" w:rsidP="00F9721D">
            <w:pPr>
              <w:pStyle w:val="ListParagraph"/>
              <w:spacing w:before="240" w:after="0" w:line="360" w:lineRule="auto"/>
              <w:ind w:left="1962"/>
              <w:jc w:val="both"/>
              <w:rPr>
                <w:rFonts w:ascii="Arial" w:eastAsia="Calibri" w:hAnsi="Arial" w:cs="Arial"/>
                <w:sz w:val="24"/>
                <w:szCs w:val="24"/>
                <w:lang w:val="en-GB"/>
              </w:rPr>
            </w:pPr>
          </w:p>
        </w:tc>
      </w:tr>
      <w:tr w:rsidR="00126D42" w:rsidRPr="00845E2D" w:rsidTr="009F1C58">
        <w:tc>
          <w:tcPr>
            <w:tcW w:w="9720" w:type="dxa"/>
            <w:gridSpan w:val="3"/>
            <w:shd w:val="clear" w:color="auto" w:fill="auto"/>
          </w:tcPr>
          <w:p w:rsidR="00126D42" w:rsidRPr="00EB0A3E" w:rsidRDefault="00126D42" w:rsidP="009F1C58">
            <w:pPr>
              <w:spacing w:before="240" w:after="0" w:line="360" w:lineRule="auto"/>
              <w:jc w:val="both"/>
              <w:rPr>
                <w:rFonts w:ascii="Arial" w:eastAsia="Calibri" w:hAnsi="Arial" w:cs="Arial"/>
                <w:b/>
                <w:sz w:val="24"/>
                <w:szCs w:val="24"/>
                <w:lang w:val="en-ZA"/>
              </w:rPr>
            </w:pPr>
            <w:r w:rsidRPr="00EB0A3E">
              <w:rPr>
                <w:rFonts w:ascii="Arial" w:eastAsia="Calibri" w:hAnsi="Arial" w:cs="Arial"/>
                <w:b/>
                <w:sz w:val="24"/>
                <w:szCs w:val="24"/>
                <w:lang w:val="en-ZA"/>
              </w:rPr>
              <w:t>Reasons for order:</w:t>
            </w:r>
          </w:p>
        </w:tc>
      </w:tr>
      <w:tr w:rsidR="00126D42" w:rsidRPr="00845E2D" w:rsidTr="00EB457C">
        <w:trPr>
          <w:trHeight w:val="3320"/>
        </w:trPr>
        <w:tc>
          <w:tcPr>
            <w:tcW w:w="9720" w:type="dxa"/>
            <w:gridSpan w:val="3"/>
            <w:shd w:val="clear" w:color="auto" w:fill="auto"/>
          </w:tcPr>
          <w:p w:rsidR="00126D42" w:rsidRPr="00241C0F" w:rsidRDefault="007D0011" w:rsidP="009F1C58">
            <w:pPr>
              <w:spacing w:before="240" w:after="0" w:line="360" w:lineRule="auto"/>
              <w:rPr>
                <w:rFonts w:ascii="Arial" w:eastAsia="Calibri" w:hAnsi="Arial" w:cs="Arial"/>
                <w:i/>
                <w:sz w:val="24"/>
                <w:szCs w:val="24"/>
                <w:lang w:val="en-ZA"/>
              </w:rPr>
            </w:pPr>
            <w:r w:rsidRPr="00EB0A3E">
              <w:rPr>
                <w:rFonts w:ascii="Arial" w:eastAsia="Calibri" w:hAnsi="Arial" w:cs="Arial"/>
                <w:sz w:val="24"/>
                <w:szCs w:val="24"/>
                <w:lang w:val="en-ZA"/>
              </w:rPr>
              <w:lastRenderedPageBreak/>
              <w:t>JANUARY, J (</w:t>
            </w:r>
            <w:r w:rsidR="00EA0745">
              <w:rPr>
                <w:rFonts w:ascii="Arial" w:eastAsia="Calibri" w:hAnsi="Arial" w:cs="Arial"/>
                <w:sz w:val="24"/>
                <w:szCs w:val="24"/>
                <w:lang w:val="en-ZA"/>
              </w:rPr>
              <w:t>CHRISTIAAN</w:t>
            </w:r>
            <w:r>
              <w:rPr>
                <w:rFonts w:ascii="Arial" w:eastAsia="Calibri" w:hAnsi="Arial" w:cs="Arial"/>
                <w:sz w:val="24"/>
                <w:szCs w:val="24"/>
                <w:lang w:val="en-ZA"/>
              </w:rPr>
              <w:t xml:space="preserve"> </w:t>
            </w:r>
            <w:r w:rsidR="00EA0745">
              <w:rPr>
                <w:rFonts w:ascii="Arial" w:eastAsia="Calibri" w:hAnsi="Arial" w:cs="Arial"/>
                <w:sz w:val="24"/>
                <w:szCs w:val="24"/>
                <w:lang w:val="en-ZA"/>
              </w:rPr>
              <w:t>A</w:t>
            </w:r>
            <w:r w:rsidRPr="00EB0A3E">
              <w:rPr>
                <w:rFonts w:ascii="Arial" w:eastAsia="Calibri" w:hAnsi="Arial" w:cs="Arial"/>
                <w:sz w:val="24"/>
                <w:szCs w:val="24"/>
                <w:lang w:val="en-ZA"/>
              </w:rPr>
              <w:t xml:space="preserve">J </w:t>
            </w:r>
            <w:r w:rsidR="00126D42" w:rsidRPr="00EB0A3E">
              <w:rPr>
                <w:rFonts w:ascii="Arial" w:eastAsia="Calibri" w:hAnsi="Arial" w:cs="Arial"/>
                <w:sz w:val="24"/>
                <w:szCs w:val="24"/>
                <w:lang w:val="en-ZA"/>
              </w:rPr>
              <w:t>concurring)</w:t>
            </w:r>
            <w:r w:rsidR="00126D42">
              <w:rPr>
                <w:rFonts w:ascii="Arial" w:eastAsia="Calibri" w:hAnsi="Arial" w:cs="Arial"/>
                <w:sz w:val="24"/>
                <w:szCs w:val="24"/>
                <w:lang w:val="en-ZA"/>
              </w:rPr>
              <w:t xml:space="preserve">  </w:t>
            </w:r>
          </w:p>
          <w:p w:rsidR="00126D42" w:rsidRPr="00BC4F0A" w:rsidRDefault="00126D42" w:rsidP="00FE71D2">
            <w:pPr>
              <w:numPr>
                <w:ilvl w:val="0"/>
                <w:numId w:val="1"/>
              </w:numPr>
              <w:spacing w:before="240" w:after="0" w:line="360" w:lineRule="auto"/>
              <w:ind w:left="-18" w:hanging="67"/>
              <w:jc w:val="both"/>
              <w:rPr>
                <w:rFonts w:ascii="Arial" w:eastAsia="Calibri" w:hAnsi="Arial" w:cs="Arial"/>
                <w:sz w:val="24"/>
                <w:szCs w:val="24"/>
                <w:lang w:val="en-GB"/>
              </w:rPr>
            </w:pPr>
            <w:r w:rsidRPr="00BC4F0A">
              <w:rPr>
                <w:rFonts w:ascii="Arial" w:eastAsia="Calibri" w:hAnsi="Arial" w:cs="Arial"/>
                <w:sz w:val="24"/>
                <w:szCs w:val="24"/>
                <w:lang w:val="en-GB"/>
              </w:rPr>
              <w:t>This review matter</w:t>
            </w:r>
            <w:r>
              <w:rPr>
                <w:rFonts w:ascii="Arial" w:eastAsia="Calibri" w:hAnsi="Arial" w:cs="Arial"/>
                <w:sz w:val="24"/>
                <w:szCs w:val="24"/>
                <w:lang w:val="en-GB"/>
              </w:rPr>
              <w:t xml:space="preserve"> stems from the Gobabis Magistrates Court and is submitted</w:t>
            </w:r>
            <w:r w:rsidR="00613D57">
              <w:rPr>
                <w:rFonts w:ascii="Arial" w:eastAsia="Calibri" w:hAnsi="Arial" w:cs="Arial"/>
                <w:sz w:val="24"/>
                <w:szCs w:val="24"/>
                <w:lang w:val="en-GB"/>
              </w:rPr>
              <w:t xml:space="preserve"> in terms of s</w:t>
            </w:r>
            <w:r w:rsidRPr="00BC4F0A">
              <w:rPr>
                <w:rFonts w:ascii="Arial" w:eastAsia="Calibri" w:hAnsi="Arial" w:cs="Arial"/>
                <w:sz w:val="24"/>
                <w:szCs w:val="24"/>
                <w:lang w:val="en-GB"/>
              </w:rPr>
              <w:t xml:space="preserve"> 302(1) of the Criminal Procedure Act 51 of 1977, as amended (the CPA).</w:t>
            </w:r>
          </w:p>
          <w:p w:rsidR="00126D42" w:rsidRDefault="00126D42" w:rsidP="00FE71D2">
            <w:pPr>
              <w:numPr>
                <w:ilvl w:val="0"/>
                <w:numId w:val="1"/>
              </w:numPr>
              <w:spacing w:before="240" w:after="0" w:line="360" w:lineRule="auto"/>
              <w:ind w:left="-18" w:hanging="67"/>
              <w:jc w:val="both"/>
              <w:rPr>
                <w:rFonts w:ascii="Arial" w:eastAsia="Calibri" w:hAnsi="Arial" w:cs="Arial"/>
                <w:sz w:val="24"/>
                <w:szCs w:val="24"/>
                <w:lang w:val="en-GB"/>
              </w:rPr>
            </w:pPr>
            <w:r w:rsidRPr="00EB0A3E">
              <w:rPr>
                <w:rFonts w:ascii="Arial" w:eastAsia="Calibri" w:hAnsi="Arial" w:cs="Arial"/>
                <w:sz w:val="24"/>
                <w:szCs w:val="24"/>
                <w:lang w:val="en-GB"/>
              </w:rPr>
              <w:t>The accused</w:t>
            </w:r>
            <w:r>
              <w:rPr>
                <w:rFonts w:ascii="Arial" w:eastAsia="Calibri" w:hAnsi="Arial" w:cs="Arial"/>
                <w:sz w:val="24"/>
                <w:szCs w:val="24"/>
                <w:lang w:val="en-GB"/>
              </w:rPr>
              <w:t xml:space="preserve"> was charged on two counts of fraud. The allegations are that; 1. The accused wrongfully, unlawfully, falsely and with intent</w:t>
            </w:r>
            <w:r w:rsidR="00F9721D">
              <w:rPr>
                <w:rFonts w:ascii="Arial" w:eastAsia="Calibri" w:hAnsi="Arial" w:cs="Arial"/>
                <w:sz w:val="24"/>
                <w:szCs w:val="24"/>
                <w:lang w:val="en-GB"/>
              </w:rPr>
              <w:t xml:space="preserve"> to</w:t>
            </w:r>
            <w:r>
              <w:rPr>
                <w:rFonts w:ascii="Arial" w:eastAsia="Calibri" w:hAnsi="Arial" w:cs="Arial"/>
                <w:sz w:val="24"/>
                <w:szCs w:val="24"/>
                <w:lang w:val="en-GB"/>
              </w:rPr>
              <w:t xml:space="preserve"> defraud did give out and pretend to Omaheke-Mega Save or </w:t>
            </w:r>
            <w:proofErr w:type="spellStart"/>
            <w:r>
              <w:rPr>
                <w:rFonts w:ascii="Arial" w:eastAsia="Calibri" w:hAnsi="Arial" w:cs="Arial"/>
                <w:sz w:val="24"/>
                <w:szCs w:val="24"/>
                <w:lang w:val="en-GB"/>
              </w:rPr>
              <w:t>Batseba</w:t>
            </w:r>
            <w:proofErr w:type="spellEnd"/>
            <w:r>
              <w:rPr>
                <w:rFonts w:ascii="Arial" w:eastAsia="Calibri" w:hAnsi="Arial" w:cs="Arial"/>
                <w:sz w:val="24"/>
                <w:szCs w:val="24"/>
                <w:lang w:val="en-GB"/>
              </w:rPr>
              <w:t xml:space="preserve"> </w:t>
            </w:r>
            <w:proofErr w:type="spellStart"/>
            <w:r>
              <w:rPr>
                <w:rFonts w:ascii="Arial" w:eastAsia="Calibri" w:hAnsi="Arial" w:cs="Arial"/>
                <w:sz w:val="24"/>
                <w:szCs w:val="24"/>
                <w:lang w:val="en-GB"/>
              </w:rPr>
              <w:t>Kaheuva</w:t>
            </w:r>
            <w:proofErr w:type="spellEnd"/>
            <w:r>
              <w:rPr>
                <w:rFonts w:ascii="Arial" w:eastAsia="Calibri" w:hAnsi="Arial" w:cs="Arial"/>
                <w:sz w:val="24"/>
                <w:szCs w:val="24"/>
                <w:lang w:val="en-GB"/>
              </w:rPr>
              <w:t xml:space="preserve"> that he was authorised to buy goods (alcohol) in the amount of N$1131.44 on the account of </w:t>
            </w:r>
            <w:proofErr w:type="spellStart"/>
            <w:r>
              <w:rPr>
                <w:rFonts w:ascii="Arial" w:eastAsia="Calibri" w:hAnsi="Arial" w:cs="Arial"/>
                <w:sz w:val="24"/>
                <w:szCs w:val="24"/>
                <w:lang w:val="en-GB"/>
              </w:rPr>
              <w:t>Milka</w:t>
            </w:r>
            <w:proofErr w:type="spellEnd"/>
            <w:r>
              <w:rPr>
                <w:rFonts w:ascii="Arial" w:eastAsia="Calibri" w:hAnsi="Arial" w:cs="Arial"/>
                <w:sz w:val="24"/>
                <w:szCs w:val="24"/>
                <w:lang w:val="en-GB"/>
              </w:rPr>
              <w:t xml:space="preserve"> </w:t>
            </w:r>
            <w:proofErr w:type="spellStart"/>
            <w:r>
              <w:rPr>
                <w:rFonts w:ascii="Arial" w:eastAsia="Calibri" w:hAnsi="Arial" w:cs="Arial"/>
                <w:sz w:val="24"/>
                <w:szCs w:val="24"/>
                <w:lang w:val="en-GB"/>
              </w:rPr>
              <w:t>Ndjavera</w:t>
            </w:r>
            <w:proofErr w:type="spellEnd"/>
            <w:r>
              <w:rPr>
                <w:rFonts w:ascii="Arial" w:eastAsia="Calibri" w:hAnsi="Arial" w:cs="Arial"/>
                <w:sz w:val="24"/>
                <w:szCs w:val="24"/>
                <w:lang w:val="en-GB"/>
              </w:rPr>
              <w:t xml:space="preserve"> when in truth and fact the accused was not so authorised, and; 2. That the accused wrongfully, unlawfully, falsely and with intent</w:t>
            </w:r>
            <w:r w:rsidR="00F9721D">
              <w:rPr>
                <w:rFonts w:ascii="Arial" w:eastAsia="Calibri" w:hAnsi="Arial" w:cs="Arial"/>
                <w:sz w:val="24"/>
                <w:szCs w:val="24"/>
                <w:lang w:val="en-GB"/>
              </w:rPr>
              <w:t xml:space="preserve"> to</w:t>
            </w:r>
            <w:r>
              <w:rPr>
                <w:rFonts w:ascii="Arial" w:eastAsia="Calibri" w:hAnsi="Arial" w:cs="Arial"/>
                <w:sz w:val="24"/>
                <w:szCs w:val="24"/>
                <w:lang w:val="en-GB"/>
              </w:rPr>
              <w:t xml:space="preserve"> defraud did give out and pretend to Standard Bank, Gobabis that he was authorised to withdraw cash in the amount of N$3000 from the account number </w:t>
            </w:r>
            <w:r w:rsidR="008B1E84">
              <w:rPr>
                <w:rFonts w:ascii="Arial" w:eastAsia="Calibri" w:hAnsi="Arial" w:cs="Arial"/>
                <w:sz w:val="24"/>
                <w:szCs w:val="24"/>
                <w:lang w:val="en-GB"/>
              </w:rPr>
              <w:t>041343743 belonging</w:t>
            </w:r>
            <w:r>
              <w:rPr>
                <w:rFonts w:ascii="Arial" w:eastAsia="Calibri" w:hAnsi="Arial" w:cs="Arial"/>
                <w:sz w:val="24"/>
                <w:szCs w:val="24"/>
                <w:lang w:val="en-GB"/>
              </w:rPr>
              <w:t xml:space="preserve"> to </w:t>
            </w:r>
            <w:proofErr w:type="spellStart"/>
            <w:r>
              <w:rPr>
                <w:rFonts w:ascii="Arial" w:eastAsia="Calibri" w:hAnsi="Arial" w:cs="Arial"/>
                <w:sz w:val="24"/>
                <w:szCs w:val="24"/>
                <w:lang w:val="en-GB"/>
              </w:rPr>
              <w:t>Milka</w:t>
            </w:r>
            <w:proofErr w:type="spellEnd"/>
            <w:r>
              <w:rPr>
                <w:rFonts w:ascii="Arial" w:eastAsia="Calibri" w:hAnsi="Arial" w:cs="Arial"/>
                <w:sz w:val="24"/>
                <w:szCs w:val="24"/>
                <w:lang w:val="en-GB"/>
              </w:rPr>
              <w:t xml:space="preserve"> </w:t>
            </w:r>
            <w:proofErr w:type="spellStart"/>
            <w:r>
              <w:rPr>
                <w:rFonts w:ascii="Arial" w:eastAsia="Calibri" w:hAnsi="Arial" w:cs="Arial"/>
                <w:sz w:val="24"/>
                <w:szCs w:val="24"/>
                <w:lang w:val="en-GB"/>
              </w:rPr>
              <w:t>Ndjavera</w:t>
            </w:r>
            <w:proofErr w:type="spellEnd"/>
            <w:r w:rsidR="008B1E84">
              <w:rPr>
                <w:rFonts w:ascii="Arial" w:eastAsia="Calibri" w:hAnsi="Arial" w:cs="Arial"/>
                <w:sz w:val="24"/>
                <w:szCs w:val="24"/>
                <w:lang w:val="en-GB"/>
              </w:rPr>
              <w:t xml:space="preserve"> </w:t>
            </w:r>
            <w:r>
              <w:rPr>
                <w:rFonts w:ascii="Arial" w:eastAsia="Calibri" w:hAnsi="Arial" w:cs="Arial"/>
                <w:sz w:val="24"/>
                <w:szCs w:val="24"/>
                <w:lang w:val="en-GB"/>
              </w:rPr>
              <w:t>when in truth and fact the accused was not so authorised</w:t>
            </w:r>
            <w:r w:rsidR="008B1E84">
              <w:rPr>
                <w:rFonts w:ascii="Arial" w:eastAsia="Calibri" w:hAnsi="Arial" w:cs="Arial"/>
                <w:sz w:val="24"/>
                <w:szCs w:val="24"/>
                <w:lang w:val="en-GB"/>
              </w:rPr>
              <w:t>.</w:t>
            </w:r>
          </w:p>
          <w:p w:rsidR="00EF744A" w:rsidRDefault="008B1E84" w:rsidP="00FE71D2">
            <w:pPr>
              <w:numPr>
                <w:ilvl w:val="0"/>
                <w:numId w:val="1"/>
              </w:numPr>
              <w:spacing w:before="240" w:after="0" w:line="360" w:lineRule="auto"/>
              <w:ind w:left="-18" w:hanging="67"/>
              <w:jc w:val="both"/>
              <w:rPr>
                <w:rFonts w:ascii="Arial" w:eastAsia="Calibri" w:hAnsi="Arial" w:cs="Arial"/>
                <w:sz w:val="24"/>
                <w:szCs w:val="24"/>
                <w:lang w:val="en-GB"/>
              </w:rPr>
            </w:pPr>
            <w:r>
              <w:rPr>
                <w:rFonts w:ascii="Arial" w:eastAsia="Calibri" w:hAnsi="Arial" w:cs="Arial"/>
                <w:sz w:val="24"/>
                <w:szCs w:val="24"/>
                <w:lang w:val="en-GB"/>
              </w:rPr>
              <w:t>The accused pleaded guilty on count one and not guilty on count two. He was questioned pursu</w:t>
            </w:r>
            <w:r w:rsidR="00613D57">
              <w:rPr>
                <w:rFonts w:ascii="Arial" w:eastAsia="Calibri" w:hAnsi="Arial" w:cs="Arial"/>
                <w:sz w:val="24"/>
                <w:szCs w:val="24"/>
                <w:lang w:val="en-GB"/>
              </w:rPr>
              <w:t>ant to the provisions of s</w:t>
            </w:r>
            <w:r>
              <w:rPr>
                <w:rFonts w:ascii="Arial" w:eastAsia="Calibri" w:hAnsi="Arial" w:cs="Arial"/>
                <w:sz w:val="24"/>
                <w:szCs w:val="24"/>
                <w:lang w:val="en-GB"/>
              </w:rPr>
              <w:t xml:space="preserve"> 112(1</w:t>
            </w:r>
            <w:proofErr w:type="gramStart"/>
            <w:r>
              <w:rPr>
                <w:rFonts w:ascii="Arial" w:eastAsia="Calibri" w:hAnsi="Arial" w:cs="Arial"/>
                <w:sz w:val="24"/>
                <w:szCs w:val="24"/>
                <w:lang w:val="en-GB"/>
              </w:rPr>
              <w:t>)</w:t>
            </w:r>
            <w:r w:rsidRPr="00C53DB8">
              <w:rPr>
                <w:rFonts w:ascii="Arial" w:eastAsia="Calibri" w:hAnsi="Arial" w:cs="Arial"/>
                <w:i/>
                <w:sz w:val="24"/>
                <w:szCs w:val="24"/>
                <w:lang w:val="en-GB"/>
              </w:rPr>
              <w:t>(</w:t>
            </w:r>
            <w:proofErr w:type="gramEnd"/>
            <w:r w:rsidRPr="00C53DB8">
              <w:rPr>
                <w:rFonts w:ascii="Arial" w:eastAsia="Calibri" w:hAnsi="Arial" w:cs="Arial"/>
                <w:i/>
                <w:sz w:val="24"/>
                <w:szCs w:val="24"/>
                <w:lang w:val="en-GB"/>
              </w:rPr>
              <w:t>b)</w:t>
            </w:r>
            <w:r>
              <w:rPr>
                <w:rFonts w:ascii="Arial" w:eastAsia="Calibri" w:hAnsi="Arial" w:cs="Arial"/>
                <w:sz w:val="24"/>
                <w:szCs w:val="24"/>
                <w:lang w:val="en-GB"/>
              </w:rPr>
              <w:t xml:space="preserve"> of the CPA and duly convicted</w:t>
            </w:r>
            <w:r w:rsidR="00C53DB8">
              <w:rPr>
                <w:rFonts w:ascii="Arial" w:eastAsia="Calibri" w:hAnsi="Arial" w:cs="Arial"/>
                <w:sz w:val="24"/>
                <w:szCs w:val="24"/>
                <w:lang w:val="en-GB"/>
              </w:rPr>
              <w:t xml:space="preserve"> on count one</w:t>
            </w:r>
            <w:r>
              <w:rPr>
                <w:rFonts w:ascii="Arial" w:eastAsia="Calibri" w:hAnsi="Arial" w:cs="Arial"/>
                <w:sz w:val="24"/>
                <w:szCs w:val="24"/>
                <w:lang w:val="en-GB"/>
              </w:rPr>
              <w:t>. The magistrate applied section 115 of the CPA</w:t>
            </w:r>
            <w:r w:rsidR="00C53DB8">
              <w:rPr>
                <w:rFonts w:ascii="Arial" w:eastAsia="Calibri" w:hAnsi="Arial" w:cs="Arial"/>
                <w:sz w:val="24"/>
                <w:szCs w:val="24"/>
                <w:lang w:val="en-GB"/>
              </w:rPr>
              <w:t xml:space="preserve"> in relation to count two</w:t>
            </w:r>
            <w:r w:rsidR="00EF744A">
              <w:rPr>
                <w:rFonts w:ascii="Arial" w:eastAsia="Calibri" w:hAnsi="Arial" w:cs="Arial"/>
                <w:sz w:val="24"/>
                <w:szCs w:val="24"/>
                <w:lang w:val="en-GB"/>
              </w:rPr>
              <w:t>. The accused gave a plea explanation stating that he was sent by his mother firstly to withdraw N$5000, which he did. He</w:t>
            </w:r>
            <w:r w:rsidR="00F9721D">
              <w:rPr>
                <w:rFonts w:ascii="Arial" w:eastAsia="Calibri" w:hAnsi="Arial" w:cs="Arial"/>
                <w:sz w:val="24"/>
                <w:szCs w:val="24"/>
                <w:lang w:val="en-GB"/>
              </w:rPr>
              <w:t>, thereafter,</w:t>
            </w:r>
            <w:r w:rsidR="00EF744A">
              <w:rPr>
                <w:rFonts w:ascii="Arial" w:eastAsia="Calibri" w:hAnsi="Arial" w:cs="Arial"/>
                <w:sz w:val="24"/>
                <w:szCs w:val="24"/>
                <w:lang w:val="en-GB"/>
              </w:rPr>
              <w:t xml:space="preserve"> was then sent with a second instruction by his mother to withdraw N$3000. In addition, he stated</w:t>
            </w:r>
            <w:r>
              <w:rPr>
                <w:rFonts w:ascii="Arial" w:eastAsia="Calibri" w:hAnsi="Arial" w:cs="Arial"/>
                <w:sz w:val="24"/>
                <w:szCs w:val="24"/>
                <w:lang w:val="en-GB"/>
              </w:rPr>
              <w:t xml:space="preserve"> </w:t>
            </w:r>
            <w:r w:rsidR="00EF744A">
              <w:rPr>
                <w:rFonts w:ascii="Arial" w:eastAsia="Calibri" w:hAnsi="Arial" w:cs="Arial"/>
                <w:sz w:val="24"/>
                <w:szCs w:val="24"/>
                <w:lang w:val="en-GB"/>
              </w:rPr>
              <w:t>that his mother might have forgotten the second occasion.</w:t>
            </w:r>
          </w:p>
          <w:p w:rsidR="00226B70" w:rsidRDefault="00C53DB8" w:rsidP="00FE71D2">
            <w:pPr>
              <w:numPr>
                <w:ilvl w:val="0"/>
                <w:numId w:val="1"/>
              </w:numPr>
              <w:spacing w:before="240" w:after="0" w:line="360" w:lineRule="auto"/>
              <w:ind w:left="0" w:hanging="85"/>
              <w:jc w:val="both"/>
              <w:rPr>
                <w:rFonts w:ascii="Arial" w:eastAsia="Calibri" w:hAnsi="Arial" w:cs="Arial"/>
                <w:sz w:val="24"/>
                <w:szCs w:val="24"/>
                <w:lang w:val="en-GB"/>
              </w:rPr>
            </w:pPr>
            <w:r>
              <w:rPr>
                <w:rFonts w:ascii="Arial" w:eastAsia="Calibri" w:hAnsi="Arial" w:cs="Arial"/>
                <w:sz w:val="24"/>
                <w:szCs w:val="24"/>
                <w:lang w:val="en-GB"/>
              </w:rPr>
              <w:t>The complainant testified in the proceedings. She is the mother of the accused. She testified that the accused stole her ATM card from her wallet and withdrew N$3000 without her consent.</w:t>
            </w:r>
            <w:r w:rsidR="00944711">
              <w:rPr>
                <w:rFonts w:ascii="Arial" w:eastAsia="Calibri" w:hAnsi="Arial" w:cs="Arial"/>
                <w:sz w:val="24"/>
                <w:szCs w:val="24"/>
                <w:lang w:val="en-GB"/>
              </w:rPr>
              <w:t xml:space="preserve"> She agreed that she sent the accused to withdraw N$5000. She usually sent him to withdraw money and therefore he knows the pin-code of the complainant. The accused phoned her after his arrest, apologised and promised to refund the complainant.</w:t>
            </w:r>
          </w:p>
          <w:p w:rsidR="008B1E84" w:rsidRDefault="00226B70" w:rsidP="00FE71D2">
            <w:pPr>
              <w:numPr>
                <w:ilvl w:val="0"/>
                <w:numId w:val="1"/>
              </w:numPr>
              <w:spacing w:before="240" w:after="0" w:line="360" w:lineRule="auto"/>
              <w:ind w:left="0" w:hanging="85"/>
              <w:jc w:val="both"/>
              <w:rPr>
                <w:rFonts w:ascii="Arial" w:eastAsia="Calibri" w:hAnsi="Arial" w:cs="Arial"/>
                <w:sz w:val="24"/>
                <w:szCs w:val="24"/>
                <w:lang w:val="en-GB"/>
              </w:rPr>
            </w:pPr>
            <w:r>
              <w:rPr>
                <w:rFonts w:ascii="Arial" w:eastAsia="Calibri" w:hAnsi="Arial" w:cs="Arial"/>
                <w:sz w:val="24"/>
                <w:szCs w:val="24"/>
                <w:lang w:val="en-GB"/>
              </w:rPr>
              <w:t>The accused did not have any questions in cross-examination and admitted that the witness was telling the truth.</w:t>
            </w:r>
            <w:r w:rsidR="00944711">
              <w:rPr>
                <w:rFonts w:ascii="Arial" w:eastAsia="Calibri" w:hAnsi="Arial" w:cs="Arial"/>
                <w:sz w:val="24"/>
                <w:szCs w:val="24"/>
                <w:lang w:val="en-GB"/>
              </w:rPr>
              <w:t xml:space="preserve"> </w:t>
            </w:r>
            <w:r>
              <w:rPr>
                <w:rFonts w:ascii="Arial" w:eastAsia="Calibri" w:hAnsi="Arial" w:cs="Arial"/>
                <w:sz w:val="24"/>
                <w:szCs w:val="24"/>
                <w:lang w:val="en-GB"/>
              </w:rPr>
              <w:t>He closed his case without testifying.</w:t>
            </w:r>
          </w:p>
          <w:p w:rsidR="00226B70" w:rsidRDefault="00226B70" w:rsidP="00FE71D2">
            <w:pPr>
              <w:numPr>
                <w:ilvl w:val="0"/>
                <w:numId w:val="1"/>
              </w:numPr>
              <w:spacing w:before="240" w:after="0" w:line="360" w:lineRule="auto"/>
              <w:ind w:left="0" w:hanging="85"/>
              <w:jc w:val="both"/>
              <w:rPr>
                <w:rFonts w:ascii="Arial" w:eastAsia="Calibri" w:hAnsi="Arial" w:cs="Arial"/>
                <w:sz w:val="24"/>
                <w:szCs w:val="24"/>
                <w:lang w:val="en-GB"/>
              </w:rPr>
            </w:pPr>
            <w:r>
              <w:rPr>
                <w:rFonts w:ascii="Arial" w:eastAsia="Calibri" w:hAnsi="Arial" w:cs="Arial"/>
                <w:sz w:val="24"/>
                <w:szCs w:val="24"/>
                <w:lang w:val="en-GB"/>
              </w:rPr>
              <w:lastRenderedPageBreak/>
              <w:t>The magistrate convicted the accused on count 2 for fraud and sentenced him to N$3000 or 9 months</w:t>
            </w:r>
            <w:r w:rsidR="00613D57">
              <w:rPr>
                <w:rFonts w:ascii="Arial" w:eastAsia="Calibri" w:hAnsi="Arial" w:cs="Arial"/>
                <w:sz w:val="24"/>
                <w:szCs w:val="24"/>
                <w:lang w:val="en-GB"/>
              </w:rPr>
              <w:t>’</w:t>
            </w:r>
            <w:r>
              <w:rPr>
                <w:rFonts w:ascii="Arial" w:eastAsia="Calibri" w:hAnsi="Arial" w:cs="Arial"/>
                <w:sz w:val="24"/>
                <w:szCs w:val="24"/>
                <w:lang w:val="en-GB"/>
              </w:rPr>
              <w:t xml:space="preserve"> imprisonment.</w:t>
            </w:r>
          </w:p>
          <w:p w:rsidR="00226B70" w:rsidRDefault="00226B70" w:rsidP="00FE71D2">
            <w:pPr>
              <w:numPr>
                <w:ilvl w:val="0"/>
                <w:numId w:val="1"/>
              </w:numPr>
              <w:spacing w:before="240" w:after="0" w:line="360" w:lineRule="auto"/>
              <w:ind w:left="-18" w:hanging="67"/>
              <w:jc w:val="both"/>
              <w:rPr>
                <w:rFonts w:ascii="Arial" w:eastAsia="Calibri" w:hAnsi="Arial" w:cs="Arial"/>
                <w:sz w:val="24"/>
                <w:szCs w:val="24"/>
                <w:lang w:val="en-GB"/>
              </w:rPr>
            </w:pPr>
            <w:r>
              <w:rPr>
                <w:rFonts w:ascii="Arial" w:eastAsia="Calibri" w:hAnsi="Arial" w:cs="Arial"/>
                <w:sz w:val="24"/>
                <w:szCs w:val="24"/>
                <w:lang w:val="en-GB"/>
              </w:rPr>
              <w:t xml:space="preserve"> I directed a query to the magistrate for him to explain how he was satisfied that the accused made a misrepresentation on the second charge of fraud considering the evidence of the complainant that the accused stole her ATM card and without her authorisation went to with</w:t>
            </w:r>
            <w:r w:rsidR="00961A3D">
              <w:rPr>
                <w:rFonts w:ascii="Arial" w:eastAsia="Calibri" w:hAnsi="Arial" w:cs="Arial"/>
                <w:sz w:val="24"/>
                <w:szCs w:val="24"/>
                <w:lang w:val="en-GB"/>
              </w:rPr>
              <w:t>draw money. I alerted the magistrate that there is no evidence of the manner in which the money was withdrawn and thus, no evidence of any misrepresentation.</w:t>
            </w:r>
          </w:p>
          <w:p w:rsidR="00961A3D" w:rsidRDefault="00961A3D" w:rsidP="00FE71D2">
            <w:pPr>
              <w:numPr>
                <w:ilvl w:val="0"/>
                <w:numId w:val="1"/>
              </w:numPr>
              <w:spacing w:before="240" w:after="0" w:line="360" w:lineRule="auto"/>
              <w:ind w:left="-18" w:hanging="67"/>
              <w:jc w:val="both"/>
              <w:rPr>
                <w:rFonts w:ascii="Arial" w:eastAsia="Calibri" w:hAnsi="Arial" w:cs="Arial"/>
                <w:sz w:val="24"/>
                <w:szCs w:val="24"/>
                <w:lang w:val="en-GB"/>
              </w:rPr>
            </w:pPr>
            <w:r>
              <w:rPr>
                <w:rFonts w:ascii="Arial" w:eastAsia="Calibri" w:hAnsi="Arial" w:cs="Arial"/>
                <w:sz w:val="24"/>
                <w:szCs w:val="24"/>
                <w:lang w:val="en-GB"/>
              </w:rPr>
              <w:t xml:space="preserve">     The magistrate concedes that no misrepresentation was made to anyone and that the evidence only proves theft. He thus, requests that the conviction be altered to theft.</w:t>
            </w:r>
            <w:r w:rsidR="00E30EC7">
              <w:rPr>
                <w:rFonts w:ascii="Arial" w:eastAsia="Calibri" w:hAnsi="Arial" w:cs="Arial"/>
                <w:sz w:val="24"/>
                <w:szCs w:val="24"/>
                <w:lang w:val="en-GB"/>
              </w:rPr>
              <w:t xml:space="preserve"> The concession is well founded</w:t>
            </w:r>
            <w:r w:rsidR="00F9721D">
              <w:rPr>
                <w:rFonts w:ascii="Arial" w:eastAsia="Calibri" w:hAnsi="Arial" w:cs="Arial"/>
                <w:sz w:val="24"/>
                <w:szCs w:val="24"/>
                <w:lang w:val="en-GB"/>
              </w:rPr>
              <w:t xml:space="preserve"> but theft is not a competent verdict in Chapter 26 of the CPA, providing for competent verdicts</w:t>
            </w:r>
            <w:r w:rsidR="00E30EC7">
              <w:rPr>
                <w:rFonts w:ascii="Arial" w:eastAsia="Calibri" w:hAnsi="Arial" w:cs="Arial"/>
                <w:sz w:val="24"/>
                <w:szCs w:val="24"/>
                <w:lang w:val="en-GB"/>
              </w:rPr>
              <w:t>.</w:t>
            </w:r>
          </w:p>
          <w:p w:rsidR="00E30EC7" w:rsidRDefault="00E30EC7" w:rsidP="00FE71D2">
            <w:pPr>
              <w:numPr>
                <w:ilvl w:val="0"/>
                <w:numId w:val="1"/>
              </w:numPr>
              <w:spacing w:before="240" w:after="0" w:line="360" w:lineRule="auto"/>
              <w:ind w:left="0" w:hanging="85"/>
              <w:jc w:val="both"/>
              <w:rPr>
                <w:rFonts w:ascii="Arial" w:eastAsia="Calibri" w:hAnsi="Arial" w:cs="Arial"/>
                <w:sz w:val="24"/>
                <w:szCs w:val="24"/>
                <w:lang w:val="en-GB"/>
              </w:rPr>
            </w:pPr>
            <w:r>
              <w:rPr>
                <w:rFonts w:ascii="Arial" w:eastAsia="Calibri" w:hAnsi="Arial" w:cs="Arial"/>
                <w:sz w:val="24"/>
                <w:szCs w:val="24"/>
                <w:lang w:val="en-GB"/>
              </w:rPr>
              <w:t xml:space="preserve">The evidence indeed proves no misrepresentation. The accused can therefore not be guilty of fraud. </w:t>
            </w:r>
            <w:r w:rsidR="007829CE">
              <w:rPr>
                <w:rFonts w:ascii="Arial" w:eastAsia="Calibri" w:hAnsi="Arial" w:cs="Arial"/>
                <w:sz w:val="24"/>
                <w:szCs w:val="24"/>
                <w:lang w:val="en-GB"/>
              </w:rPr>
              <w:t xml:space="preserve">The CPA does not specifically provide for a competent verdict on a charge of fraud. However, </w:t>
            </w:r>
            <w:r w:rsidR="00613D57">
              <w:rPr>
                <w:rFonts w:ascii="Arial" w:eastAsia="Calibri" w:hAnsi="Arial" w:cs="Arial"/>
                <w:sz w:val="24"/>
                <w:szCs w:val="24"/>
                <w:lang w:val="en-GB"/>
              </w:rPr>
              <w:t>s</w:t>
            </w:r>
            <w:r>
              <w:rPr>
                <w:rFonts w:ascii="Arial" w:eastAsia="Calibri" w:hAnsi="Arial" w:cs="Arial"/>
                <w:sz w:val="24"/>
                <w:szCs w:val="24"/>
                <w:lang w:val="en-GB"/>
              </w:rPr>
              <w:t xml:space="preserve"> 270 of the CPA provides as follows:</w:t>
            </w:r>
          </w:p>
          <w:p w:rsidR="007829CE" w:rsidRPr="007829CE" w:rsidRDefault="00E30EC7" w:rsidP="007829CE">
            <w:pPr>
              <w:spacing w:before="240" w:after="0" w:line="360" w:lineRule="auto"/>
              <w:ind w:left="275"/>
              <w:jc w:val="both"/>
              <w:rPr>
                <w:rFonts w:ascii="Arial" w:eastAsia="Calibri" w:hAnsi="Arial" w:cs="Arial"/>
                <w:b/>
                <w:lang w:val="en-GB"/>
              </w:rPr>
            </w:pPr>
            <w:r w:rsidRPr="007829CE">
              <w:rPr>
                <w:rFonts w:ascii="Arial" w:eastAsia="Calibri" w:hAnsi="Arial" w:cs="Arial"/>
                <w:lang w:val="en-GB"/>
              </w:rPr>
              <w:t xml:space="preserve">     </w:t>
            </w:r>
            <w:r w:rsidRPr="007829CE">
              <w:rPr>
                <w:rFonts w:ascii="Arial" w:eastAsia="Calibri" w:hAnsi="Arial" w:cs="Arial"/>
                <w:b/>
                <w:lang w:val="en-GB"/>
              </w:rPr>
              <w:t>‘</w:t>
            </w:r>
            <w:r w:rsidR="007829CE" w:rsidRPr="007829CE">
              <w:rPr>
                <w:rFonts w:ascii="Arial" w:eastAsia="Calibri" w:hAnsi="Arial" w:cs="Arial"/>
                <w:b/>
                <w:lang w:val="en-GB"/>
              </w:rPr>
              <w:t>270</w:t>
            </w:r>
            <w:r w:rsidR="007829CE" w:rsidRPr="007829CE">
              <w:rPr>
                <w:rFonts w:ascii="Arial" w:eastAsia="Calibri" w:hAnsi="Arial" w:cs="Arial"/>
                <w:b/>
                <w:lang w:val="en-GB"/>
              </w:rPr>
              <w:tab/>
              <w:t>Offences not specified in this Chapter</w:t>
            </w:r>
          </w:p>
          <w:p w:rsidR="00E30EC7" w:rsidRPr="007829CE" w:rsidRDefault="007829CE" w:rsidP="007829CE">
            <w:pPr>
              <w:spacing w:before="240" w:after="0" w:line="360" w:lineRule="auto"/>
              <w:ind w:left="275"/>
              <w:jc w:val="both"/>
              <w:rPr>
                <w:rFonts w:ascii="Arial" w:eastAsia="Calibri" w:hAnsi="Arial" w:cs="Arial"/>
                <w:lang w:val="en-GB"/>
              </w:rPr>
            </w:pPr>
            <w:r w:rsidRPr="007829CE">
              <w:rPr>
                <w:rFonts w:ascii="Arial" w:eastAsia="Calibri" w:hAnsi="Arial" w:cs="Arial"/>
                <w:lang w:val="en-GB"/>
              </w:rPr>
              <w:tab/>
              <w:t>If the evidence on a charge for any offence not referred to in the preceding sections of this Chapter does not prove the commission of the offence so charged but proves the commission of an offence which by reason of the essential elements of that offence is included in the offence so charged, the accused may be found guilty of the offence so proved.’</w:t>
            </w:r>
          </w:p>
          <w:p w:rsidR="00B00FCB" w:rsidRDefault="00FE71D2" w:rsidP="00FE71D2">
            <w:pPr>
              <w:spacing w:before="240" w:after="0" w:line="360" w:lineRule="auto"/>
              <w:jc w:val="both"/>
              <w:rPr>
                <w:rFonts w:ascii="Arial" w:eastAsia="Calibri" w:hAnsi="Arial" w:cs="Arial"/>
                <w:sz w:val="24"/>
                <w:szCs w:val="24"/>
                <w:lang w:val="en-GB"/>
              </w:rPr>
            </w:pPr>
            <w:r>
              <w:rPr>
                <w:rFonts w:ascii="Arial" w:eastAsia="Calibri" w:hAnsi="Arial" w:cs="Arial"/>
                <w:sz w:val="24"/>
                <w:szCs w:val="24"/>
                <w:lang w:val="en-GB"/>
              </w:rPr>
              <w:t xml:space="preserve">[10]     </w:t>
            </w:r>
            <w:r w:rsidR="00F9721D">
              <w:rPr>
                <w:rFonts w:ascii="Arial" w:eastAsia="Calibri" w:hAnsi="Arial" w:cs="Arial"/>
                <w:sz w:val="24"/>
                <w:szCs w:val="24"/>
                <w:lang w:val="en-GB"/>
              </w:rPr>
              <w:t xml:space="preserve">In my view, it needs to be determined if the essential elements of theft are included in the charge of fraud. I could not find any Namibian case dealing with the question. In the Republic of South Africa the issue was dealt with in the case of </w:t>
            </w:r>
            <w:r w:rsidR="004462F4" w:rsidRPr="004462F4">
              <w:rPr>
                <w:rFonts w:ascii="Arial" w:eastAsia="Calibri" w:hAnsi="Arial" w:cs="Arial"/>
                <w:i/>
                <w:sz w:val="24"/>
                <w:szCs w:val="24"/>
                <w:lang w:val="en-GB"/>
              </w:rPr>
              <w:t xml:space="preserve">S v </w:t>
            </w:r>
            <w:proofErr w:type="spellStart"/>
            <w:proofErr w:type="gramStart"/>
            <w:r w:rsidR="004462F4" w:rsidRPr="004462F4">
              <w:rPr>
                <w:rFonts w:ascii="Arial" w:eastAsia="Calibri" w:hAnsi="Arial" w:cs="Arial"/>
                <w:i/>
                <w:sz w:val="24"/>
                <w:szCs w:val="24"/>
                <w:lang w:val="en-GB"/>
              </w:rPr>
              <w:t>Kok</w:t>
            </w:r>
            <w:proofErr w:type="spellEnd"/>
            <w:r w:rsidR="00F9721D">
              <w:rPr>
                <w:rFonts w:ascii="Arial" w:eastAsia="Calibri" w:hAnsi="Arial" w:cs="Arial"/>
                <w:sz w:val="24"/>
                <w:szCs w:val="24"/>
                <w:lang w:val="en-GB"/>
              </w:rPr>
              <w:t xml:space="preserve"> </w:t>
            </w:r>
            <w:proofErr w:type="gramEnd"/>
            <w:r w:rsidR="004462F4">
              <w:rPr>
                <w:rStyle w:val="FootnoteReference"/>
                <w:rFonts w:ascii="Arial" w:eastAsia="Calibri" w:hAnsi="Arial" w:cs="Arial"/>
                <w:sz w:val="24"/>
                <w:szCs w:val="24"/>
                <w:lang w:val="en-GB"/>
              </w:rPr>
              <w:footnoteReference w:id="1"/>
            </w:r>
            <w:r w:rsidR="004462F4">
              <w:rPr>
                <w:rFonts w:ascii="Arial" w:eastAsia="Calibri" w:hAnsi="Arial" w:cs="Arial"/>
                <w:sz w:val="24"/>
                <w:szCs w:val="24"/>
                <w:lang w:val="en-GB"/>
              </w:rPr>
              <w:t>. In that case, the accused was charged with fraud; in that he fraudulently obtained payment of an amount of R98 668.98 from the Government Employees Pension Fund (GEPF) after he had been dismissed from the South African Police Service (SAPS).</w:t>
            </w:r>
            <w:r w:rsidR="000E5C98">
              <w:rPr>
                <w:rFonts w:ascii="Arial" w:eastAsia="Calibri" w:hAnsi="Arial" w:cs="Arial"/>
                <w:sz w:val="24"/>
                <w:szCs w:val="24"/>
                <w:lang w:val="en-GB"/>
              </w:rPr>
              <w:t xml:space="preserve"> The </w:t>
            </w:r>
            <w:r w:rsidR="000E5C98">
              <w:rPr>
                <w:rFonts w:ascii="Arial" w:eastAsia="Calibri" w:hAnsi="Arial" w:cs="Arial"/>
                <w:sz w:val="24"/>
                <w:szCs w:val="24"/>
                <w:lang w:val="en-GB"/>
              </w:rPr>
              <w:lastRenderedPageBreak/>
              <w:t>accused pleaded not guilty and the trial proceeded. The court, however,</w:t>
            </w:r>
            <w:r w:rsidR="00613D57">
              <w:rPr>
                <w:rFonts w:ascii="Arial" w:eastAsia="Calibri" w:hAnsi="Arial" w:cs="Arial"/>
                <w:sz w:val="24"/>
                <w:szCs w:val="24"/>
                <w:lang w:val="en-GB"/>
              </w:rPr>
              <w:t xml:space="preserve"> on the request of the public prosecutor</w:t>
            </w:r>
            <w:r w:rsidR="000E5C98">
              <w:rPr>
                <w:rFonts w:ascii="Arial" w:eastAsia="Calibri" w:hAnsi="Arial" w:cs="Arial"/>
                <w:sz w:val="24"/>
                <w:szCs w:val="24"/>
                <w:lang w:val="en-GB"/>
              </w:rPr>
              <w:t xml:space="preserve"> enquired from the legal representative of the accused if he had informed the accused about the competent verdict in terms of section 256 of the CPA. The legal representative confirmed. The accused was not in the alternative charged with theft as is the normal practice in such cases.</w:t>
            </w:r>
          </w:p>
          <w:p w:rsidR="002A78EF" w:rsidRDefault="00B00FCB" w:rsidP="00B00FCB">
            <w:pPr>
              <w:numPr>
                <w:ilvl w:val="0"/>
                <w:numId w:val="1"/>
              </w:numPr>
              <w:spacing w:before="240" w:after="0" w:line="360" w:lineRule="auto"/>
              <w:ind w:left="72" w:hanging="180"/>
              <w:jc w:val="both"/>
              <w:rPr>
                <w:rFonts w:ascii="Arial" w:eastAsia="Calibri" w:hAnsi="Arial" w:cs="Arial"/>
                <w:sz w:val="24"/>
                <w:szCs w:val="24"/>
                <w:lang w:val="en-GB"/>
              </w:rPr>
            </w:pPr>
            <w:r>
              <w:rPr>
                <w:rFonts w:ascii="Arial" w:eastAsia="Calibri" w:hAnsi="Arial" w:cs="Arial"/>
                <w:sz w:val="24"/>
                <w:szCs w:val="24"/>
                <w:lang w:val="en-GB"/>
              </w:rPr>
              <w:t xml:space="preserve"> </w:t>
            </w:r>
            <w:r w:rsidR="0099171E">
              <w:rPr>
                <w:rFonts w:ascii="Arial" w:eastAsia="Calibri" w:hAnsi="Arial" w:cs="Arial"/>
                <w:sz w:val="24"/>
                <w:szCs w:val="24"/>
                <w:lang w:val="en-GB"/>
              </w:rPr>
              <w:t>The trial proceeded with a number of witnesses being called. At some stage the legal representative withdrew. The accused proceeded on his own for a while until he obtained the services of another lawyer</w:t>
            </w:r>
            <w:r w:rsidR="004926AE">
              <w:rPr>
                <w:rFonts w:ascii="Arial" w:eastAsia="Calibri" w:hAnsi="Arial" w:cs="Arial"/>
                <w:sz w:val="24"/>
                <w:szCs w:val="24"/>
                <w:lang w:val="en-GB"/>
              </w:rPr>
              <w:t xml:space="preserve"> who made admissions in terms of section 220 of the CPA.  The accused,</w:t>
            </w:r>
            <w:r w:rsidR="004926AE" w:rsidRPr="004926AE">
              <w:rPr>
                <w:rFonts w:ascii="Arial" w:eastAsia="Calibri" w:hAnsi="Arial" w:cs="Arial"/>
                <w:sz w:val="24"/>
                <w:szCs w:val="24"/>
                <w:lang w:val="en-GB"/>
              </w:rPr>
              <w:t xml:space="preserve"> how</w:t>
            </w:r>
            <w:r w:rsidR="004926AE">
              <w:rPr>
                <w:rFonts w:ascii="Arial" w:eastAsia="Calibri" w:hAnsi="Arial" w:cs="Arial"/>
                <w:sz w:val="24"/>
                <w:szCs w:val="24"/>
                <w:lang w:val="en-GB"/>
              </w:rPr>
              <w:t>ever, maintained that he did</w:t>
            </w:r>
            <w:r w:rsidR="004926AE" w:rsidRPr="004926AE">
              <w:rPr>
                <w:rFonts w:ascii="Arial" w:eastAsia="Calibri" w:hAnsi="Arial" w:cs="Arial"/>
                <w:sz w:val="24"/>
                <w:szCs w:val="24"/>
                <w:lang w:val="en-GB"/>
              </w:rPr>
              <w:t xml:space="preserve"> not commit the offence of fraud, and that he did not make any false representations to the complainants</w:t>
            </w:r>
            <w:r w:rsidR="004926AE">
              <w:rPr>
                <w:rFonts w:ascii="Arial" w:eastAsia="Calibri" w:hAnsi="Arial" w:cs="Arial"/>
                <w:sz w:val="24"/>
                <w:szCs w:val="24"/>
                <w:lang w:val="en-GB"/>
              </w:rPr>
              <w:t xml:space="preserve">. </w:t>
            </w:r>
            <w:r w:rsidR="004926AE" w:rsidRPr="004926AE">
              <w:rPr>
                <w:rFonts w:ascii="Arial" w:eastAsia="Calibri" w:hAnsi="Arial" w:cs="Arial"/>
                <w:sz w:val="24"/>
                <w:szCs w:val="24"/>
                <w:lang w:val="en-GB"/>
              </w:rPr>
              <w:t>He further conveyed to the court that he had</w:t>
            </w:r>
            <w:r w:rsidR="004926AE">
              <w:rPr>
                <w:rFonts w:ascii="Arial" w:eastAsia="Calibri" w:hAnsi="Arial" w:cs="Arial"/>
                <w:sz w:val="24"/>
                <w:szCs w:val="24"/>
                <w:lang w:val="en-GB"/>
              </w:rPr>
              <w:t xml:space="preserve"> reconsidered the facts and admitted that he is guilty of the competent verdict of theft.</w:t>
            </w:r>
          </w:p>
          <w:p w:rsidR="004926AE" w:rsidRDefault="00B00FCB" w:rsidP="00B00FCB">
            <w:pPr>
              <w:numPr>
                <w:ilvl w:val="0"/>
                <w:numId w:val="1"/>
              </w:numPr>
              <w:spacing w:before="240" w:after="0" w:line="360" w:lineRule="auto"/>
              <w:ind w:left="-18" w:hanging="90"/>
              <w:jc w:val="both"/>
              <w:rPr>
                <w:rFonts w:ascii="Arial" w:eastAsia="Calibri" w:hAnsi="Arial" w:cs="Arial"/>
                <w:sz w:val="24"/>
                <w:szCs w:val="24"/>
                <w:lang w:val="en-GB"/>
              </w:rPr>
            </w:pPr>
            <w:r>
              <w:rPr>
                <w:rFonts w:ascii="Arial" w:eastAsia="Calibri" w:hAnsi="Arial" w:cs="Arial"/>
                <w:sz w:val="24"/>
                <w:szCs w:val="24"/>
                <w:lang w:val="en-GB"/>
              </w:rPr>
              <w:t xml:space="preserve">  </w:t>
            </w:r>
            <w:r w:rsidR="004926AE">
              <w:rPr>
                <w:rFonts w:ascii="Arial" w:eastAsia="Calibri" w:hAnsi="Arial" w:cs="Arial"/>
                <w:sz w:val="24"/>
                <w:szCs w:val="24"/>
                <w:lang w:val="en-GB"/>
              </w:rPr>
              <w:t>He was convicted of theft on this basis and sentenced to five years’ imprisonment suspended on conditions including that he repay</w:t>
            </w:r>
            <w:r w:rsidR="00613D57">
              <w:rPr>
                <w:rFonts w:ascii="Arial" w:eastAsia="Calibri" w:hAnsi="Arial" w:cs="Arial"/>
                <w:sz w:val="24"/>
                <w:szCs w:val="24"/>
                <w:lang w:val="en-GB"/>
              </w:rPr>
              <w:t>s</w:t>
            </w:r>
            <w:r w:rsidR="004926AE">
              <w:rPr>
                <w:rFonts w:ascii="Arial" w:eastAsia="Calibri" w:hAnsi="Arial" w:cs="Arial"/>
                <w:sz w:val="24"/>
                <w:szCs w:val="24"/>
                <w:lang w:val="en-GB"/>
              </w:rPr>
              <w:t xml:space="preserve"> the amount of money within </w:t>
            </w:r>
            <w:r w:rsidR="000F2EEA">
              <w:rPr>
                <w:rFonts w:ascii="Arial" w:eastAsia="Calibri" w:hAnsi="Arial" w:cs="Arial"/>
                <w:sz w:val="24"/>
                <w:szCs w:val="24"/>
                <w:lang w:val="en-GB"/>
              </w:rPr>
              <w:t>one</w:t>
            </w:r>
            <w:r w:rsidR="004926AE">
              <w:rPr>
                <w:rFonts w:ascii="Arial" w:eastAsia="Calibri" w:hAnsi="Arial" w:cs="Arial"/>
                <w:sz w:val="24"/>
                <w:szCs w:val="24"/>
                <w:lang w:val="en-GB"/>
              </w:rPr>
              <w:t xml:space="preserve"> year</w:t>
            </w:r>
            <w:r w:rsidR="000F2EEA">
              <w:rPr>
                <w:rFonts w:ascii="Arial" w:eastAsia="Calibri" w:hAnsi="Arial" w:cs="Arial"/>
                <w:sz w:val="24"/>
                <w:szCs w:val="24"/>
                <w:lang w:val="en-GB"/>
              </w:rPr>
              <w:t xml:space="preserve">. The matter was sent on special review in relation to the condition of suspension but the reviewing court </w:t>
            </w:r>
            <w:proofErr w:type="spellStart"/>
            <w:r w:rsidR="000F2EEA" w:rsidRPr="000F2EEA">
              <w:rPr>
                <w:rFonts w:ascii="Arial" w:eastAsia="Calibri" w:hAnsi="Arial" w:cs="Arial"/>
                <w:i/>
                <w:sz w:val="24"/>
                <w:szCs w:val="24"/>
                <w:lang w:val="en-GB"/>
              </w:rPr>
              <w:t>meru</w:t>
            </w:r>
            <w:proofErr w:type="spellEnd"/>
            <w:r w:rsidR="000F2EEA" w:rsidRPr="000F2EEA">
              <w:rPr>
                <w:rFonts w:ascii="Arial" w:eastAsia="Calibri" w:hAnsi="Arial" w:cs="Arial"/>
                <w:i/>
                <w:sz w:val="24"/>
                <w:szCs w:val="24"/>
                <w:lang w:val="en-GB"/>
              </w:rPr>
              <w:t xml:space="preserve"> </w:t>
            </w:r>
            <w:proofErr w:type="spellStart"/>
            <w:r w:rsidR="000F2EEA" w:rsidRPr="000F2EEA">
              <w:rPr>
                <w:rFonts w:ascii="Arial" w:eastAsia="Calibri" w:hAnsi="Arial" w:cs="Arial"/>
                <w:i/>
                <w:sz w:val="24"/>
                <w:szCs w:val="24"/>
                <w:lang w:val="en-GB"/>
              </w:rPr>
              <w:t>motu</w:t>
            </w:r>
            <w:proofErr w:type="spellEnd"/>
            <w:r w:rsidR="000F2EEA">
              <w:rPr>
                <w:rFonts w:ascii="Arial" w:eastAsia="Calibri" w:hAnsi="Arial" w:cs="Arial"/>
                <w:sz w:val="24"/>
                <w:szCs w:val="24"/>
                <w:lang w:val="en-GB"/>
              </w:rPr>
              <w:t xml:space="preserve"> considered the conviction on the competent verdict of theft. The reviewing court eventually found that theft was in the circumstances of the case a competent verdict in terms of section 270 of the CPA.</w:t>
            </w:r>
            <w:r w:rsidR="002C70AA">
              <w:rPr>
                <w:rFonts w:ascii="Arial" w:eastAsia="Calibri" w:hAnsi="Arial" w:cs="Arial"/>
                <w:sz w:val="24"/>
                <w:szCs w:val="24"/>
                <w:lang w:val="en-GB"/>
              </w:rPr>
              <w:t xml:space="preserve"> I disagree with this finding and endorse the enquiry of </w:t>
            </w:r>
            <w:r w:rsidR="002C70AA" w:rsidRPr="002C70AA">
              <w:rPr>
                <w:rFonts w:ascii="Arial" w:eastAsia="Calibri" w:hAnsi="Arial" w:cs="Arial"/>
                <w:i/>
                <w:sz w:val="24"/>
                <w:szCs w:val="24"/>
                <w:lang w:val="en-GB"/>
              </w:rPr>
              <w:t>Michael Miller</w:t>
            </w:r>
            <w:r w:rsidR="002C70AA">
              <w:rPr>
                <w:rFonts w:ascii="Arial" w:eastAsia="Calibri" w:hAnsi="Arial" w:cs="Arial"/>
                <w:sz w:val="24"/>
                <w:szCs w:val="24"/>
                <w:lang w:val="en-GB"/>
              </w:rPr>
              <w:t xml:space="preserve"> in an article in </w:t>
            </w:r>
            <w:r w:rsidR="002C70AA" w:rsidRPr="002C70AA">
              <w:rPr>
                <w:rFonts w:ascii="Arial" w:eastAsia="Calibri" w:hAnsi="Arial" w:cs="Arial"/>
                <w:i/>
                <w:sz w:val="24"/>
                <w:szCs w:val="24"/>
                <w:lang w:val="en-GB"/>
              </w:rPr>
              <w:t>De Rebus</w:t>
            </w:r>
            <w:r w:rsidR="002C70AA">
              <w:rPr>
                <w:rFonts w:ascii="Arial" w:eastAsia="Calibri" w:hAnsi="Arial" w:cs="Arial"/>
                <w:i/>
                <w:sz w:val="24"/>
                <w:szCs w:val="24"/>
                <w:lang w:val="en-GB"/>
              </w:rPr>
              <w:t xml:space="preserve"> </w:t>
            </w:r>
            <w:r w:rsidR="002C70AA" w:rsidRPr="002C70AA">
              <w:rPr>
                <w:rStyle w:val="FootnoteReference"/>
                <w:rFonts w:ascii="Arial" w:eastAsia="Calibri" w:hAnsi="Arial" w:cs="Arial"/>
                <w:sz w:val="24"/>
                <w:szCs w:val="24"/>
                <w:lang w:val="en-GB"/>
              </w:rPr>
              <w:footnoteReference w:id="2"/>
            </w:r>
            <w:r w:rsidR="00613D57">
              <w:rPr>
                <w:rFonts w:ascii="Arial" w:eastAsia="Calibri" w:hAnsi="Arial" w:cs="Arial"/>
                <w:sz w:val="24"/>
                <w:szCs w:val="24"/>
                <w:lang w:val="en-GB"/>
              </w:rPr>
              <w:t xml:space="preserve"> in relation to the finding of the court in the </w:t>
            </w:r>
            <w:r w:rsidR="00613D57" w:rsidRPr="00613D57">
              <w:rPr>
                <w:rFonts w:ascii="Arial" w:eastAsia="Calibri" w:hAnsi="Arial" w:cs="Arial"/>
                <w:i/>
                <w:sz w:val="24"/>
                <w:szCs w:val="24"/>
                <w:lang w:val="en-GB"/>
              </w:rPr>
              <w:t xml:space="preserve">S v </w:t>
            </w:r>
            <w:proofErr w:type="spellStart"/>
            <w:r w:rsidR="00613D57" w:rsidRPr="00613D57">
              <w:rPr>
                <w:rFonts w:ascii="Arial" w:eastAsia="Calibri" w:hAnsi="Arial" w:cs="Arial"/>
                <w:i/>
                <w:sz w:val="24"/>
                <w:szCs w:val="24"/>
                <w:lang w:val="en-GB"/>
              </w:rPr>
              <w:t>Kok</w:t>
            </w:r>
            <w:proofErr w:type="spellEnd"/>
            <w:r w:rsidR="00613D57">
              <w:rPr>
                <w:rFonts w:ascii="Arial" w:eastAsia="Calibri" w:hAnsi="Arial" w:cs="Arial"/>
                <w:sz w:val="24"/>
                <w:szCs w:val="24"/>
                <w:lang w:val="en-GB"/>
              </w:rPr>
              <w:t xml:space="preserve"> case.</w:t>
            </w:r>
          </w:p>
          <w:p w:rsidR="004A5D8B" w:rsidRPr="00B00FCB" w:rsidRDefault="002C70AA" w:rsidP="00B00FCB">
            <w:pPr>
              <w:numPr>
                <w:ilvl w:val="0"/>
                <w:numId w:val="1"/>
              </w:numPr>
              <w:spacing w:before="240" w:after="0" w:line="360" w:lineRule="auto"/>
              <w:ind w:left="-18" w:hanging="90"/>
              <w:jc w:val="both"/>
              <w:rPr>
                <w:rFonts w:ascii="Arial" w:eastAsia="Calibri" w:hAnsi="Arial" w:cs="Arial"/>
                <w:sz w:val="24"/>
                <w:szCs w:val="24"/>
                <w:lang w:val="en-GB"/>
              </w:rPr>
            </w:pPr>
            <w:r w:rsidRPr="00B00FCB">
              <w:rPr>
                <w:rFonts w:ascii="Arial" w:eastAsia="Calibri" w:hAnsi="Arial" w:cs="Arial"/>
                <w:sz w:val="24"/>
                <w:szCs w:val="24"/>
                <w:lang w:val="en-GB"/>
              </w:rPr>
              <w:t xml:space="preserve">I agree that the starting point in the enquiry is in accordance with </w:t>
            </w:r>
            <w:r w:rsidRPr="00B00FCB">
              <w:rPr>
                <w:rFonts w:ascii="Arial" w:hAnsi="Arial" w:cs="Arial"/>
                <w:i/>
                <w:sz w:val="24"/>
                <w:szCs w:val="24"/>
              </w:rPr>
              <w:t xml:space="preserve">S v </w:t>
            </w:r>
            <w:proofErr w:type="spellStart"/>
            <w:r w:rsidRPr="00B00FCB">
              <w:rPr>
                <w:rFonts w:ascii="Arial" w:hAnsi="Arial" w:cs="Arial"/>
                <w:i/>
                <w:sz w:val="24"/>
                <w:szCs w:val="24"/>
              </w:rPr>
              <w:t>Mavundla</w:t>
            </w:r>
            <w:proofErr w:type="spellEnd"/>
            <w:r w:rsidRPr="00B00FCB">
              <w:rPr>
                <w:rFonts w:ascii="Arial" w:hAnsi="Arial" w:cs="Arial"/>
                <w:sz w:val="24"/>
                <w:szCs w:val="24"/>
              </w:rPr>
              <w:t xml:space="preserve"> </w:t>
            </w:r>
            <w:r w:rsidR="00BF1911" w:rsidRPr="00BF1911">
              <w:rPr>
                <w:rStyle w:val="FootnoteReference"/>
                <w:rFonts w:ascii="Arial" w:hAnsi="Arial" w:cs="Arial"/>
                <w:sz w:val="24"/>
                <w:szCs w:val="24"/>
              </w:rPr>
              <w:footnoteReference w:id="3"/>
            </w:r>
            <w:r w:rsidR="00BF1911" w:rsidRPr="00B00FCB">
              <w:rPr>
                <w:rFonts w:ascii="Arial" w:hAnsi="Arial" w:cs="Arial"/>
                <w:sz w:val="24"/>
                <w:szCs w:val="24"/>
              </w:rPr>
              <w:t xml:space="preserve"> ‘…simply whether the alleged (lesser) offence by reason of its essential elements is incorporated in the offence charged. The inquiry is in the first instance directed at the essential elements of the (lesser) offence, in other words the definition of the crime. The second step is to determine if those (essential) elements are included in the offence </w:t>
            </w:r>
            <w:r w:rsidR="00BF1911" w:rsidRPr="00B00FCB">
              <w:rPr>
                <w:rFonts w:ascii="Arial" w:hAnsi="Arial" w:cs="Arial"/>
                <w:sz w:val="24"/>
                <w:szCs w:val="24"/>
              </w:rPr>
              <w:lastRenderedPageBreak/>
              <w:t xml:space="preserve">charged. What must, therefore, be considered is whether the essential elements of theft are included in the crime of </w:t>
            </w:r>
            <w:r w:rsidR="00613D57" w:rsidRPr="00B00FCB">
              <w:rPr>
                <w:rFonts w:ascii="Arial" w:hAnsi="Arial" w:cs="Arial"/>
                <w:sz w:val="24"/>
                <w:szCs w:val="24"/>
              </w:rPr>
              <w:t>fraud?</w:t>
            </w:r>
            <w:r w:rsidR="00BF1911" w:rsidRPr="00B00FCB">
              <w:rPr>
                <w:rFonts w:ascii="Arial" w:hAnsi="Arial" w:cs="Arial"/>
                <w:sz w:val="24"/>
                <w:szCs w:val="24"/>
              </w:rPr>
              <w:t>’</w:t>
            </w:r>
          </w:p>
          <w:p w:rsidR="007D0011" w:rsidRPr="007D0011" w:rsidRDefault="007D0011" w:rsidP="00B00FCB">
            <w:pPr>
              <w:numPr>
                <w:ilvl w:val="0"/>
                <w:numId w:val="1"/>
              </w:numPr>
              <w:spacing w:before="240" w:after="0" w:line="360" w:lineRule="auto"/>
              <w:ind w:left="0" w:hanging="18"/>
              <w:jc w:val="both"/>
              <w:rPr>
                <w:rFonts w:ascii="Arial" w:eastAsia="Calibri" w:hAnsi="Arial" w:cs="Arial"/>
                <w:sz w:val="24"/>
                <w:szCs w:val="24"/>
                <w:lang w:val="en-GB"/>
              </w:rPr>
            </w:pPr>
            <w:proofErr w:type="spellStart"/>
            <w:r w:rsidRPr="007D0011">
              <w:rPr>
                <w:rFonts w:ascii="Arial" w:hAnsi="Arial" w:cs="Arial"/>
                <w:color w:val="000000" w:themeColor="text1"/>
                <w:sz w:val="24"/>
                <w:szCs w:val="24"/>
                <w:lang w:val="en-GB"/>
              </w:rPr>
              <w:t>Snyman</w:t>
            </w:r>
            <w:proofErr w:type="spellEnd"/>
            <w:r w:rsidRPr="007D0011">
              <w:rPr>
                <w:rFonts w:ascii="Arial" w:hAnsi="Arial" w:cs="Arial"/>
                <w:color w:val="000000" w:themeColor="text1"/>
                <w:sz w:val="24"/>
                <w:szCs w:val="24"/>
                <w:lang w:val="en-GB"/>
              </w:rPr>
              <w:t xml:space="preserve"> CR </w:t>
            </w:r>
            <w:r w:rsidRPr="007D0011">
              <w:rPr>
                <w:rFonts w:ascii="Arial" w:hAnsi="Arial" w:cs="Arial"/>
                <w:i/>
                <w:iCs/>
                <w:color w:val="000000" w:themeColor="text1"/>
                <w:sz w:val="24"/>
                <w:szCs w:val="24"/>
                <w:lang w:val="en-GB"/>
              </w:rPr>
              <w:t>Criminal Law</w:t>
            </w:r>
            <w:r w:rsidRPr="007D0011">
              <w:rPr>
                <w:rFonts w:ascii="Arial" w:hAnsi="Arial" w:cs="Arial"/>
                <w:color w:val="000000" w:themeColor="text1"/>
                <w:sz w:val="24"/>
                <w:szCs w:val="24"/>
                <w:lang w:val="en-GB"/>
              </w:rPr>
              <w:t> 5ed (Durban: LexisNexis 2008) at 531 defines fraud as: ‘fraud’ is ‘the unlawful and intentional making of a misrepresentation which causes actual prejudice or which is potentially prejudicial to another’.</w:t>
            </w:r>
          </w:p>
          <w:p w:rsidR="007D0011" w:rsidRPr="007D0011" w:rsidRDefault="007D0011" w:rsidP="007D0011">
            <w:pPr>
              <w:pStyle w:val="NormalWeb"/>
              <w:shd w:val="clear" w:color="auto" w:fill="FFFFFF"/>
              <w:spacing w:before="144" w:beforeAutospacing="0" w:after="288" w:afterAutospacing="0"/>
              <w:rPr>
                <w:rFonts w:ascii="Verdana" w:hAnsi="Verdana"/>
                <w:color w:val="000000" w:themeColor="text1"/>
                <w:sz w:val="27"/>
                <w:szCs w:val="27"/>
                <w:lang w:val="en-GB"/>
              </w:rPr>
            </w:pPr>
            <w:r>
              <w:rPr>
                <w:rFonts w:ascii="Verdana" w:hAnsi="Verdana"/>
                <w:color w:val="242121"/>
                <w:sz w:val="27"/>
                <w:szCs w:val="27"/>
              </w:rPr>
              <w:t xml:space="preserve">     </w:t>
            </w:r>
            <w:proofErr w:type="spellStart"/>
            <w:r w:rsidRPr="007D0011">
              <w:rPr>
                <w:rFonts w:ascii="Arial" w:hAnsi="Arial" w:cs="Arial"/>
                <w:color w:val="000000" w:themeColor="text1"/>
                <w:lang w:val="en-GB"/>
              </w:rPr>
              <w:t>Snyman</w:t>
            </w:r>
            <w:proofErr w:type="spellEnd"/>
            <w:r w:rsidRPr="007D0011">
              <w:rPr>
                <w:rFonts w:ascii="Arial" w:hAnsi="Arial" w:cs="Arial"/>
                <w:color w:val="000000" w:themeColor="text1"/>
                <w:lang w:val="en-GB"/>
              </w:rPr>
              <w:t xml:space="preserve"> lists the elements of the crime as following:</w:t>
            </w:r>
          </w:p>
          <w:p w:rsidR="007D0011" w:rsidRPr="007D0011" w:rsidRDefault="007D0011" w:rsidP="007D0011">
            <w:pPr>
              <w:pStyle w:val="NormalWeb"/>
              <w:shd w:val="clear" w:color="auto" w:fill="FFFFFF"/>
              <w:spacing w:before="144" w:beforeAutospacing="0" w:after="288" w:afterAutospacing="0"/>
              <w:ind w:firstLine="432"/>
              <w:rPr>
                <w:rFonts w:ascii="Verdana" w:hAnsi="Verdana"/>
                <w:color w:val="000000" w:themeColor="text1"/>
                <w:sz w:val="27"/>
                <w:szCs w:val="27"/>
              </w:rPr>
            </w:pPr>
            <w:r w:rsidRPr="007D0011">
              <w:rPr>
                <w:rFonts w:ascii="Verdana" w:hAnsi="Verdana"/>
                <w:color w:val="000000" w:themeColor="text1"/>
                <w:sz w:val="27"/>
                <w:szCs w:val="27"/>
              </w:rPr>
              <w:t>• </w:t>
            </w:r>
            <w:r w:rsidRPr="007D0011">
              <w:rPr>
                <w:rFonts w:ascii="Arial" w:hAnsi="Arial" w:cs="Arial"/>
                <w:color w:val="000000" w:themeColor="text1"/>
                <w:lang w:val="en-GB"/>
              </w:rPr>
              <w:t>a misrepresentation;</w:t>
            </w:r>
          </w:p>
          <w:p w:rsidR="007D0011" w:rsidRPr="007D0011" w:rsidRDefault="007D0011" w:rsidP="007D0011">
            <w:pPr>
              <w:pStyle w:val="NormalWeb"/>
              <w:shd w:val="clear" w:color="auto" w:fill="FFFFFF"/>
              <w:spacing w:before="144" w:beforeAutospacing="0" w:after="288" w:afterAutospacing="0"/>
              <w:ind w:firstLine="432"/>
              <w:rPr>
                <w:rFonts w:ascii="Verdana" w:hAnsi="Verdana"/>
                <w:color w:val="000000" w:themeColor="text1"/>
                <w:sz w:val="27"/>
                <w:szCs w:val="27"/>
              </w:rPr>
            </w:pPr>
            <w:r w:rsidRPr="007D0011">
              <w:rPr>
                <w:rFonts w:ascii="Verdana" w:hAnsi="Verdana"/>
                <w:color w:val="000000" w:themeColor="text1"/>
                <w:sz w:val="27"/>
                <w:szCs w:val="27"/>
              </w:rPr>
              <w:t>• </w:t>
            </w:r>
            <w:r w:rsidRPr="007D0011">
              <w:rPr>
                <w:rFonts w:ascii="Arial" w:hAnsi="Arial" w:cs="Arial"/>
                <w:color w:val="000000" w:themeColor="text1"/>
                <w:lang w:val="en-GB"/>
              </w:rPr>
              <w:t>prejudice or potential prejudice;</w:t>
            </w:r>
          </w:p>
          <w:p w:rsidR="007D0011" w:rsidRPr="007D0011" w:rsidRDefault="007D0011" w:rsidP="007D0011">
            <w:pPr>
              <w:pStyle w:val="NormalWeb"/>
              <w:shd w:val="clear" w:color="auto" w:fill="FFFFFF"/>
              <w:spacing w:before="144" w:beforeAutospacing="0" w:after="288" w:afterAutospacing="0"/>
              <w:ind w:firstLine="432"/>
              <w:rPr>
                <w:rFonts w:ascii="Verdana" w:hAnsi="Verdana"/>
                <w:color w:val="000000" w:themeColor="text1"/>
                <w:sz w:val="27"/>
                <w:szCs w:val="27"/>
              </w:rPr>
            </w:pPr>
            <w:r w:rsidRPr="007D0011">
              <w:rPr>
                <w:rFonts w:ascii="Verdana" w:hAnsi="Verdana"/>
                <w:color w:val="000000" w:themeColor="text1"/>
                <w:sz w:val="27"/>
                <w:szCs w:val="27"/>
              </w:rPr>
              <w:t>• </w:t>
            </w:r>
            <w:r w:rsidRPr="007D0011">
              <w:rPr>
                <w:rFonts w:ascii="Arial" w:hAnsi="Arial" w:cs="Arial"/>
                <w:color w:val="000000" w:themeColor="text1"/>
                <w:lang w:val="en-GB"/>
              </w:rPr>
              <w:t>unlawfulness; and</w:t>
            </w:r>
          </w:p>
          <w:p w:rsidR="007D0011" w:rsidRDefault="007D0011" w:rsidP="007D0011">
            <w:pPr>
              <w:pStyle w:val="NormalWeb"/>
              <w:shd w:val="clear" w:color="auto" w:fill="FFFFFF"/>
              <w:spacing w:before="144" w:beforeAutospacing="0" w:after="288" w:afterAutospacing="0"/>
              <w:ind w:firstLine="432"/>
              <w:rPr>
                <w:rFonts w:ascii="Arial" w:hAnsi="Arial" w:cs="Arial"/>
                <w:color w:val="000000" w:themeColor="text1"/>
                <w:lang w:val="en-GB"/>
              </w:rPr>
            </w:pPr>
            <w:r w:rsidRPr="007D0011">
              <w:rPr>
                <w:rFonts w:ascii="Verdana" w:hAnsi="Verdana"/>
                <w:color w:val="000000" w:themeColor="text1"/>
                <w:sz w:val="27"/>
                <w:szCs w:val="27"/>
              </w:rPr>
              <w:t>• </w:t>
            </w:r>
            <w:proofErr w:type="gramStart"/>
            <w:r w:rsidRPr="007D0011">
              <w:rPr>
                <w:rFonts w:ascii="Arial" w:hAnsi="Arial" w:cs="Arial"/>
                <w:color w:val="000000" w:themeColor="text1"/>
                <w:lang w:val="en-GB"/>
              </w:rPr>
              <w:t>intention</w:t>
            </w:r>
            <w:proofErr w:type="gramEnd"/>
            <w:r w:rsidRPr="007D0011">
              <w:rPr>
                <w:rFonts w:ascii="Arial" w:hAnsi="Arial" w:cs="Arial"/>
                <w:color w:val="000000" w:themeColor="text1"/>
                <w:lang w:val="en-GB"/>
              </w:rPr>
              <w:t>.</w:t>
            </w:r>
          </w:p>
          <w:p w:rsidR="005D7CAF" w:rsidRPr="005D7CAF" w:rsidRDefault="005D7CAF" w:rsidP="00B00FCB">
            <w:pPr>
              <w:shd w:val="clear" w:color="auto" w:fill="FFFFFF"/>
              <w:spacing w:before="144" w:after="288" w:line="240" w:lineRule="auto"/>
              <w:ind w:firstLine="72"/>
              <w:rPr>
                <w:rFonts w:ascii="Verdana" w:eastAsia="Times New Roman" w:hAnsi="Verdana" w:cs="Times New Roman"/>
                <w:color w:val="242121"/>
                <w:sz w:val="27"/>
                <w:szCs w:val="27"/>
                <w:lang w:val="en-GB"/>
              </w:rPr>
            </w:pPr>
            <w:r w:rsidRPr="005D7CAF">
              <w:rPr>
                <w:rFonts w:ascii="Arial" w:eastAsia="Times New Roman" w:hAnsi="Arial" w:cs="Arial"/>
                <w:color w:val="242121"/>
                <w:sz w:val="24"/>
                <w:szCs w:val="24"/>
                <w:lang w:val="en-GB"/>
              </w:rPr>
              <w:t xml:space="preserve">According to </w:t>
            </w:r>
            <w:proofErr w:type="spellStart"/>
            <w:r>
              <w:rPr>
                <w:rFonts w:ascii="Arial" w:eastAsia="Times New Roman" w:hAnsi="Arial" w:cs="Arial"/>
                <w:color w:val="242121"/>
                <w:sz w:val="24"/>
                <w:szCs w:val="24"/>
                <w:lang w:val="en-GB"/>
              </w:rPr>
              <w:t>Snyman</w:t>
            </w:r>
            <w:proofErr w:type="spellEnd"/>
            <w:r w:rsidRPr="005D7CAF">
              <w:rPr>
                <w:rFonts w:ascii="Arial" w:eastAsia="Times New Roman" w:hAnsi="Arial" w:cs="Arial"/>
                <w:color w:val="242121"/>
                <w:sz w:val="24"/>
                <w:szCs w:val="24"/>
                <w:lang w:val="en-GB"/>
              </w:rPr>
              <w:t xml:space="preserve"> at 484, the definition of ‘theft’ is –</w:t>
            </w:r>
          </w:p>
          <w:p w:rsidR="005D7CAF" w:rsidRPr="00B00FCB" w:rsidRDefault="005D7CAF" w:rsidP="00B00FCB">
            <w:pPr>
              <w:shd w:val="clear" w:color="auto" w:fill="FFFFFF"/>
              <w:spacing w:before="144" w:after="288" w:line="360" w:lineRule="auto"/>
              <w:ind w:firstLine="432"/>
              <w:rPr>
                <w:rFonts w:ascii="Arial" w:eastAsia="Times New Roman" w:hAnsi="Arial" w:cs="Arial"/>
                <w:color w:val="242121"/>
              </w:rPr>
            </w:pPr>
            <w:r w:rsidRPr="005D7CAF">
              <w:rPr>
                <w:rFonts w:ascii="Verdana" w:eastAsia="Times New Roman" w:hAnsi="Verdana" w:cs="Times New Roman"/>
                <w:color w:val="242121"/>
                <w:sz w:val="27"/>
                <w:szCs w:val="27"/>
              </w:rPr>
              <w:t> </w:t>
            </w:r>
            <w:r w:rsidRPr="00B00FCB">
              <w:rPr>
                <w:rFonts w:ascii="Arial" w:eastAsia="Times New Roman" w:hAnsi="Arial" w:cs="Arial"/>
                <w:color w:val="242121"/>
              </w:rPr>
              <w:t>‘</w:t>
            </w:r>
            <w:r w:rsidRPr="00B00FCB">
              <w:rPr>
                <w:rFonts w:ascii="Arial" w:eastAsia="Times New Roman" w:hAnsi="Arial" w:cs="Arial"/>
                <w:color w:val="242121"/>
                <w:lang w:val="en-GB"/>
              </w:rPr>
              <w:t>A person commits theft if he unlawfully and intentionally appropriates movable,      corporeal property which</w:t>
            </w:r>
            <w:r w:rsidR="00B00FCB" w:rsidRPr="00B00FCB">
              <w:rPr>
                <w:rFonts w:ascii="Arial" w:eastAsia="Times New Roman" w:hAnsi="Arial" w:cs="Arial"/>
                <w:color w:val="242121"/>
                <w:lang w:val="en-GB"/>
              </w:rPr>
              <w:t>:</w:t>
            </w:r>
          </w:p>
          <w:p w:rsidR="005D7CAF" w:rsidRPr="00B00FCB" w:rsidRDefault="005D7CAF" w:rsidP="005D7CAF">
            <w:pPr>
              <w:shd w:val="clear" w:color="auto" w:fill="FFFFFF"/>
              <w:spacing w:before="144" w:after="288" w:line="360" w:lineRule="auto"/>
              <w:ind w:firstLine="432"/>
              <w:rPr>
                <w:rFonts w:ascii="Arial" w:eastAsia="Times New Roman" w:hAnsi="Arial" w:cs="Arial"/>
                <w:color w:val="242121"/>
                <w:lang w:val="en-GB"/>
              </w:rPr>
            </w:pPr>
            <w:r w:rsidRPr="00B00FCB">
              <w:rPr>
                <w:rFonts w:ascii="Arial" w:eastAsia="Times New Roman" w:hAnsi="Arial" w:cs="Arial"/>
                <w:color w:val="242121"/>
                <w:lang w:val="en-GB"/>
              </w:rPr>
              <w:t>(a) belongs to, and is in the possession of, another;</w:t>
            </w:r>
          </w:p>
          <w:p w:rsidR="005D7CAF" w:rsidRPr="00B00FCB" w:rsidRDefault="005D7CAF" w:rsidP="005D7CAF">
            <w:pPr>
              <w:shd w:val="clear" w:color="auto" w:fill="FFFFFF"/>
              <w:spacing w:before="144" w:after="288" w:line="360" w:lineRule="auto"/>
              <w:ind w:firstLine="432"/>
              <w:rPr>
                <w:rFonts w:ascii="Arial" w:eastAsia="Times New Roman" w:hAnsi="Arial" w:cs="Arial"/>
                <w:color w:val="242121"/>
              </w:rPr>
            </w:pPr>
            <w:r w:rsidRPr="00B00FCB">
              <w:rPr>
                <w:rFonts w:ascii="Arial" w:eastAsia="Times New Roman" w:hAnsi="Arial" w:cs="Arial"/>
                <w:color w:val="242121"/>
              </w:rPr>
              <w:t>…</w:t>
            </w:r>
          </w:p>
          <w:p w:rsidR="005D7CAF" w:rsidRPr="00B00FCB" w:rsidRDefault="005D7CAF" w:rsidP="005D7CAF">
            <w:pPr>
              <w:shd w:val="clear" w:color="auto" w:fill="FFFFFF"/>
              <w:spacing w:before="144" w:after="288" w:line="360" w:lineRule="auto"/>
              <w:ind w:left="432"/>
              <w:rPr>
                <w:rFonts w:ascii="Arial" w:eastAsia="Times New Roman" w:hAnsi="Arial" w:cs="Arial"/>
                <w:color w:val="242121"/>
                <w:lang w:val="en-GB"/>
              </w:rPr>
            </w:pPr>
            <w:proofErr w:type="gramStart"/>
            <w:r w:rsidRPr="00B00FCB">
              <w:rPr>
                <w:rFonts w:ascii="Arial" w:eastAsia="Times New Roman" w:hAnsi="Arial" w:cs="Arial"/>
                <w:color w:val="242121"/>
                <w:lang w:val="en-GB"/>
              </w:rPr>
              <w:t>provided</w:t>
            </w:r>
            <w:proofErr w:type="gramEnd"/>
            <w:r w:rsidRPr="00B00FCB">
              <w:rPr>
                <w:rFonts w:ascii="Arial" w:eastAsia="Times New Roman" w:hAnsi="Arial" w:cs="Arial"/>
                <w:color w:val="242121"/>
                <w:lang w:val="en-GB"/>
              </w:rPr>
              <w:t xml:space="preserve"> that the intention to appropriate the property includes an intention permanently to deprive the person entitled to the possession of the property, of such property.’</w:t>
            </w:r>
          </w:p>
          <w:p w:rsidR="005D7CAF" w:rsidRPr="00B00FCB" w:rsidRDefault="005D7CAF" w:rsidP="005D7CAF">
            <w:pPr>
              <w:shd w:val="clear" w:color="auto" w:fill="FFFFFF"/>
              <w:spacing w:before="144" w:after="288" w:line="240" w:lineRule="auto"/>
              <w:ind w:firstLine="432"/>
              <w:rPr>
                <w:rFonts w:ascii="Arial" w:eastAsia="Times New Roman" w:hAnsi="Arial" w:cs="Arial"/>
                <w:color w:val="242121"/>
                <w:lang w:val="en-GB"/>
              </w:rPr>
            </w:pPr>
            <w:r w:rsidRPr="00B00FCB">
              <w:rPr>
                <w:rFonts w:ascii="Arial" w:eastAsia="Times New Roman" w:hAnsi="Arial" w:cs="Arial"/>
                <w:color w:val="242121"/>
              </w:rPr>
              <w:t> </w:t>
            </w:r>
            <w:proofErr w:type="spellStart"/>
            <w:r w:rsidRPr="00B00FCB">
              <w:rPr>
                <w:rFonts w:ascii="Arial" w:eastAsia="Times New Roman" w:hAnsi="Arial" w:cs="Arial"/>
                <w:color w:val="242121"/>
                <w:lang w:val="en-GB"/>
              </w:rPr>
              <w:t>Snyman</w:t>
            </w:r>
            <w:proofErr w:type="spellEnd"/>
            <w:r w:rsidRPr="00B00FCB">
              <w:rPr>
                <w:rFonts w:ascii="Arial" w:eastAsia="Times New Roman" w:hAnsi="Arial" w:cs="Arial"/>
                <w:color w:val="242121"/>
                <w:lang w:val="en-GB"/>
              </w:rPr>
              <w:t xml:space="preserve"> lists the elements of the crime as:</w:t>
            </w:r>
          </w:p>
          <w:p w:rsidR="005D7CAF" w:rsidRPr="00B00FCB" w:rsidRDefault="005D7CAF" w:rsidP="005D7CAF">
            <w:pPr>
              <w:shd w:val="clear" w:color="auto" w:fill="FFFFFF"/>
              <w:spacing w:before="144" w:after="288" w:line="240" w:lineRule="auto"/>
              <w:ind w:firstLine="432"/>
              <w:rPr>
                <w:rFonts w:ascii="Arial" w:eastAsia="Times New Roman" w:hAnsi="Arial" w:cs="Arial"/>
                <w:color w:val="242121"/>
              </w:rPr>
            </w:pPr>
            <w:r w:rsidRPr="00B00FCB">
              <w:rPr>
                <w:rFonts w:ascii="Arial" w:eastAsia="Times New Roman" w:hAnsi="Arial" w:cs="Arial"/>
                <w:color w:val="242121"/>
              </w:rPr>
              <w:t>• </w:t>
            </w:r>
            <w:r w:rsidRPr="00B00FCB">
              <w:rPr>
                <w:rFonts w:ascii="Arial" w:eastAsia="Times New Roman" w:hAnsi="Arial" w:cs="Arial"/>
                <w:color w:val="242121"/>
                <w:lang w:val="en-GB"/>
              </w:rPr>
              <w:t>an act of appropriation;</w:t>
            </w:r>
          </w:p>
          <w:p w:rsidR="005D7CAF" w:rsidRPr="00B00FCB" w:rsidRDefault="005D7CAF" w:rsidP="005D7CAF">
            <w:pPr>
              <w:shd w:val="clear" w:color="auto" w:fill="FFFFFF"/>
              <w:spacing w:before="144" w:after="288" w:line="240" w:lineRule="auto"/>
              <w:ind w:firstLine="432"/>
              <w:rPr>
                <w:rFonts w:ascii="Arial" w:eastAsia="Times New Roman" w:hAnsi="Arial" w:cs="Arial"/>
                <w:color w:val="242121"/>
              </w:rPr>
            </w:pPr>
            <w:r w:rsidRPr="00B00FCB">
              <w:rPr>
                <w:rFonts w:ascii="Arial" w:eastAsia="Times New Roman" w:hAnsi="Arial" w:cs="Arial"/>
                <w:color w:val="242121"/>
              </w:rPr>
              <w:t>• </w:t>
            </w:r>
            <w:r w:rsidRPr="00B00FCB">
              <w:rPr>
                <w:rFonts w:ascii="Arial" w:eastAsia="Times New Roman" w:hAnsi="Arial" w:cs="Arial"/>
                <w:color w:val="242121"/>
                <w:lang w:val="en-GB"/>
              </w:rPr>
              <w:t>in respect of a certain type of property;</w:t>
            </w:r>
          </w:p>
          <w:p w:rsidR="005D7CAF" w:rsidRPr="00B00FCB" w:rsidRDefault="005D7CAF" w:rsidP="005D7CAF">
            <w:pPr>
              <w:shd w:val="clear" w:color="auto" w:fill="FFFFFF"/>
              <w:spacing w:before="144" w:after="288" w:line="240" w:lineRule="auto"/>
              <w:ind w:firstLine="432"/>
              <w:rPr>
                <w:rFonts w:ascii="Arial" w:eastAsia="Times New Roman" w:hAnsi="Arial" w:cs="Arial"/>
                <w:color w:val="242121"/>
              </w:rPr>
            </w:pPr>
            <w:r w:rsidRPr="00B00FCB">
              <w:rPr>
                <w:rFonts w:ascii="Arial" w:eastAsia="Times New Roman" w:hAnsi="Arial" w:cs="Arial"/>
                <w:color w:val="242121"/>
              </w:rPr>
              <w:t>• </w:t>
            </w:r>
            <w:r w:rsidRPr="00B00FCB">
              <w:rPr>
                <w:rFonts w:ascii="Arial" w:eastAsia="Times New Roman" w:hAnsi="Arial" w:cs="Arial"/>
                <w:color w:val="242121"/>
                <w:lang w:val="en-GB"/>
              </w:rPr>
              <w:t>which takes place unlawfully; and</w:t>
            </w:r>
          </w:p>
          <w:p w:rsidR="005D7CAF" w:rsidRPr="00B00FCB" w:rsidRDefault="005D7CAF" w:rsidP="005D7CAF">
            <w:pPr>
              <w:shd w:val="clear" w:color="auto" w:fill="FFFFFF"/>
              <w:spacing w:before="144" w:after="288" w:line="240" w:lineRule="auto"/>
              <w:ind w:firstLine="432"/>
              <w:rPr>
                <w:rFonts w:ascii="Arial" w:eastAsia="Times New Roman" w:hAnsi="Arial" w:cs="Arial"/>
                <w:color w:val="242121"/>
              </w:rPr>
            </w:pPr>
            <w:r w:rsidRPr="00B00FCB">
              <w:rPr>
                <w:rFonts w:ascii="Arial" w:eastAsia="Times New Roman" w:hAnsi="Arial" w:cs="Arial"/>
                <w:color w:val="242121"/>
              </w:rPr>
              <w:t>• </w:t>
            </w:r>
            <w:proofErr w:type="gramStart"/>
            <w:r w:rsidRPr="00B00FCB">
              <w:rPr>
                <w:rFonts w:ascii="Arial" w:eastAsia="Times New Roman" w:hAnsi="Arial" w:cs="Arial"/>
                <w:color w:val="242121"/>
                <w:lang w:val="en-GB"/>
              </w:rPr>
              <w:t>intentionally</w:t>
            </w:r>
            <w:proofErr w:type="gramEnd"/>
            <w:r w:rsidRPr="00B00FCB">
              <w:rPr>
                <w:rFonts w:ascii="Arial" w:eastAsia="Times New Roman" w:hAnsi="Arial" w:cs="Arial"/>
                <w:color w:val="242121"/>
                <w:lang w:val="en-GB"/>
              </w:rPr>
              <w:t>.</w:t>
            </w:r>
          </w:p>
          <w:p w:rsidR="005D7CAF" w:rsidRPr="00B00FCB" w:rsidRDefault="005D7CAF" w:rsidP="005D7CAF">
            <w:pPr>
              <w:numPr>
                <w:ilvl w:val="0"/>
                <w:numId w:val="1"/>
              </w:numPr>
              <w:spacing w:before="240" w:after="0" w:line="360" w:lineRule="auto"/>
              <w:ind w:left="342"/>
              <w:jc w:val="both"/>
              <w:rPr>
                <w:rFonts w:ascii="Arial" w:eastAsia="Calibri" w:hAnsi="Arial" w:cs="Arial"/>
                <w:sz w:val="24"/>
                <w:szCs w:val="24"/>
                <w:lang w:val="en-GB"/>
              </w:rPr>
            </w:pPr>
            <w:r>
              <w:rPr>
                <w:rFonts w:ascii="Arial" w:eastAsia="Calibri" w:hAnsi="Arial" w:cs="Arial"/>
                <w:sz w:val="24"/>
                <w:szCs w:val="24"/>
                <w:lang w:val="en-GB"/>
              </w:rPr>
              <w:t xml:space="preserve">      </w:t>
            </w:r>
            <w:r w:rsidRPr="00B00FCB">
              <w:rPr>
                <w:rFonts w:ascii="Arial" w:eastAsia="Calibri" w:hAnsi="Arial" w:cs="Arial"/>
                <w:sz w:val="24"/>
                <w:szCs w:val="24"/>
                <w:lang w:val="en-GB"/>
              </w:rPr>
              <w:t xml:space="preserve">On examining the elements of both crimes in comparison, it is evident that not </w:t>
            </w:r>
            <w:r w:rsidRPr="00B00FCB">
              <w:rPr>
                <w:rFonts w:ascii="Arial" w:eastAsia="Calibri" w:hAnsi="Arial" w:cs="Arial"/>
                <w:sz w:val="24"/>
                <w:szCs w:val="24"/>
                <w:lang w:val="en-GB"/>
              </w:rPr>
              <w:lastRenderedPageBreak/>
              <w:t xml:space="preserve">all </w:t>
            </w:r>
            <w:r w:rsidRPr="00B00FCB">
              <w:rPr>
                <w:rFonts w:ascii="Arial" w:hAnsi="Arial" w:cs="Arial"/>
                <w:color w:val="242121"/>
                <w:sz w:val="24"/>
                <w:szCs w:val="24"/>
                <w:shd w:val="clear" w:color="auto" w:fill="FFFFFF"/>
              </w:rPr>
              <w:t>the essential elements</w:t>
            </w:r>
            <w:r>
              <w:rPr>
                <w:rFonts w:ascii="Arial" w:hAnsi="Arial" w:cs="Arial"/>
                <w:color w:val="242121"/>
                <w:sz w:val="27"/>
                <w:szCs w:val="27"/>
                <w:shd w:val="clear" w:color="auto" w:fill="FFFFFF"/>
              </w:rPr>
              <w:t xml:space="preserve"> </w:t>
            </w:r>
            <w:r w:rsidRPr="00EA0745">
              <w:rPr>
                <w:rFonts w:ascii="Arial" w:hAnsi="Arial" w:cs="Arial"/>
                <w:color w:val="242121"/>
                <w:sz w:val="24"/>
                <w:szCs w:val="24"/>
                <w:shd w:val="clear" w:color="auto" w:fill="FFFFFF"/>
              </w:rPr>
              <w:t>of theft are included in the essential elements of fraud</w:t>
            </w:r>
            <w:r w:rsidR="00765577">
              <w:rPr>
                <w:rFonts w:ascii="Arial" w:hAnsi="Arial" w:cs="Arial"/>
                <w:color w:val="242121"/>
                <w:sz w:val="27"/>
                <w:szCs w:val="27"/>
                <w:shd w:val="clear" w:color="auto" w:fill="FFFFFF"/>
              </w:rPr>
              <w:t>.</w:t>
            </w:r>
            <w:r>
              <w:rPr>
                <w:rFonts w:ascii="Arial" w:hAnsi="Arial" w:cs="Arial"/>
                <w:color w:val="242121"/>
                <w:sz w:val="27"/>
                <w:szCs w:val="27"/>
                <w:shd w:val="clear" w:color="auto" w:fill="FFFFFF"/>
              </w:rPr>
              <w:t xml:space="preserve"> </w:t>
            </w:r>
            <w:r w:rsidR="00765577" w:rsidRPr="00B00FCB">
              <w:rPr>
                <w:rFonts w:ascii="Arial" w:hAnsi="Arial" w:cs="Arial"/>
                <w:color w:val="242121"/>
                <w:sz w:val="24"/>
                <w:szCs w:val="24"/>
                <w:shd w:val="clear" w:color="auto" w:fill="FFFFFF"/>
              </w:rPr>
              <w:t>Both crimes have in common the elements of unlawfulness and intention. However, t</w:t>
            </w:r>
            <w:r w:rsidRPr="00B00FCB">
              <w:rPr>
                <w:rFonts w:ascii="Arial" w:hAnsi="Arial" w:cs="Arial"/>
                <w:color w:val="242121"/>
                <w:sz w:val="24"/>
                <w:szCs w:val="24"/>
                <w:shd w:val="clear" w:color="auto" w:fill="FFFFFF"/>
              </w:rPr>
              <w:t>here is, in the crime of fraud, n</w:t>
            </w:r>
            <w:r w:rsidR="00765577" w:rsidRPr="00B00FCB">
              <w:rPr>
                <w:rFonts w:ascii="Arial" w:hAnsi="Arial" w:cs="Arial"/>
                <w:color w:val="242121"/>
                <w:sz w:val="24"/>
                <w:szCs w:val="24"/>
                <w:shd w:val="clear" w:color="auto" w:fill="FFFFFF"/>
              </w:rPr>
              <w:t xml:space="preserve">o element of appropriation. Neither </w:t>
            </w:r>
            <w:r w:rsidRPr="00B00FCB">
              <w:rPr>
                <w:rFonts w:ascii="Arial" w:hAnsi="Arial" w:cs="Arial"/>
                <w:color w:val="242121"/>
                <w:sz w:val="24"/>
                <w:szCs w:val="24"/>
                <w:shd w:val="clear" w:color="auto" w:fill="FFFFFF"/>
              </w:rPr>
              <w:t>is it required that fraud be in respect o</w:t>
            </w:r>
            <w:r w:rsidR="00765577" w:rsidRPr="00B00FCB">
              <w:rPr>
                <w:rFonts w:ascii="Arial" w:hAnsi="Arial" w:cs="Arial"/>
                <w:color w:val="242121"/>
                <w:sz w:val="24"/>
                <w:szCs w:val="24"/>
                <w:shd w:val="clear" w:color="auto" w:fill="FFFFFF"/>
              </w:rPr>
              <w:t xml:space="preserve">f movable, corporeal property. </w:t>
            </w:r>
            <w:proofErr w:type="gramStart"/>
            <w:r w:rsidRPr="00B00FCB">
              <w:rPr>
                <w:rFonts w:ascii="Arial" w:hAnsi="Arial" w:cs="Arial"/>
                <w:color w:val="242121"/>
                <w:sz w:val="24"/>
                <w:szCs w:val="24"/>
                <w:shd w:val="clear" w:color="auto" w:fill="FFFFFF"/>
              </w:rPr>
              <w:t>or</w:t>
            </w:r>
            <w:proofErr w:type="gramEnd"/>
            <w:r w:rsidRPr="00B00FCB">
              <w:rPr>
                <w:rFonts w:ascii="Arial" w:hAnsi="Arial" w:cs="Arial"/>
                <w:color w:val="242121"/>
                <w:sz w:val="24"/>
                <w:szCs w:val="24"/>
                <w:shd w:val="clear" w:color="auto" w:fill="FFFFFF"/>
              </w:rPr>
              <w:t xml:space="preserve"> does the intention in fraud cases have to be to deprive the person entitled to the possession of the property, of such property.</w:t>
            </w:r>
          </w:p>
          <w:p w:rsidR="00765577" w:rsidRPr="00765577" w:rsidRDefault="00765577" w:rsidP="002D1FBA">
            <w:pPr>
              <w:numPr>
                <w:ilvl w:val="0"/>
                <w:numId w:val="1"/>
              </w:numPr>
              <w:shd w:val="clear" w:color="auto" w:fill="FFFFFF"/>
              <w:spacing w:before="144" w:after="288" w:line="360" w:lineRule="auto"/>
              <w:ind w:left="342"/>
              <w:jc w:val="both"/>
              <w:rPr>
                <w:rFonts w:ascii="Arial" w:hAnsi="Arial" w:cs="Arial"/>
                <w:color w:val="242121"/>
                <w:sz w:val="24"/>
                <w:szCs w:val="24"/>
              </w:rPr>
            </w:pPr>
            <w:r w:rsidRPr="00765577">
              <w:rPr>
                <w:rFonts w:ascii="Arial" w:hAnsi="Arial" w:cs="Arial"/>
                <w:color w:val="242121"/>
                <w:sz w:val="24"/>
                <w:szCs w:val="24"/>
                <w:shd w:val="clear" w:color="auto" w:fill="FFFFFF"/>
              </w:rPr>
              <w:t>It is therefore evident that a</w:t>
            </w:r>
            <w:r w:rsidRPr="00765577">
              <w:rPr>
                <w:rFonts w:ascii="Arial" w:hAnsi="Arial" w:cs="Arial"/>
                <w:color w:val="242121"/>
                <w:sz w:val="24"/>
                <w:szCs w:val="24"/>
                <w:lang w:val="en-GB"/>
              </w:rPr>
              <w:t xml:space="preserve"> person charged with fraud cannot, on the basis of a competent verdict in terms of s 270, be convicted of theft.</w:t>
            </w:r>
          </w:p>
          <w:p w:rsidR="00126D42" w:rsidRPr="00765577" w:rsidRDefault="00EB457C" w:rsidP="00765577">
            <w:pPr>
              <w:numPr>
                <w:ilvl w:val="0"/>
                <w:numId w:val="1"/>
              </w:numPr>
              <w:shd w:val="clear" w:color="auto" w:fill="FFFFFF"/>
              <w:spacing w:before="144" w:after="288" w:line="360" w:lineRule="auto"/>
              <w:ind w:left="342"/>
              <w:jc w:val="both"/>
              <w:rPr>
                <w:rFonts w:ascii="Arial" w:hAnsi="Arial" w:cs="Arial"/>
                <w:color w:val="242121"/>
                <w:sz w:val="24"/>
                <w:szCs w:val="24"/>
              </w:rPr>
            </w:pPr>
            <w:r w:rsidRPr="00765577">
              <w:rPr>
                <w:rFonts w:ascii="Arial" w:eastAsia="Calibri" w:hAnsi="Arial" w:cs="Arial"/>
                <w:sz w:val="24"/>
                <w:szCs w:val="24"/>
                <w:lang w:val="en-GB"/>
              </w:rPr>
              <w:t xml:space="preserve"> </w:t>
            </w:r>
            <w:r w:rsidR="00126D42" w:rsidRPr="00765577">
              <w:rPr>
                <w:rFonts w:ascii="Arial" w:eastAsia="Calibri" w:hAnsi="Arial" w:cs="Arial"/>
                <w:sz w:val="24"/>
                <w:szCs w:val="24"/>
                <w:lang w:val="en-GB"/>
              </w:rPr>
              <w:t>In the result:</w:t>
            </w:r>
          </w:p>
          <w:p w:rsidR="002436E3" w:rsidRDefault="002436E3" w:rsidP="002436E3">
            <w:pPr>
              <w:pStyle w:val="ListParagraph"/>
              <w:numPr>
                <w:ilvl w:val="0"/>
                <w:numId w:val="3"/>
              </w:numPr>
              <w:spacing w:before="240" w:after="0" w:line="360" w:lineRule="auto"/>
              <w:jc w:val="both"/>
              <w:rPr>
                <w:rFonts w:ascii="Arial" w:eastAsia="Calibri" w:hAnsi="Arial" w:cs="Arial"/>
                <w:sz w:val="24"/>
                <w:szCs w:val="24"/>
                <w:lang w:val="en-GB"/>
              </w:rPr>
            </w:pPr>
            <w:r w:rsidRPr="002436E3">
              <w:rPr>
                <w:rFonts w:ascii="Arial" w:eastAsia="Calibri" w:hAnsi="Arial" w:cs="Arial"/>
                <w:sz w:val="24"/>
                <w:szCs w:val="24"/>
                <w:lang w:val="en-GB"/>
              </w:rPr>
              <w:t>The conviction and sentence on count one, fraud,</w:t>
            </w:r>
            <w:r>
              <w:rPr>
                <w:rFonts w:ascii="Arial" w:eastAsia="Calibri" w:hAnsi="Arial" w:cs="Arial"/>
                <w:sz w:val="24"/>
                <w:szCs w:val="24"/>
                <w:lang w:val="en-GB"/>
              </w:rPr>
              <w:t xml:space="preserve"> are confirmed</w:t>
            </w:r>
            <w:r w:rsidRPr="002436E3">
              <w:rPr>
                <w:rFonts w:ascii="Arial" w:eastAsia="Calibri" w:hAnsi="Arial" w:cs="Arial"/>
                <w:sz w:val="24"/>
                <w:szCs w:val="24"/>
                <w:lang w:val="en-GB"/>
              </w:rPr>
              <w:t>;</w:t>
            </w:r>
          </w:p>
          <w:p w:rsidR="002436E3" w:rsidRPr="002436E3" w:rsidRDefault="002436E3" w:rsidP="002436E3">
            <w:pPr>
              <w:pStyle w:val="ListParagraph"/>
              <w:spacing w:before="240" w:after="0" w:line="360" w:lineRule="auto"/>
              <w:ind w:left="2065"/>
              <w:jc w:val="both"/>
              <w:rPr>
                <w:rFonts w:ascii="Arial" w:eastAsia="Calibri" w:hAnsi="Arial" w:cs="Arial"/>
                <w:sz w:val="24"/>
                <w:szCs w:val="24"/>
                <w:lang w:val="en-GB"/>
              </w:rPr>
            </w:pPr>
          </w:p>
          <w:p w:rsidR="00765577" w:rsidRPr="002436E3" w:rsidRDefault="002436E3" w:rsidP="00765577">
            <w:pPr>
              <w:pStyle w:val="ListParagraph"/>
              <w:numPr>
                <w:ilvl w:val="0"/>
                <w:numId w:val="3"/>
              </w:numPr>
              <w:spacing w:before="240" w:after="0" w:line="360" w:lineRule="auto"/>
              <w:jc w:val="both"/>
              <w:rPr>
                <w:rFonts w:ascii="Arial" w:eastAsia="Calibri" w:hAnsi="Arial" w:cs="Arial"/>
                <w:sz w:val="24"/>
                <w:szCs w:val="24"/>
                <w:lang w:val="en-GB"/>
              </w:rPr>
            </w:pPr>
            <w:r w:rsidRPr="002436E3">
              <w:rPr>
                <w:rFonts w:ascii="Arial" w:eastAsia="Calibri" w:hAnsi="Arial" w:cs="Arial"/>
                <w:sz w:val="24"/>
                <w:szCs w:val="24"/>
                <w:lang w:val="en-GB"/>
              </w:rPr>
              <w:t>The conviction</w:t>
            </w:r>
            <w:r w:rsidR="00765577">
              <w:rPr>
                <w:rFonts w:ascii="Arial" w:eastAsia="Calibri" w:hAnsi="Arial" w:cs="Arial"/>
                <w:sz w:val="24"/>
                <w:szCs w:val="24"/>
                <w:lang w:val="en-GB"/>
              </w:rPr>
              <w:t xml:space="preserve"> and sentence on count two are set aside.</w:t>
            </w:r>
            <w:r w:rsidRPr="002436E3">
              <w:rPr>
                <w:rFonts w:ascii="Arial" w:eastAsia="Calibri" w:hAnsi="Arial" w:cs="Arial"/>
                <w:sz w:val="24"/>
                <w:szCs w:val="24"/>
                <w:lang w:val="en-GB"/>
              </w:rPr>
              <w:t xml:space="preserve"> </w:t>
            </w:r>
          </w:p>
          <w:p w:rsidR="00126D42" w:rsidRPr="002436E3" w:rsidRDefault="00126D42" w:rsidP="00765577">
            <w:pPr>
              <w:pStyle w:val="ListParagraph"/>
              <w:spacing w:before="240" w:after="0" w:line="360" w:lineRule="auto"/>
              <w:ind w:left="2065"/>
              <w:jc w:val="both"/>
              <w:rPr>
                <w:rFonts w:ascii="Arial" w:eastAsia="Calibri" w:hAnsi="Arial" w:cs="Arial"/>
                <w:sz w:val="24"/>
                <w:szCs w:val="24"/>
                <w:lang w:val="en-GB"/>
              </w:rPr>
            </w:pPr>
          </w:p>
        </w:tc>
      </w:tr>
      <w:tr w:rsidR="00126D42" w:rsidRPr="00845E2D" w:rsidTr="009F1C58">
        <w:tc>
          <w:tcPr>
            <w:tcW w:w="4770" w:type="dxa"/>
            <w:shd w:val="clear" w:color="auto" w:fill="auto"/>
          </w:tcPr>
          <w:p w:rsidR="00126D42" w:rsidRPr="00EB0A3E" w:rsidRDefault="00126D42" w:rsidP="009F1C58">
            <w:pPr>
              <w:spacing w:before="240" w:after="0" w:line="360" w:lineRule="auto"/>
              <w:rPr>
                <w:rFonts w:ascii="Arial" w:eastAsia="Calibri" w:hAnsi="Arial" w:cs="Arial"/>
                <w:b/>
                <w:sz w:val="24"/>
                <w:szCs w:val="24"/>
                <w:lang w:val="en-ZA"/>
              </w:rPr>
            </w:pPr>
            <w:r w:rsidRPr="00EB0A3E">
              <w:rPr>
                <w:rFonts w:ascii="Arial" w:eastAsia="Calibri" w:hAnsi="Arial" w:cs="Arial"/>
                <w:b/>
                <w:sz w:val="24"/>
                <w:szCs w:val="24"/>
                <w:lang w:val="en-ZA"/>
              </w:rPr>
              <w:lastRenderedPageBreak/>
              <w:t xml:space="preserve">  </w:t>
            </w:r>
          </w:p>
          <w:p w:rsidR="00126D42" w:rsidRPr="00EB0A3E" w:rsidRDefault="00126D42" w:rsidP="009F1C58">
            <w:pPr>
              <w:spacing w:before="240" w:after="0" w:line="360" w:lineRule="auto"/>
              <w:rPr>
                <w:rFonts w:ascii="Arial" w:eastAsia="Calibri" w:hAnsi="Arial" w:cs="Arial"/>
                <w:b/>
                <w:sz w:val="24"/>
                <w:szCs w:val="24"/>
                <w:lang w:val="en-ZA"/>
              </w:rPr>
            </w:pPr>
          </w:p>
        </w:tc>
        <w:tc>
          <w:tcPr>
            <w:tcW w:w="4950" w:type="dxa"/>
            <w:gridSpan w:val="2"/>
            <w:shd w:val="clear" w:color="auto" w:fill="auto"/>
          </w:tcPr>
          <w:p w:rsidR="00126D42" w:rsidRPr="00EB0A3E" w:rsidRDefault="00126D42" w:rsidP="009F1C58">
            <w:pPr>
              <w:spacing w:before="240" w:after="0" w:line="360" w:lineRule="auto"/>
              <w:rPr>
                <w:rFonts w:ascii="Arial" w:eastAsia="Calibri" w:hAnsi="Arial" w:cs="Arial"/>
                <w:b/>
                <w:sz w:val="24"/>
                <w:szCs w:val="24"/>
                <w:lang w:val="en-ZA"/>
              </w:rPr>
            </w:pPr>
          </w:p>
        </w:tc>
      </w:tr>
      <w:tr w:rsidR="00126D42" w:rsidRPr="00845E2D" w:rsidTr="009F1C58">
        <w:trPr>
          <w:trHeight w:val="827"/>
        </w:trPr>
        <w:tc>
          <w:tcPr>
            <w:tcW w:w="4770" w:type="dxa"/>
            <w:shd w:val="clear" w:color="auto" w:fill="auto"/>
          </w:tcPr>
          <w:p w:rsidR="00126D42" w:rsidRPr="00EB0A3E" w:rsidRDefault="00126D42" w:rsidP="009F1C58">
            <w:pPr>
              <w:spacing w:after="0" w:line="360" w:lineRule="auto"/>
              <w:rPr>
                <w:rFonts w:ascii="Arial" w:eastAsia="Calibri" w:hAnsi="Arial" w:cs="Arial"/>
                <w:b/>
                <w:sz w:val="24"/>
                <w:szCs w:val="24"/>
                <w:lang w:val="en-ZA"/>
              </w:rPr>
            </w:pPr>
          </w:p>
          <w:p w:rsidR="00126D42" w:rsidRPr="00EB0A3E" w:rsidRDefault="00126D42" w:rsidP="009F1C58">
            <w:pPr>
              <w:spacing w:after="0" w:line="360" w:lineRule="auto"/>
              <w:jc w:val="center"/>
              <w:rPr>
                <w:rFonts w:ascii="Arial" w:eastAsia="Calibri" w:hAnsi="Arial" w:cs="Arial"/>
                <w:b/>
                <w:sz w:val="24"/>
                <w:szCs w:val="24"/>
                <w:lang w:val="en-ZA"/>
              </w:rPr>
            </w:pPr>
            <w:r>
              <w:rPr>
                <w:rFonts w:ascii="Arial" w:eastAsia="Calibri" w:hAnsi="Arial" w:cs="Arial"/>
                <w:b/>
                <w:sz w:val="24"/>
                <w:szCs w:val="24"/>
                <w:lang w:val="en-ZA"/>
              </w:rPr>
              <w:t>H C JANUARY</w:t>
            </w:r>
            <w:r w:rsidRPr="00EB0A3E">
              <w:rPr>
                <w:rFonts w:ascii="Arial" w:eastAsia="Calibri" w:hAnsi="Arial" w:cs="Arial"/>
                <w:b/>
                <w:sz w:val="24"/>
                <w:szCs w:val="24"/>
                <w:lang w:val="en-ZA"/>
              </w:rPr>
              <w:t xml:space="preserve"> </w:t>
            </w:r>
          </w:p>
          <w:p w:rsidR="00126D42" w:rsidRPr="00EB0A3E" w:rsidRDefault="00126D42" w:rsidP="009F1C58">
            <w:pPr>
              <w:spacing w:after="0" w:line="360" w:lineRule="auto"/>
              <w:jc w:val="center"/>
              <w:rPr>
                <w:rFonts w:ascii="Arial" w:eastAsia="Calibri" w:hAnsi="Arial" w:cs="Arial"/>
                <w:b/>
                <w:sz w:val="24"/>
                <w:szCs w:val="24"/>
                <w:lang w:val="en-ZA"/>
              </w:rPr>
            </w:pPr>
            <w:r w:rsidRPr="00EB0A3E">
              <w:rPr>
                <w:rFonts w:ascii="Arial" w:eastAsia="Calibri" w:hAnsi="Arial" w:cs="Arial"/>
                <w:b/>
                <w:sz w:val="24"/>
                <w:szCs w:val="24"/>
                <w:lang w:val="en-ZA"/>
              </w:rPr>
              <w:t>JUDGE</w:t>
            </w:r>
          </w:p>
        </w:tc>
        <w:tc>
          <w:tcPr>
            <w:tcW w:w="4950" w:type="dxa"/>
            <w:gridSpan w:val="2"/>
            <w:shd w:val="clear" w:color="auto" w:fill="auto"/>
          </w:tcPr>
          <w:p w:rsidR="00126D42" w:rsidRPr="00EB0A3E" w:rsidRDefault="00126D42" w:rsidP="009F1C58">
            <w:pPr>
              <w:spacing w:after="0" w:line="360" w:lineRule="auto"/>
              <w:jc w:val="center"/>
              <w:rPr>
                <w:rFonts w:ascii="Arial" w:eastAsia="Calibri" w:hAnsi="Arial" w:cs="Arial"/>
                <w:b/>
                <w:sz w:val="24"/>
                <w:szCs w:val="24"/>
                <w:lang w:val="en-ZA"/>
              </w:rPr>
            </w:pPr>
          </w:p>
          <w:p w:rsidR="00126D42" w:rsidRPr="00EB0A3E" w:rsidRDefault="00B00FCB" w:rsidP="009F1C58">
            <w:pPr>
              <w:spacing w:after="0" w:line="360" w:lineRule="auto"/>
              <w:jc w:val="center"/>
              <w:rPr>
                <w:rFonts w:ascii="Arial" w:eastAsia="Calibri" w:hAnsi="Arial" w:cs="Arial"/>
                <w:b/>
                <w:sz w:val="24"/>
                <w:szCs w:val="24"/>
                <w:lang w:val="en-ZA"/>
              </w:rPr>
            </w:pPr>
            <w:r>
              <w:rPr>
                <w:rFonts w:ascii="Arial" w:eastAsia="Calibri" w:hAnsi="Arial" w:cs="Arial"/>
                <w:b/>
                <w:sz w:val="24"/>
                <w:szCs w:val="24"/>
                <w:lang w:val="en-ZA"/>
              </w:rPr>
              <w:t>P CHRISTIAAN</w:t>
            </w:r>
          </w:p>
          <w:p w:rsidR="00126D42" w:rsidRPr="00EB0A3E" w:rsidRDefault="00B00FCB" w:rsidP="009F1C58">
            <w:pPr>
              <w:spacing w:after="0" w:line="360" w:lineRule="auto"/>
              <w:jc w:val="center"/>
              <w:rPr>
                <w:rFonts w:ascii="Arial" w:eastAsia="Calibri" w:hAnsi="Arial" w:cs="Arial"/>
                <w:sz w:val="24"/>
                <w:szCs w:val="24"/>
                <w:lang w:val="en-ZA"/>
              </w:rPr>
            </w:pPr>
            <w:r>
              <w:rPr>
                <w:rFonts w:ascii="Arial" w:eastAsia="Calibri" w:hAnsi="Arial" w:cs="Arial"/>
                <w:b/>
                <w:sz w:val="24"/>
                <w:szCs w:val="24"/>
                <w:lang w:val="en-ZA"/>
              </w:rPr>
              <w:t xml:space="preserve">ACTING </w:t>
            </w:r>
            <w:r w:rsidR="00126D42" w:rsidRPr="00EB0A3E">
              <w:rPr>
                <w:rFonts w:ascii="Arial" w:eastAsia="Calibri" w:hAnsi="Arial" w:cs="Arial"/>
                <w:b/>
                <w:sz w:val="24"/>
                <w:szCs w:val="24"/>
                <w:lang w:val="en-ZA"/>
              </w:rPr>
              <w:t>JUDGE</w:t>
            </w:r>
          </w:p>
        </w:tc>
      </w:tr>
    </w:tbl>
    <w:p w:rsidR="00BC2FEB" w:rsidRPr="00126D42" w:rsidRDefault="00BC2FEB">
      <w:pPr>
        <w:rPr>
          <w:rFonts w:ascii="Arial" w:hAnsi="Arial" w:cs="Arial"/>
          <w:sz w:val="24"/>
          <w:szCs w:val="24"/>
        </w:rPr>
      </w:pPr>
    </w:p>
    <w:sectPr w:rsidR="00BC2FEB" w:rsidRPr="00126D42" w:rsidSect="00832FC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E9" w:rsidRDefault="007B11E9" w:rsidP="004462F4">
      <w:pPr>
        <w:spacing w:after="0" w:line="240" w:lineRule="auto"/>
      </w:pPr>
      <w:r>
        <w:separator/>
      </w:r>
    </w:p>
  </w:endnote>
  <w:endnote w:type="continuationSeparator" w:id="0">
    <w:p w:rsidR="007B11E9" w:rsidRDefault="007B11E9" w:rsidP="00446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E9" w:rsidRDefault="007B11E9" w:rsidP="004462F4">
      <w:pPr>
        <w:spacing w:after="0" w:line="240" w:lineRule="auto"/>
      </w:pPr>
      <w:r>
        <w:separator/>
      </w:r>
    </w:p>
  </w:footnote>
  <w:footnote w:type="continuationSeparator" w:id="0">
    <w:p w:rsidR="007B11E9" w:rsidRDefault="007B11E9" w:rsidP="004462F4">
      <w:pPr>
        <w:spacing w:after="0" w:line="240" w:lineRule="auto"/>
      </w:pPr>
      <w:r>
        <w:continuationSeparator/>
      </w:r>
    </w:p>
  </w:footnote>
  <w:footnote w:id="1">
    <w:p w:rsidR="004462F4" w:rsidRDefault="004462F4">
      <w:pPr>
        <w:pStyle w:val="FootnoteText"/>
      </w:pPr>
      <w:r>
        <w:rPr>
          <w:rStyle w:val="FootnoteReference"/>
        </w:rPr>
        <w:footnoteRef/>
      </w:r>
      <w:r>
        <w:t xml:space="preserve"> </w:t>
      </w:r>
      <w:r w:rsidRPr="004462F4">
        <w:t>2015 (2) SACR 637 (WCC)</w:t>
      </w:r>
    </w:p>
  </w:footnote>
  <w:footnote w:id="2">
    <w:p w:rsidR="002C70AA" w:rsidRPr="00147B41" w:rsidRDefault="002C70AA" w:rsidP="00147B41">
      <w:pPr>
        <w:pStyle w:val="Heading2"/>
        <w:shd w:val="clear" w:color="auto" w:fill="FFFFFF"/>
        <w:spacing w:before="240" w:after="180" w:line="288" w:lineRule="atLeast"/>
        <w:rPr>
          <w:rFonts w:ascii="Arial" w:hAnsi="Arial" w:cs="Arial"/>
          <w:color w:val="auto"/>
          <w:sz w:val="20"/>
          <w:szCs w:val="20"/>
        </w:rPr>
      </w:pPr>
      <w:r w:rsidRPr="002C70AA">
        <w:rPr>
          <w:rStyle w:val="FootnoteReference"/>
          <w:rFonts w:ascii="Arial" w:hAnsi="Arial" w:cs="Arial"/>
          <w:color w:val="auto"/>
          <w:sz w:val="20"/>
          <w:szCs w:val="20"/>
        </w:rPr>
        <w:footnoteRef/>
      </w:r>
      <w:r w:rsidRPr="002C70AA">
        <w:rPr>
          <w:rFonts w:ascii="Arial" w:hAnsi="Arial" w:cs="Arial"/>
          <w:color w:val="auto"/>
          <w:sz w:val="20"/>
          <w:szCs w:val="20"/>
        </w:rPr>
        <w:t xml:space="preserve"> </w:t>
      </w:r>
      <w:r w:rsidRPr="002C70AA">
        <w:rPr>
          <w:rFonts w:ascii="Arial" w:eastAsia="Times New Roman" w:hAnsi="Arial" w:cs="Arial"/>
          <w:color w:val="auto"/>
          <w:sz w:val="20"/>
          <w:szCs w:val="20"/>
        </w:rPr>
        <w:t>October 2014:59 [2014] DEREBUS 199, ‘</w:t>
      </w:r>
      <w:r w:rsidRPr="002C70AA">
        <w:rPr>
          <w:rFonts w:ascii="Arial" w:hAnsi="Arial" w:cs="Arial"/>
          <w:color w:val="auto"/>
          <w:sz w:val="20"/>
          <w:szCs w:val="20"/>
        </w:rPr>
        <w:t>Is theft a competen</w:t>
      </w:r>
      <w:r w:rsidR="00B00FCB">
        <w:rPr>
          <w:rFonts w:ascii="Arial" w:hAnsi="Arial" w:cs="Arial"/>
          <w:color w:val="auto"/>
          <w:sz w:val="20"/>
          <w:szCs w:val="20"/>
        </w:rPr>
        <w:t>t verdict on a charge of fraud?</w:t>
      </w:r>
      <w:proofErr w:type="gramStart"/>
      <w:r w:rsidR="00147B41">
        <w:rPr>
          <w:rFonts w:ascii="Arial" w:hAnsi="Arial" w:cs="Arial"/>
          <w:color w:val="auto"/>
          <w:sz w:val="20"/>
          <w:szCs w:val="20"/>
        </w:rPr>
        <w:t>’.</w:t>
      </w:r>
      <w:proofErr w:type="gramEnd"/>
    </w:p>
  </w:footnote>
  <w:footnote w:id="3">
    <w:p w:rsidR="00BF1911" w:rsidRPr="00BF1911" w:rsidRDefault="00BF1911" w:rsidP="00BF1911">
      <w:pPr>
        <w:spacing w:before="240" w:after="0" w:line="360" w:lineRule="auto"/>
        <w:jc w:val="both"/>
        <w:rPr>
          <w:rFonts w:ascii="Arial" w:eastAsia="Calibri" w:hAnsi="Arial" w:cs="Arial"/>
          <w:sz w:val="20"/>
          <w:szCs w:val="20"/>
          <w:lang w:val="en-GB"/>
        </w:rPr>
      </w:pPr>
      <w:r w:rsidRPr="00BF1911">
        <w:rPr>
          <w:rStyle w:val="FootnoteReference"/>
          <w:rFonts w:ascii="Arial" w:hAnsi="Arial" w:cs="Arial"/>
          <w:sz w:val="20"/>
          <w:szCs w:val="20"/>
        </w:rPr>
        <w:footnoteRef/>
      </w:r>
      <w:r w:rsidRPr="00BF1911">
        <w:rPr>
          <w:rFonts w:ascii="Arial" w:hAnsi="Arial" w:cs="Arial"/>
          <w:sz w:val="20"/>
          <w:szCs w:val="20"/>
        </w:rPr>
        <w:t xml:space="preserve"> </w:t>
      </w:r>
      <w:proofErr w:type="gramStart"/>
      <w:r w:rsidRPr="00BF1911">
        <w:rPr>
          <w:rFonts w:ascii="Arial" w:hAnsi="Arial" w:cs="Arial"/>
          <w:sz w:val="20"/>
          <w:szCs w:val="20"/>
        </w:rPr>
        <w:t>1980 (4) SA 187 (T)</w:t>
      </w:r>
      <w:r w:rsidR="00147B41">
        <w:rPr>
          <w:rFonts w:ascii="Arial" w:hAnsi="Arial" w:cs="Arial"/>
          <w:sz w:val="20"/>
          <w:szCs w:val="20"/>
        </w:rPr>
        <w:t>.</w:t>
      </w:r>
      <w:proofErr w:type="gramEnd"/>
    </w:p>
    <w:p w:rsidR="00BF1911" w:rsidRPr="00BF1911" w:rsidRDefault="00BF1911">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96696"/>
      <w:docPartObj>
        <w:docPartGallery w:val="Page Numbers (Top of Page)"/>
        <w:docPartUnique/>
      </w:docPartObj>
    </w:sdtPr>
    <w:sdtEndPr>
      <w:rPr>
        <w:noProof/>
      </w:rPr>
    </w:sdtEndPr>
    <w:sdtContent>
      <w:p w:rsidR="00832FC2" w:rsidRDefault="00832FC2">
        <w:pPr>
          <w:pStyle w:val="Header"/>
          <w:jc w:val="right"/>
        </w:pPr>
        <w:r>
          <w:fldChar w:fldCharType="begin"/>
        </w:r>
        <w:r>
          <w:instrText xml:space="preserve"> PAGE   \* MERGEFORMAT </w:instrText>
        </w:r>
        <w:r>
          <w:fldChar w:fldCharType="separate"/>
        </w:r>
        <w:r w:rsidR="00FA096E">
          <w:rPr>
            <w:noProof/>
          </w:rPr>
          <w:t>6</w:t>
        </w:r>
        <w:r>
          <w:rPr>
            <w:noProof/>
          </w:rPr>
          <w:fldChar w:fldCharType="end"/>
        </w:r>
      </w:p>
    </w:sdtContent>
  </w:sdt>
  <w:p w:rsidR="00832FC2" w:rsidRDefault="00832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901"/>
    <w:multiLevelType w:val="hybridMultilevel"/>
    <w:tmpl w:val="F7AC04A4"/>
    <w:lvl w:ilvl="0" w:tplc="0409000F">
      <w:start w:val="1"/>
      <w:numFmt w:val="decimal"/>
      <w:lvlText w:val="%1."/>
      <w:lvlJc w:val="left"/>
      <w:pPr>
        <w:ind w:left="2065" w:hanging="360"/>
      </w:pPr>
    </w:lvl>
    <w:lvl w:ilvl="1" w:tplc="04090019" w:tentative="1">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1">
    <w:nsid w:val="412A1BC2"/>
    <w:multiLevelType w:val="hybridMultilevel"/>
    <w:tmpl w:val="DC24E86E"/>
    <w:lvl w:ilvl="0" w:tplc="B3683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2062D"/>
    <w:multiLevelType w:val="hybridMultilevel"/>
    <w:tmpl w:val="476AFF4E"/>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42"/>
    <w:rsid w:val="000E5C98"/>
    <w:rsid w:val="000F2EEA"/>
    <w:rsid w:val="00126D42"/>
    <w:rsid w:val="00147B41"/>
    <w:rsid w:val="00226B70"/>
    <w:rsid w:val="002436E3"/>
    <w:rsid w:val="002A78EF"/>
    <w:rsid w:val="002C70AA"/>
    <w:rsid w:val="004462F4"/>
    <w:rsid w:val="004926AE"/>
    <w:rsid w:val="004A5D8B"/>
    <w:rsid w:val="005D7CAF"/>
    <w:rsid w:val="00613D57"/>
    <w:rsid w:val="0066735F"/>
    <w:rsid w:val="00726C06"/>
    <w:rsid w:val="00765577"/>
    <w:rsid w:val="007829CE"/>
    <w:rsid w:val="007B11E9"/>
    <w:rsid w:val="007D0011"/>
    <w:rsid w:val="00832FC2"/>
    <w:rsid w:val="00834126"/>
    <w:rsid w:val="008B1E84"/>
    <w:rsid w:val="008B7B15"/>
    <w:rsid w:val="008C5AC4"/>
    <w:rsid w:val="008D34E1"/>
    <w:rsid w:val="00944711"/>
    <w:rsid w:val="00961A3D"/>
    <w:rsid w:val="0099171E"/>
    <w:rsid w:val="00A66D81"/>
    <w:rsid w:val="00AE516F"/>
    <w:rsid w:val="00B00FCB"/>
    <w:rsid w:val="00BC2FEB"/>
    <w:rsid w:val="00BF1911"/>
    <w:rsid w:val="00BF1C9E"/>
    <w:rsid w:val="00C53DB8"/>
    <w:rsid w:val="00CA0DD9"/>
    <w:rsid w:val="00CD08B3"/>
    <w:rsid w:val="00CF5507"/>
    <w:rsid w:val="00E30EC7"/>
    <w:rsid w:val="00EA0745"/>
    <w:rsid w:val="00EB457C"/>
    <w:rsid w:val="00EF744A"/>
    <w:rsid w:val="00F24ADB"/>
    <w:rsid w:val="00F9721D"/>
    <w:rsid w:val="00FA096E"/>
    <w:rsid w:val="00FE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3"/>
    <w:pPr>
      <w:spacing w:after="200" w:line="276" w:lineRule="auto"/>
    </w:pPr>
  </w:style>
  <w:style w:type="paragraph" w:styleId="Heading2">
    <w:name w:val="heading 2"/>
    <w:basedOn w:val="Normal"/>
    <w:next w:val="Normal"/>
    <w:link w:val="Heading2Char"/>
    <w:uiPriority w:val="9"/>
    <w:unhideWhenUsed/>
    <w:qFormat/>
    <w:rsid w:val="002C7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CE"/>
    <w:pPr>
      <w:ind w:left="720"/>
      <w:contextualSpacing/>
    </w:pPr>
  </w:style>
  <w:style w:type="paragraph" w:styleId="FootnoteText">
    <w:name w:val="footnote text"/>
    <w:basedOn w:val="Normal"/>
    <w:link w:val="FootnoteTextChar"/>
    <w:uiPriority w:val="99"/>
    <w:semiHidden/>
    <w:unhideWhenUsed/>
    <w:rsid w:val="00446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2F4"/>
    <w:rPr>
      <w:sz w:val="20"/>
      <w:szCs w:val="20"/>
    </w:rPr>
  </w:style>
  <w:style w:type="character" w:styleId="FootnoteReference">
    <w:name w:val="footnote reference"/>
    <w:basedOn w:val="DefaultParagraphFont"/>
    <w:uiPriority w:val="99"/>
    <w:semiHidden/>
    <w:unhideWhenUsed/>
    <w:rsid w:val="004462F4"/>
    <w:rPr>
      <w:vertAlign w:val="superscript"/>
    </w:rPr>
  </w:style>
  <w:style w:type="character" w:customStyle="1" w:styleId="Heading2Char">
    <w:name w:val="Heading 2 Char"/>
    <w:basedOn w:val="DefaultParagraphFont"/>
    <w:link w:val="Heading2"/>
    <w:uiPriority w:val="9"/>
    <w:rsid w:val="002C70A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D00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2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FC2"/>
  </w:style>
  <w:style w:type="paragraph" w:styleId="Footer">
    <w:name w:val="footer"/>
    <w:basedOn w:val="Normal"/>
    <w:link w:val="FooterChar"/>
    <w:uiPriority w:val="99"/>
    <w:unhideWhenUsed/>
    <w:rsid w:val="00832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FC2"/>
  </w:style>
  <w:style w:type="paragraph" w:styleId="BalloonText">
    <w:name w:val="Balloon Text"/>
    <w:basedOn w:val="Normal"/>
    <w:link w:val="BalloonTextChar"/>
    <w:uiPriority w:val="99"/>
    <w:semiHidden/>
    <w:unhideWhenUsed/>
    <w:rsid w:val="008C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3"/>
    <w:pPr>
      <w:spacing w:after="200" w:line="276" w:lineRule="auto"/>
    </w:pPr>
  </w:style>
  <w:style w:type="paragraph" w:styleId="Heading2">
    <w:name w:val="heading 2"/>
    <w:basedOn w:val="Normal"/>
    <w:next w:val="Normal"/>
    <w:link w:val="Heading2Char"/>
    <w:uiPriority w:val="9"/>
    <w:unhideWhenUsed/>
    <w:qFormat/>
    <w:rsid w:val="002C70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CE"/>
    <w:pPr>
      <w:ind w:left="720"/>
      <w:contextualSpacing/>
    </w:pPr>
  </w:style>
  <w:style w:type="paragraph" w:styleId="FootnoteText">
    <w:name w:val="footnote text"/>
    <w:basedOn w:val="Normal"/>
    <w:link w:val="FootnoteTextChar"/>
    <w:uiPriority w:val="99"/>
    <w:semiHidden/>
    <w:unhideWhenUsed/>
    <w:rsid w:val="00446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2F4"/>
    <w:rPr>
      <w:sz w:val="20"/>
      <w:szCs w:val="20"/>
    </w:rPr>
  </w:style>
  <w:style w:type="character" w:styleId="FootnoteReference">
    <w:name w:val="footnote reference"/>
    <w:basedOn w:val="DefaultParagraphFont"/>
    <w:uiPriority w:val="99"/>
    <w:semiHidden/>
    <w:unhideWhenUsed/>
    <w:rsid w:val="004462F4"/>
    <w:rPr>
      <w:vertAlign w:val="superscript"/>
    </w:rPr>
  </w:style>
  <w:style w:type="character" w:customStyle="1" w:styleId="Heading2Char">
    <w:name w:val="Heading 2 Char"/>
    <w:basedOn w:val="DefaultParagraphFont"/>
    <w:link w:val="Heading2"/>
    <w:uiPriority w:val="9"/>
    <w:rsid w:val="002C70A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D00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2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FC2"/>
  </w:style>
  <w:style w:type="paragraph" w:styleId="Footer">
    <w:name w:val="footer"/>
    <w:basedOn w:val="Normal"/>
    <w:link w:val="FooterChar"/>
    <w:uiPriority w:val="99"/>
    <w:unhideWhenUsed/>
    <w:rsid w:val="00832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FC2"/>
  </w:style>
  <w:style w:type="paragraph" w:styleId="BalloonText">
    <w:name w:val="Balloon Text"/>
    <w:basedOn w:val="Normal"/>
    <w:link w:val="BalloonTextChar"/>
    <w:uiPriority w:val="99"/>
    <w:semiHidden/>
    <w:unhideWhenUsed/>
    <w:rsid w:val="008C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1444">
      <w:bodyDiv w:val="1"/>
      <w:marLeft w:val="0"/>
      <w:marRight w:val="0"/>
      <w:marTop w:val="0"/>
      <w:marBottom w:val="0"/>
      <w:divBdr>
        <w:top w:val="none" w:sz="0" w:space="0" w:color="auto"/>
        <w:left w:val="none" w:sz="0" w:space="0" w:color="auto"/>
        <w:bottom w:val="none" w:sz="0" w:space="0" w:color="auto"/>
        <w:right w:val="none" w:sz="0" w:space="0" w:color="auto"/>
      </w:divBdr>
    </w:div>
    <w:div w:id="810711041">
      <w:bodyDiv w:val="1"/>
      <w:marLeft w:val="0"/>
      <w:marRight w:val="0"/>
      <w:marTop w:val="0"/>
      <w:marBottom w:val="0"/>
      <w:divBdr>
        <w:top w:val="none" w:sz="0" w:space="0" w:color="auto"/>
        <w:left w:val="none" w:sz="0" w:space="0" w:color="auto"/>
        <w:bottom w:val="none" w:sz="0" w:space="0" w:color="auto"/>
        <w:right w:val="none" w:sz="0" w:space="0" w:color="auto"/>
      </w:divBdr>
    </w:div>
    <w:div w:id="860432355">
      <w:bodyDiv w:val="1"/>
      <w:marLeft w:val="0"/>
      <w:marRight w:val="0"/>
      <w:marTop w:val="0"/>
      <w:marBottom w:val="0"/>
      <w:divBdr>
        <w:top w:val="none" w:sz="0" w:space="0" w:color="auto"/>
        <w:left w:val="none" w:sz="0" w:space="0" w:color="auto"/>
        <w:bottom w:val="none" w:sz="0" w:space="0" w:color="auto"/>
        <w:right w:val="none" w:sz="0" w:space="0" w:color="auto"/>
      </w:divBdr>
    </w:div>
    <w:div w:id="13904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2023-06-12T18:30:00+00:00</Judgment_x0020_Date>
  </documentManagement>
</p:properties>
</file>

<file path=customXml/itemProps1.xml><?xml version="1.0" encoding="utf-8"?>
<ds:datastoreItem xmlns:ds="http://schemas.openxmlformats.org/officeDocument/2006/customXml" ds:itemID="{DB28C579-02FF-4ABB-B665-6A7B81603E6C}"/>
</file>

<file path=customXml/itemProps2.xml><?xml version="1.0" encoding="utf-8"?>
<ds:datastoreItem xmlns:ds="http://schemas.openxmlformats.org/officeDocument/2006/customXml" ds:itemID="{98DA336C-60DB-408F-A15E-0BDE3A8FF126}"/>
</file>

<file path=customXml/itemProps3.xml><?xml version="1.0" encoding="utf-8"?>
<ds:datastoreItem xmlns:ds="http://schemas.openxmlformats.org/officeDocument/2006/customXml" ds:itemID="{FD973006-4F21-47E8-91FF-076B2C3A1CD1}"/>
</file>

<file path=customXml/itemProps4.xml><?xml version="1.0" encoding="utf-8"?>
<ds:datastoreItem xmlns:ds="http://schemas.openxmlformats.org/officeDocument/2006/customXml" ds:itemID="{3C661CDA-16D4-48CB-96FB-253D5BA8A4AE}"/>
</file>

<file path=docProps/app.xml><?xml version="1.0" encoding="utf-8"?>
<Properties xmlns="http://schemas.openxmlformats.org/officeDocument/2006/extended-properties" xmlns:vt="http://schemas.openxmlformats.org/officeDocument/2006/docPropsVTypes">
  <Template>Normal</Template>
  <TotalTime>6</TotalTime>
  <Pages>6</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Kanguatjivi (CR 16-2023) [2023] NAHCMD 317 (13 June 2023)</dc:title>
  <dc:creator>Herman C. January</dc:creator>
  <cp:lastModifiedBy>Michelle N. Ullrich</cp:lastModifiedBy>
  <cp:revision>5</cp:revision>
  <cp:lastPrinted>2023-06-13T14:05:00Z</cp:lastPrinted>
  <dcterms:created xsi:type="dcterms:W3CDTF">2023-06-13T14:00:00Z</dcterms:created>
  <dcterms:modified xsi:type="dcterms:W3CDTF">2023-06-13T14:06:00Z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