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98A63" w14:textId="77777777" w:rsidR="00D74A70" w:rsidRPr="002665F4" w:rsidRDefault="00D74A70" w:rsidP="002665F4">
      <w:pPr>
        <w:pStyle w:val="ListParagraph"/>
        <w:spacing w:line="256" w:lineRule="auto"/>
        <w:jc w:val="center"/>
        <w:rPr>
          <w:rFonts w:ascii="Arial" w:eastAsia="Calibri" w:hAnsi="Arial" w:cs="Arial"/>
          <w:b/>
          <w:sz w:val="24"/>
          <w:szCs w:val="24"/>
        </w:rPr>
      </w:pPr>
      <w:r w:rsidRPr="002665F4">
        <w:rPr>
          <w:rFonts w:ascii="Arial" w:eastAsia="Calibri" w:hAnsi="Arial" w:cs="Arial"/>
          <w:b/>
          <w:sz w:val="24"/>
          <w:szCs w:val="24"/>
        </w:rPr>
        <w:t>REPUBLIC OF NAMIBIA</w:t>
      </w:r>
    </w:p>
    <w:p w14:paraId="0B6EC7C4" w14:textId="77777777" w:rsidR="00D74A70" w:rsidRPr="002665F4" w:rsidRDefault="00D74A70" w:rsidP="002665F4">
      <w:pPr>
        <w:spacing w:line="256" w:lineRule="auto"/>
        <w:jc w:val="center"/>
        <w:rPr>
          <w:rFonts w:ascii="Arial" w:eastAsia="Calibri" w:hAnsi="Arial" w:cs="Arial"/>
          <w:b/>
          <w:sz w:val="24"/>
          <w:szCs w:val="24"/>
        </w:rPr>
      </w:pPr>
      <w:r w:rsidRPr="002665F4">
        <w:rPr>
          <w:rFonts w:ascii="Arial" w:eastAsia="Calibri" w:hAnsi="Arial" w:cs="Arial"/>
          <w:b/>
          <w:noProof/>
          <w:sz w:val="24"/>
          <w:szCs w:val="24"/>
          <w:lang w:val="en-GB" w:eastAsia="en-GB"/>
        </w:rPr>
        <w:drawing>
          <wp:inline distT="0" distB="0" distL="0" distR="0" wp14:anchorId="4076A711" wp14:editId="670376A1">
            <wp:extent cx="1123950" cy="1076325"/>
            <wp:effectExtent l="0" t="0" r="0" b="9525"/>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inline>
        </w:drawing>
      </w:r>
    </w:p>
    <w:p w14:paraId="33F26ED7" w14:textId="77777777" w:rsidR="00D74A70" w:rsidRPr="002665F4" w:rsidRDefault="00D74A70" w:rsidP="00D74A70">
      <w:pPr>
        <w:spacing w:line="256" w:lineRule="auto"/>
        <w:jc w:val="center"/>
        <w:rPr>
          <w:rFonts w:ascii="Arial" w:eastAsia="Calibri" w:hAnsi="Arial" w:cs="Arial"/>
          <w:b/>
          <w:sz w:val="24"/>
          <w:szCs w:val="24"/>
        </w:rPr>
      </w:pPr>
      <w:r w:rsidRPr="002665F4">
        <w:rPr>
          <w:rFonts w:ascii="Arial" w:eastAsia="Calibri" w:hAnsi="Arial" w:cs="Arial"/>
          <w:b/>
          <w:sz w:val="24"/>
          <w:szCs w:val="24"/>
        </w:rPr>
        <w:t>IN THE HIGH COURT OF NAMIBIA, MAIN DIVISION, WINDHOEK</w:t>
      </w:r>
    </w:p>
    <w:p w14:paraId="7E184973" w14:textId="69D137AB" w:rsidR="00D74A70" w:rsidRPr="002665F4" w:rsidRDefault="00D32282" w:rsidP="00D74A70">
      <w:pPr>
        <w:spacing w:line="256" w:lineRule="auto"/>
        <w:jc w:val="center"/>
        <w:rPr>
          <w:rFonts w:ascii="Arial" w:eastAsia="Calibri" w:hAnsi="Arial" w:cs="Arial"/>
          <w:b/>
          <w:sz w:val="24"/>
          <w:szCs w:val="24"/>
        </w:rPr>
      </w:pPr>
      <w:r w:rsidRPr="002665F4">
        <w:rPr>
          <w:rFonts w:ascii="Arial" w:eastAsia="Calibri" w:hAnsi="Arial" w:cs="Arial"/>
          <w:b/>
          <w:sz w:val="24"/>
          <w:szCs w:val="24"/>
        </w:rPr>
        <w:t xml:space="preserve">RULING ON APPLICATION FOR </w:t>
      </w:r>
      <w:r w:rsidR="00D74A70" w:rsidRPr="002665F4">
        <w:rPr>
          <w:rFonts w:ascii="Arial" w:eastAsia="Calibri" w:hAnsi="Arial" w:cs="Arial"/>
          <w:b/>
          <w:sz w:val="24"/>
          <w:szCs w:val="24"/>
        </w:rPr>
        <w:t>LEAVE TO APPEAL</w:t>
      </w:r>
      <w:r w:rsidRPr="002665F4">
        <w:rPr>
          <w:rFonts w:ascii="Arial" w:eastAsia="Calibri" w:hAnsi="Arial" w:cs="Arial"/>
          <w:b/>
          <w:sz w:val="24"/>
          <w:szCs w:val="24"/>
        </w:rPr>
        <w:t xml:space="preserve"> </w:t>
      </w:r>
    </w:p>
    <w:tbl>
      <w:tblPr>
        <w:tblStyle w:val="TableGrid"/>
        <w:tblW w:w="9720" w:type="dxa"/>
        <w:tblInd w:w="-275" w:type="dxa"/>
        <w:tblLook w:val="04A0" w:firstRow="1" w:lastRow="0" w:firstColumn="1" w:lastColumn="0" w:noHBand="0" w:noVBand="1"/>
      </w:tblPr>
      <w:tblGrid>
        <w:gridCol w:w="4950"/>
        <w:gridCol w:w="447"/>
        <w:gridCol w:w="4323"/>
      </w:tblGrid>
      <w:tr w:rsidR="002665F4" w:rsidRPr="002665F4" w14:paraId="1E8A4B9D" w14:textId="77777777" w:rsidTr="00B13EE6">
        <w:trPr>
          <w:trHeight w:val="1088"/>
        </w:trPr>
        <w:tc>
          <w:tcPr>
            <w:tcW w:w="5397" w:type="dxa"/>
            <w:gridSpan w:val="2"/>
          </w:tcPr>
          <w:p w14:paraId="578A3311" w14:textId="77777777" w:rsidR="00AE7087" w:rsidRPr="002665F4" w:rsidRDefault="00AE7087" w:rsidP="00F7730A">
            <w:pPr>
              <w:spacing w:line="360" w:lineRule="auto"/>
              <w:jc w:val="both"/>
              <w:rPr>
                <w:rFonts w:ascii="Arial" w:hAnsi="Arial" w:cs="Arial"/>
                <w:sz w:val="24"/>
                <w:szCs w:val="24"/>
              </w:rPr>
            </w:pPr>
            <w:r w:rsidRPr="002665F4">
              <w:rPr>
                <w:rFonts w:ascii="Arial" w:hAnsi="Arial" w:cs="Arial"/>
                <w:b/>
                <w:sz w:val="24"/>
                <w:szCs w:val="24"/>
              </w:rPr>
              <w:t>Case Title:</w:t>
            </w:r>
          </w:p>
          <w:p w14:paraId="38CBA698" w14:textId="32986924" w:rsidR="002665F4" w:rsidRPr="002665F4" w:rsidRDefault="005B180E" w:rsidP="002665F4">
            <w:pPr>
              <w:spacing w:line="360" w:lineRule="auto"/>
              <w:jc w:val="both"/>
              <w:rPr>
                <w:rFonts w:ascii="Arial" w:hAnsi="Arial" w:cs="Arial"/>
                <w:sz w:val="24"/>
                <w:szCs w:val="24"/>
              </w:rPr>
            </w:pPr>
            <w:r w:rsidRPr="002665F4">
              <w:rPr>
                <w:rFonts w:ascii="Arial" w:hAnsi="Arial" w:cs="Arial"/>
                <w:sz w:val="24"/>
                <w:szCs w:val="24"/>
              </w:rPr>
              <w:t xml:space="preserve">Alexander Krylov </w:t>
            </w:r>
            <w:r w:rsidR="002665F4" w:rsidRPr="002665F4">
              <w:rPr>
                <w:rFonts w:ascii="Arial" w:hAnsi="Arial" w:cs="Arial"/>
                <w:sz w:val="24"/>
                <w:szCs w:val="24"/>
              </w:rPr>
              <w:tab/>
            </w:r>
            <w:r w:rsidR="002665F4" w:rsidRPr="002665F4">
              <w:rPr>
                <w:rFonts w:ascii="Arial" w:hAnsi="Arial" w:cs="Arial"/>
                <w:sz w:val="24"/>
                <w:szCs w:val="24"/>
              </w:rPr>
              <w:tab/>
            </w:r>
            <w:r w:rsidR="002665F4" w:rsidRPr="002665F4">
              <w:rPr>
                <w:rFonts w:ascii="Arial" w:hAnsi="Arial" w:cs="Arial"/>
                <w:sz w:val="24"/>
                <w:szCs w:val="24"/>
              </w:rPr>
              <w:tab/>
              <w:t>First Applicant</w:t>
            </w:r>
          </w:p>
          <w:p w14:paraId="7649C083" w14:textId="6D506255" w:rsidR="002665F4" w:rsidRPr="002665F4" w:rsidRDefault="005B180E" w:rsidP="002665F4">
            <w:pPr>
              <w:spacing w:line="360" w:lineRule="auto"/>
              <w:jc w:val="both"/>
              <w:rPr>
                <w:rFonts w:ascii="Arial" w:hAnsi="Arial" w:cs="Arial"/>
                <w:sz w:val="24"/>
                <w:szCs w:val="24"/>
              </w:rPr>
            </w:pPr>
            <w:r w:rsidRPr="002665F4">
              <w:rPr>
                <w:rFonts w:ascii="Arial" w:hAnsi="Arial" w:cs="Arial"/>
                <w:sz w:val="24"/>
                <w:szCs w:val="24"/>
              </w:rPr>
              <w:t xml:space="preserve">Anna Engelbrecht </w:t>
            </w:r>
            <w:r w:rsidR="002665F4" w:rsidRPr="002665F4">
              <w:rPr>
                <w:rFonts w:ascii="Arial" w:hAnsi="Arial" w:cs="Arial"/>
                <w:sz w:val="24"/>
                <w:szCs w:val="24"/>
              </w:rPr>
              <w:tab/>
            </w:r>
            <w:r w:rsidR="002665F4" w:rsidRPr="002665F4">
              <w:rPr>
                <w:rFonts w:ascii="Arial" w:hAnsi="Arial" w:cs="Arial"/>
                <w:sz w:val="24"/>
                <w:szCs w:val="24"/>
              </w:rPr>
              <w:tab/>
              <w:t xml:space="preserve">      Second Applicant</w:t>
            </w:r>
          </w:p>
          <w:p w14:paraId="5DD61A0C" w14:textId="2F6ECC25" w:rsidR="002665F4" w:rsidRPr="002665F4" w:rsidRDefault="002665F4" w:rsidP="002665F4">
            <w:pPr>
              <w:spacing w:before="240" w:line="360" w:lineRule="auto"/>
              <w:jc w:val="both"/>
              <w:rPr>
                <w:rFonts w:ascii="Arial" w:hAnsi="Arial" w:cs="Arial"/>
                <w:sz w:val="24"/>
                <w:szCs w:val="24"/>
              </w:rPr>
            </w:pPr>
            <w:r w:rsidRPr="002665F4">
              <w:rPr>
                <w:rFonts w:ascii="Arial" w:hAnsi="Arial" w:cs="Arial"/>
                <w:sz w:val="24"/>
                <w:szCs w:val="24"/>
              </w:rPr>
              <w:t>and</w:t>
            </w:r>
          </w:p>
          <w:p w14:paraId="6BD60451" w14:textId="1F2D4467" w:rsidR="005B180E" w:rsidRPr="002665F4" w:rsidRDefault="005B180E" w:rsidP="002665F4">
            <w:pPr>
              <w:spacing w:before="240" w:line="360" w:lineRule="auto"/>
              <w:jc w:val="both"/>
              <w:rPr>
                <w:rFonts w:ascii="Arial" w:hAnsi="Arial" w:cs="Arial"/>
                <w:sz w:val="24"/>
                <w:szCs w:val="24"/>
              </w:rPr>
            </w:pPr>
            <w:r w:rsidRPr="002665F4">
              <w:rPr>
                <w:rFonts w:ascii="Arial" w:hAnsi="Arial" w:cs="Arial"/>
                <w:sz w:val="24"/>
                <w:szCs w:val="24"/>
              </w:rPr>
              <w:t>State</w:t>
            </w:r>
            <w:r w:rsidR="002665F4" w:rsidRPr="002665F4">
              <w:rPr>
                <w:rFonts w:ascii="Arial" w:hAnsi="Arial" w:cs="Arial"/>
                <w:sz w:val="24"/>
                <w:szCs w:val="24"/>
              </w:rPr>
              <w:tab/>
            </w:r>
            <w:r w:rsidR="002665F4" w:rsidRPr="002665F4">
              <w:rPr>
                <w:rFonts w:ascii="Arial" w:hAnsi="Arial" w:cs="Arial"/>
                <w:sz w:val="24"/>
                <w:szCs w:val="24"/>
              </w:rPr>
              <w:tab/>
            </w:r>
            <w:r w:rsidR="002665F4" w:rsidRPr="002665F4">
              <w:rPr>
                <w:rFonts w:ascii="Arial" w:hAnsi="Arial" w:cs="Arial"/>
                <w:sz w:val="24"/>
                <w:szCs w:val="24"/>
              </w:rPr>
              <w:tab/>
            </w:r>
            <w:r w:rsidR="002665F4" w:rsidRPr="002665F4">
              <w:rPr>
                <w:rFonts w:ascii="Arial" w:hAnsi="Arial" w:cs="Arial"/>
                <w:sz w:val="24"/>
                <w:szCs w:val="24"/>
              </w:rPr>
              <w:tab/>
            </w:r>
            <w:r w:rsidR="002665F4" w:rsidRPr="002665F4">
              <w:rPr>
                <w:rFonts w:ascii="Arial" w:hAnsi="Arial" w:cs="Arial"/>
                <w:sz w:val="24"/>
                <w:szCs w:val="24"/>
              </w:rPr>
              <w:tab/>
              <w:t xml:space="preserve">    Respondent</w:t>
            </w:r>
          </w:p>
        </w:tc>
        <w:tc>
          <w:tcPr>
            <w:tcW w:w="4323" w:type="dxa"/>
          </w:tcPr>
          <w:p w14:paraId="0C707BE8" w14:textId="77777777" w:rsidR="00AE7087" w:rsidRPr="002665F4" w:rsidRDefault="00AE7087" w:rsidP="00F7730A">
            <w:pPr>
              <w:spacing w:line="360" w:lineRule="auto"/>
              <w:jc w:val="both"/>
              <w:rPr>
                <w:rFonts w:ascii="Arial" w:hAnsi="Arial" w:cs="Arial"/>
                <w:b/>
                <w:sz w:val="24"/>
                <w:szCs w:val="24"/>
              </w:rPr>
            </w:pPr>
            <w:r w:rsidRPr="002665F4">
              <w:rPr>
                <w:rFonts w:ascii="Arial" w:hAnsi="Arial" w:cs="Arial"/>
                <w:b/>
                <w:sz w:val="24"/>
                <w:szCs w:val="24"/>
              </w:rPr>
              <w:t>Case No:</w:t>
            </w:r>
          </w:p>
          <w:p w14:paraId="524E3D16" w14:textId="47740983" w:rsidR="00AE7087" w:rsidRPr="002665F4" w:rsidRDefault="00857F2D" w:rsidP="00F7730A">
            <w:pPr>
              <w:spacing w:line="360" w:lineRule="auto"/>
              <w:jc w:val="both"/>
              <w:rPr>
                <w:rFonts w:ascii="Arial" w:hAnsi="Arial" w:cs="Arial"/>
                <w:sz w:val="24"/>
                <w:szCs w:val="24"/>
              </w:rPr>
            </w:pPr>
            <w:r w:rsidRPr="002665F4">
              <w:rPr>
                <w:rFonts w:ascii="Arial" w:hAnsi="Arial" w:cs="Arial"/>
                <w:sz w:val="24"/>
                <w:szCs w:val="24"/>
              </w:rPr>
              <w:t xml:space="preserve">CC </w:t>
            </w:r>
            <w:r w:rsidR="00D32282" w:rsidRPr="002665F4">
              <w:rPr>
                <w:rFonts w:ascii="Arial" w:hAnsi="Arial" w:cs="Arial"/>
                <w:sz w:val="24"/>
                <w:szCs w:val="24"/>
              </w:rPr>
              <w:t>32</w:t>
            </w:r>
            <w:r w:rsidR="00BB3921" w:rsidRPr="002665F4">
              <w:rPr>
                <w:rFonts w:ascii="Arial" w:hAnsi="Arial" w:cs="Arial"/>
                <w:sz w:val="24"/>
                <w:szCs w:val="24"/>
              </w:rPr>
              <w:t>/20</w:t>
            </w:r>
            <w:r w:rsidR="00D32282" w:rsidRPr="002665F4">
              <w:rPr>
                <w:rFonts w:ascii="Arial" w:hAnsi="Arial" w:cs="Arial"/>
                <w:sz w:val="24"/>
                <w:szCs w:val="24"/>
              </w:rPr>
              <w:t>18</w:t>
            </w:r>
          </w:p>
        </w:tc>
      </w:tr>
      <w:tr w:rsidR="002665F4" w:rsidRPr="002665F4" w14:paraId="551230B9" w14:textId="77777777" w:rsidTr="00B13EE6">
        <w:trPr>
          <w:trHeight w:val="872"/>
        </w:trPr>
        <w:tc>
          <w:tcPr>
            <w:tcW w:w="5397" w:type="dxa"/>
            <w:gridSpan w:val="2"/>
          </w:tcPr>
          <w:p w14:paraId="3A83789D" w14:textId="77777777" w:rsidR="00D74A70" w:rsidRPr="002665F4" w:rsidRDefault="00D74A70" w:rsidP="00D74A70">
            <w:pPr>
              <w:spacing w:line="360" w:lineRule="auto"/>
              <w:jc w:val="both"/>
              <w:rPr>
                <w:rFonts w:ascii="Arial" w:hAnsi="Arial" w:cs="Arial"/>
                <w:sz w:val="24"/>
                <w:szCs w:val="24"/>
              </w:rPr>
            </w:pPr>
            <w:r w:rsidRPr="002665F4">
              <w:rPr>
                <w:rFonts w:ascii="Arial" w:hAnsi="Arial" w:cs="Arial"/>
                <w:b/>
                <w:sz w:val="24"/>
                <w:szCs w:val="24"/>
              </w:rPr>
              <w:t>Division of Court:</w:t>
            </w:r>
          </w:p>
          <w:p w14:paraId="60B6E9D0" w14:textId="77777777" w:rsidR="00AE7087" w:rsidRPr="002665F4" w:rsidRDefault="00D74A70" w:rsidP="00D74A70">
            <w:pPr>
              <w:spacing w:after="160" w:line="360" w:lineRule="auto"/>
              <w:jc w:val="both"/>
              <w:rPr>
                <w:rFonts w:ascii="Arial" w:hAnsi="Arial" w:cs="Arial"/>
                <w:sz w:val="24"/>
                <w:szCs w:val="24"/>
                <w:lang w:val="en-US"/>
              </w:rPr>
            </w:pPr>
            <w:r w:rsidRPr="002665F4">
              <w:rPr>
                <w:rFonts w:ascii="Arial" w:hAnsi="Arial" w:cs="Arial"/>
                <w:sz w:val="24"/>
                <w:szCs w:val="24"/>
              </w:rPr>
              <w:t>Main Division</w:t>
            </w:r>
          </w:p>
        </w:tc>
        <w:tc>
          <w:tcPr>
            <w:tcW w:w="4323" w:type="dxa"/>
          </w:tcPr>
          <w:p w14:paraId="26A5DF10" w14:textId="77777777" w:rsidR="002665F4" w:rsidRPr="002665F4" w:rsidRDefault="00204E3C" w:rsidP="00D32282">
            <w:pPr>
              <w:spacing w:line="360" w:lineRule="auto"/>
              <w:jc w:val="both"/>
              <w:rPr>
                <w:rFonts w:ascii="Arial" w:hAnsi="Arial" w:cs="Arial"/>
                <w:b/>
                <w:sz w:val="24"/>
                <w:szCs w:val="24"/>
              </w:rPr>
            </w:pPr>
            <w:r w:rsidRPr="002665F4">
              <w:rPr>
                <w:rFonts w:ascii="Arial" w:hAnsi="Arial" w:cs="Arial"/>
                <w:b/>
                <w:sz w:val="24"/>
                <w:szCs w:val="24"/>
              </w:rPr>
              <w:t>Heard on:</w:t>
            </w:r>
            <w:r w:rsidR="00715F68" w:rsidRPr="002665F4">
              <w:rPr>
                <w:rFonts w:ascii="Arial" w:hAnsi="Arial" w:cs="Arial"/>
                <w:b/>
                <w:sz w:val="24"/>
                <w:szCs w:val="24"/>
              </w:rPr>
              <w:t xml:space="preserve"> </w:t>
            </w:r>
          </w:p>
          <w:p w14:paraId="6434B50A" w14:textId="446B32C4" w:rsidR="00204E3C" w:rsidRPr="002665F4" w:rsidRDefault="00D32282" w:rsidP="00D32282">
            <w:pPr>
              <w:spacing w:line="360" w:lineRule="auto"/>
              <w:jc w:val="both"/>
              <w:rPr>
                <w:rFonts w:ascii="Arial" w:hAnsi="Arial" w:cs="Arial"/>
                <w:sz w:val="24"/>
                <w:szCs w:val="24"/>
              </w:rPr>
            </w:pPr>
            <w:r w:rsidRPr="002665F4">
              <w:rPr>
                <w:rFonts w:ascii="Arial" w:hAnsi="Arial" w:cs="Arial"/>
                <w:sz w:val="24"/>
                <w:szCs w:val="24"/>
              </w:rPr>
              <w:t>8 June 2023</w:t>
            </w:r>
          </w:p>
        </w:tc>
      </w:tr>
      <w:tr w:rsidR="002665F4" w:rsidRPr="002665F4" w14:paraId="2070F23D" w14:textId="77777777" w:rsidTr="00B13EE6">
        <w:trPr>
          <w:trHeight w:val="881"/>
        </w:trPr>
        <w:tc>
          <w:tcPr>
            <w:tcW w:w="5397" w:type="dxa"/>
            <w:gridSpan w:val="2"/>
          </w:tcPr>
          <w:p w14:paraId="35E41F38" w14:textId="77777777" w:rsidR="00AE7087" w:rsidRPr="002665F4" w:rsidRDefault="00AE7087" w:rsidP="00F7730A">
            <w:pPr>
              <w:spacing w:line="360" w:lineRule="auto"/>
              <w:jc w:val="both"/>
              <w:rPr>
                <w:rFonts w:ascii="Arial" w:hAnsi="Arial" w:cs="Arial"/>
                <w:b/>
                <w:sz w:val="24"/>
                <w:szCs w:val="24"/>
              </w:rPr>
            </w:pPr>
            <w:r w:rsidRPr="002665F4">
              <w:rPr>
                <w:rFonts w:ascii="Arial" w:hAnsi="Arial" w:cs="Arial"/>
                <w:b/>
                <w:sz w:val="24"/>
                <w:szCs w:val="24"/>
              </w:rPr>
              <w:t>Heard before:</w:t>
            </w:r>
          </w:p>
          <w:p w14:paraId="0B8E8469" w14:textId="77777777" w:rsidR="00AE7087" w:rsidRPr="002665F4" w:rsidRDefault="00BB3921" w:rsidP="00F7730A">
            <w:pPr>
              <w:spacing w:line="360" w:lineRule="auto"/>
              <w:jc w:val="both"/>
              <w:rPr>
                <w:rFonts w:ascii="Arial" w:hAnsi="Arial" w:cs="Arial"/>
                <w:i/>
                <w:sz w:val="24"/>
                <w:szCs w:val="24"/>
              </w:rPr>
            </w:pPr>
            <w:r w:rsidRPr="002665F4">
              <w:rPr>
                <w:rFonts w:ascii="Arial" w:hAnsi="Arial" w:cs="Arial"/>
                <w:sz w:val="24"/>
                <w:szCs w:val="24"/>
              </w:rPr>
              <w:t>Honour</w:t>
            </w:r>
            <w:r w:rsidR="0091437E" w:rsidRPr="002665F4">
              <w:rPr>
                <w:rFonts w:ascii="Arial" w:hAnsi="Arial" w:cs="Arial"/>
                <w:sz w:val="24"/>
                <w:szCs w:val="24"/>
              </w:rPr>
              <w:t>a</w:t>
            </w:r>
            <w:r w:rsidR="00D74A70" w:rsidRPr="002665F4">
              <w:rPr>
                <w:rFonts w:ascii="Arial" w:hAnsi="Arial" w:cs="Arial"/>
                <w:sz w:val="24"/>
                <w:szCs w:val="24"/>
              </w:rPr>
              <w:t>ble Justice Claasen J</w:t>
            </w:r>
          </w:p>
        </w:tc>
        <w:tc>
          <w:tcPr>
            <w:tcW w:w="4323" w:type="dxa"/>
          </w:tcPr>
          <w:p w14:paraId="757A542F" w14:textId="77777777" w:rsidR="00AE7087" w:rsidRPr="002665F4" w:rsidRDefault="00AE7087" w:rsidP="00F7730A">
            <w:pPr>
              <w:spacing w:line="360" w:lineRule="auto"/>
              <w:jc w:val="both"/>
              <w:rPr>
                <w:rFonts w:ascii="Arial" w:hAnsi="Arial" w:cs="Arial"/>
                <w:b/>
                <w:sz w:val="24"/>
                <w:szCs w:val="24"/>
              </w:rPr>
            </w:pPr>
            <w:r w:rsidRPr="002665F4">
              <w:rPr>
                <w:rFonts w:ascii="Arial" w:hAnsi="Arial" w:cs="Arial"/>
                <w:b/>
                <w:sz w:val="24"/>
                <w:szCs w:val="24"/>
              </w:rPr>
              <w:t>Delivered on:</w:t>
            </w:r>
          </w:p>
          <w:p w14:paraId="70FC7712" w14:textId="677D5555" w:rsidR="00AE7087" w:rsidRPr="002665F4" w:rsidRDefault="00771EC8" w:rsidP="00D32282">
            <w:pPr>
              <w:spacing w:line="360" w:lineRule="auto"/>
              <w:jc w:val="both"/>
              <w:rPr>
                <w:rFonts w:ascii="Arial" w:hAnsi="Arial" w:cs="Arial"/>
                <w:sz w:val="24"/>
                <w:szCs w:val="24"/>
              </w:rPr>
            </w:pPr>
            <w:r w:rsidRPr="002665F4">
              <w:rPr>
                <w:rFonts w:ascii="Arial" w:hAnsi="Arial" w:cs="Arial"/>
                <w:sz w:val="24"/>
                <w:szCs w:val="24"/>
              </w:rPr>
              <w:t>22</w:t>
            </w:r>
            <w:r w:rsidR="00D32282" w:rsidRPr="002665F4">
              <w:rPr>
                <w:rFonts w:ascii="Arial" w:hAnsi="Arial" w:cs="Arial"/>
                <w:sz w:val="24"/>
                <w:szCs w:val="24"/>
              </w:rPr>
              <w:t xml:space="preserve"> June </w:t>
            </w:r>
            <w:r w:rsidR="006D13C9" w:rsidRPr="002665F4">
              <w:rPr>
                <w:rFonts w:ascii="Arial" w:hAnsi="Arial" w:cs="Arial"/>
                <w:sz w:val="24"/>
                <w:szCs w:val="24"/>
              </w:rPr>
              <w:t>202</w:t>
            </w:r>
            <w:r w:rsidR="00D32282" w:rsidRPr="002665F4">
              <w:rPr>
                <w:rFonts w:ascii="Arial" w:hAnsi="Arial" w:cs="Arial"/>
                <w:sz w:val="24"/>
                <w:szCs w:val="24"/>
              </w:rPr>
              <w:t>3</w:t>
            </w:r>
          </w:p>
        </w:tc>
      </w:tr>
      <w:tr w:rsidR="002665F4" w:rsidRPr="002665F4" w14:paraId="03ECA329" w14:textId="77777777" w:rsidTr="00F7730A">
        <w:tc>
          <w:tcPr>
            <w:tcW w:w="9720" w:type="dxa"/>
            <w:gridSpan w:val="3"/>
          </w:tcPr>
          <w:p w14:paraId="1D4A2E5E" w14:textId="41C4259B" w:rsidR="00AE7087" w:rsidRPr="002665F4" w:rsidRDefault="00AE7087" w:rsidP="00F7730A">
            <w:pPr>
              <w:spacing w:line="360" w:lineRule="auto"/>
              <w:jc w:val="both"/>
              <w:rPr>
                <w:rFonts w:ascii="Arial" w:hAnsi="Arial" w:cs="Arial"/>
                <w:sz w:val="24"/>
                <w:szCs w:val="24"/>
              </w:rPr>
            </w:pPr>
            <w:r w:rsidRPr="002665F4">
              <w:rPr>
                <w:rFonts w:ascii="Arial" w:hAnsi="Arial" w:cs="Arial"/>
                <w:b/>
                <w:sz w:val="24"/>
                <w:szCs w:val="24"/>
              </w:rPr>
              <w:t xml:space="preserve">Neutral citation: </w:t>
            </w:r>
            <w:r w:rsidR="00D32282" w:rsidRPr="002665F4">
              <w:rPr>
                <w:rFonts w:ascii="Arial" w:hAnsi="Arial" w:cs="Arial"/>
                <w:i/>
                <w:sz w:val="24"/>
                <w:szCs w:val="24"/>
              </w:rPr>
              <w:t>Krylov</w:t>
            </w:r>
            <w:r w:rsidR="00D74A70" w:rsidRPr="002665F4">
              <w:rPr>
                <w:rFonts w:ascii="Arial" w:hAnsi="Arial" w:cs="Arial"/>
                <w:i/>
                <w:sz w:val="24"/>
                <w:szCs w:val="24"/>
              </w:rPr>
              <w:t xml:space="preserve"> v S</w:t>
            </w:r>
            <w:r w:rsidR="006C33EE" w:rsidRPr="002665F4">
              <w:rPr>
                <w:rFonts w:ascii="Arial" w:hAnsi="Arial" w:cs="Arial"/>
                <w:i/>
                <w:sz w:val="24"/>
                <w:szCs w:val="24"/>
              </w:rPr>
              <w:t xml:space="preserve"> </w:t>
            </w:r>
            <w:r w:rsidR="00857F2D" w:rsidRPr="002665F4">
              <w:rPr>
                <w:rFonts w:ascii="Arial" w:hAnsi="Arial" w:cs="Arial"/>
                <w:sz w:val="24"/>
                <w:szCs w:val="24"/>
              </w:rPr>
              <w:t xml:space="preserve">(CC </w:t>
            </w:r>
            <w:r w:rsidR="00D32282" w:rsidRPr="002665F4">
              <w:rPr>
                <w:rFonts w:ascii="Arial" w:hAnsi="Arial" w:cs="Arial"/>
                <w:sz w:val="24"/>
                <w:szCs w:val="24"/>
              </w:rPr>
              <w:t>32</w:t>
            </w:r>
            <w:r w:rsidR="006D13C9" w:rsidRPr="002665F4">
              <w:rPr>
                <w:rFonts w:ascii="Arial" w:hAnsi="Arial" w:cs="Arial"/>
                <w:sz w:val="24"/>
                <w:szCs w:val="24"/>
              </w:rPr>
              <w:t>/201</w:t>
            </w:r>
            <w:r w:rsidR="00D32282" w:rsidRPr="002665F4">
              <w:rPr>
                <w:rFonts w:ascii="Arial" w:hAnsi="Arial" w:cs="Arial"/>
                <w:sz w:val="24"/>
                <w:szCs w:val="24"/>
              </w:rPr>
              <w:t>8</w:t>
            </w:r>
            <w:r w:rsidRPr="002665F4">
              <w:rPr>
                <w:rFonts w:ascii="Arial" w:hAnsi="Arial" w:cs="Arial"/>
                <w:sz w:val="24"/>
                <w:szCs w:val="24"/>
              </w:rPr>
              <w:t xml:space="preserve">) </w:t>
            </w:r>
            <w:r w:rsidR="00D32282" w:rsidRPr="002665F4">
              <w:rPr>
                <w:rFonts w:ascii="Arial" w:hAnsi="Arial" w:cs="Arial"/>
                <w:sz w:val="24"/>
                <w:szCs w:val="24"/>
              </w:rPr>
              <w:t>[2023</w:t>
            </w:r>
            <w:r w:rsidR="004F0A51" w:rsidRPr="002665F4">
              <w:rPr>
                <w:rFonts w:ascii="Arial" w:hAnsi="Arial" w:cs="Arial"/>
                <w:sz w:val="24"/>
                <w:szCs w:val="24"/>
              </w:rPr>
              <w:t>] NAHCMD</w:t>
            </w:r>
            <w:r w:rsidR="00204E3C" w:rsidRPr="002665F4">
              <w:rPr>
                <w:rFonts w:ascii="Arial" w:hAnsi="Arial" w:cs="Arial"/>
                <w:sz w:val="24"/>
                <w:szCs w:val="24"/>
              </w:rPr>
              <w:t xml:space="preserve"> </w:t>
            </w:r>
            <w:r w:rsidR="00D446DD">
              <w:rPr>
                <w:rFonts w:ascii="Arial" w:hAnsi="Arial" w:cs="Arial"/>
                <w:sz w:val="24"/>
                <w:szCs w:val="24"/>
              </w:rPr>
              <w:t>349</w:t>
            </w:r>
            <w:r w:rsidR="004F0A51" w:rsidRPr="002665F4">
              <w:rPr>
                <w:rFonts w:ascii="Arial" w:hAnsi="Arial" w:cs="Arial"/>
                <w:sz w:val="24"/>
                <w:szCs w:val="24"/>
              </w:rPr>
              <w:t xml:space="preserve"> </w:t>
            </w:r>
            <w:r w:rsidR="00E212DB" w:rsidRPr="002665F4">
              <w:rPr>
                <w:rFonts w:ascii="Arial" w:hAnsi="Arial" w:cs="Arial"/>
                <w:sz w:val="24"/>
                <w:szCs w:val="24"/>
              </w:rPr>
              <w:t>(</w:t>
            </w:r>
            <w:r w:rsidR="00771EC8" w:rsidRPr="002665F4">
              <w:rPr>
                <w:rFonts w:ascii="Arial" w:hAnsi="Arial" w:cs="Arial"/>
                <w:sz w:val="24"/>
                <w:szCs w:val="24"/>
              </w:rPr>
              <w:t>22</w:t>
            </w:r>
            <w:r w:rsidR="00D32282" w:rsidRPr="002665F4">
              <w:rPr>
                <w:rFonts w:ascii="Arial" w:hAnsi="Arial" w:cs="Arial"/>
                <w:sz w:val="24"/>
                <w:szCs w:val="24"/>
              </w:rPr>
              <w:t xml:space="preserve"> June 2023</w:t>
            </w:r>
            <w:r w:rsidRPr="002665F4">
              <w:rPr>
                <w:rFonts w:ascii="Arial" w:hAnsi="Arial" w:cs="Arial"/>
                <w:sz w:val="24"/>
                <w:szCs w:val="24"/>
              </w:rPr>
              <w:t>)</w:t>
            </w:r>
          </w:p>
          <w:p w14:paraId="41E1865E" w14:textId="77777777" w:rsidR="00AE7087" w:rsidRPr="002665F4" w:rsidRDefault="00AE7087" w:rsidP="00F7730A">
            <w:pPr>
              <w:spacing w:line="360" w:lineRule="auto"/>
              <w:jc w:val="both"/>
              <w:rPr>
                <w:rFonts w:ascii="Arial" w:hAnsi="Arial" w:cs="Arial"/>
                <w:b/>
                <w:sz w:val="24"/>
                <w:szCs w:val="24"/>
              </w:rPr>
            </w:pPr>
          </w:p>
        </w:tc>
      </w:tr>
      <w:tr w:rsidR="002665F4" w:rsidRPr="002665F4" w14:paraId="6FD3D1DA" w14:textId="77777777" w:rsidTr="00F7730A">
        <w:tc>
          <w:tcPr>
            <w:tcW w:w="9720" w:type="dxa"/>
            <w:gridSpan w:val="3"/>
          </w:tcPr>
          <w:p w14:paraId="24FDEBFA" w14:textId="312DB254" w:rsidR="00AE7087" w:rsidRPr="002665F4" w:rsidRDefault="00AE7087" w:rsidP="00D041D2">
            <w:pPr>
              <w:spacing w:line="360" w:lineRule="auto"/>
              <w:jc w:val="both"/>
              <w:rPr>
                <w:rFonts w:ascii="Arial" w:hAnsi="Arial" w:cs="Arial"/>
                <w:b/>
                <w:sz w:val="24"/>
                <w:szCs w:val="24"/>
              </w:rPr>
            </w:pPr>
            <w:r w:rsidRPr="002665F4">
              <w:rPr>
                <w:rFonts w:ascii="Arial" w:hAnsi="Arial" w:cs="Arial"/>
                <w:b/>
                <w:sz w:val="24"/>
                <w:szCs w:val="24"/>
              </w:rPr>
              <w:t>The order:</w:t>
            </w:r>
          </w:p>
          <w:p w14:paraId="321D82BF" w14:textId="77777777" w:rsidR="00057FB9" w:rsidRDefault="00D32282" w:rsidP="00057FB9">
            <w:pPr>
              <w:pStyle w:val="ListParagraph"/>
              <w:numPr>
                <w:ilvl w:val="0"/>
                <w:numId w:val="22"/>
              </w:numPr>
              <w:spacing w:line="360" w:lineRule="auto"/>
              <w:jc w:val="both"/>
              <w:rPr>
                <w:rFonts w:ascii="Arial" w:hAnsi="Arial" w:cs="Arial"/>
                <w:sz w:val="24"/>
                <w:szCs w:val="24"/>
              </w:rPr>
            </w:pPr>
            <w:r w:rsidRPr="00057FB9">
              <w:rPr>
                <w:rFonts w:ascii="Arial" w:hAnsi="Arial" w:cs="Arial"/>
                <w:sz w:val="24"/>
                <w:szCs w:val="24"/>
              </w:rPr>
              <w:t>The applic</w:t>
            </w:r>
            <w:r w:rsidR="00016C62" w:rsidRPr="00057FB9">
              <w:rPr>
                <w:rFonts w:ascii="Arial" w:hAnsi="Arial" w:cs="Arial"/>
                <w:sz w:val="24"/>
                <w:szCs w:val="24"/>
              </w:rPr>
              <w:t xml:space="preserve">ation for leave to appeal is </w:t>
            </w:r>
            <w:r w:rsidR="00694813" w:rsidRPr="00057FB9">
              <w:rPr>
                <w:rFonts w:ascii="Arial" w:hAnsi="Arial" w:cs="Arial"/>
                <w:sz w:val="24"/>
                <w:szCs w:val="24"/>
              </w:rPr>
              <w:t>dismissed</w:t>
            </w:r>
            <w:r w:rsidR="00057FB9">
              <w:rPr>
                <w:rFonts w:ascii="Arial" w:hAnsi="Arial" w:cs="Arial"/>
                <w:sz w:val="24"/>
                <w:szCs w:val="24"/>
              </w:rPr>
              <w:t>.</w:t>
            </w:r>
          </w:p>
          <w:p w14:paraId="478C21B6" w14:textId="5F42AC16" w:rsidR="0022304B" w:rsidRPr="00057FB9" w:rsidRDefault="00057FB9" w:rsidP="00057FB9">
            <w:pPr>
              <w:pStyle w:val="ListParagraph"/>
              <w:numPr>
                <w:ilvl w:val="0"/>
                <w:numId w:val="22"/>
              </w:numPr>
              <w:spacing w:line="360" w:lineRule="auto"/>
              <w:jc w:val="both"/>
              <w:rPr>
                <w:rFonts w:ascii="Arial" w:hAnsi="Arial" w:cs="Arial"/>
                <w:sz w:val="24"/>
                <w:szCs w:val="24"/>
              </w:rPr>
            </w:pPr>
            <w:r>
              <w:rPr>
                <w:rFonts w:ascii="Arial" w:hAnsi="Arial" w:cs="Arial"/>
                <w:sz w:val="24"/>
                <w:szCs w:val="24"/>
              </w:rPr>
              <w:t>T</w:t>
            </w:r>
            <w:r w:rsidR="00016C62" w:rsidRPr="00057FB9">
              <w:rPr>
                <w:rFonts w:ascii="Arial" w:hAnsi="Arial" w:cs="Arial"/>
                <w:sz w:val="24"/>
                <w:szCs w:val="24"/>
              </w:rPr>
              <w:t xml:space="preserve">he matter is regarded as finalised. </w:t>
            </w:r>
          </w:p>
          <w:p w14:paraId="2B54D09D" w14:textId="1C400258" w:rsidR="00AE7087" w:rsidRPr="002665F4" w:rsidRDefault="00AE7087" w:rsidP="00016C62">
            <w:pPr>
              <w:spacing w:line="360" w:lineRule="auto"/>
              <w:ind w:left="882"/>
              <w:jc w:val="both"/>
              <w:rPr>
                <w:rFonts w:ascii="Arial" w:hAnsi="Arial" w:cs="Arial"/>
                <w:sz w:val="24"/>
                <w:szCs w:val="24"/>
              </w:rPr>
            </w:pPr>
          </w:p>
        </w:tc>
      </w:tr>
      <w:tr w:rsidR="002665F4" w:rsidRPr="002665F4" w14:paraId="5D52CE03" w14:textId="77777777" w:rsidTr="00F7730A">
        <w:tc>
          <w:tcPr>
            <w:tcW w:w="9720" w:type="dxa"/>
            <w:gridSpan w:val="3"/>
          </w:tcPr>
          <w:p w14:paraId="2C268897" w14:textId="77777777" w:rsidR="00AE7087" w:rsidRPr="002665F4" w:rsidRDefault="00D8238D" w:rsidP="00F7730A">
            <w:pPr>
              <w:spacing w:line="360" w:lineRule="auto"/>
              <w:jc w:val="both"/>
              <w:rPr>
                <w:rFonts w:ascii="Arial" w:hAnsi="Arial" w:cs="Arial"/>
                <w:b/>
                <w:sz w:val="24"/>
                <w:szCs w:val="24"/>
              </w:rPr>
            </w:pPr>
            <w:r w:rsidRPr="002665F4">
              <w:rPr>
                <w:rFonts w:ascii="Arial" w:hAnsi="Arial" w:cs="Arial"/>
                <w:b/>
                <w:sz w:val="24"/>
                <w:szCs w:val="24"/>
              </w:rPr>
              <w:t>Reasons for decision</w:t>
            </w:r>
            <w:r w:rsidR="00AE7087" w:rsidRPr="002665F4">
              <w:rPr>
                <w:rFonts w:ascii="Arial" w:hAnsi="Arial" w:cs="Arial"/>
                <w:b/>
                <w:sz w:val="24"/>
                <w:szCs w:val="24"/>
              </w:rPr>
              <w:t>:</w:t>
            </w:r>
          </w:p>
        </w:tc>
      </w:tr>
      <w:tr w:rsidR="002665F4" w:rsidRPr="002665F4" w14:paraId="2165886D" w14:textId="77777777" w:rsidTr="00F7730A">
        <w:tc>
          <w:tcPr>
            <w:tcW w:w="9720" w:type="dxa"/>
            <w:gridSpan w:val="3"/>
          </w:tcPr>
          <w:p w14:paraId="2403F1FF" w14:textId="7389AF8D" w:rsidR="00BB70D8" w:rsidRPr="002665F4" w:rsidRDefault="00BB70D8" w:rsidP="00BB70D8">
            <w:pPr>
              <w:spacing w:line="360" w:lineRule="auto"/>
              <w:jc w:val="both"/>
              <w:rPr>
                <w:rFonts w:ascii="Arial" w:hAnsi="Arial" w:cs="Arial"/>
                <w:sz w:val="24"/>
                <w:szCs w:val="24"/>
              </w:rPr>
            </w:pPr>
            <w:r w:rsidRPr="002665F4">
              <w:rPr>
                <w:rFonts w:ascii="Arial" w:hAnsi="Arial" w:cs="Arial"/>
                <w:sz w:val="24"/>
                <w:szCs w:val="24"/>
              </w:rPr>
              <w:t>CLAASEN J:</w:t>
            </w:r>
          </w:p>
          <w:p w14:paraId="4667831A" w14:textId="77777777" w:rsidR="00BB70D8" w:rsidRPr="002665F4" w:rsidRDefault="00BB70D8" w:rsidP="00BB70D8">
            <w:pPr>
              <w:spacing w:line="360" w:lineRule="auto"/>
              <w:ind w:firstLine="702"/>
              <w:jc w:val="both"/>
              <w:rPr>
                <w:rFonts w:ascii="Arial" w:hAnsi="Arial" w:cs="Arial"/>
                <w:sz w:val="24"/>
                <w:szCs w:val="24"/>
              </w:rPr>
            </w:pPr>
          </w:p>
          <w:p w14:paraId="472583EF" w14:textId="7910E44F" w:rsidR="001F4E61" w:rsidRPr="002665F4" w:rsidRDefault="00BB70D8" w:rsidP="00BB70D8">
            <w:pPr>
              <w:spacing w:after="200" w:line="360" w:lineRule="auto"/>
              <w:jc w:val="both"/>
              <w:rPr>
                <w:rFonts w:ascii="Arial" w:eastAsia="Times New Roman" w:hAnsi="Arial" w:cs="Arial"/>
                <w:spacing w:val="-3"/>
                <w:sz w:val="24"/>
                <w:szCs w:val="24"/>
              </w:rPr>
            </w:pPr>
            <w:r w:rsidRPr="002665F4">
              <w:rPr>
                <w:rFonts w:ascii="Arial" w:hAnsi="Arial" w:cs="Arial"/>
                <w:sz w:val="24"/>
                <w:szCs w:val="24"/>
              </w:rPr>
              <w:t>[1]</w:t>
            </w:r>
            <w:r w:rsidRPr="002665F4">
              <w:rPr>
                <w:rFonts w:ascii="Arial" w:hAnsi="Arial" w:cs="Arial"/>
                <w:sz w:val="24"/>
                <w:szCs w:val="24"/>
              </w:rPr>
              <w:tab/>
              <w:t>Having faced a multiplicity of charges, the first applicant, Mr Alexander Krylov, was convicted of</w:t>
            </w:r>
            <w:r w:rsidRPr="002665F4">
              <w:rPr>
                <w:rFonts w:ascii="Arial" w:eastAsia="Calibri" w:hAnsi="Arial" w:cs="Arial"/>
                <w:sz w:val="24"/>
                <w:szCs w:val="24"/>
              </w:rPr>
              <w:t xml:space="preserve"> 10 counts of human trafficking in c</w:t>
            </w:r>
            <w:r w:rsidR="002665F4">
              <w:rPr>
                <w:rFonts w:ascii="Arial" w:hAnsi="Arial" w:cs="Arial"/>
                <w:sz w:val="24"/>
                <w:szCs w:val="24"/>
              </w:rPr>
              <w:t xml:space="preserve">ontravention of </w:t>
            </w:r>
            <w:r w:rsidRPr="002665F4">
              <w:rPr>
                <w:rFonts w:ascii="Arial" w:hAnsi="Arial" w:cs="Arial"/>
                <w:sz w:val="24"/>
                <w:szCs w:val="24"/>
              </w:rPr>
              <w:t xml:space="preserve">s 15 read with s 1 of the Prevention of Organised Crime Act 29 of 2004 (hereinafter referred to as </w:t>
            </w:r>
            <w:r w:rsidR="000A49A6" w:rsidRPr="002665F4">
              <w:rPr>
                <w:rFonts w:ascii="Arial" w:hAnsi="Arial" w:cs="Arial"/>
                <w:sz w:val="24"/>
                <w:szCs w:val="24"/>
              </w:rPr>
              <w:t xml:space="preserve">the </w:t>
            </w:r>
            <w:r w:rsidRPr="002665F4">
              <w:rPr>
                <w:rFonts w:ascii="Arial" w:hAnsi="Arial" w:cs="Arial"/>
                <w:sz w:val="24"/>
                <w:szCs w:val="24"/>
              </w:rPr>
              <w:t xml:space="preserve">POCA), </w:t>
            </w:r>
            <w:r w:rsidRPr="002665F4">
              <w:rPr>
                <w:rFonts w:ascii="Arial" w:eastAsia="Calibri" w:hAnsi="Arial" w:cs="Arial"/>
                <w:sz w:val="24"/>
                <w:szCs w:val="24"/>
              </w:rPr>
              <w:t xml:space="preserve">10 </w:t>
            </w:r>
            <w:r w:rsidRPr="002665F4">
              <w:rPr>
                <w:rFonts w:ascii="Arial" w:eastAsia="Calibri" w:hAnsi="Arial" w:cs="Arial"/>
                <w:sz w:val="24"/>
                <w:szCs w:val="24"/>
              </w:rPr>
              <w:lastRenderedPageBreak/>
              <w:t>counts of rape in contravention of</w:t>
            </w:r>
            <w:r w:rsidRPr="002665F4">
              <w:rPr>
                <w:rFonts w:ascii="Arial" w:hAnsi="Arial" w:cs="Arial"/>
                <w:sz w:val="24"/>
                <w:szCs w:val="24"/>
              </w:rPr>
              <w:t xml:space="preserve"> s 2(1)(</w:t>
            </w:r>
            <w:r w:rsidRPr="002665F4">
              <w:rPr>
                <w:rFonts w:ascii="Arial" w:hAnsi="Arial" w:cs="Arial"/>
                <w:i/>
                <w:sz w:val="24"/>
                <w:szCs w:val="24"/>
              </w:rPr>
              <w:t>a</w:t>
            </w:r>
            <w:r w:rsidRPr="002665F4">
              <w:rPr>
                <w:rFonts w:ascii="Arial" w:hAnsi="Arial" w:cs="Arial"/>
                <w:sz w:val="24"/>
                <w:szCs w:val="24"/>
              </w:rPr>
              <w:t xml:space="preserve">) read with s 1, 2(2), 3, 5, 6 and 7 of the Combating of Rape Act 8 of 2000, (hereinafter referred to as the CORA) and </w:t>
            </w:r>
            <w:r w:rsidRPr="002665F4">
              <w:rPr>
                <w:rFonts w:ascii="Arial" w:eastAsia="Calibri" w:hAnsi="Arial" w:cs="Arial"/>
                <w:sz w:val="24"/>
                <w:szCs w:val="24"/>
              </w:rPr>
              <w:t>1 count of supplying of cigarettes to persons under 18 years</w:t>
            </w:r>
            <w:r w:rsidR="002665F4">
              <w:rPr>
                <w:rFonts w:ascii="Arial" w:hAnsi="Arial" w:cs="Arial"/>
                <w:sz w:val="24"/>
                <w:szCs w:val="24"/>
              </w:rPr>
              <w:t xml:space="preserve"> in contravention of </w:t>
            </w:r>
            <w:r w:rsidRPr="002665F4">
              <w:rPr>
                <w:rFonts w:ascii="Arial" w:hAnsi="Arial" w:cs="Arial"/>
                <w:sz w:val="24"/>
                <w:szCs w:val="24"/>
              </w:rPr>
              <w:t>s18 (1)(</w:t>
            </w:r>
            <w:r w:rsidRPr="002665F4">
              <w:rPr>
                <w:rFonts w:ascii="Arial" w:hAnsi="Arial" w:cs="Arial"/>
                <w:i/>
                <w:sz w:val="24"/>
                <w:szCs w:val="24"/>
              </w:rPr>
              <w:t>a</w:t>
            </w:r>
            <w:r w:rsidRPr="002665F4">
              <w:rPr>
                <w:rFonts w:ascii="Arial" w:hAnsi="Arial" w:cs="Arial"/>
                <w:sz w:val="24"/>
                <w:szCs w:val="24"/>
              </w:rPr>
              <w:t>) read with s 18(4) of the Tobacco Products Control Act 1 of 2010</w:t>
            </w:r>
            <w:r w:rsidR="000A49A6" w:rsidRPr="002665F4">
              <w:rPr>
                <w:rFonts w:ascii="Arial" w:hAnsi="Arial" w:cs="Arial"/>
                <w:sz w:val="24"/>
                <w:szCs w:val="24"/>
              </w:rPr>
              <w:t xml:space="preserve"> and read with s 94 of the Criminal Procedure Act 51 of 1977 (hereinafter referred to as the CPA)</w:t>
            </w:r>
            <w:r w:rsidRPr="002665F4">
              <w:rPr>
                <w:rFonts w:ascii="Arial" w:hAnsi="Arial" w:cs="Arial"/>
                <w:sz w:val="24"/>
                <w:szCs w:val="24"/>
              </w:rPr>
              <w:t>.</w:t>
            </w:r>
            <w:r w:rsidRPr="002665F4">
              <w:rPr>
                <w:rFonts w:ascii="Arial" w:eastAsia="Calibri" w:hAnsi="Arial" w:cs="Arial"/>
                <w:sz w:val="24"/>
                <w:szCs w:val="24"/>
              </w:rPr>
              <w:t xml:space="preserve"> He was sentenced to five years’ imprisonment on each of the trafficking counts and fifteen years’ imprisonment on each of the rape counts.</w:t>
            </w:r>
            <w:r w:rsidR="002665F4">
              <w:rPr>
                <w:rFonts w:ascii="Arial" w:eastAsia="Calibri" w:hAnsi="Arial" w:cs="Arial"/>
                <w:sz w:val="24"/>
                <w:szCs w:val="24"/>
              </w:rPr>
              <w:t xml:space="preserve"> </w:t>
            </w:r>
            <w:r w:rsidRPr="002665F4">
              <w:rPr>
                <w:rFonts w:ascii="Arial" w:eastAsia="Calibri" w:hAnsi="Arial" w:cs="Arial"/>
                <w:sz w:val="24"/>
                <w:szCs w:val="24"/>
              </w:rPr>
              <w:t>Parts of the sentences were ordered to run concurrently,</w:t>
            </w:r>
            <w:r w:rsidRPr="002665F4">
              <w:rPr>
                <w:rFonts w:ascii="Arial" w:eastAsia="Times New Roman" w:hAnsi="Arial" w:cs="Arial"/>
                <w:spacing w:val="-3"/>
                <w:sz w:val="24"/>
                <w:szCs w:val="24"/>
              </w:rPr>
              <w:t xml:space="preserve"> resulting in an effective period of thirty five years’ imprisonment to be served. In respect of the supplying of cigarettes’ charge he was sentenced to pay a fine of N$12 000 or 12 months’ imprisonment.</w:t>
            </w:r>
          </w:p>
          <w:p w14:paraId="5BA6AA26" w14:textId="7CC1C539"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Times New Roman" w:hAnsi="Arial" w:cs="Arial"/>
                <w:spacing w:val="-3"/>
                <w:sz w:val="24"/>
                <w:szCs w:val="24"/>
              </w:rPr>
              <w:t>[2]</w:t>
            </w:r>
            <w:r w:rsidRPr="002665F4">
              <w:rPr>
                <w:rFonts w:ascii="Arial" w:eastAsia="Times New Roman" w:hAnsi="Arial" w:cs="Arial"/>
                <w:spacing w:val="-3"/>
                <w:sz w:val="24"/>
                <w:szCs w:val="24"/>
              </w:rPr>
              <w:tab/>
              <w:t xml:space="preserve">The second applicant, Ms Anna Engelbrecht, was convicted </w:t>
            </w:r>
            <w:r w:rsidRPr="002665F4">
              <w:rPr>
                <w:rFonts w:ascii="Arial" w:eastAsia="Calibri" w:hAnsi="Arial" w:cs="Arial"/>
                <w:sz w:val="24"/>
                <w:szCs w:val="24"/>
              </w:rPr>
              <w:t xml:space="preserve">of 3 counts of rape </w:t>
            </w:r>
            <w:r w:rsidR="002665F4">
              <w:rPr>
                <w:rFonts w:ascii="Arial" w:hAnsi="Arial" w:cs="Arial"/>
                <w:sz w:val="24"/>
                <w:szCs w:val="24"/>
              </w:rPr>
              <w:t xml:space="preserve">in contravention of </w:t>
            </w:r>
            <w:r w:rsidRPr="002665F4">
              <w:rPr>
                <w:rFonts w:ascii="Arial" w:hAnsi="Arial" w:cs="Arial"/>
                <w:sz w:val="24"/>
                <w:szCs w:val="24"/>
              </w:rPr>
              <w:t>s 2(1)</w:t>
            </w:r>
            <w:r w:rsidRPr="002665F4">
              <w:rPr>
                <w:rFonts w:ascii="Arial" w:hAnsi="Arial" w:cs="Arial"/>
                <w:i/>
                <w:sz w:val="24"/>
                <w:szCs w:val="24"/>
              </w:rPr>
              <w:t>(b</w:t>
            </w:r>
            <w:r w:rsidRPr="002665F4">
              <w:rPr>
                <w:rFonts w:ascii="Arial" w:hAnsi="Arial" w:cs="Arial"/>
                <w:sz w:val="24"/>
                <w:szCs w:val="24"/>
              </w:rPr>
              <w:t xml:space="preserve">) read with s 1, 2(2), 3, 5, 6 and 7 of the CORA </w:t>
            </w:r>
            <w:r w:rsidRPr="002665F4">
              <w:rPr>
                <w:rFonts w:ascii="Arial" w:eastAsia="Calibri" w:hAnsi="Arial" w:cs="Arial"/>
                <w:sz w:val="24"/>
                <w:szCs w:val="24"/>
              </w:rPr>
              <w:t xml:space="preserve">and 5 counts of child trafficking also in contravention of s 15 of </w:t>
            </w:r>
            <w:r w:rsidRPr="002665F4">
              <w:rPr>
                <w:rFonts w:ascii="Arial" w:hAnsi="Arial" w:cs="Arial"/>
                <w:sz w:val="24"/>
                <w:szCs w:val="24"/>
              </w:rPr>
              <w:t xml:space="preserve">POCA. </w:t>
            </w:r>
            <w:r w:rsidRPr="002665F4">
              <w:rPr>
                <w:rFonts w:ascii="Arial" w:eastAsia="Calibri" w:hAnsi="Arial" w:cs="Arial"/>
                <w:sz w:val="24"/>
                <w:szCs w:val="24"/>
              </w:rPr>
              <w:t>She was also sentenced to five years’ imprisonment on each of the trafficking counts and fifteen years’ imprisonme</w:t>
            </w:r>
            <w:r w:rsidR="002665F4">
              <w:rPr>
                <w:rFonts w:ascii="Arial" w:eastAsia="Calibri" w:hAnsi="Arial" w:cs="Arial"/>
                <w:sz w:val="24"/>
                <w:szCs w:val="24"/>
              </w:rPr>
              <w:t xml:space="preserve">nt on each of the rape counts. </w:t>
            </w:r>
            <w:r w:rsidRPr="002665F4">
              <w:rPr>
                <w:rFonts w:ascii="Arial" w:eastAsia="Calibri" w:hAnsi="Arial" w:cs="Arial"/>
                <w:sz w:val="24"/>
                <w:szCs w:val="24"/>
              </w:rPr>
              <w:t xml:space="preserve">Parts of the sentences were ordered to run concurrently, which made her sentence an imprisonment term of twenty years. </w:t>
            </w:r>
          </w:p>
          <w:p w14:paraId="23DA579C" w14:textId="08D95211"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[3]</w:t>
            </w:r>
            <w:r w:rsidRPr="002665F4">
              <w:rPr>
                <w:rFonts w:ascii="Arial" w:eastAsia="Calibri" w:hAnsi="Arial" w:cs="Arial"/>
                <w:sz w:val="24"/>
                <w:szCs w:val="24"/>
              </w:rPr>
              <w:tab/>
              <w:t>Both of the applicants are disgruntled by the outcome of the case and they enjoy the right to a</w:t>
            </w:r>
            <w:r w:rsidR="002665F4">
              <w:rPr>
                <w:rFonts w:ascii="Arial" w:eastAsia="Calibri" w:hAnsi="Arial" w:cs="Arial"/>
                <w:sz w:val="24"/>
                <w:szCs w:val="24"/>
              </w:rPr>
              <w:t>ppeal. In terms of s 316 of the CPA</w:t>
            </w:r>
            <w:r w:rsidRPr="002665F4">
              <w:rPr>
                <w:rFonts w:ascii="Arial" w:eastAsia="Calibri" w:hAnsi="Arial" w:cs="Arial"/>
                <w:sz w:val="24"/>
                <w:szCs w:val="24"/>
              </w:rPr>
              <w:t xml:space="preserve"> the applicants can pursue that right</w:t>
            </w:r>
            <w:r w:rsidR="002665F4">
              <w:rPr>
                <w:rFonts w:ascii="Arial" w:eastAsia="Calibri" w:hAnsi="Arial" w:cs="Arial"/>
                <w:sz w:val="24"/>
                <w:szCs w:val="24"/>
              </w:rPr>
              <w:t>,</w:t>
            </w:r>
            <w:r w:rsidRPr="002665F4">
              <w:rPr>
                <w:rFonts w:ascii="Arial" w:eastAsia="Calibri" w:hAnsi="Arial" w:cs="Arial"/>
                <w:sz w:val="24"/>
                <w:szCs w:val="24"/>
              </w:rPr>
              <w:t xml:space="preserve"> upon being granted leave</w:t>
            </w:r>
            <w:r w:rsidR="002665F4">
              <w:rPr>
                <w:rFonts w:ascii="Arial" w:eastAsia="Calibri" w:hAnsi="Arial" w:cs="Arial"/>
                <w:sz w:val="24"/>
                <w:szCs w:val="24"/>
              </w:rPr>
              <w:t>,</w:t>
            </w:r>
            <w:r w:rsidRPr="002665F4">
              <w:rPr>
                <w:rFonts w:ascii="Arial" w:eastAsia="Calibri" w:hAnsi="Arial" w:cs="Arial"/>
                <w:sz w:val="24"/>
                <w:szCs w:val="24"/>
              </w:rPr>
              <w:t xml:space="preserve"> to appeal to the Supreme Court.</w:t>
            </w:r>
          </w:p>
          <w:p w14:paraId="0A5FD36B" w14:textId="142E1891"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[4]</w:t>
            </w:r>
            <w:r w:rsidRPr="002665F4">
              <w:rPr>
                <w:rFonts w:ascii="Arial" w:eastAsia="Calibri" w:hAnsi="Arial" w:cs="Arial"/>
                <w:sz w:val="24"/>
                <w:szCs w:val="24"/>
              </w:rPr>
              <w:tab/>
              <w:t xml:space="preserve">The notice of the application for leave to appeal comprises eighteen pages with nine grounds, a general ground, and a ground ad sentence. The majority of the grounds had several sub-paragraphs, some of which deal with different points, which is not the norm under a single ground of appeal. In its opposition to the application the respondent put forth the view that the applicants’ grounds of appeal are not couched in clear or specific terms as required by law, but that the respondent will nevertheless attempt do construe them  ‘as can be gleaned from the notice of appeal’. </w:t>
            </w:r>
          </w:p>
          <w:p w14:paraId="193E57E3" w14:textId="7733CB77" w:rsidR="00BB70D8" w:rsidRPr="002665F4" w:rsidRDefault="00BB70D8" w:rsidP="00BB70D8">
            <w:pPr>
              <w:spacing w:after="200" w:line="360" w:lineRule="auto"/>
              <w:jc w:val="both"/>
              <w:rPr>
                <w:rFonts w:ascii="Arial" w:eastAsia="Calibri" w:hAnsi="Arial" w:cs="Arial"/>
                <w:i/>
                <w:sz w:val="24"/>
                <w:szCs w:val="24"/>
              </w:rPr>
            </w:pPr>
            <w:r w:rsidRPr="002665F4">
              <w:rPr>
                <w:rFonts w:ascii="Arial" w:eastAsia="Calibri" w:hAnsi="Arial" w:cs="Arial"/>
                <w:sz w:val="24"/>
                <w:szCs w:val="24"/>
              </w:rPr>
              <w:t>[5]</w:t>
            </w:r>
            <w:r w:rsidRPr="002665F4">
              <w:rPr>
                <w:rFonts w:ascii="Arial" w:eastAsia="Calibri" w:hAnsi="Arial" w:cs="Arial"/>
                <w:sz w:val="24"/>
                <w:szCs w:val="24"/>
              </w:rPr>
              <w:tab/>
              <w:t>The applicants’ heads of argument comprises of 43 pages and was delivered nine days late, only after the chamber’s staff had to enquire about it. When asked for the reason for th</w:t>
            </w:r>
            <w:r w:rsidR="00412D29" w:rsidRPr="002665F4">
              <w:rPr>
                <w:rFonts w:ascii="Arial" w:eastAsia="Calibri" w:hAnsi="Arial" w:cs="Arial"/>
                <w:sz w:val="24"/>
                <w:szCs w:val="24"/>
              </w:rPr>
              <w:t>at</w:t>
            </w:r>
            <w:r w:rsidR="002665F4">
              <w:rPr>
                <w:rFonts w:ascii="Arial" w:eastAsia="Calibri" w:hAnsi="Arial" w:cs="Arial"/>
                <w:sz w:val="24"/>
                <w:szCs w:val="24"/>
              </w:rPr>
              <w:t>,</w:t>
            </w:r>
            <w:r w:rsidR="00412D29" w:rsidRPr="002665F4">
              <w:rPr>
                <w:rFonts w:ascii="Arial" w:eastAsia="Calibri" w:hAnsi="Arial" w:cs="Arial"/>
                <w:sz w:val="24"/>
                <w:szCs w:val="24"/>
              </w:rPr>
              <w:t xml:space="preserve"> co</w:t>
            </w:r>
            <w:r w:rsidRPr="002665F4">
              <w:rPr>
                <w:rFonts w:ascii="Arial" w:eastAsia="Calibri" w:hAnsi="Arial" w:cs="Arial"/>
                <w:sz w:val="24"/>
                <w:szCs w:val="24"/>
              </w:rPr>
              <w:t xml:space="preserve">unsel for the applicants submitted that it was timeously ‘filed electronically’ with the judge’s erstwhile secretary at a different court building. This is an odd explanation, </w:t>
            </w:r>
            <w:r w:rsidRPr="002665F4">
              <w:rPr>
                <w:rFonts w:ascii="Arial" w:eastAsia="Calibri" w:hAnsi="Arial" w:cs="Arial"/>
                <w:sz w:val="24"/>
                <w:szCs w:val="24"/>
              </w:rPr>
              <w:lastRenderedPageBreak/>
              <w:t xml:space="preserve">given that this is a paper file, nor is it clear why </w:t>
            </w:r>
            <w:r w:rsidR="009F467C" w:rsidRPr="002665F4">
              <w:rPr>
                <w:rFonts w:ascii="Arial" w:eastAsia="Calibri" w:hAnsi="Arial" w:cs="Arial"/>
                <w:sz w:val="24"/>
                <w:szCs w:val="24"/>
              </w:rPr>
              <w:t xml:space="preserve">it </w:t>
            </w:r>
            <w:r w:rsidRPr="002665F4">
              <w:rPr>
                <w:rFonts w:ascii="Arial" w:eastAsia="Calibri" w:hAnsi="Arial" w:cs="Arial"/>
                <w:sz w:val="24"/>
                <w:szCs w:val="24"/>
              </w:rPr>
              <w:t>was sent to another premise</w:t>
            </w:r>
            <w:r w:rsidR="002665F4">
              <w:rPr>
                <w:rFonts w:ascii="Arial" w:eastAsia="Calibri" w:hAnsi="Arial" w:cs="Arial"/>
                <w:sz w:val="24"/>
                <w:szCs w:val="24"/>
              </w:rPr>
              <w:t>,</w:t>
            </w:r>
            <w:r w:rsidRPr="002665F4">
              <w:rPr>
                <w:rFonts w:ascii="Arial" w:eastAsia="Calibri" w:hAnsi="Arial" w:cs="Arial"/>
                <w:sz w:val="24"/>
                <w:szCs w:val="24"/>
              </w:rPr>
              <w:t xml:space="preserve"> as counsel appeared at the main court building for the allocation of a hearing date. Be that as it may, counsel has extended an apology for that </w:t>
            </w:r>
            <w:r w:rsidR="002665F4">
              <w:rPr>
                <w:rFonts w:ascii="Arial" w:eastAsia="Calibri" w:hAnsi="Arial" w:cs="Arial"/>
                <w:sz w:val="24"/>
                <w:szCs w:val="24"/>
              </w:rPr>
              <w:t>and the court has accepted it.</w:t>
            </w:r>
          </w:p>
          <w:p w14:paraId="07BE52CB" w14:textId="6DA0B266" w:rsidR="00BB70D8" w:rsidRPr="002665F4" w:rsidRDefault="00BB70D8" w:rsidP="00BB70D8">
            <w:pPr>
              <w:spacing w:after="200" w:line="360" w:lineRule="auto"/>
              <w:jc w:val="both"/>
              <w:rPr>
                <w:rFonts w:ascii="Arial" w:hAnsi="Arial" w:cs="Arial"/>
                <w:sz w:val="24"/>
                <w:szCs w:val="24"/>
              </w:rPr>
            </w:pPr>
            <w:r w:rsidRPr="002665F4">
              <w:rPr>
                <w:rFonts w:ascii="Arial" w:eastAsia="Calibri" w:hAnsi="Arial" w:cs="Arial"/>
                <w:sz w:val="24"/>
                <w:szCs w:val="24"/>
              </w:rPr>
              <w:t>[6]</w:t>
            </w:r>
            <w:r w:rsidRPr="002665F4">
              <w:rPr>
                <w:rFonts w:ascii="Arial" w:eastAsia="Calibri" w:hAnsi="Arial" w:cs="Arial"/>
                <w:sz w:val="24"/>
                <w:szCs w:val="24"/>
              </w:rPr>
              <w:tab/>
              <w:t xml:space="preserve">In an application of this nature, the overall test is whether there are </w:t>
            </w:r>
            <w:r w:rsidRPr="002665F4">
              <w:rPr>
                <w:rFonts w:ascii="Arial" w:hAnsi="Arial" w:cs="Arial"/>
                <w:sz w:val="24"/>
                <w:szCs w:val="24"/>
              </w:rPr>
              <w:t xml:space="preserve">reasonable prospects of success on appeal. In </w:t>
            </w:r>
            <w:r w:rsidRPr="002665F4">
              <w:rPr>
                <w:rFonts w:ascii="Arial" w:hAnsi="Arial" w:cs="Arial"/>
                <w:i/>
                <w:sz w:val="24"/>
                <w:szCs w:val="24"/>
              </w:rPr>
              <w:t>S v Nowaseb</w:t>
            </w:r>
            <w:r w:rsidRPr="002665F4">
              <w:rPr>
                <w:rStyle w:val="FootnoteReference"/>
                <w:rFonts w:ascii="Arial" w:hAnsi="Arial" w:cs="Arial"/>
                <w:sz w:val="24"/>
                <w:szCs w:val="24"/>
              </w:rPr>
              <w:footnoteReference w:id="1"/>
            </w:r>
            <w:r w:rsidRPr="002665F4">
              <w:rPr>
                <w:rFonts w:ascii="Arial" w:hAnsi="Arial" w:cs="Arial"/>
                <w:sz w:val="24"/>
                <w:szCs w:val="24"/>
              </w:rPr>
              <w:t xml:space="preserve"> it has been stated that the mere possibility that another court might come to a differe</w:t>
            </w:r>
            <w:r w:rsidR="00B44E76" w:rsidRPr="002665F4">
              <w:rPr>
                <w:rFonts w:ascii="Arial" w:hAnsi="Arial" w:cs="Arial"/>
                <w:sz w:val="24"/>
                <w:szCs w:val="24"/>
              </w:rPr>
              <w:t xml:space="preserve">nt conclusion is not in itself </w:t>
            </w:r>
            <w:r w:rsidRPr="002665F4">
              <w:rPr>
                <w:rFonts w:ascii="Arial" w:hAnsi="Arial" w:cs="Arial"/>
                <w:sz w:val="24"/>
                <w:szCs w:val="24"/>
              </w:rPr>
              <w:t>sufficient to justify the grant of the application, and that the applicant has to satisfy the court that he has reasonable</w:t>
            </w:r>
            <w:r w:rsidR="00B7738A">
              <w:rPr>
                <w:rFonts w:ascii="Arial" w:hAnsi="Arial" w:cs="Arial"/>
                <w:sz w:val="24"/>
                <w:szCs w:val="24"/>
              </w:rPr>
              <w:t xml:space="preserve"> prospects</w:t>
            </w:r>
            <w:r w:rsidRPr="002665F4">
              <w:rPr>
                <w:rFonts w:ascii="Arial" w:hAnsi="Arial" w:cs="Arial"/>
                <w:sz w:val="24"/>
                <w:szCs w:val="24"/>
              </w:rPr>
              <w:t xml:space="preserve"> </w:t>
            </w:r>
            <w:r w:rsidR="001D1C52">
              <w:rPr>
                <w:rFonts w:ascii="Arial" w:hAnsi="Arial" w:cs="Arial"/>
                <w:sz w:val="24"/>
                <w:szCs w:val="24"/>
              </w:rPr>
              <w:t xml:space="preserve">of </w:t>
            </w:r>
            <w:r w:rsidRPr="002665F4">
              <w:rPr>
                <w:rFonts w:ascii="Arial" w:hAnsi="Arial" w:cs="Arial"/>
                <w:sz w:val="24"/>
                <w:szCs w:val="24"/>
              </w:rPr>
              <w:t xml:space="preserve">success on appeal. In meeting that threshold, such an application should set out: whether the whole or only part of the judgment is being appealed against; the finding of fact and/or law which is being appealed; and the grounds of the appeal. </w:t>
            </w:r>
          </w:p>
          <w:p w14:paraId="2B7AF97C" w14:textId="78769EBA" w:rsidR="00BB70D8" w:rsidRDefault="00BB70D8" w:rsidP="00BB70D8">
            <w:pPr>
              <w:spacing w:line="360" w:lineRule="auto"/>
              <w:jc w:val="both"/>
              <w:rPr>
                <w:rFonts w:ascii="Arial" w:hAnsi="Arial" w:cs="Arial"/>
                <w:sz w:val="24"/>
                <w:szCs w:val="24"/>
              </w:rPr>
            </w:pPr>
            <w:r w:rsidRPr="002665F4">
              <w:rPr>
                <w:rFonts w:ascii="Arial" w:eastAsia="Calibri" w:hAnsi="Arial" w:cs="Arial"/>
                <w:sz w:val="24"/>
                <w:szCs w:val="24"/>
              </w:rPr>
              <w:t>[7]</w:t>
            </w:r>
            <w:r w:rsidRPr="002665F4">
              <w:rPr>
                <w:rFonts w:ascii="Arial" w:eastAsia="Calibri" w:hAnsi="Arial" w:cs="Arial"/>
                <w:sz w:val="24"/>
                <w:szCs w:val="24"/>
              </w:rPr>
              <w:tab/>
              <w:t>I turn to the law that governs a notice of appeal (and also a notice of application for leave to appeal). The law on that is trite, namely that the grounds of appeal must be set out clearly and specifically, in unambiguous terms.</w:t>
            </w:r>
            <w:r w:rsidR="00775CD2">
              <w:rPr>
                <w:rStyle w:val="FootnoteReference"/>
                <w:rFonts w:ascii="Arial" w:eastAsia="Calibri" w:hAnsi="Arial" w:cs="Arial"/>
                <w:sz w:val="24"/>
                <w:szCs w:val="24"/>
              </w:rPr>
              <w:footnoteReference w:id="2"/>
            </w:r>
            <w:r w:rsidRPr="002665F4">
              <w:rPr>
                <w:rFonts w:ascii="Arial" w:eastAsia="Calibri" w:hAnsi="Arial" w:cs="Arial"/>
                <w:sz w:val="24"/>
                <w:szCs w:val="24"/>
              </w:rPr>
              <w:t xml:space="preserve"> </w:t>
            </w:r>
            <w:r w:rsidRPr="002665F4">
              <w:rPr>
                <w:rFonts w:ascii="Arial" w:hAnsi="Arial" w:cs="Arial"/>
                <w:sz w:val="24"/>
                <w:szCs w:val="24"/>
              </w:rPr>
              <w:t xml:space="preserve">The requirement that the grounds are stated in the application in clear and unambiguous terms is peremptory. The court in </w:t>
            </w:r>
            <w:r w:rsidRPr="002665F4">
              <w:rPr>
                <w:rFonts w:ascii="Arial" w:hAnsi="Arial" w:cs="Arial"/>
                <w:i/>
                <w:sz w:val="24"/>
                <w:szCs w:val="24"/>
              </w:rPr>
              <w:t>S v Kanoge,</w:t>
            </w:r>
            <w:r w:rsidRPr="002665F4">
              <w:rPr>
                <w:rStyle w:val="FootnoteReference"/>
                <w:rFonts w:ascii="Arial" w:hAnsi="Arial" w:cs="Arial"/>
                <w:i/>
                <w:sz w:val="24"/>
                <w:szCs w:val="24"/>
              </w:rPr>
              <w:footnoteReference w:id="3"/>
            </w:r>
            <w:r w:rsidRPr="002665F4">
              <w:rPr>
                <w:rFonts w:ascii="Arial" w:hAnsi="Arial" w:cs="Arial"/>
                <w:i/>
                <w:sz w:val="24"/>
                <w:szCs w:val="24"/>
              </w:rPr>
              <w:t xml:space="preserve"> </w:t>
            </w:r>
            <w:r w:rsidRPr="002665F4">
              <w:rPr>
                <w:rFonts w:ascii="Arial" w:hAnsi="Arial" w:cs="Arial"/>
                <w:sz w:val="24"/>
                <w:szCs w:val="24"/>
              </w:rPr>
              <w:t xml:space="preserve">referred to the </w:t>
            </w:r>
            <w:r w:rsidRPr="002665F4">
              <w:rPr>
                <w:rFonts w:ascii="Arial" w:hAnsi="Arial" w:cs="Arial"/>
                <w:i/>
                <w:iCs/>
                <w:sz w:val="24"/>
                <w:szCs w:val="24"/>
              </w:rPr>
              <w:t>Gey Van Pittius</w:t>
            </w:r>
            <w:r w:rsidR="00B7738A">
              <w:rPr>
                <w:rStyle w:val="FootnoteReference"/>
                <w:rFonts w:ascii="Arial" w:hAnsi="Arial" w:cs="Arial"/>
                <w:i/>
                <w:iCs/>
                <w:sz w:val="24"/>
                <w:szCs w:val="24"/>
              </w:rPr>
              <w:footnoteReference w:id="4"/>
            </w:r>
            <w:r w:rsidRPr="002665F4">
              <w:rPr>
                <w:rFonts w:ascii="Arial" w:hAnsi="Arial" w:cs="Arial"/>
                <w:sz w:val="24"/>
                <w:szCs w:val="24"/>
              </w:rPr>
              <w:t xml:space="preserve"> matter and stated as follows:</w:t>
            </w:r>
          </w:p>
          <w:p w14:paraId="587451D1" w14:textId="77777777" w:rsidR="00B7738A" w:rsidRPr="002665F4" w:rsidRDefault="00B7738A" w:rsidP="00BB70D8">
            <w:pPr>
              <w:spacing w:line="360" w:lineRule="auto"/>
              <w:jc w:val="both"/>
              <w:rPr>
                <w:rFonts w:ascii="Arial" w:hAnsi="Arial" w:cs="Arial"/>
                <w:sz w:val="24"/>
                <w:szCs w:val="24"/>
              </w:rPr>
            </w:pPr>
          </w:p>
          <w:p w14:paraId="27C1C551" w14:textId="77777777" w:rsidR="00BB70D8" w:rsidRPr="00B7738A" w:rsidRDefault="00BB70D8" w:rsidP="00BB70D8">
            <w:pPr>
              <w:spacing w:line="360" w:lineRule="auto"/>
              <w:ind w:firstLine="720"/>
              <w:jc w:val="both"/>
              <w:rPr>
                <w:rFonts w:ascii="Arial" w:hAnsi="Arial" w:cs="Arial"/>
              </w:rPr>
            </w:pPr>
            <w:r w:rsidRPr="00B7738A">
              <w:rPr>
                <w:rFonts w:ascii="Arial" w:hAnsi="Arial" w:cs="Arial"/>
              </w:rPr>
              <w:t xml:space="preserve">‘I have given great thought to what he says are the grounds; and having done so, I am firmly of the opinion that, upon the authority of </w:t>
            </w:r>
            <w:r w:rsidRPr="00B7738A">
              <w:rPr>
                <w:rFonts w:ascii="Arial" w:hAnsi="Arial" w:cs="Arial"/>
                <w:i/>
                <w:iCs/>
              </w:rPr>
              <w:t>S v</w:t>
            </w:r>
            <w:r w:rsidRPr="00B7738A">
              <w:rPr>
                <w:rFonts w:ascii="Arial" w:hAnsi="Arial" w:cs="Arial"/>
              </w:rPr>
              <w:t xml:space="preserve"> </w:t>
            </w:r>
            <w:r w:rsidRPr="00B7738A">
              <w:rPr>
                <w:rFonts w:ascii="Arial" w:hAnsi="Arial" w:cs="Arial"/>
                <w:i/>
                <w:iCs/>
              </w:rPr>
              <w:t>Gey van Pittius</w:t>
            </w:r>
            <w:r w:rsidRPr="00B7738A">
              <w:rPr>
                <w:rFonts w:ascii="Arial" w:hAnsi="Arial" w:cs="Arial"/>
              </w:rPr>
              <w:t xml:space="preserve"> </w:t>
            </w:r>
            <w:r w:rsidRPr="00B7738A">
              <w:rPr>
                <w:rFonts w:ascii="Arial" w:hAnsi="Arial" w:cs="Arial"/>
                <w:i/>
              </w:rPr>
              <w:t>and Another</w:t>
            </w:r>
            <w:r w:rsidRPr="00B7738A">
              <w:rPr>
                <w:rFonts w:ascii="Arial" w:hAnsi="Arial" w:cs="Arial"/>
              </w:rPr>
              <w:t xml:space="preserve"> 1990 NR 35, there are no proper grounds before the court. They are all conclusions drawn by the appellant. In </w:t>
            </w:r>
            <w:r w:rsidRPr="00B7738A">
              <w:rPr>
                <w:rFonts w:ascii="Arial" w:hAnsi="Arial" w:cs="Arial"/>
                <w:i/>
              </w:rPr>
              <w:t xml:space="preserve">S v </w:t>
            </w:r>
            <w:r w:rsidRPr="00B7738A">
              <w:rPr>
                <w:rFonts w:ascii="Arial" w:hAnsi="Arial" w:cs="Arial"/>
                <w:i/>
                <w:iCs/>
              </w:rPr>
              <w:t>Gey van Pittius</w:t>
            </w:r>
            <w:r w:rsidRPr="00B7738A">
              <w:rPr>
                <w:rFonts w:ascii="Arial" w:hAnsi="Arial" w:cs="Arial"/>
              </w:rPr>
              <w:t xml:space="preserve">, </w:t>
            </w:r>
            <w:r w:rsidRPr="00B7738A">
              <w:rPr>
                <w:rFonts w:ascii="Arial" w:hAnsi="Arial" w:cs="Arial"/>
                <w:iCs/>
              </w:rPr>
              <w:t>Strydom</w:t>
            </w:r>
            <w:r w:rsidRPr="00B7738A">
              <w:rPr>
                <w:rFonts w:ascii="Arial" w:hAnsi="Arial" w:cs="Arial"/>
                <w:i/>
                <w:iCs/>
              </w:rPr>
              <w:t xml:space="preserve"> </w:t>
            </w:r>
            <w:r w:rsidRPr="00B7738A">
              <w:rPr>
                <w:rFonts w:ascii="Arial" w:hAnsi="Arial" w:cs="Arial"/>
              </w:rPr>
              <w:t>AJP (as he then was) at 36H stated:</w:t>
            </w:r>
          </w:p>
          <w:p w14:paraId="4FBB81E7" w14:textId="77777777" w:rsidR="00BB70D8" w:rsidRPr="00B7738A" w:rsidRDefault="00BB70D8" w:rsidP="00BB70D8">
            <w:pPr>
              <w:spacing w:line="360" w:lineRule="auto"/>
              <w:jc w:val="both"/>
              <w:rPr>
                <w:rFonts w:ascii="Arial" w:hAnsi="Arial" w:cs="Arial"/>
              </w:rPr>
            </w:pPr>
          </w:p>
          <w:p w14:paraId="67734DB6" w14:textId="77777777" w:rsidR="00BB70D8" w:rsidRPr="00B7738A" w:rsidRDefault="00BB70D8" w:rsidP="00BB70D8">
            <w:pPr>
              <w:spacing w:line="360" w:lineRule="auto"/>
              <w:jc w:val="both"/>
              <w:rPr>
                <w:rFonts w:ascii="Arial" w:hAnsi="Arial" w:cs="Arial"/>
              </w:rPr>
            </w:pPr>
            <w:r w:rsidRPr="00B7738A">
              <w:rPr>
                <w:rFonts w:ascii="Arial" w:hAnsi="Arial" w:cs="Arial"/>
              </w:rPr>
              <w:t xml:space="preserve">“The purpose of grounds of appeal as required by the Rules is to apprise all interested parties as fully as possible of what is in issue and to bind the parties to those issues. (See further in this respect the judgment of my Brother </w:t>
            </w:r>
            <w:r w:rsidRPr="00B7738A">
              <w:rPr>
                <w:rFonts w:ascii="Arial" w:hAnsi="Arial" w:cs="Arial"/>
                <w:iCs/>
              </w:rPr>
              <w:t>Frank</w:t>
            </w:r>
            <w:r w:rsidRPr="00B7738A">
              <w:rPr>
                <w:rFonts w:ascii="Arial" w:hAnsi="Arial" w:cs="Arial"/>
                <w:i/>
                <w:iCs/>
              </w:rPr>
              <w:t xml:space="preserve"> </w:t>
            </w:r>
            <w:r w:rsidRPr="00B7738A">
              <w:rPr>
                <w:rFonts w:ascii="Arial" w:hAnsi="Arial" w:cs="Arial"/>
              </w:rPr>
              <w:t xml:space="preserve">AJ in the matter of </w:t>
            </w:r>
            <w:r w:rsidRPr="00B7738A">
              <w:rPr>
                <w:rFonts w:ascii="Arial" w:hAnsi="Arial" w:cs="Arial"/>
                <w:i/>
                <w:iCs/>
              </w:rPr>
              <w:t>S v</w:t>
            </w:r>
            <w:r w:rsidRPr="00B7738A">
              <w:rPr>
                <w:rFonts w:ascii="Arial" w:hAnsi="Arial" w:cs="Arial"/>
              </w:rPr>
              <w:t xml:space="preserve"> </w:t>
            </w:r>
            <w:r w:rsidRPr="00B7738A">
              <w:rPr>
                <w:rFonts w:ascii="Arial" w:hAnsi="Arial" w:cs="Arial"/>
                <w:i/>
                <w:iCs/>
              </w:rPr>
              <w:t>Wellington</w:t>
            </w:r>
            <w:r w:rsidRPr="00B7738A">
              <w:rPr>
                <w:rFonts w:ascii="Arial" w:hAnsi="Arial" w:cs="Arial"/>
              </w:rPr>
              <w:t xml:space="preserve"> (1990 NR 20) and the cases referred to therein.)”’</w:t>
            </w:r>
          </w:p>
          <w:p w14:paraId="4D79344E" w14:textId="77777777" w:rsidR="00BB70D8" w:rsidRPr="002665F4" w:rsidRDefault="00BB70D8" w:rsidP="00BB70D8">
            <w:pPr>
              <w:spacing w:line="360" w:lineRule="auto"/>
              <w:jc w:val="both"/>
              <w:rPr>
                <w:rFonts w:ascii="Arial" w:hAnsi="Arial" w:cs="Arial"/>
                <w:sz w:val="24"/>
                <w:szCs w:val="24"/>
              </w:rPr>
            </w:pPr>
          </w:p>
          <w:p w14:paraId="3DD87179" w14:textId="196EF6A4"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lastRenderedPageBreak/>
              <w:t>[8]</w:t>
            </w:r>
            <w:r w:rsidRPr="002665F4">
              <w:rPr>
                <w:rFonts w:ascii="Arial" w:eastAsia="Calibri" w:hAnsi="Arial" w:cs="Arial"/>
                <w:sz w:val="24"/>
                <w:szCs w:val="24"/>
              </w:rPr>
              <w:tab/>
              <w:t xml:space="preserve">In enquiring from counsel for the </w:t>
            </w:r>
            <w:r w:rsidR="00B7738A">
              <w:rPr>
                <w:rFonts w:ascii="Arial" w:eastAsia="Calibri" w:hAnsi="Arial" w:cs="Arial"/>
                <w:sz w:val="24"/>
                <w:szCs w:val="24"/>
              </w:rPr>
              <w:t>applicants</w:t>
            </w:r>
            <w:r w:rsidRPr="002665F4">
              <w:rPr>
                <w:rFonts w:ascii="Arial" w:eastAsia="Calibri" w:hAnsi="Arial" w:cs="Arial"/>
                <w:sz w:val="24"/>
                <w:szCs w:val="24"/>
              </w:rPr>
              <w:t xml:space="preserve"> whether the grounds of appeal in the notice meet muster, his view was that it does with a resounding certainty. With respect, the document shows a different state of affairs</w:t>
            </w:r>
            <w:r w:rsidR="00B7738A">
              <w:rPr>
                <w:rFonts w:ascii="Arial" w:eastAsia="Calibri" w:hAnsi="Arial" w:cs="Arial"/>
                <w:sz w:val="24"/>
                <w:szCs w:val="24"/>
              </w:rPr>
              <w:t>,</w:t>
            </w:r>
            <w:r w:rsidRPr="002665F4">
              <w:rPr>
                <w:rFonts w:ascii="Arial" w:eastAsia="Calibri" w:hAnsi="Arial" w:cs="Arial"/>
                <w:sz w:val="24"/>
                <w:szCs w:val="24"/>
              </w:rPr>
              <w:t xml:space="preserve"> as the formulation th</w:t>
            </w:r>
            <w:r w:rsidR="00B7738A">
              <w:rPr>
                <w:rFonts w:ascii="Arial" w:eastAsia="Calibri" w:hAnsi="Arial" w:cs="Arial"/>
                <w:sz w:val="24"/>
                <w:szCs w:val="24"/>
              </w:rPr>
              <w:t xml:space="preserve">ereof has glaring shortcomings. </w:t>
            </w:r>
            <w:r w:rsidR="00BF2243">
              <w:rPr>
                <w:rFonts w:ascii="Arial" w:eastAsia="Calibri" w:hAnsi="Arial" w:cs="Arial"/>
                <w:sz w:val="24"/>
                <w:szCs w:val="24"/>
              </w:rPr>
              <w:t xml:space="preserve">Had it not been such a lengthy document I would have set it out verbatim herein. </w:t>
            </w:r>
            <w:r w:rsidRPr="002665F4">
              <w:rPr>
                <w:rFonts w:ascii="Arial" w:eastAsia="Calibri" w:hAnsi="Arial" w:cs="Arial"/>
                <w:sz w:val="24"/>
                <w:szCs w:val="24"/>
              </w:rPr>
              <w:t>The document was couched in a diffuse manner, with general and ambiguous sweeping term</w:t>
            </w:r>
            <w:r w:rsidR="00D4411A" w:rsidRPr="002665F4">
              <w:rPr>
                <w:rFonts w:ascii="Arial" w:eastAsia="Calibri" w:hAnsi="Arial" w:cs="Arial"/>
                <w:sz w:val="24"/>
                <w:szCs w:val="24"/>
              </w:rPr>
              <w:t>s. The notion by the drafter to insert several paragraphs and conclusions under a single ground</w:t>
            </w:r>
            <w:r w:rsidR="001E3B12" w:rsidRPr="002665F4">
              <w:rPr>
                <w:rFonts w:ascii="Arial" w:eastAsia="Calibri" w:hAnsi="Arial" w:cs="Arial"/>
                <w:sz w:val="24"/>
                <w:szCs w:val="24"/>
              </w:rPr>
              <w:t xml:space="preserve"> leaves much to be desired. </w:t>
            </w:r>
            <w:r w:rsidRPr="002665F4">
              <w:rPr>
                <w:rFonts w:ascii="Arial" w:eastAsia="Calibri" w:hAnsi="Arial" w:cs="Arial"/>
                <w:sz w:val="24"/>
                <w:szCs w:val="24"/>
              </w:rPr>
              <w:t>The document also contains legal arguments which b</w:t>
            </w:r>
            <w:r w:rsidR="00D4411A" w:rsidRPr="002665F4">
              <w:rPr>
                <w:rFonts w:ascii="Arial" w:eastAsia="Calibri" w:hAnsi="Arial" w:cs="Arial"/>
                <w:sz w:val="24"/>
                <w:szCs w:val="24"/>
              </w:rPr>
              <w:t xml:space="preserve">est </w:t>
            </w:r>
            <w:r w:rsidR="00B7738A">
              <w:rPr>
                <w:rFonts w:ascii="Arial" w:eastAsia="Calibri" w:hAnsi="Arial" w:cs="Arial"/>
                <w:sz w:val="24"/>
                <w:szCs w:val="24"/>
              </w:rPr>
              <w:t>belong in heads of argument</w:t>
            </w:r>
            <w:r w:rsidR="001D1C52">
              <w:rPr>
                <w:rFonts w:ascii="Arial" w:eastAsia="Calibri" w:hAnsi="Arial" w:cs="Arial"/>
                <w:sz w:val="24"/>
                <w:szCs w:val="24"/>
              </w:rPr>
              <w:t xml:space="preserve">. </w:t>
            </w:r>
            <w:r w:rsidR="009D78E5">
              <w:rPr>
                <w:rFonts w:ascii="Arial" w:eastAsia="Calibri" w:hAnsi="Arial" w:cs="Arial"/>
                <w:sz w:val="24"/>
                <w:szCs w:val="24"/>
              </w:rPr>
              <w:t xml:space="preserve">In </w:t>
            </w:r>
            <w:r w:rsidR="000D79D3" w:rsidRPr="00B7738A">
              <w:rPr>
                <w:rFonts w:ascii="Arial" w:eastAsia="Calibri" w:hAnsi="Arial" w:cs="Arial"/>
                <w:i/>
                <w:sz w:val="24"/>
                <w:szCs w:val="24"/>
              </w:rPr>
              <w:t>Beyer v State</w:t>
            </w:r>
            <w:r w:rsidR="000D79D3" w:rsidRPr="002665F4">
              <w:rPr>
                <w:rStyle w:val="FootnoteReference"/>
                <w:rFonts w:ascii="Arial" w:eastAsia="Calibri" w:hAnsi="Arial" w:cs="Arial"/>
                <w:sz w:val="24"/>
                <w:szCs w:val="24"/>
              </w:rPr>
              <w:footnoteReference w:id="5"/>
            </w:r>
            <w:r w:rsidR="000D79D3" w:rsidRPr="002665F4">
              <w:rPr>
                <w:rFonts w:ascii="Arial" w:eastAsia="Calibri" w:hAnsi="Arial" w:cs="Arial"/>
                <w:sz w:val="24"/>
                <w:szCs w:val="24"/>
              </w:rPr>
              <w:t xml:space="preserve"> </w:t>
            </w:r>
            <w:r w:rsidR="009D78E5">
              <w:rPr>
                <w:rFonts w:ascii="Arial" w:eastAsia="Calibri" w:hAnsi="Arial" w:cs="Arial"/>
                <w:sz w:val="24"/>
                <w:szCs w:val="24"/>
              </w:rPr>
              <w:t>the headnote states that a</w:t>
            </w:r>
            <w:r w:rsidR="000D79D3" w:rsidRPr="002665F4">
              <w:rPr>
                <w:rFonts w:ascii="Arial" w:eastAsia="Calibri" w:hAnsi="Arial" w:cs="Arial"/>
                <w:sz w:val="24"/>
                <w:szCs w:val="24"/>
              </w:rPr>
              <w:t xml:space="preserve"> ground of appeal which set out conclusions of the draftsperson is insufficient and </w:t>
            </w:r>
            <w:r w:rsidR="009D78E5">
              <w:rPr>
                <w:rFonts w:ascii="Arial" w:eastAsia="Calibri" w:hAnsi="Arial" w:cs="Arial"/>
                <w:sz w:val="24"/>
                <w:szCs w:val="24"/>
              </w:rPr>
              <w:t xml:space="preserve">that an improper </w:t>
            </w:r>
            <w:r w:rsidR="001D1C52">
              <w:rPr>
                <w:rFonts w:ascii="Arial" w:eastAsia="Calibri" w:hAnsi="Arial" w:cs="Arial"/>
                <w:sz w:val="24"/>
                <w:szCs w:val="24"/>
              </w:rPr>
              <w:t>ground amounts to no ground of appeal at all.</w:t>
            </w:r>
            <w:r w:rsidR="000D79D3" w:rsidRPr="002665F4">
              <w:rPr>
                <w:rFonts w:ascii="Arial" w:eastAsia="Calibri" w:hAnsi="Arial" w:cs="Arial"/>
                <w:sz w:val="24"/>
                <w:szCs w:val="24"/>
              </w:rPr>
              <w:t xml:space="preserve"> </w:t>
            </w:r>
            <w:r w:rsidRPr="002665F4">
              <w:rPr>
                <w:rFonts w:ascii="Arial" w:eastAsia="Calibri" w:hAnsi="Arial" w:cs="Arial"/>
                <w:sz w:val="24"/>
                <w:szCs w:val="24"/>
              </w:rPr>
              <w:t>It appears that the drafter endorsed an open ended approach without wanting to bind itself to a specific or focused error in a given ground, which is contrary t</w:t>
            </w:r>
            <w:r w:rsidR="00A4563F">
              <w:rPr>
                <w:rFonts w:ascii="Arial" w:eastAsia="Calibri" w:hAnsi="Arial" w:cs="Arial"/>
                <w:sz w:val="24"/>
                <w:szCs w:val="24"/>
              </w:rPr>
              <w:t xml:space="preserve">o the law on grounds of appeal. </w:t>
            </w:r>
            <w:r w:rsidR="00B533C0">
              <w:rPr>
                <w:rFonts w:ascii="Arial" w:eastAsia="Calibri" w:hAnsi="Arial" w:cs="Arial"/>
                <w:sz w:val="24"/>
                <w:szCs w:val="24"/>
              </w:rPr>
              <w:t>Apart from one of the sub-paragraphs within a ground labelled as ground 2, none of the grounds identifies which applicant the ground pertains to.</w:t>
            </w:r>
            <w:r w:rsidR="00A4563F">
              <w:rPr>
                <w:rFonts w:ascii="Arial" w:eastAsia="Calibri" w:hAnsi="Arial" w:cs="Arial"/>
                <w:sz w:val="24"/>
                <w:szCs w:val="24"/>
              </w:rPr>
              <w:t xml:space="preserve"> </w:t>
            </w:r>
          </w:p>
          <w:p w14:paraId="33860055" w14:textId="2878E143"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[9]</w:t>
            </w:r>
            <w:r w:rsidRPr="002665F4">
              <w:rPr>
                <w:rFonts w:ascii="Arial" w:eastAsia="Calibri" w:hAnsi="Arial" w:cs="Arial"/>
                <w:sz w:val="24"/>
                <w:szCs w:val="24"/>
              </w:rPr>
              <w:tab/>
              <w:t xml:space="preserve">This court is constrained to agree with the respondent that the document fails </w:t>
            </w:r>
            <w:r w:rsidR="00C37204">
              <w:rPr>
                <w:rFonts w:ascii="Arial" w:eastAsia="Calibri" w:hAnsi="Arial" w:cs="Arial"/>
                <w:sz w:val="24"/>
                <w:szCs w:val="24"/>
              </w:rPr>
              <w:t xml:space="preserve">to </w:t>
            </w:r>
            <w:r w:rsidRPr="002665F4">
              <w:rPr>
                <w:rFonts w:ascii="Arial" w:hAnsi="Arial" w:cs="Arial"/>
                <w:sz w:val="24"/>
                <w:szCs w:val="24"/>
              </w:rPr>
              <w:t>set out specific grounds of appeal for most of the grounds. The problematic grounds do not clearly specify a particular finding of fact and or conclusions of law objected to, nor does it say in respect of which particular witness, or witness statement or which specific text in the record is referred to. Some of the grounds overlap and some of them are phrased in general terms. That result</w:t>
            </w:r>
            <w:r w:rsidR="00A80C25">
              <w:rPr>
                <w:rFonts w:ascii="Arial" w:hAnsi="Arial" w:cs="Arial"/>
                <w:sz w:val="24"/>
                <w:szCs w:val="24"/>
              </w:rPr>
              <w:t>s</w:t>
            </w:r>
            <w:r w:rsidRPr="002665F4">
              <w:rPr>
                <w:rFonts w:ascii="Arial" w:hAnsi="Arial" w:cs="Arial"/>
                <w:sz w:val="24"/>
                <w:szCs w:val="24"/>
              </w:rPr>
              <w:t xml:space="preserve"> in it being ambiguous, and incapable of properly </w:t>
            </w:r>
            <w:r w:rsidR="000D79D3" w:rsidRPr="002665F4">
              <w:rPr>
                <w:rFonts w:ascii="Arial" w:hAnsi="Arial" w:cs="Arial"/>
                <w:sz w:val="24"/>
                <w:szCs w:val="24"/>
              </w:rPr>
              <w:t xml:space="preserve">informing </w:t>
            </w:r>
            <w:r w:rsidRPr="002665F4">
              <w:rPr>
                <w:rFonts w:ascii="Arial" w:hAnsi="Arial" w:cs="Arial"/>
                <w:sz w:val="24"/>
                <w:szCs w:val="24"/>
              </w:rPr>
              <w:t xml:space="preserve">the respondent what case it has to meet in opposing the appeal. The effect of </w:t>
            </w:r>
            <w:r w:rsidRPr="002665F4">
              <w:rPr>
                <w:rFonts w:ascii="Arial" w:eastAsia="Calibri" w:hAnsi="Arial" w:cs="Arial"/>
                <w:sz w:val="24"/>
                <w:szCs w:val="24"/>
              </w:rPr>
              <w:t>grounds of appeal that are not clearly and specifically or that are conclusions by the draftsmen is fatal and that is a nullity. The principle is firmly established in our law.</w:t>
            </w:r>
            <w:r w:rsidRPr="002665F4">
              <w:rPr>
                <w:rStyle w:val="FootnoteReference"/>
                <w:rFonts w:ascii="Arial" w:eastAsia="Calibri" w:hAnsi="Arial" w:cs="Arial"/>
                <w:sz w:val="24"/>
                <w:szCs w:val="24"/>
              </w:rPr>
              <w:footnoteReference w:id="6"/>
            </w:r>
            <w:r w:rsidRPr="002665F4">
              <w:rPr>
                <w:rFonts w:ascii="Arial" w:eastAsia="Calibri" w:hAnsi="Arial" w:cs="Arial"/>
                <w:sz w:val="24"/>
                <w:szCs w:val="24"/>
              </w:rPr>
              <w:t xml:space="preserve"> Similar to the respondent, the court will attempt to fathom out the crux of the grounds, to the extent that it is able to</w:t>
            </w:r>
            <w:r w:rsidR="00C37204">
              <w:rPr>
                <w:rFonts w:ascii="Arial" w:eastAsia="Calibri" w:hAnsi="Arial" w:cs="Arial"/>
                <w:sz w:val="24"/>
                <w:szCs w:val="24"/>
              </w:rPr>
              <w:t>,</w:t>
            </w:r>
            <w:r w:rsidRPr="002665F4">
              <w:rPr>
                <w:rFonts w:ascii="Arial" w:eastAsia="Calibri" w:hAnsi="Arial" w:cs="Arial"/>
                <w:sz w:val="24"/>
                <w:szCs w:val="24"/>
              </w:rPr>
              <w:t xml:space="preserve"> and where more than one paragraphs can be taken together, they will be dealt with as one ground.  </w:t>
            </w:r>
          </w:p>
          <w:p w14:paraId="3780E9B4" w14:textId="77777777" w:rsidR="00A06064" w:rsidRDefault="00A06064" w:rsidP="00BB70D8">
            <w:pPr>
              <w:spacing w:after="200" w:line="360" w:lineRule="auto"/>
              <w:jc w:val="both"/>
              <w:rPr>
                <w:rFonts w:ascii="Arial" w:eastAsia="Calibri" w:hAnsi="Arial" w:cs="Arial"/>
                <w:sz w:val="24"/>
                <w:szCs w:val="24"/>
              </w:rPr>
            </w:pPr>
          </w:p>
          <w:p w14:paraId="36C77A65"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lastRenderedPageBreak/>
              <w:t xml:space="preserve">Ground 1  </w:t>
            </w:r>
          </w:p>
          <w:p w14:paraId="1DAF5367" w14:textId="1E9F5464"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[10]</w:t>
            </w:r>
            <w:r w:rsidRPr="002665F4">
              <w:rPr>
                <w:rFonts w:ascii="Arial" w:eastAsia="Calibri" w:hAnsi="Arial" w:cs="Arial"/>
                <w:sz w:val="24"/>
                <w:szCs w:val="24"/>
              </w:rPr>
              <w:tab/>
              <w:t xml:space="preserve">This ground contained three points, which in summary boils down to a complaint that the judge descended into the arena, took over/intervened in cross-examination and was biased. The respondent’s stance was firstly that these are not proper appeal grounds, and secondly, that it deals with issues which may be better suited for a review. As for the respondent’s review proposition, I do not regard these issues to be considered separately and will deal with </w:t>
            </w:r>
            <w:r w:rsidR="00A80C25">
              <w:rPr>
                <w:rFonts w:ascii="Arial" w:eastAsia="Calibri" w:hAnsi="Arial" w:cs="Arial"/>
                <w:sz w:val="24"/>
                <w:szCs w:val="24"/>
              </w:rPr>
              <w:t xml:space="preserve">them </w:t>
            </w:r>
            <w:r w:rsidRPr="002665F4">
              <w:rPr>
                <w:rFonts w:ascii="Arial" w:eastAsia="Calibri" w:hAnsi="Arial" w:cs="Arial"/>
                <w:sz w:val="24"/>
                <w:szCs w:val="24"/>
              </w:rPr>
              <w:t>in the forum in which the applicants raised them.</w:t>
            </w:r>
          </w:p>
          <w:p w14:paraId="6A1F60AB"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[11]</w:t>
            </w:r>
            <w:r w:rsidRPr="002665F4">
              <w:rPr>
                <w:rFonts w:ascii="Arial" w:eastAsia="Calibri" w:hAnsi="Arial" w:cs="Arial"/>
                <w:sz w:val="24"/>
                <w:szCs w:val="24"/>
              </w:rPr>
              <w:tab/>
              <w:t xml:space="preserve">The first and third points of this ground of appeal fails to identify or refer to a specific extract of the evidence that underpins the contention by the applicants. Without that particulars, it amounts to bare conclusions by the drafter, which do not amount to proper grounds of appeal for the court to determine. </w:t>
            </w:r>
          </w:p>
          <w:p w14:paraId="50CC808C" w14:textId="44A3B132"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[12]</w:t>
            </w:r>
            <w:r w:rsidRPr="002665F4">
              <w:rPr>
                <w:rFonts w:ascii="Arial" w:eastAsia="Calibri" w:hAnsi="Arial" w:cs="Arial"/>
                <w:sz w:val="24"/>
                <w:szCs w:val="24"/>
              </w:rPr>
              <w:tab/>
              <w:t>I turn to the contention of interference in cross-examination and or taking over the role of interpreter, as that is prefaced by an extract from the record. Counsel for the applicant</w:t>
            </w:r>
            <w:r w:rsidR="00A80C25">
              <w:rPr>
                <w:rFonts w:ascii="Arial" w:eastAsia="Calibri" w:hAnsi="Arial" w:cs="Arial"/>
                <w:sz w:val="24"/>
                <w:szCs w:val="24"/>
              </w:rPr>
              <w:t>s</w:t>
            </w:r>
            <w:r w:rsidRPr="002665F4">
              <w:rPr>
                <w:rFonts w:ascii="Arial" w:eastAsia="Calibri" w:hAnsi="Arial" w:cs="Arial"/>
                <w:sz w:val="24"/>
                <w:szCs w:val="24"/>
              </w:rPr>
              <w:t xml:space="preserve"> appears to be oblivious that the extract should be seen in the context of testimony given by a child witness</w:t>
            </w:r>
            <w:r w:rsidR="00A80C25">
              <w:rPr>
                <w:rFonts w:ascii="Arial" w:eastAsia="Calibri" w:hAnsi="Arial" w:cs="Arial"/>
                <w:sz w:val="24"/>
                <w:szCs w:val="24"/>
              </w:rPr>
              <w:t xml:space="preserve">. </w:t>
            </w:r>
            <w:r w:rsidRPr="002665F4">
              <w:rPr>
                <w:rFonts w:ascii="Arial" w:eastAsia="Calibri" w:hAnsi="Arial" w:cs="Arial"/>
                <w:sz w:val="24"/>
                <w:szCs w:val="24"/>
              </w:rPr>
              <w:t>In the textbook</w:t>
            </w:r>
            <w:r w:rsidR="00A80C25">
              <w:rPr>
                <w:rFonts w:ascii="Arial" w:eastAsia="Calibri" w:hAnsi="Arial" w:cs="Arial"/>
                <w:sz w:val="24"/>
                <w:szCs w:val="24"/>
              </w:rPr>
              <w:t>,</w:t>
            </w:r>
            <w:r w:rsidRPr="002665F4">
              <w:rPr>
                <w:rFonts w:ascii="Arial" w:eastAsia="Calibri" w:hAnsi="Arial" w:cs="Arial"/>
                <w:sz w:val="24"/>
                <w:szCs w:val="24"/>
              </w:rPr>
              <w:t xml:space="preserve"> ‘The Judicial Officer and the Child Witness’</w:t>
            </w:r>
            <w:r w:rsidRPr="002665F4">
              <w:rPr>
                <w:rStyle w:val="FootnoteReference"/>
                <w:rFonts w:ascii="Arial" w:eastAsia="Calibri" w:hAnsi="Arial" w:cs="Arial"/>
                <w:sz w:val="24"/>
                <w:szCs w:val="24"/>
              </w:rPr>
              <w:footnoteReference w:id="7"/>
            </w:r>
            <w:r w:rsidRPr="002665F4">
              <w:rPr>
                <w:rFonts w:ascii="Arial" w:eastAsia="Calibri" w:hAnsi="Arial" w:cs="Arial"/>
                <w:sz w:val="24"/>
                <w:szCs w:val="24"/>
              </w:rPr>
              <w:t xml:space="preserve"> </w:t>
            </w:r>
            <w:r w:rsidR="00E11AA3" w:rsidRPr="002665F4">
              <w:rPr>
                <w:rFonts w:ascii="Arial" w:eastAsia="Calibri" w:hAnsi="Arial" w:cs="Arial"/>
                <w:sz w:val="24"/>
                <w:szCs w:val="24"/>
              </w:rPr>
              <w:t xml:space="preserve">the author </w:t>
            </w:r>
            <w:r w:rsidRPr="002665F4">
              <w:rPr>
                <w:rFonts w:ascii="Arial" w:eastAsia="Calibri" w:hAnsi="Arial" w:cs="Arial"/>
                <w:sz w:val="24"/>
                <w:szCs w:val="24"/>
              </w:rPr>
              <w:t>pinpoint</w:t>
            </w:r>
            <w:r w:rsidR="00E11AA3" w:rsidRPr="002665F4">
              <w:rPr>
                <w:rFonts w:ascii="Arial" w:eastAsia="Calibri" w:hAnsi="Arial" w:cs="Arial"/>
                <w:sz w:val="24"/>
                <w:szCs w:val="24"/>
              </w:rPr>
              <w:t>s</w:t>
            </w:r>
            <w:r w:rsidRPr="002665F4">
              <w:rPr>
                <w:rFonts w:ascii="Arial" w:eastAsia="Calibri" w:hAnsi="Arial" w:cs="Arial"/>
                <w:sz w:val="24"/>
                <w:szCs w:val="24"/>
              </w:rPr>
              <w:t xml:space="preserve"> to communication dilemmas by referring to Myers, Saywitz and Goodman (1996:59) as follows:</w:t>
            </w:r>
          </w:p>
          <w:p w14:paraId="506C616F"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ab/>
            </w:r>
            <w:r w:rsidRPr="002665F4">
              <w:rPr>
                <w:rFonts w:ascii="Arial" w:eastAsia="Calibri" w:hAnsi="Arial" w:cs="Arial"/>
              </w:rPr>
              <w:t>‘The linguistic complexity of court room banter surpasses anything children hear at home or school. Legal terms that are second nature to attorneys are completely beyond children. Considering children’s relatively unpolished language skills, opportunities for miscommunication abound, and the court is in a very good position to ensure that attorneys ask comprehensible questions’</w:t>
            </w:r>
            <w:r w:rsidRPr="002665F4">
              <w:rPr>
                <w:rFonts w:ascii="Arial" w:eastAsia="Calibri" w:hAnsi="Arial" w:cs="Arial"/>
                <w:sz w:val="24"/>
                <w:szCs w:val="24"/>
              </w:rPr>
              <w:t xml:space="preserve">. </w:t>
            </w:r>
          </w:p>
          <w:p w14:paraId="68E2D2B6" w14:textId="56D1AAEC"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[13]</w:t>
            </w:r>
            <w:r w:rsidRPr="002665F4">
              <w:rPr>
                <w:rFonts w:ascii="Arial" w:eastAsia="Calibri" w:hAnsi="Arial" w:cs="Arial"/>
                <w:sz w:val="24"/>
                <w:szCs w:val="24"/>
              </w:rPr>
              <w:tab/>
              <w:t xml:space="preserve">It underscores that children, depending on their growth and development, may find court formalities and legal terminology difficult to follow. That may inhibit their responses and obscure the truth, which can be exacerbated if the evidence relates to intimate or </w:t>
            </w:r>
            <w:r w:rsidRPr="002665F4">
              <w:rPr>
                <w:rFonts w:ascii="Arial" w:eastAsia="Calibri" w:hAnsi="Arial" w:cs="Arial"/>
                <w:sz w:val="24"/>
                <w:szCs w:val="24"/>
              </w:rPr>
              <w:lastRenderedPageBreak/>
              <w:t xml:space="preserve">emotionally laden subject matter. This sentiment has been expressed in </w:t>
            </w:r>
            <w:r w:rsidRPr="002665F4">
              <w:rPr>
                <w:rFonts w:ascii="Arial" w:eastAsia="Calibri" w:hAnsi="Arial" w:cs="Arial"/>
                <w:i/>
                <w:sz w:val="24"/>
                <w:szCs w:val="24"/>
              </w:rPr>
              <w:t>Klink v Regional Court Magistrate NO and Others</w:t>
            </w:r>
            <w:r w:rsidRPr="002665F4">
              <w:rPr>
                <w:rFonts w:ascii="Arial" w:eastAsia="Calibri" w:hAnsi="Arial" w:cs="Arial"/>
                <w:sz w:val="24"/>
                <w:szCs w:val="24"/>
              </w:rPr>
              <w:t xml:space="preserve">  by Melunsky J that:</w:t>
            </w:r>
            <w:r w:rsidRPr="002665F4">
              <w:rPr>
                <w:rStyle w:val="FootnoteReference"/>
                <w:rFonts w:ascii="Arial" w:eastAsia="Calibri" w:hAnsi="Arial" w:cs="Arial"/>
                <w:sz w:val="24"/>
                <w:szCs w:val="24"/>
              </w:rPr>
              <w:footnoteReference w:id="8"/>
            </w:r>
            <w:r w:rsidRPr="002665F4">
              <w:rPr>
                <w:rFonts w:ascii="Arial" w:eastAsia="Calibri" w:hAnsi="Arial" w:cs="Arial"/>
                <w:sz w:val="24"/>
                <w:szCs w:val="24"/>
              </w:rPr>
              <w:t xml:space="preserve"> </w:t>
            </w:r>
          </w:p>
          <w:p w14:paraId="60BA85D4"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ab/>
            </w:r>
            <w:r w:rsidRPr="00A80C25">
              <w:rPr>
                <w:rFonts w:ascii="Arial" w:eastAsia="Calibri" w:hAnsi="Arial" w:cs="Arial"/>
              </w:rPr>
              <w:t>‘It is sufficient to say that I am quite convinced that a child witness may often find it traumatic and stressful to give evidence in the adversarial atmosphere of the court room and that the forceful cross-examination of a young person by skilled counsel may be more likely to obfuscate than to reveal the truth.</w:t>
            </w:r>
            <w:r w:rsidRPr="002665F4">
              <w:rPr>
                <w:rFonts w:ascii="Arial" w:eastAsia="Calibri" w:hAnsi="Arial" w:cs="Arial"/>
                <w:sz w:val="24"/>
                <w:szCs w:val="24"/>
              </w:rPr>
              <w:t xml:space="preserve">’ </w:t>
            </w:r>
          </w:p>
          <w:p w14:paraId="6EACFD90" w14:textId="223AB439"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[14]</w:t>
            </w:r>
            <w:r w:rsidRPr="002665F4">
              <w:rPr>
                <w:rFonts w:ascii="Arial" w:eastAsia="Calibri" w:hAnsi="Arial" w:cs="Arial"/>
                <w:sz w:val="24"/>
                <w:szCs w:val="24"/>
              </w:rPr>
              <w:tab/>
              <w:t xml:space="preserve">In general, a judicial officer has to do what he reasonably can to remove </w:t>
            </w:r>
            <w:r w:rsidR="00A80C25" w:rsidRPr="002665F4">
              <w:rPr>
                <w:rFonts w:ascii="Arial" w:eastAsia="Calibri" w:hAnsi="Arial" w:cs="Arial"/>
                <w:sz w:val="24"/>
                <w:szCs w:val="24"/>
              </w:rPr>
              <w:t>obs</w:t>
            </w:r>
            <w:r w:rsidR="00A80C25">
              <w:rPr>
                <w:rFonts w:ascii="Arial" w:eastAsia="Calibri" w:hAnsi="Arial" w:cs="Arial"/>
                <w:sz w:val="24"/>
                <w:szCs w:val="24"/>
              </w:rPr>
              <w:t>c</w:t>
            </w:r>
            <w:r w:rsidR="00A80C25" w:rsidRPr="002665F4">
              <w:rPr>
                <w:rFonts w:ascii="Arial" w:eastAsia="Calibri" w:hAnsi="Arial" w:cs="Arial"/>
                <w:sz w:val="24"/>
                <w:szCs w:val="24"/>
              </w:rPr>
              <w:t>urities</w:t>
            </w:r>
            <w:r w:rsidRPr="002665F4">
              <w:rPr>
                <w:rFonts w:ascii="Arial" w:eastAsia="Calibri" w:hAnsi="Arial" w:cs="Arial"/>
                <w:sz w:val="24"/>
                <w:szCs w:val="24"/>
              </w:rPr>
              <w:t xml:space="preserve"> of language or meaning whenever possible, for example, by asking questions himself.</w:t>
            </w:r>
            <w:r w:rsidRPr="002665F4">
              <w:rPr>
                <w:rStyle w:val="FootnoteReference"/>
                <w:rFonts w:ascii="Arial" w:eastAsia="Calibri" w:hAnsi="Arial" w:cs="Arial"/>
                <w:sz w:val="24"/>
                <w:szCs w:val="24"/>
              </w:rPr>
              <w:footnoteReference w:id="9"/>
            </w:r>
            <w:r w:rsidRPr="002665F4">
              <w:rPr>
                <w:rFonts w:ascii="Arial" w:eastAsia="Calibri" w:hAnsi="Arial" w:cs="Arial"/>
                <w:sz w:val="24"/>
                <w:szCs w:val="24"/>
              </w:rPr>
              <w:t xml:space="preserve"> In the case of a child witness, the need for that is greater. As such, a court has a duty to ensure that child witnesses receive the necessary assistance</w:t>
            </w:r>
            <w:r w:rsidRPr="002665F4">
              <w:rPr>
                <w:rStyle w:val="FootnoteReference"/>
                <w:rFonts w:ascii="Arial" w:eastAsia="Calibri" w:hAnsi="Arial" w:cs="Arial"/>
                <w:sz w:val="24"/>
                <w:szCs w:val="24"/>
              </w:rPr>
              <w:footnoteReference w:id="10"/>
            </w:r>
            <w:r w:rsidRPr="002665F4">
              <w:rPr>
                <w:rFonts w:ascii="Arial" w:eastAsia="Calibri" w:hAnsi="Arial" w:cs="Arial"/>
                <w:sz w:val="24"/>
                <w:szCs w:val="24"/>
              </w:rPr>
              <w:t xml:space="preserve"> which means it may simplify </w:t>
            </w:r>
            <w:r w:rsidR="00A80C25">
              <w:rPr>
                <w:rFonts w:ascii="Arial" w:eastAsia="Calibri" w:hAnsi="Arial" w:cs="Arial"/>
                <w:sz w:val="24"/>
                <w:szCs w:val="24"/>
              </w:rPr>
              <w:t>technical terms or specialis</w:t>
            </w:r>
            <w:r w:rsidRPr="002665F4">
              <w:rPr>
                <w:rFonts w:ascii="Arial" w:eastAsia="Calibri" w:hAnsi="Arial" w:cs="Arial"/>
                <w:sz w:val="24"/>
                <w:szCs w:val="24"/>
              </w:rPr>
              <w:t>ed court language and guard against children being misled in court.</w:t>
            </w:r>
            <w:r w:rsidRPr="002665F4">
              <w:rPr>
                <w:rStyle w:val="FootnoteReference"/>
                <w:rFonts w:ascii="Arial" w:eastAsia="Calibri" w:hAnsi="Arial" w:cs="Arial"/>
                <w:sz w:val="24"/>
                <w:szCs w:val="24"/>
              </w:rPr>
              <w:footnoteReference w:id="11"/>
            </w:r>
            <w:r w:rsidRPr="002665F4">
              <w:rPr>
                <w:rFonts w:ascii="Arial" w:eastAsia="Calibri" w:hAnsi="Arial" w:cs="Arial"/>
                <w:sz w:val="24"/>
                <w:szCs w:val="24"/>
              </w:rPr>
              <w:t xml:space="preserve"> </w:t>
            </w:r>
          </w:p>
          <w:p w14:paraId="7D887E8F" w14:textId="29464A2E"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[15]</w:t>
            </w:r>
            <w:r w:rsidRPr="002665F4">
              <w:rPr>
                <w:rFonts w:ascii="Arial" w:eastAsia="Calibri" w:hAnsi="Arial" w:cs="Arial"/>
                <w:sz w:val="24"/>
                <w:szCs w:val="24"/>
              </w:rPr>
              <w:tab/>
              <w:t xml:space="preserve">Returning to the extract and the contention by counsel for the applicants, it </w:t>
            </w:r>
            <w:r w:rsidR="00A80C25" w:rsidRPr="002665F4">
              <w:rPr>
                <w:rFonts w:ascii="Arial" w:eastAsia="Calibri" w:hAnsi="Arial" w:cs="Arial"/>
                <w:sz w:val="24"/>
                <w:szCs w:val="24"/>
              </w:rPr>
              <w:t>is factually</w:t>
            </w:r>
            <w:r w:rsidRPr="002665F4">
              <w:rPr>
                <w:rFonts w:ascii="Arial" w:eastAsia="Calibri" w:hAnsi="Arial" w:cs="Arial"/>
                <w:sz w:val="24"/>
                <w:szCs w:val="24"/>
              </w:rPr>
              <w:t xml:space="preserve"> incorrect to state that for </w:t>
            </w:r>
            <w:r w:rsidR="00A80C25">
              <w:rPr>
                <w:rFonts w:ascii="Arial" w:eastAsia="Calibri" w:hAnsi="Arial" w:cs="Arial"/>
                <w:sz w:val="24"/>
                <w:szCs w:val="24"/>
              </w:rPr>
              <w:t>16 minutes ‘the court took over</w:t>
            </w:r>
            <w:r w:rsidRPr="002665F4">
              <w:rPr>
                <w:rFonts w:ascii="Arial" w:eastAsia="Calibri" w:hAnsi="Arial" w:cs="Arial"/>
                <w:sz w:val="24"/>
                <w:szCs w:val="24"/>
              </w:rPr>
              <w:t xml:space="preserve"> the cross-examination’ as it was an exchange wherein several parties spoke, namely the erstwhile counsel, the interpreter, the witness and the court. The text further illustrates why it was necessary at certain points for the court to clarify and simplify l</w:t>
            </w:r>
            <w:r w:rsidR="00A80C25">
              <w:rPr>
                <w:rFonts w:ascii="Arial" w:eastAsia="Calibri" w:hAnsi="Arial" w:cs="Arial"/>
                <w:sz w:val="24"/>
                <w:szCs w:val="24"/>
              </w:rPr>
              <w:t xml:space="preserve">egal concepts for the witness. </w:t>
            </w:r>
            <w:r w:rsidRPr="002665F4">
              <w:rPr>
                <w:rFonts w:ascii="Arial" w:eastAsia="Calibri" w:hAnsi="Arial" w:cs="Arial"/>
                <w:sz w:val="24"/>
                <w:szCs w:val="24"/>
              </w:rPr>
              <w:t>The</w:t>
            </w:r>
            <w:r w:rsidR="00A80C25">
              <w:rPr>
                <w:rFonts w:ascii="Arial" w:eastAsia="Calibri" w:hAnsi="Arial" w:cs="Arial"/>
                <w:sz w:val="24"/>
                <w:szCs w:val="24"/>
              </w:rPr>
              <w:t>re is no irregularity in that:</w:t>
            </w:r>
          </w:p>
          <w:p w14:paraId="786C40E3" w14:textId="77777777" w:rsidR="00BB70D8" w:rsidRPr="002665F4" w:rsidRDefault="00BB70D8" w:rsidP="00BB70D8">
            <w:pPr>
              <w:spacing w:after="200" w:line="360" w:lineRule="auto"/>
              <w:jc w:val="both"/>
              <w:rPr>
                <w:rFonts w:ascii="Arial" w:eastAsia="Calibri" w:hAnsi="Arial" w:cs="Arial"/>
              </w:rPr>
            </w:pPr>
            <w:r w:rsidRPr="002665F4">
              <w:rPr>
                <w:rFonts w:ascii="Arial" w:eastAsia="Calibri" w:hAnsi="Arial" w:cs="Arial"/>
              </w:rPr>
              <w:tab/>
              <w:t>‘Court: Does she understand undue influence, you simplify it. --- I do understand that my lady. I gave the statement freely and voluntarily without any anybody’s force.</w:t>
            </w:r>
          </w:p>
          <w:p w14:paraId="6C0237ED" w14:textId="77777777" w:rsidR="00BB70D8" w:rsidRPr="002665F4" w:rsidRDefault="00BB70D8" w:rsidP="00BB70D8">
            <w:pPr>
              <w:spacing w:after="200" w:line="360" w:lineRule="auto"/>
              <w:jc w:val="both"/>
              <w:rPr>
                <w:rFonts w:ascii="Arial" w:eastAsia="Calibri" w:hAnsi="Arial" w:cs="Arial"/>
              </w:rPr>
            </w:pPr>
            <w:r w:rsidRPr="002665F4">
              <w:rPr>
                <w:rFonts w:ascii="Arial" w:eastAsia="Calibri" w:hAnsi="Arial" w:cs="Arial"/>
              </w:rPr>
              <w:t>Mr Scholz: Okay</w:t>
            </w:r>
          </w:p>
          <w:p w14:paraId="2C287BDB"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rPr>
              <w:t>Court: force and undue influence are different things, that is why I ask does she understand the words, she must not just say yes yes yes, if she does not really comprehend please</w:t>
            </w:r>
            <w:r w:rsidRPr="002665F4">
              <w:rPr>
                <w:rFonts w:ascii="Arial" w:eastAsia="Calibri" w:hAnsi="Arial" w:cs="Arial"/>
                <w:sz w:val="24"/>
                <w:szCs w:val="24"/>
              </w:rPr>
              <w:t>.’</w:t>
            </w:r>
            <w:r w:rsidRPr="002665F4">
              <w:rPr>
                <w:rStyle w:val="FootnoteReference"/>
                <w:rFonts w:ascii="Arial" w:eastAsia="Calibri" w:hAnsi="Arial" w:cs="Arial"/>
                <w:sz w:val="24"/>
                <w:szCs w:val="24"/>
              </w:rPr>
              <w:footnoteReference w:id="12"/>
            </w:r>
          </w:p>
          <w:p w14:paraId="282444AC" w14:textId="2EA6DEB3"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lastRenderedPageBreak/>
              <w:t>[16]</w:t>
            </w:r>
            <w:r w:rsidRPr="002665F4">
              <w:rPr>
                <w:rFonts w:ascii="Arial" w:eastAsia="Calibri" w:hAnsi="Arial" w:cs="Arial"/>
                <w:sz w:val="24"/>
                <w:szCs w:val="24"/>
              </w:rPr>
              <w:tab/>
              <w:t>I move on to a portion thereafter wherein the erstwhile legal counsel for the applicants proceed to prompt the witness about her second witness statement. She was asked in what language it was done and whether she understood it. She replied it was done in English and that she understood it. In order to illustrate the point, I will, with brevity in mind, set out another part of the extract referred to</w:t>
            </w:r>
            <w:r w:rsidR="00F408B6">
              <w:rPr>
                <w:rFonts w:ascii="Arial" w:eastAsia="Calibri" w:hAnsi="Arial" w:cs="Arial"/>
                <w:sz w:val="24"/>
                <w:szCs w:val="24"/>
              </w:rPr>
              <w:t xml:space="preserve"> as it will </w:t>
            </w:r>
            <w:r w:rsidRPr="002665F4">
              <w:rPr>
                <w:rFonts w:ascii="Arial" w:eastAsia="Calibri" w:hAnsi="Arial" w:cs="Arial"/>
                <w:sz w:val="24"/>
                <w:szCs w:val="24"/>
              </w:rPr>
              <w:t>illustrate the relevant law of evidence</w:t>
            </w:r>
            <w:r w:rsidR="001B73A5" w:rsidRPr="002665F4">
              <w:rPr>
                <w:rFonts w:ascii="Arial" w:eastAsia="Calibri" w:hAnsi="Arial" w:cs="Arial"/>
                <w:sz w:val="24"/>
                <w:szCs w:val="24"/>
              </w:rPr>
              <w:t xml:space="preserve"> which I will come to bel</w:t>
            </w:r>
            <w:r w:rsidR="00056D54" w:rsidRPr="002665F4">
              <w:rPr>
                <w:rFonts w:ascii="Arial" w:eastAsia="Calibri" w:hAnsi="Arial" w:cs="Arial"/>
                <w:sz w:val="24"/>
                <w:szCs w:val="24"/>
              </w:rPr>
              <w:t>ow:</w:t>
            </w:r>
          </w:p>
          <w:p w14:paraId="126B323C" w14:textId="77777777" w:rsidR="00BB70D8" w:rsidRPr="002665F4" w:rsidRDefault="00BB70D8" w:rsidP="00BB70D8">
            <w:pPr>
              <w:spacing w:after="200" w:line="360" w:lineRule="auto"/>
              <w:jc w:val="both"/>
              <w:rPr>
                <w:rFonts w:ascii="Arial" w:eastAsia="Calibri" w:hAnsi="Arial" w:cs="Arial"/>
              </w:rPr>
            </w:pPr>
            <w:r w:rsidRPr="002665F4">
              <w:rPr>
                <w:rFonts w:ascii="Arial" w:eastAsia="Calibri" w:hAnsi="Arial" w:cs="Arial"/>
              </w:rPr>
              <w:tab/>
              <w:t xml:space="preserve">‘And after the statement was taken down, did you read through it? – </w:t>
            </w:r>
            <w:r w:rsidRPr="002665F4">
              <w:rPr>
                <w:rFonts w:ascii="Arial" w:eastAsia="Calibri" w:hAnsi="Arial" w:cs="Arial"/>
                <w:u w:val="single"/>
              </w:rPr>
              <w:t>No I did not.</w:t>
            </w:r>
          </w:p>
          <w:p w14:paraId="3572E0AB" w14:textId="77777777" w:rsidR="00BB70D8" w:rsidRPr="002665F4" w:rsidRDefault="00BB70D8" w:rsidP="00BB70D8">
            <w:pPr>
              <w:spacing w:after="200" w:line="360" w:lineRule="auto"/>
              <w:jc w:val="both"/>
              <w:rPr>
                <w:rFonts w:ascii="Arial" w:eastAsia="Calibri" w:hAnsi="Arial" w:cs="Arial"/>
              </w:rPr>
            </w:pPr>
            <w:r w:rsidRPr="002665F4">
              <w:rPr>
                <w:rFonts w:ascii="Arial" w:eastAsia="Calibri" w:hAnsi="Arial" w:cs="Arial"/>
              </w:rPr>
              <w:t>Do you know whether this was the truth and nothing else but the truth, the content of your statement?</w:t>
            </w:r>
          </w:p>
          <w:p w14:paraId="1321D4CB" w14:textId="77777777" w:rsidR="00BB70D8" w:rsidRPr="002665F4" w:rsidRDefault="00BB70D8" w:rsidP="00BB70D8">
            <w:pPr>
              <w:spacing w:after="200" w:line="360" w:lineRule="auto"/>
              <w:jc w:val="both"/>
              <w:rPr>
                <w:rFonts w:ascii="Arial" w:eastAsia="Calibri" w:hAnsi="Arial" w:cs="Arial"/>
              </w:rPr>
            </w:pPr>
            <w:r w:rsidRPr="002665F4">
              <w:rPr>
                <w:rFonts w:ascii="Arial" w:eastAsia="Calibri" w:hAnsi="Arial" w:cs="Arial"/>
              </w:rPr>
              <w:t>Court: Maybe the question is were you satisfied, it is simpler, were you satisfied that the content of the statement is correct according to you, was she satisfied? – yes I was satisfied my lady because that police officer would not lie.</w:t>
            </w:r>
          </w:p>
          <w:p w14:paraId="13ED2CF7" w14:textId="77777777" w:rsidR="00BB70D8" w:rsidRPr="002665F4" w:rsidRDefault="00BB70D8" w:rsidP="00BB70D8">
            <w:pPr>
              <w:spacing w:after="200" w:line="360" w:lineRule="auto"/>
              <w:jc w:val="both"/>
              <w:rPr>
                <w:rFonts w:ascii="Arial" w:eastAsia="Calibri" w:hAnsi="Arial" w:cs="Arial"/>
              </w:rPr>
            </w:pPr>
            <w:r w:rsidRPr="002665F4">
              <w:rPr>
                <w:rFonts w:ascii="Arial" w:eastAsia="Calibri" w:hAnsi="Arial" w:cs="Arial"/>
              </w:rPr>
              <w:t>Although she did not read it and was it read to her? --- It was not read to me neither did I read it my lady.</w:t>
            </w:r>
          </w:p>
          <w:p w14:paraId="0CE2C292" w14:textId="08988A00"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rPr>
              <w:t>Then how can you be satisfied, is it trust, you are trusting that it is correct?--- My lady I knew that I told the truth.’</w:t>
            </w:r>
            <w:r w:rsidRPr="002665F4">
              <w:rPr>
                <w:rStyle w:val="FootnoteReference"/>
                <w:rFonts w:ascii="Arial" w:eastAsia="Calibri" w:hAnsi="Arial" w:cs="Arial"/>
                <w:sz w:val="24"/>
                <w:szCs w:val="24"/>
              </w:rPr>
              <w:footnoteReference w:id="13"/>
            </w:r>
            <w:r w:rsidRPr="002665F4">
              <w:rPr>
                <w:rFonts w:ascii="Arial" w:eastAsia="Calibri" w:hAnsi="Arial" w:cs="Arial"/>
                <w:sz w:val="24"/>
                <w:szCs w:val="24"/>
              </w:rPr>
              <w:t xml:space="preserve"> </w:t>
            </w:r>
            <w:r w:rsidR="00A80C25">
              <w:rPr>
                <w:rFonts w:ascii="Arial" w:eastAsia="Calibri" w:hAnsi="Arial" w:cs="Arial"/>
                <w:sz w:val="24"/>
                <w:szCs w:val="24"/>
              </w:rPr>
              <w:t>(My own emphasis)</w:t>
            </w:r>
          </w:p>
          <w:p w14:paraId="724F0F69" w14:textId="2BB1D56D"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[17]</w:t>
            </w:r>
            <w:r w:rsidRPr="002665F4">
              <w:rPr>
                <w:rFonts w:ascii="Arial" w:eastAsia="Calibri" w:hAnsi="Arial" w:cs="Arial"/>
                <w:sz w:val="24"/>
                <w:szCs w:val="24"/>
              </w:rPr>
              <w:tab/>
              <w:t>Given that a witness statement is a private document, a cross-examining party must produce the original document, prove the authenticity and prove the content of the document. As long as these requirements has not been proving, by properly laying a basis for that, the statement cannot be admitted for cross-examination. Part of the constituent questions relates to whether the statement was read by the witness or read by the official who recorded it to the witness and whether the witness was satisfied that it had been correctly reduced to writing. In this cited text the response that she did not read it, constitutes a critical point, as it closes the path for what the cross-examiner wants to do. Despite that, we see in the text</w:t>
            </w:r>
            <w:r w:rsidR="00A80C25">
              <w:rPr>
                <w:rFonts w:ascii="Arial" w:eastAsia="Calibri" w:hAnsi="Arial" w:cs="Arial"/>
                <w:sz w:val="24"/>
                <w:szCs w:val="24"/>
              </w:rPr>
              <w:t xml:space="preserve"> that</w:t>
            </w:r>
            <w:r w:rsidRPr="002665F4">
              <w:rPr>
                <w:rFonts w:ascii="Arial" w:eastAsia="Calibri" w:hAnsi="Arial" w:cs="Arial"/>
                <w:sz w:val="24"/>
                <w:szCs w:val="24"/>
              </w:rPr>
              <w:t xml:space="preserve"> the cross-examiner moved on to a different question. It is at </w:t>
            </w:r>
            <w:r w:rsidR="00270259">
              <w:rPr>
                <w:rFonts w:ascii="Arial" w:eastAsia="Calibri" w:hAnsi="Arial" w:cs="Arial"/>
                <w:sz w:val="24"/>
                <w:szCs w:val="24"/>
              </w:rPr>
              <w:t>that juncture that the court dre</w:t>
            </w:r>
            <w:r w:rsidRPr="002665F4">
              <w:rPr>
                <w:rFonts w:ascii="Arial" w:eastAsia="Calibri" w:hAnsi="Arial" w:cs="Arial"/>
                <w:sz w:val="24"/>
                <w:szCs w:val="24"/>
              </w:rPr>
              <w:t xml:space="preserve">w the attention back to that component. It was to establish through a different question whether she nevertheless had an opportunity to be </w:t>
            </w:r>
            <w:r w:rsidRPr="002665F4">
              <w:rPr>
                <w:rFonts w:ascii="Arial" w:eastAsia="Calibri" w:hAnsi="Arial" w:cs="Arial"/>
                <w:sz w:val="24"/>
                <w:szCs w:val="24"/>
              </w:rPr>
              <w:lastRenderedPageBreak/>
              <w:t xml:space="preserve">satisfied that the content of the statement is indeed what she said. That </w:t>
            </w:r>
            <w:r w:rsidR="005718B5" w:rsidRPr="002665F4">
              <w:rPr>
                <w:rFonts w:ascii="Arial" w:eastAsia="Calibri" w:hAnsi="Arial" w:cs="Arial"/>
                <w:sz w:val="24"/>
                <w:szCs w:val="24"/>
              </w:rPr>
              <w:t xml:space="preserve">is </w:t>
            </w:r>
            <w:r w:rsidRPr="002665F4">
              <w:rPr>
                <w:rFonts w:ascii="Arial" w:eastAsia="Calibri" w:hAnsi="Arial" w:cs="Arial"/>
                <w:sz w:val="24"/>
                <w:szCs w:val="24"/>
              </w:rPr>
              <w:t xml:space="preserve">for the sake of the court who has to ensure that the evidential and procedural requirements are met before the statement may be admitted for </w:t>
            </w:r>
            <w:r w:rsidR="00270259">
              <w:rPr>
                <w:rFonts w:ascii="Arial" w:eastAsia="Calibri" w:hAnsi="Arial" w:cs="Arial"/>
                <w:sz w:val="24"/>
                <w:szCs w:val="24"/>
              </w:rPr>
              <w:t xml:space="preserve">purposes of cross-examination. </w:t>
            </w:r>
            <w:r w:rsidRPr="002665F4">
              <w:rPr>
                <w:rFonts w:ascii="Arial" w:eastAsia="Calibri" w:hAnsi="Arial" w:cs="Arial"/>
                <w:sz w:val="24"/>
                <w:szCs w:val="24"/>
              </w:rPr>
              <w:t xml:space="preserve">Thus there is no merit in this ground. </w:t>
            </w:r>
          </w:p>
          <w:p w14:paraId="07675D5B" w14:textId="4B3FE521"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[18]</w:t>
            </w:r>
            <w:r w:rsidRPr="002665F4">
              <w:rPr>
                <w:rFonts w:ascii="Arial" w:eastAsia="Calibri" w:hAnsi="Arial" w:cs="Arial"/>
                <w:sz w:val="24"/>
                <w:szCs w:val="24"/>
              </w:rPr>
              <w:tab/>
              <w:t xml:space="preserve">In the cited text the child did not read the statement, nor was it read to her. Her understanding was that she was satisfied with the correctness of the content, because a police officer wrote it. That was why the court enquired into that contention. At the end of the day the responses by her in that particular witness statement did not </w:t>
            </w:r>
            <w:r w:rsidR="00270259" w:rsidRPr="002665F4">
              <w:rPr>
                <w:rFonts w:ascii="Arial" w:eastAsia="Calibri" w:hAnsi="Arial" w:cs="Arial"/>
                <w:sz w:val="24"/>
                <w:szCs w:val="24"/>
              </w:rPr>
              <w:t>instil</w:t>
            </w:r>
            <w:r w:rsidRPr="002665F4">
              <w:rPr>
                <w:rFonts w:ascii="Arial" w:eastAsia="Calibri" w:hAnsi="Arial" w:cs="Arial"/>
                <w:sz w:val="24"/>
                <w:szCs w:val="24"/>
              </w:rPr>
              <w:t xml:space="preserve"> in the court a sense that she of own cognition verified the accuracy of the statement.</w:t>
            </w:r>
          </w:p>
          <w:p w14:paraId="2375265B"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 xml:space="preserve">Ground 2 </w:t>
            </w:r>
          </w:p>
          <w:p w14:paraId="604D30AC" w14:textId="4C60A189"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[19]</w:t>
            </w:r>
            <w:r w:rsidRPr="002665F4">
              <w:rPr>
                <w:rFonts w:ascii="Arial" w:eastAsia="Calibri" w:hAnsi="Arial" w:cs="Arial"/>
                <w:sz w:val="24"/>
                <w:szCs w:val="24"/>
              </w:rPr>
              <w:tab/>
              <w:t xml:space="preserve"> This ground was formulated as ten paragraphs, which makes the ground unclear as to what specifically the central objection is therein. I have earlier eluded to the difficulty when a gro</w:t>
            </w:r>
            <w:r w:rsidR="00270259">
              <w:rPr>
                <w:rFonts w:ascii="Arial" w:eastAsia="Calibri" w:hAnsi="Arial" w:cs="Arial"/>
                <w:sz w:val="24"/>
                <w:szCs w:val="24"/>
              </w:rPr>
              <w:t>und is phrased in that fashion.</w:t>
            </w:r>
            <w:r w:rsidRPr="002665F4">
              <w:rPr>
                <w:rFonts w:ascii="Arial" w:eastAsia="Calibri" w:hAnsi="Arial" w:cs="Arial"/>
                <w:sz w:val="24"/>
                <w:szCs w:val="24"/>
              </w:rPr>
              <w:t xml:space="preserve"> The respondent stated that it had to assume </w:t>
            </w:r>
            <w:r w:rsidR="00270259">
              <w:rPr>
                <w:rFonts w:ascii="Arial" w:eastAsia="Calibri" w:hAnsi="Arial" w:cs="Arial"/>
                <w:sz w:val="24"/>
                <w:szCs w:val="24"/>
              </w:rPr>
              <w:t>what the</w:t>
            </w:r>
            <w:r w:rsidRPr="002665F4">
              <w:rPr>
                <w:rFonts w:ascii="Arial" w:eastAsia="Calibri" w:hAnsi="Arial" w:cs="Arial"/>
                <w:sz w:val="24"/>
                <w:szCs w:val="24"/>
              </w:rPr>
              <w:t xml:space="preserve"> applicant</w:t>
            </w:r>
            <w:r w:rsidR="00270259">
              <w:rPr>
                <w:rFonts w:ascii="Arial" w:eastAsia="Calibri" w:hAnsi="Arial" w:cs="Arial"/>
                <w:sz w:val="24"/>
                <w:szCs w:val="24"/>
              </w:rPr>
              <w:t>s</w:t>
            </w:r>
            <w:r w:rsidRPr="002665F4">
              <w:rPr>
                <w:rFonts w:ascii="Arial" w:eastAsia="Calibri" w:hAnsi="Arial" w:cs="Arial"/>
                <w:sz w:val="24"/>
                <w:szCs w:val="24"/>
              </w:rPr>
              <w:t xml:space="preserve"> meant, which was that the applicants contend that the court erred by failing to apply </w:t>
            </w:r>
            <w:r w:rsidRPr="002665F4">
              <w:rPr>
                <w:rFonts w:ascii="Arial" w:eastAsia="Calibri" w:hAnsi="Arial" w:cs="Arial"/>
                <w:i/>
                <w:sz w:val="24"/>
                <w:szCs w:val="24"/>
              </w:rPr>
              <w:t>Veira v State</w:t>
            </w:r>
            <w:r w:rsidRPr="002665F4">
              <w:rPr>
                <w:rStyle w:val="FootnoteReference"/>
                <w:rFonts w:ascii="Arial" w:eastAsia="Calibri" w:hAnsi="Arial" w:cs="Arial"/>
                <w:i/>
                <w:sz w:val="24"/>
                <w:szCs w:val="24"/>
              </w:rPr>
              <w:footnoteReference w:id="14"/>
            </w:r>
            <w:r w:rsidRPr="002665F4">
              <w:rPr>
                <w:rFonts w:ascii="Arial" w:eastAsia="Calibri" w:hAnsi="Arial" w:cs="Arial"/>
                <w:sz w:val="24"/>
                <w:szCs w:val="24"/>
              </w:rPr>
              <w:t>,and incorrectly interpreted or applied it to CORA. In oral argument</w:t>
            </w:r>
            <w:r w:rsidR="00270259">
              <w:rPr>
                <w:rFonts w:ascii="Arial" w:eastAsia="Calibri" w:hAnsi="Arial" w:cs="Arial"/>
                <w:sz w:val="24"/>
                <w:szCs w:val="24"/>
              </w:rPr>
              <w:t>s</w:t>
            </w:r>
            <w:r w:rsidRPr="002665F4">
              <w:rPr>
                <w:rFonts w:ascii="Arial" w:eastAsia="Calibri" w:hAnsi="Arial" w:cs="Arial"/>
                <w:sz w:val="24"/>
                <w:szCs w:val="24"/>
              </w:rPr>
              <w:t xml:space="preserve">, counsel for the </w:t>
            </w:r>
            <w:r w:rsidR="00270259">
              <w:rPr>
                <w:rFonts w:ascii="Arial" w:eastAsia="Calibri" w:hAnsi="Arial" w:cs="Arial"/>
                <w:sz w:val="24"/>
                <w:szCs w:val="24"/>
              </w:rPr>
              <w:t>applicants</w:t>
            </w:r>
            <w:r w:rsidRPr="002665F4">
              <w:rPr>
                <w:rFonts w:ascii="Arial" w:eastAsia="Calibri" w:hAnsi="Arial" w:cs="Arial"/>
                <w:sz w:val="24"/>
                <w:szCs w:val="24"/>
              </w:rPr>
              <w:t xml:space="preserve"> submitted that the issue was that the evidence did not prove the form of coercive circumstances as alleged in the charge and on which the court convicted. In answer to this ground, the court has a discretion to include coercive circumstances, other than those listed in CORA, which is what the court did in the case at hand. The court has dealt with it in the trial judgment</w:t>
            </w:r>
            <w:r w:rsidR="005718B5" w:rsidRPr="002665F4">
              <w:rPr>
                <w:rFonts w:ascii="Arial" w:eastAsia="Calibri" w:hAnsi="Arial" w:cs="Arial"/>
                <w:sz w:val="24"/>
                <w:szCs w:val="24"/>
              </w:rPr>
              <w:t>,</w:t>
            </w:r>
            <w:r w:rsidRPr="002665F4">
              <w:rPr>
                <w:rStyle w:val="FootnoteReference"/>
                <w:rFonts w:ascii="Arial" w:eastAsia="Calibri" w:hAnsi="Arial" w:cs="Arial"/>
                <w:sz w:val="24"/>
                <w:szCs w:val="24"/>
              </w:rPr>
              <w:footnoteReference w:id="15"/>
            </w:r>
            <w:r w:rsidR="005718B5" w:rsidRPr="002665F4">
              <w:rPr>
                <w:rFonts w:ascii="Arial" w:eastAsia="Calibri" w:hAnsi="Arial" w:cs="Arial"/>
                <w:sz w:val="24"/>
                <w:szCs w:val="24"/>
              </w:rPr>
              <w:t xml:space="preserve"> and in the court’s view there is no merit in </w:t>
            </w:r>
            <w:r w:rsidR="00270259">
              <w:rPr>
                <w:rFonts w:ascii="Arial" w:eastAsia="Calibri" w:hAnsi="Arial" w:cs="Arial"/>
                <w:sz w:val="24"/>
                <w:szCs w:val="24"/>
              </w:rPr>
              <w:t>this</w:t>
            </w:r>
            <w:r w:rsidR="005718B5" w:rsidRPr="002665F4">
              <w:rPr>
                <w:rFonts w:ascii="Arial" w:eastAsia="Calibri" w:hAnsi="Arial" w:cs="Arial"/>
                <w:sz w:val="24"/>
                <w:szCs w:val="24"/>
              </w:rPr>
              <w:t xml:space="preserve"> ground.</w:t>
            </w:r>
            <w:r w:rsidR="00A4563F">
              <w:rPr>
                <w:rFonts w:ascii="Arial" w:eastAsia="Calibri" w:hAnsi="Arial" w:cs="Arial"/>
                <w:sz w:val="24"/>
                <w:szCs w:val="24"/>
              </w:rPr>
              <w:t xml:space="preserve"> Insofar as the qualm pertains to the second applicant’s convictions on rape, CORA provides for that. </w:t>
            </w:r>
            <w:r w:rsidR="005718B5" w:rsidRPr="002665F4">
              <w:rPr>
                <w:rFonts w:ascii="Arial" w:eastAsia="Calibri" w:hAnsi="Arial" w:cs="Arial"/>
                <w:sz w:val="24"/>
                <w:szCs w:val="24"/>
              </w:rPr>
              <w:t xml:space="preserve"> </w:t>
            </w:r>
            <w:r w:rsidRPr="002665F4">
              <w:rPr>
                <w:rFonts w:ascii="Arial" w:eastAsia="Calibri" w:hAnsi="Arial" w:cs="Arial"/>
                <w:sz w:val="24"/>
                <w:szCs w:val="24"/>
              </w:rPr>
              <w:t xml:space="preserve">Incidentally, it was not the first time in Namibia that a court convicted </w:t>
            </w:r>
            <w:r w:rsidR="00B03684">
              <w:rPr>
                <w:rFonts w:ascii="Arial" w:eastAsia="Calibri" w:hAnsi="Arial" w:cs="Arial"/>
                <w:sz w:val="24"/>
                <w:szCs w:val="24"/>
              </w:rPr>
              <w:t xml:space="preserve">a person for </w:t>
            </w:r>
            <w:r w:rsidR="004F2081">
              <w:rPr>
                <w:rFonts w:ascii="Arial" w:eastAsia="Calibri" w:hAnsi="Arial" w:cs="Arial"/>
                <w:sz w:val="24"/>
                <w:szCs w:val="24"/>
              </w:rPr>
              <w:t>having caused a</w:t>
            </w:r>
            <w:r w:rsidR="00B03684" w:rsidRPr="002665F4">
              <w:rPr>
                <w:rFonts w:ascii="Arial" w:eastAsia="Calibri" w:hAnsi="Arial" w:cs="Arial"/>
                <w:sz w:val="24"/>
                <w:szCs w:val="24"/>
              </w:rPr>
              <w:t xml:space="preserve"> </w:t>
            </w:r>
            <w:r w:rsidR="004F2081">
              <w:rPr>
                <w:rFonts w:ascii="Arial" w:eastAsia="Calibri" w:hAnsi="Arial" w:cs="Arial"/>
                <w:sz w:val="24"/>
                <w:szCs w:val="24"/>
              </w:rPr>
              <w:t xml:space="preserve">person to commit a sexual act. </w:t>
            </w:r>
            <w:r w:rsidR="00B03684">
              <w:rPr>
                <w:rFonts w:ascii="Arial" w:eastAsia="Calibri" w:hAnsi="Arial" w:cs="Arial"/>
                <w:sz w:val="24"/>
                <w:szCs w:val="24"/>
              </w:rPr>
              <w:t>Nor is it the first that that t</w:t>
            </w:r>
            <w:r w:rsidR="005718B5" w:rsidRPr="002665F4">
              <w:rPr>
                <w:rFonts w:ascii="Arial" w:eastAsia="Calibri" w:hAnsi="Arial" w:cs="Arial"/>
                <w:sz w:val="24"/>
                <w:szCs w:val="24"/>
              </w:rPr>
              <w:t>his</w:t>
            </w:r>
            <w:r w:rsidRPr="002665F4">
              <w:rPr>
                <w:rFonts w:ascii="Arial" w:eastAsia="Calibri" w:hAnsi="Arial" w:cs="Arial"/>
                <w:sz w:val="24"/>
                <w:szCs w:val="24"/>
              </w:rPr>
              <w:t xml:space="preserve"> form of coercive circumstances</w:t>
            </w:r>
            <w:r w:rsidR="00B03684">
              <w:rPr>
                <w:rFonts w:ascii="Arial" w:eastAsia="Calibri" w:hAnsi="Arial" w:cs="Arial"/>
                <w:sz w:val="24"/>
                <w:szCs w:val="24"/>
              </w:rPr>
              <w:t xml:space="preserve"> formed that basis for the rape convictions</w:t>
            </w:r>
            <w:r w:rsidRPr="002665F4">
              <w:rPr>
                <w:rFonts w:ascii="Arial" w:eastAsia="Calibri" w:hAnsi="Arial" w:cs="Arial"/>
                <w:sz w:val="24"/>
                <w:szCs w:val="24"/>
              </w:rPr>
              <w:t xml:space="preserve">, as can be seen from </w:t>
            </w:r>
            <w:r w:rsidRPr="002665F4">
              <w:rPr>
                <w:rFonts w:ascii="Arial" w:eastAsia="Calibri" w:hAnsi="Arial" w:cs="Arial"/>
                <w:i/>
                <w:sz w:val="24"/>
                <w:szCs w:val="24"/>
              </w:rPr>
              <w:t>S v Lukas</w:t>
            </w:r>
            <w:r w:rsidRPr="002665F4">
              <w:rPr>
                <w:rFonts w:ascii="Arial" w:eastAsia="Calibri" w:hAnsi="Arial" w:cs="Arial"/>
                <w:sz w:val="24"/>
                <w:szCs w:val="24"/>
              </w:rPr>
              <w:t>.</w:t>
            </w:r>
            <w:r w:rsidRPr="002665F4">
              <w:rPr>
                <w:rStyle w:val="FootnoteReference"/>
                <w:rFonts w:ascii="Arial" w:eastAsia="Calibri" w:hAnsi="Arial" w:cs="Arial"/>
                <w:sz w:val="24"/>
                <w:szCs w:val="24"/>
              </w:rPr>
              <w:footnoteReference w:id="16"/>
            </w:r>
            <w:r w:rsidRPr="002665F4">
              <w:rPr>
                <w:rFonts w:ascii="Arial" w:eastAsia="Calibri" w:hAnsi="Arial" w:cs="Arial"/>
                <w:sz w:val="24"/>
                <w:szCs w:val="24"/>
              </w:rPr>
              <w:t xml:space="preserve"> Counsel of the </w:t>
            </w:r>
            <w:r w:rsidR="00270259">
              <w:rPr>
                <w:rFonts w:ascii="Arial" w:eastAsia="Calibri" w:hAnsi="Arial" w:cs="Arial"/>
                <w:sz w:val="24"/>
                <w:szCs w:val="24"/>
              </w:rPr>
              <w:t>applicants</w:t>
            </w:r>
            <w:r w:rsidR="00BA2170">
              <w:rPr>
                <w:rFonts w:ascii="Arial" w:eastAsia="Calibri" w:hAnsi="Arial" w:cs="Arial"/>
                <w:sz w:val="24"/>
                <w:szCs w:val="24"/>
              </w:rPr>
              <w:t xml:space="preserve"> argued that there was an issue in </w:t>
            </w:r>
            <w:r w:rsidRPr="002665F4">
              <w:rPr>
                <w:rFonts w:ascii="Arial" w:eastAsia="Calibri" w:hAnsi="Arial" w:cs="Arial"/>
                <w:sz w:val="24"/>
                <w:szCs w:val="24"/>
              </w:rPr>
              <w:lastRenderedPageBreak/>
              <w:t xml:space="preserve">one of the </w:t>
            </w:r>
            <w:r w:rsidR="005718B5" w:rsidRPr="002665F4">
              <w:rPr>
                <w:rFonts w:ascii="Arial" w:eastAsia="Calibri" w:hAnsi="Arial" w:cs="Arial"/>
                <w:sz w:val="24"/>
                <w:szCs w:val="24"/>
              </w:rPr>
              <w:t xml:space="preserve">rape </w:t>
            </w:r>
            <w:r w:rsidR="00C1342F">
              <w:rPr>
                <w:rFonts w:ascii="Arial" w:eastAsia="Calibri" w:hAnsi="Arial" w:cs="Arial"/>
                <w:sz w:val="24"/>
                <w:szCs w:val="24"/>
              </w:rPr>
              <w:t>convictions</w:t>
            </w:r>
            <w:r w:rsidRPr="002665F4">
              <w:rPr>
                <w:rFonts w:ascii="Arial" w:eastAsia="Calibri" w:hAnsi="Arial" w:cs="Arial"/>
                <w:sz w:val="24"/>
                <w:szCs w:val="24"/>
              </w:rPr>
              <w:t xml:space="preserve"> in the </w:t>
            </w:r>
            <w:r w:rsidRPr="002665F4">
              <w:rPr>
                <w:rFonts w:ascii="Arial" w:eastAsia="Calibri" w:hAnsi="Arial" w:cs="Arial"/>
                <w:i/>
                <w:sz w:val="24"/>
                <w:szCs w:val="24"/>
              </w:rPr>
              <w:t>Lukas</w:t>
            </w:r>
            <w:r w:rsidRPr="002665F4">
              <w:rPr>
                <w:rFonts w:ascii="Arial" w:eastAsia="Calibri" w:hAnsi="Arial" w:cs="Arial"/>
                <w:sz w:val="24"/>
                <w:szCs w:val="24"/>
              </w:rPr>
              <w:t xml:space="preserve"> matter</w:t>
            </w:r>
            <w:r w:rsidR="00BA2170">
              <w:rPr>
                <w:rFonts w:ascii="Arial" w:eastAsia="Calibri" w:hAnsi="Arial" w:cs="Arial"/>
                <w:sz w:val="24"/>
                <w:szCs w:val="24"/>
              </w:rPr>
              <w:t xml:space="preserve">. My understanding of that issue is that it does </w:t>
            </w:r>
            <w:r w:rsidR="005718B5" w:rsidRPr="002665F4">
              <w:rPr>
                <w:rFonts w:ascii="Arial" w:eastAsia="Calibri" w:hAnsi="Arial" w:cs="Arial"/>
                <w:sz w:val="24"/>
                <w:szCs w:val="24"/>
              </w:rPr>
              <w:t>not support the argument of the applicants herein</w:t>
            </w:r>
            <w:r w:rsidR="00BA2170">
              <w:rPr>
                <w:rFonts w:ascii="Arial" w:eastAsia="Calibri" w:hAnsi="Arial" w:cs="Arial"/>
                <w:sz w:val="24"/>
                <w:szCs w:val="24"/>
              </w:rPr>
              <w:t xml:space="preserve"> at all.</w:t>
            </w:r>
          </w:p>
          <w:p w14:paraId="0C51187E"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 xml:space="preserve">Ground 3, Ground 4, Ground 5 and ‘Ad General’ </w:t>
            </w:r>
          </w:p>
          <w:p w14:paraId="1E2563BB" w14:textId="2AEE7B5F"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[20]</w:t>
            </w:r>
            <w:r w:rsidRPr="002665F4">
              <w:rPr>
                <w:rFonts w:ascii="Arial" w:eastAsia="Calibri" w:hAnsi="Arial" w:cs="Arial"/>
                <w:sz w:val="24"/>
                <w:szCs w:val="24"/>
              </w:rPr>
              <w:tab/>
              <w:t>Ground 3 does not contain specific portions of evidence on which the drafter relies and amounts to nothing more than a mere conclusion by the drafter. Ground 4 seemingly deal with discrepancies or deviations in the respondent’s case, in general. It is equally vague and does not refer to specific instances, it does not state in respect of which of the state witness it is alleged, or which statement form</w:t>
            </w:r>
            <w:r w:rsidR="00C1342F">
              <w:rPr>
                <w:rFonts w:ascii="Arial" w:eastAsia="Calibri" w:hAnsi="Arial" w:cs="Arial"/>
                <w:sz w:val="24"/>
                <w:szCs w:val="24"/>
              </w:rPr>
              <w:t>s</w:t>
            </w:r>
            <w:r w:rsidRPr="002665F4">
              <w:rPr>
                <w:rFonts w:ascii="Arial" w:eastAsia="Calibri" w:hAnsi="Arial" w:cs="Arial"/>
                <w:sz w:val="24"/>
                <w:szCs w:val="24"/>
              </w:rPr>
              <w:t xml:space="preserve"> the subject matter. Ground 5 alleges in general tenor that the court erred in not finding the versions and defences of the accused reasonably possibly true. It has paragraphs thereunder that are conclusions by the drafter as to how he thinks the court ought to have dealt with the defences. Needless to</w:t>
            </w:r>
            <w:r w:rsidR="00EA3B20">
              <w:rPr>
                <w:rFonts w:ascii="Arial" w:eastAsia="Calibri" w:hAnsi="Arial" w:cs="Arial"/>
                <w:sz w:val="24"/>
                <w:szCs w:val="24"/>
              </w:rPr>
              <w:t xml:space="preserve"> say,</w:t>
            </w:r>
            <w:r w:rsidRPr="002665F4">
              <w:rPr>
                <w:rFonts w:ascii="Arial" w:eastAsia="Calibri" w:hAnsi="Arial" w:cs="Arial"/>
                <w:sz w:val="24"/>
                <w:szCs w:val="24"/>
              </w:rPr>
              <w:t xml:space="preserve"> the judgment deals with the defences raised and </w:t>
            </w:r>
            <w:r w:rsidR="00EA3B20">
              <w:rPr>
                <w:rFonts w:ascii="Arial" w:eastAsia="Calibri" w:hAnsi="Arial" w:cs="Arial"/>
                <w:sz w:val="24"/>
                <w:szCs w:val="24"/>
              </w:rPr>
              <w:t xml:space="preserve">thus </w:t>
            </w:r>
            <w:r w:rsidRPr="002665F4">
              <w:rPr>
                <w:rFonts w:ascii="Arial" w:eastAsia="Calibri" w:hAnsi="Arial" w:cs="Arial"/>
                <w:sz w:val="24"/>
                <w:szCs w:val="24"/>
              </w:rPr>
              <w:t xml:space="preserve">this ground amounts to conclusions made by the drafter. The ground titled ‘AD GENERAL’ is an all-time first for this court and it is very telling as to the approach to grounds of appeal that counsel for the </w:t>
            </w:r>
            <w:r w:rsidR="00EA3B20">
              <w:rPr>
                <w:rFonts w:ascii="Arial" w:eastAsia="Calibri" w:hAnsi="Arial" w:cs="Arial"/>
                <w:sz w:val="24"/>
                <w:szCs w:val="24"/>
              </w:rPr>
              <w:t>applicants</w:t>
            </w:r>
            <w:r w:rsidRPr="002665F4">
              <w:rPr>
                <w:rFonts w:ascii="Arial" w:eastAsia="Calibri" w:hAnsi="Arial" w:cs="Arial"/>
                <w:sz w:val="24"/>
                <w:szCs w:val="24"/>
              </w:rPr>
              <w:t xml:space="preserve"> embraces. Suffice it to say, from its very title, it is inappropriate and after having raised it with counsel for the </w:t>
            </w:r>
            <w:r w:rsidR="00EA3B20">
              <w:rPr>
                <w:rFonts w:ascii="Arial" w:eastAsia="Calibri" w:hAnsi="Arial" w:cs="Arial"/>
                <w:sz w:val="24"/>
                <w:szCs w:val="24"/>
              </w:rPr>
              <w:t>applicants</w:t>
            </w:r>
            <w:r w:rsidRPr="002665F4">
              <w:rPr>
                <w:rFonts w:ascii="Arial" w:eastAsia="Calibri" w:hAnsi="Arial" w:cs="Arial"/>
                <w:sz w:val="24"/>
                <w:szCs w:val="24"/>
              </w:rPr>
              <w:t xml:space="preserve">, he conceded </w:t>
            </w:r>
            <w:r w:rsidR="00EA3B20">
              <w:rPr>
                <w:rFonts w:ascii="Arial" w:eastAsia="Calibri" w:hAnsi="Arial" w:cs="Arial"/>
                <w:sz w:val="24"/>
                <w:szCs w:val="24"/>
              </w:rPr>
              <w:t xml:space="preserve">to </w:t>
            </w:r>
            <w:r w:rsidRPr="002665F4">
              <w:rPr>
                <w:rFonts w:ascii="Arial" w:eastAsia="Calibri" w:hAnsi="Arial" w:cs="Arial"/>
                <w:sz w:val="24"/>
                <w:szCs w:val="24"/>
              </w:rPr>
              <w:t xml:space="preserve">that. </w:t>
            </w:r>
          </w:p>
          <w:p w14:paraId="1B6FBB20"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Ground 6</w:t>
            </w:r>
          </w:p>
          <w:p w14:paraId="286A8B53" w14:textId="783B1981"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[21]</w:t>
            </w:r>
            <w:r w:rsidRPr="002665F4">
              <w:rPr>
                <w:rFonts w:ascii="Arial" w:eastAsia="Calibri" w:hAnsi="Arial" w:cs="Arial"/>
                <w:sz w:val="24"/>
                <w:szCs w:val="24"/>
              </w:rPr>
              <w:tab/>
              <w:t xml:space="preserve">What can be gathered from this ground is a contention that the court erred </w:t>
            </w:r>
            <w:r w:rsidR="00F06DFA" w:rsidRPr="002665F4">
              <w:rPr>
                <w:rFonts w:ascii="Arial" w:eastAsia="Calibri" w:hAnsi="Arial" w:cs="Arial"/>
                <w:sz w:val="24"/>
                <w:szCs w:val="24"/>
              </w:rPr>
              <w:t>in limiting cross-examination of</w:t>
            </w:r>
            <w:r w:rsidRPr="002665F4">
              <w:rPr>
                <w:rFonts w:ascii="Arial" w:eastAsia="Calibri" w:hAnsi="Arial" w:cs="Arial"/>
                <w:sz w:val="24"/>
                <w:szCs w:val="24"/>
              </w:rPr>
              <w:t xml:space="preserve"> state witnesses on the content of their earlier statements</w:t>
            </w:r>
            <w:r w:rsidR="00F06DFA" w:rsidRPr="002665F4">
              <w:rPr>
                <w:rFonts w:ascii="Arial" w:eastAsia="Calibri" w:hAnsi="Arial" w:cs="Arial"/>
                <w:sz w:val="24"/>
                <w:szCs w:val="24"/>
              </w:rPr>
              <w:t>, which is similar to one of the complaints in ground 1 and wh</w:t>
            </w:r>
            <w:r w:rsidR="00EA3B20">
              <w:rPr>
                <w:rFonts w:ascii="Arial" w:eastAsia="Calibri" w:hAnsi="Arial" w:cs="Arial"/>
                <w:sz w:val="24"/>
                <w:szCs w:val="24"/>
              </w:rPr>
              <w:t>ich has been dealt with earlier</w:t>
            </w:r>
            <w:r w:rsidRPr="002665F4">
              <w:rPr>
                <w:rFonts w:ascii="Arial" w:eastAsia="Calibri" w:hAnsi="Arial" w:cs="Arial"/>
                <w:sz w:val="24"/>
                <w:szCs w:val="24"/>
              </w:rPr>
              <w:t xml:space="preserve"> in the judgment. As far as ground 6 is</w:t>
            </w:r>
            <w:r w:rsidR="00AC062E" w:rsidRPr="002665F4">
              <w:rPr>
                <w:rFonts w:ascii="Arial" w:eastAsia="Calibri" w:hAnsi="Arial" w:cs="Arial"/>
                <w:sz w:val="24"/>
                <w:szCs w:val="24"/>
              </w:rPr>
              <w:t xml:space="preserve"> concerned,</w:t>
            </w:r>
            <w:r w:rsidRPr="002665F4">
              <w:rPr>
                <w:rFonts w:ascii="Arial" w:eastAsia="Calibri" w:hAnsi="Arial" w:cs="Arial"/>
                <w:sz w:val="24"/>
                <w:szCs w:val="24"/>
              </w:rPr>
              <w:t xml:space="preserve"> the respondent opposed it and </w:t>
            </w:r>
            <w:r w:rsidR="00AC062E" w:rsidRPr="002665F4">
              <w:rPr>
                <w:rFonts w:ascii="Arial" w:eastAsia="Calibri" w:hAnsi="Arial" w:cs="Arial"/>
                <w:sz w:val="24"/>
                <w:szCs w:val="24"/>
              </w:rPr>
              <w:t>for the purpose of construing</w:t>
            </w:r>
            <w:r w:rsidR="00EA3B20">
              <w:rPr>
                <w:rFonts w:ascii="Arial" w:eastAsia="Calibri" w:hAnsi="Arial" w:cs="Arial"/>
                <w:sz w:val="24"/>
                <w:szCs w:val="24"/>
              </w:rPr>
              <w:t>,</w:t>
            </w:r>
            <w:r w:rsidR="00AC062E" w:rsidRPr="002665F4">
              <w:rPr>
                <w:rFonts w:ascii="Arial" w:eastAsia="Calibri" w:hAnsi="Arial" w:cs="Arial"/>
                <w:sz w:val="24"/>
                <w:szCs w:val="24"/>
              </w:rPr>
              <w:t xml:space="preserve"> it </w:t>
            </w:r>
            <w:r w:rsidRPr="002665F4">
              <w:rPr>
                <w:rFonts w:ascii="Arial" w:eastAsia="Calibri" w:hAnsi="Arial" w:cs="Arial"/>
                <w:sz w:val="24"/>
                <w:szCs w:val="24"/>
              </w:rPr>
              <w:t xml:space="preserve">contended that whenever the court intervened in cross-examination, it was on the basis of the applicable rules of evidence and relevancy. In looking at ground 6, </w:t>
            </w:r>
            <w:r w:rsidR="00C1342F">
              <w:rPr>
                <w:rFonts w:ascii="Arial" w:eastAsia="Calibri" w:hAnsi="Arial" w:cs="Arial"/>
                <w:sz w:val="24"/>
                <w:szCs w:val="24"/>
              </w:rPr>
              <w:t>as it is in the</w:t>
            </w:r>
            <w:r w:rsidR="00F06DFA" w:rsidRPr="002665F4">
              <w:rPr>
                <w:rFonts w:ascii="Arial" w:eastAsia="Calibri" w:hAnsi="Arial" w:cs="Arial"/>
                <w:sz w:val="24"/>
                <w:szCs w:val="24"/>
              </w:rPr>
              <w:t xml:space="preserve"> notice of </w:t>
            </w:r>
            <w:r w:rsidR="00C1342F">
              <w:rPr>
                <w:rFonts w:ascii="Arial" w:eastAsia="Calibri" w:hAnsi="Arial" w:cs="Arial"/>
                <w:sz w:val="24"/>
                <w:szCs w:val="24"/>
              </w:rPr>
              <w:t xml:space="preserve">leave to appeal, </w:t>
            </w:r>
            <w:r w:rsidR="00F06DFA" w:rsidRPr="002665F4">
              <w:rPr>
                <w:rFonts w:ascii="Arial" w:eastAsia="Calibri" w:hAnsi="Arial" w:cs="Arial"/>
                <w:sz w:val="24"/>
                <w:szCs w:val="24"/>
              </w:rPr>
              <w:t xml:space="preserve">it is </w:t>
            </w:r>
            <w:r w:rsidRPr="002665F4">
              <w:rPr>
                <w:rFonts w:ascii="Arial" w:eastAsia="Calibri" w:hAnsi="Arial" w:cs="Arial"/>
                <w:sz w:val="24"/>
                <w:szCs w:val="24"/>
              </w:rPr>
              <w:t>a generalised notion in a sea full of witnesses and even more witness statements. In the absence of providing any context or specific details the court is unable to gauge and respond thereto</w:t>
            </w:r>
            <w:r w:rsidR="00F06DFA" w:rsidRPr="002665F4">
              <w:rPr>
                <w:rFonts w:ascii="Arial" w:eastAsia="Calibri" w:hAnsi="Arial" w:cs="Arial"/>
                <w:sz w:val="24"/>
                <w:szCs w:val="24"/>
              </w:rPr>
              <w:t>.</w:t>
            </w:r>
            <w:r w:rsidR="00EA3B20">
              <w:rPr>
                <w:rFonts w:ascii="Arial" w:eastAsia="Calibri" w:hAnsi="Arial" w:cs="Arial"/>
                <w:sz w:val="24"/>
                <w:szCs w:val="24"/>
              </w:rPr>
              <w:t xml:space="preserve"> </w:t>
            </w:r>
            <w:r w:rsidRPr="002665F4">
              <w:rPr>
                <w:rFonts w:ascii="Arial" w:eastAsia="Calibri" w:hAnsi="Arial" w:cs="Arial"/>
                <w:sz w:val="24"/>
                <w:szCs w:val="24"/>
              </w:rPr>
              <w:t>That being the case, it does not constit</w:t>
            </w:r>
            <w:r w:rsidR="00EA3B20">
              <w:rPr>
                <w:rFonts w:ascii="Arial" w:eastAsia="Calibri" w:hAnsi="Arial" w:cs="Arial"/>
                <w:sz w:val="24"/>
                <w:szCs w:val="24"/>
              </w:rPr>
              <w:t>ute a valid ground of appeal.</w:t>
            </w:r>
          </w:p>
          <w:p w14:paraId="25AD95F0" w14:textId="77777777" w:rsidR="00A06064" w:rsidRDefault="00A06064" w:rsidP="00BB70D8">
            <w:pPr>
              <w:spacing w:after="200" w:line="360" w:lineRule="auto"/>
              <w:jc w:val="both"/>
              <w:rPr>
                <w:rFonts w:ascii="Arial" w:eastAsia="Calibri" w:hAnsi="Arial" w:cs="Arial"/>
                <w:sz w:val="24"/>
                <w:szCs w:val="24"/>
              </w:rPr>
            </w:pPr>
          </w:p>
          <w:p w14:paraId="1A6FBAAF"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lastRenderedPageBreak/>
              <w:t>Ground 7</w:t>
            </w:r>
          </w:p>
          <w:p w14:paraId="4B5982A5" w14:textId="5B1B7D76" w:rsidR="00BB70D8" w:rsidRPr="002665F4" w:rsidRDefault="00BB70D8" w:rsidP="00BB70D8">
            <w:pPr>
              <w:spacing w:line="360" w:lineRule="auto"/>
              <w:jc w:val="both"/>
              <w:rPr>
                <w:rFonts w:ascii="Arial" w:hAnsi="Arial" w:cs="Arial"/>
                <w:sz w:val="24"/>
                <w:szCs w:val="24"/>
              </w:rPr>
            </w:pPr>
            <w:r w:rsidRPr="002665F4">
              <w:rPr>
                <w:rFonts w:ascii="Arial" w:eastAsia="Calibri" w:hAnsi="Arial" w:cs="Arial"/>
                <w:sz w:val="24"/>
                <w:szCs w:val="24"/>
              </w:rPr>
              <w:t>[22]</w:t>
            </w:r>
            <w:r w:rsidRPr="002665F4">
              <w:rPr>
                <w:rFonts w:ascii="Arial" w:eastAsia="Calibri" w:hAnsi="Arial" w:cs="Arial"/>
                <w:sz w:val="24"/>
                <w:szCs w:val="24"/>
              </w:rPr>
              <w:tab/>
              <w:t xml:space="preserve">This is another composite ground, which is non-specific, as it fails to inform in respect of which incidents or charges it relates to and leaves the court to do some guesswork. I will take the four paragraphs together. From that it appears that the </w:t>
            </w:r>
            <w:r w:rsidR="00EA3B20">
              <w:rPr>
                <w:rFonts w:ascii="Arial" w:eastAsia="Calibri" w:hAnsi="Arial" w:cs="Arial"/>
                <w:sz w:val="24"/>
                <w:szCs w:val="24"/>
              </w:rPr>
              <w:t>applicants</w:t>
            </w:r>
            <w:r w:rsidRPr="002665F4">
              <w:rPr>
                <w:rFonts w:ascii="Arial" w:eastAsia="Calibri" w:hAnsi="Arial" w:cs="Arial"/>
                <w:sz w:val="24"/>
                <w:szCs w:val="24"/>
              </w:rPr>
              <w:t xml:space="preserve"> contends that the court erred in convicting the applicants of trafficking, as the state proved no means. The reasons of the court for the trafficking convictions were already set out in the trial judgment</w:t>
            </w:r>
            <w:r w:rsidRPr="002665F4">
              <w:rPr>
                <w:rStyle w:val="FootnoteReference"/>
                <w:rFonts w:ascii="Arial" w:eastAsia="Calibri" w:hAnsi="Arial" w:cs="Arial"/>
                <w:sz w:val="24"/>
                <w:szCs w:val="24"/>
              </w:rPr>
              <w:footnoteReference w:id="17"/>
            </w:r>
            <w:r w:rsidRPr="002665F4">
              <w:rPr>
                <w:rFonts w:ascii="Arial" w:eastAsia="Calibri" w:hAnsi="Arial" w:cs="Arial"/>
                <w:sz w:val="24"/>
                <w:szCs w:val="24"/>
              </w:rPr>
              <w:t>. Moreover, counsel for the applicants’ contention that the respondent needed to have proven ‘means’ is wrong as the victims herein are children.</w:t>
            </w:r>
            <w:r w:rsidRPr="002665F4">
              <w:rPr>
                <w:rStyle w:val="FootnoteReference"/>
                <w:rFonts w:ascii="Arial" w:eastAsia="Calibri" w:hAnsi="Arial" w:cs="Arial"/>
                <w:sz w:val="24"/>
                <w:szCs w:val="24"/>
              </w:rPr>
              <w:footnoteReference w:id="18"/>
            </w:r>
            <w:r w:rsidR="00EA3B20">
              <w:rPr>
                <w:rFonts w:ascii="Arial" w:eastAsia="Calibri" w:hAnsi="Arial" w:cs="Arial"/>
                <w:sz w:val="24"/>
                <w:szCs w:val="24"/>
              </w:rPr>
              <w:t xml:space="preserve"> </w:t>
            </w:r>
            <w:r w:rsidR="00C1342F">
              <w:rPr>
                <w:rFonts w:ascii="Arial" w:eastAsia="Calibri" w:hAnsi="Arial" w:cs="Arial"/>
                <w:sz w:val="24"/>
                <w:szCs w:val="24"/>
              </w:rPr>
              <w:t>Thus t</w:t>
            </w:r>
            <w:r w:rsidR="00EA3B20" w:rsidRPr="00C1342F">
              <w:rPr>
                <w:rFonts w:ascii="Arial" w:eastAsia="Calibri" w:hAnsi="Arial" w:cs="Arial"/>
                <w:sz w:val="24"/>
                <w:szCs w:val="24"/>
              </w:rPr>
              <w:t>here is no</w:t>
            </w:r>
            <w:r w:rsidR="00C1342F">
              <w:rPr>
                <w:rFonts w:ascii="Arial" w:eastAsia="Calibri" w:hAnsi="Arial" w:cs="Arial"/>
                <w:sz w:val="24"/>
                <w:szCs w:val="24"/>
              </w:rPr>
              <w:t xml:space="preserve"> substance in this ground.</w:t>
            </w:r>
            <w:r w:rsidR="00EA3B20">
              <w:rPr>
                <w:rFonts w:ascii="Arial" w:eastAsia="Calibri" w:hAnsi="Arial" w:cs="Arial"/>
                <w:sz w:val="24"/>
                <w:szCs w:val="24"/>
              </w:rPr>
              <w:t xml:space="preserve"> </w:t>
            </w:r>
          </w:p>
          <w:p w14:paraId="43F5E130" w14:textId="77777777" w:rsidR="00BB70D8" w:rsidRPr="002665F4" w:rsidRDefault="00BB70D8" w:rsidP="00BB70D8">
            <w:pPr>
              <w:jc w:val="both"/>
              <w:rPr>
                <w:rFonts w:ascii="Arial" w:eastAsia="Calibri" w:hAnsi="Arial" w:cs="Arial"/>
                <w:sz w:val="24"/>
                <w:szCs w:val="24"/>
              </w:rPr>
            </w:pPr>
          </w:p>
          <w:p w14:paraId="4ACCC1D5"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Ground 8</w:t>
            </w:r>
          </w:p>
          <w:p w14:paraId="2C34E897" w14:textId="5D1042B6"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[23]</w:t>
            </w:r>
            <w:r w:rsidRPr="002665F4">
              <w:rPr>
                <w:rFonts w:ascii="Arial" w:eastAsia="Calibri" w:hAnsi="Arial" w:cs="Arial"/>
                <w:sz w:val="24"/>
                <w:szCs w:val="24"/>
              </w:rPr>
              <w:tab/>
            </w:r>
            <w:r w:rsidR="00EA3B20">
              <w:rPr>
                <w:rFonts w:ascii="Arial" w:eastAsia="Calibri" w:hAnsi="Arial" w:cs="Arial"/>
                <w:sz w:val="24"/>
                <w:szCs w:val="24"/>
              </w:rPr>
              <w:t>This ground</w:t>
            </w:r>
            <w:r w:rsidRPr="002665F4">
              <w:rPr>
                <w:rFonts w:ascii="Arial" w:eastAsia="Calibri" w:hAnsi="Arial" w:cs="Arial"/>
                <w:sz w:val="24"/>
                <w:szCs w:val="24"/>
              </w:rPr>
              <w:t xml:space="preserve"> appears to be a complaint that the court erred in convicting the accused multiple times for the rape and the trafficking offences. </w:t>
            </w:r>
            <w:r w:rsidRPr="00CD6BDA">
              <w:rPr>
                <w:rFonts w:ascii="Arial" w:eastAsia="Calibri" w:hAnsi="Arial" w:cs="Arial"/>
                <w:sz w:val="24"/>
                <w:szCs w:val="24"/>
              </w:rPr>
              <w:t>Again, the respondent and the court had to try and improvise what is meant</w:t>
            </w:r>
            <w:r w:rsidR="00CD6BDA" w:rsidRPr="00CD6BDA">
              <w:rPr>
                <w:rFonts w:ascii="Arial" w:eastAsia="Calibri" w:hAnsi="Arial" w:cs="Arial"/>
                <w:sz w:val="24"/>
                <w:szCs w:val="24"/>
              </w:rPr>
              <w:t xml:space="preserve"> by this ground</w:t>
            </w:r>
            <w:r w:rsidRPr="00CD6BDA">
              <w:rPr>
                <w:rFonts w:ascii="Arial" w:eastAsia="Calibri" w:hAnsi="Arial" w:cs="Arial"/>
                <w:sz w:val="24"/>
                <w:szCs w:val="24"/>
              </w:rPr>
              <w:t>.</w:t>
            </w:r>
            <w:r w:rsidRPr="002665F4">
              <w:rPr>
                <w:rFonts w:ascii="Arial" w:eastAsia="Calibri" w:hAnsi="Arial" w:cs="Arial"/>
                <w:sz w:val="24"/>
                <w:szCs w:val="24"/>
              </w:rPr>
              <w:t xml:space="preserve"> Insofar as the ground can be construed to refer to duplication of charges, which is what the respondent inferred it meant, I concur with the respondent, that it had been done, as is evident in a number of acquittals on that basis. Furthermore, if the issue was the single count for the supply of cigarettes on many occasions</w:t>
            </w:r>
            <w:r w:rsidRPr="002665F4">
              <w:rPr>
                <w:rStyle w:val="FootnoteReference"/>
                <w:rFonts w:ascii="Arial" w:eastAsia="Calibri" w:hAnsi="Arial" w:cs="Arial"/>
                <w:sz w:val="24"/>
                <w:szCs w:val="24"/>
              </w:rPr>
              <w:footnoteReference w:id="19"/>
            </w:r>
            <w:r w:rsidR="00EA3B20">
              <w:rPr>
                <w:rFonts w:ascii="Arial" w:eastAsia="Calibri" w:hAnsi="Arial" w:cs="Arial"/>
                <w:sz w:val="24"/>
                <w:szCs w:val="24"/>
              </w:rPr>
              <w:t xml:space="preserve"> as opposed to</w:t>
            </w:r>
            <w:r w:rsidRPr="002665F4">
              <w:rPr>
                <w:rFonts w:ascii="Arial" w:eastAsia="Calibri" w:hAnsi="Arial" w:cs="Arial"/>
                <w:sz w:val="24"/>
                <w:szCs w:val="24"/>
              </w:rPr>
              <w:t xml:space="preserve"> the other charges for which it was a charge for each alleged incident, that is the prerogative of the Prosecutor-General. In any event, the ground is vague, it has no references as to what particular charges are referred to nor does it say if it pertains to charges of the first or second applicant, which details would have provided specificity and clarity. For that reason I do not consider it to be a valid ground. </w:t>
            </w:r>
          </w:p>
          <w:p w14:paraId="04CBA507"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Ground 9</w:t>
            </w:r>
          </w:p>
          <w:p w14:paraId="1386AB8D" w14:textId="38FF26B2"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[24]</w:t>
            </w:r>
            <w:r w:rsidRPr="002665F4">
              <w:rPr>
                <w:rFonts w:ascii="Arial" w:eastAsia="Calibri" w:hAnsi="Arial" w:cs="Arial"/>
                <w:sz w:val="24"/>
                <w:szCs w:val="24"/>
              </w:rPr>
              <w:tab/>
              <w:t xml:space="preserve">This ground contends that the court erred in relying on the </w:t>
            </w:r>
            <w:r w:rsidR="00EA3B20" w:rsidRPr="002665F4">
              <w:rPr>
                <w:rFonts w:ascii="Arial" w:eastAsia="Calibri" w:hAnsi="Arial" w:cs="Arial"/>
                <w:sz w:val="24"/>
                <w:szCs w:val="24"/>
              </w:rPr>
              <w:t>photo plan</w:t>
            </w:r>
            <w:r w:rsidRPr="002665F4">
              <w:rPr>
                <w:rFonts w:ascii="Arial" w:eastAsia="Calibri" w:hAnsi="Arial" w:cs="Arial"/>
                <w:sz w:val="24"/>
                <w:szCs w:val="24"/>
              </w:rPr>
              <w:t xml:space="preserve"> to establish that the ‘complainants </w:t>
            </w:r>
            <w:r w:rsidR="00EA3B20">
              <w:rPr>
                <w:rFonts w:ascii="Arial" w:eastAsia="Calibri" w:hAnsi="Arial" w:cs="Arial"/>
                <w:sz w:val="24"/>
                <w:szCs w:val="24"/>
              </w:rPr>
              <w:t>are</w:t>
            </w:r>
            <w:r w:rsidRPr="002665F4">
              <w:rPr>
                <w:rFonts w:ascii="Arial" w:eastAsia="Calibri" w:hAnsi="Arial" w:cs="Arial"/>
                <w:sz w:val="24"/>
                <w:szCs w:val="24"/>
              </w:rPr>
              <w:t xml:space="preserve"> small girls and that the accused should have known that they were under 16 years old.</w:t>
            </w:r>
            <w:r w:rsidR="00C1342F">
              <w:rPr>
                <w:rFonts w:ascii="Arial" w:eastAsia="Calibri" w:hAnsi="Arial" w:cs="Arial"/>
                <w:sz w:val="24"/>
                <w:szCs w:val="24"/>
              </w:rPr>
              <w:t>’</w:t>
            </w:r>
            <w:r w:rsidR="00A72D4A">
              <w:rPr>
                <w:rFonts w:ascii="Arial" w:eastAsia="Calibri" w:hAnsi="Arial" w:cs="Arial"/>
                <w:sz w:val="24"/>
                <w:szCs w:val="24"/>
              </w:rPr>
              <w:t xml:space="preserve"> </w:t>
            </w:r>
            <w:r w:rsidRPr="002665F4">
              <w:rPr>
                <w:rFonts w:ascii="Arial" w:eastAsia="Calibri" w:hAnsi="Arial" w:cs="Arial"/>
                <w:sz w:val="24"/>
                <w:szCs w:val="24"/>
              </w:rPr>
              <w:t xml:space="preserve">(sic). The respondent opposed the point arguing that it was the primary evidence available as to the physical structures of the complainants at the relevant </w:t>
            </w:r>
            <w:r w:rsidRPr="002665F4">
              <w:rPr>
                <w:rFonts w:ascii="Arial" w:eastAsia="Calibri" w:hAnsi="Arial" w:cs="Arial"/>
                <w:sz w:val="24"/>
                <w:szCs w:val="24"/>
              </w:rPr>
              <w:lastRenderedPageBreak/>
              <w:t xml:space="preserve">time. There </w:t>
            </w:r>
            <w:r w:rsidR="00EA3B20">
              <w:rPr>
                <w:rFonts w:ascii="Arial" w:eastAsia="Calibri" w:hAnsi="Arial" w:cs="Arial"/>
                <w:sz w:val="24"/>
                <w:szCs w:val="24"/>
              </w:rPr>
              <w:t xml:space="preserve">is </w:t>
            </w:r>
            <w:r w:rsidRPr="002665F4">
              <w:rPr>
                <w:rFonts w:ascii="Arial" w:eastAsia="Calibri" w:hAnsi="Arial" w:cs="Arial"/>
                <w:sz w:val="24"/>
                <w:szCs w:val="24"/>
              </w:rPr>
              <w:t xml:space="preserve">no error or irregularity in the court referring to the physique of the girls on the photo plan as one of the indicators to refute the contention by the </w:t>
            </w:r>
            <w:r w:rsidR="00EA3B20">
              <w:rPr>
                <w:rFonts w:ascii="Arial" w:eastAsia="Calibri" w:hAnsi="Arial" w:cs="Arial"/>
                <w:sz w:val="24"/>
                <w:szCs w:val="24"/>
              </w:rPr>
              <w:t>first applicant</w:t>
            </w:r>
            <w:r w:rsidRPr="002665F4">
              <w:rPr>
                <w:rFonts w:ascii="Arial" w:eastAsia="Calibri" w:hAnsi="Arial" w:cs="Arial"/>
                <w:sz w:val="24"/>
                <w:szCs w:val="24"/>
              </w:rPr>
              <w:t xml:space="preserve"> that he did not know the girls were minors. In any event, the oral evidence provided a collage of factors to rebut that stance, such as: the first applicant told two of the girls words to the effect that he likes sexual intercourse with young girls; one of the girls testified that she at the time wore panties of the age group 11-12 years; one of the girls testified she practically grew up in front of the second applicant who knew that the girl was not an adult yet; </w:t>
            </w:r>
            <w:r w:rsidR="00134C83">
              <w:rPr>
                <w:rFonts w:ascii="Arial" w:eastAsia="Calibri" w:hAnsi="Arial" w:cs="Arial"/>
                <w:sz w:val="24"/>
                <w:szCs w:val="24"/>
              </w:rPr>
              <w:t xml:space="preserve">the </w:t>
            </w:r>
            <w:r w:rsidRPr="002665F4">
              <w:rPr>
                <w:rFonts w:ascii="Arial" w:eastAsia="Calibri" w:hAnsi="Arial" w:cs="Arial"/>
                <w:sz w:val="24"/>
                <w:szCs w:val="24"/>
              </w:rPr>
              <w:t>second applicant had a reservation as to whether one of the girls was too young to smoke and also described that particular girl as having had a tiny body structure. In shor</w:t>
            </w:r>
            <w:r w:rsidRPr="00A4563F">
              <w:rPr>
                <w:rFonts w:ascii="Arial" w:eastAsia="Calibri" w:hAnsi="Arial" w:cs="Arial"/>
                <w:sz w:val="24"/>
                <w:szCs w:val="24"/>
              </w:rPr>
              <w:t>t, the</w:t>
            </w:r>
            <w:r w:rsidR="00134C83" w:rsidRPr="00A4563F">
              <w:rPr>
                <w:rFonts w:ascii="Arial" w:eastAsia="Calibri" w:hAnsi="Arial" w:cs="Arial"/>
                <w:sz w:val="24"/>
                <w:szCs w:val="24"/>
              </w:rPr>
              <w:t>re is no error in this regard thus this there is not merit to this ground.</w:t>
            </w:r>
            <w:r w:rsidR="00134C83">
              <w:rPr>
                <w:rFonts w:ascii="Arial" w:eastAsia="Calibri" w:hAnsi="Arial" w:cs="Arial"/>
                <w:sz w:val="24"/>
                <w:szCs w:val="24"/>
              </w:rPr>
              <w:t xml:space="preserve"> </w:t>
            </w:r>
          </w:p>
          <w:p w14:paraId="307007EE" w14:textId="77777777"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Ground on sentences</w:t>
            </w:r>
          </w:p>
          <w:p w14:paraId="54ED08C8" w14:textId="2AEF0DB1"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[25]</w:t>
            </w:r>
            <w:r w:rsidRPr="002665F4">
              <w:rPr>
                <w:rFonts w:ascii="Arial" w:eastAsia="Calibri" w:hAnsi="Arial" w:cs="Arial"/>
                <w:sz w:val="24"/>
                <w:szCs w:val="24"/>
              </w:rPr>
              <w:tab/>
              <w:t>This was a composite ground which</w:t>
            </w:r>
            <w:r w:rsidR="00A03C52" w:rsidRPr="002665F4">
              <w:rPr>
                <w:rFonts w:ascii="Arial" w:eastAsia="Calibri" w:hAnsi="Arial" w:cs="Arial"/>
                <w:sz w:val="24"/>
                <w:szCs w:val="24"/>
              </w:rPr>
              <w:t xml:space="preserve"> </w:t>
            </w:r>
            <w:r w:rsidRPr="002665F4">
              <w:rPr>
                <w:rFonts w:ascii="Arial" w:eastAsia="Calibri" w:hAnsi="Arial" w:cs="Arial"/>
                <w:sz w:val="24"/>
                <w:szCs w:val="24"/>
              </w:rPr>
              <w:t>can be construed to mean that the sentences imposed for rape and the supply of tobacco products are shockingly inappropriate. It is as clear as daylight that s 3(1)(</w:t>
            </w:r>
            <w:r w:rsidRPr="002665F4">
              <w:rPr>
                <w:rFonts w:ascii="Arial" w:eastAsia="Calibri" w:hAnsi="Arial" w:cs="Arial"/>
                <w:i/>
                <w:sz w:val="24"/>
                <w:szCs w:val="24"/>
              </w:rPr>
              <w:t>a</w:t>
            </w:r>
            <w:r w:rsidRPr="002665F4">
              <w:rPr>
                <w:rFonts w:ascii="Arial" w:eastAsia="Calibri" w:hAnsi="Arial" w:cs="Arial"/>
                <w:sz w:val="24"/>
                <w:szCs w:val="24"/>
              </w:rPr>
              <w:t>)(iii)(</w:t>
            </w:r>
            <w:r w:rsidRPr="002665F4">
              <w:rPr>
                <w:rFonts w:ascii="Arial" w:eastAsia="Calibri" w:hAnsi="Arial" w:cs="Arial"/>
                <w:i/>
                <w:sz w:val="24"/>
                <w:szCs w:val="24"/>
              </w:rPr>
              <w:t>bb</w:t>
            </w:r>
            <w:r w:rsidRPr="002665F4">
              <w:rPr>
                <w:rFonts w:ascii="Arial" w:eastAsia="Calibri" w:hAnsi="Arial" w:cs="Arial"/>
                <w:sz w:val="24"/>
                <w:szCs w:val="24"/>
              </w:rPr>
              <w:t>)</w:t>
            </w:r>
            <w:r w:rsidR="00134C83">
              <w:rPr>
                <w:rFonts w:ascii="Arial" w:eastAsia="Calibri" w:hAnsi="Arial" w:cs="Arial"/>
                <w:sz w:val="24"/>
                <w:szCs w:val="24"/>
              </w:rPr>
              <w:t xml:space="preserve">(B) </w:t>
            </w:r>
            <w:r w:rsidRPr="002665F4">
              <w:rPr>
                <w:rFonts w:ascii="Arial" w:eastAsia="Calibri" w:hAnsi="Arial" w:cs="Arial"/>
                <w:sz w:val="24"/>
                <w:szCs w:val="24"/>
              </w:rPr>
              <w:t xml:space="preserve">of CORA provides for a mandatory minimum term of imprisonment of not less than 15 years for a person who is convicted of rape wherein the complainant ‘is by reason of age exceptionally vulnerable.’ That in my view is the applicable category and the court found no substantial and compelling circumstances for both of the </w:t>
            </w:r>
            <w:r w:rsidR="00134C83">
              <w:rPr>
                <w:rFonts w:ascii="Arial" w:eastAsia="Calibri" w:hAnsi="Arial" w:cs="Arial"/>
                <w:sz w:val="24"/>
                <w:szCs w:val="24"/>
              </w:rPr>
              <w:t>applicants</w:t>
            </w:r>
            <w:r w:rsidRPr="002665F4">
              <w:rPr>
                <w:rFonts w:ascii="Arial" w:eastAsia="Calibri" w:hAnsi="Arial" w:cs="Arial"/>
                <w:sz w:val="24"/>
                <w:szCs w:val="24"/>
              </w:rPr>
              <w:t>. An extensive expose was given in the sentencing judgment</w:t>
            </w:r>
            <w:r w:rsidRPr="002665F4">
              <w:rPr>
                <w:rStyle w:val="FootnoteReference"/>
                <w:rFonts w:ascii="Arial" w:eastAsia="Calibri" w:hAnsi="Arial" w:cs="Arial"/>
                <w:sz w:val="24"/>
                <w:szCs w:val="24"/>
              </w:rPr>
              <w:footnoteReference w:id="20"/>
            </w:r>
            <w:r w:rsidRPr="002665F4">
              <w:rPr>
                <w:rFonts w:ascii="Arial" w:eastAsia="Calibri" w:hAnsi="Arial" w:cs="Arial"/>
                <w:sz w:val="24"/>
                <w:szCs w:val="24"/>
              </w:rPr>
              <w:t>, and</w:t>
            </w:r>
            <w:r w:rsidR="003E5FD4">
              <w:rPr>
                <w:rFonts w:ascii="Arial" w:eastAsia="Calibri" w:hAnsi="Arial" w:cs="Arial"/>
                <w:sz w:val="24"/>
                <w:szCs w:val="24"/>
              </w:rPr>
              <w:t xml:space="preserve"> it</w:t>
            </w:r>
            <w:r w:rsidRPr="002665F4">
              <w:rPr>
                <w:rFonts w:ascii="Arial" w:eastAsia="Calibri" w:hAnsi="Arial" w:cs="Arial"/>
                <w:sz w:val="24"/>
                <w:szCs w:val="24"/>
              </w:rPr>
              <w:t xml:space="preserve"> need</w:t>
            </w:r>
            <w:r w:rsidR="003E5FD4">
              <w:rPr>
                <w:rFonts w:ascii="Arial" w:eastAsia="Calibri" w:hAnsi="Arial" w:cs="Arial"/>
                <w:sz w:val="24"/>
                <w:szCs w:val="24"/>
              </w:rPr>
              <w:t>s</w:t>
            </w:r>
            <w:r w:rsidRPr="002665F4">
              <w:rPr>
                <w:rFonts w:ascii="Arial" w:eastAsia="Calibri" w:hAnsi="Arial" w:cs="Arial"/>
                <w:sz w:val="24"/>
                <w:szCs w:val="24"/>
              </w:rPr>
              <w:t xml:space="preserve"> no repetition.  </w:t>
            </w:r>
          </w:p>
          <w:p w14:paraId="2476B9E6" w14:textId="1C23FA0D" w:rsidR="00BB70D8" w:rsidRPr="002665F4"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t>[26]</w:t>
            </w:r>
            <w:r w:rsidRPr="002665F4">
              <w:rPr>
                <w:rFonts w:ascii="Arial" w:eastAsia="Calibri" w:hAnsi="Arial" w:cs="Arial"/>
                <w:sz w:val="24"/>
                <w:szCs w:val="24"/>
              </w:rPr>
              <w:tab/>
              <w:t>As far as the supplying of tobacco products to minors is concerned, this court does not regard a fine of N$12 000 or 12 months’ imprisonment as shockingly inappropriate in the circumstances of this matter. The court could exercise its discretion within the range</w:t>
            </w:r>
            <w:r w:rsidR="00134C83">
              <w:rPr>
                <w:rFonts w:ascii="Arial" w:eastAsia="Calibri" w:hAnsi="Arial" w:cs="Arial"/>
                <w:sz w:val="24"/>
                <w:szCs w:val="24"/>
              </w:rPr>
              <w:t xml:space="preserve"> of a fine not exceeding N$</w:t>
            </w:r>
            <w:r w:rsidRPr="002665F4">
              <w:rPr>
                <w:rFonts w:ascii="Arial" w:eastAsia="Calibri" w:hAnsi="Arial" w:cs="Arial"/>
                <w:sz w:val="24"/>
                <w:szCs w:val="24"/>
              </w:rPr>
              <w:t>100 000 or five years’ imprisonment or both</w:t>
            </w:r>
            <w:r w:rsidR="00134C83">
              <w:rPr>
                <w:rFonts w:ascii="Arial" w:eastAsia="Calibri" w:hAnsi="Arial" w:cs="Arial"/>
                <w:sz w:val="24"/>
                <w:szCs w:val="24"/>
              </w:rPr>
              <w:t xml:space="preserve"> as provided for in s 18(4) of the Tobacco Products Control Act 1 of 2010</w:t>
            </w:r>
            <w:r w:rsidRPr="002665F4">
              <w:rPr>
                <w:rFonts w:ascii="Arial" w:eastAsia="Calibri" w:hAnsi="Arial" w:cs="Arial"/>
                <w:sz w:val="24"/>
                <w:szCs w:val="24"/>
              </w:rPr>
              <w:t xml:space="preserve">. In this case the </w:t>
            </w:r>
            <w:r w:rsidRPr="002665F4">
              <w:rPr>
                <w:rFonts w:ascii="Arial" w:eastAsia="Calibri" w:hAnsi="Arial" w:cs="Arial"/>
                <w:i/>
                <w:sz w:val="24"/>
                <w:szCs w:val="24"/>
              </w:rPr>
              <w:t>modus operandi</w:t>
            </w:r>
            <w:r w:rsidRPr="002665F4">
              <w:rPr>
                <w:rFonts w:ascii="Arial" w:eastAsia="Calibri" w:hAnsi="Arial" w:cs="Arial"/>
                <w:sz w:val="24"/>
                <w:szCs w:val="24"/>
              </w:rPr>
              <w:t xml:space="preserve"> was interwoven with the other offences on which fir</w:t>
            </w:r>
            <w:r w:rsidR="00134C83">
              <w:rPr>
                <w:rFonts w:ascii="Arial" w:eastAsia="Calibri" w:hAnsi="Arial" w:cs="Arial"/>
                <w:sz w:val="24"/>
                <w:szCs w:val="24"/>
              </w:rPr>
              <w:t xml:space="preserve">st appellant was convicted of. </w:t>
            </w:r>
            <w:r w:rsidRPr="002665F4">
              <w:rPr>
                <w:rFonts w:ascii="Arial" w:eastAsia="Calibri" w:hAnsi="Arial" w:cs="Arial"/>
                <w:sz w:val="24"/>
                <w:szCs w:val="24"/>
              </w:rPr>
              <w:t>If the grievance is that the court did not endorse the lesser penalty proposed by both parties, a court is not bound to those proposals</w:t>
            </w:r>
            <w:r w:rsidR="00A03C52" w:rsidRPr="002665F4">
              <w:rPr>
                <w:rFonts w:ascii="Arial" w:eastAsia="Calibri" w:hAnsi="Arial" w:cs="Arial"/>
                <w:sz w:val="24"/>
                <w:szCs w:val="24"/>
              </w:rPr>
              <w:t xml:space="preserve"> and there is no merit in this ground.</w:t>
            </w:r>
          </w:p>
          <w:p w14:paraId="31BB93AE" w14:textId="77777777" w:rsidR="00721C4F" w:rsidRDefault="00BB70D8" w:rsidP="00BB70D8">
            <w:pPr>
              <w:spacing w:after="200" w:line="360" w:lineRule="auto"/>
              <w:jc w:val="both"/>
              <w:rPr>
                <w:rFonts w:ascii="Arial" w:eastAsia="Calibri" w:hAnsi="Arial" w:cs="Arial"/>
                <w:sz w:val="24"/>
                <w:szCs w:val="24"/>
              </w:rPr>
            </w:pPr>
            <w:r w:rsidRPr="002665F4">
              <w:rPr>
                <w:rFonts w:ascii="Arial" w:eastAsia="Calibri" w:hAnsi="Arial" w:cs="Arial"/>
                <w:sz w:val="24"/>
                <w:szCs w:val="24"/>
              </w:rPr>
              <w:lastRenderedPageBreak/>
              <w:t>[27</w:t>
            </w:r>
            <w:r w:rsidR="00134C83">
              <w:rPr>
                <w:rFonts w:ascii="Arial" w:eastAsia="Calibri" w:hAnsi="Arial" w:cs="Arial"/>
                <w:sz w:val="24"/>
                <w:szCs w:val="24"/>
              </w:rPr>
              <w:t>]</w:t>
            </w:r>
            <w:r w:rsidR="00134C83">
              <w:rPr>
                <w:rFonts w:ascii="Arial" w:eastAsia="Calibri" w:hAnsi="Arial" w:cs="Arial"/>
                <w:sz w:val="24"/>
                <w:szCs w:val="24"/>
              </w:rPr>
              <w:tab/>
            </w:r>
            <w:r w:rsidRPr="002665F4">
              <w:rPr>
                <w:rFonts w:ascii="Arial" w:eastAsia="Calibri" w:hAnsi="Arial" w:cs="Arial"/>
                <w:sz w:val="24"/>
                <w:szCs w:val="24"/>
              </w:rPr>
              <w:t>For the aforesaid reasons and conclusions, it is my firm view that the applicants failed to show on a balance of probabilities that there are reasonable p</w:t>
            </w:r>
            <w:r w:rsidR="00134C83">
              <w:rPr>
                <w:rFonts w:ascii="Arial" w:eastAsia="Calibri" w:hAnsi="Arial" w:cs="Arial"/>
                <w:sz w:val="24"/>
                <w:szCs w:val="24"/>
              </w:rPr>
              <w:t xml:space="preserve">rospects of success on appeal. </w:t>
            </w:r>
          </w:p>
          <w:p w14:paraId="79C66CD7" w14:textId="01A6838C" w:rsidR="00BB70D8" w:rsidRPr="002665F4" w:rsidRDefault="00721C4F" w:rsidP="00BB70D8">
            <w:pPr>
              <w:spacing w:after="200" w:line="360" w:lineRule="auto"/>
              <w:jc w:val="both"/>
              <w:rPr>
                <w:rFonts w:ascii="Arial" w:eastAsia="Calibri" w:hAnsi="Arial" w:cs="Arial"/>
                <w:sz w:val="24"/>
                <w:szCs w:val="24"/>
              </w:rPr>
            </w:pPr>
            <w:r>
              <w:rPr>
                <w:rFonts w:ascii="Arial" w:eastAsia="Calibri" w:hAnsi="Arial" w:cs="Arial"/>
                <w:sz w:val="24"/>
                <w:szCs w:val="24"/>
              </w:rPr>
              <w:t>[28]</w:t>
            </w:r>
            <w:r>
              <w:rPr>
                <w:rFonts w:ascii="Arial" w:eastAsia="Calibri" w:hAnsi="Arial" w:cs="Arial"/>
                <w:sz w:val="24"/>
                <w:szCs w:val="24"/>
              </w:rPr>
              <w:tab/>
            </w:r>
            <w:r w:rsidR="00BB70D8" w:rsidRPr="002665F4">
              <w:rPr>
                <w:rFonts w:ascii="Arial" w:eastAsia="Calibri" w:hAnsi="Arial" w:cs="Arial"/>
                <w:sz w:val="24"/>
                <w:szCs w:val="24"/>
              </w:rPr>
              <w:t>In the result, it is ordered that:</w:t>
            </w:r>
          </w:p>
          <w:p w14:paraId="2E89B24B" w14:textId="77777777" w:rsidR="00057FB9" w:rsidRDefault="00BB70D8" w:rsidP="007E458A">
            <w:pPr>
              <w:spacing w:line="360" w:lineRule="auto"/>
              <w:jc w:val="both"/>
              <w:rPr>
                <w:rFonts w:ascii="Arial" w:eastAsia="Calibri" w:hAnsi="Arial" w:cs="Arial"/>
                <w:sz w:val="24"/>
                <w:szCs w:val="24"/>
              </w:rPr>
            </w:pPr>
            <w:r w:rsidRPr="002665F4">
              <w:rPr>
                <w:rFonts w:ascii="Arial" w:eastAsia="Calibri" w:hAnsi="Arial" w:cs="Arial"/>
                <w:sz w:val="24"/>
                <w:szCs w:val="24"/>
              </w:rPr>
              <w:t xml:space="preserve"> </w:t>
            </w:r>
            <w:r w:rsidR="00057FB9">
              <w:rPr>
                <w:rFonts w:ascii="Arial" w:eastAsia="Calibri" w:hAnsi="Arial" w:cs="Arial"/>
                <w:sz w:val="24"/>
                <w:szCs w:val="24"/>
              </w:rPr>
              <w:t xml:space="preserve">1. </w:t>
            </w:r>
            <w:r w:rsidRPr="002665F4">
              <w:rPr>
                <w:rFonts w:ascii="Arial" w:eastAsia="Calibri" w:hAnsi="Arial" w:cs="Arial"/>
                <w:sz w:val="24"/>
                <w:szCs w:val="24"/>
              </w:rPr>
              <w:t>The application for le</w:t>
            </w:r>
            <w:bookmarkStart w:id="0" w:name="_GoBack"/>
            <w:bookmarkEnd w:id="0"/>
            <w:r w:rsidRPr="002665F4">
              <w:rPr>
                <w:rFonts w:ascii="Arial" w:eastAsia="Calibri" w:hAnsi="Arial" w:cs="Arial"/>
                <w:sz w:val="24"/>
                <w:szCs w:val="24"/>
              </w:rPr>
              <w:t xml:space="preserve">ave to appeal is </w:t>
            </w:r>
            <w:r w:rsidR="00694813">
              <w:rPr>
                <w:rFonts w:ascii="Arial" w:eastAsia="Calibri" w:hAnsi="Arial" w:cs="Arial"/>
                <w:sz w:val="24"/>
                <w:szCs w:val="24"/>
              </w:rPr>
              <w:t>dismissed</w:t>
            </w:r>
            <w:r w:rsidR="00057FB9">
              <w:rPr>
                <w:rFonts w:ascii="Arial" w:eastAsia="Calibri" w:hAnsi="Arial" w:cs="Arial"/>
                <w:sz w:val="24"/>
                <w:szCs w:val="24"/>
              </w:rPr>
              <w:t>.</w:t>
            </w:r>
          </w:p>
          <w:p w14:paraId="4C4A6E77" w14:textId="3A32C97B" w:rsidR="00BB70D8" w:rsidRPr="002665F4" w:rsidRDefault="007E458A" w:rsidP="007E458A">
            <w:pPr>
              <w:spacing w:line="360" w:lineRule="auto"/>
              <w:jc w:val="both"/>
              <w:rPr>
                <w:sz w:val="24"/>
                <w:szCs w:val="24"/>
              </w:rPr>
            </w:pPr>
            <w:r>
              <w:rPr>
                <w:rFonts w:ascii="Arial" w:eastAsia="Calibri" w:hAnsi="Arial" w:cs="Arial"/>
                <w:sz w:val="24"/>
                <w:szCs w:val="24"/>
              </w:rPr>
              <w:t xml:space="preserve"> </w:t>
            </w:r>
            <w:r w:rsidR="00057FB9">
              <w:rPr>
                <w:rFonts w:ascii="Arial" w:eastAsia="Calibri" w:hAnsi="Arial" w:cs="Arial"/>
                <w:sz w:val="24"/>
                <w:szCs w:val="24"/>
              </w:rPr>
              <w:t>2.  The matter is regarded as finalis</w:t>
            </w:r>
            <w:r w:rsidR="00BB70D8" w:rsidRPr="002665F4">
              <w:rPr>
                <w:rFonts w:ascii="Arial" w:eastAsia="Calibri" w:hAnsi="Arial" w:cs="Arial"/>
                <w:sz w:val="24"/>
                <w:szCs w:val="24"/>
              </w:rPr>
              <w:t xml:space="preserve">ed. </w:t>
            </w:r>
          </w:p>
          <w:p w14:paraId="32E54A70" w14:textId="752BC8FC" w:rsidR="00802526" w:rsidRPr="002665F4" w:rsidRDefault="00802526" w:rsidP="00016C62">
            <w:pPr>
              <w:spacing w:after="200" w:line="360" w:lineRule="auto"/>
              <w:jc w:val="both"/>
              <w:rPr>
                <w:rFonts w:ascii="Arial" w:eastAsia="Calibri" w:hAnsi="Arial" w:cs="Arial"/>
                <w:sz w:val="24"/>
                <w:szCs w:val="24"/>
                <w:lang w:val="en-US"/>
              </w:rPr>
            </w:pPr>
          </w:p>
        </w:tc>
      </w:tr>
      <w:tr w:rsidR="002665F4" w:rsidRPr="002665F4" w14:paraId="077794C9" w14:textId="77777777" w:rsidTr="00F7730A">
        <w:tc>
          <w:tcPr>
            <w:tcW w:w="4950" w:type="dxa"/>
          </w:tcPr>
          <w:p w14:paraId="4F2F79FD" w14:textId="77777777" w:rsidR="00C179C8" w:rsidRPr="002665F4" w:rsidRDefault="00C179C8" w:rsidP="00F7730A">
            <w:pPr>
              <w:spacing w:line="360" w:lineRule="auto"/>
              <w:jc w:val="center"/>
              <w:rPr>
                <w:rFonts w:ascii="Arial" w:hAnsi="Arial" w:cs="Arial"/>
                <w:b/>
                <w:sz w:val="24"/>
                <w:szCs w:val="24"/>
              </w:rPr>
            </w:pPr>
            <w:r w:rsidRPr="002665F4">
              <w:rPr>
                <w:rFonts w:ascii="Arial" w:hAnsi="Arial" w:cs="Arial"/>
                <w:b/>
                <w:sz w:val="24"/>
                <w:szCs w:val="24"/>
              </w:rPr>
              <w:lastRenderedPageBreak/>
              <w:t>Judge’s signature</w:t>
            </w:r>
          </w:p>
        </w:tc>
        <w:tc>
          <w:tcPr>
            <w:tcW w:w="4770" w:type="dxa"/>
            <w:gridSpan w:val="2"/>
          </w:tcPr>
          <w:p w14:paraId="6B67C82F" w14:textId="77777777" w:rsidR="00C179C8" w:rsidRPr="002665F4" w:rsidRDefault="00C179C8" w:rsidP="00121978">
            <w:pPr>
              <w:spacing w:line="360" w:lineRule="auto"/>
              <w:rPr>
                <w:rFonts w:ascii="Arial" w:hAnsi="Arial" w:cs="Arial"/>
                <w:b/>
                <w:sz w:val="24"/>
                <w:szCs w:val="24"/>
              </w:rPr>
            </w:pPr>
          </w:p>
        </w:tc>
      </w:tr>
      <w:tr w:rsidR="002665F4" w:rsidRPr="002665F4" w14:paraId="7582B2D0" w14:textId="77777777" w:rsidTr="00147351">
        <w:trPr>
          <w:trHeight w:val="557"/>
        </w:trPr>
        <w:tc>
          <w:tcPr>
            <w:tcW w:w="4950" w:type="dxa"/>
          </w:tcPr>
          <w:p w14:paraId="1193911B" w14:textId="77777777" w:rsidR="00C179C8" w:rsidRPr="002665F4" w:rsidRDefault="00C179C8" w:rsidP="00F7730A">
            <w:pPr>
              <w:spacing w:line="360" w:lineRule="auto"/>
              <w:jc w:val="both"/>
              <w:rPr>
                <w:rFonts w:ascii="Arial" w:hAnsi="Arial" w:cs="Arial"/>
                <w:sz w:val="24"/>
                <w:szCs w:val="24"/>
              </w:rPr>
            </w:pPr>
          </w:p>
          <w:p w14:paraId="58C4B176" w14:textId="77777777" w:rsidR="00C179C8" w:rsidRPr="002665F4" w:rsidRDefault="00C179C8" w:rsidP="00F7730A">
            <w:pPr>
              <w:spacing w:line="360" w:lineRule="auto"/>
              <w:jc w:val="both"/>
              <w:rPr>
                <w:rFonts w:ascii="Arial" w:hAnsi="Arial" w:cs="Arial"/>
                <w:sz w:val="24"/>
                <w:szCs w:val="24"/>
              </w:rPr>
            </w:pPr>
          </w:p>
        </w:tc>
        <w:tc>
          <w:tcPr>
            <w:tcW w:w="4770" w:type="dxa"/>
            <w:gridSpan w:val="2"/>
          </w:tcPr>
          <w:p w14:paraId="0CD8D57C" w14:textId="77777777" w:rsidR="00C179C8" w:rsidRPr="002665F4" w:rsidRDefault="00C179C8" w:rsidP="00F7730A">
            <w:pPr>
              <w:spacing w:line="360" w:lineRule="auto"/>
              <w:jc w:val="both"/>
              <w:rPr>
                <w:rFonts w:ascii="Arial" w:hAnsi="Arial" w:cs="Arial"/>
                <w:sz w:val="24"/>
                <w:szCs w:val="24"/>
              </w:rPr>
            </w:pPr>
          </w:p>
        </w:tc>
      </w:tr>
      <w:tr w:rsidR="002665F4" w:rsidRPr="002665F4" w14:paraId="13A8DFAE" w14:textId="77777777" w:rsidTr="00F7730A">
        <w:tc>
          <w:tcPr>
            <w:tcW w:w="9720" w:type="dxa"/>
            <w:gridSpan w:val="3"/>
          </w:tcPr>
          <w:p w14:paraId="3212BB51" w14:textId="77777777" w:rsidR="00C179C8" w:rsidRPr="002665F4" w:rsidRDefault="00C179C8" w:rsidP="00F7730A">
            <w:pPr>
              <w:spacing w:line="360" w:lineRule="auto"/>
              <w:jc w:val="center"/>
              <w:rPr>
                <w:rFonts w:ascii="Arial" w:hAnsi="Arial" w:cs="Arial"/>
                <w:b/>
                <w:sz w:val="24"/>
                <w:szCs w:val="24"/>
              </w:rPr>
            </w:pPr>
            <w:r w:rsidRPr="002665F4">
              <w:rPr>
                <w:rFonts w:ascii="Arial" w:hAnsi="Arial" w:cs="Arial"/>
                <w:b/>
                <w:sz w:val="24"/>
                <w:szCs w:val="24"/>
              </w:rPr>
              <w:t>Counsel:</w:t>
            </w:r>
          </w:p>
        </w:tc>
      </w:tr>
      <w:tr w:rsidR="002665F4" w:rsidRPr="002665F4" w14:paraId="730656DC" w14:textId="77777777" w:rsidTr="00F7730A">
        <w:tc>
          <w:tcPr>
            <w:tcW w:w="4950" w:type="dxa"/>
          </w:tcPr>
          <w:p w14:paraId="5099D41A" w14:textId="617B01CD" w:rsidR="00C179C8" w:rsidRPr="002665F4" w:rsidRDefault="00C179C8" w:rsidP="00F7730A">
            <w:pPr>
              <w:spacing w:line="360" w:lineRule="auto"/>
              <w:jc w:val="center"/>
              <w:rPr>
                <w:rFonts w:ascii="Arial" w:hAnsi="Arial" w:cs="Arial"/>
                <w:b/>
                <w:sz w:val="24"/>
                <w:szCs w:val="24"/>
              </w:rPr>
            </w:pPr>
            <w:r w:rsidRPr="002665F4">
              <w:rPr>
                <w:rFonts w:ascii="Arial" w:hAnsi="Arial" w:cs="Arial"/>
                <w:b/>
                <w:sz w:val="24"/>
                <w:szCs w:val="24"/>
              </w:rPr>
              <w:t>Applicant</w:t>
            </w:r>
            <w:r w:rsidR="00B87857" w:rsidRPr="002665F4">
              <w:rPr>
                <w:rFonts w:ascii="Arial" w:hAnsi="Arial" w:cs="Arial"/>
                <w:b/>
                <w:sz w:val="24"/>
                <w:szCs w:val="24"/>
              </w:rPr>
              <w:t>s</w:t>
            </w:r>
          </w:p>
        </w:tc>
        <w:tc>
          <w:tcPr>
            <w:tcW w:w="4770" w:type="dxa"/>
            <w:gridSpan w:val="2"/>
          </w:tcPr>
          <w:p w14:paraId="386AC4A2" w14:textId="77777777" w:rsidR="00C179C8" w:rsidRPr="002665F4" w:rsidRDefault="00C179C8" w:rsidP="00F7730A">
            <w:pPr>
              <w:spacing w:line="360" w:lineRule="auto"/>
              <w:jc w:val="center"/>
              <w:rPr>
                <w:rFonts w:ascii="Arial" w:hAnsi="Arial" w:cs="Arial"/>
                <w:b/>
                <w:sz w:val="24"/>
                <w:szCs w:val="24"/>
              </w:rPr>
            </w:pPr>
            <w:r w:rsidRPr="002665F4">
              <w:rPr>
                <w:rFonts w:ascii="Arial" w:hAnsi="Arial" w:cs="Arial"/>
                <w:b/>
                <w:sz w:val="24"/>
                <w:szCs w:val="24"/>
              </w:rPr>
              <w:t xml:space="preserve"> Respondent</w:t>
            </w:r>
          </w:p>
        </w:tc>
      </w:tr>
      <w:tr w:rsidR="002665F4" w:rsidRPr="002665F4" w14:paraId="2FF6201E" w14:textId="77777777" w:rsidTr="00BB70D8">
        <w:trPr>
          <w:trHeight w:val="1547"/>
        </w:trPr>
        <w:tc>
          <w:tcPr>
            <w:tcW w:w="4950" w:type="dxa"/>
          </w:tcPr>
          <w:p w14:paraId="010220D0" w14:textId="7ABA028C" w:rsidR="00C179C8" w:rsidRPr="002665F4" w:rsidRDefault="00B87857" w:rsidP="00595CCF">
            <w:pPr>
              <w:spacing w:line="360" w:lineRule="auto"/>
              <w:jc w:val="center"/>
              <w:rPr>
                <w:rFonts w:ascii="Arial" w:hAnsi="Arial" w:cs="Arial"/>
                <w:sz w:val="24"/>
                <w:szCs w:val="24"/>
              </w:rPr>
            </w:pPr>
            <w:r w:rsidRPr="002665F4">
              <w:rPr>
                <w:rFonts w:ascii="Arial" w:hAnsi="Arial" w:cs="Arial"/>
                <w:sz w:val="24"/>
                <w:szCs w:val="24"/>
              </w:rPr>
              <w:t>I</w:t>
            </w:r>
            <w:r w:rsidR="00BB70D8" w:rsidRPr="002665F4">
              <w:rPr>
                <w:rFonts w:ascii="Arial" w:hAnsi="Arial" w:cs="Arial"/>
                <w:sz w:val="24"/>
                <w:szCs w:val="24"/>
              </w:rPr>
              <w:t xml:space="preserve"> </w:t>
            </w:r>
            <w:r w:rsidRPr="002665F4">
              <w:rPr>
                <w:rFonts w:ascii="Arial" w:hAnsi="Arial" w:cs="Arial"/>
                <w:sz w:val="24"/>
                <w:szCs w:val="24"/>
              </w:rPr>
              <w:t>Velikoshi</w:t>
            </w:r>
          </w:p>
          <w:p w14:paraId="162DEA40" w14:textId="4285157E" w:rsidR="00B87857" w:rsidRPr="002665F4" w:rsidRDefault="00BB70D8" w:rsidP="00595CCF">
            <w:pPr>
              <w:spacing w:line="360" w:lineRule="auto"/>
              <w:jc w:val="center"/>
              <w:rPr>
                <w:rFonts w:ascii="Arial" w:hAnsi="Arial" w:cs="Arial"/>
                <w:sz w:val="24"/>
                <w:szCs w:val="24"/>
              </w:rPr>
            </w:pPr>
            <w:r w:rsidRPr="002665F4">
              <w:rPr>
                <w:rFonts w:ascii="Arial" w:hAnsi="Arial" w:cs="Arial"/>
                <w:sz w:val="24"/>
                <w:szCs w:val="24"/>
              </w:rPr>
              <w:t xml:space="preserve">Of </w:t>
            </w:r>
            <w:r w:rsidR="00B87857" w:rsidRPr="002665F4">
              <w:rPr>
                <w:rFonts w:ascii="Arial" w:hAnsi="Arial" w:cs="Arial"/>
                <w:sz w:val="24"/>
                <w:szCs w:val="24"/>
              </w:rPr>
              <w:t>Ileni Velikoshi Inc.</w:t>
            </w:r>
          </w:p>
          <w:p w14:paraId="43AF512B" w14:textId="4EC22F0B" w:rsidR="00BB70D8" w:rsidRPr="002665F4" w:rsidRDefault="00BB70D8" w:rsidP="00595CCF">
            <w:pPr>
              <w:spacing w:line="360" w:lineRule="auto"/>
              <w:jc w:val="center"/>
              <w:rPr>
                <w:rFonts w:ascii="Arial" w:hAnsi="Arial" w:cs="Arial"/>
                <w:sz w:val="24"/>
                <w:szCs w:val="24"/>
              </w:rPr>
            </w:pPr>
            <w:r w:rsidRPr="002665F4">
              <w:rPr>
                <w:rFonts w:ascii="Arial" w:hAnsi="Arial" w:cs="Arial"/>
                <w:sz w:val="24"/>
                <w:szCs w:val="24"/>
              </w:rPr>
              <w:t xml:space="preserve">Windhoek </w:t>
            </w:r>
          </w:p>
          <w:p w14:paraId="4DAED486" w14:textId="471BF25E" w:rsidR="00B87857" w:rsidRPr="002665F4" w:rsidRDefault="00B87857" w:rsidP="00595CCF">
            <w:pPr>
              <w:spacing w:line="360" w:lineRule="auto"/>
              <w:jc w:val="center"/>
              <w:rPr>
                <w:rFonts w:ascii="Arial" w:hAnsi="Arial" w:cs="Arial"/>
                <w:sz w:val="24"/>
                <w:szCs w:val="24"/>
              </w:rPr>
            </w:pPr>
          </w:p>
          <w:p w14:paraId="49B179F1" w14:textId="77777777" w:rsidR="00C179C8" w:rsidRPr="002665F4" w:rsidRDefault="00C179C8" w:rsidP="00F7730A">
            <w:pPr>
              <w:spacing w:line="360" w:lineRule="auto"/>
              <w:jc w:val="center"/>
              <w:rPr>
                <w:rFonts w:ascii="Arial" w:hAnsi="Arial" w:cs="Arial"/>
                <w:sz w:val="24"/>
                <w:szCs w:val="24"/>
              </w:rPr>
            </w:pPr>
          </w:p>
        </w:tc>
        <w:tc>
          <w:tcPr>
            <w:tcW w:w="4770" w:type="dxa"/>
            <w:gridSpan w:val="2"/>
          </w:tcPr>
          <w:p w14:paraId="389FFD1A" w14:textId="2FE6F049" w:rsidR="00C179C8" w:rsidRPr="002665F4" w:rsidRDefault="00BB70D8" w:rsidP="00F7730A">
            <w:pPr>
              <w:spacing w:line="360" w:lineRule="auto"/>
              <w:jc w:val="center"/>
              <w:rPr>
                <w:rFonts w:ascii="Arial" w:hAnsi="Arial" w:cs="Arial"/>
                <w:sz w:val="24"/>
                <w:szCs w:val="24"/>
              </w:rPr>
            </w:pPr>
            <w:r w:rsidRPr="002665F4">
              <w:rPr>
                <w:rFonts w:ascii="Arial" w:hAnsi="Arial" w:cs="Arial"/>
                <w:sz w:val="24"/>
                <w:szCs w:val="24"/>
              </w:rPr>
              <w:t>P</w:t>
            </w:r>
            <w:r w:rsidR="00B87857" w:rsidRPr="002665F4">
              <w:rPr>
                <w:rFonts w:ascii="Arial" w:hAnsi="Arial" w:cs="Arial"/>
                <w:sz w:val="24"/>
                <w:szCs w:val="24"/>
              </w:rPr>
              <w:t xml:space="preserve"> Khumalo</w:t>
            </w:r>
          </w:p>
          <w:p w14:paraId="0A93868D" w14:textId="77777777" w:rsidR="00C179C8" w:rsidRPr="002665F4" w:rsidRDefault="00BB70D8" w:rsidP="000C2E9C">
            <w:pPr>
              <w:spacing w:line="360" w:lineRule="auto"/>
              <w:jc w:val="center"/>
              <w:rPr>
                <w:rFonts w:ascii="Arial" w:hAnsi="Arial" w:cs="Arial"/>
                <w:sz w:val="24"/>
                <w:szCs w:val="24"/>
              </w:rPr>
            </w:pPr>
            <w:r w:rsidRPr="002665F4">
              <w:rPr>
                <w:rFonts w:ascii="Arial" w:hAnsi="Arial" w:cs="Arial"/>
                <w:sz w:val="24"/>
                <w:szCs w:val="24"/>
              </w:rPr>
              <w:t>of t</w:t>
            </w:r>
            <w:r w:rsidR="00C179C8" w:rsidRPr="002665F4">
              <w:rPr>
                <w:rFonts w:ascii="Arial" w:hAnsi="Arial" w:cs="Arial"/>
                <w:sz w:val="24"/>
                <w:szCs w:val="24"/>
              </w:rPr>
              <w:t>he Office of the Prosecutor General</w:t>
            </w:r>
          </w:p>
          <w:p w14:paraId="40950539" w14:textId="2DA8FED4" w:rsidR="00BB70D8" w:rsidRPr="002665F4" w:rsidRDefault="00BB70D8" w:rsidP="000C2E9C">
            <w:pPr>
              <w:spacing w:line="360" w:lineRule="auto"/>
              <w:jc w:val="center"/>
              <w:rPr>
                <w:rFonts w:ascii="Arial" w:hAnsi="Arial" w:cs="Arial"/>
                <w:sz w:val="24"/>
                <w:szCs w:val="24"/>
              </w:rPr>
            </w:pPr>
            <w:r w:rsidRPr="002665F4">
              <w:rPr>
                <w:rFonts w:ascii="Arial" w:hAnsi="Arial" w:cs="Arial"/>
                <w:sz w:val="24"/>
                <w:szCs w:val="24"/>
              </w:rPr>
              <w:t>Windhoek</w:t>
            </w:r>
          </w:p>
        </w:tc>
      </w:tr>
    </w:tbl>
    <w:p w14:paraId="103AF286" w14:textId="77777777" w:rsidR="00AE7087" w:rsidRPr="002665F4" w:rsidRDefault="00AE7087" w:rsidP="00BE5C90"/>
    <w:sectPr w:rsidR="00AE7087" w:rsidRPr="002665F4" w:rsidSect="000E4FE2">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C2BF5" w14:textId="77777777" w:rsidR="00CD68FF" w:rsidRDefault="00CD68FF" w:rsidP="00897051">
      <w:pPr>
        <w:spacing w:after="0" w:line="240" w:lineRule="auto"/>
      </w:pPr>
      <w:r>
        <w:separator/>
      </w:r>
    </w:p>
  </w:endnote>
  <w:endnote w:type="continuationSeparator" w:id="0">
    <w:p w14:paraId="21F2F466" w14:textId="77777777" w:rsidR="00CD68FF" w:rsidRDefault="00CD68FF" w:rsidP="0089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0AB8C" w14:textId="77777777" w:rsidR="00CD68FF" w:rsidRDefault="00CD68FF" w:rsidP="00897051">
      <w:pPr>
        <w:spacing w:after="0" w:line="240" w:lineRule="auto"/>
      </w:pPr>
      <w:r>
        <w:separator/>
      </w:r>
    </w:p>
  </w:footnote>
  <w:footnote w:type="continuationSeparator" w:id="0">
    <w:p w14:paraId="1C7F322B" w14:textId="77777777" w:rsidR="00CD68FF" w:rsidRDefault="00CD68FF" w:rsidP="00897051">
      <w:pPr>
        <w:spacing w:after="0" w:line="240" w:lineRule="auto"/>
      </w:pPr>
      <w:r>
        <w:continuationSeparator/>
      </w:r>
    </w:p>
  </w:footnote>
  <w:footnote w:id="1">
    <w:p w14:paraId="5E7C9688" w14:textId="77777777" w:rsidR="00BB70D8" w:rsidRPr="00B7738A" w:rsidRDefault="00BB70D8" w:rsidP="003E5FD4">
      <w:pPr>
        <w:pStyle w:val="FootnoteText"/>
        <w:jc w:val="both"/>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S v Nowaseb</w:t>
      </w:r>
      <w:r w:rsidRPr="00B7738A">
        <w:rPr>
          <w:rFonts w:ascii="Arial" w:hAnsi="Arial" w:cs="Arial"/>
        </w:rPr>
        <w:t xml:space="preserve"> 2007 (2) NR 640 (HC) para 2.</w:t>
      </w:r>
    </w:p>
  </w:footnote>
  <w:footnote w:id="2">
    <w:p w14:paraId="79B4319D" w14:textId="78E4A3C5" w:rsidR="00775CD2" w:rsidRDefault="00775CD2" w:rsidP="003E5FD4">
      <w:pPr>
        <w:pStyle w:val="FootnoteText"/>
        <w:jc w:val="both"/>
      </w:pPr>
      <w:r>
        <w:rPr>
          <w:rStyle w:val="FootnoteReference"/>
        </w:rPr>
        <w:footnoteRef/>
      </w:r>
      <w:r>
        <w:t xml:space="preserve"> </w:t>
      </w:r>
      <w:r w:rsidRPr="00775CD2">
        <w:rPr>
          <w:rFonts w:ascii="Arial" w:hAnsi="Arial" w:cs="Arial"/>
          <w:i/>
        </w:rPr>
        <w:t>S v David</w:t>
      </w:r>
      <w:r w:rsidRPr="00775CD2">
        <w:rPr>
          <w:rFonts w:ascii="Arial" w:hAnsi="Arial" w:cs="Arial"/>
        </w:rPr>
        <w:t xml:space="preserve"> (CC/132018) [2019]</w:t>
      </w:r>
      <w:r>
        <w:rPr>
          <w:rFonts w:ascii="Arial" w:hAnsi="Arial" w:cs="Arial"/>
        </w:rPr>
        <w:t xml:space="preserve"> </w:t>
      </w:r>
      <w:r w:rsidRPr="00775CD2">
        <w:rPr>
          <w:rFonts w:ascii="Arial" w:hAnsi="Arial" w:cs="Arial"/>
        </w:rPr>
        <w:t>NAHCMD 518 (25 November 2019).</w:t>
      </w:r>
    </w:p>
  </w:footnote>
  <w:footnote w:id="3">
    <w:p w14:paraId="6CA7CE4C" w14:textId="77777777" w:rsidR="00BB70D8" w:rsidRPr="00B7738A" w:rsidRDefault="00BB70D8" w:rsidP="003E5FD4">
      <w:pPr>
        <w:pStyle w:val="FootnoteText"/>
        <w:jc w:val="both"/>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S v Kanoge</w:t>
      </w:r>
      <w:r w:rsidRPr="00B7738A">
        <w:rPr>
          <w:rFonts w:ascii="Arial" w:hAnsi="Arial" w:cs="Arial"/>
        </w:rPr>
        <w:t xml:space="preserve"> (CA 39/2012) [2012] NAHCMD 45 (12 October 2012) para 3.</w:t>
      </w:r>
    </w:p>
  </w:footnote>
  <w:footnote w:id="4">
    <w:p w14:paraId="7CEBEACD" w14:textId="092211AE" w:rsidR="00B7738A" w:rsidRPr="00B7738A" w:rsidRDefault="00B7738A" w:rsidP="003E5FD4">
      <w:pPr>
        <w:pStyle w:val="FootnoteText"/>
        <w:jc w:val="both"/>
        <w:rPr>
          <w:rFonts w:ascii="Arial" w:hAnsi="Arial" w:cs="Arial"/>
          <w:lang w:val="en-ZA"/>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lang w:val="en-ZA"/>
        </w:rPr>
        <w:t>S v Gey van Pittius and Another</w:t>
      </w:r>
      <w:r w:rsidRPr="00B7738A">
        <w:rPr>
          <w:rFonts w:ascii="Arial" w:hAnsi="Arial" w:cs="Arial"/>
          <w:lang w:val="en-ZA"/>
        </w:rPr>
        <w:t xml:space="preserve"> 1990 NR 35. </w:t>
      </w:r>
    </w:p>
  </w:footnote>
  <w:footnote w:id="5">
    <w:p w14:paraId="7A083C90" w14:textId="3E936BF8" w:rsidR="000D79D3" w:rsidRPr="00B7738A" w:rsidRDefault="000D79D3" w:rsidP="003E5FD4">
      <w:pPr>
        <w:pStyle w:val="FootnoteText"/>
        <w:jc w:val="both"/>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Beyer v State</w:t>
      </w:r>
      <w:r w:rsidRPr="00B7738A">
        <w:rPr>
          <w:rFonts w:ascii="Arial" w:hAnsi="Arial" w:cs="Arial"/>
        </w:rPr>
        <w:t xml:space="preserve"> (CA 134/2013) [2014] NAHCMD 172 (03 June 2014).</w:t>
      </w:r>
    </w:p>
  </w:footnote>
  <w:footnote w:id="6">
    <w:p w14:paraId="7CA23337" w14:textId="335FACD8" w:rsidR="00BB70D8" w:rsidRPr="00B7738A" w:rsidRDefault="00BB70D8" w:rsidP="003E5FD4">
      <w:pPr>
        <w:pStyle w:val="FootnoteText"/>
        <w:jc w:val="both"/>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Gofried Kuhanga and Another v S Case</w:t>
      </w:r>
      <w:r w:rsidRPr="00B7738A">
        <w:rPr>
          <w:rFonts w:ascii="Arial" w:hAnsi="Arial" w:cs="Arial"/>
        </w:rPr>
        <w:t xml:space="preserve"> No CA 57/2002 delivered 18 November 2004 (HC) (unreported), </w:t>
      </w:r>
      <w:r w:rsidRPr="00B7738A">
        <w:rPr>
          <w:rFonts w:ascii="Arial" w:hAnsi="Arial" w:cs="Arial"/>
          <w:i/>
        </w:rPr>
        <w:t>Tjiriange v State</w:t>
      </w:r>
      <w:r w:rsidRPr="00B7738A">
        <w:rPr>
          <w:rFonts w:ascii="Arial" w:hAnsi="Arial" w:cs="Arial"/>
        </w:rPr>
        <w:t xml:space="preserve"> (CA 86/2016)[201</w:t>
      </w:r>
      <w:r w:rsidR="00775CD2">
        <w:rPr>
          <w:rFonts w:ascii="Arial" w:hAnsi="Arial" w:cs="Arial"/>
        </w:rPr>
        <w:t>6] NAHCMD 390 (17 January 2017).</w:t>
      </w:r>
    </w:p>
  </w:footnote>
  <w:footnote w:id="7">
    <w:p w14:paraId="7593BDB0" w14:textId="0C769EC8" w:rsidR="00BB70D8" w:rsidRPr="00B7738A" w:rsidRDefault="00BB70D8" w:rsidP="003E5FD4">
      <w:pPr>
        <w:pStyle w:val="FootnoteText"/>
        <w:jc w:val="both"/>
        <w:rPr>
          <w:rFonts w:ascii="Arial" w:hAnsi="Arial" w:cs="Arial"/>
        </w:rPr>
      </w:pPr>
      <w:r w:rsidRPr="00B7738A">
        <w:rPr>
          <w:rStyle w:val="FootnoteReference"/>
          <w:rFonts w:ascii="Arial" w:hAnsi="Arial" w:cs="Arial"/>
        </w:rPr>
        <w:footnoteRef/>
      </w:r>
      <w:r w:rsidR="00F029B3">
        <w:rPr>
          <w:rFonts w:ascii="Arial" w:hAnsi="Arial" w:cs="Arial"/>
        </w:rPr>
        <w:t xml:space="preserve"> K</w:t>
      </w:r>
      <w:r w:rsidRPr="00B7738A">
        <w:rPr>
          <w:rFonts w:ascii="Arial" w:hAnsi="Arial" w:cs="Arial"/>
        </w:rPr>
        <w:t xml:space="preserve"> Muller </w:t>
      </w:r>
      <w:r w:rsidRPr="003E5FD4">
        <w:rPr>
          <w:rFonts w:ascii="Arial" w:hAnsi="Arial" w:cs="Arial"/>
          <w:i/>
        </w:rPr>
        <w:t>The Judicial Officer and the Child Witness</w:t>
      </w:r>
      <w:r w:rsidRPr="00B7738A">
        <w:rPr>
          <w:rFonts w:ascii="Arial" w:hAnsi="Arial" w:cs="Arial"/>
        </w:rPr>
        <w:t xml:space="preserve">, </w:t>
      </w:r>
      <w:r w:rsidR="00F029B3" w:rsidRPr="00B7738A">
        <w:rPr>
          <w:rFonts w:ascii="Arial" w:hAnsi="Arial" w:cs="Arial"/>
        </w:rPr>
        <w:t xml:space="preserve">1ed </w:t>
      </w:r>
      <w:r w:rsidR="00735654">
        <w:rPr>
          <w:rFonts w:ascii="Arial" w:hAnsi="Arial" w:cs="Arial"/>
        </w:rPr>
        <w:t>(</w:t>
      </w:r>
      <w:r w:rsidR="00F029B3" w:rsidRPr="00B7738A">
        <w:rPr>
          <w:rFonts w:ascii="Arial" w:hAnsi="Arial" w:cs="Arial"/>
        </w:rPr>
        <w:t>2016</w:t>
      </w:r>
      <w:r w:rsidR="00735654">
        <w:rPr>
          <w:rFonts w:ascii="Arial" w:hAnsi="Arial" w:cs="Arial"/>
        </w:rPr>
        <w:t>)</w:t>
      </w:r>
      <w:r w:rsidR="00F029B3">
        <w:rPr>
          <w:rFonts w:ascii="Arial" w:hAnsi="Arial" w:cs="Arial"/>
        </w:rPr>
        <w:t xml:space="preserve"> at </w:t>
      </w:r>
      <w:r w:rsidRPr="00B7738A">
        <w:rPr>
          <w:rFonts w:ascii="Arial" w:hAnsi="Arial" w:cs="Arial"/>
        </w:rPr>
        <w:t>336.</w:t>
      </w:r>
    </w:p>
  </w:footnote>
  <w:footnote w:id="8">
    <w:p w14:paraId="3FE0FAC1" w14:textId="77777777" w:rsidR="00BB70D8" w:rsidRPr="00B7738A" w:rsidRDefault="00BB70D8" w:rsidP="003E5FD4">
      <w:pPr>
        <w:pStyle w:val="FootnoteText"/>
        <w:jc w:val="both"/>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Klink v Regional Court Magistrate and Others</w:t>
      </w:r>
      <w:r w:rsidRPr="00B7738A">
        <w:rPr>
          <w:rFonts w:ascii="Arial" w:hAnsi="Arial" w:cs="Arial"/>
        </w:rPr>
        <w:t xml:space="preserve"> 1996 (3) BCLR 402(SE).</w:t>
      </w:r>
    </w:p>
  </w:footnote>
  <w:footnote w:id="9">
    <w:p w14:paraId="350094A8" w14:textId="77777777" w:rsidR="00BB70D8" w:rsidRPr="00B7738A" w:rsidRDefault="00BB70D8" w:rsidP="00BB70D8">
      <w:pPr>
        <w:pStyle w:val="FootnoteText"/>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R v Kumalo</w:t>
      </w:r>
      <w:r w:rsidRPr="00B7738A">
        <w:rPr>
          <w:rFonts w:ascii="Arial" w:hAnsi="Arial" w:cs="Arial"/>
        </w:rPr>
        <w:t xml:space="preserve"> 1947 (4) SA 156 (N).</w:t>
      </w:r>
    </w:p>
  </w:footnote>
  <w:footnote w:id="10">
    <w:p w14:paraId="7253C300" w14:textId="6AB5EAD5" w:rsidR="00BB70D8" w:rsidRPr="00B7738A" w:rsidRDefault="00BB70D8" w:rsidP="00BB70D8">
      <w:pPr>
        <w:pStyle w:val="FootnoteText"/>
        <w:rPr>
          <w:rFonts w:ascii="Arial" w:hAnsi="Arial" w:cs="Arial"/>
        </w:rPr>
      </w:pPr>
      <w:r w:rsidRPr="00B7738A">
        <w:rPr>
          <w:rStyle w:val="FootnoteReference"/>
          <w:rFonts w:ascii="Arial" w:hAnsi="Arial" w:cs="Arial"/>
        </w:rPr>
        <w:footnoteRef/>
      </w:r>
      <w:r w:rsidRPr="00B7738A">
        <w:rPr>
          <w:rFonts w:ascii="Arial" w:hAnsi="Arial" w:cs="Arial"/>
          <w:i/>
        </w:rPr>
        <w:t>Teddy Bear Clinic for Abused Children and Another v Minister of Justice and Constitutional Development and Another</w:t>
      </w:r>
      <w:r w:rsidRPr="00B7738A">
        <w:rPr>
          <w:rFonts w:ascii="Arial" w:hAnsi="Arial" w:cs="Arial"/>
        </w:rPr>
        <w:t xml:space="preserve"> (CCT 12/13) [2013] ZACC 35; 2013 (12) BCLR 1429 (CC); 2014 (2) SA 168 (CC); 2014 (1) SACR 327 (CC) (3 October 2013).</w:t>
      </w:r>
    </w:p>
  </w:footnote>
  <w:footnote w:id="11">
    <w:p w14:paraId="126CCC44" w14:textId="77777777" w:rsidR="00BB70D8" w:rsidRPr="00B7738A" w:rsidRDefault="00BB70D8" w:rsidP="00BB70D8">
      <w:pPr>
        <w:pStyle w:val="FootnoteText"/>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S v Krylov</w:t>
      </w:r>
      <w:r w:rsidRPr="00B7738A">
        <w:rPr>
          <w:rFonts w:ascii="Arial" w:hAnsi="Arial" w:cs="Arial"/>
        </w:rPr>
        <w:t xml:space="preserve"> (CC 32/2018) [2023] NAHCMD 48 (13 February 2023) para 8 and para 9.</w:t>
      </w:r>
    </w:p>
  </w:footnote>
  <w:footnote w:id="12">
    <w:p w14:paraId="72E50A84" w14:textId="2B2A526E" w:rsidR="00BB70D8" w:rsidRPr="00B7738A" w:rsidRDefault="00BB70D8" w:rsidP="00BB70D8">
      <w:pPr>
        <w:pStyle w:val="FootnoteText"/>
        <w:rPr>
          <w:rFonts w:ascii="Arial" w:hAnsi="Arial" w:cs="Arial"/>
        </w:rPr>
      </w:pPr>
      <w:r w:rsidRPr="00B7738A">
        <w:rPr>
          <w:rStyle w:val="FootnoteReference"/>
          <w:rFonts w:ascii="Arial" w:hAnsi="Arial" w:cs="Arial"/>
        </w:rPr>
        <w:footnoteRef/>
      </w:r>
      <w:r w:rsidRPr="00B7738A">
        <w:rPr>
          <w:rFonts w:ascii="Arial" w:hAnsi="Arial" w:cs="Arial"/>
        </w:rPr>
        <w:t xml:space="preserve"> Record </w:t>
      </w:r>
      <w:r w:rsidR="009D1E06">
        <w:rPr>
          <w:rFonts w:ascii="Arial" w:hAnsi="Arial" w:cs="Arial"/>
        </w:rPr>
        <w:t xml:space="preserve">at </w:t>
      </w:r>
      <w:r w:rsidRPr="00B7738A">
        <w:rPr>
          <w:rFonts w:ascii="Arial" w:hAnsi="Arial" w:cs="Arial"/>
        </w:rPr>
        <w:t>page 98 lines 14-22.</w:t>
      </w:r>
    </w:p>
  </w:footnote>
  <w:footnote w:id="13">
    <w:p w14:paraId="57D16489" w14:textId="02FFD210" w:rsidR="00BB70D8" w:rsidRPr="00B7738A" w:rsidRDefault="00BB70D8" w:rsidP="003E5FD4">
      <w:pPr>
        <w:pStyle w:val="FootnoteText"/>
        <w:jc w:val="both"/>
        <w:rPr>
          <w:rFonts w:ascii="Arial" w:hAnsi="Arial" w:cs="Arial"/>
        </w:rPr>
      </w:pPr>
      <w:r w:rsidRPr="00B7738A">
        <w:rPr>
          <w:rStyle w:val="FootnoteReference"/>
          <w:rFonts w:ascii="Arial" w:hAnsi="Arial" w:cs="Arial"/>
        </w:rPr>
        <w:footnoteRef/>
      </w:r>
      <w:r w:rsidRPr="00B7738A">
        <w:rPr>
          <w:rFonts w:ascii="Arial" w:hAnsi="Arial" w:cs="Arial"/>
        </w:rPr>
        <w:t xml:space="preserve"> Record </w:t>
      </w:r>
      <w:r w:rsidR="009D1E06">
        <w:rPr>
          <w:rFonts w:ascii="Arial" w:hAnsi="Arial" w:cs="Arial"/>
        </w:rPr>
        <w:t xml:space="preserve">at </w:t>
      </w:r>
      <w:r w:rsidRPr="00B7738A">
        <w:rPr>
          <w:rFonts w:ascii="Arial" w:hAnsi="Arial" w:cs="Arial"/>
        </w:rPr>
        <w:t>page 99 lines 8-22.</w:t>
      </w:r>
    </w:p>
  </w:footnote>
  <w:footnote w:id="14">
    <w:p w14:paraId="170ABBE8" w14:textId="77777777" w:rsidR="00BB70D8" w:rsidRPr="00B7738A" w:rsidRDefault="00BB70D8" w:rsidP="00BB70D8">
      <w:pPr>
        <w:pStyle w:val="FootnoteText"/>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Viera v Prosecutor General and Others</w:t>
      </w:r>
      <w:r w:rsidRPr="00B7738A">
        <w:rPr>
          <w:rFonts w:ascii="Arial" w:hAnsi="Arial" w:cs="Arial"/>
        </w:rPr>
        <w:t xml:space="preserve"> (HC-MD-CIV-MOT-REV-2021-00315) [2022] NAHCMD 659 (6 December 2022).</w:t>
      </w:r>
    </w:p>
  </w:footnote>
  <w:footnote w:id="15">
    <w:p w14:paraId="11D7687C" w14:textId="77777777" w:rsidR="00BB70D8" w:rsidRPr="00B7738A" w:rsidRDefault="00BB70D8" w:rsidP="00BB70D8">
      <w:pPr>
        <w:pStyle w:val="FootnoteText"/>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S v Krylov (</w:t>
      </w:r>
      <w:r w:rsidRPr="00B7738A">
        <w:rPr>
          <w:rFonts w:ascii="Arial" w:hAnsi="Arial" w:cs="Arial"/>
        </w:rPr>
        <w:t>CC 32/2018) [2023] NAHCMD 48 (13 February 2023) Para 19, 20, and 98 to 207.</w:t>
      </w:r>
    </w:p>
  </w:footnote>
  <w:footnote w:id="16">
    <w:p w14:paraId="0FD00F2D" w14:textId="77777777" w:rsidR="00BB70D8" w:rsidRPr="00B7738A" w:rsidRDefault="00BB70D8" w:rsidP="00BB70D8">
      <w:pPr>
        <w:pStyle w:val="FootnoteText"/>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S v Lukas</w:t>
      </w:r>
      <w:r w:rsidRPr="00B7738A">
        <w:rPr>
          <w:rFonts w:ascii="Arial" w:hAnsi="Arial" w:cs="Arial"/>
        </w:rPr>
        <w:t xml:space="preserve"> (CC 15/2013)[ 2015] NAHCMD 124 (2 June 2015).</w:t>
      </w:r>
    </w:p>
  </w:footnote>
  <w:footnote w:id="17">
    <w:p w14:paraId="3BE2F8AE" w14:textId="77777777" w:rsidR="00BB70D8" w:rsidRPr="00B7738A" w:rsidRDefault="00BB70D8" w:rsidP="00BB70D8">
      <w:pPr>
        <w:pStyle w:val="FootnoteText"/>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hAnsi="Arial" w:cs="Arial"/>
          <w:i/>
        </w:rPr>
        <w:t>S v Krylov (</w:t>
      </w:r>
      <w:r w:rsidRPr="00B7738A">
        <w:rPr>
          <w:rFonts w:ascii="Arial" w:hAnsi="Arial" w:cs="Arial"/>
        </w:rPr>
        <w:t>CC 32/2018) [2023] NAHCMD 48 (13 February 2023) para 15, 16, 197 and 197.</w:t>
      </w:r>
    </w:p>
  </w:footnote>
  <w:footnote w:id="18">
    <w:p w14:paraId="0D6B020E" w14:textId="77777777" w:rsidR="00BB70D8" w:rsidRPr="00B7738A" w:rsidRDefault="00BB70D8" w:rsidP="00BB70D8">
      <w:pPr>
        <w:pStyle w:val="FootnoteText"/>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eastAsia="Calibri" w:hAnsi="Arial" w:cs="Arial"/>
        </w:rPr>
        <w:t>A</w:t>
      </w:r>
      <w:r w:rsidRPr="00B7738A">
        <w:rPr>
          <w:rFonts w:ascii="Arial" w:hAnsi="Arial" w:cs="Arial"/>
        </w:rPr>
        <w:t>rticle 3 of Annexure 11 (c) of the Palermo Protocol.</w:t>
      </w:r>
    </w:p>
  </w:footnote>
  <w:footnote w:id="19">
    <w:p w14:paraId="5D3A9A91" w14:textId="77777777" w:rsidR="00BB70D8" w:rsidRPr="00B7738A" w:rsidRDefault="00BB70D8" w:rsidP="00BB70D8">
      <w:pPr>
        <w:pStyle w:val="FootnoteText"/>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eastAsia="Calibri" w:hAnsi="Arial" w:cs="Arial"/>
        </w:rPr>
        <w:t>Read with s 94 of the CPA.</w:t>
      </w:r>
    </w:p>
  </w:footnote>
  <w:footnote w:id="20">
    <w:p w14:paraId="2C489175" w14:textId="59A9FDE6" w:rsidR="00BB70D8" w:rsidRPr="00B7738A" w:rsidRDefault="00BB70D8" w:rsidP="00BB70D8">
      <w:pPr>
        <w:pStyle w:val="FootnoteText"/>
        <w:rPr>
          <w:rFonts w:ascii="Arial" w:hAnsi="Arial" w:cs="Arial"/>
        </w:rPr>
      </w:pPr>
      <w:r w:rsidRPr="00B7738A">
        <w:rPr>
          <w:rStyle w:val="FootnoteReference"/>
          <w:rFonts w:ascii="Arial" w:hAnsi="Arial" w:cs="Arial"/>
        </w:rPr>
        <w:footnoteRef/>
      </w:r>
      <w:r w:rsidRPr="00B7738A">
        <w:rPr>
          <w:rFonts w:ascii="Arial" w:hAnsi="Arial" w:cs="Arial"/>
        </w:rPr>
        <w:t xml:space="preserve"> </w:t>
      </w:r>
      <w:r w:rsidRPr="00B7738A">
        <w:rPr>
          <w:rFonts w:ascii="Arial" w:eastAsia="Times New Roman" w:hAnsi="Arial" w:cs="Arial"/>
          <w:i/>
          <w:lang w:val="en-ZA" w:eastAsia="en-ZA"/>
        </w:rPr>
        <w:t xml:space="preserve">S v Krylov </w:t>
      </w:r>
      <w:r w:rsidRPr="00B7738A">
        <w:rPr>
          <w:rFonts w:ascii="Arial" w:eastAsia="Times New Roman" w:hAnsi="Arial" w:cs="Arial"/>
          <w:lang w:val="en-ZA" w:eastAsia="en-ZA"/>
        </w:rPr>
        <w:t>(CC 32/2018) [2023] NAHCMD 131 (17 March 2023)</w:t>
      </w:r>
      <w:r w:rsidR="003E5FD4">
        <w:rPr>
          <w:rFonts w:ascii="Arial" w:eastAsia="Times New Roman" w:hAnsi="Arial" w:cs="Arial"/>
          <w:lang w:val="en-ZA" w:eastAsia="en-ZA"/>
        </w:rPr>
        <w:t xml:space="preserve"> </w:t>
      </w:r>
      <w:r w:rsidRPr="00B7738A">
        <w:rPr>
          <w:rFonts w:ascii="Arial" w:eastAsia="Calibri" w:hAnsi="Arial" w:cs="Arial"/>
        </w:rPr>
        <w:t>para 26 and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90021"/>
      <w:docPartObj>
        <w:docPartGallery w:val="Page Numbers (Top of Page)"/>
        <w:docPartUnique/>
      </w:docPartObj>
    </w:sdtPr>
    <w:sdtEndPr>
      <w:rPr>
        <w:noProof/>
      </w:rPr>
    </w:sdtEndPr>
    <w:sdtContent>
      <w:p w14:paraId="2E7EE056" w14:textId="77777777" w:rsidR="00D1151A" w:rsidRDefault="00941256">
        <w:pPr>
          <w:pStyle w:val="Header"/>
          <w:jc w:val="right"/>
        </w:pPr>
        <w:r>
          <w:rPr>
            <w:noProof/>
          </w:rPr>
          <w:fldChar w:fldCharType="begin"/>
        </w:r>
        <w:r>
          <w:rPr>
            <w:noProof/>
          </w:rPr>
          <w:instrText xml:space="preserve"> PAGE   \* MERGEFORMAT </w:instrText>
        </w:r>
        <w:r>
          <w:rPr>
            <w:noProof/>
          </w:rPr>
          <w:fldChar w:fldCharType="separate"/>
        </w:r>
        <w:r w:rsidR="004A2DC8">
          <w:rPr>
            <w:noProof/>
          </w:rPr>
          <w:t>12</w:t>
        </w:r>
        <w:r>
          <w:rPr>
            <w:noProof/>
          </w:rPr>
          <w:fldChar w:fldCharType="end"/>
        </w:r>
      </w:p>
    </w:sdtContent>
  </w:sdt>
  <w:p w14:paraId="5471082D" w14:textId="77777777" w:rsidR="00D1151A" w:rsidRDefault="00D11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52B3"/>
    <w:multiLevelType w:val="hybridMultilevel"/>
    <w:tmpl w:val="15A23E4E"/>
    <w:lvl w:ilvl="0" w:tplc="310E45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F5CB7"/>
    <w:multiLevelType w:val="hybridMultilevel"/>
    <w:tmpl w:val="CB808D14"/>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2254950"/>
    <w:multiLevelType w:val="hybridMultilevel"/>
    <w:tmpl w:val="044C3228"/>
    <w:lvl w:ilvl="0" w:tplc="8D961C7E">
      <w:start w:val="1"/>
      <w:numFmt w:val="decimal"/>
      <w:lvlText w:val="%1."/>
      <w:lvlJc w:val="left"/>
      <w:pPr>
        <w:ind w:left="1242" w:hanging="360"/>
      </w:pPr>
      <w:rPr>
        <w:rFonts w:ascii="Arial Narrow" w:eastAsiaTheme="minorHAnsi" w:hAnsi="Arial Narrow" w:cs="Arial"/>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
    <w:nsid w:val="1B9A2B55"/>
    <w:multiLevelType w:val="hybridMultilevel"/>
    <w:tmpl w:val="3DD2119A"/>
    <w:lvl w:ilvl="0" w:tplc="84ECF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6B1407"/>
    <w:multiLevelType w:val="hybridMultilevel"/>
    <w:tmpl w:val="A23C5A3A"/>
    <w:lvl w:ilvl="0" w:tplc="2000000F">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24F74D65"/>
    <w:multiLevelType w:val="hybridMultilevel"/>
    <w:tmpl w:val="3E94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949CD"/>
    <w:multiLevelType w:val="hybridMultilevel"/>
    <w:tmpl w:val="B7E210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139C8"/>
    <w:multiLevelType w:val="hybridMultilevel"/>
    <w:tmpl w:val="0DE2F95A"/>
    <w:lvl w:ilvl="0" w:tplc="0B18E5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500F0"/>
    <w:multiLevelType w:val="hybridMultilevel"/>
    <w:tmpl w:val="8F2619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3333B34"/>
    <w:multiLevelType w:val="hybridMultilevel"/>
    <w:tmpl w:val="08F6FEA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B134E"/>
    <w:multiLevelType w:val="hybridMultilevel"/>
    <w:tmpl w:val="BCA6BCE6"/>
    <w:lvl w:ilvl="0" w:tplc="710C72B6">
      <w:start w:val="1"/>
      <w:numFmt w:val="decimal"/>
      <w:lvlText w:val="[%1]"/>
      <w:lvlJc w:val="left"/>
      <w:pPr>
        <w:ind w:left="36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4722174E"/>
    <w:multiLevelType w:val="hybridMultilevel"/>
    <w:tmpl w:val="4A424BF0"/>
    <w:lvl w:ilvl="0" w:tplc="6F128E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B5669EE"/>
    <w:multiLevelType w:val="hybridMultilevel"/>
    <w:tmpl w:val="F1DC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63C01F9"/>
    <w:multiLevelType w:val="hybridMultilevel"/>
    <w:tmpl w:val="33BC2DE4"/>
    <w:lvl w:ilvl="0" w:tplc="6E92347E">
      <w:start w:val="2"/>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nsid w:val="565D6D9E"/>
    <w:multiLevelType w:val="hybridMultilevel"/>
    <w:tmpl w:val="8996A3E0"/>
    <w:lvl w:ilvl="0" w:tplc="04090017">
      <w:start w:val="1"/>
      <w:numFmt w:val="low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7">
    <w:nsid w:val="680D03B2"/>
    <w:multiLevelType w:val="hybridMultilevel"/>
    <w:tmpl w:val="DFFA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F169A"/>
    <w:multiLevelType w:val="hybridMultilevel"/>
    <w:tmpl w:val="6A28D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3D1340"/>
    <w:multiLevelType w:val="hybridMultilevel"/>
    <w:tmpl w:val="7DD86852"/>
    <w:lvl w:ilvl="0" w:tplc="1B6C614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E8C3FF5"/>
    <w:multiLevelType w:val="hybridMultilevel"/>
    <w:tmpl w:val="0368F8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13"/>
  </w:num>
  <w:num w:numId="4">
    <w:abstractNumId w:val="18"/>
  </w:num>
  <w:num w:numId="5">
    <w:abstractNumId w:val="19"/>
  </w:num>
  <w:num w:numId="6">
    <w:abstractNumId w:val="9"/>
  </w:num>
  <w:num w:numId="7">
    <w:abstractNumId w:val="2"/>
  </w:num>
  <w:num w:numId="8">
    <w:abstractNumId w:val="16"/>
  </w:num>
  <w:num w:numId="9">
    <w:abstractNumId w:val="17"/>
  </w:num>
  <w:num w:numId="10">
    <w:abstractNumId w:val="20"/>
  </w:num>
  <w:num w:numId="11">
    <w:abstractNumId w:val="8"/>
  </w:num>
  <w:num w:numId="12">
    <w:abstractNumId w:val="4"/>
  </w:num>
  <w:num w:numId="13">
    <w:abstractNumId w:val="1"/>
  </w:num>
  <w:num w:numId="14">
    <w:abstractNumId w:val="12"/>
  </w:num>
  <w:num w:numId="15">
    <w:abstractNumId w:val="6"/>
  </w:num>
  <w:num w:numId="16">
    <w:abstractNumId w:val="0"/>
  </w:num>
  <w:num w:numId="17">
    <w:abstractNumId w:val="15"/>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7"/>
    <w:rsid w:val="0000243E"/>
    <w:rsid w:val="00011294"/>
    <w:rsid w:val="00013FBE"/>
    <w:rsid w:val="00016398"/>
    <w:rsid w:val="00016C62"/>
    <w:rsid w:val="000172ED"/>
    <w:rsid w:val="00020955"/>
    <w:rsid w:val="00021DA5"/>
    <w:rsid w:val="00022445"/>
    <w:rsid w:val="0002420D"/>
    <w:rsid w:val="00024C06"/>
    <w:rsid w:val="000257D6"/>
    <w:rsid w:val="0003066F"/>
    <w:rsid w:val="0003449C"/>
    <w:rsid w:val="00044750"/>
    <w:rsid w:val="00045DBC"/>
    <w:rsid w:val="00055FA7"/>
    <w:rsid w:val="00056D54"/>
    <w:rsid w:val="00057FB9"/>
    <w:rsid w:val="0006311C"/>
    <w:rsid w:val="00063B9E"/>
    <w:rsid w:val="000655C7"/>
    <w:rsid w:val="0007771C"/>
    <w:rsid w:val="00084947"/>
    <w:rsid w:val="00087145"/>
    <w:rsid w:val="000903D0"/>
    <w:rsid w:val="00090712"/>
    <w:rsid w:val="0009155E"/>
    <w:rsid w:val="000929F2"/>
    <w:rsid w:val="00096734"/>
    <w:rsid w:val="000A0D9C"/>
    <w:rsid w:val="000A1374"/>
    <w:rsid w:val="000A3677"/>
    <w:rsid w:val="000A49A6"/>
    <w:rsid w:val="000B53EA"/>
    <w:rsid w:val="000C0982"/>
    <w:rsid w:val="000C2E9C"/>
    <w:rsid w:val="000D3219"/>
    <w:rsid w:val="000D4E13"/>
    <w:rsid w:val="000D79D3"/>
    <w:rsid w:val="000E0278"/>
    <w:rsid w:val="000E4FE2"/>
    <w:rsid w:val="000E5F01"/>
    <w:rsid w:val="000E6160"/>
    <w:rsid w:val="000F1439"/>
    <w:rsid w:val="000F1670"/>
    <w:rsid w:val="000F1C25"/>
    <w:rsid w:val="000F25A4"/>
    <w:rsid w:val="0010048C"/>
    <w:rsid w:val="00100C0B"/>
    <w:rsid w:val="00103AF8"/>
    <w:rsid w:val="00104977"/>
    <w:rsid w:val="00107593"/>
    <w:rsid w:val="00112D6D"/>
    <w:rsid w:val="0011481C"/>
    <w:rsid w:val="00116C95"/>
    <w:rsid w:val="00116D9F"/>
    <w:rsid w:val="00121978"/>
    <w:rsid w:val="001220E3"/>
    <w:rsid w:val="00123786"/>
    <w:rsid w:val="00124646"/>
    <w:rsid w:val="00126988"/>
    <w:rsid w:val="00131B1E"/>
    <w:rsid w:val="00131CB4"/>
    <w:rsid w:val="00134B7A"/>
    <w:rsid w:val="00134C83"/>
    <w:rsid w:val="00136C13"/>
    <w:rsid w:val="00137508"/>
    <w:rsid w:val="00137A10"/>
    <w:rsid w:val="00143E61"/>
    <w:rsid w:val="00145CAE"/>
    <w:rsid w:val="00147351"/>
    <w:rsid w:val="00153C79"/>
    <w:rsid w:val="00153E5B"/>
    <w:rsid w:val="00157928"/>
    <w:rsid w:val="001603B2"/>
    <w:rsid w:val="00164431"/>
    <w:rsid w:val="001717A2"/>
    <w:rsid w:val="001722FA"/>
    <w:rsid w:val="00176A9E"/>
    <w:rsid w:val="00177BE5"/>
    <w:rsid w:val="00180CB3"/>
    <w:rsid w:val="0018320E"/>
    <w:rsid w:val="00183E36"/>
    <w:rsid w:val="001902A2"/>
    <w:rsid w:val="00196307"/>
    <w:rsid w:val="001A0C65"/>
    <w:rsid w:val="001A1BDF"/>
    <w:rsid w:val="001A5D6F"/>
    <w:rsid w:val="001A6C81"/>
    <w:rsid w:val="001B4ECB"/>
    <w:rsid w:val="001B73A5"/>
    <w:rsid w:val="001C10EF"/>
    <w:rsid w:val="001C4B8C"/>
    <w:rsid w:val="001C634D"/>
    <w:rsid w:val="001D1C52"/>
    <w:rsid w:val="001E3B12"/>
    <w:rsid w:val="001E58D2"/>
    <w:rsid w:val="001E5E45"/>
    <w:rsid w:val="001E79D1"/>
    <w:rsid w:val="001F4E61"/>
    <w:rsid w:val="001F4EEA"/>
    <w:rsid w:val="001F7324"/>
    <w:rsid w:val="00204E3C"/>
    <w:rsid w:val="002133E0"/>
    <w:rsid w:val="00214A4C"/>
    <w:rsid w:val="00217704"/>
    <w:rsid w:val="00217F8D"/>
    <w:rsid w:val="00222E1F"/>
    <w:rsid w:val="0022304B"/>
    <w:rsid w:val="002325F3"/>
    <w:rsid w:val="0024524B"/>
    <w:rsid w:val="00246009"/>
    <w:rsid w:val="00250D8F"/>
    <w:rsid w:val="00251BBD"/>
    <w:rsid w:val="00252AF6"/>
    <w:rsid w:val="002565E6"/>
    <w:rsid w:val="002633B9"/>
    <w:rsid w:val="002655F5"/>
    <w:rsid w:val="002665F4"/>
    <w:rsid w:val="00266B68"/>
    <w:rsid w:val="00270259"/>
    <w:rsid w:val="002726E5"/>
    <w:rsid w:val="00273EE6"/>
    <w:rsid w:val="002761BD"/>
    <w:rsid w:val="002771D3"/>
    <w:rsid w:val="002A551C"/>
    <w:rsid w:val="002A6E69"/>
    <w:rsid w:val="002B5066"/>
    <w:rsid w:val="002B52FF"/>
    <w:rsid w:val="002B7625"/>
    <w:rsid w:val="002C24D6"/>
    <w:rsid w:val="002C4C2A"/>
    <w:rsid w:val="002C4F61"/>
    <w:rsid w:val="002C6E02"/>
    <w:rsid w:val="002D4B52"/>
    <w:rsid w:val="002D78AA"/>
    <w:rsid w:val="002E3399"/>
    <w:rsid w:val="002E5D8E"/>
    <w:rsid w:val="002F179A"/>
    <w:rsid w:val="002F3024"/>
    <w:rsid w:val="002F6144"/>
    <w:rsid w:val="002F79D9"/>
    <w:rsid w:val="00300C57"/>
    <w:rsid w:val="00301915"/>
    <w:rsid w:val="00304E1D"/>
    <w:rsid w:val="0031042B"/>
    <w:rsid w:val="00311564"/>
    <w:rsid w:val="00311E2A"/>
    <w:rsid w:val="00315F90"/>
    <w:rsid w:val="00316592"/>
    <w:rsid w:val="00321035"/>
    <w:rsid w:val="003247F2"/>
    <w:rsid w:val="003274CD"/>
    <w:rsid w:val="0033299D"/>
    <w:rsid w:val="003331E5"/>
    <w:rsid w:val="003332A7"/>
    <w:rsid w:val="003469A6"/>
    <w:rsid w:val="00346BF1"/>
    <w:rsid w:val="00352037"/>
    <w:rsid w:val="00352E34"/>
    <w:rsid w:val="00354FAA"/>
    <w:rsid w:val="0035612A"/>
    <w:rsid w:val="0036321E"/>
    <w:rsid w:val="00363A1C"/>
    <w:rsid w:val="00366EBD"/>
    <w:rsid w:val="00371076"/>
    <w:rsid w:val="003739CF"/>
    <w:rsid w:val="0037663D"/>
    <w:rsid w:val="0038178B"/>
    <w:rsid w:val="003829EA"/>
    <w:rsid w:val="00385C9A"/>
    <w:rsid w:val="003863D4"/>
    <w:rsid w:val="00386A77"/>
    <w:rsid w:val="0038763D"/>
    <w:rsid w:val="00390A00"/>
    <w:rsid w:val="003955F2"/>
    <w:rsid w:val="00395BB4"/>
    <w:rsid w:val="00397F58"/>
    <w:rsid w:val="00397FA8"/>
    <w:rsid w:val="003A0DC2"/>
    <w:rsid w:val="003A1686"/>
    <w:rsid w:val="003A6844"/>
    <w:rsid w:val="003A6CD6"/>
    <w:rsid w:val="003C2D51"/>
    <w:rsid w:val="003C54FB"/>
    <w:rsid w:val="003D38CF"/>
    <w:rsid w:val="003E1EE0"/>
    <w:rsid w:val="003E24F4"/>
    <w:rsid w:val="003E5FD4"/>
    <w:rsid w:val="003E6FD5"/>
    <w:rsid w:val="003F0E63"/>
    <w:rsid w:val="003F4111"/>
    <w:rsid w:val="003F530B"/>
    <w:rsid w:val="003F5C51"/>
    <w:rsid w:val="004026D2"/>
    <w:rsid w:val="00404FCC"/>
    <w:rsid w:val="00407E54"/>
    <w:rsid w:val="004107D7"/>
    <w:rsid w:val="00412D29"/>
    <w:rsid w:val="00423B73"/>
    <w:rsid w:val="00427AEB"/>
    <w:rsid w:val="00431294"/>
    <w:rsid w:val="00444180"/>
    <w:rsid w:val="004441FC"/>
    <w:rsid w:val="00447B73"/>
    <w:rsid w:val="00455B6E"/>
    <w:rsid w:val="00460403"/>
    <w:rsid w:val="0046149A"/>
    <w:rsid w:val="0046164B"/>
    <w:rsid w:val="0046339A"/>
    <w:rsid w:val="00465AE5"/>
    <w:rsid w:val="00466B8E"/>
    <w:rsid w:val="0048100A"/>
    <w:rsid w:val="00483903"/>
    <w:rsid w:val="00486B15"/>
    <w:rsid w:val="00486DD9"/>
    <w:rsid w:val="00487C5F"/>
    <w:rsid w:val="0049732C"/>
    <w:rsid w:val="004A06B1"/>
    <w:rsid w:val="004A0936"/>
    <w:rsid w:val="004A160C"/>
    <w:rsid w:val="004A2DC8"/>
    <w:rsid w:val="004A3A13"/>
    <w:rsid w:val="004A3CB1"/>
    <w:rsid w:val="004B085A"/>
    <w:rsid w:val="004B385F"/>
    <w:rsid w:val="004B62D6"/>
    <w:rsid w:val="004C07E2"/>
    <w:rsid w:val="004C2D31"/>
    <w:rsid w:val="004D05CC"/>
    <w:rsid w:val="004D0C60"/>
    <w:rsid w:val="004D23A7"/>
    <w:rsid w:val="004D42CD"/>
    <w:rsid w:val="004E0FD0"/>
    <w:rsid w:val="004F0A51"/>
    <w:rsid w:val="004F2081"/>
    <w:rsid w:val="005043E8"/>
    <w:rsid w:val="00505369"/>
    <w:rsid w:val="00514FEB"/>
    <w:rsid w:val="0051732C"/>
    <w:rsid w:val="00523F5D"/>
    <w:rsid w:val="00527064"/>
    <w:rsid w:val="005273F0"/>
    <w:rsid w:val="00527948"/>
    <w:rsid w:val="0052795D"/>
    <w:rsid w:val="005329EB"/>
    <w:rsid w:val="005334FB"/>
    <w:rsid w:val="00534546"/>
    <w:rsid w:val="00535964"/>
    <w:rsid w:val="00535EFD"/>
    <w:rsid w:val="00536F39"/>
    <w:rsid w:val="0054358D"/>
    <w:rsid w:val="00545FD7"/>
    <w:rsid w:val="00546979"/>
    <w:rsid w:val="005544BD"/>
    <w:rsid w:val="00554B1D"/>
    <w:rsid w:val="00560194"/>
    <w:rsid w:val="00562AE1"/>
    <w:rsid w:val="00565039"/>
    <w:rsid w:val="00565995"/>
    <w:rsid w:val="00565B4D"/>
    <w:rsid w:val="0057126B"/>
    <w:rsid w:val="005718B5"/>
    <w:rsid w:val="0057487E"/>
    <w:rsid w:val="00581B23"/>
    <w:rsid w:val="00595CCF"/>
    <w:rsid w:val="00596429"/>
    <w:rsid w:val="005A24BD"/>
    <w:rsid w:val="005A2FB3"/>
    <w:rsid w:val="005A4787"/>
    <w:rsid w:val="005A4A0B"/>
    <w:rsid w:val="005A7FBE"/>
    <w:rsid w:val="005B180E"/>
    <w:rsid w:val="005B26FE"/>
    <w:rsid w:val="005B315D"/>
    <w:rsid w:val="005B4863"/>
    <w:rsid w:val="005B4F10"/>
    <w:rsid w:val="005D1B3A"/>
    <w:rsid w:val="005E05F9"/>
    <w:rsid w:val="005E14FE"/>
    <w:rsid w:val="005E4C36"/>
    <w:rsid w:val="005E6BA3"/>
    <w:rsid w:val="005E6DF2"/>
    <w:rsid w:val="005F37A7"/>
    <w:rsid w:val="005F5B7C"/>
    <w:rsid w:val="005F674F"/>
    <w:rsid w:val="005F6C5F"/>
    <w:rsid w:val="00602124"/>
    <w:rsid w:val="00602432"/>
    <w:rsid w:val="0060293E"/>
    <w:rsid w:val="006031B2"/>
    <w:rsid w:val="00603CDE"/>
    <w:rsid w:val="00605226"/>
    <w:rsid w:val="006056E6"/>
    <w:rsid w:val="0060740F"/>
    <w:rsid w:val="00611D20"/>
    <w:rsid w:val="0061280F"/>
    <w:rsid w:val="0061359C"/>
    <w:rsid w:val="00622138"/>
    <w:rsid w:val="006304C1"/>
    <w:rsid w:val="00631725"/>
    <w:rsid w:val="00637C7F"/>
    <w:rsid w:val="00642317"/>
    <w:rsid w:val="00646C1C"/>
    <w:rsid w:val="00656B3A"/>
    <w:rsid w:val="00660EA3"/>
    <w:rsid w:val="00661D70"/>
    <w:rsid w:val="0066321C"/>
    <w:rsid w:val="00663FC0"/>
    <w:rsid w:val="0066472E"/>
    <w:rsid w:val="00664DAA"/>
    <w:rsid w:val="00666BF0"/>
    <w:rsid w:val="00667A09"/>
    <w:rsid w:val="00670122"/>
    <w:rsid w:val="00670197"/>
    <w:rsid w:val="00672598"/>
    <w:rsid w:val="006742DF"/>
    <w:rsid w:val="00677720"/>
    <w:rsid w:val="0068440B"/>
    <w:rsid w:val="00690883"/>
    <w:rsid w:val="00692849"/>
    <w:rsid w:val="00694813"/>
    <w:rsid w:val="00694BFF"/>
    <w:rsid w:val="006A01A9"/>
    <w:rsid w:val="006A2A29"/>
    <w:rsid w:val="006A5EAA"/>
    <w:rsid w:val="006B0DD2"/>
    <w:rsid w:val="006B36E3"/>
    <w:rsid w:val="006B3851"/>
    <w:rsid w:val="006B5480"/>
    <w:rsid w:val="006B56EE"/>
    <w:rsid w:val="006B5F7B"/>
    <w:rsid w:val="006C278E"/>
    <w:rsid w:val="006C33EE"/>
    <w:rsid w:val="006D0066"/>
    <w:rsid w:val="006D13C9"/>
    <w:rsid w:val="006D3A35"/>
    <w:rsid w:val="006D552E"/>
    <w:rsid w:val="006D7CDD"/>
    <w:rsid w:val="006E3E4F"/>
    <w:rsid w:val="006E4001"/>
    <w:rsid w:val="006E45C5"/>
    <w:rsid w:val="006E5B91"/>
    <w:rsid w:val="006E5F5F"/>
    <w:rsid w:val="006F00B2"/>
    <w:rsid w:val="006F3524"/>
    <w:rsid w:val="006F63FE"/>
    <w:rsid w:val="006F75FD"/>
    <w:rsid w:val="007100B7"/>
    <w:rsid w:val="00715F68"/>
    <w:rsid w:val="007209DD"/>
    <w:rsid w:val="00721C4F"/>
    <w:rsid w:val="00731DBF"/>
    <w:rsid w:val="00735654"/>
    <w:rsid w:val="00740970"/>
    <w:rsid w:val="00742BB1"/>
    <w:rsid w:val="007533EC"/>
    <w:rsid w:val="0076084E"/>
    <w:rsid w:val="00762FB4"/>
    <w:rsid w:val="007715EE"/>
    <w:rsid w:val="00771EC8"/>
    <w:rsid w:val="00774F01"/>
    <w:rsid w:val="00775551"/>
    <w:rsid w:val="00775CD2"/>
    <w:rsid w:val="007767F2"/>
    <w:rsid w:val="00776AC2"/>
    <w:rsid w:val="00780026"/>
    <w:rsid w:val="00792249"/>
    <w:rsid w:val="00794319"/>
    <w:rsid w:val="007A1088"/>
    <w:rsid w:val="007A13D0"/>
    <w:rsid w:val="007A1DB9"/>
    <w:rsid w:val="007A75C6"/>
    <w:rsid w:val="007B3816"/>
    <w:rsid w:val="007C037B"/>
    <w:rsid w:val="007C189A"/>
    <w:rsid w:val="007C3B11"/>
    <w:rsid w:val="007C483E"/>
    <w:rsid w:val="007C6223"/>
    <w:rsid w:val="007C6C1E"/>
    <w:rsid w:val="007D0043"/>
    <w:rsid w:val="007D6394"/>
    <w:rsid w:val="007E458A"/>
    <w:rsid w:val="007F54AB"/>
    <w:rsid w:val="007F644D"/>
    <w:rsid w:val="008023D2"/>
    <w:rsid w:val="00802526"/>
    <w:rsid w:val="00804396"/>
    <w:rsid w:val="00817681"/>
    <w:rsid w:val="0081770F"/>
    <w:rsid w:val="00821A90"/>
    <w:rsid w:val="00823FD3"/>
    <w:rsid w:val="0082423F"/>
    <w:rsid w:val="00824B39"/>
    <w:rsid w:val="00831051"/>
    <w:rsid w:val="00832D72"/>
    <w:rsid w:val="00835017"/>
    <w:rsid w:val="00845DE3"/>
    <w:rsid w:val="00857F2D"/>
    <w:rsid w:val="0086441A"/>
    <w:rsid w:val="008650F7"/>
    <w:rsid w:val="00883D10"/>
    <w:rsid w:val="008911D2"/>
    <w:rsid w:val="00892EFF"/>
    <w:rsid w:val="00897051"/>
    <w:rsid w:val="008A70DE"/>
    <w:rsid w:val="008A7FF1"/>
    <w:rsid w:val="008B050A"/>
    <w:rsid w:val="008B17D6"/>
    <w:rsid w:val="008B2CD3"/>
    <w:rsid w:val="008B41A3"/>
    <w:rsid w:val="008B42ED"/>
    <w:rsid w:val="008B5AA2"/>
    <w:rsid w:val="008B717D"/>
    <w:rsid w:val="008C4C94"/>
    <w:rsid w:val="008C6C5C"/>
    <w:rsid w:val="008C7103"/>
    <w:rsid w:val="008D0BBA"/>
    <w:rsid w:val="008E2706"/>
    <w:rsid w:val="008E7114"/>
    <w:rsid w:val="008F11D5"/>
    <w:rsid w:val="008F1D69"/>
    <w:rsid w:val="008F1EED"/>
    <w:rsid w:val="008F384C"/>
    <w:rsid w:val="008F482F"/>
    <w:rsid w:val="008F4967"/>
    <w:rsid w:val="008F64AC"/>
    <w:rsid w:val="008F6E69"/>
    <w:rsid w:val="00900208"/>
    <w:rsid w:val="00903737"/>
    <w:rsid w:val="009105E1"/>
    <w:rsid w:val="0091200E"/>
    <w:rsid w:val="00912CA8"/>
    <w:rsid w:val="0091437E"/>
    <w:rsid w:val="0092310B"/>
    <w:rsid w:val="00924986"/>
    <w:rsid w:val="00925334"/>
    <w:rsid w:val="00925691"/>
    <w:rsid w:val="0092717B"/>
    <w:rsid w:val="00927E8C"/>
    <w:rsid w:val="009317D9"/>
    <w:rsid w:val="00931B63"/>
    <w:rsid w:val="00932516"/>
    <w:rsid w:val="00932E66"/>
    <w:rsid w:val="0093356F"/>
    <w:rsid w:val="009368DE"/>
    <w:rsid w:val="009372A5"/>
    <w:rsid w:val="00941256"/>
    <w:rsid w:val="00951E1F"/>
    <w:rsid w:val="00954D2C"/>
    <w:rsid w:val="0095500A"/>
    <w:rsid w:val="009601C2"/>
    <w:rsid w:val="0096031D"/>
    <w:rsid w:val="0096727E"/>
    <w:rsid w:val="0097305D"/>
    <w:rsid w:val="00975E62"/>
    <w:rsid w:val="00976E1E"/>
    <w:rsid w:val="009861BC"/>
    <w:rsid w:val="00986A63"/>
    <w:rsid w:val="0099113E"/>
    <w:rsid w:val="009958F9"/>
    <w:rsid w:val="009A01CA"/>
    <w:rsid w:val="009A29FB"/>
    <w:rsid w:val="009A6283"/>
    <w:rsid w:val="009B0E90"/>
    <w:rsid w:val="009C1C1E"/>
    <w:rsid w:val="009C2B02"/>
    <w:rsid w:val="009C5CFD"/>
    <w:rsid w:val="009D1E06"/>
    <w:rsid w:val="009D64C1"/>
    <w:rsid w:val="009D78E5"/>
    <w:rsid w:val="009F0FBF"/>
    <w:rsid w:val="009F467C"/>
    <w:rsid w:val="00A002E6"/>
    <w:rsid w:val="00A025C7"/>
    <w:rsid w:val="00A038E3"/>
    <w:rsid w:val="00A03C52"/>
    <w:rsid w:val="00A03D40"/>
    <w:rsid w:val="00A06064"/>
    <w:rsid w:val="00A07E38"/>
    <w:rsid w:val="00A138FF"/>
    <w:rsid w:val="00A13CB5"/>
    <w:rsid w:val="00A17D16"/>
    <w:rsid w:val="00A339A1"/>
    <w:rsid w:val="00A34058"/>
    <w:rsid w:val="00A37DCA"/>
    <w:rsid w:val="00A4563F"/>
    <w:rsid w:val="00A462BE"/>
    <w:rsid w:val="00A463D8"/>
    <w:rsid w:val="00A47FEE"/>
    <w:rsid w:val="00A50858"/>
    <w:rsid w:val="00A5736D"/>
    <w:rsid w:val="00A6256C"/>
    <w:rsid w:val="00A65587"/>
    <w:rsid w:val="00A65FD5"/>
    <w:rsid w:val="00A675FD"/>
    <w:rsid w:val="00A67FD6"/>
    <w:rsid w:val="00A72D4A"/>
    <w:rsid w:val="00A80C25"/>
    <w:rsid w:val="00A87E28"/>
    <w:rsid w:val="00A90816"/>
    <w:rsid w:val="00A92337"/>
    <w:rsid w:val="00A95A16"/>
    <w:rsid w:val="00AA6AFC"/>
    <w:rsid w:val="00AB11CE"/>
    <w:rsid w:val="00AB379B"/>
    <w:rsid w:val="00AB4143"/>
    <w:rsid w:val="00AC062E"/>
    <w:rsid w:val="00AC2AE4"/>
    <w:rsid w:val="00AC7753"/>
    <w:rsid w:val="00AC79CD"/>
    <w:rsid w:val="00AD35EA"/>
    <w:rsid w:val="00AD6E26"/>
    <w:rsid w:val="00AE0B8B"/>
    <w:rsid w:val="00AE7087"/>
    <w:rsid w:val="00AF2342"/>
    <w:rsid w:val="00AF66E7"/>
    <w:rsid w:val="00B02495"/>
    <w:rsid w:val="00B03684"/>
    <w:rsid w:val="00B038B2"/>
    <w:rsid w:val="00B07220"/>
    <w:rsid w:val="00B073DE"/>
    <w:rsid w:val="00B07689"/>
    <w:rsid w:val="00B07DF8"/>
    <w:rsid w:val="00B13EE6"/>
    <w:rsid w:val="00B23764"/>
    <w:rsid w:val="00B24149"/>
    <w:rsid w:val="00B2759A"/>
    <w:rsid w:val="00B30973"/>
    <w:rsid w:val="00B31E96"/>
    <w:rsid w:val="00B335C9"/>
    <w:rsid w:val="00B40E94"/>
    <w:rsid w:val="00B4352E"/>
    <w:rsid w:val="00B44E76"/>
    <w:rsid w:val="00B51C4F"/>
    <w:rsid w:val="00B533C0"/>
    <w:rsid w:val="00B57DB7"/>
    <w:rsid w:val="00B60EED"/>
    <w:rsid w:val="00B622BC"/>
    <w:rsid w:val="00B66DF8"/>
    <w:rsid w:val="00B672E3"/>
    <w:rsid w:val="00B76926"/>
    <w:rsid w:val="00B76C36"/>
    <w:rsid w:val="00B7738A"/>
    <w:rsid w:val="00B81C98"/>
    <w:rsid w:val="00B83BE8"/>
    <w:rsid w:val="00B87857"/>
    <w:rsid w:val="00B9282B"/>
    <w:rsid w:val="00B97691"/>
    <w:rsid w:val="00B97F4E"/>
    <w:rsid w:val="00BA2170"/>
    <w:rsid w:val="00BA55B0"/>
    <w:rsid w:val="00BA5E5C"/>
    <w:rsid w:val="00BA7F0E"/>
    <w:rsid w:val="00BA7F18"/>
    <w:rsid w:val="00BB3921"/>
    <w:rsid w:val="00BB46C6"/>
    <w:rsid w:val="00BB60D2"/>
    <w:rsid w:val="00BB6293"/>
    <w:rsid w:val="00BB6A27"/>
    <w:rsid w:val="00BB6BD4"/>
    <w:rsid w:val="00BB70D8"/>
    <w:rsid w:val="00BC469F"/>
    <w:rsid w:val="00BC716A"/>
    <w:rsid w:val="00BC7F58"/>
    <w:rsid w:val="00BE5C90"/>
    <w:rsid w:val="00BF1691"/>
    <w:rsid w:val="00BF2243"/>
    <w:rsid w:val="00C0085B"/>
    <w:rsid w:val="00C00E00"/>
    <w:rsid w:val="00C11208"/>
    <w:rsid w:val="00C113A9"/>
    <w:rsid w:val="00C12AFB"/>
    <w:rsid w:val="00C1342F"/>
    <w:rsid w:val="00C16D40"/>
    <w:rsid w:val="00C17951"/>
    <w:rsid w:val="00C179C8"/>
    <w:rsid w:val="00C21950"/>
    <w:rsid w:val="00C22567"/>
    <w:rsid w:val="00C346C8"/>
    <w:rsid w:val="00C37204"/>
    <w:rsid w:val="00C50862"/>
    <w:rsid w:val="00C541F6"/>
    <w:rsid w:val="00C54FAE"/>
    <w:rsid w:val="00C57D10"/>
    <w:rsid w:val="00C62361"/>
    <w:rsid w:val="00C62D92"/>
    <w:rsid w:val="00C6494B"/>
    <w:rsid w:val="00C66522"/>
    <w:rsid w:val="00C70AD1"/>
    <w:rsid w:val="00C71303"/>
    <w:rsid w:val="00C728F0"/>
    <w:rsid w:val="00C8038A"/>
    <w:rsid w:val="00C8288B"/>
    <w:rsid w:val="00C839B3"/>
    <w:rsid w:val="00C83DA6"/>
    <w:rsid w:val="00C8475C"/>
    <w:rsid w:val="00C874AB"/>
    <w:rsid w:val="00C90F2F"/>
    <w:rsid w:val="00C95211"/>
    <w:rsid w:val="00C9791C"/>
    <w:rsid w:val="00CA50FD"/>
    <w:rsid w:val="00CA572C"/>
    <w:rsid w:val="00CA59CB"/>
    <w:rsid w:val="00CB4E29"/>
    <w:rsid w:val="00CB55DE"/>
    <w:rsid w:val="00CB7B76"/>
    <w:rsid w:val="00CC2C22"/>
    <w:rsid w:val="00CC52B1"/>
    <w:rsid w:val="00CD29F6"/>
    <w:rsid w:val="00CD363A"/>
    <w:rsid w:val="00CD68FF"/>
    <w:rsid w:val="00CD6BDA"/>
    <w:rsid w:val="00CE098E"/>
    <w:rsid w:val="00CE2DAC"/>
    <w:rsid w:val="00CE444B"/>
    <w:rsid w:val="00CE59B8"/>
    <w:rsid w:val="00CF077F"/>
    <w:rsid w:val="00CF11EE"/>
    <w:rsid w:val="00CF7618"/>
    <w:rsid w:val="00D03D16"/>
    <w:rsid w:val="00D041D2"/>
    <w:rsid w:val="00D04852"/>
    <w:rsid w:val="00D1151A"/>
    <w:rsid w:val="00D11E47"/>
    <w:rsid w:val="00D1647F"/>
    <w:rsid w:val="00D1708C"/>
    <w:rsid w:val="00D20A39"/>
    <w:rsid w:val="00D20D8A"/>
    <w:rsid w:val="00D3064C"/>
    <w:rsid w:val="00D32282"/>
    <w:rsid w:val="00D342BC"/>
    <w:rsid w:val="00D378A7"/>
    <w:rsid w:val="00D404CA"/>
    <w:rsid w:val="00D4394B"/>
    <w:rsid w:val="00D4411A"/>
    <w:rsid w:val="00D446DD"/>
    <w:rsid w:val="00D44A84"/>
    <w:rsid w:val="00D52F97"/>
    <w:rsid w:val="00D57A38"/>
    <w:rsid w:val="00D62134"/>
    <w:rsid w:val="00D62789"/>
    <w:rsid w:val="00D63FF0"/>
    <w:rsid w:val="00D672CC"/>
    <w:rsid w:val="00D72D8D"/>
    <w:rsid w:val="00D74A70"/>
    <w:rsid w:val="00D7610D"/>
    <w:rsid w:val="00D77540"/>
    <w:rsid w:val="00D81779"/>
    <w:rsid w:val="00D8238D"/>
    <w:rsid w:val="00D965B2"/>
    <w:rsid w:val="00DA4595"/>
    <w:rsid w:val="00DA4CF6"/>
    <w:rsid w:val="00DA56B4"/>
    <w:rsid w:val="00DA5ED1"/>
    <w:rsid w:val="00DA7705"/>
    <w:rsid w:val="00DB0B75"/>
    <w:rsid w:val="00DB2E14"/>
    <w:rsid w:val="00DB3A4B"/>
    <w:rsid w:val="00DB7352"/>
    <w:rsid w:val="00DC3A1E"/>
    <w:rsid w:val="00DC67BC"/>
    <w:rsid w:val="00DC745F"/>
    <w:rsid w:val="00DD0F06"/>
    <w:rsid w:val="00DD4B1D"/>
    <w:rsid w:val="00DD536C"/>
    <w:rsid w:val="00DE275D"/>
    <w:rsid w:val="00DE6D67"/>
    <w:rsid w:val="00DE6E04"/>
    <w:rsid w:val="00DF0F6F"/>
    <w:rsid w:val="00DF59CF"/>
    <w:rsid w:val="00E115C0"/>
    <w:rsid w:val="00E11AA3"/>
    <w:rsid w:val="00E12C4E"/>
    <w:rsid w:val="00E147A9"/>
    <w:rsid w:val="00E212DB"/>
    <w:rsid w:val="00E22C99"/>
    <w:rsid w:val="00E235D0"/>
    <w:rsid w:val="00E27E71"/>
    <w:rsid w:val="00E303BD"/>
    <w:rsid w:val="00E320BB"/>
    <w:rsid w:val="00E32913"/>
    <w:rsid w:val="00E3545B"/>
    <w:rsid w:val="00E35B76"/>
    <w:rsid w:val="00E43408"/>
    <w:rsid w:val="00E43F18"/>
    <w:rsid w:val="00E44ECB"/>
    <w:rsid w:val="00E4650F"/>
    <w:rsid w:val="00E57E3A"/>
    <w:rsid w:val="00E62DD2"/>
    <w:rsid w:val="00E722C0"/>
    <w:rsid w:val="00E75B2F"/>
    <w:rsid w:val="00E77740"/>
    <w:rsid w:val="00E87EEB"/>
    <w:rsid w:val="00EA2DFE"/>
    <w:rsid w:val="00EA3B20"/>
    <w:rsid w:val="00EA68D9"/>
    <w:rsid w:val="00EA6AB0"/>
    <w:rsid w:val="00EB0A3C"/>
    <w:rsid w:val="00EB49BF"/>
    <w:rsid w:val="00EB528E"/>
    <w:rsid w:val="00EB7F1F"/>
    <w:rsid w:val="00EC1EFD"/>
    <w:rsid w:val="00EC3719"/>
    <w:rsid w:val="00EC4013"/>
    <w:rsid w:val="00EC7E14"/>
    <w:rsid w:val="00ED0A60"/>
    <w:rsid w:val="00ED1649"/>
    <w:rsid w:val="00ED20A7"/>
    <w:rsid w:val="00EE134F"/>
    <w:rsid w:val="00EE312C"/>
    <w:rsid w:val="00EE36DD"/>
    <w:rsid w:val="00EE3C22"/>
    <w:rsid w:val="00EF2CD0"/>
    <w:rsid w:val="00EF2F7B"/>
    <w:rsid w:val="00F029B3"/>
    <w:rsid w:val="00F03B50"/>
    <w:rsid w:val="00F06DFA"/>
    <w:rsid w:val="00F07130"/>
    <w:rsid w:val="00F1141F"/>
    <w:rsid w:val="00F17D50"/>
    <w:rsid w:val="00F26AB4"/>
    <w:rsid w:val="00F3286D"/>
    <w:rsid w:val="00F3464D"/>
    <w:rsid w:val="00F3672D"/>
    <w:rsid w:val="00F408B6"/>
    <w:rsid w:val="00F43752"/>
    <w:rsid w:val="00F5189F"/>
    <w:rsid w:val="00F5274F"/>
    <w:rsid w:val="00F60721"/>
    <w:rsid w:val="00F60813"/>
    <w:rsid w:val="00F62577"/>
    <w:rsid w:val="00F7730A"/>
    <w:rsid w:val="00F874F0"/>
    <w:rsid w:val="00F93DFB"/>
    <w:rsid w:val="00FA1FCD"/>
    <w:rsid w:val="00FB0E66"/>
    <w:rsid w:val="00FB504A"/>
    <w:rsid w:val="00FB67C6"/>
    <w:rsid w:val="00FB6B77"/>
    <w:rsid w:val="00FB7282"/>
    <w:rsid w:val="00FB78FA"/>
    <w:rsid w:val="00FC0B8D"/>
    <w:rsid w:val="00FC5AEE"/>
    <w:rsid w:val="00FC5F0A"/>
    <w:rsid w:val="00FC7715"/>
    <w:rsid w:val="00FE6310"/>
    <w:rsid w:val="00FE7F46"/>
    <w:rsid w:val="00FF1966"/>
    <w:rsid w:val="00FF1C50"/>
    <w:rsid w:val="00FF308C"/>
    <w:rsid w:val="00FF574A"/>
    <w:rsid w:val="00FF6C45"/>
    <w:rsid w:val="00FF6E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88EA"/>
  <w15:docId w15:val="{5C25FCF5-2B95-4AA9-B042-E220081D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FootnoteText">
    <w:name w:val="footnote text"/>
    <w:basedOn w:val="Normal"/>
    <w:link w:val="FootnoteTextChar"/>
    <w:uiPriority w:val="99"/>
    <w:unhideWhenUsed/>
    <w:rsid w:val="00897051"/>
    <w:pPr>
      <w:spacing w:after="0" w:line="240" w:lineRule="auto"/>
    </w:pPr>
    <w:rPr>
      <w:sz w:val="20"/>
      <w:szCs w:val="20"/>
    </w:rPr>
  </w:style>
  <w:style w:type="character" w:customStyle="1" w:styleId="FootnoteTextChar">
    <w:name w:val="Footnote Text Char"/>
    <w:basedOn w:val="DefaultParagraphFont"/>
    <w:link w:val="FootnoteText"/>
    <w:uiPriority w:val="99"/>
    <w:rsid w:val="00897051"/>
    <w:rPr>
      <w:sz w:val="20"/>
      <w:szCs w:val="20"/>
    </w:rPr>
  </w:style>
  <w:style w:type="character" w:styleId="FootnoteReference">
    <w:name w:val="footnote reference"/>
    <w:basedOn w:val="DefaultParagraphFont"/>
    <w:uiPriority w:val="99"/>
    <w:unhideWhenUsed/>
    <w:rsid w:val="00897051"/>
    <w:rPr>
      <w:vertAlign w:val="superscript"/>
    </w:rPr>
  </w:style>
  <w:style w:type="paragraph" w:styleId="Header">
    <w:name w:val="header"/>
    <w:basedOn w:val="Normal"/>
    <w:link w:val="HeaderChar"/>
    <w:uiPriority w:val="99"/>
    <w:unhideWhenUsed/>
    <w:rsid w:val="000E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FE2"/>
  </w:style>
  <w:style w:type="paragraph" w:styleId="Footer">
    <w:name w:val="footer"/>
    <w:basedOn w:val="Normal"/>
    <w:link w:val="FooterChar"/>
    <w:uiPriority w:val="99"/>
    <w:unhideWhenUsed/>
    <w:rsid w:val="000E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FE2"/>
  </w:style>
  <w:style w:type="paragraph" w:styleId="BalloonText">
    <w:name w:val="Balloon Text"/>
    <w:basedOn w:val="Normal"/>
    <w:link w:val="BalloonTextChar"/>
    <w:uiPriority w:val="99"/>
    <w:semiHidden/>
    <w:unhideWhenUsed/>
    <w:rsid w:val="002B7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25"/>
    <w:rPr>
      <w:rFonts w:ascii="Segoe UI" w:hAnsi="Segoe UI" w:cs="Segoe UI"/>
      <w:sz w:val="18"/>
      <w:szCs w:val="18"/>
    </w:rPr>
  </w:style>
  <w:style w:type="paragraph" w:styleId="BodyText">
    <w:name w:val="Body Text"/>
    <w:basedOn w:val="Normal"/>
    <w:link w:val="BodyTextChar"/>
    <w:rsid w:val="003331E5"/>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331E5"/>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3331E5"/>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31E5"/>
    <w:rPr>
      <w:rFonts w:ascii="Times New Roman" w:eastAsia="Times New Roman" w:hAnsi="Times New Roman" w:cs="Times New Roman"/>
      <w:sz w:val="24"/>
      <w:szCs w:val="24"/>
      <w:lang w:val="en-GB"/>
    </w:rPr>
  </w:style>
  <w:style w:type="paragraph" w:styleId="NoSpacing">
    <w:name w:val="No Spacing"/>
    <w:uiPriority w:val="1"/>
    <w:qFormat/>
    <w:rsid w:val="0096727E"/>
    <w:pPr>
      <w:spacing w:after="0" w:line="240" w:lineRule="auto"/>
    </w:pPr>
    <w:rPr>
      <w:lang w:val="en-ZA"/>
    </w:rPr>
  </w:style>
  <w:style w:type="character" w:customStyle="1" w:styleId="akn-p">
    <w:name w:val="akn-p"/>
    <w:basedOn w:val="DefaultParagraphFont"/>
    <w:rsid w:val="0051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3859">
      <w:bodyDiv w:val="1"/>
      <w:marLeft w:val="0"/>
      <w:marRight w:val="0"/>
      <w:marTop w:val="0"/>
      <w:marBottom w:val="0"/>
      <w:divBdr>
        <w:top w:val="none" w:sz="0" w:space="0" w:color="auto"/>
        <w:left w:val="none" w:sz="0" w:space="0" w:color="auto"/>
        <w:bottom w:val="none" w:sz="0" w:space="0" w:color="auto"/>
        <w:right w:val="none" w:sz="0" w:space="0" w:color="auto"/>
      </w:divBdr>
    </w:div>
    <w:div w:id="15514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2023-06-21T18:30:00+00:00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7435-0DE4-4143-B657-0E1927E854A9}"/>
</file>

<file path=customXml/itemProps2.xml><?xml version="1.0" encoding="utf-8"?>
<ds:datastoreItem xmlns:ds="http://schemas.openxmlformats.org/officeDocument/2006/customXml" ds:itemID="{FF3F1B75-A460-42A5-B032-4BB21B5EF5B8}"/>
</file>

<file path=customXml/itemProps3.xml><?xml version="1.0" encoding="utf-8"?>
<ds:datastoreItem xmlns:ds="http://schemas.openxmlformats.org/officeDocument/2006/customXml" ds:itemID="{8C5DE0FD-C412-4409-BC08-02F0E3DEEBB6}"/>
</file>

<file path=customXml/itemProps4.xml><?xml version="1.0" encoding="utf-8"?>
<ds:datastoreItem xmlns:ds="http://schemas.openxmlformats.org/officeDocument/2006/customXml" ds:itemID="{E3CB4A8F-19FC-4D7D-B26B-BE9DBEC9A230}"/>
</file>

<file path=docProps/app.xml><?xml version="1.0" encoding="utf-8"?>
<Properties xmlns="http://schemas.openxmlformats.org/officeDocument/2006/extended-properties" xmlns:vt="http://schemas.openxmlformats.org/officeDocument/2006/docPropsVTypes">
  <Template>Normal</Template>
  <TotalTime>0</TotalTime>
  <Pages>12</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Krylov v S (CC 32-2018) [2023] NAHCMD 349 (22 June 2023)</dc:title>
  <dc:subject/>
  <dc:creator>Christie Liebenberg</dc:creator>
  <cp:keywords/>
  <dc:description/>
  <cp:lastModifiedBy>Ernestine N. Jansen</cp:lastModifiedBy>
  <cp:revision>2</cp:revision>
  <cp:lastPrinted>2023-06-22T11:59:00Z</cp:lastPrinted>
  <dcterms:created xsi:type="dcterms:W3CDTF">2023-06-22T14:25:00Z</dcterms:created>
  <dcterms:modified xsi:type="dcterms:W3CDTF">2023-06-22T14:25:00Z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