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713D" w14:textId="77777777" w:rsidR="00D31783" w:rsidRDefault="00D31783" w:rsidP="00D31783">
      <w:pPr>
        <w:spacing w:line="360" w:lineRule="auto"/>
        <w:jc w:val="center"/>
        <w:rPr>
          <w:rFonts w:ascii="Arial" w:eastAsia="Calibri" w:hAnsi="Arial" w:cs="Arial"/>
          <w:b/>
          <w:noProof/>
          <w:lang w:val="en-US"/>
        </w:rPr>
      </w:pPr>
      <w:r>
        <w:rPr>
          <w:rFonts w:ascii="Arial" w:eastAsia="Calibri" w:hAnsi="Arial" w:cs="Arial"/>
          <w:b/>
          <w:noProof/>
          <w:lang w:val="en-US"/>
        </w:rPr>
        <w:t>REPUBLIC OF NAMIBIA</w:t>
      </w:r>
    </w:p>
    <w:p w14:paraId="46271E08" w14:textId="77777777" w:rsidR="00D31783" w:rsidRDefault="00D31783" w:rsidP="00D31783">
      <w:pPr>
        <w:spacing w:line="360" w:lineRule="auto"/>
        <w:jc w:val="center"/>
        <w:rPr>
          <w:rFonts w:ascii="Arial" w:hAnsi="Arial"/>
          <w:b/>
        </w:rPr>
      </w:pPr>
      <w:r w:rsidRPr="00D06B3E">
        <w:rPr>
          <w:rFonts w:ascii="Calibri" w:eastAsia="Calibri" w:hAnsi="Calibri"/>
          <w:b/>
          <w:noProof/>
          <w:sz w:val="32"/>
          <w:szCs w:val="32"/>
          <w:lang w:val="en-US"/>
        </w:rPr>
        <w:drawing>
          <wp:inline distT="0" distB="0" distL="0" distR="0" wp14:anchorId="65B7EFD2" wp14:editId="5C78401A">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27818783" w14:textId="4B4CE329" w:rsidR="00D5185C" w:rsidRDefault="00D5185C" w:rsidP="00D31783">
      <w:pPr>
        <w:spacing w:line="360" w:lineRule="auto"/>
        <w:jc w:val="center"/>
        <w:rPr>
          <w:rFonts w:ascii="Arial" w:hAnsi="Arial"/>
          <w:b/>
        </w:rPr>
      </w:pPr>
      <w:r>
        <w:rPr>
          <w:rFonts w:ascii="Arial" w:hAnsi="Arial"/>
          <w:b/>
        </w:rPr>
        <w:t>HIGH COURT OF NAMIBIA, MAIN DIVISION, WINDHOEK</w:t>
      </w:r>
    </w:p>
    <w:p w14:paraId="2F387785" w14:textId="18C1860D" w:rsidR="00D5185C" w:rsidRDefault="00D5185C" w:rsidP="00D31783">
      <w:pPr>
        <w:spacing w:line="360" w:lineRule="auto"/>
        <w:jc w:val="center"/>
        <w:rPr>
          <w:rFonts w:ascii="Arial" w:hAnsi="Arial"/>
          <w:b/>
        </w:rPr>
      </w:pPr>
      <w:r>
        <w:rPr>
          <w:rFonts w:ascii="Arial" w:hAnsi="Arial"/>
          <w:b/>
        </w:rPr>
        <w:t>RULIN</w:t>
      </w:r>
      <w:r w:rsidR="00CB60AB">
        <w:rPr>
          <w:rFonts w:ascii="Arial" w:hAnsi="Arial"/>
          <w:b/>
        </w:rPr>
        <w:t>G ON ADMISSIILITY OF EXHIBITS</w:t>
      </w:r>
    </w:p>
    <w:p w14:paraId="5DCAFEFF" w14:textId="77777777" w:rsidR="00D5185C" w:rsidRDefault="00D5185C" w:rsidP="00D31783">
      <w:pPr>
        <w:spacing w:line="360" w:lineRule="auto"/>
        <w:rPr>
          <w:rFonts w:ascii="Arial" w:hAnsi="Arial"/>
          <w:b/>
        </w:rPr>
      </w:pPr>
    </w:p>
    <w:p w14:paraId="1948E613" w14:textId="22DE0F56" w:rsidR="00D5185C" w:rsidRDefault="00A25D8C" w:rsidP="00A25D8C">
      <w:pPr>
        <w:tabs>
          <w:tab w:val="right" w:pos="8280"/>
        </w:tabs>
        <w:spacing w:line="360" w:lineRule="auto"/>
        <w:jc w:val="right"/>
        <w:rPr>
          <w:rFonts w:ascii="Arial" w:hAnsi="Arial"/>
          <w:b/>
        </w:rPr>
      </w:pPr>
      <w:r>
        <w:rPr>
          <w:rFonts w:ascii="Arial" w:hAnsi="Arial"/>
          <w:b/>
        </w:rPr>
        <w:tab/>
      </w:r>
      <w:r w:rsidR="00D5185C">
        <w:rPr>
          <w:rFonts w:ascii="Arial" w:hAnsi="Arial"/>
          <w:b/>
        </w:rPr>
        <w:t>CC 20/2013</w:t>
      </w:r>
    </w:p>
    <w:p w14:paraId="1CAF2E76" w14:textId="77777777" w:rsidR="00D5185C" w:rsidRDefault="00D5185C" w:rsidP="00D31783">
      <w:pPr>
        <w:spacing w:line="360" w:lineRule="auto"/>
        <w:rPr>
          <w:rFonts w:ascii="Arial" w:hAnsi="Arial"/>
        </w:rPr>
      </w:pPr>
      <w:r>
        <w:rPr>
          <w:rFonts w:ascii="Arial" w:hAnsi="Arial"/>
        </w:rPr>
        <w:t>In the matter between:</w:t>
      </w:r>
    </w:p>
    <w:p w14:paraId="07962A41" w14:textId="77777777" w:rsidR="00D5185C" w:rsidRDefault="00D5185C" w:rsidP="00D31783">
      <w:pPr>
        <w:spacing w:line="360" w:lineRule="auto"/>
        <w:rPr>
          <w:rFonts w:ascii="Arial" w:hAnsi="Arial"/>
        </w:rPr>
      </w:pPr>
    </w:p>
    <w:p w14:paraId="26DFBABC" w14:textId="77777777" w:rsidR="00D5185C" w:rsidRDefault="00D5185C" w:rsidP="00D31783">
      <w:pPr>
        <w:spacing w:line="360" w:lineRule="auto"/>
        <w:rPr>
          <w:rFonts w:ascii="Arial" w:hAnsi="Arial"/>
          <w:b/>
        </w:rPr>
      </w:pPr>
      <w:r>
        <w:rPr>
          <w:rFonts w:ascii="Arial" w:hAnsi="Arial"/>
          <w:b/>
        </w:rPr>
        <w:t xml:space="preserve">THE STATE  </w:t>
      </w:r>
    </w:p>
    <w:p w14:paraId="700B7DD5" w14:textId="77777777" w:rsidR="00D5185C" w:rsidRDefault="00D5185C" w:rsidP="00D31783">
      <w:pPr>
        <w:spacing w:line="360" w:lineRule="auto"/>
        <w:rPr>
          <w:rFonts w:ascii="Arial" w:hAnsi="Arial"/>
          <w:b/>
        </w:rPr>
      </w:pPr>
    </w:p>
    <w:p w14:paraId="03E755C9" w14:textId="77777777" w:rsidR="00D5185C" w:rsidRDefault="00D5185C" w:rsidP="00D31783">
      <w:pPr>
        <w:spacing w:line="360" w:lineRule="auto"/>
        <w:rPr>
          <w:rFonts w:ascii="Arial" w:hAnsi="Arial"/>
        </w:rPr>
      </w:pPr>
      <w:r>
        <w:rPr>
          <w:rFonts w:ascii="Arial" w:hAnsi="Arial"/>
        </w:rPr>
        <w:t>and</w:t>
      </w:r>
    </w:p>
    <w:p w14:paraId="5CD2A7CE" w14:textId="77777777" w:rsidR="00D5185C" w:rsidRDefault="00D5185C" w:rsidP="00D31783">
      <w:pPr>
        <w:spacing w:line="360" w:lineRule="auto"/>
        <w:rPr>
          <w:rFonts w:ascii="Arial" w:hAnsi="Arial"/>
        </w:rPr>
      </w:pPr>
    </w:p>
    <w:p w14:paraId="79A0B7A4" w14:textId="2DFE7D7A" w:rsidR="00D5185C" w:rsidRDefault="00D5185C" w:rsidP="00A25D8C">
      <w:pPr>
        <w:tabs>
          <w:tab w:val="right" w:pos="8280"/>
        </w:tabs>
        <w:spacing w:line="360" w:lineRule="auto"/>
        <w:rPr>
          <w:rFonts w:ascii="Arial" w:hAnsi="Arial"/>
          <w:b/>
        </w:rPr>
      </w:pPr>
      <w:r>
        <w:rPr>
          <w:rFonts w:ascii="Arial" w:hAnsi="Arial"/>
          <w:b/>
        </w:rPr>
        <w:t xml:space="preserve">DIRK HENDRIK CONRADIE                                               </w:t>
      </w:r>
      <w:r w:rsidR="00A25D8C">
        <w:rPr>
          <w:rFonts w:ascii="Arial" w:hAnsi="Arial"/>
          <w:b/>
        </w:rPr>
        <w:tab/>
      </w:r>
      <w:r>
        <w:rPr>
          <w:rFonts w:ascii="Arial" w:hAnsi="Arial"/>
          <w:b/>
        </w:rPr>
        <w:t>FIRST ACCUSED</w:t>
      </w:r>
    </w:p>
    <w:p w14:paraId="25B21573" w14:textId="43966BDA" w:rsidR="00D5185C" w:rsidRDefault="00D5185C" w:rsidP="00A25D8C">
      <w:pPr>
        <w:tabs>
          <w:tab w:val="right" w:pos="8280"/>
        </w:tabs>
        <w:spacing w:line="360" w:lineRule="auto"/>
        <w:rPr>
          <w:rFonts w:ascii="Arial" w:hAnsi="Arial"/>
          <w:b/>
        </w:rPr>
      </w:pPr>
      <w:r>
        <w:rPr>
          <w:rFonts w:ascii="Arial" w:hAnsi="Arial"/>
          <w:b/>
        </w:rPr>
        <w:t xml:space="preserve">SARA NGENOHANDI DAMASES                                   </w:t>
      </w:r>
      <w:r w:rsidR="00A25D8C">
        <w:rPr>
          <w:rFonts w:ascii="Arial" w:hAnsi="Arial"/>
          <w:b/>
        </w:rPr>
        <w:tab/>
      </w:r>
      <w:r>
        <w:rPr>
          <w:rFonts w:ascii="Arial" w:hAnsi="Arial"/>
          <w:b/>
        </w:rPr>
        <w:t>SECOND ACCUSED</w:t>
      </w:r>
    </w:p>
    <w:p w14:paraId="14F9B865" w14:textId="77777777" w:rsidR="000A2C2E" w:rsidRDefault="000A2C2E" w:rsidP="00D31783">
      <w:pPr>
        <w:spacing w:line="360" w:lineRule="auto"/>
        <w:rPr>
          <w:rFonts w:ascii="Arial" w:hAnsi="Arial"/>
          <w:b/>
        </w:rPr>
      </w:pPr>
    </w:p>
    <w:p w14:paraId="4C6A474F" w14:textId="715372F5" w:rsidR="00A54812" w:rsidRPr="00CB60AB" w:rsidRDefault="00D31783" w:rsidP="00A54812">
      <w:pPr>
        <w:ind w:left="2160" w:hanging="2160"/>
        <w:rPr>
          <w:rFonts w:ascii="Arial" w:hAnsi="Arial" w:cs="Arial"/>
        </w:rPr>
      </w:pPr>
      <w:r>
        <w:rPr>
          <w:rFonts w:ascii="Arial" w:hAnsi="Arial"/>
          <w:b/>
        </w:rPr>
        <w:t>Neutral Citation:</w:t>
      </w:r>
      <w:r>
        <w:rPr>
          <w:rFonts w:ascii="Arial" w:hAnsi="Arial"/>
          <w:b/>
        </w:rPr>
        <w:tab/>
      </w:r>
      <w:r w:rsidR="00A54812">
        <w:rPr>
          <w:rFonts w:ascii="Arial" w:hAnsi="Arial" w:cs="Arial"/>
          <w:i/>
        </w:rPr>
        <w:t>S</w:t>
      </w:r>
      <w:r w:rsidR="00A54812" w:rsidRPr="00595880">
        <w:rPr>
          <w:rFonts w:ascii="Arial" w:hAnsi="Arial" w:cs="Arial"/>
          <w:i/>
        </w:rPr>
        <w:t xml:space="preserve"> v Conradie &amp; Another (</w:t>
      </w:r>
      <w:r w:rsidR="00A54812" w:rsidRPr="00CB60AB">
        <w:rPr>
          <w:rFonts w:ascii="Arial" w:hAnsi="Arial" w:cs="Arial"/>
        </w:rPr>
        <w:t xml:space="preserve">CC 20/2013) [2023] NAHCMD </w:t>
      </w:r>
      <w:r w:rsidR="00BF6DDD">
        <w:rPr>
          <w:rFonts w:ascii="Arial" w:hAnsi="Arial" w:cs="Arial"/>
        </w:rPr>
        <w:t xml:space="preserve">524 </w:t>
      </w:r>
      <w:r w:rsidR="00A54812" w:rsidRPr="00CB60AB">
        <w:rPr>
          <w:rFonts w:ascii="Arial" w:hAnsi="Arial" w:cs="Arial"/>
        </w:rPr>
        <w:t>(25 August 2023)</w:t>
      </w:r>
    </w:p>
    <w:p w14:paraId="264028A3" w14:textId="77777777" w:rsidR="000A2C2E" w:rsidRDefault="000A2C2E" w:rsidP="00D31783">
      <w:pPr>
        <w:spacing w:line="360" w:lineRule="auto"/>
        <w:rPr>
          <w:rFonts w:ascii="Arial" w:hAnsi="Arial"/>
        </w:rPr>
      </w:pPr>
    </w:p>
    <w:p w14:paraId="6F3CE457" w14:textId="53404E6E" w:rsidR="00A54812" w:rsidRPr="00CB60AB" w:rsidRDefault="00A54812" w:rsidP="00A54812">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704F8E4D" w14:textId="0C1C693F" w:rsidR="00A54812" w:rsidRPr="00AA2429" w:rsidRDefault="00A54812" w:rsidP="00A54812">
      <w:pPr>
        <w:spacing w:line="360" w:lineRule="auto"/>
        <w:jc w:val="both"/>
        <w:rPr>
          <w:rFonts w:ascii="Arial" w:hAnsi="Arial"/>
          <w:b/>
        </w:rPr>
      </w:pPr>
      <w:r>
        <w:rPr>
          <w:rFonts w:ascii="Arial" w:hAnsi="Arial"/>
          <w:b/>
        </w:rPr>
        <w:t>Heard:</w:t>
      </w:r>
      <w:r>
        <w:rPr>
          <w:rFonts w:ascii="Arial" w:hAnsi="Arial"/>
          <w:b/>
        </w:rPr>
        <w:tab/>
      </w:r>
      <w:r w:rsidR="00AA2429">
        <w:rPr>
          <w:rFonts w:ascii="Arial" w:hAnsi="Arial"/>
          <w:b/>
        </w:rPr>
        <w:t>4 August</w:t>
      </w:r>
      <w:r w:rsidRPr="00AA2429">
        <w:rPr>
          <w:rFonts w:ascii="Arial" w:hAnsi="Arial"/>
          <w:b/>
        </w:rPr>
        <w:t xml:space="preserve"> 2023</w:t>
      </w:r>
    </w:p>
    <w:p w14:paraId="371301E8" w14:textId="77777777" w:rsidR="00A54812" w:rsidRPr="00AA2429" w:rsidRDefault="00A54812" w:rsidP="00A54812">
      <w:pPr>
        <w:spacing w:line="360" w:lineRule="auto"/>
        <w:jc w:val="both"/>
        <w:rPr>
          <w:rFonts w:ascii="Arial" w:hAnsi="Arial"/>
          <w:b/>
        </w:rPr>
      </w:pPr>
      <w:r w:rsidRPr="00AA2429">
        <w:rPr>
          <w:rFonts w:ascii="Arial" w:hAnsi="Arial"/>
          <w:b/>
        </w:rPr>
        <w:t>Delivered:</w:t>
      </w:r>
      <w:r w:rsidRPr="00AA2429">
        <w:rPr>
          <w:rFonts w:ascii="Arial" w:hAnsi="Arial"/>
          <w:b/>
        </w:rPr>
        <w:tab/>
        <w:t>25 August 2023</w:t>
      </w:r>
    </w:p>
    <w:p w14:paraId="6B7BC60D" w14:textId="77777777" w:rsidR="00A54812" w:rsidRDefault="00A54812" w:rsidP="00D31783">
      <w:pPr>
        <w:spacing w:line="360" w:lineRule="auto"/>
        <w:rPr>
          <w:rFonts w:ascii="Arial" w:hAnsi="Arial"/>
        </w:rPr>
      </w:pPr>
    </w:p>
    <w:p w14:paraId="397C1244" w14:textId="607463AC" w:rsidR="000A2C2E" w:rsidRDefault="000A2C2E" w:rsidP="00D31783">
      <w:pPr>
        <w:spacing w:line="360" w:lineRule="auto"/>
        <w:jc w:val="both"/>
        <w:rPr>
          <w:rFonts w:ascii="Arial" w:hAnsi="Arial"/>
        </w:rPr>
      </w:pPr>
      <w:proofErr w:type="spellStart"/>
      <w:r>
        <w:rPr>
          <w:rFonts w:ascii="Arial" w:hAnsi="Arial"/>
          <w:b/>
        </w:rPr>
        <w:t>Flynote</w:t>
      </w:r>
      <w:proofErr w:type="spellEnd"/>
      <w:r>
        <w:rPr>
          <w:rFonts w:ascii="Arial" w:hAnsi="Arial"/>
          <w:b/>
        </w:rPr>
        <w:t>:</w:t>
      </w:r>
      <w:r>
        <w:rPr>
          <w:rFonts w:ascii="Arial" w:hAnsi="Arial"/>
          <w:b/>
        </w:rPr>
        <w:tab/>
      </w:r>
      <w:r>
        <w:rPr>
          <w:rFonts w:ascii="Arial" w:hAnsi="Arial"/>
        </w:rPr>
        <w:t xml:space="preserve">Criminal </w:t>
      </w:r>
      <w:r w:rsidR="00963D6F">
        <w:rPr>
          <w:rFonts w:ascii="Arial" w:hAnsi="Arial"/>
        </w:rPr>
        <w:t>Law – The L</w:t>
      </w:r>
      <w:r>
        <w:rPr>
          <w:rFonts w:ascii="Arial" w:hAnsi="Arial"/>
        </w:rPr>
        <w:t xml:space="preserve">aw of Evidence – Receiving of exhibits – Onus on State to prove that evidence sought to be admitted in evidence is reliable, </w:t>
      </w:r>
      <w:proofErr w:type="gramStart"/>
      <w:r>
        <w:rPr>
          <w:rFonts w:ascii="Arial" w:hAnsi="Arial"/>
        </w:rPr>
        <w:t>authentic</w:t>
      </w:r>
      <w:proofErr w:type="gramEnd"/>
      <w:r>
        <w:rPr>
          <w:rFonts w:ascii="Arial" w:hAnsi="Arial"/>
        </w:rPr>
        <w:t xml:space="preserve"> and accurate – Constitution – Article 12(1)(</w:t>
      </w:r>
      <w:r>
        <w:rPr>
          <w:rFonts w:ascii="Arial" w:hAnsi="Arial"/>
          <w:i/>
        </w:rPr>
        <w:t>d</w:t>
      </w:r>
      <w:r>
        <w:rPr>
          <w:rFonts w:ascii="Arial" w:hAnsi="Arial"/>
        </w:rPr>
        <w:t xml:space="preserve">) – Fair trial rights – Death of a State witness deprives the accused persons the right to cross examine </w:t>
      </w:r>
      <w:r w:rsidR="00222A1A">
        <w:rPr>
          <w:rFonts w:ascii="Arial" w:hAnsi="Arial"/>
        </w:rPr>
        <w:t xml:space="preserve">that witness </w:t>
      </w:r>
      <w:r>
        <w:rPr>
          <w:rFonts w:ascii="Arial" w:hAnsi="Arial"/>
        </w:rPr>
        <w:t>on the authenticity, reliability and accuracy of the exhibits in question.</w:t>
      </w:r>
    </w:p>
    <w:p w14:paraId="06304436" w14:textId="77777777" w:rsidR="000A2C2E" w:rsidRDefault="000A2C2E" w:rsidP="00D31783">
      <w:pPr>
        <w:spacing w:line="360" w:lineRule="auto"/>
        <w:jc w:val="both"/>
        <w:rPr>
          <w:rFonts w:ascii="Arial" w:hAnsi="Arial"/>
        </w:rPr>
      </w:pPr>
    </w:p>
    <w:p w14:paraId="41DF4D22" w14:textId="38FBCF83" w:rsidR="000A2C2E" w:rsidRDefault="000A2C2E" w:rsidP="00D31783">
      <w:pPr>
        <w:spacing w:line="360" w:lineRule="auto"/>
        <w:jc w:val="both"/>
        <w:rPr>
          <w:rFonts w:ascii="Arial" w:hAnsi="Arial"/>
        </w:rPr>
      </w:pPr>
      <w:r>
        <w:rPr>
          <w:rFonts w:ascii="Arial" w:hAnsi="Arial"/>
          <w:b/>
        </w:rPr>
        <w:lastRenderedPageBreak/>
        <w:t>Summary:</w:t>
      </w:r>
      <w:r>
        <w:rPr>
          <w:rFonts w:ascii="Arial" w:hAnsi="Arial"/>
          <w:b/>
        </w:rPr>
        <w:tab/>
      </w:r>
      <w:r>
        <w:rPr>
          <w:rFonts w:ascii="Arial" w:hAnsi="Arial"/>
        </w:rPr>
        <w:t>The accused persons were jointly charged with the contrave</w:t>
      </w:r>
      <w:r w:rsidR="005D769D">
        <w:rPr>
          <w:rFonts w:ascii="Arial" w:hAnsi="Arial"/>
        </w:rPr>
        <w:t>ntion of provisions of the Anti-</w:t>
      </w:r>
      <w:r>
        <w:rPr>
          <w:rFonts w:ascii="Arial" w:hAnsi="Arial"/>
        </w:rPr>
        <w:t>Corruption Act 6 of 2003</w:t>
      </w:r>
      <w:r w:rsidR="005D769D">
        <w:rPr>
          <w:rFonts w:ascii="Arial" w:hAnsi="Arial"/>
        </w:rPr>
        <w:t>. The first accused</w:t>
      </w:r>
      <w:r w:rsidR="00CB60AB">
        <w:rPr>
          <w:rFonts w:ascii="Arial" w:hAnsi="Arial"/>
        </w:rPr>
        <w:t xml:space="preserve"> was additionally charged with a</w:t>
      </w:r>
      <w:r w:rsidR="005D769D">
        <w:rPr>
          <w:rFonts w:ascii="Arial" w:hAnsi="Arial"/>
        </w:rPr>
        <w:t xml:space="preserve"> single count </w:t>
      </w:r>
      <w:r w:rsidR="00CB60AB">
        <w:rPr>
          <w:rFonts w:ascii="Arial" w:hAnsi="Arial"/>
        </w:rPr>
        <w:t xml:space="preserve">of contravening </w:t>
      </w:r>
      <w:r w:rsidR="005D769D">
        <w:rPr>
          <w:rFonts w:ascii="Arial" w:hAnsi="Arial"/>
        </w:rPr>
        <w:t>s</w:t>
      </w:r>
      <w:r w:rsidR="00CB60AB">
        <w:rPr>
          <w:rFonts w:ascii="Arial" w:hAnsi="Arial"/>
        </w:rPr>
        <w:t>ection 242</w:t>
      </w:r>
      <w:r w:rsidR="005D769D">
        <w:rPr>
          <w:rFonts w:ascii="Arial" w:hAnsi="Arial"/>
        </w:rPr>
        <w:t xml:space="preserve"> of the Companies Act 28 of 2008. At the early stages of the proceedings, the court, after an agreement by the parties, allowed the provisional admission of two exhibits, being </w:t>
      </w:r>
      <w:r w:rsidR="00CB60AB">
        <w:rPr>
          <w:rFonts w:ascii="Arial" w:hAnsi="Arial"/>
        </w:rPr>
        <w:t xml:space="preserve">a </w:t>
      </w:r>
      <w:r w:rsidR="005D769D">
        <w:rPr>
          <w:rFonts w:ascii="Arial" w:hAnsi="Arial"/>
        </w:rPr>
        <w:t>Compact Disc and a transcript of the contents of the said disc. The defence was entitled to challenge the final admissibility of the said exhibits in due course. Later in the trial, the witness who was to testify regarding the said exhibits passed away and the State sought an order finally ad</w:t>
      </w:r>
      <w:r w:rsidR="001E6664">
        <w:rPr>
          <w:rFonts w:ascii="Arial" w:hAnsi="Arial"/>
        </w:rPr>
        <w:t>mitting the exhibits, which was opposed by the defence.</w:t>
      </w:r>
      <w:r w:rsidR="005D769D">
        <w:rPr>
          <w:rFonts w:ascii="Arial" w:hAnsi="Arial"/>
        </w:rPr>
        <w:t xml:space="preserve"> </w:t>
      </w:r>
    </w:p>
    <w:p w14:paraId="7EE38EE6" w14:textId="77777777" w:rsidR="001E6664" w:rsidRDefault="001E6664" w:rsidP="00D31783">
      <w:pPr>
        <w:spacing w:line="360" w:lineRule="auto"/>
        <w:jc w:val="both"/>
        <w:rPr>
          <w:rFonts w:ascii="Arial" w:hAnsi="Arial"/>
        </w:rPr>
      </w:pPr>
    </w:p>
    <w:p w14:paraId="7AEE18D8" w14:textId="4C7BDD01" w:rsidR="001E6664" w:rsidRDefault="001E6664" w:rsidP="00D31783">
      <w:pPr>
        <w:spacing w:line="360" w:lineRule="auto"/>
        <w:jc w:val="both"/>
        <w:rPr>
          <w:rFonts w:ascii="Arial" w:hAnsi="Arial"/>
        </w:rPr>
      </w:pPr>
      <w:r>
        <w:rPr>
          <w:rFonts w:ascii="Arial" w:hAnsi="Arial"/>
          <w:i/>
        </w:rPr>
        <w:t>Held</w:t>
      </w:r>
      <w:r>
        <w:rPr>
          <w:rFonts w:ascii="Arial" w:hAnsi="Arial"/>
        </w:rPr>
        <w:t xml:space="preserve">: That the admission of the exhibits conditionally by the court meant that the State still bore the burden to show that the said exhibits met the requirements of authenticity, </w:t>
      </w:r>
      <w:proofErr w:type="gramStart"/>
      <w:r>
        <w:rPr>
          <w:rFonts w:ascii="Arial" w:hAnsi="Arial"/>
        </w:rPr>
        <w:t>reliability</w:t>
      </w:r>
      <w:proofErr w:type="gramEnd"/>
      <w:r>
        <w:rPr>
          <w:rFonts w:ascii="Arial" w:hAnsi="Arial"/>
        </w:rPr>
        <w:t xml:space="preserve"> and accuracy.</w:t>
      </w:r>
    </w:p>
    <w:p w14:paraId="3EF4B2CB" w14:textId="77777777" w:rsidR="001E6664" w:rsidRDefault="001E6664" w:rsidP="00D31783">
      <w:pPr>
        <w:spacing w:line="360" w:lineRule="auto"/>
        <w:jc w:val="both"/>
        <w:rPr>
          <w:rFonts w:ascii="Arial" w:hAnsi="Arial"/>
        </w:rPr>
      </w:pPr>
    </w:p>
    <w:p w14:paraId="55219184" w14:textId="77777777" w:rsidR="00143034" w:rsidRDefault="001E6664" w:rsidP="00D31783">
      <w:pPr>
        <w:spacing w:line="360" w:lineRule="auto"/>
        <w:jc w:val="both"/>
        <w:rPr>
          <w:rFonts w:ascii="Arial" w:hAnsi="Arial"/>
        </w:rPr>
      </w:pPr>
      <w:r>
        <w:rPr>
          <w:rFonts w:ascii="Arial" w:hAnsi="Arial"/>
          <w:i/>
        </w:rPr>
        <w:t>Held that</w:t>
      </w:r>
      <w:r>
        <w:rPr>
          <w:rFonts w:ascii="Arial" w:hAnsi="Arial"/>
        </w:rPr>
        <w:t xml:space="preserve">: The witness Dr Ludik, who passed on during the course of the trial, is the one who had decoded the CD from a witness’ mobile </w:t>
      </w:r>
      <w:proofErr w:type="gramStart"/>
      <w:r>
        <w:rPr>
          <w:rFonts w:ascii="Arial" w:hAnsi="Arial"/>
        </w:rPr>
        <w:t>telephone</w:t>
      </w:r>
      <w:proofErr w:type="gramEnd"/>
      <w:r>
        <w:rPr>
          <w:rFonts w:ascii="Arial" w:hAnsi="Arial"/>
        </w:rPr>
        <w:t xml:space="preserve"> and it was thus his duty to tender evidence before the cou</w:t>
      </w:r>
      <w:r w:rsidR="00143034">
        <w:rPr>
          <w:rFonts w:ascii="Arial" w:hAnsi="Arial"/>
        </w:rPr>
        <w:t>rt to show that the exhibits met the standards of authenticity, reliability and accuracy.</w:t>
      </w:r>
    </w:p>
    <w:p w14:paraId="1C3F7FCA" w14:textId="77777777" w:rsidR="00143034" w:rsidRDefault="00143034" w:rsidP="00D31783">
      <w:pPr>
        <w:spacing w:line="360" w:lineRule="auto"/>
        <w:jc w:val="both"/>
        <w:rPr>
          <w:rFonts w:ascii="Arial" w:hAnsi="Arial"/>
        </w:rPr>
      </w:pPr>
    </w:p>
    <w:p w14:paraId="46DA3F3D" w14:textId="1E85D85F" w:rsidR="001E6664" w:rsidRDefault="00143034" w:rsidP="00D31783">
      <w:pPr>
        <w:spacing w:line="360" w:lineRule="auto"/>
        <w:jc w:val="both"/>
        <w:rPr>
          <w:rFonts w:ascii="Arial" w:hAnsi="Arial"/>
        </w:rPr>
      </w:pPr>
      <w:r>
        <w:rPr>
          <w:rFonts w:ascii="Arial" w:hAnsi="Arial"/>
          <w:i/>
        </w:rPr>
        <w:t>Held further that</w:t>
      </w:r>
      <w:r>
        <w:rPr>
          <w:rFonts w:ascii="Arial" w:hAnsi="Arial"/>
        </w:rPr>
        <w:t>: If the exhibits were admitted finally into evidence, without calling the person who had decoded and produced the CD and transcript, the accused</w:t>
      </w:r>
      <w:r w:rsidR="00222A1A">
        <w:rPr>
          <w:rFonts w:ascii="Arial" w:hAnsi="Arial"/>
        </w:rPr>
        <w:t xml:space="preserve"> persons’ fair tr</w:t>
      </w:r>
      <w:r>
        <w:rPr>
          <w:rFonts w:ascii="Arial" w:hAnsi="Arial"/>
        </w:rPr>
        <w:t>i</w:t>
      </w:r>
      <w:r w:rsidR="00222A1A">
        <w:rPr>
          <w:rFonts w:ascii="Arial" w:hAnsi="Arial"/>
        </w:rPr>
        <w:t>a</w:t>
      </w:r>
      <w:r>
        <w:rPr>
          <w:rFonts w:ascii="Arial" w:hAnsi="Arial"/>
        </w:rPr>
        <w:t>l rights enshrined in Art 12(1)(</w:t>
      </w:r>
      <w:r>
        <w:rPr>
          <w:rFonts w:ascii="Arial" w:hAnsi="Arial"/>
          <w:i/>
        </w:rPr>
        <w:t>d</w:t>
      </w:r>
      <w:r>
        <w:rPr>
          <w:rFonts w:ascii="Arial" w:hAnsi="Arial"/>
        </w:rPr>
        <w:t xml:space="preserve">) of the </w:t>
      </w:r>
      <w:r w:rsidRPr="00143034">
        <w:rPr>
          <w:rFonts w:ascii="Arial" w:hAnsi="Arial"/>
        </w:rPr>
        <w:t>Constitution would</w:t>
      </w:r>
      <w:r>
        <w:rPr>
          <w:rFonts w:ascii="Arial" w:hAnsi="Arial"/>
        </w:rPr>
        <w:t xml:space="preserve"> have been violated </w:t>
      </w:r>
      <w:r w:rsidR="00222A1A">
        <w:rPr>
          <w:rFonts w:ascii="Arial" w:hAnsi="Arial"/>
        </w:rPr>
        <w:t>in that they would not have</w:t>
      </w:r>
      <w:r>
        <w:rPr>
          <w:rFonts w:ascii="Arial" w:hAnsi="Arial"/>
        </w:rPr>
        <w:t xml:space="preserve"> been afforded an opportunity t</w:t>
      </w:r>
      <w:r w:rsidR="00222A1A">
        <w:rPr>
          <w:rFonts w:ascii="Arial" w:hAnsi="Arial"/>
        </w:rPr>
        <w:t>o cross examine that</w:t>
      </w:r>
      <w:r>
        <w:rPr>
          <w:rFonts w:ascii="Arial" w:hAnsi="Arial"/>
        </w:rPr>
        <w:t xml:space="preserve"> person</w:t>
      </w:r>
      <w:r w:rsidR="00222A1A">
        <w:rPr>
          <w:rFonts w:ascii="Arial" w:hAnsi="Arial"/>
        </w:rPr>
        <w:t>.</w:t>
      </w:r>
      <w:r>
        <w:rPr>
          <w:rFonts w:ascii="Arial" w:hAnsi="Arial"/>
        </w:rPr>
        <w:t xml:space="preserve">   </w:t>
      </w:r>
    </w:p>
    <w:p w14:paraId="0FCA6EBC" w14:textId="77777777" w:rsidR="00222A1A" w:rsidRDefault="00222A1A" w:rsidP="00D31783">
      <w:pPr>
        <w:spacing w:line="360" w:lineRule="auto"/>
        <w:jc w:val="both"/>
        <w:rPr>
          <w:rFonts w:ascii="Arial" w:hAnsi="Arial"/>
        </w:rPr>
      </w:pPr>
    </w:p>
    <w:p w14:paraId="6406DAF1" w14:textId="4A307FC4" w:rsidR="00222A1A" w:rsidRDefault="00222A1A" w:rsidP="00D31783">
      <w:pPr>
        <w:spacing w:line="360" w:lineRule="auto"/>
        <w:jc w:val="both"/>
        <w:rPr>
          <w:rFonts w:ascii="Arial" w:hAnsi="Arial"/>
        </w:rPr>
      </w:pPr>
      <w:r>
        <w:rPr>
          <w:rFonts w:ascii="Arial" w:hAnsi="Arial"/>
        </w:rPr>
        <w:t>The State’s application to finally admit the exhibits into evidence refused.</w:t>
      </w:r>
    </w:p>
    <w:p w14:paraId="668B115D" w14:textId="77777777" w:rsidR="00A54812" w:rsidRPr="001E6664" w:rsidRDefault="00A54812" w:rsidP="00D31783">
      <w:pPr>
        <w:spacing w:line="360" w:lineRule="auto"/>
        <w:jc w:val="both"/>
        <w:rPr>
          <w:rFonts w:ascii="Arial" w:hAnsi="Arial"/>
        </w:rPr>
      </w:pPr>
    </w:p>
    <w:p w14:paraId="104E174C" w14:textId="77777777" w:rsidR="00A54812" w:rsidRDefault="00A54812" w:rsidP="00A54812">
      <w:pPr>
        <w:pBdr>
          <w:top w:val="single" w:sz="4" w:space="1" w:color="auto"/>
          <w:bottom w:val="single" w:sz="4" w:space="1" w:color="auto"/>
        </w:pBdr>
        <w:rPr>
          <w:rFonts w:ascii="Arial" w:hAnsi="Arial"/>
          <w:b/>
        </w:rPr>
      </w:pPr>
    </w:p>
    <w:p w14:paraId="3BEDB4D2" w14:textId="107C6C29" w:rsidR="00D5185C" w:rsidRDefault="00A54812" w:rsidP="00A54812">
      <w:pPr>
        <w:pBdr>
          <w:top w:val="single" w:sz="4" w:space="1" w:color="auto"/>
          <w:bottom w:val="single" w:sz="4" w:space="1" w:color="auto"/>
        </w:pBdr>
        <w:jc w:val="center"/>
        <w:rPr>
          <w:rFonts w:ascii="Arial" w:hAnsi="Arial"/>
          <w:b/>
        </w:rPr>
      </w:pPr>
      <w:r>
        <w:rPr>
          <w:rFonts w:ascii="Arial" w:hAnsi="Arial"/>
          <w:b/>
        </w:rPr>
        <w:t>ORDER</w:t>
      </w:r>
    </w:p>
    <w:p w14:paraId="0025F8A7" w14:textId="77777777" w:rsidR="00A54812" w:rsidRDefault="00A54812" w:rsidP="00A54812">
      <w:pPr>
        <w:pBdr>
          <w:top w:val="single" w:sz="4" w:space="1" w:color="auto"/>
          <w:bottom w:val="single" w:sz="4" w:space="1" w:color="auto"/>
        </w:pBdr>
        <w:rPr>
          <w:rFonts w:ascii="Arial" w:hAnsi="Arial"/>
          <w:b/>
        </w:rPr>
      </w:pPr>
    </w:p>
    <w:p w14:paraId="4326053A" w14:textId="77777777" w:rsidR="00A54812" w:rsidRDefault="00A54812" w:rsidP="00A54812">
      <w:pPr>
        <w:pStyle w:val="ListParagraph"/>
        <w:spacing w:line="360" w:lineRule="auto"/>
        <w:jc w:val="both"/>
        <w:rPr>
          <w:rFonts w:ascii="Arial" w:hAnsi="Arial"/>
        </w:rPr>
      </w:pPr>
    </w:p>
    <w:p w14:paraId="78C62BB2" w14:textId="004737E7" w:rsidR="00A54812" w:rsidRPr="00CB3C55" w:rsidRDefault="00CB3C55" w:rsidP="00CB3C55">
      <w:pPr>
        <w:spacing w:line="360" w:lineRule="auto"/>
        <w:ind w:left="720" w:hanging="360"/>
        <w:jc w:val="both"/>
        <w:rPr>
          <w:rFonts w:ascii="Arial" w:hAnsi="Arial"/>
        </w:rPr>
      </w:pPr>
      <w:r>
        <w:rPr>
          <w:rFonts w:ascii="Arial" w:hAnsi="Arial"/>
        </w:rPr>
        <w:t>1.</w:t>
      </w:r>
      <w:r>
        <w:rPr>
          <w:rFonts w:ascii="Arial" w:hAnsi="Arial"/>
        </w:rPr>
        <w:tab/>
      </w:r>
      <w:r w:rsidR="00A54812" w:rsidRPr="00CB3C55">
        <w:rPr>
          <w:rFonts w:ascii="Arial" w:hAnsi="Arial"/>
        </w:rPr>
        <w:t>The application by the Sta</w:t>
      </w:r>
      <w:r w:rsidR="00BF6DDD" w:rsidRPr="00CB3C55">
        <w:rPr>
          <w:rFonts w:ascii="Arial" w:hAnsi="Arial"/>
        </w:rPr>
        <w:t>te for the admission of Exhibit</w:t>
      </w:r>
      <w:r w:rsidR="00A54812" w:rsidRPr="00CB3C55">
        <w:rPr>
          <w:rFonts w:ascii="Arial" w:hAnsi="Arial"/>
        </w:rPr>
        <w:t xml:space="preserve"> ‘1’ and </w:t>
      </w:r>
      <w:r w:rsidR="00BF6DDD" w:rsidRPr="00CB3C55">
        <w:rPr>
          <w:rFonts w:ascii="Arial" w:hAnsi="Arial"/>
        </w:rPr>
        <w:t xml:space="preserve">Exhibit </w:t>
      </w:r>
      <w:r w:rsidR="00A54812" w:rsidRPr="00CB3C55">
        <w:rPr>
          <w:rFonts w:ascii="Arial" w:hAnsi="Arial"/>
        </w:rPr>
        <w:t>‘A’, provisionally so marked,</w:t>
      </w:r>
      <w:r w:rsidR="00BF6DDD" w:rsidRPr="00CB3C55">
        <w:rPr>
          <w:rFonts w:ascii="Arial" w:hAnsi="Arial"/>
        </w:rPr>
        <w:t xml:space="preserve"> as evidence,</w:t>
      </w:r>
      <w:r w:rsidR="00A54812" w:rsidRPr="00CB3C55">
        <w:rPr>
          <w:rFonts w:ascii="Arial" w:hAnsi="Arial"/>
        </w:rPr>
        <w:t xml:space="preserve"> is hereby refused.</w:t>
      </w:r>
    </w:p>
    <w:p w14:paraId="13A63610" w14:textId="45CDDA6B" w:rsidR="00BF6DDD" w:rsidRPr="00CB3C55" w:rsidRDefault="00CB3C55" w:rsidP="00CB3C55">
      <w:pPr>
        <w:spacing w:line="360" w:lineRule="auto"/>
        <w:ind w:left="720" w:hanging="360"/>
        <w:jc w:val="both"/>
        <w:rPr>
          <w:rFonts w:ascii="Arial" w:hAnsi="Arial"/>
        </w:rPr>
      </w:pPr>
      <w:r w:rsidRPr="00DB41E5">
        <w:rPr>
          <w:rFonts w:ascii="Arial" w:hAnsi="Arial"/>
        </w:rPr>
        <w:lastRenderedPageBreak/>
        <w:t>2.</w:t>
      </w:r>
      <w:r w:rsidRPr="00DB41E5">
        <w:rPr>
          <w:rFonts w:ascii="Arial" w:hAnsi="Arial"/>
        </w:rPr>
        <w:tab/>
      </w:r>
      <w:r w:rsidR="00BF6DDD" w:rsidRPr="00CB3C55">
        <w:rPr>
          <w:rFonts w:ascii="Arial" w:hAnsi="Arial"/>
        </w:rPr>
        <w:t xml:space="preserve">A warrant of arrest for the apprehension of the second accused Ms Sara </w:t>
      </w:r>
      <w:proofErr w:type="spellStart"/>
      <w:r w:rsidR="00BF6DDD" w:rsidRPr="00CB3C55">
        <w:rPr>
          <w:rFonts w:ascii="Arial" w:hAnsi="Arial"/>
        </w:rPr>
        <w:t>Ngenohandi</w:t>
      </w:r>
      <w:proofErr w:type="spellEnd"/>
      <w:r w:rsidR="00BF6DDD" w:rsidRPr="00CB3C55">
        <w:rPr>
          <w:rFonts w:ascii="Arial" w:hAnsi="Arial"/>
        </w:rPr>
        <w:t xml:space="preserve"> </w:t>
      </w:r>
      <w:proofErr w:type="spellStart"/>
      <w:r w:rsidR="00BF6DDD" w:rsidRPr="00CB3C55">
        <w:rPr>
          <w:rFonts w:ascii="Arial" w:hAnsi="Arial"/>
        </w:rPr>
        <w:t>Damases</w:t>
      </w:r>
      <w:proofErr w:type="spellEnd"/>
      <w:r w:rsidR="00BF6DDD" w:rsidRPr="00CB3C55">
        <w:rPr>
          <w:rFonts w:ascii="Arial" w:hAnsi="Arial"/>
        </w:rPr>
        <w:t xml:space="preserve"> is hereby issued and stood over to </w:t>
      </w:r>
      <w:r w:rsidR="00BF6DDD" w:rsidRPr="00CB3C55">
        <w:rPr>
          <w:rFonts w:ascii="Arial" w:hAnsi="Arial"/>
          <w:b/>
        </w:rPr>
        <w:t>21 September 2023</w:t>
      </w:r>
      <w:r w:rsidR="00BF6DDD" w:rsidRPr="00CB3C55">
        <w:rPr>
          <w:rFonts w:ascii="Arial" w:hAnsi="Arial"/>
        </w:rPr>
        <w:t xml:space="preserve"> at </w:t>
      </w:r>
      <w:r w:rsidR="00BF6DDD" w:rsidRPr="00CB3C55">
        <w:rPr>
          <w:rFonts w:ascii="Arial" w:hAnsi="Arial"/>
          <w:b/>
        </w:rPr>
        <w:t>8h30</w:t>
      </w:r>
      <w:r w:rsidR="00BF6DDD" w:rsidRPr="00CB3C55">
        <w:rPr>
          <w:rFonts w:ascii="Arial" w:hAnsi="Arial"/>
        </w:rPr>
        <w:t xml:space="preserve"> for the said accused to explain her non-appearance on the date hereof.</w:t>
      </w:r>
    </w:p>
    <w:p w14:paraId="434C1665" w14:textId="0F1EA264" w:rsidR="00A54812" w:rsidRPr="00CB3C55" w:rsidRDefault="00CB3C55" w:rsidP="00CB3C55">
      <w:pPr>
        <w:spacing w:line="360" w:lineRule="auto"/>
        <w:ind w:left="720" w:hanging="360"/>
        <w:jc w:val="both"/>
        <w:rPr>
          <w:rFonts w:ascii="Arial" w:hAnsi="Arial"/>
        </w:rPr>
      </w:pPr>
      <w:r w:rsidRPr="003454BD">
        <w:rPr>
          <w:rFonts w:ascii="Arial" w:hAnsi="Arial"/>
        </w:rPr>
        <w:t>3.</w:t>
      </w:r>
      <w:r w:rsidRPr="003454BD">
        <w:rPr>
          <w:rFonts w:ascii="Arial" w:hAnsi="Arial"/>
        </w:rPr>
        <w:tab/>
      </w:r>
      <w:r w:rsidR="00A54812" w:rsidRPr="00CB3C55">
        <w:rPr>
          <w:rFonts w:ascii="Arial" w:hAnsi="Arial"/>
        </w:rPr>
        <w:t xml:space="preserve">The matter is postponed to </w:t>
      </w:r>
      <w:r w:rsidR="00BF6DDD" w:rsidRPr="00CB3C55">
        <w:rPr>
          <w:rFonts w:ascii="Arial" w:hAnsi="Arial"/>
          <w:b/>
        </w:rPr>
        <w:t>21 September 2023</w:t>
      </w:r>
      <w:r w:rsidR="00BF6DDD" w:rsidRPr="00CB3C55">
        <w:rPr>
          <w:rFonts w:ascii="Arial" w:hAnsi="Arial"/>
        </w:rPr>
        <w:t xml:space="preserve"> at </w:t>
      </w:r>
      <w:r w:rsidR="00BF6DDD" w:rsidRPr="00CB3C55">
        <w:rPr>
          <w:rFonts w:ascii="Arial" w:hAnsi="Arial"/>
          <w:b/>
        </w:rPr>
        <w:t>8h30</w:t>
      </w:r>
      <w:r w:rsidR="00BF6DDD" w:rsidRPr="00CB3C55">
        <w:rPr>
          <w:rFonts w:ascii="Arial" w:hAnsi="Arial"/>
        </w:rPr>
        <w:t xml:space="preserve"> for directions regarding the continuation of trial.</w:t>
      </w:r>
    </w:p>
    <w:p w14:paraId="3F8097CB" w14:textId="77777777" w:rsidR="00A54812" w:rsidRDefault="00A54812" w:rsidP="00D31783">
      <w:pPr>
        <w:pBdr>
          <w:bottom w:val="single" w:sz="6" w:space="1" w:color="auto"/>
        </w:pBdr>
        <w:spacing w:line="360" w:lineRule="auto"/>
        <w:rPr>
          <w:rFonts w:ascii="Arial" w:hAnsi="Arial"/>
        </w:rPr>
      </w:pPr>
    </w:p>
    <w:p w14:paraId="6293A78D" w14:textId="77777777" w:rsidR="00D5185C" w:rsidRDefault="00D5185C" w:rsidP="00D31783">
      <w:pPr>
        <w:rPr>
          <w:rFonts w:ascii="Arial" w:hAnsi="Arial"/>
        </w:rPr>
      </w:pPr>
    </w:p>
    <w:p w14:paraId="558FB7D2" w14:textId="77777777" w:rsidR="00D5185C" w:rsidRDefault="00D5185C" w:rsidP="00D31783">
      <w:pPr>
        <w:jc w:val="center"/>
        <w:rPr>
          <w:rFonts w:ascii="Arial" w:hAnsi="Arial"/>
          <w:b/>
        </w:rPr>
      </w:pPr>
      <w:r>
        <w:rPr>
          <w:rFonts w:ascii="Arial" w:hAnsi="Arial"/>
          <w:b/>
        </w:rPr>
        <w:t>RULING</w:t>
      </w:r>
    </w:p>
    <w:p w14:paraId="058BC6D7" w14:textId="77777777" w:rsidR="00D5185C" w:rsidRDefault="00D5185C" w:rsidP="00D31783">
      <w:pPr>
        <w:pBdr>
          <w:bottom w:val="single" w:sz="6" w:space="1" w:color="auto"/>
        </w:pBdr>
        <w:jc w:val="center"/>
        <w:rPr>
          <w:rFonts w:ascii="Arial" w:hAnsi="Arial"/>
          <w:b/>
        </w:rPr>
      </w:pPr>
    </w:p>
    <w:p w14:paraId="5E57C786" w14:textId="77777777" w:rsidR="00D5185C" w:rsidRDefault="00D5185C" w:rsidP="00D31783">
      <w:pPr>
        <w:spacing w:line="360" w:lineRule="auto"/>
        <w:rPr>
          <w:rFonts w:ascii="Arial" w:hAnsi="Arial"/>
        </w:rPr>
      </w:pPr>
    </w:p>
    <w:p w14:paraId="688E39F7" w14:textId="77777777" w:rsidR="00D5185C" w:rsidRDefault="00D5185C" w:rsidP="00D31783">
      <w:pPr>
        <w:spacing w:line="360" w:lineRule="auto"/>
        <w:rPr>
          <w:rFonts w:ascii="Arial" w:hAnsi="Arial"/>
          <w:b/>
        </w:rPr>
      </w:pPr>
      <w:r>
        <w:rPr>
          <w:rFonts w:ascii="Arial" w:hAnsi="Arial"/>
          <w:b/>
        </w:rPr>
        <w:t>MASUKU J:</w:t>
      </w:r>
    </w:p>
    <w:p w14:paraId="3352B437" w14:textId="77777777" w:rsidR="00D5185C" w:rsidRDefault="00D5185C" w:rsidP="00D31783">
      <w:pPr>
        <w:spacing w:line="360" w:lineRule="auto"/>
        <w:rPr>
          <w:rFonts w:ascii="Arial" w:hAnsi="Arial"/>
          <w:b/>
        </w:rPr>
      </w:pPr>
    </w:p>
    <w:p w14:paraId="06D862A6" w14:textId="77777777" w:rsidR="00D5185C" w:rsidRDefault="00D5185C" w:rsidP="00D31783">
      <w:pPr>
        <w:spacing w:line="360" w:lineRule="auto"/>
        <w:rPr>
          <w:rFonts w:ascii="Arial" w:hAnsi="Arial"/>
          <w:u w:val="single"/>
        </w:rPr>
      </w:pPr>
      <w:r>
        <w:rPr>
          <w:rFonts w:ascii="Arial" w:hAnsi="Arial"/>
          <w:u w:val="single"/>
        </w:rPr>
        <w:t>Introduction</w:t>
      </w:r>
    </w:p>
    <w:p w14:paraId="487AD37E" w14:textId="77777777" w:rsidR="00D5185C" w:rsidRDefault="00D5185C" w:rsidP="00D31783">
      <w:pPr>
        <w:spacing w:line="360" w:lineRule="auto"/>
        <w:rPr>
          <w:rFonts w:ascii="Arial" w:hAnsi="Arial"/>
          <w:u w:val="single"/>
        </w:rPr>
      </w:pPr>
    </w:p>
    <w:p w14:paraId="16D237B3" w14:textId="47BF2F2E" w:rsidR="00D31783" w:rsidRPr="00CB3C55" w:rsidRDefault="00CB3C55" w:rsidP="00CB3C55">
      <w:pPr>
        <w:spacing w:line="360" w:lineRule="auto"/>
        <w:jc w:val="both"/>
        <w:rPr>
          <w:rFonts w:ascii="Arial" w:hAnsi="Arial"/>
        </w:rPr>
      </w:pPr>
      <w:r>
        <w:rPr>
          <w:rFonts w:ascii="Arial" w:hAnsi="Arial"/>
        </w:rPr>
        <w:t>[1]</w:t>
      </w:r>
      <w:r>
        <w:rPr>
          <w:rFonts w:ascii="Arial" w:hAnsi="Arial"/>
        </w:rPr>
        <w:tab/>
      </w:r>
      <w:r w:rsidR="00D5185C" w:rsidRPr="00CB3C55">
        <w:rPr>
          <w:rFonts w:ascii="Arial" w:hAnsi="Arial"/>
        </w:rPr>
        <w:t>At the nascent stage of this criminal trial, on 21 May 2018, to be precise, the parties agreed to the receipt of a compact disk,</w:t>
      </w:r>
      <w:r w:rsidR="00CB60AB" w:rsidRPr="00CB3C55">
        <w:rPr>
          <w:rFonts w:ascii="Arial" w:hAnsi="Arial"/>
        </w:rPr>
        <w:t xml:space="preserve"> (‘CD’),</w:t>
      </w:r>
      <w:r w:rsidR="00D5185C" w:rsidRPr="00CB3C55">
        <w:rPr>
          <w:rFonts w:ascii="Arial" w:hAnsi="Arial"/>
        </w:rPr>
        <w:t xml:space="preserve"> (Exhibit 1) and a transcript of the contents of the said compact disk, (Exhibit A), as evidence provisionally. The admission of these exhibits was subject to the </w:t>
      </w:r>
      <w:r w:rsidR="00346718" w:rsidRPr="00CB3C55">
        <w:rPr>
          <w:rFonts w:ascii="Arial" w:hAnsi="Arial"/>
        </w:rPr>
        <w:t xml:space="preserve">final admission </w:t>
      </w:r>
      <w:r w:rsidR="009C6BCE" w:rsidRPr="00CB3C55">
        <w:rPr>
          <w:rFonts w:ascii="Arial" w:hAnsi="Arial"/>
        </w:rPr>
        <w:t xml:space="preserve">of the </w:t>
      </w:r>
      <w:r w:rsidR="00346718" w:rsidRPr="00CB3C55">
        <w:rPr>
          <w:rFonts w:ascii="Arial" w:hAnsi="Arial"/>
        </w:rPr>
        <w:t>said exhibits being challenged by the defence in due course.</w:t>
      </w:r>
    </w:p>
    <w:p w14:paraId="00F05689" w14:textId="77777777" w:rsidR="00D31783" w:rsidRDefault="00D31783" w:rsidP="00D31783">
      <w:pPr>
        <w:pStyle w:val="ListParagraph"/>
        <w:spacing w:line="360" w:lineRule="auto"/>
        <w:ind w:left="0"/>
        <w:jc w:val="both"/>
        <w:rPr>
          <w:rFonts w:ascii="Arial" w:hAnsi="Arial"/>
        </w:rPr>
      </w:pPr>
    </w:p>
    <w:p w14:paraId="036BA7F0" w14:textId="2C6C6D43" w:rsidR="00D31783" w:rsidRPr="00CB3C55" w:rsidRDefault="00CB3C55" w:rsidP="00CB3C55">
      <w:pPr>
        <w:spacing w:line="360" w:lineRule="auto"/>
        <w:jc w:val="both"/>
        <w:rPr>
          <w:rFonts w:ascii="Arial" w:hAnsi="Arial"/>
        </w:rPr>
      </w:pPr>
      <w:r>
        <w:rPr>
          <w:rFonts w:ascii="Arial" w:hAnsi="Arial"/>
        </w:rPr>
        <w:t>[2]</w:t>
      </w:r>
      <w:r>
        <w:rPr>
          <w:rFonts w:ascii="Arial" w:hAnsi="Arial"/>
        </w:rPr>
        <w:tab/>
      </w:r>
      <w:r w:rsidR="00346718" w:rsidRPr="00CB3C55">
        <w:rPr>
          <w:rFonts w:ascii="Arial" w:hAnsi="Arial"/>
        </w:rPr>
        <w:t>The question presently confronting this court at this twilight</w:t>
      </w:r>
      <w:r w:rsidR="006A7A80" w:rsidRPr="00CB3C55">
        <w:rPr>
          <w:rFonts w:ascii="Arial" w:hAnsi="Arial"/>
        </w:rPr>
        <w:t xml:space="preserve"> stage</w:t>
      </w:r>
      <w:r w:rsidR="00346718" w:rsidRPr="00CB3C55">
        <w:rPr>
          <w:rFonts w:ascii="Arial" w:hAnsi="Arial"/>
        </w:rPr>
        <w:t xml:space="preserve"> of the State’s case, is whether the two exhibits (‘the exhibits</w:t>
      </w:r>
      <w:r w:rsidR="00CB60AB" w:rsidRPr="00CB3C55">
        <w:rPr>
          <w:rFonts w:ascii="Arial" w:hAnsi="Arial"/>
        </w:rPr>
        <w:t>’</w:t>
      </w:r>
      <w:r w:rsidR="00346718" w:rsidRPr="00CB3C55">
        <w:rPr>
          <w:rFonts w:ascii="Arial" w:hAnsi="Arial"/>
        </w:rPr>
        <w:t>) mentioned above, should be finally admitted into evidence in this trial.</w:t>
      </w:r>
    </w:p>
    <w:p w14:paraId="7623A079" w14:textId="77777777" w:rsidR="00D31783" w:rsidRDefault="00D31783" w:rsidP="00D31783">
      <w:pPr>
        <w:pStyle w:val="ListParagraph"/>
        <w:spacing w:line="360" w:lineRule="auto"/>
        <w:ind w:left="0"/>
        <w:jc w:val="both"/>
        <w:rPr>
          <w:rFonts w:ascii="Arial" w:hAnsi="Arial"/>
        </w:rPr>
      </w:pPr>
    </w:p>
    <w:p w14:paraId="43A87136" w14:textId="3800D78A" w:rsidR="00D31783" w:rsidRPr="00CB3C55" w:rsidRDefault="00CB3C55" w:rsidP="00CB3C55">
      <w:pPr>
        <w:spacing w:line="360" w:lineRule="auto"/>
        <w:jc w:val="both"/>
        <w:rPr>
          <w:rFonts w:ascii="Arial" w:hAnsi="Arial"/>
        </w:rPr>
      </w:pPr>
      <w:r>
        <w:rPr>
          <w:rFonts w:ascii="Arial" w:hAnsi="Arial"/>
        </w:rPr>
        <w:t>[3]</w:t>
      </w:r>
      <w:r>
        <w:rPr>
          <w:rFonts w:ascii="Arial" w:hAnsi="Arial"/>
        </w:rPr>
        <w:tab/>
      </w:r>
      <w:r w:rsidR="00CB60AB" w:rsidRPr="00CB3C55">
        <w:rPr>
          <w:rFonts w:ascii="Arial" w:hAnsi="Arial"/>
        </w:rPr>
        <w:t>The State’s applic</w:t>
      </w:r>
      <w:r w:rsidR="00346718" w:rsidRPr="00CB3C55">
        <w:rPr>
          <w:rFonts w:ascii="Arial" w:hAnsi="Arial"/>
        </w:rPr>
        <w:t xml:space="preserve">ation at this stage, is that these exhibits be admitted finally into evidence. This application is met with stern and unyielding opposition by the defence. Consequently, and </w:t>
      </w:r>
      <w:proofErr w:type="gramStart"/>
      <w:r w:rsidR="00346718" w:rsidRPr="00CB3C55">
        <w:rPr>
          <w:rFonts w:ascii="Arial" w:hAnsi="Arial"/>
        </w:rPr>
        <w:t>as a result of</w:t>
      </w:r>
      <w:proofErr w:type="gramEnd"/>
      <w:r w:rsidR="00346718" w:rsidRPr="00CB3C55">
        <w:rPr>
          <w:rFonts w:ascii="Arial" w:hAnsi="Arial"/>
        </w:rPr>
        <w:t xml:space="preserve"> the discordant positions adopted by the parties to the application, the </w:t>
      </w:r>
      <w:r w:rsidR="009B0E07" w:rsidRPr="00CB3C55">
        <w:rPr>
          <w:rFonts w:ascii="Arial" w:hAnsi="Arial"/>
        </w:rPr>
        <w:t>question falling for determination, is whether all the facts and circumstances, including the law applicable, properly considered, this is a proper case in which to admit the exhibits as evidence as prayed for by the State.</w:t>
      </w:r>
    </w:p>
    <w:p w14:paraId="56BAB3BC" w14:textId="77777777" w:rsidR="00D31783" w:rsidRDefault="00D31783" w:rsidP="00D31783">
      <w:pPr>
        <w:pStyle w:val="ListParagraph"/>
        <w:spacing w:line="360" w:lineRule="auto"/>
        <w:ind w:left="0"/>
        <w:jc w:val="both"/>
        <w:rPr>
          <w:rFonts w:ascii="Arial" w:hAnsi="Arial"/>
        </w:rPr>
      </w:pPr>
    </w:p>
    <w:p w14:paraId="1D70A103" w14:textId="77777777" w:rsidR="005466F5" w:rsidRDefault="005466F5" w:rsidP="00D31783">
      <w:pPr>
        <w:pStyle w:val="ListParagraph"/>
        <w:spacing w:line="360" w:lineRule="auto"/>
        <w:ind w:left="0"/>
        <w:jc w:val="both"/>
        <w:rPr>
          <w:rFonts w:ascii="Arial" w:hAnsi="Arial"/>
        </w:rPr>
      </w:pPr>
    </w:p>
    <w:p w14:paraId="0C867EC9" w14:textId="77777777" w:rsidR="00D31783" w:rsidRDefault="00D31783" w:rsidP="00D31783">
      <w:pPr>
        <w:spacing w:line="360" w:lineRule="auto"/>
        <w:jc w:val="both"/>
        <w:rPr>
          <w:rFonts w:ascii="Arial" w:hAnsi="Arial"/>
          <w:u w:val="single"/>
        </w:rPr>
      </w:pPr>
      <w:r>
        <w:rPr>
          <w:rFonts w:ascii="Arial" w:hAnsi="Arial"/>
          <w:u w:val="single"/>
        </w:rPr>
        <w:lastRenderedPageBreak/>
        <w:t>Background</w:t>
      </w:r>
    </w:p>
    <w:p w14:paraId="538E1347" w14:textId="77777777" w:rsidR="00D31783" w:rsidRDefault="00D31783" w:rsidP="00D31783">
      <w:pPr>
        <w:pStyle w:val="ListParagraph"/>
        <w:spacing w:line="360" w:lineRule="auto"/>
        <w:ind w:left="0"/>
        <w:jc w:val="both"/>
        <w:rPr>
          <w:rFonts w:ascii="Arial" w:hAnsi="Arial"/>
        </w:rPr>
      </w:pPr>
    </w:p>
    <w:p w14:paraId="0B10DD1F" w14:textId="69E697EE" w:rsidR="00D31783" w:rsidRPr="00CB3C55" w:rsidRDefault="00CB3C55" w:rsidP="00CB3C55">
      <w:pPr>
        <w:spacing w:line="360" w:lineRule="auto"/>
        <w:jc w:val="both"/>
        <w:rPr>
          <w:rFonts w:ascii="Arial" w:hAnsi="Arial"/>
        </w:rPr>
      </w:pPr>
      <w:r>
        <w:rPr>
          <w:rFonts w:ascii="Arial" w:hAnsi="Arial"/>
        </w:rPr>
        <w:t>[4]</w:t>
      </w:r>
      <w:r>
        <w:rPr>
          <w:rFonts w:ascii="Arial" w:hAnsi="Arial"/>
        </w:rPr>
        <w:tab/>
      </w:r>
      <w:r w:rsidR="00842222" w:rsidRPr="00CB3C55">
        <w:rPr>
          <w:rFonts w:ascii="Arial" w:hAnsi="Arial"/>
        </w:rPr>
        <w:t xml:space="preserve">It is perhaps necessary that I should preface this portion of the judgment </w:t>
      </w:r>
      <w:r w:rsidR="00CB60AB" w:rsidRPr="00CB3C55">
        <w:rPr>
          <w:rFonts w:ascii="Arial" w:hAnsi="Arial"/>
        </w:rPr>
        <w:t>by</w:t>
      </w:r>
      <w:r w:rsidR="00842222" w:rsidRPr="00CB3C55">
        <w:rPr>
          <w:rFonts w:ascii="Arial" w:hAnsi="Arial"/>
        </w:rPr>
        <w:t xml:space="preserve"> mention</w:t>
      </w:r>
      <w:r w:rsidR="00CB60AB" w:rsidRPr="00CB3C55">
        <w:rPr>
          <w:rFonts w:ascii="Arial" w:hAnsi="Arial"/>
        </w:rPr>
        <w:t>ing</w:t>
      </w:r>
      <w:r w:rsidR="00842222" w:rsidRPr="00CB3C55">
        <w:rPr>
          <w:rFonts w:ascii="Arial" w:hAnsi="Arial"/>
        </w:rPr>
        <w:t xml:space="preserve"> that it is necessary that I veer from the normal practice I follow in drafting judgments and rulings. I will, for purposes of completeness, engage in some detail some of the key events in this matter. I do so, </w:t>
      </w:r>
      <w:proofErr w:type="gramStart"/>
      <w:r w:rsidR="00842222" w:rsidRPr="00CB3C55">
        <w:rPr>
          <w:rFonts w:ascii="Arial" w:hAnsi="Arial"/>
        </w:rPr>
        <w:t>for the reason that</w:t>
      </w:r>
      <w:proofErr w:type="gramEnd"/>
      <w:r w:rsidR="00842222" w:rsidRPr="00CB3C55">
        <w:rPr>
          <w:rFonts w:ascii="Arial" w:hAnsi="Arial"/>
        </w:rPr>
        <w:t xml:space="preserve"> the need to do so, though not yet apparent, may become plain as the ruling unfolds. To this end, it will be necessary to, even at this stage, quote excerpts from the record. Having said this, I proceed to deal with the necessary background.</w:t>
      </w:r>
    </w:p>
    <w:p w14:paraId="0B904E74" w14:textId="77777777" w:rsidR="00D31783" w:rsidRDefault="00D31783" w:rsidP="00D31783">
      <w:pPr>
        <w:pStyle w:val="ListParagraph"/>
        <w:spacing w:line="360" w:lineRule="auto"/>
        <w:ind w:left="0"/>
        <w:jc w:val="both"/>
        <w:rPr>
          <w:rFonts w:ascii="Arial" w:hAnsi="Arial"/>
        </w:rPr>
      </w:pPr>
    </w:p>
    <w:p w14:paraId="10704A5C" w14:textId="645BE93D" w:rsidR="00D31783" w:rsidRPr="00CB3C55" w:rsidRDefault="00CB3C55" w:rsidP="00CB3C55">
      <w:pPr>
        <w:spacing w:line="360" w:lineRule="auto"/>
        <w:jc w:val="both"/>
        <w:rPr>
          <w:rFonts w:ascii="Arial" w:hAnsi="Arial"/>
        </w:rPr>
      </w:pPr>
      <w:r>
        <w:rPr>
          <w:rFonts w:ascii="Arial" w:hAnsi="Arial"/>
        </w:rPr>
        <w:t>[5]</w:t>
      </w:r>
      <w:r>
        <w:rPr>
          <w:rFonts w:ascii="Arial" w:hAnsi="Arial"/>
        </w:rPr>
        <w:tab/>
      </w:r>
      <w:r w:rsidR="009B0E07" w:rsidRPr="00CB3C55">
        <w:rPr>
          <w:rFonts w:ascii="Arial" w:hAnsi="Arial"/>
        </w:rPr>
        <w:t xml:space="preserve">The two accused persons, Mr Dirk Henrik Conradie and Ms Sara </w:t>
      </w:r>
      <w:proofErr w:type="spellStart"/>
      <w:r w:rsidR="009B0E07" w:rsidRPr="00CB3C55">
        <w:rPr>
          <w:rFonts w:ascii="Arial" w:hAnsi="Arial"/>
        </w:rPr>
        <w:t>Ngenohani</w:t>
      </w:r>
      <w:proofErr w:type="spellEnd"/>
      <w:r w:rsidR="009B0E07" w:rsidRPr="00CB3C55">
        <w:rPr>
          <w:rFonts w:ascii="Arial" w:hAnsi="Arial"/>
        </w:rPr>
        <w:t xml:space="preserve"> </w:t>
      </w:r>
      <w:proofErr w:type="spellStart"/>
      <w:r w:rsidR="009B0E07" w:rsidRPr="00CB3C55">
        <w:rPr>
          <w:rFonts w:ascii="Arial" w:hAnsi="Arial"/>
        </w:rPr>
        <w:t>Damases</w:t>
      </w:r>
      <w:proofErr w:type="spellEnd"/>
      <w:r w:rsidR="009B0E07" w:rsidRPr="00CB3C55">
        <w:rPr>
          <w:rFonts w:ascii="Arial" w:hAnsi="Arial"/>
        </w:rPr>
        <w:t xml:space="preserve">, were arraigned </w:t>
      </w:r>
      <w:r w:rsidR="007E25B2" w:rsidRPr="00CB3C55">
        <w:rPr>
          <w:rFonts w:ascii="Arial" w:hAnsi="Arial"/>
        </w:rPr>
        <w:t>before this court charged with</w:t>
      </w:r>
      <w:r w:rsidR="009C734F" w:rsidRPr="00CB3C55">
        <w:rPr>
          <w:rFonts w:ascii="Arial" w:hAnsi="Arial"/>
        </w:rPr>
        <w:t xml:space="preserve"> three counts</w:t>
      </w:r>
      <w:r w:rsidR="007E25B2" w:rsidRPr="00CB3C55">
        <w:rPr>
          <w:rFonts w:ascii="Arial" w:hAnsi="Arial"/>
        </w:rPr>
        <w:t xml:space="preserve"> of contravening </w:t>
      </w:r>
      <w:r w:rsidR="00CB60AB" w:rsidRPr="00CB3C55">
        <w:rPr>
          <w:rFonts w:ascii="Arial" w:hAnsi="Arial"/>
        </w:rPr>
        <w:t>sections 42, 43(1), 46 of</w:t>
      </w:r>
      <w:r w:rsidR="009D087C" w:rsidRPr="00CB3C55">
        <w:rPr>
          <w:rFonts w:ascii="Arial" w:hAnsi="Arial"/>
        </w:rPr>
        <w:t xml:space="preserve"> </w:t>
      </w:r>
      <w:r w:rsidR="00CB60AB" w:rsidRPr="00CB3C55">
        <w:rPr>
          <w:rFonts w:ascii="Arial" w:hAnsi="Arial"/>
        </w:rPr>
        <w:t>the Anti-Corruption Act</w:t>
      </w:r>
      <w:r w:rsidR="009C734F" w:rsidRPr="00CB3C55">
        <w:rPr>
          <w:rFonts w:ascii="Arial" w:hAnsi="Arial"/>
        </w:rPr>
        <w:t xml:space="preserve"> 8 of 2003. Additionally, the first accused is charged</w:t>
      </w:r>
      <w:r w:rsidR="00CB60AB" w:rsidRPr="00CB3C55">
        <w:rPr>
          <w:rFonts w:ascii="Arial" w:hAnsi="Arial"/>
        </w:rPr>
        <w:t xml:space="preserve"> with the</w:t>
      </w:r>
      <w:r w:rsidR="007E25B2" w:rsidRPr="00CB3C55">
        <w:rPr>
          <w:rFonts w:ascii="Arial" w:hAnsi="Arial"/>
        </w:rPr>
        <w:t xml:space="preserve"> contravention of certain provisions of</w:t>
      </w:r>
      <w:r w:rsidR="009C734F" w:rsidRPr="00CB3C55">
        <w:rPr>
          <w:rFonts w:ascii="Arial" w:hAnsi="Arial"/>
        </w:rPr>
        <w:t xml:space="preserve"> s 242</w:t>
      </w:r>
      <w:r w:rsidR="007E25B2" w:rsidRPr="00CB3C55">
        <w:rPr>
          <w:rFonts w:ascii="Arial" w:hAnsi="Arial"/>
        </w:rPr>
        <w:t xml:space="preserve"> the Companies Act </w:t>
      </w:r>
      <w:r w:rsidR="009C734F" w:rsidRPr="00CB3C55">
        <w:rPr>
          <w:rFonts w:ascii="Arial" w:hAnsi="Arial"/>
        </w:rPr>
        <w:t xml:space="preserve">28 </w:t>
      </w:r>
      <w:r w:rsidR="007E25B2" w:rsidRPr="00CB3C55">
        <w:rPr>
          <w:rFonts w:ascii="Arial" w:hAnsi="Arial"/>
        </w:rPr>
        <w:t xml:space="preserve">of 2004. </w:t>
      </w:r>
    </w:p>
    <w:p w14:paraId="66A3937E" w14:textId="77777777" w:rsidR="00D31783" w:rsidRDefault="00D31783" w:rsidP="00D31783">
      <w:pPr>
        <w:pStyle w:val="ListParagraph"/>
        <w:spacing w:line="360" w:lineRule="auto"/>
        <w:ind w:left="0"/>
        <w:jc w:val="both"/>
        <w:rPr>
          <w:rFonts w:ascii="Arial" w:hAnsi="Arial"/>
        </w:rPr>
      </w:pPr>
    </w:p>
    <w:p w14:paraId="682E3C6E" w14:textId="49B4184B" w:rsidR="007E25B2" w:rsidRPr="00CB3C55" w:rsidRDefault="00CB3C55" w:rsidP="00CB3C55">
      <w:pPr>
        <w:spacing w:before="240" w:line="360" w:lineRule="auto"/>
        <w:jc w:val="both"/>
        <w:rPr>
          <w:rFonts w:ascii="Arial" w:hAnsi="Arial"/>
        </w:rPr>
      </w:pPr>
      <w:r w:rsidRPr="00D31783">
        <w:rPr>
          <w:rFonts w:ascii="Arial" w:hAnsi="Arial"/>
        </w:rPr>
        <w:t>[6]</w:t>
      </w:r>
      <w:r w:rsidRPr="00D31783">
        <w:rPr>
          <w:rFonts w:ascii="Arial" w:hAnsi="Arial"/>
        </w:rPr>
        <w:tab/>
      </w:r>
      <w:r w:rsidR="007E25B2" w:rsidRPr="00CB3C55">
        <w:rPr>
          <w:rFonts w:ascii="Arial" w:hAnsi="Arial"/>
        </w:rPr>
        <w:t xml:space="preserve">On 21 May 2018, </w:t>
      </w:r>
      <w:proofErr w:type="gramStart"/>
      <w:r w:rsidR="007E25B2" w:rsidRPr="00CB3C55">
        <w:rPr>
          <w:rFonts w:ascii="Arial" w:hAnsi="Arial"/>
        </w:rPr>
        <w:t>in the course of</w:t>
      </w:r>
      <w:proofErr w:type="gramEnd"/>
      <w:r w:rsidR="007E25B2" w:rsidRPr="00CB3C55">
        <w:rPr>
          <w:rFonts w:ascii="Arial" w:hAnsi="Arial"/>
        </w:rPr>
        <w:t xml:space="preserve"> the State leading evidence against the accused persons</w:t>
      </w:r>
      <w:r w:rsidR="00FD6FD1" w:rsidRPr="00CB3C55">
        <w:rPr>
          <w:rFonts w:ascii="Arial" w:hAnsi="Arial"/>
        </w:rPr>
        <w:t>, an application was made by the State for the admission of the exhibits in terms of s 212(4</w:t>
      </w:r>
      <w:r w:rsidR="00CB60AB" w:rsidRPr="00CB3C55">
        <w:rPr>
          <w:rFonts w:ascii="Arial" w:hAnsi="Arial"/>
        </w:rPr>
        <w:t>) of the Criminal Procedure Act</w:t>
      </w:r>
      <w:r w:rsidR="009C6FC0" w:rsidRPr="00CB3C55">
        <w:rPr>
          <w:rFonts w:ascii="Arial" w:hAnsi="Arial"/>
        </w:rPr>
        <w:t xml:space="preserve"> 51 </w:t>
      </w:r>
      <w:r w:rsidR="00FD6FD1" w:rsidRPr="00CB3C55">
        <w:rPr>
          <w:rFonts w:ascii="Arial" w:hAnsi="Arial"/>
        </w:rPr>
        <w:t>of 1977</w:t>
      </w:r>
      <w:r w:rsidR="00CB60AB" w:rsidRPr="00CB3C55">
        <w:rPr>
          <w:rFonts w:ascii="Arial" w:hAnsi="Arial"/>
        </w:rPr>
        <w:t>, (‘the CPA’)</w:t>
      </w:r>
      <w:r w:rsidR="00FD6FD1" w:rsidRPr="00CB3C55">
        <w:rPr>
          <w:rFonts w:ascii="Arial" w:hAnsi="Arial"/>
        </w:rPr>
        <w:t>. The parties’ agreement, in part, and which was sanctioned b</w:t>
      </w:r>
      <w:r w:rsidR="00CB60AB" w:rsidRPr="00CB3C55">
        <w:rPr>
          <w:rFonts w:ascii="Arial" w:hAnsi="Arial"/>
        </w:rPr>
        <w:t>y the court regarding the provisional</w:t>
      </w:r>
      <w:r w:rsidR="00FD6FD1" w:rsidRPr="00CB3C55">
        <w:rPr>
          <w:rFonts w:ascii="Arial" w:hAnsi="Arial"/>
        </w:rPr>
        <w:t xml:space="preserve"> admission of the exhibits</w:t>
      </w:r>
      <w:r w:rsidR="00CB60AB" w:rsidRPr="00CB3C55">
        <w:rPr>
          <w:rFonts w:ascii="Arial" w:hAnsi="Arial"/>
        </w:rPr>
        <w:t>,</w:t>
      </w:r>
      <w:r w:rsidR="00FD6FD1" w:rsidRPr="00CB3C55">
        <w:rPr>
          <w:rFonts w:ascii="Arial" w:hAnsi="Arial"/>
        </w:rPr>
        <w:t xml:space="preserve"> is recorded below, as summarised by Mr Soni for the first accused</w:t>
      </w:r>
      <w:r w:rsidR="00CB60AB" w:rsidRPr="00CB3C55">
        <w:rPr>
          <w:rFonts w:ascii="Arial" w:hAnsi="Arial"/>
        </w:rPr>
        <w:t xml:space="preserve"> during the trial</w:t>
      </w:r>
      <w:r w:rsidR="00FD6FD1" w:rsidRPr="00CB3C55">
        <w:rPr>
          <w:rFonts w:ascii="Arial" w:hAnsi="Arial"/>
        </w:rPr>
        <w:t>:</w:t>
      </w:r>
      <w:r w:rsidR="00FD6FD1">
        <w:rPr>
          <w:rStyle w:val="FootnoteReference"/>
          <w:rFonts w:ascii="Arial" w:hAnsi="Arial"/>
        </w:rPr>
        <w:footnoteReference w:id="1"/>
      </w:r>
      <w:r w:rsidR="00FD6FD1" w:rsidRPr="00CB3C55">
        <w:rPr>
          <w:rFonts w:ascii="Arial" w:hAnsi="Arial"/>
        </w:rPr>
        <w:t xml:space="preserve"> </w:t>
      </w:r>
    </w:p>
    <w:p w14:paraId="50D123E6" w14:textId="77777777" w:rsidR="00E81266" w:rsidRDefault="00E81266" w:rsidP="00D31783">
      <w:pPr>
        <w:spacing w:line="360" w:lineRule="auto"/>
        <w:jc w:val="both"/>
        <w:rPr>
          <w:rFonts w:ascii="Arial" w:hAnsi="Arial"/>
        </w:rPr>
      </w:pPr>
    </w:p>
    <w:p w14:paraId="025B0387" w14:textId="4D3C83A8" w:rsidR="00C8546C" w:rsidRDefault="00E81266" w:rsidP="00D31783">
      <w:pPr>
        <w:spacing w:line="360" w:lineRule="auto"/>
        <w:jc w:val="both"/>
        <w:rPr>
          <w:rFonts w:ascii="Arial" w:hAnsi="Arial"/>
          <w:sz w:val="22"/>
          <w:szCs w:val="22"/>
        </w:rPr>
      </w:pPr>
      <w:r>
        <w:rPr>
          <w:rFonts w:ascii="Arial" w:hAnsi="Arial"/>
        </w:rPr>
        <w:tab/>
        <w:t>‘</w:t>
      </w:r>
      <w:r>
        <w:rPr>
          <w:rFonts w:ascii="Arial" w:hAnsi="Arial"/>
          <w:sz w:val="22"/>
          <w:szCs w:val="22"/>
        </w:rPr>
        <w:t>But My Lord, purely for the purposes of getting the trial on the go, seeing that my</w:t>
      </w:r>
      <w:r w:rsidR="00FB18A4">
        <w:rPr>
          <w:rFonts w:ascii="Arial" w:hAnsi="Arial"/>
          <w:sz w:val="22"/>
          <w:szCs w:val="22"/>
        </w:rPr>
        <w:t xml:space="preserve"> Learned Friend has had to get W</w:t>
      </w:r>
      <w:r>
        <w:rPr>
          <w:rFonts w:ascii="Arial" w:hAnsi="Arial"/>
          <w:sz w:val="22"/>
          <w:szCs w:val="22"/>
        </w:rPr>
        <w:t xml:space="preserve">itnesses who are not readily available, we have decided that we will adopt the following approach: My Learned Friend would be entitled to have the evidence relating to what happened at the meeting admitted provisionally and the witness will then say what happened </w:t>
      </w:r>
      <w:r w:rsidR="00D824C2">
        <w:rPr>
          <w:rFonts w:ascii="Arial" w:hAnsi="Arial"/>
          <w:sz w:val="22"/>
          <w:szCs w:val="22"/>
        </w:rPr>
        <w:t>at the meeting to the extent that it is necessary and that we would then, having provisionally accepted what was said at the meeting, reserving our right to challenge its acceptance by Your Lordship as</w:t>
      </w:r>
      <w:r>
        <w:rPr>
          <w:rFonts w:ascii="Arial" w:hAnsi="Arial"/>
          <w:sz w:val="22"/>
          <w:szCs w:val="22"/>
        </w:rPr>
        <w:t xml:space="preserve"> evidence</w:t>
      </w:r>
      <w:r w:rsidR="00D824C2">
        <w:rPr>
          <w:rFonts w:ascii="Arial" w:hAnsi="Arial"/>
          <w:sz w:val="22"/>
          <w:szCs w:val="22"/>
        </w:rPr>
        <w:t xml:space="preserve">, not the correctness of the evidence, that we will then say that the evidence should be </w:t>
      </w:r>
      <w:r w:rsidR="00D824C2">
        <w:rPr>
          <w:rFonts w:ascii="Arial" w:hAnsi="Arial"/>
          <w:sz w:val="22"/>
          <w:szCs w:val="22"/>
        </w:rPr>
        <w:lastRenderedPageBreak/>
        <w:t xml:space="preserve">excluded. </w:t>
      </w:r>
      <w:proofErr w:type="gramStart"/>
      <w:r w:rsidR="00D824C2">
        <w:rPr>
          <w:rFonts w:ascii="Arial" w:hAnsi="Arial"/>
          <w:sz w:val="22"/>
          <w:szCs w:val="22"/>
        </w:rPr>
        <w:t>In order to</w:t>
      </w:r>
      <w:proofErr w:type="gramEnd"/>
      <w:r w:rsidR="00D824C2">
        <w:rPr>
          <w:rFonts w:ascii="Arial" w:hAnsi="Arial"/>
          <w:sz w:val="22"/>
          <w:szCs w:val="22"/>
        </w:rPr>
        <w:t xml:space="preserve"> promote the facilitation of the t</w:t>
      </w:r>
      <w:r w:rsidR="00CB60AB">
        <w:rPr>
          <w:rFonts w:ascii="Arial" w:hAnsi="Arial"/>
          <w:sz w:val="22"/>
          <w:szCs w:val="22"/>
        </w:rPr>
        <w:t>rial we have decided to adopt</w:t>
      </w:r>
      <w:r w:rsidR="00D824C2">
        <w:rPr>
          <w:rFonts w:ascii="Arial" w:hAnsi="Arial"/>
          <w:sz w:val="22"/>
          <w:szCs w:val="22"/>
        </w:rPr>
        <w:t xml:space="preserve"> this approach. Ordinarily, what would have happened, My Lord. My Learned Friend would have had to say well, the recording took place here, it is given to Mr X, Mr X did this, Mr X did that, here is the recording </w:t>
      </w:r>
      <w:r w:rsidR="00FB18A4">
        <w:rPr>
          <w:rFonts w:ascii="Arial" w:hAnsi="Arial"/>
          <w:sz w:val="22"/>
          <w:szCs w:val="22"/>
        </w:rPr>
        <w:t>all that chain of events would have had to be here for another day or two dealing with that chain and then we are not going to the Witness who testified to it. So, out of consideration for the administration of justice, we adopted this stance, but I must emphasise, My Lord, purely on the basis that we have the right to challenge i</w:t>
      </w:r>
      <w:r w:rsidR="00C8546C">
        <w:rPr>
          <w:rFonts w:ascii="Arial" w:hAnsi="Arial"/>
          <w:sz w:val="22"/>
          <w:szCs w:val="22"/>
        </w:rPr>
        <w:t>ts</w:t>
      </w:r>
      <w:r w:rsidR="00FB18A4">
        <w:rPr>
          <w:rFonts w:ascii="Arial" w:hAnsi="Arial"/>
          <w:sz w:val="22"/>
          <w:szCs w:val="22"/>
        </w:rPr>
        <w:t xml:space="preserve"> final admissibility</w:t>
      </w:r>
      <w:r w:rsidR="00C8546C">
        <w:rPr>
          <w:rFonts w:ascii="Arial" w:hAnsi="Arial"/>
          <w:sz w:val="22"/>
          <w:szCs w:val="22"/>
        </w:rPr>
        <w:t xml:space="preserve"> and whether Your Lordship should take it.</w:t>
      </w:r>
    </w:p>
    <w:p w14:paraId="2593B0C1" w14:textId="77777777" w:rsidR="00CB60AB" w:rsidRDefault="00CB60AB" w:rsidP="00D31783">
      <w:pPr>
        <w:spacing w:line="360" w:lineRule="auto"/>
        <w:jc w:val="both"/>
        <w:rPr>
          <w:rFonts w:ascii="Arial" w:hAnsi="Arial"/>
          <w:sz w:val="22"/>
          <w:szCs w:val="22"/>
        </w:rPr>
      </w:pPr>
    </w:p>
    <w:p w14:paraId="78A304C4" w14:textId="77777777" w:rsidR="00C8546C" w:rsidRDefault="00C8546C" w:rsidP="00D31783">
      <w:pPr>
        <w:spacing w:line="360" w:lineRule="auto"/>
        <w:jc w:val="both"/>
        <w:rPr>
          <w:rFonts w:ascii="Arial" w:hAnsi="Arial"/>
          <w:sz w:val="22"/>
          <w:szCs w:val="22"/>
        </w:rPr>
      </w:pPr>
      <w:r>
        <w:rPr>
          <w:rFonts w:ascii="Arial" w:hAnsi="Arial"/>
          <w:sz w:val="22"/>
          <w:szCs w:val="22"/>
        </w:rPr>
        <w:t>COURT: Yes.</w:t>
      </w:r>
    </w:p>
    <w:p w14:paraId="20FAD249" w14:textId="77777777" w:rsidR="00C8546C" w:rsidRDefault="00C8546C" w:rsidP="00D31783">
      <w:pPr>
        <w:spacing w:line="360" w:lineRule="auto"/>
        <w:jc w:val="both"/>
        <w:rPr>
          <w:rFonts w:ascii="Arial" w:hAnsi="Arial"/>
          <w:sz w:val="22"/>
          <w:szCs w:val="22"/>
        </w:rPr>
      </w:pPr>
    </w:p>
    <w:p w14:paraId="51620778" w14:textId="77777777" w:rsidR="00E81266" w:rsidRDefault="00C8546C" w:rsidP="00D31783">
      <w:pPr>
        <w:spacing w:line="360" w:lineRule="auto"/>
        <w:jc w:val="both"/>
        <w:rPr>
          <w:rFonts w:ascii="Arial" w:hAnsi="Arial"/>
          <w:sz w:val="22"/>
          <w:szCs w:val="22"/>
        </w:rPr>
      </w:pPr>
      <w:r>
        <w:rPr>
          <w:rFonts w:ascii="Arial" w:hAnsi="Arial"/>
          <w:sz w:val="22"/>
          <w:szCs w:val="22"/>
        </w:rPr>
        <w:t xml:space="preserve">MR SONI: My Lord, </w:t>
      </w:r>
      <w:proofErr w:type="gramStart"/>
      <w:r>
        <w:rPr>
          <w:rFonts w:ascii="Arial" w:hAnsi="Arial"/>
          <w:sz w:val="22"/>
          <w:szCs w:val="22"/>
        </w:rPr>
        <w:t>in order to</w:t>
      </w:r>
      <w:proofErr w:type="gramEnd"/>
      <w:r>
        <w:rPr>
          <w:rFonts w:ascii="Arial" w:hAnsi="Arial"/>
          <w:sz w:val="22"/>
          <w:szCs w:val="22"/>
        </w:rPr>
        <w:t xml:space="preserve"> move in that direction, I have suggested to my Learned Friend t</w:t>
      </w:r>
      <w:r w:rsidR="00FB18A4">
        <w:rPr>
          <w:rFonts w:ascii="Arial" w:hAnsi="Arial"/>
          <w:sz w:val="22"/>
          <w:szCs w:val="22"/>
        </w:rPr>
        <w:t xml:space="preserve">hat </w:t>
      </w:r>
      <w:r>
        <w:rPr>
          <w:rFonts w:ascii="Arial" w:hAnsi="Arial"/>
          <w:sz w:val="22"/>
          <w:szCs w:val="22"/>
        </w:rPr>
        <w:t xml:space="preserve">what we would do is, there is the recording, the audio recording and there is a transcript of the same. Unfortunately, and this is not a criticism, it is just an observation, there are three versions typed by different people. We just want to know which version the State will rely on in the trial and then measure that version with the actual audio </w:t>
      </w:r>
      <w:proofErr w:type="gramStart"/>
      <w:r>
        <w:rPr>
          <w:rFonts w:ascii="Arial" w:hAnsi="Arial"/>
          <w:sz w:val="22"/>
          <w:szCs w:val="22"/>
        </w:rPr>
        <w:t>recording</w:t>
      </w:r>
      <w:proofErr w:type="gramEnd"/>
      <w:r>
        <w:rPr>
          <w:rFonts w:ascii="Arial" w:hAnsi="Arial"/>
          <w:sz w:val="22"/>
          <w:szCs w:val="22"/>
        </w:rPr>
        <w:t xml:space="preserve"> so we all</w:t>
      </w:r>
      <w:r w:rsidR="00031059">
        <w:rPr>
          <w:rFonts w:ascii="Arial" w:hAnsi="Arial"/>
          <w:sz w:val="22"/>
          <w:szCs w:val="22"/>
        </w:rPr>
        <w:t xml:space="preserve"> are working from the same words to determine whether the Accused are guilty or not.</w:t>
      </w:r>
      <w:r>
        <w:rPr>
          <w:rFonts w:ascii="Arial" w:hAnsi="Arial"/>
          <w:sz w:val="22"/>
          <w:szCs w:val="22"/>
        </w:rPr>
        <w:t xml:space="preserve"> </w:t>
      </w:r>
      <w:r w:rsidR="00031059">
        <w:rPr>
          <w:rFonts w:ascii="Arial" w:hAnsi="Arial"/>
          <w:sz w:val="22"/>
          <w:szCs w:val="22"/>
        </w:rPr>
        <w:t xml:space="preserve"> So, we would then spend part of the today at least measuring the two. My Learned Friend is going to bring the Witness forward first, as I understand, just to say that he recorded it and then we will listen to the recording. My Lord, just one further point, that I suggested is that rather than listening to the ent</w:t>
      </w:r>
      <w:r w:rsidR="00845B7A">
        <w:rPr>
          <w:rFonts w:ascii="Arial" w:hAnsi="Arial"/>
          <w:sz w:val="22"/>
          <w:szCs w:val="22"/>
        </w:rPr>
        <w:t>ire recording and then saying, “</w:t>
      </w:r>
      <w:r w:rsidR="00031059">
        <w:rPr>
          <w:rFonts w:ascii="Arial" w:hAnsi="Arial"/>
          <w:sz w:val="22"/>
          <w:szCs w:val="22"/>
        </w:rPr>
        <w:t>well, we disagree with this and this and this</w:t>
      </w:r>
      <w:r w:rsidR="00845B7A">
        <w:rPr>
          <w:rFonts w:ascii="Arial" w:hAnsi="Arial"/>
          <w:sz w:val="22"/>
          <w:szCs w:val="22"/>
        </w:rPr>
        <w:t xml:space="preserve">”, we would appropriate intervals stop the recording and say, “are we all agreed that it corresponds with what was transcribed?”. And if there </w:t>
      </w:r>
      <w:proofErr w:type="gramStart"/>
      <w:r w:rsidR="00845B7A">
        <w:rPr>
          <w:rFonts w:ascii="Arial" w:hAnsi="Arial"/>
          <w:sz w:val="22"/>
          <w:szCs w:val="22"/>
        </w:rPr>
        <w:t>is</w:t>
      </w:r>
      <w:proofErr w:type="gramEnd"/>
      <w:r w:rsidR="00845B7A">
        <w:rPr>
          <w:rFonts w:ascii="Arial" w:hAnsi="Arial"/>
          <w:sz w:val="22"/>
          <w:szCs w:val="22"/>
        </w:rPr>
        <w:t xml:space="preserve"> any changes to be made it would be made and then that would be binding on all the parties.’</w:t>
      </w:r>
      <w:r w:rsidR="00FB18A4">
        <w:rPr>
          <w:rFonts w:ascii="Arial" w:hAnsi="Arial"/>
          <w:sz w:val="22"/>
          <w:szCs w:val="22"/>
        </w:rPr>
        <w:t xml:space="preserve"> </w:t>
      </w:r>
    </w:p>
    <w:p w14:paraId="38C57557" w14:textId="77777777" w:rsidR="00845B7A" w:rsidRDefault="00845B7A" w:rsidP="00D31783">
      <w:pPr>
        <w:spacing w:line="360" w:lineRule="auto"/>
        <w:jc w:val="both"/>
        <w:rPr>
          <w:rFonts w:ascii="Arial" w:hAnsi="Arial"/>
          <w:sz w:val="22"/>
          <w:szCs w:val="22"/>
        </w:rPr>
      </w:pPr>
    </w:p>
    <w:p w14:paraId="36F0244F" w14:textId="3B6E0F9C" w:rsidR="00D31783" w:rsidRPr="00CB3C55" w:rsidRDefault="00CB3C55" w:rsidP="00CB3C55">
      <w:pPr>
        <w:spacing w:line="360" w:lineRule="auto"/>
        <w:jc w:val="both"/>
        <w:rPr>
          <w:rFonts w:ascii="Arial" w:hAnsi="Arial"/>
        </w:rPr>
      </w:pPr>
      <w:r>
        <w:rPr>
          <w:rFonts w:ascii="Arial" w:hAnsi="Arial"/>
        </w:rPr>
        <w:t>[7]</w:t>
      </w:r>
      <w:r>
        <w:rPr>
          <w:rFonts w:ascii="Arial" w:hAnsi="Arial"/>
        </w:rPr>
        <w:tab/>
      </w:r>
      <w:r w:rsidR="00845B7A" w:rsidRPr="00CB3C55">
        <w:rPr>
          <w:rFonts w:ascii="Arial" w:hAnsi="Arial"/>
        </w:rPr>
        <w:t>The suggestion expressed by Mr Soni,</w:t>
      </w:r>
      <w:r w:rsidR="007D3645" w:rsidRPr="00CB3C55">
        <w:rPr>
          <w:rFonts w:ascii="Arial" w:hAnsi="Arial"/>
        </w:rPr>
        <w:t xml:space="preserve"> as an agreement by the parties,</w:t>
      </w:r>
      <w:r w:rsidR="00845B7A" w:rsidRPr="00CB3C55">
        <w:rPr>
          <w:rFonts w:ascii="Arial" w:hAnsi="Arial"/>
        </w:rPr>
        <w:t xml:space="preserve"> </w:t>
      </w:r>
      <w:r w:rsidR="007D3645" w:rsidRPr="00CB3C55">
        <w:rPr>
          <w:rFonts w:ascii="Arial" w:hAnsi="Arial"/>
        </w:rPr>
        <w:t>w</w:t>
      </w:r>
      <w:r w:rsidR="00845B7A" w:rsidRPr="00CB3C55">
        <w:rPr>
          <w:rFonts w:ascii="Arial" w:hAnsi="Arial"/>
        </w:rPr>
        <w:t>as accepted by the court</w:t>
      </w:r>
      <w:r w:rsidR="007D3645" w:rsidRPr="00CB3C55">
        <w:rPr>
          <w:rFonts w:ascii="Arial" w:hAnsi="Arial"/>
        </w:rPr>
        <w:t xml:space="preserve"> as the </w:t>
      </w:r>
      <w:r w:rsidR="007D3645" w:rsidRPr="00CB3C55">
        <w:rPr>
          <w:rFonts w:ascii="Arial" w:hAnsi="Arial"/>
          <w:i/>
        </w:rPr>
        <w:t xml:space="preserve">modus operandi </w:t>
      </w:r>
      <w:r w:rsidR="007D3645" w:rsidRPr="00CB3C55">
        <w:rPr>
          <w:rFonts w:ascii="Arial" w:hAnsi="Arial"/>
        </w:rPr>
        <w:t>that would be followed in dealing with the said exhibits</w:t>
      </w:r>
      <w:r w:rsidR="00845B7A" w:rsidRPr="00CB3C55">
        <w:rPr>
          <w:rFonts w:ascii="Arial" w:hAnsi="Arial"/>
        </w:rPr>
        <w:t>.</w:t>
      </w:r>
      <w:r w:rsidR="007D3645" w:rsidRPr="00CB3C55">
        <w:rPr>
          <w:rFonts w:ascii="Arial" w:hAnsi="Arial"/>
        </w:rPr>
        <w:t xml:space="preserve"> The said agreement, as endorsed by the court, was followed accordingly as the parties who were present when the recording allegedly took place, being Mr </w:t>
      </w:r>
      <w:r w:rsidR="00E8364D" w:rsidRPr="00CB3C55">
        <w:rPr>
          <w:rFonts w:ascii="Arial" w:hAnsi="Arial"/>
        </w:rPr>
        <w:t xml:space="preserve">Mark </w:t>
      </w:r>
      <w:r w:rsidR="007D3645" w:rsidRPr="00CB3C55">
        <w:rPr>
          <w:rFonts w:ascii="Arial" w:hAnsi="Arial"/>
        </w:rPr>
        <w:t xml:space="preserve">Bongers and Ms </w:t>
      </w:r>
      <w:r w:rsidR="00E8364D" w:rsidRPr="00CB3C55">
        <w:rPr>
          <w:rFonts w:ascii="Arial" w:hAnsi="Arial"/>
        </w:rPr>
        <w:t xml:space="preserve">Kim </w:t>
      </w:r>
      <w:r w:rsidR="007D3645" w:rsidRPr="00CB3C55">
        <w:rPr>
          <w:rFonts w:ascii="Arial" w:hAnsi="Arial"/>
        </w:rPr>
        <w:t xml:space="preserve">Field, testified in relation to the recording. It was agreed that the exhibits would then be admitted </w:t>
      </w:r>
      <w:r w:rsidR="00BE7417" w:rsidRPr="00CB3C55">
        <w:rPr>
          <w:rFonts w:ascii="Arial" w:hAnsi="Arial"/>
        </w:rPr>
        <w:t xml:space="preserve">in final fashion </w:t>
      </w:r>
      <w:r w:rsidR="007D3645" w:rsidRPr="00CB3C55">
        <w:rPr>
          <w:rFonts w:ascii="Arial" w:hAnsi="Arial"/>
        </w:rPr>
        <w:t>at a later stage</w:t>
      </w:r>
      <w:r w:rsidR="00BE7417" w:rsidRPr="00CB3C55">
        <w:rPr>
          <w:rFonts w:ascii="Arial" w:hAnsi="Arial"/>
        </w:rPr>
        <w:t xml:space="preserve"> of the trial</w:t>
      </w:r>
      <w:r w:rsidR="007D3645" w:rsidRPr="00CB3C55">
        <w:rPr>
          <w:rFonts w:ascii="Arial" w:hAnsi="Arial"/>
        </w:rPr>
        <w:t xml:space="preserve">, subject to the defence challenging the admissibility thereof at the latter stages of the trial. </w:t>
      </w:r>
    </w:p>
    <w:p w14:paraId="6445EBBA" w14:textId="77777777" w:rsidR="00D31783" w:rsidRDefault="00D31783" w:rsidP="00D31783">
      <w:pPr>
        <w:pStyle w:val="ListParagraph"/>
        <w:spacing w:line="360" w:lineRule="auto"/>
        <w:ind w:left="0"/>
        <w:jc w:val="both"/>
        <w:rPr>
          <w:rFonts w:ascii="Arial" w:hAnsi="Arial"/>
        </w:rPr>
      </w:pPr>
    </w:p>
    <w:p w14:paraId="6D073E56" w14:textId="77A4DDC6" w:rsidR="00BE7417" w:rsidRPr="00CB3C55" w:rsidRDefault="00CB3C55" w:rsidP="00CB3C55">
      <w:pPr>
        <w:spacing w:line="360" w:lineRule="auto"/>
        <w:jc w:val="both"/>
        <w:rPr>
          <w:rFonts w:ascii="Arial" w:hAnsi="Arial"/>
        </w:rPr>
      </w:pPr>
      <w:r w:rsidRPr="00D31783">
        <w:rPr>
          <w:rFonts w:ascii="Arial" w:hAnsi="Arial"/>
        </w:rPr>
        <w:lastRenderedPageBreak/>
        <w:t>[8]</w:t>
      </w:r>
      <w:r w:rsidRPr="00D31783">
        <w:rPr>
          <w:rFonts w:ascii="Arial" w:hAnsi="Arial"/>
        </w:rPr>
        <w:tab/>
      </w:r>
      <w:r w:rsidR="00BE7417" w:rsidRPr="00CB3C55">
        <w:rPr>
          <w:rFonts w:ascii="Arial" w:hAnsi="Arial"/>
        </w:rPr>
        <w:t xml:space="preserve">At the trial, and on the day when the agreement recorded above took place, Mr </w:t>
      </w:r>
      <w:proofErr w:type="spellStart"/>
      <w:r w:rsidR="00BE7417" w:rsidRPr="00CB3C55">
        <w:rPr>
          <w:rFonts w:ascii="Arial" w:hAnsi="Arial"/>
        </w:rPr>
        <w:t>Marondedze</w:t>
      </w:r>
      <w:proofErr w:type="spellEnd"/>
      <w:r w:rsidR="00BE7417" w:rsidRPr="00CB3C55">
        <w:rPr>
          <w:rFonts w:ascii="Arial" w:hAnsi="Arial"/>
        </w:rPr>
        <w:t>, for the State, had his say too. He stated the following:</w:t>
      </w:r>
      <w:r w:rsidR="00BE7417">
        <w:rPr>
          <w:rStyle w:val="FootnoteReference"/>
          <w:rFonts w:ascii="Arial" w:hAnsi="Arial"/>
        </w:rPr>
        <w:footnoteReference w:id="2"/>
      </w:r>
    </w:p>
    <w:p w14:paraId="49EF6A58" w14:textId="77777777" w:rsidR="00D5185C" w:rsidRDefault="00D5185C" w:rsidP="00D31783">
      <w:pPr>
        <w:spacing w:line="360" w:lineRule="auto"/>
        <w:rPr>
          <w:rFonts w:ascii="Arial" w:hAnsi="Arial"/>
        </w:rPr>
      </w:pPr>
    </w:p>
    <w:p w14:paraId="00CF8A9D" w14:textId="77777777" w:rsidR="00BE7417" w:rsidRDefault="00BE7417" w:rsidP="00D31783">
      <w:pPr>
        <w:spacing w:line="360" w:lineRule="auto"/>
        <w:jc w:val="both"/>
        <w:rPr>
          <w:rFonts w:ascii="Arial" w:hAnsi="Arial"/>
          <w:sz w:val="22"/>
          <w:szCs w:val="22"/>
        </w:rPr>
      </w:pPr>
      <w:r>
        <w:tab/>
        <w:t>‘</w:t>
      </w:r>
      <w:r w:rsidR="00A22BC8" w:rsidRPr="00A22BC8">
        <w:rPr>
          <w:rFonts w:ascii="Arial" w:hAnsi="Arial"/>
          <w:sz w:val="22"/>
          <w:szCs w:val="22"/>
        </w:rPr>
        <w:t>We tender to hear the CD</w:t>
      </w:r>
      <w:r w:rsidR="00A22BC8">
        <w:rPr>
          <w:rFonts w:ascii="Arial" w:hAnsi="Arial"/>
          <w:sz w:val="22"/>
          <w:szCs w:val="22"/>
        </w:rPr>
        <w:t xml:space="preserve"> which was downloaded by the witness Ludik who will testify, if need be, for the National Forensic, provisionally be admitted into evidence and then played for the court to hear and with that, if I may ask that the Court may allow the witness to be seated.’</w:t>
      </w:r>
    </w:p>
    <w:p w14:paraId="350557F1" w14:textId="77777777" w:rsidR="00A22BC8" w:rsidRDefault="00A22BC8" w:rsidP="00D31783">
      <w:pPr>
        <w:spacing w:line="360" w:lineRule="auto"/>
        <w:rPr>
          <w:rFonts w:ascii="Arial" w:hAnsi="Arial"/>
          <w:sz w:val="22"/>
          <w:szCs w:val="22"/>
        </w:rPr>
      </w:pPr>
    </w:p>
    <w:p w14:paraId="290B8727" w14:textId="3783EA15" w:rsidR="00A22BC8" w:rsidRPr="00CB3C55" w:rsidRDefault="00CB3C55" w:rsidP="00CB3C55">
      <w:pPr>
        <w:spacing w:line="360" w:lineRule="auto"/>
        <w:jc w:val="both"/>
        <w:rPr>
          <w:rFonts w:ascii="Arial" w:hAnsi="Arial"/>
        </w:rPr>
      </w:pPr>
      <w:r w:rsidRPr="00D31783">
        <w:rPr>
          <w:rFonts w:ascii="Arial" w:hAnsi="Arial"/>
        </w:rPr>
        <w:t>[9]</w:t>
      </w:r>
      <w:r w:rsidRPr="00D31783">
        <w:rPr>
          <w:rFonts w:ascii="Arial" w:hAnsi="Arial"/>
        </w:rPr>
        <w:tab/>
      </w:r>
      <w:r w:rsidR="00A22BC8" w:rsidRPr="00CB3C55">
        <w:rPr>
          <w:rFonts w:ascii="Arial" w:hAnsi="Arial"/>
        </w:rPr>
        <w:t xml:space="preserve">It is accordingly plain that Mr </w:t>
      </w:r>
      <w:proofErr w:type="spellStart"/>
      <w:r w:rsidR="00A22BC8" w:rsidRPr="00CB3C55">
        <w:rPr>
          <w:rFonts w:ascii="Arial" w:hAnsi="Arial"/>
        </w:rPr>
        <w:t>Marondedze</w:t>
      </w:r>
      <w:proofErr w:type="spellEnd"/>
      <w:r w:rsidR="00A22BC8" w:rsidRPr="00CB3C55">
        <w:rPr>
          <w:rFonts w:ascii="Arial" w:hAnsi="Arial"/>
        </w:rPr>
        <w:t xml:space="preserve"> also identified himself with the sentiments and agreement conveyed to the court </w:t>
      </w:r>
      <w:r w:rsidR="005C2001" w:rsidRPr="00CB3C55">
        <w:rPr>
          <w:rFonts w:ascii="Arial" w:hAnsi="Arial"/>
        </w:rPr>
        <w:t xml:space="preserve">and made an order of court as relayed </w:t>
      </w:r>
      <w:r w:rsidR="00A22BC8" w:rsidRPr="00CB3C55">
        <w:rPr>
          <w:rFonts w:ascii="Arial" w:hAnsi="Arial"/>
        </w:rPr>
        <w:t>by Mr Soni.</w:t>
      </w:r>
      <w:r w:rsidR="005C2001" w:rsidRPr="00CB3C55">
        <w:rPr>
          <w:rFonts w:ascii="Arial" w:hAnsi="Arial"/>
        </w:rPr>
        <w:t xml:space="preserve"> The court, for its part, in dealing with the application and subsequently making the order it deemed appropriate, stated the following:</w:t>
      </w:r>
      <w:r w:rsidR="005C2001">
        <w:rPr>
          <w:rStyle w:val="FootnoteReference"/>
          <w:rFonts w:ascii="Arial" w:hAnsi="Arial"/>
        </w:rPr>
        <w:footnoteReference w:id="3"/>
      </w:r>
    </w:p>
    <w:p w14:paraId="3A4CB6E7" w14:textId="77777777" w:rsidR="005C2001" w:rsidRDefault="005C2001" w:rsidP="00D31783">
      <w:pPr>
        <w:spacing w:line="360" w:lineRule="auto"/>
        <w:jc w:val="both"/>
        <w:rPr>
          <w:rFonts w:ascii="Arial" w:hAnsi="Arial"/>
        </w:rPr>
      </w:pPr>
    </w:p>
    <w:p w14:paraId="2C1181F1" w14:textId="77777777" w:rsidR="002B5211" w:rsidRDefault="005C2001" w:rsidP="00D31783">
      <w:pPr>
        <w:spacing w:line="360" w:lineRule="auto"/>
        <w:jc w:val="both"/>
        <w:rPr>
          <w:rFonts w:ascii="Arial" w:hAnsi="Arial"/>
          <w:sz w:val="22"/>
          <w:szCs w:val="22"/>
        </w:rPr>
      </w:pPr>
      <w:r>
        <w:rPr>
          <w:rFonts w:ascii="Arial" w:hAnsi="Arial"/>
        </w:rPr>
        <w:tab/>
        <w:t>‘</w:t>
      </w:r>
      <w:r>
        <w:rPr>
          <w:rFonts w:ascii="Arial" w:hAnsi="Arial"/>
          <w:sz w:val="22"/>
          <w:szCs w:val="22"/>
        </w:rPr>
        <w:t xml:space="preserve">Yes, but maybe what I should then do is maybe make a ruling in light of the submissions that were made, that the evidence </w:t>
      </w:r>
      <w:r w:rsidR="002B5211">
        <w:rPr>
          <w:rFonts w:ascii="Arial" w:hAnsi="Arial"/>
          <w:sz w:val="22"/>
          <w:szCs w:val="22"/>
        </w:rPr>
        <w:t>will be admitted provisionally subject to the Accused persons’ legal representatives challenging the admissibility of that evidence and I think that would be a matter that would have to be argued at the appropriate time and which the State will also have an opportunity to deal with, so that for now we just deal with the evidence and then the admissibility would be dealt with at an appropriate stage.’</w:t>
      </w:r>
    </w:p>
    <w:p w14:paraId="36B2B765" w14:textId="77777777" w:rsidR="002B5211" w:rsidRDefault="002B5211" w:rsidP="00D31783">
      <w:pPr>
        <w:spacing w:line="360" w:lineRule="auto"/>
        <w:jc w:val="both"/>
        <w:rPr>
          <w:rFonts w:ascii="Arial" w:hAnsi="Arial"/>
          <w:sz w:val="22"/>
          <w:szCs w:val="22"/>
        </w:rPr>
      </w:pPr>
    </w:p>
    <w:p w14:paraId="388C7D4E" w14:textId="6A555DEA" w:rsidR="00D31783" w:rsidRPr="00CB3C55" w:rsidRDefault="00CB3C55" w:rsidP="00CB3C55">
      <w:pPr>
        <w:spacing w:line="360" w:lineRule="auto"/>
        <w:jc w:val="both"/>
        <w:rPr>
          <w:rFonts w:ascii="Arial" w:hAnsi="Arial"/>
        </w:rPr>
      </w:pPr>
      <w:r>
        <w:rPr>
          <w:rFonts w:ascii="Arial" w:hAnsi="Arial"/>
        </w:rPr>
        <w:t>[10]</w:t>
      </w:r>
      <w:r>
        <w:rPr>
          <w:rFonts w:ascii="Arial" w:hAnsi="Arial"/>
        </w:rPr>
        <w:tab/>
      </w:r>
      <w:r w:rsidR="000A07A3" w:rsidRPr="00CB3C55">
        <w:rPr>
          <w:rFonts w:ascii="Arial" w:hAnsi="Arial"/>
        </w:rPr>
        <w:t>It should be mentioned, as seen in para</w:t>
      </w:r>
      <w:r w:rsidR="002B5211" w:rsidRPr="00CB3C55">
        <w:rPr>
          <w:rFonts w:ascii="Arial" w:hAnsi="Arial"/>
        </w:rPr>
        <w:tab/>
      </w:r>
      <w:r w:rsidR="000A07A3" w:rsidRPr="00CB3C55">
        <w:rPr>
          <w:rFonts w:ascii="Arial" w:hAnsi="Arial"/>
        </w:rPr>
        <w:t>[7] above, that the State had intimated that it would call Dr Ludik, from the Forensic Laboratory, to tender his testimony regarding two exhibits. As fate would have it, Dr Ludik</w:t>
      </w:r>
      <w:r w:rsidR="009C6FC0" w:rsidRPr="00CB3C55">
        <w:rPr>
          <w:rFonts w:ascii="Arial" w:hAnsi="Arial"/>
        </w:rPr>
        <w:t>,</w:t>
      </w:r>
      <w:r w:rsidR="000A07A3" w:rsidRPr="00CB3C55">
        <w:rPr>
          <w:rFonts w:ascii="Arial" w:hAnsi="Arial"/>
        </w:rPr>
        <w:t xml:space="preserve"> was unwell at some stage when he was supposed to come and tender his evidence, including his handling of the exhibits. An application for a postponement was applied for and granted by this court, in the hope that Dr Ludik would regain his health</w:t>
      </w:r>
      <w:r w:rsidR="00C676E6" w:rsidRPr="00CB3C55">
        <w:rPr>
          <w:rFonts w:ascii="Arial" w:hAnsi="Arial"/>
        </w:rPr>
        <w:t xml:space="preserve"> and be available to testify later</w:t>
      </w:r>
      <w:r w:rsidR="000A07A3" w:rsidRPr="00CB3C55">
        <w:rPr>
          <w:rFonts w:ascii="Arial" w:hAnsi="Arial"/>
        </w:rPr>
        <w:t xml:space="preserve">. That did not however happen, as </w:t>
      </w:r>
      <w:r w:rsidR="00585FCF" w:rsidRPr="00CB3C55">
        <w:rPr>
          <w:rFonts w:ascii="Arial" w:hAnsi="Arial"/>
        </w:rPr>
        <w:t xml:space="preserve">Dr Ludik unfortunately exited this jurisdiction and </w:t>
      </w:r>
      <w:r w:rsidR="00220F7A" w:rsidRPr="00CB3C55">
        <w:rPr>
          <w:rFonts w:ascii="Arial" w:hAnsi="Arial"/>
        </w:rPr>
        <w:t xml:space="preserve">was </w:t>
      </w:r>
      <w:r w:rsidR="00585FCF" w:rsidRPr="00CB3C55">
        <w:rPr>
          <w:rFonts w:ascii="Arial" w:hAnsi="Arial"/>
        </w:rPr>
        <w:t>translated to the celestial jurisdiction without having adduced his evidence regarding the exhibits, in particular.</w:t>
      </w:r>
    </w:p>
    <w:p w14:paraId="75FD5174" w14:textId="77777777" w:rsidR="00D31783" w:rsidRDefault="00D31783" w:rsidP="00D31783">
      <w:pPr>
        <w:pStyle w:val="ListParagraph"/>
        <w:spacing w:line="360" w:lineRule="auto"/>
        <w:ind w:left="0"/>
        <w:jc w:val="both"/>
        <w:rPr>
          <w:rFonts w:ascii="Arial" w:hAnsi="Arial"/>
        </w:rPr>
      </w:pPr>
    </w:p>
    <w:p w14:paraId="74A940E0" w14:textId="07C9C1C2" w:rsidR="00D31783" w:rsidRPr="00CB3C55" w:rsidRDefault="00CB3C55" w:rsidP="00CB3C55">
      <w:pPr>
        <w:spacing w:line="360" w:lineRule="auto"/>
        <w:jc w:val="both"/>
        <w:rPr>
          <w:rFonts w:ascii="Arial" w:hAnsi="Arial"/>
        </w:rPr>
      </w:pPr>
      <w:r>
        <w:rPr>
          <w:rFonts w:ascii="Arial" w:hAnsi="Arial"/>
        </w:rPr>
        <w:lastRenderedPageBreak/>
        <w:t>[11]</w:t>
      </w:r>
      <w:r>
        <w:rPr>
          <w:rFonts w:ascii="Arial" w:hAnsi="Arial"/>
        </w:rPr>
        <w:tab/>
      </w:r>
      <w:r w:rsidR="009C6FC0" w:rsidRPr="00CB3C55">
        <w:rPr>
          <w:rFonts w:ascii="Arial" w:hAnsi="Arial"/>
        </w:rPr>
        <w:t>When the trial resumed on 10 October 2022, after the demise of Dr Ludik, the State filed an application</w:t>
      </w:r>
      <w:r w:rsidR="00E754CF" w:rsidRPr="00CB3C55">
        <w:rPr>
          <w:rFonts w:ascii="Arial" w:hAnsi="Arial"/>
        </w:rPr>
        <w:t xml:space="preserve"> for the admission of the exhibits, which it is common cause, were prepared by Dr Ludik. This was done in terms of s 212 of the </w:t>
      </w:r>
      <w:r w:rsidR="00CB60AB" w:rsidRPr="00CB3C55">
        <w:rPr>
          <w:rFonts w:ascii="Arial" w:hAnsi="Arial"/>
        </w:rPr>
        <w:t>CPA</w:t>
      </w:r>
      <w:r w:rsidR="00E754CF" w:rsidRPr="00CB3C55">
        <w:rPr>
          <w:rFonts w:ascii="Arial" w:hAnsi="Arial"/>
        </w:rPr>
        <w:t xml:space="preserve">. The defence strenuously opposed this application. This attempt appears to have been </w:t>
      </w:r>
      <w:r w:rsidR="006354F7" w:rsidRPr="00CB3C55">
        <w:rPr>
          <w:rFonts w:ascii="Arial" w:hAnsi="Arial"/>
        </w:rPr>
        <w:t>aborted,</w:t>
      </w:r>
      <w:r w:rsidR="00E754CF" w:rsidRPr="00CB3C55">
        <w:rPr>
          <w:rFonts w:ascii="Arial" w:hAnsi="Arial"/>
        </w:rPr>
        <w:t xml:space="preserve"> as the State did not proceed with this application. The matter was postponed to 23 February 2023 for continuation of trial.</w:t>
      </w:r>
    </w:p>
    <w:p w14:paraId="2ECB8E23" w14:textId="77777777" w:rsidR="00D31783" w:rsidRDefault="00D31783" w:rsidP="00D31783">
      <w:pPr>
        <w:pStyle w:val="ListParagraph"/>
        <w:spacing w:line="360" w:lineRule="auto"/>
        <w:ind w:left="0"/>
        <w:jc w:val="both"/>
        <w:rPr>
          <w:rFonts w:ascii="Arial" w:hAnsi="Arial"/>
        </w:rPr>
      </w:pPr>
    </w:p>
    <w:p w14:paraId="6199DF2A" w14:textId="1EC8DA0A" w:rsidR="00D31783" w:rsidRPr="00CB3C55" w:rsidRDefault="00CB3C55" w:rsidP="00CB3C55">
      <w:pPr>
        <w:spacing w:line="360" w:lineRule="auto"/>
        <w:jc w:val="both"/>
        <w:rPr>
          <w:rFonts w:ascii="Arial" w:hAnsi="Arial"/>
        </w:rPr>
      </w:pPr>
      <w:r>
        <w:rPr>
          <w:rFonts w:ascii="Arial" w:hAnsi="Arial"/>
        </w:rPr>
        <w:t>[12]</w:t>
      </w:r>
      <w:r>
        <w:rPr>
          <w:rFonts w:ascii="Arial" w:hAnsi="Arial"/>
        </w:rPr>
        <w:tab/>
      </w:r>
      <w:r w:rsidR="00E754CF" w:rsidRPr="00CB3C55">
        <w:rPr>
          <w:rFonts w:ascii="Arial" w:hAnsi="Arial"/>
        </w:rPr>
        <w:t xml:space="preserve">On that date, the State filed an affidavit of Inspector Katanga, and attempted to have that affidavit handed in. The defence again opposed the said application. The defence strongly submitted that the provisions of s 212 of the </w:t>
      </w:r>
      <w:r w:rsidR="00CB60AB" w:rsidRPr="00CB3C55">
        <w:rPr>
          <w:rFonts w:ascii="Arial" w:hAnsi="Arial"/>
        </w:rPr>
        <w:t>CPA,</w:t>
      </w:r>
      <w:r w:rsidR="00E754CF" w:rsidRPr="00CB3C55">
        <w:rPr>
          <w:rFonts w:ascii="Arial" w:hAnsi="Arial"/>
        </w:rPr>
        <w:t xml:space="preserve"> had not been satisfied and that for that reason, this was an</w:t>
      </w:r>
      <w:r w:rsidR="00AB43B8" w:rsidRPr="00CB3C55">
        <w:rPr>
          <w:rFonts w:ascii="Arial" w:hAnsi="Arial"/>
        </w:rPr>
        <w:t xml:space="preserve"> improper case in which to invo</w:t>
      </w:r>
      <w:r w:rsidR="00E754CF" w:rsidRPr="00CB3C55">
        <w:rPr>
          <w:rFonts w:ascii="Arial" w:hAnsi="Arial"/>
        </w:rPr>
        <w:t>ke the</w:t>
      </w:r>
      <w:r w:rsidR="00AB43B8" w:rsidRPr="00CB3C55">
        <w:rPr>
          <w:rFonts w:ascii="Arial" w:hAnsi="Arial"/>
        </w:rPr>
        <w:t xml:space="preserve"> said</w:t>
      </w:r>
      <w:r w:rsidR="00E754CF" w:rsidRPr="00CB3C55">
        <w:rPr>
          <w:rFonts w:ascii="Arial" w:hAnsi="Arial"/>
        </w:rPr>
        <w:t xml:space="preserve"> provisions</w:t>
      </w:r>
      <w:r w:rsidR="00AB43B8" w:rsidRPr="00CB3C55">
        <w:rPr>
          <w:rFonts w:ascii="Arial" w:hAnsi="Arial"/>
        </w:rPr>
        <w:t xml:space="preserve">. The defence filed their legal bases for the opposition. This resulted in the State no longer pursing that </w:t>
      </w:r>
      <w:proofErr w:type="gramStart"/>
      <w:r w:rsidR="00AB43B8" w:rsidRPr="00CB3C55">
        <w:rPr>
          <w:rFonts w:ascii="Arial" w:hAnsi="Arial"/>
        </w:rPr>
        <w:t>particular application</w:t>
      </w:r>
      <w:proofErr w:type="gramEnd"/>
      <w:r w:rsidR="00AB43B8" w:rsidRPr="00CB3C55">
        <w:rPr>
          <w:rFonts w:ascii="Arial" w:hAnsi="Arial"/>
        </w:rPr>
        <w:t>.</w:t>
      </w:r>
    </w:p>
    <w:p w14:paraId="650757FA" w14:textId="77777777" w:rsidR="00D31783" w:rsidRDefault="00D31783" w:rsidP="00D31783">
      <w:pPr>
        <w:pStyle w:val="ListParagraph"/>
        <w:spacing w:line="360" w:lineRule="auto"/>
        <w:ind w:left="0"/>
        <w:jc w:val="both"/>
        <w:rPr>
          <w:rFonts w:ascii="Arial" w:hAnsi="Arial"/>
        </w:rPr>
      </w:pPr>
    </w:p>
    <w:p w14:paraId="4827620F" w14:textId="7112BF88" w:rsidR="00D31783" w:rsidRPr="00CB3C55" w:rsidRDefault="00CB3C55" w:rsidP="00CB3C55">
      <w:pPr>
        <w:spacing w:line="360" w:lineRule="auto"/>
        <w:jc w:val="both"/>
        <w:rPr>
          <w:rFonts w:ascii="Arial" w:hAnsi="Arial"/>
        </w:rPr>
      </w:pPr>
      <w:r>
        <w:rPr>
          <w:rFonts w:ascii="Arial" w:hAnsi="Arial"/>
        </w:rPr>
        <w:t>[13]</w:t>
      </w:r>
      <w:r>
        <w:rPr>
          <w:rFonts w:ascii="Arial" w:hAnsi="Arial"/>
        </w:rPr>
        <w:tab/>
      </w:r>
      <w:r w:rsidR="00AB43B8" w:rsidRPr="00CB3C55">
        <w:rPr>
          <w:rFonts w:ascii="Arial" w:hAnsi="Arial"/>
        </w:rPr>
        <w:t xml:space="preserve">The present application is the latest attempt by the State, to have the court finally admit the exhibits. Needless to mention, the defence </w:t>
      </w:r>
      <w:r w:rsidR="00CB60AB" w:rsidRPr="00CB3C55">
        <w:rPr>
          <w:rFonts w:ascii="Arial" w:hAnsi="Arial"/>
        </w:rPr>
        <w:t xml:space="preserve">team </w:t>
      </w:r>
      <w:r w:rsidR="00AB43B8" w:rsidRPr="00CB3C55">
        <w:rPr>
          <w:rFonts w:ascii="Arial" w:hAnsi="Arial"/>
        </w:rPr>
        <w:t>again oppose</w:t>
      </w:r>
      <w:r w:rsidR="00CB60AB" w:rsidRPr="00CB3C55">
        <w:rPr>
          <w:rFonts w:ascii="Arial" w:hAnsi="Arial"/>
        </w:rPr>
        <w:t>s</w:t>
      </w:r>
      <w:r w:rsidR="00AB43B8" w:rsidRPr="00CB3C55">
        <w:rPr>
          <w:rFonts w:ascii="Arial" w:hAnsi="Arial"/>
        </w:rPr>
        <w:t xml:space="preserve"> the application on grounds that will be enumerated below. It is that application that is the basis for the present ruling. </w:t>
      </w:r>
    </w:p>
    <w:p w14:paraId="055F11C2" w14:textId="77777777" w:rsidR="00D31783" w:rsidRDefault="00D31783" w:rsidP="00D31783">
      <w:pPr>
        <w:pStyle w:val="ListParagraph"/>
        <w:spacing w:line="360" w:lineRule="auto"/>
        <w:ind w:left="0"/>
        <w:jc w:val="both"/>
        <w:rPr>
          <w:rFonts w:ascii="Arial" w:hAnsi="Arial"/>
        </w:rPr>
      </w:pPr>
    </w:p>
    <w:p w14:paraId="7CC5A172" w14:textId="30E44DF2" w:rsidR="00D31783" w:rsidRPr="00CB3C55" w:rsidRDefault="00CB3C55" w:rsidP="00CB3C55">
      <w:pPr>
        <w:spacing w:line="360" w:lineRule="auto"/>
        <w:jc w:val="both"/>
        <w:rPr>
          <w:rFonts w:ascii="Arial" w:hAnsi="Arial"/>
        </w:rPr>
      </w:pPr>
      <w:r>
        <w:rPr>
          <w:rFonts w:ascii="Arial" w:hAnsi="Arial"/>
        </w:rPr>
        <w:t>[14]</w:t>
      </w:r>
      <w:r>
        <w:rPr>
          <w:rFonts w:ascii="Arial" w:hAnsi="Arial"/>
        </w:rPr>
        <w:tab/>
      </w:r>
      <w:r w:rsidR="002B5211" w:rsidRPr="00CB3C55">
        <w:rPr>
          <w:rFonts w:ascii="Arial" w:hAnsi="Arial"/>
        </w:rPr>
        <w:t xml:space="preserve">It is with the above background facts in mind that the application will be considered and decided. To that end, I will deal with the law applicable and where appropriate, to deal with the submissions made on behalf of the protagonists in this matter on the issue of </w:t>
      </w:r>
      <w:r w:rsidR="00DA7EEC" w:rsidRPr="00CB3C55">
        <w:rPr>
          <w:rFonts w:ascii="Arial" w:hAnsi="Arial"/>
        </w:rPr>
        <w:t xml:space="preserve">the final </w:t>
      </w:r>
      <w:r w:rsidR="002B5211" w:rsidRPr="00CB3C55">
        <w:rPr>
          <w:rFonts w:ascii="Arial" w:hAnsi="Arial"/>
        </w:rPr>
        <w:t>admission of the exhibits.</w:t>
      </w:r>
    </w:p>
    <w:p w14:paraId="6AAE63C4" w14:textId="77777777" w:rsidR="00D31783" w:rsidRDefault="00D31783" w:rsidP="00D31783">
      <w:pPr>
        <w:pStyle w:val="ListParagraph"/>
        <w:spacing w:line="360" w:lineRule="auto"/>
        <w:ind w:left="0"/>
        <w:jc w:val="both"/>
        <w:rPr>
          <w:rFonts w:ascii="Arial" w:hAnsi="Arial"/>
        </w:rPr>
      </w:pPr>
    </w:p>
    <w:p w14:paraId="20396100" w14:textId="77777777" w:rsidR="00D31783" w:rsidRDefault="00D31783" w:rsidP="00D31783">
      <w:pPr>
        <w:spacing w:line="360" w:lineRule="auto"/>
        <w:jc w:val="both"/>
        <w:rPr>
          <w:rFonts w:ascii="Arial" w:hAnsi="Arial"/>
          <w:u w:val="single"/>
        </w:rPr>
      </w:pPr>
      <w:r>
        <w:rPr>
          <w:rFonts w:ascii="Arial" w:hAnsi="Arial"/>
          <w:u w:val="single"/>
        </w:rPr>
        <w:t>The State’s submissions</w:t>
      </w:r>
    </w:p>
    <w:p w14:paraId="3F364672" w14:textId="77777777" w:rsidR="00D31783" w:rsidRDefault="00D31783" w:rsidP="00D31783">
      <w:pPr>
        <w:pStyle w:val="ListParagraph"/>
        <w:spacing w:line="360" w:lineRule="auto"/>
        <w:ind w:left="0"/>
        <w:jc w:val="both"/>
        <w:rPr>
          <w:rFonts w:ascii="Arial" w:hAnsi="Arial"/>
        </w:rPr>
      </w:pPr>
    </w:p>
    <w:p w14:paraId="65F8652F" w14:textId="2E057809" w:rsidR="00D31783" w:rsidRPr="00CB3C55" w:rsidRDefault="00CB3C55" w:rsidP="00CB3C55">
      <w:pPr>
        <w:spacing w:line="360" w:lineRule="auto"/>
        <w:jc w:val="both"/>
        <w:rPr>
          <w:rFonts w:ascii="Arial" w:hAnsi="Arial"/>
        </w:rPr>
      </w:pPr>
      <w:r>
        <w:rPr>
          <w:rFonts w:ascii="Arial" w:hAnsi="Arial"/>
        </w:rPr>
        <w:t>[15]</w:t>
      </w:r>
      <w:r>
        <w:rPr>
          <w:rFonts w:ascii="Arial" w:hAnsi="Arial"/>
        </w:rPr>
        <w:tab/>
      </w:r>
      <w:r w:rsidR="00DA7EEC" w:rsidRPr="00CB3C55">
        <w:rPr>
          <w:rFonts w:ascii="Arial" w:hAnsi="Arial"/>
        </w:rPr>
        <w:t xml:space="preserve">Mr </w:t>
      </w:r>
      <w:proofErr w:type="spellStart"/>
      <w:r w:rsidR="00DA7EEC" w:rsidRPr="00CB3C55">
        <w:rPr>
          <w:rFonts w:ascii="Arial" w:hAnsi="Arial"/>
        </w:rPr>
        <w:t>Marondedze</w:t>
      </w:r>
      <w:proofErr w:type="spellEnd"/>
      <w:r w:rsidR="00DA7EEC" w:rsidRPr="00CB3C55">
        <w:rPr>
          <w:rFonts w:ascii="Arial" w:hAnsi="Arial"/>
        </w:rPr>
        <w:t xml:space="preserve">, in his forceful submissions, urged the court to accept the exhibits finally as part of the evidence in the matter. He argued that the </w:t>
      </w:r>
      <w:r w:rsidR="006354F7" w:rsidRPr="00CB3C55">
        <w:rPr>
          <w:rFonts w:ascii="Arial" w:hAnsi="Arial"/>
        </w:rPr>
        <w:t>witnesses,</w:t>
      </w:r>
      <w:r w:rsidR="00DA7EEC" w:rsidRPr="00CB3C55">
        <w:rPr>
          <w:rFonts w:ascii="Arial" w:hAnsi="Arial"/>
        </w:rPr>
        <w:t xml:space="preserve"> who testified in relation to the exhibits, being Mr Bongers and Ms Field, were cross-examined extensively on the events at the meeting as recorded in the CD and the transcript. </w:t>
      </w:r>
      <w:r w:rsidR="00E8364D" w:rsidRPr="00CB3C55">
        <w:rPr>
          <w:rFonts w:ascii="Arial" w:hAnsi="Arial"/>
        </w:rPr>
        <w:t xml:space="preserve">He submitted that at no stage during cross-examination of these witnesses was it ever suggested that the recording </w:t>
      </w:r>
      <w:r w:rsidR="00E8364D" w:rsidRPr="00CB3C55">
        <w:rPr>
          <w:rFonts w:ascii="Arial" w:hAnsi="Arial"/>
        </w:rPr>
        <w:lastRenderedPageBreak/>
        <w:t>of the conversation during that meeting violated the accused persons’ constitutional rights in any manner.</w:t>
      </w:r>
    </w:p>
    <w:p w14:paraId="3455729C" w14:textId="77777777" w:rsidR="00D31783" w:rsidRDefault="00D31783" w:rsidP="00D31783">
      <w:pPr>
        <w:pStyle w:val="ListParagraph"/>
        <w:spacing w:line="360" w:lineRule="auto"/>
        <w:ind w:left="0"/>
        <w:jc w:val="both"/>
        <w:rPr>
          <w:rFonts w:ascii="Arial" w:hAnsi="Arial"/>
        </w:rPr>
      </w:pPr>
    </w:p>
    <w:p w14:paraId="2195CAA0" w14:textId="00B29726" w:rsidR="00D31783" w:rsidRPr="00CB3C55" w:rsidRDefault="00CB3C55" w:rsidP="00CB3C55">
      <w:pPr>
        <w:spacing w:line="360" w:lineRule="auto"/>
        <w:jc w:val="both"/>
        <w:rPr>
          <w:rFonts w:ascii="Arial" w:hAnsi="Arial"/>
        </w:rPr>
      </w:pPr>
      <w:r>
        <w:rPr>
          <w:rFonts w:ascii="Arial" w:hAnsi="Arial"/>
        </w:rPr>
        <w:t>[16]</w:t>
      </w:r>
      <w:r>
        <w:rPr>
          <w:rFonts w:ascii="Arial" w:hAnsi="Arial"/>
        </w:rPr>
        <w:tab/>
      </w:r>
      <w:r w:rsidR="00E8364D" w:rsidRPr="00CB3C55">
        <w:rPr>
          <w:rFonts w:ascii="Arial" w:hAnsi="Arial"/>
        </w:rPr>
        <w:t xml:space="preserve">Mr </w:t>
      </w:r>
      <w:proofErr w:type="spellStart"/>
      <w:r w:rsidR="00E8364D" w:rsidRPr="00CB3C55">
        <w:rPr>
          <w:rFonts w:ascii="Arial" w:hAnsi="Arial"/>
        </w:rPr>
        <w:t>Marondedze</w:t>
      </w:r>
      <w:proofErr w:type="spellEnd"/>
      <w:r w:rsidR="00E8364D" w:rsidRPr="00CB3C55">
        <w:rPr>
          <w:rFonts w:ascii="Arial" w:hAnsi="Arial"/>
        </w:rPr>
        <w:t xml:space="preserve"> further submitted that the court was privileged to sit, </w:t>
      </w:r>
      <w:proofErr w:type="gramStart"/>
      <w:r w:rsidR="00E8364D" w:rsidRPr="00CB3C55">
        <w:rPr>
          <w:rFonts w:ascii="Arial" w:hAnsi="Arial"/>
        </w:rPr>
        <w:t>see</w:t>
      </w:r>
      <w:proofErr w:type="gramEnd"/>
      <w:r w:rsidR="00E8364D" w:rsidRPr="00CB3C55">
        <w:rPr>
          <w:rFonts w:ascii="Arial" w:hAnsi="Arial"/>
        </w:rPr>
        <w:t xml:space="preserve"> and hear the relevant witnesses in chief</w:t>
      </w:r>
      <w:r w:rsidR="00CB60AB" w:rsidRPr="00CB3C55">
        <w:rPr>
          <w:rFonts w:ascii="Arial" w:hAnsi="Arial"/>
        </w:rPr>
        <w:t xml:space="preserve"> and under cross-examination. </w:t>
      </w:r>
      <w:proofErr w:type="gramStart"/>
      <w:r w:rsidR="00CB60AB" w:rsidRPr="00CB3C55">
        <w:rPr>
          <w:rFonts w:ascii="Arial" w:hAnsi="Arial"/>
        </w:rPr>
        <w:t>The court,</w:t>
      </w:r>
      <w:proofErr w:type="gramEnd"/>
      <w:r w:rsidR="00E8364D" w:rsidRPr="00CB3C55">
        <w:rPr>
          <w:rFonts w:ascii="Arial" w:hAnsi="Arial"/>
        </w:rPr>
        <w:t xml:space="preserve"> further listened to the audio recording and </w:t>
      </w:r>
      <w:r w:rsidR="00F54620" w:rsidRPr="00CB3C55">
        <w:rPr>
          <w:rFonts w:ascii="Arial" w:hAnsi="Arial"/>
        </w:rPr>
        <w:t xml:space="preserve">had the opportunity </w:t>
      </w:r>
      <w:r w:rsidR="00E8364D" w:rsidRPr="00CB3C55">
        <w:rPr>
          <w:rFonts w:ascii="Arial" w:hAnsi="Arial"/>
        </w:rPr>
        <w:t>to compare the transcript</w:t>
      </w:r>
      <w:r w:rsidR="00F54620" w:rsidRPr="00CB3C55">
        <w:rPr>
          <w:rFonts w:ascii="Arial" w:hAnsi="Arial"/>
        </w:rPr>
        <w:t xml:space="preserve"> to the recording</w:t>
      </w:r>
      <w:r w:rsidR="00E8364D" w:rsidRPr="00CB3C55">
        <w:rPr>
          <w:rFonts w:ascii="Arial" w:hAnsi="Arial"/>
        </w:rPr>
        <w:t>.</w:t>
      </w:r>
      <w:r w:rsidR="00F54620" w:rsidRPr="00CB3C55">
        <w:rPr>
          <w:rFonts w:ascii="Arial" w:hAnsi="Arial"/>
        </w:rPr>
        <w:t xml:space="preserve"> What has not happened yet, is for the accused persons to themselves place their version before court as to why the exhibits should not b</w:t>
      </w:r>
      <w:r w:rsidR="00CB60AB" w:rsidRPr="00CB3C55">
        <w:rPr>
          <w:rFonts w:ascii="Arial" w:hAnsi="Arial"/>
        </w:rPr>
        <w:t xml:space="preserve">e admitted in evidence. That, Mr </w:t>
      </w:r>
      <w:proofErr w:type="spellStart"/>
      <w:r w:rsidR="00CB60AB" w:rsidRPr="00CB3C55">
        <w:rPr>
          <w:rFonts w:ascii="Arial" w:hAnsi="Arial"/>
        </w:rPr>
        <w:t>Marondedze</w:t>
      </w:r>
      <w:proofErr w:type="spellEnd"/>
      <w:r w:rsidR="00F54620" w:rsidRPr="00CB3C55">
        <w:rPr>
          <w:rFonts w:ascii="Arial" w:hAnsi="Arial"/>
        </w:rPr>
        <w:t xml:space="preserve"> submitted, would be the proper juncture at which the court could make a proper determination whether the exhibits should finally be admitted in evidence.</w:t>
      </w:r>
    </w:p>
    <w:p w14:paraId="17D90AF8" w14:textId="77777777" w:rsidR="00D31783" w:rsidRDefault="00D31783" w:rsidP="00D31783">
      <w:pPr>
        <w:pStyle w:val="ListParagraph"/>
        <w:spacing w:line="360" w:lineRule="auto"/>
        <w:ind w:left="0"/>
        <w:jc w:val="both"/>
        <w:rPr>
          <w:rFonts w:ascii="Arial" w:hAnsi="Arial"/>
        </w:rPr>
      </w:pPr>
    </w:p>
    <w:p w14:paraId="06528894" w14:textId="09DC8CFD" w:rsidR="00D31783" w:rsidRPr="00CB3C55" w:rsidRDefault="00CB3C55" w:rsidP="00CB3C55">
      <w:pPr>
        <w:spacing w:line="360" w:lineRule="auto"/>
        <w:jc w:val="both"/>
        <w:rPr>
          <w:rFonts w:ascii="Arial" w:hAnsi="Arial"/>
        </w:rPr>
      </w:pPr>
      <w:r>
        <w:rPr>
          <w:rFonts w:ascii="Arial" w:hAnsi="Arial"/>
        </w:rPr>
        <w:t>[17]</w:t>
      </w:r>
      <w:r>
        <w:rPr>
          <w:rFonts w:ascii="Arial" w:hAnsi="Arial"/>
        </w:rPr>
        <w:tab/>
      </w:r>
      <w:r w:rsidR="00F54620" w:rsidRPr="00CB3C55">
        <w:rPr>
          <w:rFonts w:ascii="Arial" w:hAnsi="Arial"/>
        </w:rPr>
        <w:t>It was the State’s case that it would be tantamount to a travesty of justice for the court to deal with this case without regard to the exhibits. ‘It is submitted that this task c</w:t>
      </w:r>
      <w:r w:rsidR="000A07A3" w:rsidRPr="00CB3C55">
        <w:rPr>
          <w:rFonts w:ascii="Arial" w:hAnsi="Arial"/>
        </w:rPr>
        <w:t xml:space="preserve">annot be exercised judiciously and in the interests of justice without the two </w:t>
      </w:r>
      <w:proofErr w:type="gramStart"/>
      <w:r w:rsidR="000A07A3" w:rsidRPr="00CB3C55">
        <w:rPr>
          <w:rFonts w:ascii="Arial" w:hAnsi="Arial"/>
        </w:rPr>
        <w:t>exhibits</w:t>
      </w:r>
      <w:r w:rsidR="00CB60AB" w:rsidRPr="00CB3C55">
        <w:rPr>
          <w:rFonts w:ascii="Arial" w:hAnsi="Arial"/>
        </w:rPr>
        <w:t>’</w:t>
      </w:r>
      <w:proofErr w:type="gramEnd"/>
      <w:r w:rsidR="000A07A3" w:rsidRPr="00CB3C55">
        <w:rPr>
          <w:rFonts w:ascii="Arial" w:hAnsi="Arial"/>
        </w:rPr>
        <w:t>.</w:t>
      </w:r>
      <w:r w:rsidR="00F54620" w:rsidRPr="00CB3C55">
        <w:rPr>
          <w:rFonts w:ascii="Arial" w:hAnsi="Arial"/>
        </w:rPr>
        <w:t xml:space="preserve"> </w:t>
      </w:r>
    </w:p>
    <w:p w14:paraId="7E998102" w14:textId="77777777" w:rsidR="00D31783" w:rsidRDefault="00D31783" w:rsidP="00D31783">
      <w:pPr>
        <w:pStyle w:val="ListParagraph"/>
        <w:spacing w:line="360" w:lineRule="auto"/>
        <w:ind w:left="0"/>
        <w:jc w:val="both"/>
        <w:rPr>
          <w:rFonts w:ascii="Arial" w:hAnsi="Arial"/>
        </w:rPr>
      </w:pPr>
    </w:p>
    <w:p w14:paraId="406E2C33" w14:textId="62356462" w:rsidR="00D31783" w:rsidRPr="00CB3C55" w:rsidRDefault="00CB3C55" w:rsidP="00CB3C55">
      <w:pPr>
        <w:spacing w:line="360" w:lineRule="auto"/>
        <w:jc w:val="both"/>
        <w:rPr>
          <w:rFonts w:ascii="Arial" w:hAnsi="Arial"/>
        </w:rPr>
      </w:pPr>
      <w:r>
        <w:rPr>
          <w:rFonts w:ascii="Arial" w:hAnsi="Arial"/>
        </w:rPr>
        <w:t>[18]</w:t>
      </w:r>
      <w:r>
        <w:rPr>
          <w:rFonts w:ascii="Arial" w:hAnsi="Arial"/>
        </w:rPr>
        <w:tab/>
      </w:r>
      <w:r w:rsidR="00585FCF" w:rsidRPr="00CB3C55">
        <w:rPr>
          <w:rFonts w:ascii="Arial" w:hAnsi="Arial"/>
        </w:rPr>
        <w:t xml:space="preserve">Mr </w:t>
      </w:r>
      <w:proofErr w:type="spellStart"/>
      <w:r w:rsidR="00585FCF" w:rsidRPr="00CB3C55">
        <w:rPr>
          <w:rFonts w:ascii="Arial" w:hAnsi="Arial"/>
        </w:rPr>
        <w:t>Marondedze</w:t>
      </w:r>
      <w:proofErr w:type="spellEnd"/>
      <w:r w:rsidR="00585FCF" w:rsidRPr="00CB3C55">
        <w:rPr>
          <w:rFonts w:ascii="Arial" w:hAnsi="Arial"/>
        </w:rPr>
        <w:t xml:space="preserve"> was also at pains to argue that the exhibits in this matter were not tainted in any manner</w:t>
      </w:r>
      <w:r w:rsidR="00C676E6" w:rsidRPr="00CB3C55">
        <w:rPr>
          <w:rFonts w:ascii="Arial" w:hAnsi="Arial"/>
        </w:rPr>
        <w:t>,</w:t>
      </w:r>
      <w:r w:rsidR="00585FCF" w:rsidRPr="00CB3C55">
        <w:rPr>
          <w:rFonts w:ascii="Arial" w:hAnsi="Arial"/>
        </w:rPr>
        <w:t xml:space="preserve"> as they were not comparable with what is referred to as ‘traps’ in legal parlance. This is where a person is </w:t>
      </w:r>
      <w:r w:rsidR="00C676E6" w:rsidRPr="00CB3C55">
        <w:rPr>
          <w:rFonts w:ascii="Arial" w:hAnsi="Arial"/>
        </w:rPr>
        <w:t xml:space="preserve">deliberately </w:t>
      </w:r>
      <w:r w:rsidR="00585FCF" w:rsidRPr="00CB3C55">
        <w:rPr>
          <w:rFonts w:ascii="Arial" w:hAnsi="Arial"/>
        </w:rPr>
        <w:t xml:space="preserve">induced to </w:t>
      </w:r>
      <w:r w:rsidR="00C676E6" w:rsidRPr="00CB3C55">
        <w:rPr>
          <w:rFonts w:ascii="Arial" w:hAnsi="Arial"/>
        </w:rPr>
        <w:t>say something that incriminates him or her and which is later used in evidence against that person. It was his argument that the witnesses in this matter found it queer that the first accused would invite them to a meeting when the tender by their company with MTC, was still under consideration. The purpose of recording the events was to gather evidence in case they are later questioned as to why they attended the said meeting, fully aware that they were not supposed to have done so.</w:t>
      </w:r>
    </w:p>
    <w:p w14:paraId="3A717A06" w14:textId="77777777" w:rsidR="00D31783" w:rsidRDefault="00D31783" w:rsidP="00D31783">
      <w:pPr>
        <w:pStyle w:val="ListParagraph"/>
        <w:spacing w:line="360" w:lineRule="auto"/>
        <w:ind w:left="0"/>
        <w:jc w:val="both"/>
        <w:rPr>
          <w:rFonts w:ascii="Arial" w:hAnsi="Arial"/>
        </w:rPr>
      </w:pPr>
    </w:p>
    <w:p w14:paraId="4E1AD20E" w14:textId="2D461F90" w:rsidR="00D31783" w:rsidRPr="00CB3C55" w:rsidRDefault="00CB3C55" w:rsidP="00CB3C55">
      <w:pPr>
        <w:spacing w:line="360" w:lineRule="auto"/>
        <w:jc w:val="both"/>
        <w:rPr>
          <w:rFonts w:ascii="Arial" w:hAnsi="Arial"/>
        </w:rPr>
      </w:pPr>
      <w:r>
        <w:rPr>
          <w:rFonts w:ascii="Arial" w:hAnsi="Arial"/>
        </w:rPr>
        <w:t>[19]</w:t>
      </w:r>
      <w:r>
        <w:rPr>
          <w:rFonts w:ascii="Arial" w:hAnsi="Arial"/>
        </w:rPr>
        <w:tab/>
      </w:r>
      <w:r w:rsidR="001679BE" w:rsidRPr="00CB3C55">
        <w:rPr>
          <w:rFonts w:ascii="Arial" w:hAnsi="Arial"/>
        </w:rPr>
        <w:t>It was further submitted for the State that the issue for determination, relates to the question of authenticity of the exhibits</w:t>
      </w:r>
      <w:r w:rsidR="006573B4" w:rsidRPr="00CB3C55">
        <w:rPr>
          <w:rFonts w:ascii="Arial" w:hAnsi="Arial"/>
        </w:rPr>
        <w:t xml:space="preserve">. It was submitted that for the court to return an answer to that question, it was necessary to listen to the voices in the recording – and there is no dispute raised that it was the accused persons who spoke, together with Mr </w:t>
      </w:r>
      <w:r w:rsidR="006354F7" w:rsidRPr="00CB3C55">
        <w:rPr>
          <w:rFonts w:ascii="Arial" w:hAnsi="Arial"/>
        </w:rPr>
        <w:t>Bongers</w:t>
      </w:r>
      <w:r w:rsidR="006573B4" w:rsidRPr="00CB3C55">
        <w:rPr>
          <w:rFonts w:ascii="Arial" w:hAnsi="Arial"/>
        </w:rPr>
        <w:t xml:space="preserve"> and Ms Field. That being the case, there is no basis to say that the accused persons did not participate in </w:t>
      </w:r>
      <w:r w:rsidR="006573B4" w:rsidRPr="00CB3C55">
        <w:rPr>
          <w:rFonts w:ascii="Arial" w:hAnsi="Arial"/>
        </w:rPr>
        <w:lastRenderedPageBreak/>
        <w:t xml:space="preserve">the conversation contained in the exhibits. The exhibits, the court was urged, must </w:t>
      </w:r>
      <w:proofErr w:type="spellStart"/>
      <w:r w:rsidR="006573B4" w:rsidRPr="00CB3C55">
        <w:rPr>
          <w:rFonts w:ascii="Arial" w:hAnsi="Arial"/>
        </w:rPr>
        <w:t>therefor</w:t>
      </w:r>
      <w:proofErr w:type="spellEnd"/>
      <w:r w:rsidR="006573B4" w:rsidRPr="00CB3C55">
        <w:rPr>
          <w:rFonts w:ascii="Arial" w:hAnsi="Arial"/>
        </w:rPr>
        <w:t xml:space="preserve"> be admitted finally into evidence.</w:t>
      </w:r>
    </w:p>
    <w:p w14:paraId="78B6BE55" w14:textId="77777777" w:rsidR="00D31783" w:rsidRDefault="00D31783" w:rsidP="00D31783">
      <w:pPr>
        <w:pStyle w:val="ListParagraph"/>
        <w:spacing w:line="360" w:lineRule="auto"/>
        <w:ind w:left="0"/>
        <w:jc w:val="both"/>
        <w:rPr>
          <w:rFonts w:ascii="Arial" w:hAnsi="Arial"/>
        </w:rPr>
      </w:pPr>
    </w:p>
    <w:p w14:paraId="531AC416" w14:textId="44E2ABBE" w:rsidR="00D31783" w:rsidRPr="00CB3C55" w:rsidRDefault="00CB3C55" w:rsidP="00CB3C55">
      <w:pPr>
        <w:spacing w:line="360" w:lineRule="auto"/>
        <w:jc w:val="both"/>
        <w:rPr>
          <w:rFonts w:ascii="Arial" w:hAnsi="Arial"/>
        </w:rPr>
      </w:pPr>
      <w:r>
        <w:rPr>
          <w:rFonts w:ascii="Arial" w:hAnsi="Arial"/>
        </w:rPr>
        <w:t>[20]</w:t>
      </w:r>
      <w:r>
        <w:rPr>
          <w:rFonts w:ascii="Arial" w:hAnsi="Arial"/>
        </w:rPr>
        <w:tab/>
      </w:r>
      <w:r w:rsidR="006573B4" w:rsidRPr="00CB3C55">
        <w:rPr>
          <w:rFonts w:ascii="Arial" w:hAnsi="Arial"/>
        </w:rPr>
        <w:t xml:space="preserve">Mr </w:t>
      </w:r>
      <w:proofErr w:type="spellStart"/>
      <w:r w:rsidR="006573B4" w:rsidRPr="00CB3C55">
        <w:rPr>
          <w:rFonts w:ascii="Arial" w:hAnsi="Arial"/>
        </w:rPr>
        <w:t>Marondedze</w:t>
      </w:r>
      <w:proofErr w:type="spellEnd"/>
      <w:r w:rsidR="006573B4" w:rsidRPr="00CB3C55">
        <w:rPr>
          <w:rFonts w:ascii="Arial" w:hAnsi="Arial"/>
        </w:rPr>
        <w:t xml:space="preserve"> further submitted that according to the evid</w:t>
      </w:r>
      <w:r w:rsidR="00CB60AB" w:rsidRPr="00CB3C55">
        <w:rPr>
          <w:rFonts w:ascii="Arial" w:hAnsi="Arial"/>
        </w:rPr>
        <w:t>ence led,</w:t>
      </w:r>
      <w:r w:rsidR="006573B4" w:rsidRPr="00CB3C55">
        <w:rPr>
          <w:rFonts w:ascii="Arial" w:hAnsi="Arial"/>
        </w:rPr>
        <w:t xml:space="preserve"> Mr Niels Be</w:t>
      </w:r>
      <w:r w:rsidR="000125D2" w:rsidRPr="00CB3C55">
        <w:rPr>
          <w:rFonts w:ascii="Arial" w:hAnsi="Arial"/>
        </w:rPr>
        <w:t xml:space="preserve">cker testified that he took Mr Bonger’s mobile telephone and took it to the Forensic Laboratory, where it was decoded by Dr Ludik, who has sadly passed on. It was </w:t>
      </w:r>
      <w:r w:rsidR="00CB60AB" w:rsidRPr="00CB3C55">
        <w:rPr>
          <w:rFonts w:ascii="Arial" w:hAnsi="Arial"/>
        </w:rPr>
        <w:t>the State’s</w:t>
      </w:r>
      <w:r w:rsidR="000125D2" w:rsidRPr="00CB3C55">
        <w:rPr>
          <w:rFonts w:ascii="Arial" w:hAnsi="Arial"/>
        </w:rPr>
        <w:t xml:space="preserve"> case that Dr Ludik was not to be called to confirm the authenticity of the recording. As such, the court was fully entitled, taking all the circumstances into consideration, to admit the exhibits.</w:t>
      </w:r>
    </w:p>
    <w:p w14:paraId="14C16C3C" w14:textId="77777777" w:rsidR="00D31783" w:rsidRDefault="00D31783" w:rsidP="00D31783">
      <w:pPr>
        <w:pStyle w:val="ListParagraph"/>
        <w:spacing w:line="360" w:lineRule="auto"/>
        <w:ind w:left="0"/>
        <w:jc w:val="both"/>
        <w:rPr>
          <w:rFonts w:ascii="Arial" w:hAnsi="Arial"/>
        </w:rPr>
      </w:pPr>
    </w:p>
    <w:p w14:paraId="57BB7DE2" w14:textId="77777777" w:rsidR="00D31783" w:rsidRDefault="00D31783" w:rsidP="00D31783">
      <w:pPr>
        <w:spacing w:line="360" w:lineRule="auto"/>
        <w:jc w:val="both"/>
        <w:rPr>
          <w:rFonts w:ascii="Arial" w:hAnsi="Arial"/>
          <w:u w:val="single"/>
        </w:rPr>
      </w:pPr>
      <w:r>
        <w:rPr>
          <w:rFonts w:ascii="Arial" w:hAnsi="Arial"/>
          <w:u w:val="single"/>
        </w:rPr>
        <w:t>The defence’s arguments</w:t>
      </w:r>
    </w:p>
    <w:p w14:paraId="5B61F331" w14:textId="77777777" w:rsidR="00D31783" w:rsidRDefault="00D31783" w:rsidP="00D31783">
      <w:pPr>
        <w:pStyle w:val="ListParagraph"/>
        <w:spacing w:line="360" w:lineRule="auto"/>
        <w:ind w:left="0"/>
        <w:jc w:val="both"/>
        <w:rPr>
          <w:rFonts w:ascii="Arial" w:hAnsi="Arial"/>
        </w:rPr>
      </w:pPr>
    </w:p>
    <w:p w14:paraId="613C0BD8" w14:textId="788DA820" w:rsidR="00D31783" w:rsidRPr="00CB3C55" w:rsidRDefault="00CB3C55" w:rsidP="00CB3C55">
      <w:pPr>
        <w:spacing w:line="360" w:lineRule="auto"/>
        <w:jc w:val="both"/>
        <w:rPr>
          <w:rFonts w:ascii="Arial" w:hAnsi="Arial"/>
        </w:rPr>
      </w:pPr>
      <w:r>
        <w:rPr>
          <w:rFonts w:ascii="Arial" w:hAnsi="Arial"/>
        </w:rPr>
        <w:t>[21]</w:t>
      </w:r>
      <w:r>
        <w:rPr>
          <w:rFonts w:ascii="Arial" w:hAnsi="Arial"/>
        </w:rPr>
        <w:tab/>
      </w:r>
      <w:r w:rsidR="009C6FC0" w:rsidRPr="00CB3C55">
        <w:rPr>
          <w:rFonts w:ascii="Arial" w:hAnsi="Arial"/>
        </w:rPr>
        <w:t>I should perhaps mention that the defence, although they filed two separate sets of heads of argument, their argument was largely similar. Furthermore, the cases they relied on in support of the opposition to the application, were by and large similar. I will, in that regard, deal with the arguments advanced in a composite manner. This is not in any way to minimise the argument advanced by each counsel.</w:t>
      </w:r>
    </w:p>
    <w:p w14:paraId="14BA451D" w14:textId="77777777" w:rsidR="00D31783" w:rsidRDefault="00D31783" w:rsidP="00D31783">
      <w:pPr>
        <w:pStyle w:val="ListParagraph"/>
        <w:spacing w:line="360" w:lineRule="auto"/>
        <w:ind w:left="0"/>
        <w:jc w:val="both"/>
        <w:rPr>
          <w:rFonts w:ascii="Arial" w:hAnsi="Arial"/>
        </w:rPr>
      </w:pPr>
    </w:p>
    <w:p w14:paraId="3941257F" w14:textId="0A9DD57F" w:rsidR="00D31783" w:rsidRPr="00CB3C55" w:rsidRDefault="00CB3C55" w:rsidP="00CB3C55">
      <w:pPr>
        <w:spacing w:line="360" w:lineRule="auto"/>
        <w:jc w:val="both"/>
        <w:rPr>
          <w:rFonts w:ascii="Arial" w:hAnsi="Arial"/>
        </w:rPr>
      </w:pPr>
      <w:r>
        <w:rPr>
          <w:rFonts w:ascii="Arial" w:hAnsi="Arial"/>
        </w:rPr>
        <w:t>[22]</w:t>
      </w:r>
      <w:r>
        <w:rPr>
          <w:rFonts w:ascii="Arial" w:hAnsi="Arial"/>
        </w:rPr>
        <w:tab/>
      </w:r>
      <w:r w:rsidR="009C6FC0" w:rsidRPr="00CB3C55">
        <w:rPr>
          <w:rFonts w:ascii="Arial" w:hAnsi="Arial"/>
        </w:rPr>
        <w:t>The mainstay of the defence’s opposition was</w:t>
      </w:r>
      <w:r w:rsidR="00FF2CFF" w:rsidRPr="00CB3C55">
        <w:rPr>
          <w:rFonts w:ascii="Arial" w:hAnsi="Arial"/>
        </w:rPr>
        <w:t xml:space="preserve"> that proper regard had to the application, there is no proper basis stated and on which the application is</w:t>
      </w:r>
      <w:r w:rsidR="009C6FC0" w:rsidRPr="00CB3C55">
        <w:rPr>
          <w:rFonts w:ascii="Arial" w:hAnsi="Arial"/>
        </w:rPr>
        <w:t xml:space="preserve"> grounded </w:t>
      </w:r>
      <w:r w:rsidR="00FF2CFF" w:rsidRPr="00CB3C55">
        <w:rPr>
          <w:rFonts w:ascii="Arial" w:hAnsi="Arial"/>
        </w:rPr>
        <w:t xml:space="preserve">legally speaking. It was submitted that in the circumstances, the defence is placed in an invidious position in properly mounting a proper challenge in the absence of the legal basis for the </w:t>
      </w:r>
      <w:r w:rsidR="00CB60AB" w:rsidRPr="00CB3C55">
        <w:rPr>
          <w:rFonts w:ascii="Arial" w:hAnsi="Arial"/>
        </w:rPr>
        <w:t xml:space="preserve">present </w:t>
      </w:r>
      <w:r w:rsidR="00FF2CFF" w:rsidRPr="00CB3C55">
        <w:rPr>
          <w:rFonts w:ascii="Arial" w:hAnsi="Arial"/>
        </w:rPr>
        <w:t>application.</w:t>
      </w:r>
    </w:p>
    <w:p w14:paraId="58989302" w14:textId="77777777" w:rsidR="00D31783" w:rsidRDefault="00D31783" w:rsidP="00D31783">
      <w:pPr>
        <w:pStyle w:val="ListParagraph"/>
        <w:spacing w:line="360" w:lineRule="auto"/>
        <w:ind w:left="0"/>
        <w:jc w:val="both"/>
        <w:rPr>
          <w:rFonts w:ascii="Arial" w:hAnsi="Arial"/>
        </w:rPr>
      </w:pPr>
    </w:p>
    <w:p w14:paraId="5BEC293A" w14:textId="33026892" w:rsidR="00D31783" w:rsidRPr="00CB3C55" w:rsidRDefault="00CB3C55" w:rsidP="00CB3C55">
      <w:pPr>
        <w:spacing w:line="360" w:lineRule="auto"/>
        <w:jc w:val="both"/>
        <w:rPr>
          <w:rFonts w:ascii="Arial" w:hAnsi="Arial"/>
        </w:rPr>
      </w:pPr>
      <w:r>
        <w:rPr>
          <w:rFonts w:ascii="Arial" w:hAnsi="Arial"/>
        </w:rPr>
        <w:t>[23]</w:t>
      </w:r>
      <w:r>
        <w:rPr>
          <w:rFonts w:ascii="Arial" w:hAnsi="Arial"/>
        </w:rPr>
        <w:tab/>
      </w:r>
      <w:r w:rsidR="00FF2CFF" w:rsidRPr="00CB3C55">
        <w:rPr>
          <w:rFonts w:ascii="Arial" w:hAnsi="Arial"/>
        </w:rPr>
        <w:t>Second, the defence, per Mr Soni</w:t>
      </w:r>
      <w:proofErr w:type="gramStart"/>
      <w:r w:rsidR="00FF2CFF" w:rsidRPr="00CB3C55">
        <w:rPr>
          <w:rFonts w:ascii="Arial" w:hAnsi="Arial"/>
        </w:rPr>
        <w:t>, in particular, argued</w:t>
      </w:r>
      <w:proofErr w:type="gramEnd"/>
      <w:r w:rsidR="00FF2CFF" w:rsidRPr="00CB3C55">
        <w:rPr>
          <w:rFonts w:ascii="Arial" w:hAnsi="Arial"/>
        </w:rPr>
        <w:t xml:space="preserve"> that when proper regard is had to the evidence led, Mr Bongers testified that after recording the conversation on his mobile telephone, he </w:t>
      </w:r>
      <w:r w:rsidR="00CB60AB" w:rsidRPr="00CB3C55">
        <w:rPr>
          <w:rFonts w:ascii="Arial" w:hAnsi="Arial"/>
        </w:rPr>
        <w:t>down</w:t>
      </w:r>
      <w:r w:rsidR="00FC1076" w:rsidRPr="00CB3C55">
        <w:rPr>
          <w:rFonts w:ascii="Arial" w:hAnsi="Arial"/>
        </w:rPr>
        <w:t xml:space="preserve">loaded the recording into a memory stick and from which he copied two CDs. These were handed to Mr Becker of the </w:t>
      </w:r>
      <w:r w:rsidR="005466F5" w:rsidRPr="00CB3C55">
        <w:rPr>
          <w:rFonts w:ascii="Arial" w:hAnsi="Arial"/>
        </w:rPr>
        <w:t>Anti-Corruption</w:t>
      </w:r>
      <w:r w:rsidR="00FC1076" w:rsidRPr="00CB3C55">
        <w:rPr>
          <w:rFonts w:ascii="Arial" w:hAnsi="Arial"/>
        </w:rPr>
        <w:t xml:space="preserve"> Commission (ACC). </w:t>
      </w:r>
    </w:p>
    <w:p w14:paraId="470F9730" w14:textId="77777777" w:rsidR="00D31783" w:rsidRDefault="00D31783" w:rsidP="00D31783">
      <w:pPr>
        <w:pStyle w:val="ListParagraph"/>
        <w:spacing w:line="360" w:lineRule="auto"/>
        <w:ind w:left="0"/>
        <w:jc w:val="both"/>
        <w:rPr>
          <w:rFonts w:ascii="Arial" w:hAnsi="Arial"/>
        </w:rPr>
      </w:pPr>
    </w:p>
    <w:p w14:paraId="79564111" w14:textId="65CA5C85" w:rsidR="00D31783" w:rsidRPr="00CB3C55" w:rsidRDefault="00CB3C55" w:rsidP="00CB3C55">
      <w:pPr>
        <w:spacing w:line="360" w:lineRule="auto"/>
        <w:jc w:val="both"/>
        <w:rPr>
          <w:rFonts w:ascii="Arial" w:hAnsi="Arial"/>
        </w:rPr>
      </w:pPr>
      <w:r>
        <w:rPr>
          <w:rFonts w:ascii="Arial" w:hAnsi="Arial"/>
        </w:rPr>
        <w:t>[24]</w:t>
      </w:r>
      <w:r>
        <w:rPr>
          <w:rFonts w:ascii="Arial" w:hAnsi="Arial"/>
        </w:rPr>
        <w:tab/>
      </w:r>
      <w:r w:rsidR="00FC1076" w:rsidRPr="00CB3C55">
        <w:rPr>
          <w:rFonts w:ascii="Arial" w:hAnsi="Arial"/>
        </w:rPr>
        <w:t>M</w:t>
      </w:r>
      <w:r w:rsidR="00095D03" w:rsidRPr="00CB3C55">
        <w:rPr>
          <w:rFonts w:ascii="Arial" w:hAnsi="Arial"/>
        </w:rPr>
        <w:t>r Soni argu</w:t>
      </w:r>
      <w:r w:rsidR="00FC1076" w:rsidRPr="00CB3C55">
        <w:rPr>
          <w:rFonts w:ascii="Arial" w:hAnsi="Arial"/>
        </w:rPr>
        <w:t xml:space="preserve">ed that in the circumstances, </w:t>
      </w:r>
      <w:proofErr w:type="gramStart"/>
      <w:r w:rsidR="00FC1076" w:rsidRPr="00CB3C55">
        <w:rPr>
          <w:rFonts w:ascii="Arial" w:hAnsi="Arial"/>
        </w:rPr>
        <w:t>it is clear that there</w:t>
      </w:r>
      <w:proofErr w:type="gramEnd"/>
      <w:r w:rsidR="00FC1076" w:rsidRPr="00CB3C55">
        <w:rPr>
          <w:rFonts w:ascii="Arial" w:hAnsi="Arial"/>
        </w:rPr>
        <w:t xml:space="preserve"> were a number of CDs available none </w:t>
      </w:r>
      <w:r w:rsidR="00CB60AB" w:rsidRPr="00CB3C55">
        <w:rPr>
          <w:rFonts w:ascii="Arial" w:hAnsi="Arial"/>
        </w:rPr>
        <w:t>of which is the original. He</w:t>
      </w:r>
      <w:r w:rsidR="00FC1076" w:rsidRPr="00CB3C55">
        <w:rPr>
          <w:rFonts w:ascii="Arial" w:hAnsi="Arial"/>
        </w:rPr>
        <w:t xml:space="preserve"> argued that with these events in mind, it is not clear which one is the original, regard had to Mr </w:t>
      </w:r>
      <w:r w:rsidR="00FC1076" w:rsidRPr="00CB3C55">
        <w:rPr>
          <w:rFonts w:ascii="Arial" w:hAnsi="Arial"/>
        </w:rPr>
        <w:lastRenderedPageBreak/>
        <w:t xml:space="preserve">Bongers’ evidence that he </w:t>
      </w:r>
      <w:r w:rsidR="00A82193" w:rsidRPr="00CB3C55">
        <w:rPr>
          <w:rFonts w:ascii="Arial" w:hAnsi="Arial"/>
        </w:rPr>
        <w:t>transferred a copy of the recording of the meeting from iPhone to his laptop.</w:t>
      </w:r>
      <w:r w:rsidR="00A82193">
        <w:rPr>
          <w:rStyle w:val="FootnoteReference"/>
          <w:rFonts w:ascii="Arial" w:hAnsi="Arial"/>
        </w:rPr>
        <w:footnoteReference w:id="4"/>
      </w:r>
      <w:r w:rsidR="00A82193" w:rsidRPr="00CB3C55">
        <w:rPr>
          <w:rFonts w:ascii="Arial" w:hAnsi="Arial"/>
        </w:rPr>
        <w:t xml:space="preserve"> His attorney then made a copy of the recording on a CD from the witness’ laptop.</w:t>
      </w:r>
      <w:r w:rsidR="00A82193">
        <w:rPr>
          <w:rStyle w:val="FootnoteReference"/>
          <w:rFonts w:ascii="Arial" w:hAnsi="Arial"/>
        </w:rPr>
        <w:footnoteReference w:id="5"/>
      </w:r>
      <w:r w:rsidR="00A82193" w:rsidRPr="00CB3C55">
        <w:rPr>
          <w:rFonts w:ascii="Arial" w:hAnsi="Arial"/>
        </w:rPr>
        <w:t xml:space="preserve"> From his laptop, he had put that recording onto a memory stick and that a transcript of that was thereafter made.</w:t>
      </w:r>
      <w:r w:rsidR="00917E65">
        <w:rPr>
          <w:rStyle w:val="FootnoteReference"/>
          <w:rFonts w:ascii="Arial" w:hAnsi="Arial"/>
        </w:rPr>
        <w:footnoteReference w:id="6"/>
      </w:r>
      <w:r w:rsidR="00392A83" w:rsidRPr="00CB3C55">
        <w:rPr>
          <w:rFonts w:ascii="Arial" w:hAnsi="Arial"/>
        </w:rPr>
        <w:t xml:space="preserve"> In the circumstances, it is not clear whether the CDs on</w:t>
      </w:r>
      <w:r w:rsidR="00CB60AB" w:rsidRPr="00CB3C55">
        <w:rPr>
          <w:rFonts w:ascii="Arial" w:hAnsi="Arial"/>
        </w:rPr>
        <w:t>to which Mr Becker downloaded f</w:t>
      </w:r>
      <w:r w:rsidR="00392A83" w:rsidRPr="00CB3C55">
        <w:rPr>
          <w:rFonts w:ascii="Arial" w:hAnsi="Arial"/>
        </w:rPr>
        <w:t>r</w:t>
      </w:r>
      <w:r w:rsidR="00CB60AB" w:rsidRPr="00CB3C55">
        <w:rPr>
          <w:rFonts w:ascii="Arial" w:hAnsi="Arial"/>
        </w:rPr>
        <w:t>o</w:t>
      </w:r>
      <w:r w:rsidR="00392A83" w:rsidRPr="00CB3C55">
        <w:rPr>
          <w:rFonts w:ascii="Arial" w:hAnsi="Arial"/>
        </w:rPr>
        <w:t xml:space="preserve">m Mr Bongers’ mobile telephone were original. </w:t>
      </w:r>
      <w:r w:rsidR="00917E65" w:rsidRPr="00CB3C55">
        <w:rPr>
          <w:rFonts w:ascii="Arial" w:hAnsi="Arial"/>
        </w:rPr>
        <w:t xml:space="preserve">Furthermore, a question arises </w:t>
      </w:r>
      <w:r w:rsidR="00CB60AB" w:rsidRPr="00CB3C55">
        <w:rPr>
          <w:rFonts w:ascii="Arial" w:hAnsi="Arial"/>
        </w:rPr>
        <w:t xml:space="preserve">regarding the </w:t>
      </w:r>
      <w:r w:rsidR="00917E65" w:rsidRPr="00CB3C55">
        <w:rPr>
          <w:rFonts w:ascii="Arial" w:hAnsi="Arial"/>
        </w:rPr>
        <w:t>status of the transcript</w:t>
      </w:r>
      <w:r w:rsidR="00A8753C" w:rsidRPr="00CB3C55">
        <w:rPr>
          <w:rFonts w:ascii="Arial" w:hAnsi="Arial"/>
        </w:rPr>
        <w:t>,</w:t>
      </w:r>
      <w:r w:rsidR="00917E65" w:rsidRPr="00CB3C55">
        <w:rPr>
          <w:rFonts w:ascii="Arial" w:hAnsi="Arial"/>
        </w:rPr>
        <w:t xml:space="preserve"> which was provisionally admitted in evidence and its authenticity.</w:t>
      </w:r>
    </w:p>
    <w:p w14:paraId="2D738043" w14:textId="77777777" w:rsidR="00D31783" w:rsidRDefault="00D31783" w:rsidP="00D31783">
      <w:pPr>
        <w:pStyle w:val="ListParagraph"/>
        <w:spacing w:line="360" w:lineRule="auto"/>
        <w:ind w:left="0"/>
        <w:jc w:val="both"/>
        <w:rPr>
          <w:rFonts w:ascii="Arial" w:hAnsi="Arial"/>
        </w:rPr>
      </w:pPr>
    </w:p>
    <w:p w14:paraId="669F7743" w14:textId="0A1AF3FC" w:rsidR="007A1C7B" w:rsidRPr="00CB3C55" w:rsidRDefault="00CB3C55" w:rsidP="00CB3C55">
      <w:pPr>
        <w:spacing w:line="360" w:lineRule="auto"/>
        <w:jc w:val="both"/>
        <w:rPr>
          <w:rFonts w:ascii="Arial" w:hAnsi="Arial"/>
        </w:rPr>
      </w:pPr>
      <w:r>
        <w:rPr>
          <w:rFonts w:ascii="Arial" w:hAnsi="Arial"/>
        </w:rPr>
        <w:t>[25]</w:t>
      </w:r>
      <w:r>
        <w:rPr>
          <w:rFonts w:ascii="Arial" w:hAnsi="Arial"/>
        </w:rPr>
        <w:tab/>
      </w:r>
      <w:r w:rsidR="00392A83" w:rsidRPr="00CB3C55">
        <w:rPr>
          <w:rFonts w:ascii="Arial" w:hAnsi="Arial"/>
        </w:rPr>
        <w:t>It was accordingly argued that it is</w:t>
      </w:r>
      <w:r w:rsidR="009763EC" w:rsidRPr="00CB3C55">
        <w:rPr>
          <w:rFonts w:ascii="Arial" w:hAnsi="Arial"/>
        </w:rPr>
        <w:t xml:space="preserve"> only</w:t>
      </w:r>
      <w:r w:rsidR="00392A83" w:rsidRPr="00CB3C55">
        <w:rPr>
          <w:rFonts w:ascii="Arial" w:hAnsi="Arial"/>
        </w:rPr>
        <w:t xml:space="preserve"> Dr Ludik, who could, in the circumstances, inform the court as to the true status of the CD provisionally received in evidence, relative to its authenticity, reliability and accuracy.</w:t>
      </w:r>
      <w:r w:rsidR="009763EC" w:rsidRPr="00CB3C55">
        <w:rPr>
          <w:rFonts w:ascii="Arial" w:hAnsi="Arial"/>
        </w:rPr>
        <w:t xml:space="preserve"> </w:t>
      </w:r>
      <w:r w:rsidR="00A8753C" w:rsidRPr="00CB3C55">
        <w:rPr>
          <w:rFonts w:ascii="Arial" w:hAnsi="Arial"/>
        </w:rPr>
        <w:t xml:space="preserve">The same would apply in relation to the transcript. </w:t>
      </w:r>
      <w:r w:rsidR="009763EC" w:rsidRPr="00CB3C55">
        <w:rPr>
          <w:rFonts w:ascii="Arial" w:hAnsi="Arial"/>
        </w:rPr>
        <w:t xml:space="preserve">In this regard, Mr Soni continued to argue that the State, in any event, had the obligation to lead evidence regarding the propriety of receiving the CD in evidence and if it is the original, the category under which it can be properly classified for the purpose of its admission into evidence. </w:t>
      </w:r>
    </w:p>
    <w:p w14:paraId="72821465" w14:textId="77777777" w:rsidR="007A1C7B" w:rsidRDefault="007A1C7B" w:rsidP="007A1C7B">
      <w:pPr>
        <w:pStyle w:val="ListParagraph"/>
        <w:spacing w:line="360" w:lineRule="auto"/>
        <w:ind w:left="0"/>
        <w:jc w:val="both"/>
        <w:rPr>
          <w:rFonts w:ascii="Arial" w:hAnsi="Arial"/>
        </w:rPr>
      </w:pPr>
    </w:p>
    <w:p w14:paraId="33D55A91" w14:textId="32742F11" w:rsidR="007A1C7B" w:rsidRPr="00CB3C55" w:rsidRDefault="00CB3C55" w:rsidP="00CB3C55">
      <w:pPr>
        <w:spacing w:line="360" w:lineRule="auto"/>
        <w:jc w:val="both"/>
        <w:rPr>
          <w:rFonts w:ascii="Arial" w:hAnsi="Arial"/>
        </w:rPr>
      </w:pPr>
      <w:r>
        <w:rPr>
          <w:rFonts w:ascii="Arial" w:hAnsi="Arial"/>
        </w:rPr>
        <w:t>[26]</w:t>
      </w:r>
      <w:r>
        <w:rPr>
          <w:rFonts w:ascii="Arial" w:hAnsi="Arial"/>
        </w:rPr>
        <w:tab/>
      </w:r>
      <w:r w:rsidR="00A8753C" w:rsidRPr="00CB3C55">
        <w:rPr>
          <w:rFonts w:ascii="Arial" w:hAnsi="Arial"/>
        </w:rPr>
        <w:t>It was accordingly argued for the defence by Mr Soni that the issue of the recording had always been a live issue and as such, it was necessary for the State to lead evidence, which would throw a light o</w:t>
      </w:r>
      <w:r w:rsidR="007361E3" w:rsidRPr="00CB3C55">
        <w:rPr>
          <w:rFonts w:ascii="Arial" w:hAnsi="Arial"/>
        </w:rPr>
        <w:t>n</w:t>
      </w:r>
      <w:r w:rsidR="00A8753C" w:rsidRPr="00CB3C55">
        <w:rPr>
          <w:rFonts w:ascii="Arial" w:hAnsi="Arial"/>
        </w:rPr>
        <w:t xml:space="preserve"> the authenticity, reliability and accuracy of the exhibits eventually tendered albeit provisionally as evidence. In this connection, he further submitted, the defence had been made to believe that Dr Ludik was the witness earmarked for that particular purpose.</w:t>
      </w:r>
    </w:p>
    <w:p w14:paraId="759AFC3E" w14:textId="77777777" w:rsidR="007A1C7B" w:rsidRDefault="007A1C7B" w:rsidP="007A1C7B">
      <w:pPr>
        <w:pStyle w:val="ListParagraph"/>
        <w:spacing w:line="360" w:lineRule="auto"/>
        <w:ind w:left="0"/>
        <w:jc w:val="both"/>
        <w:rPr>
          <w:rFonts w:ascii="Arial" w:hAnsi="Arial"/>
        </w:rPr>
      </w:pPr>
    </w:p>
    <w:p w14:paraId="7E89B06D" w14:textId="482F66A3" w:rsidR="007A1C7B" w:rsidRPr="00CB3C55" w:rsidRDefault="00CB3C55" w:rsidP="00CB3C55">
      <w:pPr>
        <w:spacing w:line="360" w:lineRule="auto"/>
        <w:jc w:val="both"/>
        <w:rPr>
          <w:rFonts w:ascii="Arial" w:hAnsi="Arial"/>
        </w:rPr>
      </w:pPr>
      <w:r>
        <w:rPr>
          <w:rFonts w:ascii="Arial" w:hAnsi="Arial"/>
        </w:rPr>
        <w:t>[27]</w:t>
      </w:r>
      <w:r>
        <w:rPr>
          <w:rFonts w:ascii="Arial" w:hAnsi="Arial"/>
        </w:rPr>
        <w:tab/>
      </w:r>
      <w:r w:rsidR="009763EC" w:rsidRPr="00CB3C55">
        <w:rPr>
          <w:rFonts w:ascii="Arial" w:hAnsi="Arial"/>
        </w:rPr>
        <w:t xml:space="preserve">It was argued for the defence </w:t>
      </w:r>
      <w:r w:rsidR="00F6281A" w:rsidRPr="00CB3C55">
        <w:rPr>
          <w:rFonts w:ascii="Arial" w:hAnsi="Arial"/>
        </w:rPr>
        <w:t xml:space="preserve">that when regard is had to the </w:t>
      </w:r>
      <w:r w:rsidR="00F6281A" w:rsidRPr="00CB3C55">
        <w:rPr>
          <w:rFonts w:ascii="Arial" w:hAnsi="Arial"/>
          <w:i/>
        </w:rPr>
        <w:t>lacunae</w:t>
      </w:r>
      <w:r w:rsidR="00F6281A" w:rsidRPr="00CB3C55">
        <w:rPr>
          <w:rFonts w:ascii="Arial" w:hAnsi="Arial"/>
        </w:rPr>
        <w:t xml:space="preserve"> and questions raised by the evidence, in the absence of the evidence of Dr Ludik, the exhibits should not be admitted because the admission would violate the accused persons’ right to a fair trial enshrined in Art 12(1)(</w:t>
      </w:r>
      <w:r w:rsidR="00F6281A" w:rsidRPr="00CB3C55">
        <w:rPr>
          <w:rFonts w:ascii="Arial" w:hAnsi="Arial"/>
          <w:i/>
        </w:rPr>
        <w:t>d</w:t>
      </w:r>
      <w:r w:rsidR="007A1C7B" w:rsidRPr="00CB3C55">
        <w:rPr>
          <w:rFonts w:ascii="Arial" w:hAnsi="Arial"/>
        </w:rPr>
        <w:t>) of the Constitution.</w:t>
      </w:r>
    </w:p>
    <w:p w14:paraId="1DE1B93A" w14:textId="77777777" w:rsidR="007A1C7B" w:rsidRDefault="007A1C7B" w:rsidP="007A1C7B">
      <w:pPr>
        <w:pStyle w:val="ListParagraph"/>
        <w:spacing w:line="360" w:lineRule="auto"/>
        <w:ind w:left="0"/>
        <w:jc w:val="both"/>
        <w:rPr>
          <w:rFonts w:ascii="Arial" w:hAnsi="Arial"/>
        </w:rPr>
      </w:pPr>
    </w:p>
    <w:p w14:paraId="60168989" w14:textId="6D802651" w:rsidR="007A1C7B" w:rsidRPr="00CB3C55" w:rsidRDefault="00CB3C55" w:rsidP="00CB3C55">
      <w:pPr>
        <w:spacing w:line="360" w:lineRule="auto"/>
        <w:jc w:val="both"/>
        <w:rPr>
          <w:rFonts w:ascii="Arial" w:hAnsi="Arial"/>
        </w:rPr>
      </w:pPr>
      <w:r>
        <w:rPr>
          <w:rFonts w:ascii="Arial" w:hAnsi="Arial"/>
        </w:rPr>
        <w:lastRenderedPageBreak/>
        <w:t>[28]</w:t>
      </w:r>
      <w:r>
        <w:rPr>
          <w:rFonts w:ascii="Arial" w:hAnsi="Arial"/>
        </w:rPr>
        <w:tab/>
      </w:r>
      <w:r w:rsidR="00F6281A" w:rsidRPr="00CB3C55">
        <w:rPr>
          <w:rFonts w:ascii="Arial" w:hAnsi="Arial"/>
        </w:rPr>
        <w:t xml:space="preserve">In this </w:t>
      </w:r>
      <w:proofErr w:type="gramStart"/>
      <w:r w:rsidR="00F6281A" w:rsidRPr="00CB3C55">
        <w:rPr>
          <w:rFonts w:ascii="Arial" w:hAnsi="Arial"/>
        </w:rPr>
        <w:t>particular regard</w:t>
      </w:r>
      <w:proofErr w:type="gramEnd"/>
      <w:r w:rsidR="00F6281A" w:rsidRPr="00CB3C55">
        <w:rPr>
          <w:rFonts w:ascii="Arial" w:hAnsi="Arial"/>
        </w:rPr>
        <w:t xml:space="preserve">, it was submitted that the accused persons had been denied the right to cross-examine Dr Ludik, in order to test the cogency </w:t>
      </w:r>
      <w:r w:rsidR="00FA537D" w:rsidRPr="00CB3C55">
        <w:rPr>
          <w:rFonts w:ascii="Arial" w:hAnsi="Arial"/>
        </w:rPr>
        <w:t>of his evidence regarding the exhibits. The issue of the admissibility of the exhibits had not been led by the State. For that reason, where</w:t>
      </w:r>
      <w:r w:rsidR="00D331A3" w:rsidRPr="00CB3C55">
        <w:rPr>
          <w:rFonts w:ascii="Arial" w:hAnsi="Arial"/>
        </w:rPr>
        <w:t>, a</w:t>
      </w:r>
      <w:r w:rsidR="00FA537D" w:rsidRPr="00CB3C55">
        <w:rPr>
          <w:rFonts w:ascii="Arial" w:hAnsi="Arial"/>
        </w:rPr>
        <w:t>s in this case, no evidence is led to show that the requirements for admissibility were met, it was submitted that the application ought to be dismissed.</w:t>
      </w:r>
      <w:r w:rsidR="00F6281A" w:rsidRPr="00CB3C55">
        <w:rPr>
          <w:rFonts w:ascii="Arial" w:hAnsi="Arial"/>
        </w:rPr>
        <w:t xml:space="preserve"> </w:t>
      </w:r>
    </w:p>
    <w:p w14:paraId="37A35348" w14:textId="77777777" w:rsidR="007A1C7B" w:rsidRDefault="007A1C7B" w:rsidP="007A1C7B">
      <w:pPr>
        <w:pStyle w:val="ListParagraph"/>
        <w:spacing w:line="360" w:lineRule="auto"/>
        <w:ind w:left="0"/>
        <w:jc w:val="both"/>
        <w:rPr>
          <w:rFonts w:ascii="Arial" w:hAnsi="Arial"/>
        </w:rPr>
      </w:pPr>
    </w:p>
    <w:p w14:paraId="2D147ADE" w14:textId="4A3AE953" w:rsidR="007A1C7B" w:rsidRPr="00CB3C55" w:rsidRDefault="00CB3C55" w:rsidP="00CB3C55">
      <w:pPr>
        <w:spacing w:line="360" w:lineRule="auto"/>
        <w:jc w:val="both"/>
        <w:rPr>
          <w:rFonts w:ascii="Arial" w:hAnsi="Arial"/>
        </w:rPr>
      </w:pPr>
      <w:r w:rsidRPr="007A1C7B">
        <w:rPr>
          <w:rFonts w:ascii="Arial" w:hAnsi="Arial"/>
        </w:rPr>
        <w:t>[29]</w:t>
      </w:r>
      <w:r w:rsidRPr="007A1C7B">
        <w:rPr>
          <w:rFonts w:ascii="Arial" w:hAnsi="Arial"/>
        </w:rPr>
        <w:tab/>
      </w:r>
      <w:r w:rsidR="00D331A3" w:rsidRPr="00CB3C55">
        <w:rPr>
          <w:rFonts w:ascii="Arial" w:hAnsi="Arial"/>
        </w:rPr>
        <w:t xml:space="preserve">A reading of the written submissions of the second accused, shows that the thrust adopted, was geared mainly to dealing with the cases that may assist the court in dealing with this matter. In this regard, reference was made to cases such as </w:t>
      </w:r>
      <w:r w:rsidR="00D331A3" w:rsidRPr="00CB3C55">
        <w:rPr>
          <w:rFonts w:ascii="Arial" w:hAnsi="Arial"/>
          <w:i/>
        </w:rPr>
        <w:t>S v Singh and Another</w:t>
      </w:r>
      <w:r w:rsidR="00D331A3" w:rsidRPr="00CB3C55">
        <w:rPr>
          <w:rFonts w:ascii="Arial" w:hAnsi="Arial"/>
        </w:rPr>
        <w:t>;</w:t>
      </w:r>
      <w:r w:rsidR="00D331A3">
        <w:rPr>
          <w:rStyle w:val="FootnoteReference"/>
          <w:rFonts w:ascii="Arial" w:hAnsi="Arial"/>
          <w:i/>
        </w:rPr>
        <w:footnoteReference w:id="7"/>
      </w:r>
      <w:r w:rsidR="00D331A3" w:rsidRPr="00CB3C55">
        <w:rPr>
          <w:rFonts w:ascii="Arial" w:hAnsi="Arial"/>
        </w:rPr>
        <w:t xml:space="preserve"> </w:t>
      </w:r>
      <w:r w:rsidR="00D331A3" w:rsidRPr="00CB3C55">
        <w:rPr>
          <w:rFonts w:ascii="Arial" w:hAnsi="Arial"/>
          <w:i/>
        </w:rPr>
        <w:t>S v Ramgobin and Others</w:t>
      </w:r>
      <w:r w:rsidR="00D331A3" w:rsidRPr="00CB3C55">
        <w:rPr>
          <w:rFonts w:ascii="Arial" w:hAnsi="Arial"/>
        </w:rPr>
        <w:t>,</w:t>
      </w:r>
      <w:r w:rsidR="00D331A3">
        <w:rPr>
          <w:rStyle w:val="FootnoteReference"/>
          <w:rFonts w:ascii="Arial" w:hAnsi="Arial"/>
          <w:i/>
        </w:rPr>
        <w:footnoteReference w:id="8"/>
      </w:r>
      <w:r w:rsidR="00D331A3" w:rsidRPr="00CB3C55">
        <w:rPr>
          <w:rFonts w:ascii="Arial" w:hAnsi="Arial"/>
        </w:rPr>
        <w:t xml:space="preserve"> </w:t>
      </w:r>
      <w:r w:rsidR="00D331A3" w:rsidRPr="00CB3C55">
        <w:rPr>
          <w:rFonts w:ascii="Arial" w:hAnsi="Arial"/>
          <w:i/>
        </w:rPr>
        <w:t xml:space="preserve">S v </w:t>
      </w:r>
      <w:proofErr w:type="spellStart"/>
      <w:r w:rsidR="00C44E39" w:rsidRPr="00CB3C55">
        <w:rPr>
          <w:rFonts w:ascii="Arial" w:hAnsi="Arial"/>
          <w:i/>
        </w:rPr>
        <w:t>Baleka</w:t>
      </w:r>
      <w:proofErr w:type="spellEnd"/>
      <w:r w:rsidR="00C44E39" w:rsidRPr="00CB3C55">
        <w:rPr>
          <w:rFonts w:ascii="Arial" w:hAnsi="Arial"/>
          <w:i/>
        </w:rPr>
        <w:t xml:space="preserve"> and Others</w:t>
      </w:r>
      <w:r w:rsidR="00C44E39" w:rsidRPr="00CB3C55">
        <w:rPr>
          <w:rFonts w:ascii="Arial" w:hAnsi="Arial"/>
        </w:rPr>
        <w:t>,</w:t>
      </w:r>
      <w:r w:rsidR="00C44E39">
        <w:rPr>
          <w:rStyle w:val="FootnoteReference"/>
          <w:rFonts w:ascii="Arial" w:hAnsi="Arial"/>
          <w:i/>
        </w:rPr>
        <w:footnoteReference w:id="9"/>
      </w:r>
      <w:r w:rsidR="00C44E39" w:rsidRPr="00CB3C55">
        <w:rPr>
          <w:rFonts w:ascii="Arial" w:hAnsi="Arial"/>
        </w:rPr>
        <w:t xml:space="preserve"> </w:t>
      </w:r>
      <w:r w:rsidR="00C44E39" w:rsidRPr="00CB3C55">
        <w:rPr>
          <w:rFonts w:ascii="Arial" w:hAnsi="Arial"/>
          <w:i/>
        </w:rPr>
        <w:t xml:space="preserve">S v </w:t>
      </w:r>
      <w:proofErr w:type="spellStart"/>
      <w:r w:rsidR="00C44E39" w:rsidRPr="00CB3C55">
        <w:rPr>
          <w:rFonts w:ascii="Arial" w:hAnsi="Arial"/>
          <w:i/>
        </w:rPr>
        <w:t>Baleka</w:t>
      </w:r>
      <w:proofErr w:type="spellEnd"/>
      <w:r w:rsidR="00C44E39" w:rsidRPr="00CB3C55">
        <w:rPr>
          <w:rFonts w:ascii="Arial" w:hAnsi="Arial"/>
        </w:rPr>
        <w:t>,</w:t>
      </w:r>
      <w:r w:rsidR="00C44E39">
        <w:rPr>
          <w:rStyle w:val="FootnoteReference"/>
          <w:rFonts w:ascii="Arial" w:hAnsi="Arial"/>
          <w:i/>
        </w:rPr>
        <w:footnoteReference w:id="10"/>
      </w:r>
      <w:r w:rsidR="00D331A3" w:rsidRPr="00CB3C55">
        <w:rPr>
          <w:rFonts w:ascii="Arial" w:hAnsi="Arial"/>
        </w:rPr>
        <w:t xml:space="preserve"> </w:t>
      </w:r>
      <w:r w:rsidR="00C44E39" w:rsidRPr="00CB3C55">
        <w:rPr>
          <w:rFonts w:ascii="Arial" w:hAnsi="Arial"/>
          <w:i/>
        </w:rPr>
        <w:t xml:space="preserve">S v </w:t>
      </w:r>
      <w:proofErr w:type="spellStart"/>
      <w:r w:rsidR="00C44E39" w:rsidRPr="00CB3C55">
        <w:rPr>
          <w:rFonts w:ascii="Arial" w:hAnsi="Arial"/>
          <w:i/>
        </w:rPr>
        <w:t>Niewoudt</w:t>
      </w:r>
      <w:proofErr w:type="spellEnd"/>
      <w:r w:rsidR="00C44E39">
        <w:rPr>
          <w:rStyle w:val="FootnoteReference"/>
          <w:rFonts w:ascii="Arial" w:hAnsi="Arial"/>
          <w:i/>
        </w:rPr>
        <w:footnoteReference w:id="11"/>
      </w:r>
      <w:r w:rsidR="00C44E39" w:rsidRPr="00CB3C55">
        <w:rPr>
          <w:rFonts w:ascii="Arial" w:hAnsi="Arial"/>
        </w:rPr>
        <w:t xml:space="preserve"> and </w:t>
      </w:r>
      <w:r w:rsidR="00C44E39" w:rsidRPr="00CB3C55">
        <w:rPr>
          <w:rFonts w:ascii="Arial" w:hAnsi="Arial"/>
          <w:i/>
        </w:rPr>
        <w:t xml:space="preserve">S v </w:t>
      </w:r>
      <w:proofErr w:type="spellStart"/>
      <w:r w:rsidR="00C44E39" w:rsidRPr="00CB3C55">
        <w:rPr>
          <w:rFonts w:ascii="Arial" w:hAnsi="Arial"/>
          <w:i/>
        </w:rPr>
        <w:t>Mapumlo</w:t>
      </w:r>
      <w:proofErr w:type="spellEnd"/>
      <w:r w:rsidR="00C44E39" w:rsidRPr="00CB3C55">
        <w:rPr>
          <w:rFonts w:ascii="Arial" w:hAnsi="Arial"/>
          <w:i/>
        </w:rPr>
        <w:t xml:space="preserve"> and Others</w:t>
      </w:r>
      <w:r w:rsidR="006C4E78" w:rsidRPr="00CB3C55">
        <w:rPr>
          <w:rFonts w:ascii="Arial" w:hAnsi="Arial"/>
        </w:rPr>
        <w:t>.</w:t>
      </w:r>
      <w:r w:rsidR="00C44E39">
        <w:rPr>
          <w:rStyle w:val="FootnoteReference"/>
          <w:rFonts w:ascii="Arial" w:hAnsi="Arial"/>
          <w:i/>
        </w:rPr>
        <w:footnoteReference w:id="12"/>
      </w:r>
      <w:r w:rsidR="006C4E78" w:rsidRPr="00CB3C55">
        <w:rPr>
          <w:rFonts w:ascii="Arial" w:hAnsi="Arial"/>
          <w:i/>
        </w:rPr>
        <w:t xml:space="preserve"> </w:t>
      </w:r>
    </w:p>
    <w:p w14:paraId="57F990F1" w14:textId="77777777" w:rsidR="007A1C7B" w:rsidRDefault="007A1C7B" w:rsidP="007A1C7B">
      <w:pPr>
        <w:pStyle w:val="ListParagraph"/>
        <w:spacing w:line="360" w:lineRule="auto"/>
        <w:ind w:left="0"/>
        <w:jc w:val="both"/>
        <w:rPr>
          <w:rFonts w:ascii="Arial" w:hAnsi="Arial"/>
        </w:rPr>
      </w:pPr>
    </w:p>
    <w:p w14:paraId="3C1AC3B5" w14:textId="717A0E16" w:rsidR="007A1C7B" w:rsidRPr="00CB3C55" w:rsidRDefault="00CB3C55" w:rsidP="00CB3C55">
      <w:pPr>
        <w:spacing w:line="360" w:lineRule="auto"/>
        <w:jc w:val="both"/>
        <w:rPr>
          <w:rFonts w:ascii="Arial" w:hAnsi="Arial"/>
        </w:rPr>
      </w:pPr>
      <w:r>
        <w:rPr>
          <w:rFonts w:ascii="Arial" w:hAnsi="Arial"/>
        </w:rPr>
        <w:t>[30]</w:t>
      </w:r>
      <w:r>
        <w:rPr>
          <w:rFonts w:ascii="Arial" w:hAnsi="Arial"/>
        </w:rPr>
        <w:tab/>
      </w:r>
      <w:r w:rsidR="006C4E78" w:rsidRPr="00CB3C55">
        <w:rPr>
          <w:rFonts w:ascii="Arial" w:hAnsi="Arial"/>
        </w:rPr>
        <w:t xml:space="preserve">Having briefly summarised the arguments advanced on behalf of the parties, </w:t>
      </w:r>
      <w:proofErr w:type="gramStart"/>
      <w:r w:rsidR="006C4E78" w:rsidRPr="00CB3C55">
        <w:rPr>
          <w:rFonts w:ascii="Arial" w:hAnsi="Arial"/>
        </w:rPr>
        <w:t>it is clear that the</w:t>
      </w:r>
      <w:proofErr w:type="gramEnd"/>
      <w:r w:rsidR="006C4E78" w:rsidRPr="00CB3C55">
        <w:rPr>
          <w:rFonts w:ascii="Arial" w:hAnsi="Arial"/>
        </w:rPr>
        <w:t xml:space="preserve"> main question that the court has to answer is whether the court should be satisfied that the exhibits be admitted in evidence and that appropriate evidence has been led by the State that shows that the said exhibits are authentic, reliable and therefor admissible. I proceed to deal with the determination of these questions below.</w:t>
      </w:r>
    </w:p>
    <w:p w14:paraId="5673F615" w14:textId="77777777" w:rsidR="007A1C7B" w:rsidRDefault="007A1C7B" w:rsidP="007A1C7B">
      <w:pPr>
        <w:pStyle w:val="ListParagraph"/>
        <w:spacing w:line="360" w:lineRule="auto"/>
        <w:ind w:left="0"/>
        <w:jc w:val="both"/>
        <w:rPr>
          <w:rFonts w:ascii="Arial" w:hAnsi="Arial"/>
        </w:rPr>
      </w:pPr>
    </w:p>
    <w:p w14:paraId="572219E3" w14:textId="77777777" w:rsidR="007A1C7B" w:rsidRDefault="007A1C7B" w:rsidP="007A1C7B">
      <w:pPr>
        <w:spacing w:line="360" w:lineRule="auto"/>
        <w:jc w:val="both"/>
        <w:rPr>
          <w:rFonts w:ascii="Arial" w:hAnsi="Arial"/>
          <w:u w:val="single"/>
        </w:rPr>
      </w:pPr>
      <w:r>
        <w:rPr>
          <w:rFonts w:ascii="Arial" w:hAnsi="Arial"/>
          <w:u w:val="single"/>
        </w:rPr>
        <w:t>Determination</w:t>
      </w:r>
    </w:p>
    <w:p w14:paraId="39B45B5F" w14:textId="77777777" w:rsidR="007A1C7B" w:rsidRDefault="007A1C7B" w:rsidP="007A1C7B">
      <w:pPr>
        <w:pStyle w:val="ListParagraph"/>
        <w:spacing w:line="360" w:lineRule="auto"/>
        <w:ind w:left="0"/>
        <w:jc w:val="both"/>
        <w:rPr>
          <w:rFonts w:ascii="Arial" w:hAnsi="Arial"/>
        </w:rPr>
      </w:pPr>
    </w:p>
    <w:p w14:paraId="5CCCDB08" w14:textId="4C437CBC" w:rsidR="007A1C7B" w:rsidRPr="00CB3C55" w:rsidRDefault="00CB3C55" w:rsidP="00CB3C55">
      <w:pPr>
        <w:spacing w:line="360" w:lineRule="auto"/>
        <w:jc w:val="both"/>
        <w:rPr>
          <w:rFonts w:ascii="Arial" w:hAnsi="Arial"/>
        </w:rPr>
      </w:pPr>
      <w:r>
        <w:rPr>
          <w:rFonts w:ascii="Arial" w:hAnsi="Arial"/>
        </w:rPr>
        <w:t>[31]</w:t>
      </w:r>
      <w:r>
        <w:rPr>
          <w:rFonts w:ascii="Arial" w:hAnsi="Arial"/>
        </w:rPr>
        <w:tab/>
      </w:r>
      <w:r w:rsidR="00876B11" w:rsidRPr="00CB3C55">
        <w:rPr>
          <w:rFonts w:ascii="Arial" w:hAnsi="Arial"/>
        </w:rPr>
        <w:t>I must first mention that one difficulty that the court faces, as correctly submitted by Mr Soni, is the basis on which the application is moved. It does not appear, at this juncture, that the application for the admission of the documents is moved in pursu</w:t>
      </w:r>
      <w:r w:rsidR="007361E3" w:rsidRPr="00CB3C55">
        <w:rPr>
          <w:rFonts w:ascii="Arial" w:hAnsi="Arial"/>
        </w:rPr>
        <w:t>ance of any provision legislation or procedural rule</w:t>
      </w:r>
      <w:r w:rsidR="00876B11" w:rsidRPr="00CB3C55">
        <w:rPr>
          <w:rFonts w:ascii="Arial" w:hAnsi="Arial"/>
        </w:rPr>
        <w:t>. There is presently no written application in which the bases of the application are set out for both the court and the defence to appreciate and</w:t>
      </w:r>
      <w:r w:rsidR="0064626D" w:rsidRPr="00CB3C55">
        <w:rPr>
          <w:rFonts w:ascii="Arial" w:hAnsi="Arial"/>
        </w:rPr>
        <w:t xml:space="preserve"> </w:t>
      </w:r>
      <w:r w:rsidR="0064626D" w:rsidRPr="00CB3C55">
        <w:rPr>
          <w:rFonts w:ascii="Arial" w:hAnsi="Arial"/>
        </w:rPr>
        <w:lastRenderedPageBreak/>
        <w:t>appreciably assist the court in deciding whether the application ought to be granted or not.</w:t>
      </w:r>
    </w:p>
    <w:p w14:paraId="071F42B5" w14:textId="77777777" w:rsidR="007A1C7B" w:rsidRDefault="007A1C7B" w:rsidP="007A1C7B">
      <w:pPr>
        <w:pStyle w:val="ListParagraph"/>
        <w:spacing w:line="360" w:lineRule="auto"/>
        <w:ind w:left="0"/>
        <w:jc w:val="both"/>
        <w:rPr>
          <w:rFonts w:ascii="Arial" w:hAnsi="Arial"/>
        </w:rPr>
      </w:pPr>
    </w:p>
    <w:p w14:paraId="102B9598" w14:textId="4C7D6836" w:rsidR="007A1C7B" w:rsidRPr="00CB3C55" w:rsidRDefault="00CB3C55" w:rsidP="00CB3C55">
      <w:pPr>
        <w:spacing w:line="360" w:lineRule="auto"/>
        <w:jc w:val="both"/>
        <w:rPr>
          <w:rFonts w:ascii="Arial" w:hAnsi="Arial"/>
        </w:rPr>
      </w:pPr>
      <w:r>
        <w:rPr>
          <w:rFonts w:ascii="Arial" w:hAnsi="Arial"/>
        </w:rPr>
        <w:t>[32]</w:t>
      </w:r>
      <w:r>
        <w:rPr>
          <w:rFonts w:ascii="Arial" w:hAnsi="Arial"/>
        </w:rPr>
        <w:tab/>
      </w:r>
      <w:r w:rsidR="0064626D" w:rsidRPr="00CB3C55">
        <w:rPr>
          <w:rFonts w:ascii="Arial" w:hAnsi="Arial"/>
        </w:rPr>
        <w:t>In this wise, it must be recalled that the intention exhibited by the State, was to call Dr Ludik at a later stage</w:t>
      </w:r>
      <w:r w:rsidR="004A1AA9" w:rsidRPr="00CB3C55">
        <w:rPr>
          <w:rFonts w:ascii="Arial" w:hAnsi="Arial"/>
        </w:rPr>
        <w:t>. That</w:t>
      </w:r>
      <w:r w:rsidR="0064626D" w:rsidRPr="00CB3C55">
        <w:rPr>
          <w:rFonts w:ascii="Arial" w:hAnsi="Arial"/>
        </w:rPr>
        <w:t xml:space="preserve"> stage was </w:t>
      </w:r>
      <w:r w:rsidR="004A1AA9" w:rsidRPr="00CB3C55">
        <w:rPr>
          <w:rFonts w:ascii="Arial" w:hAnsi="Arial"/>
        </w:rPr>
        <w:t xml:space="preserve">eventually </w:t>
      </w:r>
      <w:r w:rsidR="0064626D" w:rsidRPr="00CB3C55">
        <w:rPr>
          <w:rFonts w:ascii="Arial" w:hAnsi="Arial"/>
        </w:rPr>
        <w:t xml:space="preserve">set for him to appear before the court to testify on the exhibits in question, among other things. </w:t>
      </w:r>
      <w:r w:rsidR="004A1AA9" w:rsidRPr="00CB3C55">
        <w:rPr>
          <w:rFonts w:ascii="Arial" w:hAnsi="Arial"/>
        </w:rPr>
        <w:t xml:space="preserve">He was, however reported ill, necessitating a postponement of the matter, with the fervent hope that he would recover. </w:t>
      </w:r>
      <w:r w:rsidR="0064626D" w:rsidRPr="00CB3C55">
        <w:rPr>
          <w:rFonts w:ascii="Arial" w:hAnsi="Arial"/>
        </w:rPr>
        <w:t>Due to his unfortunate passing, an applicat</w:t>
      </w:r>
      <w:r w:rsidR="007361E3" w:rsidRPr="00CB3C55">
        <w:rPr>
          <w:rFonts w:ascii="Arial" w:hAnsi="Arial"/>
        </w:rPr>
        <w:t>ion in terms of s 212 of the CPA,</w:t>
      </w:r>
      <w:r w:rsidR="0064626D" w:rsidRPr="00CB3C55">
        <w:rPr>
          <w:rFonts w:ascii="Arial" w:hAnsi="Arial"/>
        </w:rPr>
        <w:t xml:space="preserve"> was moved and which the defence opposed. That application was not proceeded with for reasons that are not apparent to the court. The court does not, in any event need to conduct an enquiry where a party decides to withdraw its application. </w:t>
      </w:r>
    </w:p>
    <w:p w14:paraId="47317863" w14:textId="77777777" w:rsidR="007A1C7B" w:rsidRDefault="007A1C7B" w:rsidP="007A1C7B">
      <w:pPr>
        <w:pStyle w:val="ListParagraph"/>
        <w:spacing w:line="360" w:lineRule="auto"/>
        <w:ind w:left="0"/>
        <w:jc w:val="both"/>
        <w:rPr>
          <w:rFonts w:ascii="Arial" w:hAnsi="Arial"/>
        </w:rPr>
      </w:pPr>
    </w:p>
    <w:p w14:paraId="0E735EA2" w14:textId="0519EA95" w:rsidR="007A1C7B" w:rsidRPr="00CB3C55" w:rsidRDefault="00CB3C55" w:rsidP="00CB3C55">
      <w:pPr>
        <w:spacing w:line="360" w:lineRule="auto"/>
        <w:jc w:val="both"/>
        <w:rPr>
          <w:rFonts w:ascii="Arial" w:hAnsi="Arial"/>
        </w:rPr>
      </w:pPr>
      <w:r>
        <w:rPr>
          <w:rFonts w:ascii="Arial" w:hAnsi="Arial"/>
        </w:rPr>
        <w:t>[33]</w:t>
      </w:r>
      <w:r>
        <w:rPr>
          <w:rFonts w:ascii="Arial" w:hAnsi="Arial"/>
        </w:rPr>
        <w:tab/>
      </w:r>
      <w:r w:rsidR="004A1AA9" w:rsidRPr="00CB3C55">
        <w:rPr>
          <w:rFonts w:ascii="Arial" w:hAnsi="Arial"/>
        </w:rPr>
        <w:t>The court is presently faced with an application, whose legal underpinnings are not known. It therefor becomes difficult to know what standards must be employed in gauging the propriety of the application in the circumstances.</w:t>
      </w:r>
    </w:p>
    <w:p w14:paraId="1CAA5C2A" w14:textId="77777777" w:rsidR="007A1C7B" w:rsidRDefault="007A1C7B" w:rsidP="007A1C7B">
      <w:pPr>
        <w:pStyle w:val="ListParagraph"/>
        <w:spacing w:line="360" w:lineRule="auto"/>
        <w:ind w:left="0"/>
        <w:jc w:val="both"/>
        <w:rPr>
          <w:rFonts w:ascii="Arial" w:hAnsi="Arial"/>
        </w:rPr>
      </w:pPr>
    </w:p>
    <w:p w14:paraId="5231714C" w14:textId="56AC81C0" w:rsidR="004A1AA9" w:rsidRPr="00CB3C55" w:rsidRDefault="00CB3C55" w:rsidP="00CB3C55">
      <w:pPr>
        <w:spacing w:line="360" w:lineRule="auto"/>
        <w:jc w:val="both"/>
        <w:rPr>
          <w:rFonts w:ascii="Arial" w:hAnsi="Arial"/>
        </w:rPr>
      </w:pPr>
      <w:r w:rsidRPr="007A1C7B">
        <w:rPr>
          <w:rFonts w:ascii="Arial" w:hAnsi="Arial"/>
        </w:rPr>
        <w:t>[34]</w:t>
      </w:r>
      <w:r w:rsidRPr="007A1C7B">
        <w:rPr>
          <w:rFonts w:ascii="Arial" w:hAnsi="Arial"/>
        </w:rPr>
        <w:tab/>
      </w:r>
      <w:r w:rsidR="004A1AA9" w:rsidRPr="00CB3C55">
        <w:rPr>
          <w:rFonts w:ascii="Arial" w:hAnsi="Arial"/>
        </w:rPr>
        <w:t xml:space="preserve">The court was referred by the parties to the </w:t>
      </w:r>
      <w:r w:rsidR="004A1AA9" w:rsidRPr="00CB3C55">
        <w:rPr>
          <w:rFonts w:ascii="Arial" w:hAnsi="Arial"/>
          <w:i/>
        </w:rPr>
        <w:t xml:space="preserve">Malumo </w:t>
      </w:r>
      <w:r w:rsidR="004A1AA9" w:rsidRPr="00CB3C55">
        <w:rPr>
          <w:rFonts w:ascii="Arial" w:hAnsi="Arial"/>
        </w:rPr>
        <w:t>case, where this court had to decide the admissibility of certain photographs.</w:t>
      </w:r>
      <w:r w:rsidR="00465AF8" w:rsidRPr="00CB3C55">
        <w:rPr>
          <w:rFonts w:ascii="Arial" w:hAnsi="Arial"/>
        </w:rPr>
        <w:t xml:space="preserve"> At p 638D, Hoff J stated the following:</w:t>
      </w:r>
    </w:p>
    <w:p w14:paraId="1524FA76" w14:textId="77777777" w:rsidR="00465AF8" w:rsidRDefault="00465AF8" w:rsidP="00D31783">
      <w:pPr>
        <w:spacing w:line="360" w:lineRule="auto"/>
        <w:jc w:val="both"/>
        <w:rPr>
          <w:rFonts w:ascii="Arial" w:hAnsi="Arial"/>
        </w:rPr>
      </w:pPr>
    </w:p>
    <w:p w14:paraId="6646AEBF" w14:textId="58D62495" w:rsidR="00465AF8" w:rsidRDefault="00465AF8" w:rsidP="00D31783">
      <w:pPr>
        <w:spacing w:line="360" w:lineRule="auto"/>
        <w:jc w:val="both"/>
        <w:rPr>
          <w:rFonts w:ascii="Arial" w:hAnsi="Arial"/>
          <w:sz w:val="22"/>
          <w:szCs w:val="22"/>
        </w:rPr>
      </w:pPr>
      <w:r>
        <w:rPr>
          <w:rFonts w:ascii="Arial" w:hAnsi="Arial"/>
        </w:rPr>
        <w:tab/>
        <w:t>‘</w:t>
      </w:r>
      <w:r>
        <w:rPr>
          <w:rFonts w:ascii="Arial" w:hAnsi="Arial"/>
          <w:sz w:val="22"/>
          <w:szCs w:val="22"/>
        </w:rPr>
        <w:t>The authorities are clear that a photograph is regarded as a document, despite the fact that it may also be classified as real evidence, and thus the admissibility requirements in respect of documents are applicable.’</w:t>
      </w:r>
    </w:p>
    <w:p w14:paraId="2A4648CA" w14:textId="77777777" w:rsidR="00465AF8" w:rsidRDefault="00465AF8" w:rsidP="00D31783">
      <w:pPr>
        <w:spacing w:line="360" w:lineRule="auto"/>
        <w:jc w:val="both"/>
        <w:rPr>
          <w:rFonts w:ascii="Arial" w:hAnsi="Arial"/>
          <w:sz w:val="22"/>
          <w:szCs w:val="22"/>
        </w:rPr>
      </w:pPr>
    </w:p>
    <w:p w14:paraId="1FBC3453" w14:textId="0FB031C9" w:rsidR="007A1C7B" w:rsidRPr="00CB3C55" w:rsidRDefault="00CB3C55" w:rsidP="00CB3C55">
      <w:pPr>
        <w:spacing w:line="360" w:lineRule="auto"/>
        <w:jc w:val="both"/>
        <w:rPr>
          <w:rFonts w:ascii="Arial" w:hAnsi="Arial"/>
        </w:rPr>
      </w:pPr>
      <w:r>
        <w:rPr>
          <w:rFonts w:ascii="Arial" w:hAnsi="Arial"/>
        </w:rPr>
        <w:t>[35]</w:t>
      </w:r>
      <w:r>
        <w:rPr>
          <w:rFonts w:ascii="Arial" w:hAnsi="Arial"/>
        </w:rPr>
        <w:tab/>
      </w:r>
      <w:r w:rsidR="00465AF8" w:rsidRPr="00CB3C55">
        <w:rPr>
          <w:rFonts w:ascii="Arial" w:hAnsi="Arial"/>
        </w:rPr>
        <w:t>At para 49, the learned Judge stated that ‘The State</w:t>
      </w:r>
      <w:r w:rsidR="00A06C20" w:rsidRPr="00CB3C55">
        <w:rPr>
          <w:rFonts w:ascii="Arial" w:hAnsi="Arial"/>
        </w:rPr>
        <w:t xml:space="preserve">, </w:t>
      </w:r>
      <w:r w:rsidR="00A06C20" w:rsidRPr="00CB3C55">
        <w:rPr>
          <w:rFonts w:ascii="Arial" w:hAnsi="Arial"/>
          <w:i/>
        </w:rPr>
        <w:t xml:space="preserve">in </w:t>
      </w:r>
      <w:proofErr w:type="spellStart"/>
      <w:r w:rsidR="00A06C20" w:rsidRPr="00CB3C55">
        <w:rPr>
          <w:rFonts w:ascii="Arial" w:hAnsi="Arial"/>
          <w:i/>
        </w:rPr>
        <w:t>casu</w:t>
      </w:r>
      <w:proofErr w:type="spellEnd"/>
      <w:r w:rsidR="00A06C20" w:rsidRPr="00CB3C55">
        <w:rPr>
          <w:rFonts w:ascii="Arial" w:hAnsi="Arial"/>
        </w:rPr>
        <w:t>,</w:t>
      </w:r>
      <w:r w:rsidR="00465AF8" w:rsidRPr="00CB3C55">
        <w:rPr>
          <w:rFonts w:ascii="Arial" w:hAnsi="Arial"/>
        </w:rPr>
        <w:t xml:space="preserve"> must</w:t>
      </w:r>
      <w:r w:rsidR="00A06C20" w:rsidRPr="00CB3C55">
        <w:rPr>
          <w:rFonts w:ascii="Arial" w:hAnsi="Arial"/>
        </w:rPr>
        <w:t xml:space="preserve"> prove, </w:t>
      </w:r>
      <w:r w:rsidR="00A06C20" w:rsidRPr="00CB3C55">
        <w:rPr>
          <w:rFonts w:ascii="Arial" w:hAnsi="Arial"/>
          <w:i/>
        </w:rPr>
        <w:t xml:space="preserve">inter alia, </w:t>
      </w:r>
      <w:r w:rsidR="00A06C20" w:rsidRPr="00CB3C55">
        <w:rPr>
          <w:rFonts w:ascii="Arial" w:hAnsi="Arial"/>
        </w:rPr>
        <w:t>that the photographs in exhibit BAR are original and authentic. The best evidence rule must be complied with.’</w:t>
      </w:r>
      <w:r w:rsidR="00D13E4D" w:rsidRPr="00CB3C55">
        <w:rPr>
          <w:rFonts w:ascii="Arial" w:hAnsi="Arial"/>
        </w:rPr>
        <w:t xml:space="preserve"> I move on to consider a little of what is contained in </w:t>
      </w:r>
      <w:r w:rsidR="00D13E4D" w:rsidRPr="00CB3C55">
        <w:rPr>
          <w:rFonts w:ascii="Arial" w:hAnsi="Arial"/>
          <w:i/>
        </w:rPr>
        <w:t xml:space="preserve">Ramgobin </w:t>
      </w:r>
      <w:r w:rsidR="00D13E4D" w:rsidRPr="00CB3C55">
        <w:rPr>
          <w:rFonts w:ascii="Arial" w:hAnsi="Arial"/>
        </w:rPr>
        <w:t>(</w:t>
      </w:r>
      <w:r w:rsidR="00D13E4D" w:rsidRPr="00CB3C55">
        <w:rPr>
          <w:rFonts w:ascii="Arial" w:hAnsi="Arial"/>
          <w:i/>
        </w:rPr>
        <w:t>supra</w:t>
      </w:r>
      <w:r w:rsidR="00D13E4D" w:rsidRPr="00CB3C55">
        <w:rPr>
          <w:rFonts w:ascii="Arial" w:hAnsi="Arial"/>
        </w:rPr>
        <w:t>).</w:t>
      </w:r>
    </w:p>
    <w:p w14:paraId="58E92E6A" w14:textId="77777777" w:rsidR="007A1C7B" w:rsidRDefault="007A1C7B" w:rsidP="007A1C7B">
      <w:pPr>
        <w:pStyle w:val="ListParagraph"/>
        <w:spacing w:line="360" w:lineRule="auto"/>
        <w:ind w:left="0"/>
        <w:jc w:val="both"/>
        <w:rPr>
          <w:rFonts w:ascii="Arial" w:hAnsi="Arial"/>
        </w:rPr>
      </w:pPr>
    </w:p>
    <w:p w14:paraId="5BA83290" w14:textId="706CA942" w:rsidR="007361E3" w:rsidRPr="00CB3C55" w:rsidRDefault="00CB3C55" w:rsidP="00CB3C55">
      <w:pPr>
        <w:spacing w:line="360" w:lineRule="auto"/>
        <w:jc w:val="both"/>
        <w:rPr>
          <w:rFonts w:ascii="Arial" w:hAnsi="Arial"/>
        </w:rPr>
      </w:pPr>
      <w:r>
        <w:rPr>
          <w:rFonts w:ascii="Arial" w:hAnsi="Arial"/>
        </w:rPr>
        <w:t>[36]</w:t>
      </w:r>
      <w:r>
        <w:rPr>
          <w:rFonts w:ascii="Arial" w:hAnsi="Arial"/>
        </w:rPr>
        <w:tab/>
      </w:r>
      <w:r w:rsidR="00D13E4D" w:rsidRPr="00CB3C55">
        <w:rPr>
          <w:rFonts w:ascii="Arial" w:hAnsi="Arial"/>
        </w:rPr>
        <w:t xml:space="preserve">In that case, the court was called upon to determine the admissibility of certain exhibits, which </w:t>
      </w:r>
      <w:r w:rsidR="009C734F" w:rsidRPr="00CB3C55">
        <w:rPr>
          <w:rFonts w:ascii="Arial" w:hAnsi="Arial"/>
        </w:rPr>
        <w:t>included audio</w:t>
      </w:r>
      <w:r w:rsidR="00CE2E66" w:rsidRPr="00CB3C55">
        <w:rPr>
          <w:rFonts w:ascii="Arial" w:hAnsi="Arial"/>
        </w:rPr>
        <w:t xml:space="preserve"> and video</w:t>
      </w:r>
      <w:r w:rsidR="00D13E4D" w:rsidRPr="00CB3C55">
        <w:rPr>
          <w:rFonts w:ascii="Arial" w:hAnsi="Arial"/>
        </w:rPr>
        <w:t xml:space="preserve"> recordings</w:t>
      </w:r>
      <w:r w:rsidR="00CE2E66" w:rsidRPr="00CB3C55">
        <w:rPr>
          <w:rFonts w:ascii="Arial" w:hAnsi="Arial"/>
        </w:rPr>
        <w:t xml:space="preserve"> and the propriety of allowing the State, to re-open its case. </w:t>
      </w:r>
      <w:proofErr w:type="gramStart"/>
      <w:r w:rsidR="00CE2E66" w:rsidRPr="00CB3C55">
        <w:rPr>
          <w:rFonts w:ascii="Arial" w:hAnsi="Arial"/>
        </w:rPr>
        <w:t>The latter</w:t>
      </w:r>
      <w:r w:rsidR="007361E3" w:rsidRPr="00CB3C55">
        <w:rPr>
          <w:rFonts w:ascii="Arial" w:hAnsi="Arial"/>
        </w:rPr>
        <w:t xml:space="preserve"> aspect,</w:t>
      </w:r>
      <w:proofErr w:type="gramEnd"/>
      <w:r w:rsidR="00CE2E66" w:rsidRPr="00CB3C55">
        <w:rPr>
          <w:rFonts w:ascii="Arial" w:hAnsi="Arial"/>
        </w:rPr>
        <w:t xml:space="preserve"> is of no moment in the </w:t>
      </w:r>
      <w:r w:rsidR="00CE2E66" w:rsidRPr="00CB3C55">
        <w:rPr>
          <w:rFonts w:ascii="Arial" w:hAnsi="Arial"/>
        </w:rPr>
        <w:lastRenderedPageBreak/>
        <w:t xml:space="preserve">instant case. Milne JP, who presided over the matter observed, </w:t>
      </w:r>
      <w:r w:rsidR="007361E3" w:rsidRPr="00CB3C55">
        <w:rPr>
          <w:rFonts w:ascii="Arial" w:hAnsi="Arial"/>
        </w:rPr>
        <w:t>stated the following as a precaution:</w:t>
      </w:r>
      <w:r w:rsidR="00CE2E66" w:rsidRPr="00CB3C55">
        <w:rPr>
          <w:rFonts w:ascii="Arial" w:hAnsi="Arial"/>
        </w:rPr>
        <w:t xml:space="preserve"> </w:t>
      </w:r>
    </w:p>
    <w:p w14:paraId="08379B6F" w14:textId="77777777" w:rsidR="007361E3" w:rsidRPr="007361E3" w:rsidRDefault="007361E3" w:rsidP="007361E3">
      <w:pPr>
        <w:pStyle w:val="ListParagraph"/>
        <w:rPr>
          <w:rFonts w:ascii="Arial" w:hAnsi="Arial"/>
        </w:rPr>
      </w:pPr>
    </w:p>
    <w:p w14:paraId="71A5B47C" w14:textId="5EA8AE67" w:rsidR="007A1C7B" w:rsidRPr="007361E3" w:rsidRDefault="00CE2E66" w:rsidP="005466F5">
      <w:pPr>
        <w:pStyle w:val="ListParagraph"/>
        <w:spacing w:line="360" w:lineRule="auto"/>
        <w:ind w:left="0" w:firstLine="720"/>
        <w:jc w:val="both"/>
        <w:rPr>
          <w:rFonts w:ascii="Arial" w:hAnsi="Arial"/>
          <w:sz w:val="22"/>
          <w:szCs w:val="22"/>
        </w:rPr>
      </w:pPr>
      <w:r w:rsidRPr="007361E3">
        <w:rPr>
          <w:rFonts w:ascii="Arial" w:hAnsi="Arial"/>
          <w:sz w:val="22"/>
          <w:szCs w:val="22"/>
        </w:rPr>
        <w:t xml:space="preserve">‘In </w:t>
      </w:r>
      <w:r w:rsidR="00474C8B" w:rsidRPr="007361E3">
        <w:rPr>
          <w:rFonts w:ascii="Arial" w:hAnsi="Arial"/>
          <w:sz w:val="22"/>
          <w:szCs w:val="22"/>
        </w:rPr>
        <w:t xml:space="preserve">discussions of this subject in cases and </w:t>
      </w:r>
      <w:r w:rsidRPr="007361E3">
        <w:rPr>
          <w:rFonts w:ascii="Arial" w:hAnsi="Arial"/>
          <w:sz w:val="22"/>
          <w:szCs w:val="22"/>
        </w:rPr>
        <w:t xml:space="preserve">legal </w:t>
      </w:r>
      <w:proofErr w:type="gramStart"/>
      <w:r w:rsidRPr="007361E3">
        <w:rPr>
          <w:rFonts w:ascii="Arial" w:hAnsi="Arial"/>
          <w:sz w:val="22"/>
          <w:szCs w:val="22"/>
        </w:rPr>
        <w:t>text books</w:t>
      </w:r>
      <w:proofErr w:type="gramEnd"/>
      <w:r w:rsidR="00474C8B" w:rsidRPr="007361E3">
        <w:rPr>
          <w:rFonts w:ascii="Arial" w:hAnsi="Arial"/>
          <w:sz w:val="22"/>
          <w:szCs w:val="22"/>
        </w:rPr>
        <w:t xml:space="preserve">, one finds it said that tape recordings are receivable in evidence, but reservations are expressed or conditions for admissibility are suggested because of a feature that is, to some extent at least, peculiar to tape recordings. This is that they can be altered (and materially altered), </w:t>
      </w:r>
      <w:r w:rsidR="00474C8B" w:rsidRPr="007361E3">
        <w:rPr>
          <w:rFonts w:ascii="Arial" w:hAnsi="Arial"/>
          <w:i/>
          <w:sz w:val="22"/>
          <w:szCs w:val="22"/>
        </w:rPr>
        <w:t>in such a way that even experts cannot detect the alteration</w:t>
      </w:r>
      <w:r w:rsidR="00474C8B" w:rsidRPr="007361E3">
        <w:rPr>
          <w:rFonts w:ascii="Arial" w:hAnsi="Arial"/>
          <w:sz w:val="22"/>
          <w:szCs w:val="22"/>
        </w:rPr>
        <w:t>.’</w:t>
      </w:r>
    </w:p>
    <w:p w14:paraId="7F1F86DC" w14:textId="77777777" w:rsidR="007A1C7B" w:rsidRDefault="007A1C7B" w:rsidP="007A1C7B">
      <w:pPr>
        <w:pStyle w:val="ListParagraph"/>
        <w:spacing w:line="360" w:lineRule="auto"/>
        <w:ind w:left="0"/>
        <w:jc w:val="both"/>
        <w:rPr>
          <w:rFonts w:ascii="Arial" w:hAnsi="Arial"/>
        </w:rPr>
      </w:pPr>
    </w:p>
    <w:p w14:paraId="7152387A" w14:textId="6CE3AA0F" w:rsidR="007A1C7B" w:rsidRPr="00CB3C55" w:rsidRDefault="00CB3C55" w:rsidP="00CB3C55">
      <w:pPr>
        <w:spacing w:line="360" w:lineRule="auto"/>
        <w:jc w:val="both"/>
        <w:rPr>
          <w:rFonts w:ascii="Arial" w:hAnsi="Arial"/>
        </w:rPr>
      </w:pPr>
      <w:r>
        <w:rPr>
          <w:rFonts w:ascii="Arial" w:hAnsi="Arial"/>
        </w:rPr>
        <w:t>[37]</w:t>
      </w:r>
      <w:r>
        <w:rPr>
          <w:rFonts w:ascii="Arial" w:hAnsi="Arial"/>
        </w:rPr>
        <w:tab/>
      </w:r>
      <w:r w:rsidR="00BD3ED4" w:rsidRPr="00CB3C55">
        <w:rPr>
          <w:rFonts w:ascii="Arial" w:hAnsi="Arial"/>
        </w:rPr>
        <w:t>At p122F-G, the learned Judge continued and observed that, ‘Tape recordings are, therefore dangerous from an evidential point of view by reason of these factors, unless certain precautions are taken. It is important to be aware of this danger because, when one is dealing with tape recordings, one is faced with what is, on the face of it, highly convincing proof of his guilt: there is his accent, his tone of voice, hi</w:t>
      </w:r>
      <w:r w:rsidR="00061C58" w:rsidRPr="00CB3C55">
        <w:rPr>
          <w:rFonts w:ascii="Arial" w:hAnsi="Arial"/>
        </w:rPr>
        <w:t xml:space="preserve">s tricks of speech, his oral </w:t>
      </w:r>
      <w:r w:rsidR="009C734F" w:rsidRPr="00CB3C55">
        <w:rPr>
          <w:rFonts w:ascii="Arial" w:hAnsi="Arial"/>
        </w:rPr>
        <w:t>idiosyncrasies</w:t>
      </w:r>
      <w:r w:rsidR="00061C58" w:rsidRPr="00CB3C55">
        <w:rPr>
          <w:rFonts w:ascii="Arial" w:hAnsi="Arial"/>
        </w:rPr>
        <w:t>, all building up to an apparently overwhelmingly authentic picture. It is even more convincing when one adds pictures suiting “the action to the word”.</w:t>
      </w:r>
    </w:p>
    <w:p w14:paraId="0B53F1A0" w14:textId="77777777" w:rsidR="007A1C7B" w:rsidRDefault="007A1C7B" w:rsidP="007A1C7B">
      <w:pPr>
        <w:pStyle w:val="ListParagraph"/>
        <w:spacing w:line="360" w:lineRule="auto"/>
        <w:ind w:left="0"/>
        <w:jc w:val="both"/>
        <w:rPr>
          <w:rFonts w:ascii="Arial" w:hAnsi="Arial"/>
        </w:rPr>
      </w:pPr>
    </w:p>
    <w:p w14:paraId="383F120A" w14:textId="387D28A3" w:rsidR="007A1C7B" w:rsidRPr="00CB3C55" w:rsidRDefault="00CB3C55" w:rsidP="00CB3C55">
      <w:pPr>
        <w:spacing w:line="360" w:lineRule="auto"/>
        <w:jc w:val="both"/>
        <w:rPr>
          <w:rFonts w:ascii="Arial" w:hAnsi="Arial"/>
        </w:rPr>
      </w:pPr>
      <w:r>
        <w:rPr>
          <w:rFonts w:ascii="Arial" w:hAnsi="Arial"/>
        </w:rPr>
        <w:t>[38]</w:t>
      </w:r>
      <w:r>
        <w:rPr>
          <w:rFonts w:ascii="Arial" w:hAnsi="Arial"/>
        </w:rPr>
        <w:tab/>
      </w:r>
      <w:r w:rsidR="00BE7BFE" w:rsidRPr="00CB3C55">
        <w:rPr>
          <w:rFonts w:ascii="Arial" w:hAnsi="Arial"/>
        </w:rPr>
        <w:t>Although nothing may have been raised during cross-examination to Mr Bongers and Ms Field, there is no guarantee tha</w:t>
      </w:r>
      <w:r w:rsidR="00EA0288" w:rsidRPr="00CB3C55">
        <w:rPr>
          <w:rFonts w:ascii="Arial" w:hAnsi="Arial"/>
        </w:rPr>
        <w:t>t issues of the authenticity,</w:t>
      </w:r>
      <w:r w:rsidR="00BE7BFE" w:rsidRPr="00CB3C55">
        <w:rPr>
          <w:rFonts w:ascii="Arial" w:hAnsi="Arial"/>
        </w:rPr>
        <w:t xml:space="preserve"> reliability </w:t>
      </w:r>
      <w:r w:rsidR="00EA0288" w:rsidRPr="00CB3C55">
        <w:rPr>
          <w:rFonts w:ascii="Arial" w:hAnsi="Arial"/>
        </w:rPr>
        <w:t xml:space="preserve">and accuracy </w:t>
      </w:r>
      <w:r w:rsidR="00BE7BFE" w:rsidRPr="00CB3C55">
        <w:rPr>
          <w:rFonts w:ascii="Arial" w:hAnsi="Arial"/>
        </w:rPr>
        <w:t xml:space="preserve">of the exhibits would not have been raised with Dr Ludik, who it appears common cause that he dealt with the exhibits and </w:t>
      </w:r>
      <w:r w:rsidR="007361E3" w:rsidRPr="00CB3C55">
        <w:rPr>
          <w:rFonts w:ascii="Arial" w:hAnsi="Arial"/>
        </w:rPr>
        <w:t>decoded the information from Mr Bongers’</w:t>
      </w:r>
      <w:r w:rsidR="00BE7BFE" w:rsidRPr="00CB3C55">
        <w:rPr>
          <w:rFonts w:ascii="Arial" w:hAnsi="Arial"/>
        </w:rPr>
        <w:t xml:space="preserve"> iPhone. He would have been able to fortify and mention with a degree of finality what he did with the exhibits and</w:t>
      </w:r>
      <w:r w:rsidR="007361E3" w:rsidRPr="00CB3C55">
        <w:rPr>
          <w:rFonts w:ascii="Arial" w:hAnsi="Arial"/>
        </w:rPr>
        <w:t xml:space="preserve"> would have possibly excluded possibilities of interference and manipulation of the exhibits. He would</w:t>
      </w:r>
      <w:r w:rsidR="00BE7BFE" w:rsidRPr="00CB3C55">
        <w:rPr>
          <w:rFonts w:ascii="Arial" w:hAnsi="Arial"/>
        </w:rPr>
        <w:t xml:space="preserve"> also </w:t>
      </w:r>
      <w:r w:rsidR="007361E3" w:rsidRPr="00CB3C55">
        <w:rPr>
          <w:rFonts w:ascii="Arial" w:hAnsi="Arial"/>
        </w:rPr>
        <w:t>have been expected to clear any issues regarding the</w:t>
      </w:r>
      <w:r w:rsidR="00F55430" w:rsidRPr="00CB3C55">
        <w:rPr>
          <w:rFonts w:ascii="Arial" w:hAnsi="Arial"/>
        </w:rPr>
        <w:t xml:space="preserve"> authenticity, </w:t>
      </w:r>
      <w:proofErr w:type="gramStart"/>
      <w:r w:rsidR="00F55430" w:rsidRPr="00CB3C55">
        <w:rPr>
          <w:rFonts w:ascii="Arial" w:hAnsi="Arial"/>
        </w:rPr>
        <w:t>accuracy</w:t>
      </w:r>
      <w:proofErr w:type="gramEnd"/>
      <w:r w:rsidR="00F55430" w:rsidRPr="00CB3C55">
        <w:rPr>
          <w:rFonts w:ascii="Arial" w:hAnsi="Arial"/>
        </w:rPr>
        <w:t xml:space="preserve"> and</w:t>
      </w:r>
      <w:r w:rsidR="00BE7BFE" w:rsidRPr="00CB3C55">
        <w:rPr>
          <w:rFonts w:ascii="Arial" w:hAnsi="Arial"/>
        </w:rPr>
        <w:t xml:space="preserve"> reliability </w:t>
      </w:r>
      <w:r w:rsidR="00F55430" w:rsidRPr="00CB3C55">
        <w:rPr>
          <w:rFonts w:ascii="Arial" w:hAnsi="Arial"/>
        </w:rPr>
        <w:t xml:space="preserve">of the exhibits </w:t>
      </w:r>
      <w:r w:rsidR="00BE7BFE" w:rsidRPr="00CB3C55">
        <w:rPr>
          <w:rFonts w:ascii="Arial" w:hAnsi="Arial"/>
        </w:rPr>
        <w:t>that Mr Soni raised.</w:t>
      </w:r>
    </w:p>
    <w:p w14:paraId="38BC263C" w14:textId="77777777" w:rsidR="007A1C7B" w:rsidRDefault="007A1C7B" w:rsidP="007A1C7B">
      <w:pPr>
        <w:pStyle w:val="ListParagraph"/>
        <w:spacing w:line="360" w:lineRule="auto"/>
        <w:ind w:left="0"/>
        <w:jc w:val="both"/>
        <w:rPr>
          <w:rFonts w:ascii="Arial" w:hAnsi="Arial"/>
        </w:rPr>
      </w:pPr>
    </w:p>
    <w:p w14:paraId="71792BC7" w14:textId="753CBD4F" w:rsidR="007A1C7B" w:rsidRPr="00CB3C55" w:rsidRDefault="00CB3C55" w:rsidP="00CB3C55">
      <w:pPr>
        <w:spacing w:line="360" w:lineRule="auto"/>
        <w:jc w:val="both"/>
        <w:rPr>
          <w:rFonts w:ascii="Arial" w:hAnsi="Arial"/>
        </w:rPr>
      </w:pPr>
      <w:r>
        <w:rPr>
          <w:rFonts w:ascii="Arial" w:hAnsi="Arial"/>
        </w:rPr>
        <w:t>[39]</w:t>
      </w:r>
      <w:r>
        <w:rPr>
          <w:rFonts w:ascii="Arial" w:hAnsi="Arial"/>
        </w:rPr>
        <w:tab/>
      </w:r>
      <w:r w:rsidR="00A56992" w:rsidRPr="00CB3C55">
        <w:rPr>
          <w:rFonts w:ascii="Arial" w:hAnsi="Arial"/>
        </w:rPr>
        <w:t>I am of the considered view that in the instant case, the onus was on the State to discharge the burden regarding the authenticity</w:t>
      </w:r>
      <w:r w:rsidR="00EA0288" w:rsidRPr="00CB3C55">
        <w:rPr>
          <w:rFonts w:ascii="Arial" w:hAnsi="Arial"/>
        </w:rPr>
        <w:t>,</w:t>
      </w:r>
      <w:r w:rsidR="00A56992" w:rsidRPr="00CB3C55">
        <w:rPr>
          <w:rFonts w:ascii="Arial" w:hAnsi="Arial"/>
        </w:rPr>
        <w:t xml:space="preserve"> </w:t>
      </w:r>
      <w:proofErr w:type="gramStart"/>
      <w:r w:rsidR="00A56992" w:rsidRPr="00CB3C55">
        <w:rPr>
          <w:rFonts w:ascii="Arial" w:hAnsi="Arial"/>
        </w:rPr>
        <w:t>reliability</w:t>
      </w:r>
      <w:proofErr w:type="gramEnd"/>
      <w:r w:rsidR="00EA0288" w:rsidRPr="00CB3C55">
        <w:rPr>
          <w:rFonts w:ascii="Arial" w:hAnsi="Arial"/>
        </w:rPr>
        <w:t xml:space="preserve"> and accuracy</w:t>
      </w:r>
      <w:r w:rsidR="00A56992" w:rsidRPr="00CB3C55">
        <w:rPr>
          <w:rFonts w:ascii="Arial" w:hAnsi="Arial"/>
        </w:rPr>
        <w:t xml:space="preserve"> of the recording. This did not happen in the instant case, perhaps due to the unfortunate passin</w:t>
      </w:r>
      <w:r w:rsidR="00EA0288" w:rsidRPr="00CB3C55">
        <w:rPr>
          <w:rFonts w:ascii="Arial" w:hAnsi="Arial"/>
        </w:rPr>
        <w:t>g of Dr Ludik. Evidence regarding i</w:t>
      </w:r>
      <w:r w:rsidR="00A56992" w:rsidRPr="00CB3C55">
        <w:rPr>
          <w:rFonts w:ascii="Arial" w:hAnsi="Arial"/>
        </w:rPr>
        <w:t xml:space="preserve">ssues of the integrity and storage of the device, </w:t>
      </w:r>
      <w:r w:rsidR="00EA0288" w:rsidRPr="00CB3C55">
        <w:rPr>
          <w:rFonts w:ascii="Arial" w:hAnsi="Arial"/>
        </w:rPr>
        <w:t xml:space="preserve">and the </w:t>
      </w:r>
      <w:proofErr w:type="gramStart"/>
      <w:r w:rsidR="00EA0288" w:rsidRPr="00CB3C55">
        <w:rPr>
          <w:rFonts w:ascii="Arial" w:hAnsi="Arial"/>
        </w:rPr>
        <w:t>manner in which</w:t>
      </w:r>
      <w:proofErr w:type="gramEnd"/>
      <w:r w:rsidR="00EA0288" w:rsidRPr="00CB3C55">
        <w:rPr>
          <w:rFonts w:ascii="Arial" w:hAnsi="Arial"/>
        </w:rPr>
        <w:t xml:space="preserve"> the recording was extracted, </w:t>
      </w:r>
      <w:r w:rsidR="00A56992" w:rsidRPr="00CB3C55">
        <w:rPr>
          <w:rFonts w:ascii="Arial" w:hAnsi="Arial"/>
        </w:rPr>
        <w:t>to exclude</w:t>
      </w:r>
      <w:r w:rsidR="00EA0288" w:rsidRPr="00CB3C55">
        <w:rPr>
          <w:rFonts w:ascii="Arial" w:hAnsi="Arial"/>
        </w:rPr>
        <w:t xml:space="preserve"> any</w:t>
      </w:r>
      <w:r w:rsidR="00A56992" w:rsidRPr="00CB3C55">
        <w:rPr>
          <w:rFonts w:ascii="Arial" w:hAnsi="Arial"/>
        </w:rPr>
        <w:t xml:space="preserve"> interference</w:t>
      </w:r>
      <w:r w:rsidR="007361E3" w:rsidRPr="00CB3C55">
        <w:rPr>
          <w:rFonts w:ascii="Arial" w:hAnsi="Arial"/>
        </w:rPr>
        <w:t xml:space="preserve"> or manipulation</w:t>
      </w:r>
      <w:r w:rsidR="00A56992" w:rsidRPr="00CB3C55">
        <w:rPr>
          <w:rFonts w:ascii="Arial" w:hAnsi="Arial"/>
        </w:rPr>
        <w:t xml:space="preserve">, must be </w:t>
      </w:r>
      <w:r w:rsidR="00EA0288" w:rsidRPr="00CB3C55">
        <w:rPr>
          <w:rFonts w:ascii="Arial" w:hAnsi="Arial"/>
        </w:rPr>
        <w:t xml:space="preserve">placed before </w:t>
      </w:r>
      <w:r w:rsidR="00EA0288" w:rsidRPr="00CB3C55">
        <w:rPr>
          <w:rFonts w:ascii="Arial" w:hAnsi="Arial"/>
        </w:rPr>
        <w:lastRenderedPageBreak/>
        <w:t>court by the prosecution. This was, probably no</w:t>
      </w:r>
      <w:r w:rsidR="007361E3" w:rsidRPr="00CB3C55">
        <w:rPr>
          <w:rFonts w:ascii="Arial" w:hAnsi="Arial"/>
        </w:rPr>
        <w:t>t done due to</w:t>
      </w:r>
      <w:r w:rsidR="00A32AF4" w:rsidRPr="00CB3C55">
        <w:rPr>
          <w:rFonts w:ascii="Arial" w:hAnsi="Arial"/>
        </w:rPr>
        <w:t xml:space="preserve"> </w:t>
      </w:r>
      <w:r w:rsidR="009C734F" w:rsidRPr="00CB3C55">
        <w:rPr>
          <w:rFonts w:ascii="Arial" w:hAnsi="Arial"/>
        </w:rPr>
        <w:t>any</w:t>
      </w:r>
      <w:r w:rsidR="00A32AF4" w:rsidRPr="00CB3C55">
        <w:rPr>
          <w:rFonts w:ascii="Arial" w:hAnsi="Arial"/>
        </w:rPr>
        <w:t xml:space="preserve"> neglect</w:t>
      </w:r>
      <w:r w:rsidR="00EA0288" w:rsidRPr="00CB3C55">
        <w:rPr>
          <w:rFonts w:ascii="Arial" w:hAnsi="Arial"/>
        </w:rPr>
        <w:t xml:space="preserve"> </w:t>
      </w:r>
      <w:r w:rsidR="007361E3" w:rsidRPr="00CB3C55">
        <w:rPr>
          <w:rFonts w:ascii="Arial" w:hAnsi="Arial"/>
        </w:rPr>
        <w:t xml:space="preserve">or remissness </w:t>
      </w:r>
      <w:r w:rsidR="00EA0288" w:rsidRPr="00CB3C55">
        <w:rPr>
          <w:rFonts w:ascii="Arial" w:hAnsi="Arial"/>
        </w:rPr>
        <w:t>on the part of the prosecution but the conspiracy of death in</w:t>
      </w:r>
      <w:r w:rsidR="007361E3" w:rsidRPr="00CB3C55">
        <w:rPr>
          <w:rFonts w:ascii="Arial" w:hAnsi="Arial"/>
        </w:rPr>
        <w:t>tervened in</w:t>
      </w:r>
      <w:r w:rsidR="00EA0288" w:rsidRPr="00CB3C55">
        <w:rPr>
          <w:rFonts w:ascii="Arial" w:hAnsi="Arial"/>
        </w:rPr>
        <w:t xml:space="preserve"> the present matter.</w:t>
      </w:r>
    </w:p>
    <w:p w14:paraId="71ED6AF2" w14:textId="77777777" w:rsidR="005466F5" w:rsidRPr="007361E3" w:rsidRDefault="005466F5" w:rsidP="005466F5">
      <w:pPr>
        <w:pStyle w:val="ListParagraph"/>
        <w:spacing w:line="360" w:lineRule="auto"/>
        <w:ind w:left="0"/>
        <w:jc w:val="both"/>
        <w:rPr>
          <w:rFonts w:ascii="Arial" w:hAnsi="Arial"/>
        </w:rPr>
      </w:pPr>
    </w:p>
    <w:p w14:paraId="47452B61" w14:textId="3BEF518B" w:rsidR="007A1C7B" w:rsidRPr="00CB3C55" w:rsidRDefault="00CB3C55" w:rsidP="00CB3C55">
      <w:pPr>
        <w:spacing w:line="360" w:lineRule="auto"/>
        <w:jc w:val="both"/>
        <w:rPr>
          <w:rFonts w:ascii="Arial" w:hAnsi="Arial"/>
        </w:rPr>
      </w:pPr>
      <w:r>
        <w:rPr>
          <w:rFonts w:ascii="Arial" w:hAnsi="Arial"/>
        </w:rPr>
        <w:t>[40]</w:t>
      </w:r>
      <w:r>
        <w:rPr>
          <w:rFonts w:ascii="Arial" w:hAnsi="Arial"/>
        </w:rPr>
        <w:tab/>
      </w:r>
      <w:r w:rsidR="00A32AF4" w:rsidRPr="00CB3C55">
        <w:rPr>
          <w:rFonts w:ascii="Arial" w:hAnsi="Arial"/>
        </w:rPr>
        <w:t>I am of the considered view that the agreement by the parties, which culminated in the provisional acceptance of the exhibits, did not, in any manner, shape or form, relieve the State of the burden of proving the authenticity, reliability and accuracy of the exhibits. In my considered view, the agreement preceding the order was clear</w:t>
      </w:r>
      <w:r w:rsidR="00366A9B" w:rsidRPr="00CB3C55">
        <w:rPr>
          <w:rFonts w:ascii="Arial" w:hAnsi="Arial"/>
        </w:rPr>
        <w:t>. In that regard, the court, as quoted elsewhere above,</w:t>
      </w:r>
      <w:r w:rsidR="00A32AF4" w:rsidRPr="00CB3C55">
        <w:rPr>
          <w:rFonts w:ascii="Arial" w:hAnsi="Arial"/>
        </w:rPr>
        <w:t xml:space="preserve"> </w:t>
      </w:r>
      <w:r w:rsidR="00366A9B" w:rsidRPr="00CB3C55">
        <w:rPr>
          <w:rFonts w:ascii="Arial" w:hAnsi="Arial"/>
        </w:rPr>
        <w:t xml:space="preserve">stated that ‘the evidence will be admitted provisionally </w:t>
      </w:r>
      <w:r w:rsidR="00366A9B" w:rsidRPr="00CB3C55">
        <w:rPr>
          <w:rFonts w:ascii="Arial" w:hAnsi="Arial"/>
          <w:u w:val="single"/>
        </w:rPr>
        <w:t xml:space="preserve">subject to the accused persons’ legal representatives challenging the admissibility of that evidence.’ </w:t>
      </w:r>
      <w:r w:rsidR="00366A9B" w:rsidRPr="00CB3C55">
        <w:rPr>
          <w:rFonts w:ascii="Arial" w:hAnsi="Arial"/>
        </w:rPr>
        <w:t xml:space="preserve">What this meant is that the State was not, by the mere provisional admission of the exhibits, relieved of the burden which rests on it throughout a trial, namely </w:t>
      </w:r>
      <w:r w:rsidR="00F55430" w:rsidRPr="00CB3C55">
        <w:rPr>
          <w:rFonts w:ascii="Arial" w:hAnsi="Arial"/>
        </w:rPr>
        <w:t>of proving that the exhibits</w:t>
      </w:r>
      <w:r w:rsidR="007361E3" w:rsidRPr="00CB3C55">
        <w:rPr>
          <w:rFonts w:ascii="Arial" w:hAnsi="Arial"/>
        </w:rPr>
        <w:t xml:space="preserve"> sought to be introduced in evidence,</w:t>
      </w:r>
      <w:r w:rsidR="00F55430" w:rsidRPr="00CB3C55">
        <w:rPr>
          <w:rFonts w:ascii="Arial" w:hAnsi="Arial"/>
        </w:rPr>
        <w:t xml:space="preserve"> meet</w:t>
      </w:r>
      <w:r w:rsidR="00366A9B" w:rsidRPr="00CB3C55">
        <w:rPr>
          <w:rFonts w:ascii="Arial" w:hAnsi="Arial"/>
        </w:rPr>
        <w:t xml:space="preserve"> all the evidential standards </w:t>
      </w:r>
      <w:r w:rsidR="00F55430" w:rsidRPr="00CB3C55">
        <w:rPr>
          <w:rFonts w:ascii="Arial" w:hAnsi="Arial"/>
        </w:rPr>
        <w:t xml:space="preserve">of reliability, </w:t>
      </w:r>
      <w:proofErr w:type="gramStart"/>
      <w:r w:rsidR="00F55430" w:rsidRPr="00CB3C55">
        <w:rPr>
          <w:rFonts w:ascii="Arial" w:hAnsi="Arial"/>
        </w:rPr>
        <w:t>authenticity</w:t>
      </w:r>
      <w:proofErr w:type="gramEnd"/>
      <w:r w:rsidR="00F55430" w:rsidRPr="00CB3C55">
        <w:rPr>
          <w:rFonts w:ascii="Arial" w:hAnsi="Arial"/>
        </w:rPr>
        <w:t xml:space="preserve"> and accuracy</w:t>
      </w:r>
      <w:r w:rsidR="007361E3" w:rsidRPr="00CB3C55">
        <w:rPr>
          <w:rFonts w:ascii="Arial" w:hAnsi="Arial"/>
        </w:rPr>
        <w:t>.</w:t>
      </w:r>
    </w:p>
    <w:p w14:paraId="22BC3A4E" w14:textId="77777777" w:rsidR="007361E3" w:rsidRPr="007361E3" w:rsidRDefault="007361E3" w:rsidP="007361E3">
      <w:pPr>
        <w:pStyle w:val="ListParagraph"/>
        <w:spacing w:line="360" w:lineRule="auto"/>
        <w:ind w:left="0"/>
        <w:jc w:val="both"/>
        <w:rPr>
          <w:rFonts w:ascii="Arial" w:hAnsi="Arial"/>
        </w:rPr>
      </w:pPr>
    </w:p>
    <w:p w14:paraId="7CA9DEE4" w14:textId="47FAD650" w:rsidR="007A1C7B" w:rsidRPr="00CB3C55" w:rsidRDefault="00CB3C55" w:rsidP="00CB3C55">
      <w:pPr>
        <w:spacing w:line="360" w:lineRule="auto"/>
        <w:jc w:val="both"/>
        <w:rPr>
          <w:rFonts w:ascii="Arial" w:hAnsi="Arial"/>
        </w:rPr>
      </w:pPr>
      <w:r>
        <w:rPr>
          <w:rFonts w:ascii="Arial" w:hAnsi="Arial"/>
        </w:rPr>
        <w:t>[41]</w:t>
      </w:r>
      <w:r>
        <w:rPr>
          <w:rFonts w:ascii="Arial" w:hAnsi="Arial"/>
        </w:rPr>
        <w:tab/>
      </w:r>
      <w:r w:rsidR="00F55430" w:rsidRPr="00CB3C55">
        <w:rPr>
          <w:rFonts w:ascii="Arial" w:hAnsi="Arial"/>
        </w:rPr>
        <w:t>In the premises</w:t>
      </w:r>
      <w:r w:rsidR="00CE13C0" w:rsidRPr="00CB3C55">
        <w:rPr>
          <w:rFonts w:ascii="Arial" w:hAnsi="Arial"/>
        </w:rPr>
        <w:t>, I am of the considered view that the provisions of Art 12(1)(</w:t>
      </w:r>
      <w:r w:rsidR="00CE13C0" w:rsidRPr="00CB3C55">
        <w:rPr>
          <w:rFonts w:ascii="Arial" w:hAnsi="Arial"/>
          <w:i/>
        </w:rPr>
        <w:t>d</w:t>
      </w:r>
      <w:r w:rsidR="00CE13C0" w:rsidRPr="00CB3C55">
        <w:rPr>
          <w:rFonts w:ascii="Arial" w:hAnsi="Arial"/>
        </w:rPr>
        <w:t>), are implicated. That article deal</w:t>
      </w:r>
      <w:r w:rsidR="007361E3" w:rsidRPr="00CB3C55">
        <w:rPr>
          <w:rFonts w:ascii="Arial" w:hAnsi="Arial"/>
        </w:rPr>
        <w:t>s</w:t>
      </w:r>
      <w:r w:rsidR="00CE13C0" w:rsidRPr="00CB3C55">
        <w:rPr>
          <w:rFonts w:ascii="Arial" w:hAnsi="Arial"/>
        </w:rPr>
        <w:t xml:space="preserve"> with fair trial rights and provides that </w:t>
      </w:r>
      <w:r w:rsidR="00D2799D" w:rsidRPr="00CB3C55">
        <w:rPr>
          <w:rFonts w:ascii="Arial" w:hAnsi="Arial"/>
        </w:rPr>
        <w:t xml:space="preserve">‘All persons charged with an offence shall be presumed innocent until proven </w:t>
      </w:r>
      <w:r w:rsidR="009C734F" w:rsidRPr="00CB3C55">
        <w:rPr>
          <w:rFonts w:ascii="Arial" w:hAnsi="Arial"/>
        </w:rPr>
        <w:t>guilty according</w:t>
      </w:r>
      <w:r w:rsidR="00D2799D" w:rsidRPr="00CB3C55">
        <w:rPr>
          <w:rFonts w:ascii="Arial" w:hAnsi="Arial"/>
        </w:rPr>
        <w:t xml:space="preserve"> to law, after having had the opportunity of calling witnesses and cross-examining those called against them.’ </w:t>
      </w:r>
    </w:p>
    <w:p w14:paraId="6514D177" w14:textId="77777777" w:rsidR="007A1C7B" w:rsidRDefault="007A1C7B" w:rsidP="007A1C7B">
      <w:pPr>
        <w:pStyle w:val="ListParagraph"/>
        <w:spacing w:line="360" w:lineRule="auto"/>
        <w:ind w:left="0"/>
        <w:jc w:val="both"/>
        <w:rPr>
          <w:rFonts w:ascii="Arial" w:hAnsi="Arial"/>
        </w:rPr>
      </w:pPr>
    </w:p>
    <w:p w14:paraId="021DD678" w14:textId="4F0862BE" w:rsidR="007A1C7B" w:rsidRPr="00CB3C55" w:rsidRDefault="00CB3C55" w:rsidP="00CB3C55">
      <w:pPr>
        <w:spacing w:line="360" w:lineRule="auto"/>
        <w:jc w:val="both"/>
        <w:rPr>
          <w:rFonts w:ascii="Arial" w:hAnsi="Arial"/>
        </w:rPr>
      </w:pPr>
      <w:r>
        <w:rPr>
          <w:rFonts w:ascii="Arial" w:hAnsi="Arial"/>
        </w:rPr>
        <w:t>[42]</w:t>
      </w:r>
      <w:r>
        <w:rPr>
          <w:rFonts w:ascii="Arial" w:hAnsi="Arial"/>
        </w:rPr>
        <w:tab/>
      </w:r>
      <w:proofErr w:type="gramStart"/>
      <w:r w:rsidR="00D2799D" w:rsidRPr="00CB3C55">
        <w:rPr>
          <w:rFonts w:ascii="Arial" w:hAnsi="Arial"/>
        </w:rPr>
        <w:t>It is clear that if</w:t>
      </w:r>
      <w:proofErr w:type="gramEnd"/>
      <w:r w:rsidR="00D2799D" w:rsidRPr="00CB3C55">
        <w:rPr>
          <w:rFonts w:ascii="Arial" w:hAnsi="Arial"/>
        </w:rPr>
        <w:t xml:space="preserve"> the exhibits were to be finally admitted in evidence in this matter,</w:t>
      </w:r>
      <w:r w:rsidR="007361E3" w:rsidRPr="00CB3C55">
        <w:rPr>
          <w:rFonts w:ascii="Arial" w:hAnsi="Arial"/>
        </w:rPr>
        <w:t xml:space="preserve"> in the present circumstances,</w:t>
      </w:r>
      <w:r w:rsidR="00D2799D" w:rsidRPr="00CB3C55">
        <w:rPr>
          <w:rFonts w:ascii="Arial" w:hAnsi="Arial"/>
        </w:rPr>
        <w:t xml:space="preserve"> the accused persons’ fair trial rights would have been infringed because Dr Ludik’s evidence, which is c</w:t>
      </w:r>
      <w:r w:rsidR="007361E3" w:rsidRPr="00CB3C55">
        <w:rPr>
          <w:rFonts w:ascii="Arial" w:hAnsi="Arial"/>
        </w:rPr>
        <w:t>rucial, would not have been led. As a result, the accused would not be afforded</w:t>
      </w:r>
      <w:r w:rsidR="00D2799D" w:rsidRPr="00CB3C55">
        <w:rPr>
          <w:rFonts w:ascii="Arial" w:hAnsi="Arial"/>
        </w:rPr>
        <w:t xml:space="preserve"> the right cross-examine him on the exhibits and other issues that he might have been minded </w:t>
      </w:r>
      <w:r w:rsidR="00761C3C" w:rsidRPr="00CB3C55">
        <w:rPr>
          <w:rFonts w:ascii="Arial" w:hAnsi="Arial"/>
        </w:rPr>
        <w:t xml:space="preserve">or prompted </w:t>
      </w:r>
      <w:r w:rsidR="00D2799D" w:rsidRPr="00CB3C55">
        <w:rPr>
          <w:rFonts w:ascii="Arial" w:hAnsi="Arial"/>
        </w:rPr>
        <w:t>to raise in his evidence.</w:t>
      </w:r>
    </w:p>
    <w:p w14:paraId="5DE7B9B8" w14:textId="77777777" w:rsidR="007A1C7B" w:rsidRDefault="007A1C7B" w:rsidP="007A1C7B">
      <w:pPr>
        <w:pStyle w:val="ListParagraph"/>
        <w:spacing w:line="360" w:lineRule="auto"/>
        <w:ind w:left="0"/>
        <w:jc w:val="both"/>
        <w:rPr>
          <w:rFonts w:ascii="Arial" w:hAnsi="Arial"/>
        </w:rPr>
      </w:pPr>
    </w:p>
    <w:p w14:paraId="52575AB9" w14:textId="77777777" w:rsidR="007A1C7B" w:rsidRDefault="007A1C7B" w:rsidP="007A1C7B">
      <w:pPr>
        <w:spacing w:line="360" w:lineRule="auto"/>
        <w:jc w:val="both"/>
        <w:rPr>
          <w:rFonts w:ascii="Arial" w:hAnsi="Arial"/>
          <w:u w:val="single"/>
        </w:rPr>
      </w:pPr>
      <w:r>
        <w:rPr>
          <w:rFonts w:ascii="Arial" w:hAnsi="Arial"/>
          <w:u w:val="single"/>
        </w:rPr>
        <w:t>Conclusion</w:t>
      </w:r>
    </w:p>
    <w:p w14:paraId="1DCCBC0F" w14:textId="77777777" w:rsidR="007A1C7B" w:rsidRDefault="007A1C7B" w:rsidP="007A1C7B">
      <w:pPr>
        <w:pStyle w:val="ListParagraph"/>
        <w:spacing w:line="360" w:lineRule="auto"/>
        <w:ind w:left="0"/>
        <w:jc w:val="both"/>
        <w:rPr>
          <w:rFonts w:ascii="Arial" w:hAnsi="Arial"/>
        </w:rPr>
      </w:pPr>
    </w:p>
    <w:p w14:paraId="4B849B32" w14:textId="0E9183A0" w:rsidR="003454BD" w:rsidRPr="00CB3C55" w:rsidRDefault="00CB3C55" w:rsidP="00CB3C55">
      <w:pPr>
        <w:spacing w:line="360" w:lineRule="auto"/>
        <w:jc w:val="both"/>
        <w:rPr>
          <w:rFonts w:ascii="Arial" w:hAnsi="Arial"/>
        </w:rPr>
      </w:pPr>
      <w:r w:rsidRPr="00761C3C">
        <w:rPr>
          <w:rFonts w:ascii="Arial" w:hAnsi="Arial"/>
        </w:rPr>
        <w:t>[43]</w:t>
      </w:r>
      <w:r w:rsidRPr="00761C3C">
        <w:rPr>
          <w:rFonts w:ascii="Arial" w:hAnsi="Arial"/>
        </w:rPr>
        <w:tab/>
      </w:r>
      <w:r w:rsidR="00A21818" w:rsidRPr="00CB3C55">
        <w:rPr>
          <w:rFonts w:ascii="Arial" w:hAnsi="Arial"/>
        </w:rPr>
        <w:t xml:space="preserve">In the premises, I am of the considered view that the application for the admission of the exhibits in question in evidence, must for the reasons stated above, be refused. As stated earlier, there is no fault that should be attributed </w:t>
      </w:r>
      <w:r w:rsidR="00761C3C" w:rsidRPr="00CB3C55">
        <w:rPr>
          <w:rFonts w:ascii="Arial" w:hAnsi="Arial"/>
        </w:rPr>
        <w:lastRenderedPageBreak/>
        <w:t xml:space="preserve">to the State. </w:t>
      </w:r>
      <w:proofErr w:type="gramStart"/>
      <w:r w:rsidR="00DB41E5" w:rsidRPr="00CB3C55">
        <w:rPr>
          <w:rFonts w:ascii="Arial" w:hAnsi="Arial"/>
        </w:rPr>
        <w:t>The death of Dr Ludik</w:t>
      </w:r>
      <w:r w:rsidR="00761C3C" w:rsidRPr="00CB3C55">
        <w:rPr>
          <w:rFonts w:ascii="Arial" w:hAnsi="Arial"/>
        </w:rPr>
        <w:t>,</w:t>
      </w:r>
      <w:proofErr w:type="gramEnd"/>
      <w:r w:rsidR="00DB41E5" w:rsidRPr="00CB3C55">
        <w:rPr>
          <w:rFonts w:ascii="Arial" w:hAnsi="Arial"/>
        </w:rPr>
        <w:t xml:space="preserve"> is the one that has unfortunately led to this result at this juncture. I cannot foretell </w:t>
      </w:r>
      <w:r w:rsidR="00761C3C" w:rsidRPr="00CB3C55">
        <w:rPr>
          <w:rFonts w:ascii="Arial" w:hAnsi="Arial"/>
        </w:rPr>
        <w:t xml:space="preserve">and need not, </w:t>
      </w:r>
      <w:r w:rsidR="00DB41E5" w:rsidRPr="00CB3C55">
        <w:rPr>
          <w:rFonts w:ascii="Arial" w:hAnsi="Arial"/>
        </w:rPr>
        <w:t xml:space="preserve">whether the outcome </w:t>
      </w:r>
      <w:r w:rsidR="00761C3C" w:rsidRPr="00CB3C55">
        <w:rPr>
          <w:rFonts w:ascii="Arial" w:hAnsi="Arial"/>
        </w:rPr>
        <w:t>would have been different had Dr Ludik</w:t>
      </w:r>
      <w:r w:rsidR="00DB41E5" w:rsidRPr="00CB3C55">
        <w:rPr>
          <w:rFonts w:ascii="Arial" w:hAnsi="Arial"/>
        </w:rPr>
        <w:t xml:space="preserve"> been called. The court would in that event, at least have had an opportunity to hear his evidence and make proper judgment call thereon.</w:t>
      </w:r>
    </w:p>
    <w:p w14:paraId="3942B9A9" w14:textId="77777777" w:rsidR="003454BD" w:rsidRDefault="003454BD" w:rsidP="007A1C7B">
      <w:pPr>
        <w:pStyle w:val="ListParagraph"/>
        <w:spacing w:line="360" w:lineRule="auto"/>
        <w:ind w:left="0"/>
        <w:jc w:val="both"/>
        <w:rPr>
          <w:rFonts w:ascii="Arial" w:hAnsi="Arial"/>
        </w:rPr>
      </w:pPr>
    </w:p>
    <w:p w14:paraId="49C3646A" w14:textId="77777777" w:rsidR="007A1C7B" w:rsidRDefault="007A1C7B" w:rsidP="007A1C7B">
      <w:pPr>
        <w:spacing w:line="360" w:lineRule="auto"/>
        <w:jc w:val="both"/>
        <w:rPr>
          <w:rFonts w:ascii="Arial" w:hAnsi="Arial"/>
          <w:u w:val="single"/>
        </w:rPr>
      </w:pPr>
      <w:r>
        <w:rPr>
          <w:rFonts w:ascii="Arial" w:hAnsi="Arial"/>
          <w:u w:val="single"/>
        </w:rPr>
        <w:t>Order</w:t>
      </w:r>
    </w:p>
    <w:p w14:paraId="31DEC1F3" w14:textId="77777777" w:rsidR="007A1C7B" w:rsidRDefault="007A1C7B" w:rsidP="007A1C7B">
      <w:pPr>
        <w:pStyle w:val="ListParagraph"/>
        <w:spacing w:line="360" w:lineRule="auto"/>
        <w:ind w:left="0"/>
        <w:jc w:val="both"/>
        <w:rPr>
          <w:rFonts w:ascii="Arial" w:hAnsi="Arial"/>
        </w:rPr>
      </w:pPr>
    </w:p>
    <w:p w14:paraId="15D4E6A0" w14:textId="4E4B1410" w:rsidR="00DB41E5" w:rsidRPr="00CB3C55" w:rsidRDefault="00CB3C55" w:rsidP="00CB3C55">
      <w:pPr>
        <w:spacing w:line="360" w:lineRule="auto"/>
        <w:jc w:val="both"/>
        <w:rPr>
          <w:rFonts w:ascii="Arial" w:hAnsi="Arial"/>
        </w:rPr>
      </w:pPr>
      <w:r w:rsidRPr="007A1C7B">
        <w:rPr>
          <w:rFonts w:ascii="Arial" w:hAnsi="Arial"/>
        </w:rPr>
        <w:t>[44]</w:t>
      </w:r>
      <w:r w:rsidRPr="007A1C7B">
        <w:rPr>
          <w:rFonts w:ascii="Arial" w:hAnsi="Arial"/>
        </w:rPr>
        <w:tab/>
      </w:r>
      <w:r w:rsidR="00DB41E5" w:rsidRPr="00CB3C55">
        <w:rPr>
          <w:rFonts w:ascii="Arial" w:hAnsi="Arial"/>
        </w:rPr>
        <w:t>In the premises, the following order is issued:</w:t>
      </w:r>
    </w:p>
    <w:p w14:paraId="5765BA3C" w14:textId="77777777" w:rsidR="00DB41E5" w:rsidRDefault="00DB41E5" w:rsidP="00D31783">
      <w:pPr>
        <w:spacing w:line="360" w:lineRule="auto"/>
        <w:jc w:val="both"/>
        <w:rPr>
          <w:rFonts w:ascii="Arial" w:hAnsi="Arial"/>
        </w:rPr>
      </w:pPr>
    </w:p>
    <w:p w14:paraId="3851F1AB" w14:textId="529F1E9E" w:rsidR="00BF6DDD" w:rsidRPr="00CB3C55" w:rsidRDefault="00CB3C55" w:rsidP="00CB3C55">
      <w:pPr>
        <w:spacing w:line="360" w:lineRule="auto"/>
        <w:ind w:left="720" w:hanging="360"/>
        <w:jc w:val="both"/>
        <w:rPr>
          <w:rFonts w:ascii="Arial" w:hAnsi="Arial"/>
        </w:rPr>
      </w:pPr>
      <w:r>
        <w:rPr>
          <w:rFonts w:ascii="Arial" w:hAnsi="Arial"/>
        </w:rPr>
        <w:t>1.</w:t>
      </w:r>
      <w:r>
        <w:rPr>
          <w:rFonts w:ascii="Arial" w:hAnsi="Arial"/>
        </w:rPr>
        <w:tab/>
      </w:r>
      <w:r w:rsidR="00BF6DDD" w:rsidRPr="00CB3C55">
        <w:rPr>
          <w:rFonts w:ascii="Arial" w:hAnsi="Arial"/>
        </w:rPr>
        <w:t>The application by the State for the admission of Exhibit ‘1’ and Exhibit ‘A’, provisionally so marked, as evidence, is hereby refused.</w:t>
      </w:r>
    </w:p>
    <w:p w14:paraId="3AB0F341" w14:textId="5BA0DB3C" w:rsidR="00BF6DDD" w:rsidRPr="00CB3C55" w:rsidRDefault="00CB3C55" w:rsidP="00CB3C55">
      <w:pPr>
        <w:spacing w:line="360" w:lineRule="auto"/>
        <w:ind w:left="720" w:hanging="360"/>
        <w:jc w:val="both"/>
        <w:rPr>
          <w:rFonts w:ascii="Arial" w:hAnsi="Arial"/>
        </w:rPr>
      </w:pPr>
      <w:r w:rsidRPr="00DB41E5">
        <w:rPr>
          <w:rFonts w:ascii="Arial" w:hAnsi="Arial"/>
        </w:rPr>
        <w:t>2.</w:t>
      </w:r>
      <w:r w:rsidRPr="00DB41E5">
        <w:rPr>
          <w:rFonts w:ascii="Arial" w:hAnsi="Arial"/>
        </w:rPr>
        <w:tab/>
      </w:r>
      <w:r w:rsidR="00BF6DDD" w:rsidRPr="00CB3C55">
        <w:rPr>
          <w:rFonts w:ascii="Arial" w:hAnsi="Arial"/>
        </w:rPr>
        <w:t xml:space="preserve">A warrant of arrest for the apprehension of the second accused Ms Sara </w:t>
      </w:r>
      <w:proofErr w:type="spellStart"/>
      <w:r w:rsidR="00BF6DDD" w:rsidRPr="00CB3C55">
        <w:rPr>
          <w:rFonts w:ascii="Arial" w:hAnsi="Arial"/>
        </w:rPr>
        <w:t>Ngenohandi</w:t>
      </w:r>
      <w:proofErr w:type="spellEnd"/>
      <w:r w:rsidR="00BF6DDD" w:rsidRPr="00CB3C55">
        <w:rPr>
          <w:rFonts w:ascii="Arial" w:hAnsi="Arial"/>
        </w:rPr>
        <w:t xml:space="preserve"> </w:t>
      </w:r>
      <w:proofErr w:type="spellStart"/>
      <w:r w:rsidR="00BF6DDD" w:rsidRPr="00CB3C55">
        <w:rPr>
          <w:rFonts w:ascii="Arial" w:hAnsi="Arial"/>
        </w:rPr>
        <w:t>Damases</w:t>
      </w:r>
      <w:proofErr w:type="spellEnd"/>
      <w:r w:rsidR="00BF6DDD" w:rsidRPr="00CB3C55">
        <w:rPr>
          <w:rFonts w:ascii="Arial" w:hAnsi="Arial"/>
        </w:rPr>
        <w:t xml:space="preserve"> is hereby issued and stood over to </w:t>
      </w:r>
      <w:r w:rsidR="00BF6DDD" w:rsidRPr="00CB3C55">
        <w:rPr>
          <w:rFonts w:ascii="Arial" w:hAnsi="Arial"/>
          <w:b/>
        </w:rPr>
        <w:t>21 September 2023</w:t>
      </w:r>
      <w:r w:rsidR="00BF6DDD" w:rsidRPr="00CB3C55">
        <w:rPr>
          <w:rFonts w:ascii="Arial" w:hAnsi="Arial"/>
        </w:rPr>
        <w:t xml:space="preserve"> at </w:t>
      </w:r>
      <w:r w:rsidR="00BF6DDD" w:rsidRPr="00CB3C55">
        <w:rPr>
          <w:rFonts w:ascii="Arial" w:hAnsi="Arial"/>
          <w:b/>
        </w:rPr>
        <w:t>8h30</w:t>
      </w:r>
      <w:r w:rsidR="00BF6DDD" w:rsidRPr="00CB3C55">
        <w:rPr>
          <w:rFonts w:ascii="Arial" w:hAnsi="Arial"/>
        </w:rPr>
        <w:t xml:space="preserve"> for the said accused to explain her non-appearance on the date hereof.</w:t>
      </w:r>
    </w:p>
    <w:p w14:paraId="3170DF0E" w14:textId="64699B4C" w:rsidR="00BF6DDD" w:rsidRPr="00CB3C55" w:rsidRDefault="00CB3C55" w:rsidP="00CB3C55">
      <w:pPr>
        <w:spacing w:line="360" w:lineRule="auto"/>
        <w:ind w:left="720" w:hanging="360"/>
        <w:jc w:val="both"/>
        <w:rPr>
          <w:rFonts w:ascii="Arial" w:hAnsi="Arial"/>
        </w:rPr>
      </w:pPr>
      <w:r w:rsidRPr="003454BD">
        <w:rPr>
          <w:rFonts w:ascii="Arial" w:hAnsi="Arial"/>
        </w:rPr>
        <w:t>3.</w:t>
      </w:r>
      <w:r w:rsidRPr="003454BD">
        <w:rPr>
          <w:rFonts w:ascii="Arial" w:hAnsi="Arial"/>
        </w:rPr>
        <w:tab/>
      </w:r>
      <w:r w:rsidR="00BF6DDD" w:rsidRPr="00CB3C55">
        <w:rPr>
          <w:rFonts w:ascii="Arial" w:hAnsi="Arial"/>
        </w:rPr>
        <w:t xml:space="preserve">The matter is postponed to </w:t>
      </w:r>
      <w:r w:rsidR="00BF6DDD" w:rsidRPr="00CB3C55">
        <w:rPr>
          <w:rFonts w:ascii="Arial" w:hAnsi="Arial"/>
          <w:b/>
        </w:rPr>
        <w:t>21 September 2023</w:t>
      </w:r>
      <w:r w:rsidR="00BF6DDD" w:rsidRPr="00CB3C55">
        <w:rPr>
          <w:rFonts w:ascii="Arial" w:hAnsi="Arial"/>
        </w:rPr>
        <w:t xml:space="preserve"> at </w:t>
      </w:r>
      <w:r w:rsidR="00BF6DDD" w:rsidRPr="00CB3C55">
        <w:rPr>
          <w:rFonts w:ascii="Arial" w:hAnsi="Arial"/>
          <w:b/>
        </w:rPr>
        <w:t>8h30</w:t>
      </w:r>
      <w:r w:rsidR="00BF6DDD" w:rsidRPr="00CB3C55">
        <w:rPr>
          <w:rFonts w:ascii="Arial" w:hAnsi="Arial"/>
        </w:rPr>
        <w:t xml:space="preserve"> for directions regarding the continuation of trial.</w:t>
      </w:r>
    </w:p>
    <w:p w14:paraId="4FD962D5" w14:textId="77777777" w:rsidR="003454BD" w:rsidRDefault="003454BD" w:rsidP="00A54812">
      <w:pPr>
        <w:spacing w:line="360" w:lineRule="auto"/>
        <w:jc w:val="right"/>
        <w:rPr>
          <w:rFonts w:ascii="Arial" w:hAnsi="Arial" w:cs="Arial"/>
        </w:rPr>
      </w:pPr>
    </w:p>
    <w:p w14:paraId="61B1686F" w14:textId="77777777" w:rsidR="003454BD" w:rsidRDefault="003454BD" w:rsidP="00A54812">
      <w:pPr>
        <w:spacing w:line="360" w:lineRule="auto"/>
        <w:jc w:val="right"/>
        <w:rPr>
          <w:rFonts w:ascii="Arial" w:hAnsi="Arial" w:cs="Arial"/>
        </w:rPr>
      </w:pPr>
    </w:p>
    <w:p w14:paraId="5B2E9E27" w14:textId="77777777" w:rsidR="00A54812" w:rsidRPr="00C7237B" w:rsidRDefault="00A54812" w:rsidP="00A54812">
      <w:pPr>
        <w:spacing w:line="360" w:lineRule="auto"/>
        <w:jc w:val="right"/>
        <w:rPr>
          <w:rFonts w:ascii="Arial" w:hAnsi="Arial" w:cs="Arial"/>
        </w:rPr>
      </w:pPr>
      <w:r w:rsidRPr="00C7237B">
        <w:rPr>
          <w:rFonts w:ascii="Arial" w:hAnsi="Arial" w:cs="Arial"/>
        </w:rPr>
        <w:t>___________</w:t>
      </w:r>
    </w:p>
    <w:p w14:paraId="267622CC" w14:textId="77777777" w:rsidR="00A54812" w:rsidRPr="00C7237B" w:rsidRDefault="00A54812" w:rsidP="00A54812">
      <w:pPr>
        <w:spacing w:line="360" w:lineRule="auto"/>
        <w:jc w:val="right"/>
        <w:rPr>
          <w:rFonts w:ascii="Arial" w:hAnsi="Arial" w:cs="Arial"/>
        </w:rPr>
      </w:pPr>
      <w:r>
        <w:rPr>
          <w:rFonts w:ascii="Arial" w:hAnsi="Arial" w:cs="Arial"/>
        </w:rPr>
        <w:t xml:space="preserve">T </w:t>
      </w:r>
      <w:r w:rsidRPr="00C7237B">
        <w:rPr>
          <w:rFonts w:ascii="Arial" w:hAnsi="Arial" w:cs="Arial"/>
        </w:rPr>
        <w:t>S M</w:t>
      </w:r>
      <w:r>
        <w:rPr>
          <w:rFonts w:ascii="Arial" w:hAnsi="Arial" w:cs="Arial"/>
        </w:rPr>
        <w:t>ASUKU</w:t>
      </w:r>
    </w:p>
    <w:p w14:paraId="1D21C3C7" w14:textId="77777777" w:rsidR="00A54812" w:rsidRDefault="00A54812" w:rsidP="00A54812">
      <w:pPr>
        <w:tabs>
          <w:tab w:val="left" w:pos="996"/>
          <w:tab w:val="right" w:pos="9360"/>
        </w:tabs>
        <w:spacing w:line="360" w:lineRule="auto"/>
        <w:jc w:val="right"/>
        <w:rPr>
          <w:rFonts w:ascii="Arial" w:hAnsi="Arial" w:cs="Arial"/>
        </w:rPr>
      </w:pPr>
      <w:r w:rsidRPr="00C7237B">
        <w:rPr>
          <w:rFonts w:ascii="Arial" w:hAnsi="Arial" w:cs="Arial"/>
        </w:rPr>
        <w:t>Judge</w:t>
      </w:r>
    </w:p>
    <w:p w14:paraId="7B392ADF" w14:textId="6A11A459" w:rsidR="00A54812" w:rsidRDefault="00A54812">
      <w:pPr>
        <w:rPr>
          <w:rFonts w:ascii="Arial" w:hAnsi="Arial"/>
        </w:rPr>
      </w:pPr>
      <w:r>
        <w:rPr>
          <w:rFonts w:ascii="Arial" w:hAnsi="Arial"/>
        </w:rPr>
        <w:br w:type="page"/>
      </w:r>
    </w:p>
    <w:p w14:paraId="66C0FDAB" w14:textId="77777777" w:rsidR="00A54812" w:rsidRDefault="00A54812" w:rsidP="00A54812">
      <w:pPr>
        <w:spacing w:line="360" w:lineRule="auto"/>
        <w:jc w:val="both"/>
        <w:rPr>
          <w:rFonts w:ascii="Arial" w:hAnsi="Arial" w:cs="Arial"/>
        </w:rPr>
      </w:pPr>
      <w:r>
        <w:rPr>
          <w:rFonts w:ascii="Arial" w:hAnsi="Arial" w:cs="Arial"/>
        </w:rPr>
        <w:lastRenderedPageBreak/>
        <w:t>APPEARANCES</w:t>
      </w:r>
    </w:p>
    <w:p w14:paraId="14D07DCA" w14:textId="77777777" w:rsidR="00A54812" w:rsidRDefault="00A54812" w:rsidP="00A54812">
      <w:pPr>
        <w:tabs>
          <w:tab w:val="left" w:pos="3960"/>
        </w:tabs>
        <w:spacing w:line="360" w:lineRule="auto"/>
        <w:rPr>
          <w:rFonts w:ascii="Arial" w:hAnsi="Arial" w:cs="Arial"/>
        </w:rPr>
      </w:pPr>
    </w:p>
    <w:p w14:paraId="1D765ABE" w14:textId="77777777" w:rsidR="00A54812" w:rsidRDefault="00A54812" w:rsidP="00A54812">
      <w:pPr>
        <w:tabs>
          <w:tab w:val="left" w:pos="2835"/>
        </w:tabs>
        <w:spacing w:line="360" w:lineRule="auto"/>
        <w:rPr>
          <w:rFonts w:ascii="Arial" w:hAnsi="Arial" w:cs="Arial"/>
        </w:rPr>
      </w:pPr>
      <w:r>
        <w:rPr>
          <w:rFonts w:ascii="Arial" w:hAnsi="Arial" w:cs="Arial"/>
        </w:rPr>
        <w:t>STATE:</w:t>
      </w:r>
      <w:r>
        <w:rPr>
          <w:rFonts w:ascii="Arial" w:hAnsi="Arial" w:cs="Arial"/>
        </w:rPr>
        <w:tab/>
        <w:t xml:space="preserve">E. E. </w:t>
      </w:r>
      <w:proofErr w:type="spellStart"/>
      <w:r>
        <w:rPr>
          <w:rFonts w:ascii="Arial" w:hAnsi="Arial" w:cs="Arial"/>
        </w:rPr>
        <w:t>Marondedze</w:t>
      </w:r>
      <w:proofErr w:type="spellEnd"/>
    </w:p>
    <w:p w14:paraId="6083F2E1" w14:textId="0013855C" w:rsidR="00A54812" w:rsidRPr="00A74AEE" w:rsidRDefault="00A54812" w:rsidP="00A54812">
      <w:pPr>
        <w:tabs>
          <w:tab w:val="left" w:pos="2835"/>
        </w:tabs>
        <w:spacing w:line="360" w:lineRule="auto"/>
        <w:rPr>
          <w:rFonts w:ascii="Arial" w:hAnsi="Arial" w:cs="Arial"/>
        </w:rPr>
      </w:pPr>
      <w:r>
        <w:rPr>
          <w:rFonts w:ascii="Arial" w:hAnsi="Arial" w:cs="Arial"/>
        </w:rPr>
        <w:tab/>
        <w:t>Of Office of the Prosecutor-General</w:t>
      </w:r>
    </w:p>
    <w:p w14:paraId="410982FF" w14:textId="77777777" w:rsidR="00A54812" w:rsidRPr="00A74AEE" w:rsidRDefault="00A54812" w:rsidP="00A54812">
      <w:pPr>
        <w:autoSpaceDE w:val="0"/>
        <w:autoSpaceDN w:val="0"/>
        <w:adjustRightInd w:val="0"/>
        <w:spacing w:line="360" w:lineRule="auto"/>
        <w:ind w:left="3960"/>
        <w:rPr>
          <w:rFonts w:ascii="Arial" w:hAnsi="Arial" w:cs="Arial"/>
        </w:rPr>
      </w:pPr>
    </w:p>
    <w:p w14:paraId="24F341A3" w14:textId="663FE378" w:rsidR="00A54812" w:rsidRPr="00A74AEE" w:rsidRDefault="00A54812" w:rsidP="00A54812">
      <w:pPr>
        <w:spacing w:line="360" w:lineRule="auto"/>
        <w:rPr>
          <w:rFonts w:ascii="Arial" w:hAnsi="Arial" w:cs="Arial"/>
        </w:rPr>
      </w:pPr>
      <w:r>
        <w:rPr>
          <w:rFonts w:ascii="Arial" w:hAnsi="Arial" w:cs="Arial"/>
        </w:rPr>
        <w:t>ACCUSED 1:</w:t>
      </w:r>
      <w:r>
        <w:rPr>
          <w:rFonts w:ascii="Arial" w:hAnsi="Arial" w:cs="Arial"/>
        </w:rPr>
        <w:tab/>
      </w:r>
      <w:r>
        <w:rPr>
          <w:rFonts w:ascii="Arial" w:hAnsi="Arial" w:cs="Arial"/>
        </w:rPr>
        <w:tab/>
        <w:t>V Soni SC</w:t>
      </w:r>
      <w:r w:rsidR="001A5E7C">
        <w:rPr>
          <w:rFonts w:ascii="Arial" w:hAnsi="Arial" w:cs="Arial"/>
        </w:rPr>
        <w:t xml:space="preserve"> Assisted by S. </w:t>
      </w:r>
      <w:proofErr w:type="spellStart"/>
      <w:r w:rsidR="001A5E7C">
        <w:rPr>
          <w:rFonts w:ascii="Arial" w:hAnsi="Arial" w:cs="Arial"/>
        </w:rPr>
        <w:t>Makando</w:t>
      </w:r>
      <w:proofErr w:type="spellEnd"/>
    </w:p>
    <w:p w14:paraId="15674991" w14:textId="4F292FF5" w:rsidR="00A54812" w:rsidRDefault="00A54812" w:rsidP="00A54812">
      <w:pPr>
        <w:autoSpaceDE w:val="0"/>
        <w:autoSpaceDN w:val="0"/>
        <w:adjustRightInd w:val="0"/>
        <w:spacing w:line="360" w:lineRule="auto"/>
        <w:rPr>
          <w:rFonts w:ascii="Arial" w:hAnsi="Arial" w:cs="Arial"/>
        </w:rPr>
      </w:pPr>
      <w:r>
        <w:rPr>
          <w:rFonts w:ascii="Arial" w:hAnsi="Arial" w:cs="Arial"/>
        </w:rPr>
        <w:t xml:space="preserve">Instructed by: </w:t>
      </w:r>
      <w:r>
        <w:rPr>
          <w:rFonts w:ascii="Arial" w:hAnsi="Arial" w:cs="Arial"/>
        </w:rPr>
        <w:tab/>
      </w:r>
      <w:r>
        <w:rPr>
          <w:rFonts w:ascii="Arial" w:hAnsi="Arial" w:cs="Arial"/>
        </w:rPr>
        <w:tab/>
        <w:t xml:space="preserve">Conradie &amp; </w:t>
      </w:r>
      <w:proofErr w:type="spellStart"/>
      <w:r>
        <w:rPr>
          <w:rFonts w:ascii="Arial" w:hAnsi="Arial" w:cs="Arial"/>
        </w:rPr>
        <w:t>Damaseb</w:t>
      </w:r>
      <w:proofErr w:type="spellEnd"/>
      <w:r>
        <w:rPr>
          <w:rFonts w:ascii="Arial" w:hAnsi="Arial" w:cs="Arial"/>
        </w:rPr>
        <w:t xml:space="preserve"> Legal Practitioners</w:t>
      </w:r>
    </w:p>
    <w:p w14:paraId="4DD7E0EA" w14:textId="77777777" w:rsidR="00A54812" w:rsidRDefault="00A54812" w:rsidP="00A54812">
      <w:pPr>
        <w:autoSpaceDE w:val="0"/>
        <w:autoSpaceDN w:val="0"/>
        <w:adjustRightInd w:val="0"/>
        <w:spacing w:line="360" w:lineRule="auto"/>
        <w:ind w:left="2880"/>
        <w:rPr>
          <w:rFonts w:ascii="Arial" w:hAnsi="Arial" w:cs="Arial"/>
        </w:rPr>
      </w:pPr>
    </w:p>
    <w:p w14:paraId="367E080F" w14:textId="384CCBB4" w:rsidR="00A54812" w:rsidRDefault="00A54812" w:rsidP="00A54812">
      <w:pPr>
        <w:autoSpaceDE w:val="0"/>
        <w:autoSpaceDN w:val="0"/>
        <w:adjustRightInd w:val="0"/>
        <w:spacing w:line="360" w:lineRule="auto"/>
        <w:rPr>
          <w:rFonts w:ascii="Arial" w:hAnsi="Arial" w:cs="Arial"/>
        </w:rPr>
      </w:pPr>
      <w:r>
        <w:rPr>
          <w:rFonts w:ascii="Arial" w:hAnsi="Arial" w:cs="Arial"/>
        </w:rPr>
        <w:t>ACCUSED 2:</w:t>
      </w:r>
      <w:r>
        <w:rPr>
          <w:rFonts w:ascii="Arial" w:hAnsi="Arial" w:cs="Arial"/>
        </w:rPr>
        <w:tab/>
      </w:r>
      <w:r>
        <w:rPr>
          <w:rFonts w:ascii="Arial" w:hAnsi="Arial" w:cs="Arial"/>
        </w:rPr>
        <w:tab/>
        <w:t xml:space="preserve">V </w:t>
      </w:r>
      <w:proofErr w:type="spellStart"/>
      <w:r>
        <w:rPr>
          <w:rFonts w:ascii="Arial" w:hAnsi="Arial" w:cs="Arial"/>
        </w:rPr>
        <w:t>Uanivi</w:t>
      </w:r>
      <w:proofErr w:type="spellEnd"/>
    </w:p>
    <w:p w14:paraId="1C07ECC3" w14:textId="1DF34343" w:rsidR="00A54812" w:rsidRDefault="00A54812" w:rsidP="00A54812">
      <w:pPr>
        <w:autoSpaceDE w:val="0"/>
        <w:autoSpaceDN w:val="0"/>
        <w:adjustRightInd w:val="0"/>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Of </w:t>
      </w:r>
      <w:proofErr w:type="spellStart"/>
      <w:r w:rsidRPr="00A54812">
        <w:rPr>
          <w:rFonts w:ascii="Arial" w:eastAsia="Calibri" w:hAnsi="Arial" w:cs="Arial"/>
          <w:bCs/>
        </w:rPr>
        <w:t>Uanivi</w:t>
      </w:r>
      <w:proofErr w:type="spellEnd"/>
      <w:r w:rsidRPr="00A54812">
        <w:rPr>
          <w:rFonts w:ascii="Arial" w:eastAsia="Calibri" w:hAnsi="Arial" w:cs="Arial"/>
          <w:bCs/>
        </w:rPr>
        <w:t xml:space="preserve"> Gaes Incorporated</w:t>
      </w:r>
    </w:p>
    <w:p w14:paraId="7712A8FD" w14:textId="77777777" w:rsidR="00A54812" w:rsidRPr="005B59D1" w:rsidRDefault="00A54812" w:rsidP="00A54812">
      <w:pPr>
        <w:spacing w:line="360" w:lineRule="auto"/>
        <w:ind w:left="1440" w:hanging="720"/>
        <w:jc w:val="both"/>
        <w:rPr>
          <w:rFonts w:ascii="Arial" w:hAnsi="Arial" w:cs="Arial"/>
        </w:rPr>
      </w:pPr>
    </w:p>
    <w:p w14:paraId="41DAE298" w14:textId="77777777" w:rsidR="00A54812" w:rsidRPr="00A54812" w:rsidRDefault="00A54812" w:rsidP="00A54812">
      <w:pPr>
        <w:spacing w:line="360" w:lineRule="auto"/>
        <w:jc w:val="both"/>
        <w:rPr>
          <w:rFonts w:ascii="Arial" w:hAnsi="Arial"/>
        </w:rPr>
      </w:pPr>
    </w:p>
    <w:sectPr w:rsidR="00A54812" w:rsidRPr="00A54812" w:rsidSect="00A54812">
      <w:head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7BDB" w14:textId="77777777" w:rsidR="00B27FC1" w:rsidRDefault="00B27FC1" w:rsidP="00FD6FD1">
      <w:r>
        <w:separator/>
      </w:r>
    </w:p>
  </w:endnote>
  <w:endnote w:type="continuationSeparator" w:id="0">
    <w:p w14:paraId="3FB37386" w14:textId="77777777" w:rsidR="00B27FC1" w:rsidRDefault="00B27FC1" w:rsidP="00F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0DEB" w14:textId="77777777" w:rsidR="00B27FC1" w:rsidRDefault="00B27FC1" w:rsidP="00FD6FD1">
      <w:r>
        <w:separator/>
      </w:r>
    </w:p>
  </w:footnote>
  <w:footnote w:type="continuationSeparator" w:id="0">
    <w:p w14:paraId="656B38AA" w14:textId="77777777" w:rsidR="00B27FC1" w:rsidRDefault="00B27FC1" w:rsidP="00FD6FD1">
      <w:r>
        <w:continuationSeparator/>
      </w:r>
    </w:p>
  </w:footnote>
  <w:footnote w:id="1">
    <w:p w14:paraId="34B7B3FE" w14:textId="77777777" w:rsidR="009C6BCE" w:rsidRPr="00FD6FD1" w:rsidRDefault="009C6BCE">
      <w:pPr>
        <w:pStyle w:val="FootnoteText"/>
        <w:rPr>
          <w:lang w:val="en-US"/>
        </w:rPr>
      </w:pPr>
      <w:r>
        <w:rPr>
          <w:rStyle w:val="FootnoteReference"/>
        </w:rPr>
        <w:footnoteRef/>
      </w:r>
      <w:r>
        <w:t xml:space="preserve"> </w:t>
      </w:r>
      <w:r w:rsidRPr="007D3645">
        <w:rPr>
          <w:rFonts w:ascii="Arial" w:hAnsi="Arial"/>
          <w:sz w:val="20"/>
          <w:szCs w:val="20"/>
          <w:lang w:val="en-US"/>
        </w:rPr>
        <w:t>Page 313 line 29 to page 315 of the record of proceedings.</w:t>
      </w:r>
    </w:p>
  </w:footnote>
  <w:footnote w:id="2">
    <w:p w14:paraId="0680ED5F" w14:textId="77777777" w:rsidR="009C6BCE" w:rsidRPr="00BE7417" w:rsidRDefault="009C6BCE">
      <w:pPr>
        <w:pStyle w:val="FootnoteText"/>
        <w:rPr>
          <w:rFonts w:ascii="Arial" w:hAnsi="Arial"/>
          <w:sz w:val="20"/>
          <w:szCs w:val="20"/>
          <w:lang w:val="en-US"/>
        </w:rPr>
      </w:pPr>
      <w:r>
        <w:rPr>
          <w:rStyle w:val="FootnoteReference"/>
        </w:rPr>
        <w:footnoteRef/>
      </w:r>
      <w:r>
        <w:t xml:space="preserve"> </w:t>
      </w:r>
      <w:r>
        <w:rPr>
          <w:rFonts w:ascii="Arial" w:hAnsi="Arial"/>
          <w:sz w:val="20"/>
          <w:szCs w:val="20"/>
        </w:rPr>
        <w:t>Page 317, lines 22-23 of the record of proceedings.</w:t>
      </w:r>
    </w:p>
  </w:footnote>
  <w:footnote w:id="3">
    <w:p w14:paraId="1B1EFDAD" w14:textId="77777777" w:rsidR="009C6BCE" w:rsidRPr="005C2001" w:rsidRDefault="009C6BC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Page 316 of the record, lines 4-13.</w:t>
      </w:r>
    </w:p>
  </w:footnote>
  <w:footnote w:id="4">
    <w:p w14:paraId="3365CAC6" w14:textId="3C069516" w:rsidR="009C6BCE" w:rsidRPr="00A82193" w:rsidRDefault="009C6BCE">
      <w:pPr>
        <w:pStyle w:val="FootnoteText"/>
        <w:rPr>
          <w:lang w:val="en-US"/>
        </w:rPr>
      </w:pPr>
      <w:r>
        <w:rPr>
          <w:rStyle w:val="FootnoteReference"/>
        </w:rPr>
        <w:footnoteRef/>
      </w:r>
      <w:r>
        <w:t xml:space="preserve"> </w:t>
      </w:r>
      <w:r w:rsidRPr="00FA537D">
        <w:rPr>
          <w:rFonts w:ascii="Arial" w:hAnsi="Arial"/>
          <w:sz w:val="20"/>
          <w:szCs w:val="20"/>
          <w:lang w:val="en-US"/>
        </w:rPr>
        <w:t>Page 339 lines 12-16 of the record of proceedings.</w:t>
      </w:r>
    </w:p>
  </w:footnote>
  <w:footnote w:id="5">
    <w:p w14:paraId="1B8AE59F" w14:textId="220885ED" w:rsidR="009C6BCE" w:rsidRPr="00A82193" w:rsidRDefault="009C6BCE">
      <w:pPr>
        <w:pStyle w:val="FootnoteText"/>
        <w:rPr>
          <w:lang w:val="en-US"/>
        </w:rPr>
      </w:pPr>
      <w:r>
        <w:rPr>
          <w:rStyle w:val="FootnoteReference"/>
        </w:rPr>
        <w:footnoteRef/>
      </w:r>
      <w:r>
        <w:t xml:space="preserve"> </w:t>
      </w:r>
      <w:r w:rsidRPr="00FA537D">
        <w:rPr>
          <w:rFonts w:ascii="Arial" w:hAnsi="Arial"/>
          <w:sz w:val="20"/>
          <w:szCs w:val="20"/>
          <w:lang w:val="en-US"/>
        </w:rPr>
        <w:t>Page 339 lines 21-25 of the record of proceedings.</w:t>
      </w:r>
    </w:p>
  </w:footnote>
  <w:footnote w:id="6">
    <w:p w14:paraId="289C924A" w14:textId="12BFF2C2" w:rsidR="009C6BCE" w:rsidRPr="00917E65" w:rsidRDefault="009C6BCE">
      <w:pPr>
        <w:pStyle w:val="FootnoteText"/>
        <w:rPr>
          <w:lang w:val="en-US"/>
        </w:rPr>
      </w:pPr>
      <w:r>
        <w:rPr>
          <w:rStyle w:val="FootnoteReference"/>
        </w:rPr>
        <w:footnoteRef/>
      </w:r>
      <w:r>
        <w:t xml:space="preserve"> </w:t>
      </w:r>
      <w:r w:rsidRPr="00FA537D">
        <w:rPr>
          <w:rFonts w:ascii="Arial" w:hAnsi="Arial"/>
          <w:sz w:val="20"/>
          <w:szCs w:val="20"/>
          <w:lang w:val="en-US"/>
        </w:rPr>
        <w:t>Page 340 lines 20-31 of the record of proceedings.</w:t>
      </w:r>
    </w:p>
  </w:footnote>
  <w:footnote w:id="7">
    <w:p w14:paraId="59AD34F7" w14:textId="35041129" w:rsidR="009C6BCE" w:rsidRPr="007A1C7B" w:rsidRDefault="009C6BCE">
      <w:pPr>
        <w:pStyle w:val="FootnoteText"/>
        <w:rPr>
          <w:rFonts w:ascii="Arial" w:hAnsi="Arial"/>
          <w:sz w:val="20"/>
          <w:szCs w:val="20"/>
          <w:lang w:val="en-US"/>
        </w:rPr>
      </w:pPr>
      <w:r>
        <w:rPr>
          <w:rStyle w:val="FootnoteReference"/>
        </w:rPr>
        <w:footnoteRef/>
      </w:r>
      <w:r>
        <w:t xml:space="preserve"> </w:t>
      </w:r>
      <w:r w:rsidR="007A1C7B" w:rsidRPr="007A1C7B">
        <w:rPr>
          <w:rFonts w:ascii="Arial" w:hAnsi="Arial"/>
          <w:i/>
          <w:sz w:val="20"/>
          <w:szCs w:val="20"/>
        </w:rPr>
        <w:t>S v Singh and Another</w:t>
      </w:r>
      <w:r w:rsidR="007A1C7B" w:rsidRPr="007A1C7B">
        <w:rPr>
          <w:rFonts w:ascii="Arial" w:hAnsi="Arial"/>
          <w:sz w:val="20"/>
          <w:szCs w:val="20"/>
          <w:lang w:val="en-US"/>
        </w:rPr>
        <w:t xml:space="preserve"> </w:t>
      </w:r>
      <w:r w:rsidRPr="007A1C7B">
        <w:rPr>
          <w:rFonts w:ascii="Arial" w:hAnsi="Arial"/>
          <w:sz w:val="20"/>
          <w:szCs w:val="20"/>
          <w:lang w:val="en-US"/>
        </w:rPr>
        <w:t>1975 (1) SA 3 (N).</w:t>
      </w:r>
    </w:p>
  </w:footnote>
  <w:footnote w:id="8">
    <w:p w14:paraId="5DD8A859" w14:textId="798457D1" w:rsidR="009C6BCE" w:rsidRPr="007A1C7B" w:rsidRDefault="009C6BCE">
      <w:pPr>
        <w:pStyle w:val="FootnoteText"/>
        <w:rPr>
          <w:rFonts w:ascii="Arial" w:hAnsi="Arial"/>
          <w:sz w:val="20"/>
          <w:szCs w:val="20"/>
          <w:lang w:val="en-US"/>
        </w:rPr>
      </w:pPr>
      <w:r w:rsidRPr="007A1C7B">
        <w:rPr>
          <w:rStyle w:val="FootnoteReference"/>
          <w:rFonts w:ascii="Arial" w:hAnsi="Arial"/>
          <w:sz w:val="20"/>
          <w:szCs w:val="20"/>
        </w:rPr>
        <w:footnoteRef/>
      </w:r>
      <w:r w:rsidRPr="007A1C7B">
        <w:rPr>
          <w:rFonts w:ascii="Arial" w:hAnsi="Arial"/>
          <w:sz w:val="20"/>
          <w:szCs w:val="20"/>
        </w:rPr>
        <w:t xml:space="preserve"> </w:t>
      </w:r>
      <w:r w:rsidR="007A1C7B" w:rsidRPr="007A1C7B">
        <w:rPr>
          <w:rFonts w:ascii="Arial" w:hAnsi="Arial"/>
          <w:i/>
          <w:sz w:val="20"/>
          <w:szCs w:val="20"/>
        </w:rPr>
        <w:t>S v Ramgobin and Others</w:t>
      </w:r>
      <w:r w:rsidR="007A1C7B" w:rsidRPr="007A1C7B">
        <w:rPr>
          <w:rFonts w:ascii="Arial" w:hAnsi="Arial"/>
          <w:sz w:val="20"/>
          <w:szCs w:val="20"/>
          <w:lang w:val="en-US"/>
        </w:rPr>
        <w:t xml:space="preserve"> </w:t>
      </w:r>
      <w:r w:rsidRPr="007A1C7B">
        <w:rPr>
          <w:rFonts w:ascii="Arial" w:hAnsi="Arial"/>
          <w:sz w:val="20"/>
          <w:szCs w:val="20"/>
          <w:lang w:val="en-US"/>
        </w:rPr>
        <w:t>1996 (4) SA 117 (N).</w:t>
      </w:r>
    </w:p>
  </w:footnote>
  <w:footnote w:id="9">
    <w:p w14:paraId="0208C68B" w14:textId="60F7F520" w:rsidR="009C6BCE" w:rsidRPr="007A1C7B" w:rsidRDefault="009C6BCE">
      <w:pPr>
        <w:pStyle w:val="FootnoteText"/>
        <w:rPr>
          <w:rFonts w:ascii="Arial" w:hAnsi="Arial"/>
          <w:sz w:val="20"/>
          <w:szCs w:val="20"/>
          <w:lang w:val="en-US"/>
        </w:rPr>
      </w:pPr>
      <w:r w:rsidRPr="007A1C7B">
        <w:rPr>
          <w:rStyle w:val="FootnoteReference"/>
          <w:rFonts w:ascii="Arial" w:hAnsi="Arial"/>
          <w:sz w:val="20"/>
          <w:szCs w:val="20"/>
        </w:rPr>
        <w:footnoteRef/>
      </w:r>
      <w:r w:rsidRPr="007A1C7B">
        <w:rPr>
          <w:rFonts w:ascii="Arial" w:hAnsi="Arial"/>
          <w:sz w:val="20"/>
          <w:szCs w:val="20"/>
        </w:rPr>
        <w:t xml:space="preserve"> </w:t>
      </w:r>
      <w:r w:rsidR="007A1C7B" w:rsidRPr="007A1C7B">
        <w:rPr>
          <w:rFonts w:ascii="Arial" w:hAnsi="Arial"/>
          <w:i/>
          <w:sz w:val="20"/>
          <w:szCs w:val="20"/>
        </w:rPr>
        <w:t xml:space="preserve">S v </w:t>
      </w:r>
      <w:proofErr w:type="spellStart"/>
      <w:r w:rsidR="007A1C7B" w:rsidRPr="007A1C7B">
        <w:rPr>
          <w:rFonts w:ascii="Arial" w:hAnsi="Arial"/>
          <w:i/>
          <w:sz w:val="20"/>
          <w:szCs w:val="20"/>
        </w:rPr>
        <w:t>Baleka</w:t>
      </w:r>
      <w:proofErr w:type="spellEnd"/>
      <w:r w:rsidR="007A1C7B" w:rsidRPr="007A1C7B">
        <w:rPr>
          <w:rFonts w:ascii="Arial" w:hAnsi="Arial"/>
          <w:i/>
          <w:sz w:val="20"/>
          <w:szCs w:val="20"/>
        </w:rPr>
        <w:t xml:space="preserve"> and Others</w:t>
      </w:r>
      <w:r w:rsidR="007A1C7B" w:rsidRPr="007A1C7B">
        <w:rPr>
          <w:rFonts w:ascii="Arial" w:hAnsi="Arial"/>
          <w:sz w:val="20"/>
          <w:szCs w:val="20"/>
          <w:lang w:val="en-US"/>
        </w:rPr>
        <w:t xml:space="preserve"> </w:t>
      </w:r>
      <w:r w:rsidRPr="007A1C7B">
        <w:rPr>
          <w:rFonts w:ascii="Arial" w:hAnsi="Arial"/>
          <w:sz w:val="20"/>
          <w:szCs w:val="20"/>
          <w:lang w:val="en-US"/>
        </w:rPr>
        <w:t>1986 (4) SA 192 (T)</w:t>
      </w:r>
    </w:p>
  </w:footnote>
  <w:footnote w:id="10">
    <w:p w14:paraId="03404BEB" w14:textId="6C10794D" w:rsidR="009C6BCE" w:rsidRPr="007A1C7B" w:rsidRDefault="009C6BCE">
      <w:pPr>
        <w:pStyle w:val="FootnoteText"/>
        <w:rPr>
          <w:rFonts w:ascii="Arial" w:hAnsi="Arial"/>
          <w:sz w:val="20"/>
          <w:szCs w:val="20"/>
          <w:lang w:val="en-US"/>
        </w:rPr>
      </w:pPr>
      <w:r w:rsidRPr="007A1C7B">
        <w:rPr>
          <w:rStyle w:val="FootnoteReference"/>
          <w:rFonts w:ascii="Arial" w:hAnsi="Arial"/>
          <w:sz w:val="20"/>
          <w:szCs w:val="20"/>
        </w:rPr>
        <w:footnoteRef/>
      </w:r>
      <w:r w:rsidRPr="007A1C7B">
        <w:rPr>
          <w:rFonts w:ascii="Arial" w:hAnsi="Arial"/>
          <w:sz w:val="20"/>
          <w:szCs w:val="20"/>
        </w:rPr>
        <w:t xml:space="preserve"> </w:t>
      </w:r>
      <w:r w:rsidR="007A1C7B" w:rsidRPr="007A1C7B">
        <w:rPr>
          <w:rFonts w:ascii="Arial" w:hAnsi="Arial"/>
          <w:i/>
          <w:sz w:val="20"/>
          <w:szCs w:val="20"/>
        </w:rPr>
        <w:t xml:space="preserve">S v </w:t>
      </w:r>
      <w:proofErr w:type="spellStart"/>
      <w:r w:rsidR="007A1C7B" w:rsidRPr="007A1C7B">
        <w:rPr>
          <w:rFonts w:ascii="Arial" w:hAnsi="Arial"/>
          <w:i/>
          <w:sz w:val="20"/>
          <w:szCs w:val="20"/>
        </w:rPr>
        <w:t>Baleka</w:t>
      </w:r>
      <w:proofErr w:type="spellEnd"/>
      <w:r w:rsidR="007A1C7B" w:rsidRPr="007A1C7B">
        <w:rPr>
          <w:rFonts w:ascii="Arial" w:hAnsi="Arial"/>
          <w:sz w:val="20"/>
          <w:szCs w:val="20"/>
          <w:lang w:val="en-US"/>
        </w:rPr>
        <w:t xml:space="preserve"> </w:t>
      </w:r>
      <w:r w:rsidRPr="007A1C7B">
        <w:rPr>
          <w:rFonts w:ascii="Arial" w:hAnsi="Arial"/>
          <w:sz w:val="20"/>
          <w:szCs w:val="20"/>
          <w:lang w:val="en-US"/>
        </w:rPr>
        <w:t>1986 (4) SA 1005 (T).</w:t>
      </w:r>
    </w:p>
  </w:footnote>
  <w:footnote w:id="11">
    <w:p w14:paraId="256831E3" w14:textId="6562E1A8" w:rsidR="009C6BCE" w:rsidRPr="007A1C7B" w:rsidRDefault="009C6BCE">
      <w:pPr>
        <w:pStyle w:val="FootnoteText"/>
        <w:rPr>
          <w:rFonts w:ascii="Arial" w:hAnsi="Arial"/>
          <w:sz w:val="20"/>
          <w:szCs w:val="20"/>
          <w:lang w:val="en-US"/>
        </w:rPr>
      </w:pPr>
      <w:r w:rsidRPr="007A1C7B">
        <w:rPr>
          <w:rStyle w:val="FootnoteReference"/>
          <w:rFonts w:ascii="Arial" w:hAnsi="Arial"/>
          <w:sz w:val="20"/>
          <w:szCs w:val="20"/>
        </w:rPr>
        <w:footnoteRef/>
      </w:r>
      <w:r w:rsidRPr="007A1C7B">
        <w:rPr>
          <w:rFonts w:ascii="Arial" w:hAnsi="Arial"/>
          <w:sz w:val="20"/>
          <w:szCs w:val="20"/>
        </w:rPr>
        <w:t xml:space="preserve"> </w:t>
      </w:r>
      <w:r w:rsidR="007A1C7B" w:rsidRPr="007A1C7B">
        <w:rPr>
          <w:rFonts w:ascii="Arial" w:hAnsi="Arial"/>
          <w:i/>
          <w:sz w:val="20"/>
          <w:szCs w:val="20"/>
        </w:rPr>
        <w:t xml:space="preserve">S v </w:t>
      </w:r>
      <w:proofErr w:type="spellStart"/>
      <w:r w:rsidR="007A1C7B" w:rsidRPr="007A1C7B">
        <w:rPr>
          <w:rFonts w:ascii="Arial" w:hAnsi="Arial"/>
          <w:i/>
          <w:sz w:val="20"/>
          <w:szCs w:val="20"/>
        </w:rPr>
        <w:t>Niewoudt</w:t>
      </w:r>
      <w:proofErr w:type="spellEnd"/>
      <w:r w:rsidR="007A1C7B" w:rsidRPr="007A1C7B">
        <w:rPr>
          <w:rFonts w:ascii="Arial" w:hAnsi="Arial"/>
          <w:sz w:val="20"/>
          <w:szCs w:val="20"/>
        </w:rPr>
        <w:t xml:space="preserve"> </w:t>
      </w:r>
      <w:r w:rsidRPr="007A1C7B">
        <w:rPr>
          <w:rFonts w:ascii="Arial" w:hAnsi="Arial"/>
          <w:sz w:val="20"/>
          <w:szCs w:val="20"/>
        </w:rPr>
        <w:t>1</w:t>
      </w:r>
      <w:r w:rsidRPr="007A1C7B">
        <w:rPr>
          <w:rFonts w:ascii="Arial" w:hAnsi="Arial"/>
          <w:sz w:val="20"/>
          <w:szCs w:val="20"/>
          <w:lang w:val="en-US"/>
        </w:rPr>
        <w:t>990 ZASCA 74; 1990 (4) SA 217 (A).</w:t>
      </w:r>
    </w:p>
  </w:footnote>
  <w:footnote w:id="12">
    <w:p w14:paraId="1827E003" w14:textId="79B9C893" w:rsidR="009C6BCE" w:rsidRPr="007A1C7B" w:rsidRDefault="009C6BCE">
      <w:pPr>
        <w:pStyle w:val="FootnoteText"/>
        <w:rPr>
          <w:rFonts w:ascii="Arial" w:hAnsi="Arial"/>
          <w:sz w:val="20"/>
          <w:szCs w:val="20"/>
          <w:lang w:val="en-US"/>
        </w:rPr>
      </w:pPr>
      <w:r w:rsidRPr="007A1C7B">
        <w:rPr>
          <w:rStyle w:val="FootnoteReference"/>
          <w:rFonts w:ascii="Arial" w:hAnsi="Arial"/>
          <w:sz w:val="20"/>
          <w:szCs w:val="20"/>
        </w:rPr>
        <w:footnoteRef/>
      </w:r>
      <w:r w:rsidRPr="007A1C7B">
        <w:rPr>
          <w:rFonts w:ascii="Arial" w:hAnsi="Arial"/>
          <w:sz w:val="20"/>
          <w:szCs w:val="20"/>
        </w:rPr>
        <w:t xml:space="preserve"> </w:t>
      </w:r>
      <w:r w:rsidR="007A1C7B" w:rsidRPr="007A1C7B">
        <w:rPr>
          <w:rFonts w:ascii="Arial" w:hAnsi="Arial"/>
          <w:i/>
          <w:sz w:val="20"/>
          <w:szCs w:val="20"/>
        </w:rPr>
        <w:t xml:space="preserve">S v </w:t>
      </w:r>
      <w:proofErr w:type="spellStart"/>
      <w:r w:rsidR="007A1C7B" w:rsidRPr="007A1C7B">
        <w:rPr>
          <w:rFonts w:ascii="Arial" w:hAnsi="Arial"/>
          <w:i/>
          <w:sz w:val="20"/>
          <w:szCs w:val="20"/>
        </w:rPr>
        <w:t>Mapumlo</w:t>
      </w:r>
      <w:proofErr w:type="spellEnd"/>
      <w:r w:rsidR="007A1C7B" w:rsidRPr="007A1C7B">
        <w:rPr>
          <w:rFonts w:ascii="Arial" w:hAnsi="Arial"/>
          <w:i/>
          <w:sz w:val="20"/>
          <w:szCs w:val="20"/>
        </w:rPr>
        <w:t xml:space="preserve"> and Others</w:t>
      </w:r>
      <w:r w:rsidR="007A1C7B" w:rsidRPr="007A1C7B">
        <w:rPr>
          <w:rFonts w:ascii="Arial" w:hAnsi="Arial"/>
          <w:sz w:val="20"/>
          <w:szCs w:val="20"/>
          <w:lang w:val="en-US"/>
        </w:rPr>
        <w:t xml:space="preserve"> </w:t>
      </w:r>
      <w:r w:rsidRPr="007A1C7B">
        <w:rPr>
          <w:rFonts w:ascii="Arial" w:hAnsi="Arial"/>
          <w:sz w:val="20"/>
          <w:szCs w:val="20"/>
          <w:lang w:val="en-US"/>
        </w:rPr>
        <w:t>1986 (3) SA 485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11475"/>
      <w:docPartObj>
        <w:docPartGallery w:val="Page Numbers (Top of Page)"/>
        <w:docPartUnique/>
      </w:docPartObj>
    </w:sdtPr>
    <w:sdtEndPr>
      <w:rPr>
        <w:rFonts w:ascii="Arial" w:hAnsi="Arial" w:cs="Arial"/>
        <w:noProof/>
      </w:rPr>
    </w:sdtEndPr>
    <w:sdtContent>
      <w:p w14:paraId="22497033" w14:textId="2A865847" w:rsidR="00A54812" w:rsidRPr="005466F5" w:rsidRDefault="00A54812">
        <w:pPr>
          <w:pStyle w:val="Header"/>
          <w:jc w:val="right"/>
          <w:rPr>
            <w:rFonts w:ascii="Arial" w:hAnsi="Arial" w:cs="Arial"/>
          </w:rPr>
        </w:pPr>
        <w:r w:rsidRPr="005466F5">
          <w:rPr>
            <w:rFonts w:ascii="Arial" w:hAnsi="Arial" w:cs="Arial"/>
          </w:rPr>
          <w:fldChar w:fldCharType="begin"/>
        </w:r>
        <w:r w:rsidRPr="005466F5">
          <w:rPr>
            <w:rFonts w:ascii="Arial" w:hAnsi="Arial" w:cs="Arial"/>
          </w:rPr>
          <w:instrText xml:space="preserve"> PAGE   \* MERGEFORMAT </w:instrText>
        </w:r>
        <w:r w:rsidRPr="005466F5">
          <w:rPr>
            <w:rFonts w:ascii="Arial" w:hAnsi="Arial" w:cs="Arial"/>
          </w:rPr>
          <w:fldChar w:fldCharType="separate"/>
        </w:r>
        <w:r w:rsidR="00962222">
          <w:rPr>
            <w:rFonts w:ascii="Arial" w:hAnsi="Arial" w:cs="Arial"/>
            <w:noProof/>
          </w:rPr>
          <w:t>2</w:t>
        </w:r>
        <w:r w:rsidRPr="005466F5">
          <w:rPr>
            <w:rFonts w:ascii="Arial" w:hAnsi="Arial" w:cs="Arial"/>
            <w:noProof/>
          </w:rPr>
          <w:fldChar w:fldCharType="end"/>
        </w:r>
      </w:p>
    </w:sdtContent>
  </w:sdt>
  <w:p w14:paraId="404637B8" w14:textId="77777777" w:rsidR="00A54812" w:rsidRDefault="00A5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7CB6"/>
    <w:multiLevelType w:val="hybridMultilevel"/>
    <w:tmpl w:val="31BE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608C"/>
    <w:multiLevelType w:val="hybridMultilevel"/>
    <w:tmpl w:val="5CE2A68C"/>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90481"/>
    <w:multiLevelType w:val="hybridMultilevel"/>
    <w:tmpl w:val="31BE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841738">
    <w:abstractNumId w:val="0"/>
  </w:num>
  <w:num w:numId="2" w16cid:durableId="1955676541">
    <w:abstractNumId w:val="1"/>
  </w:num>
  <w:num w:numId="3" w16cid:durableId="2772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5C"/>
    <w:rsid w:val="000125D2"/>
    <w:rsid w:val="00031059"/>
    <w:rsid w:val="00061C58"/>
    <w:rsid w:val="00095D03"/>
    <w:rsid w:val="000A07A3"/>
    <w:rsid w:val="000A2C2E"/>
    <w:rsid w:val="00143034"/>
    <w:rsid w:val="001679BE"/>
    <w:rsid w:val="001A5E7C"/>
    <w:rsid w:val="001E6664"/>
    <w:rsid w:val="0020706A"/>
    <w:rsid w:val="00220F7A"/>
    <w:rsid w:val="00222A1A"/>
    <w:rsid w:val="002B5211"/>
    <w:rsid w:val="002D2EA9"/>
    <w:rsid w:val="003454BD"/>
    <w:rsid w:val="00346718"/>
    <w:rsid w:val="00366A9B"/>
    <w:rsid w:val="003763F1"/>
    <w:rsid w:val="00392A83"/>
    <w:rsid w:val="003931DC"/>
    <w:rsid w:val="00465AF8"/>
    <w:rsid w:val="00474C8B"/>
    <w:rsid w:val="004A1AA9"/>
    <w:rsid w:val="005466F5"/>
    <w:rsid w:val="00585FCF"/>
    <w:rsid w:val="005C2001"/>
    <w:rsid w:val="005D769D"/>
    <w:rsid w:val="006354F7"/>
    <w:rsid w:val="0064626D"/>
    <w:rsid w:val="006573B4"/>
    <w:rsid w:val="006676EE"/>
    <w:rsid w:val="006A7A80"/>
    <w:rsid w:val="006C4E78"/>
    <w:rsid w:val="006E486A"/>
    <w:rsid w:val="007361E3"/>
    <w:rsid w:val="00761C3C"/>
    <w:rsid w:val="007A1C7B"/>
    <w:rsid w:val="007D3645"/>
    <w:rsid w:val="007E25B2"/>
    <w:rsid w:val="0080773B"/>
    <w:rsid w:val="00842222"/>
    <w:rsid w:val="00845B7A"/>
    <w:rsid w:val="00876B11"/>
    <w:rsid w:val="00917E65"/>
    <w:rsid w:val="00962222"/>
    <w:rsid w:val="00963D6F"/>
    <w:rsid w:val="009763EC"/>
    <w:rsid w:val="009B0E07"/>
    <w:rsid w:val="009C6BCE"/>
    <w:rsid w:val="009C6FC0"/>
    <w:rsid w:val="009C734F"/>
    <w:rsid w:val="009D087C"/>
    <w:rsid w:val="00A06C20"/>
    <w:rsid w:val="00A21818"/>
    <w:rsid w:val="00A22BC8"/>
    <w:rsid w:val="00A25D8C"/>
    <w:rsid w:val="00A32AF4"/>
    <w:rsid w:val="00A54812"/>
    <w:rsid w:val="00A56992"/>
    <w:rsid w:val="00A82193"/>
    <w:rsid w:val="00A8753C"/>
    <w:rsid w:val="00AA2429"/>
    <w:rsid w:val="00AB43B8"/>
    <w:rsid w:val="00AF0E93"/>
    <w:rsid w:val="00B27FC1"/>
    <w:rsid w:val="00BA687B"/>
    <w:rsid w:val="00BD3ED4"/>
    <w:rsid w:val="00BE5441"/>
    <w:rsid w:val="00BE7417"/>
    <w:rsid w:val="00BE7BFE"/>
    <w:rsid w:val="00BF6DDD"/>
    <w:rsid w:val="00C3332B"/>
    <w:rsid w:val="00C44E39"/>
    <w:rsid w:val="00C676E6"/>
    <w:rsid w:val="00C8546C"/>
    <w:rsid w:val="00CB3C55"/>
    <w:rsid w:val="00CB60AB"/>
    <w:rsid w:val="00CE13C0"/>
    <w:rsid w:val="00CE2E66"/>
    <w:rsid w:val="00D13E4D"/>
    <w:rsid w:val="00D2799D"/>
    <w:rsid w:val="00D31783"/>
    <w:rsid w:val="00D331A3"/>
    <w:rsid w:val="00D5185C"/>
    <w:rsid w:val="00D824C2"/>
    <w:rsid w:val="00DA7EEC"/>
    <w:rsid w:val="00DB41E5"/>
    <w:rsid w:val="00E754CF"/>
    <w:rsid w:val="00E81266"/>
    <w:rsid w:val="00E8364D"/>
    <w:rsid w:val="00EA0288"/>
    <w:rsid w:val="00EF14BE"/>
    <w:rsid w:val="00F54620"/>
    <w:rsid w:val="00F55430"/>
    <w:rsid w:val="00F6281A"/>
    <w:rsid w:val="00FA537D"/>
    <w:rsid w:val="00FB18A4"/>
    <w:rsid w:val="00FC1076"/>
    <w:rsid w:val="00FD6FD1"/>
    <w:rsid w:val="00FF2C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1C1EC"/>
  <w14:defaultImageDpi w14:val="300"/>
  <w15:docId w15:val="{47418C9A-519D-4DE2-ADE7-F1172EFB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6FD1"/>
  </w:style>
  <w:style w:type="character" w:customStyle="1" w:styleId="FootnoteTextChar">
    <w:name w:val="Footnote Text Char"/>
    <w:basedOn w:val="DefaultParagraphFont"/>
    <w:link w:val="FootnoteText"/>
    <w:uiPriority w:val="99"/>
    <w:rsid w:val="00FD6FD1"/>
  </w:style>
  <w:style w:type="character" w:styleId="FootnoteReference">
    <w:name w:val="footnote reference"/>
    <w:basedOn w:val="DefaultParagraphFont"/>
    <w:uiPriority w:val="99"/>
    <w:unhideWhenUsed/>
    <w:rsid w:val="00FD6FD1"/>
    <w:rPr>
      <w:vertAlign w:val="superscript"/>
    </w:rPr>
  </w:style>
  <w:style w:type="paragraph" w:styleId="ListParagraph">
    <w:name w:val="List Paragraph"/>
    <w:basedOn w:val="Normal"/>
    <w:uiPriority w:val="34"/>
    <w:qFormat/>
    <w:rsid w:val="00DB41E5"/>
    <w:pPr>
      <w:ind w:left="720"/>
      <w:contextualSpacing/>
    </w:pPr>
  </w:style>
  <w:style w:type="paragraph" w:styleId="Header">
    <w:name w:val="header"/>
    <w:basedOn w:val="Normal"/>
    <w:link w:val="HeaderChar"/>
    <w:uiPriority w:val="99"/>
    <w:unhideWhenUsed/>
    <w:rsid w:val="00A54812"/>
    <w:pPr>
      <w:tabs>
        <w:tab w:val="center" w:pos="4680"/>
        <w:tab w:val="right" w:pos="9360"/>
      </w:tabs>
    </w:pPr>
  </w:style>
  <w:style w:type="character" w:customStyle="1" w:styleId="HeaderChar">
    <w:name w:val="Header Char"/>
    <w:basedOn w:val="DefaultParagraphFont"/>
    <w:link w:val="Header"/>
    <w:uiPriority w:val="99"/>
    <w:rsid w:val="00A54812"/>
  </w:style>
  <w:style w:type="paragraph" w:styleId="Footer">
    <w:name w:val="footer"/>
    <w:basedOn w:val="Normal"/>
    <w:link w:val="FooterChar"/>
    <w:uiPriority w:val="99"/>
    <w:unhideWhenUsed/>
    <w:rsid w:val="00A54812"/>
    <w:pPr>
      <w:tabs>
        <w:tab w:val="center" w:pos="4680"/>
        <w:tab w:val="right" w:pos="9360"/>
      </w:tabs>
    </w:pPr>
  </w:style>
  <w:style w:type="character" w:customStyle="1" w:styleId="FooterChar">
    <w:name w:val="Footer Char"/>
    <w:basedOn w:val="DefaultParagraphFont"/>
    <w:link w:val="Footer"/>
    <w:uiPriority w:val="99"/>
    <w:rsid w:val="00A54812"/>
  </w:style>
  <w:style w:type="paragraph" w:styleId="BalloonText">
    <w:name w:val="Balloon Text"/>
    <w:basedOn w:val="Normal"/>
    <w:link w:val="BalloonTextChar"/>
    <w:uiPriority w:val="99"/>
    <w:semiHidden/>
    <w:unhideWhenUsed/>
    <w:rsid w:val="00807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2023-08-24T18:30:00+00:00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2979E-5D79-4DC6-B949-A9008AAB536A}">
  <ds:schemaRefs>
    <ds:schemaRef ds:uri="http://schemas.microsoft.com/sharepoint/v3/contenttype/forms"/>
  </ds:schemaRefs>
</ds:datastoreItem>
</file>

<file path=customXml/itemProps2.xml><?xml version="1.0" encoding="utf-8"?>
<ds:datastoreItem xmlns:ds="http://schemas.openxmlformats.org/officeDocument/2006/customXml" ds:itemID="{D0437832-D5C9-4329-BC97-E1B586C8A577}">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D4B95404-6544-4950-AD6A-96E4D85E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4387</Words>
  <Characters>23696</Characters>
  <Application>Microsoft Office Word</Application>
  <DocSecurity>0</DocSecurity>
  <Lines>2962</Lines>
  <Paragraphs>1478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Conradie and Another (CC 20-2013) [2023] NAHCMD 524 (25 August 2023)</dc:title>
  <dc:subject/>
  <dc:creator>Thomas Masuku</dc:creator>
  <cp:keywords/>
  <dc:description/>
  <cp:lastModifiedBy>Mariana Anguelov</cp:lastModifiedBy>
  <cp:revision>3</cp:revision>
  <cp:lastPrinted>2023-08-25T08:24:00Z</cp:lastPrinted>
  <dcterms:created xsi:type="dcterms:W3CDTF">2023-08-25T08:25:00Z</dcterms:created>
  <dcterms:modified xsi:type="dcterms:W3CDTF">2023-08-27T17:58:00Z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