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sz w:val="24"/>
          <w:szCs w:val="24"/>
        </w:rPr>
        <w:t>REPUBLIC OF NAMIBIA</w:t>
      </w:r>
    </w:p>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noProof/>
          <w:sz w:val="24"/>
          <w:szCs w:val="24"/>
        </w:rPr>
        <w:drawing>
          <wp:inline distT="0" distB="0" distL="0" distR="0" wp14:anchorId="2799882E" wp14:editId="480A25BA">
            <wp:extent cx="1123950" cy="1143000"/>
            <wp:effectExtent l="0" t="0" r="0" b="0"/>
            <wp:docPr id="2"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552B6F" w:rsidRPr="00552B6F" w:rsidRDefault="00552B6F" w:rsidP="00552B6F">
      <w:pPr>
        <w:spacing w:after="0" w:line="360" w:lineRule="auto"/>
        <w:jc w:val="center"/>
        <w:rPr>
          <w:rFonts w:ascii="Arial" w:eastAsia="Calibri" w:hAnsi="Arial" w:cs="Arial"/>
          <w:b/>
          <w:sz w:val="24"/>
          <w:szCs w:val="24"/>
        </w:rPr>
      </w:pPr>
    </w:p>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sz w:val="24"/>
          <w:szCs w:val="24"/>
        </w:rPr>
        <w:t>IN THE HIGH COURT OF NAMIBIA, MAIN DIVISION, WINDHOEK</w:t>
      </w:r>
    </w:p>
    <w:p w:rsidR="00552B6F" w:rsidRPr="00552B6F" w:rsidRDefault="00552B6F" w:rsidP="00552B6F">
      <w:pPr>
        <w:spacing w:after="0" w:line="360" w:lineRule="auto"/>
        <w:jc w:val="center"/>
        <w:rPr>
          <w:rFonts w:ascii="Arial" w:eastAsia="Calibri" w:hAnsi="Arial" w:cs="Arial"/>
          <w:b/>
          <w:sz w:val="24"/>
          <w:szCs w:val="24"/>
          <w:lang w:val="en-ZA"/>
        </w:rPr>
      </w:pPr>
      <w:r w:rsidRPr="00552B6F">
        <w:rPr>
          <w:rFonts w:ascii="Arial" w:eastAsia="Calibri" w:hAnsi="Arial" w:cs="Arial"/>
          <w:b/>
          <w:sz w:val="24"/>
          <w:szCs w:val="24"/>
          <w:lang w:val="en-ZA"/>
        </w:rPr>
        <w:t>RULING IN TERMS OF PRACTICE DIRECTION 61</w:t>
      </w:r>
    </w:p>
    <w:tbl>
      <w:tblPr>
        <w:tblStyle w:val="TableGrid"/>
        <w:tblW w:w="10485" w:type="dxa"/>
        <w:tblInd w:w="-714" w:type="dxa"/>
        <w:tblLayout w:type="fixed"/>
        <w:tblLook w:val="04A0" w:firstRow="1" w:lastRow="0" w:firstColumn="1" w:lastColumn="0" w:noHBand="0" w:noVBand="1"/>
      </w:tblPr>
      <w:tblGrid>
        <w:gridCol w:w="5243"/>
        <w:gridCol w:w="1275"/>
        <w:gridCol w:w="3967"/>
      </w:tblGrid>
      <w:tr w:rsidR="00552B6F" w:rsidRPr="00552B6F" w:rsidTr="003F2DE7">
        <w:trPr>
          <w:trHeight w:val="599"/>
        </w:trPr>
        <w:tc>
          <w:tcPr>
            <w:tcW w:w="6521" w:type="dxa"/>
            <w:gridSpan w:val="2"/>
            <w:vMerge w:val="restart"/>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Case Title:</w:t>
            </w:r>
          </w:p>
          <w:p w:rsidR="00552B6F" w:rsidRDefault="00552B6F" w:rsidP="00552B6F">
            <w:pPr>
              <w:spacing w:line="360" w:lineRule="auto"/>
              <w:rPr>
                <w:rFonts w:ascii="Arial" w:hAnsi="Arial" w:cs="Arial"/>
                <w:shd w:val="clear" w:color="auto" w:fill="FFFFFF"/>
              </w:rPr>
            </w:pPr>
            <w:r w:rsidRPr="00552B6F">
              <w:rPr>
                <w:rFonts w:ascii="Arial" w:hAnsi="Arial" w:cs="Arial"/>
                <w:shd w:val="clear" w:color="auto" w:fill="FFFFFF"/>
              </w:rPr>
              <w:t xml:space="preserve">ZANNIER HOTELS NAMIBIA (PTY) LTD </w:t>
            </w:r>
          </w:p>
          <w:p w:rsidR="00552B6F" w:rsidRPr="00552B6F" w:rsidRDefault="00552B6F" w:rsidP="00552B6F">
            <w:pPr>
              <w:spacing w:line="360" w:lineRule="auto"/>
              <w:rPr>
                <w:rFonts w:ascii="Arial" w:hAnsi="Arial" w:cs="Arial"/>
                <w:shd w:val="clear" w:color="auto" w:fill="FFFFFF"/>
              </w:rPr>
            </w:pPr>
            <w:r w:rsidRPr="00552B6F">
              <w:rPr>
                <w:rFonts w:ascii="Arial" w:hAnsi="Arial" w:cs="Arial"/>
                <w:shd w:val="clear" w:color="auto" w:fill="FFFFFF"/>
              </w:rPr>
              <w:t xml:space="preserve">T/A SONOP LODGE                  </w:t>
            </w:r>
            <w:r>
              <w:rPr>
                <w:rFonts w:ascii="Arial" w:hAnsi="Arial" w:cs="Arial"/>
                <w:shd w:val="clear" w:color="auto" w:fill="FFFFFF"/>
              </w:rPr>
              <w:t xml:space="preserve">                                 </w:t>
            </w:r>
            <w:r w:rsidRPr="00552B6F">
              <w:rPr>
                <w:rFonts w:ascii="Arial" w:hAnsi="Arial" w:cs="Arial"/>
                <w:shd w:val="clear" w:color="auto" w:fill="FFFFFF"/>
              </w:rPr>
              <w:t xml:space="preserve">PLAINTIFF   </w:t>
            </w:r>
          </w:p>
          <w:p w:rsidR="00552B6F" w:rsidRDefault="00552B6F" w:rsidP="00552B6F">
            <w:pPr>
              <w:spacing w:line="360" w:lineRule="auto"/>
              <w:rPr>
                <w:rFonts w:ascii="Arial" w:hAnsi="Arial" w:cs="Arial"/>
                <w:sz w:val="24"/>
                <w:szCs w:val="24"/>
                <w:shd w:val="clear" w:color="auto" w:fill="FFFFFF"/>
              </w:rPr>
            </w:pPr>
          </w:p>
          <w:p w:rsidR="00552B6F" w:rsidRPr="00552B6F" w:rsidRDefault="00552B6F" w:rsidP="00552B6F">
            <w:pPr>
              <w:spacing w:line="360" w:lineRule="auto"/>
              <w:rPr>
                <w:rFonts w:ascii="Arial" w:hAnsi="Arial" w:cs="Arial"/>
                <w:sz w:val="24"/>
                <w:szCs w:val="24"/>
                <w:shd w:val="clear" w:color="auto" w:fill="FFFFFF"/>
              </w:rPr>
            </w:pPr>
            <w:r w:rsidRPr="00552B6F">
              <w:rPr>
                <w:rFonts w:ascii="Arial" w:hAnsi="Arial" w:cs="Arial"/>
                <w:sz w:val="24"/>
                <w:szCs w:val="24"/>
                <w:shd w:val="clear" w:color="auto" w:fill="FFFFFF"/>
              </w:rPr>
              <w:t>and</w:t>
            </w:r>
          </w:p>
          <w:p w:rsidR="00552B6F" w:rsidRPr="00552B6F" w:rsidRDefault="00552B6F" w:rsidP="00552B6F">
            <w:pPr>
              <w:spacing w:line="360" w:lineRule="auto"/>
              <w:rPr>
                <w:rFonts w:ascii="Arial" w:hAnsi="Arial" w:cs="Arial"/>
                <w:sz w:val="24"/>
                <w:szCs w:val="24"/>
                <w:shd w:val="clear" w:color="auto" w:fill="FFFFFF"/>
              </w:rPr>
            </w:pPr>
          </w:p>
          <w:p w:rsidR="00552B6F" w:rsidRPr="00552B6F" w:rsidRDefault="00552B6F" w:rsidP="00552B6F">
            <w:pPr>
              <w:spacing w:line="360" w:lineRule="auto"/>
              <w:rPr>
                <w:rFonts w:ascii="Arial" w:hAnsi="Arial" w:cs="Arial"/>
                <w:color w:val="000000" w:themeColor="text1"/>
                <w:shd w:val="clear" w:color="auto" w:fill="FFFFFF"/>
              </w:rPr>
            </w:pPr>
            <w:r w:rsidRPr="00552B6F">
              <w:rPr>
                <w:rFonts w:ascii="Arial" w:hAnsi="Arial" w:cs="Arial"/>
                <w:color w:val="000000" w:themeColor="text1"/>
                <w:shd w:val="clear" w:color="auto" w:fill="FFFFFF"/>
              </w:rPr>
              <w:t>DAY DREAMERS</w:t>
            </w:r>
            <w:r>
              <w:rPr>
                <w:rFonts w:ascii="Arial" w:hAnsi="Arial" w:cs="Arial"/>
                <w:color w:val="000000" w:themeColor="text1"/>
                <w:shd w:val="clear" w:color="auto" w:fill="FFFFFF"/>
              </w:rPr>
              <w:t xml:space="preserve"> INVESTMENTS CC              1</w:t>
            </w:r>
            <w:r w:rsidRPr="00552B6F">
              <w:rPr>
                <w:rFonts w:ascii="Arial" w:hAnsi="Arial" w:cs="Arial"/>
                <w:color w:val="000000" w:themeColor="text1"/>
                <w:shd w:val="clear" w:color="auto" w:fill="FFFFFF"/>
                <w:vertAlign w:val="superscript"/>
              </w:rPr>
              <w:t>st</w:t>
            </w:r>
            <w:r>
              <w:rPr>
                <w:rFonts w:ascii="Arial" w:hAnsi="Arial" w:cs="Arial"/>
                <w:color w:val="000000" w:themeColor="text1"/>
                <w:shd w:val="clear" w:color="auto" w:fill="FFFFFF"/>
              </w:rPr>
              <w:t xml:space="preserve"> </w:t>
            </w:r>
            <w:r w:rsidRPr="00552B6F">
              <w:rPr>
                <w:rFonts w:ascii="Arial" w:hAnsi="Arial" w:cs="Arial"/>
                <w:color w:val="000000" w:themeColor="text1"/>
                <w:shd w:val="clear" w:color="auto" w:fill="FFFFFF"/>
              </w:rPr>
              <w:t xml:space="preserve">DEFENDANT  </w:t>
            </w:r>
            <w:r>
              <w:rPr>
                <w:rFonts w:ascii="Arial" w:hAnsi="Arial" w:cs="Arial"/>
                <w:color w:val="000000" w:themeColor="text1"/>
                <w:shd w:val="clear" w:color="auto" w:fill="FFFFFF"/>
              </w:rPr>
              <w:t xml:space="preserve">                             </w:t>
            </w:r>
          </w:p>
          <w:p w:rsidR="00552B6F" w:rsidRPr="00552B6F" w:rsidRDefault="00552B6F" w:rsidP="00552B6F">
            <w:pPr>
              <w:spacing w:line="360" w:lineRule="auto"/>
              <w:rPr>
                <w:rFonts w:ascii="Arial" w:hAnsi="Arial" w:cs="Arial"/>
                <w:color w:val="000000" w:themeColor="text1"/>
                <w:shd w:val="clear" w:color="auto" w:fill="FFFFFF"/>
              </w:rPr>
            </w:pPr>
            <w:r w:rsidRPr="00552B6F">
              <w:rPr>
                <w:rFonts w:ascii="Arial" w:hAnsi="Arial" w:cs="Arial"/>
                <w:color w:val="000000" w:themeColor="text1"/>
                <w:shd w:val="clear" w:color="auto" w:fill="FFFFFF"/>
              </w:rPr>
              <w:t xml:space="preserve">BREYLON GUILLEAME BEUKES        </w:t>
            </w:r>
            <w:r>
              <w:rPr>
                <w:rFonts w:ascii="Arial" w:hAnsi="Arial" w:cs="Arial"/>
                <w:color w:val="000000" w:themeColor="text1"/>
                <w:shd w:val="clear" w:color="auto" w:fill="FFFFFF"/>
              </w:rPr>
              <w:t xml:space="preserve">  </w:t>
            </w:r>
            <w:r w:rsidRPr="00552B6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2</w:t>
            </w:r>
            <w:r w:rsidRPr="00552B6F">
              <w:rPr>
                <w:rFonts w:ascii="Arial" w:hAnsi="Arial" w:cs="Arial"/>
                <w:color w:val="000000" w:themeColor="text1"/>
                <w:shd w:val="clear" w:color="auto" w:fill="FFFFFF"/>
                <w:vertAlign w:val="superscript"/>
              </w:rPr>
              <w:t>nd</w:t>
            </w:r>
            <w:r>
              <w:rPr>
                <w:rFonts w:ascii="Arial" w:hAnsi="Arial" w:cs="Arial"/>
                <w:color w:val="000000" w:themeColor="text1"/>
                <w:shd w:val="clear" w:color="auto" w:fill="FFFFFF"/>
              </w:rPr>
              <w:t xml:space="preserve"> </w:t>
            </w:r>
            <w:r w:rsidRPr="00552B6F">
              <w:rPr>
                <w:rFonts w:ascii="Arial" w:hAnsi="Arial" w:cs="Arial"/>
                <w:color w:val="000000" w:themeColor="text1"/>
                <w:shd w:val="clear" w:color="auto" w:fill="FFFFFF"/>
              </w:rPr>
              <w:t xml:space="preserve">DEFENDANT                                              </w:t>
            </w:r>
          </w:p>
          <w:p w:rsidR="00552B6F" w:rsidRPr="00552B6F" w:rsidRDefault="00552B6F" w:rsidP="00552B6F">
            <w:pPr>
              <w:spacing w:line="360" w:lineRule="auto"/>
              <w:rPr>
                <w:rFonts w:ascii="Arial" w:hAnsi="Arial" w:cs="Arial"/>
                <w:color w:val="000000" w:themeColor="text1"/>
                <w:shd w:val="clear" w:color="auto" w:fill="FFFFFF"/>
              </w:rPr>
            </w:pPr>
            <w:r w:rsidRPr="00552B6F">
              <w:rPr>
                <w:rFonts w:ascii="Arial" w:hAnsi="Arial" w:cs="Arial"/>
                <w:color w:val="000000" w:themeColor="text1"/>
                <w:shd w:val="clear" w:color="auto" w:fill="FFFFFF"/>
              </w:rPr>
              <w:t xml:space="preserve">NAMIBIA REVENUE AGENCY     </w:t>
            </w:r>
            <w:r>
              <w:rPr>
                <w:rFonts w:ascii="Arial" w:hAnsi="Arial" w:cs="Arial"/>
                <w:color w:val="000000" w:themeColor="text1"/>
                <w:shd w:val="clear" w:color="auto" w:fill="FFFFFF"/>
              </w:rPr>
              <w:t xml:space="preserve">                    </w:t>
            </w:r>
            <w:r w:rsidRPr="00552B6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3</w:t>
            </w:r>
            <w:r w:rsidRPr="00552B6F">
              <w:rPr>
                <w:rFonts w:ascii="Arial" w:hAnsi="Arial" w:cs="Arial"/>
                <w:color w:val="000000" w:themeColor="text1"/>
                <w:shd w:val="clear" w:color="auto" w:fill="FFFFFF"/>
                <w:vertAlign w:val="superscript"/>
              </w:rPr>
              <w:t>rd</w:t>
            </w:r>
            <w:r w:rsidRPr="00552B6F">
              <w:rPr>
                <w:rFonts w:ascii="Arial" w:hAnsi="Arial" w:cs="Arial"/>
                <w:color w:val="000000" w:themeColor="text1"/>
                <w:shd w:val="clear" w:color="auto" w:fill="FFFFFF"/>
              </w:rPr>
              <w:t xml:space="preserve"> DEFENDANT                                                        </w:t>
            </w: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ind w:left="1616" w:hanging="1559"/>
              <w:jc w:val="both"/>
              <w:rPr>
                <w:rFonts w:ascii="Arial" w:hAnsi="Arial" w:cs="Arial"/>
                <w:b/>
                <w:sz w:val="24"/>
                <w:szCs w:val="24"/>
              </w:rPr>
            </w:pPr>
            <w:r w:rsidRPr="00552B6F">
              <w:rPr>
                <w:rFonts w:ascii="Arial" w:hAnsi="Arial" w:cs="Arial"/>
                <w:b/>
                <w:sz w:val="24"/>
                <w:szCs w:val="24"/>
              </w:rPr>
              <w:t>Case No:</w:t>
            </w:r>
          </w:p>
          <w:p w:rsidR="00552B6F" w:rsidRPr="00552B6F" w:rsidRDefault="00552B6F" w:rsidP="00552B6F">
            <w:pPr>
              <w:spacing w:line="360" w:lineRule="auto"/>
              <w:ind w:left="34" w:firstLine="23"/>
              <w:jc w:val="both"/>
              <w:rPr>
                <w:rFonts w:ascii="Arial" w:hAnsi="Arial" w:cs="Arial"/>
              </w:rPr>
            </w:pPr>
            <w:r w:rsidRPr="00552B6F">
              <w:rPr>
                <w:rFonts w:ascii="Arial" w:hAnsi="Arial" w:cs="Arial"/>
              </w:rPr>
              <w:t>HC-MD-CIV-ACT-CON-2023/02159</w:t>
            </w:r>
          </w:p>
        </w:tc>
      </w:tr>
      <w:tr w:rsidR="00552B6F" w:rsidRPr="00552B6F" w:rsidTr="003F2DE7">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552B6F" w:rsidRPr="00552B6F" w:rsidRDefault="00552B6F" w:rsidP="00552B6F">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Division of Court:</w:t>
            </w: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Main Division</w:t>
            </w:r>
          </w:p>
        </w:tc>
      </w:tr>
      <w:tr w:rsidR="00552B6F" w:rsidRPr="00552B6F" w:rsidTr="003F2DE7">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552B6F" w:rsidRPr="00552B6F" w:rsidRDefault="00552B6F" w:rsidP="00552B6F">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Heard on:</w:t>
            </w:r>
          </w:p>
          <w:p w:rsidR="00552B6F" w:rsidRPr="00552B6F" w:rsidRDefault="00552B6F" w:rsidP="00552B6F">
            <w:pPr>
              <w:spacing w:line="360" w:lineRule="auto"/>
              <w:jc w:val="both"/>
              <w:rPr>
                <w:rFonts w:ascii="Arial" w:hAnsi="Arial" w:cs="Arial"/>
                <w:sz w:val="24"/>
                <w:szCs w:val="24"/>
              </w:rPr>
            </w:pPr>
            <w:r>
              <w:rPr>
                <w:rFonts w:ascii="Arial" w:hAnsi="Arial" w:cs="Arial"/>
                <w:sz w:val="24"/>
                <w:szCs w:val="24"/>
              </w:rPr>
              <w:t>17 August</w:t>
            </w:r>
            <w:r w:rsidRPr="00552B6F">
              <w:rPr>
                <w:rFonts w:ascii="Arial" w:hAnsi="Arial" w:cs="Arial"/>
                <w:sz w:val="24"/>
                <w:szCs w:val="24"/>
              </w:rPr>
              <w:t xml:space="preserve"> 2023</w:t>
            </w:r>
          </w:p>
        </w:tc>
      </w:tr>
      <w:tr w:rsidR="00552B6F" w:rsidRPr="00552B6F" w:rsidTr="003F2DE7">
        <w:tc>
          <w:tcPr>
            <w:tcW w:w="6521" w:type="dxa"/>
            <w:gridSpan w:val="2"/>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Heard before:</w:t>
            </w: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Honourable Lady Justice Rakow</w:t>
            </w:r>
          </w:p>
          <w:p w:rsidR="00552B6F" w:rsidRPr="00552B6F" w:rsidRDefault="00552B6F" w:rsidP="00552B6F">
            <w:pPr>
              <w:spacing w:line="360" w:lineRule="auto"/>
              <w:jc w:val="both"/>
              <w:rPr>
                <w:rFonts w:ascii="Arial" w:hAnsi="Arial" w:cs="Arial"/>
                <w:sz w:val="12"/>
                <w:szCs w:val="12"/>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Reasons delivered on:</w:t>
            </w:r>
          </w:p>
          <w:p w:rsidR="00552B6F" w:rsidRPr="00552B6F" w:rsidRDefault="00552B6F" w:rsidP="00552B6F">
            <w:pPr>
              <w:spacing w:line="360" w:lineRule="auto"/>
              <w:jc w:val="both"/>
              <w:rPr>
                <w:rFonts w:ascii="Arial" w:hAnsi="Arial" w:cs="Arial"/>
                <w:sz w:val="24"/>
                <w:szCs w:val="24"/>
              </w:rPr>
            </w:pPr>
            <w:r>
              <w:rPr>
                <w:rFonts w:ascii="Arial" w:hAnsi="Arial" w:cs="Arial"/>
                <w:sz w:val="24"/>
                <w:szCs w:val="24"/>
              </w:rPr>
              <w:t xml:space="preserve">7 September </w:t>
            </w:r>
            <w:r w:rsidRPr="00552B6F">
              <w:rPr>
                <w:rFonts w:ascii="Arial" w:hAnsi="Arial" w:cs="Arial"/>
                <w:sz w:val="24"/>
                <w:szCs w:val="24"/>
              </w:rPr>
              <w:t>2023</w:t>
            </w:r>
          </w:p>
        </w:tc>
      </w:tr>
      <w:tr w:rsidR="00552B6F" w:rsidRPr="00552B6F" w:rsidTr="003F2DE7">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ind w:left="2160" w:hanging="2160"/>
              <w:jc w:val="both"/>
              <w:rPr>
                <w:rFonts w:ascii="Arial" w:hAnsi="Arial" w:cs="Arial"/>
                <w:b/>
                <w:sz w:val="10"/>
                <w:szCs w:val="10"/>
              </w:rPr>
            </w:pPr>
          </w:p>
          <w:p w:rsidR="00552B6F" w:rsidRPr="00552B6F" w:rsidRDefault="00552B6F" w:rsidP="00552B6F">
            <w:pPr>
              <w:spacing w:line="360" w:lineRule="auto"/>
              <w:jc w:val="both"/>
              <w:rPr>
                <w:rFonts w:ascii="Arial" w:hAnsi="Arial" w:cs="Arial"/>
                <w:i/>
                <w:sz w:val="24"/>
                <w:szCs w:val="24"/>
                <w:lang w:val="en-US"/>
              </w:rPr>
            </w:pPr>
            <w:r w:rsidRPr="00552B6F">
              <w:rPr>
                <w:rFonts w:ascii="Arial" w:hAnsi="Arial" w:cs="Arial"/>
                <w:b/>
                <w:sz w:val="24"/>
                <w:szCs w:val="24"/>
              </w:rPr>
              <w:t>Neutral citation</w:t>
            </w:r>
            <w:r w:rsidRPr="00552B6F">
              <w:rPr>
                <w:rFonts w:ascii="Arial" w:hAnsi="Arial" w:cs="Arial"/>
                <w:sz w:val="24"/>
                <w:szCs w:val="24"/>
              </w:rPr>
              <w:t>:</w:t>
            </w:r>
            <w:r w:rsidRPr="00552B6F">
              <w:rPr>
                <w:rFonts w:ascii="Arial" w:hAnsi="Arial" w:cs="Arial"/>
                <w:sz w:val="24"/>
                <w:szCs w:val="24"/>
              </w:rPr>
              <w:tab/>
            </w:r>
            <w:bookmarkStart w:id="0" w:name="_GoBack"/>
            <w:r w:rsidRPr="00552B6F">
              <w:rPr>
                <w:rFonts w:ascii="Arial" w:hAnsi="Arial" w:cs="Arial"/>
                <w:i/>
                <w:sz w:val="24"/>
                <w:szCs w:val="24"/>
                <w:lang w:val="en-US"/>
              </w:rPr>
              <w:t>Zannier Hotels Namibia (Pty) Ltd T/A Sonop Lodge</w:t>
            </w:r>
            <w:r w:rsidRPr="00552B6F">
              <w:rPr>
                <w:rFonts w:ascii="Arial" w:hAnsi="Arial" w:cs="Arial"/>
                <w:b/>
                <w:i/>
                <w:sz w:val="24"/>
                <w:szCs w:val="24"/>
                <w:lang w:val="en-US"/>
              </w:rPr>
              <w:t xml:space="preserve"> </w:t>
            </w:r>
            <w:r w:rsidRPr="00552B6F">
              <w:rPr>
                <w:rFonts w:ascii="Arial" w:hAnsi="Arial" w:cs="Arial"/>
                <w:i/>
                <w:sz w:val="24"/>
                <w:szCs w:val="24"/>
                <w:lang w:val="en-US"/>
              </w:rPr>
              <w:t xml:space="preserve">v Day Dreamers               </w:t>
            </w:r>
          </w:p>
          <w:p w:rsidR="00552B6F" w:rsidRPr="00552B6F" w:rsidRDefault="00552B6F" w:rsidP="00552B6F">
            <w:pPr>
              <w:spacing w:line="360" w:lineRule="auto"/>
              <w:jc w:val="both"/>
              <w:rPr>
                <w:rFonts w:ascii="Arial" w:hAnsi="Arial" w:cs="Arial"/>
                <w:sz w:val="24"/>
                <w:szCs w:val="24"/>
              </w:rPr>
            </w:pPr>
            <w:r w:rsidRPr="00552B6F">
              <w:rPr>
                <w:rFonts w:ascii="Arial" w:hAnsi="Arial" w:cs="Arial"/>
                <w:i/>
                <w:sz w:val="24"/>
                <w:szCs w:val="24"/>
                <w:lang w:val="en-US"/>
              </w:rPr>
              <w:t xml:space="preserve">                                Investments CC </w:t>
            </w:r>
            <w:r w:rsidRPr="00552B6F">
              <w:rPr>
                <w:rFonts w:ascii="Arial" w:hAnsi="Arial" w:cs="Arial"/>
                <w:sz w:val="24"/>
                <w:szCs w:val="24"/>
                <w:lang w:val="en-US"/>
              </w:rPr>
              <w:t>(</w:t>
            </w:r>
            <w:r w:rsidRPr="00552B6F">
              <w:rPr>
                <w:rFonts w:ascii="Arial" w:hAnsi="Arial" w:cs="Arial"/>
                <w:sz w:val="24"/>
                <w:szCs w:val="24"/>
              </w:rPr>
              <w:t>HC-MD-CIV-ACT-C</w:t>
            </w:r>
            <w:r w:rsidR="003D6819">
              <w:rPr>
                <w:rFonts w:ascii="Arial" w:hAnsi="Arial" w:cs="Arial"/>
                <w:sz w:val="24"/>
                <w:szCs w:val="24"/>
              </w:rPr>
              <w:t>ON-2023/02159) [2023] NAHCMD 552</w:t>
            </w:r>
            <w:r w:rsidRPr="00552B6F">
              <w:rPr>
                <w:rFonts w:ascii="Arial" w:hAnsi="Arial" w:cs="Arial"/>
                <w:sz w:val="24"/>
                <w:szCs w:val="24"/>
              </w:rPr>
              <w:t xml:space="preserve"> </w:t>
            </w:r>
          </w:p>
          <w:p w:rsidR="00552B6F" w:rsidRPr="00552B6F" w:rsidRDefault="00552B6F" w:rsidP="00552B6F">
            <w:pPr>
              <w:spacing w:line="360" w:lineRule="auto"/>
              <w:jc w:val="both"/>
              <w:rPr>
                <w:rFonts w:ascii="Arial" w:hAnsi="Arial" w:cs="Arial"/>
                <w:i/>
                <w:sz w:val="24"/>
                <w:szCs w:val="24"/>
                <w:lang w:val="en-US"/>
              </w:rPr>
            </w:pPr>
            <w:r w:rsidRPr="00552B6F">
              <w:rPr>
                <w:rFonts w:ascii="Arial" w:hAnsi="Arial" w:cs="Arial"/>
                <w:sz w:val="24"/>
                <w:szCs w:val="24"/>
              </w:rPr>
              <w:t xml:space="preserve">                                (7 September 2023)</w:t>
            </w:r>
          </w:p>
          <w:bookmarkEnd w:id="0"/>
          <w:p w:rsidR="00552B6F" w:rsidRPr="00552B6F" w:rsidRDefault="00552B6F" w:rsidP="00552B6F">
            <w:pPr>
              <w:spacing w:line="360" w:lineRule="auto"/>
              <w:jc w:val="both"/>
              <w:rPr>
                <w:rFonts w:ascii="Arial" w:hAnsi="Arial" w:cs="Arial"/>
                <w:sz w:val="10"/>
                <w:szCs w:val="10"/>
              </w:rPr>
            </w:pPr>
            <w:r>
              <w:rPr>
                <w:rFonts w:ascii="Arial" w:hAnsi="Arial" w:cs="Arial"/>
                <w:sz w:val="10"/>
                <w:szCs w:val="10"/>
              </w:rPr>
              <w:t xml:space="preserve">       </w:t>
            </w:r>
          </w:p>
        </w:tc>
      </w:tr>
      <w:tr w:rsidR="00552B6F" w:rsidRPr="00552B6F" w:rsidTr="003F2DE7">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10"/>
                <w:szCs w:val="10"/>
              </w:rPr>
            </w:pPr>
          </w:p>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Order:</w:t>
            </w: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ind w:left="360"/>
              <w:jc w:val="both"/>
              <w:rPr>
                <w:rFonts w:ascii="Arial" w:hAnsi="Arial" w:cs="Arial"/>
                <w:sz w:val="16"/>
                <w:szCs w:val="16"/>
              </w:rPr>
            </w:pPr>
          </w:p>
          <w:p w:rsidR="00552B6F" w:rsidRDefault="00552B6F" w:rsidP="00552B6F">
            <w:pPr>
              <w:pStyle w:val="ListParagraph"/>
              <w:numPr>
                <w:ilvl w:val="0"/>
                <w:numId w:val="4"/>
              </w:numPr>
              <w:spacing w:after="0" w:line="360" w:lineRule="auto"/>
              <w:jc w:val="both"/>
              <w:rPr>
                <w:rFonts w:ascii="Arial" w:hAnsi="Arial" w:cs="Arial"/>
                <w:sz w:val="24"/>
              </w:rPr>
            </w:pPr>
            <w:r>
              <w:rPr>
                <w:rFonts w:ascii="Arial" w:hAnsi="Arial" w:cs="Arial"/>
                <w:sz w:val="24"/>
              </w:rPr>
              <w:t>The summary judgment application is dismissed with costs.</w:t>
            </w:r>
          </w:p>
          <w:p w:rsidR="00552B6F" w:rsidRDefault="00552B6F" w:rsidP="00552B6F">
            <w:pPr>
              <w:pStyle w:val="ListParagraph"/>
              <w:numPr>
                <w:ilvl w:val="0"/>
                <w:numId w:val="4"/>
              </w:numPr>
              <w:spacing w:after="0" w:line="360" w:lineRule="auto"/>
              <w:jc w:val="both"/>
              <w:rPr>
                <w:rFonts w:ascii="Arial" w:hAnsi="Arial" w:cs="Arial"/>
                <w:sz w:val="24"/>
              </w:rPr>
            </w:pPr>
            <w:r>
              <w:rPr>
                <w:rFonts w:ascii="Arial" w:hAnsi="Arial" w:cs="Arial"/>
                <w:sz w:val="24"/>
              </w:rPr>
              <w:t>The defendants to file their plea on or before 19 September 2023.</w:t>
            </w:r>
          </w:p>
          <w:p w:rsidR="00552B6F" w:rsidRDefault="00552B6F" w:rsidP="00552B6F">
            <w:pPr>
              <w:pStyle w:val="ListParagraph"/>
              <w:numPr>
                <w:ilvl w:val="0"/>
                <w:numId w:val="4"/>
              </w:numPr>
              <w:spacing w:after="0" w:line="360" w:lineRule="auto"/>
              <w:jc w:val="both"/>
              <w:rPr>
                <w:rFonts w:ascii="Arial" w:hAnsi="Arial" w:cs="Arial"/>
                <w:sz w:val="24"/>
              </w:rPr>
            </w:pPr>
            <w:r>
              <w:rPr>
                <w:rFonts w:ascii="Arial" w:hAnsi="Arial" w:cs="Arial"/>
                <w:sz w:val="24"/>
              </w:rPr>
              <w:t>The plaintiff to replicate to the plea on or before 26 September 2023.</w:t>
            </w:r>
          </w:p>
          <w:p w:rsidR="00552B6F" w:rsidRDefault="00552B6F" w:rsidP="00552B6F">
            <w:pPr>
              <w:pStyle w:val="ListParagraph"/>
              <w:numPr>
                <w:ilvl w:val="0"/>
                <w:numId w:val="4"/>
              </w:numPr>
              <w:spacing w:after="0" w:line="360" w:lineRule="auto"/>
              <w:jc w:val="both"/>
              <w:rPr>
                <w:rFonts w:ascii="Arial" w:hAnsi="Arial" w:cs="Arial"/>
                <w:sz w:val="24"/>
              </w:rPr>
            </w:pPr>
            <w:r>
              <w:rPr>
                <w:rFonts w:ascii="Arial" w:hAnsi="Arial" w:cs="Arial"/>
                <w:sz w:val="24"/>
              </w:rPr>
              <w:t>The parties to file their discovery on or before 3 October 2023.</w:t>
            </w:r>
          </w:p>
          <w:p w:rsidR="00552B6F" w:rsidRPr="00391FE0" w:rsidRDefault="00552B6F" w:rsidP="00552B6F">
            <w:pPr>
              <w:pStyle w:val="ListParagraph"/>
              <w:numPr>
                <w:ilvl w:val="0"/>
                <w:numId w:val="4"/>
              </w:numPr>
              <w:spacing w:after="0" w:line="360" w:lineRule="auto"/>
              <w:jc w:val="both"/>
              <w:rPr>
                <w:rFonts w:ascii="Arial" w:hAnsi="Arial" w:cs="Arial"/>
                <w:sz w:val="24"/>
              </w:rPr>
            </w:pPr>
            <w:r>
              <w:rPr>
                <w:rFonts w:ascii="Arial" w:hAnsi="Arial" w:cs="Arial"/>
                <w:sz w:val="24"/>
              </w:rPr>
              <w:lastRenderedPageBreak/>
              <w:t>The matter is postponed for a case management conference on 10 October 2023 at 15:30 and the parties are to file their joint case management report on or before 5 October 2023.</w:t>
            </w:r>
          </w:p>
          <w:p w:rsidR="00552B6F" w:rsidRPr="00552B6F" w:rsidRDefault="00552B6F" w:rsidP="00552B6F">
            <w:pPr>
              <w:spacing w:line="360" w:lineRule="auto"/>
              <w:contextualSpacing/>
              <w:jc w:val="both"/>
              <w:rPr>
                <w:rFonts w:ascii="Arial" w:hAnsi="Arial" w:cs="Arial"/>
                <w:sz w:val="24"/>
                <w:szCs w:val="24"/>
              </w:rPr>
            </w:pP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10"/>
                <w:szCs w:val="10"/>
              </w:rPr>
            </w:pPr>
          </w:p>
          <w:p w:rsidR="00552B6F" w:rsidRPr="00552B6F" w:rsidRDefault="00552B6F" w:rsidP="00552B6F">
            <w:pPr>
              <w:spacing w:line="360" w:lineRule="auto"/>
              <w:ind w:left="743" w:hanging="743"/>
              <w:jc w:val="both"/>
              <w:rPr>
                <w:rFonts w:ascii="Arial" w:hAnsi="Arial" w:cs="Arial"/>
                <w:sz w:val="24"/>
                <w:szCs w:val="24"/>
              </w:rPr>
            </w:pPr>
            <w:r w:rsidRPr="00552B6F">
              <w:rPr>
                <w:rFonts w:ascii="Arial" w:hAnsi="Arial" w:cs="Arial"/>
                <w:b/>
                <w:sz w:val="24"/>
                <w:szCs w:val="24"/>
              </w:rPr>
              <w:t>Reasons for order:</w:t>
            </w: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sz w:val="24"/>
                <w:szCs w:val="24"/>
              </w:rPr>
            </w:pP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RAKOW J :</w:t>
            </w:r>
          </w:p>
          <w:p w:rsidR="00552B6F" w:rsidRPr="00552B6F" w:rsidRDefault="00552B6F" w:rsidP="00552B6F">
            <w:pPr>
              <w:spacing w:line="360" w:lineRule="auto"/>
              <w:jc w:val="both"/>
              <w:rPr>
                <w:rFonts w:ascii="Arial" w:hAnsi="Arial" w:cs="Arial"/>
                <w:sz w:val="24"/>
                <w:szCs w:val="24"/>
              </w:rPr>
            </w:pPr>
          </w:p>
          <w:p w:rsidR="0083108B" w:rsidRPr="0083108B" w:rsidRDefault="0083108B" w:rsidP="005D1F25">
            <w:pPr>
              <w:spacing w:line="360" w:lineRule="auto"/>
              <w:jc w:val="both"/>
              <w:rPr>
                <w:rFonts w:ascii="Arial" w:hAnsi="Arial" w:cs="Arial"/>
                <w:sz w:val="24"/>
                <w:szCs w:val="24"/>
                <w:u w:val="single"/>
              </w:rPr>
            </w:pPr>
            <w:r w:rsidRPr="0083108B">
              <w:rPr>
                <w:rFonts w:ascii="Arial" w:hAnsi="Arial" w:cs="Arial"/>
                <w:sz w:val="24"/>
                <w:szCs w:val="24"/>
                <w:u w:val="single"/>
              </w:rPr>
              <w:t>Introduction</w:t>
            </w:r>
          </w:p>
          <w:p w:rsidR="0083108B" w:rsidRPr="0083108B" w:rsidRDefault="0083108B" w:rsidP="005D1F25">
            <w:pPr>
              <w:spacing w:line="360" w:lineRule="auto"/>
              <w:rPr>
                <w:rFonts w:ascii="Arial" w:hAnsi="Arial" w:cs="Arial"/>
                <w:sz w:val="24"/>
                <w:szCs w:val="24"/>
              </w:rPr>
            </w:pPr>
          </w:p>
          <w:p w:rsidR="0083108B" w:rsidRP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The plaintiff instituted action against the first and second defendants, claiming damag</w:t>
            </w:r>
            <w:r w:rsidR="00C72346">
              <w:rPr>
                <w:rFonts w:ascii="Arial" w:hAnsi="Arial" w:cs="Arial"/>
                <w:sz w:val="24"/>
                <w:szCs w:val="24"/>
              </w:rPr>
              <w:t xml:space="preserve">es suffered in the sum of N$ 26 </w:t>
            </w:r>
            <w:r w:rsidRPr="0083108B">
              <w:rPr>
                <w:rFonts w:ascii="Arial" w:hAnsi="Arial" w:cs="Arial"/>
                <w:sz w:val="24"/>
                <w:szCs w:val="24"/>
              </w:rPr>
              <w:t>119.50 as a result of misrepresentation by the first and second defendants. The first and second defendant</w:t>
            </w:r>
            <w:r w:rsidR="00C72346">
              <w:rPr>
                <w:rFonts w:ascii="Arial" w:hAnsi="Arial" w:cs="Arial"/>
                <w:sz w:val="24"/>
                <w:szCs w:val="24"/>
              </w:rPr>
              <w:t>s</w:t>
            </w:r>
            <w:r w:rsidRPr="0083108B">
              <w:rPr>
                <w:rFonts w:ascii="Arial" w:hAnsi="Arial" w:cs="Arial"/>
                <w:sz w:val="24"/>
                <w:szCs w:val="24"/>
              </w:rPr>
              <w:t xml:space="preserve"> have defended the action, and as a result, t</w:t>
            </w:r>
            <w:r w:rsidR="00C72346">
              <w:rPr>
                <w:rFonts w:ascii="Arial" w:hAnsi="Arial" w:cs="Arial"/>
                <w:sz w:val="24"/>
                <w:szCs w:val="24"/>
              </w:rPr>
              <w:t xml:space="preserve">he plaintiff has applied for </w:t>
            </w:r>
            <w:r w:rsidRPr="0083108B">
              <w:rPr>
                <w:rFonts w:ascii="Arial" w:hAnsi="Arial" w:cs="Arial"/>
                <w:sz w:val="24"/>
                <w:szCs w:val="24"/>
              </w:rPr>
              <w:t>summary judgment and the first and second defendants opposed the summary judgment application</w:t>
            </w:r>
          </w:p>
          <w:p w:rsidR="0083108B" w:rsidRPr="0083108B" w:rsidRDefault="0083108B" w:rsidP="005D1F25">
            <w:pPr>
              <w:spacing w:line="360" w:lineRule="auto"/>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Parties</w:t>
            </w:r>
          </w:p>
          <w:p w:rsidR="0083108B" w:rsidRPr="0083108B" w:rsidRDefault="0083108B" w:rsidP="005D1F25">
            <w:pPr>
              <w:spacing w:line="360" w:lineRule="auto"/>
              <w:rPr>
                <w:rFonts w:ascii="Arial" w:hAnsi="Arial" w:cs="Arial"/>
                <w:sz w:val="24"/>
                <w:szCs w:val="24"/>
              </w:rPr>
            </w:pPr>
          </w:p>
          <w:p w:rsid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The plaintiff is Zannier Hotels Namibia (Pty) Ltd</w:t>
            </w:r>
            <w:r w:rsidR="00C72346">
              <w:rPr>
                <w:rFonts w:ascii="Arial" w:hAnsi="Arial" w:cs="Arial"/>
                <w:sz w:val="24"/>
                <w:szCs w:val="24"/>
              </w:rPr>
              <w:t xml:space="preserve"> t/a Sonop Lodge</w:t>
            </w:r>
            <w:r w:rsidRPr="0083108B">
              <w:rPr>
                <w:rFonts w:ascii="Arial" w:hAnsi="Arial" w:cs="Arial"/>
                <w:sz w:val="24"/>
                <w:szCs w:val="24"/>
              </w:rPr>
              <w:t xml:space="preserve">, a private company, with registration number 2017/0021, duly registered and incorporated in terms of the Companies Act 28 of 2004. The first defendant is Day Dreamers Investments CC, a close corporation with registration number CC/2017/03637, duly registered and incorporated in accordance with the applicable Close Corporation Laws of the Republic of Namibia. The second defendant is Breylon Guilleame Beukes, a major male businessman, with identity number 93012600094. The third defendant is the Namibia Revenue Agency, a state owned enterprise and statutory body established in terms of s 2 of the Namibia Revenue Agency Act 12 of 2017. At </w:t>
            </w:r>
            <w:r w:rsidR="00C72346">
              <w:rPr>
                <w:rFonts w:ascii="Arial" w:hAnsi="Arial" w:cs="Arial"/>
                <w:sz w:val="24"/>
                <w:szCs w:val="24"/>
              </w:rPr>
              <w:t>all relevant times hereto, the second d</w:t>
            </w:r>
            <w:r w:rsidRPr="0083108B">
              <w:rPr>
                <w:rFonts w:ascii="Arial" w:hAnsi="Arial" w:cs="Arial"/>
                <w:sz w:val="24"/>
                <w:szCs w:val="24"/>
              </w:rPr>
              <w:t>efendant was the sole member of the first defendant. The third defendant was cited as an interested party, and as such, no relief is sought from the third defendant.</w:t>
            </w:r>
            <w:r w:rsidRPr="0083108B">
              <w:rPr>
                <w:rFonts w:ascii="Arial" w:hAnsi="Arial" w:cs="Arial"/>
                <w:sz w:val="24"/>
                <w:szCs w:val="24"/>
              </w:rPr>
              <w:cr/>
            </w:r>
          </w:p>
          <w:p w:rsidR="005D1F25" w:rsidRDefault="005D1F25" w:rsidP="005D1F25">
            <w:pPr>
              <w:spacing w:line="360" w:lineRule="auto"/>
              <w:contextualSpacing/>
              <w:jc w:val="both"/>
              <w:rPr>
                <w:rFonts w:ascii="Arial" w:hAnsi="Arial" w:cs="Arial"/>
                <w:sz w:val="24"/>
                <w:szCs w:val="24"/>
              </w:rPr>
            </w:pPr>
          </w:p>
          <w:p w:rsidR="005D1F25" w:rsidRDefault="005D1F25" w:rsidP="005D1F25">
            <w:pPr>
              <w:spacing w:line="360" w:lineRule="auto"/>
              <w:contextualSpacing/>
              <w:jc w:val="both"/>
              <w:rPr>
                <w:rFonts w:ascii="Arial" w:hAnsi="Arial" w:cs="Arial"/>
                <w:sz w:val="24"/>
                <w:szCs w:val="24"/>
              </w:rPr>
            </w:pPr>
          </w:p>
          <w:p w:rsidR="005D1F25" w:rsidRPr="0083108B" w:rsidRDefault="005D1F25" w:rsidP="005D1F25">
            <w:pPr>
              <w:spacing w:line="360" w:lineRule="auto"/>
              <w:contextualSpacing/>
              <w:jc w:val="both"/>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Background</w:t>
            </w:r>
          </w:p>
          <w:p w:rsidR="0083108B" w:rsidRPr="0083108B" w:rsidRDefault="0083108B" w:rsidP="005D1F25">
            <w:pPr>
              <w:spacing w:line="360" w:lineRule="auto"/>
              <w:rPr>
                <w:rFonts w:ascii="Arial" w:hAnsi="Arial" w:cs="Arial"/>
                <w:sz w:val="24"/>
                <w:szCs w:val="24"/>
                <w:u w:val="single"/>
              </w:rPr>
            </w:pPr>
          </w:p>
          <w:p w:rsidR="0083108B" w:rsidRP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On 30 June 2022 and at Windhoek, the plaintiff and the first defendant, duly represented by Ms Charissa Hagen, entered into a partly oral and partly written agreement (hereinafter referred to as “the agreement”), the terms of which the first defendant was to repair the vehicle with registration number N 88579 W, a Toyota Hilux GD6, motor vehicle, bearing engine number 2GDC477766, chassis number AHTKB8CD602970426 of the plaintiff. At all material times hereto, the plaintiff was the owner, alternatively bona fide possessor of one Toyota Hilux GD6, vehicle registration number N 88579 W (the “Vehicle”) of which said ownership still persists.</w:t>
            </w:r>
          </w:p>
          <w:p w:rsidR="0083108B" w:rsidRPr="0083108B" w:rsidRDefault="0083108B" w:rsidP="0083108B">
            <w:pPr>
              <w:spacing w:line="360" w:lineRule="auto"/>
              <w:contextualSpacing/>
              <w:jc w:val="both"/>
              <w:rPr>
                <w:rFonts w:ascii="Arial" w:hAnsi="Arial" w:cs="Arial"/>
                <w:sz w:val="24"/>
                <w:szCs w:val="24"/>
              </w:rPr>
            </w:pPr>
          </w:p>
          <w:p w:rsidR="0083108B" w:rsidRP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The plaintiff alleges that it complied with all its obligations to the first defendant in terms of the agreement and delivery of the motor vehicle was made to the first</w:t>
            </w:r>
            <w:r w:rsidR="00C72346">
              <w:rPr>
                <w:rFonts w:ascii="Arial" w:hAnsi="Arial" w:cs="Arial"/>
                <w:sz w:val="24"/>
                <w:szCs w:val="24"/>
              </w:rPr>
              <w:t xml:space="preserve"> defendant on 30 June 2022. </w:t>
            </w:r>
            <w:r w:rsidRPr="0083108B">
              <w:rPr>
                <w:rFonts w:ascii="Arial" w:hAnsi="Arial" w:cs="Arial"/>
                <w:sz w:val="24"/>
                <w:szCs w:val="24"/>
              </w:rPr>
              <w:t>In breach of the aforementioned agreement the first defendant issued quotations and invoices to the plaintiff, fraudulently claiming Value Added Tax</w:t>
            </w:r>
            <w:r w:rsidR="00C72346">
              <w:rPr>
                <w:rFonts w:ascii="Arial" w:hAnsi="Arial" w:cs="Arial"/>
                <w:sz w:val="24"/>
                <w:szCs w:val="24"/>
              </w:rPr>
              <w:t xml:space="preserve"> (VAT)</w:t>
            </w:r>
            <w:r w:rsidRPr="0083108B">
              <w:rPr>
                <w:rFonts w:ascii="Arial" w:hAnsi="Arial" w:cs="Arial"/>
                <w:sz w:val="24"/>
                <w:szCs w:val="24"/>
              </w:rPr>
              <w:t>, for service</w:t>
            </w:r>
            <w:r w:rsidR="00C72346">
              <w:rPr>
                <w:rFonts w:ascii="Arial" w:hAnsi="Arial" w:cs="Arial"/>
                <w:sz w:val="24"/>
                <w:szCs w:val="24"/>
              </w:rPr>
              <w:t>s</w:t>
            </w:r>
            <w:r w:rsidRPr="0083108B">
              <w:rPr>
                <w:rFonts w:ascii="Arial" w:hAnsi="Arial" w:cs="Arial"/>
                <w:sz w:val="24"/>
                <w:szCs w:val="24"/>
              </w:rPr>
              <w:t xml:space="preserve"> rendered by the first defendant to the plaintiff despite first defendant not being registered for VAT in terms of s</w:t>
            </w:r>
            <w:r w:rsidR="00C72346">
              <w:rPr>
                <w:rFonts w:ascii="Arial" w:hAnsi="Arial" w:cs="Arial"/>
                <w:sz w:val="24"/>
                <w:szCs w:val="24"/>
              </w:rPr>
              <w:t xml:space="preserve"> </w:t>
            </w:r>
            <w:r w:rsidRPr="0083108B">
              <w:rPr>
                <w:rFonts w:ascii="Arial" w:hAnsi="Arial" w:cs="Arial"/>
                <w:sz w:val="24"/>
                <w:szCs w:val="24"/>
              </w:rPr>
              <w:t>15 of Value Added Tax Act 10 of 2000 (as amended).</w:t>
            </w:r>
            <w:r w:rsidRPr="0083108B">
              <w:t xml:space="preserve"> </w:t>
            </w:r>
            <w:r w:rsidRPr="0083108B">
              <w:rPr>
                <w:rFonts w:ascii="Arial" w:hAnsi="Arial" w:cs="Arial"/>
                <w:sz w:val="24"/>
                <w:szCs w:val="24"/>
              </w:rPr>
              <w:t>It was on the basis of these fraudulent misrepresentations that the plaintiff was induced to pay the amounts depicted on the invoices and quotations, inclusive of the VAT amount depicted therein, despite first and second defendant</w:t>
            </w:r>
            <w:r w:rsidR="00C72346">
              <w:rPr>
                <w:rFonts w:ascii="Arial" w:hAnsi="Arial" w:cs="Arial"/>
                <w:sz w:val="24"/>
                <w:szCs w:val="24"/>
              </w:rPr>
              <w:t>s</w:t>
            </w:r>
            <w:r w:rsidRPr="0083108B">
              <w:rPr>
                <w:rFonts w:ascii="Arial" w:hAnsi="Arial" w:cs="Arial"/>
                <w:sz w:val="24"/>
                <w:szCs w:val="24"/>
              </w:rPr>
              <w:t>knowing that they were not entitled to charge VAT.</w:t>
            </w:r>
            <w:r w:rsidRPr="0083108B">
              <w:t xml:space="preserve"> </w:t>
            </w:r>
            <w:r w:rsidRPr="0083108B">
              <w:rPr>
                <w:rFonts w:ascii="Arial" w:hAnsi="Arial" w:cs="Arial"/>
                <w:sz w:val="24"/>
                <w:szCs w:val="24"/>
              </w:rPr>
              <w:t>As a result of first and second defendant, misrepresentation, plaintiff suffe</w:t>
            </w:r>
            <w:r w:rsidR="005D1F25">
              <w:rPr>
                <w:rFonts w:ascii="Arial" w:hAnsi="Arial" w:cs="Arial"/>
                <w:sz w:val="24"/>
                <w:szCs w:val="24"/>
              </w:rPr>
              <w:t xml:space="preserve">red damages in the sum of N$ 26 </w:t>
            </w:r>
            <w:r w:rsidRPr="0083108B">
              <w:rPr>
                <w:rFonts w:ascii="Arial" w:hAnsi="Arial" w:cs="Arial"/>
                <w:sz w:val="24"/>
                <w:szCs w:val="24"/>
              </w:rPr>
              <w:t>119.50.</w:t>
            </w:r>
          </w:p>
          <w:p w:rsidR="0083108B" w:rsidRPr="0083108B" w:rsidRDefault="0083108B" w:rsidP="005D1F25">
            <w:pPr>
              <w:spacing w:line="360" w:lineRule="auto"/>
              <w:rPr>
                <w:rFonts w:ascii="Arial" w:hAnsi="Arial" w:cs="Arial"/>
                <w:sz w:val="24"/>
                <w:szCs w:val="24"/>
                <w:u w:val="single"/>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 xml:space="preserve">Arguments </w:t>
            </w:r>
          </w:p>
          <w:p w:rsidR="0083108B" w:rsidRPr="0083108B" w:rsidRDefault="0083108B" w:rsidP="005D1F25">
            <w:pPr>
              <w:spacing w:line="360" w:lineRule="auto"/>
              <w:rPr>
                <w:rFonts w:ascii="Arial" w:hAnsi="Arial" w:cs="Arial"/>
                <w:sz w:val="24"/>
                <w:szCs w:val="24"/>
                <w:u w:val="single"/>
              </w:rPr>
            </w:pPr>
          </w:p>
          <w:p w:rsidR="0083108B" w:rsidRPr="0083108B" w:rsidRDefault="0083108B" w:rsidP="005D1F25">
            <w:pPr>
              <w:spacing w:line="360" w:lineRule="auto"/>
              <w:rPr>
                <w:rFonts w:ascii="Arial" w:hAnsi="Arial" w:cs="Arial"/>
                <w:i/>
                <w:sz w:val="24"/>
                <w:szCs w:val="24"/>
              </w:rPr>
            </w:pPr>
            <w:r w:rsidRPr="0083108B">
              <w:rPr>
                <w:rFonts w:ascii="Arial" w:hAnsi="Arial" w:cs="Arial"/>
                <w:i/>
                <w:sz w:val="24"/>
                <w:szCs w:val="24"/>
              </w:rPr>
              <w:t>Plaintiff</w:t>
            </w:r>
          </w:p>
          <w:p w:rsidR="0083108B" w:rsidRPr="0083108B" w:rsidRDefault="0083108B" w:rsidP="0083108B">
            <w:pPr>
              <w:rPr>
                <w:rFonts w:ascii="Arial" w:hAnsi="Arial" w:cs="Arial"/>
                <w:i/>
                <w:sz w:val="24"/>
                <w:szCs w:val="24"/>
              </w:rPr>
            </w:pPr>
          </w:p>
          <w:p w:rsidR="0083108B" w:rsidRPr="0083108B" w:rsidRDefault="0083108B" w:rsidP="0083108B">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Ms Angula on behalf of the plaintiff argues that the first defendant’s taxpayer registration ce</w:t>
            </w:r>
            <w:r w:rsidR="00C72346">
              <w:rPr>
                <w:rFonts w:ascii="Arial" w:hAnsi="Arial" w:cs="Arial"/>
                <w:sz w:val="24"/>
                <w:szCs w:val="24"/>
              </w:rPr>
              <w:t xml:space="preserve">rtificate (“BGB1”) indicates </w:t>
            </w:r>
            <w:r w:rsidRPr="0083108B">
              <w:rPr>
                <w:rFonts w:ascii="Arial" w:hAnsi="Arial" w:cs="Arial"/>
                <w:sz w:val="24"/>
                <w:szCs w:val="24"/>
              </w:rPr>
              <w:t>unambiguous terms that they are only registered for income tax under number “ITX 07678049-11”, which begs the question as to how the defendants invoiced plaintiff for</w:t>
            </w:r>
            <w:r w:rsidR="00C72346">
              <w:rPr>
                <w:rFonts w:ascii="Arial" w:hAnsi="Arial" w:cs="Arial"/>
                <w:sz w:val="24"/>
                <w:szCs w:val="24"/>
              </w:rPr>
              <w:t xml:space="preserve"> VAT when first defendant was not</w:t>
            </w:r>
            <w:r w:rsidRPr="0083108B">
              <w:rPr>
                <w:rFonts w:ascii="Arial" w:hAnsi="Arial" w:cs="Arial"/>
                <w:sz w:val="24"/>
                <w:szCs w:val="24"/>
              </w:rPr>
              <w:t xml:space="preserve"> issued</w:t>
            </w:r>
            <w:r w:rsidR="00C72346">
              <w:rPr>
                <w:rFonts w:ascii="Arial" w:hAnsi="Arial" w:cs="Arial"/>
                <w:sz w:val="24"/>
                <w:szCs w:val="24"/>
              </w:rPr>
              <w:t xml:space="preserve"> a value-added tax number by</w:t>
            </w:r>
            <w:r w:rsidRPr="0083108B">
              <w:rPr>
                <w:rFonts w:ascii="Arial" w:hAnsi="Arial" w:cs="Arial"/>
                <w:sz w:val="24"/>
                <w:szCs w:val="24"/>
              </w:rPr>
              <w:t xml:space="preserve"> Namibia’s Reven</w:t>
            </w:r>
            <w:r w:rsidR="00C72346">
              <w:rPr>
                <w:rFonts w:ascii="Arial" w:hAnsi="Arial" w:cs="Arial"/>
                <w:sz w:val="24"/>
                <w:szCs w:val="24"/>
              </w:rPr>
              <w:t>ue Agency as required by s</w:t>
            </w:r>
            <w:r w:rsidRPr="0083108B">
              <w:rPr>
                <w:rFonts w:ascii="Arial" w:hAnsi="Arial" w:cs="Arial"/>
                <w:sz w:val="24"/>
                <w:szCs w:val="24"/>
              </w:rPr>
              <w:t xml:space="preserve"> 15 of the Value Added Tax Act.</w:t>
            </w:r>
          </w:p>
          <w:p w:rsidR="0083108B" w:rsidRPr="0083108B" w:rsidRDefault="0083108B" w:rsidP="00C72346">
            <w:pPr>
              <w:spacing w:after="200" w:line="360" w:lineRule="auto"/>
              <w:contextualSpacing/>
              <w:rPr>
                <w:rFonts w:ascii="Arial" w:hAnsi="Arial" w:cs="Arial"/>
                <w:sz w:val="24"/>
                <w:szCs w:val="24"/>
              </w:rPr>
            </w:pPr>
          </w:p>
          <w:p w:rsidR="0083108B" w:rsidRP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Ms Angula outlines that the defendants aver that the plaintiff’s application for summary judgment is defective as it was lodged in terms of rule 65(4) instead of rule 60(2). They further contend that the affidavit deposed by Cornel de Villiers on behalf of the plaintiff is “defective” as “she failed to allege as to how the facts pertaining to the matter came to her alleged personal knowledge”. However Ms A</w:t>
            </w:r>
            <w:r w:rsidR="00C72346">
              <w:rPr>
                <w:rFonts w:ascii="Arial" w:hAnsi="Arial" w:cs="Arial"/>
                <w:sz w:val="24"/>
                <w:szCs w:val="24"/>
              </w:rPr>
              <w:t>n</w:t>
            </w:r>
            <w:r w:rsidRPr="0083108B">
              <w:rPr>
                <w:rFonts w:ascii="Arial" w:hAnsi="Arial" w:cs="Arial"/>
                <w:sz w:val="24"/>
                <w:szCs w:val="24"/>
              </w:rPr>
              <w:t xml:space="preserve">gula submits that Cornel de Villiers is plaintiff’s General Manager who oversees its functions and is thus deemed a fit and proper person to depose </w:t>
            </w:r>
            <w:r w:rsidR="00C72346">
              <w:rPr>
                <w:rFonts w:ascii="Arial" w:hAnsi="Arial" w:cs="Arial"/>
                <w:sz w:val="24"/>
                <w:szCs w:val="24"/>
              </w:rPr>
              <w:t xml:space="preserve">to </w:t>
            </w:r>
            <w:r w:rsidRPr="0083108B">
              <w:rPr>
                <w:rFonts w:ascii="Arial" w:hAnsi="Arial" w:cs="Arial"/>
                <w:sz w:val="24"/>
                <w:szCs w:val="24"/>
              </w:rPr>
              <w:t xml:space="preserve">the affidavit. Knowledge of the facts were obtained from records and documents of the plaintiff. </w:t>
            </w:r>
          </w:p>
          <w:p w:rsidR="0083108B" w:rsidRPr="0083108B" w:rsidRDefault="0083108B" w:rsidP="005D1F25">
            <w:pPr>
              <w:spacing w:line="360" w:lineRule="auto"/>
              <w:jc w:val="both"/>
              <w:rPr>
                <w:rFonts w:ascii="Arial" w:hAnsi="Arial" w:cs="Arial"/>
                <w:sz w:val="24"/>
                <w:szCs w:val="24"/>
              </w:rPr>
            </w:pPr>
          </w:p>
          <w:p w:rsidR="0083108B" w:rsidRPr="0083108B" w:rsidRDefault="0083108B" w:rsidP="005D1F25">
            <w:pPr>
              <w:spacing w:line="360" w:lineRule="auto"/>
              <w:rPr>
                <w:rFonts w:ascii="Arial" w:hAnsi="Arial" w:cs="Arial"/>
                <w:i/>
                <w:sz w:val="24"/>
                <w:szCs w:val="24"/>
              </w:rPr>
            </w:pPr>
            <w:r w:rsidRPr="0083108B">
              <w:rPr>
                <w:rFonts w:ascii="Arial" w:hAnsi="Arial" w:cs="Arial"/>
                <w:i/>
                <w:sz w:val="24"/>
                <w:szCs w:val="24"/>
              </w:rPr>
              <w:t>Defendant</w:t>
            </w:r>
            <w:r w:rsidR="00C72346">
              <w:rPr>
                <w:rFonts w:ascii="Arial" w:hAnsi="Arial" w:cs="Arial"/>
                <w:i/>
                <w:sz w:val="24"/>
                <w:szCs w:val="24"/>
              </w:rPr>
              <w:t>s</w:t>
            </w:r>
            <w:r w:rsidRPr="0083108B">
              <w:rPr>
                <w:rFonts w:ascii="Arial" w:hAnsi="Arial" w:cs="Arial"/>
                <w:i/>
                <w:sz w:val="24"/>
                <w:szCs w:val="24"/>
              </w:rPr>
              <w:t xml:space="preserve"> </w:t>
            </w:r>
          </w:p>
          <w:p w:rsidR="0083108B" w:rsidRPr="0083108B" w:rsidRDefault="0083108B" w:rsidP="005D1F25">
            <w:pPr>
              <w:spacing w:line="360" w:lineRule="auto"/>
              <w:rPr>
                <w:rFonts w:ascii="Arial" w:hAnsi="Arial" w:cs="Arial"/>
                <w:i/>
                <w:sz w:val="24"/>
                <w:szCs w:val="24"/>
              </w:rPr>
            </w:pPr>
          </w:p>
          <w:p w:rsid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Mr Karsten on behalf of the defendants submits that the application, purp</w:t>
            </w:r>
            <w:r w:rsidR="00C72346">
              <w:rPr>
                <w:rFonts w:ascii="Arial" w:hAnsi="Arial" w:cs="Arial"/>
                <w:sz w:val="24"/>
                <w:szCs w:val="24"/>
              </w:rPr>
              <w:t>orted to be an application for summary j</w:t>
            </w:r>
            <w:r w:rsidRPr="0083108B">
              <w:rPr>
                <w:rFonts w:ascii="Arial" w:hAnsi="Arial" w:cs="Arial"/>
                <w:sz w:val="24"/>
                <w:szCs w:val="24"/>
              </w:rPr>
              <w:t>udgment, is brought in terms of rule 65(4), as is evident from the Notice of Motion, which renders the application as such in any event defective. Mr Ka</w:t>
            </w:r>
            <w:r w:rsidR="0083351F">
              <w:rPr>
                <w:rFonts w:ascii="Arial" w:hAnsi="Arial" w:cs="Arial"/>
                <w:sz w:val="24"/>
                <w:szCs w:val="24"/>
              </w:rPr>
              <w:t>rsten</w:t>
            </w:r>
            <w:r w:rsidRPr="0083108B">
              <w:rPr>
                <w:rFonts w:ascii="Arial" w:hAnsi="Arial" w:cs="Arial"/>
                <w:sz w:val="24"/>
                <w:szCs w:val="24"/>
              </w:rPr>
              <w:t xml:space="preserve"> further </w:t>
            </w:r>
            <w:r w:rsidR="00C72346" w:rsidRPr="0083108B">
              <w:rPr>
                <w:rFonts w:ascii="Arial" w:hAnsi="Arial" w:cs="Arial"/>
                <w:sz w:val="24"/>
                <w:szCs w:val="24"/>
              </w:rPr>
              <w:t>outlines</w:t>
            </w:r>
            <w:r w:rsidRPr="0083108B">
              <w:rPr>
                <w:rFonts w:ascii="Arial" w:hAnsi="Arial" w:cs="Arial"/>
                <w:sz w:val="24"/>
                <w:szCs w:val="24"/>
              </w:rPr>
              <w:t xml:space="preserve"> that rule 60 of the Rules of t</w:t>
            </w:r>
            <w:r w:rsidR="00C72346">
              <w:rPr>
                <w:rFonts w:ascii="Arial" w:hAnsi="Arial" w:cs="Arial"/>
                <w:sz w:val="24"/>
                <w:szCs w:val="24"/>
              </w:rPr>
              <w:t>he Honourable Court deals with applications for summary j</w:t>
            </w:r>
            <w:r w:rsidRPr="0083108B">
              <w:rPr>
                <w:rFonts w:ascii="Arial" w:hAnsi="Arial" w:cs="Arial"/>
                <w:sz w:val="24"/>
                <w:szCs w:val="24"/>
              </w:rPr>
              <w:t>udgment whereas rule 65 deals with the requirements of applications.</w:t>
            </w:r>
          </w:p>
          <w:p w:rsidR="005D1F25" w:rsidRPr="0083108B" w:rsidRDefault="005D1F25" w:rsidP="005D1F25">
            <w:pPr>
              <w:spacing w:line="360" w:lineRule="auto"/>
              <w:contextualSpacing/>
              <w:jc w:val="both"/>
              <w:rPr>
                <w:rFonts w:ascii="Arial" w:hAnsi="Arial" w:cs="Arial"/>
                <w:sz w:val="24"/>
                <w:szCs w:val="24"/>
              </w:rPr>
            </w:pPr>
          </w:p>
          <w:p w:rsidR="0083108B" w:rsidRPr="0083108B" w:rsidRDefault="0083351F" w:rsidP="0083108B">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rPr>
              <w:t>Mr Karsten</w:t>
            </w:r>
            <w:r w:rsidR="0083108B" w:rsidRPr="0083108B">
              <w:rPr>
                <w:rFonts w:ascii="Arial" w:hAnsi="Arial" w:cs="Arial"/>
                <w:sz w:val="24"/>
                <w:szCs w:val="24"/>
              </w:rPr>
              <w:t xml:space="preserve"> argues that Cornel de Villiers not being present during the conclusion of the agreement, cannot swear positively to the facts and she cannot verify the cau</w:t>
            </w:r>
            <w:r>
              <w:rPr>
                <w:rFonts w:ascii="Arial" w:hAnsi="Arial" w:cs="Arial"/>
                <w:sz w:val="24"/>
                <w:szCs w:val="24"/>
              </w:rPr>
              <w:t>se of action as set out in the plaintiff’s particulars of claim attached to the combined s</w:t>
            </w:r>
            <w:r w:rsidR="0083108B" w:rsidRPr="0083108B">
              <w:rPr>
                <w:rFonts w:ascii="Arial" w:hAnsi="Arial" w:cs="Arial"/>
                <w:sz w:val="24"/>
                <w:szCs w:val="24"/>
              </w:rPr>
              <w:t>ummons.</w:t>
            </w:r>
          </w:p>
          <w:p w:rsidR="0083108B" w:rsidRPr="0083108B" w:rsidRDefault="0083108B" w:rsidP="0083108B">
            <w:pPr>
              <w:spacing w:line="360" w:lineRule="auto"/>
              <w:contextualSpacing/>
              <w:jc w:val="both"/>
              <w:rPr>
                <w:rFonts w:ascii="Arial" w:hAnsi="Arial" w:cs="Arial"/>
                <w:sz w:val="24"/>
                <w:szCs w:val="24"/>
              </w:rPr>
            </w:pPr>
          </w:p>
          <w:p w:rsidR="0083108B" w:rsidRP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M</w:t>
            </w:r>
            <w:r w:rsidR="0083351F">
              <w:rPr>
                <w:rFonts w:ascii="Arial" w:hAnsi="Arial" w:cs="Arial"/>
                <w:sz w:val="24"/>
                <w:szCs w:val="24"/>
              </w:rPr>
              <w:t>r Karsten</w:t>
            </w:r>
            <w:r w:rsidRPr="0083108B">
              <w:rPr>
                <w:rFonts w:ascii="Arial" w:hAnsi="Arial" w:cs="Arial"/>
                <w:sz w:val="24"/>
                <w:szCs w:val="24"/>
              </w:rPr>
              <w:t xml:space="preserve"> outlines that the defendants dispute the correctness of certain of the annexures to the plaintiff’s particulars of claim. The annexures differ from the invoices which were forwarded to the plaintiff. The defendants stated under oath that it is evident that the Tax Number, </w:t>
            </w:r>
            <w:r w:rsidR="0083351F">
              <w:rPr>
                <w:rFonts w:ascii="Arial" w:hAnsi="Arial" w:cs="Arial"/>
                <w:sz w:val="24"/>
                <w:szCs w:val="24"/>
              </w:rPr>
              <w:t>which appears on certain invoices,</w:t>
            </w:r>
            <w:r w:rsidRPr="0083108B">
              <w:rPr>
                <w:rFonts w:ascii="Arial" w:hAnsi="Arial" w:cs="Arial"/>
                <w:sz w:val="24"/>
                <w:szCs w:val="24"/>
              </w:rPr>
              <w:t xml:space="preserve"> which is a template used by the defendant, had been altered and amended by the plaintiff.</w:t>
            </w:r>
          </w:p>
          <w:p w:rsidR="0083108B" w:rsidRPr="0083108B" w:rsidRDefault="0083108B" w:rsidP="005D1F25">
            <w:pPr>
              <w:spacing w:after="200" w:line="360" w:lineRule="auto"/>
              <w:ind w:left="720"/>
              <w:contextualSpacing/>
              <w:rPr>
                <w:rFonts w:ascii="Arial" w:hAnsi="Arial" w:cs="Arial"/>
                <w:sz w:val="24"/>
                <w:szCs w:val="24"/>
              </w:rPr>
            </w:pPr>
          </w:p>
          <w:p w:rsidR="0083108B" w:rsidRPr="0083108B" w:rsidRDefault="0083351F" w:rsidP="005D1F25">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rPr>
              <w:t>Mr Karsten</w:t>
            </w:r>
            <w:r w:rsidR="0083108B" w:rsidRPr="0083108B">
              <w:rPr>
                <w:rFonts w:ascii="Arial" w:hAnsi="Arial" w:cs="Arial"/>
                <w:sz w:val="24"/>
                <w:szCs w:val="24"/>
              </w:rPr>
              <w:t xml:space="preserve"> argues that the first defendant was at all times entitled to charge VAT on the invoices rendered to the plaintiff as the VAT collected forms part of the income of the first defendant which is linked to its in</w:t>
            </w:r>
            <w:r>
              <w:rPr>
                <w:rFonts w:ascii="Arial" w:hAnsi="Arial" w:cs="Arial"/>
                <w:sz w:val="24"/>
                <w:szCs w:val="24"/>
              </w:rPr>
              <w:t xml:space="preserve">come tax number, and payable </w:t>
            </w:r>
            <w:r w:rsidR="0083108B" w:rsidRPr="0083108B">
              <w:rPr>
                <w:rFonts w:ascii="Arial" w:hAnsi="Arial" w:cs="Arial"/>
                <w:sz w:val="24"/>
                <w:szCs w:val="24"/>
              </w:rPr>
              <w:t xml:space="preserve">to the Receiver of Revenue. Mr Karstens submits that the plaintiff, in any event will need to present evidence as to the alleged </w:t>
            </w:r>
            <w:r w:rsidR="0083108B" w:rsidRPr="0083108B">
              <w:rPr>
                <w:rFonts w:ascii="Arial" w:hAnsi="Arial" w:cs="Arial"/>
                <w:sz w:val="24"/>
                <w:szCs w:val="24"/>
              </w:rPr>
              <w:lastRenderedPageBreak/>
              <w:t>damages in the alleged amount of N$26 119.50 and how such an amount was calculated and arrived at.</w:t>
            </w:r>
          </w:p>
          <w:p w:rsidR="0083108B" w:rsidRPr="0083108B" w:rsidRDefault="0083108B" w:rsidP="005D1F25">
            <w:pPr>
              <w:spacing w:line="360" w:lineRule="auto"/>
              <w:jc w:val="both"/>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Legal considerations</w:t>
            </w:r>
          </w:p>
          <w:p w:rsidR="0083108B" w:rsidRPr="0083108B" w:rsidRDefault="0083108B" w:rsidP="005D1F25">
            <w:pPr>
              <w:spacing w:line="360" w:lineRule="auto"/>
              <w:rPr>
                <w:rFonts w:ascii="Arial" w:hAnsi="Arial" w:cs="Arial"/>
                <w:sz w:val="24"/>
                <w:szCs w:val="24"/>
                <w:u w:val="single"/>
              </w:rPr>
            </w:pPr>
          </w:p>
          <w:p w:rsidR="0083108B" w:rsidRPr="0083108B" w:rsidRDefault="0083108B" w:rsidP="005D1F25">
            <w:pPr>
              <w:numPr>
                <w:ilvl w:val="0"/>
                <w:numId w:val="6"/>
              </w:numPr>
              <w:spacing w:line="360" w:lineRule="auto"/>
              <w:ind w:left="0" w:firstLine="0"/>
              <w:contextualSpacing/>
              <w:jc w:val="both"/>
              <w:rPr>
                <w:rFonts w:ascii="Arial" w:eastAsia="MS Mincho" w:hAnsi="Arial"/>
                <w:sz w:val="24"/>
                <w:szCs w:val="24"/>
                <w:lang w:val="en-GB"/>
              </w:rPr>
            </w:pPr>
            <w:r w:rsidRPr="0083108B">
              <w:rPr>
                <w:rFonts w:ascii="Arial" w:eastAsia="MS Mincho" w:hAnsi="Arial"/>
                <w:sz w:val="24"/>
                <w:szCs w:val="24"/>
                <w:lang w:val="en-GB"/>
              </w:rPr>
              <w:t xml:space="preserve">In </w:t>
            </w:r>
            <w:r w:rsidRPr="0083108B">
              <w:rPr>
                <w:rFonts w:ascii="Arial" w:eastAsia="MS Mincho" w:hAnsi="Arial"/>
                <w:i/>
                <w:sz w:val="24"/>
                <w:szCs w:val="24"/>
                <w:lang w:val="en-GB"/>
              </w:rPr>
              <w:t>Standard Bank of Namibia Limited v Veldsman</w:t>
            </w:r>
            <w:r w:rsidRPr="0083108B">
              <w:rPr>
                <w:vertAlign w:val="superscript"/>
                <w:lang w:val="en-GB"/>
              </w:rPr>
              <w:footnoteReference w:id="1"/>
            </w:r>
            <w:r w:rsidRPr="0083108B">
              <w:rPr>
                <w:rFonts w:ascii="Arial" w:eastAsia="MS Mincho" w:hAnsi="Arial"/>
                <w:i/>
                <w:sz w:val="24"/>
                <w:szCs w:val="24"/>
                <w:lang w:val="en-GB"/>
              </w:rPr>
              <w:t xml:space="preserve"> </w:t>
            </w:r>
            <w:r w:rsidRPr="0083108B">
              <w:rPr>
                <w:rFonts w:ascii="Arial" w:eastAsia="MS Mincho" w:hAnsi="Arial"/>
                <w:sz w:val="24"/>
                <w:szCs w:val="24"/>
                <w:lang w:val="en-GB"/>
              </w:rPr>
              <w:t>the court opined as follows:</w:t>
            </w:r>
          </w:p>
          <w:p w:rsidR="0083108B" w:rsidRPr="0083108B" w:rsidRDefault="0083108B" w:rsidP="0083108B">
            <w:pPr>
              <w:spacing w:line="360" w:lineRule="auto"/>
              <w:jc w:val="both"/>
              <w:rPr>
                <w:rFonts w:ascii="Arial" w:eastAsia="MS Mincho" w:hAnsi="Arial"/>
                <w:sz w:val="24"/>
                <w:szCs w:val="24"/>
                <w:lang w:val="en-GB"/>
              </w:rPr>
            </w:pPr>
          </w:p>
          <w:p w:rsidR="0083108B" w:rsidRPr="0083108B" w:rsidRDefault="0083108B" w:rsidP="0083108B">
            <w:pPr>
              <w:spacing w:line="360" w:lineRule="auto"/>
              <w:ind w:firstLine="720"/>
              <w:jc w:val="both"/>
              <w:rPr>
                <w:rFonts w:ascii="Arial" w:eastAsia="MS Mincho" w:hAnsi="Arial"/>
                <w:lang w:val="en-GB"/>
              </w:rPr>
            </w:pPr>
            <w:r w:rsidRPr="0083108B">
              <w:rPr>
                <w:rFonts w:ascii="Arial" w:eastAsia="MS Mincho" w:hAnsi="Arial"/>
                <w:lang w:val="en-GB"/>
              </w:rPr>
              <w:t>‘Summary judgment should only be granted if it is clear that the plaintiff has an unanswerable case’</w:t>
            </w:r>
            <w:r w:rsidRPr="0083108B">
              <w:rPr>
                <w:rFonts w:ascii="Arial" w:eastAsia="MS Mincho" w:hAnsi="Arial"/>
                <w:vertAlign w:val="superscript"/>
                <w:lang w:val="en-GB"/>
              </w:rPr>
              <w:footnoteReference w:id="2"/>
            </w:r>
          </w:p>
          <w:p w:rsidR="0083108B" w:rsidRPr="0083108B" w:rsidRDefault="0083108B" w:rsidP="0083108B">
            <w:pPr>
              <w:spacing w:line="360" w:lineRule="auto"/>
              <w:jc w:val="both"/>
              <w:rPr>
                <w:rFonts w:ascii="Arial" w:eastAsia="MS Mincho" w:hAnsi="Arial"/>
                <w:lang w:val="en-GB"/>
              </w:rPr>
            </w:pPr>
          </w:p>
          <w:p w:rsidR="0083108B" w:rsidRPr="0083108B" w:rsidRDefault="0083108B" w:rsidP="0083108B">
            <w:pPr>
              <w:numPr>
                <w:ilvl w:val="0"/>
                <w:numId w:val="6"/>
              </w:numPr>
              <w:spacing w:line="360" w:lineRule="auto"/>
              <w:ind w:left="0" w:firstLine="0"/>
              <w:contextualSpacing/>
              <w:jc w:val="both"/>
              <w:rPr>
                <w:rFonts w:ascii="Arial" w:eastAsia="MS Mincho" w:hAnsi="Arial"/>
                <w:sz w:val="24"/>
                <w:szCs w:val="24"/>
                <w:lang w:val="en-GB"/>
              </w:rPr>
            </w:pPr>
            <w:r w:rsidRPr="0083108B">
              <w:rPr>
                <w:rFonts w:ascii="Arial" w:eastAsia="MS Mincho" w:hAnsi="Arial"/>
                <w:sz w:val="24"/>
                <w:szCs w:val="24"/>
                <w:lang w:val="en-GB"/>
              </w:rPr>
              <w:t xml:space="preserve">In the instant matter, the defendants deposed to facts which, if true, would establish a defence. The defendants gave a disclosure of the nature and grounds of the defence and the facts they rely upon. As if that is not enough, the defendants dispute the facts alleged by the plaintiff. </w:t>
            </w:r>
          </w:p>
          <w:p w:rsidR="0083108B" w:rsidRPr="0083108B" w:rsidRDefault="0083108B" w:rsidP="0083108B">
            <w:pPr>
              <w:spacing w:line="360" w:lineRule="auto"/>
              <w:jc w:val="both"/>
              <w:rPr>
                <w:rFonts w:ascii="Arial" w:eastAsia="MS Mincho" w:hAnsi="Arial"/>
                <w:sz w:val="24"/>
                <w:szCs w:val="24"/>
                <w:lang w:val="en-GB"/>
              </w:rPr>
            </w:pPr>
          </w:p>
          <w:p w:rsidR="0083108B" w:rsidRPr="0083108B" w:rsidRDefault="0083108B" w:rsidP="0083108B">
            <w:pPr>
              <w:numPr>
                <w:ilvl w:val="0"/>
                <w:numId w:val="6"/>
              </w:numPr>
              <w:spacing w:line="360" w:lineRule="auto"/>
              <w:ind w:left="0" w:firstLine="0"/>
              <w:contextualSpacing/>
              <w:jc w:val="both"/>
              <w:rPr>
                <w:rFonts w:ascii="Arial" w:eastAsia="MS Mincho" w:hAnsi="Arial"/>
                <w:sz w:val="24"/>
                <w:szCs w:val="24"/>
                <w:lang w:val="en-GB"/>
              </w:rPr>
            </w:pPr>
            <w:r w:rsidRPr="0083108B">
              <w:rPr>
                <w:rFonts w:ascii="Arial" w:eastAsia="MS Mincho" w:hAnsi="Arial"/>
                <w:sz w:val="24"/>
                <w:szCs w:val="24"/>
                <w:lang w:val="en-GB"/>
              </w:rPr>
              <w:t xml:space="preserve">In </w:t>
            </w:r>
            <w:r w:rsidRPr="0083108B">
              <w:rPr>
                <w:rFonts w:ascii="Arial" w:eastAsia="MS Mincho" w:hAnsi="Arial"/>
                <w:i/>
                <w:sz w:val="24"/>
                <w:szCs w:val="24"/>
                <w:lang w:val="en-GB"/>
              </w:rPr>
              <w:t>Government of the Republic of Namibia v Gertze</w:t>
            </w:r>
            <w:r w:rsidRPr="0083108B">
              <w:rPr>
                <w:vertAlign w:val="superscript"/>
                <w:lang w:val="en-GB"/>
              </w:rPr>
              <w:footnoteReference w:id="3"/>
            </w:r>
            <w:r w:rsidRPr="0083108B">
              <w:rPr>
                <w:rFonts w:ascii="Arial" w:eastAsia="MS Mincho" w:hAnsi="Arial"/>
                <w:i/>
                <w:sz w:val="24"/>
                <w:szCs w:val="24"/>
                <w:lang w:val="en-GB"/>
              </w:rPr>
              <w:t xml:space="preserve"> </w:t>
            </w:r>
            <w:r w:rsidRPr="0083108B">
              <w:rPr>
                <w:rFonts w:ascii="Arial" w:eastAsia="MS Mincho" w:hAnsi="Arial"/>
                <w:sz w:val="24"/>
                <w:szCs w:val="24"/>
                <w:lang w:val="en-GB"/>
              </w:rPr>
              <w:t>the court had the following to say:</w:t>
            </w:r>
          </w:p>
          <w:p w:rsidR="0083108B" w:rsidRPr="0083108B" w:rsidRDefault="0083108B" w:rsidP="0083108B">
            <w:pPr>
              <w:spacing w:line="360" w:lineRule="auto"/>
              <w:jc w:val="both"/>
              <w:rPr>
                <w:rFonts w:ascii="Arial" w:eastAsia="MS Mincho" w:hAnsi="Arial"/>
                <w:sz w:val="24"/>
                <w:szCs w:val="24"/>
                <w:lang w:val="en-GB"/>
              </w:rPr>
            </w:pPr>
          </w:p>
          <w:p w:rsidR="0083108B" w:rsidRPr="0083108B" w:rsidRDefault="0083108B" w:rsidP="0083108B">
            <w:pPr>
              <w:spacing w:line="360" w:lineRule="auto"/>
              <w:ind w:firstLine="720"/>
              <w:jc w:val="both"/>
              <w:rPr>
                <w:rFonts w:ascii="Arial" w:eastAsia="MS Mincho" w:hAnsi="Arial"/>
                <w:lang w:val="en-GB"/>
              </w:rPr>
            </w:pPr>
            <w:r w:rsidRPr="0083108B">
              <w:rPr>
                <w:rFonts w:ascii="Arial" w:eastAsia="MS Mincho" w:hAnsi="Arial"/>
                <w:lang w:val="en-GB"/>
              </w:rPr>
              <w:t>‘The quest for summary judgment is based on a trite argument that there are no triable issues of fact and the motion is initiated by a plaintiff that contends that all the necessary factual issues are settled and, therefore, need not be tried. If there are triable issues of fact in any cause of action or if it is unclear whether there are such triable issues, summary judgment must be refused as to that cause of action…’</w:t>
            </w:r>
          </w:p>
          <w:p w:rsidR="0083108B" w:rsidRPr="0083108B" w:rsidRDefault="0083108B" w:rsidP="0083108B">
            <w:pPr>
              <w:spacing w:line="360" w:lineRule="auto"/>
              <w:jc w:val="both"/>
              <w:rPr>
                <w:rFonts w:ascii="Arial" w:eastAsia="MS Mincho" w:hAnsi="Arial"/>
                <w:sz w:val="24"/>
                <w:szCs w:val="24"/>
                <w:lang w:val="en-GB"/>
              </w:rPr>
            </w:pPr>
          </w:p>
          <w:p w:rsidR="0083108B" w:rsidRPr="0083108B" w:rsidRDefault="0083108B" w:rsidP="0083108B">
            <w:pPr>
              <w:numPr>
                <w:ilvl w:val="0"/>
                <w:numId w:val="6"/>
              </w:numPr>
              <w:spacing w:line="360" w:lineRule="auto"/>
              <w:ind w:left="0" w:firstLine="0"/>
              <w:contextualSpacing/>
              <w:jc w:val="both"/>
              <w:rPr>
                <w:rFonts w:ascii="Arial" w:eastAsia="MS Mincho" w:hAnsi="Arial"/>
                <w:sz w:val="24"/>
                <w:szCs w:val="24"/>
                <w:lang w:val="en-GB"/>
              </w:rPr>
            </w:pPr>
            <w:r w:rsidRPr="0083108B">
              <w:rPr>
                <w:rFonts w:ascii="Arial" w:eastAsia="MS Mincho" w:hAnsi="Arial"/>
                <w:sz w:val="24"/>
                <w:szCs w:val="24"/>
                <w:lang w:val="en-GB"/>
              </w:rPr>
              <w:t xml:space="preserve">Similarly, it was held in </w:t>
            </w:r>
            <w:r w:rsidRPr="0083108B">
              <w:rPr>
                <w:rFonts w:ascii="Arial" w:eastAsia="MS Mincho" w:hAnsi="Arial"/>
                <w:i/>
                <w:sz w:val="24"/>
                <w:szCs w:val="24"/>
                <w:lang w:val="en-GB"/>
              </w:rPr>
              <w:t>Kramp v Rostami</w:t>
            </w:r>
            <w:r w:rsidRPr="0083108B">
              <w:rPr>
                <w:vertAlign w:val="superscript"/>
                <w:lang w:val="en-GB"/>
              </w:rPr>
              <w:footnoteReference w:id="4"/>
            </w:r>
            <w:r w:rsidRPr="0083108B">
              <w:rPr>
                <w:rFonts w:ascii="Arial" w:eastAsia="MS Mincho" w:hAnsi="Arial"/>
                <w:i/>
                <w:sz w:val="24"/>
                <w:szCs w:val="24"/>
                <w:lang w:val="en-GB"/>
              </w:rPr>
              <w:t xml:space="preserve"> </w:t>
            </w:r>
            <w:r w:rsidRPr="0083108B">
              <w:rPr>
                <w:rFonts w:ascii="Arial" w:eastAsia="MS Mincho" w:hAnsi="Arial"/>
                <w:sz w:val="24"/>
                <w:szCs w:val="24"/>
                <w:lang w:val="en-GB"/>
              </w:rPr>
              <w:t>that:</w:t>
            </w:r>
          </w:p>
          <w:p w:rsidR="0083108B" w:rsidRPr="0083108B" w:rsidRDefault="0083108B" w:rsidP="0083108B">
            <w:pPr>
              <w:spacing w:line="360" w:lineRule="auto"/>
              <w:jc w:val="both"/>
              <w:rPr>
                <w:rFonts w:ascii="Arial" w:eastAsia="MS Mincho" w:hAnsi="Arial"/>
                <w:sz w:val="24"/>
                <w:szCs w:val="24"/>
                <w:lang w:val="en-GB"/>
              </w:rPr>
            </w:pPr>
          </w:p>
          <w:p w:rsidR="0083108B" w:rsidRPr="0083108B" w:rsidRDefault="0083108B" w:rsidP="0083108B">
            <w:pPr>
              <w:spacing w:line="360" w:lineRule="auto"/>
              <w:ind w:firstLine="720"/>
              <w:jc w:val="both"/>
              <w:rPr>
                <w:rFonts w:ascii="Arial" w:eastAsia="MS Mincho" w:hAnsi="Arial"/>
                <w:lang w:val="en-GB"/>
              </w:rPr>
            </w:pPr>
            <w:r w:rsidRPr="0083108B">
              <w:rPr>
                <w:rFonts w:ascii="Arial" w:eastAsia="MS Mincho" w:hAnsi="Arial"/>
                <w:lang w:val="en-GB"/>
              </w:rPr>
              <w:t xml:space="preserve">‘The test in an application of this nature is for the respondent (defendant) to set out a </w:t>
            </w:r>
            <w:r w:rsidRPr="0083108B">
              <w:rPr>
                <w:rFonts w:ascii="Arial" w:eastAsia="MS Mincho" w:hAnsi="Arial"/>
                <w:i/>
                <w:lang w:val="en-GB"/>
              </w:rPr>
              <w:t xml:space="preserve">bona fide </w:t>
            </w:r>
            <w:r w:rsidRPr="0083108B">
              <w:rPr>
                <w:rFonts w:ascii="Arial" w:eastAsia="MS Mincho" w:hAnsi="Arial"/>
                <w:lang w:val="en-GB"/>
              </w:rPr>
              <w:t xml:space="preserve">defence in his answering affidavit. There is no onus on him apart from setting out the facts which in the absence of a trial would satisfy the court that he has a </w:t>
            </w:r>
            <w:r w:rsidRPr="0083108B">
              <w:rPr>
                <w:rFonts w:ascii="Arial" w:eastAsia="MS Mincho" w:hAnsi="Arial"/>
                <w:i/>
                <w:lang w:val="en-GB"/>
              </w:rPr>
              <w:t xml:space="preserve">bona fide </w:t>
            </w:r>
            <w:r w:rsidRPr="0083108B">
              <w:rPr>
                <w:rFonts w:ascii="Arial" w:eastAsia="MS Mincho" w:hAnsi="Arial"/>
                <w:lang w:val="en-GB"/>
              </w:rPr>
              <w:t xml:space="preserve">defence in order to entitle the court to decline applicant’s application for summary judgment.’ </w:t>
            </w:r>
          </w:p>
          <w:p w:rsidR="0083108B" w:rsidRPr="0083108B" w:rsidRDefault="0083108B" w:rsidP="0083108B">
            <w:pPr>
              <w:spacing w:line="360" w:lineRule="auto"/>
              <w:jc w:val="both"/>
              <w:rPr>
                <w:rFonts w:ascii="Arial" w:eastAsia="MS Mincho" w:hAnsi="Arial"/>
                <w:lang w:val="en-GB"/>
              </w:rPr>
            </w:pPr>
          </w:p>
          <w:p w:rsidR="0083108B" w:rsidRPr="0083108B" w:rsidRDefault="0083108B" w:rsidP="0083108B">
            <w:pPr>
              <w:numPr>
                <w:ilvl w:val="0"/>
                <w:numId w:val="6"/>
              </w:numPr>
              <w:spacing w:line="360" w:lineRule="auto"/>
              <w:ind w:left="0" w:firstLine="0"/>
              <w:contextualSpacing/>
              <w:jc w:val="both"/>
              <w:rPr>
                <w:rFonts w:ascii="Arial" w:eastAsia="MS Mincho" w:hAnsi="Arial"/>
                <w:sz w:val="24"/>
                <w:szCs w:val="24"/>
                <w:lang w:val="en-GB"/>
              </w:rPr>
            </w:pPr>
            <w:r w:rsidRPr="0083108B">
              <w:rPr>
                <w:rFonts w:ascii="Arial" w:eastAsia="MS Mincho" w:hAnsi="Arial"/>
                <w:sz w:val="24"/>
                <w:szCs w:val="24"/>
                <w:lang w:val="en-GB"/>
              </w:rPr>
              <w:lastRenderedPageBreak/>
              <w:t xml:space="preserve">In </w:t>
            </w:r>
            <w:r w:rsidRPr="0083108B">
              <w:rPr>
                <w:rFonts w:ascii="Arial" w:eastAsia="MS Mincho" w:hAnsi="Arial"/>
                <w:i/>
                <w:sz w:val="24"/>
                <w:szCs w:val="24"/>
                <w:lang w:val="en-GB"/>
              </w:rPr>
              <w:t>Standard Bank of SA Limited v Park Boulevard Trading CC and Another</w:t>
            </w:r>
            <w:r w:rsidRPr="0083108B">
              <w:rPr>
                <w:vertAlign w:val="superscript"/>
                <w:lang w:val="en-GB"/>
              </w:rPr>
              <w:footnoteReference w:id="5"/>
            </w:r>
            <w:r w:rsidRPr="0083108B">
              <w:rPr>
                <w:rFonts w:ascii="Arial" w:eastAsia="MS Mincho" w:hAnsi="Arial"/>
                <w:i/>
                <w:sz w:val="24"/>
                <w:szCs w:val="24"/>
                <w:lang w:val="en-GB"/>
              </w:rPr>
              <w:t xml:space="preserve"> </w:t>
            </w:r>
            <w:r w:rsidRPr="0083108B">
              <w:rPr>
                <w:rFonts w:ascii="Arial" w:eastAsia="MS Mincho" w:hAnsi="Arial"/>
                <w:sz w:val="24"/>
                <w:szCs w:val="24"/>
                <w:lang w:val="en-GB"/>
              </w:rPr>
              <w:t>the applicable law was stated as follows:</w:t>
            </w:r>
          </w:p>
          <w:p w:rsidR="0083108B" w:rsidRPr="0083108B" w:rsidRDefault="0083108B" w:rsidP="0083108B">
            <w:pPr>
              <w:spacing w:line="360" w:lineRule="auto"/>
              <w:jc w:val="both"/>
              <w:rPr>
                <w:rFonts w:ascii="Arial" w:eastAsia="MS Mincho" w:hAnsi="Arial"/>
                <w:sz w:val="16"/>
                <w:szCs w:val="24"/>
                <w:lang w:val="en-GB"/>
              </w:rPr>
            </w:pPr>
          </w:p>
          <w:p w:rsidR="0083108B" w:rsidRPr="0083108B" w:rsidRDefault="0083108B" w:rsidP="0083108B">
            <w:pPr>
              <w:spacing w:line="360" w:lineRule="auto"/>
              <w:jc w:val="both"/>
              <w:rPr>
                <w:rFonts w:ascii="Arial" w:eastAsia="MS Mincho" w:hAnsi="Arial"/>
                <w:lang w:val="en-GB"/>
              </w:rPr>
            </w:pPr>
            <w:r w:rsidRPr="0083108B">
              <w:rPr>
                <w:rFonts w:ascii="Arial" w:eastAsia="MS Mincho" w:hAnsi="Arial"/>
                <w:sz w:val="24"/>
                <w:szCs w:val="24"/>
                <w:lang w:val="en-GB"/>
              </w:rPr>
              <w:tab/>
              <w:t>‘</w:t>
            </w:r>
            <w:r w:rsidRPr="0083108B">
              <w:rPr>
                <w:rFonts w:ascii="Arial" w:eastAsia="MS Mincho" w:hAnsi="Arial"/>
                <w:lang w:val="en-GB"/>
              </w:rPr>
              <w:t xml:space="preserve">In a summary judgment application, where the question of whether the respondent has a </w:t>
            </w:r>
            <w:r w:rsidRPr="0083108B">
              <w:rPr>
                <w:rFonts w:ascii="Arial" w:eastAsia="MS Mincho" w:hAnsi="Arial"/>
                <w:i/>
                <w:lang w:val="en-GB"/>
              </w:rPr>
              <w:t xml:space="preserve">bona fide </w:t>
            </w:r>
            <w:r w:rsidRPr="0083108B">
              <w:rPr>
                <w:rFonts w:ascii="Arial" w:eastAsia="MS Mincho" w:hAnsi="Arial"/>
                <w:lang w:val="en-GB"/>
              </w:rPr>
              <w:t>defence arises, the court does not attempt to decide the issues or to determine whether or not there is a balance of probabilities in favour of the one party or the other. The respondent is also not required to persuade the court of the correctness of the facts stated by him or her or where the facts are disputed, that there is a preponderance of probabilities in his or her favour. All that a court requires, in deciding whether the respondent has set out a bona fide defence, is:</w:t>
            </w:r>
          </w:p>
          <w:p w:rsidR="0083108B" w:rsidRPr="0083108B" w:rsidRDefault="0083108B" w:rsidP="0083108B">
            <w:pPr>
              <w:spacing w:line="360" w:lineRule="auto"/>
              <w:jc w:val="both"/>
              <w:rPr>
                <w:rFonts w:ascii="Arial" w:eastAsia="MS Mincho" w:hAnsi="Arial"/>
                <w:lang w:val="en-GB"/>
              </w:rPr>
            </w:pPr>
          </w:p>
          <w:p w:rsidR="0083108B" w:rsidRPr="0083108B" w:rsidRDefault="0083108B" w:rsidP="0083108B">
            <w:pPr>
              <w:numPr>
                <w:ilvl w:val="0"/>
                <w:numId w:val="5"/>
              </w:numPr>
              <w:spacing w:line="360" w:lineRule="auto"/>
              <w:contextualSpacing/>
              <w:jc w:val="both"/>
              <w:rPr>
                <w:rFonts w:ascii="Arial" w:eastAsia="MS Mincho" w:hAnsi="Arial"/>
                <w:lang w:val="en-GB"/>
              </w:rPr>
            </w:pPr>
            <w:r w:rsidRPr="0083108B">
              <w:rPr>
                <w:rFonts w:ascii="Arial" w:eastAsia="MS Mincho" w:hAnsi="Arial"/>
                <w:lang w:val="en-GB"/>
              </w:rPr>
              <w:t>whether the respondent has disclosed the nature and grounds of his or her defence; and</w:t>
            </w:r>
          </w:p>
          <w:p w:rsidR="0083108B" w:rsidRPr="0083108B" w:rsidRDefault="0083108B" w:rsidP="0083108B">
            <w:pPr>
              <w:numPr>
                <w:ilvl w:val="0"/>
                <w:numId w:val="5"/>
              </w:numPr>
              <w:spacing w:line="360" w:lineRule="auto"/>
              <w:contextualSpacing/>
              <w:jc w:val="both"/>
              <w:rPr>
                <w:rFonts w:ascii="Arial" w:eastAsia="MS Mincho" w:hAnsi="Arial"/>
                <w:lang w:val="en-GB"/>
              </w:rPr>
            </w:pPr>
            <w:r w:rsidRPr="0083108B">
              <w:rPr>
                <w:rFonts w:ascii="Arial" w:eastAsia="MS Mincho" w:hAnsi="Arial"/>
                <w:lang w:val="en-GB"/>
              </w:rPr>
              <w:t xml:space="preserve">whether on the facts so disclosed the respondent appears to have, a defence which is bona fide and good in law. It is sufficient if the respondent swears to a defence, valid in law, which if advanced, may succeed on </w:t>
            </w:r>
            <w:r w:rsidR="0083351F">
              <w:rPr>
                <w:rFonts w:ascii="Arial" w:eastAsia="MS Mincho" w:hAnsi="Arial"/>
                <w:lang w:val="en-GB"/>
              </w:rPr>
              <w:t>trial.’</w:t>
            </w:r>
          </w:p>
          <w:p w:rsidR="0083108B" w:rsidRPr="0083108B" w:rsidRDefault="0083108B" w:rsidP="0083108B">
            <w:pPr>
              <w:spacing w:line="360" w:lineRule="auto"/>
              <w:ind w:left="740"/>
              <w:contextualSpacing/>
              <w:jc w:val="both"/>
              <w:rPr>
                <w:rFonts w:ascii="Arial" w:eastAsia="MS Mincho" w:hAnsi="Arial"/>
                <w:lang w:val="en-GB"/>
              </w:rPr>
            </w:pPr>
          </w:p>
          <w:p w:rsidR="0083108B" w:rsidRPr="0083108B" w:rsidRDefault="0083108B" w:rsidP="0083108B">
            <w:pPr>
              <w:numPr>
                <w:ilvl w:val="0"/>
                <w:numId w:val="6"/>
              </w:numPr>
              <w:spacing w:line="360" w:lineRule="auto"/>
              <w:ind w:left="0" w:firstLine="0"/>
              <w:jc w:val="both"/>
              <w:rPr>
                <w:rFonts w:ascii="Arial" w:eastAsia="Times New Roman" w:hAnsi="Arial" w:cs="Arial"/>
                <w:color w:val="000000"/>
                <w:sz w:val="24"/>
                <w:szCs w:val="24"/>
              </w:rPr>
            </w:pPr>
            <w:r w:rsidRPr="0083108B">
              <w:rPr>
                <w:rFonts w:ascii="Arial" w:eastAsia="Times New Roman" w:hAnsi="Arial" w:cs="Arial"/>
                <w:color w:val="000000"/>
                <w:sz w:val="24"/>
                <w:szCs w:val="24"/>
              </w:rPr>
              <w:t xml:space="preserve">It has been said without number and put beyond dispute that summary judgment is a drastic civil procedure engaged by the creditor for the speedy recovery of what is due to it for a liquidated amount of money. The claim may be based on a liquidated document. The aforesaid drastic nature of this application cannot be overemphasized as it literally entails that once the application is granted the defendant is shut out of court so to speak. It is therefore critical that a court should carefully evaluate the application, the merit of the opposition and the defences raised in the quest to attain justice. </w:t>
            </w:r>
          </w:p>
          <w:p w:rsidR="0083108B" w:rsidRPr="0083108B" w:rsidRDefault="0083108B" w:rsidP="0083108B">
            <w:pPr>
              <w:spacing w:line="360" w:lineRule="auto"/>
              <w:contextualSpacing/>
              <w:jc w:val="both"/>
              <w:rPr>
                <w:rFonts w:ascii="Arial" w:eastAsia="MS Mincho" w:hAnsi="Arial"/>
                <w:lang w:val="en-GB"/>
              </w:rPr>
            </w:pPr>
          </w:p>
          <w:p w:rsidR="0083108B" w:rsidRPr="0083108B" w:rsidRDefault="0083108B" w:rsidP="0083108B">
            <w:pPr>
              <w:spacing w:line="360" w:lineRule="auto"/>
              <w:contextualSpacing/>
              <w:jc w:val="both"/>
              <w:rPr>
                <w:rFonts w:ascii="Arial" w:eastAsia="MS Mincho" w:hAnsi="Arial"/>
                <w:sz w:val="24"/>
                <w:szCs w:val="24"/>
                <w:u w:val="single"/>
                <w:lang w:val="en-GB"/>
              </w:rPr>
            </w:pPr>
            <w:r w:rsidRPr="0083108B">
              <w:rPr>
                <w:rFonts w:ascii="Arial" w:eastAsia="MS Mincho" w:hAnsi="Arial"/>
                <w:sz w:val="24"/>
                <w:szCs w:val="24"/>
                <w:u w:val="single"/>
                <w:lang w:val="en-GB"/>
              </w:rPr>
              <w:t xml:space="preserve">Discussion </w:t>
            </w:r>
          </w:p>
          <w:p w:rsidR="0083108B" w:rsidRPr="0083108B" w:rsidRDefault="0083108B" w:rsidP="0083108B">
            <w:pPr>
              <w:spacing w:line="360" w:lineRule="auto"/>
              <w:contextualSpacing/>
              <w:jc w:val="both"/>
              <w:rPr>
                <w:rFonts w:ascii="Arial" w:eastAsia="MS Mincho" w:hAnsi="Arial"/>
                <w:sz w:val="24"/>
                <w:szCs w:val="24"/>
                <w:u w:val="single"/>
                <w:lang w:val="en-GB"/>
              </w:rPr>
            </w:pPr>
          </w:p>
          <w:p w:rsidR="0083108B" w:rsidRPr="0083108B" w:rsidRDefault="0083108B" w:rsidP="0083108B">
            <w:pPr>
              <w:numPr>
                <w:ilvl w:val="0"/>
                <w:numId w:val="6"/>
              </w:numPr>
              <w:spacing w:line="360" w:lineRule="auto"/>
              <w:ind w:left="0" w:firstLine="0"/>
              <w:contextualSpacing/>
              <w:jc w:val="both"/>
              <w:rPr>
                <w:rFonts w:ascii="Arial" w:eastAsia="Times New Roman" w:hAnsi="Arial" w:cs="Arial"/>
                <w:color w:val="000000"/>
                <w:sz w:val="24"/>
                <w:szCs w:val="24"/>
              </w:rPr>
            </w:pPr>
            <w:r w:rsidRPr="0083108B">
              <w:rPr>
                <w:rFonts w:ascii="Arial" w:eastAsia="Times New Roman" w:hAnsi="Arial" w:cs="Arial"/>
                <w:color w:val="000000"/>
                <w:sz w:val="24"/>
                <w:szCs w:val="24"/>
              </w:rPr>
              <w:t xml:space="preserve">In the current matter the defence put forward by the respondent is that they indeed paid over the money recovered as VAT to the Receiver of Revenue as income tax and that they were advised to do so by the representatives of the Receiver of Revenue when they approached them for advice.  The money did not go into their own pockets but went to the Receiver of Revenue.  </w:t>
            </w:r>
          </w:p>
          <w:p w:rsidR="0083108B" w:rsidRPr="0083108B" w:rsidRDefault="0083108B" w:rsidP="0083108B">
            <w:pPr>
              <w:spacing w:line="360" w:lineRule="auto"/>
              <w:contextualSpacing/>
              <w:jc w:val="both"/>
              <w:rPr>
                <w:rFonts w:ascii="Arial" w:eastAsia="Times New Roman" w:hAnsi="Arial" w:cs="Arial"/>
                <w:color w:val="000000"/>
                <w:sz w:val="24"/>
                <w:szCs w:val="24"/>
              </w:rPr>
            </w:pPr>
          </w:p>
          <w:p w:rsidR="0083108B" w:rsidRPr="0083108B" w:rsidRDefault="0083108B" w:rsidP="0083108B">
            <w:pPr>
              <w:numPr>
                <w:ilvl w:val="0"/>
                <w:numId w:val="6"/>
              </w:numPr>
              <w:spacing w:line="360" w:lineRule="auto"/>
              <w:ind w:left="0" w:firstLine="0"/>
              <w:contextualSpacing/>
              <w:jc w:val="both"/>
              <w:rPr>
                <w:rFonts w:ascii="Arial" w:eastAsia="Times New Roman" w:hAnsi="Arial" w:cs="Arial"/>
                <w:color w:val="000000"/>
                <w:sz w:val="24"/>
                <w:szCs w:val="24"/>
              </w:rPr>
            </w:pPr>
            <w:r w:rsidRPr="0083108B">
              <w:rPr>
                <w:rFonts w:ascii="Arial" w:eastAsia="Times New Roman" w:hAnsi="Arial" w:cs="Arial"/>
                <w:color w:val="000000"/>
                <w:sz w:val="24"/>
                <w:szCs w:val="24"/>
              </w:rPr>
              <w:lastRenderedPageBreak/>
              <w:t>The defendants’ explanation therefore amounts to a possible defence and they should therefore be granted the opportunity to defend the matter.</w:t>
            </w:r>
          </w:p>
          <w:p w:rsidR="0083108B" w:rsidRPr="0083108B" w:rsidRDefault="0083108B" w:rsidP="0083108B">
            <w:pPr>
              <w:rPr>
                <w:rFonts w:ascii="Arial" w:hAnsi="Arial" w:cs="Arial"/>
                <w:sz w:val="24"/>
                <w:szCs w:val="24"/>
                <w:u w:val="single"/>
              </w:rPr>
            </w:pPr>
          </w:p>
          <w:p w:rsidR="0083108B" w:rsidRPr="0083108B" w:rsidRDefault="0083108B" w:rsidP="0083108B">
            <w:pPr>
              <w:spacing w:line="360" w:lineRule="auto"/>
              <w:rPr>
                <w:rFonts w:ascii="Arial" w:hAnsi="Arial" w:cs="Arial"/>
                <w:sz w:val="24"/>
                <w:szCs w:val="24"/>
                <w:u w:val="single"/>
              </w:rPr>
            </w:pPr>
            <w:r w:rsidRPr="0083108B">
              <w:rPr>
                <w:rFonts w:ascii="Arial" w:hAnsi="Arial" w:cs="Arial"/>
                <w:sz w:val="24"/>
                <w:szCs w:val="24"/>
                <w:u w:val="single"/>
              </w:rPr>
              <w:t xml:space="preserve">Order </w:t>
            </w:r>
          </w:p>
          <w:p w:rsidR="0083108B" w:rsidRPr="0083108B" w:rsidRDefault="0083108B" w:rsidP="0083108B">
            <w:pPr>
              <w:spacing w:line="360" w:lineRule="auto"/>
              <w:rPr>
                <w:rFonts w:ascii="Arial" w:hAnsi="Arial" w:cs="Arial"/>
                <w:sz w:val="24"/>
                <w:szCs w:val="24"/>
                <w:u w:val="single"/>
              </w:rPr>
            </w:pPr>
          </w:p>
          <w:p w:rsidR="0083108B" w:rsidRPr="005D1F25" w:rsidRDefault="0083108B" w:rsidP="005D1F25">
            <w:pPr>
              <w:pStyle w:val="ListParagraph"/>
              <w:numPr>
                <w:ilvl w:val="0"/>
                <w:numId w:val="6"/>
              </w:numPr>
              <w:spacing w:after="0" w:line="240" w:lineRule="auto"/>
              <w:ind w:left="0" w:firstLine="0"/>
              <w:jc w:val="both"/>
              <w:rPr>
                <w:rFonts w:ascii="Arial" w:hAnsi="Arial" w:cs="Arial"/>
                <w:sz w:val="24"/>
              </w:rPr>
            </w:pPr>
            <w:r w:rsidRPr="005D1F25">
              <w:rPr>
                <w:rFonts w:ascii="Arial" w:hAnsi="Arial" w:cs="Arial"/>
                <w:sz w:val="24"/>
              </w:rPr>
              <w:t>In the result, I then make the following order:</w:t>
            </w:r>
          </w:p>
          <w:p w:rsidR="0083108B" w:rsidRPr="0083108B" w:rsidRDefault="0083108B" w:rsidP="0083108B">
            <w:pPr>
              <w:spacing w:line="360" w:lineRule="auto"/>
              <w:jc w:val="both"/>
              <w:rPr>
                <w:rFonts w:ascii="Arial" w:hAnsi="Arial" w:cs="Arial"/>
                <w:sz w:val="24"/>
              </w:rPr>
            </w:pPr>
          </w:p>
          <w:p w:rsidR="0083108B" w:rsidRPr="0083108B" w:rsidRDefault="0083108B" w:rsidP="005D1F25">
            <w:pPr>
              <w:numPr>
                <w:ilvl w:val="0"/>
                <w:numId w:val="8"/>
              </w:numPr>
              <w:spacing w:line="360" w:lineRule="auto"/>
              <w:contextualSpacing/>
              <w:jc w:val="both"/>
              <w:rPr>
                <w:rFonts w:ascii="Arial" w:hAnsi="Arial" w:cs="Arial"/>
                <w:sz w:val="24"/>
              </w:rPr>
            </w:pPr>
            <w:r w:rsidRPr="0083108B">
              <w:rPr>
                <w:rFonts w:ascii="Arial" w:hAnsi="Arial" w:cs="Arial"/>
                <w:sz w:val="24"/>
              </w:rPr>
              <w:t>The summary judgment application is dismissed with costs.</w:t>
            </w:r>
          </w:p>
          <w:p w:rsidR="0083108B" w:rsidRPr="0083108B" w:rsidRDefault="0083108B" w:rsidP="005D1F25">
            <w:pPr>
              <w:numPr>
                <w:ilvl w:val="0"/>
                <w:numId w:val="8"/>
              </w:numPr>
              <w:spacing w:line="360" w:lineRule="auto"/>
              <w:contextualSpacing/>
              <w:jc w:val="both"/>
              <w:rPr>
                <w:rFonts w:ascii="Arial" w:hAnsi="Arial" w:cs="Arial"/>
                <w:sz w:val="24"/>
              </w:rPr>
            </w:pPr>
            <w:r w:rsidRPr="0083108B">
              <w:rPr>
                <w:rFonts w:ascii="Arial" w:hAnsi="Arial" w:cs="Arial"/>
                <w:sz w:val="24"/>
              </w:rPr>
              <w:t>The defendants to file their plea on or before 19 September 2023</w:t>
            </w:r>
            <w:r w:rsidR="0083351F">
              <w:rPr>
                <w:rFonts w:ascii="Arial" w:hAnsi="Arial" w:cs="Arial"/>
                <w:sz w:val="24"/>
              </w:rPr>
              <w:t>.</w:t>
            </w:r>
          </w:p>
          <w:p w:rsidR="0083108B" w:rsidRPr="0083108B" w:rsidRDefault="0083108B" w:rsidP="005D1F25">
            <w:pPr>
              <w:numPr>
                <w:ilvl w:val="0"/>
                <w:numId w:val="8"/>
              </w:numPr>
              <w:spacing w:line="360" w:lineRule="auto"/>
              <w:contextualSpacing/>
              <w:jc w:val="both"/>
              <w:rPr>
                <w:rFonts w:ascii="Arial" w:hAnsi="Arial" w:cs="Arial"/>
                <w:sz w:val="24"/>
              </w:rPr>
            </w:pPr>
            <w:r w:rsidRPr="0083108B">
              <w:rPr>
                <w:rFonts w:ascii="Arial" w:hAnsi="Arial" w:cs="Arial"/>
                <w:sz w:val="24"/>
              </w:rPr>
              <w:t>The plaintiff to replicate to the plea on or before 26 September 2023</w:t>
            </w:r>
            <w:r w:rsidR="0083351F">
              <w:rPr>
                <w:rFonts w:ascii="Arial" w:hAnsi="Arial" w:cs="Arial"/>
                <w:sz w:val="24"/>
              </w:rPr>
              <w:t>.</w:t>
            </w:r>
          </w:p>
          <w:p w:rsidR="0083108B" w:rsidRPr="0083108B" w:rsidRDefault="0083108B" w:rsidP="005D1F25">
            <w:pPr>
              <w:numPr>
                <w:ilvl w:val="0"/>
                <w:numId w:val="8"/>
              </w:numPr>
              <w:spacing w:line="360" w:lineRule="auto"/>
              <w:contextualSpacing/>
              <w:jc w:val="both"/>
              <w:rPr>
                <w:rFonts w:ascii="Arial" w:hAnsi="Arial" w:cs="Arial"/>
                <w:sz w:val="24"/>
              </w:rPr>
            </w:pPr>
            <w:r w:rsidRPr="0083108B">
              <w:rPr>
                <w:rFonts w:ascii="Arial" w:hAnsi="Arial" w:cs="Arial"/>
                <w:sz w:val="24"/>
              </w:rPr>
              <w:t>The parties to file their discovery on or before 3 October 2023</w:t>
            </w:r>
            <w:r w:rsidR="0083351F">
              <w:rPr>
                <w:rFonts w:ascii="Arial" w:hAnsi="Arial" w:cs="Arial"/>
                <w:sz w:val="24"/>
              </w:rPr>
              <w:t>.</w:t>
            </w:r>
          </w:p>
          <w:p w:rsidR="0083108B" w:rsidRPr="0083108B" w:rsidRDefault="0083108B" w:rsidP="005D1F25">
            <w:pPr>
              <w:numPr>
                <w:ilvl w:val="0"/>
                <w:numId w:val="8"/>
              </w:numPr>
              <w:spacing w:line="360" w:lineRule="auto"/>
              <w:contextualSpacing/>
              <w:jc w:val="both"/>
              <w:rPr>
                <w:rFonts w:ascii="Arial" w:hAnsi="Arial" w:cs="Arial"/>
                <w:sz w:val="24"/>
              </w:rPr>
            </w:pPr>
            <w:r w:rsidRPr="0083108B">
              <w:rPr>
                <w:rFonts w:ascii="Arial" w:hAnsi="Arial" w:cs="Arial"/>
                <w:sz w:val="24"/>
              </w:rPr>
              <w:t xml:space="preserve">The matter is postponed for a case management conference on 10 October 2023 </w:t>
            </w:r>
            <w:r w:rsidR="009B022C">
              <w:rPr>
                <w:rFonts w:ascii="Arial" w:hAnsi="Arial" w:cs="Arial"/>
                <w:sz w:val="24"/>
              </w:rPr>
              <w:t>at 15:30</w:t>
            </w:r>
            <w:r w:rsidR="0083351F">
              <w:rPr>
                <w:rFonts w:ascii="Arial" w:hAnsi="Arial" w:cs="Arial"/>
                <w:sz w:val="24"/>
              </w:rPr>
              <w:t xml:space="preserve"> </w:t>
            </w:r>
            <w:r w:rsidRPr="0083108B">
              <w:rPr>
                <w:rFonts w:ascii="Arial" w:hAnsi="Arial" w:cs="Arial"/>
                <w:sz w:val="24"/>
              </w:rPr>
              <w:t xml:space="preserve">and the parties </w:t>
            </w:r>
            <w:r w:rsidR="000C3DA0">
              <w:rPr>
                <w:rFonts w:ascii="Arial" w:hAnsi="Arial" w:cs="Arial"/>
                <w:sz w:val="24"/>
              </w:rPr>
              <w:t xml:space="preserve">are </w:t>
            </w:r>
            <w:r w:rsidRPr="0083108B">
              <w:rPr>
                <w:rFonts w:ascii="Arial" w:hAnsi="Arial" w:cs="Arial"/>
                <w:sz w:val="24"/>
              </w:rPr>
              <w:t>to file their joint case management report on or before 5 October 2023.</w:t>
            </w:r>
          </w:p>
          <w:p w:rsidR="00552B6F" w:rsidRPr="00552B6F" w:rsidRDefault="00552B6F" w:rsidP="00552B6F">
            <w:pPr>
              <w:spacing w:line="360" w:lineRule="auto"/>
              <w:jc w:val="both"/>
              <w:rPr>
                <w:rFonts w:ascii="Arial" w:hAnsi="Arial" w:cs="Arial"/>
                <w:sz w:val="24"/>
                <w:szCs w:val="24"/>
              </w:rPr>
            </w:pPr>
          </w:p>
        </w:tc>
      </w:tr>
      <w:tr w:rsidR="00552B6F" w:rsidRPr="00552B6F" w:rsidTr="003F2DE7">
        <w:trPr>
          <w:trHeight w:val="421"/>
        </w:trPr>
        <w:tc>
          <w:tcPr>
            <w:tcW w:w="5245" w:type="dxa"/>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center"/>
              <w:rPr>
                <w:rFonts w:ascii="Arial" w:hAnsi="Arial" w:cs="Arial"/>
                <w:b/>
                <w:sz w:val="24"/>
                <w:szCs w:val="24"/>
              </w:rPr>
            </w:pPr>
            <w:r w:rsidRPr="00552B6F">
              <w:rPr>
                <w:rFonts w:ascii="Arial" w:hAnsi="Arial" w:cs="Arial"/>
                <w:b/>
                <w:sz w:val="24"/>
                <w:szCs w:val="24"/>
              </w:rPr>
              <w:lastRenderedPageBreak/>
              <w:t>Judge’s signature</w:t>
            </w:r>
          </w:p>
          <w:p w:rsidR="00552B6F" w:rsidRPr="00552B6F" w:rsidRDefault="00552B6F" w:rsidP="00552B6F">
            <w:pPr>
              <w:spacing w:line="360" w:lineRule="auto"/>
              <w:jc w:val="center"/>
              <w:rPr>
                <w:rFonts w:ascii="Arial" w:hAnsi="Arial" w:cs="Arial"/>
                <w:sz w:val="24"/>
                <w:szCs w:val="24"/>
              </w:rPr>
            </w:pPr>
          </w:p>
          <w:p w:rsidR="00552B6F" w:rsidRPr="00552B6F" w:rsidRDefault="00552B6F" w:rsidP="00552B6F">
            <w:pPr>
              <w:spacing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Note to the parties:</w:t>
            </w:r>
          </w:p>
        </w:tc>
      </w:tr>
      <w:tr w:rsidR="00552B6F" w:rsidRPr="00552B6F" w:rsidTr="003F2DE7">
        <w:trPr>
          <w:trHeight w:val="614"/>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RAKOW J</w:t>
            </w:r>
          </w:p>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Not applicable</w:t>
            </w:r>
          </w:p>
        </w:tc>
      </w:tr>
      <w:tr w:rsidR="00552B6F" w:rsidRPr="00552B6F" w:rsidTr="003F2DE7">
        <w:trPr>
          <w:trHeight w:val="471"/>
        </w:trPr>
        <w:tc>
          <w:tcPr>
            <w:tcW w:w="10490" w:type="dxa"/>
            <w:gridSpan w:val="3"/>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b/>
                <w:sz w:val="24"/>
                <w:szCs w:val="24"/>
              </w:rPr>
            </w:pPr>
            <w:r w:rsidRPr="00552B6F">
              <w:rPr>
                <w:rFonts w:ascii="Arial" w:hAnsi="Arial" w:cs="Arial"/>
                <w:b/>
                <w:sz w:val="24"/>
                <w:szCs w:val="24"/>
              </w:rPr>
              <w:t>Counsel:</w:t>
            </w:r>
          </w:p>
        </w:tc>
      </w:tr>
      <w:tr w:rsidR="00552B6F" w:rsidRPr="00552B6F" w:rsidTr="003F2DE7">
        <w:trPr>
          <w:trHeight w:val="329"/>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83351F" w:rsidP="00552B6F">
            <w:pPr>
              <w:spacing w:line="360" w:lineRule="auto"/>
              <w:jc w:val="center"/>
              <w:rPr>
                <w:rFonts w:ascii="Arial" w:hAnsi="Arial" w:cs="Arial"/>
                <w:b/>
                <w:sz w:val="24"/>
                <w:szCs w:val="24"/>
              </w:rPr>
            </w:pPr>
            <w:r>
              <w:rPr>
                <w:rFonts w:ascii="Arial" w:hAnsi="Arial" w:cs="Arial"/>
                <w:b/>
                <w:sz w:val="24"/>
                <w:szCs w:val="24"/>
              </w:rPr>
              <w:t>Plaintiff</w:t>
            </w:r>
            <w:r w:rsidR="00552B6F" w:rsidRPr="00552B6F">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83351F" w:rsidP="00552B6F">
            <w:pPr>
              <w:spacing w:line="360" w:lineRule="auto"/>
              <w:jc w:val="center"/>
              <w:rPr>
                <w:rFonts w:ascii="Arial" w:hAnsi="Arial" w:cs="Arial"/>
                <w:b/>
                <w:sz w:val="24"/>
                <w:szCs w:val="24"/>
              </w:rPr>
            </w:pPr>
            <w:r>
              <w:rPr>
                <w:rFonts w:ascii="Arial" w:eastAsia="Times New Roman" w:hAnsi="Arial" w:cs="Arial"/>
                <w:b/>
                <w:sz w:val="24"/>
                <w:szCs w:val="24"/>
                <w:lang w:eastAsia="en-GB"/>
              </w:rPr>
              <w:t>Defendant</w:t>
            </w:r>
            <w:r w:rsidR="00552B6F" w:rsidRPr="00552B6F">
              <w:rPr>
                <w:rFonts w:ascii="Arial" w:eastAsia="Times New Roman" w:hAnsi="Arial" w:cs="Arial"/>
                <w:sz w:val="24"/>
                <w:szCs w:val="24"/>
                <w:lang w:eastAsia="en-GB"/>
              </w:rPr>
              <w:t>:</w:t>
            </w:r>
          </w:p>
        </w:tc>
      </w:tr>
      <w:tr w:rsidR="00552B6F" w:rsidRPr="00552B6F" w:rsidTr="003F2DE7">
        <w:trPr>
          <w:trHeight w:val="1483"/>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5D1F25" w:rsidP="005D1F25">
            <w:pPr>
              <w:spacing w:line="276"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 Angula</w:t>
            </w:r>
          </w:p>
          <w:p w:rsidR="00552B6F" w:rsidRPr="00552B6F" w:rsidRDefault="00552B6F" w:rsidP="005D1F25">
            <w:pPr>
              <w:spacing w:line="276" w:lineRule="auto"/>
              <w:jc w:val="center"/>
              <w:rPr>
                <w:rFonts w:ascii="Arial" w:hAnsi="Arial" w:cs="Arial"/>
                <w:color w:val="000000" w:themeColor="text1"/>
                <w:sz w:val="24"/>
                <w:szCs w:val="24"/>
                <w:shd w:val="clear" w:color="auto" w:fill="FFFFFF"/>
              </w:rPr>
            </w:pPr>
            <w:r w:rsidRPr="00552B6F">
              <w:rPr>
                <w:rFonts w:ascii="Arial" w:hAnsi="Arial" w:cs="Arial"/>
                <w:color w:val="000000" w:themeColor="text1"/>
                <w:sz w:val="24"/>
                <w:szCs w:val="24"/>
                <w:shd w:val="clear" w:color="auto" w:fill="FFFFFF"/>
              </w:rPr>
              <w:t xml:space="preserve">Of </w:t>
            </w:r>
          </w:p>
          <w:p w:rsidR="00552B6F" w:rsidRPr="00552B6F" w:rsidRDefault="005D1F25" w:rsidP="005D1F25">
            <w:pPr>
              <w:tabs>
                <w:tab w:val="left" w:pos="1860"/>
              </w:tabs>
              <w:spacing w:line="276" w:lineRule="auto"/>
              <w:jc w:val="center"/>
              <w:rPr>
                <w:rFonts w:ascii="Arial" w:hAnsi="Arial" w:cs="Arial"/>
                <w:sz w:val="24"/>
                <w:szCs w:val="24"/>
              </w:rPr>
            </w:pPr>
            <w:r w:rsidRPr="005D1F25">
              <w:rPr>
                <w:rFonts w:ascii="Arial" w:hAnsi="Arial" w:cs="Arial"/>
                <w:sz w:val="24"/>
                <w:szCs w:val="24"/>
                <w:lang w:val="en-US"/>
              </w:rPr>
              <w:t>Monika Angula &amp; Associates Incorporated</w:t>
            </w:r>
            <w:r>
              <w:rPr>
                <w:rFonts w:ascii="Arial" w:hAnsi="Arial" w:cs="Arial"/>
                <w:sz w:val="24"/>
                <w:szCs w:val="24"/>
                <w:lang w:val="en-US"/>
              </w:rPr>
              <w:t>, Windhoek</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5D1F25" w:rsidP="00552B6F">
            <w:pPr>
              <w:spacing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 Karsten</w:t>
            </w:r>
          </w:p>
          <w:p w:rsidR="00552B6F" w:rsidRPr="00552B6F" w:rsidRDefault="00552B6F" w:rsidP="00552B6F">
            <w:pPr>
              <w:spacing w:line="360" w:lineRule="auto"/>
              <w:jc w:val="center"/>
              <w:rPr>
                <w:rFonts w:ascii="Arial" w:hAnsi="Arial" w:cs="Arial"/>
                <w:color w:val="000000" w:themeColor="text1"/>
                <w:sz w:val="24"/>
                <w:szCs w:val="24"/>
                <w:shd w:val="clear" w:color="auto" w:fill="FFFFFF"/>
              </w:rPr>
            </w:pPr>
            <w:r w:rsidRPr="00552B6F">
              <w:rPr>
                <w:rFonts w:ascii="Arial" w:hAnsi="Arial" w:cs="Arial"/>
                <w:color w:val="000000" w:themeColor="text1"/>
                <w:sz w:val="24"/>
                <w:szCs w:val="24"/>
                <w:shd w:val="clear" w:color="auto" w:fill="FFFFFF"/>
              </w:rPr>
              <w:t xml:space="preserve">Of </w:t>
            </w:r>
          </w:p>
          <w:p w:rsidR="00552B6F" w:rsidRPr="00552B6F" w:rsidRDefault="005D1F25" w:rsidP="00552B6F">
            <w:pPr>
              <w:spacing w:line="360" w:lineRule="auto"/>
              <w:jc w:val="center"/>
              <w:rPr>
                <w:rFonts w:ascii="Arial" w:eastAsia="Times New Roman" w:hAnsi="Arial" w:cs="Arial"/>
                <w:color w:val="000000" w:themeColor="text1"/>
                <w:sz w:val="24"/>
                <w:szCs w:val="24"/>
                <w:lang w:eastAsia="en-GB"/>
              </w:rPr>
            </w:pPr>
            <w:r w:rsidRPr="005D1F25">
              <w:rPr>
                <w:rFonts w:ascii="Arial" w:hAnsi="Arial" w:cs="Arial"/>
                <w:sz w:val="24"/>
                <w:szCs w:val="24"/>
                <w:shd w:val="clear" w:color="auto" w:fill="FFFFFF"/>
              </w:rPr>
              <w:t>Louis Karsten Legal Practitioner</w:t>
            </w:r>
            <w:r w:rsidR="0083351F">
              <w:rPr>
                <w:rFonts w:ascii="Arial" w:hAnsi="Arial" w:cs="Arial"/>
                <w:sz w:val="24"/>
                <w:szCs w:val="24"/>
                <w:shd w:val="clear" w:color="auto" w:fill="FFFFFF"/>
              </w:rPr>
              <w:t>, Windhoek</w:t>
            </w:r>
          </w:p>
        </w:tc>
      </w:tr>
    </w:tbl>
    <w:p w:rsidR="00552B6F" w:rsidRPr="00552B6F" w:rsidRDefault="00552B6F" w:rsidP="00552B6F">
      <w:pPr>
        <w:spacing w:after="0" w:line="360" w:lineRule="auto"/>
        <w:jc w:val="both"/>
        <w:rPr>
          <w:rFonts w:ascii="Arial" w:eastAsia="Calibri" w:hAnsi="Arial" w:cs="Arial"/>
          <w:sz w:val="24"/>
          <w:szCs w:val="24"/>
          <w:lang w:val="en-ZA"/>
        </w:rPr>
      </w:pPr>
    </w:p>
    <w:p w:rsidR="00552B6F" w:rsidRPr="00552B6F" w:rsidRDefault="00552B6F" w:rsidP="00552B6F"/>
    <w:p w:rsidR="009A2DAA" w:rsidRDefault="00C601C9"/>
    <w:sectPr w:rsidR="009A2DAA" w:rsidSect="00521C4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C9" w:rsidRDefault="00C601C9" w:rsidP="0083108B">
      <w:pPr>
        <w:spacing w:after="0" w:line="240" w:lineRule="auto"/>
      </w:pPr>
      <w:r>
        <w:separator/>
      </w:r>
    </w:p>
  </w:endnote>
  <w:endnote w:type="continuationSeparator" w:id="0">
    <w:p w:rsidR="00C601C9" w:rsidRDefault="00C601C9" w:rsidP="0083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C9" w:rsidRDefault="00C601C9" w:rsidP="0083108B">
      <w:pPr>
        <w:spacing w:after="0" w:line="240" w:lineRule="auto"/>
      </w:pPr>
      <w:r>
        <w:separator/>
      </w:r>
    </w:p>
  </w:footnote>
  <w:footnote w:type="continuationSeparator" w:id="0">
    <w:p w:rsidR="00C601C9" w:rsidRDefault="00C601C9" w:rsidP="0083108B">
      <w:pPr>
        <w:spacing w:after="0" w:line="240" w:lineRule="auto"/>
      </w:pPr>
      <w:r>
        <w:continuationSeparator/>
      </w:r>
    </w:p>
  </w:footnote>
  <w:footnote w:id="1">
    <w:p w:rsidR="0083108B" w:rsidRPr="00C30E50" w:rsidRDefault="0083108B" w:rsidP="0083108B">
      <w:pPr>
        <w:pStyle w:val="FootnoteText"/>
        <w:jc w:val="both"/>
        <w:rPr>
          <w:rFonts w:ascii="Arial" w:hAnsi="Arial" w:cs="Arial"/>
        </w:rPr>
      </w:pPr>
      <w:r w:rsidRPr="00C30E50">
        <w:rPr>
          <w:rStyle w:val="FootnoteReference"/>
          <w:rFonts w:ascii="Arial" w:hAnsi="Arial" w:cs="Arial"/>
        </w:rPr>
        <w:footnoteRef/>
      </w:r>
      <w:r w:rsidRPr="00C30E50">
        <w:rPr>
          <w:rFonts w:ascii="Arial" w:hAnsi="Arial" w:cs="Arial"/>
        </w:rPr>
        <w:t xml:space="preserve"> </w:t>
      </w:r>
      <w:r w:rsidRPr="00C30E50">
        <w:rPr>
          <w:rFonts w:ascii="Arial" w:hAnsi="Arial" w:cs="Arial"/>
          <w:i/>
        </w:rPr>
        <w:t xml:space="preserve">Standard Bank of Namibia Limited v Veldsman </w:t>
      </w:r>
      <w:r w:rsidRPr="00C30E50">
        <w:rPr>
          <w:rFonts w:ascii="Arial" w:hAnsi="Arial" w:cs="Arial"/>
        </w:rPr>
        <w:t xml:space="preserve">1993 NR 391 at 392 D-E. </w:t>
      </w:r>
    </w:p>
  </w:footnote>
  <w:footnote w:id="2">
    <w:p w:rsidR="0083108B" w:rsidRPr="00C30E50" w:rsidRDefault="0083108B" w:rsidP="0083108B">
      <w:pPr>
        <w:pStyle w:val="FootnoteText"/>
        <w:jc w:val="both"/>
        <w:rPr>
          <w:rFonts w:ascii="Arial" w:hAnsi="Arial" w:cs="Arial"/>
        </w:rPr>
      </w:pPr>
      <w:r w:rsidRPr="00C30E50">
        <w:rPr>
          <w:rStyle w:val="FootnoteReference"/>
          <w:rFonts w:ascii="Arial" w:hAnsi="Arial" w:cs="Arial"/>
        </w:rPr>
        <w:footnoteRef/>
      </w:r>
      <w:r w:rsidRPr="00C30E50">
        <w:rPr>
          <w:rFonts w:ascii="Arial" w:hAnsi="Arial" w:cs="Arial"/>
        </w:rPr>
        <w:t xml:space="preserve"> See </w:t>
      </w:r>
      <w:r w:rsidRPr="00C30E50">
        <w:rPr>
          <w:rFonts w:ascii="Arial" w:hAnsi="Arial" w:cs="Arial"/>
          <w:i/>
        </w:rPr>
        <w:t xml:space="preserve">Fair Play Nam Investments (Pty) Ltd v Standard Bank Namibia Limited </w:t>
      </w:r>
      <w:r w:rsidRPr="00C30E50">
        <w:rPr>
          <w:rFonts w:ascii="Arial" w:hAnsi="Arial" w:cs="Arial"/>
        </w:rPr>
        <w:t xml:space="preserve">(I 3664-2012) [2013] NAHCMD 227 (30 July 2013). </w:t>
      </w:r>
    </w:p>
  </w:footnote>
  <w:footnote w:id="3">
    <w:p w:rsidR="0083108B" w:rsidRPr="00C30E50" w:rsidRDefault="0083108B" w:rsidP="0083108B">
      <w:pPr>
        <w:pStyle w:val="FootnoteText"/>
        <w:jc w:val="both"/>
        <w:rPr>
          <w:rFonts w:ascii="Arial" w:hAnsi="Arial" w:cs="Arial"/>
        </w:rPr>
      </w:pPr>
      <w:r w:rsidRPr="00C30E50">
        <w:rPr>
          <w:rStyle w:val="FootnoteReference"/>
          <w:rFonts w:ascii="Arial" w:hAnsi="Arial" w:cs="Arial"/>
        </w:rPr>
        <w:footnoteRef/>
      </w:r>
      <w:r w:rsidRPr="00C30E50">
        <w:rPr>
          <w:rFonts w:ascii="Arial" w:hAnsi="Arial" w:cs="Arial"/>
        </w:rPr>
        <w:t xml:space="preserve"> </w:t>
      </w:r>
      <w:r w:rsidRPr="00C30E50">
        <w:rPr>
          <w:rFonts w:ascii="Arial" w:hAnsi="Arial" w:cs="Arial"/>
          <w:i/>
        </w:rPr>
        <w:t xml:space="preserve">Government of the Republic of Namibia v Gertze </w:t>
      </w:r>
      <w:r w:rsidRPr="00C30E50">
        <w:rPr>
          <w:rFonts w:ascii="Arial" w:hAnsi="Arial" w:cs="Arial"/>
        </w:rPr>
        <w:t xml:space="preserve">(HC-MD-CIV-ACT-OTH-2019/00978) [2019] NAHCMD 497 (30 October 2019). </w:t>
      </w:r>
    </w:p>
  </w:footnote>
  <w:footnote w:id="4">
    <w:p w:rsidR="0083108B" w:rsidRPr="00C30E50" w:rsidRDefault="0083108B" w:rsidP="0083108B">
      <w:pPr>
        <w:pStyle w:val="FootnoteText"/>
        <w:jc w:val="both"/>
        <w:rPr>
          <w:rFonts w:ascii="Arial" w:hAnsi="Arial" w:cs="Arial"/>
        </w:rPr>
      </w:pPr>
      <w:r w:rsidRPr="00C30E50">
        <w:rPr>
          <w:rStyle w:val="FootnoteReference"/>
          <w:rFonts w:ascii="Arial" w:hAnsi="Arial" w:cs="Arial"/>
        </w:rPr>
        <w:footnoteRef/>
      </w:r>
      <w:r w:rsidRPr="00C30E50">
        <w:rPr>
          <w:rFonts w:ascii="Arial" w:hAnsi="Arial" w:cs="Arial"/>
        </w:rPr>
        <w:t xml:space="preserve"> </w:t>
      </w:r>
      <w:r w:rsidRPr="00C30E50">
        <w:rPr>
          <w:rFonts w:ascii="Arial" w:hAnsi="Arial" w:cs="Arial"/>
          <w:i/>
        </w:rPr>
        <w:t xml:space="preserve">Kramp v Rostami </w:t>
      </w:r>
      <w:r w:rsidRPr="00C30E50">
        <w:rPr>
          <w:rFonts w:ascii="Arial" w:hAnsi="Arial" w:cs="Arial"/>
        </w:rPr>
        <w:t xml:space="preserve">1998 NR 79 (HC) at 82 C-I. </w:t>
      </w:r>
    </w:p>
  </w:footnote>
  <w:footnote w:id="5">
    <w:p w:rsidR="0083108B" w:rsidRPr="00C30E50" w:rsidRDefault="0083108B" w:rsidP="0083108B">
      <w:pPr>
        <w:pStyle w:val="FootnoteText"/>
        <w:jc w:val="both"/>
        <w:rPr>
          <w:rFonts w:ascii="Arial" w:hAnsi="Arial" w:cs="Arial"/>
        </w:rPr>
      </w:pPr>
      <w:r w:rsidRPr="00C30E50">
        <w:rPr>
          <w:rStyle w:val="FootnoteReference"/>
          <w:rFonts w:ascii="Arial" w:hAnsi="Arial" w:cs="Arial"/>
        </w:rPr>
        <w:footnoteRef/>
      </w:r>
      <w:r w:rsidRPr="00C30E50">
        <w:rPr>
          <w:rFonts w:ascii="Arial" w:hAnsi="Arial" w:cs="Arial"/>
        </w:rPr>
        <w:t xml:space="preserve"> </w:t>
      </w:r>
      <w:r w:rsidRPr="00C30E50">
        <w:rPr>
          <w:rFonts w:ascii="Arial" w:hAnsi="Arial" w:cs="Arial"/>
          <w:i/>
        </w:rPr>
        <w:t xml:space="preserve">Standard Bank of SA Limited v Park Boulevard Trading CC and Another </w:t>
      </w:r>
      <w:r w:rsidRPr="00C30E50">
        <w:rPr>
          <w:rFonts w:ascii="Arial" w:hAnsi="Arial" w:cs="Arial"/>
        </w:rPr>
        <w:t xml:space="preserve">Case No. (20713/2013) [2013] ZAGPPHC 185 (5 July 2013), para 4 cited in </w:t>
      </w:r>
      <w:r w:rsidRPr="00C30E50">
        <w:rPr>
          <w:rFonts w:ascii="Arial" w:hAnsi="Arial" w:cs="Arial"/>
          <w:i/>
        </w:rPr>
        <w:t xml:space="preserve">Walenga v Nangolo </w:t>
      </w:r>
      <w:r w:rsidRPr="00C30E50">
        <w:rPr>
          <w:rFonts w:ascii="Arial" w:hAnsi="Arial" w:cs="Arial"/>
        </w:rPr>
        <w:t xml:space="preserve">(HC-NLD-CIV-ACT-CON-2020/00091) [2020] NAHCNLD 122 (31 August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6981"/>
      <w:docPartObj>
        <w:docPartGallery w:val="Page Numbers (Top of Page)"/>
        <w:docPartUnique/>
      </w:docPartObj>
    </w:sdtPr>
    <w:sdtEndPr>
      <w:rPr>
        <w:noProof/>
      </w:rPr>
    </w:sdtEndPr>
    <w:sdtContent>
      <w:p w:rsidR="0032762B" w:rsidRDefault="0032762B">
        <w:pPr>
          <w:pStyle w:val="Header"/>
          <w:jc w:val="right"/>
        </w:pPr>
        <w:r w:rsidRPr="0032762B">
          <w:rPr>
            <w:rFonts w:ascii="Arial" w:hAnsi="Arial" w:cs="Arial"/>
            <w:sz w:val="24"/>
            <w:szCs w:val="24"/>
          </w:rPr>
          <w:fldChar w:fldCharType="begin"/>
        </w:r>
        <w:r w:rsidRPr="0032762B">
          <w:rPr>
            <w:rFonts w:ascii="Arial" w:hAnsi="Arial" w:cs="Arial"/>
            <w:sz w:val="24"/>
            <w:szCs w:val="24"/>
          </w:rPr>
          <w:instrText xml:space="preserve"> PAGE   \* MERGEFORMAT </w:instrText>
        </w:r>
        <w:r w:rsidRPr="0032762B">
          <w:rPr>
            <w:rFonts w:ascii="Arial" w:hAnsi="Arial" w:cs="Arial"/>
            <w:sz w:val="24"/>
            <w:szCs w:val="24"/>
          </w:rPr>
          <w:fldChar w:fldCharType="separate"/>
        </w:r>
        <w:r w:rsidR="00BF734D">
          <w:rPr>
            <w:rFonts w:ascii="Arial" w:hAnsi="Arial" w:cs="Arial"/>
            <w:noProof/>
            <w:sz w:val="24"/>
            <w:szCs w:val="24"/>
          </w:rPr>
          <w:t>2</w:t>
        </w:r>
        <w:r w:rsidRPr="0032762B">
          <w:rPr>
            <w:rFonts w:ascii="Arial" w:hAnsi="Arial" w:cs="Arial"/>
            <w:noProof/>
            <w:sz w:val="24"/>
            <w:szCs w:val="24"/>
          </w:rPr>
          <w:fldChar w:fldCharType="end"/>
        </w:r>
      </w:p>
    </w:sdtContent>
  </w:sdt>
  <w:p w:rsidR="0032762B" w:rsidRDefault="00327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E86"/>
    <w:multiLevelType w:val="hybridMultilevel"/>
    <w:tmpl w:val="64EC4AF6"/>
    <w:lvl w:ilvl="0" w:tplc="02B4FC7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3A46"/>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D3B0B"/>
    <w:multiLevelType w:val="hybridMultilevel"/>
    <w:tmpl w:val="C5E0D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D7481"/>
    <w:multiLevelType w:val="hybridMultilevel"/>
    <w:tmpl w:val="DA3CC500"/>
    <w:lvl w:ilvl="0" w:tplc="1C09000F">
      <w:start w:val="1"/>
      <w:numFmt w:val="decimal"/>
      <w:lvlText w:val="%1."/>
      <w:lvlJc w:val="left"/>
      <w:pPr>
        <w:ind w:left="6739" w:hanging="360"/>
      </w:pPr>
    </w:lvl>
    <w:lvl w:ilvl="1" w:tplc="1C090019">
      <w:start w:val="1"/>
      <w:numFmt w:val="lowerLetter"/>
      <w:lvlText w:val="%2."/>
      <w:lvlJc w:val="left"/>
      <w:pPr>
        <w:ind w:left="7459" w:hanging="360"/>
      </w:pPr>
    </w:lvl>
    <w:lvl w:ilvl="2" w:tplc="1C09001B">
      <w:start w:val="1"/>
      <w:numFmt w:val="lowerRoman"/>
      <w:lvlText w:val="%3."/>
      <w:lvlJc w:val="right"/>
      <w:pPr>
        <w:ind w:left="8179" w:hanging="180"/>
      </w:pPr>
    </w:lvl>
    <w:lvl w:ilvl="3" w:tplc="1C09000F">
      <w:start w:val="1"/>
      <w:numFmt w:val="decimal"/>
      <w:lvlText w:val="%4."/>
      <w:lvlJc w:val="left"/>
      <w:pPr>
        <w:ind w:left="8899" w:hanging="360"/>
      </w:pPr>
    </w:lvl>
    <w:lvl w:ilvl="4" w:tplc="1C090019">
      <w:start w:val="1"/>
      <w:numFmt w:val="lowerLetter"/>
      <w:lvlText w:val="%5."/>
      <w:lvlJc w:val="left"/>
      <w:pPr>
        <w:ind w:left="9619" w:hanging="360"/>
      </w:pPr>
    </w:lvl>
    <w:lvl w:ilvl="5" w:tplc="1C09001B">
      <w:start w:val="1"/>
      <w:numFmt w:val="lowerRoman"/>
      <w:lvlText w:val="%6."/>
      <w:lvlJc w:val="right"/>
      <w:pPr>
        <w:ind w:left="10339" w:hanging="180"/>
      </w:pPr>
    </w:lvl>
    <w:lvl w:ilvl="6" w:tplc="1C09000F">
      <w:start w:val="1"/>
      <w:numFmt w:val="decimal"/>
      <w:lvlText w:val="%7."/>
      <w:lvlJc w:val="left"/>
      <w:pPr>
        <w:ind w:left="11059" w:hanging="360"/>
      </w:pPr>
    </w:lvl>
    <w:lvl w:ilvl="7" w:tplc="1C090019">
      <w:start w:val="1"/>
      <w:numFmt w:val="lowerLetter"/>
      <w:lvlText w:val="%8."/>
      <w:lvlJc w:val="left"/>
      <w:pPr>
        <w:ind w:left="11779" w:hanging="360"/>
      </w:pPr>
    </w:lvl>
    <w:lvl w:ilvl="8" w:tplc="1C09001B">
      <w:start w:val="1"/>
      <w:numFmt w:val="lowerRoman"/>
      <w:lvlText w:val="%9."/>
      <w:lvlJc w:val="right"/>
      <w:pPr>
        <w:ind w:left="12499" w:hanging="180"/>
      </w:pPr>
    </w:lvl>
  </w:abstractNum>
  <w:abstractNum w:abstractNumId="4">
    <w:nsid w:val="451217C9"/>
    <w:multiLevelType w:val="hybridMultilevel"/>
    <w:tmpl w:val="595C82E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D5243"/>
    <w:multiLevelType w:val="hybridMultilevel"/>
    <w:tmpl w:val="B88A3186"/>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B1679"/>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A628F"/>
    <w:multiLevelType w:val="hybridMultilevel"/>
    <w:tmpl w:val="C8B6961E"/>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F"/>
    <w:rsid w:val="000C3DA0"/>
    <w:rsid w:val="001A59C6"/>
    <w:rsid w:val="00224183"/>
    <w:rsid w:val="0032762B"/>
    <w:rsid w:val="003D6819"/>
    <w:rsid w:val="00521C44"/>
    <w:rsid w:val="00552B6F"/>
    <w:rsid w:val="005D1F25"/>
    <w:rsid w:val="0083108B"/>
    <w:rsid w:val="0083351F"/>
    <w:rsid w:val="009B022C"/>
    <w:rsid w:val="00BF734D"/>
    <w:rsid w:val="00C601C9"/>
    <w:rsid w:val="00C72346"/>
    <w:rsid w:val="00CC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EDC9-FFCF-4C78-BFF4-5CCFCFE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6F"/>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B6F"/>
    <w:pPr>
      <w:spacing w:after="200" w:line="276" w:lineRule="auto"/>
      <w:ind w:left="720"/>
      <w:contextualSpacing/>
    </w:pPr>
  </w:style>
  <w:style w:type="paragraph" w:styleId="FootnoteText">
    <w:name w:val="footnote text"/>
    <w:basedOn w:val="Normal"/>
    <w:link w:val="FootnoteTextChar"/>
    <w:uiPriority w:val="99"/>
    <w:semiHidden/>
    <w:unhideWhenUsed/>
    <w:rsid w:val="00831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08B"/>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83108B"/>
    <w:rPr>
      <w:vertAlign w:val="superscript"/>
    </w:rPr>
  </w:style>
  <w:style w:type="paragraph" w:styleId="Header">
    <w:name w:val="header"/>
    <w:basedOn w:val="Normal"/>
    <w:link w:val="HeaderChar"/>
    <w:uiPriority w:val="99"/>
    <w:unhideWhenUsed/>
    <w:rsid w:val="0032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2B"/>
  </w:style>
  <w:style w:type="paragraph" w:styleId="Footer">
    <w:name w:val="footer"/>
    <w:basedOn w:val="Normal"/>
    <w:link w:val="FooterChar"/>
    <w:uiPriority w:val="99"/>
    <w:unhideWhenUsed/>
    <w:rsid w:val="0032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2023-09-06T18:30:00+00:00</Judgment_x0020_Date>
    <Year xmlns="c1afb1bd-f2fb-40fd-9abb-aea55b4d7662">2023</Year>
  </documentManagement>
</p:properties>
</file>

<file path=customXml/itemProps1.xml><?xml version="1.0" encoding="utf-8"?>
<ds:datastoreItem xmlns:ds="http://schemas.openxmlformats.org/officeDocument/2006/customXml" ds:itemID="{8DAAAC60-FDDF-4ACA-8B9F-059923BDFEA8}"/>
</file>

<file path=customXml/itemProps2.xml><?xml version="1.0" encoding="utf-8"?>
<ds:datastoreItem xmlns:ds="http://schemas.openxmlformats.org/officeDocument/2006/customXml" ds:itemID="{6D090665-FA1F-408A-BAB7-09EC0C1BC423}"/>
</file>

<file path=customXml/itemProps3.xml><?xml version="1.0" encoding="utf-8"?>
<ds:datastoreItem xmlns:ds="http://schemas.openxmlformats.org/officeDocument/2006/customXml" ds:itemID="{63D77F35-282A-475D-80B1-E7BB849024C8}"/>
</file>

<file path=customXml/itemProps4.xml><?xml version="1.0" encoding="utf-8"?>
<ds:datastoreItem xmlns:ds="http://schemas.openxmlformats.org/officeDocument/2006/customXml" ds:itemID="{676C39EA-FE92-4FB6-ACA6-281C3419A263}"/>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Zannier Hotels Nam (Pty) Ltd  v Day Dreamers Invest CC (HC-MD-CIV-ACT-CON-2023-02159) [2023] NAHCMD 552 (7 Sep 2023)</dc:title>
  <dc:subject/>
  <dc:creator>Hazel Davids</dc:creator>
  <cp:keywords/>
  <dc:description/>
  <cp:lastModifiedBy>Hazel Davids</cp:lastModifiedBy>
  <cp:revision>2</cp:revision>
  <dcterms:created xsi:type="dcterms:W3CDTF">2023-09-07T06:24:00Z</dcterms:created>
  <dcterms:modified xsi:type="dcterms:W3CDTF">2023-09-07T06:24:00Z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