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F" w:rsidRPr="00552B6F" w:rsidRDefault="00552B6F" w:rsidP="00552B6F">
      <w:pPr>
        <w:spacing w:after="0" w:line="360" w:lineRule="auto"/>
        <w:jc w:val="center"/>
        <w:rPr>
          <w:rFonts w:ascii="Arial" w:eastAsia="Calibri" w:hAnsi="Arial" w:cs="Arial"/>
          <w:b/>
          <w:sz w:val="24"/>
          <w:szCs w:val="24"/>
        </w:rPr>
      </w:pPr>
      <w:r w:rsidRPr="00552B6F">
        <w:rPr>
          <w:rFonts w:ascii="Arial" w:eastAsia="Calibri" w:hAnsi="Arial" w:cs="Arial"/>
          <w:b/>
          <w:sz w:val="24"/>
          <w:szCs w:val="24"/>
        </w:rPr>
        <w:t>REPUBLIC OF NAMIBIA</w:t>
      </w:r>
    </w:p>
    <w:p w:rsidR="00552B6F" w:rsidRPr="00552B6F" w:rsidRDefault="00552B6F" w:rsidP="00552B6F">
      <w:pPr>
        <w:spacing w:after="0" w:line="360" w:lineRule="auto"/>
        <w:jc w:val="center"/>
        <w:rPr>
          <w:rFonts w:ascii="Arial" w:eastAsia="Calibri" w:hAnsi="Arial" w:cs="Arial"/>
          <w:b/>
          <w:sz w:val="24"/>
          <w:szCs w:val="24"/>
        </w:rPr>
      </w:pPr>
      <w:r w:rsidRPr="00552B6F">
        <w:rPr>
          <w:rFonts w:ascii="Arial" w:eastAsia="Calibri" w:hAnsi="Arial" w:cs="Arial"/>
          <w:b/>
          <w:noProof/>
          <w:sz w:val="24"/>
          <w:szCs w:val="24"/>
        </w:rPr>
        <w:drawing>
          <wp:inline distT="0" distB="0" distL="0" distR="0" wp14:anchorId="2799882E" wp14:editId="480A25BA">
            <wp:extent cx="1123950" cy="1143000"/>
            <wp:effectExtent l="0" t="0" r="0" b="0"/>
            <wp:docPr id="2"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552B6F" w:rsidRPr="00552B6F" w:rsidRDefault="00552B6F" w:rsidP="00552B6F">
      <w:pPr>
        <w:spacing w:after="0" w:line="360" w:lineRule="auto"/>
        <w:jc w:val="center"/>
        <w:rPr>
          <w:rFonts w:ascii="Arial" w:eastAsia="Calibri" w:hAnsi="Arial" w:cs="Arial"/>
          <w:b/>
          <w:sz w:val="24"/>
          <w:szCs w:val="24"/>
        </w:rPr>
      </w:pPr>
    </w:p>
    <w:p w:rsidR="00552B6F" w:rsidRPr="00552B6F" w:rsidRDefault="00552B6F" w:rsidP="00552B6F">
      <w:pPr>
        <w:spacing w:after="0" w:line="360" w:lineRule="auto"/>
        <w:jc w:val="center"/>
        <w:rPr>
          <w:rFonts w:ascii="Arial" w:eastAsia="Calibri" w:hAnsi="Arial" w:cs="Arial"/>
          <w:b/>
          <w:sz w:val="24"/>
          <w:szCs w:val="24"/>
        </w:rPr>
      </w:pPr>
      <w:r w:rsidRPr="00552B6F">
        <w:rPr>
          <w:rFonts w:ascii="Arial" w:eastAsia="Calibri" w:hAnsi="Arial" w:cs="Arial"/>
          <w:b/>
          <w:sz w:val="24"/>
          <w:szCs w:val="24"/>
        </w:rPr>
        <w:t>IN THE HIGH COURT OF NAMIBIA, MAIN DIVISION, WINDHOEK</w:t>
      </w:r>
    </w:p>
    <w:p w:rsidR="00552B6F" w:rsidRPr="00552B6F" w:rsidRDefault="00552B6F" w:rsidP="00552B6F">
      <w:pPr>
        <w:spacing w:after="0" w:line="360" w:lineRule="auto"/>
        <w:jc w:val="center"/>
        <w:rPr>
          <w:rFonts w:ascii="Arial" w:eastAsia="Calibri" w:hAnsi="Arial" w:cs="Arial"/>
          <w:b/>
          <w:sz w:val="24"/>
          <w:szCs w:val="24"/>
          <w:lang w:val="en-ZA"/>
        </w:rPr>
      </w:pPr>
      <w:r w:rsidRPr="00552B6F">
        <w:rPr>
          <w:rFonts w:ascii="Arial" w:eastAsia="Calibri" w:hAnsi="Arial" w:cs="Arial"/>
          <w:b/>
          <w:sz w:val="24"/>
          <w:szCs w:val="24"/>
          <w:lang w:val="en-ZA"/>
        </w:rPr>
        <w:t>RULING IN TERMS OF PRACTICE DIRECTION 61</w:t>
      </w:r>
    </w:p>
    <w:tbl>
      <w:tblPr>
        <w:tblStyle w:val="TableGrid"/>
        <w:tblW w:w="10485" w:type="dxa"/>
        <w:tblInd w:w="-714" w:type="dxa"/>
        <w:tblLayout w:type="fixed"/>
        <w:tblLook w:val="04A0" w:firstRow="1" w:lastRow="0" w:firstColumn="1" w:lastColumn="0" w:noHBand="0" w:noVBand="1"/>
      </w:tblPr>
      <w:tblGrid>
        <w:gridCol w:w="5243"/>
        <w:gridCol w:w="1275"/>
        <w:gridCol w:w="3967"/>
      </w:tblGrid>
      <w:tr w:rsidR="00552B6F" w:rsidRPr="00552B6F" w:rsidTr="003F2DE7">
        <w:trPr>
          <w:trHeight w:val="599"/>
        </w:trPr>
        <w:tc>
          <w:tcPr>
            <w:tcW w:w="6521" w:type="dxa"/>
            <w:gridSpan w:val="2"/>
            <w:vMerge w:val="restart"/>
            <w:tcBorders>
              <w:top w:val="single" w:sz="4" w:space="0" w:color="auto"/>
              <w:left w:val="single" w:sz="4" w:space="0" w:color="auto"/>
              <w:bottom w:val="single" w:sz="4" w:space="0" w:color="auto"/>
              <w:right w:val="single" w:sz="4" w:space="0" w:color="auto"/>
            </w:tcBorders>
          </w:tcPr>
          <w:p w:rsidR="00552B6F" w:rsidRPr="00552B6F" w:rsidRDefault="00552B6F" w:rsidP="00552B6F">
            <w:pPr>
              <w:spacing w:line="360" w:lineRule="auto"/>
              <w:jc w:val="both"/>
              <w:rPr>
                <w:rFonts w:ascii="Arial" w:hAnsi="Arial" w:cs="Arial"/>
                <w:b/>
                <w:sz w:val="24"/>
                <w:szCs w:val="24"/>
              </w:rPr>
            </w:pPr>
            <w:r w:rsidRPr="00552B6F">
              <w:rPr>
                <w:rFonts w:ascii="Arial" w:hAnsi="Arial" w:cs="Arial"/>
                <w:b/>
                <w:sz w:val="24"/>
                <w:szCs w:val="24"/>
              </w:rPr>
              <w:t>Case Title:</w:t>
            </w:r>
          </w:p>
          <w:p w:rsidR="00552B6F" w:rsidRDefault="00552B6F" w:rsidP="00552B6F">
            <w:pPr>
              <w:spacing w:line="360" w:lineRule="auto"/>
              <w:rPr>
                <w:rFonts w:ascii="Arial" w:hAnsi="Arial" w:cs="Arial"/>
                <w:shd w:val="clear" w:color="auto" w:fill="FFFFFF"/>
              </w:rPr>
            </w:pPr>
            <w:r w:rsidRPr="00552B6F">
              <w:rPr>
                <w:rFonts w:ascii="Arial" w:hAnsi="Arial" w:cs="Arial"/>
                <w:shd w:val="clear" w:color="auto" w:fill="FFFFFF"/>
              </w:rPr>
              <w:t xml:space="preserve">ZANNIER HOTELS NAMIBIA (PTY) LTD </w:t>
            </w:r>
          </w:p>
          <w:p w:rsidR="00552B6F" w:rsidRPr="00552B6F" w:rsidRDefault="00552B6F" w:rsidP="00552B6F">
            <w:pPr>
              <w:spacing w:line="360" w:lineRule="auto"/>
              <w:rPr>
                <w:rFonts w:ascii="Arial" w:hAnsi="Arial" w:cs="Arial"/>
                <w:shd w:val="clear" w:color="auto" w:fill="FFFFFF"/>
              </w:rPr>
            </w:pPr>
            <w:r w:rsidRPr="00552B6F">
              <w:rPr>
                <w:rFonts w:ascii="Arial" w:hAnsi="Arial" w:cs="Arial"/>
                <w:shd w:val="clear" w:color="auto" w:fill="FFFFFF"/>
              </w:rPr>
              <w:t xml:space="preserve">T/A SONOP LODGE                  </w:t>
            </w:r>
            <w:r>
              <w:rPr>
                <w:rFonts w:ascii="Arial" w:hAnsi="Arial" w:cs="Arial"/>
                <w:shd w:val="clear" w:color="auto" w:fill="FFFFFF"/>
              </w:rPr>
              <w:t xml:space="preserve">                               </w:t>
            </w:r>
            <w:r w:rsidR="00BD7A6B">
              <w:rPr>
                <w:rFonts w:ascii="Arial" w:hAnsi="Arial" w:cs="Arial"/>
                <w:shd w:val="clear" w:color="auto" w:fill="FFFFFF"/>
              </w:rPr>
              <w:t>APPLICANT</w:t>
            </w:r>
            <w:r w:rsidRPr="00552B6F">
              <w:rPr>
                <w:rFonts w:ascii="Arial" w:hAnsi="Arial" w:cs="Arial"/>
                <w:shd w:val="clear" w:color="auto" w:fill="FFFFFF"/>
              </w:rPr>
              <w:t xml:space="preserve">   </w:t>
            </w:r>
          </w:p>
          <w:p w:rsidR="00552B6F" w:rsidRDefault="00552B6F" w:rsidP="00552B6F">
            <w:pPr>
              <w:spacing w:line="360" w:lineRule="auto"/>
              <w:rPr>
                <w:rFonts w:ascii="Arial" w:hAnsi="Arial" w:cs="Arial"/>
                <w:sz w:val="24"/>
                <w:szCs w:val="24"/>
                <w:shd w:val="clear" w:color="auto" w:fill="FFFFFF"/>
              </w:rPr>
            </w:pPr>
          </w:p>
          <w:p w:rsidR="00552B6F" w:rsidRPr="00552B6F" w:rsidRDefault="00552B6F" w:rsidP="00552B6F">
            <w:pPr>
              <w:spacing w:line="360" w:lineRule="auto"/>
              <w:rPr>
                <w:rFonts w:ascii="Arial" w:hAnsi="Arial" w:cs="Arial"/>
                <w:sz w:val="24"/>
                <w:szCs w:val="24"/>
                <w:shd w:val="clear" w:color="auto" w:fill="FFFFFF"/>
              </w:rPr>
            </w:pPr>
            <w:r w:rsidRPr="00552B6F">
              <w:rPr>
                <w:rFonts w:ascii="Arial" w:hAnsi="Arial" w:cs="Arial"/>
                <w:sz w:val="24"/>
                <w:szCs w:val="24"/>
                <w:shd w:val="clear" w:color="auto" w:fill="FFFFFF"/>
              </w:rPr>
              <w:t>and</w:t>
            </w:r>
          </w:p>
          <w:p w:rsidR="00552B6F" w:rsidRPr="00552B6F" w:rsidRDefault="00552B6F" w:rsidP="00552B6F">
            <w:pPr>
              <w:spacing w:line="360" w:lineRule="auto"/>
              <w:rPr>
                <w:rFonts w:ascii="Arial" w:hAnsi="Arial" w:cs="Arial"/>
                <w:sz w:val="24"/>
                <w:szCs w:val="24"/>
                <w:shd w:val="clear" w:color="auto" w:fill="FFFFFF"/>
              </w:rPr>
            </w:pPr>
          </w:p>
          <w:p w:rsidR="00552B6F" w:rsidRPr="00552B6F" w:rsidRDefault="00552B6F" w:rsidP="00552B6F">
            <w:pPr>
              <w:spacing w:line="360" w:lineRule="auto"/>
              <w:rPr>
                <w:rFonts w:ascii="Arial" w:hAnsi="Arial" w:cs="Arial"/>
                <w:color w:val="000000" w:themeColor="text1"/>
                <w:shd w:val="clear" w:color="auto" w:fill="FFFFFF"/>
              </w:rPr>
            </w:pPr>
            <w:r w:rsidRPr="00552B6F">
              <w:rPr>
                <w:rFonts w:ascii="Arial" w:hAnsi="Arial" w:cs="Arial"/>
                <w:color w:val="000000" w:themeColor="text1"/>
                <w:shd w:val="clear" w:color="auto" w:fill="FFFFFF"/>
              </w:rPr>
              <w:t>DAY DREAMERS</w:t>
            </w:r>
            <w:r w:rsidR="00716BA6">
              <w:rPr>
                <w:rFonts w:ascii="Arial" w:hAnsi="Arial" w:cs="Arial"/>
                <w:color w:val="000000" w:themeColor="text1"/>
                <w:shd w:val="clear" w:color="auto" w:fill="FFFFFF"/>
              </w:rPr>
              <w:t xml:space="preserve"> INVESTMENTS CC               </w:t>
            </w:r>
            <w:r w:rsidR="00BD7A6B">
              <w:rPr>
                <w:rFonts w:ascii="Arial" w:hAnsi="Arial" w:cs="Arial"/>
                <w:color w:val="000000" w:themeColor="text1"/>
                <w:shd w:val="clear" w:color="auto" w:fill="FFFFFF"/>
              </w:rPr>
              <w:t xml:space="preserve"> RESPONDENT</w:t>
            </w:r>
            <w:r w:rsidRPr="00552B6F">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                             </w:t>
            </w:r>
          </w:p>
          <w:p w:rsidR="00552B6F" w:rsidRPr="00552B6F" w:rsidRDefault="00552B6F" w:rsidP="00552B6F">
            <w:pPr>
              <w:spacing w:line="360" w:lineRule="auto"/>
              <w:rPr>
                <w:rFonts w:ascii="Arial" w:hAnsi="Arial" w:cs="Arial"/>
                <w:color w:val="000000" w:themeColor="text1"/>
                <w:shd w:val="clear" w:color="auto" w:fill="FFFFFF"/>
              </w:rPr>
            </w:pPr>
            <w:r w:rsidRPr="00552B6F">
              <w:rPr>
                <w:rFonts w:ascii="Arial" w:hAnsi="Arial" w:cs="Arial"/>
                <w:color w:val="000000" w:themeColor="text1"/>
                <w:shd w:val="clear" w:color="auto" w:fill="FFFFFF"/>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552B6F" w:rsidRDefault="00552B6F" w:rsidP="00552B6F">
            <w:pPr>
              <w:spacing w:line="360" w:lineRule="auto"/>
              <w:ind w:left="1616" w:hanging="1559"/>
              <w:jc w:val="both"/>
              <w:rPr>
                <w:rFonts w:ascii="Arial" w:hAnsi="Arial" w:cs="Arial"/>
                <w:b/>
                <w:sz w:val="24"/>
                <w:szCs w:val="24"/>
              </w:rPr>
            </w:pPr>
            <w:r w:rsidRPr="00552B6F">
              <w:rPr>
                <w:rFonts w:ascii="Arial" w:hAnsi="Arial" w:cs="Arial"/>
                <w:b/>
                <w:sz w:val="24"/>
                <w:szCs w:val="24"/>
              </w:rPr>
              <w:t>Case No:</w:t>
            </w:r>
          </w:p>
          <w:p w:rsidR="00552B6F" w:rsidRPr="004A4478" w:rsidRDefault="00716BA6" w:rsidP="00552B6F">
            <w:pPr>
              <w:spacing w:line="360" w:lineRule="auto"/>
              <w:ind w:left="34" w:firstLine="23"/>
              <w:jc w:val="both"/>
              <w:rPr>
                <w:rFonts w:ascii="Arial" w:hAnsi="Arial" w:cs="Arial"/>
                <w:lang w:val="en-US"/>
              </w:rPr>
            </w:pPr>
            <w:r w:rsidRPr="004A4478">
              <w:rPr>
                <w:rFonts w:ascii="Arial" w:hAnsi="Arial" w:cs="Arial"/>
                <w:lang w:val="en-US"/>
              </w:rPr>
              <w:t>HC-MD-CIV-ACT-CON-2023/02113</w:t>
            </w:r>
          </w:p>
          <w:p w:rsidR="004A4478" w:rsidRPr="004A4478" w:rsidRDefault="004A4478" w:rsidP="004A4478">
            <w:pPr>
              <w:spacing w:line="360" w:lineRule="auto"/>
              <w:ind w:left="1616" w:hanging="1559"/>
              <w:jc w:val="both"/>
              <w:rPr>
                <w:rFonts w:ascii="Arial" w:hAnsi="Arial" w:cs="Arial"/>
                <w:b/>
                <w:sz w:val="24"/>
                <w:szCs w:val="24"/>
              </w:rPr>
            </w:pPr>
            <w:r w:rsidRPr="004A4478">
              <w:rPr>
                <w:rFonts w:ascii="Arial" w:hAnsi="Arial" w:cs="Arial"/>
              </w:rPr>
              <w:t>INT-HC-SUMJUD-2023/00214</w:t>
            </w:r>
          </w:p>
        </w:tc>
      </w:tr>
      <w:tr w:rsidR="00552B6F" w:rsidRPr="00552B6F" w:rsidTr="003F2DE7">
        <w:tc>
          <w:tcPr>
            <w:tcW w:w="15735" w:type="dxa"/>
            <w:gridSpan w:val="2"/>
            <w:vMerge/>
            <w:tcBorders>
              <w:top w:val="single" w:sz="4" w:space="0" w:color="auto"/>
              <w:left w:val="single" w:sz="4" w:space="0" w:color="auto"/>
              <w:bottom w:val="single" w:sz="4" w:space="0" w:color="auto"/>
              <w:right w:val="single" w:sz="4" w:space="0" w:color="auto"/>
            </w:tcBorders>
            <w:vAlign w:val="center"/>
            <w:hideMark/>
          </w:tcPr>
          <w:p w:rsidR="00552B6F" w:rsidRPr="00552B6F" w:rsidRDefault="00552B6F" w:rsidP="00552B6F">
            <w:pPr>
              <w:rPr>
                <w:rFonts w:ascii="Arial" w:hAnsi="Arial" w:cs="Arial"/>
                <w:sz w:val="24"/>
                <w:szCs w:val="24"/>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552B6F" w:rsidRPr="00552B6F" w:rsidRDefault="00552B6F" w:rsidP="00552B6F">
            <w:pPr>
              <w:spacing w:line="360" w:lineRule="auto"/>
              <w:jc w:val="both"/>
              <w:rPr>
                <w:rFonts w:ascii="Arial" w:hAnsi="Arial" w:cs="Arial"/>
                <w:b/>
                <w:sz w:val="24"/>
                <w:szCs w:val="24"/>
              </w:rPr>
            </w:pPr>
            <w:r w:rsidRPr="00552B6F">
              <w:rPr>
                <w:rFonts w:ascii="Arial" w:hAnsi="Arial" w:cs="Arial"/>
                <w:b/>
                <w:sz w:val="24"/>
                <w:szCs w:val="24"/>
              </w:rPr>
              <w:t>Division of Court:</w:t>
            </w:r>
          </w:p>
          <w:p w:rsidR="00552B6F" w:rsidRPr="00552B6F" w:rsidRDefault="00552B6F" w:rsidP="00552B6F">
            <w:pPr>
              <w:spacing w:line="360" w:lineRule="auto"/>
              <w:jc w:val="both"/>
              <w:rPr>
                <w:rFonts w:ascii="Arial" w:hAnsi="Arial" w:cs="Arial"/>
                <w:sz w:val="24"/>
                <w:szCs w:val="24"/>
              </w:rPr>
            </w:pPr>
            <w:r w:rsidRPr="00552B6F">
              <w:rPr>
                <w:rFonts w:ascii="Arial" w:hAnsi="Arial" w:cs="Arial"/>
                <w:sz w:val="24"/>
                <w:szCs w:val="24"/>
              </w:rPr>
              <w:t>Main Division</w:t>
            </w:r>
          </w:p>
        </w:tc>
      </w:tr>
      <w:tr w:rsidR="00552B6F" w:rsidRPr="00552B6F" w:rsidTr="003F2DE7">
        <w:tc>
          <w:tcPr>
            <w:tcW w:w="15735" w:type="dxa"/>
            <w:gridSpan w:val="2"/>
            <w:vMerge/>
            <w:tcBorders>
              <w:top w:val="single" w:sz="4" w:space="0" w:color="auto"/>
              <w:left w:val="single" w:sz="4" w:space="0" w:color="auto"/>
              <w:bottom w:val="single" w:sz="4" w:space="0" w:color="auto"/>
              <w:right w:val="single" w:sz="4" w:space="0" w:color="auto"/>
            </w:tcBorders>
            <w:vAlign w:val="center"/>
            <w:hideMark/>
          </w:tcPr>
          <w:p w:rsidR="00552B6F" w:rsidRPr="00552B6F" w:rsidRDefault="00552B6F" w:rsidP="00552B6F">
            <w:pPr>
              <w:rPr>
                <w:rFonts w:ascii="Arial" w:hAnsi="Arial" w:cs="Arial"/>
                <w:sz w:val="24"/>
                <w:szCs w:val="24"/>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552B6F" w:rsidRPr="00552B6F" w:rsidRDefault="00552B6F" w:rsidP="00552B6F">
            <w:pPr>
              <w:spacing w:line="360" w:lineRule="auto"/>
              <w:jc w:val="both"/>
              <w:rPr>
                <w:rFonts w:ascii="Arial" w:hAnsi="Arial" w:cs="Arial"/>
                <w:b/>
                <w:sz w:val="24"/>
                <w:szCs w:val="24"/>
              </w:rPr>
            </w:pPr>
            <w:r w:rsidRPr="00552B6F">
              <w:rPr>
                <w:rFonts w:ascii="Arial" w:hAnsi="Arial" w:cs="Arial"/>
                <w:b/>
                <w:sz w:val="24"/>
                <w:szCs w:val="24"/>
              </w:rPr>
              <w:t>Heard on:</w:t>
            </w:r>
          </w:p>
          <w:p w:rsidR="00552B6F" w:rsidRPr="00552B6F" w:rsidRDefault="004A4478" w:rsidP="00552B6F">
            <w:pPr>
              <w:spacing w:line="360" w:lineRule="auto"/>
              <w:jc w:val="both"/>
              <w:rPr>
                <w:rFonts w:ascii="Arial" w:hAnsi="Arial" w:cs="Arial"/>
                <w:sz w:val="24"/>
                <w:szCs w:val="24"/>
              </w:rPr>
            </w:pPr>
            <w:r>
              <w:rPr>
                <w:rFonts w:ascii="Arial" w:hAnsi="Arial" w:cs="Arial"/>
                <w:sz w:val="24"/>
                <w:szCs w:val="24"/>
              </w:rPr>
              <w:t>5</w:t>
            </w:r>
            <w:r w:rsidR="00D9799C">
              <w:rPr>
                <w:rFonts w:ascii="Arial" w:hAnsi="Arial" w:cs="Arial"/>
                <w:sz w:val="24"/>
                <w:szCs w:val="24"/>
              </w:rPr>
              <w:t xml:space="preserve"> September 2023</w:t>
            </w:r>
          </w:p>
        </w:tc>
      </w:tr>
      <w:tr w:rsidR="00552B6F" w:rsidRPr="00552B6F" w:rsidTr="003F2DE7">
        <w:tc>
          <w:tcPr>
            <w:tcW w:w="6521" w:type="dxa"/>
            <w:gridSpan w:val="2"/>
            <w:tcBorders>
              <w:top w:val="single" w:sz="4" w:space="0" w:color="auto"/>
              <w:left w:val="single" w:sz="4" w:space="0" w:color="auto"/>
              <w:bottom w:val="single" w:sz="4" w:space="0" w:color="auto"/>
              <w:right w:val="single" w:sz="4" w:space="0" w:color="auto"/>
            </w:tcBorders>
          </w:tcPr>
          <w:p w:rsidR="00552B6F" w:rsidRPr="00552B6F" w:rsidRDefault="00552B6F" w:rsidP="00552B6F">
            <w:pPr>
              <w:spacing w:line="360" w:lineRule="auto"/>
              <w:jc w:val="both"/>
              <w:rPr>
                <w:rFonts w:ascii="Arial" w:hAnsi="Arial" w:cs="Arial"/>
                <w:b/>
                <w:sz w:val="24"/>
                <w:szCs w:val="24"/>
              </w:rPr>
            </w:pPr>
            <w:r w:rsidRPr="00552B6F">
              <w:rPr>
                <w:rFonts w:ascii="Arial" w:hAnsi="Arial" w:cs="Arial"/>
                <w:b/>
                <w:sz w:val="24"/>
                <w:szCs w:val="24"/>
              </w:rPr>
              <w:t>Heard before:</w:t>
            </w:r>
          </w:p>
          <w:p w:rsidR="00552B6F" w:rsidRPr="00552B6F" w:rsidRDefault="00552B6F" w:rsidP="00552B6F">
            <w:pPr>
              <w:spacing w:line="360" w:lineRule="auto"/>
              <w:jc w:val="both"/>
              <w:rPr>
                <w:rFonts w:ascii="Arial" w:hAnsi="Arial" w:cs="Arial"/>
                <w:sz w:val="24"/>
                <w:szCs w:val="24"/>
              </w:rPr>
            </w:pPr>
            <w:r w:rsidRPr="00552B6F">
              <w:rPr>
                <w:rFonts w:ascii="Arial" w:hAnsi="Arial" w:cs="Arial"/>
                <w:sz w:val="24"/>
                <w:szCs w:val="24"/>
              </w:rPr>
              <w:t>Honourable Lady Justice Rakow</w:t>
            </w:r>
          </w:p>
          <w:p w:rsidR="00552B6F" w:rsidRPr="00552B6F" w:rsidRDefault="00552B6F" w:rsidP="00552B6F">
            <w:pPr>
              <w:spacing w:line="360" w:lineRule="auto"/>
              <w:jc w:val="both"/>
              <w:rPr>
                <w:rFonts w:ascii="Arial" w:hAnsi="Arial" w:cs="Arial"/>
                <w:sz w:val="12"/>
                <w:szCs w:val="12"/>
              </w:rPr>
            </w:pPr>
          </w:p>
        </w:tc>
        <w:tc>
          <w:tcPr>
            <w:tcW w:w="3969" w:type="dxa"/>
            <w:tcBorders>
              <w:top w:val="single" w:sz="4" w:space="0" w:color="auto"/>
              <w:left w:val="single" w:sz="4" w:space="0" w:color="auto"/>
              <w:bottom w:val="single" w:sz="4" w:space="0" w:color="auto"/>
              <w:right w:val="single" w:sz="4" w:space="0" w:color="auto"/>
            </w:tcBorders>
            <w:hideMark/>
          </w:tcPr>
          <w:p w:rsidR="00552B6F" w:rsidRPr="00552B6F" w:rsidRDefault="00552B6F" w:rsidP="00552B6F">
            <w:pPr>
              <w:spacing w:line="360" w:lineRule="auto"/>
              <w:jc w:val="both"/>
              <w:rPr>
                <w:rFonts w:ascii="Arial" w:hAnsi="Arial" w:cs="Arial"/>
                <w:b/>
                <w:sz w:val="24"/>
                <w:szCs w:val="24"/>
              </w:rPr>
            </w:pPr>
            <w:r w:rsidRPr="00552B6F">
              <w:rPr>
                <w:rFonts w:ascii="Arial" w:hAnsi="Arial" w:cs="Arial"/>
                <w:b/>
                <w:sz w:val="24"/>
                <w:szCs w:val="24"/>
              </w:rPr>
              <w:t>Reasons delivered on:</w:t>
            </w:r>
          </w:p>
          <w:p w:rsidR="00552B6F" w:rsidRPr="00552B6F" w:rsidRDefault="003B5194" w:rsidP="00552B6F">
            <w:pPr>
              <w:spacing w:line="360" w:lineRule="auto"/>
              <w:jc w:val="both"/>
              <w:rPr>
                <w:rFonts w:ascii="Arial" w:hAnsi="Arial" w:cs="Arial"/>
                <w:sz w:val="24"/>
                <w:szCs w:val="24"/>
              </w:rPr>
            </w:pPr>
            <w:r>
              <w:rPr>
                <w:rFonts w:ascii="Arial" w:hAnsi="Arial" w:cs="Arial"/>
                <w:sz w:val="24"/>
                <w:szCs w:val="24"/>
              </w:rPr>
              <w:t>29</w:t>
            </w:r>
            <w:r w:rsidR="00D9799C">
              <w:rPr>
                <w:rFonts w:ascii="Arial" w:hAnsi="Arial" w:cs="Arial"/>
                <w:sz w:val="24"/>
                <w:szCs w:val="24"/>
              </w:rPr>
              <w:t xml:space="preserve"> September 2023</w:t>
            </w:r>
          </w:p>
        </w:tc>
      </w:tr>
      <w:tr w:rsidR="00552B6F" w:rsidRPr="00552B6F" w:rsidTr="003F2DE7">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52B6F" w:rsidRPr="00552B6F" w:rsidRDefault="00552B6F" w:rsidP="00552B6F">
            <w:pPr>
              <w:spacing w:line="360" w:lineRule="auto"/>
              <w:ind w:left="2160" w:hanging="2160"/>
              <w:jc w:val="both"/>
              <w:rPr>
                <w:rFonts w:ascii="Arial" w:hAnsi="Arial" w:cs="Arial"/>
                <w:b/>
                <w:sz w:val="10"/>
                <w:szCs w:val="10"/>
              </w:rPr>
            </w:pPr>
          </w:p>
          <w:p w:rsidR="00552B6F" w:rsidRPr="00552B6F" w:rsidRDefault="00552B6F" w:rsidP="00552B6F">
            <w:pPr>
              <w:spacing w:line="360" w:lineRule="auto"/>
              <w:jc w:val="both"/>
              <w:rPr>
                <w:rFonts w:ascii="Arial" w:hAnsi="Arial" w:cs="Arial"/>
                <w:i/>
                <w:sz w:val="24"/>
                <w:szCs w:val="24"/>
                <w:lang w:val="en-US"/>
              </w:rPr>
            </w:pPr>
            <w:r w:rsidRPr="00552B6F">
              <w:rPr>
                <w:rFonts w:ascii="Arial" w:hAnsi="Arial" w:cs="Arial"/>
                <w:b/>
                <w:sz w:val="24"/>
                <w:szCs w:val="24"/>
              </w:rPr>
              <w:t>Neutral citation</w:t>
            </w:r>
            <w:r w:rsidRPr="00552B6F">
              <w:rPr>
                <w:rFonts w:ascii="Arial" w:hAnsi="Arial" w:cs="Arial"/>
                <w:sz w:val="24"/>
                <w:szCs w:val="24"/>
              </w:rPr>
              <w:t>:</w:t>
            </w:r>
            <w:r w:rsidRPr="00552B6F">
              <w:rPr>
                <w:rFonts w:ascii="Arial" w:hAnsi="Arial" w:cs="Arial"/>
                <w:sz w:val="24"/>
                <w:szCs w:val="24"/>
              </w:rPr>
              <w:tab/>
            </w:r>
            <w:proofErr w:type="spellStart"/>
            <w:r w:rsidRPr="00552B6F">
              <w:rPr>
                <w:rFonts w:ascii="Arial" w:hAnsi="Arial" w:cs="Arial"/>
                <w:i/>
                <w:sz w:val="24"/>
                <w:szCs w:val="24"/>
                <w:lang w:val="en-US"/>
              </w:rPr>
              <w:t>Zannier</w:t>
            </w:r>
            <w:proofErr w:type="spellEnd"/>
            <w:r w:rsidRPr="00552B6F">
              <w:rPr>
                <w:rFonts w:ascii="Arial" w:hAnsi="Arial" w:cs="Arial"/>
                <w:i/>
                <w:sz w:val="24"/>
                <w:szCs w:val="24"/>
                <w:lang w:val="en-US"/>
              </w:rPr>
              <w:t xml:space="preserve"> Hotels Namibia (Pty) Ltd T/A </w:t>
            </w:r>
            <w:proofErr w:type="spellStart"/>
            <w:r w:rsidRPr="00552B6F">
              <w:rPr>
                <w:rFonts w:ascii="Arial" w:hAnsi="Arial" w:cs="Arial"/>
                <w:i/>
                <w:sz w:val="24"/>
                <w:szCs w:val="24"/>
                <w:lang w:val="en-US"/>
              </w:rPr>
              <w:t>Sonop</w:t>
            </w:r>
            <w:proofErr w:type="spellEnd"/>
            <w:r w:rsidRPr="00552B6F">
              <w:rPr>
                <w:rFonts w:ascii="Arial" w:hAnsi="Arial" w:cs="Arial"/>
                <w:i/>
                <w:sz w:val="24"/>
                <w:szCs w:val="24"/>
                <w:lang w:val="en-US"/>
              </w:rPr>
              <w:t xml:space="preserve"> Lodge</w:t>
            </w:r>
            <w:r w:rsidRPr="00552B6F">
              <w:rPr>
                <w:rFonts w:ascii="Arial" w:hAnsi="Arial" w:cs="Arial"/>
                <w:b/>
                <w:i/>
                <w:sz w:val="24"/>
                <w:szCs w:val="24"/>
                <w:lang w:val="en-US"/>
              </w:rPr>
              <w:t xml:space="preserve"> </w:t>
            </w:r>
            <w:r w:rsidRPr="00552B6F">
              <w:rPr>
                <w:rFonts w:ascii="Arial" w:hAnsi="Arial" w:cs="Arial"/>
                <w:i/>
                <w:sz w:val="24"/>
                <w:szCs w:val="24"/>
                <w:lang w:val="en-US"/>
              </w:rPr>
              <w:t xml:space="preserve">v Day Dreamers               </w:t>
            </w:r>
          </w:p>
          <w:p w:rsidR="00552B6F" w:rsidRPr="00552B6F" w:rsidRDefault="00552B6F" w:rsidP="00552B6F">
            <w:pPr>
              <w:spacing w:line="360" w:lineRule="auto"/>
              <w:jc w:val="both"/>
              <w:rPr>
                <w:rFonts w:ascii="Arial" w:hAnsi="Arial" w:cs="Arial"/>
                <w:sz w:val="24"/>
                <w:szCs w:val="24"/>
              </w:rPr>
            </w:pPr>
            <w:r w:rsidRPr="00552B6F">
              <w:rPr>
                <w:rFonts w:ascii="Arial" w:hAnsi="Arial" w:cs="Arial"/>
                <w:i/>
                <w:sz w:val="24"/>
                <w:szCs w:val="24"/>
                <w:lang w:val="en-US"/>
              </w:rPr>
              <w:t xml:space="preserve">                                Investments CC </w:t>
            </w:r>
            <w:r w:rsidRPr="00552B6F">
              <w:rPr>
                <w:rFonts w:ascii="Arial" w:hAnsi="Arial" w:cs="Arial"/>
                <w:sz w:val="24"/>
                <w:szCs w:val="24"/>
                <w:lang w:val="en-US"/>
              </w:rPr>
              <w:t>(</w:t>
            </w:r>
            <w:r w:rsidR="00716BA6" w:rsidRPr="00716BA6">
              <w:rPr>
                <w:rFonts w:ascii="Arial" w:hAnsi="Arial" w:cs="Arial"/>
                <w:sz w:val="24"/>
                <w:szCs w:val="24"/>
              </w:rPr>
              <w:t>HC-MD-CIV-ACT-CON-2023/02113</w:t>
            </w:r>
            <w:r w:rsidR="00524188">
              <w:rPr>
                <w:rFonts w:ascii="Arial" w:hAnsi="Arial" w:cs="Arial"/>
                <w:sz w:val="24"/>
                <w:szCs w:val="24"/>
              </w:rPr>
              <w:t>) [2023] NAHCMD 606</w:t>
            </w:r>
            <w:r w:rsidRPr="00552B6F">
              <w:rPr>
                <w:rFonts w:ascii="Arial" w:hAnsi="Arial" w:cs="Arial"/>
                <w:sz w:val="24"/>
                <w:szCs w:val="24"/>
              </w:rPr>
              <w:t xml:space="preserve"> </w:t>
            </w:r>
          </w:p>
          <w:p w:rsidR="00552B6F" w:rsidRPr="00552B6F" w:rsidRDefault="00552B6F" w:rsidP="00552B6F">
            <w:pPr>
              <w:spacing w:line="360" w:lineRule="auto"/>
              <w:jc w:val="both"/>
              <w:rPr>
                <w:rFonts w:ascii="Arial" w:hAnsi="Arial" w:cs="Arial"/>
                <w:i/>
                <w:sz w:val="24"/>
                <w:szCs w:val="24"/>
                <w:lang w:val="en-US"/>
              </w:rPr>
            </w:pPr>
            <w:r w:rsidRPr="00552B6F">
              <w:rPr>
                <w:rFonts w:ascii="Arial" w:hAnsi="Arial" w:cs="Arial"/>
                <w:sz w:val="24"/>
                <w:szCs w:val="24"/>
              </w:rPr>
              <w:t xml:space="preserve">                                (</w:t>
            </w:r>
            <w:r w:rsidR="003B5194">
              <w:rPr>
                <w:rFonts w:ascii="Arial" w:hAnsi="Arial" w:cs="Arial"/>
                <w:sz w:val="24"/>
                <w:szCs w:val="24"/>
              </w:rPr>
              <w:t>29</w:t>
            </w:r>
            <w:r w:rsidRPr="00552B6F">
              <w:rPr>
                <w:rFonts w:ascii="Arial" w:hAnsi="Arial" w:cs="Arial"/>
                <w:sz w:val="24"/>
                <w:szCs w:val="24"/>
              </w:rPr>
              <w:t xml:space="preserve"> September 2023)</w:t>
            </w:r>
          </w:p>
          <w:p w:rsidR="00552B6F" w:rsidRPr="00552B6F" w:rsidRDefault="00552B6F" w:rsidP="00552B6F">
            <w:pPr>
              <w:spacing w:line="360" w:lineRule="auto"/>
              <w:jc w:val="both"/>
              <w:rPr>
                <w:rFonts w:ascii="Arial" w:hAnsi="Arial" w:cs="Arial"/>
                <w:sz w:val="10"/>
                <w:szCs w:val="10"/>
              </w:rPr>
            </w:pPr>
            <w:r>
              <w:rPr>
                <w:rFonts w:ascii="Arial" w:hAnsi="Arial" w:cs="Arial"/>
                <w:sz w:val="10"/>
                <w:szCs w:val="10"/>
              </w:rPr>
              <w:t xml:space="preserve">       </w:t>
            </w:r>
          </w:p>
        </w:tc>
      </w:tr>
      <w:tr w:rsidR="00552B6F" w:rsidRPr="00552B6F" w:rsidTr="003F2DE7">
        <w:trPr>
          <w:trHeight w:val="412"/>
        </w:trPr>
        <w:tc>
          <w:tcPr>
            <w:tcW w:w="10490" w:type="dxa"/>
            <w:gridSpan w:val="3"/>
            <w:tcBorders>
              <w:top w:val="single" w:sz="4" w:space="0" w:color="auto"/>
              <w:left w:val="single" w:sz="4" w:space="0" w:color="auto"/>
              <w:bottom w:val="single" w:sz="4" w:space="0" w:color="auto"/>
              <w:right w:val="single" w:sz="4" w:space="0" w:color="auto"/>
            </w:tcBorders>
          </w:tcPr>
          <w:p w:rsidR="00552B6F" w:rsidRPr="00552B6F" w:rsidRDefault="00552B6F" w:rsidP="00552B6F">
            <w:pPr>
              <w:spacing w:line="360" w:lineRule="auto"/>
              <w:jc w:val="both"/>
              <w:rPr>
                <w:rFonts w:ascii="Arial" w:hAnsi="Arial" w:cs="Arial"/>
                <w:b/>
                <w:sz w:val="10"/>
                <w:szCs w:val="10"/>
              </w:rPr>
            </w:pPr>
          </w:p>
          <w:p w:rsidR="00552B6F" w:rsidRPr="00552B6F" w:rsidRDefault="00552B6F" w:rsidP="00552B6F">
            <w:pPr>
              <w:spacing w:line="360" w:lineRule="auto"/>
              <w:jc w:val="both"/>
              <w:rPr>
                <w:rFonts w:ascii="Arial" w:hAnsi="Arial" w:cs="Arial"/>
                <w:b/>
                <w:sz w:val="24"/>
                <w:szCs w:val="24"/>
              </w:rPr>
            </w:pPr>
            <w:r w:rsidRPr="00552B6F">
              <w:rPr>
                <w:rFonts w:ascii="Arial" w:hAnsi="Arial" w:cs="Arial"/>
                <w:b/>
                <w:sz w:val="24"/>
                <w:szCs w:val="24"/>
              </w:rPr>
              <w:t>Order:</w:t>
            </w:r>
          </w:p>
        </w:tc>
      </w:tr>
      <w:tr w:rsidR="00552B6F" w:rsidRPr="00552B6F" w:rsidTr="003F2DE7">
        <w:tc>
          <w:tcPr>
            <w:tcW w:w="10490" w:type="dxa"/>
            <w:gridSpan w:val="3"/>
            <w:tcBorders>
              <w:top w:val="single" w:sz="4" w:space="0" w:color="auto"/>
              <w:left w:val="single" w:sz="4" w:space="0" w:color="auto"/>
              <w:bottom w:val="single" w:sz="4" w:space="0" w:color="auto"/>
              <w:right w:val="single" w:sz="4" w:space="0" w:color="auto"/>
            </w:tcBorders>
          </w:tcPr>
          <w:p w:rsidR="00552B6F" w:rsidRPr="00552B6F" w:rsidRDefault="00552B6F" w:rsidP="00552B6F">
            <w:pPr>
              <w:spacing w:line="360" w:lineRule="auto"/>
              <w:ind w:left="360"/>
              <w:jc w:val="both"/>
              <w:rPr>
                <w:rFonts w:ascii="Arial" w:hAnsi="Arial" w:cs="Arial"/>
                <w:sz w:val="16"/>
                <w:szCs w:val="16"/>
              </w:rPr>
            </w:pPr>
          </w:p>
          <w:p w:rsidR="00457FB0" w:rsidRPr="00457FB0" w:rsidRDefault="00457FB0" w:rsidP="004A4478">
            <w:pPr>
              <w:pStyle w:val="ListParagraph"/>
              <w:numPr>
                <w:ilvl w:val="0"/>
                <w:numId w:val="4"/>
              </w:numPr>
              <w:spacing w:line="360" w:lineRule="auto"/>
              <w:jc w:val="both"/>
              <w:rPr>
                <w:rFonts w:ascii="Arial" w:hAnsi="Arial" w:cs="Arial"/>
                <w:sz w:val="24"/>
                <w:lang w:val="en-US"/>
              </w:rPr>
            </w:pPr>
            <w:r w:rsidRPr="00457FB0">
              <w:rPr>
                <w:rFonts w:ascii="Arial" w:hAnsi="Arial" w:cs="Arial"/>
                <w:sz w:val="24"/>
                <w:lang w:val="en-US"/>
              </w:rPr>
              <w:t>The summary judgment application of the first claim for the return of the vehicle is granted.</w:t>
            </w:r>
          </w:p>
          <w:p w:rsidR="00457FB0" w:rsidRPr="00457FB0" w:rsidRDefault="00457FB0" w:rsidP="004A4478">
            <w:pPr>
              <w:pStyle w:val="ListParagraph"/>
              <w:numPr>
                <w:ilvl w:val="0"/>
                <w:numId w:val="4"/>
              </w:numPr>
              <w:spacing w:after="0" w:line="360" w:lineRule="auto"/>
              <w:jc w:val="both"/>
              <w:rPr>
                <w:rFonts w:ascii="Arial" w:hAnsi="Arial" w:cs="Arial"/>
                <w:sz w:val="24"/>
                <w:lang w:val="en-US"/>
              </w:rPr>
            </w:pPr>
            <w:r w:rsidRPr="00457FB0">
              <w:rPr>
                <w:rFonts w:ascii="Arial" w:hAnsi="Arial" w:cs="Arial"/>
                <w:sz w:val="24"/>
                <w:lang w:val="en-US"/>
              </w:rPr>
              <w:t>The respondent is directed to immediately restore the vehicle, to wit a, Toyota Hilux GD6, with registration number N 88579 W, bearing engine number 2GDC477766, chassis number AHTKB8CD602970426 to the applicant.</w:t>
            </w:r>
          </w:p>
          <w:p w:rsidR="00457FB0" w:rsidRPr="00457FB0" w:rsidRDefault="00447988" w:rsidP="004A4478">
            <w:pPr>
              <w:pStyle w:val="ListParagraph"/>
              <w:numPr>
                <w:ilvl w:val="0"/>
                <w:numId w:val="4"/>
              </w:numPr>
              <w:spacing w:line="360" w:lineRule="auto"/>
              <w:jc w:val="both"/>
              <w:rPr>
                <w:rFonts w:ascii="Arial" w:hAnsi="Arial" w:cs="Arial"/>
                <w:sz w:val="24"/>
                <w:lang w:val="en-US"/>
              </w:rPr>
            </w:pPr>
            <w:r>
              <w:rPr>
                <w:rFonts w:ascii="Arial" w:hAnsi="Arial" w:cs="Arial"/>
                <w:sz w:val="24"/>
                <w:lang w:val="en-US"/>
              </w:rPr>
              <w:lastRenderedPageBreak/>
              <w:t>In the event that the R</w:t>
            </w:r>
            <w:r w:rsidR="00457FB0" w:rsidRPr="00457FB0">
              <w:rPr>
                <w:rFonts w:ascii="Arial" w:hAnsi="Arial" w:cs="Arial"/>
                <w:sz w:val="24"/>
                <w:lang w:val="en-US"/>
              </w:rPr>
              <w:t xml:space="preserve">espondent fails to return the vehicle within thirty (30) days from date of this judgment then the Deputy Sheriff for the district of Rehoboth and/or Windhoek is hereby authorized to enforce this court's order. </w:t>
            </w:r>
          </w:p>
          <w:p w:rsidR="00457FB0" w:rsidRPr="00457FB0" w:rsidRDefault="004A4478" w:rsidP="00457FB0">
            <w:pPr>
              <w:pStyle w:val="ListParagraph"/>
              <w:numPr>
                <w:ilvl w:val="0"/>
                <w:numId w:val="4"/>
              </w:numPr>
              <w:spacing w:after="0" w:line="360" w:lineRule="auto"/>
              <w:rPr>
                <w:rFonts w:ascii="Arial" w:hAnsi="Arial" w:cs="Arial"/>
                <w:sz w:val="24"/>
                <w:lang w:val="en-US"/>
              </w:rPr>
            </w:pPr>
            <w:r>
              <w:rPr>
                <w:rFonts w:ascii="Arial" w:hAnsi="Arial" w:cs="Arial"/>
                <w:sz w:val="24"/>
                <w:lang w:val="en-US"/>
              </w:rPr>
              <w:t>The summary judg</w:t>
            </w:r>
            <w:r w:rsidR="00457FB0" w:rsidRPr="00457FB0">
              <w:rPr>
                <w:rFonts w:ascii="Arial" w:hAnsi="Arial" w:cs="Arial"/>
                <w:sz w:val="24"/>
                <w:lang w:val="en-US"/>
              </w:rPr>
              <w:t>ment application for claim two is dismissed.</w:t>
            </w:r>
          </w:p>
          <w:p w:rsidR="00457FB0" w:rsidRPr="00457FB0" w:rsidRDefault="00457FB0" w:rsidP="00457FB0">
            <w:pPr>
              <w:pStyle w:val="ListParagraph"/>
              <w:numPr>
                <w:ilvl w:val="0"/>
                <w:numId w:val="4"/>
              </w:numPr>
              <w:spacing w:after="0" w:line="360" w:lineRule="auto"/>
              <w:rPr>
                <w:rFonts w:ascii="Arial" w:hAnsi="Arial" w:cs="Arial"/>
                <w:sz w:val="24"/>
                <w:lang w:val="en-US"/>
              </w:rPr>
            </w:pPr>
            <w:r w:rsidRPr="00457FB0">
              <w:rPr>
                <w:rFonts w:ascii="Arial" w:hAnsi="Arial" w:cs="Arial"/>
                <w:sz w:val="24"/>
                <w:lang w:val="en-US"/>
              </w:rPr>
              <w:t>The costs of this application stands over to be determined at the end of the matter.</w:t>
            </w:r>
          </w:p>
          <w:p w:rsidR="00C3188B" w:rsidRPr="00C3188B" w:rsidRDefault="00457FB0" w:rsidP="00447988">
            <w:pPr>
              <w:pStyle w:val="ListParagraph"/>
              <w:numPr>
                <w:ilvl w:val="0"/>
                <w:numId w:val="4"/>
              </w:numPr>
              <w:spacing w:after="0" w:line="360" w:lineRule="auto"/>
              <w:jc w:val="both"/>
              <w:rPr>
                <w:rFonts w:ascii="Arial" w:hAnsi="Arial" w:cs="Arial"/>
                <w:sz w:val="24"/>
                <w:lang w:val="en-US"/>
              </w:rPr>
            </w:pPr>
            <w:r w:rsidRPr="00457FB0">
              <w:rPr>
                <w:rFonts w:ascii="Arial" w:hAnsi="Arial" w:cs="Arial"/>
                <w:sz w:val="24"/>
                <w:lang w:val="en-US"/>
              </w:rPr>
              <w:t xml:space="preserve">The </w:t>
            </w:r>
            <w:r w:rsidR="00C3188B">
              <w:rPr>
                <w:rFonts w:ascii="Arial" w:hAnsi="Arial" w:cs="Arial"/>
                <w:sz w:val="24"/>
                <w:lang w:val="en-US"/>
              </w:rPr>
              <w:t xml:space="preserve">plaintiff to file their notice to amend </w:t>
            </w:r>
            <w:r w:rsidR="00447988">
              <w:rPr>
                <w:rFonts w:ascii="Arial" w:hAnsi="Arial" w:cs="Arial"/>
                <w:sz w:val="24"/>
                <w:lang w:val="en-US"/>
              </w:rPr>
              <w:t xml:space="preserve">their particulars of claim </w:t>
            </w:r>
            <w:r w:rsidR="00C3188B">
              <w:rPr>
                <w:rFonts w:ascii="Arial" w:hAnsi="Arial" w:cs="Arial"/>
                <w:sz w:val="24"/>
                <w:lang w:val="en-US"/>
              </w:rPr>
              <w:t>on or befo</w:t>
            </w:r>
            <w:r w:rsidR="00447988">
              <w:rPr>
                <w:rFonts w:ascii="Arial" w:hAnsi="Arial" w:cs="Arial"/>
                <w:sz w:val="24"/>
                <w:lang w:val="en-US"/>
              </w:rPr>
              <w:t>re 5</w:t>
            </w:r>
            <w:r w:rsidR="00C3188B">
              <w:rPr>
                <w:rFonts w:ascii="Arial" w:hAnsi="Arial" w:cs="Arial"/>
                <w:sz w:val="24"/>
                <w:lang w:val="en-US"/>
              </w:rPr>
              <w:t xml:space="preserve"> </w:t>
            </w:r>
            <w:r w:rsidR="00447988">
              <w:rPr>
                <w:rFonts w:ascii="Arial" w:hAnsi="Arial" w:cs="Arial"/>
                <w:sz w:val="24"/>
                <w:lang w:val="en-US"/>
              </w:rPr>
              <w:t>October</w:t>
            </w:r>
            <w:r w:rsidR="00C3188B">
              <w:rPr>
                <w:rFonts w:ascii="Arial" w:hAnsi="Arial" w:cs="Arial"/>
                <w:sz w:val="24"/>
                <w:lang w:val="en-US"/>
              </w:rPr>
              <w:t xml:space="preserve"> 2023.</w:t>
            </w:r>
          </w:p>
          <w:p w:rsidR="00552B6F" w:rsidRPr="00457FB0" w:rsidRDefault="00C3188B" w:rsidP="00903329">
            <w:pPr>
              <w:pStyle w:val="ListParagraph"/>
              <w:numPr>
                <w:ilvl w:val="0"/>
                <w:numId w:val="4"/>
              </w:numPr>
              <w:spacing w:after="0" w:line="360" w:lineRule="auto"/>
              <w:jc w:val="both"/>
              <w:rPr>
                <w:rFonts w:ascii="Arial" w:hAnsi="Arial" w:cs="Arial"/>
                <w:sz w:val="24"/>
                <w:lang w:val="en-US"/>
              </w:rPr>
            </w:pPr>
            <w:r>
              <w:rPr>
                <w:rFonts w:ascii="Arial" w:hAnsi="Arial" w:cs="Arial"/>
                <w:sz w:val="24"/>
                <w:lang w:val="en-US"/>
              </w:rPr>
              <w:t>The matter is postponed to 24 O</w:t>
            </w:r>
            <w:r w:rsidR="00372A4C">
              <w:rPr>
                <w:rFonts w:ascii="Arial" w:hAnsi="Arial" w:cs="Arial"/>
                <w:sz w:val="24"/>
                <w:lang w:val="en-US"/>
              </w:rPr>
              <w:t xml:space="preserve">ctober 2023 at </w:t>
            </w:r>
            <w:r>
              <w:rPr>
                <w:rFonts w:ascii="Arial" w:hAnsi="Arial" w:cs="Arial"/>
                <w:sz w:val="24"/>
                <w:lang w:val="en-US"/>
              </w:rPr>
              <w:t>15:30 for a Status hearing. (R</w:t>
            </w:r>
            <w:r w:rsidR="00447988">
              <w:rPr>
                <w:rFonts w:ascii="Arial" w:hAnsi="Arial" w:cs="Arial"/>
                <w:sz w:val="24"/>
                <w:lang w:val="en-US"/>
              </w:rPr>
              <w:t>eason: F</w:t>
            </w:r>
            <w:r>
              <w:rPr>
                <w:rFonts w:ascii="Arial" w:hAnsi="Arial" w:cs="Arial"/>
                <w:sz w:val="24"/>
                <w:lang w:val="en-US"/>
              </w:rPr>
              <w:t>or the plaintiff to comply with rule 32(9) and (10)</w:t>
            </w:r>
            <w:r w:rsidR="00372A4C">
              <w:rPr>
                <w:rFonts w:ascii="Arial" w:hAnsi="Arial" w:cs="Arial"/>
                <w:sz w:val="24"/>
                <w:lang w:val="en-US"/>
              </w:rPr>
              <w:t>)</w:t>
            </w:r>
            <w:r>
              <w:rPr>
                <w:rFonts w:ascii="Arial" w:hAnsi="Arial" w:cs="Arial"/>
                <w:sz w:val="24"/>
                <w:lang w:val="en-US"/>
              </w:rPr>
              <w:t>.</w:t>
            </w:r>
          </w:p>
        </w:tc>
      </w:tr>
      <w:tr w:rsidR="00552B6F" w:rsidRPr="00552B6F" w:rsidTr="003F2DE7">
        <w:tc>
          <w:tcPr>
            <w:tcW w:w="10490" w:type="dxa"/>
            <w:gridSpan w:val="3"/>
            <w:tcBorders>
              <w:top w:val="single" w:sz="4" w:space="0" w:color="auto"/>
              <w:left w:val="single" w:sz="4" w:space="0" w:color="auto"/>
              <w:bottom w:val="single" w:sz="4" w:space="0" w:color="auto"/>
              <w:right w:val="single" w:sz="4" w:space="0" w:color="auto"/>
            </w:tcBorders>
          </w:tcPr>
          <w:p w:rsidR="00552B6F" w:rsidRPr="00552B6F" w:rsidRDefault="00552B6F" w:rsidP="00552B6F">
            <w:pPr>
              <w:spacing w:line="360" w:lineRule="auto"/>
              <w:jc w:val="both"/>
              <w:rPr>
                <w:rFonts w:ascii="Arial" w:hAnsi="Arial" w:cs="Arial"/>
                <w:b/>
                <w:sz w:val="10"/>
                <w:szCs w:val="10"/>
              </w:rPr>
            </w:pPr>
          </w:p>
          <w:p w:rsidR="00552B6F" w:rsidRPr="00552B6F" w:rsidRDefault="00552B6F" w:rsidP="00552B6F">
            <w:pPr>
              <w:spacing w:line="360" w:lineRule="auto"/>
              <w:ind w:left="743" w:hanging="743"/>
              <w:jc w:val="both"/>
              <w:rPr>
                <w:rFonts w:ascii="Arial" w:hAnsi="Arial" w:cs="Arial"/>
                <w:sz w:val="24"/>
                <w:szCs w:val="24"/>
              </w:rPr>
            </w:pPr>
            <w:r w:rsidRPr="00552B6F">
              <w:rPr>
                <w:rFonts w:ascii="Arial" w:hAnsi="Arial" w:cs="Arial"/>
                <w:b/>
                <w:sz w:val="24"/>
                <w:szCs w:val="24"/>
              </w:rPr>
              <w:t>Reasons for order:</w:t>
            </w:r>
          </w:p>
        </w:tc>
      </w:tr>
      <w:tr w:rsidR="00552B6F" w:rsidRPr="00552B6F" w:rsidTr="003F2DE7">
        <w:tc>
          <w:tcPr>
            <w:tcW w:w="10490" w:type="dxa"/>
            <w:gridSpan w:val="3"/>
            <w:tcBorders>
              <w:top w:val="single" w:sz="4" w:space="0" w:color="auto"/>
              <w:left w:val="single" w:sz="4" w:space="0" w:color="auto"/>
              <w:bottom w:val="single" w:sz="4" w:space="0" w:color="auto"/>
              <w:right w:val="single" w:sz="4" w:space="0" w:color="auto"/>
            </w:tcBorders>
          </w:tcPr>
          <w:p w:rsidR="00552B6F" w:rsidRPr="00552B6F" w:rsidRDefault="00552B6F" w:rsidP="00552B6F">
            <w:pPr>
              <w:spacing w:line="360" w:lineRule="auto"/>
              <w:jc w:val="both"/>
              <w:rPr>
                <w:rFonts w:ascii="Arial" w:hAnsi="Arial" w:cs="Arial"/>
                <w:sz w:val="24"/>
                <w:szCs w:val="24"/>
              </w:rPr>
            </w:pPr>
          </w:p>
          <w:p w:rsidR="00552B6F" w:rsidRPr="00552B6F" w:rsidRDefault="00552B6F" w:rsidP="00552B6F">
            <w:pPr>
              <w:spacing w:line="360" w:lineRule="auto"/>
              <w:jc w:val="both"/>
              <w:rPr>
                <w:rFonts w:ascii="Arial" w:hAnsi="Arial" w:cs="Arial"/>
                <w:sz w:val="24"/>
                <w:szCs w:val="24"/>
              </w:rPr>
            </w:pPr>
            <w:r w:rsidRPr="00552B6F">
              <w:rPr>
                <w:rFonts w:ascii="Arial" w:hAnsi="Arial" w:cs="Arial"/>
                <w:sz w:val="24"/>
                <w:szCs w:val="24"/>
              </w:rPr>
              <w:t>RAKOW J :</w:t>
            </w:r>
          </w:p>
          <w:p w:rsidR="00552B6F" w:rsidRPr="00552B6F" w:rsidRDefault="00552B6F" w:rsidP="00552B6F">
            <w:pPr>
              <w:spacing w:line="360" w:lineRule="auto"/>
              <w:jc w:val="both"/>
              <w:rPr>
                <w:rFonts w:ascii="Arial" w:hAnsi="Arial" w:cs="Arial"/>
                <w:sz w:val="24"/>
                <w:szCs w:val="24"/>
              </w:rPr>
            </w:pPr>
          </w:p>
          <w:p w:rsidR="0083108B" w:rsidRPr="0083108B" w:rsidRDefault="0083108B" w:rsidP="005D1F25">
            <w:pPr>
              <w:spacing w:line="360" w:lineRule="auto"/>
              <w:jc w:val="both"/>
              <w:rPr>
                <w:rFonts w:ascii="Arial" w:hAnsi="Arial" w:cs="Arial"/>
                <w:sz w:val="24"/>
                <w:szCs w:val="24"/>
                <w:u w:val="single"/>
              </w:rPr>
            </w:pPr>
            <w:r w:rsidRPr="0083108B">
              <w:rPr>
                <w:rFonts w:ascii="Arial" w:hAnsi="Arial" w:cs="Arial"/>
                <w:sz w:val="24"/>
                <w:szCs w:val="24"/>
                <w:u w:val="single"/>
              </w:rPr>
              <w:t>Introduction</w:t>
            </w:r>
          </w:p>
          <w:p w:rsidR="0083108B" w:rsidRPr="0083108B" w:rsidRDefault="0083108B" w:rsidP="005D1F25">
            <w:pPr>
              <w:spacing w:line="360" w:lineRule="auto"/>
              <w:rPr>
                <w:rFonts w:ascii="Arial" w:hAnsi="Arial" w:cs="Arial"/>
                <w:sz w:val="24"/>
                <w:szCs w:val="24"/>
              </w:rPr>
            </w:pPr>
          </w:p>
          <w:p w:rsidR="0083108B" w:rsidRPr="00925A71" w:rsidRDefault="00716BA6" w:rsidP="005C0309">
            <w:pPr>
              <w:numPr>
                <w:ilvl w:val="0"/>
                <w:numId w:val="6"/>
              </w:numPr>
              <w:spacing w:line="360" w:lineRule="auto"/>
              <w:ind w:left="0" w:firstLine="0"/>
              <w:contextualSpacing/>
              <w:jc w:val="both"/>
              <w:rPr>
                <w:rFonts w:ascii="Arial" w:hAnsi="Arial" w:cs="Arial"/>
                <w:sz w:val="24"/>
                <w:szCs w:val="24"/>
              </w:rPr>
            </w:pPr>
            <w:r w:rsidRPr="00716BA6">
              <w:rPr>
                <w:rFonts w:ascii="Arial" w:hAnsi="Arial" w:cs="Arial"/>
                <w:sz w:val="24"/>
                <w:szCs w:val="24"/>
                <w:lang w:val="en-US"/>
              </w:rPr>
              <w:t xml:space="preserve">The </w:t>
            </w:r>
            <w:r w:rsidR="00B47C20">
              <w:rPr>
                <w:rFonts w:ascii="Arial" w:hAnsi="Arial" w:cs="Arial"/>
                <w:sz w:val="24"/>
                <w:szCs w:val="24"/>
                <w:lang w:val="en-US"/>
              </w:rPr>
              <w:t>applicant</w:t>
            </w:r>
            <w:r w:rsidRPr="00716BA6">
              <w:rPr>
                <w:rFonts w:ascii="Arial" w:hAnsi="Arial" w:cs="Arial"/>
                <w:sz w:val="24"/>
                <w:szCs w:val="24"/>
                <w:lang w:val="en-US"/>
              </w:rPr>
              <w:t xml:space="preserve"> issued summons against the </w:t>
            </w:r>
            <w:r w:rsidR="00B47C20">
              <w:rPr>
                <w:rFonts w:ascii="Arial" w:hAnsi="Arial" w:cs="Arial"/>
                <w:sz w:val="24"/>
                <w:szCs w:val="24"/>
                <w:lang w:val="en-US"/>
              </w:rPr>
              <w:t>respondent</w:t>
            </w:r>
            <w:r w:rsidRPr="00716BA6">
              <w:rPr>
                <w:rFonts w:ascii="Arial" w:hAnsi="Arial" w:cs="Arial"/>
                <w:sz w:val="24"/>
                <w:szCs w:val="24"/>
                <w:lang w:val="en-US"/>
              </w:rPr>
              <w:t xml:space="preserve"> for the delivery of the </w:t>
            </w:r>
            <w:r w:rsidR="00B47C20" w:rsidRPr="00B47C20">
              <w:rPr>
                <w:rFonts w:ascii="Arial" w:hAnsi="Arial" w:cs="Arial"/>
                <w:sz w:val="24"/>
                <w:szCs w:val="24"/>
                <w:lang w:val="en-US"/>
              </w:rPr>
              <w:t>applicant</w:t>
            </w:r>
            <w:r w:rsidRPr="00716BA6">
              <w:rPr>
                <w:rFonts w:ascii="Arial" w:hAnsi="Arial" w:cs="Arial"/>
                <w:sz w:val="24"/>
                <w:szCs w:val="24"/>
                <w:lang w:val="en-US"/>
              </w:rPr>
              <w:t xml:space="preserve">’s motor vehicle </w:t>
            </w:r>
            <w:r w:rsidR="00903329">
              <w:rPr>
                <w:rFonts w:ascii="Arial" w:hAnsi="Arial" w:cs="Arial"/>
                <w:sz w:val="24"/>
                <w:szCs w:val="24"/>
                <w:lang w:val="en-US"/>
              </w:rPr>
              <w:t>(</w:t>
            </w:r>
            <w:r w:rsidRPr="00716BA6">
              <w:rPr>
                <w:rFonts w:ascii="Arial" w:hAnsi="Arial" w:cs="Arial"/>
                <w:sz w:val="24"/>
                <w:szCs w:val="24"/>
                <w:lang w:val="en-US"/>
              </w:rPr>
              <w:t>ad claim 1</w:t>
            </w:r>
            <w:r w:rsidR="00903329">
              <w:rPr>
                <w:rFonts w:ascii="Arial" w:hAnsi="Arial" w:cs="Arial"/>
                <w:sz w:val="24"/>
                <w:szCs w:val="24"/>
                <w:lang w:val="en-US"/>
              </w:rPr>
              <w:t>)</w:t>
            </w:r>
            <w:r w:rsidRPr="00716BA6">
              <w:rPr>
                <w:rFonts w:ascii="Arial" w:hAnsi="Arial" w:cs="Arial"/>
                <w:sz w:val="24"/>
                <w:szCs w:val="24"/>
                <w:lang w:val="en-US"/>
              </w:rPr>
              <w:t xml:space="preserve"> and </w:t>
            </w:r>
            <w:r w:rsidR="00915EA4">
              <w:rPr>
                <w:rFonts w:ascii="Arial" w:hAnsi="Arial" w:cs="Arial"/>
                <w:sz w:val="24"/>
                <w:szCs w:val="24"/>
                <w:lang w:val="en-US"/>
              </w:rPr>
              <w:t>for damages in the amount of N$</w:t>
            </w:r>
            <w:r w:rsidRPr="00716BA6">
              <w:rPr>
                <w:rFonts w:ascii="Arial" w:hAnsi="Arial" w:cs="Arial"/>
                <w:sz w:val="24"/>
                <w:szCs w:val="24"/>
                <w:lang w:val="en-US"/>
              </w:rPr>
              <w:t>205 650.04 for fair and reasonable costs of m</w:t>
            </w:r>
            <w:r w:rsidR="00903329">
              <w:rPr>
                <w:rFonts w:ascii="Arial" w:hAnsi="Arial" w:cs="Arial"/>
                <w:sz w:val="24"/>
                <w:szCs w:val="24"/>
                <w:lang w:val="en-US"/>
              </w:rPr>
              <w:t xml:space="preserve">otor vehicle rental ad claim. </w:t>
            </w:r>
            <w:r w:rsidRPr="00716BA6">
              <w:rPr>
                <w:rFonts w:ascii="Arial" w:hAnsi="Arial" w:cs="Arial"/>
                <w:sz w:val="24"/>
                <w:szCs w:val="24"/>
                <w:lang w:val="en-US"/>
              </w:rPr>
              <w:t xml:space="preserve">The </w:t>
            </w:r>
            <w:r w:rsidR="00B47C20" w:rsidRPr="00B47C20">
              <w:rPr>
                <w:rFonts w:ascii="Arial" w:hAnsi="Arial" w:cs="Arial"/>
                <w:sz w:val="24"/>
                <w:szCs w:val="24"/>
                <w:lang w:val="en-US"/>
              </w:rPr>
              <w:t>applicant</w:t>
            </w:r>
            <w:r w:rsidRPr="00716BA6">
              <w:rPr>
                <w:rFonts w:ascii="Arial" w:hAnsi="Arial" w:cs="Arial"/>
                <w:sz w:val="24"/>
                <w:szCs w:val="24"/>
                <w:lang w:val="en-US"/>
              </w:rPr>
              <w:t xml:space="preserve"> filed an application for summary judgment to seek a spe</w:t>
            </w:r>
            <w:r w:rsidR="00524188">
              <w:rPr>
                <w:rFonts w:ascii="Arial" w:hAnsi="Arial" w:cs="Arial"/>
                <w:sz w:val="24"/>
                <w:szCs w:val="24"/>
                <w:lang w:val="en-US"/>
              </w:rPr>
              <w:t xml:space="preserve">edy redress to its claims. </w:t>
            </w:r>
            <w:r w:rsidR="00B47C20">
              <w:rPr>
                <w:rFonts w:ascii="Arial" w:hAnsi="Arial" w:cs="Arial"/>
                <w:sz w:val="24"/>
                <w:szCs w:val="24"/>
                <w:lang w:val="en-US"/>
              </w:rPr>
              <w:t>The r</w:t>
            </w:r>
            <w:r w:rsidRPr="00716BA6">
              <w:rPr>
                <w:rFonts w:ascii="Arial" w:hAnsi="Arial" w:cs="Arial"/>
                <w:sz w:val="24"/>
                <w:szCs w:val="24"/>
                <w:lang w:val="en-US"/>
              </w:rPr>
              <w:t>esponde</w:t>
            </w:r>
            <w:r w:rsidR="00903329">
              <w:rPr>
                <w:rFonts w:ascii="Arial" w:hAnsi="Arial" w:cs="Arial"/>
                <w:sz w:val="24"/>
                <w:szCs w:val="24"/>
                <w:lang w:val="en-US"/>
              </w:rPr>
              <w:t>nt opposed the application for summary j</w:t>
            </w:r>
            <w:r w:rsidRPr="00716BA6">
              <w:rPr>
                <w:rFonts w:ascii="Arial" w:hAnsi="Arial" w:cs="Arial"/>
                <w:sz w:val="24"/>
                <w:szCs w:val="24"/>
                <w:lang w:val="en-US"/>
              </w:rPr>
              <w:t xml:space="preserve">udgment on the basis that it is entitled to refuse return of the </w:t>
            </w:r>
            <w:r w:rsidR="00B47C20" w:rsidRPr="00B47C20">
              <w:rPr>
                <w:rFonts w:ascii="Arial" w:hAnsi="Arial" w:cs="Arial"/>
                <w:sz w:val="24"/>
                <w:szCs w:val="24"/>
                <w:lang w:val="en-US"/>
              </w:rPr>
              <w:t>applicant</w:t>
            </w:r>
            <w:r w:rsidRPr="00716BA6">
              <w:rPr>
                <w:rFonts w:ascii="Arial" w:hAnsi="Arial" w:cs="Arial"/>
                <w:sz w:val="24"/>
                <w:szCs w:val="24"/>
                <w:lang w:val="en-US"/>
              </w:rPr>
              <w:t xml:space="preserve">’s motor vehicle as the </w:t>
            </w:r>
            <w:r w:rsidR="00B47C20">
              <w:rPr>
                <w:rFonts w:ascii="Arial" w:hAnsi="Arial" w:cs="Arial"/>
                <w:sz w:val="24"/>
                <w:szCs w:val="24"/>
                <w:lang w:val="en-US"/>
              </w:rPr>
              <w:t>r</w:t>
            </w:r>
            <w:r w:rsidRPr="00716BA6">
              <w:rPr>
                <w:rFonts w:ascii="Arial" w:hAnsi="Arial" w:cs="Arial"/>
                <w:sz w:val="24"/>
                <w:szCs w:val="24"/>
                <w:lang w:val="en-US"/>
              </w:rPr>
              <w:t xml:space="preserve">espondent vested a lien in respect of the motor vehicle and that the </w:t>
            </w:r>
            <w:r w:rsidR="00B47C20">
              <w:rPr>
                <w:rFonts w:ascii="Arial" w:hAnsi="Arial" w:cs="Arial"/>
                <w:sz w:val="24"/>
                <w:szCs w:val="24"/>
                <w:lang w:val="en-US"/>
              </w:rPr>
              <w:t>r</w:t>
            </w:r>
            <w:r w:rsidRPr="00716BA6">
              <w:rPr>
                <w:rFonts w:ascii="Arial" w:hAnsi="Arial" w:cs="Arial"/>
                <w:sz w:val="24"/>
                <w:szCs w:val="24"/>
                <w:lang w:val="en-US"/>
              </w:rPr>
              <w:t>es</w:t>
            </w:r>
            <w:r w:rsidR="00903329">
              <w:rPr>
                <w:rFonts w:ascii="Arial" w:hAnsi="Arial" w:cs="Arial"/>
                <w:sz w:val="24"/>
                <w:szCs w:val="24"/>
                <w:lang w:val="en-US"/>
              </w:rPr>
              <w:t>pondent is not indebted to the a</w:t>
            </w:r>
            <w:r w:rsidR="00915EA4">
              <w:rPr>
                <w:rFonts w:ascii="Arial" w:hAnsi="Arial" w:cs="Arial"/>
                <w:sz w:val="24"/>
                <w:szCs w:val="24"/>
                <w:lang w:val="en-US"/>
              </w:rPr>
              <w:t>pplicant in the amount of N$</w:t>
            </w:r>
            <w:r w:rsidRPr="00716BA6">
              <w:rPr>
                <w:rFonts w:ascii="Arial" w:hAnsi="Arial" w:cs="Arial"/>
                <w:sz w:val="24"/>
                <w:szCs w:val="24"/>
                <w:lang w:val="en-US"/>
              </w:rPr>
              <w:t>205 650.04 or any other amount not withstanding that a claim for damag</w:t>
            </w:r>
            <w:r w:rsidR="00915EA4">
              <w:rPr>
                <w:rFonts w:ascii="Arial" w:hAnsi="Arial" w:cs="Arial"/>
                <w:sz w:val="24"/>
                <w:szCs w:val="24"/>
                <w:lang w:val="en-US"/>
              </w:rPr>
              <w:t>es falls beyond the ambit of r</w:t>
            </w:r>
            <w:r w:rsidRPr="00716BA6">
              <w:rPr>
                <w:rFonts w:ascii="Arial" w:hAnsi="Arial" w:cs="Arial"/>
                <w:sz w:val="24"/>
                <w:szCs w:val="24"/>
                <w:lang w:val="en-US"/>
              </w:rPr>
              <w:t>ule 60(1) and (2)</w:t>
            </w:r>
          </w:p>
          <w:p w:rsidR="00915EA4" w:rsidRPr="00716BA6" w:rsidRDefault="00915EA4" w:rsidP="00925A71">
            <w:pPr>
              <w:spacing w:line="360" w:lineRule="auto"/>
              <w:contextualSpacing/>
              <w:jc w:val="both"/>
              <w:rPr>
                <w:rFonts w:ascii="Arial" w:hAnsi="Arial" w:cs="Arial"/>
                <w:sz w:val="24"/>
                <w:szCs w:val="24"/>
              </w:rPr>
            </w:pPr>
          </w:p>
          <w:p w:rsidR="0083108B" w:rsidRPr="0083108B" w:rsidRDefault="0083108B" w:rsidP="005D1F25">
            <w:pPr>
              <w:spacing w:line="360" w:lineRule="auto"/>
              <w:rPr>
                <w:rFonts w:ascii="Arial" w:hAnsi="Arial" w:cs="Arial"/>
                <w:sz w:val="24"/>
                <w:szCs w:val="24"/>
                <w:u w:val="single"/>
              </w:rPr>
            </w:pPr>
            <w:r w:rsidRPr="0083108B">
              <w:rPr>
                <w:rFonts w:ascii="Arial" w:hAnsi="Arial" w:cs="Arial"/>
                <w:sz w:val="24"/>
                <w:szCs w:val="24"/>
                <w:u w:val="single"/>
              </w:rPr>
              <w:t>Parties</w:t>
            </w:r>
          </w:p>
          <w:p w:rsidR="0083108B" w:rsidRPr="0083108B" w:rsidRDefault="0083108B" w:rsidP="005D1F25">
            <w:pPr>
              <w:spacing w:line="360" w:lineRule="auto"/>
              <w:rPr>
                <w:rFonts w:ascii="Arial" w:hAnsi="Arial" w:cs="Arial"/>
                <w:sz w:val="24"/>
                <w:szCs w:val="24"/>
              </w:rPr>
            </w:pPr>
          </w:p>
          <w:p w:rsidR="005D1F25" w:rsidRPr="00716BA6" w:rsidRDefault="0083108B" w:rsidP="005D1F25">
            <w:pPr>
              <w:numPr>
                <w:ilvl w:val="0"/>
                <w:numId w:val="6"/>
              </w:numPr>
              <w:spacing w:line="360" w:lineRule="auto"/>
              <w:ind w:left="0" w:firstLine="0"/>
              <w:contextualSpacing/>
              <w:jc w:val="both"/>
              <w:rPr>
                <w:rFonts w:ascii="Arial" w:hAnsi="Arial" w:cs="Arial"/>
                <w:sz w:val="24"/>
                <w:szCs w:val="24"/>
              </w:rPr>
            </w:pPr>
            <w:r w:rsidRPr="0083108B">
              <w:rPr>
                <w:rFonts w:ascii="Arial" w:hAnsi="Arial" w:cs="Arial"/>
                <w:sz w:val="24"/>
                <w:szCs w:val="24"/>
              </w:rPr>
              <w:t xml:space="preserve">The </w:t>
            </w:r>
            <w:r w:rsidR="00B47C20" w:rsidRPr="00B47C20">
              <w:rPr>
                <w:rFonts w:ascii="Arial" w:hAnsi="Arial" w:cs="Arial"/>
                <w:sz w:val="24"/>
                <w:szCs w:val="24"/>
                <w:lang w:val="en-US"/>
              </w:rPr>
              <w:t>applicant</w:t>
            </w:r>
            <w:r w:rsidRPr="0083108B">
              <w:rPr>
                <w:rFonts w:ascii="Arial" w:hAnsi="Arial" w:cs="Arial"/>
                <w:sz w:val="24"/>
                <w:szCs w:val="24"/>
              </w:rPr>
              <w:t xml:space="preserve"> is </w:t>
            </w:r>
            <w:proofErr w:type="spellStart"/>
            <w:r w:rsidRPr="0083108B">
              <w:rPr>
                <w:rFonts w:ascii="Arial" w:hAnsi="Arial" w:cs="Arial"/>
                <w:sz w:val="24"/>
                <w:szCs w:val="24"/>
              </w:rPr>
              <w:t>Zannier</w:t>
            </w:r>
            <w:proofErr w:type="spellEnd"/>
            <w:r w:rsidRPr="0083108B">
              <w:rPr>
                <w:rFonts w:ascii="Arial" w:hAnsi="Arial" w:cs="Arial"/>
                <w:sz w:val="24"/>
                <w:szCs w:val="24"/>
              </w:rPr>
              <w:t xml:space="preserve"> Hotels Namibia (Pty) Ltd</w:t>
            </w:r>
            <w:r w:rsidR="00C72346">
              <w:rPr>
                <w:rFonts w:ascii="Arial" w:hAnsi="Arial" w:cs="Arial"/>
                <w:sz w:val="24"/>
                <w:szCs w:val="24"/>
              </w:rPr>
              <w:t xml:space="preserve"> t/a </w:t>
            </w:r>
            <w:proofErr w:type="spellStart"/>
            <w:r w:rsidR="00C72346">
              <w:rPr>
                <w:rFonts w:ascii="Arial" w:hAnsi="Arial" w:cs="Arial"/>
                <w:sz w:val="24"/>
                <w:szCs w:val="24"/>
              </w:rPr>
              <w:t>Sonop</w:t>
            </w:r>
            <w:proofErr w:type="spellEnd"/>
            <w:r w:rsidR="00C72346">
              <w:rPr>
                <w:rFonts w:ascii="Arial" w:hAnsi="Arial" w:cs="Arial"/>
                <w:sz w:val="24"/>
                <w:szCs w:val="24"/>
              </w:rPr>
              <w:t xml:space="preserve"> Lodge</w:t>
            </w:r>
            <w:r w:rsidRPr="0083108B">
              <w:rPr>
                <w:rFonts w:ascii="Arial" w:hAnsi="Arial" w:cs="Arial"/>
                <w:sz w:val="24"/>
                <w:szCs w:val="24"/>
              </w:rPr>
              <w:t xml:space="preserve">, a private company, with registration number 2017/0021, duly registered and incorporated in terms of the Companies Act </w:t>
            </w:r>
            <w:r w:rsidR="00B47C20">
              <w:rPr>
                <w:rFonts w:ascii="Arial" w:hAnsi="Arial" w:cs="Arial"/>
                <w:sz w:val="24"/>
                <w:szCs w:val="24"/>
              </w:rPr>
              <w:t>28 of 2004. The respondent</w:t>
            </w:r>
            <w:r w:rsidRPr="0083108B">
              <w:rPr>
                <w:rFonts w:ascii="Arial" w:hAnsi="Arial" w:cs="Arial"/>
                <w:sz w:val="24"/>
                <w:szCs w:val="24"/>
              </w:rPr>
              <w:t xml:space="preserve"> is Day Dreamers Investments CC, a close corporation with registration </w:t>
            </w:r>
            <w:r w:rsidRPr="0083108B">
              <w:rPr>
                <w:rFonts w:ascii="Arial" w:hAnsi="Arial" w:cs="Arial"/>
                <w:sz w:val="24"/>
                <w:szCs w:val="24"/>
              </w:rPr>
              <w:lastRenderedPageBreak/>
              <w:t xml:space="preserve">number CC/2017/03637, duly registered and incorporated in accordance with the applicable Close Corporation Laws of the Republic of Namibia. </w:t>
            </w:r>
          </w:p>
          <w:p w:rsidR="005D1F25" w:rsidRPr="0083108B" w:rsidRDefault="005D1F25" w:rsidP="005D1F25">
            <w:pPr>
              <w:spacing w:line="360" w:lineRule="auto"/>
              <w:contextualSpacing/>
              <w:jc w:val="both"/>
              <w:rPr>
                <w:rFonts w:ascii="Arial" w:hAnsi="Arial" w:cs="Arial"/>
                <w:sz w:val="24"/>
                <w:szCs w:val="24"/>
              </w:rPr>
            </w:pPr>
          </w:p>
          <w:p w:rsidR="0083108B" w:rsidRPr="0083108B" w:rsidRDefault="0083108B" w:rsidP="005D1F25">
            <w:pPr>
              <w:spacing w:line="360" w:lineRule="auto"/>
              <w:rPr>
                <w:rFonts w:ascii="Arial" w:hAnsi="Arial" w:cs="Arial"/>
                <w:sz w:val="24"/>
                <w:szCs w:val="24"/>
                <w:u w:val="single"/>
              </w:rPr>
            </w:pPr>
            <w:r w:rsidRPr="0083108B">
              <w:rPr>
                <w:rFonts w:ascii="Arial" w:hAnsi="Arial" w:cs="Arial"/>
                <w:sz w:val="24"/>
                <w:szCs w:val="24"/>
                <w:u w:val="single"/>
              </w:rPr>
              <w:t>Background</w:t>
            </w:r>
          </w:p>
          <w:p w:rsidR="0083108B" w:rsidRPr="0083108B" w:rsidRDefault="0083108B" w:rsidP="005D1F25">
            <w:pPr>
              <w:spacing w:line="360" w:lineRule="auto"/>
              <w:rPr>
                <w:rFonts w:ascii="Arial" w:hAnsi="Arial" w:cs="Arial"/>
                <w:sz w:val="24"/>
                <w:szCs w:val="24"/>
                <w:u w:val="single"/>
              </w:rPr>
            </w:pPr>
          </w:p>
          <w:p w:rsidR="0083108B" w:rsidRDefault="0083108B" w:rsidP="005D1F25">
            <w:pPr>
              <w:numPr>
                <w:ilvl w:val="0"/>
                <w:numId w:val="6"/>
              </w:numPr>
              <w:spacing w:line="360" w:lineRule="auto"/>
              <w:ind w:left="0" w:firstLine="0"/>
              <w:contextualSpacing/>
              <w:jc w:val="both"/>
              <w:rPr>
                <w:rFonts w:ascii="Arial" w:hAnsi="Arial" w:cs="Arial"/>
                <w:sz w:val="24"/>
                <w:szCs w:val="24"/>
              </w:rPr>
            </w:pPr>
            <w:r w:rsidRPr="0083108B">
              <w:rPr>
                <w:rFonts w:ascii="Arial" w:hAnsi="Arial" w:cs="Arial"/>
                <w:sz w:val="24"/>
                <w:szCs w:val="24"/>
              </w:rPr>
              <w:t xml:space="preserve">On 30 June 2022 and at Windhoek, the </w:t>
            </w:r>
            <w:r w:rsidR="00B47C20" w:rsidRPr="00B47C20">
              <w:rPr>
                <w:rFonts w:ascii="Arial" w:hAnsi="Arial" w:cs="Arial"/>
                <w:sz w:val="24"/>
                <w:szCs w:val="24"/>
                <w:lang w:val="en-US"/>
              </w:rPr>
              <w:t>applicant</w:t>
            </w:r>
            <w:r w:rsidRPr="0083108B">
              <w:rPr>
                <w:rFonts w:ascii="Arial" w:hAnsi="Arial" w:cs="Arial"/>
                <w:sz w:val="24"/>
                <w:szCs w:val="24"/>
              </w:rPr>
              <w:t xml:space="preserve"> and the </w:t>
            </w:r>
            <w:r w:rsidR="00B47C20">
              <w:rPr>
                <w:rFonts w:ascii="Arial" w:hAnsi="Arial" w:cs="Arial"/>
                <w:sz w:val="24"/>
                <w:szCs w:val="24"/>
              </w:rPr>
              <w:t>respondent</w:t>
            </w:r>
            <w:r w:rsidRPr="0083108B">
              <w:rPr>
                <w:rFonts w:ascii="Arial" w:hAnsi="Arial" w:cs="Arial"/>
                <w:sz w:val="24"/>
                <w:szCs w:val="24"/>
              </w:rPr>
              <w:t xml:space="preserve">, duly represented by Ms </w:t>
            </w:r>
            <w:proofErr w:type="spellStart"/>
            <w:r w:rsidRPr="0083108B">
              <w:rPr>
                <w:rFonts w:ascii="Arial" w:hAnsi="Arial" w:cs="Arial"/>
                <w:sz w:val="24"/>
                <w:szCs w:val="24"/>
              </w:rPr>
              <w:t>Charissa</w:t>
            </w:r>
            <w:proofErr w:type="spellEnd"/>
            <w:r w:rsidRPr="0083108B">
              <w:rPr>
                <w:rFonts w:ascii="Arial" w:hAnsi="Arial" w:cs="Arial"/>
                <w:sz w:val="24"/>
                <w:szCs w:val="24"/>
              </w:rPr>
              <w:t xml:space="preserve"> Hagen, entered into a partly oral and partly written agreement (hereinafter referred to as “the agreement”), the terms of which the </w:t>
            </w:r>
            <w:r w:rsidR="00B47C20">
              <w:rPr>
                <w:rFonts w:ascii="Arial" w:hAnsi="Arial" w:cs="Arial"/>
                <w:sz w:val="24"/>
                <w:szCs w:val="24"/>
              </w:rPr>
              <w:t>respondent</w:t>
            </w:r>
            <w:r w:rsidRPr="0083108B">
              <w:rPr>
                <w:rFonts w:ascii="Arial" w:hAnsi="Arial" w:cs="Arial"/>
                <w:sz w:val="24"/>
                <w:szCs w:val="24"/>
              </w:rPr>
              <w:t xml:space="preserve"> was to repair the vehicle with registration number N 88579 W, a Toyota Hilux GD6, motor vehicle, bearing engine number 2GDC477766, chassis number AH</w:t>
            </w:r>
            <w:r w:rsidR="00915EA4">
              <w:rPr>
                <w:rFonts w:ascii="Arial" w:hAnsi="Arial" w:cs="Arial"/>
                <w:sz w:val="24"/>
                <w:szCs w:val="24"/>
              </w:rPr>
              <w:t>TKB8CD602970426 of the applicant</w:t>
            </w:r>
            <w:r w:rsidRPr="0083108B">
              <w:rPr>
                <w:rFonts w:ascii="Arial" w:hAnsi="Arial" w:cs="Arial"/>
                <w:sz w:val="24"/>
                <w:szCs w:val="24"/>
              </w:rPr>
              <w:t xml:space="preserve">. At all material times hereto, the </w:t>
            </w:r>
            <w:r w:rsidR="00B47C20" w:rsidRPr="00B47C20">
              <w:rPr>
                <w:rFonts w:ascii="Arial" w:hAnsi="Arial" w:cs="Arial"/>
                <w:sz w:val="24"/>
                <w:szCs w:val="24"/>
                <w:lang w:val="en-US"/>
              </w:rPr>
              <w:t xml:space="preserve">applicant </w:t>
            </w:r>
            <w:r w:rsidRPr="0083108B">
              <w:rPr>
                <w:rFonts w:ascii="Arial" w:hAnsi="Arial" w:cs="Arial"/>
                <w:sz w:val="24"/>
                <w:szCs w:val="24"/>
              </w:rPr>
              <w:t>was the owner, alternatively bona fide possessor of one Toyota Hilux GD6, vehicle registration number N 88579 W (the “Vehicle”) of which said ownership still persists.</w:t>
            </w:r>
          </w:p>
          <w:p w:rsidR="00925A71" w:rsidRDefault="00925A71" w:rsidP="00925A71">
            <w:pPr>
              <w:spacing w:line="360" w:lineRule="auto"/>
              <w:contextualSpacing/>
              <w:jc w:val="both"/>
              <w:rPr>
                <w:rFonts w:ascii="Arial" w:hAnsi="Arial" w:cs="Arial"/>
                <w:sz w:val="24"/>
                <w:szCs w:val="24"/>
              </w:rPr>
            </w:pPr>
          </w:p>
          <w:p w:rsidR="0033102D" w:rsidRDefault="0033102D" w:rsidP="00925A71">
            <w:pPr>
              <w:spacing w:line="360" w:lineRule="auto"/>
              <w:contextualSpacing/>
              <w:jc w:val="both"/>
              <w:rPr>
                <w:rFonts w:ascii="Arial" w:hAnsi="Arial" w:cs="Arial"/>
                <w:sz w:val="24"/>
                <w:szCs w:val="24"/>
                <w:u w:val="single"/>
              </w:rPr>
            </w:pPr>
            <w:r w:rsidRPr="0033102D">
              <w:rPr>
                <w:rFonts w:ascii="Arial" w:hAnsi="Arial" w:cs="Arial"/>
                <w:sz w:val="24"/>
                <w:szCs w:val="24"/>
                <w:u w:val="single"/>
              </w:rPr>
              <w:t>Claim</w:t>
            </w:r>
          </w:p>
          <w:p w:rsidR="00915EA4" w:rsidRPr="0033102D" w:rsidRDefault="00915EA4" w:rsidP="00925A71">
            <w:pPr>
              <w:spacing w:line="360" w:lineRule="auto"/>
              <w:contextualSpacing/>
              <w:jc w:val="both"/>
              <w:rPr>
                <w:rFonts w:ascii="Arial" w:hAnsi="Arial" w:cs="Arial"/>
                <w:sz w:val="24"/>
                <w:szCs w:val="24"/>
                <w:u w:val="single"/>
              </w:rPr>
            </w:pPr>
          </w:p>
          <w:p w:rsidR="000D2C45" w:rsidRPr="00915EA4" w:rsidRDefault="000D2C45" w:rsidP="005D1F25">
            <w:pPr>
              <w:numPr>
                <w:ilvl w:val="0"/>
                <w:numId w:val="6"/>
              </w:numPr>
              <w:spacing w:line="360" w:lineRule="auto"/>
              <w:ind w:left="0" w:firstLine="0"/>
              <w:contextualSpacing/>
              <w:jc w:val="both"/>
              <w:rPr>
                <w:rFonts w:ascii="Arial" w:hAnsi="Arial" w:cs="Arial"/>
                <w:sz w:val="24"/>
                <w:szCs w:val="24"/>
              </w:rPr>
            </w:pPr>
            <w:r w:rsidRPr="000D2C45">
              <w:rPr>
                <w:rFonts w:ascii="Arial" w:hAnsi="Arial" w:cs="Arial"/>
                <w:sz w:val="24"/>
                <w:szCs w:val="24"/>
                <w:lang w:val="en-US"/>
              </w:rPr>
              <w:t xml:space="preserve">In its particulars of claim, the </w:t>
            </w:r>
            <w:r w:rsidR="00B47C20" w:rsidRPr="00B47C20">
              <w:rPr>
                <w:rFonts w:ascii="Arial" w:hAnsi="Arial" w:cs="Arial"/>
                <w:sz w:val="24"/>
                <w:szCs w:val="24"/>
                <w:lang w:val="en-US"/>
              </w:rPr>
              <w:t>applicant</w:t>
            </w:r>
            <w:r w:rsidRPr="000D2C45">
              <w:rPr>
                <w:rFonts w:ascii="Arial" w:hAnsi="Arial" w:cs="Arial"/>
                <w:sz w:val="24"/>
                <w:szCs w:val="24"/>
                <w:lang w:val="en-US"/>
              </w:rPr>
              <w:t xml:space="preserve"> claimed the following:- </w:t>
            </w:r>
          </w:p>
          <w:p w:rsidR="00915EA4" w:rsidRPr="000D2C45" w:rsidRDefault="00915EA4" w:rsidP="00915EA4">
            <w:pPr>
              <w:spacing w:line="360" w:lineRule="auto"/>
              <w:contextualSpacing/>
              <w:jc w:val="both"/>
              <w:rPr>
                <w:rFonts w:ascii="Arial" w:hAnsi="Arial" w:cs="Arial"/>
                <w:sz w:val="24"/>
                <w:szCs w:val="24"/>
              </w:rPr>
            </w:pPr>
          </w:p>
          <w:p w:rsidR="000D2C45" w:rsidRPr="00915EA4" w:rsidRDefault="00915EA4" w:rsidP="00915EA4">
            <w:pPr>
              <w:spacing w:line="360" w:lineRule="auto"/>
              <w:ind w:left="720"/>
              <w:contextualSpacing/>
              <w:jc w:val="both"/>
              <w:rPr>
                <w:rFonts w:ascii="Arial" w:hAnsi="Arial" w:cs="Arial"/>
              </w:rPr>
            </w:pPr>
            <w:r>
              <w:rPr>
                <w:rFonts w:ascii="Arial" w:hAnsi="Arial" w:cs="Arial"/>
                <w:lang w:val="en-US"/>
              </w:rPr>
              <w:t xml:space="preserve">        ‘</w:t>
            </w:r>
            <w:r w:rsidR="000D2C45" w:rsidRPr="00915EA4">
              <w:rPr>
                <w:rFonts w:ascii="Arial" w:hAnsi="Arial" w:cs="Arial"/>
                <w:lang w:val="en-US"/>
              </w:rPr>
              <w:t xml:space="preserve">Claim 1 </w:t>
            </w:r>
          </w:p>
          <w:p w:rsidR="000D2C45" w:rsidRPr="00915EA4" w:rsidRDefault="000D2C45" w:rsidP="00915EA4">
            <w:pPr>
              <w:spacing w:line="360" w:lineRule="auto"/>
              <w:ind w:left="720"/>
              <w:contextualSpacing/>
              <w:jc w:val="both"/>
              <w:rPr>
                <w:rFonts w:ascii="Arial" w:hAnsi="Arial" w:cs="Arial"/>
                <w:lang w:val="en-US"/>
              </w:rPr>
            </w:pPr>
            <w:r w:rsidRPr="00915EA4">
              <w:rPr>
                <w:rFonts w:ascii="Arial" w:hAnsi="Arial" w:cs="Arial"/>
                <w:lang w:val="en-US"/>
              </w:rPr>
              <w:t xml:space="preserve">1.1. An order directing the Defendant to immediately restore the vehicle, to wit a, Toyota Hilux GD6, with registration number N 88579 W, bearing engine number 2GDC477766, chassis number AHTKB8CD602970426 to the applicant </w:t>
            </w:r>
          </w:p>
          <w:p w:rsidR="000D2C45" w:rsidRPr="00915EA4" w:rsidRDefault="000D2C45" w:rsidP="00915EA4">
            <w:pPr>
              <w:spacing w:line="360" w:lineRule="auto"/>
              <w:ind w:left="720"/>
              <w:contextualSpacing/>
              <w:jc w:val="both"/>
              <w:rPr>
                <w:rFonts w:ascii="Arial" w:hAnsi="Arial" w:cs="Arial"/>
                <w:lang w:val="en-US"/>
              </w:rPr>
            </w:pPr>
            <w:r w:rsidRPr="00915EA4">
              <w:rPr>
                <w:rFonts w:ascii="Arial" w:hAnsi="Arial" w:cs="Arial"/>
                <w:lang w:val="en-US"/>
              </w:rPr>
              <w:t xml:space="preserve">1.2. In the event that the Defendant fails to return the vehicle within thirty (30) days from date of this judgment then the Deputy Sheriff for the district of Rehoboth and/or Windhoek is hereby authorized to enforce this court's order. </w:t>
            </w:r>
          </w:p>
          <w:p w:rsidR="000D2C45" w:rsidRPr="00915EA4" w:rsidRDefault="000D2C45" w:rsidP="00915EA4">
            <w:pPr>
              <w:spacing w:line="360" w:lineRule="auto"/>
              <w:ind w:left="720"/>
              <w:contextualSpacing/>
              <w:jc w:val="both"/>
              <w:rPr>
                <w:rFonts w:ascii="Arial" w:hAnsi="Arial" w:cs="Arial"/>
                <w:lang w:val="en-US"/>
              </w:rPr>
            </w:pPr>
            <w:r w:rsidRPr="00915EA4">
              <w:rPr>
                <w:rFonts w:ascii="Arial" w:hAnsi="Arial" w:cs="Arial"/>
                <w:lang w:val="en-US"/>
              </w:rPr>
              <w:t>1.3. Costs of suit;</w:t>
            </w:r>
          </w:p>
          <w:p w:rsidR="000D2C45" w:rsidRPr="00915EA4" w:rsidRDefault="000D2C45" w:rsidP="00915EA4">
            <w:pPr>
              <w:spacing w:line="360" w:lineRule="auto"/>
              <w:ind w:left="720"/>
              <w:contextualSpacing/>
              <w:jc w:val="both"/>
              <w:rPr>
                <w:rFonts w:ascii="Arial" w:hAnsi="Arial" w:cs="Arial"/>
                <w:lang w:val="en-US"/>
              </w:rPr>
            </w:pPr>
            <w:r w:rsidRPr="00915EA4">
              <w:rPr>
                <w:rFonts w:ascii="Arial" w:hAnsi="Arial" w:cs="Arial"/>
                <w:lang w:val="en-US"/>
              </w:rPr>
              <w:t xml:space="preserve">1.4. Further and alternative relief </w:t>
            </w:r>
          </w:p>
          <w:p w:rsidR="000D2C45" w:rsidRPr="00915EA4" w:rsidRDefault="000D2C45" w:rsidP="00915EA4">
            <w:pPr>
              <w:spacing w:line="360" w:lineRule="auto"/>
              <w:ind w:left="720"/>
              <w:contextualSpacing/>
              <w:jc w:val="both"/>
              <w:rPr>
                <w:rFonts w:ascii="Arial" w:hAnsi="Arial" w:cs="Arial"/>
                <w:lang w:val="en-US"/>
              </w:rPr>
            </w:pPr>
          </w:p>
          <w:p w:rsidR="000D2C45" w:rsidRPr="00915EA4" w:rsidRDefault="000D2C45" w:rsidP="00915EA4">
            <w:pPr>
              <w:spacing w:line="360" w:lineRule="auto"/>
              <w:ind w:left="720"/>
              <w:contextualSpacing/>
              <w:jc w:val="both"/>
              <w:rPr>
                <w:rFonts w:ascii="Arial" w:hAnsi="Arial" w:cs="Arial"/>
                <w:lang w:val="en-US"/>
              </w:rPr>
            </w:pPr>
            <w:r w:rsidRPr="00915EA4">
              <w:rPr>
                <w:rFonts w:ascii="Arial" w:hAnsi="Arial" w:cs="Arial"/>
                <w:lang w:val="en-US"/>
              </w:rPr>
              <w:t xml:space="preserve">Claim 2 </w:t>
            </w:r>
          </w:p>
          <w:p w:rsidR="000D2C45" w:rsidRPr="00915EA4" w:rsidRDefault="000D2C45" w:rsidP="00915EA4">
            <w:pPr>
              <w:spacing w:line="360" w:lineRule="auto"/>
              <w:ind w:left="720"/>
              <w:contextualSpacing/>
              <w:jc w:val="both"/>
              <w:rPr>
                <w:rFonts w:ascii="Arial" w:hAnsi="Arial" w:cs="Arial"/>
                <w:lang w:val="en-US"/>
              </w:rPr>
            </w:pPr>
            <w:r w:rsidRPr="00915EA4">
              <w:rPr>
                <w:rFonts w:ascii="Arial" w:hAnsi="Arial" w:cs="Arial"/>
                <w:lang w:val="en-US"/>
              </w:rPr>
              <w:t xml:space="preserve">2.1 Payment in the amount of N$ 205,650.04 (Two Hundred and Five Thousand Six Hundred and Fifty Namibian Dollars and Four Cents Only); </w:t>
            </w:r>
          </w:p>
          <w:p w:rsidR="000D2C45" w:rsidRPr="00915EA4" w:rsidRDefault="000D2C45" w:rsidP="00915EA4">
            <w:pPr>
              <w:spacing w:line="360" w:lineRule="auto"/>
              <w:ind w:left="720"/>
              <w:contextualSpacing/>
              <w:jc w:val="both"/>
              <w:rPr>
                <w:rFonts w:ascii="Arial" w:hAnsi="Arial" w:cs="Arial"/>
                <w:lang w:val="en-US"/>
              </w:rPr>
            </w:pPr>
            <w:r w:rsidRPr="00915EA4">
              <w:rPr>
                <w:rFonts w:ascii="Arial" w:hAnsi="Arial" w:cs="Arial"/>
                <w:lang w:val="en-US"/>
              </w:rPr>
              <w:t xml:space="preserve">2.2. Interest on the above claimed amount at a rate of 20% per annum calculated from the date of summons to date of final payment; </w:t>
            </w:r>
          </w:p>
          <w:p w:rsidR="000D2C45" w:rsidRPr="00915EA4" w:rsidRDefault="000D2C45" w:rsidP="00915EA4">
            <w:pPr>
              <w:spacing w:line="360" w:lineRule="auto"/>
              <w:ind w:left="720"/>
              <w:contextualSpacing/>
              <w:jc w:val="both"/>
              <w:rPr>
                <w:rFonts w:ascii="Arial" w:hAnsi="Arial" w:cs="Arial"/>
                <w:lang w:val="en-US"/>
              </w:rPr>
            </w:pPr>
            <w:r w:rsidRPr="00915EA4">
              <w:rPr>
                <w:rFonts w:ascii="Arial" w:hAnsi="Arial" w:cs="Arial"/>
                <w:lang w:val="en-US"/>
              </w:rPr>
              <w:lastRenderedPageBreak/>
              <w:t>2.3. Costs of suit;</w:t>
            </w:r>
          </w:p>
          <w:p w:rsidR="0083108B" w:rsidRPr="00915EA4" w:rsidRDefault="000D2C45" w:rsidP="00915EA4">
            <w:pPr>
              <w:spacing w:line="360" w:lineRule="auto"/>
              <w:ind w:left="720"/>
              <w:contextualSpacing/>
              <w:jc w:val="both"/>
              <w:rPr>
                <w:rFonts w:ascii="Arial" w:hAnsi="Arial" w:cs="Arial"/>
              </w:rPr>
            </w:pPr>
            <w:r w:rsidRPr="00915EA4">
              <w:rPr>
                <w:rFonts w:ascii="Arial" w:hAnsi="Arial" w:cs="Arial"/>
                <w:lang w:val="en-US"/>
              </w:rPr>
              <w:t>2.4. Further and alternative relief</w:t>
            </w:r>
            <w:r w:rsidR="00915EA4">
              <w:rPr>
                <w:rFonts w:ascii="Arial" w:hAnsi="Arial" w:cs="Arial"/>
                <w:lang w:val="en-US"/>
              </w:rPr>
              <w:t>.’</w:t>
            </w:r>
          </w:p>
          <w:p w:rsidR="0083108B" w:rsidRPr="0083108B" w:rsidRDefault="0083108B" w:rsidP="005D1F25">
            <w:pPr>
              <w:spacing w:line="360" w:lineRule="auto"/>
              <w:rPr>
                <w:rFonts w:ascii="Arial" w:hAnsi="Arial" w:cs="Arial"/>
                <w:sz w:val="24"/>
                <w:szCs w:val="24"/>
                <w:u w:val="single"/>
              </w:rPr>
            </w:pPr>
          </w:p>
          <w:p w:rsidR="0083108B" w:rsidRPr="0083108B" w:rsidRDefault="0083108B" w:rsidP="005D1F25">
            <w:pPr>
              <w:spacing w:line="360" w:lineRule="auto"/>
              <w:rPr>
                <w:rFonts w:ascii="Arial" w:hAnsi="Arial" w:cs="Arial"/>
                <w:sz w:val="24"/>
                <w:szCs w:val="24"/>
                <w:u w:val="single"/>
              </w:rPr>
            </w:pPr>
            <w:r w:rsidRPr="0083108B">
              <w:rPr>
                <w:rFonts w:ascii="Arial" w:hAnsi="Arial" w:cs="Arial"/>
                <w:sz w:val="24"/>
                <w:szCs w:val="24"/>
                <w:u w:val="single"/>
              </w:rPr>
              <w:t xml:space="preserve">Arguments </w:t>
            </w:r>
          </w:p>
          <w:p w:rsidR="0083108B" w:rsidRPr="0083108B" w:rsidRDefault="0083108B" w:rsidP="005D1F25">
            <w:pPr>
              <w:spacing w:line="360" w:lineRule="auto"/>
              <w:rPr>
                <w:rFonts w:ascii="Arial" w:hAnsi="Arial" w:cs="Arial"/>
                <w:sz w:val="24"/>
                <w:szCs w:val="24"/>
                <w:u w:val="single"/>
              </w:rPr>
            </w:pPr>
          </w:p>
          <w:p w:rsidR="0083108B" w:rsidRPr="0083108B" w:rsidRDefault="00B42D53" w:rsidP="005D1F25">
            <w:pPr>
              <w:spacing w:line="360" w:lineRule="auto"/>
              <w:rPr>
                <w:rFonts w:ascii="Arial" w:hAnsi="Arial" w:cs="Arial"/>
                <w:i/>
                <w:sz w:val="24"/>
                <w:szCs w:val="24"/>
              </w:rPr>
            </w:pPr>
            <w:r>
              <w:rPr>
                <w:rFonts w:ascii="Arial" w:hAnsi="Arial" w:cs="Arial"/>
                <w:i/>
                <w:sz w:val="24"/>
                <w:szCs w:val="24"/>
              </w:rPr>
              <w:t>Applicant</w:t>
            </w:r>
          </w:p>
          <w:p w:rsidR="0083108B" w:rsidRPr="0083108B" w:rsidRDefault="0083108B" w:rsidP="0083108B">
            <w:pPr>
              <w:rPr>
                <w:rFonts w:ascii="Arial" w:hAnsi="Arial" w:cs="Arial"/>
                <w:i/>
                <w:sz w:val="24"/>
                <w:szCs w:val="24"/>
              </w:rPr>
            </w:pPr>
          </w:p>
          <w:p w:rsidR="0083108B" w:rsidRPr="00D95BB2" w:rsidRDefault="0083108B" w:rsidP="00925A71">
            <w:pPr>
              <w:numPr>
                <w:ilvl w:val="0"/>
                <w:numId w:val="6"/>
              </w:numPr>
              <w:spacing w:line="360" w:lineRule="auto"/>
              <w:ind w:left="0" w:firstLine="0"/>
              <w:contextualSpacing/>
              <w:jc w:val="both"/>
              <w:rPr>
                <w:rFonts w:ascii="Arial" w:hAnsi="Arial" w:cs="Arial"/>
                <w:sz w:val="24"/>
                <w:szCs w:val="24"/>
              </w:rPr>
            </w:pPr>
            <w:r w:rsidRPr="0083108B">
              <w:rPr>
                <w:rFonts w:ascii="Arial" w:hAnsi="Arial" w:cs="Arial"/>
                <w:sz w:val="24"/>
                <w:szCs w:val="24"/>
              </w:rPr>
              <w:t xml:space="preserve">Ms </w:t>
            </w:r>
            <w:proofErr w:type="spellStart"/>
            <w:r w:rsidR="000D2C45">
              <w:rPr>
                <w:rFonts w:ascii="Arial" w:hAnsi="Arial" w:cs="Arial"/>
                <w:sz w:val="24"/>
                <w:szCs w:val="24"/>
              </w:rPr>
              <w:t>Angula</w:t>
            </w:r>
            <w:proofErr w:type="spellEnd"/>
            <w:r w:rsidR="000D2C45">
              <w:rPr>
                <w:rFonts w:ascii="Arial" w:hAnsi="Arial" w:cs="Arial"/>
                <w:sz w:val="24"/>
                <w:szCs w:val="24"/>
              </w:rPr>
              <w:t xml:space="preserve"> argued on behalf of the </w:t>
            </w:r>
            <w:r w:rsidR="00B47C20" w:rsidRPr="00B47C20">
              <w:rPr>
                <w:rFonts w:ascii="Arial" w:hAnsi="Arial" w:cs="Arial"/>
                <w:sz w:val="24"/>
                <w:szCs w:val="24"/>
                <w:lang w:val="en-US"/>
              </w:rPr>
              <w:t>applicant</w:t>
            </w:r>
            <w:r w:rsidR="000D2C45">
              <w:rPr>
                <w:rFonts w:ascii="Arial" w:hAnsi="Arial" w:cs="Arial"/>
                <w:sz w:val="24"/>
                <w:szCs w:val="24"/>
              </w:rPr>
              <w:t xml:space="preserve"> that the </w:t>
            </w:r>
            <w:r w:rsidR="00B42D53">
              <w:rPr>
                <w:rFonts w:ascii="Arial" w:hAnsi="Arial" w:cs="Arial"/>
                <w:sz w:val="24"/>
                <w:szCs w:val="24"/>
              </w:rPr>
              <w:t xml:space="preserve">applicant </w:t>
            </w:r>
            <w:r w:rsidR="00915EA4">
              <w:rPr>
                <w:rFonts w:ascii="Arial" w:hAnsi="Arial" w:cs="Arial"/>
                <w:sz w:val="24"/>
                <w:szCs w:val="24"/>
              </w:rPr>
              <w:t>is entitled to summary judg</w:t>
            </w:r>
            <w:r w:rsidR="000D2C45">
              <w:rPr>
                <w:rFonts w:ascii="Arial" w:hAnsi="Arial" w:cs="Arial"/>
                <w:sz w:val="24"/>
                <w:szCs w:val="24"/>
              </w:rPr>
              <w:t xml:space="preserve">ment as </w:t>
            </w:r>
            <w:r w:rsidR="00232E8D">
              <w:rPr>
                <w:rFonts w:ascii="Arial" w:hAnsi="Arial" w:cs="Arial"/>
                <w:sz w:val="24"/>
                <w:szCs w:val="24"/>
              </w:rPr>
              <w:t xml:space="preserve">the applicant proofed </w:t>
            </w:r>
            <w:r w:rsidR="00B47C20">
              <w:rPr>
                <w:rFonts w:ascii="Arial" w:hAnsi="Arial" w:cs="Arial"/>
                <w:sz w:val="24"/>
                <w:szCs w:val="24"/>
              </w:rPr>
              <w:t>its</w:t>
            </w:r>
            <w:r w:rsidR="00232E8D">
              <w:rPr>
                <w:rFonts w:ascii="Arial" w:hAnsi="Arial" w:cs="Arial"/>
                <w:sz w:val="24"/>
                <w:szCs w:val="24"/>
              </w:rPr>
              <w:t xml:space="preserve"> claims.  </w:t>
            </w:r>
            <w:r w:rsidR="00D95BB2">
              <w:rPr>
                <w:rFonts w:ascii="Arial" w:hAnsi="Arial" w:cs="Arial"/>
                <w:sz w:val="24"/>
                <w:szCs w:val="24"/>
                <w:lang w:val="en-US"/>
              </w:rPr>
              <w:t xml:space="preserve">The </w:t>
            </w:r>
            <w:r w:rsidR="00B42D53">
              <w:rPr>
                <w:rFonts w:ascii="Arial" w:hAnsi="Arial" w:cs="Arial"/>
                <w:sz w:val="24"/>
                <w:szCs w:val="24"/>
                <w:lang w:val="en-US"/>
              </w:rPr>
              <w:t>respondent</w:t>
            </w:r>
            <w:r w:rsidR="00D95BB2" w:rsidRPr="00D95BB2">
              <w:rPr>
                <w:rFonts w:ascii="Arial" w:hAnsi="Arial" w:cs="Arial"/>
                <w:sz w:val="24"/>
                <w:szCs w:val="24"/>
                <w:lang w:val="en-US"/>
              </w:rPr>
              <w:t xml:space="preserve"> raised a defense that they have a lien over the applicant’s vehicle. This defense is premised on an allegation that the </w:t>
            </w:r>
            <w:r w:rsidR="00B47C20" w:rsidRPr="00B47C20">
              <w:rPr>
                <w:rFonts w:ascii="Arial" w:hAnsi="Arial" w:cs="Arial"/>
                <w:sz w:val="24"/>
                <w:szCs w:val="24"/>
                <w:lang w:val="en-US"/>
              </w:rPr>
              <w:t>applicant</w:t>
            </w:r>
            <w:r w:rsidR="00D95BB2" w:rsidRPr="00D95BB2">
              <w:rPr>
                <w:rFonts w:ascii="Arial" w:hAnsi="Arial" w:cs="Arial"/>
                <w:sz w:val="24"/>
                <w:szCs w:val="24"/>
                <w:lang w:val="en-US"/>
              </w:rPr>
              <w:t xml:space="preserve"> has failed to pay the “tow in costs”, “standing fees” and “usage of the trailer”</w:t>
            </w:r>
            <w:r w:rsidR="00D95BB2">
              <w:rPr>
                <w:rFonts w:ascii="Arial" w:hAnsi="Arial" w:cs="Arial"/>
                <w:sz w:val="24"/>
                <w:szCs w:val="24"/>
                <w:lang w:val="en-US"/>
              </w:rPr>
              <w:t>.</w:t>
            </w:r>
            <w:r w:rsidR="00D95BB2" w:rsidRPr="00D95BB2">
              <w:rPr>
                <w:rFonts w:asciiTheme="minorHAnsi" w:eastAsiaTheme="minorHAnsi" w:hAnsiTheme="minorHAnsi" w:cstheme="minorBidi"/>
                <w:lang w:val="en-US"/>
              </w:rPr>
              <w:t xml:space="preserve"> </w:t>
            </w:r>
            <w:r w:rsidR="00D95BB2" w:rsidRPr="00D95BB2">
              <w:rPr>
                <w:rFonts w:ascii="Arial" w:hAnsi="Arial" w:cs="Arial"/>
                <w:sz w:val="24"/>
                <w:szCs w:val="24"/>
                <w:lang w:val="en-US"/>
              </w:rPr>
              <w:t xml:space="preserve">The </w:t>
            </w:r>
            <w:r w:rsidR="00B47C20" w:rsidRPr="00B47C20">
              <w:rPr>
                <w:rFonts w:ascii="Arial" w:hAnsi="Arial" w:cs="Arial"/>
                <w:sz w:val="24"/>
                <w:szCs w:val="24"/>
                <w:lang w:val="en-US"/>
              </w:rPr>
              <w:t>applicant</w:t>
            </w:r>
            <w:r w:rsidR="00B47C20">
              <w:rPr>
                <w:rFonts w:ascii="Arial" w:hAnsi="Arial" w:cs="Arial"/>
                <w:sz w:val="24"/>
                <w:szCs w:val="24"/>
                <w:lang w:val="en-US"/>
              </w:rPr>
              <w:t>’</w:t>
            </w:r>
            <w:r w:rsidR="00D95BB2" w:rsidRPr="00D95BB2">
              <w:rPr>
                <w:rFonts w:ascii="Arial" w:hAnsi="Arial" w:cs="Arial"/>
                <w:sz w:val="24"/>
                <w:szCs w:val="24"/>
                <w:lang w:val="en-US"/>
              </w:rPr>
              <w:t xml:space="preserve">s vehicle remains with the </w:t>
            </w:r>
            <w:r w:rsidR="00B47C20">
              <w:rPr>
                <w:rFonts w:ascii="Arial" w:hAnsi="Arial" w:cs="Arial"/>
                <w:sz w:val="24"/>
                <w:szCs w:val="24"/>
                <w:lang w:val="en-US"/>
              </w:rPr>
              <w:t>respondent</w:t>
            </w:r>
            <w:r w:rsidR="00D95BB2" w:rsidRPr="00D95BB2">
              <w:rPr>
                <w:rFonts w:ascii="Arial" w:hAnsi="Arial" w:cs="Arial"/>
                <w:sz w:val="24"/>
                <w:szCs w:val="24"/>
                <w:lang w:val="en-US"/>
              </w:rPr>
              <w:t xml:space="preserve"> since the partial oral and written a</w:t>
            </w:r>
            <w:r w:rsidR="00915EA4">
              <w:rPr>
                <w:rFonts w:ascii="Arial" w:hAnsi="Arial" w:cs="Arial"/>
                <w:sz w:val="24"/>
                <w:szCs w:val="24"/>
                <w:lang w:val="en-US"/>
              </w:rPr>
              <w:t>greement was settled on June 30</w:t>
            </w:r>
            <w:r w:rsidR="00D95BB2" w:rsidRPr="00D95BB2">
              <w:rPr>
                <w:rFonts w:ascii="Arial" w:hAnsi="Arial" w:cs="Arial"/>
                <w:sz w:val="24"/>
                <w:szCs w:val="24"/>
                <w:lang w:val="en-US"/>
              </w:rPr>
              <w:t xml:space="preserve"> 2022. In terms of this agreement, the repairs were supposed to be completed within three days. The </w:t>
            </w:r>
            <w:r w:rsidR="00AC3A33">
              <w:rPr>
                <w:rFonts w:ascii="Arial" w:hAnsi="Arial" w:cs="Arial"/>
                <w:sz w:val="24"/>
                <w:szCs w:val="24"/>
                <w:lang w:val="en-US"/>
              </w:rPr>
              <w:t>respondent</w:t>
            </w:r>
            <w:r w:rsidR="00D95BB2" w:rsidRPr="00D95BB2">
              <w:rPr>
                <w:rFonts w:ascii="Arial" w:hAnsi="Arial" w:cs="Arial"/>
                <w:sz w:val="24"/>
                <w:szCs w:val="24"/>
                <w:lang w:val="en-US"/>
              </w:rPr>
              <w:t xml:space="preserve"> quoted the </w:t>
            </w:r>
            <w:r w:rsidR="00AC3A33" w:rsidRPr="00AC3A33">
              <w:rPr>
                <w:rFonts w:ascii="Arial" w:hAnsi="Arial" w:cs="Arial"/>
                <w:sz w:val="24"/>
                <w:szCs w:val="24"/>
                <w:lang w:val="en-US"/>
              </w:rPr>
              <w:t>applicant</w:t>
            </w:r>
            <w:r w:rsidR="00D95BB2" w:rsidRPr="00D95BB2">
              <w:rPr>
                <w:rFonts w:ascii="Arial" w:hAnsi="Arial" w:cs="Arial"/>
                <w:sz w:val="24"/>
                <w:szCs w:val="24"/>
                <w:lang w:val="en-US"/>
              </w:rPr>
              <w:t xml:space="preserve"> for the services and received payment on 8 July 2022 and 19 </w:t>
            </w:r>
            <w:r w:rsidR="00D95BB2">
              <w:rPr>
                <w:rFonts w:ascii="Arial" w:hAnsi="Arial" w:cs="Arial"/>
                <w:sz w:val="24"/>
                <w:szCs w:val="24"/>
                <w:lang w:val="en-US"/>
              </w:rPr>
              <w:t>September 2022</w:t>
            </w:r>
            <w:r w:rsidR="00D95BB2" w:rsidRPr="00D95BB2">
              <w:rPr>
                <w:rFonts w:ascii="Arial" w:hAnsi="Arial" w:cs="Arial"/>
                <w:sz w:val="24"/>
                <w:szCs w:val="24"/>
                <w:lang w:val="en-US"/>
              </w:rPr>
              <w:t>.</w:t>
            </w:r>
            <w:r w:rsidR="00915EA4">
              <w:rPr>
                <w:rFonts w:ascii="Arial" w:hAnsi="Arial" w:cs="Arial"/>
                <w:sz w:val="24"/>
                <w:szCs w:val="24"/>
                <w:lang w:val="en-US"/>
              </w:rPr>
              <w:t xml:space="preserve"> </w:t>
            </w:r>
            <w:r w:rsidR="00D95BB2">
              <w:rPr>
                <w:rFonts w:ascii="Arial" w:hAnsi="Arial" w:cs="Arial"/>
                <w:sz w:val="24"/>
                <w:szCs w:val="24"/>
                <w:lang w:val="en-US"/>
              </w:rPr>
              <w:t>It was argued</w:t>
            </w:r>
            <w:r w:rsidR="00915EA4">
              <w:rPr>
                <w:rFonts w:ascii="Arial" w:hAnsi="Arial" w:cs="Arial"/>
                <w:sz w:val="24"/>
                <w:szCs w:val="24"/>
                <w:lang w:val="en-US"/>
              </w:rPr>
              <w:t xml:space="preserve"> that the respondent</w:t>
            </w:r>
            <w:r w:rsidR="00AC3A33">
              <w:rPr>
                <w:rFonts w:ascii="Arial" w:hAnsi="Arial" w:cs="Arial"/>
                <w:sz w:val="24"/>
                <w:szCs w:val="24"/>
                <w:lang w:val="en-US"/>
              </w:rPr>
              <w:t xml:space="preserve"> is</w:t>
            </w:r>
            <w:r w:rsidR="00D95BB2" w:rsidRPr="00D95BB2">
              <w:rPr>
                <w:rFonts w:ascii="Arial" w:hAnsi="Arial" w:cs="Arial"/>
                <w:sz w:val="24"/>
                <w:szCs w:val="24"/>
                <w:lang w:val="en-US"/>
              </w:rPr>
              <w:t xml:space="preserve"> attempting to</w:t>
            </w:r>
            <w:r w:rsidR="00915EA4">
              <w:rPr>
                <w:rFonts w:ascii="Arial" w:hAnsi="Arial" w:cs="Arial"/>
                <w:sz w:val="24"/>
                <w:szCs w:val="24"/>
                <w:lang w:val="en-US"/>
              </w:rPr>
              <w:t xml:space="preserve"> compel/strong-arm the applicant into paying fees that the applicant</w:t>
            </w:r>
            <w:r w:rsidR="00D95BB2" w:rsidRPr="00D95BB2">
              <w:rPr>
                <w:rFonts w:ascii="Arial" w:hAnsi="Arial" w:cs="Arial"/>
                <w:sz w:val="24"/>
                <w:szCs w:val="24"/>
                <w:lang w:val="en-US"/>
              </w:rPr>
              <w:t xml:space="preserve"> view</w:t>
            </w:r>
            <w:r w:rsidR="00915EA4">
              <w:rPr>
                <w:rFonts w:ascii="Arial" w:hAnsi="Arial" w:cs="Arial"/>
                <w:sz w:val="24"/>
                <w:szCs w:val="24"/>
                <w:lang w:val="en-US"/>
              </w:rPr>
              <w:t>s as being a</w:t>
            </w:r>
            <w:r w:rsidR="00D95BB2" w:rsidRPr="00D95BB2">
              <w:rPr>
                <w:rFonts w:ascii="Arial" w:hAnsi="Arial" w:cs="Arial"/>
                <w:sz w:val="24"/>
                <w:szCs w:val="24"/>
                <w:lang w:val="en-US"/>
              </w:rPr>
              <w:t xml:space="preserve"> fabrication</w:t>
            </w:r>
            <w:r w:rsidR="00D95BB2">
              <w:rPr>
                <w:rFonts w:ascii="Arial" w:hAnsi="Arial" w:cs="Arial"/>
                <w:sz w:val="24"/>
                <w:szCs w:val="24"/>
                <w:lang w:val="en-US"/>
              </w:rPr>
              <w:t xml:space="preserve"> and not in terms of their agreement.</w:t>
            </w:r>
          </w:p>
          <w:p w:rsidR="00D95BB2" w:rsidRPr="00D95BB2" w:rsidRDefault="00D95BB2" w:rsidP="00D95BB2">
            <w:pPr>
              <w:spacing w:line="360" w:lineRule="auto"/>
              <w:contextualSpacing/>
              <w:jc w:val="both"/>
              <w:rPr>
                <w:rFonts w:ascii="Arial" w:hAnsi="Arial" w:cs="Arial"/>
                <w:sz w:val="24"/>
                <w:szCs w:val="24"/>
              </w:rPr>
            </w:pPr>
          </w:p>
          <w:p w:rsidR="00D95BB2" w:rsidRPr="00D95BB2" w:rsidRDefault="00D95BB2" w:rsidP="00925A71">
            <w:pPr>
              <w:numPr>
                <w:ilvl w:val="0"/>
                <w:numId w:val="6"/>
              </w:numPr>
              <w:spacing w:line="360" w:lineRule="auto"/>
              <w:ind w:left="0" w:firstLine="0"/>
              <w:contextualSpacing/>
              <w:jc w:val="both"/>
              <w:rPr>
                <w:rFonts w:ascii="Arial" w:hAnsi="Arial" w:cs="Arial"/>
                <w:sz w:val="24"/>
                <w:szCs w:val="24"/>
              </w:rPr>
            </w:pPr>
            <w:r>
              <w:rPr>
                <w:rFonts w:ascii="Arial" w:hAnsi="Arial" w:cs="Arial"/>
                <w:sz w:val="24"/>
                <w:szCs w:val="24"/>
                <w:lang w:val="en-US"/>
              </w:rPr>
              <w:t xml:space="preserve">It was further argued that </w:t>
            </w:r>
            <w:r w:rsidR="00FD6452">
              <w:rPr>
                <w:rFonts w:ascii="Arial" w:hAnsi="Arial" w:cs="Arial"/>
                <w:sz w:val="24"/>
                <w:szCs w:val="24"/>
                <w:lang w:val="en-US"/>
              </w:rPr>
              <w:t>rule 60(2)</w:t>
            </w:r>
            <w:r w:rsidRPr="00D95BB2">
              <w:rPr>
                <w:rFonts w:ascii="Arial" w:hAnsi="Arial" w:cs="Arial"/>
                <w:sz w:val="24"/>
                <w:szCs w:val="24"/>
                <w:lang w:val="en-US"/>
              </w:rPr>
              <w:t>(</w:t>
            </w:r>
            <w:r w:rsidRPr="00FD6452">
              <w:rPr>
                <w:rFonts w:ascii="Arial" w:hAnsi="Arial" w:cs="Arial"/>
                <w:i/>
                <w:sz w:val="24"/>
                <w:szCs w:val="24"/>
                <w:lang w:val="en-US"/>
              </w:rPr>
              <w:t>a</w:t>
            </w:r>
            <w:r w:rsidRPr="00D95BB2">
              <w:rPr>
                <w:rFonts w:ascii="Arial" w:hAnsi="Arial" w:cs="Arial"/>
                <w:sz w:val="24"/>
                <w:szCs w:val="24"/>
                <w:lang w:val="en-US"/>
              </w:rPr>
              <w:t xml:space="preserve">) relates to a deponent to an affidavit in </w:t>
            </w:r>
            <w:r w:rsidR="00A42DE9">
              <w:rPr>
                <w:rFonts w:ascii="Arial" w:hAnsi="Arial" w:cs="Arial"/>
                <w:sz w:val="24"/>
                <w:szCs w:val="24"/>
                <w:lang w:val="en-US"/>
              </w:rPr>
              <w:t xml:space="preserve">a </w:t>
            </w:r>
            <w:r w:rsidRPr="00D95BB2">
              <w:rPr>
                <w:rFonts w:ascii="Arial" w:hAnsi="Arial" w:cs="Arial"/>
                <w:sz w:val="24"/>
                <w:szCs w:val="24"/>
                <w:lang w:val="en-US"/>
              </w:rPr>
              <w:t>summary judgment application</w:t>
            </w:r>
            <w:r w:rsidR="00A42DE9">
              <w:rPr>
                <w:rFonts w:ascii="Arial" w:hAnsi="Arial" w:cs="Arial"/>
                <w:sz w:val="24"/>
                <w:szCs w:val="24"/>
                <w:lang w:val="en-US"/>
              </w:rPr>
              <w:t>,</w:t>
            </w:r>
            <w:r w:rsidRPr="00D95BB2">
              <w:rPr>
                <w:rFonts w:ascii="Arial" w:hAnsi="Arial" w:cs="Arial"/>
                <w:sz w:val="24"/>
                <w:szCs w:val="24"/>
                <w:lang w:val="en-US"/>
              </w:rPr>
              <w:t xml:space="preserve"> verifying the cause of action and the amount, if any, claimed. The deponent in this matter has complied with the rule, in that at paragraph 2 of the founding affidavit, the deponents do verify the cause of acti</w:t>
            </w:r>
            <w:r>
              <w:rPr>
                <w:rFonts w:ascii="Arial" w:hAnsi="Arial" w:cs="Arial"/>
                <w:sz w:val="24"/>
                <w:szCs w:val="24"/>
                <w:lang w:val="en-US"/>
              </w:rPr>
              <w:t xml:space="preserve">on and the amount claimed. </w:t>
            </w:r>
            <w:r w:rsidRPr="00D95BB2">
              <w:rPr>
                <w:rFonts w:ascii="Arial" w:hAnsi="Arial" w:cs="Arial"/>
                <w:sz w:val="24"/>
                <w:szCs w:val="24"/>
                <w:lang w:val="en-US"/>
              </w:rPr>
              <w:t xml:space="preserve">The </w:t>
            </w:r>
            <w:r w:rsidR="00AC3A33">
              <w:rPr>
                <w:rFonts w:ascii="Arial" w:hAnsi="Arial" w:cs="Arial"/>
                <w:sz w:val="24"/>
                <w:szCs w:val="24"/>
                <w:lang w:val="en-US"/>
              </w:rPr>
              <w:t>r</w:t>
            </w:r>
            <w:r w:rsidRPr="00D95BB2">
              <w:rPr>
                <w:rFonts w:ascii="Arial" w:hAnsi="Arial" w:cs="Arial"/>
                <w:sz w:val="24"/>
                <w:szCs w:val="24"/>
                <w:lang w:val="en-US"/>
              </w:rPr>
              <w:t>espondent further allege</w:t>
            </w:r>
            <w:r w:rsidR="00C67A6F">
              <w:rPr>
                <w:rFonts w:ascii="Arial" w:hAnsi="Arial" w:cs="Arial"/>
                <w:sz w:val="24"/>
                <w:szCs w:val="24"/>
                <w:lang w:val="en-US"/>
              </w:rPr>
              <w:t>s</w:t>
            </w:r>
            <w:r w:rsidRPr="00D95BB2">
              <w:rPr>
                <w:rFonts w:ascii="Arial" w:hAnsi="Arial" w:cs="Arial"/>
                <w:sz w:val="24"/>
                <w:szCs w:val="24"/>
                <w:lang w:val="en-US"/>
              </w:rPr>
              <w:t xml:space="preserve"> that the depon</w:t>
            </w:r>
            <w:r w:rsidR="00AC3A33">
              <w:rPr>
                <w:rFonts w:ascii="Arial" w:hAnsi="Arial" w:cs="Arial"/>
                <w:sz w:val="24"/>
                <w:szCs w:val="24"/>
                <w:lang w:val="en-US"/>
              </w:rPr>
              <w:t>ent</w:t>
            </w:r>
            <w:r w:rsidRPr="00D95BB2">
              <w:rPr>
                <w:rFonts w:ascii="Arial" w:hAnsi="Arial" w:cs="Arial"/>
                <w:sz w:val="24"/>
                <w:szCs w:val="24"/>
                <w:lang w:val="en-US"/>
              </w:rPr>
              <w:t xml:space="preserve"> to the summary judgment application do</w:t>
            </w:r>
            <w:r w:rsidR="00C67A6F">
              <w:rPr>
                <w:rFonts w:ascii="Arial" w:hAnsi="Arial" w:cs="Arial"/>
                <w:sz w:val="24"/>
                <w:szCs w:val="24"/>
                <w:lang w:val="en-US"/>
              </w:rPr>
              <w:t>es</w:t>
            </w:r>
            <w:r w:rsidRPr="00D95BB2">
              <w:rPr>
                <w:rFonts w:ascii="Arial" w:hAnsi="Arial" w:cs="Arial"/>
                <w:sz w:val="24"/>
                <w:szCs w:val="24"/>
                <w:lang w:val="en-US"/>
              </w:rPr>
              <w:t xml:space="preserve"> not have the “personal knowledge not indicate establish how the knowledge was acquired” and relies on informa</w:t>
            </w:r>
            <w:r>
              <w:rPr>
                <w:rFonts w:ascii="Arial" w:hAnsi="Arial" w:cs="Arial"/>
                <w:sz w:val="24"/>
                <w:szCs w:val="24"/>
                <w:lang w:val="en-US"/>
              </w:rPr>
              <w:t xml:space="preserve">tion obtained from others. </w:t>
            </w:r>
            <w:r w:rsidRPr="00D95BB2">
              <w:rPr>
                <w:rFonts w:ascii="Arial" w:hAnsi="Arial" w:cs="Arial"/>
                <w:sz w:val="24"/>
                <w:szCs w:val="24"/>
                <w:lang w:val="en-US"/>
              </w:rPr>
              <w:t>The</w:t>
            </w:r>
            <w:r>
              <w:rPr>
                <w:rFonts w:ascii="Arial" w:hAnsi="Arial" w:cs="Arial"/>
                <w:sz w:val="24"/>
                <w:szCs w:val="24"/>
                <w:lang w:val="en-US"/>
              </w:rPr>
              <w:t>se</w:t>
            </w:r>
            <w:r w:rsidRPr="00D95BB2">
              <w:rPr>
                <w:rFonts w:ascii="Arial" w:hAnsi="Arial" w:cs="Arial"/>
                <w:sz w:val="24"/>
                <w:szCs w:val="24"/>
                <w:lang w:val="en-US"/>
              </w:rPr>
              <w:t xml:space="preserve"> allegations remain u</w:t>
            </w:r>
            <w:r w:rsidR="00AC3A33">
              <w:rPr>
                <w:rFonts w:ascii="Arial" w:hAnsi="Arial" w:cs="Arial"/>
                <w:sz w:val="24"/>
                <w:szCs w:val="24"/>
                <w:lang w:val="en-US"/>
              </w:rPr>
              <w:t>nsupported by facts or evidence</w:t>
            </w:r>
            <w:r w:rsidRPr="00D95BB2">
              <w:rPr>
                <w:rFonts w:ascii="Arial" w:hAnsi="Arial" w:cs="Arial"/>
                <w:sz w:val="24"/>
                <w:szCs w:val="24"/>
                <w:lang w:val="en-US"/>
              </w:rPr>
              <w:t xml:space="preserve">. The deponents act for and on behalf of the </w:t>
            </w:r>
            <w:r w:rsidR="00AC3A33">
              <w:rPr>
                <w:rFonts w:ascii="Arial" w:hAnsi="Arial" w:cs="Arial"/>
                <w:sz w:val="24"/>
                <w:szCs w:val="24"/>
                <w:lang w:val="en-US"/>
              </w:rPr>
              <w:t>a</w:t>
            </w:r>
            <w:r w:rsidRPr="00D95BB2">
              <w:rPr>
                <w:rFonts w:ascii="Arial" w:hAnsi="Arial" w:cs="Arial"/>
                <w:sz w:val="24"/>
                <w:szCs w:val="24"/>
                <w:lang w:val="en-US"/>
              </w:rPr>
              <w:t xml:space="preserve">pplicant and thus generally can be assumed to have knowledge of the </w:t>
            </w:r>
            <w:r w:rsidR="00AC3A33">
              <w:rPr>
                <w:rFonts w:ascii="Arial" w:hAnsi="Arial" w:cs="Arial"/>
                <w:sz w:val="24"/>
                <w:szCs w:val="24"/>
                <w:lang w:val="en-US"/>
              </w:rPr>
              <w:t>a</w:t>
            </w:r>
            <w:r w:rsidRPr="00D95BB2">
              <w:rPr>
                <w:rFonts w:ascii="Arial" w:hAnsi="Arial" w:cs="Arial"/>
                <w:sz w:val="24"/>
                <w:szCs w:val="24"/>
                <w:lang w:val="en-US"/>
              </w:rPr>
              <w:t xml:space="preserve">pplicant’s dealings and the breach of the </w:t>
            </w:r>
            <w:r w:rsidR="00AC3A33">
              <w:rPr>
                <w:rFonts w:ascii="Arial" w:hAnsi="Arial" w:cs="Arial"/>
                <w:sz w:val="24"/>
                <w:szCs w:val="24"/>
                <w:lang w:val="en-US"/>
              </w:rPr>
              <w:t>r</w:t>
            </w:r>
            <w:r w:rsidRPr="00D95BB2">
              <w:rPr>
                <w:rFonts w:ascii="Arial" w:hAnsi="Arial" w:cs="Arial"/>
                <w:sz w:val="24"/>
                <w:szCs w:val="24"/>
                <w:lang w:val="en-US"/>
              </w:rPr>
              <w:t>espondent in terms of the loan agreement</w:t>
            </w:r>
            <w:r>
              <w:rPr>
                <w:rFonts w:ascii="Arial" w:hAnsi="Arial" w:cs="Arial"/>
                <w:sz w:val="24"/>
                <w:szCs w:val="24"/>
                <w:lang w:val="en-US"/>
              </w:rPr>
              <w:t>.</w:t>
            </w:r>
          </w:p>
          <w:p w:rsidR="00D95BB2" w:rsidRPr="0083108B" w:rsidRDefault="00D95BB2" w:rsidP="00AC3A33">
            <w:pPr>
              <w:spacing w:line="360" w:lineRule="auto"/>
              <w:contextualSpacing/>
              <w:jc w:val="both"/>
              <w:rPr>
                <w:rFonts w:ascii="Arial" w:hAnsi="Arial" w:cs="Arial"/>
                <w:sz w:val="24"/>
                <w:szCs w:val="24"/>
              </w:rPr>
            </w:pPr>
          </w:p>
          <w:p w:rsidR="0083108B" w:rsidRPr="0083108B" w:rsidRDefault="00B42D53" w:rsidP="005D1F25">
            <w:pPr>
              <w:spacing w:line="360" w:lineRule="auto"/>
              <w:rPr>
                <w:rFonts w:ascii="Arial" w:hAnsi="Arial" w:cs="Arial"/>
                <w:i/>
                <w:sz w:val="24"/>
                <w:szCs w:val="24"/>
              </w:rPr>
            </w:pPr>
            <w:r>
              <w:rPr>
                <w:rFonts w:ascii="Arial" w:hAnsi="Arial" w:cs="Arial"/>
                <w:i/>
                <w:sz w:val="24"/>
                <w:szCs w:val="24"/>
              </w:rPr>
              <w:t>Respondent</w:t>
            </w:r>
          </w:p>
          <w:p w:rsidR="0083108B" w:rsidRPr="0083108B" w:rsidRDefault="0083108B" w:rsidP="005D1F25">
            <w:pPr>
              <w:spacing w:line="360" w:lineRule="auto"/>
              <w:rPr>
                <w:rFonts w:ascii="Arial" w:hAnsi="Arial" w:cs="Arial"/>
                <w:i/>
                <w:sz w:val="24"/>
                <w:szCs w:val="24"/>
              </w:rPr>
            </w:pPr>
          </w:p>
          <w:p w:rsidR="0083108B" w:rsidRPr="009A7E75" w:rsidRDefault="00552C16" w:rsidP="00925A71">
            <w:pPr>
              <w:numPr>
                <w:ilvl w:val="0"/>
                <w:numId w:val="6"/>
              </w:numPr>
              <w:spacing w:line="360" w:lineRule="auto"/>
              <w:ind w:left="0" w:firstLine="0"/>
              <w:contextualSpacing/>
              <w:jc w:val="both"/>
              <w:rPr>
                <w:rFonts w:ascii="Arial" w:hAnsi="Arial" w:cs="Arial"/>
                <w:sz w:val="24"/>
                <w:szCs w:val="24"/>
              </w:rPr>
            </w:pPr>
            <w:r>
              <w:rPr>
                <w:rFonts w:ascii="Arial" w:hAnsi="Arial" w:cs="Arial"/>
                <w:sz w:val="24"/>
                <w:szCs w:val="24"/>
              </w:rPr>
              <w:lastRenderedPageBreak/>
              <w:t>Mrs</w:t>
            </w:r>
            <w:r w:rsidR="00AC3A33">
              <w:rPr>
                <w:rFonts w:ascii="Arial" w:hAnsi="Arial" w:cs="Arial"/>
                <w:sz w:val="24"/>
                <w:szCs w:val="24"/>
              </w:rPr>
              <w:t xml:space="preserve"> </w:t>
            </w:r>
            <w:proofErr w:type="spellStart"/>
            <w:r w:rsidR="00AC3A33">
              <w:rPr>
                <w:rFonts w:ascii="Arial" w:hAnsi="Arial" w:cs="Arial"/>
                <w:sz w:val="24"/>
                <w:szCs w:val="24"/>
              </w:rPr>
              <w:t>Lardelli</w:t>
            </w:r>
            <w:proofErr w:type="spellEnd"/>
            <w:r w:rsidR="00AC3A33">
              <w:rPr>
                <w:rFonts w:ascii="Arial" w:hAnsi="Arial" w:cs="Arial"/>
                <w:sz w:val="24"/>
                <w:szCs w:val="24"/>
              </w:rPr>
              <w:t xml:space="preserve"> argued that</w:t>
            </w:r>
            <w:r w:rsidR="0083108B" w:rsidRPr="0083108B">
              <w:rPr>
                <w:rFonts w:ascii="Arial" w:hAnsi="Arial" w:cs="Arial"/>
                <w:sz w:val="24"/>
                <w:szCs w:val="24"/>
              </w:rPr>
              <w:t xml:space="preserve"> </w:t>
            </w:r>
            <w:r w:rsidR="00AC3A33">
              <w:rPr>
                <w:rFonts w:ascii="Arial" w:hAnsi="Arial" w:cs="Arial"/>
                <w:sz w:val="24"/>
                <w:szCs w:val="24"/>
                <w:lang w:val="en-US"/>
              </w:rPr>
              <w:t>i</w:t>
            </w:r>
            <w:r w:rsidR="008B0757" w:rsidRPr="008B0757">
              <w:rPr>
                <w:rFonts w:ascii="Arial" w:hAnsi="Arial" w:cs="Arial"/>
                <w:sz w:val="24"/>
                <w:szCs w:val="24"/>
                <w:lang w:val="en-US"/>
              </w:rPr>
              <w:t>n view of the nature of the remedy, the court must be satisfied that a</w:t>
            </w:r>
            <w:r w:rsidR="00AC3A33">
              <w:rPr>
                <w:rFonts w:ascii="Arial" w:hAnsi="Arial" w:cs="Arial"/>
                <w:sz w:val="24"/>
                <w:szCs w:val="24"/>
                <w:lang w:val="en-US"/>
              </w:rPr>
              <w:t>n</w:t>
            </w:r>
            <w:r w:rsidR="008B0757" w:rsidRPr="008B0757">
              <w:rPr>
                <w:rFonts w:ascii="Arial" w:hAnsi="Arial" w:cs="Arial"/>
                <w:sz w:val="24"/>
                <w:szCs w:val="24"/>
                <w:lang w:val="en-US"/>
              </w:rPr>
              <w:t xml:space="preserve"> </w:t>
            </w:r>
            <w:r w:rsidR="00AC3A33" w:rsidRPr="00AC3A33">
              <w:rPr>
                <w:rFonts w:ascii="Arial" w:hAnsi="Arial" w:cs="Arial"/>
                <w:sz w:val="24"/>
                <w:szCs w:val="24"/>
                <w:lang w:val="en-US"/>
              </w:rPr>
              <w:t xml:space="preserve">applicant </w:t>
            </w:r>
            <w:r w:rsidR="008B0757" w:rsidRPr="008B0757">
              <w:rPr>
                <w:rFonts w:ascii="Arial" w:hAnsi="Arial" w:cs="Arial"/>
                <w:sz w:val="24"/>
                <w:szCs w:val="24"/>
                <w:lang w:val="en-US"/>
              </w:rPr>
              <w:t xml:space="preserve">who seeks summary judgment has established its claim clearly </w:t>
            </w:r>
            <w:r w:rsidR="00C67A6F">
              <w:rPr>
                <w:rFonts w:ascii="Arial" w:hAnsi="Arial" w:cs="Arial"/>
                <w:sz w:val="24"/>
                <w:szCs w:val="24"/>
                <w:lang w:val="en-US"/>
              </w:rPr>
              <w:t>on the papers and that the respondents</w:t>
            </w:r>
            <w:r w:rsidR="008B0757" w:rsidRPr="008B0757">
              <w:rPr>
                <w:rFonts w:ascii="Arial" w:hAnsi="Arial" w:cs="Arial"/>
                <w:sz w:val="24"/>
                <w:szCs w:val="24"/>
                <w:lang w:val="en-US"/>
              </w:rPr>
              <w:t xml:space="preserve"> have failed to set up a bona fide </w:t>
            </w:r>
            <w:proofErr w:type="spellStart"/>
            <w:r w:rsidR="008B0757" w:rsidRPr="008B0757">
              <w:rPr>
                <w:rFonts w:ascii="Arial" w:hAnsi="Arial" w:cs="Arial"/>
                <w:sz w:val="24"/>
                <w:szCs w:val="24"/>
                <w:lang w:val="en-US"/>
              </w:rPr>
              <w:t>defence</w:t>
            </w:r>
            <w:proofErr w:type="spellEnd"/>
            <w:r w:rsidR="008B0757" w:rsidRPr="008B0757">
              <w:rPr>
                <w:rFonts w:ascii="Arial" w:hAnsi="Arial" w:cs="Arial"/>
                <w:sz w:val="24"/>
                <w:szCs w:val="24"/>
                <w:lang w:val="en-US"/>
              </w:rPr>
              <w:t xml:space="preserve"> as required in terms of the rules of this court.</w:t>
            </w:r>
            <w:r>
              <w:rPr>
                <w:rFonts w:ascii="Arial" w:hAnsi="Arial" w:cs="Arial"/>
                <w:sz w:val="24"/>
                <w:szCs w:val="24"/>
                <w:lang w:val="en-US"/>
              </w:rPr>
              <w:t xml:space="preserve">  </w:t>
            </w:r>
            <w:r w:rsidRPr="00552C16">
              <w:rPr>
                <w:rFonts w:ascii="Arial" w:hAnsi="Arial" w:cs="Arial"/>
                <w:sz w:val="24"/>
                <w:szCs w:val="24"/>
                <w:lang w:val="en-US"/>
              </w:rPr>
              <w:t xml:space="preserve">Even if a </w:t>
            </w:r>
            <w:r w:rsidR="00AC3A33">
              <w:rPr>
                <w:rFonts w:ascii="Arial" w:hAnsi="Arial" w:cs="Arial"/>
                <w:sz w:val="24"/>
                <w:szCs w:val="24"/>
                <w:lang w:val="en-US"/>
              </w:rPr>
              <w:t>respondent</w:t>
            </w:r>
            <w:r w:rsidRPr="00552C16">
              <w:rPr>
                <w:rFonts w:ascii="Arial" w:hAnsi="Arial" w:cs="Arial"/>
                <w:sz w:val="24"/>
                <w:szCs w:val="24"/>
                <w:lang w:val="en-US"/>
              </w:rPr>
              <w:t xml:space="preserve"> fails to put up any </w:t>
            </w:r>
            <w:proofErr w:type="spellStart"/>
            <w:r w:rsidRPr="00552C16">
              <w:rPr>
                <w:rFonts w:ascii="Arial" w:hAnsi="Arial" w:cs="Arial"/>
                <w:sz w:val="24"/>
                <w:szCs w:val="24"/>
                <w:lang w:val="en-US"/>
              </w:rPr>
              <w:t>defence</w:t>
            </w:r>
            <w:proofErr w:type="spellEnd"/>
            <w:r w:rsidRPr="00552C16">
              <w:rPr>
                <w:rFonts w:ascii="Arial" w:hAnsi="Arial" w:cs="Arial"/>
                <w:sz w:val="24"/>
                <w:szCs w:val="24"/>
                <w:lang w:val="en-US"/>
              </w:rPr>
              <w:t xml:space="preserve"> or puts up a </w:t>
            </w:r>
            <w:proofErr w:type="spellStart"/>
            <w:r w:rsidRPr="00552C16">
              <w:rPr>
                <w:rFonts w:ascii="Arial" w:hAnsi="Arial" w:cs="Arial"/>
                <w:sz w:val="24"/>
                <w:szCs w:val="24"/>
                <w:lang w:val="en-US"/>
              </w:rPr>
              <w:t>defence</w:t>
            </w:r>
            <w:proofErr w:type="spellEnd"/>
            <w:r w:rsidRPr="00552C16">
              <w:rPr>
                <w:rFonts w:ascii="Arial" w:hAnsi="Arial" w:cs="Arial"/>
                <w:sz w:val="24"/>
                <w:szCs w:val="24"/>
                <w:lang w:val="en-US"/>
              </w:rPr>
              <w:t xml:space="preserve"> which does not meet the standard required of a </w:t>
            </w:r>
            <w:r w:rsidR="00AC3A33">
              <w:rPr>
                <w:rFonts w:ascii="Arial" w:hAnsi="Arial" w:cs="Arial"/>
                <w:sz w:val="24"/>
                <w:szCs w:val="24"/>
                <w:lang w:val="en-US"/>
              </w:rPr>
              <w:t>respondent</w:t>
            </w:r>
            <w:r w:rsidRPr="00552C16">
              <w:rPr>
                <w:rFonts w:ascii="Arial" w:hAnsi="Arial" w:cs="Arial"/>
                <w:sz w:val="24"/>
                <w:szCs w:val="24"/>
                <w:lang w:val="en-US"/>
              </w:rPr>
              <w:t xml:space="preserve"> to resist summary judgment, summary judgment should be refused</w:t>
            </w:r>
            <w:r w:rsidR="00C67A6F">
              <w:rPr>
                <w:rFonts w:ascii="Arial" w:hAnsi="Arial" w:cs="Arial"/>
                <w:sz w:val="24"/>
                <w:szCs w:val="24"/>
                <w:lang w:val="en-US"/>
              </w:rPr>
              <w:t>,</w:t>
            </w:r>
            <w:r w:rsidRPr="00552C16">
              <w:rPr>
                <w:rFonts w:ascii="Arial" w:hAnsi="Arial" w:cs="Arial"/>
                <w:sz w:val="24"/>
                <w:szCs w:val="24"/>
                <w:lang w:val="en-US"/>
              </w:rPr>
              <w:t xml:space="preserve"> if </w:t>
            </w:r>
            <w:r w:rsidR="00AC3A33">
              <w:rPr>
                <w:rFonts w:ascii="Arial" w:hAnsi="Arial" w:cs="Arial"/>
                <w:sz w:val="24"/>
                <w:szCs w:val="24"/>
                <w:lang w:val="en-US"/>
              </w:rPr>
              <w:t xml:space="preserve">the </w:t>
            </w:r>
            <w:r w:rsidR="00AC3A33" w:rsidRPr="00AC3A33">
              <w:rPr>
                <w:rFonts w:ascii="Arial" w:hAnsi="Arial" w:cs="Arial"/>
                <w:sz w:val="24"/>
                <w:szCs w:val="24"/>
                <w:lang w:val="en-US"/>
              </w:rPr>
              <w:t>applicant</w:t>
            </w:r>
            <w:r w:rsidR="00AC3A33">
              <w:rPr>
                <w:rFonts w:ascii="Arial" w:hAnsi="Arial" w:cs="Arial"/>
                <w:sz w:val="24"/>
                <w:szCs w:val="24"/>
                <w:lang w:val="en-US"/>
              </w:rPr>
              <w:t>’s</w:t>
            </w:r>
            <w:r w:rsidRPr="00552C16">
              <w:rPr>
                <w:rFonts w:ascii="Arial" w:hAnsi="Arial" w:cs="Arial"/>
                <w:sz w:val="24"/>
                <w:szCs w:val="24"/>
                <w:lang w:val="en-US"/>
              </w:rPr>
              <w:t xml:space="preserve"> claim is not clearly established on its papers and its pleadings are not technically in order and in complianc</w:t>
            </w:r>
            <w:r w:rsidR="00D33D61">
              <w:rPr>
                <w:rFonts w:ascii="Arial" w:hAnsi="Arial" w:cs="Arial"/>
                <w:sz w:val="24"/>
                <w:szCs w:val="24"/>
                <w:lang w:val="en-US"/>
              </w:rPr>
              <w:t>e with the Rules of the C</w:t>
            </w:r>
            <w:r>
              <w:rPr>
                <w:rFonts w:ascii="Arial" w:hAnsi="Arial" w:cs="Arial"/>
                <w:sz w:val="24"/>
                <w:szCs w:val="24"/>
                <w:lang w:val="en-US"/>
              </w:rPr>
              <w:t xml:space="preserve">ourt. </w:t>
            </w:r>
          </w:p>
          <w:p w:rsidR="009A7E75" w:rsidRPr="009A7E75" w:rsidRDefault="009A7E75" w:rsidP="009A7E75">
            <w:pPr>
              <w:spacing w:line="360" w:lineRule="auto"/>
              <w:contextualSpacing/>
              <w:jc w:val="both"/>
              <w:rPr>
                <w:rFonts w:ascii="Arial" w:hAnsi="Arial" w:cs="Arial"/>
                <w:sz w:val="24"/>
                <w:szCs w:val="24"/>
              </w:rPr>
            </w:pPr>
          </w:p>
          <w:p w:rsidR="009A7E75" w:rsidRPr="00552C16" w:rsidRDefault="009A7E75" w:rsidP="00925A71">
            <w:pPr>
              <w:numPr>
                <w:ilvl w:val="0"/>
                <w:numId w:val="6"/>
              </w:numPr>
              <w:spacing w:line="360" w:lineRule="auto"/>
              <w:ind w:left="0" w:firstLine="0"/>
              <w:contextualSpacing/>
              <w:jc w:val="both"/>
              <w:rPr>
                <w:rFonts w:ascii="Arial" w:hAnsi="Arial" w:cs="Arial"/>
                <w:sz w:val="24"/>
                <w:szCs w:val="24"/>
              </w:rPr>
            </w:pPr>
            <w:r>
              <w:rPr>
                <w:rFonts w:ascii="Arial" w:hAnsi="Arial" w:cs="Arial"/>
                <w:sz w:val="24"/>
                <w:szCs w:val="24"/>
                <w:lang w:val="en-US"/>
              </w:rPr>
              <w:t>It was f</w:t>
            </w:r>
            <w:r w:rsidR="00AC3A33">
              <w:rPr>
                <w:rFonts w:ascii="Arial" w:hAnsi="Arial" w:cs="Arial"/>
                <w:sz w:val="24"/>
                <w:szCs w:val="24"/>
                <w:lang w:val="en-US"/>
              </w:rPr>
              <w:t>urther argued on behalf of the respondent</w:t>
            </w:r>
            <w:r>
              <w:rPr>
                <w:rFonts w:ascii="Arial" w:hAnsi="Arial" w:cs="Arial"/>
                <w:sz w:val="24"/>
                <w:szCs w:val="24"/>
                <w:lang w:val="en-US"/>
              </w:rPr>
              <w:t xml:space="preserve"> that </w:t>
            </w:r>
            <w:r w:rsidRPr="009A7E75">
              <w:rPr>
                <w:rFonts w:ascii="Arial" w:hAnsi="Arial" w:cs="Arial"/>
                <w:sz w:val="24"/>
                <w:szCs w:val="24"/>
                <w:lang w:val="en-US"/>
              </w:rPr>
              <w:t xml:space="preserve">Cornel de Villiers, in paragraph 1 of her affidavit accompanying the </w:t>
            </w:r>
            <w:r w:rsidR="00AC3A33" w:rsidRPr="00AC3A33">
              <w:rPr>
                <w:rFonts w:ascii="Arial" w:hAnsi="Arial" w:cs="Arial"/>
                <w:sz w:val="24"/>
                <w:szCs w:val="24"/>
                <w:lang w:val="en-US"/>
              </w:rPr>
              <w:t>applicant</w:t>
            </w:r>
            <w:r w:rsidR="00C67A6F">
              <w:rPr>
                <w:rFonts w:ascii="Arial" w:hAnsi="Arial" w:cs="Arial"/>
                <w:sz w:val="24"/>
                <w:szCs w:val="24"/>
                <w:lang w:val="en-US"/>
              </w:rPr>
              <w:t>’s purported application for summary j</w:t>
            </w:r>
            <w:r w:rsidRPr="009A7E75">
              <w:rPr>
                <w:rFonts w:ascii="Arial" w:hAnsi="Arial" w:cs="Arial"/>
                <w:sz w:val="24"/>
                <w:szCs w:val="24"/>
                <w:lang w:val="en-US"/>
              </w:rPr>
              <w:t xml:space="preserve">udgment, states that she </w:t>
            </w:r>
            <w:r w:rsidR="00AC3A33">
              <w:rPr>
                <w:rFonts w:ascii="Arial" w:hAnsi="Arial" w:cs="Arial"/>
                <w:sz w:val="24"/>
                <w:szCs w:val="24"/>
                <w:lang w:val="en-US"/>
              </w:rPr>
              <w:t>is the General Manager for the a</w:t>
            </w:r>
            <w:r w:rsidRPr="009A7E75">
              <w:rPr>
                <w:rFonts w:ascii="Arial" w:hAnsi="Arial" w:cs="Arial"/>
                <w:sz w:val="24"/>
                <w:szCs w:val="24"/>
                <w:lang w:val="en-US"/>
              </w:rPr>
              <w:t xml:space="preserve">pplicant, </w:t>
            </w:r>
            <w:proofErr w:type="spellStart"/>
            <w:r w:rsidRPr="009A7E75">
              <w:rPr>
                <w:rFonts w:ascii="Arial" w:hAnsi="Arial" w:cs="Arial"/>
                <w:sz w:val="24"/>
                <w:szCs w:val="24"/>
                <w:lang w:val="en-US"/>
              </w:rPr>
              <w:t>Zannier</w:t>
            </w:r>
            <w:proofErr w:type="spellEnd"/>
            <w:r w:rsidRPr="009A7E75">
              <w:rPr>
                <w:rFonts w:ascii="Arial" w:hAnsi="Arial" w:cs="Arial"/>
                <w:sz w:val="24"/>
                <w:szCs w:val="24"/>
                <w:lang w:val="en-US"/>
              </w:rPr>
              <w:t xml:space="preserve"> Hotels Namibia. In paragraph 2 of her affidavit accompanying the </w:t>
            </w:r>
            <w:r w:rsidR="00AC3A33" w:rsidRPr="00AC3A33">
              <w:rPr>
                <w:rFonts w:ascii="Arial" w:hAnsi="Arial" w:cs="Arial"/>
                <w:sz w:val="24"/>
                <w:szCs w:val="24"/>
                <w:lang w:val="en-US"/>
              </w:rPr>
              <w:t>applicant</w:t>
            </w:r>
            <w:r w:rsidR="00C67A6F">
              <w:rPr>
                <w:rFonts w:ascii="Arial" w:hAnsi="Arial" w:cs="Arial"/>
                <w:sz w:val="24"/>
                <w:szCs w:val="24"/>
                <w:lang w:val="en-US"/>
              </w:rPr>
              <w:t>’s purported application for s</w:t>
            </w:r>
            <w:r w:rsidRPr="009A7E75">
              <w:rPr>
                <w:rFonts w:ascii="Arial" w:hAnsi="Arial" w:cs="Arial"/>
                <w:sz w:val="24"/>
                <w:szCs w:val="24"/>
                <w:lang w:val="en-US"/>
              </w:rPr>
              <w:t xml:space="preserve">ummary </w:t>
            </w:r>
            <w:r w:rsidR="00C67A6F">
              <w:rPr>
                <w:rFonts w:ascii="Arial" w:hAnsi="Arial" w:cs="Arial"/>
                <w:sz w:val="24"/>
                <w:szCs w:val="24"/>
                <w:lang w:val="en-US"/>
              </w:rPr>
              <w:t>j</w:t>
            </w:r>
            <w:r w:rsidRPr="009A7E75">
              <w:rPr>
                <w:rFonts w:ascii="Arial" w:hAnsi="Arial" w:cs="Arial"/>
                <w:sz w:val="24"/>
                <w:szCs w:val="24"/>
                <w:lang w:val="en-US"/>
              </w:rPr>
              <w:t>udgment</w:t>
            </w:r>
            <w:r w:rsidR="00C67A6F">
              <w:rPr>
                <w:rFonts w:ascii="Arial" w:hAnsi="Arial" w:cs="Arial"/>
                <w:sz w:val="24"/>
                <w:szCs w:val="24"/>
                <w:lang w:val="en-US"/>
              </w:rPr>
              <w:t>,</w:t>
            </w:r>
            <w:r w:rsidRPr="009A7E75">
              <w:rPr>
                <w:rFonts w:ascii="Arial" w:hAnsi="Arial" w:cs="Arial"/>
                <w:sz w:val="24"/>
                <w:szCs w:val="24"/>
                <w:lang w:val="en-US"/>
              </w:rPr>
              <w:t xml:space="preserve"> she states that she is duly able and authorized to depose to t</w:t>
            </w:r>
            <w:r w:rsidR="00C67A6F">
              <w:rPr>
                <w:rFonts w:ascii="Arial" w:hAnsi="Arial" w:cs="Arial"/>
                <w:sz w:val="24"/>
                <w:szCs w:val="24"/>
                <w:lang w:val="en-US"/>
              </w:rPr>
              <w:t>he affidavit and to bring this summary judgment a</w:t>
            </w:r>
            <w:r w:rsidRPr="009A7E75">
              <w:rPr>
                <w:rFonts w:ascii="Arial" w:hAnsi="Arial" w:cs="Arial"/>
                <w:sz w:val="24"/>
                <w:szCs w:val="24"/>
                <w:lang w:val="en-US"/>
              </w:rPr>
              <w:t xml:space="preserve">pplication on behalf of the </w:t>
            </w:r>
            <w:r w:rsidR="00AC3A33">
              <w:rPr>
                <w:rFonts w:ascii="Arial" w:hAnsi="Arial" w:cs="Arial"/>
                <w:sz w:val="24"/>
                <w:szCs w:val="24"/>
                <w:lang w:val="en-US"/>
              </w:rPr>
              <w:t>a</w:t>
            </w:r>
            <w:r w:rsidRPr="009A7E75">
              <w:rPr>
                <w:rFonts w:ascii="Arial" w:hAnsi="Arial" w:cs="Arial"/>
                <w:sz w:val="24"/>
                <w:szCs w:val="24"/>
                <w:lang w:val="en-US"/>
              </w:rPr>
              <w:t>pplicant. The contents hereof falling within her personal knowledge unless the context indicates otherwise or the contrary appears there from and s</w:t>
            </w:r>
            <w:r>
              <w:rPr>
                <w:rFonts w:ascii="Arial" w:hAnsi="Arial" w:cs="Arial"/>
                <w:sz w:val="24"/>
                <w:szCs w:val="24"/>
                <w:lang w:val="en-US"/>
              </w:rPr>
              <w:t xml:space="preserve">ame being true and correct. </w:t>
            </w:r>
            <w:r w:rsidRPr="009A7E75">
              <w:rPr>
                <w:rFonts w:ascii="Arial" w:hAnsi="Arial" w:cs="Arial"/>
                <w:sz w:val="24"/>
                <w:szCs w:val="24"/>
                <w:lang w:val="en-US"/>
              </w:rPr>
              <w:t xml:space="preserve">The </w:t>
            </w:r>
            <w:r w:rsidR="00AC3A33">
              <w:rPr>
                <w:rFonts w:ascii="Arial" w:hAnsi="Arial" w:cs="Arial"/>
                <w:sz w:val="24"/>
                <w:szCs w:val="24"/>
                <w:lang w:val="en-US"/>
              </w:rPr>
              <w:t>c</w:t>
            </w:r>
            <w:r w:rsidRPr="009A7E75">
              <w:rPr>
                <w:rFonts w:ascii="Arial" w:hAnsi="Arial" w:cs="Arial"/>
                <w:sz w:val="24"/>
                <w:szCs w:val="24"/>
                <w:lang w:val="en-US"/>
              </w:rPr>
              <w:t xml:space="preserve">ourt </w:t>
            </w:r>
            <w:r w:rsidR="00AC3A33">
              <w:rPr>
                <w:rFonts w:ascii="Arial" w:hAnsi="Arial" w:cs="Arial"/>
                <w:sz w:val="24"/>
                <w:szCs w:val="24"/>
                <w:lang w:val="en-US"/>
              </w:rPr>
              <w:t>was</w:t>
            </w:r>
            <w:r w:rsidRPr="009A7E75">
              <w:rPr>
                <w:rFonts w:ascii="Arial" w:hAnsi="Arial" w:cs="Arial"/>
                <w:sz w:val="24"/>
                <w:szCs w:val="24"/>
                <w:lang w:val="en-US"/>
              </w:rPr>
              <w:t xml:space="preserve"> referred to paragraph 4 of the </w:t>
            </w:r>
            <w:r w:rsidR="00AC3A33" w:rsidRPr="00AC3A33">
              <w:rPr>
                <w:rFonts w:ascii="Arial" w:hAnsi="Arial" w:cs="Arial"/>
                <w:sz w:val="24"/>
                <w:szCs w:val="24"/>
                <w:lang w:val="en-US"/>
              </w:rPr>
              <w:t>applicant</w:t>
            </w:r>
            <w:r w:rsidR="00C67A6F">
              <w:rPr>
                <w:rFonts w:ascii="Arial" w:hAnsi="Arial" w:cs="Arial"/>
                <w:sz w:val="24"/>
                <w:szCs w:val="24"/>
                <w:lang w:val="en-US"/>
              </w:rPr>
              <w:t>’s particulars of c</w:t>
            </w:r>
            <w:r w:rsidRPr="009A7E75">
              <w:rPr>
                <w:rFonts w:ascii="Arial" w:hAnsi="Arial" w:cs="Arial"/>
                <w:sz w:val="24"/>
                <w:szCs w:val="24"/>
                <w:lang w:val="en-US"/>
              </w:rPr>
              <w:t>laim</w:t>
            </w:r>
            <w:r w:rsidR="00C67A6F">
              <w:rPr>
                <w:rFonts w:ascii="Arial" w:hAnsi="Arial" w:cs="Arial"/>
                <w:sz w:val="24"/>
                <w:szCs w:val="24"/>
                <w:lang w:val="en-US"/>
              </w:rPr>
              <w:t>,</w:t>
            </w:r>
            <w:r w:rsidRPr="009A7E75">
              <w:rPr>
                <w:rFonts w:ascii="Arial" w:hAnsi="Arial" w:cs="Arial"/>
                <w:sz w:val="24"/>
                <w:szCs w:val="24"/>
                <w:lang w:val="en-US"/>
              </w:rPr>
              <w:t xml:space="preserve"> where the </w:t>
            </w:r>
            <w:r w:rsidR="00AC3A33" w:rsidRPr="00AC3A33">
              <w:rPr>
                <w:rFonts w:ascii="Arial" w:hAnsi="Arial" w:cs="Arial"/>
                <w:sz w:val="24"/>
                <w:szCs w:val="24"/>
                <w:lang w:val="en-US"/>
              </w:rPr>
              <w:t>applicant</w:t>
            </w:r>
            <w:r w:rsidRPr="009A7E75">
              <w:rPr>
                <w:rFonts w:ascii="Arial" w:hAnsi="Arial" w:cs="Arial"/>
                <w:sz w:val="24"/>
                <w:szCs w:val="24"/>
                <w:lang w:val="en-US"/>
              </w:rPr>
              <w:t xml:space="preserve"> alleges that on 30 June 2022 and at Windhoek, the </w:t>
            </w:r>
            <w:r w:rsidR="00AC3A33" w:rsidRPr="00AC3A33">
              <w:rPr>
                <w:rFonts w:ascii="Arial" w:hAnsi="Arial" w:cs="Arial"/>
                <w:sz w:val="24"/>
                <w:szCs w:val="24"/>
                <w:lang w:val="en-US"/>
              </w:rPr>
              <w:t>applicant</w:t>
            </w:r>
            <w:r w:rsidRPr="009A7E75">
              <w:rPr>
                <w:rFonts w:ascii="Arial" w:hAnsi="Arial" w:cs="Arial"/>
                <w:sz w:val="24"/>
                <w:szCs w:val="24"/>
                <w:lang w:val="en-US"/>
              </w:rPr>
              <w:t>, duly represented by William A. J. Williams entered into a partly oral and partly written agr</w:t>
            </w:r>
            <w:r>
              <w:rPr>
                <w:rFonts w:ascii="Arial" w:hAnsi="Arial" w:cs="Arial"/>
                <w:sz w:val="24"/>
                <w:szCs w:val="24"/>
                <w:lang w:val="en-US"/>
              </w:rPr>
              <w:t xml:space="preserve">eement with the </w:t>
            </w:r>
            <w:r w:rsidR="00AC3A33">
              <w:rPr>
                <w:rFonts w:ascii="Arial" w:hAnsi="Arial" w:cs="Arial"/>
                <w:sz w:val="24"/>
                <w:szCs w:val="24"/>
                <w:lang w:val="en-US"/>
              </w:rPr>
              <w:t>respondent</w:t>
            </w:r>
            <w:r>
              <w:rPr>
                <w:rFonts w:ascii="Arial" w:hAnsi="Arial" w:cs="Arial"/>
                <w:sz w:val="24"/>
                <w:szCs w:val="24"/>
                <w:lang w:val="en-US"/>
              </w:rPr>
              <w:t xml:space="preserve">. As </w:t>
            </w:r>
            <w:r w:rsidRPr="009A7E75">
              <w:rPr>
                <w:rFonts w:ascii="Arial" w:hAnsi="Arial" w:cs="Arial"/>
                <w:sz w:val="24"/>
                <w:szCs w:val="24"/>
                <w:lang w:val="en-US"/>
              </w:rPr>
              <w:t xml:space="preserve">such, Cornel de Villiers was not present when the agreement was entered into by and between the </w:t>
            </w:r>
            <w:r w:rsidR="00AC3A33" w:rsidRPr="00AC3A33">
              <w:rPr>
                <w:rFonts w:ascii="Arial" w:hAnsi="Arial" w:cs="Arial"/>
                <w:sz w:val="24"/>
                <w:szCs w:val="24"/>
                <w:lang w:val="en-US"/>
              </w:rPr>
              <w:t>applicant</w:t>
            </w:r>
            <w:r w:rsidRPr="009A7E75">
              <w:rPr>
                <w:rFonts w:ascii="Arial" w:hAnsi="Arial" w:cs="Arial"/>
                <w:sz w:val="24"/>
                <w:szCs w:val="24"/>
                <w:lang w:val="en-US"/>
              </w:rPr>
              <w:t xml:space="preserve"> and the </w:t>
            </w:r>
            <w:r w:rsidR="00C67A6F">
              <w:rPr>
                <w:rFonts w:ascii="Arial" w:hAnsi="Arial" w:cs="Arial"/>
                <w:sz w:val="24"/>
                <w:szCs w:val="24"/>
                <w:lang w:val="en-US"/>
              </w:rPr>
              <w:t>respondent</w:t>
            </w:r>
            <w:r w:rsidR="00AC3A33">
              <w:rPr>
                <w:rFonts w:ascii="Arial" w:hAnsi="Arial" w:cs="Arial"/>
                <w:sz w:val="24"/>
                <w:szCs w:val="24"/>
                <w:lang w:val="en-US"/>
              </w:rPr>
              <w:t xml:space="preserve"> </w:t>
            </w:r>
            <w:r w:rsidRPr="009A7E75">
              <w:rPr>
                <w:rFonts w:ascii="Arial" w:hAnsi="Arial" w:cs="Arial"/>
                <w:sz w:val="24"/>
                <w:szCs w:val="24"/>
                <w:lang w:val="en-US"/>
              </w:rPr>
              <w:t xml:space="preserve">and she did not represent the </w:t>
            </w:r>
            <w:r w:rsidR="00AC3A33" w:rsidRPr="00AC3A33">
              <w:rPr>
                <w:rFonts w:ascii="Arial" w:hAnsi="Arial" w:cs="Arial"/>
                <w:sz w:val="24"/>
                <w:szCs w:val="24"/>
                <w:lang w:val="en-US"/>
              </w:rPr>
              <w:t xml:space="preserve">applicant </w:t>
            </w:r>
            <w:r w:rsidRPr="009A7E75">
              <w:rPr>
                <w:rFonts w:ascii="Arial" w:hAnsi="Arial" w:cs="Arial"/>
                <w:sz w:val="24"/>
                <w:szCs w:val="24"/>
                <w:lang w:val="en-US"/>
              </w:rPr>
              <w:t>during the conclusion of the agreement.</w:t>
            </w:r>
          </w:p>
          <w:p w:rsidR="00552C16" w:rsidRPr="0083108B" w:rsidRDefault="00552C16" w:rsidP="00552C16">
            <w:pPr>
              <w:spacing w:line="360" w:lineRule="auto"/>
              <w:contextualSpacing/>
              <w:jc w:val="both"/>
              <w:rPr>
                <w:rFonts w:ascii="Arial" w:hAnsi="Arial" w:cs="Arial"/>
                <w:sz w:val="24"/>
                <w:szCs w:val="24"/>
              </w:rPr>
            </w:pPr>
          </w:p>
          <w:p w:rsidR="0083108B" w:rsidRPr="0083108B" w:rsidRDefault="0083108B" w:rsidP="005D1F25">
            <w:pPr>
              <w:spacing w:line="360" w:lineRule="auto"/>
              <w:rPr>
                <w:rFonts w:ascii="Arial" w:hAnsi="Arial" w:cs="Arial"/>
                <w:sz w:val="24"/>
                <w:szCs w:val="24"/>
                <w:u w:val="single"/>
              </w:rPr>
            </w:pPr>
            <w:r w:rsidRPr="0083108B">
              <w:rPr>
                <w:rFonts w:ascii="Arial" w:hAnsi="Arial" w:cs="Arial"/>
                <w:sz w:val="24"/>
                <w:szCs w:val="24"/>
                <w:u w:val="single"/>
              </w:rPr>
              <w:t>Legal considerations</w:t>
            </w:r>
          </w:p>
          <w:p w:rsidR="0083108B" w:rsidRPr="0083108B" w:rsidRDefault="0083108B" w:rsidP="005D1F25">
            <w:pPr>
              <w:spacing w:line="360" w:lineRule="auto"/>
              <w:rPr>
                <w:rFonts w:ascii="Arial" w:hAnsi="Arial" w:cs="Arial"/>
                <w:sz w:val="24"/>
                <w:szCs w:val="24"/>
                <w:u w:val="single"/>
              </w:rPr>
            </w:pPr>
          </w:p>
          <w:p w:rsidR="00524188" w:rsidRPr="00524188" w:rsidRDefault="00121BA9" w:rsidP="00925A71">
            <w:pPr>
              <w:numPr>
                <w:ilvl w:val="0"/>
                <w:numId w:val="6"/>
              </w:numPr>
              <w:spacing w:line="360" w:lineRule="auto"/>
              <w:ind w:left="0" w:firstLine="0"/>
              <w:contextualSpacing/>
              <w:jc w:val="both"/>
              <w:rPr>
                <w:rFonts w:ascii="Arial" w:eastAsia="MS Mincho" w:hAnsi="Arial"/>
                <w:sz w:val="24"/>
                <w:szCs w:val="24"/>
                <w:lang w:val="en-GB"/>
              </w:rPr>
            </w:pPr>
            <w:r w:rsidRPr="00121BA9">
              <w:rPr>
                <w:rFonts w:ascii="Arial" w:eastAsia="MS Mincho" w:hAnsi="Arial"/>
                <w:sz w:val="24"/>
                <w:szCs w:val="24"/>
                <w:lang w:val="en-US"/>
              </w:rPr>
              <w:t>Applications for su</w:t>
            </w:r>
            <w:r w:rsidR="00D33D61">
              <w:rPr>
                <w:rFonts w:ascii="Arial" w:eastAsia="MS Mincho" w:hAnsi="Arial"/>
                <w:sz w:val="24"/>
                <w:szCs w:val="24"/>
                <w:lang w:val="en-US"/>
              </w:rPr>
              <w:t>mmary judgment are governed by r</w:t>
            </w:r>
            <w:r w:rsidRPr="00121BA9">
              <w:rPr>
                <w:rFonts w:ascii="Arial" w:eastAsia="MS Mincho" w:hAnsi="Arial"/>
                <w:sz w:val="24"/>
                <w:szCs w:val="24"/>
                <w:lang w:val="en-US"/>
              </w:rPr>
              <w:t xml:space="preserve">ule 60 of the Rules of this </w:t>
            </w:r>
            <w:proofErr w:type="spellStart"/>
            <w:r w:rsidRPr="00121BA9">
              <w:rPr>
                <w:rFonts w:ascii="Arial" w:eastAsia="MS Mincho" w:hAnsi="Arial"/>
                <w:sz w:val="24"/>
                <w:szCs w:val="24"/>
                <w:lang w:val="en-US"/>
              </w:rPr>
              <w:t>Honourable</w:t>
            </w:r>
            <w:proofErr w:type="spellEnd"/>
            <w:r w:rsidRPr="00121BA9">
              <w:rPr>
                <w:rFonts w:ascii="Arial" w:eastAsia="MS Mincho" w:hAnsi="Arial"/>
                <w:sz w:val="24"/>
                <w:szCs w:val="24"/>
                <w:lang w:val="en-US"/>
              </w:rPr>
              <w:t xml:space="preserve"> Court, which stipulates as follows:</w:t>
            </w:r>
          </w:p>
          <w:p w:rsidR="00121BA9" w:rsidRPr="00121BA9" w:rsidRDefault="00121BA9" w:rsidP="00524188">
            <w:pPr>
              <w:spacing w:line="360" w:lineRule="auto"/>
              <w:contextualSpacing/>
              <w:jc w:val="both"/>
              <w:rPr>
                <w:rFonts w:ascii="Arial" w:eastAsia="MS Mincho" w:hAnsi="Arial"/>
                <w:sz w:val="24"/>
                <w:szCs w:val="24"/>
                <w:lang w:val="en-GB"/>
              </w:rPr>
            </w:pPr>
            <w:r w:rsidRPr="00121BA9">
              <w:rPr>
                <w:rFonts w:ascii="Arial" w:eastAsia="MS Mincho" w:hAnsi="Arial"/>
                <w:sz w:val="24"/>
                <w:szCs w:val="24"/>
                <w:lang w:val="en-US"/>
              </w:rPr>
              <w:t xml:space="preserve"> </w:t>
            </w:r>
          </w:p>
          <w:p w:rsidR="00121BA9" w:rsidRPr="00AC3A33" w:rsidRDefault="00121BA9" w:rsidP="00121BA9">
            <w:pPr>
              <w:spacing w:line="360" w:lineRule="auto"/>
              <w:contextualSpacing/>
              <w:jc w:val="both"/>
              <w:rPr>
                <w:rFonts w:ascii="Arial" w:eastAsia="MS Mincho" w:hAnsi="Arial"/>
                <w:lang w:val="en-US"/>
              </w:rPr>
            </w:pPr>
            <w:r>
              <w:rPr>
                <w:rFonts w:ascii="Arial" w:eastAsia="MS Mincho" w:hAnsi="Arial"/>
                <w:sz w:val="24"/>
                <w:szCs w:val="24"/>
                <w:lang w:val="en-US"/>
              </w:rPr>
              <w:tab/>
            </w:r>
            <w:r w:rsidRPr="00AC3A33">
              <w:rPr>
                <w:rFonts w:ascii="Arial" w:eastAsia="MS Mincho" w:hAnsi="Arial"/>
                <w:lang w:val="en-US"/>
              </w:rPr>
              <w:t xml:space="preserve">‘Where the defendant has delivered notice of intention to defend, the plaintiff may apply to court for summary judgment on each claim in the summons, together with a claim for interest and costs, so long as the claim is – </w:t>
            </w:r>
          </w:p>
          <w:p w:rsidR="00121BA9" w:rsidRPr="00AC3A33" w:rsidRDefault="00121BA9" w:rsidP="00121BA9">
            <w:pPr>
              <w:spacing w:line="360" w:lineRule="auto"/>
              <w:contextualSpacing/>
              <w:jc w:val="both"/>
              <w:rPr>
                <w:rFonts w:ascii="Arial" w:eastAsia="MS Mincho" w:hAnsi="Arial"/>
                <w:lang w:val="en-US"/>
              </w:rPr>
            </w:pPr>
            <w:r w:rsidRPr="00AC3A33">
              <w:rPr>
                <w:rFonts w:ascii="Arial" w:eastAsia="MS Mincho" w:hAnsi="Arial"/>
                <w:lang w:val="en-US"/>
              </w:rPr>
              <w:t xml:space="preserve">(a) on a liquid document; </w:t>
            </w:r>
          </w:p>
          <w:p w:rsidR="00121BA9" w:rsidRPr="00AC3A33" w:rsidRDefault="00121BA9" w:rsidP="00121BA9">
            <w:pPr>
              <w:spacing w:line="360" w:lineRule="auto"/>
              <w:contextualSpacing/>
              <w:jc w:val="both"/>
              <w:rPr>
                <w:rFonts w:ascii="Arial" w:eastAsia="MS Mincho" w:hAnsi="Arial"/>
                <w:lang w:val="en-US"/>
              </w:rPr>
            </w:pPr>
            <w:r w:rsidRPr="00AC3A33">
              <w:rPr>
                <w:rFonts w:ascii="Arial" w:eastAsia="MS Mincho" w:hAnsi="Arial"/>
                <w:lang w:val="en-US"/>
              </w:rPr>
              <w:lastRenderedPageBreak/>
              <w:t xml:space="preserve">(b) for a liquidated amount in money; </w:t>
            </w:r>
          </w:p>
          <w:p w:rsidR="00121BA9" w:rsidRPr="00AC3A33" w:rsidRDefault="00121BA9" w:rsidP="00121BA9">
            <w:pPr>
              <w:spacing w:line="360" w:lineRule="auto"/>
              <w:contextualSpacing/>
              <w:jc w:val="both"/>
              <w:rPr>
                <w:rFonts w:ascii="Arial" w:eastAsia="MS Mincho" w:hAnsi="Arial"/>
                <w:lang w:val="en-US"/>
              </w:rPr>
            </w:pPr>
            <w:r w:rsidRPr="00AC3A33">
              <w:rPr>
                <w:rFonts w:ascii="Arial" w:eastAsia="MS Mincho" w:hAnsi="Arial"/>
                <w:lang w:val="en-US"/>
              </w:rPr>
              <w:t xml:space="preserve">(c) delivery of a specified movable property; or </w:t>
            </w:r>
          </w:p>
          <w:p w:rsidR="0083108B" w:rsidRDefault="00121BA9" w:rsidP="00121BA9">
            <w:pPr>
              <w:spacing w:line="360" w:lineRule="auto"/>
              <w:contextualSpacing/>
              <w:jc w:val="both"/>
              <w:rPr>
                <w:rFonts w:ascii="Arial" w:eastAsia="MS Mincho" w:hAnsi="Arial"/>
                <w:sz w:val="24"/>
                <w:szCs w:val="24"/>
                <w:lang w:val="en-US"/>
              </w:rPr>
            </w:pPr>
            <w:r w:rsidRPr="00AC3A33">
              <w:rPr>
                <w:rFonts w:ascii="Arial" w:eastAsia="MS Mincho" w:hAnsi="Arial"/>
                <w:lang w:val="en-US"/>
              </w:rPr>
              <w:t xml:space="preserve">(d) </w:t>
            </w:r>
            <w:proofErr w:type="gramStart"/>
            <w:r w:rsidRPr="00AC3A33">
              <w:rPr>
                <w:rFonts w:ascii="Arial" w:eastAsia="MS Mincho" w:hAnsi="Arial"/>
                <w:lang w:val="en-US"/>
              </w:rPr>
              <w:t>for</w:t>
            </w:r>
            <w:proofErr w:type="gramEnd"/>
            <w:r w:rsidRPr="00AC3A33">
              <w:rPr>
                <w:rFonts w:ascii="Arial" w:eastAsia="MS Mincho" w:hAnsi="Arial"/>
                <w:lang w:val="en-US"/>
              </w:rPr>
              <w:t xml:space="preserve"> ejectment</w:t>
            </w:r>
            <w:r w:rsidR="00760771">
              <w:rPr>
                <w:rFonts w:ascii="Arial" w:eastAsia="MS Mincho" w:hAnsi="Arial"/>
                <w:lang w:val="en-US"/>
              </w:rPr>
              <w:t>.</w:t>
            </w:r>
            <w:r w:rsidRPr="00AC3A33">
              <w:rPr>
                <w:rFonts w:ascii="Arial" w:eastAsia="MS Mincho" w:hAnsi="Arial"/>
                <w:lang w:val="en-US"/>
              </w:rPr>
              <w:t>’</w:t>
            </w:r>
          </w:p>
          <w:p w:rsidR="0083108B" w:rsidRPr="0083108B" w:rsidRDefault="0083108B" w:rsidP="0083108B">
            <w:pPr>
              <w:spacing w:line="360" w:lineRule="auto"/>
              <w:contextualSpacing/>
              <w:jc w:val="both"/>
              <w:rPr>
                <w:rFonts w:ascii="Arial" w:eastAsia="MS Mincho" w:hAnsi="Arial"/>
                <w:sz w:val="24"/>
                <w:szCs w:val="24"/>
                <w:u w:val="single"/>
                <w:lang w:val="en-GB"/>
              </w:rPr>
            </w:pPr>
          </w:p>
          <w:p w:rsidR="00121BA9" w:rsidRPr="00760771" w:rsidRDefault="0083108B" w:rsidP="00121BA9">
            <w:pPr>
              <w:numPr>
                <w:ilvl w:val="0"/>
                <w:numId w:val="6"/>
              </w:numPr>
              <w:spacing w:line="360" w:lineRule="auto"/>
              <w:ind w:left="0" w:firstLine="0"/>
              <w:contextualSpacing/>
              <w:jc w:val="both"/>
              <w:rPr>
                <w:rFonts w:ascii="Arial" w:hAnsi="Arial" w:cs="Arial"/>
                <w:sz w:val="24"/>
                <w:szCs w:val="24"/>
                <w:u w:val="single"/>
              </w:rPr>
            </w:pPr>
            <w:r w:rsidRPr="0083108B">
              <w:rPr>
                <w:rFonts w:ascii="Arial" w:eastAsia="Times New Roman" w:hAnsi="Arial" w:cs="Arial"/>
                <w:color w:val="000000"/>
                <w:sz w:val="24"/>
                <w:szCs w:val="24"/>
              </w:rPr>
              <w:t xml:space="preserve">In </w:t>
            </w:r>
            <w:r w:rsidR="00121BA9" w:rsidRPr="00121BA9">
              <w:rPr>
                <w:rFonts w:ascii="Arial" w:eastAsia="Times New Roman" w:hAnsi="Arial" w:cs="Arial"/>
                <w:color w:val="000000"/>
                <w:sz w:val="24"/>
                <w:szCs w:val="24"/>
                <w:lang w:val="en-US"/>
              </w:rPr>
              <w:t xml:space="preserve">the case of </w:t>
            </w:r>
            <w:proofErr w:type="spellStart"/>
            <w:r w:rsidR="00121BA9" w:rsidRPr="00121BA9">
              <w:rPr>
                <w:rFonts w:ascii="Arial" w:eastAsia="Times New Roman" w:hAnsi="Arial" w:cs="Arial"/>
                <w:i/>
                <w:color w:val="000000"/>
                <w:sz w:val="24"/>
                <w:szCs w:val="24"/>
                <w:lang w:val="en-US"/>
              </w:rPr>
              <w:t>Maharaj</w:t>
            </w:r>
            <w:proofErr w:type="spellEnd"/>
            <w:r w:rsidR="00121BA9" w:rsidRPr="00121BA9">
              <w:rPr>
                <w:rFonts w:ascii="Arial" w:eastAsia="Times New Roman" w:hAnsi="Arial" w:cs="Arial"/>
                <w:i/>
                <w:color w:val="000000"/>
                <w:sz w:val="24"/>
                <w:szCs w:val="24"/>
                <w:lang w:val="en-US"/>
              </w:rPr>
              <w:t xml:space="preserve"> v Barclays National Bank Ltd</w:t>
            </w:r>
            <w:r w:rsidR="00121BA9" w:rsidRPr="00121BA9">
              <w:rPr>
                <w:rFonts w:ascii="Arial" w:eastAsia="Times New Roman" w:hAnsi="Arial" w:cs="Arial"/>
                <w:color w:val="000000"/>
                <w:sz w:val="24"/>
                <w:szCs w:val="24"/>
                <w:lang w:val="en-US"/>
              </w:rPr>
              <w:t xml:space="preserve"> </w:t>
            </w:r>
            <w:r w:rsidR="00121BA9">
              <w:rPr>
                <w:rStyle w:val="FootnoteReference"/>
                <w:rFonts w:ascii="Arial" w:eastAsia="Times New Roman" w:hAnsi="Arial" w:cs="Arial"/>
                <w:color w:val="000000"/>
                <w:sz w:val="24"/>
                <w:szCs w:val="24"/>
                <w:lang w:val="en-US"/>
              </w:rPr>
              <w:footnoteReference w:id="1"/>
            </w:r>
            <w:r w:rsidR="00447988">
              <w:rPr>
                <w:rFonts w:ascii="Arial" w:eastAsia="Times New Roman" w:hAnsi="Arial" w:cs="Arial"/>
                <w:color w:val="000000"/>
                <w:sz w:val="24"/>
                <w:szCs w:val="24"/>
                <w:lang w:val="en-US"/>
              </w:rPr>
              <w:t xml:space="preserve"> </w:t>
            </w:r>
            <w:r w:rsidR="00760771">
              <w:rPr>
                <w:rFonts w:ascii="Arial" w:eastAsia="Times New Roman" w:hAnsi="Arial" w:cs="Arial"/>
                <w:color w:val="000000"/>
                <w:sz w:val="24"/>
                <w:szCs w:val="24"/>
                <w:lang w:val="en-US"/>
              </w:rPr>
              <w:t>Corbett JA, interpreting r</w:t>
            </w:r>
            <w:r w:rsidR="00121BA9" w:rsidRPr="00121BA9">
              <w:rPr>
                <w:rFonts w:ascii="Arial" w:eastAsia="Times New Roman" w:hAnsi="Arial" w:cs="Arial"/>
                <w:color w:val="000000"/>
                <w:sz w:val="24"/>
                <w:szCs w:val="24"/>
                <w:lang w:val="en-US"/>
              </w:rPr>
              <w:t>ule 32(5) which is the forerunner of our current</w:t>
            </w:r>
            <w:r w:rsidR="00121BA9">
              <w:rPr>
                <w:rFonts w:ascii="Arial" w:eastAsia="Times New Roman" w:hAnsi="Arial" w:cs="Arial"/>
                <w:color w:val="000000"/>
                <w:sz w:val="24"/>
                <w:szCs w:val="24"/>
                <w:lang w:val="en-US"/>
              </w:rPr>
              <w:t xml:space="preserve"> rule 60(5) said the following:</w:t>
            </w:r>
          </w:p>
          <w:p w:rsidR="00760771" w:rsidRPr="00121BA9" w:rsidRDefault="00760771" w:rsidP="00760771">
            <w:pPr>
              <w:spacing w:line="360" w:lineRule="auto"/>
              <w:contextualSpacing/>
              <w:jc w:val="both"/>
              <w:rPr>
                <w:rFonts w:ascii="Arial" w:hAnsi="Arial" w:cs="Arial"/>
                <w:sz w:val="24"/>
                <w:szCs w:val="24"/>
                <w:u w:val="single"/>
              </w:rPr>
            </w:pPr>
          </w:p>
          <w:p w:rsidR="00760771" w:rsidRDefault="00121BA9" w:rsidP="00447988">
            <w:pPr>
              <w:spacing w:line="360" w:lineRule="auto"/>
              <w:contextualSpacing/>
              <w:jc w:val="both"/>
              <w:rPr>
                <w:rFonts w:ascii="Arial" w:eastAsia="Times New Roman" w:hAnsi="Arial" w:cs="Arial"/>
                <w:color w:val="000000"/>
                <w:lang w:val="en-US"/>
              </w:rPr>
            </w:pPr>
            <w:r w:rsidRPr="002C471A">
              <w:rPr>
                <w:rFonts w:ascii="Arial" w:eastAsia="Times New Roman" w:hAnsi="Arial" w:cs="Arial"/>
                <w:color w:val="000000"/>
                <w:lang w:val="en-US"/>
              </w:rPr>
              <w:tab/>
              <w:t xml:space="preserve">‘… </w:t>
            </w:r>
            <w:proofErr w:type="gramStart"/>
            <w:r w:rsidRPr="002C471A">
              <w:rPr>
                <w:rFonts w:ascii="Arial" w:eastAsia="Times New Roman" w:hAnsi="Arial" w:cs="Arial"/>
                <w:color w:val="000000"/>
                <w:lang w:val="en-US"/>
              </w:rPr>
              <w:t>one</w:t>
            </w:r>
            <w:proofErr w:type="gramEnd"/>
            <w:r w:rsidRPr="002C471A">
              <w:rPr>
                <w:rFonts w:ascii="Arial" w:eastAsia="Times New Roman" w:hAnsi="Arial" w:cs="Arial"/>
                <w:color w:val="000000"/>
                <w:lang w:val="en-US"/>
              </w:rPr>
              <w:t xml:space="preserve"> of the ways in which a defendant may successfully oppose a claim for summary judgment is by satisfying the court by affidavit that he has a bona fide </w:t>
            </w:r>
            <w:proofErr w:type="spellStart"/>
            <w:r w:rsidRPr="002C471A">
              <w:rPr>
                <w:rFonts w:ascii="Arial" w:eastAsia="Times New Roman" w:hAnsi="Arial" w:cs="Arial"/>
                <w:color w:val="000000"/>
                <w:lang w:val="en-US"/>
              </w:rPr>
              <w:t>defence</w:t>
            </w:r>
            <w:proofErr w:type="spellEnd"/>
            <w:r w:rsidRPr="002C471A">
              <w:rPr>
                <w:rFonts w:ascii="Arial" w:eastAsia="Times New Roman" w:hAnsi="Arial" w:cs="Arial"/>
                <w:color w:val="000000"/>
                <w:lang w:val="en-US"/>
              </w:rPr>
              <w:t xml:space="preserve"> to the claim. Where the </w:t>
            </w:r>
            <w:proofErr w:type="spellStart"/>
            <w:r w:rsidRPr="002C471A">
              <w:rPr>
                <w:rFonts w:ascii="Arial" w:eastAsia="Times New Roman" w:hAnsi="Arial" w:cs="Arial"/>
                <w:color w:val="000000"/>
                <w:lang w:val="en-US"/>
              </w:rPr>
              <w:t>defence</w:t>
            </w:r>
            <w:proofErr w:type="spellEnd"/>
            <w:r w:rsidRPr="002C471A">
              <w:rPr>
                <w:rFonts w:ascii="Arial" w:eastAsia="Times New Roman" w:hAnsi="Arial" w:cs="Arial"/>
                <w:color w:val="000000"/>
                <w:lang w:val="en-US"/>
              </w:rPr>
              <w:t xml:space="preserve"> is based upon facts, in the sense that material facts alleged by the plaintiff in his summons, or combined summons, are disputed or new facts are alleged constituting a </w:t>
            </w:r>
            <w:proofErr w:type="spellStart"/>
            <w:r w:rsidRPr="002C471A">
              <w:rPr>
                <w:rFonts w:ascii="Arial" w:eastAsia="Times New Roman" w:hAnsi="Arial" w:cs="Arial"/>
                <w:color w:val="000000"/>
                <w:lang w:val="en-US"/>
              </w:rPr>
              <w:t>defence</w:t>
            </w:r>
            <w:proofErr w:type="spellEnd"/>
            <w:r w:rsidRPr="002C471A">
              <w:rPr>
                <w:rFonts w:ascii="Arial" w:eastAsia="Times New Roman" w:hAnsi="Arial" w:cs="Arial"/>
                <w:color w:val="000000"/>
                <w:lang w:val="en-US"/>
              </w:rPr>
              <w:t xml:space="preserve">, the court does not attempt to decide these issues or to determine whether or not there is a balance of probabilities in favour of the one party or the other. All that the court enquires into is: (a) whether the defendant has “fully” disclosed the nature and grounds of his </w:t>
            </w:r>
            <w:proofErr w:type="spellStart"/>
            <w:r w:rsidRPr="002C471A">
              <w:rPr>
                <w:rFonts w:ascii="Arial" w:eastAsia="Times New Roman" w:hAnsi="Arial" w:cs="Arial"/>
                <w:color w:val="000000"/>
                <w:lang w:val="en-US"/>
              </w:rPr>
              <w:t>defence</w:t>
            </w:r>
            <w:proofErr w:type="spellEnd"/>
            <w:r w:rsidRPr="002C471A">
              <w:rPr>
                <w:rFonts w:ascii="Arial" w:eastAsia="Times New Roman" w:hAnsi="Arial" w:cs="Arial"/>
                <w:color w:val="000000"/>
                <w:lang w:val="en-US"/>
              </w:rPr>
              <w:t xml:space="preserve"> and the material facts upon which it is founded, and (b) whether on the facts so disclosed the defendant appears to have, as to either the whole or part of the claim, a </w:t>
            </w:r>
            <w:proofErr w:type="spellStart"/>
            <w:r w:rsidRPr="002C471A">
              <w:rPr>
                <w:rFonts w:ascii="Arial" w:eastAsia="Times New Roman" w:hAnsi="Arial" w:cs="Arial"/>
                <w:color w:val="000000"/>
                <w:lang w:val="en-US"/>
              </w:rPr>
              <w:t>defence</w:t>
            </w:r>
            <w:proofErr w:type="spellEnd"/>
            <w:r w:rsidRPr="002C471A">
              <w:rPr>
                <w:rFonts w:ascii="Arial" w:eastAsia="Times New Roman" w:hAnsi="Arial" w:cs="Arial"/>
                <w:color w:val="000000"/>
                <w:lang w:val="en-US"/>
              </w:rPr>
              <w:t xml:space="preserve"> which is both bona fide and good in law. If satisfied on these matters the court must refuse summary judgment, either wholly or in part, as the case may be.’</w:t>
            </w:r>
          </w:p>
          <w:p w:rsidR="00447988" w:rsidRPr="00760771" w:rsidRDefault="00447988" w:rsidP="00447988">
            <w:pPr>
              <w:spacing w:line="360" w:lineRule="auto"/>
              <w:contextualSpacing/>
              <w:jc w:val="both"/>
              <w:rPr>
                <w:rFonts w:ascii="Arial" w:eastAsia="Times New Roman" w:hAnsi="Arial" w:cs="Arial"/>
                <w:color w:val="000000"/>
                <w:lang w:val="en-US"/>
              </w:rPr>
            </w:pPr>
          </w:p>
          <w:p w:rsidR="00121BA9" w:rsidRDefault="00121BA9" w:rsidP="00447988">
            <w:pPr>
              <w:spacing w:line="360" w:lineRule="auto"/>
              <w:contextualSpacing/>
              <w:jc w:val="both"/>
              <w:rPr>
                <w:rFonts w:ascii="Arial" w:eastAsia="Times New Roman" w:hAnsi="Arial" w:cs="Arial"/>
                <w:color w:val="000000"/>
                <w:lang w:val="en-US"/>
              </w:rPr>
            </w:pPr>
            <w:r w:rsidRPr="00760771">
              <w:rPr>
                <w:rFonts w:ascii="Arial" w:eastAsia="Times New Roman" w:hAnsi="Arial" w:cs="Arial"/>
                <w:color w:val="000000"/>
                <w:lang w:val="en-US"/>
              </w:rPr>
              <w:t>The learned judge continued and said:</w:t>
            </w:r>
          </w:p>
          <w:p w:rsidR="00447988" w:rsidRPr="00760771" w:rsidRDefault="00447988" w:rsidP="00447988">
            <w:pPr>
              <w:spacing w:line="360" w:lineRule="auto"/>
              <w:contextualSpacing/>
              <w:jc w:val="both"/>
              <w:rPr>
                <w:rFonts w:ascii="Arial" w:eastAsia="Times New Roman" w:hAnsi="Arial" w:cs="Arial"/>
                <w:color w:val="000000"/>
                <w:lang w:val="en-US"/>
              </w:rPr>
            </w:pPr>
          </w:p>
          <w:p w:rsidR="0083108B" w:rsidRDefault="00121BA9" w:rsidP="00447988">
            <w:pPr>
              <w:spacing w:line="360" w:lineRule="auto"/>
              <w:contextualSpacing/>
              <w:jc w:val="both"/>
              <w:rPr>
                <w:rFonts w:ascii="Arial" w:eastAsia="Times New Roman" w:hAnsi="Arial" w:cs="Arial"/>
                <w:color w:val="000000"/>
                <w:lang w:val="en-US"/>
              </w:rPr>
            </w:pPr>
            <w:r w:rsidRPr="002C471A">
              <w:rPr>
                <w:rFonts w:ascii="Arial" w:eastAsia="Times New Roman" w:hAnsi="Arial" w:cs="Arial"/>
                <w:color w:val="000000"/>
                <w:lang w:val="en-US"/>
              </w:rPr>
              <w:tab/>
              <w:t xml:space="preserve">‘The word “fully”, as used in the context of the Rule (and its predecessors), has been the cause of some judicial controversy in the past. It connotes, in my view, that, while the defendant need not deal exhaustively with the facts and the evidence relied upon to substantiate them, he must at least disclose his </w:t>
            </w:r>
            <w:proofErr w:type="spellStart"/>
            <w:r w:rsidRPr="002C471A">
              <w:rPr>
                <w:rFonts w:ascii="Arial" w:eastAsia="Times New Roman" w:hAnsi="Arial" w:cs="Arial"/>
                <w:color w:val="000000"/>
                <w:lang w:val="en-US"/>
              </w:rPr>
              <w:t>defence</w:t>
            </w:r>
            <w:proofErr w:type="spellEnd"/>
            <w:r w:rsidRPr="002C471A">
              <w:rPr>
                <w:rFonts w:ascii="Arial" w:eastAsia="Times New Roman" w:hAnsi="Arial" w:cs="Arial"/>
                <w:color w:val="000000"/>
                <w:lang w:val="en-US"/>
              </w:rPr>
              <w:t xml:space="preserve"> and the material facts upon which it is based with sufficient particularity and completeness to enable the court to decide whether the affidavit discloses a bona fide </w:t>
            </w:r>
            <w:proofErr w:type="spellStart"/>
            <w:r w:rsidRPr="002C471A">
              <w:rPr>
                <w:rFonts w:ascii="Arial" w:eastAsia="Times New Roman" w:hAnsi="Arial" w:cs="Arial"/>
                <w:color w:val="000000"/>
                <w:lang w:val="en-US"/>
              </w:rPr>
              <w:t>defence</w:t>
            </w:r>
            <w:proofErr w:type="spellEnd"/>
            <w:r w:rsidRPr="002C471A">
              <w:rPr>
                <w:rFonts w:ascii="Arial" w:eastAsia="Times New Roman" w:hAnsi="Arial" w:cs="Arial"/>
                <w:color w:val="000000"/>
                <w:lang w:val="en-US"/>
              </w:rPr>
              <w:t xml:space="preserve">. (See generally, Herb Dyers (Pty) Ltd v Mohamed and Another, 1965 (1) SA 31 (T); Caltex Oil (SA) Ltd v Webb and Another, 1965 (2) SA 914 (N); </w:t>
            </w:r>
            <w:proofErr w:type="spellStart"/>
            <w:r w:rsidRPr="002C471A">
              <w:rPr>
                <w:rFonts w:ascii="Arial" w:eastAsia="Times New Roman" w:hAnsi="Arial" w:cs="Arial"/>
                <w:color w:val="000000"/>
                <w:lang w:val="en-US"/>
              </w:rPr>
              <w:t>Arend</w:t>
            </w:r>
            <w:proofErr w:type="spellEnd"/>
            <w:r w:rsidRPr="002C471A">
              <w:rPr>
                <w:rFonts w:ascii="Arial" w:eastAsia="Times New Roman" w:hAnsi="Arial" w:cs="Arial"/>
                <w:color w:val="000000"/>
                <w:lang w:val="en-US"/>
              </w:rPr>
              <w:t xml:space="preserve"> and Another v Astra Furnishers (Pty) Ltd., supra at pp. 303-4; Shepstone v Shepstone, 1974 (2) SA 462 (N)…’</w:t>
            </w:r>
          </w:p>
          <w:p w:rsidR="00BB7A91" w:rsidRPr="002C471A" w:rsidRDefault="00BB7A91" w:rsidP="00121BA9">
            <w:pPr>
              <w:spacing w:line="360" w:lineRule="auto"/>
              <w:contextualSpacing/>
              <w:jc w:val="both"/>
              <w:rPr>
                <w:rFonts w:ascii="Arial" w:hAnsi="Arial" w:cs="Arial"/>
                <w:u w:val="single"/>
              </w:rPr>
            </w:pPr>
          </w:p>
          <w:p w:rsidR="00773A20" w:rsidRPr="007F1DAD" w:rsidRDefault="00773A20" w:rsidP="00773A20">
            <w:pPr>
              <w:numPr>
                <w:ilvl w:val="0"/>
                <w:numId w:val="6"/>
              </w:numPr>
              <w:spacing w:line="360" w:lineRule="auto"/>
              <w:ind w:left="0" w:firstLine="0"/>
              <w:contextualSpacing/>
              <w:jc w:val="both"/>
              <w:rPr>
                <w:rFonts w:ascii="Arial" w:hAnsi="Arial" w:cs="Arial"/>
                <w:sz w:val="24"/>
                <w:szCs w:val="24"/>
              </w:rPr>
            </w:pPr>
            <w:r>
              <w:rPr>
                <w:rFonts w:ascii="Arial" w:hAnsi="Arial" w:cs="Arial"/>
                <w:sz w:val="24"/>
                <w:szCs w:val="24"/>
                <w:lang w:val="en-US"/>
              </w:rPr>
              <w:lastRenderedPageBreak/>
              <w:t xml:space="preserve">In </w:t>
            </w:r>
            <w:r w:rsidR="00BB7A91" w:rsidRPr="00BB7A91">
              <w:rPr>
                <w:rFonts w:ascii="Arial" w:hAnsi="Arial" w:cs="Arial"/>
                <w:i/>
                <w:sz w:val="24"/>
                <w:szCs w:val="24"/>
                <w:lang w:val="en-US"/>
              </w:rPr>
              <w:t xml:space="preserve">Right – Path Investment (Pty) Ltd </w:t>
            </w:r>
            <w:r w:rsidR="00BB7A91">
              <w:rPr>
                <w:rFonts w:ascii="Arial" w:hAnsi="Arial" w:cs="Arial"/>
                <w:i/>
                <w:sz w:val="24"/>
                <w:szCs w:val="24"/>
                <w:lang w:val="en-US"/>
              </w:rPr>
              <w:t xml:space="preserve">v </w:t>
            </w:r>
            <w:proofErr w:type="spellStart"/>
            <w:r w:rsidR="00BB7A91">
              <w:rPr>
                <w:rFonts w:ascii="Arial" w:hAnsi="Arial" w:cs="Arial"/>
                <w:i/>
                <w:sz w:val="24"/>
                <w:szCs w:val="24"/>
                <w:lang w:val="en-US"/>
              </w:rPr>
              <w:t>Hebei</w:t>
            </w:r>
            <w:proofErr w:type="spellEnd"/>
            <w:r w:rsidR="00BB7A91">
              <w:rPr>
                <w:rFonts w:ascii="Arial" w:hAnsi="Arial" w:cs="Arial"/>
                <w:i/>
                <w:sz w:val="24"/>
                <w:szCs w:val="24"/>
                <w:lang w:val="en-US"/>
              </w:rPr>
              <w:t xml:space="preserve"> </w:t>
            </w:r>
            <w:proofErr w:type="spellStart"/>
            <w:r w:rsidR="00BB7A91">
              <w:rPr>
                <w:rFonts w:ascii="Arial" w:hAnsi="Arial" w:cs="Arial"/>
                <w:i/>
                <w:sz w:val="24"/>
                <w:szCs w:val="24"/>
                <w:lang w:val="en-US"/>
              </w:rPr>
              <w:t>Xinjian</w:t>
            </w:r>
            <w:proofErr w:type="spellEnd"/>
            <w:r w:rsidR="00BB7A91">
              <w:rPr>
                <w:rFonts w:ascii="Arial" w:hAnsi="Arial" w:cs="Arial"/>
                <w:i/>
                <w:sz w:val="24"/>
                <w:szCs w:val="24"/>
                <w:lang w:val="en-US"/>
              </w:rPr>
              <w:t xml:space="preserve"> Construction CC</w:t>
            </w:r>
            <w:r w:rsidR="009E0CFE">
              <w:rPr>
                <w:rStyle w:val="FootnoteReference"/>
                <w:rFonts w:ascii="Arial" w:hAnsi="Arial" w:cs="Arial"/>
                <w:i/>
                <w:sz w:val="24"/>
                <w:szCs w:val="24"/>
                <w:lang w:val="en-US"/>
              </w:rPr>
              <w:footnoteReference w:id="2"/>
            </w:r>
            <w:r w:rsidR="00BB7A91">
              <w:rPr>
                <w:rFonts w:ascii="Arial" w:hAnsi="Arial" w:cs="Arial"/>
                <w:i/>
                <w:sz w:val="24"/>
                <w:szCs w:val="24"/>
                <w:lang w:val="en-US"/>
              </w:rPr>
              <w:t xml:space="preserve"> </w:t>
            </w:r>
            <w:r w:rsidR="007F1DAD">
              <w:rPr>
                <w:rFonts w:ascii="Arial" w:hAnsi="Arial" w:cs="Arial"/>
                <w:sz w:val="24"/>
                <w:szCs w:val="24"/>
                <w:lang w:val="en-US"/>
              </w:rPr>
              <w:t xml:space="preserve">Justice </w:t>
            </w:r>
            <w:proofErr w:type="spellStart"/>
            <w:r w:rsidR="007F1DAD">
              <w:rPr>
                <w:rFonts w:ascii="Arial" w:hAnsi="Arial" w:cs="Arial"/>
                <w:sz w:val="24"/>
                <w:szCs w:val="24"/>
                <w:lang w:val="en-US"/>
              </w:rPr>
              <w:t>U</w:t>
            </w:r>
            <w:r w:rsidR="00BB7A91" w:rsidRPr="00BB7A91">
              <w:rPr>
                <w:rFonts w:ascii="Arial" w:hAnsi="Arial" w:cs="Arial"/>
                <w:sz w:val="24"/>
                <w:szCs w:val="24"/>
                <w:lang w:val="en-US"/>
              </w:rPr>
              <w:t>e</w:t>
            </w:r>
            <w:r w:rsidR="007F1DAD">
              <w:rPr>
                <w:rFonts w:ascii="Arial" w:hAnsi="Arial" w:cs="Arial"/>
                <w:sz w:val="24"/>
                <w:szCs w:val="24"/>
                <w:lang w:val="en-US"/>
              </w:rPr>
              <w:t>i</w:t>
            </w:r>
            <w:r w:rsidR="00BB7A91" w:rsidRPr="00BB7A91">
              <w:rPr>
                <w:rFonts w:ascii="Arial" w:hAnsi="Arial" w:cs="Arial"/>
                <w:sz w:val="24"/>
                <w:szCs w:val="24"/>
                <w:lang w:val="en-US"/>
              </w:rPr>
              <w:t>tele</w:t>
            </w:r>
            <w:proofErr w:type="spellEnd"/>
            <w:r w:rsidR="00BB7A91" w:rsidRPr="00BB7A91">
              <w:rPr>
                <w:rFonts w:ascii="Arial" w:hAnsi="Arial" w:cs="Arial"/>
                <w:sz w:val="24"/>
                <w:szCs w:val="24"/>
                <w:lang w:val="en-US"/>
              </w:rPr>
              <w:t xml:space="preserve"> stated</w:t>
            </w:r>
            <w:r>
              <w:rPr>
                <w:rFonts w:ascii="Arial" w:hAnsi="Arial" w:cs="Arial"/>
                <w:sz w:val="24"/>
                <w:szCs w:val="24"/>
                <w:lang w:val="en-US"/>
              </w:rPr>
              <w:t xml:space="preserve"> the following:</w:t>
            </w:r>
          </w:p>
          <w:p w:rsidR="007F1DAD" w:rsidRPr="00773A20" w:rsidRDefault="007F1DAD" w:rsidP="007F1DAD">
            <w:pPr>
              <w:spacing w:line="360" w:lineRule="auto"/>
              <w:contextualSpacing/>
              <w:jc w:val="both"/>
              <w:rPr>
                <w:rFonts w:ascii="Arial" w:hAnsi="Arial" w:cs="Arial"/>
                <w:sz w:val="24"/>
                <w:szCs w:val="24"/>
              </w:rPr>
            </w:pPr>
          </w:p>
          <w:p w:rsidR="00121BA9" w:rsidRPr="00773A20" w:rsidRDefault="00773A20" w:rsidP="00773A20">
            <w:pPr>
              <w:spacing w:line="360" w:lineRule="auto"/>
              <w:contextualSpacing/>
              <w:jc w:val="both"/>
              <w:rPr>
                <w:rFonts w:ascii="Arial" w:hAnsi="Arial" w:cs="Arial"/>
              </w:rPr>
            </w:pPr>
            <w:r>
              <w:rPr>
                <w:rFonts w:ascii="Arial" w:hAnsi="Arial" w:cs="Arial"/>
                <w:i/>
                <w:sz w:val="24"/>
                <w:szCs w:val="24"/>
                <w:lang w:val="en-US"/>
              </w:rPr>
              <w:tab/>
            </w:r>
            <w:r w:rsidRPr="00773A20">
              <w:rPr>
                <w:rFonts w:ascii="Arial" w:hAnsi="Arial" w:cs="Arial"/>
                <w:lang w:val="en-US"/>
              </w:rPr>
              <w:t>‘</w:t>
            </w:r>
            <w:r w:rsidR="00BB7A91" w:rsidRPr="00773A20">
              <w:rPr>
                <w:rFonts w:ascii="Arial" w:hAnsi="Arial" w:cs="Arial"/>
                <w:lang w:val="en-US"/>
              </w:rPr>
              <w:t xml:space="preserve">Where the statements of fact are ambiguous or fail to canvass matters essential to the </w:t>
            </w:r>
            <w:proofErr w:type="spellStart"/>
            <w:r w:rsidR="00BB7A91" w:rsidRPr="00773A20">
              <w:rPr>
                <w:rFonts w:ascii="Arial" w:hAnsi="Arial" w:cs="Arial"/>
                <w:lang w:val="en-US"/>
              </w:rPr>
              <w:t>defence</w:t>
            </w:r>
            <w:proofErr w:type="spellEnd"/>
            <w:r w:rsidR="00BB7A91" w:rsidRPr="00773A20">
              <w:rPr>
                <w:rFonts w:ascii="Arial" w:hAnsi="Arial" w:cs="Arial"/>
                <w:lang w:val="en-US"/>
              </w:rPr>
              <w:t xml:space="preserve"> raised, then the affidavit</w:t>
            </w:r>
            <w:r w:rsidRPr="00773A20">
              <w:rPr>
                <w:rFonts w:ascii="Arial" w:hAnsi="Arial" w:cs="Arial"/>
                <w:lang w:val="en-US"/>
              </w:rPr>
              <w:t xml:space="preserve"> does not comply with the rule.’</w:t>
            </w:r>
          </w:p>
          <w:p w:rsidR="00FB72BB" w:rsidRPr="00FB72BB" w:rsidRDefault="00FB72BB" w:rsidP="00FB72BB">
            <w:pPr>
              <w:spacing w:line="360" w:lineRule="auto"/>
              <w:contextualSpacing/>
              <w:jc w:val="both"/>
              <w:rPr>
                <w:rFonts w:ascii="Arial" w:hAnsi="Arial" w:cs="Arial"/>
                <w:sz w:val="24"/>
                <w:szCs w:val="24"/>
              </w:rPr>
            </w:pPr>
          </w:p>
          <w:p w:rsidR="0033102D" w:rsidRPr="0033102D" w:rsidRDefault="00FB72BB" w:rsidP="00121BA9">
            <w:pPr>
              <w:numPr>
                <w:ilvl w:val="0"/>
                <w:numId w:val="6"/>
              </w:numPr>
              <w:spacing w:line="360" w:lineRule="auto"/>
              <w:ind w:left="0" w:firstLine="0"/>
              <w:contextualSpacing/>
              <w:jc w:val="both"/>
              <w:rPr>
                <w:rFonts w:ascii="Arial" w:hAnsi="Arial" w:cs="Arial"/>
                <w:sz w:val="24"/>
                <w:szCs w:val="24"/>
              </w:rPr>
            </w:pPr>
            <w:r w:rsidRPr="00FB72BB">
              <w:rPr>
                <w:rFonts w:ascii="Arial" w:hAnsi="Arial" w:cs="Arial"/>
                <w:sz w:val="24"/>
                <w:szCs w:val="24"/>
                <w:lang w:val="en-US"/>
              </w:rPr>
              <w:t xml:space="preserve">In </w:t>
            </w:r>
            <w:r w:rsidR="0033102D" w:rsidRPr="00773A20">
              <w:rPr>
                <w:rFonts w:ascii="Arial" w:hAnsi="Arial" w:cs="Arial"/>
                <w:i/>
                <w:sz w:val="24"/>
                <w:szCs w:val="24"/>
                <w:lang w:val="en-US"/>
              </w:rPr>
              <w:t xml:space="preserve">First National Bank of Namibia Limited v </w:t>
            </w:r>
            <w:proofErr w:type="spellStart"/>
            <w:r w:rsidR="0033102D" w:rsidRPr="00773A20">
              <w:rPr>
                <w:rFonts w:ascii="Arial" w:hAnsi="Arial" w:cs="Arial"/>
                <w:i/>
                <w:sz w:val="24"/>
                <w:szCs w:val="24"/>
                <w:lang w:val="en-US"/>
              </w:rPr>
              <w:t>Louw</w:t>
            </w:r>
            <w:proofErr w:type="spellEnd"/>
            <w:r w:rsidR="0033102D" w:rsidRPr="0033102D">
              <w:rPr>
                <w:rStyle w:val="FootnoteReference"/>
                <w:rFonts w:ascii="Arial" w:hAnsi="Arial" w:cs="Arial"/>
                <w:sz w:val="24"/>
                <w:szCs w:val="24"/>
                <w:lang w:val="en-US"/>
              </w:rPr>
              <w:footnoteReference w:id="3"/>
            </w:r>
            <w:r w:rsidR="0033102D" w:rsidRPr="0033102D">
              <w:rPr>
                <w:rFonts w:ascii="Arial" w:hAnsi="Arial" w:cs="Arial"/>
                <w:sz w:val="24"/>
                <w:szCs w:val="24"/>
                <w:lang w:val="en-US"/>
              </w:rPr>
              <w:t xml:space="preserve"> the court laid out seven golden rules of summary judgment. The following are the said rules:</w:t>
            </w:r>
            <w:r w:rsidR="0033102D" w:rsidRPr="0033102D">
              <w:rPr>
                <w:rFonts w:ascii="Arial" w:hAnsi="Arial" w:cs="Arial"/>
                <w:i/>
                <w:sz w:val="24"/>
                <w:szCs w:val="24"/>
                <w:lang w:val="en-US"/>
              </w:rPr>
              <w:t xml:space="preserve"> </w:t>
            </w:r>
          </w:p>
          <w:p w:rsidR="0033102D" w:rsidRPr="0033102D" w:rsidRDefault="0033102D" w:rsidP="0033102D">
            <w:pPr>
              <w:spacing w:line="360" w:lineRule="auto"/>
              <w:contextualSpacing/>
              <w:jc w:val="both"/>
              <w:rPr>
                <w:rFonts w:ascii="Arial" w:hAnsi="Arial" w:cs="Arial"/>
                <w:lang w:val="en-US"/>
              </w:rPr>
            </w:pPr>
          </w:p>
          <w:p w:rsidR="0033102D" w:rsidRDefault="0033102D" w:rsidP="0033102D">
            <w:pPr>
              <w:spacing w:line="360" w:lineRule="auto"/>
              <w:contextualSpacing/>
              <w:jc w:val="both"/>
              <w:rPr>
                <w:rFonts w:ascii="Arial" w:hAnsi="Arial" w:cs="Arial"/>
                <w:lang w:val="en-US"/>
              </w:rPr>
            </w:pPr>
            <w:r>
              <w:rPr>
                <w:rFonts w:ascii="Arial" w:hAnsi="Arial" w:cs="Arial"/>
                <w:lang w:val="en-US"/>
              </w:rPr>
              <w:tab/>
              <w:t>‘</w:t>
            </w:r>
            <w:r w:rsidRPr="0033102D">
              <w:rPr>
                <w:rFonts w:ascii="Arial" w:hAnsi="Arial" w:cs="Arial"/>
                <w:lang w:val="en-US"/>
              </w:rPr>
              <w:t xml:space="preserve">(a) The resolution of summary judgment does not entail the resolution of the entire action i.e., the defendant is required to set out facts which if proved at trial would constitute a </w:t>
            </w:r>
            <w:proofErr w:type="spellStart"/>
            <w:r w:rsidRPr="0033102D">
              <w:rPr>
                <w:rFonts w:ascii="Arial" w:hAnsi="Arial" w:cs="Arial"/>
                <w:lang w:val="en-US"/>
              </w:rPr>
              <w:t>defence</w:t>
            </w:r>
            <w:proofErr w:type="spellEnd"/>
            <w:r w:rsidRPr="0033102D">
              <w:rPr>
                <w:rFonts w:ascii="Arial" w:hAnsi="Arial" w:cs="Arial"/>
                <w:lang w:val="en-US"/>
              </w:rPr>
              <w:t xml:space="preserve">. The upshot of this is that the court is required to refuse summary judgment even though it might consider that the </w:t>
            </w:r>
            <w:proofErr w:type="spellStart"/>
            <w:r w:rsidRPr="0033102D">
              <w:rPr>
                <w:rFonts w:ascii="Arial" w:hAnsi="Arial" w:cs="Arial"/>
                <w:lang w:val="en-US"/>
              </w:rPr>
              <w:t>defence</w:t>
            </w:r>
            <w:proofErr w:type="spellEnd"/>
            <w:r w:rsidRPr="0033102D">
              <w:rPr>
                <w:rFonts w:ascii="Arial" w:hAnsi="Arial" w:cs="Arial"/>
                <w:lang w:val="en-US"/>
              </w:rPr>
              <w:t xml:space="preserve"> will probably fail at the trial. </w:t>
            </w:r>
          </w:p>
          <w:p w:rsidR="0033102D" w:rsidRDefault="0033102D" w:rsidP="0033102D">
            <w:pPr>
              <w:spacing w:line="360" w:lineRule="auto"/>
              <w:contextualSpacing/>
              <w:jc w:val="both"/>
              <w:rPr>
                <w:rFonts w:ascii="Arial" w:hAnsi="Arial" w:cs="Arial"/>
                <w:lang w:val="en-US"/>
              </w:rPr>
            </w:pPr>
          </w:p>
          <w:p w:rsidR="0033102D" w:rsidRDefault="0033102D" w:rsidP="0033102D">
            <w:pPr>
              <w:spacing w:line="360" w:lineRule="auto"/>
              <w:contextualSpacing/>
              <w:jc w:val="both"/>
              <w:rPr>
                <w:rFonts w:ascii="Arial" w:hAnsi="Arial" w:cs="Arial"/>
                <w:lang w:val="en-US"/>
              </w:rPr>
            </w:pPr>
            <w:r w:rsidRPr="0033102D">
              <w:rPr>
                <w:rFonts w:ascii="Arial" w:hAnsi="Arial" w:cs="Arial"/>
                <w:lang w:val="en-US"/>
              </w:rPr>
              <w:t xml:space="preserve">(b) The adjudication of summary judgment does not include a decision on factual disputes. This means that the court should decide the matter from the assumption or premise that the defendant’s allegations are correct. For that reason, summary judgment must be refused if the defendant discloses facts which, </w:t>
            </w:r>
            <w:proofErr w:type="gramStart"/>
            <w:r w:rsidRPr="0033102D">
              <w:rPr>
                <w:rFonts w:ascii="Arial" w:hAnsi="Arial" w:cs="Arial"/>
                <w:lang w:val="en-US"/>
              </w:rPr>
              <w:t>excepting</w:t>
            </w:r>
            <w:proofErr w:type="gramEnd"/>
            <w:r w:rsidRPr="0033102D">
              <w:rPr>
                <w:rFonts w:ascii="Arial" w:hAnsi="Arial" w:cs="Arial"/>
                <w:lang w:val="en-US"/>
              </w:rPr>
              <w:t xml:space="preserve"> the truth thereof, or if proved at trial, will constitute a </w:t>
            </w:r>
            <w:proofErr w:type="spellStart"/>
            <w:r w:rsidRPr="0033102D">
              <w:rPr>
                <w:rFonts w:ascii="Arial" w:hAnsi="Arial" w:cs="Arial"/>
                <w:lang w:val="en-US"/>
              </w:rPr>
              <w:t>defence</w:t>
            </w:r>
            <w:proofErr w:type="spellEnd"/>
            <w:r w:rsidRPr="0033102D">
              <w:rPr>
                <w:rFonts w:ascii="Arial" w:hAnsi="Arial" w:cs="Arial"/>
                <w:lang w:val="en-US"/>
              </w:rPr>
              <w:t xml:space="preserve">. </w:t>
            </w:r>
          </w:p>
          <w:p w:rsidR="0033102D" w:rsidRDefault="0033102D" w:rsidP="0033102D">
            <w:pPr>
              <w:spacing w:line="360" w:lineRule="auto"/>
              <w:contextualSpacing/>
              <w:jc w:val="both"/>
              <w:rPr>
                <w:rFonts w:ascii="Arial" w:hAnsi="Arial" w:cs="Arial"/>
                <w:lang w:val="en-US"/>
              </w:rPr>
            </w:pPr>
          </w:p>
          <w:p w:rsidR="0033102D" w:rsidRDefault="0033102D" w:rsidP="0033102D">
            <w:pPr>
              <w:spacing w:line="360" w:lineRule="auto"/>
              <w:contextualSpacing/>
              <w:jc w:val="both"/>
              <w:rPr>
                <w:rFonts w:ascii="Arial" w:hAnsi="Arial" w:cs="Arial"/>
                <w:lang w:val="en-US"/>
              </w:rPr>
            </w:pPr>
            <w:r w:rsidRPr="0033102D">
              <w:rPr>
                <w:rFonts w:ascii="Arial" w:hAnsi="Arial" w:cs="Arial"/>
                <w:lang w:val="en-US"/>
              </w:rPr>
              <w:t xml:space="preserve">(c) Because summary judgment is an extraordinary remedy, it should be granted only where there is no doubt that the plaintiff has an unanswerable case. </w:t>
            </w:r>
          </w:p>
          <w:p w:rsidR="0033102D" w:rsidRDefault="0033102D" w:rsidP="0033102D">
            <w:pPr>
              <w:spacing w:line="360" w:lineRule="auto"/>
              <w:contextualSpacing/>
              <w:jc w:val="both"/>
              <w:rPr>
                <w:rFonts w:ascii="Arial" w:hAnsi="Arial" w:cs="Arial"/>
                <w:lang w:val="en-US"/>
              </w:rPr>
            </w:pPr>
          </w:p>
          <w:p w:rsidR="0033102D" w:rsidRDefault="0033102D" w:rsidP="0033102D">
            <w:pPr>
              <w:spacing w:line="360" w:lineRule="auto"/>
              <w:contextualSpacing/>
              <w:jc w:val="both"/>
              <w:rPr>
                <w:rFonts w:ascii="Arial" w:hAnsi="Arial" w:cs="Arial"/>
                <w:lang w:val="en-US"/>
              </w:rPr>
            </w:pPr>
            <w:r w:rsidRPr="0033102D">
              <w:rPr>
                <w:rFonts w:ascii="Arial" w:hAnsi="Arial" w:cs="Arial"/>
                <w:lang w:val="en-US"/>
              </w:rPr>
              <w:t xml:space="preserve">(d) In determining summary judgment, the court is restricted to the manner in which the plaintiff has presented its case. In this regard, the court must insist on a strict compliance by the plaintiff and technically incorrect papers should see the application being refused. </w:t>
            </w:r>
          </w:p>
          <w:p w:rsidR="0033102D" w:rsidRDefault="0033102D" w:rsidP="0033102D">
            <w:pPr>
              <w:spacing w:line="360" w:lineRule="auto"/>
              <w:contextualSpacing/>
              <w:jc w:val="both"/>
              <w:rPr>
                <w:rFonts w:ascii="Arial" w:hAnsi="Arial" w:cs="Arial"/>
                <w:lang w:val="en-US"/>
              </w:rPr>
            </w:pPr>
          </w:p>
          <w:p w:rsidR="0033102D" w:rsidRDefault="0033102D" w:rsidP="0033102D">
            <w:pPr>
              <w:spacing w:line="360" w:lineRule="auto"/>
              <w:contextualSpacing/>
              <w:jc w:val="both"/>
              <w:rPr>
                <w:rFonts w:ascii="Arial" w:hAnsi="Arial" w:cs="Arial"/>
                <w:lang w:val="en-US"/>
              </w:rPr>
            </w:pPr>
            <w:r w:rsidRPr="0033102D">
              <w:rPr>
                <w:rFonts w:ascii="Arial" w:hAnsi="Arial" w:cs="Arial"/>
                <w:lang w:val="en-US"/>
              </w:rPr>
              <w:t xml:space="preserve">(e) The court is not bound by the manner in which the defendant presents its case. This is to mean that if the defendant files an opposing affidavit that discloses a </w:t>
            </w:r>
            <w:proofErr w:type="spellStart"/>
            <w:r w:rsidRPr="0033102D">
              <w:rPr>
                <w:rFonts w:ascii="Arial" w:hAnsi="Arial" w:cs="Arial"/>
                <w:lang w:val="en-US"/>
              </w:rPr>
              <w:t>triable</w:t>
            </w:r>
            <w:proofErr w:type="spellEnd"/>
            <w:r w:rsidRPr="0033102D">
              <w:rPr>
                <w:rFonts w:ascii="Arial" w:hAnsi="Arial" w:cs="Arial"/>
                <w:lang w:val="en-US"/>
              </w:rPr>
              <w:t xml:space="preserve"> issue, the defendant should, on that account, be granted leave to defend the action. </w:t>
            </w:r>
          </w:p>
          <w:p w:rsidR="0033102D" w:rsidRDefault="0033102D" w:rsidP="0033102D">
            <w:pPr>
              <w:spacing w:line="360" w:lineRule="auto"/>
              <w:contextualSpacing/>
              <w:jc w:val="both"/>
              <w:rPr>
                <w:rFonts w:ascii="Arial" w:hAnsi="Arial" w:cs="Arial"/>
                <w:lang w:val="en-US"/>
              </w:rPr>
            </w:pPr>
          </w:p>
          <w:p w:rsidR="0033102D" w:rsidRDefault="0033102D" w:rsidP="0033102D">
            <w:pPr>
              <w:spacing w:line="360" w:lineRule="auto"/>
              <w:contextualSpacing/>
              <w:jc w:val="both"/>
              <w:rPr>
                <w:rFonts w:ascii="Arial" w:hAnsi="Arial" w:cs="Arial"/>
                <w:lang w:val="en-US"/>
              </w:rPr>
            </w:pPr>
            <w:r w:rsidRPr="0033102D">
              <w:rPr>
                <w:rFonts w:ascii="Arial" w:hAnsi="Arial" w:cs="Arial"/>
                <w:lang w:val="en-US"/>
              </w:rPr>
              <w:lastRenderedPageBreak/>
              <w:t xml:space="preserve">(f) It is permissible for the defendant to attack the validity of the application for summary judgment on any proper ground. This may include raising an argument about the </w:t>
            </w:r>
            <w:proofErr w:type="spellStart"/>
            <w:r w:rsidRPr="0033102D">
              <w:rPr>
                <w:rFonts w:ascii="Arial" w:hAnsi="Arial" w:cs="Arial"/>
                <w:lang w:val="en-US"/>
              </w:rPr>
              <w:t>excepiability</w:t>
            </w:r>
            <w:proofErr w:type="spellEnd"/>
            <w:r w:rsidRPr="0033102D">
              <w:rPr>
                <w:rFonts w:ascii="Arial" w:hAnsi="Arial" w:cs="Arial"/>
                <w:lang w:val="en-US"/>
              </w:rPr>
              <w:t xml:space="preserve"> or irregularity of the particulars of claim or even the admissibility of the evidence tendered in the affidavit in support of summary judgment, without having to record same in the affidavit. </w:t>
            </w:r>
          </w:p>
          <w:p w:rsidR="0033102D" w:rsidRDefault="0033102D" w:rsidP="0033102D">
            <w:pPr>
              <w:spacing w:line="360" w:lineRule="auto"/>
              <w:contextualSpacing/>
              <w:jc w:val="both"/>
              <w:rPr>
                <w:rFonts w:ascii="Arial" w:hAnsi="Arial" w:cs="Arial"/>
                <w:lang w:val="en-US"/>
              </w:rPr>
            </w:pPr>
          </w:p>
          <w:p w:rsidR="00FB72BB" w:rsidRPr="0033102D" w:rsidRDefault="0033102D" w:rsidP="0033102D">
            <w:pPr>
              <w:spacing w:line="360" w:lineRule="auto"/>
              <w:contextualSpacing/>
              <w:jc w:val="both"/>
              <w:rPr>
                <w:rFonts w:ascii="Arial" w:hAnsi="Arial" w:cs="Arial"/>
              </w:rPr>
            </w:pPr>
            <w:r w:rsidRPr="0033102D">
              <w:rPr>
                <w:rFonts w:ascii="Arial" w:hAnsi="Arial" w:cs="Arial"/>
                <w:lang w:val="en-US"/>
              </w:rPr>
              <w:t>(g) Summary judgment must be refused in the face of any doubt arising as to whether or not to grant it. The basis for this rule is that an erroneous finding to enter summary judgment is heralds more debilitating consequences for a defendant than a plainti</w:t>
            </w:r>
            <w:r w:rsidR="009A7E75">
              <w:rPr>
                <w:rFonts w:ascii="Arial" w:hAnsi="Arial" w:cs="Arial"/>
                <w:lang w:val="en-US"/>
              </w:rPr>
              <w:t xml:space="preserve">ff. This is because any error </w:t>
            </w:r>
            <w:r w:rsidRPr="0033102D">
              <w:rPr>
                <w:rFonts w:ascii="Arial" w:hAnsi="Arial" w:cs="Arial"/>
                <w:lang w:val="en-US"/>
              </w:rPr>
              <w:t>committed in refusing summary judgment may be dealt with during the substantive trial. In this regard therefore, leave ought ordinarily to be granted unless the court is of the opinion that the defendant has a hopeless case.</w:t>
            </w:r>
            <w:r>
              <w:rPr>
                <w:rFonts w:ascii="Arial" w:hAnsi="Arial" w:cs="Arial"/>
                <w:lang w:val="en-US"/>
              </w:rPr>
              <w:t>’</w:t>
            </w:r>
          </w:p>
          <w:p w:rsidR="0033102D" w:rsidRDefault="0033102D" w:rsidP="0033102D">
            <w:pPr>
              <w:pStyle w:val="ListParagraph"/>
              <w:rPr>
                <w:rFonts w:ascii="Arial" w:hAnsi="Arial" w:cs="Arial"/>
                <w:sz w:val="24"/>
                <w:szCs w:val="24"/>
              </w:rPr>
            </w:pPr>
          </w:p>
          <w:p w:rsidR="00B42D53" w:rsidRPr="007F1DAD" w:rsidRDefault="00D95BB2" w:rsidP="00121BA9">
            <w:pPr>
              <w:numPr>
                <w:ilvl w:val="0"/>
                <w:numId w:val="6"/>
              </w:numPr>
              <w:spacing w:line="360" w:lineRule="auto"/>
              <w:ind w:left="0" w:firstLine="0"/>
              <w:contextualSpacing/>
              <w:jc w:val="both"/>
              <w:rPr>
                <w:rFonts w:ascii="Arial" w:hAnsi="Arial" w:cs="Arial"/>
                <w:sz w:val="24"/>
                <w:szCs w:val="24"/>
              </w:rPr>
            </w:pPr>
            <w:r w:rsidRPr="00D95BB2">
              <w:rPr>
                <w:rFonts w:ascii="Arial" w:hAnsi="Arial" w:cs="Arial"/>
                <w:sz w:val="24"/>
                <w:szCs w:val="24"/>
                <w:lang w:val="en-US"/>
              </w:rPr>
              <w:t xml:space="preserve">Van </w:t>
            </w:r>
            <w:proofErr w:type="spellStart"/>
            <w:r w:rsidRPr="00D95BB2">
              <w:rPr>
                <w:rFonts w:ascii="Arial" w:hAnsi="Arial" w:cs="Arial"/>
                <w:sz w:val="24"/>
                <w:szCs w:val="24"/>
                <w:lang w:val="en-US"/>
              </w:rPr>
              <w:t>Heerden</w:t>
            </w:r>
            <w:proofErr w:type="spellEnd"/>
            <w:r w:rsidRPr="00D95BB2">
              <w:rPr>
                <w:rFonts w:ascii="Arial" w:hAnsi="Arial" w:cs="Arial"/>
                <w:sz w:val="24"/>
                <w:szCs w:val="24"/>
                <w:lang w:val="en-US"/>
              </w:rPr>
              <w:t xml:space="preserve"> AJ</w:t>
            </w:r>
            <w:r w:rsidR="007F1DAD">
              <w:rPr>
                <w:rFonts w:ascii="Arial" w:hAnsi="Arial" w:cs="Arial"/>
                <w:sz w:val="24"/>
                <w:szCs w:val="24"/>
                <w:lang w:val="en-US"/>
              </w:rPr>
              <w:t>,</w:t>
            </w:r>
            <w:r w:rsidRPr="00D95BB2">
              <w:rPr>
                <w:rFonts w:ascii="Arial" w:hAnsi="Arial" w:cs="Arial"/>
                <w:sz w:val="24"/>
                <w:szCs w:val="24"/>
                <w:lang w:val="en-US"/>
              </w:rPr>
              <w:t xml:space="preserve"> in </w:t>
            </w:r>
            <w:r w:rsidRPr="00D95BB2">
              <w:rPr>
                <w:rFonts w:ascii="Arial" w:hAnsi="Arial" w:cs="Arial"/>
                <w:i/>
                <w:sz w:val="24"/>
                <w:szCs w:val="24"/>
                <w:lang w:val="en-US"/>
              </w:rPr>
              <w:t xml:space="preserve">Standard Bank of SA Ltd v </w:t>
            </w:r>
            <w:proofErr w:type="spellStart"/>
            <w:r w:rsidRPr="00D95BB2">
              <w:rPr>
                <w:rFonts w:ascii="Arial" w:hAnsi="Arial" w:cs="Arial"/>
                <w:i/>
                <w:sz w:val="24"/>
                <w:szCs w:val="24"/>
                <w:lang w:val="en-US"/>
              </w:rPr>
              <w:t>Secatsa</w:t>
            </w:r>
            <w:proofErr w:type="spellEnd"/>
            <w:r w:rsidRPr="00D95BB2">
              <w:rPr>
                <w:rFonts w:ascii="Arial" w:hAnsi="Arial" w:cs="Arial"/>
                <w:i/>
                <w:sz w:val="24"/>
                <w:szCs w:val="24"/>
                <w:lang w:val="en-US"/>
              </w:rPr>
              <w:t xml:space="preserve"> Investments (Pty) Ltd &amp; Others</w:t>
            </w:r>
            <w:r>
              <w:rPr>
                <w:rStyle w:val="FootnoteReference"/>
                <w:rFonts w:ascii="Arial" w:hAnsi="Arial" w:cs="Arial"/>
                <w:i/>
                <w:sz w:val="24"/>
                <w:szCs w:val="24"/>
                <w:lang w:val="en-US"/>
              </w:rPr>
              <w:footnoteReference w:id="4"/>
            </w:r>
            <w:r w:rsidRPr="00D95BB2">
              <w:rPr>
                <w:rFonts w:ascii="Arial" w:hAnsi="Arial" w:cs="Arial"/>
                <w:sz w:val="24"/>
                <w:szCs w:val="24"/>
                <w:lang w:val="en-US"/>
              </w:rPr>
              <w:t xml:space="preserve">, stated that: </w:t>
            </w:r>
          </w:p>
          <w:p w:rsidR="007F1DAD" w:rsidRPr="00B42D53" w:rsidRDefault="007F1DAD" w:rsidP="007F1DAD">
            <w:pPr>
              <w:spacing w:line="360" w:lineRule="auto"/>
              <w:contextualSpacing/>
              <w:jc w:val="both"/>
              <w:rPr>
                <w:rFonts w:ascii="Arial" w:hAnsi="Arial" w:cs="Arial"/>
                <w:sz w:val="24"/>
                <w:szCs w:val="24"/>
              </w:rPr>
            </w:pPr>
          </w:p>
          <w:p w:rsidR="0033102D" w:rsidRPr="00B42D53" w:rsidRDefault="00B42D53" w:rsidP="00B42D53">
            <w:pPr>
              <w:spacing w:line="360" w:lineRule="auto"/>
              <w:contextualSpacing/>
              <w:jc w:val="both"/>
              <w:rPr>
                <w:rFonts w:ascii="Arial" w:hAnsi="Arial" w:cs="Arial"/>
                <w:lang w:val="en-US"/>
              </w:rPr>
            </w:pPr>
            <w:r>
              <w:rPr>
                <w:rFonts w:ascii="Arial" w:hAnsi="Arial" w:cs="Arial"/>
                <w:sz w:val="24"/>
                <w:szCs w:val="24"/>
                <w:lang w:val="en-US"/>
              </w:rPr>
              <w:tab/>
            </w:r>
            <w:r w:rsidRPr="00B42D53">
              <w:rPr>
                <w:rFonts w:ascii="Arial" w:hAnsi="Arial" w:cs="Arial"/>
                <w:lang w:val="en-US"/>
              </w:rPr>
              <w:t>‘</w:t>
            </w:r>
            <w:r w:rsidR="00D95BB2" w:rsidRPr="00B42D53">
              <w:rPr>
                <w:rFonts w:ascii="Arial" w:hAnsi="Arial" w:cs="Arial"/>
                <w:lang w:val="en-US"/>
              </w:rPr>
              <w:t>Firsthand knowledge of every fact which goes to make up the plaintiff’s cause of action is not required, and that where the plaintiff is a corporate entity, the deponent may well legitimately rely on records in the company’s possession for his or her personal knowledge of at least certain of the relevant facts and his or her ability to swear positively to such facts, on reco</w:t>
            </w:r>
            <w:r w:rsidRPr="00B42D53">
              <w:rPr>
                <w:rFonts w:ascii="Arial" w:hAnsi="Arial" w:cs="Arial"/>
                <w:lang w:val="en-US"/>
              </w:rPr>
              <w:t>rd in the company’s possession.’</w:t>
            </w:r>
          </w:p>
          <w:p w:rsidR="00B42D53" w:rsidRDefault="00B42D53" w:rsidP="00B42D53">
            <w:pPr>
              <w:spacing w:line="360" w:lineRule="auto"/>
              <w:contextualSpacing/>
              <w:jc w:val="both"/>
              <w:rPr>
                <w:rFonts w:ascii="Arial" w:hAnsi="Arial" w:cs="Arial"/>
                <w:sz w:val="24"/>
                <w:szCs w:val="24"/>
              </w:rPr>
            </w:pPr>
          </w:p>
          <w:p w:rsidR="00B42D53" w:rsidRDefault="00B42D53" w:rsidP="00B42D53">
            <w:pPr>
              <w:spacing w:line="360" w:lineRule="auto"/>
              <w:contextualSpacing/>
              <w:jc w:val="both"/>
              <w:rPr>
                <w:rFonts w:ascii="Arial" w:hAnsi="Arial" w:cs="Arial"/>
                <w:sz w:val="24"/>
                <w:szCs w:val="24"/>
                <w:u w:val="single"/>
              </w:rPr>
            </w:pPr>
            <w:r w:rsidRPr="00B42D53">
              <w:rPr>
                <w:rFonts w:ascii="Arial" w:hAnsi="Arial" w:cs="Arial"/>
                <w:sz w:val="24"/>
                <w:szCs w:val="24"/>
                <w:u w:val="single"/>
              </w:rPr>
              <w:t>Discussion</w:t>
            </w:r>
          </w:p>
          <w:p w:rsidR="007F1DAD" w:rsidRPr="00B42D53" w:rsidRDefault="007F1DAD" w:rsidP="00B42D53">
            <w:pPr>
              <w:spacing w:line="360" w:lineRule="auto"/>
              <w:contextualSpacing/>
              <w:jc w:val="both"/>
              <w:rPr>
                <w:rFonts w:ascii="Arial" w:hAnsi="Arial" w:cs="Arial"/>
                <w:sz w:val="24"/>
                <w:szCs w:val="24"/>
                <w:u w:val="single"/>
              </w:rPr>
            </w:pPr>
          </w:p>
          <w:p w:rsidR="00B42D53" w:rsidRPr="00616B35" w:rsidRDefault="00B42D53" w:rsidP="00121BA9">
            <w:pPr>
              <w:numPr>
                <w:ilvl w:val="0"/>
                <w:numId w:val="6"/>
              </w:numPr>
              <w:spacing w:line="360" w:lineRule="auto"/>
              <w:ind w:left="0" w:firstLine="0"/>
              <w:contextualSpacing/>
              <w:jc w:val="both"/>
              <w:rPr>
                <w:rFonts w:ascii="Arial" w:hAnsi="Arial" w:cs="Arial"/>
                <w:sz w:val="24"/>
                <w:szCs w:val="24"/>
              </w:rPr>
            </w:pPr>
            <w:r>
              <w:rPr>
                <w:rFonts w:ascii="Arial" w:hAnsi="Arial" w:cs="Arial"/>
                <w:sz w:val="24"/>
                <w:szCs w:val="24"/>
              </w:rPr>
              <w:t xml:space="preserve">The court accepts that the deponent of the applicant’s affidavit indeed has the necessary knowledge to depose to the affidavit in support of the </w:t>
            </w:r>
            <w:r w:rsidR="00447988">
              <w:rPr>
                <w:rFonts w:ascii="Arial" w:hAnsi="Arial" w:cs="Arial"/>
                <w:sz w:val="24"/>
                <w:szCs w:val="24"/>
              </w:rPr>
              <w:t>summary judg</w:t>
            </w:r>
            <w:r w:rsidR="007F1DAD">
              <w:rPr>
                <w:rFonts w:ascii="Arial" w:hAnsi="Arial" w:cs="Arial"/>
                <w:sz w:val="24"/>
                <w:szCs w:val="24"/>
              </w:rPr>
              <w:t xml:space="preserve">ment application. </w:t>
            </w:r>
            <w:r>
              <w:rPr>
                <w:rFonts w:ascii="Arial" w:hAnsi="Arial" w:cs="Arial"/>
                <w:sz w:val="24"/>
                <w:szCs w:val="24"/>
              </w:rPr>
              <w:t>There is however two claims, one for the return of the vehicle against which the respondent</w:t>
            </w:r>
            <w:r w:rsidR="007F1DAD">
              <w:rPr>
                <w:rFonts w:ascii="Arial" w:hAnsi="Arial" w:cs="Arial"/>
                <w:sz w:val="24"/>
                <w:szCs w:val="24"/>
              </w:rPr>
              <w:t xml:space="preserve"> raised the defence of a lien. </w:t>
            </w:r>
            <w:r>
              <w:rPr>
                <w:rFonts w:ascii="Arial" w:hAnsi="Arial" w:cs="Arial"/>
                <w:sz w:val="24"/>
                <w:szCs w:val="24"/>
              </w:rPr>
              <w:t>There is however</w:t>
            </w:r>
            <w:r w:rsidR="00447988">
              <w:rPr>
                <w:rFonts w:ascii="Arial" w:hAnsi="Arial" w:cs="Arial"/>
                <w:sz w:val="24"/>
                <w:szCs w:val="24"/>
              </w:rPr>
              <w:t>,</w:t>
            </w:r>
            <w:r>
              <w:rPr>
                <w:rFonts w:ascii="Arial" w:hAnsi="Arial" w:cs="Arial"/>
                <w:sz w:val="24"/>
                <w:szCs w:val="24"/>
              </w:rPr>
              <w:t xml:space="preserve"> no evidence before court as to the claim amount of this lien and no indication that the amount for the lien was ever invoiced and provided to the applicant.  The applicant only received quotations for</w:t>
            </w:r>
            <w:r w:rsidR="007F1DAD">
              <w:rPr>
                <w:rFonts w:ascii="Arial" w:hAnsi="Arial" w:cs="Arial"/>
                <w:sz w:val="24"/>
                <w:szCs w:val="24"/>
              </w:rPr>
              <w:t xml:space="preserve"> the work done to the vehicle. </w:t>
            </w:r>
            <w:r>
              <w:rPr>
                <w:rFonts w:ascii="Arial" w:hAnsi="Arial" w:cs="Arial"/>
                <w:sz w:val="24"/>
                <w:szCs w:val="24"/>
              </w:rPr>
              <w:t xml:space="preserve">The court therefore accepts that those amounts are the only ones payable as there is after a year, no invoice and no indication as to the amount payable for </w:t>
            </w:r>
            <w:r>
              <w:rPr>
                <w:rFonts w:ascii="Arial" w:hAnsi="Arial" w:cs="Arial"/>
                <w:sz w:val="24"/>
                <w:szCs w:val="24"/>
                <w:lang w:val="en-US"/>
              </w:rPr>
              <w:t xml:space="preserve">tow in costs, </w:t>
            </w:r>
            <w:r w:rsidRPr="00B42D53">
              <w:rPr>
                <w:rFonts w:ascii="Arial" w:hAnsi="Arial" w:cs="Arial"/>
                <w:sz w:val="24"/>
                <w:szCs w:val="24"/>
                <w:lang w:val="en-US"/>
              </w:rPr>
              <w:t>standing fee</w:t>
            </w:r>
            <w:r>
              <w:rPr>
                <w:rFonts w:ascii="Arial" w:hAnsi="Arial" w:cs="Arial"/>
                <w:sz w:val="24"/>
                <w:szCs w:val="24"/>
                <w:lang w:val="en-US"/>
              </w:rPr>
              <w:t xml:space="preserve">s and </w:t>
            </w:r>
            <w:r w:rsidRPr="00B42D53">
              <w:rPr>
                <w:rFonts w:ascii="Arial" w:hAnsi="Arial" w:cs="Arial"/>
                <w:sz w:val="24"/>
                <w:szCs w:val="24"/>
                <w:lang w:val="en-US"/>
              </w:rPr>
              <w:t>usage of the trailer</w:t>
            </w:r>
            <w:r w:rsidR="00616B35">
              <w:rPr>
                <w:rFonts w:ascii="Arial" w:hAnsi="Arial" w:cs="Arial"/>
                <w:sz w:val="24"/>
                <w:szCs w:val="24"/>
                <w:lang w:val="en-US"/>
              </w:rPr>
              <w:t xml:space="preserve"> were forthcoming despite some meetings between the applicant’s representative and that of the </w:t>
            </w:r>
            <w:r w:rsidR="007F1DAD">
              <w:rPr>
                <w:rFonts w:ascii="Arial" w:hAnsi="Arial" w:cs="Arial"/>
                <w:sz w:val="24"/>
                <w:szCs w:val="24"/>
                <w:lang w:val="en-US"/>
              </w:rPr>
              <w:lastRenderedPageBreak/>
              <w:t xml:space="preserve">respondent. </w:t>
            </w:r>
            <w:r w:rsidR="00616B35">
              <w:rPr>
                <w:rFonts w:ascii="Arial" w:hAnsi="Arial" w:cs="Arial"/>
                <w:sz w:val="24"/>
                <w:szCs w:val="24"/>
                <w:lang w:val="en-US"/>
              </w:rPr>
              <w:t>The applicant pleaded in its particulars of claim that payment was made on a pro-forma invoice and quotation.</w:t>
            </w:r>
          </w:p>
          <w:p w:rsidR="00616B35" w:rsidRPr="00616B35" w:rsidRDefault="003A3D79" w:rsidP="003A3D79">
            <w:pPr>
              <w:tabs>
                <w:tab w:val="left" w:pos="1245"/>
              </w:tabs>
              <w:spacing w:line="360" w:lineRule="auto"/>
              <w:contextualSpacing/>
              <w:jc w:val="both"/>
              <w:rPr>
                <w:rFonts w:ascii="Arial" w:hAnsi="Arial" w:cs="Arial"/>
                <w:sz w:val="24"/>
                <w:szCs w:val="24"/>
              </w:rPr>
            </w:pPr>
            <w:r>
              <w:rPr>
                <w:rFonts w:ascii="Arial" w:hAnsi="Arial" w:cs="Arial"/>
                <w:sz w:val="24"/>
                <w:szCs w:val="24"/>
              </w:rPr>
              <w:tab/>
            </w:r>
          </w:p>
          <w:p w:rsidR="00616B35" w:rsidRPr="0033102D" w:rsidRDefault="00616B35" w:rsidP="00121BA9">
            <w:pPr>
              <w:numPr>
                <w:ilvl w:val="0"/>
                <w:numId w:val="6"/>
              </w:numPr>
              <w:spacing w:line="360" w:lineRule="auto"/>
              <w:ind w:left="0" w:firstLine="0"/>
              <w:contextualSpacing/>
              <w:jc w:val="both"/>
              <w:rPr>
                <w:rFonts w:ascii="Arial" w:hAnsi="Arial" w:cs="Arial"/>
                <w:sz w:val="24"/>
                <w:szCs w:val="24"/>
              </w:rPr>
            </w:pPr>
            <w:r>
              <w:rPr>
                <w:rFonts w:ascii="Arial" w:hAnsi="Arial" w:cs="Arial"/>
                <w:sz w:val="24"/>
                <w:szCs w:val="24"/>
              </w:rPr>
              <w:t>Regarding the second claim, it is clear that it was not based on any agreement as the existence of such an agreement was not pleaded and the court concludes that it is indeed a damages claim</w:t>
            </w:r>
            <w:r w:rsidR="00447988">
              <w:rPr>
                <w:rFonts w:ascii="Arial" w:hAnsi="Arial" w:cs="Arial"/>
                <w:sz w:val="24"/>
                <w:szCs w:val="24"/>
              </w:rPr>
              <w:t>,</w:t>
            </w:r>
            <w:r>
              <w:rPr>
                <w:rFonts w:ascii="Arial" w:hAnsi="Arial" w:cs="Arial"/>
                <w:sz w:val="24"/>
                <w:szCs w:val="24"/>
              </w:rPr>
              <w:t xml:space="preserve"> for d</w:t>
            </w:r>
            <w:r w:rsidR="003A3D79">
              <w:rPr>
                <w:rFonts w:ascii="Arial" w:hAnsi="Arial" w:cs="Arial"/>
                <w:sz w:val="24"/>
                <w:szCs w:val="24"/>
              </w:rPr>
              <w:t>amages suffered by the applicant</w:t>
            </w:r>
            <w:r>
              <w:rPr>
                <w:rFonts w:ascii="Arial" w:hAnsi="Arial" w:cs="Arial"/>
                <w:sz w:val="24"/>
                <w:szCs w:val="24"/>
              </w:rPr>
              <w:t xml:space="preserve"> for the expenses of vehicle rental.  </w:t>
            </w:r>
            <w:r w:rsidR="00457FB0">
              <w:rPr>
                <w:rFonts w:ascii="Arial" w:hAnsi="Arial" w:cs="Arial"/>
                <w:sz w:val="24"/>
                <w:szCs w:val="24"/>
              </w:rPr>
              <w:t>As per rule 60</w:t>
            </w:r>
            <w:r w:rsidR="003A3D79">
              <w:rPr>
                <w:rFonts w:ascii="Arial" w:hAnsi="Arial" w:cs="Arial"/>
                <w:sz w:val="24"/>
                <w:szCs w:val="24"/>
              </w:rPr>
              <w:t>,</w:t>
            </w:r>
            <w:r w:rsidR="00457FB0">
              <w:rPr>
                <w:rFonts w:ascii="Arial" w:hAnsi="Arial" w:cs="Arial"/>
                <w:sz w:val="24"/>
                <w:szCs w:val="24"/>
              </w:rPr>
              <w:t xml:space="preserve"> damages are not one of the four categories o</w:t>
            </w:r>
            <w:r w:rsidR="00447988">
              <w:rPr>
                <w:rFonts w:ascii="Arial" w:hAnsi="Arial" w:cs="Arial"/>
                <w:sz w:val="24"/>
                <w:szCs w:val="24"/>
              </w:rPr>
              <w:t>f claims for which summary judg</w:t>
            </w:r>
            <w:r w:rsidR="00457FB0">
              <w:rPr>
                <w:rFonts w:ascii="Arial" w:hAnsi="Arial" w:cs="Arial"/>
                <w:sz w:val="24"/>
                <w:szCs w:val="24"/>
              </w:rPr>
              <w:t xml:space="preserve">ment applications can be brought.  </w:t>
            </w:r>
          </w:p>
          <w:p w:rsidR="0033102D" w:rsidRPr="00BB7A91" w:rsidRDefault="0033102D" w:rsidP="0033102D">
            <w:pPr>
              <w:spacing w:line="360" w:lineRule="auto"/>
              <w:contextualSpacing/>
              <w:jc w:val="both"/>
              <w:rPr>
                <w:rFonts w:ascii="Arial" w:hAnsi="Arial" w:cs="Arial"/>
                <w:sz w:val="24"/>
                <w:szCs w:val="24"/>
              </w:rPr>
            </w:pPr>
          </w:p>
          <w:p w:rsidR="0083108B" w:rsidRPr="0083108B" w:rsidRDefault="0083108B" w:rsidP="0083108B">
            <w:pPr>
              <w:spacing w:line="360" w:lineRule="auto"/>
              <w:rPr>
                <w:rFonts w:ascii="Arial" w:hAnsi="Arial" w:cs="Arial"/>
                <w:sz w:val="24"/>
                <w:szCs w:val="24"/>
                <w:u w:val="single"/>
              </w:rPr>
            </w:pPr>
            <w:r w:rsidRPr="0083108B">
              <w:rPr>
                <w:rFonts w:ascii="Arial" w:hAnsi="Arial" w:cs="Arial"/>
                <w:sz w:val="24"/>
                <w:szCs w:val="24"/>
                <w:u w:val="single"/>
              </w:rPr>
              <w:t xml:space="preserve">Order </w:t>
            </w:r>
          </w:p>
          <w:p w:rsidR="0083108B" w:rsidRPr="0083108B" w:rsidRDefault="0083108B" w:rsidP="0083108B">
            <w:pPr>
              <w:spacing w:line="360" w:lineRule="auto"/>
              <w:rPr>
                <w:rFonts w:ascii="Arial" w:hAnsi="Arial" w:cs="Arial"/>
                <w:sz w:val="24"/>
                <w:szCs w:val="24"/>
                <w:u w:val="single"/>
              </w:rPr>
            </w:pPr>
          </w:p>
          <w:p w:rsidR="0083108B" w:rsidRPr="005D1F25" w:rsidRDefault="0083108B" w:rsidP="005D1F25">
            <w:pPr>
              <w:pStyle w:val="ListParagraph"/>
              <w:numPr>
                <w:ilvl w:val="0"/>
                <w:numId w:val="6"/>
              </w:numPr>
              <w:spacing w:after="0" w:line="240" w:lineRule="auto"/>
              <w:ind w:left="0" w:firstLine="0"/>
              <w:jc w:val="both"/>
              <w:rPr>
                <w:rFonts w:ascii="Arial" w:hAnsi="Arial" w:cs="Arial"/>
                <w:sz w:val="24"/>
              </w:rPr>
            </w:pPr>
            <w:r w:rsidRPr="005D1F25">
              <w:rPr>
                <w:rFonts w:ascii="Arial" w:hAnsi="Arial" w:cs="Arial"/>
                <w:sz w:val="24"/>
              </w:rPr>
              <w:t>In the result, I then make the following order:</w:t>
            </w:r>
          </w:p>
          <w:p w:rsidR="0083108B" w:rsidRPr="0083108B" w:rsidRDefault="0083108B" w:rsidP="0083108B">
            <w:pPr>
              <w:spacing w:line="360" w:lineRule="auto"/>
              <w:jc w:val="both"/>
              <w:rPr>
                <w:rFonts w:ascii="Arial" w:hAnsi="Arial" w:cs="Arial"/>
                <w:sz w:val="24"/>
              </w:rPr>
            </w:pPr>
          </w:p>
          <w:p w:rsidR="003A3D79" w:rsidRPr="00457FB0" w:rsidRDefault="003A3D79" w:rsidP="003A3D79">
            <w:pPr>
              <w:pStyle w:val="ListParagraph"/>
              <w:numPr>
                <w:ilvl w:val="0"/>
                <w:numId w:val="10"/>
              </w:numPr>
              <w:spacing w:line="360" w:lineRule="auto"/>
              <w:jc w:val="both"/>
              <w:rPr>
                <w:rFonts w:ascii="Arial" w:hAnsi="Arial" w:cs="Arial"/>
                <w:sz w:val="24"/>
                <w:lang w:val="en-US"/>
              </w:rPr>
            </w:pPr>
            <w:r w:rsidRPr="00457FB0">
              <w:rPr>
                <w:rFonts w:ascii="Arial" w:hAnsi="Arial" w:cs="Arial"/>
                <w:sz w:val="24"/>
                <w:lang w:val="en-US"/>
              </w:rPr>
              <w:t>The summary judgment application of the first claim for the return of the vehicle is granted.</w:t>
            </w:r>
          </w:p>
          <w:p w:rsidR="003A3D79" w:rsidRPr="00457FB0" w:rsidRDefault="003A3D79" w:rsidP="003A3D79">
            <w:pPr>
              <w:pStyle w:val="ListParagraph"/>
              <w:numPr>
                <w:ilvl w:val="0"/>
                <w:numId w:val="10"/>
              </w:numPr>
              <w:spacing w:after="0" w:line="360" w:lineRule="auto"/>
              <w:jc w:val="both"/>
              <w:rPr>
                <w:rFonts w:ascii="Arial" w:hAnsi="Arial" w:cs="Arial"/>
                <w:sz w:val="24"/>
                <w:lang w:val="en-US"/>
              </w:rPr>
            </w:pPr>
            <w:r w:rsidRPr="00457FB0">
              <w:rPr>
                <w:rFonts w:ascii="Arial" w:hAnsi="Arial" w:cs="Arial"/>
                <w:sz w:val="24"/>
                <w:lang w:val="en-US"/>
              </w:rPr>
              <w:t>The respondent is directed to immediately restore the vehicle, to wit a, Toyota Hilux GD6, with registration number N 88579 W, bearing engine number 2GDC477766, chassis number AHTKB8CD602970426 to the applicant.</w:t>
            </w:r>
          </w:p>
          <w:p w:rsidR="003A3D79" w:rsidRPr="00457FB0" w:rsidRDefault="00447988" w:rsidP="003A3D79">
            <w:pPr>
              <w:pStyle w:val="ListParagraph"/>
              <w:numPr>
                <w:ilvl w:val="0"/>
                <w:numId w:val="10"/>
              </w:numPr>
              <w:spacing w:line="360" w:lineRule="auto"/>
              <w:jc w:val="both"/>
              <w:rPr>
                <w:rFonts w:ascii="Arial" w:hAnsi="Arial" w:cs="Arial"/>
                <w:sz w:val="24"/>
                <w:lang w:val="en-US"/>
              </w:rPr>
            </w:pPr>
            <w:r>
              <w:rPr>
                <w:rFonts w:ascii="Arial" w:hAnsi="Arial" w:cs="Arial"/>
                <w:sz w:val="24"/>
                <w:lang w:val="en-US"/>
              </w:rPr>
              <w:t>In the event that the r</w:t>
            </w:r>
            <w:r w:rsidR="003A3D79" w:rsidRPr="00457FB0">
              <w:rPr>
                <w:rFonts w:ascii="Arial" w:hAnsi="Arial" w:cs="Arial"/>
                <w:sz w:val="24"/>
                <w:lang w:val="en-US"/>
              </w:rPr>
              <w:t xml:space="preserve">espondent fails to return the vehicle within thirty (30) days from date of this judgment then the Deputy Sheriff for the district of Rehoboth and/or Windhoek is hereby authorized to enforce this court's order. </w:t>
            </w:r>
          </w:p>
          <w:p w:rsidR="003A3D79" w:rsidRPr="00457FB0" w:rsidRDefault="003A3D79" w:rsidP="003A3D79">
            <w:pPr>
              <w:pStyle w:val="ListParagraph"/>
              <w:numPr>
                <w:ilvl w:val="0"/>
                <w:numId w:val="10"/>
              </w:numPr>
              <w:spacing w:after="0" w:line="360" w:lineRule="auto"/>
              <w:rPr>
                <w:rFonts w:ascii="Arial" w:hAnsi="Arial" w:cs="Arial"/>
                <w:sz w:val="24"/>
                <w:lang w:val="en-US"/>
              </w:rPr>
            </w:pPr>
            <w:r>
              <w:rPr>
                <w:rFonts w:ascii="Arial" w:hAnsi="Arial" w:cs="Arial"/>
                <w:sz w:val="24"/>
                <w:lang w:val="en-US"/>
              </w:rPr>
              <w:t>The summary judg</w:t>
            </w:r>
            <w:r w:rsidRPr="00457FB0">
              <w:rPr>
                <w:rFonts w:ascii="Arial" w:hAnsi="Arial" w:cs="Arial"/>
                <w:sz w:val="24"/>
                <w:lang w:val="en-US"/>
              </w:rPr>
              <w:t>ment application for claim two is dismissed.</w:t>
            </w:r>
          </w:p>
          <w:p w:rsidR="003A3D79" w:rsidRPr="00457FB0" w:rsidRDefault="003A3D79" w:rsidP="003A3D79">
            <w:pPr>
              <w:pStyle w:val="ListParagraph"/>
              <w:numPr>
                <w:ilvl w:val="0"/>
                <w:numId w:val="10"/>
              </w:numPr>
              <w:spacing w:after="0" w:line="360" w:lineRule="auto"/>
              <w:rPr>
                <w:rFonts w:ascii="Arial" w:hAnsi="Arial" w:cs="Arial"/>
                <w:sz w:val="24"/>
                <w:lang w:val="en-US"/>
              </w:rPr>
            </w:pPr>
            <w:r w:rsidRPr="00457FB0">
              <w:rPr>
                <w:rFonts w:ascii="Arial" w:hAnsi="Arial" w:cs="Arial"/>
                <w:sz w:val="24"/>
                <w:lang w:val="en-US"/>
              </w:rPr>
              <w:t>The costs of this application stands over to be determined at the end of the matter.</w:t>
            </w:r>
          </w:p>
          <w:p w:rsidR="00C3188B" w:rsidRPr="00447988" w:rsidRDefault="003A3D79" w:rsidP="00447988">
            <w:pPr>
              <w:pStyle w:val="ListParagraph"/>
              <w:numPr>
                <w:ilvl w:val="0"/>
                <w:numId w:val="10"/>
              </w:numPr>
              <w:spacing w:after="0" w:line="360" w:lineRule="auto"/>
              <w:rPr>
                <w:rFonts w:ascii="Arial" w:hAnsi="Arial" w:cs="Arial"/>
                <w:sz w:val="24"/>
                <w:lang w:val="en-US"/>
              </w:rPr>
            </w:pPr>
            <w:r w:rsidRPr="00457FB0">
              <w:rPr>
                <w:rFonts w:ascii="Arial" w:hAnsi="Arial" w:cs="Arial"/>
                <w:sz w:val="24"/>
                <w:lang w:val="en-US"/>
              </w:rPr>
              <w:t xml:space="preserve">The </w:t>
            </w:r>
            <w:r w:rsidR="00447988" w:rsidRPr="00447988">
              <w:rPr>
                <w:rFonts w:ascii="Arial" w:hAnsi="Arial" w:cs="Arial"/>
                <w:sz w:val="24"/>
                <w:lang w:val="en-US"/>
              </w:rPr>
              <w:t>plaintiff to file their notice to amend their particulars of claim on or before 5 October 2023.</w:t>
            </w:r>
          </w:p>
          <w:p w:rsidR="00552B6F" w:rsidRPr="00447988" w:rsidRDefault="00447988" w:rsidP="00447988">
            <w:pPr>
              <w:pStyle w:val="ListParagraph"/>
              <w:numPr>
                <w:ilvl w:val="0"/>
                <w:numId w:val="10"/>
              </w:numPr>
              <w:spacing w:after="0" w:line="360" w:lineRule="auto"/>
              <w:jc w:val="both"/>
              <w:rPr>
                <w:rFonts w:ascii="Arial" w:hAnsi="Arial" w:cs="Arial"/>
                <w:sz w:val="24"/>
                <w:lang w:val="en-US"/>
              </w:rPr>
            </w:pPr>
            <w:r w:rsidRPr="00447988">
              <w:rPr>
                <w:rFonts w:ascii="Arial" w:hAnsi="Arial" w:cs="Arial"/>
                <w:sz w:val="24"/>
                <w:lang w:val="en-US"/>
              </w:rPr>
              <w:t>The matter is postponed to 24 October 2023 at 15:30 for a Status hearing. (Reason: For the plaintiff to comply with rule 32(9) and (10)).</w:t>
            </w:r>
          </w:p>
        </w:tc>
      </w:tr>
      <w:tr w:rsidR="00552B6F" w:rsidRPr="00552B6F" w:rsidTr="003F2DE7">
        <w:trPr>
          <w:trHeight w:val="421"/>
        </w:trPr>
        <w:tc>
          <w:tcPr>
            <w:tcW w:w="5245" w:type="dxa"/>
            <w:tcBorders>
              <w:top w:val="single" w:sz="4" w:space="0" w:color="auto"/>
              <w:left w:val="single" w:sz="4" w:space="0" w:color="auto"/>
              <w:bottom w:val="single" w:sz="4" w:space="0" w:color="auto"/>
              <w:right w:val="single" w:sz="4" w:space="0" w:color="auto"/>
            </w:tcBorders>
          </w:tcPr>
          <w:p w:rsidR="00552B6F" w:rsidRPr="00552B6F" w:rsidRDefault="00552B6F" w:rsidP="00552B6F">
            <w:pPr>
              <w:spacing w:line="360" w:lineRule="auto"/>
              <w:jc w:val="center"/>
              <w:rPr>
                <w:rFonts w:ascii="Arial" w:hAnsi="Arial" w:cs="Arial"/>
                <w:b/>
                <w:sz w:val="24"/>
                <w:szCs w:val="24"/>
              </w:rPr>
            </w:pPr>
            <w:r w:rsidRPr="00552B6F">
              <w:rPr>
                <w:rFonts w:ascii="Arial" w:hAnsi="Arial" w:cs="Arial"/>
                <w:b/>
                <w:sz w:val="24"/>
                <w:szCs w:val="24"/>
              </w:rPr>
              <w:lastRenderedPageBreak/>
              <w:t>Judge’s signature</w:t>
            </w:r>
          </w:p>
          <w:p w:rsidR="00552B6F" w:rsidRPr="00552B6F" w:rsidRDefault="00552B6F" w:rsidP="00552B6F">
            <w:pPr>
              <w:spacing w:line="360" w:lineRule="auto"/>
              <w:jc w:val="center"/>
              <w:rPr>
                <w:rFonts w:ascii="Arial" w:hAnsi="Arial" w:cs="Arial"/>
                <w:sz w:val="24"/>
                <w:szCs w:val="24"/>
              </w:rPr>
            </w:pPr>
          </w:p>
          <w:p w:rsidR="00552B6F" w:rsidRPr="00552B6F" w:rsidRDefault="00552B6F" w:rsidP="00552B6F">
            <w:pPr>
              <w:spacing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552B6F" w:rsidRPr="00552B6F" w:rsidRDefault="00552B6F" w:rsidP="00552B6F">
            <w:pPr>
              <w:spacing w:line="360" w:lineRule="auto"/>
              <w:jc w:val="both"/>
              <w:rPr>
                <w:rFonts w:ascii="Arial" w:hAnsi="Arial" w:cs="Arial"/>
                <w:b/>
                <w:sz w:val="24"/>
                <w:szCs w:val="24"/>
              </w:rPr>
            </w:pPr>
            <w:r w:rsidRPr="00552B6F">
              <w:rPr>
                <w:rFonts w:ascii="Arial" w:hAnsi="Arial" w:cs="Arial"/>
                <w:b/>
                <w:sz w:val="24"/>
                <w:szCs w:val="24"/>
              </w:rPr>
              <w:t>Note to the parties:</w:t>
            </w:r>
          </w:p>
        </w:tc>
      </w:tr>
      <w:tr w:rsidR="00552B6F" w:rsidRPr="00552B6F" w:rsidTr="003F2DE7">
        <w:trPr>
          <w:trHeight w:val="614"/>
        </w:trPr>
        <w:tc>
          <w:tcPr>
            <w:tcW w:w="5245" w:type="dxa"/>
            <w:tcBorders>
              <w:top w:val="single" w:sz="4" w:space="0" w:color="auto"/>
              <w:left w:val="single" w:sz="4" w:space="0" w:color="auto"/>
              <w:bottom w:val="single" w:sz="4" w:space="0" w:color="auto"/>
              <w:right w:val="single" w:sz="4" w:space="0" w:color="auto"/>
            </w:tcBorders>
            <w:hideMark/>
          </w:tcPr>
          <w:p w:rsidR="00552B6F" w:rsidRPr="00552B6F" w:rsidRDefault="00552B6F" w:rsidP="00552B6F">
            <w:pPr>
              <w:spacing w:line="360" w:lineRule="auto"/>
              <w:jc w:val="center"/>
              <w:rPr>
                <w:rFonts w:ascii="Arial" w:hAnsi="Arial" w:cs="Arial"/>
                <w:sz w:val="24"/>
                <w:szCs w:val="24"/>
              </w:rPr>
            </w:pPr>
            <w:r w:rsidRPr="00552B6F">
              <w:rPr>
                <w:rFonts w:ascii="Arial" w:hAnsi="Arial" w:cs="Arial"/>
                <w:sz w:val="24"/>
                <w:szCs w:val="24"/>
              </w:rPr>
              <w:t>RAKOW J</w:t>
            </w:r>
          </w:p>
          <w:p w:rsidR="00552B6F" w:rsidRPr="00552B6F" w:rsidRDefault="00552B6F" w:rsidP="00552B6F">
            <w:pPr>
              <w:spacing w:line="360" w:lineRule="auto"/>
              <w:jc w:val="center"/>
              <w:rPr>
                <w:rFonts w:ascii="Arial" w:hAnsi="Arial" w:cs="Arial"/>
                <w:sz w:val="24"/>
                <w:szCs w:val="24"/>
              </w:rPr>
            </w:pPr>
            <w:r w:rsidRPr="00552B6F">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hideMark/>
          </w:tcPr>
          <w:p w:rsidR="00552B6F" w:rsidRPr="00552B6F" w:rsidRDefault="00552B6F" w:rsidP="00552B6F">
            <w:pPr>
              <w:spacing w:line="360" w:lineRule="auto"/>
              <w:jc w:val="center"/>
              <w:rPr>
                <w:rFonts w:ascii="Arial" w:hAnsi="Arial" w:cs="Arial"/>
                <w:sz w:val="24"/>
                <w:szCs w:val="24"/>
              </w:rPr>
            </w:pPr>
            <w:r w:rsidRPr="00552B6F">
              <w:rPr>
                <w:rFonts w:ascii="Arial" w:hAnsi="Arial" w:cs="Arial"/>
                <w:sz w:val="24"/>
                <w:szCs w:val="24"/>
              </w:rPr>
              <w:t>Not applicable</w:t>
            </w:r>
          </w:p>
        </w:tc>
      </w:tr>
      <w:tr w:rsidR="00552B6F" w:rsidRPr="00552B6F" w:rsidTr="003F2DE7">
        <w:trPr>
          <w:trHeight w:val="471"/>
        </w:trPr>
        <w:tc>
          <w:tcPr>
            <w:tcW w:w="10490" w:type="dxa"/>
            <w:gridSpan w:val="3"/>
            <w:tcBorders>
              <w:top w:val="single" w:sz="4" w:space="0" w:color="auto"/>
              <w:left w:val="single" w:sz="4" w:space="0" w:color="auto"/>
              <w:bottom w:val="single" w:sz="4" w:space="0" w:color="auto"/>
              <w:right w:val="single" w:sz="4" w:space="0" w:color="auto"/>
            </w:tcBorders>
            <w:hideMark/>
          </w:tcPr>
          <w:p w:rsidR="00552B6F" w:rsidRPr="00552B6F" w:rsidRDefault="00552B6F" w:rsidP="00552B6F">
            <w:pPr>
              <w:spacing w:line="360" w:lineRule="auto"/>
              <w:jc w:val="center"/>
              <w:rPr>
                <w:rFonts w:ascii="Arial" w:hAnsi="Arial" w:cs="Arial"/>
                <w:b/>
                <w:sz w:val="24"/>
                <w:szCs w:val="24"/>
              </w:rPr>
            </w:pPr>
            <w:r w:rsidRPr="00552B6F">
              <w:rPr>
                <w:rFonts w:ascii="Arial" w:hAnsi="Arial" w:cs="Arial"/>
                <w:b/>
                <w:sz w:val="24"/>
                <w:szCs w:val="24"/>
              </w:rPr>
              <w:lastRenderedPageBreak/>
              <w:t>Counsel:</w:t>
            </w:r>
          </w:p>
        </w:tc>
      </w:tr>
      <w:tr w:rsidR="00552B6F" w:rsidRPr="00552B6F" w:rsidTr="003F2DE7">
        <w:trPr>
          <w:trHeight w:val="329"/>
        </w:trPr>
        <w:tc>
          <w:tcPr>
            <w:tcW w:w="5245" w:type="dxa"/>
            <w:tcBorders>
              <w:top w:val="single" w:sz="4" w:space="0" w:color="auto"/>
              <w:left w:val="single" w:sz="4" w:space="0" w:color="auto"/>
              <w:bottom w:val="single" w:sz="4" w:space="0" w:color="auto"/>
              <w:right w:val="single" w:sz="4" w:space="0" w:color="auto"/>
            </w:tcBorders>
            <w:hideMark/>
          </w:tcPr>
          <w:p w:rsidR="00552B6F" w:rsidRPr="00552B6F" w:rsidRDefault="006F22D7" w:rsidP="00552B6F">
            <w:pPr>
              <w:spacing w:line="360" w:lineRule="auto"/>
              <w:jc w:val="center"/>
              <w:rPr>
                <w:rFonts w:ascii="Arial" w:hAnsi="Arial" w:cs="Arial"/>
                <w:b/>
                <w:sz w:val="24"/>
                <w:szCs w:val="24"/>
              </w:rPr>
            </w:pPr>
            <w:r>
              <w:rPr>
                <w:rFonts w:ascii="Arial" w:hAnsi="Arial" w:cs="Arial"/>
                <w:b/>
                <w:sz w:val="24"/>
                <w:szCs w:val="24"/>
              </w:rPr>
              <w:t>APPLICANT</w:t>
            </w:r>
            <w:r w:rsidR="00552B6F" w:rsidRPr="00552B6F">
              <w:rPr>
                <w:rFonts w:ascii="Arial" w:hAnsi="Arial" w:cs="Arial"/>
                <w:b/>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552B6F" w:rsidRPr="00552B6F" w:rsidRDefault="006F22D7" w:rsidP="00552B6F">
            <w:pPr>
              <w:spacing w:line="360" w:lineRule="auto"/>
              <w:jc w:val="center"/>
              <w:rPr>
                <w:rFonts w:ascii="Arial" w:hAnsi="Arial" w:cs="Arial"/>
                <w:b/>
                <w:sz w:val="24"/>
                <w:szCs w:val="24"/>
              </w:rPr>
            </w:pPr>
            <w:r>
              <w:rPr>
                <w:rFonts w:ascii="Arial" w:eastAsia="Times New Roman" w:hAnsi="Arial" w:cs="Arial"/>
                <w:b/>
                <w:sz w:val="24"/>
                <w:szCs w:val="24"/>
                <w:lang w:eastAsia="en-GB"/>
              </w:rPr>
              <w:t>RESPONDENT</w:t>
            </w:r>
            <w:r w:rsidR="00552B6F" w:rsidRPr="00552B6F">
              <w:rPr>
                <w:rFonts w:ascii="Arial" w:eastAsia="Times New Roman" w:hAnsi="Arial" w:cs="Arial"/>
                <w:sz w:val="24"/>
                <w:szCs w:val="24"/>
                <w:lang w:eastAsia="en-GB"/>
              </w:rPr>
              <w:t>:</w:t>
            </w:r>
          </w:p>
        </w:tc>
      </w:tr>
      <w:tr w:rsidR="00552B6F" w:rsidRPr="00552B6F" w:rsidTr="003F2DE7">
        <w:trPr>
          <w:trHeight w:val="1483"/>
        </w:trPr>
        <w:tc>
          <w:tcPr>
            <w:tcW w:w="5245" w:type="dxa"/>
            <w:tcBorders>
              <w:top w:val="single" w:sz="4" w:space="0" w:color="auto"/>
              <w:left w:val="single" w:sz="4" w:space="0" w:color="auto"/>
              <w:bottom w:val="single" w:sz="4" w:space="0" w:color="auto"/>
              <w:right w:val="single" w:sz="4" w:space="0" w:color="auto"/>
            </w:tcBorders>
            <w:hideMark/>
          </w:tcPr>
          <w:p w:rsidR="00552B6F" w:rsidRPr="00552B6F" w:rsidRDefault="005D1F25" w:rsidP="005D1F25">
            <w:pPr>
              <w:spacing w:line="276" w:lineRule="auto"/>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M </w:t>
            </w:r>
            <w:proofErr w:type="spellStart"/>
            <w:r>
              <w:rPr>
                <w:rFonts w:ascii="Arial" w:hAnsi="Arial" w:cs="Arial"/>
                <w:color w:val="000000" w:themeColor="text1"/>
                <w:sz w:val="24"/>
                <w:szCs w:val="24"/>
                <w:shd w:val="clear" w:color="auto" w:fill="FFFFFF"/>
              </w:rPr>
              <w:t>Angula</w:t>
            </w:r>
            <w:proofErr w:type="spellEnd"/>
          </w:p>
          <w:p w:rsidR="00552B6F" w:rsidRPr="00552B6F" w:rsidRDefault="00552B6F" w:rsidP="005D1F25">
            <w:pPr>
              <w:spacing w:line="276" w:lineRule="auto"/>
              <w:jc w:val="center"/>
              <w:rPr>
                <w:rFonts w:ascii="Arial" w:hAnsi="Arial" w:cs="Arial"/>
                <w:color w:val="000000" w:themeColor="text1"/>
                <w:sz w:val="24"/>
                <w:szCs w:val="24"/>
                <w:shd w:val="clear" w:color="auto" w:fill="FFFFFF"/>
              </w:rPr>
            </w:pPr>
            <w:r w:rsidRPr="00552B6F">
              <w:rPr>
                <w:rFonts w:ascii="Arial" w:hAnsi="Arial" w:cs="Arial"/>
                <w:color w:val="000000" w:themeColor="text1"/>
                <w:sz w:val="24"/>
                <w:szCs w:val="24"/>
                <w:shd w:val="clear" w:color="auto" w:fill="FFFFFF"/>
              </w:rPr>
              <w:t xml:space="preserve">Of </w:t>
            </w:r>
          </w:p>
          <w:p w:rsidR="00552B6F" w:rsidRPr="00552B6F" w:rsidRDefault="005D1F25" w:rsidP="005D1F25">
            <w:pPr>
              <w:tabs>
                <w:tab w:val="left" w:pos="1860"/>
              </w:tabs>
              <w:spacing w:line="276" w:lineRule="auto"/>
              <w:jc w:val="center"/>
              <w:rPr>
                <w:rFonts w:ascii="Arial" w:hAnsi="Arial" w:cs="Arial"/>
                <w:sz w:val="24"/>
                <w:szCs w:val="24"/>
              </w:rPr>
            </w:pPr>
            <w:r w:rsidRPr="005D1F25">
              <w:rPr>
                <w:rFonts w:ascii="Arial" w:hAnsi="Arial" w:cs="Arial"/>
                <w:sz w:val="24"/>
                <w:szCs w:val="24"/>
                <w:lang w:val="en-US"/>
              </w:rPr>
              <w:t xml:space="preserve">Monika </w:t>
            </w:r>
            <w:proofErr w:type="spellStart"/>
            <w:r w:rsidRPr="005D1F25">
              <w:rPr>
                <w:rFonts w:ascii="Arial" w:hAnsi="Arial" w:cs="Arial"/>
                <w:sz w:val="24"/>
                <w:szCs w:val="24"/>
                <w:lang w:val="en-US"/>
              </w:rPr>
              <w:t>Angula</w:t>
            </w:r>
            <w:proofErr w:type="spellEnd"/>
            <w:r w:rsidRPr="005D1F25">
              <w:rPr>
                <w:rFonts w:ascii="Arial" w:hAnsi="Arial" w:cs="Arial"/>
                <w:sz w:val="24"/>
                <w:szCs w:val="24"/>
                <w:lang w:val="en-US"/>
              </w:rPr>
              <w:t xml:space="preserve"> &amp; Associates Incorporated</w:t>
            </w:r>
            <w:r>
              <w:rPr>
                <w:rFonts w:ascii="Arial" w:hAnsi="Arial" w:cs="Arial"/>
                <w:sz w:val="24"/>
                <w:szCs w:val="24"/>
                <w:lang w:val="en-US"/>
              </w:rPr>
              <w:t>, Windhoek</w:t>
            </w:r>
          </w:p>
        </w:tc>
        <w:tc>
          <w:tcPr>
            <w:tcW w:w="5245" w:type="dxa"/>
            <w:gridSpan w:val="2"/>
            <w:tcBorders>
              <w:top w:val="single" w:sz="4" w:space="0" w:color="auto"/>
              <w:left w:val="single" w:sz="4" w:space="0" w:color="auto"/>
              <w:bottom w:val="single" w:sz="4" w:space="0" w:color="auto"/>
              <w:right w:val="single" w:sz="4" w:space="0" w:color="auto"/>
            </w:tcBorders>
            <w:hideMark/>
          </w:tcPr>
          <w:p w:rsidR="00552B6F" w:rsidRPr="00552B6F" w:rsidRDefault="003A3D79" w:rsidP="00552B6F">
            <w:pPr>
              <w:spacing w:line="360" w:lineRule="auto"/>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L </w:t>
            </w:r>
            <w:proofErr w:type="spellStart"/>
            <w:r>
              <w:rPr>
                <w:rFonts w:ascii="Arial" w:hAnsi="Arial" w:cs="Arial"/>
                <w:color w:val="000000" w:themeColor="text1"/>
                <w:sz w:val="24"/>
                <w:szCs w:val="24"/>
                <w:shd w:val="clear" w:color="auto" w:fill="FFFFFF"/>
              </w:rPr>
              <w:t>Lardelli</w:t>
            </w:r>
            <w:proofErr w:type="spellEnd"/>
          </w:p>
          <w:p w:rsidR="00552B6F" w:rsidRPr="00552B6F" w:rsidRDefault="00552B6F" w:rsidP="00552B6F">
            <w:pPr>
              <w:spacing w:line="360" w:lineRule="auto"/>
              <w:jc w:val="center"/>
              <w:rPr>
                <w:rFonts w:ascii="Arial" w:hAnsi="Arial" w:cs="Arial"/>
                <w:color w:val="000000" w:themeColor="text1"/>
                <w:sz w:val="24"/>
                <w:szCs w:val="24"/>
                <w:shd w:val="clear" w:color="auto" w:fill="FFFFFF"/>
              </w:rPr>
            </w:pPr>
            <w:r w:rsidRPr="00552B6F">
              <w:rPr>
                <w:rFonts w:ascii="Arial" w:hAnsi="Arial" w:cs="Arial"/>
                <w:color w:val="000000" w:themeColor="text1"/>
                <w:sz w:val="24"/>
                <w:szCs w:val="24"/>
                <w:shd w:val="clear" w:color="auto" w:fill="FFFFFF"/>
              </w:rPr>
              <w:t xml:space="preserve">Of </w:t>
            </w:r>
          </w:p>
          <w:p w:rsidR="00552B6F" w:rsidRPr="00552B6F" w:rsidRDefault="005D1F25" w:rsidP="00552B6F">
            <w:pPr>
              <w:spacing w:line="360" w:lineRule="auto"/>
              <w:jc w:val="center"/>
              <w:rPr>
                <w:rFonts w:ascii="Arial" w:eastAsia="Times New Roman" w:hAnsi="Arial" w:cs="Arial"/>
                <w:color w:val="000000" w:themeColor="text1"/>
                <w:sz w:val="24"/>
                <w:szCs w:val="24"/>
                <w:lang w:eastAsia="en-GB"/>
              </w:rPr>
            </w:pPr>
            <w:r w:rsidRPr="005D1F25">
              <w:rPr>
                <w:rFonts w:ascii="Arial" w:hAnsi="Arial" w:cs="Arial"/>
                <w:sz w:val="24"/>
                <w:szCs w:val="24"/>
                <w:shd w:val="clear" w:color="auto" w:fill="FFFFFF"/>
              </w:rPr>
              <w:t xml:space="preserve">Louis </w:t>
            </w:r>
            <w:proofErr w:type="spellStart"/>
            <w:r w:rsidRPr="005D1F25">
              <w:rPr>
                <w:rFonts w:ascii="Arial" w:hAnsi="Arial" w:cs="Arial"/>
                <w:sz w:val="24"/>
                <w:szCs w:val="24"/>
                <w:shd w:val="clear" w:color="auto" w:fill="FFFFFF"/>
              </w:rPr>
              <w:t>Karsten</w:t>
            </w:r>
            <w:proofErr w:type="spellEnd"/>
            <w:r w:rsidRPr="005D1F25">
              <w:rPr>
                <w:rFonts w:ascii="Arial" w:hAnsi="Arial" w:cs="Arial"/>
                <w:sz w:val="24"/>
                <w:szCs w:val="24"/>
                <w:shd w:val="clear" w:color="auto" w:fill="FFFFFF"/>
              </w:rPr>
              <w:t xml:space="preserve"> Legal Practitioner</w:t>
            </w:r>
            <w:r w:rsidR="0083351F">
              <w:rPr>
                <w:rFonts w:ascii="Arial" w:hAnsi="Arial" w:cs="Arial"/>
                <w:sz w:val="24"/>
                <w:szCs w:val="24"/>
                <w:shd w:val="clear" w:color="auto" w:fill="FFFFFF"/>
              </w:rPr>
              <w:t>, Windhoek</w:t>
            </w:r>
          </w:p>
        </w:tc>
      </w:tr>
    </w:tbl>
    <w:p w:rsidR="00552B6F" w:rsidRPr="00552B6F" w:rsidRDefault="00552B6F" w:rsidP="00552B6F">
      <w:pPr>
        <w:spacing w:after="0" w:line="360" w:lineRule="auto"/>
        <w:jc w:val="both"/>
        <w:rPr>
          <w:rFonts w:ascii="Arial" w:eastAsia="Calibri" w:hAnsi="Arial" w:cs="Arial"/>
          <w:sz w:val="24"/>
          <w:szCs w:val="24"/>
          <w:lang w:val="en-ZA"/>
        </w:rPr>
      </w:pPr>
    </w:p>
    <w:p w:rsidR="00552B6F" w:rsidRPr="00552B6F" w:rsidRDefault="00552B6F" w:rsidP="00552B6F"/>
    <w:p w:rsidR="009A2DAA" w:rsidRDefault="00D27A48">
      <w:bookmarkStart w:id="0" w:name="_GoBack"/>
      <w:bookmarkEnd w:id="0"/>
    </w:p>
    <w:sectPr w:rsidR="009A2DAA" w:rsidSect="00521C44">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A48" w:rsidRDefault="00D27A48" w:rsidP="0083108B">
      <w:pPr>
        <w:spacing w:after="0" w:line="240" w:lineRule="auto"/>
      </w:pPr>
      <w:r>
        <w:separator/>
      </w:r>
    </w:p>
  </w:endnote>
  <w:endnote w:type="continuationSeparator" w:id="0">
    <w:p w:rsidR="00D27A48" w:rsidRDefault="00D27A48" w:rsidP="0083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A48" w:rsidRDefault="00D27A48" w:rsidP="0083108B">
      <w:pPr>
        <w:spacing w:after="0" w:line="240" w:lineRule="auto"/>
      </w:pPr>
      <w:r>
        <w:separator/>
      </w:r>
    </w:p>
  </w:footnote>
  <w:footnote w:type="continuationSeparator" w:id="0">
    <w:p w:rsidR="00D27A48" w:rsidRDefault="00D27A48" w:rsidP="0083108B">
      <w:pPr>
        <w:spacing w:after="0" w:line="240" w:lineRule="auto"/>
      </w:pPr>
      <w:r>
        <w:continuationSeparator/>
      </w:r>
    </w:p>
  </w:footnote>
  <w:footnote w:id="1">
    <w:p w:rsidR="00121BA9" w:rsidRDefault="00121BA9">
      <w:pPr>
        <w:pStyle w:val="FootnoteText"/>
      </w:pPr>
      <w:r>
        <w:rPr>
          <w:rStyle w:val="FootnoteReference"/>
        </w:rPr>
        <w:footnoteRef/>
      </w:r>
      <w:r>
        <w:t xml:space="preserve"> </w:t>
      </w:r>
      <w:proofErr w:type="spellStart"/>
      <w:r w:rsidRPr="00760771">
        <w:rPr>
          <w:rFonts w:ascii="Arial" w:hAnsi="Arial" w:cs="Arial"/>
          <w:i/>
        </w:rPr>
        <w:t>Maharaj</w:t>
      </w:r>
      <w:proofErr w:type="spellEnd"/>
      <w:r w:rsidRPr="00760771">
        <w:rPr>
          <w:rFonts w:ascii="Arial" w:hAnsi="Arial" w:cs="Arial"/>
          <w:i/>
        </w:rPr>
        <w:t xml:space="preserve"> v Barclays National Bank Ltd</w:t>
      </w:r>
      <w:r w:rsidRPr="00760771">
        <w:rPr>
          <w:rFonts w:ascii="Arial" w:hAnsi="Arial" w:cs="Arial"/>
        </w:rPr>
        <w:t xml:space="preserve"> 1976 (1) SA 418(A)</w:t>
      </w:r>
      <w:r w:rsidR="00760771">
        <w:rPr>
          <w:rFonts w:ascii="Arial" w:hAnsi="Arial" w:cs="Arial"/>
        </w:rPr>
        <w:t>.</w:t>
      </w:r>
    </w:p>
  </w:footnote>
  <w:footnote w:id="2">
    <w:p w:rsidR="009E0CFE" w:rsidRPr="007F1DAD" w:rsidRDefault="009E0CFE" w:rsidP="007F1DAD">
      <w:pPr>
        <w:pStyle w:val="FootnoteText"/>
        <w:jc w:val="both"/>
        <w:rPr>
          <w:rFonts w:ascii="Arial" w:hAnsi="Arial" w:cs="Arial"/>
        </w:rPr>
      </w:pPr>
      <w:r>
        <w:rPr>
          <w:rStyle w:val="FootnoteReference"/>
        </w:rPr>
        <w:footnoteRef/>
      </w:r>
      <w:r>
        <w:t xml:space="preserve"> </w:t>
      </w:r>
      <w:r w:rsidRPr="007F1DAD">
        <w:rPr>
          <w:rFonts w:ascii="Arial" w:hAnsi="Arial" w:cs="Arial"/>
          <w:i/>
        </w:rPr>
        <w:t xml:space="preserve">Right – Path Investment (Pty) Ltd v </w:t>
      </w:r>
      <w:proofErr w:type="spellStart"/>
      <w:r w:rsidRPr="007F1DAD">
        <w:rPr>
          <w:rFonts w:ascii="Arial" w:hAnsi="Arial" w:cs="Arial"/>
          <w:i/>
        </w:rPr>
        <w:t>Hebei</w:t>
      </w:r>
      <w:proofErr w:type="spellEnd"/>
      <w:r w:rsidRPr="007F1DAD">
        <w:rPr>
          <w:rFonts w:ascii="Arial" w:hAnsi="Arial" w:cs="Arial"/>
          <w:i/>
        </w:rPr>
        <w:t xml:space="preserve"> </w:t>
      </w:r>
      <w:proofErr w:type="spellStart"/>
      <w:r w:rsidRPr="007F1DAD">
        <w:rPr>
          <w:rFonts w:ascii="Arial" w:hAnsi="Arial" w:cs="Arial"/>
          <w:i/>
        </w:rPr>
        <w:t>Xinjian</w:t>
      </w:r>
      <w:proofErr w:type="spellEnd"/>
      <w:r w:rsidRPr="007F1DAD">
        <w:rPr>
          <w:rFonts w:ascii="Arial" w:hAnsi="Arial" w:cs="Arial"/>
          <w:i/>
        </w:rPr>
        <w:t xml:space="preserve"> Construction</w:t>
      </w:r>
      <w:r w:rsidRPr="007F1DAD">
        <w:rPr>
          <w:rFonts w:ascii="Arial" w:hAnsi="Arial" w:cs="Arial"/>
        </w:rPr>
        <w:t xml:space="preserve"> CC (I 460-2014) [2014] NAHCMD 314 (22 October 2014)</w:t>
      </w:r>
      <w:r w:rsidR="007F1DAD">
        <w:rPr>
          <w:rFonts w:ascii="Arial" w:hAnsi="Arial" w:cs="Arial"/>
        </w:rPr>
        <w:t>.</w:t>
      </w:r>
    </w:p>
  </w:footnote>
  <w:footnote w:id="3">
    <w:p w:rsidR="0033102D" w:rsidRPr="007F1DAD" w:rsidRDefault="0033102D">
      <w:pPr>
        <w:pStyle w:val="FootnoteText"/>
        <w:rPr>
          <w:rFonts w:ascii="Arial" w:hAnsi="Arial" w:cs="Arial"/>
        </w:rPr>
      </w:pPr>
      <w:r w:rsidRPr="007F1DAD">
        <w:rPr>
          <w:rStyle w:val="FootnoteReference"/>
          <w:rFonts w:ascii="Arial" w:hAnsi="Arial" w:cs="Arial"/>
        </w:rPr>
        <w:footnoteRef/>
      </w:r>
      <w:r w:rsidRPr="007F1DAD">
        <w:rPr>
          <w:rFonts w:ascii="Arial" w:hAnsi="Arial" w:cs="Arial"/>
        </w:rPr>
        <w:t xml:space="preserve"> </w:t>
      </w:r>
      <w:r w:rsidRPr="007F1DAD">
        <w:rPr>
          <w:rFonts w:ascii="Arial" w:hAnsi="Arial" w:cs="Arial"/>
          <w:i/>
        </w:rPr>
        <w:t xml:space="preserve">First National Bank of Namibia Limited v </w:t>
      </w:r>
      <w:proofErr w:type="spellStart"/>
      <w:r w:rsidRPr="007F1DAD">
        <w:rPr>
          <w:rFonts w:ascii="Arial" w:hAnsi="Arial" w:cs="Arial"/>
          <w:i/>
        </w:rPr>
        <w:t>Louw</w:t>
      </w:r>
      <w:proofErr w:type="spellEnd"/>
      <w:r w:rsidRPr="007F1DAD">
        <w:rPr>
          <w:rFonts w:ascii="Arial" w:hAnsi="Arial" w:cs="Arial"/>
        </w:rPr>
        <w:t xml:space="preserve"> (I 1467-2014) [2015] NAHCMD 139 (12 June 2015)</w:t>
      </w:r>
      <w:r w:rsidR="007F1DAD">
        <w:rPr>
          <w:rFonts w:ascii="Arial" w:hAnsi="Arial" w:cs="Arial"/>
        </w:rPr>
        <w:t>.</w:t>
      </w:r>
    </w:p>
  </w:footnote>
  <w:footnote w:id="4">
    <w:p w:rsidR="00D95BB2" w:rsidRPr="007F1DAD" w:rsidRDefault="00D95BB2">
      <w:pPr>
        <w:pStyle w:val="FootnoteText"/>
        <w:rPr>
          <w:rFonts w:ascii="Arial" w:hAnsi="Arial" w:cs="Arial"/>
        </w:rPr>
      </w:pPr>
      <w:r>
        <w:rPr>
          <w:rStyle w:val="FootnoteReference"/>
        </w:rPr>
        <w:footnoteRef/>
      </w:r>
      <w:r>
        <w:t xml:space="preserve"> </w:t>
      </w:r>
      <w:r w:rsidRPr="007F1DAD">
        <w:rPr>
          <w:rFonts w:ascii="Arial" w:hAnsi="Arial" w:cs="Arial"/>
          <w:i/>
        </w:rPr>
        <w:t xml:space="preserve">Standard Bank of SA Ltd v </w:t>
      </w:r>
      <w:proofErr w:type="spellStart"/>
      <w:r w:rsidRPr="007F1DAD">
        <w:rPr>
          <w:rFonts w:ascii="Arial" w:hAnsi="Arial" w:cs="Arial"/>
          <w:i/>
        </w:rPr>
        <w:t>Secatsa</w:t>
      </w:r>
      <w:proofErr w:type="spellEnd"/>
      <w:r w:rsidRPr="007F1DAD">
        <w:rPr>
          <w:rFonts w:ascii="Arial" w:hAnsi="Arial" w:cs="Arial"/>
          <w:i/>
        </w:rPr>
        <w:t xml:space="preserve"> Investments (Pty) Ltd &amp; Others</w:t>
      </w:r>
      <w:r w:rsidRPr="007F1DAD">
        <w:rPr>
          <w:rFonts w:ascii="Arial" w:hAnsi="Arial" w:cs="Arial"/>
        </w:rPr>
        <w:t xml:space="preserve"> 1999 (4) SA 229 (C) at 235A–C</w:t>
      </w:r>
      <w:r w:rsidR="007F1DAD">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06981"/>
      <w:docPartObj>
        <w:docPartGallery w:val="Page Numbers (Top of Page)"/>
        <w:docPartUnique/>
      </w:docPartObj>
    </w:sdtPr>
    <w:sdtEndPr>
      <w:rPr>
        <w:noProof/>
      </w:rPr>
    </w:sdtEndPr>
    <w:sdtContent>
      <w:p w:rsidR="0032762B" w:rsidRDefault="0032762B">
        <w:pPr>
          <w:pStyle w:val="Header"/>
          <w:jc w:val="right"/>
        </w:pPr>
        <w:r w:rsidRPr="0032762B">
          <w:rPr>
            <w:rFonts w:ascii="Arial" w:hAnsi="Arial" w:cs="Arial"/>
            <w:sz w:val="24"/>
            <w:szCs w:val="24"/>
          </w:rPr>
          <w:fldChar w:fldCharType="begin"/>
        </w:r>
        <w:r w:rsidRPr="0032762B">
          <w:rPr>
            <w:rFonts w:ascii="Arial" w:hAnsi="Arial" w:cs="Arial"/>
            <w:sz w:val="24"/>
            <w:szCs w:val="24"/>
          </w:rPr>
          <w:instrText xml:space="preserve"> PAGE   \* MERGEFORMAT </w:instrText>
        </w:r>
        <w:r w:rsidRPr="0032762B">
          <w:rPr>
            <w:rFonts w:ascii="Arial" w:hAnsi="Arial" w:cs="Arial"/>
            <w:sz w:val="24"/>
            <w:szCs w:val="24"/>
          </w:rPr>
          <w:fldChar w:fldCharType="separate"/>
        </w:r>
        <w:r w:rsidR="006F22D7">
          <w:rPr>
            <w:rFonts w:ascii="Arial" w:hAnsi="Arial" w:cs="Arial"/>
            <w:noProof/>
            <w:sz w:val="24"/>
            <w:szCs w:val="24"/>
          </w:rPr>
          <w:t>9</w:t>
        </w:r>
        <w:r w:rsidRPr="0032762B">
          <w:rPr>
            <w:rFonts w:ascii="Arial" w:hAnsi="Arial" w:cs="Arial"/>
            <w:noProof/>
            <w:sz w:val="24"/>
            <w:szCs w:val="24"/>
          </w:rPr>
          <w:fldChar w:fldCharType="end"/>
        </w:r>
      </w:p>
    </w:sdtContent>
  </w:sdt>
  <w:p w:rsidR="0032762B" w:rsidRDefault="00327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E86"/>
    <w:multiLevelType w:val="hybridMultilevel"/>
    <w:tmpl w:val="64EC4AF6"/>
    <w:lvl w:ilvl="0" w:tplc="02B4FC7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0780C"/>
    <w:multiLevelType w:val="hybridMultilevel"/>
    <w:tmpl w:val="65D2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33A46"/>
    <w:multiLevelType w:val="hybridMultilevel"/>
    <w:tmpl w:val="65D2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A4D0F"/>
    <w:multiLevelType w:val="hybridMultilevel"/>
    <w:tmpl w:val="65D2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D3B0B"/>
    <w:multiLevelType w:val="hybridMultilevel"/>
    <w:tmpl w:val="C5E0D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D7481"/>
    <w:multiLevelType w:val="hybridMultilevel"/>
    <w:tmpl w:val="DA3CC500"/>
    <w:lvl w:ilvl="0" w:tplc="1C09000F">
      <w:start w:val="1"/>
      <w:numFmt w:val="decimal"/>
      <w:lvlText w:val="%1."/>
      <w:lvlJc w:val="left"/>
      <w:pPr>
        <w:ind w:left="6739" w:hanging="360"/>
      </w:pPr>
    </w:lvl>
    <w:lvl w:ilvl="1" w:tplc="1C090019">
      <w:start w:val="1"/>
      <w:numFmt w:val="lowerLetter"/>
      <w:lvlText w:val="%2."/>
      <w:lvlJc w:val="left"/>
      <w:pPr>
        <w:ind w:left="7459" w:hanging="360"/>
      </w:pPr>
    </w:lvl>
    <w:lvl w:ilvl="2" w:tplc="1C09001B">
      <w:start w:val="1"/>
      <w:numFmt w:val="lowerRoman"/>
      <w:lvlText w:val="%3."/>
      <w:lvlJc w:val="right"/>
      <w:pPr>
        <w:ind w:left="8179" w:hanging="180"/>
      </w:pPr>
    </w:lvl>
    <w:lvl w:ilvl="3" w:tplc="1C09000F">
      <w:start w:val="1"/>
      <w:numFmt w:val="decimal"/>
      <w:lvlText w:val="%4."/>
      <w:lvlJc w:val="left"/>
      <w:pPr>
        <w:ind w:left="8899" w:hanging="360"/>
      </w:pPr>
    </w:lvl>
    <w:lvl w:ilvl="4" w:tplc="1C090019">
      <w:start w:val="1"/>
      <w:numFmt w:val="lowerLetter"/>
      <w:lvlText w:val="%5."/>
      <w:lvlJc w:val="left"/>
      <w:pPr>
        <w:ind w:left="9619" w:hanging="360"/>
      </w:pPr>
    </w:lvl>
    <w:lvl w:ilvl="5" w:tplc="1C09001B">
      <w:start w:val="1"/>
      <w:numFmt w:val="lowerRoman"/>
      <w:lvlText w:val="%6."/>
      <w:lvlJc w:val="right"/>
      <w:pPr>
        <w:ind w:left="10339" w:hanging="180"/>
      </w:pPr>
    </w:lvl>
    <w:lvl w:ilvl="6" w:tplc="1C09000F">
      <w:start w:val="1"/>
      <w:numFmt w:val="decimal"/>
      <w:lvlText w:val="%7."/>
      <w:lvlJc w:val="left"/>
      <w:pPr>
        <w:ind w:left="11059" w:hanging="360"/>
      </w:pPr>
    </w:lvl>
    <w:lvl w:ilvl="7" w:tplc="1C090019">
      <w:start w:val="1"/>
      <w:numFmt w:val="lowerLetter"/>
      <w:lvlText w:val="%8."/>
      <w:lvlJc w:val="left"/>
      <w:pPr>
        <w:ind w:left="11779" w:hanging="360"/>
      </w:pPr>
    </w:lvl>
    <w:lvl w:ilvl="8" w:tplc="1C09001B">
      <w:start w:val="1"/>
      <w:numFmt w:val="lowerRoman"/>
      <w:lvlText w:val="%9."/>
      <w:lvlJc w:val="right"/>
      <w:pPr>
        <w:ind w:left="12499" w:hanging="180"/>
      </w:pPr>
    </w:lvl>
  </w:abstractNum>
  <w:abstractNum w:abstractNumId="6">
    <w:nsid w:val="451217C9"/>
    <w:multiLevelType w:val="hybridMultilevel"/>
    <w:tmpl w:val="595C82EC"/>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D5243"/>
    <w:multiLevelType w:val="hybridMultilevel"/>
    <w:tmpl w:val="B88A3186"/>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B1679"/>
    <w:multiLevelType w:val="hybridMultilevel"/>
    <w:tmpl w:val="65D2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A628F"/>
    <w:multiLevelType w:val="hybridMultilevel"/>
    <w:tmpl w:val="C8B6961E"/>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F"/>
    <w:rsid w:val="000C3DA0"/>
    <w:rsid w:val="000D2C45"/>
    <w:rsid w:val="00121BA9"/>
    <w:rsid w:val="001244AD"/>
    <w:rsid w:val="00147510"/>
    <w:rsid w:val="001A59C6"/>
    <w:rsid w:val="00224183"/>
    <w:rsid w:val="00232E8D"/>
    <w:rsid w:val="00233E8D"/>
    <w:rsid w:val="00281D1A"/>
    <w:rsid w:val="002C471A"/>
    <w:rsid w:val="0032762B"/>
    <w:rsid w:val="0033102D"/>
    <w:rsid w:val="00372A4C"/>
    <w:rsid w:val="00394231"/>
    <w:rsid w:val="003A3D79"/>
    <w:rsid w:val="003B5194"/>
    <w:rsid w:val="003D6819"/>
    <w:rsid w:val="00407F69"/>
    <w:rsid w:val="00447988"/>
    <w:rsid w:val="00457FB0"/>
    <w:rsid w:val="004A4478"/>
    <w:rsid w:val="00521C44"/>
    <w:rsid w:val="00524188"/>
    <w:rsid w:val="00552B6F"/>
    <w:rsid w:val="00552C16"/>
    <w:rsid w:val="005D1F25"/>
    <w:rsid w:val="005E6526"/>
    <w:rsid w:val="00616B35"/>
    <w:rsid w:val="006876B5"/>
    <w:rsid w:val="006F22D7"/>
    <w:rsid w:val="00716BA6"/>
    <w:rsid w:val="0073659C"/>
    <w:rsid w:val="00760771"/>
    <w:rsid w:val="00773A20"/>
    <w:rsid w:val="007A285B"/>
    <w:rsid w:val="007E1A85"/>
    <w:rsid w:val="007F1DAD"/>
    <w:rsid w:val="0083108B"/>
    <w:rsid w:val="0083351F"/>
    <w:rsid w:val="008B0757"/>
    <w:rsid w:val="00903329"/>
    <w:rsid w:val="00915EA4"/>
    <w:rsid w:val="00925A71"/>
    <w:rsid w:val="009A7E75"/>
    <w:rsid w:val="009B022C"/>
    <w:rsid w:val="009E0CFE"/>
    <w:rsid w:val="00A42DE9"/>
    <w:rsid w:val="00AC3A33"/>
    <w:rsid w:val="00B164F7"/>
    <w:rsid w:val="00B42D53"/>
    <w:rsid w:val="00B47C20"/>
    <w:rsid w:val="00BA0BDA"/>
    <w:rsid w:val="00BB7A91"/>
    <w:rsid w:val="00BD7A6B"/>
    <w:rsid w:val="00BF734D"/>
    <w:rsid w:val="00C3188B"/>
    <w:rsid w:val="00C601C9"/>
    <w:rsid w:val="00C67A6F"/>
    <w:rsid w:val="00C72346"/>
    <w:rsid w:val="00CC4E63"/>
    <w:rsid w:val="00D27A48"/>
    <w:rsid w:val="00D33D61"/>
    <w:rsid w:val="00D95BB2"/>
    <w:rsid w:val="00D9799C"/>
    <w:rsid w:val="00E04A07"/>
    <w:rsid w:val="00E0743D"/>
    <w:rsid w:val="00E94C2B"/>
    <w:rsid w:val="00FB72BB"/>
    <w:rsid w:val="00FD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7EDC9-FFCF-4C78-BFF4-5CCFCFE2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2B6F"/>
    <w:pPr>
      <w:spacing w:after="0" w:line="240" w:lineRule="auto"/>
    </w:pPr>
    <w:rPr>
      <w:rFonts w:ascii="Calibri" w:eastAsia="Calibri" w:hAnsi="Calibri" w:cs="Times New Roman"/>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2B6F"/>
    <w:pPr>
      <w:spacing w:after="200" w:line="276" w:lineRule="auto"/>
      <w:ind w:left="720"/>
      <w:contextualSpacing/>
    </w:pPr>
  </w:style>
  <w:style w:type="paragraph" w:styleId="FootnoteText">
    <w:name w:val="footnote text"/>
    <w:basedOn w:val="Normal"/>
    <w:link w:val="FootnoteTextChar"/>
    <w:uiPriority w:val="99"/>
    <w:semiHidden/>
    <w:unhideWhenUsed/>
    <w:rsid w:val="008310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08B"/>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83108B"/>
    <w:rPr>
      <w:vertAlign w:val="superscript"/>
    </w:rPr>
  </w:style>
  <w:style w:type="paragraph" w:styleId="Header">
    <w:name w:val="header"/>
    <w:basedOn w:val="Normal"/>
    <w:link w:val="HeaderChar"/>
    <w:uiPriority w:val="99"/>
    <w:unhideWhenUsed/>
    <w:rsid w:val="00327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2B"/>
  </w:style>
  <w:style w:type="paragraph" w:styleId="Footer">
    <w:name w:val="footer"/>
    <w:basedOn w:val="Normal"/>
    <w:link w:val="FooterChar"/>
    <w:uiPriority w:val="99"/>
    <w:unhideWhenUsed/>
    <w:rsid w:val="00327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2B"/>
  </w:style>
  <w:style w:type="character" w:styleId="Emphasis">
    <w:name w:val="Emphasis"/>
    <w:basedOn w:val="DefaultParagraphFont"/>
    <w:uiPriority w:val="20"/>
    <w:qFormat/>
    <w:rsid w:val="00716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2023-09-28T18:30:00+00:00</Judgment_x0020_Date>
    <Year xmlns="c1afb1bd-f2fb-40fd-9abb-aea55b4d7662">2023</Year>
  </documentManagement>
</p:properties>
</file>

<file path=customXml/itemProps1.xml><?xml version="1.0" encoding="utf-8"?>
<ds:datastoreItem xmlns:ds="http://schemas.openxmlformats.org/officeDocument/2006/customXml" ds:itemID="{CC00D3EB-0B4D-44D2-8590-0117FE586043}"/>
</file>

<file path=customXml/itemProps2.xml><?xml version="1.0" encoding="utf-8"?>
<ds:datastoreItem xmlns:ds="http://schemas.openxmlformats.org/officeDocument/2006/customXml" ds:itemID="{59452834-1AF3-4853-8836-EADAC180DB14}"/>
</file>

<file path=customXml/itemProps3.xml><?xml version="1.0" encoding="utf-8"?>
<ds:datastoreItem xmlns:ds="http://schemas.openxmlformats.org/officeDocument/2006/customXml" ds:itemID="{0D421318-7F4F-44D1-A908-B850DC940C37}"/>
</file>

<file path=customXml/itemProps4.xml><?xml version="1.0" encoding="utf-8"?>
<ds:datastoreItem xmlns:ds="http://schemas.openxmlformats.org/officeDocument/2006/customXml" ds:itemID="{8BA31F3B-5ED7-48DA-BBE9-DF25A0BBB1EA}"/>
</file>

<file path=docProps/app.xml><?xml version="1.0" encoding="utf-8"?>
<Properties xmlns="http://schemas.openxmlformats.org/officeDocument/2006/extended-properties" xmlns:vt="http://schemas.openxmlformats.org/officeDocument/2006/docPropsVTypes">
  <Template>Normal</Template>
  <TotalTime>3</TotalTime>
  <Pages>10</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Zannier Hotels Nam (Pty) Ltd v Day Dreamers Invest CC (HC-MD-CIV-ACT-CON-2023-02113) [2023] NAHCMD 606 (29 Sep 2023)</dc:title>
  <dc:subject/>
  <dc:creator>Hazel Davids</dc:creator>
  <cp:keywords/>
  <dc:description/>
  <cp:lastModifiedBy>Hazel Davids</cp:lastModifiedBy>
  <cp:revision>3</cp:revision>
  <cp:lastPrinted>2023-09-29T08:12:00Z</cp:lastPrinted>
  <dcterms:created xsi:type="dcterms:W3CDTF">2023-09-29T08:10:00Z</dcterms:created>
  <dcterms:modified xsi:type="dcterms:W3CDTF">2023-09-29T08:13:00Z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