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52B22" w14:textId="77777777" w:rsidR="00D94726" w:rsidRPr="0049438F" w:rsidRDefault="00D94726" w:rsidP="00D94726">
      <w:pPr>
        <w:pStyle w:val="ListParagraph"/>
        <w:spacing w:after="0" w:line="360" w:lineRule="auto"/>
        <w:ind w:left="3240" w:firstLine="720"/>
        <w:rPr>
          <w:rFonts w:eastAsia="Calibri"/>
          <w:b/>
          <w:color w:val="000000" w:themeColor="text1"/>
          <w:szCs w:val="24"/>
        </w:rPr>
      </w:pPr>
      <w:r w:rsidRPr="00B801E6">
        <w:rPr>
          <w:noProof/>
          <w:lang w:val="en-US" w:eastAsia="en-US"/>
        </w:rPr>
        <mc:AlternateContent>
          <mc:Choice Requires="wps">
            <w:drawing>
              <wp:anchor distT="0" distB="0" distL="114300" distR="114300" simplePos="0" relativeHeight="251659264" behindDoc="0" locked="0" layoutInCell="1" allowOverlap="1" wp14:anchorId="71B7AB08" wp14:editId="2E2948AB">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0D35C7F8" w14:textId="77777777" w:rsidR="00CC278E" w:rsidRDefault="00CC278E" w:rsidP="00D94726">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7AB08"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0D35C7F8" w14:textId="77777777" w:rsidR="00CC278E" w:rsidRDefault="00CC278E" w:rsidP="00D94726">
                      <w:pPr>
                        <w:jc w:val="right"/>
                      </w:pPr>
                    </w:p>
                  </w:txbxContent>
                </v:textbox>
              </v:shape>
            </w:pict>
          </mc:Fallback>
        </mc:AlternateContent>
      </w:r>
      <w:r w:rsidRPr="0049438F">
        <w:rPr>
          <w:rFonts w:eastAsia="Calibri"/>
          <w:b/>
          <w:color w:val="000000" w:themeColor="text1"/>
          <w:szCs w:val="24"/>
        </w:rPr>
        <w:t>REPUBLIC OF NAMIBIA</w:t>
      </w:r>
    </w:p>
    <w:p w14:paraId="4014A965" w14:textId="77777777" w:rsidR="00D94726" w:rsidRPr="0049438F" w:rsidRDefault="00D94726" w:rsidP="00D94726">
      <w:pPr>
        <w:spacing w:after="0" w:line="360" w:lineRule="auto"/>
        <w:ind w:left="3960" w:firstLine="360"/>
        <w:rPr>
          <w:rFonts w:eastAsia="Calibri"/>
          <w:b/>
          <w:color w:val="000000" w:themeColor="text1"/>
          <w:szCs w:val="24"/>
        </w:rPr>
      </w:pPr>
      <w:r w:rsidRPr="00B801E6">
        <w:rPr>
          <w:noProof/>
          <w:lang w:val="en-US" w:eastAsia="en-US"/>
        </w:rPr>
        <w:drawing>
          <wp:inline distT="0" distB="0" distL="0" distR="0" wp14:anchorId="00D59E38" wp14:editId="1E237282">
            <wp:extent cx="1280160" cy="1325880"/>
            <wp:effectExtent l="0" t="0" r="0" b="7620"/>
            <wp:docPr id="3" name="Picture 3"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1325880"/>
                    </a:xfrm>
                    <a:prstGeom prst="rect">
                      <a:avLst/>
                    </a:prstGeom>
                    <a:noFill/>
                    <a:ln>
                      <a:noFill/>
                    </a:ln>
                  </pic:spPr>
                </pic:pic>
              </a:graphicData>
            </a:graphic>
          </wp:inline>
        </w:drawing>
      </w:r>
    </w:p>
    <w:p w14:paraId="73B34CD9" w14:textId="4B831D88" w:rsidR="00D94726" w:rsidRDefault="00F43AEE" w:rsidP="00F43AEE">
      <w:pPr>
        <w:pStyle w:val="ListParagraph"/>
        <w:spacing w:after="0" w:line="360" w:lineRule="auto"/>
        <w:ind w:left="1440" w:firstLine="0"/>
        <w:rPr>
          <w:rFonts w:eastAsia="Calibri"/>
          <w:b/>
          <w:color w:val="000000" w:themeColor="text1"/>
          <w:szCs w:val="24"/>
        </w:rPr>
      </w:pPr>
      <w:r w:rsidRPr="008F4A7D">
        <w:rPr>
          <w:rFonts w:eastAsia="Calibri"/>
          <w:b/>
          <w:color w:val="000000" w:themeColor="text1"/>
          <w:szCs w:val="24"/>
        </w:rPr>
        <w:t>IN THE</w:t>
      </w:r>
      <w:r>
        <w:rPr>
          <w:rFonts w:eastAsia="Calibri"/>
          <w:b/>
          <w:color w:val="000000" w:themeColor="text1"/>
          <w:szCs w:val="24"/>
        </w:rPr>
        <w:t xml:space="preserve"> </w:t>
      </w:r>
      <w:r w:rsidR="00D94726" w:rsidRPr="0049438F">
        <w:rPr>
          <w:rFonts w:eastAsia="Calibri"/>
          <w:b/>
          <w:color w:val="000000" w:themeColor="text1"/>
          <w:szCs w:val="24"/>
        </w:rPr>
        <w:t>HIGH COURT OF NAMIBIA MAIN DIVISION, WINDHOEK</w:t>
      </w:r>
    </w:p>
    <w:p w14:paraId="409813C6" w14:textId="77777777" w:rsidR="00D94726" w:rsidRPr="0049438F" w:rsidRDefault="00D94726" w:rsidP="00D94726">
      <w:pPr>
        <w:pStyle w:val="ListParagraph"/>
        <w:spacing w:after="0" w:line="360" w:lineRule="auto"/>
        <w:ind w:left="1440" w:firstLine="720"/>
        <w:rPr>
          <w:rFonts w:eastAsia="Calibri"/>
          <w:bCs/>
          <w:color w:val="000000" w:themeColor="text1"/>
          <w:szCs w:val="24"/>
        </w:rPr>
      </w:pPr>
    </w:p>
    <w:p w14:paraId="253B5EFC" w14:textId="7C5C8575" w:rsidR="00D94726" w:rsidRPr="0049438F" w:rsidRDefault="00D94726" w:rsidP="00117433">
      <w:pPr>
        <w:pStyle w:val="ListParagraph"/>
        <w:tabs>
          <w:tab w:val="right" w:pos="9000"/>
        </w:tabs>
        <w:spacing w:after="0" w:line="360" w:lineRule="auto"/>
        <w:jc w:val="center"/>
        <w:rPr>
          <w:rFonts w:eastAsia="Calibri"/>
          <w:b/>
          <w:color w:val="000000" w:themeColor="text1"/>
          <w:szCs w:val="24"/>
        </w:rPr>
      </w:pPr>
      <w:r w:rsidRPr="0049438F">
        <w:rPr>
          <w:rFonts w:eastAsia="Calibri"/>
          <w:b/>
          <w:color w:val="000000" w:themeColor="text1"/>
          <w:szCs w:val="24"/>
        </w:rPr>
        <w:t>JUDGMENT</w:t>
      </w:r>
    </w:p>
    <w:p w14:paraId="77739905" w14:textId="77777777" w:rsidR="00F82003" w:rsidRPr="00F82003" w:rsidRDefault="00F82003" w:rsidP="00F82003">
      <w:pPr>
        <w:spacing w:after="157"/>
        <w:ind w:left="0" w:firstLine="0"/>
        <w:jc w:val="center"/>
        <w:rPr>
          <w:b/>
          <w:bCs/>
        </w:rPr>
      </w:pPr>
    </w:p>
    <w:p w14:paraId="66A8D788" w14:textId="4D56BF96" w:rsidR="00F82003" w:rsidRPr="00F43AEE" w:rsidRDefault="00F82003" w:rsidP="00F82003">
      <w:pPr>
        <w:spacing w:after="157"/>
        <w:ind w:left="0" w:firstLine="0"/>
        <w:jc w:val="right"/>
        <w:rPr>
          <w:bCs/>
        </w:rPr>
      </w:pPr>
      <w:r w:rsidRPr="00F82003">
        <w:rPr>
          <w:b/>
          <w:bCs/>
        </w:rPr>
        <w:t xml:space="preserve">Case </w:t>
      </w:r>
      <w:r w:rsidR="00270268">
        <w:rPr>
          <w:b/>
          <w:bCs/>
        </w:rPr>
        <w:t>No</w:t>
      </w:r>
      <w:r w:rsidRPr="00F82003">
        <w:rPr>
          <w:b/>
          <w:bCs/>
        </w:rPr>
        <w:t xml:space="preserve">: </w:t>
      </w:r>
      <w:r w:rsidRPr="008F4A7D">
        <w:rPr>
          <w:bCs/>
        </w:rPr>
        <w:t>HC-MD-CIV-MOT-REV-2022/00242</w:t>
      </w:r>
    </w:p>
    <w:p w14:paraId="76615E8F" w14:textId="77777777" w:rsidR="00F82003" w:rsidRPr="00F82003" w:rsidRDefault="00F82003" w:rsidP="00F82003">
      <w:pPr>
        <w:spacing w:after="157"/>
        <w:ind w:left="0" w:firstLine="0"/>
      </w:pPr>
      <w:r w:rsidRPr="00F82003">
        <w:t>In the matter between:</w:t>
      </w:r>
    </w:p>
    <w:p w14:paraId="3FEBADAB" w14:textId="77777777" w:rsidR="00F82003" w:rsidRPr="00F82003" w:rsidRDefault="00F82003" w:rsidP="00F82003">
      <w:pPr>
        <w:spacing w:after="157"/>
        <w:ind w:left="0" w:firstLine="0"/>
        <w:rPr>
          <w:b/>
          <w:bCs/>
        </w:rPr>
      </w:pPr>
    </w:p>
    <w:p w14:paraId="0976B148" w14:textId="619B5DDC" w:rsidR="00F82003" w:rsidRDefault="00F82003" w:rsidP="00270268">
      <w:pPr>
        <w:spacing w:after="0" w:line="360" w:lineRule="auto"/>
        <w:ind w:left="0" w:firstLine="0"/>
        <w:rPr>
          <w:b/>
          <w:bCs/>
        </w:rPr>
      </w:pPr>
      <w:r w:rsidRPr="00F82003">
        <w:rPr>
          <w:b/>
          <w:bCs/>
        </w:rPr>
        <w:t>JAN BENEDICKTUS FREDERICKS</w:t>
      </w:r>
      <w:r>
        <w:rPr>
          <w:b/>
          <w:bCs/>
        </w:rPr>
        <w:tab/>
      </w:r>
      <w:r>
        <w:rPr>
          <w:b/>
          <w:bCs/>
        </w:rPr>
        <w:tab/>
      </w:r>
      <w:r>
        <w:rPr>
          <w:b/>
          <w:bCs/>
        </w:rPr>
        <w:tab/>
      </w:r>
      <w:r>
        <w:rPr>
          <w:b/>
          <w:bCs/>
        </w:rPr>
        <w:tab/>
      </w:r>
      <w:r>
        <w:rPr>
          <w:b/>
          <w:bCs/>
        </w:rPr>
        <w:tab/>
      </w:r>
      <w:r w:rsidRPr="00F82003">
        <w:rPr>
          <w:b/>
          <w:bCs/>
        </w:rPr>
        <w:t>APPLICANT</w:t>
      </w:r>
    </w:p>
    <w:p w14:paraId="328EFB7E" w14:textId="0A5F555B" w:rsidR="00F82003" w:rsidRDefault="00F82003" w:rsidP="00270268">
      <w:pPr>
        <w:spacing w:after="0" w:line="360" w:lineRule="auto"/>
        <w:ind w:left="0" w:firstLine="0"/>
        <w:rPr>
          <w:b/>
          <w:bCs/>
        </w:rPr>
      </w:pPr>
    </w:p>
    <w:p w14:paraId="4F33A761" w14:textId="01ADF308" w:rsidR="00F82003" w:rsidRPr="00270268" w:rsidRDefault="00270268" w:rsidP="00270268">
      <w:pPr>
        <w:spacing w:after="0" w:line="360" w:lineRule="auto"/>
        <w:ind w:left="0" w:firstLine="0"/>
        <w:rPr>
          <w:bCs/>
        </w:rPr>
      </w:pPr>
      <w:r>
        <w:rPr>
          <w:bCs/>
        </w:rPr>
        <w:t>a</w:t>
      </w:r>
      <w:r w:rsidR="00F82003" w:rsidRPr="00270268">
        <w:rPr>
          <w:bCs/>
        </w:rPr>
        <w:t xml:space="preserve">nd </w:t>
      </w:r>
    </w:p>
    <w:p w14:paraId="097F7697" w14:textId="77777777" w:rsidR="00F82003" w:rsidRPr="00F82003" w:rsidRDefault="00F82003" w:rsidP="00270268">
      <w:pPr>
        <w:spacing w:after="0" w:line="360" w:lineRule="auto"/>
        <w:ind w:left="0" w:firstLine="0"/>
        <w:rPr>
          <w:b/>
          <w:bCs/>
        </w:rPr>
      </w:pPr>
    </w:p>
    <w:p w14:paraId="297BC936" w14:textId="24123B74" w:rsidR="00F82003" w:rsidRPr="00F82003" w:rsidRDefault="00F82003" w:rsidP="00270268">
      <w:pPr>
        <w:spacing w:after="0" w:line="360" w:lineRule="auto"/>
        <w:ind w:left="0" w:firstLine="0"/>
        <w:rPr>
          <w:b/>
          <w:bCs/>
        </w:rPr>
      </w:pPr>
      <w:r w:rsidRPr="00F82003">
        <w:rPr>
          <w:b/>
          <w:bCs/>
        </w:rPr>
        <w:t>THE PROSECUTOR-GENERAL</w:t>
      </w:r>
      <w:r w:rsidRPr="00F82003">
        <w:rPr>
          <w:b/>
          <w:bCs/>
        </w:rPr>
        <w:tab/>
      </w:r>
      <w:r>
        <w:rPr>
          <w:b/>
          <w:bCs/>
        </w:rPr>
        <w:tab/>
      </w:r>
      <w:r>
        <w:rPr>
          <w:b/>
          <w:bCs/>
        </w:rPr>
        <w:tab/>
      </w:r>
      <w:r>
        <w:rPr>
          <w:b/>
          <w:bCs/>
        </w:rPr>
        <w:tab/>
      </w:r>
      <w:r>
        <w:rPr>
          <w:b/>
          <w:bCs/>
        </w:rPr>
        <w:tab/>
      </w:r>
      <w:r w:rsidR="009F28AF">
        <w:rPr>
          <w:b/>
          <w:bCs/>
        </w:rPr>
        <w:t xml:space="preserve">  </w:t>
      </w:r>
      <w:r w:rsidRPr="00F82003">
        <w:rPr>
          <w:b/>
          <w:bCs/>
        </w:rPr>
        <w:t>1</w:t>
      </w:r>
      <w:r w:rsidRPr="00F43AEE">
        <w:rPr>
          <w:b/>
          <w:bCs/>
          <w:vertAlign w:val="superscript"/>
        </w:rPr>
        <w:t>st</w:t>
      </w:r>
      <w:r w:rsidR="00F43AEE">
        <w:rPr>
          <w:b/>
          <w:bCs/>
        </w:rPr>
        <w:t xml:space="preserve"> </w:t>
      </w:r>
      <w:r w:rsidRPr="00F82003">
        <w:rPr>
          <w:b/>
          <w:bCs/>
        </w:rPr>
        <w:t>RESPONDENT</w:t>
      </w:r>
    </w:p>
    <w:p w14:paraId="0CE2DCFC" w14:textId="3BCCD384" w:rsidR="00F82003" w:rsidRPr="00F82003" w:rsidRDefault="00F82003" w:rsidP="00F82003">
      <w:pPr>
        <w:spacing w:after="157"/>
        <w:ind w:left="0" w:firstLine="0"/>
        <w:rPr>
          <w:b/>
          <w:bCs/>
        </w:rPr>
      </w:pPr>
      <w:r w:rsidRPr="00F82003">
        <w:rPr>
          <w:b/>
          <w:bCs/>
        </w:rPr>
        <w:t>MAGISTRATE KAMBINDA</w:t>
      </w:r>
      <w:r w:rsidRPr="00F82003">
        <w:rPr>
          <w:b/>
          <w:bCs/>
        </w:rPr>
        <w:tab/>
      </w:r>
      <w:r>
        <w:rPr>
          <w:b/>
          <w:bCs/>
        </w:rPr>
        <w:tab/>
      </w:r>
      <w:r>
        <w:rPr>
          <w:b/>
          <w:bCs/>
        </w:rPr>
        <w:tab/>
      </w:r>
      <w:r>
        <w:rPr>
          <w:b/>
          <w:bCs/>
        </w:rPr>
        <w:tab/>
      </w:r>
      <w:r>
        <w:rPr>
          <w:b/>
          <w:bCs/>
        </w:rPr>
        <w:tab/>
      </w:r>
      <w:r w:rsidR="009F28AF">
        <w:rPr>
          <w:b/>
          <w:bCs/>
        </w:rPr>
        <w:t xml:space="preserve">  </w:t>
      </w:r>
      <w:r w:rsidRPr="00F82003">
        <w:rPr>
          <w:b/>
          <w:bCs/>
        </w:rPr>
        <w:t>2</w:t>
      </w:r>
      <w:r w:rsidRPr="00F43AEE">
        <w:rPr>
          <w:b/>
          <w:bCs/>
          <w:vertAlign w:val="superscript"/>
        </w:rPr>
        <w:t>nd</w:t>
      </w:r>
      <w:r w:rsidRPr="00F82003">
        <w:rPr>
          <w:b/>
          <w:bCs/>
        </w:rPr>
        <w:t xml:space="preserve"> RESPONDENT</w:t>
      </w:r>
    </w:p>
    <w:p w14:paraId="2F8CB289" w14:textId="653CB429" w:rsidR="00F82003" w:rsidRDefault="00F82003" w:rsidP="00F82003">
      <w:pPr>
        <w:spacing w:after="157"/>
        <w:ind w:left="0" w:firstLine="0"/>
        <w:rPr>
          <w:b/>
          <w:bCs/>
        </w:rPr>
      </w:pPr>
      <w:r w:rsidRPr="00F82003">
        <w:rPr>
          <w:b/>
          <w:bCs/>
        </w:rPr>
        <w:t>INSPECTOR-GENERAL SEBASTIAN NDEITUNGA</w:t>
      </w:r>
      <w:r w:rsidRPr="00F82003">
        <w:rPr>
          <w:b/>
          <w:bCs/>
        </w:rPr>
        <w:tab/>
      </w:r>
      <w:r>
        <w:rPr>
          <w:b/>
          <w:bCs/>
        </w:rPr>
        <w:tab/>
      </w:r>
      <w:r w:rsidR="009F28AF">
        <w:rPr>
          <w:b/>
          <w:bCs/>
        </w:rPr>
        <w:t xml:space="preserve">  </w:t>
      </w:r>
      <w:r w:rsidRPr="00F82003">
        <w:rPr>
          <w:b/>
          <w:bCs/>
        </w:rPr>
        <w:t>3</w:t>
      </w:r>
      <w:r w:rsidRPr="00F43AEE">
        <w:rPr>
          <w:b/>
          <w:bCs/>
          <w:vertAlign w:val="superscript"/>
        </w:rPr>
        <w:t>rd</w:t>
      </w:r>
      <w:r w:rsidRPr="00F82003">
        <w:rPr>
          <w:b/>
          <w:bCs/>
        </w:rPr>
        <w:t xml:space="preserve"> RESPONDENT</w:t>
      </w:r>
    </w:p>
    <w:p w14:paraId="06B830DE" w14:textId="77777777" w:rsidR="00AA4104" w:rsidRDefault="00AA4104" w:rsidP="006E2E48">
      <w:pPr>
        <w:spacing w:after="0" w:line="360" w:lineRule="auto"/>
        <w:ind w:left="0" w:firstLine="0"/>
        <w:rPr>
          <w:rFonts w:eastAsia="Calibri"/>
          <w:b/>
          <w:color w:val="auto"/>
          <w:kern w:val="0"/>
          <w:szCs w:val="24"/>
          <w:lang w:val="en-US" w:eastAsia="en-US"/>
          <w14:ligatures w14:val="none"/>
        </w:rPr>
      </w:pPr>
    </w:p>
    <w:p w14:paraId="6268655A" w14:textId="77777777" w:rsidR="00AA4104" w:rsidRDefault="00AA4104" w:rsidP="006E2E48">
      <w:pPr>
        <w:spacing w:after="0" w:line="360" w:lineRule="auto"/>
        <w:ind w:left="0" w:firstLine="0"/>
        <w:rPr>
          <w:rFonts w:eastAsia="Calibri"/>
          <w:b/>
          <w:color w:val="auto"/>
          <w:kern w:val="0"/>
          <w:szCs w:val="24"/>
          <w:lang w:val="en-US" w:eastAsia="en-US"/>
          <w14:ligatures w14:val="none"/>
        </w:rPr>
      </w:pPr>
    </w:p>
    <w:p w14:paraId="09512DD6" w14:textId="77777777" w:rsidR="00270268" w:rsidRDefault="006E2E48" w:rsidP="006E2E48">
      <w:pPr>
        <w:spacing w:after="0" w:line="360" w:lineRule="auto"/>
        <w:ind w:left="0" w:firstLine="0"/>
        <w:rPr>
          <w:bCs/>
        </w:rPr>
      </w:pPr>
      <w:r w:rsidRPr="006E2E48">
        <w:rPr>
          <w:rFonts w:eastAsia="Calibri"/>
          <w:b/>
          <w:color w:val="auto"/>
          <w:kern w:val="0"/>
          <w:szCs w:val="24"/>
          <w:lang w:val="en-US" w:eastAsia="en-US"/>
          <w14:ligatures w14:val="none"/>
        </w:rPr>
        <w:t>Neutral citation:</w:t>
      </w:r>
      <w:r w:rsidRPr="006E2E48">
        <w:rPr>
          <w:rFonts w:eastAsia="Calibri"/>
          <w:b/>
          <w:color w:val="auto"/>
          <w:kern w:val="0"/>
          <w:szCs w:val="24"/>
          <w:lang w:val="en-US" w:eastAsia="en-US"/>
          <w14:ligatures w14:val="none"/>
        </w:rPr>
        <w:tab/>
      </w:r>
      <w:bookmarkStart w:id="0" w:name="_GoBack"/>
      <w:r w:rsidR="00AA4104">
        <w:rPr>
          <w:rFonts w:eastAsia="Calibri"/>
          <w:i/>
          <w:color w:val="auto"/>
          <w:kern w:val="0"/>
          <w:szCs w:val="24"/>
          <w:lang w:val="en-US" w:eastAsia="en-US"/>
          <w14:ligatures w14:val="none"/>
        </w:rPr>
        <w:t>Fredericks</w:t>
      </w:r>
      <w:r w:rsidRPr="006E2E48">
        <w:rPr>
          <w:rFonts w:eastAsia="Calibri"/>
          <w:i/>
          <w:color w:val="auto"/>
          <w:kern w:val="0"/>
          <w:szCs w:val="24"/>
          <w:lang w:val="en-US" w:eastAsia="en-US"/>
          <w14:ligatures w14:val="none"/>
        </w:rPr>
        <w:t xml:space="preserve"> v </w:t>
      </w:r>
      <w:r w:rsidR="00F43AEE">
        <w:rPr>
          <w:rFonts w:eastAsia="Calibri"/>
          <w:i/>
          <w:color w:val="auto"/>
          <w:kern w:val="0"/>
          <w:szCs w:val="24"/>
          <w:shd w:val="clear" w:color="auto" w:fill="FFFFFF"/>
          <w:lang w:val="en-US" w:eastAsia="en-US"/>
          <w14:ligatures w14:val="none"/>
        </w:rPr>
        <w:t>The Prosecutor-</w:t>
      </w:r>
      <w:r w:rsidR="00AA4104">
        <w:rPr>
          <w:rFonts w:eastAsia="Calibri"/>
          <w:i/>
          <w:color w:val="auto"/>
          <w:kern w:val="0"/>
          <w:szCs w:val="24"/>
          <w:shd w:val="clear" w:color="auto" w:fill="FFFFFF"/>
          <w:lang w:val="en-US" w:eastAsia="en-US"/>
          <w14:ligatures w14:val="none"/>
        </w:rPr>
        <w:t>General</w:t>
      </w:r>
      <w:r w:rsidRPr="006E2E48">
        <w:rPr>
          <w:rFonts w:eastAsia="Calibri"/>
          <w:i/>
          <w:color w:val="auto"/>
          <w:kern w:val="0"/>
          <w:szCs w:val="24"/>
          <w:lang w:val="en-US" w:eastAsia="en-US"/>
          <w14:ligatures w14:val="none"/>
        </w:rPr>
        <w:t xml:space="preserve"> </w:t>
      </w:r>
      <w:r w:rsidRPr="006E2E48">
        <w:rPr>
          <w:rFonts w:eastAsia="Calibri"/>
          <w:color w:val="auto"/>
          <w:kern w:val="0"/>
          <w:szCs w:val="24"/>
          <w:lang w:val="en-US" w:eastAsia="en-US"/>
          <w14:ligatures w14:val="none"/>
        </w:rPr>
        <w:t>(</w:t>
      </w:r>
      <w:r w:rsidR="00AA4104" w:rsidRPr="00F43AEE">
        <w:rPr>
          <w:bCs/>
        </w:rPr>
        <w:t>HC-MD-CIV-MOT-REV-</w:t>
      </w:r>
    </w:p>
    <w:p w14:paraId="39C45564" w14:textId="76F1D4E7" w:rsidR="006E2E48" w:rsidRPr="006E2E48" w:rsidRDefault="00270268" w:rsidP="006E2E48">
      <w:pPr>
        <w:spacing w:after="0" w:line="360" w:lineRule="auto"/>
        <w:ind w:left="0" w:firstLine="0"/>
        <w:rPr>
          <w:rFonts w:eastAsia="Calibri"/>
          <w:color w:val="auto"/>
          <w:kern w:val="0"/>
          <w:szCs w:val="24"/>
          <w:lang w:val="en-US" w:eastAsia="en-US"/>
          <w14:ligatures w14:val="none"/>
        </w:rPr>
      </w:pPr>
      <w:r>
        <w:rPr>
          <w:bCs/>
        </w:rPr>
        <w:t xml:space="preserve">                                </w:t>
      </w:r>
      <w:r w:rsidR="00AA4104" w:rsidRPr="00F43AEE">
        <w:rPr>
          <w:bCs/>
        </w:rPr>
        <w:t>2022/00242</w:t>
      </w:r>
      <w:r w:rsidR="006E2E48" w:rsidRPr="006E2E48">
        <w:rPr>
          <w:rFonts w:eastAsia="Calibri"/>
          <w:color w:val="auto"/>
          <w:kern w:val="0"/>
          <w:szCs w:val="24"/>
          <w:lang w:val="en-US" w:eastAsia="en-US"/>
          <w14:ligatures w14:val="none"/>
        </w:rPr>
        <w:t>) [202</w:t>
      </w:r>
      <w:r w:rsidR="00AA4104">
        <w:rPr>
          <w:rFonts w:eastAsia="Calibri"/>
          <w:color w:val="auto"/>
          <w:kern w:val="0"/>
          <w:szCs w:val="24"/>
          <w:lang w:val="en-US" w:eastAsia="en-US"/>
          <w14:ligatures w14:val="none"/>
        </w:rPr>
        <w:t>3</w:t>
      </w:r>
      <w:r w:rsidR="006E2E48" w:rsidRPr="006E2E48">
        <w:rPr>
          <w:rFonts w:eastAsia="Calibri"/>
          <w:color w:val="auto"/>
          <w:kern w:val="0"/>
          <w:szCs w:val="24"/>
          <w:lang w:val="en-US" w:eastAsia="en-US"/>
          <w14:ligatures w14:val="none"/>
        </w:rPr>
        <w:t xml:space="preserve">] </w:t>
      </w:r>
      <w:r w:rsidR="00314E1B">
        <w:rPr>
          <w:rFonts w:eastAsia="Calibri"/>
          <w:color w:val="auto"/>
          <w:kern w:val="0"/>
          <w:szCs w:val="24"/>
          <w:lang w:val="en-US" w:eastAsia="en-US"/>
          <w14:ligatures w14:val="none"/>
        </w:rPr>
        <w:t>637</w:t>
      </w:r>
      <w:r w:rsidR="006E2E48" w:rsidRPr="006E2E48">
        <w:rPr>
          <w:rFonts w:eastAsia="Calibri"/>
          <w:color w:val="auto"/>
          <w:kern w:val="0"/>
          <w:szCs w:val="24"/>
          <w:lang w:val="en-US" w:eastAsia="en-US"/>
          <w14:ligatures w14:val="none"/>
        </w:rPr>
        <w:t xml:space="preserve"> </w:t>
      </w:r>
      <w:r w:rsidR="006E2E48" w:rsidRPr="008F4A7D">
        <w:rPr>
          <w:rFonts w:eastAsia="Calibri"/>
          <w:color w:val="auto"/>
          <w:kern w:val="0"/>
          <w:szCs w:val="24"/>
          <w:lang w:val="en-US" w:eastAsia="en-US"/>
          <w14:ligatures w14:val="none"/>
        </w:rPr>
        <w:t>(</w:t>
      </w:r>
      <w:r w:rsidR="00F43AEE" w:rsidRPr="008F4A7D">
        <w:rPr>
          <w:rFonts w:eastAsia="Calibri"/>
          <w:color w:val="auto"/>
          <w:kern w:val="0"/>
          <w:szCs w:val="24"/>
          <w:lang w:val="en-US" w:eastAsia="en-US"/>
          <w14:ligatures w14:val="none"/>
        </w:rPr>
        <w:t>10</w:t>
      </w:r>
      <w:r w:rsidR="006E2E48" w:rsidRPr="008F4A7D">
        <w:rPr>
          <w:rFonts w:eastAsia="Calibri"/>
          <w:color w:val="auto"/>
          <w:kern w:val="0"/>
          <w:szCs w:val="24"/>
          <w:lang w:val="en-US" w:eastAsia="en-US"/>
          <w14:ligatures w14:val="none"/>
        </w:rPr>
        <w:t xml:space="preserve"> October 202</w:t>
      </w:r>
      <w:r w:rsidR="00AA4104" w:rsidRPr="008F4A7D">
        <w:rPr>
          <w:rFonts w:eastAsia="Calibri"/>
          <w:color w:val="auto"/>
          <w:kern w:val="0"/>
          <w:szCs w:val="24"/>
          <w:lang w:val="en-US" w:eastAsia="en-US"/>
          <w14:ligatures w14:val="none"/>
        </w:rPr>
        <w:t>3</w:t>
      </w:r>
      <w:r w:rsidR="006E2E48" w:rsidRPr="008F4A7D">
        <w:rPr>
          <w:rFonts w:eastAsia="Calibri"/>
          <w:color w:val="auto"/>
          <w:kern w:val="0"/>
          <w:szCs w:val="24"/>
          <w:lang w:val="en-US" w:eastAsia="en-US"/>
          <w14:ligatures w14:val="none"/>
        </w:rPr>
        <w:t>)</w:t>
      </w:r>
    </w:p>
    <w:bookmarkEnd w:id="0"/>
    <w:p w14:paraId="3C0CBECF" w14:textId="77777777" w:rsidR="006E2E48" w:rsidRPr="006E2E48" w:rsidRDefault="006E2E48" w:rsidP="006E2E48">
      <w:pPr>
        <w:spacing w:after="0" w:line="360" w:lineRule="auto"/>
        <w:ind w:left="2160" w:hanging="2160"/>
        <w:rPr>
          <w:rFonts w:eastAsia="Calibri"/>
          <w:color w:val="auto"/>
          <w:kern w:val="0"/>
          <w:szCs w:val="24"/>
          <w:lang w:val="en-US" w:eastAsia="en-US"/>
          <w14:ligatures w14:val="none"/>
        </w:rPr>
      </w:pPr>
    </w:p>
    <w:p w14:paraId="5000F11A" w14:textId="77777777" w:rsidR="006E2E48" w:rsidRPr="006E2E48" w:rsidRDefault="006E2E48" w:rsidP="006E2E48">
      <w:pPr>
        <w:spacing w:after="0" w:line="360" w:lineRule="auto"/>
        <w:ind w:left="1440" w:hanging="1440"/>
        <w:rPr>
          <w:rFonts w:eastAsia="Calibri"/>
          <w:b/>
          <w:i/>
          <w:color w:val="auto"/>
          <w:kern w:val="0"/>
          <w:szCs w:val="24"/>
          <w:lang w:val="en-US" w:eastAsia="en-US"/>
          <w14:ligatures w14:val="none"/>
        </w:rPr>
      </w:pPr>
      <w:r w:rsidRPr="006E2E48">
        <w:rPr>
          <w:rFonts w:eastAsia="Calibri"/>
          <w:b/>
          <w:color w:val="auto"/>
          <w:kern w:val="0"/>
          <w:szCs w:val="24"/>
          <w:lang w:val="en-US" w:eastAsia="en-US"/>
          <w14:ligatures w14:val="none"/>
        </w:rPr>
        <w:t>Coram:</w:t>
      </w:r>
      <w:r w:rsidRPr="006E2E48">
        <w:rPr>
          <w:rFonts w:eastAsia="Calibri"/>
          <w:color w:val="auto"/>
          <w:kern w:val="0"/>
          <w:szCs w:val="24"/>
          <w:lang w:val="en-US" w:eastAsia="en-US"/>
          <w14:ligatures w14:val="none"/>
        </w:rPr>
        <w:tab/>
        <w:t>PRINSLOO J</w:t>
      </w:r>
    </w:p>
    <w:p w14:paraId="4F2E4D7C" w14:textId="637C63E5" w:rsidR="006E2E48" w:rsidRPr="006E2E48" w:rsidRDefault="006E2E48" w:rsidP="006E2E48">
      <w:pPr>
        <w:spacing w:after="0" w:line="360" w:lineRule="auto"/>
        <w:ind w:left="1440" w:hanging="1440"/>
        <w:rPr>
          <w:rFonts w:eastAsia="Calibri"/>
          <w:b/>
          <w:color w:val="auto"/>
          <w:kern w:val="0"/>
          <w:szCs w:val="24"/>
          <w:lang w:val="en-US" w:eastAsia="en-US"/>
          <w14:ligatures w14:val="none"/>
        </w:rPr>
      </w:pPr>
      <w:r w:rsidRPr="006E2E48">
        <w:rPr>
          <w:rFonts w:eastAsia="Calibri"/>
          <w:b/>
          <w:bCs/>
          <w:color w:val="auto"/>
          <w:kern w:val="0"/>
          <w:szCs w:val="24"/>
          <w:lang w:val="en-US" w:eastAsia="en-US"/>
          <w14:ligatures w14:val="none"/>
        </w:rPr>
        <w:t>Heard</w:t>
      </w:r>
      <w:r w:rsidRPr="006E2E48">
        <w:rPr>
          <w:rFonts w:eastAsia="Calibri"/>
          <w:color w:val="auto"/>
          <w:kern w:val="0"/>
          <w:szCs w:val="24"/>
          <w:lang w:val="en-US" w:eastAsia="en-US"/>
          <w14:ligatures w14:val="none"/>
        </w:rPr>
        <w:t>:</w:t>
      </w:r>
      <w:r w:rsidRPr="006E2E48">
        <w:rPr>
          <w:rFonts w:eastAsia="Calibri"/>
          <w:color w:val="auto"/>
          <w:kern w:val="0"/>
          <w:szCs w:val="24"/>
          <w:lang w:val="en-US" w:eastAsia="en-US"/>
          <w14:ligatures w14:val="none"/>
        </w:rPr>
        <w:tab/>
      </w:r>
      <w:r w:rsidR="009331F4">
        <w:rPr>
          <w:rFonts w:eastAsia="Calibri"/>
          <w:b/>
          <w:color w:val="auto"/>
          <w:kern w:val="0"/>
          <w:szCs w:val="24"/>
          <w:lang w:val="en-US" w:eastAsia="en-US"/>
          <w14:ligatures w14:val="none"/>
        </w:rPr>
        <w:t xml:space="preserve">31 </w:t>
      </w:r>
      <w:r>
        <w:rPr>
          <w:rFonts w:eastAsia="Calibri"/>
          <w:b/>
          <w:color w:val="auto"/>
          <w:kern w:val="0"/>
          <w:szCs w:val="24"/>
          <w:lang w:val="en-US" w:eastAsia="en-US"/>
          <w14:ligatures w14:val="none"/>
        </w:rPr>
        <w:t>July</w:t>
      </w:r>
      <w:r w:rsidRPr="006E2E48">
        <w:rPr>
          <w:rFonts w:eastAsia="Calibri"/>
          <w:b/>
          <w:color w:val="auto"/>
          <w:kern w:val="0"/>
          <w:szCs w:val="24"/>
          <w:lang w:val="en-US" w:eastAsia="en-US"/>
          <w14:ligatures w14:val="none"/>
        </w:rPr>
        <w:t xml:space="preserve"> 202</w:t>
      </w:r>
      <w:r>
        <w:rPr>
          <w:rFonts w:eastAsia="Calibri"/>
          <w:b/>
          <w:color w:val="auto"/>
          <w:kern w:val="0"/>
          <w:szCs w:val="24"/>
          <w:lang w:val="en-US" w:eastAsia="en-US"/>
          <w14:ligatures w14:val="none"/>
        </w:rPr>
        <w:t>3</w:t>
      </w:r>
    </w:p>
    <w:p w14:paraId="3E5F5C1F" w14:textId="2F3E6F55" w:rsidR="006E2E48" w:rsidRPr="006E2E48" w:rsidRDefault="006E2E48" w:rsidP="006E2E48">
      <w:pPr>
        <w:spacing w:after="0" w:line="360" w:lineRule="auto"/>
        <w:ind w:left="0" w:firstLine="0"/>
        <w:rPr>
          <w:rFonts w:eastAsia="Calibri"/>
          <w:b/>
          <w:color w:val="auto"/>
          <w:kern w:val="0"/>
          <w:szCs w:val="24"/>
          <w:lang w:val="en-US" w:eastAsia="en-US"/>
          <w14:ligatures w14:val="none"/>
        </w:rPr>
      </w:pPr>
      <w:r w:rsidRPr="006E2E48">
        <w:rPr>
          <w:rFonts w:eastAsia="Calibri"/>
          <w:b/>
          <w:bCs/>
          <w:color w:val="auto"/>
          <w:kern w:val="0"/>
          <w:szCs w:val="24"/>
          <w:lang w:val="en-US" w:eastAsia="en-US"/>
          <w14:ligatures w14:val="none"/>
        </w:rPr>
        <w:t>Delivered</w:t>
      </w:r>
      <w:r w:rsidRPr="006E2E48">
        <w:rPr>
          <w:rFonts w:eastAsia="Calibri"/>
          <w:color w:val="auto"/>
          <w:kern w:val="0"/>
          <w:szCs w:val="24"/>
          <w:lang w:val="en-US" w:eastAsia="en-US"/>
          <w14:ligatures w14:val="none"/>
        </w:rPr>
        <w:t>:</w:t>
      </w:r>
      <w:r w:rsidRPr="006E2E48">
        <w:rPr>
          <w:rFonts w:eastAsia="Calibri"/>
          <w:color w:val="auto"/>
          <w:kern w:val="0"/>
          <w:szCs w:val="24"/>
          <w:lang w:val="en-US" w:eastAsia="en-US"/>
          <w14:ligatures w14:val="none"/>
        </w:rPr>
        <w:tab/>
      </w:r>
      <w:r w:rsidR="00F43AEE" w:rsidRPr="008F4A7D">
        <w:rPr>
          <w:rFonts w:eastAsia="Calibri"/>
          <w:b/>
          <w:color w:val="auto"/>
          <w:kern w:val="0"/>
          <w:szCs w:val="24"/>
          <w:lang w:val="en-US" w:eastAsia="en-US"/>
          <w14:ligatures w14:val="none"/>
        </w:rPr>
        <w:t>10</w:t>
      </w:r>
      <w:r w:rsidRPr="008F4A7D">
        <w:rPr>
          <w:rFonts w:eastAsia="Calibri"/>
          <w:b/>
          <w:color w:val="auto"/>
          <w:kern w:val="0"/>
          <w:szCs w:val="24"/>
          <w:lang w:val="en-US" w:eastAsia="en-US"/>
          <w14:ligatures w14:val="none"/>
        </w:rPr>
        <w:t xml:space="preserve"> October 202</w:t>
      </w:r>
      <w:r w:rsidR="00AA4104" w:rsidRPr="008F4A7D">
        <w:rPr>
          <w:rFonts w:eastAsia="Calibri"/>
          <w:b/>
          <w:color w:val="auto"/>
          <w:kern w:val="0"/>
          <w:szCs w:val="24"/>
          <w:lang w:val="en-US" w:eastAsia="en-US"/>
          <w14:ligatures w14:val="none"/>
        </w:rPr>
        <w:t>3</w:t>
      </w:r>
    </w:p>
    <w:p w14:paraId="6B5DF570" w14:textId="77777777" w:rsidR="006E2E48" w:rsidRPr="006E2E48" w:rsidRDefault="006E2E48" w:rsidP="006E2E48">
      <w:pPr>
        <w:spacing w:after="0" w:line="360" w:lineRule="auto"/>
        <w:ind w:left="0" w:firstLine="0"/>
        <w:rPr>
          <w:rFonts w:eastAsia="Times New Roman"/>
          <w:color w:val="auto"/>
          <w:kern w:val="0"/>
          <w:szCs w:val="24"/>
          <w:lang w:val="en-GB" w:eastAsia="en-US"/>
          <w14:ligatures w14:val="none"/>
        </w:rPr>
      </w:pPr>
    </w:p>
    <w:p w14:paraId="0E9DC446" w14:textId="1890A26E" w:rsidR="006E2E48" w:rsidRPr="00117433" w:rsidRDefault="006E2E48" w:rsidP="006E2E48">
      <w:pPr>
        <w:spacing w:after="0" w:line="360" w:lineRule="auto"/>
        <w:ind w:left="0" w:firstLine="0"/>
        <w:rPr>
          <w:rFonts w:eastAsia="Calibri"/>
          <w:bCs/>
          <w:color w:val="auto"/>
          <w:kern w:val="0"/>
          <w:szCs w:val="24"/>
          <w:lang w:val="en-US" w:eastAsia="en-US"/>
          <w14:ligatures w14:val="none"/>
        </w:rPr>
      </w:pPr>
      <w:r w:rsidRPr="006E2E48">
        <w:rPr>
          <w:rFonts w:eastAsia="Calibri"/>
          <w:b/>
          <w:color w:val="auto"/>
          <w:kern w:val="0"/>
          <w:szCs w:val="24"/>
          <w:lang w:val="en-US" w:eastAsia="en-US"/>
          <w14:ligatures w14:val="none"/>
        </w:rPr>
        <w:t xml:space="preserve">Flynote: </w:t>
      </w:r>
      <w:r w:rsidR="00F43AEE">
        <w:rPr>
          <w:rFonts w:eastAsia="Calibri"/>
          <w:b/>
          <w:color w:val="auto"/>
          <w:kern w:val="0"/>
          <w:szCs w:val="24"/>
          <w:lang w:val="en-US" w:eastAsia="en-US"/>
          <w14:ligatures w14:val="none"/>
        </w:rPr>
        <w:tab/>
      </w:r>
      <w:r w:rsidR="00AA4104" w:rsidRPr="00117433">
        <w:rPr>
          <w:rFonts w:eastAsia="Calibri"/>
          <w:bCs/>
          <w:color w:val="auto"/>
          <w:kern w:val="0"/>
          <w:szCs w:val="24"/>
          <w:lang w:eastAsia="en-US"/>
          <w14:ligatures w14:val="none"/>
        </w:rPr>
        <w:t>Review Application</w:t>
      </w:r>
      <w:r w:rsidR="00117433" w:rsidRPr="00117433">
        <w:rPr>
          <w:rFonts w:eastAsia="Calibri"/>
          <w:bCs/>
          <w:color w:val="auto"/>
          <w:kern w:val="0"/>
          <w:szCs w:val="24"/>
          <w:lang w:eastAsia="en-US"/>
          <w14:ligatures w14:val="none"/>
        </w:rPr>
        <w:t xml:space="preserve"> – Rule 76 – Magistrates </w:t>
      </w:r>
      <w:r w:rsidR="00270268">
        <w:rPr>
          <w:rFonts w:eastAsia="Calibri"/>
          <w:bCs/>
          <w:color w:val="auto"/>
          <w:kern w:val="0"/>
          <w:szCs w:val="24"/>
          <w:lang w:eastAsia="en-US"/>
          <w14:ligatures w14:val="none"/>
        </w:rPr>
        <w:t>c</w:t>
      </w:r>
      <w:r w:rsidR="00117433" w:rsidRPr="00117433">
        <w:rPr>
          <w:rFonts w:eastAsia="Calibri"/>
          <w:bCs/>
          <w:color w:val="auto"/>
          <w:kern w:val="0"/>
          <w:szCs w:val="24"/>
          <w:lang w:eastAsia="en-US"/>
          <w14:ligatures w14:val="none"/>
        </w:rPr>
        <w:t xml:space="preserve">ourt proceedings held in terms of s 32 (1) of the Prevention of Organised Crime Act 29 of 2004 (POCA) </w:t>
      </w:r>
      <w:r w:rsidR="00481D35">
        <w:rPr>
          <w:rFonts w:eastAsia="Calibri"/>
          <w:bCs/>
          <w:color w:val="auto"/>
          <w:kern w:val="0"/>
          <w:szCs w:val="24"/>
          <w:lang w:eastAsia="en-US"/>
          <w14:ligatures w14:val="none"/>
        </w:rPr>
        <w:lastRenderedPageBreak/>
        <w:t xml:space="preserve">Reviewing </w:t>
      </w:r>
      <w:r w:rsidR="00270268">
        <w:rPr>
          <w:rFonts w:eastAsia="Calibri"/>
          <w:bCs/>
          <w:color w:val="auto"/>
          <w:kern w:val="0"/>
          <w:szCs w:val="24"/>
          <w:lang w:eastAsia="en-US"/>
          <w14:ligatures w14:val="none"/>
        </w:rPr>
        <w:t>c</w:t>
      </w:r>
      <w:r w:rsidR="00481D35">
        <w:rPr>
          <w:rFonts w:eastAsia="Calibri"/>
          <w:bCs/>
          <w:color w:val="auto"/>
          <w:kern w:val="0"/>
          <w:szCs w:val="24"/>
          <w:lang w:eastAsia="en-US"/>
          <w14:ligatures w14:val="none"/>
        </w:rPr>
        <w:t xml:space="preserve">ourt </w:t>
      </w:r>
      <w:r w:rsidR="00481D35" w:rsidRPr="00481D35">
        <w:rPr>
          <w:rFonts w:eastAsia="Calibri"/>
          <w:bCs/>
          <w:color w:val="auto"/>
          <w:kern w:val="0"/>
          <w:szCs w:val="24"/>
          <w:lang w:eastAsia="en-US"/>
          <w14:ligatures w14:val="none"/>
        </w:rPr>
        <w:t xml:space="preserve">finds no irregularity that may vitiate the proceedings – </w:t>
      </w:r>
      <w:r w:rsidR="00117433" w:rsidRPr="00117433">
        <w:rPr>
          <w:rFonts w:eastAsia="Calibri"/>
          <w:bCs/>
          <w:color w:val="auto"/>
          <w:kern w:val="0"/>
          <w:szCs w:val="24"/>
          <w:lang w:eastAsia="en-US"/>
          <w14:ligatures w14:val="none"/>
        </w:rPr>
        <w:t>No merit in applicant’s application – Review application dismissed.</w:t>
      </w:r>
    </w:p>
    <w:p w14:paraId="557F6B33" w14:textId="77777777" w:rsidR="006E2E48" w:rsidRDefault="006E2E48" w:rsidP="006E2E48">
      <w:pPr>
        <w:spacing w:after="0" w:line="360" w:lineRule="auto"/>
        <w:ind w:left="0" w:firstLine="0"/>
        <w:rPr>
          <w:rFonts w:eastAsia="Calibri"/>
          <w:bCs/>
          <w:color w:val="auto"/>
          <w:kern w:val="0"/>
          <w:szCs w:val="24"/>
          <w:lang w:val="en-US" w:eastAsia="en-US"/>
          <w14:ligatures w14:val="none"/>
        </w:rPr>
      </w:pPr>
    </w:p>
    <w:p w14:paraId="5259F24D" w14:textId="7FB404F0" w:rsidR="00AA4104" w:rsidRDefault="006E2E48" w:rsidP="006E2E48">
      <w:pPr>
        <w:spacing w:after="0" w:line="360" w:lineRule="auto"/>
        <w:ind w:left="0" w:firstLine="0"/>
        <w:rPr>
          <w:rFonts w:eastAsia="Calibri"/>
          <w:color w:val="auto"/>
          <w:kern w:val="0"/>
          <w:szCs w:val="24"/>
          <w:lang w:val="en-US" w:eastAsia="en-US"/>
          <w14:ligatures w14:val="none"/>
        </w:rPr>
      </w:pPr>
      <w:r w:rsidRPr="006E2E48">
        <w:rPr>
          <w:rFonts w:eastAsia="Calibri"/>
          <w:b/>
          <w:color w:val="auto"/>
          <w:kern w:val="0"/>
          <w:szCs w:val="24"/>
          <w:lang w:val="en-US" w:eastAsia="en-US"/>
          <w14:ligatures w14:val="none"/>
        </w:rPr>
        <w:t>Summary:</w:t>
      </w:r>
      <w:r w:rsidR="003A19E3">
        <w:rPr>
          <w:rFonts w:eastAsia="Calibri"/>
          <w:color w:val="auto"/>
          <w:kern w:val="0"/>
          <w:szCs w:val="24"/>
          <w:lang w:val="en-US" w:eastAsia="en-US"/>
          <w14:ligatures w14:val="none"/>
        </w:rPr>
        <w:tab/>
        <w:t>The applicant before c</w:t>
      </w:r>
      <w:r w:rsidR="003A19E3" w:rsidRPr="003A19E3">
        <w:rPr>
          <w:rFonts w:eastAsia="Calibri"/>
          <w:color w:val="auto"/>
          <w:kern w:val="0"/>
          <w:szCs w:val="24"/>
          <w:lang w:val="en-US" w:eastAsia="en-US"/>
          <w14:ligatures w14:val="none"/>
        </w:rPr>
        <w:t xml:space="preserve">ourt </w:t>
      </w:r>
      <w:r w:rsidR="003A19E3">
        <w:rPr>
          <w:rFonts w:eastAsia="Calibri"/>
          <w:color w:val="auto"/>
          <w:kern w:val="0"/>
          <w:szCs w:val="24"/>
          <w:lang w:val="en-US" w:eastAsia="en-US"/>
          <w14:ligatures w14:val="none"/>
        </w:rPr>
        <w:t>filed</w:t>
      </w:r>
      <w:r w:rsidR="003A19E3" w:rsidRPr="003A19E3">
        <w:rPr>
          <w:rFonts w:eastAsia="Calibri"/>
          <w:color w:val="auto"/>
          <w:kern w:val="0"/>
          <w:szCs w:val="24"/>
          <w:lang w:val="en-US" w:eastAsia="en-US"/>
          <w14:ligatures w14:val="none"/>
        </w:rPr>
        <w:t xml:space="preserve"> an application</w:t>
      </w:r>
      <w:r w:rsidR="003A19E3">
        <w:rPr>
          <w:rFonts w:eastAsia="Calibri"/>
          <w:color w:val="auto"/>
          <w:kern w:val="0"/>
          <w:szCs w:val="24"/>
          <w:lang w:val="en-US" w:eastAsia="en-US"/>
          <w14:ligatures w14:val="none"/>
        </w:rPr>
        <w:t xml:space="preserve"> in terms of rule 76 </w:t>
      </w:r>
      <w:r w:rsidR="003A19E3" w:rsidRPr="003A19E3">
        <w:rPr>
          <w:rFonts w:eastAsia="Calibri"/>
          <w:color w:val="auto"/>
          <w:kern w:val="0"/>
          <w:szCs w:val="24"/>
          <w:lang w:val="en-US" w:eastAsia="en-US"/>
          <w14:ligatures w14:val="none"/>
        </w:rPr>
        <w:t xml:space="preserve">of the High Court Rules </w:t>
      </w:r>
      <w:r w:rsidR="003A19E3">
        <w:rPr>
          <w:rFonts w:eastAsia="Calibri"/>
          <w:color w:val="auto"/>
          <w:kern w:val="0"/>
          <w:szCs w:val="24"/>
          <w:lang w:val="en-US" w:eastAsia="en-US"/>
          <w14:ligatures w14:val="none"/>
        </w:rPr>
        <w:t xml:space="preserve">for this court to review the decision of the </w:t>
      </w:r>
      <w:r w:rsidR="00270268">
        <w:rPr>
          <w:rFonts w:eastAsia="Calibri"/>
          <w:color w:val="auto"/>
          <w:kern w:val="0"/>
          <w:szCs w:val="24"/>
          <w:lang w:val="en-US" w:eastAsia="en-US"/>
          <w14:ligatures w14:val="none"/>
        </w:rPr>
        <w:t>m</w:t>
      </w:r>
      <w:r w:rsidR="003A19E3" w:rsidRPr="003A19E3">
        <w:rPr>
          <w:rFonts w:eastAsia="Calibri"/>
          <w:color w:val="auto"/>
          <w:kern w:val="0"/>
          <w:szCs w:val="24"/>
          <w:lang w:val="en-US" w:eastAsia="en-US"/>
          <w14:ligatures w14:val="none"/>
        </w:rPr>
        <w:t>agistrate</w:t>
      </w:r>
      <w:r w:rsidR="003A19E3">
        <w:rPr>
          <w:rFonts w:eastAsia="Calibri"/>
          <w:color w:val="auto"/>
          <w:kern w:val="0"/>
          <w:szCs w:val="24"/>
          <w:lang w:val="en-US" w:eastAsia="en-US"/>
          <w14:ligatures w14:val="none"/>
        </w:rPr>
        <w:t xml:space="preserve">s </w:t>
      </w:r>
      <w:r w:rsidR="00270268">
        <w:rPr>
          <w:rFonts w:eastAsia="Calibri"/>
          <w:color w:val="auto"/>
          <w:kern w:val="0"/>
          <w:szCs w:val="24"/>
          <w:lang w:val="en-US" w:eastAsia="en-US"/>
          <w14:ligatures w14:val="none"/>
        </w:rPr>
        <w:t>c</w:t>
      </w:r>
      <w:r w:rsidR="003A19E3">
        <w:rPr>
          <w:rFonts w:eastAsia="Calibri"/>
          <w:color w:val="auto"/>
          <w:kern w:val="0"/>
          <w:szCs w:val="24"/>
          <w:lang w:val="en-US" w:eastAsia="en-US"/>
          <w14:ligatures w14:val="none"/>
        </w:rPr>
        <w:t xml:space="preserve">ourt </w:t>
      </w:r>
      <w:r w:rsidR="003A19E3" w:rsidRPr="003A19E3">
        <w:rPr>
          <w:rFonts w:eastAsia="Calibri"/>
          <w:color w:val="auto"/>
          <w:kern w:val="0"/>
          <w:szCs w:val="24"/>
          <w:lang w:val="en-US" w:eastAsia="en-US"/>
          <w14:ligatures w14:val="none"/>
        </w:rPr>
        <w:t>proceedings, which were held at the Magisterial District of Gobabis, conducted in terms of s 32(1) of the Prevention of Organised Crime Act 29 of 2004 (POCA).</w:t>
      </w:r>
      <w:r w:rsidR="003A19E3">
        <w:rPr>
          <w:rFonts w:eastAsia="Calibri"/>
          <w:color w:val="auto"/>
          <w:kern w:val="0"/>
          <w:szCs w:val="24"/>
          <w:lang w:val="en-US" w:eastAsia="en-US"/>
          <w14:ligatures w14:val="none"/>
        </w:rPr>
        <w:t xml:space="preserve"> The respondents oppose the relief sought by the applicant.</w:t>
      </w:r>
    </w:p>
    <w:p w14:paraId="3391D42C" w14:textId="77777777" w:rsidR="00AC7A68" w:rsidRPr="00AC7A68" w:rsidRDefault="00AC7A68" w:rsidP="006E2E48">
      <w:pPr>
        <w:spacing w:after="0" w:line="360" w:lineRule="auto"/>
        <w:ind w:left="0" w:firstLine="0"/>
        <w:rPr>
          <w:rFonts w:eastAsia="Calibri"/>
          <w:color w:val="auto"/>
          <w:kern w:val="0"/>
          <w:szCs w:val="24"/>
          <w:lang w:val="en-US" w:eastAsia="en-US"/>
          <w14:ligatures w14:val="none"/>
        </w:rPr>
      </w:pPr>
    </w:p>
    <w:p w14:paraId="37748182" w14:textId="143CF4C1" w:rsidR="00117433" w:rsidRDefault="006E2E48" w:rsidP="006E2E48">
      <w:pPr>
        <w:spacing w:after="0" w:line="360" w:lineRule="auto"/>
        <w:ind w:left="0" w:firstLine="0"/>
        <w:rPr>
          <w:rFonts w:eastAsia="Calibri"/>
          <w:color w:val="auto"/>
          <w:kern w:val="0"/>
          <w:szCs w:val="24"/>
          <w:lang w:val="en-US" w:eastAsia="en-US"/>
          <w14:ligatures w14:val="none"/>
        </w:rPr>
      </w:pPr>
      <w:r w:rsidRPr="006E2E48">
        <w:rPr>
          <w:rFonts w:eastAsia="Calibri"/>
          <w:i/>
          <w:color w:val="auto"/>
          <w:kern w:val="0"/>
          <w:szCs w:val="24"/>
          <w:lang w:val="en-US" w:eastAsia="en-US"/>
          <w14:ligatures w14:val="none"/>
        </w:rPr>
        <w:t>Held that</w:t>
      </w:r>
      <w:r w:rsidR="003A19E3">
        <w:rPr>
          <w:rFonts w:eastAsia="Calibri"/>
          <w:color w:val="auto"/>
          <w:kern w:val="0"/>
          <w:szCs w:val="24"/>
          <w:lang w:val="en-US" w:eastAsia="en-US"/>
          <w14:ligatures w14:val="none"/>
        </w:rPr>
        <w:t xml:space="preserve"> </w:t>
      </w:r>
      <w:r w:rsidR="00CD0FAB" w:rsidRPr="00CD0FAB">
        <w:rPr>
          <w:rFonts w:eastAsia="Calibri"/>
          <w:color w:val="auto"/>
          <w:kern w:val="0"/>
          <w:szCs w:val="24"/>
          <w:lang w:val="en-US" w:eastAsia="en-US"/>
          <w14:ligatures w14:val="none"/>
        </w:rPr>
        <w:t xml:space="preserve">a confiscation enquiry is civil in nature and not </w:t>
      </w:r>
      <w:r w:rsidR="00CD0FAB" w:rsidRPr="008F4A7D">
        <w:rPr>
          <w:rFonts w:eastAsia="Calibri"/>
          <w:color w:val="auto"/>
          <w:kern w:val="0"/>
          <w:szCs w:val="24"/>
          <w:lang w:val="en-US" w:eastAsia="en-US"/>
          <w14:ligatures w14:val="none"/>
        </w:rPr>
        <w:t xml:space="preserve">criminal </w:t>
      </w:r>
      <w:r w:rsidR="003A5F05" w:rsidRPr="008F4A7D">
        <w:rPr>
          <w:rFonts w:eastAsia="Calibri"/>
          <w:color w:val="auto"/>
          <w:kern w:val="0"/>
          <w:szCs w:val="24"/>
          <w:lang w:val="en-US" w:eastAsia="en-US"/>
          <w14:ligatures w14:val="none"/>
        </w:rPr>
        <w:t>in nature</w:t>
      </w:r>
      <w:r w:rsidR="003A5F05">
        <w:rPr>
          <w:rFonts w:eastAsia="Calibri"/>
          <w:color w:val="auto"/>
          <w:kern w:val="0"/>
          <w:szCs w:val="24"/>
          <w:lang w:val="en-US" w:eastAsia="en-US"/>
          <w14:ligatures w14:val="none"/>
        </w:rPr>
        <w:t xml:space="preserve"> </w:t>
      </w:r>
      <w:r w:rsidR="00CD0FAB" w:rsidRPr="00CD0FAB">
        <w:rPr>
          <w:rFonts w:eastAsia="Calibri"/>
          <w:color w:val="auto"/>
          <w:kern w:val="0"/>
          <w:szCs w:val="24"/>
          <w:lang w:val="en-US" w:eastAsia="en-US"/>
          <w14:ligatures w14:val="none"/>
        </w:rPr>
        <w:t>and from the record of proceedings, there is nothing that indicates that the court a quo was not alive to this fact. The applicant wa</w:t>
      </w:r>
      <w:r w:rsidR="00CD0FAB">
        <w:rPr>
          <w:rFonts w:eastAsia="Calibri"/>
          <w:color w:val="auto"/>
          <w:kern w:val="0"/>
          <w:szCs w:val="24"/>
          <w:lang w:val="en-US" w:eastAsia="en-US"/>
          <w14:ligatures w14:val="none"/>
        </w:rPr>
        <w:t>s referred to as the ‘defendant’</w:t>
      </w:r>
      <w:r w:rsidR="00481D35">
        <w:rPr>
          <w:rFonts w:eastAsia="Calibri"/>
          <w:color w:val="auto"/>
          <w:kern w:val="0"/>
          <w:szCs w:val="24"/>
          <w:lang w:val="en-US" w:eastAsia="en-US"/>
          <w14:ligatures w14:val="none"/>
        </w:rPr>
        <w:t xml:space="preserve"> and not the accused, and the s</w:t>
      </w:r>
      <w:r w:rsidR="00CD0FAB" w:rsidRPr="00CD0FAB">
        <w:rPr>
          <w:rFonts w:eastAsia="Calibri"/>
          <w:color w:val="auto"/>
          <w:kern w:val="0"/>
          <w:szCs w:val="24"/>
          <w:lang w:val="en-US" w:eastAsia="en-US"/>
          <w14:ligatures w14:val="none"/>
        </w:rPr>
        <w:t xml:space="preserve">tate was referred to as the </w:t>
      </w:r>
      <w:r w:rsidR="00CD0FAB">
        <w:rPr>
          <w:rFonts w:eastAsia="Calibri"/>
          <w:color w:val="auto"/>
          <w:kern w:val="0"/>
          <w:szCs w:val="24"/>
          <w:lang w:val="en-US" w:eastAsia="en-US"/>
          <w14:ligatures w14:val="none"/>
        </w:rPr>
        <w:t>‘</w:t>
      </w:r>
      <w:r w:rsidR="00CD0FAB" w:rsidRPr="00CD0FAB">
        <w:rPr>
          <w:rFonts w:eastAsia="Calibri"/>
          <w:color w:val="auto"/>
          <w:kern w:val="0"/>
          <w:szCs w:val="24"/>
          <w:lang w:val="en-US" w:eastAsia="en-US"/>
          <w14:ligatures w14:val="none"/>
        </w:rPr>
        <w:t>applicant</w:t>
      </w:r>
      <w:r w:rsidR="00CD0FAB">
        <w:rPr>
          <w:rFonts w:eastAsia="Calibri"/>
          <w:color w:val="auto"/>
          <w:kern w:val="0"/>
          <w:szCs w:val="24"/>
          <w:lang w:val="en-US" w:eastAsia="en-US"/>
          <w14:ligatures w14:val="none"/>
        </w:rPr>
        <w:t>’</w:t>
      </w:r>
      <w:r w:rsidR="00CD0FAB" w:rsidRPr="00CD0FAB">
        <w:rPr>
          <w:rFonts w:eastAsia="Calibri"/>
          <w:color w:val="auto"/>
          <w:kern w:val="0"/>
          <w:szCs w:val="24"/>
          <w:lang w:val="en-US" w:eastAsia="en-US"/>
          <w14:ligatures w14:val="none"/>
        </w:rPr>
        <w:t xml:space="preserve">. </w:t>
      </w:r>
    </w:p>
    <w:p w14:paraId="000788A7" w14:textId="77777777" w:rsidR="00AC7A68" w:rsidRDefault="00AC7A68" w:rsidP="006E2E48">
      <w:pPr>
        <w:spacing w:after="0" w:line="360" w:lineRule="auto"/>
        <w:ind w:left="0" w:firstLine="0"/>
        <w:rPr>
          <w:rFonts w:eastAsia="Calibri"/>
          <w:color w:val="auto"/>
          <w:kern w:val="0"/>
          <w:szCs w:val="24"/>
          <w:lang w:val="en-US" w:eastAsia="en-US"/>
          <w14:ligatures w14:val="none"/>
        </w:rPr>
      </w:pPr>
    </w:p>
    <w:p w14:paraId="0B9933CB" w14:textId="24CFAACE" w:rsidR="00117433" w:rsidRDefault="00CD0FAB" w:rsidP="00117433">
      <w:pPr>
        <w:spacing w:after="0" w:line="360" w:lineRule="auto"/>
        <w:ind w:left="0" w:firstLine="0"/>
        <w:rPr>
          <w:rFonts w:eastAsia="Calibri"/>
          <w:color w:val="auto"/>
          <w:kern w:val="0"/>
          <w:szCs w:val="24"/>
          <w:lang w:val="en-US" w:eastAsia="en-US"/>
          <w14:ligatures w14:val="none"/>
        </w:rPr>
      </w:pPr>
      <w:r w:rsidRPr="00CD0FAB">
        <w:rPr>
          <w:rFonts w:eastAsia="Calibri"/>
          <w:i/>
          <w:color w:val="auto"/>
          <w:kern w:val="0"/>
          <w:szCs w:val="24"/>
          <w:lang w:val="en-US" w:eastAsia="en-US"/>
          <w14:ligatures w14:val="none"/>
        </w:rPr>
        <w:t>Held that</w:t>
      </w:r>
      <w:r>
        <w:rPr>
          <w:rFonts w:eastAsia="Calibri"/>
          <w:color w:val="auto"/>
          <w:kern w:val="0"/>
          <w:szCs w:val="24"/>
          <w:lang w:val="en-US" w:eastAsia="en-US"/>
          <w14:ligatures w14:val="none"/>
        </w:rPr>
        <w:t xml:space="preserve"> the confiscation application and enquiry were correctly authorised and instituted. </w:t>
      </w:r>
    </w:p>
    <w:p w14:paraId="3C121329" w14:textId="77777777" w:rsidR="00AC7A68" w:rsidRPr="00117433" w:rsidRDefault="00AC7A68" w:rsidP="00117433">
      <w:pPr>
        <w:spacing w:after="0" w:line="360" w:lineRule="auto"/>
        <w:ind w:left="0" w:firstLine="0"/>
        <w:rPr>
          <w:rFonts w:eastAsia="Calibri"/>
          <w:color w:val="auto"/>
          <w:kern w:val="0"/>
          <w:szCs w:val="24"/>
          <w:lang w:val="en-US" w:eastAsia="en-US"/>
          <w14:ligatures w14:val="none"/>
        </w:rPr>
      </w:pPr>
    </w:p>
    <w:p w14:paraId="7EF7FAEF" w14:textId="77777777" w:rsidR="00270268" w:rsidRDefault="00CD0FAB" w:rsidP="00270268">
      <w:pPr>
        <w:spacing w:after="0" w:line="360" w:lineRule="auto"/>
        <w:ind w:left="0" w:firstLine="0"/>
      </w:pPr>
      <w:r w:rsidRPr="00CD0FAB">
        <w:rPr>
          <w:i/>
        </w:rPr>
        <w:t>Held that</w:t>
      </w:r>
      <w:r>
        <w:t xml:space="preserve"> there was</w:t>
      </w:r>
      <w:r w:rsidRPr="00CD0FAB">
        <w:t xml:space="preserve"> sufficient explanation of the applicant’s rights to legal representation because the applicant’s rights were explained to him.</w:t>
      </w:r>
    </w:p>
    <w:p w14:paraId="01D09ADA" w14:textId="77777777" w:rsidR="00270268" w:rsidRDefault="00270268" w:rsidP="00270268">
      <w:pPr>
        <w:spacing w:after="0" w:line="360" w:lineRule="auto"/>
        <w:ind w:left="0" w:firstLine="0"/>
      </w:pPr>
    </w:p>
    <w:p w14:paraId="382E671F" w14:textId="0A628D3A" w:rsidR="00270268" w:rsidRDefault="00CD0FAB" w:rsidP="00270268">
      <w:pPr>
        <w:spacing w:after="0" w:line="360" w:lineRule="auto"/>
        <w:ind w:left="0" w:firstLine="0"/>
      </w:pPr>
      <w:r w:rsidRPr="00805DB8">
        <w:rPr>
          <w:i/>
        </w:rPr>
        <w:t>Held that</w:t>
      </w:r>
      <w:r>
        <w:t xml:space="preserve"> </w:t>
      </w:r>
      <w:r w:rsidR="00481D35">
        <w:t xml:space="preserve">the court does </w:t>
      </w:r>
      <w:r w:rsidR="00805DB8" w:rsidRPr="00805DB8">
        <w:t xml:space="preserve">not find it inappropriate that these three cases were heard in one application, as all relevant records were produced in court, and the court has the power to consider all three cases in one confiscation application. </w:t>
      </w:r>
    </w:p>
    <w:p w14:paraId="775942F0" w14:textId="77777777" w:rsidR="00270268" w:rsidRDefault="00270268" w:rsidP="00270268">
      <w:pPr>
        <w:spacing w:after="0" w:line="360" w:lineRule="auto"/>
        <w:ind w:left="0" w:firstLine="0"/>
      </w:pPr>
    </w:p>
    <w:p w14:paraId="2315ECB5" w14:textId="3D83DE5D" w:rsidR="00117433" w:rsidRDefault="00805DB8" w:rsidP="00270268">
      <w:pPr>
        <w:spacing w:after="0" w:line="360" w:lineRule="auto"/>
        <w:ind w:left="0" w:firstLine="0"/>
      </w:pPr>
      <w:r w:rsidRPr="00805DB8">
        <w:rPr>
          <w:i/>
        </w:rPr>
        <w:t>Held further that</w:t>
      </w:r>
      <w:r>
        <w:t xml:space="preserve"> t</w:t>
      </w:r>
      <w:r w:rsidRPr="00805DB8">
        <w:t>he court is entitled to look at the evidence that was presented in the criminal case in a confiscation application. There is therefore nothing amiss, with the procedure adopted in the confiscation application</w:t>
      </w:r>
      <w:r>
        <w:t>.</w:t>
      </w:r>
    </w:p>
    <w:p w14:paraId="2C5F6DDC" w14:textId="77777777" w:rsidR="00270268" w:rsidRDefault="00270268" w:rsidP="00270268">
      <w:pPr>
        <w:spacing w:after="0" w:line="360" w:lineRule="auto"/>
        <w:ind w:left="0" w:firstLine="0"/>
      </w:pPr>
    </w:p>
    <w:p w14:paraId="5B368E69" w14:textId="06F66CC8" w:rsidR="00C36A09" w:rsidRDefault="00805DB8" w:rsidP="00C36A09">
      <w:pPr>
        <w:spacing w:after="157" w:line="360" w:lineRule="auto"/>
        <w:ind w:left="0" w:firstLine="0"/>
      </w:pPr>
      <w:r w:rsidRPr="00C36A09">
        <w:rPr>
          <w:i/>
        </w:rPr>
        <w:t>Held that</w:t>
      </w:r>
      <w:r>
        <w:t xml:space="preserve"> </w:t>
      </w:r>
      <w:r w:rsidR="00C36A09">
        <w:t>t</w:t>
      </w:r>
      <w:r w:rsidR="00114AA4">
        <w:t>he reliance</w:t>
      </w:r>
      <w:r w:rsidR="00C36A09">
        <w:t xml:space="preserve"> by the applicant on s 83 of POCA in a confiscation application after he has already been found guilty has no basis. A confiscation enquiry is not subject to s 83 of POCA. The Inspector-General can give authorisation in appropriate cases, and the applicant’s case is not one such case. </w:t>
      </w:r>
    </w:p>
    <w:p w14:paraId="3A65DF64" w14:textId="6F796D18" w:rsidR="00670387" w:rsidRPr="006E2E48" w:rsidRDefault="00C36A09" w:rsidP="00C36A09">
      <w:pPr>
        <w:spacing w:after="157" w:line="360" w:lineRule="auto"/>
        <w:ind w:left="0" w:firstLine="0"/>
      </w:pPr>
      <w:r w:rsidRPr="00C36A09">
        <w:rPr>
          <w:i/>
        </w:rPr>
        <w:lastRenderedPageBreak/>
        <w:t>Held that</w:t>
      </w:r>
      <w:r>
        <w:t xml:space="preserve"> the court in reviewing the record o</w:t>
      </w:r>
      <w:r w:rsidR="00670387">
        <w:t>f proceedings in this matter, find</w:t>
      </w:r>
      <w:r w:rsidR="00481D35">
        <w:t>s</w:t>
      </w:r>
      <w:r w:rsidR="00670387">
        <w:t xml:space="preserve"> no</w:t>
      </w:r>
      <w:r>
        <w:t xml:space="preserve"> irregularity that may vitiate the proceedings. There are no merits in the applicant’s application, and it stands to be dismissed.</w:t>
      </w:r>
    </w:p>
    <w:p w14:paraId="17551F49" w14:textId="104F7C61" w:rsidR="00AA4104" w:rsidRPr="00AA4104" w:rsidRDefault="00D34761" w:rsidP="00805DB8">
      <w:pPr>
        <w:spacing w:after="0" w:line="360" w:lineRule="auto"/>
        <w:ind w:left="0" w:firstLine="0"/>
        <w:rPr>
          <w:rFonts w:eastAsia="Times New Roman"/>
          <w:color w:val="auto"/>
          <w:kern w:val="0"/>
          <w:szCs w:val="24"/>
          <w:lang w:val="en-GB" w:eastAsia="en-US"/>
          <w14:ligatures w14:val="none"/>
        </w:rPr>
      </w:pPr>
      <w:r>
        <w:rPr>
          <w:rFonts w:eastAsia="Times New Roman"/>
          <w:b/>
          <w:bCs/>
          <w:noProof/>
          <w:color w:val="auto"/>
          <w:kern w:val="0"/>
          <w:szCs w:val="24"/>
          <w:lang w:val="en-GB" w:eastAsia="en-US"/>
          <w14:ligatures w14:val="none"/>
        </w:rPr>
        <w:pict w14:anchorId="18086CF4">
          <v:rect id="_x0000_i1025" style="width:451.35pt;height:.05pt" o:hralign="center" o:hrstd="t" o:hr="t" fillcolor="#a0a0a0" stroked="f"/>
        </w:pict>
      </w:r>
    </w:p>
    <w:p w14:paraId="379E0185" w14:textId="77777777" w:rsidR="00AA4104" w:rsidRPr="00AA4104" w:rsidRDefault="00AA4104" w:rsidP="00AA4104">
      <w:pPr>
        <w:spacing w:after="0" w:line="360" w:lineRule="auto"/>
        <w:ind w:left="0" w:firstLine="0"/>
        <w:jc w:val="center"/>
        <w:rPr>
          <w:rFonts w:eastAsia="Calibri"/>
          <w:b/>
          <w:bCs/>
          <w:color w:val="auto"/>
          <w:kern w:val="0"/>
          <w:szCs w:val="24"/>
          <w:lang w:val="en-US" w:eastAsia="en-US"/>
          <w14:ligatures w14:val="none"/>
        </w:rPr>
      </w:pPr>
      <w:r w:rsidRPr="00AA4104">
        <w:rPr>
          <w:rFonts w:eastAsia="Calibri"/>
          <w:b/>
          <w:bCs/>
          <w:color w:val="auto"/>
          <w:kern w:val="0"/>
          <w:szCs w:val="24"/>
          <w:lang w:val="en-US" w:eastAsia="en-US"/>
          <w14:ligatures w14:val="none"/>
        </w:rPr>
        <w:t>ORDER</w:t>
      </w:r>
    </w:p>
    <w:p w14:paraId="43AD2887" w14:textId="77777777" w:rsidR="00AA4104" w:rsidRPr="00AA4104" w:rsidRDefault="00D34761" w:rsidP="00AA4104">
      <w:pPr>
        <w:spacing w:after="0" w:line="360" w:lineRule="auto"/>
        <w:ind w:left="0" w:firstLine="0"/>
        <w:jc w:val="center"/>
        <w:rPr>
          <w:rFonts w:eastAsia="Calibri"/>
          <w:bCs/>
          <w:color w:val="auto"/>
          <w:kern w:val="0"/>
          <w:szCs w:val="24"/>
          <w:lang w:val="en-US" w:eastAsia="en-US"/>
          <w14:ligatures w14:val="none"/>
        </w:rPr>
      </w:pPr>
      <w:r>
        <w:rPr>
          <w:rFonts w:eastAsia="Calibri"/>
          <w:b/>
          <w:bCs/>
          <w:noProof/>
          <w:color w:val="auto"/>
          <w:kern w:val="0"/>
          <w:szCs w:val="24"/>
          <w:lang w:val="en-US" w:eastAsia="en-US"/>
          <w14:ligatures w14:val="none"/>
        </w:rPr>
        <w:pict w14:anchorId="16487B53">
          <v:rect id="_x0000_i1026" style="width:451.35pt;height:.05pt" o:hralign="center" o:hrstd="t" o:hr="t" fillcolor="#a0a0a0" stroked="f"/>
        </w:pict>
      </w:r>
    </w:p>
    <w:p w14:paraId="64F89B62" w14:textId="77777777" w:rsidR="00AA4104" w:rsidRPr="00AA4104" w:rsidRDefault="00AA4104" w:rsidP="00AA4104">
      <w:pPr>
        <w:spacing w:after="0" w:line="360" w:lineRule="auto"/>
        <w:ind w:left="0" w:firstLine="0"/>
        <w:rPr>
          <w:rFonts w:eastAsia="Calibri"/>
          <w:color w:val="auto"/>
          <w:kern w:val="0"/>
          <w:szCs w:val="24"/>
          <w:lang w:val="en-US" w:eastAsia="en-US"/>
          <w14:ligatures w14:val="none"/>
        </w:rPr>
      </w:pPr>
    </w:p>
    <w:p w14:paraId="569A4507" w14:textId="77777777" w:rsidR="00AE0261" w:rsidRPr="00802FE3" w:rsidRDefault="00AE0261" w:rsidP="00AE0261">
      <w:pPr>
        <w:numPr>
          <w:ilvl w:val="0"/>
          <w:numId w:val="6"/>
        </w:numPr>
        <w:spacing w:after="0" w:line="360" w:lineRule="auto"/>
        <w:ind w:left="1310" w:hanging="567"/>
        <w:jc w:val="left"/>
        <w:rPr>
          <w:rFonts w:eastAsia="Calibri"/>
          <w:color w:val="auto"/>
          <w:kern w:val="0"/>
          <w:szCs w:val="24"/>
          <w:lang w:val="en-US" w:eastAsia="en-US"/>
          <w14:ligatures w14:val="none"/>
        </w:rPr>
      </w:pPr>
      <w:r w:rsidRPr="00802FE3">
        <w:rPr>
          <w:rFonts w:eastAsia="Calibri"/>
          <w:color w:val="auto"/>
          <w:kern w:val="0"/>
          <w:szCs w:val="24"/>
          <w:lang w:val="en-US" w:eastAsia="en-US"/>
          <w14:ligatures w14:val="none"/>
        </w:rPr>
        <w:t xml:space="preserve">The applicant’s </w:t>
      </w:r>
      <w:r>
        <w:rPr>
          <w:rFonts w:eastAsia="Calibri"/>
          <w:color w:val="auto"/>
          <w:kern w:val="0"/>
          <w:szCs w:val="24"/>
          <w:lang w:val="en-US" w:eastAsia="en-US"/>
          <w14:ligatures w14:val="none"/>
        </w:rPr>
        <w:t xml:space="preserve">review </w:t>
      </w:r>
      <w:r w:rsidRPr="00802FE3">
        <w:rPr>
          <w:rFonts w:eastAsia="Calibri"/>
          <w:color w:val="auto"/>
          <w:kern w:val="0"/>
          <w:szCs w:val="24"/>
          <w:lang w:val="en-US" w:eastAsia="en-US"/>
          <w14:ligatures w14:val="none"/>
        </w:rPr>
        <w:t>application is dismissed.</w:t>
      </w:r>
    </w:p>
    <w:p w14:paraId="7757132D" w14:textId="77777777" w:rsidR="00AE0261" w:rsidRPr="008F4A7D" w:rsidRDefault="00AE0261" w:rsidP="00AE0261">
      <w:pPr>
        <w:numPr>
          <w:ilvl w:val="0"/>
          <w:numId w:val="6"/>
        </w:numPr>
        <w:spacing w:after="0" w:line="360" w:lineRule="auto"/>
        <w:ind w:left="1310" w:hanging="567"/>
        <w:jc w:val="left"/>
        <w:rPr>
          <w:rFonts w:eastAsia="Calibri"/>
          <w:color w:val="auto"/>
          <w:kern w:val="0"/>
          <w:szCs w:val="24"/>
          <w:lang w:val="en-US" w:eastAsia="en-US"/>
          <w14:ligatures w14:val="none"/>
        </w:rPr>
      </w:pPr>
      <w:r w:rsidRPr="008F4A7D">
        <w:rPr>
          <w:rFonts w:eastAsia="Calibri"/>
          <w:color w:val="auto"/>
          <w:kern w:val="0"/>
          <w:szCs w:val="24"/>
          <w:lang w:val="en-US" w:eastAsia="en-US"/>
          <w14:ligatures w14:val="none"/>
        </w:rPr>
        <w:t>There is no order as to costs.</w:t>
      </w:r>
    </w:p>
    <w:p w14:paraId="6287AC4B" w14:textId="627B3B7E" w:rsidR="00AE0261" w:rsidRPr="00802FE3" w:rsidRDefault="00AE0261" w:rsidP="00AE0261">
      <w:pPr>
        <w:numPr>
          <w:ilvl w:val="0"/>
          <w:numId w:val="6"/>
        </w:numPr>
        <w:spacing w:after="0" w:line="360" w:lineRule="auto"/>
        <w:ind w:left="1310" w:hanging="567"/>
        <w:contextualSpacing/>
        <w:jc w:val="left"/>
        <w:rPr>
          <w:rFonts w:eastAsia="Calibri"/>
          <w:color w:val="auto"/>
          <w:kern w:val="0"/>
          <w:szCs w:val="24"/>
          <w:lang w:val="en-US" w:eastAsia="en-US"/>
          <w14:ligatures w14:val="none"/>
        </w:rPr>
      </w:pPr>
      <w:r w:rsidRPr="008F4A7D">
        <w:rPr>
          <w:rFonts w:eastAsia="Calibri"/>
          <w:color w:val="auto"/>
          <w:kern w:val="0"/>
          <w:szCs w:val="24"/>
          <w:lang w:val="en-US" w:eastAsia="en-US"/>
          <w14:ligatures w14:val="none"/>
        </w:rPr>
        <w:t xml:space="preserve">The matter is removed from the roll and </w:t>
      </w:r>
      <w:r>
        <w:rPr>
          <w:rFonts w:eastAsia="Calibri"/>
          <w:color w:val="auto"/>
          <w:kern w:val="0"/>
          <w:szCs w:val="24"/>
          <w:lang w:val="en-US" w:eastAsia="en-US"/>
          <w14:ligatures w14:val="none"/>
        </w:rPr>
        <w:t xml:space="preserve">is </w:t>
      </w:r>
      <w:r w:rsidRPr="008F4A7D">
        <w:rPr>
          <w:rFonts w:eastAsia="Calibri"/>
          <w:color w:val="auto"/>
          <w:kern w:val="0"/>
          <w:szCs w:val="24"/>
          <w:lang w:val="en-US" w:eastAsia="en-US"/>
          <w14:ligatures w14:val="none"/>
        </w:rPr>
        <w:t xml:space="preserve">regarded </w:t>
      </w:r>
      <w:r>
        <w:rPr>
          <w:rFonts w:eastAsia="Calibri"/>
          <w:color w:val="auto"/>
          <w:kern w:val="0"/>
          <w:szCs w:val="24"/>
          <w:lang w:val="en-US" w:eastAsia="en-US"/>
          <w14:ligatures w14:val="none"/>
        </w:rPr>
        <w:t xml:space="preserve">as </w:t>
      </w:r>
      <w:r w:rsidRPr="008F4A7D">
        <w:rPr>
          <w:rFonts w:eastAsia="Calibri"/>
          <w:color w:val="auto"/>
          <w:kern w:val="0"/>
          <w:szCs w:val="24"/>
          <w:lang w:val="en-US" w:eastAsia="en-US"/>
          <w14:ligatures w14:val="none"/>
        </w:rPr>
        <w:t>finali</w:t>
      </w:r>
      <w:r>
        <w:rPr>
          <w:rFonts w:eastAsia="Calibri"/>
          <w:color w:val="auto"/>
          <w:kern w:val="0"/>
          <w:szCs w:val="24"/>
          <w:lang w:val="en-US" w:eastAsia="en-US"/>
          <w14:ligatures w14:val="none"/>
        </w:rPr>
        <w:t>s</w:t>
      </w:r>
      <w:r w:rsidRPr="008F4A7D">
        <w:rPr>
          <w:rFonts w:eastAsia="Calibri"/>
          <w:color w:val="auto"/>
          <w:kern w:val="0"/>
          <w:szCs w:val="24"/>
          <w:lang w:val="en-US" w:eastAsia="en-US"/>
          <w14:ligatures w14:val="none"/>
        </w:rPr>
        <w:t>ed</w:t>
      </w:r>
      <w:r w:rsidRPr="00802FE3">
        <w:rPr>
          <w:rFonts w:eastAsia="Calibri"/>
          <w:color w:val="auto"/>
          <w:kern w:val="0"/>
          <w:szCs w:val="24"/>
          <w:lang w:val="en-US" w:eastAsia="en-US"/>
          <w14:ligatures w14:val="none"/>
        </w:rPr>
        <w:t>.</w:t>
      </w:r>
    </w:p>
    <w:p w14:paraId="06CF6F87" w14:textId="77777777" w:rsidR="00AA4104" w:rsidRPr="00AA4104" w:rsidRDefault="00AA4104" w:rsidP="00AA4104">
      <w:pPr>
        <w:tabs>
          <w:tab w:val="left" w:pos="426"/>
        </w:tabs>
        <w:spacing w:after="0" w:line="360" w:lineRule="auto"/>
        <w:ind w:left="0" w:firstLine="0"/>
        <w:rPr>
          <w:rFonts w:eastAsia="Times New Roman"/>
          <w:color w:val="auto"/>
          <w:kern w:val="0"/>
          <w:szCs w:val="24"/>
          <w:lang w:val="en-GB" w:eastAsia="en-US"/>
          <w14:ligatures w14:val="none"/>
        </w:rPr>
      </w:pPr>
    </w:p>
    <w:p w14:paraId="5EF643EA" w14:textId="77777777" w:rsidR="00AA4104" w:rsidRPr="00AA4104" w:rsidRDefault="00D34761" w:rsidP="00AA4104">
      <w:pPr>
        <w:spacing w:after="0" w:line="360" w:lineRule="auto"/>
        <w:ind w:left="0" w:firstLine="0"/>
        <w:jc w:val="left"/>
        <w:rPr>
          <w:rFonts w:eastAsia="Calibri"/>
          <w:b/>
          <w:bCs/>
          <w:color w:val="auto"/>
          <w:kern w:val="0"/>
          <w:szCs w:val="24"/>
          <w:lang w:val="en-US" w:eastAsia="en-US"/>
          <w14:ligatures w14:val="none"/>
        </w:rPr>
      </w:pPr>
      <w:r>
        <w:rPr>
          <w:rFonts w:eastAsia="Calibri"/>
          <w:b/>
          <w:bCs/>
          <w:noProof/>
          <w:color w:val="auto"/>
          <w:kern w:val="0"/>
          <w:szCs w:val="24"/>
          <w:lang w:val="en-US" w:eastAsia="en-US"/>
          <w14:ligatures w14:val="none"/>
        </w:rPr>
        <w:pict w14:anchorId="75AFD8D8">
          <v:rect id="_x0000_i1027" style="width:451.35pt;height:.05pt" o:hralign="center" o:hrstd="t" o:hr="t" fillcolor="#a0a0a0" stroked="f"/>
        </w:pict>
      </w:r>
    </w:p>
    <w:p w14:paraId="289858DA" w14:textId="77777777" w:rsidR="00AA4104" w:rsidRPr="00AA4104" w:rsidRDefault="00AA4104" w:rsidP="00AA4104">
      <w:pPr>
        <w:tabs>
          <w:tab w:val="left" w:pos="0"/>
        </w:tabs>
        <w:spacing w:after="0" w:line="360" w:lineRule="auto"/>
        <w:ind w:left="0" w:firstLine="0"/>
        <w:jc w:val="center"/>
        <w:rPr>
          <w:rFonts w:eastAsia="Times New Roman"/>
          <w:b/>
          <w:color w:val="auto"/>
          <w:kern w:val="0"/>
          <w:szCs w:val="24"/>
          <w:lang w:val="en-GB" w:eastAsia="en-US"/>
          <w14:ligatures w14:val="none"/>
        </w:rPr>
      </w:pPr>
      <w:r w:rsidRPr="00AA4104">
        <w:rPr>
          <w:rFonts w:eastAsia="Times New Roman"/>
          <w:b/>
          <w:color w:val="auto"/>
          <w:kern w:val="0"/>
          <w:szCs w:val="24"/>
          <w:lang w:val="en-GB" w:eastAsia="en-US"/>
          <w14:ligatures w14:val="none"/>
        </w:rPr>
        <w:t>JUDGMENT</w:t>
      </w:r>
    </w:p>
    <w:p w14:paraId="77956BCC" w14:textId="77777777" w:rsidR="00AA4104" w:rsidRPr="00AA4104" w:rsidRDefault="00D34761" w:rsidP="00AA4104">
      <w:pPr>
        <w:tabs>
          <w:tab w:val="left" w:pos="0"/>
        </w:tabs>
        <w:spacing w:after="0" w:line="360" w:lineRule="auto"/>
        <w:ind w:left="0" w:firstLine="0"/>
        <w:rPr>
          <w:rFonts w:eastAsia="Times New Roman"/>
          <w:color w:val="auto"/>
          <w:kern w:val="0"/>
          <w:szCs w:val="24"/>
          <w:lang w:val="en-GB" w:eastAsia="en-US"/>
          <w14:ligatures w14:val="none"/>
        </w:rPr>
      </w:pPr>
      <w:r>
        <w:rPr>
          <w:rFonts w:eastAsia="Times New Roman"/>
          <w:b/>
          <w:bCs/>
          <w:noProof/>
          <w:color w:val="auto"/>
          <w:kern w:val="0"/>
          <w:szCs w:val="24"/>
          <w:lang w:val="en-GB" w:eastAsia="en-US"/>
          <w14:ligatures w14:val="none"/>
        </w:rPr>
        <w:pict w14:anchorId="761ED16C">
          <v:rect id="_x0000_i1028" style="width:451.35pt;height:.05pt" o:hralign="center" o:hrstd="t" o:hr="t" fillcolor="#a0a0a0" stroked="f"/>
        </w:pict>
      </w:r>
    </w:p>
    <w:p w14:paraId="7CDF53C4" w14:textId="77777777" w:rsidR="00AE0261" w:rsidRDefault="00AE0261" w:rsidP="00AE0261">
      <w:pPr>
        <w:spacing w:after="0" w:line="360" w:lineRule="auto"/>
        <w:ind w:left="0" w:firstLine="0"/>
        <w:rPr>
          <w:rFonts w:eastAsia="Calibri"/>
          <w:color w:val="auto"/>
          <w:kern w:val="0"/>
          <w:szCs w:val="24"/>
          <w:lang w:val="en-US" w:eastAsia="en-US"/>
          <w14:ligatures w14:val="none"/>
        </w:rPr>
      </w:pPr>
    </w:p>
    <w:p w14:paraId="3A5571B0" w14:textId="77777777" w:rsidR="00AA4104" w:rsidRDefault="00AA4104" w:rsidP="00AE0261">
      <w:pPr>
        <w:spacing w:after="0" w:line="360" w:lineRule="auto"/>
        <w:ind w:left="0" w:firstLine="0"/>
        <w:rPr>
          <w:rFonts w:eastAsia="Calibri"/>
          <w:color w:val="auto"/>
          <w:kern w:val="0"/>
          <w:szCs w:val="24"/>
          <w:lang w:val="en-US" w:eastAsia="en-US"/>
          <w14:ligatures w14:val="none"/>
        </w:rPr>
      </w:pPr>
      <w:r w:rsidRPr="00AA4104">
        <w:rPr>
          <w:rFonts w:eastAsia="Calibri"/>
          <w:color w:val="auto"/>
          <w:kern w:val="0"/>
          <w:szCs w:val="24"/>
          <w:lang w:val="en-US" w:eastAsia="en-US"/>
          <w14:ligatures w14:val="none"/>
        </w:rPr>
        <w:t>PRINSLOO J:</w:t>
      </w:r>
    </w:p>
    <w:p w14:paraId="72C483DC" w14:textId="77777777" w:rsidR="00AE0261" w:rsidRPr="00AA4104" w:rsidRDefault="00AE0261" w:rsidP="00AE0261">
      <w:pPr>
        <w:spacing w:after="0" w:line="360" w:lineRule="auto"/>
        <w:ind w:left="0" w:firstLine="0"/>
        <w:rPr>
          <w:rFonts w:eastAsia="Calibri"/>
          <w:b/>
          <w:i/>
          <w:color w:val="auto"/>
          <w:kern w:val="0"/>
          <w:szCs w:val="24"/>
          <w:lang w:val="en-US" w:eastAsia="en-US"/>
          <w14:ligatures w14:val="none"/>
        </w:rPr>
      </w:pPr>
    </w:p>
    <w:p w14:paraId="6C7DFD7F" w14:textId="0C7E3492" w:rsidR="00F82003" w:rsidRDefault="001843C6" w:rsidP="00AE0261">
      <w:pPr>
        <w:pStyle w:val="Heading4"/>
      </w:pPr>
      <w:r w:rsidRPr="00131DCC">
        <w:t xml:space="preserve">Introduction </w:t>
      </w:r>
    </w:p>
    <w:p w14:paraId="6E75277D" w14:textId="77777777" w:rsidR="00AE0261" w:rsidRDefault="00AE0261" w:rsidP="00AE0261">
      <w:pPr>
        <w:spacing w:after="0" w:line="360" w:lineRule="auto"/>
        <w:ind w:left="0" w:firstLine="0"/>
      </w:pPr>
    </w:p>
    <w:p w14:paraId="40D72118" w14:textId="7F1EDD7E" w:rsidR="009B37B8" w:rsidRDefault="001843C6" w:rsidP="00AE0261">
      <w:pPr>
        <w:spacing w:after="0" w:line="360" w:lineRule="auto"/>
        <w:ind w:left="0" w:firstLine="0"/>
      </w:pPr>
      <w:r>
        <w:t>[1]</w:t>
      </w:r>
      <w:r>
        <w:tab/>
        <w:t xml:space="preserve">Before this </w:t>
      </w:r>
      <w:r w:rsidR="00AE0261">
        <w:t>c</w:t>
      </w:r>
      <w:r>
        <w:t>ourt is</w:t>
      </w:r>
      <w:r w:rsidR="00F82003">
        <w:t xml:space="preserve"> a</w:t>
      </w:r>
      <w:r>
        <w:t xml:space="preserve">n </w:t>
      </w:r>
      <w:r w:rsidR="00F82003">
        <w:t>application</w:t>
      </w:r>
      <w:r>
        <w:t xml:space="preserve"> for review</w:t>
      </w:r>
      <w:r w:rsidR="00035741">
        <w:t xml:space="preserve"> as envisaged in rule 76 of the High Court Rules</w:t>
      </w:r>
      <w:r w:rsidR="00F82003">
        <w:t xml:space="preserve">. The application relates to specific </w:t>
      </w:r>
      <w:r w:rsidR="00AE0261">
        <w:t>l</w:t>
      </w:r>
      <w:r w:rsidR="00F82003">
        <w:t xml:space="preserve">ower </w:t>
      </w:r>
      <w:r w:rsidR="00AE0261">
        <w:t>c</w:t>
      </w:r>
      <w:r w:rsidR="00F82003">
        <w:t>ourt (</w:t>
      </w:r>
      <w:r w:rsidR="00AE0261">
        <w:t>m</w:t>
      </w:r>
      <w:r w:rsidR="00F82003" w:rsidRPr="008F4A7D">
        <w:t>agistrate</w:t>
      </w:r>
      <w:r w:rsidR="00F770E3" w:rsidRPr="008F4A7D">
        <w:t>s</w:t>
      </w:r>
      <w:r w:rsidR="00F82003">
        <w:t xml:space="preserve"> </w:t>
      </w:r>
      <w:r w:rsidR="00AE0261">
        <w:t>c</w:t>
      </w:r>
      <w:r w:rsidR="00F82003">
        <w:t>ourt) proceedings, which were held at the Magisterial District of Gobabis, conducted in terms of s 32(1) of the Prevention of Organised Crime Act 29 of 2004</w:t>
      </w:r>
      <w:r w:rsidR="00035741">
        <w:t xml:space="preserve"> </w:t>
      </w:r>
      <w:r w:rsidR="00F82003">
        <w:t>(POCA)</w:t>
      </w:r>
      <w:r w:rsidR="00035741">
        <w:t>.</w:t>
      </w:r>
      <w:r w:rsidR="001F6864">
        <w:t xml:space="preserve"> </w:t>
      </w:r>
    </w:p>
    <w:p w14:paraId="2EA03A9E" w14:textId="77777777" w:rsidR="00C66D3C" w:rsidRDefault="00C66D3C" w:rsidP="00C66D3C">
      <w:pPr>
        <w:pStyle w:val="Heading1"/>
        <w:rPr>
          <w:i w:val="0"/>
          <w:u w:val="single"/>
        </w:rPr>
      </w:pPr>
    </w:p>
    <w:p w14:paraId="260D452C" w14:textId="6E776324" w:rsidR="00BE2A6C" w:rsidRPr="00C66D3C" w:rsidRDefault="00C66D3C" w:rsidP="00C66D3C">
      <w:pPr>
        <w:pStyle w:val="Heading1"/>
        <w:rPr>
          <w:i w:val="0"/>
          <w:u w:val="single"/>
        </w:rPr>
      </w:pPr>
      <w:r w:rsidRPr="00C66D3C">
        <w:rPr>
          <w:i w:val="0"/>
          <w:u w:val="single"/>
        </w:rPr>
        <w:t>The parties</w:t>
      </w:r>
    </w:p>
    <w:p w14:paraId="690822EF" w14:textId="77777777" w:rsidR="00C66D3C" w:rsidRPr="00C66D3C" w:rsidRDefault="00C66D3C" w:rsidP="00BE2A6C">
      <w:pPr>
        <w:spacing w:after="0" w:line="360" w:lineRule="auto"/>
        <w:ind w:left="0" w:firstLine="0"/>
        <w:rPr>
          <w:i/>
        </w:rPr>
      </w:pPr>
    </w:p>
    <w:p w14:paraId="75D3C749" w14:textId="5092BC35" w:rsidR="00FA4D51" w:rsidRDefault="001843C6" w:rsidP="00C473ED">
      <w:pPr>
        <w:spacing w:line="360" w:lineRule="auto"/>
      </w:pPr>
      <w:r>
        <w:t>[2]</w:t>
      </w:r>
      <w:r>
        <w:tab/>
      </w:r>
      <w:r w:rsidR="00FA4D51">
        <w:t xml:space="preserve">The applicant is Jan Benedictus Fredericks, an adult male, currently serving sentence in the Windhoek Correctional Facility. </w:t>
      </w:r>
    </w:p>
    <w:p w14:paraId="284B288E" w14:textId="4E5F6471" w:rsidR="00FA4D51" w:rsidRDefault="00FA4D51" w:rsidP="00C473ED">
      <w:pPr>
        <w:spacing w:line="360" w:lineRule="auto"/>
      </w:pPr>
      <w:r>
        <w:t>[3]</w:t>
      </w:r>
      <w:r>
        <w:tab/>
        <w:t>The respondents cited are as follows:</w:t>
      </w:r>
    </w:p>
    <w:p w14:paraId="1265C5B7" w14:textId="080D4C7B" w:rsidR="00FA4D51" w:rsidRDefault="00FA4D51" w:rsidP="00FA4D51">
      <w:pPr>
        <w:pStyle w:val="ListParagraph"/>
        <w:spacing w:after="160" w:line="360" w:lineRule="auto"/>
        <w:ind w:left="0" w:firstLine="0"/>
        <w:rPr>
          <w:szCs w:val="24"/>
        </w:rPr>
      </w:pPr>
      <w:r>
        <w:t xml:space="preserve">3.1 </w:t>
      </w:r>
      <w:r>
        <w:tab/>
      </w:r>
      <w:r>
        <w:rPr>
          <w:szCs w:val="24"/>
        </w:rPr>
        <w:t>The first respondent is the Prosecutor-General (‘the PG</w:t>
      </w:r>
      <w:r w:rsidR="00470140">
        <w:rPr>
          <w:szCs w:val="24"/>
        </w:rPr>
        <w:t>’</w:t>
      </w:r>
      <w:r>
        <w:rPr>
          <w:szCs w:val="24"/>
        </w:rPr>
        <w:t xml:space="preserve">), appointed in terms of Article 88 of the Namibian Constitution with her office at Corporate House, JP Karuaihe Street, Windhoek. </w:t>
      </w:r>
    </w:p>
    <w:p w14:paraId="7CBD386A" w14:textId="34232724" w:rsidR="00FA4D51" w:rsidRDefault="00F770E3" w:rsidP="00FA4D51">
      <w:pPr>
        <w:pStyle w:val="ListParagraph"/>
        <w:spacing w:after="160" w:line="360" w:lineRule="auto"/>
        <w:ind w:left="0" w:firstLine="0"/>
        <w:rPr>
          <w:szCs w:val="24"/>
        </w:rPr>
      </w:pPr>
      <w:r>
        <w:rPr>
          <w:szCs w:val="24"/>
        </w:rPr>
        <w:lastRenderedPageBreak/>
        <w:t>3.2</w:t>
      </w:r>
      <w:r w:rsidR="00FA4D51">
        <w:rPr>
          <w:szCs w:val="24"/>
        </w:rPr>
        <w:tab/>
        <w:t xml:space="preserve">The second respondent is Mr </w:t>
      </w:r>
      <w:r w:rsidR="002A0229">
        <w:rPr>
          <w:szCs w:val="24"/>
        </w:rPr>
        <w:t>Davy Nambwe Kambinda</w:t>
      </w:r>
      <w:r w:rsidR="00EC7BF9">
        <w:rPr>
          <w:szCs w:val="24"/>
        </w:rPr>
        <w:t xml:space="preserve"> (</w:t>
      </w:r>
      <w:r w:rsidR="00922FB6">
        <w:rPr>
          <w:szCs w:val="24"/>
        </w:rPr>
        <w:t>‘</w:t>
      </w:r>
      <w:r w:rsidR="00EC7BF9">
        <w:rPr>
          <w:szCs w:val="24"/>
        </w:rPr>
        <w:t>Magistrate Kambinda</w:t>
      </w:r>
      <w:r w:rsidR="00922FB6">
        <w:rPr>
          <w:szCs w:val="24"/>
        </w:rPr>
        <w:t>’</w:t>
      </w:r>
      <w:r w:rsidR="00EC7BF9">
        <w:rPr>
          <w:szCs w:val="24"/>
        </w:rPr>
        <w:t>)</w:t>
      </w:r>
      <w:r w:rsidR="002A0229">
        <w:rPr>
          <w:szCs w:val="24"/>
        </w:rPr>
        <w:t xml:space="preserve">, a magistrate appointed in terms of the Magistrates Act 3 of 2003, </w:t>
      </w:r>
      <w:r w:rsidR="00114AA4">
        <w:rPr>
          <w:szCs w:val="24"/>
        </w:rPr>
        <w:t xml:space="preserve">stationed at Gobabis </w:t>
      </w:r>
      <w:r w:rsidR="00114AA4" w:rsidRPr="008F4A7D">
        <w:rPr>
          <w:szCs w:val="24"/>
        </w:rPr>
        <w:t>Magistrate</w:t>
      </w:r>
      <w:r w:rsidR="002A0229" w:rsidRPr="008F4A7D">
        <w:rPr>
          <w:szCs w:val="24"/>
        </w:rPr>
        <w:t>s</w:t>
      </w:r>
      <w:r w:rsidR="002A0229">
        <w:rPr>
          <w:szCs w:val="24"/>
        </w:rPr>
        <w:t xml:space="preserve"> Court. M</w:t>
      </w:r>
      <w:r w:rsidR="00AE0261">
        <w:rPr>
          <w:szCs w:val="24"/>
        </w:rPr>
        <w:t>agistrate</w:t>
      </w:r>
      <w:r w:rsidR="002A0229">
        <w:rPr>
          <w:szCs w:val="24"/>
        </w:rPr>
        <w:t xml:space="preserve"> Kambinda is cited in his capacity as the presiding magistrate in case GOB-CRM-1983/2019, </w:t>
      </w:r>
      <w:r w:rsidR="00470140" w:rsidRPr="008F4A7D">
        <w:rPr>
          <w:szCs w:val="24"/>
        </w:rPr>
        <w:t>which</w:t>
      </w:r>
      <w:r w:rsidR="00470140">
        <w:rPr>
          <w:szCs w:val="24"/>
        </w:rPr>
        <w:t xml:space="preserve"> </w:t>
      </w:r>
      <w:r w:rsidR="002A0229">
        <w:rPr>
          <w:szCs w:val="24"/>
        </w:rPr>
        <w:t xml:space="preserve">proceedings and decisions the applicant seeks </w:t>
      </w:r>
      <w:r w:rsidR="00AE0261">
        <w:rPr>
          <w:szCs w:val="24"/>
        </w:rPr>
        <w:t xml:space="preserve">to be </w:t>
      </w:r>
      <w:r w:rsidR="002A0229">
        <w:rPr>
          <w:szCs w:val="24"/>
        </w:rPr>
        <w:t>reviewed and set aside.</w:t>
      </w:r>
    </w:p>
    <w:p w14:paraId="43A157B6" w14:textId="77777777" w:rsidR="00AE0261" w:rsidRDefault="00AE0261" w:rsidP="00FA4D51">
      <w:pPr>
        <w:pStyle w:val="ListParagraph"/>
        <w:spacing w:after="160" w:line="360" w:lineRule="auto"/>
        <w:ind w:left="0" w:firstLine="0"/>
        <w:rPr>
          <w:szCs w:val="24"/>
        </w:rPr>
      </w:pPr>
    </w:p>
    <w:p w14:paraId="0ADCDD89" w14:textId="733C154C" w:rsidR="002A0229" w:rsidRDefault="00F770E3" w:rsidP="00C66D3C">
      <w:pPr>
        <w:pStyle w:val="ListParagraph"/>
        <w:spacing w:after="0" w:line="360" w:lineRule="auto"/>
        <w:ind w:left="0" w:firstLine="0"/>
        <w:rPr>
          <w:szCs w:val="24"/>
        </w:rPr>
      </w:pPr>
      <w:r>
        <w:rPr>
          <w:szCs w:val="24"/>
        </w:rPr>
        <w:t>3.3</w:t>
      </w:r>
      <w:r w:rsidR="002A0229">
        <w:rPr>
          <w:szCs w:val="24"/>
        </w:rPr>
        <w:tab/>
        <w:t>The third respondent is the Inspector-General of the Namibian Police</w:t>
      </w:r>
      <w:r w:rsidR="00AE0261">
        <w:rPr>
          <w:szCs w:val="24"/>
        </w:rPr>
        <w:t>,</w:t>
      </w:r>
      <w:r w:rsidR="00114AA4">
        <w:rPr>
          <w:szCs w:val="24"/>
        </w:rPr>
        <w:t xml:space="preserve"> </w:t>
      </w:r>
      <w:r w:rsidR="00114AA4" w:rsidRPr="008F4A7D">
        <w:rPr>
          <w:szCs w:val="24"/>
        </w:rPr>
        <w:t>Sebastian Ndeitunga</w:t>
      </w:r>
      <w:r w:rsidR="002A0229" w:rsidRPr="008F4A7D">
        <w:rPr>
          <w:szCs w:val="24"/>
        </w:rPr>
        <w:t xml:space="preserve">, </w:t>
      </w:r>
      <w:r w:rsidR="009331F4" w:rsidRPr="008F4A7D">
        <w:rPr>
          <w:szCs w:val="24"/>
        </w:rPr>
        <w:t>cited in his official capacity.</w:t>
      </w:r>
    </w:p>
    <w:p w14:paraId="4B467884" w14:textId="77777777" w:rsidR="00C66D3C" w:rsidRDefault="00C66D3C" w:rsidP="00C66D3C">
      <w:pPr>
        <w:spacing w:after="0" w:line="360" w:lineRule="auto"/>
        <w:ind w:left="0" w:firstLine="0"/>
        <w:rPr>
          <w:szCs w:val="24"/>
          <w:u w:val="single"/>
        </w:rPr>
      </w:pPr>
    </w:p>
    <w:p w14:paraId="5FF533B1" w14:textId="10C95890" w:rsidR="00C66D3C" w:rsidRDefault="00C66D3C" w:rsidP="00C66D3C">
      <w:pPr>
        <w:spacing w:after="0" w:line="360" w:lineRule="auto"/>
        <w:ind w:left="0" w:firstLine="0"/>
        <w:rPr>
          <w:szCs w:val="24"/>
          <w:u w:val="single"/>
        </w:rPr>
      </w:pPr>
      <w:r>
        <w:rPr>
          <w:szCs w:val="24"/>
          <w:u w:val="single"/>
        </w:rPr>
        <w:t>B</w:t>
      </w:r>
      <w:r w:rsidRPr="00131DCC">
        <w:rPr>
          <w:szCs w:val="24"/>
          <w:u w:val="single"/>
        </w:rPr>
        <w:t>ackground</w:t>
      </w:r>
    </w:p>
    <w:p w14:paraId="3FC7926B" w14:textId="77777777" w:rsidR="00C66D3C" w:rsidRDefault="00C66D3C" w:rsidP="00C66D3C">
      <w:pPr>
        <w:spacing w:after="0" w:line="360" w:lineRule="auto"/>
        <w:ind w:left="0" w:firstLine="0"/>
      </w:pPr>
    </w:p>
    <w:p w14:paraId="67A45CBD" w14:textId="53526AAF" w:rsidR="00FA4D51" w:rsidRDefault="00C66D3C" w:rsidP="00C66D3C">
      <w:pPr>
        <w:pStyle w:val="BodyTextIndent"/>
      </w:pPr>
      <w:r>
        <w:t>[4]</w:t>
      </w:r>
      <w:r>
        <w:tab/>
      </w:r>
      <w:r w:rsidR="001F6864">
        <w:t xml:space="preserve">The </w:t>
      </w:r>
      <w:r w:rsidR="00B93851">
        <w:t>a</w:t>
      </w:r>
      <w:r w:rsidR="001F6864">
        <w:t>pplicant</w:t>
      </w:r>
      <w:r w:rsidR="00C473ED">
        <w:t xml:space="preserve"> </w:t>
      </w:r>
      <w:r w:rsidR="00FA4D51">
        <w:t>appeared before the Goba</w:t>
      </w:r>
      <w:r w:rsidR="009F4B47">
        <w:t>b</w:t>
      </w:r>
      <w:r w:rsidR="00F770E3">
        <w:t xml:space="preserve">is </w:t>
      </w:r>
      <w:r w:rsidR="00F770E3" w:rsidRPr="008F4A7D">
        <w:t>Magistrate</w:t>
      </w:r>
      <w:r w:rsidR="00470140" w:rsidRPr="008F4A7D">
        <w:t>s Court i</w:t>
      </w:r>
      <w:r w:rsidR="00FA4D51" w:rsidRPr="008F4A7D">
        <w:t>n</w:t>
      </w:r>
      <w:r w:rsidR="00FA4D51">
        <w:t xml:space="preserve"> case numb</w:t>
      </w:r>
      <w:r w:rsidR="00AE0261">
        <w:t>ers GOB-CR</w:t>
      </w:r>
      <w:r w:rsidR="00922FB6">
        <w:t>M-247/2019,</w:t>
      </w:r>
      <w:r w:rsidR="00AE0261">
        <w:t xml:space="preserve"> </w:t>
      </w:r>
      <w:r w:rsidR="00922FB6">
        <w:t>GOB-CRM-</w:t>
      </w:r>
      <w:r w:rsidR="00FA4D51">
        <w:t>1982/2019 and</w:t>
      </w:r>
      <w:r w:rsidR="001843C6">
        <w:t xml:space="preserve"> GOB-CRM</w:t>
      </w:r>
      <w:r w:rsidR="00B93851">
        <w:t>-</w:t>
      </w:r>
      <w:r w:rsidR="001843C6">
        <w:t xml:space="preserve">1983/2019. </w:t>
      </w:r>
      <w:r w:rsidR="009A4CA0">
        <w:t>Under these case numbers</w:t>
      </w:r>
      <w:r w:rsidR="00CC278E">
        <w:t>,</w:t>
      </w:r>
      <w:r w:rsidR="009A4CA0">
        <w:t xml:space="preserve"> the applicant was charged and subsequently convicted of several counts of theft under false pretences and money laundering (contravening s 4(</w:t>
      </w:r>
      <w:r w:rsidR="009A4CA0" w:rsidRPr="00470140">
        <w:rPr>
          <w:i/>
        </w:rPr>
        <w:t>a</w:t>
      </w:r>
      <w:r w:rsidR="009A4CA0">
        <w:t>) read with s</w:t>
      </w:r>
      <w:r w:rsidR="00A574C6">
        <w:t>ubsecs</w:t>
      </w:r>
      <w:r w:rsidR="009A4CA0">
        <w:t xml:space="preserve"> 1, 7 and 11 of POCA).</w:t>
      </w:r>
    </w:p>
    <w:p w14:paraId="54C0F30E" w14:textId="2E1550AE" w:rsidR="009A4CA0" w:rsidRDefault="009A4CA0" w:rsidP="00C66D3C">
      <w:pPr>
        <w:pStyle w:val="BodyTextIndent"/>
      </w:pPr>
      <w:r>
        <w:t>[5]</w:t>
      </w:r>
      <w:r>
        <w:tab/>
        <w:t xml:space="preserve">The </w:t>
      </w:r>
      <w:r w:rsidR="00AE0261">
        <w:t>p</w:t>
      </w:r>
      <w:r>
        <w:t xml:space="preserve">rosecuting </w:t>
      </w:r>
      <w:r w:rsidR="00AE0261">
        <w:t>a</w:t>
      </w:r>
      <w:r>
        <w:t>uthority filed an application on 3 August 2020 in support of a confiscation enquiry in terms of s 32(1)(</w:t>
      </w:r>
      <w:r w:rsidRPr="00470140">
        <w:rPr>
          <w:i/>
        </w:rPr>
        <w:t>a</w:t>
      </w:r>
      <w:r>
        <w:t xml:space="preserve">) of POCA to determine the </w:t>
      </w:r>
      <w:r w:rsidRPr="008F4A7D">
        <w:t>benefit</w:t>
      </w:r>
      <w:r w:rsidR="00470140" w:rsidRPr="008F4A7D">
        <w:t>s which</w:t>
      </w:r>
      <w:r w:rsidRPr="008F4A7D">
        <w:t xml:space="preserve"> </w:t>
      </w:r>
      <w:r w:rsidR="0006461F" w:rsidRPr="008F4A7D">
        <w:t>were</w:t>
      </w:r>
      <w:r w:rsidR="004F13C5" w:rsidRPr="008F4A7D">
        <w:t xml:space="preserve"> derived from the offences that the applicant was convict</w:t>
      </w:r>
      <w:r w:rsidR="004F13C5">
        <w:t>ed of on 24 June 2020.</w:t>
      </w:r>
    </w:p>
    <w:p w14:paraId="1E3E8EBC" w14:textId="3AF898A2" w:rsidR="0038155C" w:rsidRDefault="004F13C5" w:rsidP="00C66D3C">
      <w:pPr>
        <w:pStyle w:val="BodyTextIndent"/>
      </w:pPr>
      <w:r>
        <w:t>[6]</w:t>
      </w:r>
      <w:r>
        <w:tab/>
        <w:t>The hearing of the application was postponed on several occasions and only commenced on 16 June 2021. The applicant was in attendance during the 16 June proceedings</w:t>
      </w:r>
      <w:r w:rsidR="00D962C3">
        <w:t>,</w:t>
      </w:r>
      <w:r w:rsidR="009F4B47">
        <w:t xml:space="preserve"> and </w:t>
      </w:r>
      <w:r w:rsidR="007627AB">
        <w:t>one witness</w:t>
      </w:r>
      <w:r w:rsidR="009F4B47">
        <w:t xml:space="preserve"> testified and w</w:t>
      </w:r>
      <w:r w:rsidR="007627AB">
        <w:t>as</w:t>
      </w:r>
      <w:r w:rsidR="009F4B47">
        <w:t xml:space="preserve"> cross-examined by the applicant</w:t>
      </w:r>
      <w:r>
        <w:t>. The hearing was</w:t>
      </w:r>
      <w:r w:rsidR="00AE0261">
        <w:t xml:space="preserve"> </w:t>
      </w:r>
      <w:r>
        <w:t>adjourned and set to continue on 28 June 2021</w:t>
      </w:r>
      <w:r w:rsidR="00AE0261">
        <w:t>.</w:t>
      </w:r>
      <w:r w:rsidR="0038155C">
        <w:t xml:space="preserve"> </w:t>
      </w:r>
      <w:r w:rsidR="00AE0261">
        <w:t>H</w:t>
      </w:r>
      <w:r w:rsidR="0038155C">
        <w:t>owever</w:t>
      </w:r>
      <w:r w:rsidR="00EC7BF9">
        <w:t>,</w:t>
      </w:r>
      <w:r w:rsidR="0038155C">
        <w:t xml:space="preserve"> the enquiry could not proceed on the said date as a result of </w:t>
      </w:r>
      <w:r w:rsidR="00D962C3">
        <w:t>the COVID-19</w:t>
      </w:r>
      <w:r w:rsidR="0038155C">
        <w:t xml:space="preserve"> lockdown</w:t>
      </w:r>
      <w:r w:rsidR="00EC7BF9">
        <w:t xml:space="preserve">. </w:t>
      </w:r>
      <w:r w:rsidR="00CC278E">
        <w:t>After that,</w:t>
      </w:r>
      <w:r w:rsidR="00EC7BF9">
        <w:t xml:space="preserve"> further postponements of the enquiry followed due to a number of reasons which are not relevant </w:t>
      </w:r>
      <w:r w:rsidR="00CC278E">
        <w:t>to</w:t>
      </w:r>
      <w:r w:rsidR="00EC7BF9">
        <w:t xml:space="preserve"> the current proceedings. </w:t>
      </w:r>
    </w:p>
    <w:p w14:paraId="30630BA4" w14:textId="728B1192" w:rsidR="00EC7BF9" w:rsidRDefault="00EC7BF9" w:rsidP="00C66D3C">
      <w:pPr>
        <w:pStyle w:val="BodyTextIndent"/>
      </w:pPr>
      <w:r>
        <w:t>[7]</w:t>
      </w:r>
      <w:r>
        <w:tab/>
        <w:t>Eventually, on 26 April 2022, the matter served before the court again. The applicant was absent from court</w:t>
      </w:r>
      <w:r w:rsidR="00D962C3">
        <w:t>,</w:t>
      </w:r>
      <w:r>
        <w:t xml:space="preserve"> and Magistrate Kambinda was informed that the applicant was unwilling</w:t>
      </w:r>
      <w:r w:rsidR="0006461F">
        <w:t xml:space="preserve"> to come to court and that the </w:t>
      </w:r>
      <w:r w:rsidR="0006461F" w:rsidRPr="0006461F">
        <w:t>S</w:t>
      </w:r>
      <w:r w:rsidRPr="0006461F">
        <w:t>tate</w:t>
      </w:r>
      <w:r>
        <w:t xml:space="preserve"> would, given the opportunity, present evidence in his regard. </w:t>
      </w:r>
    </w:p>
    <w:p w14:paraId="3D42178F" w14:textId="5BFE389C" w:rsidR="00EC7BF9" w:rsidRDefault="00EC7BF9" w:rsidP="00C66D3C">
      <w:pPr>
        <w:pStyle w:val="BodyTextIndent"/>
      </w:pPr>
      <w:r>
        <w:lastRenderedPageBreak/>
        <w:t>[8]</w:t>
      </w:r>
      <w:r>
        <w:tab/>
        <w:t>On 27 April 2022</w:t>
      </w:r>
      <w:r w:rsidR="00AE0261">
        <w:t>,</w:t>
      </w:r>
      <w:r>
        <w:t xml:space="preserve"> </w:t>
      </w:r>
      <w:r w:rsidR="00D962C3">
        <w:t>A/Comm</w:t>
      </w:r>
      <w:r w:rsidR="001409B4">
        <w:t xml:space="preserve"> John Robert Platt, the officer in charge of the Gobabis Correctional </w:t>
      </w:r>
      <w:r w:rsidR="00AE0261">
        <w:t>F</w:t>
      </w:r>
      <w:r w:rsidR="001409B4">
        <w:t>acility</w:t>
      </w:r>
      <w:r w:rsidR="00CC278E">
        <w:t>,</w:t>
      </w:r>
      <w:r w:rsidR="001409B4">
        <w:t xml:space="preserve"> testified regarding the applicant’s unwillingness </w:t>
      </w:r>
      <w:r w:rsidR="00922FB6" w:rsidRPr="008F4A7D">
        <w:t>to appear</w:t>
      </w:r>
      <w:r w:rsidR="00922FB6">
        <w:t xml:space="preserve"> at </w:t>
      </w:r>
      <w:r w:rsidR="001409B4">
        <w:t xml:space="preserve">court.  After having heard the evidence of </w:t>
      </w:r>
      <w:r w:rsidR="00AC4A91">
        <w:t>A/Comm</w:t>
      </w:r>
      <w:r w:rsidR="001409B4">
        <w:t xml:space="preserve"> Platt</w:t>
      </w:r>
      <w:r w:rsidR="00CC278E">
        <w:t>,</w:t>
      </w:r>
      <w:r w:rsidR="001409B4">
        <w:t xml:space="preserve"> the State applied that the proceedings </w:t>
      </w:r>
      <w:r w:rsidR="00AE0261">
        <w:t>continued</w:t>
      </w:r>
      <w:r w:rsidR="001409B4">
        <w:t xml:space="preserve"> in the absence of the applicant. Magistrate Kambinda, being satisfied</w:t>
      </w:r>
      <w:r w:rsidR="00C43676">
        <w:t xml:space="preserve"> that the applicant had no reason not to be at court</w:t>
      </w:r>
      <w:r w:rsidR="00C47E45">
        <w:t>,</w:t>
      </w:r>
      <w:r w:rsidR="00C43676">
        <w:t xml:space="preserve"> ordered that the matter </w:t>
      </w:r>
      <w:r w:rsidR="00AC4A91">
        <w:t>proceed</w:t>
      </w:r>
      <w:r w:rsidR="00C43676">
        <w:t xml:space="preserve"> in the </w:t>
      </w:r>
      <w:r w:rsidR="00CC278E">
        <w:t>applicant's absence</w:t>
      </w:r>
      <w:r w:rsidR="00C43676">
        <w:t>. The public prosecutor proceeded to call a witness</w:t>
      </w:r>
      <w:r w:rsidR="00CC278E">
        <w:t xml:space="preserve"> named </w:t>
      </w:r>
      <w:r w:rsidR="00C43676">
        <w:t>Inspector Gert Boois. Once the evidence of this witness was concluded</w:t>
      </w:r>
      <w:r w:rsidR="00AE0261">
        <w:t>,</w:t>
      </w:r>
      <w:r w:rsidR="00C43676">
        <w:t xml:space="preserve"> the matter was postponed to 28 April 2022 to allow the </w:t>
      </w:r>
      <w:r w:rsidR="001409B4">
        <w:t xml:space="preserve">public prosecutor </w:t>
      </w:r>
      <w:r w:rsidR="00C43676">
        <w:t>to file written submissions</w:t>
      </w:r>
      <w:r w:rsidR="001409B4">
        <w:t xml:space="preserve"> in support of the application. </w:t>
      </w:r>
    </w:p>
    <w:p w14:paraId="244C9037" w14:textId="5A0E29D5" w:rsidR="001409B4" w:rsidRDefault="001409B4" w:rsidP="00C66D3C">
      <w:pPr>
        <w:pStyle w:val="BodyTextIndent"/>
      </w:pPr>
      <w:r>
        <w:t>[9]</w:t>
      </w:r>
      <w:r>
        <w:tab/>
        <w:t xml:space="preserve">On 28 April 2022, having considered the </w:t>
      </w:r>
      <w:r w:rsidR="00C43676">
        <w:t>evidence presented and the</w:t>
      </w:r>
      <w:r>
        <w:t xml:space="preserve"> written submissions by the public prosecutor, Magistrate Kambinda made the following confiscation order</w:t>
      </w:r>
      <w:r w:rsidRPr="008F4A7D">
        <w:t>:</w:t>
      </w:r>
      <w:r w:rsidR="00A717E9" w:rsidRPr="008F4A7D">
        <w:t xml:space="preserve"> </w:t>
      </w:r>
      <w:r w:rsidR="008F4A7D" w:rsidRPr="008F4A7D">
        <w:t>(</w:t>
      </w:r>
      <w:r w:rsidR="00A717E9" w:rsidRPr="008F4A7D">
        <w:t>I quote verbatim</w:t>
      </w:r>
      <w:r w:rsidR="008F4A7D" w:rsidRPr="008F4A7D">
        <w:t>)</w:t>
      </w:r>
    </w:p>
    <w:p w14:paraId="06AE7129" w14:textId="2CF29541" w:rsidR="001409B4" w:rsidRDefault="001409B4" w:rsidP="00A717E9">
      <w:pPr>
        <w:pStyle w:val="BodyTextIndent"/>
        <w:ind w:firstLine="710"/>
        <w:rPr>
          <w:sz w:val="22"/>
        </w:rPr>
      </w:pPr>
      <w:r>
        <w:t>‘</w:t>
      </w:r>
      <w:r>
        <w:rPr>
          <w:sz w:val="22"/>
        </w:rPr>
        <w:t xml:space="preserve">THE COURT HAVING BEEN ASKED TO INSTITUTE AN ENQUIRY INTO ANY </w:t>
      </w:r>
      <w:r w:rsidRPr="008F4A7D">
        <w:rPr>
          <w:sz w:val="22"/>
        </w:rPr>
        <w:t>BENEFI</w:t>
      </w:r>
      <w:r w:rsidR="00922FB6" w:rsidRPr="008F4A7D">
        <w:rPr>
          <w:sz w:val="22"/>
        </w:rPr>
        <w:t>T</w:t>
      </w:r>
      <w:r w:rsidRPr="008F4A7D">
        <w:rPr>
          <w:sz w:val="22"/>
        </w:rPr>
        <w:t xml:space="preserve"> THE</w:t>
      </w:r>
      <w:r>
        <w:rPr>
          <w:sz w:val="22"/>
        </w:rPr>
        <w:t xml:space="preserve"> DEFENDANT MAY HAVE DERIVED FROM THE OFFENCE FOR WHICH HE WAS CONVICTED AND OTHER RELATED CRIMINAL ACTIVITIES, </w:t>
      </w:r>
    </w:p>
    <w:p w14:paraId="0771A4D8" w14:textId="62C9B0F2" w:rsidR="001409B4" w:rsidRDefault="001409B4" w:rsidP="00C66D3C">
      <w:pPr>
        <w:pStyle w:val="BodyTextIndent"/>
        <w:rPr>
          <w:sz w:val="22"/>
        </w:rPr>
      </w:pPr>
      <w:r>
        <w:rPr>
          <w:sz w:val="22"/>
        </w:rPr>
        <w:t>AND SINCE THE WRITTEN AUTHORITY WAS OBTAINED TO INSTITUTE THE ENQUIRY;</w:t>
      </w:r>
    </w:p>
    <w:p w14:paraId="6E9617B7" w14:textId="5314E9CA" w:rsidR="001409B4" w:rsidRDefault="001409B4" w:rsidP="00C66D3C">
      <w:pPr>
        <w:pStyle w:val="BodyTextIndent"/>
        <w:rPr>
          <w:sz w:val="22"/>
        </w:rPr>
      </w:pPr>
      <w:r>
        <w:rPr>
          <w:sz w:val="22"/>
        </w:rPr>
        <w:t>AND HAVING ORDERED THAT THE ENQUIRY SHOULD BE HELD;</w:t>
      </w:r>
    </w:p>
    <w:p w14:paraId="6459C3D8" w14:textId="0FCBD82B" w:rsidR="001409B4" w:rsidRDefault="001409B4" w:rsidP="00C66D3C">
      <w:pPr>
        <w:pStyle w:val="BodyTextIndent"/>
        <w:rPr>
          <w:sz w:val="22"/>
        </w:rPr>
      </w:pPr>
      <w:r>
        <w:rPr>
          <w:sz w:val="22"/>
        </w:rPr>
        <w:t>UPON BEING SATISFIED THAT THE DEFENDANT HAVE BENEFITTED FROM HIS OFFENCES AND RELATED CRIMINAL ACTIVITIES.</w:t>
      </w:r>
    </w:p>
    <w:p w14:paraId="2DA8A6E6" w14:textId="67645250" w:rsidR="001409B4" w:rsidRDefault="001409B4" w:rsidP="001409B4">
      <w:pPr>
        <w:pStyle w:val="BodyTextIndent"/>
        <w:rPr>
          <w:sz w:val="22"/>
        </w:rPr>
      </w:pPr>
      <w:r>
        <w:rPr>
          <w:sz w:val="22"/>
        </w:rPr>
        <w:t>IT IS HEREBY ORDERED THAT:</w:t>
      </w:r>
    </w:p>
    <w:p w14:paraId="0EB6A327" w14:textId="34114F48" w:rsidR="001409B4" w:rsidRDefault="001409B4" w:rsidP="001409B4">
      <w:pPr>
        <w:pStyle w:val="BodyTextIndent"/>
        <w:numPr>
          <w:ilvl w:val="0"/>
          <w:numId w:val="10"/>
        </w:numPr>
        <w:rPr>
          <w:sz w:val="22"/>
        </w:rPr>
      </w:pPr>
      <w:r>
        <w:rPr>
          <w:sz w:val="22"/>
        </w:rPr>
        <w:t>In terms of section 32(2) of the Prevention of Organised Crime Act 29 of 2022 (“POCA”), the value of the benefit of the offence the defendant were found guilty of and/or he related criminal activities of the defendant is at least N$54 033.32.</w:t>
      </w:r>
    </w:p>
    <w:p w14:paraId="030C4EA9" w14:textId="2463FCD1" w:rsidR="001409B4" w:rsidRDefault="001409B4" w:rsidP="001409B4">
      <w:pPr>
        <w:pStyle w:val="BodyTextIndent"/>
        <w:numPr>
          <w:ilvl w:val="0"/>
          <w:numId w:val="10"/>
        </w:numPr>
        <w:rPr>
          <w:sz w:val="22"/>
        </w:rPr>
      </w:pPr>
      <w:r>
        <w:rPr>
          <w:sz w:val="22"/>
        </w:rPr>
        <w:t>The Defendant’s realizable property consists of the N$30 910 in cash that was booked in as Exhibit at Mariental Police Station under Mariental CR 35/06/2017.</w:t>
      </w:r>
    </w:p>
    <w:p w14:paraId="6D394D7F" w14:textId="037EC3A9" w:rsidR="001409B4" w:rsidRDefault="001409B4" w:rsidP="001409B4">
      <w:pPr>
        <w:pStyle w:val="BodyTextIndent"/>
        <w:numPr>
          <w:ilvl w:val="0"/>
          <w:numId w:val="10"/>
        </w:numPr>
        <w:rPr>
          <w:sz w:val="22"/>
        </w:rPr>
      </w:pPr>
      <w:r>
        <w:rPr>
          <w:sz w:val="22"/>
        </w:rPr>
        <w:t>A confiscation order is made in the amount of N$54 033.32.</w:t>
      </w:r>
    </w:p>
    <w:p w14:paraId="3124E43E" w14:textId="605F48D3" w:rsidR="001409B4" w:rsidRDefault="001409B4" w:rsidP="001409B4">
      <w:pPr>
        <w:pStyle w:val="BodyTextIndent"/>
        <w:numPr>
          <w:ilvl w:val="0"/>
          <w:numId w:val="10"/>
        </w:numPr>
        <w:rPr>
          <w:sz w:val="22"/>
        </w:rPr>
      </w:pPr>
      <w:r>
        <w:rPr>
          <w:sz w:val="22"/>
        </w:rPr>
        <w:lastRenderedPageBreak/>
        <w:t>The amount which might be realised in terms of section 32(6)</w:t>
      </w:r>
      <w:r w:rsidR="00711633">
        <w:rPr>
          <w:sz w:val="22"/>
        </w:rPr>
        <w:t xml:space="preserve">(a)(ii) of the POCA is the N$30 910.00 in cash (the confiscation amount). </w:t>
      </w:r>
    </w:p>
    <w:p w14:paraId="4279A211" w14:textId="7E29A26A" w:rsidR="00711633" w:rsidRPr="001409B4" w:rsidRDefault="00711633" w:rsidP="001409B4">
      <w:pPr>
        <w:pStyle w:val="BodyTextIndent"/>
        <w:numPr>
          <w:ilvl w:val="0"/>
          <w:numId w:val="10"/>
        </w:numPr>
        <w:rPr>
          <w:sz w:val="22"/>
        </w:rPr>
      </w:pPr>
      <w:r>
        <w:rPr>
          <w:sz w:val="22"/>
        </w:rPr>
        <w:t>This order is a civil judgment.’</w:t>
      </w:r>
    </w:p>
    <w:p w14:paraId="53F58DB3" w14:textId="5ECEBBED" w:rsidR="00C66D3C" w:rsidRDefault="00711633" w:rsidP="00C66D3C">
      <w:pPr>
        <w:pStyle w:val="BodyTextIndent"/>
      </w:pPr>
      <w:r>
        <w:t>[10]</w:t>
      </w:r>
      <w:r w:rsidR="0030602F">
        <w:tab/>
        <w:t xml:space="preserve">The applicant now seeks </w:t>
      </w:r>
      <w:r w:rsidR="00C66D3C">
        <w:t>to review and set aside the p</w:t>
      </w:r>
      <w:r w:rsidR="0030602F">
        <w:t xml:space="preserve">roceedings and decisions of Magistrate Kambinda </w:t>
      </w:r>
      <w:r w:rsidR="00C47E45" w:rsidRPr="008F4A7D">
        <w:t>handed down</w:t>
      </w:r>
      <w:r w:rsidR="00C47E45">
        <w:t xml:space="preserve"> </w:t>
      </w:r>
      <w:r w:rsidR="00C66D3C">
        <w:t xml:space="preserve">on 28 April 2022. </w:t>
      </w:r>
    </w:p>
    <w:p w14:paraId="0A66AA6C" w14:textId="20959B42" w:rsidR="00C66D3C" w:rsidRDefault="00C66D3C" w:rsidP="00C66D3C">
      <w:pPr>
        <w:pStyle w:val="BodyTextIndent"/>
        <w:rPr>
          <w:u w:val="single"/>
        </w:rPr>
      </w:pPr>
      <w:r w:rsidRPr="00C66D3C">
        <w:rPr>
          <w:u w:val="single"/>
        </w:rPr>
        <w:t>Relief sought</w:t>
      </w:r>
    </w:p>
    <w:p w14:paraId="2671F391" w14:textId="3D231862" w:rsidR="00C66D3C" w:rsidRDefault="00C66D3C" w:rsidP="00C66D3C">
      <w:pPr>
        <w:pStyle w:val="BodyTextIndent"/>
      </w:pPr>
      <w:r w:rsidRPr="00C66D3C">
        <w:t>[</w:t>
      </w:r>
      <w:r w:rsidR="0030602F">
        <w:t>11</w:t>
      </w:r>
      <w:r w:rsidRPr="00C66D3C">
        <w:t>]</w:t>
      </w:r>
      <w:r w:rsidRPr="00C66D3C">
        <w:tab/>
      </w:r>
      <w:r>
        <w:t>In his notice of motion dated 2 June 2022</w:t>
      </w:r>
      <w:r w:rsidR="00447A18">
        <w:t>,</w:t>
      </w:r>
      <w:r>
        <w:t xml:space="preserve"> the applicant seeks an order in the following terms: </w:t>
      </w:r>
    </w:p>
    <w:p w14:paraId="2DB7AF11" w14:textId="6F3122D6" w:rsidR="00C66D3C" w:rsidRDefault="00C66D3C" w:rsidP="00AE0261">
      <w:pPr>
        <w:pStyle w:val="BodyTextIndent"/>
        <w:numPr>
          <w:ilvl w:val="0"/>
          <w:numId w:val="9"/>
        </w:numPr>
        <w:spacing w:after="0"/>
        <w:ind w:left="357" w:hanging="357"/>
      </w:pPr>
      <w:r>
        <w:t>Review of the proceedings and the decision of Magistrate Kambind</w:t>
      </w:r>
      <w:r w:rsidR="00693104">
        <w:t>a to issue a confiscation order</w:t>
      </w:r>
      <w:r>
        <w:t xml:space="preserve"> dated 28 April 2022 and </w:t>
      </w:r>
    </w:p>
    <w:p w14:paraId="51677E57" w14:textId="58924A28" w:rsidR="00C66D3C" w:rsidRPr="00A574C6" w:rsidRDefault="00C66D3C" w:rsidP="00AE0261">
      <w:pPr>
        <w:pStyle w:val="BodyTextIndent"/>
        <w:numPr>
          <w:ilvl w:val="0"/>
          <w:numId w:val="9"/>
        </w:numPr>
        <w:spacing w:after="0"/>
        <w:ind w:left="357" w:hanging="357"/>
        <w:rPr>
          <w:u w:val="single"/>
        </w:rPr>
      </w:pPr>
      <w:r>
        <w:t xml:space="preserve">The setting aside </w:t>
      </w:r>
      <w:r w:rsidR="00A717E9" w:rsidRPr="008F4A7D">
        <w:t>of</w:t>
      </w:r>
      <w:r w:rsidR="00A717E9">
        <w:t xml:space="preserve"> </w:t>
      </w:r>
      <w:r>
        <w:t xml:space="preserve">the proceedings and decision pertaining to the issuing of the confiscation order. </w:t>
      </w:r>
    </w:p>
    <w:p w14:paraId="1BD39A96" w14:textId="77777777" w:rsidR="00A574C6" w:rsidRPr="00866F5A" w:rsidRDefault="00A574C6" w:rsidP="00A574C6">
      <w:pPr>
        <w:pStyle w:val="BodyTextIndent"/>
        <w:spacing w:after="0"/>
        <w:ind w:left="357" w:firstLine="0"/>
        <w:rPr>
          <w:u w:val="single"/>
        </w:rPr>
      </w:pPr>
    </w:p>
    <w:p w14:paraId="3D4699B8" w14:textId="05B8EB65" w:rsidR="00FA4D51" w:rsidRDefault="009F631F" w:rsidP="00FA4D51">
      <w:pPr>
        <w:spacing w:after="0" w:line="360" w:lineRule="auto"/>
        <w:ind w:left="0" w:firstLine="0"/>
        <w:rPr>
          <w:u w:val="single"/>
        </w:rPr>
      </w:pPr>
      <w:r>
        <w:rPr>
          <w:u w:val="single"/>
        </w:rPr>
        <w:t>Founding papers</w:t>
      </w:r>
    </w:p>
    <w:p w14:paraId="5A3C27EC" w14:textId="77777777" w:rsidR="00C66D3C" w:rsidRDefault="00C66D3C" w:rsidP="00FA4D51">
      <w:pPr>
        <w:spacing w:after="0" w:line="360" w:lineRule="auto"/>
        <w:ind w:left="0" w:firstLine="0"/>
        <w:rPr>
          <w:u w:val="single"/>
        </w:rPr>
      </w:pPr>
    </w:p>
    <w:p w14:paraId="3231C961" w14:textId="50FF8A56" w:rsidR="001843C6" w:rsidRDefault="001843C6" w:rsidP="00FA4D51">
      <w:pPr>
        <w:spacing w:line="360" w:lineRule="auto"/>
      </w:pPr>
      <w:r>
        <w:t>[</w:t>
      </w:r>
      <w:r w:rsidR="00866F5A">
        <w:t>12</w:t>
      </w:r>
      <w:r>
        <w:t>]</w:t>
      </w:r>
      <w:r>
        <w:tab/>
        <w:t>The</w:t>
      </w:r>
      <w:r w:rsidR="00F97EEF">
        <w:t xml:space="preserve"> applicant stated that the</w:t>
      </w:r>
      <w:r w:rsidR="00C473ED">
        <w:t xml:space="preserve"> mainstay of </w:t>
      </w:r>
      <w:r w:rsidR="001F6864">
        <w:t>his</w:t>
      </w:r>
      <w:r w:rsidR="00C473ED">
        <w:t xml:space="preserve"> contentions </w:t>
      </w:r>
      <w:r w:rsidR="00CC278E">
        <w:t>would</w:t>
      </w:r>
      <w:r w:rsidR="00C473ED">
        <w:t xml:space="preserve"> be in respect of the enquiry held in terms of s 32(1) of POCA. After the </w:t>
      </w:r>
      <w:r w:rsidR="00C66D3C">
        <w:t>enquiry was finalised in his</w:t>
      </w:r>
      <w:r w:rsidR="00C473ED">
        <w:t xml:space="preserve"> absence on 26 and </w:t>
      </w:r>
      <w:r w:rsidR="00C66D3C">
        <w:t>27</w:t>
      </w:r>
      <w:r w:rsidR="00C473ED">
        <w:t xml:space="preserve"> April 2022 in </w:t>
      </w:r>
      <w:r w:rsidR="00C473ED" w:rsidRPr="008F4A7D">
        <w:t>Gobabis Magistrate</w:t>
      </w:r>
      <w:r w:rsidR="00A717E9" w:rsidRPr="008F4A7D">
        <w:t>s</w:t>
      </w:r>
      <w:r w:rsidR="00C473ED">
        <w:t xml:space="preserve"> Court, and </w:t>
      </w:r>
      <w:r w:rsidR="00C66D3C">
        <w:t xml:space="preserve">the judgment was </w:t>
      </w:r>
      <w:r w:rsidR="00C473ED">
        <w:t>delivered on 28 April 2022, the applicant received the judgment</w:t>
      </w:r>
      <w:r w:rsidR="00C66D3C">
        <w:t xml:space="preserve"> and confiscation order</w:t>
      </w:r>
      <w:r w:rsidR="00C473ED">
        <w:t xml:space="preserve"> on 12 May 2022.</w:t>
      </w:r>
    </w:p>
    <w:p w14:paraId="523B231B" w14:textId="44CB8356" w:rsidR="00480AFC" w:rsidRDefault="00C473ED" w:rsidP="00C473ED">
      <w:pPr>
        <w:spacing w:line="360" w:lineRule="auto"/>
      </w:pPr>
      <w:r>
        <w:t>[</w:t>
      </w:r>
      <w:r w:rsidR="00866F5A">
        <w:t>13</w:t>
      </w:r>
      <w:r>
        <w:t>]</w:t>
      </w:r>
      <w:r w:rsidR="00802141">
        <w:tab/>
      </w:r>
      <w:r>
        <w:t>The applicant</w:t>
      </w:r>
      <w:r w:rsidR="00C66D3C">
        <w:t xml:space="preserve"> stated that he</w:t>
      </w:r>
      <w:r>
        <w:t xml:space="preserve"> was shocked to find that the matter was finalised </w:t>
      </w:r>
      <w:r w:rsidR="00C66D3C">
        <w:t>in his absence, despite having</w:t>
      </w:r>
      <w:r w:rsidR="00C47E45">
        <w:t xml:space="preserve"> phoned the p</w:t>
      </w:r>
      <w:r>
        <w:t>u</w:t>
      </w:r>
      <w:r w:rsidR="00C47E45">
        <w:t>blic p</w:t>
      </w:r>
      <w:r>
        <w:t>rosecutor</w:t>
      </w:r>
      <w:r w:rsidR="00866F5A">
        <w:t>,</w:t>
      </w:r>
      <w:r>
        <w:t xml:space="preserve"> Faith Nyaungwa</w:t>
      </w:r>
      <w:r w:rsidR="00866F5A">
        <w:t>,</w:t>
      </w:r>
      <w:r>
        <w:t xml:space="preserve"> on 26 and 27</w:t>
      </w:r>
      <w:r w:rsidR="00C66D3C">
        <w:t xml:space="preserve"> </w:t>
      </w:r>
      <w:r>
        <w:t xml:space="preserve">April 2022, requesting the </w:t>
      </w:r>
      <w:r w:rsidR="00CC278E">
        <w:t>case</w:t>
      </w:r>
      <w:r>
        <w:t xml:space="preserve"> to be postponed</w:t>
      </w:r>
      <w:r w:rsidR="00C66D3C">
        <w:t xml:space="preserve">. </w:t>
      </w:r>
    </w:p>
    <w:p w14:paraId="51DD70DA" w14:textId="4E7A6311" w:rsidR="00C473ED" w:rsidRDefault="00480AFC" w:rsidP="00C473ED">
      <w:pPr>
        <w:spacing w:line="360" w:lineRule="auto"/>
      </w:pPr>
      <w:r>
        <w:t>[</w:t>
      </w:r>
      <w:r w:rsidR="00866F5A">
        <w:t>14</w:t>
      </w:r>
      <w:r>
        <w:t>]</w:t>
      </w:r>
      <w:r>
        <w:tab/>
        <w:t>The applicant stated that he w</w:t>
      </w:r>
      <w:r w:rsidR="00C473ED">
        <w:t xml:space="preserve">as transferred </w:t>
      </w:r>
      <w:r w:rsidR="00C473ED" w:rsidRPr="008F4A7D">
        <w:t xml:space="preserve">from </w:t>
      </w:r>
      <w:r w:rsidR="00A717E9" w:rsidRPr="008F4A7D">
        <w:t xml:space="preserve">the </w:t>
      </w:r>
      <w:r w:rsidR="00C473ED" w:rsidRPr="008F4A7D">
        <w:t>Windhoek Correctional Facility</w:t>
      </w:r>
      <w:r w:rsidR="00AC7080">
        <w:t>,</w:t>
      </w:r>
      <w:r w:rsidR="00C473ED" w:rsidRPr="008F4A7D">
        <w:t xml:space="preserve"> one week prior to the hearing date, to</w:t>
      </w:r>
      <w:r w:rsidR="00AC7080">
        <w:t xml:space="preserve"> the</w:t>
      </w:r>
      <w:r w:rsidR="00C473ED" w:rsidRPr="008F4A7D">
        <w:t xml:space="preserve"> Gobabis Correctional Facility</w:t>
      </w:r>
      <w:r w:rsidRPr="008F4A7D">
        <w:t xml:space="preserve"> to make a court appearance in </w:t>
      </w:r>
      <w:r w:rsidR="00802141" w:rsidRPr="008F4A7D">
        <w:t xml:space="preserve">case </w:t>
      </w:r>
      <w:r w:rsidR="00C66D3C" w:rsidRPr="008F4A7D">
        <w:t>GOB-CRM-</w:t>
      </w:r>
      <w:r w:rsidR="00802141" w:rsidRPr="008F4A7D">
        <w:t>1983/2019</w:t>
      </w:r>
      <w:r w:rsidR="00CC278E">
        <w:t>,</w:t>
      </w:r>
      <w:r w:rsidR="00802141" w:rsidRPr="008F4A7D">
        <w:t xml:space="preserve"> </w:t>
      </w:r>
      <w:r w:rsidR="00866F5A" w:rsidRPr="008F4A7D">
        <w:t>in</w:t>
      </w:r>
      <w:r w:rsidR="00802141" w:rsidRPr="008F4A7D">
        <w:t xml:space="preserve"> which </w:t>
      </w:r>
      <w:r w:rsidR="00866F5A" w:rsidRPr="008F4A7D">
        <w:t xml:space="preserve">the enquiry was already </w:t>
      </w:r>
      <w:r w:rsidR="00B63E8B" w:rsidRPr="008F4A7D">
        <w:t>partly heard</w:t>
      </w:r>
      <w:r w:rsidRPr="008F4A7D">
        <w:t xml:space="preserve">. However, as a result of an incident that occurred during his period of detention in </w:t>
      </w:r>
      <w:r w:rsidR="00A717E9" w:rsidRPr="008F4A7D">
        <w:t xml:space="preserve">the </w:t>
      </w:r>
      <w:r w:rsidRPr="008F4A7D">
        <w:t>Gobabis Correctional Facility</w:t>
      </w:r>
      <w:r w:rsidR="00866F5A" w:rsidRPr="008F4A7D">
        <w:t>,</w:t>
      </w:r>
      <w:r w:rsidRPr="008F4A7D">
        <w:t xml:space="preserve"> which caused</w:t>
      </w:r>
      <w:r>
        <w:t xml:space="preserve"> him emotional distress</w:t>
      </w:r>
      <w:r w:rsidR="00866F5A">
        <w:t>,</w:t>
      </w:r>
      <w:r>
        <w:t xml:space="preserve"> </w:t>
      </w:r>
      <w:r>
        <w:lastRenderedPageBreak/>
        <w:t xml:space="preserve">he called the public prosecutor and explained why he was unable to attend court and requested a postponement. </w:t>
      </w:r>
    </w:p>
    <w:p w14:paraId="19676147" w14:textId="27234D8A" w:rsidR="006F64E1" w:rsidRDefault="00802141" w:rsidP="00C473ED">
      <w:pPr>
        <w:spacing w:line="360" w:lineRule="auto"/>
        <w:rPr>
          <w:lang w:val="en-US"/>
        </w:rPr>
      </w:pPr>
      <w:r>
        <w:t>[</w:t>
      </w:r>
      <w:r w:rsidR="00866F5A">
        <w:t>15</w:t>
      </w:r>
      <w:r>
        <w:t>]</w:t>
      </w:r>
      <w:r w:rsidR="006F64E1">
        <w:tab/>
        <w:t xml:space="preserve">Due to the fact that the matter was finalised in </w:t>
      </w:r>
      <w:r w:rsidR="00C01D79">
        <w:t xml:space="preserve">his </w:t>
      </w:r>
      <w:r w:rsidR="006F64E1">
        <w:t>absen</w:t>
      </w:r>
      <w:r w:rsidR="00C01D79">
        <w:t>ce</w:t>
      </w:r>
      <w:r w:rsidR="006F64E1">
        <w:t xml:space="preserve">, </w:t>
      </w:r>
      <w:r w:rsidR="00C01D79">
        <w:t>the a</w:t>
      </w:r>
      <w:r w:rsidR="006F64E1">
        <w:t xml:space="preserve">pplicant requested the typed record of the proceedings </w:t>
      </w:r>
      <w:r w:rsidR="009D7178">
        <w:t xml:space="preserve">and a copy of the judgment </w:t>
      </w:r>
      <w:r w:rsidR="006F64E1">
        <w:t xml:space="preserve">but </w:t>
      </w:r>
      <w:r w:rsidR="00C01D79">
        <w:t xml:space="preserve">was unable to secure a transcribed record. </w:t>
      </w:r>
      <w:r w:rsidR="009D7178">
        <w:t>The applicant stated that he felt</w:t>
      </w:r>
      <w:r w:rsidR="006F64E1">
        <w:t xml:space="preserve"> compelled to </w:t>
      </w:r>
      <w:r w:rsidR="009D7178">
        <w:t>file</w:t>
      </w:r>
      <w:r w:rsidR="006F64E1">
        <w:t xml:space="preserve"> the </w:t>
      </w:r>
      <w:r w:rsidR="009D7178">
        <w:t>r</w:t>
      </w:r>
      <w:r w:rsidR="006F64E1">
        <w:t xml:space="preserve">eview </w:t>
      </w:r>
      <w:r w:rsidR="009D7178">
        <w:t>a</w:t>
      </w:r>
      <w:r w:rsidR="006F64E1">
        <w:t>pplication</w:t>
      </w:r>
      <w:r w:rsidR="009D7178">
        <w:t xml:space="preserve"> </w:t>
      </w:r>
      <w:r w:rsidR="009D7178" w:rsidRPr="00AC7080">
        <w:rPr>
          <w:i/>
        </w:rPr>
        <w:t>in casu</w:t>
      </w:r>
      <w:r w:rsidR="009D7178">
        <w:t xml:space="preserve"> as </w:t>
      </w:r>
      <w:r w:rsidR="006D53DA" w:rsidRPr="006D53DA">
        <w:rPr>
          <w:lang w:val="en-US"/>
        </w:rPr>
        <w:t xml:space="preserve">his constitutional rights </w:t>
      </w:r>
      <w:r w:rsidR="001F6864" w:rsidRPr="006D53DA">
        <w:rPr>
          <w:lang w:val="en-US"/>
        </w:rPr>
        <w:t>have</w:t>
      </w:r>
      <w:r w:rsidR="006D53DA" w:rsidRPr="006D53DA">
        <w:rPr>
          <w:lang w:val="en-US"/>
        </w:rPr>
        <w:t xml:space="preserve"> been infringed.</w:t>
      </w:r>
    </w:p>
    <w:p w14:paraId="49C9B787" w14:textId="1CCFA8A5" w:rsidR="00401523" w:rsidRPr="00AC7080" w:rsidRDefault="001D14F3" w:rsidP="00AC7080">
      <w:pPr>
        <w:pStyle w:val="BodyTextIndent"/>
        <w:rPr>
          <w:lang w:val="en-US"/>
        </w:rPr>
      </w:pPr>
      <w:r w:rsidRPr="00AC7080">
        <w:rPr>
          <w:lang w:val="en-US"/>
        </w:rPr>
        <w:t>[</w:t>
      </w:r>
      <w:r w:rsidR="00866F5A" w:rsidRPr="00AC7080">
        <w:rPr>
          <w:lang w:val="en-US"/>
        </w:rPr>
        <w:t>16</w:t>
      </w:r>
      <w:r w:rsidRPr="00AC7080">
        <w:rPr>
          <w:lang w:val="en-US"/>
        </w:rPr>
        <w:t>]</w:t>
      </w:r>
      <w:r w:rsidR="00C84A43" w:rsidRPr="00AC7080">
        <w:rPr>
          <w:lang w:val="en-US"/>
        </w:rPr>
        <w:tab/>
      </w:r>
      <w:r w:rsidR="00401523" w:rsidRPr="00AC7080">
        <w:rPr>
          <w:lang w:val="en-US"/>
        </w:rPr>
        <w:t>The a</w:t>
      </w:r>
      <w:r w:rsidR="00C84A43" w:rsidRPr="00AC7080">
        <w:rPr>
          <w:lang w:val="en-US"/>
        </w:rPr>
        <w:t>pplicant further state</w:t>
      </w:r>
      <w:r w:rsidR="002C593A" w:rsidRPr="00AC7080">
        <w:rPr>
          <w:lang w:val="en-US"/>
        </w:rPr>
        <w:t>d</w:t>
      </w:r>
      <w:r w:rsidR="00C84A43" w:rsidRPr="00AC7080">
        <w:rPr>
          <w:lang w:val="en-US"/>
        </w:rPr>
        <w:t xml:space="preserve"> that evidence </w:t>
      </w:r>
      <w:r w:rsidR="00A717E9" w:rsidRPr="00AC7080">
        <w:rPr>
          <w:lang w:val="en-US"/>
        </w:rPr>
        <w:t xml:space="preserve">adduced </w:t>
      </w:r>
      <w:r w:rsidR="002C593A" w:rsidRPr="00AC7080">
        <w:rPr>
          <w:lang w:val="en-US"/>
        </w:rPr>
        <w:t xml:space="preserve">during the court proceedings </w:t>
      </w:r>
      <w:r w:rsidR="00C84A43" w:rsidRPr="00AC7080">
        <w:rPr>
          <w:lang w:val="en-US"/>
        </w:rPr>
        <w:t>by</w:t>
      </w:r>
      <w:r w:rsidR="002C593A" w:rsidRPr="00AC7080">
        <w:rPr>
          <w:lang w:val="en-US"/>
        </w:rPr>
        <w:t xml:space="preserve"> </w:t>
      </w:r>
      <w:r w:rsidR="00AC7080" w:rsidRPr="00AC7080">
        <w:rPr>
          <w:lang w:val="en-US"/>
        </w:rPr>
        <w:t>A/Comm</w:t>
      </w:r>
      <w:r w:rsidR="002C593A" w:rsidRPr="00AC7080">
        <w:rPr>
          <w:lang w:val="en-US"/>
        </w:rPr>
        <w:t xml:space="preserve"> Platt, the Head of Security: Gobabis Correctional </w:t>
      </w:r>
      <w:r w:rsidR="00CC278E" w:rsidRPr="00AC7080">
        <w:rPr>
          <w:lang w:val="en-US"/>
        </w:rPr>
        <w:t>Facility that</w:t>
      </w:r>
      <w:r w:rsidR="00C84A43" w:rsidRPr="00AC7080">
        <w:rPr>
          <w:lang w:val="en-US"/>
        </w:rPr>
        <w:t xml:space="preserve"> </w:t>
      </w:r>
      <w:r w:rsidR="002C593A" w:rsidRPr="00AC7080">
        <w:rPr>
          <w:lang w:val="en-US"/>
        </w:rPr>
        <w:t xml:space="preserve">he (the </w:t>
      </w:r>
      <w:r w:rsidR="00C84A43" w:rsidRPr="00AC7080">
        <w:rPr>
          <w:lang w:val="en-US"/>
        </w:rPr>
        <w:t>applicant</w:t>
      </w:r>
      <w:r w:rsidR="002C593A" w:rsidRPr="00AC7080">
        <w:rPr>
          <w:lang w:val="en-US"/>
        </w:rPr>
        <w:t>)</w:t>
      </w:r>
      <w:r w:rsidR="00C84A43" w:rsidRPr="00AC7080">
        <w:rPr>
          <w:lang w:val="en-US"/>
        </w:rPr>
        <w:t xml:space="preserve"> refused to go to court </w:t>
      </w:r>
      <w:r w:rsidR="002C593A" w:rsidRPr="00AC7080">
        <w:rPr>
          <w:lang w:val="en-US"/>
        </w:rPr>
        <w:t>was untruthful</w:t>
      </w:r>
      <w:r w:rsidR="00C84A43" w:rsidRPr="00AC7080">
        <w:rPr>
          <w:lang w:val="en-US"/>
        </w:rPr>
        <w:t xml:space="preserve">. </w:t>
      </w:r>
    </w:p>
    <w:p w14:paraId="2D3F0F19" w14:textId="4837616F" w:rsidR="009F4B47" w:rsidRDefault="00401523" w:rsidP="00C473ED">
      <w:pPr>
        <w:spacing w:line="360" w:lineRule="auto"/>
        <w:rPr>
          <w:lang w:val="en-US"/>
        </w:rPr>
      </w:pPr>
      <w:r>
        <w:rPr>
          <w:lang w:val="en-US"/>
        </w:rPr>
        <w:t>[</w:t>
      </w:r>
      <w:r w:rsidR="00866F5A">
        <w:rPr>
          <w:lang w:val="en-US"/>
        </w:rPr>
        <w:t>17</w:t>
      </w:r>
      <w:r>
        <w:rPr>
          <w:lang w:val="en-US"/>
        </w:rPr>
        <w:t>]</w:t>
      </w:r>
      <w:r>
        <w:rPr>
          <w:lang w:val="en-US"/>
        </w:rPr>
        <w:tab/>
      </w:r>
      <w:r w:rsidR="00C84A43" w:rsidRPr="00C84A43">
        <w:rPr>
          <w:lang w:val="en-US"/>
        </w:rPr>
        <w:t xml:space="preserve">The applicant </w:t>
      </w:r>
      <w:r>
        <w:rPr>
          <w:lang w:val="en-US"/>
        </w:rPr>
        <w:t xml:space="preserve">further stated that a </w:t>
      </w:r>
      <w:r w:rsidR="00C84A43" w:rsidRPr="00C84A43">
        <w:rPr>
          <w:lang w:val="en-US"/>
        </w:rPr>
        <w:t>crucial witness</w:t>
      </w:r>
      <w:r>
        <w:rPr>
          <w:lang w:val="en-US"/>
        </w:rPr>
        <w:t>,</w:t>
      </w:r>
      <w:r w:rsidR="00C84A43" w:rsidRPr="00C84A43">
        <w:rPr>
          <w:lang w:val="en-US"/>
        </w:rPr>
        <w:t xml:space="preserve"> </w:t>
      </w:r>
      <w:r w:rsidR="00C84A43">
        <w:rPr>
          <w:lang w:val="en-US"/>
        </w:rPr>
        <w:t>I</w:t>
      </w:r>
      <w:r w:rsidR="00C84A43" w:rsidRPr="00C84A43">
        <w:rPr>
          <w:lang w:val="en-US"/>
        </w:rPr>
        <w:t xml:space="preserve">nspector </w:t>
      </w:r>
      <w:r w:rsidR="00C84A43">
        <w:rPr>
          <w:lang w:val="en-US"/>
        </w:rPr>
        <w:t>G</w:t>
      </w:r>
      <w:r w:rsidR="00C84A43" w:rsidRPr="00C84A43">
        <w:rPr>
          <w:lang w:val="en-US"/>
        </w:rPr>
        <w:t>e</w:t>
      </w:r>
      <w:r w:rsidR="009A4CA0">
        <w:rPr>
          <w:lang w:val="en-US"/>
        </w:rPr>
        <w:t>r</w:t>
      </w:r>
      <w:r w:rsidR="00C84A43" w:rsidRPr="00C84A43">
        <w:rPr>
          <w:lang w:val="en-US"/>
        </w:rPr>
        <w:t xml:space="preserve">son </w:t>
      </w:r>
      <w:r w:rsidR="00C84A43">
        <w:rPr>
          <w:lang w:val="en-US"/>
        </w:rPr>
        <w:t>Boois</w:t>
      </w:r>
      <w:r>
        <w:rPr>
          <w:lang w:val="en-US"/>
        </w:rPr>
        <w:t>, testified during the enquiry</w:t>
      </w:r>
      <w:r w:rsidR="00B64103">
        <w:rPr>
          <w:lang w:val="en-US"/>
        </w:rPr>
        <w:t xml:space="preserve"> on 27 April 2022</w:t>
      </w:r>
      <w:r w:rsidR="00CC278E">
        <w:rPr>
          <w:lang w:val="en-US"/>
        </w:rPr>
        <w:t>,</w:t>
      </w:r>
      <w:r>
        <w:rPr>
          <w:lang w:val="en-US"/>
        </w:rPr>
        <w:t xml:space="preserve"> and he was unable to cross-examine this witness</w:t>
      </w:r>
      <w:r w:rsidR="009A4CA0">
        <w:rPr>
          <w:lang w:val="en-US"/>
        </w:rPr>
        <w:t xml:space="preserve"> </w:t>
      </w:r>
      <w:r w:rsidR="00C84A43" w:rsidRPr="00C84A43">
        <w:rPr>
          <w:lang w:val="en-US"/>
        </w:rPr>
        <w:t xml:space="preserve">regarding the </w:t>
      </w:r>
      <w:r>
        <w:rPr>
          <w:lang w:val="en-US"/>
        </w:rPr>
        <w:t>funds that the State sought to confiscate</w:t>
      </w:r>
      <w:r w:rsidR="00C84A43" w:rsidRPr="00C84A43">
        <w:rPr>
          <w:lang w:val="en-US"/>
        </w:rPr>
        <w:t>.</w:t>
      </w:r>
      <w:r>
        <w:rPr>
          <w:lang w:val="en-US"/>
        </w:rPr>
        <w:t xml:space="preserve"> His inability to cross-examine Inspector Boois offends the </w:t>
      </w:r>
      <w:r w:rsidRPr="009A4CA0">
        <w:rPr>
          <w:i/>
          <w:lang w:val="en-US"/>
        </w:rPr>
        <w:t>audi alter</w:t>
      </w:r>
      <w:r w:rsidR="00D84154">
        <w:rPr>
          <w:i/>
          <w:lang w:val="en-US"/>
        </w:rPr>
        <w:t>a</w:t>
      </w:r>
      <w:r w:rsidRPr="009A4CA0">
        <w:rPr>
          <w:i/>
          <w:lang w:val="en-US"/>
        </w:rPr>
        <w:t>m partem</w:t>
      </w:r>
      <w:r>
        <w:rPr>
          <w:lang w:val="en-US"/>
        </w:rPr>
        <w:t xml:space="preserve"> rule a</w:t>
      </w:r>
      <w:r w:rsidR="009A4CA0">
        <w:rPr>
          <w:lang w:val="en-US"/>
        </w:rPr>
        <w:t>s well as</w:t>
      </w:r>
      <w:r>
        <w:rPr>
          <w:lang w:val="en-US"/>
        </w:rPr>
        <w:t xml:space="preserve"> his constitutional rights. </w:t>
      </w:r>
      <w:r w:rsidR="00C84A43" w:rsidRPr="00C84A43">
        <w:rPr>
          <w:lang w:val="en-US"/>
        </w:rPr>
        <w:t xml:space="preserve"> </w:t>
      </w:r>
      <w:bookmarkStart w:id="1" w:name="_Hlk143338312"/>
    </w:p>
    <w:p w14:paraId="3551E9F8" w14:textId="65857DBB" w:rsidR="007627AB" w:rsidRDefault="009F4B47" w:rsidP="00C473ED">
      <w:pPr>
        <w:spacing w:line="360" w:lineRule="auto"/>
        <w:rPr>
          <w:lang w:val="en-US"/>
        </w:rPr>
      </w:pPr>
      <w:r>
        <w:rPr>
          <w:lang w:val="en-US"/>
        </w:rPr>
        <w:t>[18]</w:t>
      </w:r>
      <w:r>
        <w:rPr>
          <w:lang w:val="en-US"/>
        </w:rPr>
        <w:tab/>
        <w:t>The a</w:t>
      </w:r>
      <w:r w:rsidR="00C84A43" w:rsidRPr="00C84A43">
        <w:rPr>
          <w:lang w:val="en-US"/>
        </w:rPr>
        <w:t xml:space="preserve">pplicant </w:t>
      </w:r>
      <w:r w:rsidR="007627AB">
        <w:rPr>
          <w:lang w:val="en-US"/>
        </w:rPr>
        <w:t>is of the view that the enquiry proceedings were fraught with irregularities and hearsay, especially with reference to the evidence of the witness who testified on 16 June 2021. The applicant further raises the issue of how Magistrate Kambinda could find on a balance of probabilities that he (the applicant) benefited from his offences and related criminal activities</w:t>
      </w:r>
      <w:r w:rsidR="00CC278E">
        <w:rPr>
          <w:lang w:val="en-US"/>
        </w:rPr>
        <w:t>,</w:t>
      </w:r>
      <w:r w:rsidR="007627AB">
        <w:rPr>
          <w:lang w:val="en-US"/>
        </w:rPr>
        <w:t xml:space="preserve"> as no evidence in support of this finding </w:t>
      </w:r>
      <w:r w:rsidR="004C6E1C">
        <w:rPr>
          <w:lang w:val="en-US"/>
        </w:rPr>
        <w:t>was</w:t>
      </w:r>
      <w:r w:rsidR="007627AB">
        <w:rPr>
          <w:lang w:val="en-US"/>
        </w:rPr>
        <w:t xml:space="preserve"> submitted to </w:t>
      </w:r>
      <w:r w:rsidR="004C6E1C">
        <w:rPr>
          <w:lang w:val="en-US"/>
        </w:rPr>
        <w:t xml:space="preserve">the </w:t>
      </w:r>
      <w:r w:rsidR="007627AB">
        <w:rPr>
          <w:lang w:val="en-US"/>
        </w:rPr>
        <w:t xml:space="preserve">court. </w:t>
      </w:r>
    </w:p>
    <w:bookmarkEnd w:id="1"/>
    <w:p w14:paraId="2B79F527" w14:textId="347D834D" w:rsidR="00973D86" w:rsidRDefault="00973D86" w:rsidP="00C473ED">
      <w:pPr>
        <w:spacing w:line="360" w:lineRule="auto"/>
        <w:rPr>
          <w:lang w:val="en-US"/>
        </w:rPr>
      </w:pPr>
      <w:r>
        <w:rPr>
          <w:lang w:val="en-US"/>
        </w:rPr>
        <w:t>[</w:t>
      </w:r>
      <w:r w:rsidR="00B74CBA">
        <w:rPr>
          <w:lang w:val="en-US"/>
        </w:rPr>
        <w:t>1</w:t>
      </w:r>
      <w:r w:rsidR="007627AB">
        <w:rPr>
          <w:lang w:val="en-US"/>
        </w:rPr>
        <w:t>9</w:t>
      </w:r>
      <w:r>
        <w:rPr>
          <w:lang w:val="en-US"/>
        </w:rPr>
        <w:t>]</w:t>
      </w:r>
      <w:r>
        <w:rPr>
          <w:lang w:val="en-US"/>
        </w:rPr>
        <w:tab/>
      </w:r>
      <w:r w:rsidR="008B2884">
        <w:rPr>
          <w:lang w:val="en-US"/>
        </w:rPr>
        <w:t>T</w:t>
      </w:r>
      <w:r w:rsidRPr="00973D86">
        <w:rPr>
          <w:lang w:val="en-US"/>
        </w:rPr>
        <w:t xml:space="preserve">he applicant </w:t>
      </w:r>
      <w:r w:rsidR="008B2884">
        <w:rPr>
          <w:lang w:val="en-US"/>
        </w:rPr>
        <w:t>further</w:t>
      </w:r>
      <w:r w:rsidRPr="00973D86">
        <w:rPr>
          <w:lang w:val="en-US"/>
        </w:rPr>
        <w:t xml:space="preserve"> state</w:t>
      </w:r>
      <w:r w:rsidR="008B2884">
        <w:rPr>
          <w:lang w:val="en-US"/>
        </w:rPr>
        <w:t>d</w:t>
      </w:r>
      <w:r w:rsidRPr="00973D86">
        <w:rPr>
          <w:lang w:val="en-US"/>
        </w:rPr>
        <w:t xml:space="preserve"> </w:t>
      </w:r>
      <w:bookmarkStart w:id="2" w:name="_Hlk143338705"/>
      <w:r w:rsidRPr="00973D86">
        <w:rPr>
          <w:lang w:val="en-US"/>
        </w:rPr>
        <w:t>that there is an indication that three cases were applicable in this matter</w:t>
      </w:r>
      <w:r w:rsidR="00A574C6">
        <w:rPr>
          <w:lang w:val="en-US"/>
        </w:rPr>
        <w:t>, i.e.</w:t>
      </w:r>
      <w:r w:rsidRPr="00973D86">
        <w:rPr>
          <w:lang w:val="en-US"/>
        </w:rPr>
        <w:t xml:space="preserve"> GOB</w:t>
      </w:r>
      <w:r w:rsidR="008B2884">
        <w:rPr>
          <w:lang w:val="en-US"/>
        </w:rPr>
        <w:t>-</w:t>
      </w:r>
      <w:r w:rsidRPr="00973D86">
        <w:rPr>
          <w:lang w:val="en-US"/>
        </w:rPr>
        <w:t>C</w:t>
      </w:r>
      <w:r w:rsidR="008B2884">
        <w:rPr>
          <w:lang w:val="en-US"/>
        </w:rPr>
        <w:t xml:space="preserve">RM </w:t>
      </w:r>
      <w:r w:rsidRPr="00973D86">
        <w:rPr>
          <w:lang w:val="en-US"/>
        </w:rPr>
        <w:t>247/2019, GOB-CRM</w:t>
      </w:r>
      <w:r w:rsidR="008B2884">
        <w:rPr>
          <w:lang w:val="en-US"/>
        </w:rPr>
        <w:t xml:space="preserve"> </w:t>
      </w:r>
      <w:r w:rsidRPr="00973D86">
        <w:rPr>
          <w:lang w:val="en-US"/>
        </w:rPr>
        <w:t>1982/</w:t>
      </w:r>
      <w:r w:rsidRPr="008F4A7D">
        <w:rPr>
          <w:lang w:val="en-US"/>
        </w:rPr>
        <w:t>2019 and GOB</w:t>
      </w:r>
      <w:r w:rsidR="008B2884" w:rsidRPr="008F4A7D">
        <w:rPr>
          <w:lang w:val="en-US"/>
        </w:rPr>
        <w:t>-</w:t>
      </w:r>
      <w:r w:rsidRPr="008F4A7D">
        <w:rPr>
          <w:lang w:val="en-US"/>
        </w:rPr>
        <w:t>CRM 1983/2019</w:t>
      </w:r>
      <w:r w:rsidR="00AC7080">
        <w:rPr>
          <w:lang w:val="en-US"/>
        </w:rPr>
        <w:t>,</w:t>
      </w:r>
      <w:r w:rsidRPr="008F4A7D">
        <w:rPr>
          <w:lang w:val="en-US"/>
        </w:rPr>
        <w:t xml:space="preserve"> </w:t>
      </w:r>
      <w:r w:rsidR="007627AB" w:rsidRPr="008F4A7D">
        <w:rPr>
          <w:lang w:val="en-US"/>
        </w:rPr>
        <w:t xml:space="preserve">however, </w:t>
      </w:r>
      <w:r w:rsidRPr="008F4A7D">
        <w:rPr>
          <w:lang w:val="en-US"/>
        </w:rPr>
        <w:t xml:space="preserve">as far as </w:t>
      </w:r>
      <w:r w:rsidR="007627AB" w:rsidRPr="008F4A7D">
        <w:rPr>
          <w:lang w:val="en-US"/>
        </w:rPr>
        <w:t xml:space="preserve">the </w:t>
      </w:r>
      <w:r w:rsidRPr="008F4A7D">
        <w:rPr>
          <w:lang w:val="en-US"/>
        </w:rPr>
        <w:t>applicant is concerned</w:t>
      </w:r>
      <w:r w:rsidR="00CC278E">
        <w:rPr>
          <w:lang w:val="en-US"/>
        </w:rPr>
        <w:t>,</w:t>
      </w:r>
      <w:r w:rsidRPr="008F4A7D">
        <w:rPr>
          <w:lang w:val="en-US"/>
        </w:rPr>
        <w:t xml:space="preserve"> none of </w:t>
      </w:r>
      <w:r w:rsidR="00A717E9" w:rsidRPr="008F4A7D">
        <w:rPr>
          <w:lang w:val="en-US"/>
        </w:rPr>
        <w:t>the court records in these cases have</w:t>
      </w:r>
      <w:r w:rsidRPr="008F4A7D">
        <w:rPr>
          <w:lang w:val="en-US"/>
        </w:rPr>
        <w:t xml:space="preserve"> been handed in as exhibit</w:t>
      </w:r>
      <w:r w:rsidR="00C47E45" w:rsidRPr="008F4A7D">
        <w:rPr>
          <w:lang w:val="en-US"/>
        </w:rPr>
        <w:t>s</w:t>
      </w:r>
      <w:r w:rsidRPr="008F4A7D">
        <w:rPr>
          <w:lang w:val="en-US"/>
        </w:rPr>
        <w:t xml:space="preserve"> </w:t>
      </w:r>
      <w:bookmarkEnd w:id="2"/>
      <w:r w:rsidRPr="008F4A7D">
        <w:rPr>
          <w:lang w:val="en-US"/>
        </w:rPr>
        <w:t>for the magistrate to make</w:t>
      </w:r>
      <w:r w:rsidRPr="00973D86">
        <w:rPr>
          <w:lang w:val="en-US"/>
        </w:rPr>
        <w:t xml:space="preserve"> a</w:t>
      </w:r>
      <w:r w:rsidR="007627AB">
        <w:rPr>
          <w:lang w:val="en-US"/>
        </w:rPr>
        <w:t>n informed</w:t>
      </w:r>
      <w:r w:rsidRPr="00973D86">
        <w:rPr>
          <w:lang w:val="en-US"/>
        </w:rPr>
        <w:t xml:space="preserve"> decision that </w:t>
      </w:r>
      <w:r w:rsidR="00A574C6">
        <w:rPr>
          <w:lang w:val="en-US"/>
        </w:rPr>
        <w:t xml:space="preserve">he </w:t>
      </w:r>
      <w:r w:rsidRPr="00973D86">
        <w:rPr>
          <w:lang w:val="en-US"/>
        </w:rPr>
        <w:t xml:space="preserve">benefited from </w:t>
      </w:r>
      <w:r w:rsidR="00B74CBA" w:rsidRPr="00973D86">
        <w:rPr>
          <w:lang w:val="en-US"/>
        </w:rPr>
        <w:t>these offences</w:t>
      </w:r>
      <w:r w:rsidRPr="00973D86">
        <w:rPr>
          <w:lang w:val="en-US"/>
        </w:rPr>
        <w:t xml:space="preserve">. </w:t>
      </w:r>
    </w:p>
    <w:p w14:paraId="27501619" w14:textId="27D8C0EB" w:rsidR="008F4A7D" w:rsidRDefault="00963841" w:rsidP="00C473ED">
      <w:pPr>
        <w:spacing w:line="360" w:lineRule="auto"/>
        <w:rPr>
          <w:lang w:val="en-US"/>
        </w:rPr>
      </w:pPr>
      <w:r>
        <w:rPr>
          <w:lang w:val="en-US"/>
        </w:rPr>
        <w:t>[</w:t>
      </w:r>
      <w:r w:rsidR="004C6E1C">
        <w:rPr>
          <w:lang w:val="en-US"/>
        </w:rPr>
        <w:t>20</w:t>
      </w:r>
      <w:r>
        <w:rPr>
          <w:lang w:val="en-US"/>
        </w:rPr>
        <w:t>]</w:t>
      </w:r>
      <w:r>
        <w:rPr>
          <w:lang w:val="en-US"/>
        </w:rPr>
        <w:tab/>
      </w:r>
      <w:r w:rsidR="00B74CBA">
        <w:rPr>
          <w:lang w:val="en-US"/>
        </w:rPr>
        <w:t>The a</w:t>
      </w:r>
      <w:r w:rsidRPr="00963841">
        <w:rPr>
          <w:lang w:val="en-US"/>
        </w:rPr>
        <w:t xml:space="preserve">pplicant </w:t>
      </w:r>
      <w:r w:rsidR="00B64103">
        <w:rPr>
          <w:lang w:val="en-US"/>
        </w:rPr>
        <w:t xml:space="preserve">submitted that the </w:t>
      </w:r>
      <w:r w:rsidR="00CC278E">
        <w:rPr>
          <w:lang w:val="en-US"/>
        </w:rPr>
        <w:t>public prosecutor</w:t>
      </w:r>
      <w:r w:rsidRPr="00963841">
        <w:rPr>
          <w:lang w:val="en-US"/>
        </w:rPr>
        <w:t xml:space="preserve"> </w:t>
      </w:r>
      <w:r w:rsidR="00B74CBA">
        <w:rPr>
          <w:lang w:val="en-US"/>
        </w:rPr>
        <w:t>di</w:t>
      </w:r>
      <w:r w:rsidR="00C47E45">
        <w:rPr>
          <w:lang w:val="en-US"/>
        </w:rPr>
        <w:t>d not apply for a confiscation e</w:t>
      </w:r>
      <w:r w:rsidR="00B74CBA">
        <w:rPr>
          <w:lang w:val="en-US"/>
        </w:rPr>
        <w:t>nquiry in all the cases but only in one</w:t>
      </w:r>
      <w:r w:rsidRPr="00963841">
        <w:rPr>
          <w:lang w:val="en-US"/>
        </w:rPr>
        <w:t>. He further stat</w:t>
      </w:r>
      <w:r w:rsidR="00AC7080">
        <w:rPr>
          <w:lang w:val="en-US"/>
        </w:rPr>
        <w:t>ed that in none of the cases had</w:t>
      </w:r>
      <w:r w:rsidRPr="00963841">
        <w:rPr>
          <w:lang w:val="en-US"/>
        </w:rPr>
        <w:t xml:space="preserve"> the </w:t>
      </w:r>
      <w:r w:rsidR="00C47E45">
        <w:rPr>
          <w:lang w:val="en-US"/>
        </w:rPr>
        <w:t>confiscation e</w:t>
      </w:r>
      <w:r w:rsidR="00B74CBA">
        <w:rPr>
          <w:lang w:val="en-US"/>
        </w:rPr>
        <w:t>nquiry</w:t>
      </w:r>
      <w:r w:rsidRPr="00963841">
        <w:rPr>
          <w:lang w:val="en-US"/>
        </w:rPr>
        <w:t xml:space="preserve"> been explained to him </w:t>
      </w:r>
      <w:r w:rsidR="00B74CBA">
        <w:rPr>
          <w:lang w:val="en-US"/>
        </w:rPr>
        <w:t xml:space="preserve">and </w:t>
      </w:r>
      <w:r w:rsidRPr="00963841">
        <w:rPr>
          <w:lang w:val="en-US"/>
        </w:rPr>
        <w:t xml:space="preserve">further questioned how the cases could have been </w:t>
      </w:r>
      <w:r w:rsidR="00CC3F77" w:rsidRPr="008F4A7D">
        <w:rPr>
          <w:lang w:val="en-US"/>
        </w:rPr>
        <w:t xml:space="preserve">considered </w:t>
      </w:r>
      <w:r w:rsidRPr="008F4A7D">
        <w:rPr>
          <w:lang w:val="en-US"/>
        </w:rPr>
        <w:t xml:space="preserve">together if some </w:t>
      </w:r>
      <w:r w:rsidR="00CC3F77" w:rsidRPr="008F4A7D">
        <w:rPr>
          <w:lang w:val="en-US"/>
        </w:rPr>
        <w:t>matters occurred</w:t>
      </w:r>
      <w:r w:rsidR="00CC3F77">
        <w:rPr>
          <w:lang w:val="en-US"/>
        </w:rPr>
        <w:t xml:space="preserve"> </w:t>
      </w:r>
      <w:r w:rsidRPr="00963841">
        <w:rPr>
          <w:lang w:val="en-US"/>
        </w:rPr>
        <w:t xml:space="preserve">in </w:t>
      </w:r>
      <w:r w:rsidRPr="00963841">
        <w:rPr>
          <w:lang w:val="en-US"/>
        </w:rPr>
        <w:lastRenderedPageBreak/>
        <w:t>September of 2017.</w:t>
      </w:r>
      <w:r w:rsidR="00CC3F77">
        <w:rPr>
          <w:lang w:val="en-US"/>
        </w:rPr>
        <w:t xml:space="preserve"> </w:t>
      </w:r>
      <w:r w:rsidRPr="00963841">
        <w:rPr>
          <w:lang w:val="en-US"/>
        </w:rPr>
        <w:t xml:space="preserve"> </w:t>
      </w:r>
      <w:r w:rsidR="00AC7080">
        <w:rPr>
          <w:lang w:val="en-US"/>
        </w:rPr>
        <w:t>The applicant</w:t>
      </w:r>
      <w:r w:rsidRPr="00963841">
        <w:rPr>
          <w:lang w:val="en-US"/>
        </w:rPr>
        <w:t xml:space="preserve"> f</w:t>
      </w:r>
      <w:r w:rsidR="00B74CBA">
        <w:rPr>
          <w:lang w:val="en-US"/>
        </w:rPr>
        <w:t>ur</w:t>
      </w:r>
      <w:r w:rsidRPr="00963841">
        <w:rPr>
          <w:lang w:val="en-US"/>
        </w:rPr>
        <w:t>th</w:t>
      </w:r>
      <w:r w:rsidR="00B64103">
        <w:rPr>
          <w:lang w:val="en-US"/>
        </w:rPr>
        <w:t>er stated that under s 32(</w:t>
      </w:r>
      <w:r w:rsidRPr="00963841">
        <w:rPr>
          <w:lang w:val="en-US"/>
        </w:rPr>
        <w:t>6</w:t>
      </w:r>
      <w:r w:rsidR="00B64103">
        <w:rPr>
          <w:lang w:val="en-US"/>
        </w:rPr>
        <w:t>)</w:t>
      </w:r>
      <w:r w:rsidRPr="00963841">
        <w:rPr>
          <w:lang w:val="en-US"/>
        </w:rPr>
        <w:t xml:space="preserve"> </w:t>
      </w:r>
      <w:r w:rsidR="00B64103">
        <w:rPr>
          <w:lang w:val="en-US"/>
        </w:rPr>
        <w:t xml:space="preserve">of POCA, </w:t>
      </w:r>
      <w:r w:rsidRPr="00963841">
        <w:rPr>
          <w:lang w:val="en-US"/>
        </w:rPr>
        <w:t xml:space="preserve">there was no restraint order to be </w:t>
      </w:r>
      <w:r w:rsidR="00CC278E">
        <w:rPr>
          <w:lang w:val="en-US"/>
        </w:rPr>
        <w:t>realised</w:t>
      </w:r>
      <w:r w:rsidRPr="00963841">
        <w:rPr>
          <w:lang w:val="en-US"/>
        </w:rPr>
        <w:t xml:space="preserve"> and that the order must not exceed the value of the defendant</w:t>
      </w:r>
      <w:r w:rsidR="00B64103">
        <w:rPr>
          <w:lang w:val="en-US"/>
        </w:rPr>
        <w:t>’</w:t>
      </w:r>
      <w:r w:rsidRPr="00963841">
        <w:rPr>
          <w:lang w:val="en-US"/>
        </w:rPr>
        <w:t>s proce</w:t>
      </w:r>
      <w:r w:rsidR="00B74CBA">
        <w:rPr>
          <w:lang w:val="en-US"/>
        </w:rPr>
        <w:t>ed</w:t>
      </w:r>
      <w:r w:rsidR="00B64103">
        <w:rPr>
          <w:lang w:val="en-US"/>
        </w:rPr>
        <w:t>s</w:t>
      </w:r>
      <w:r w:rsidRPr="00963841">
        <w:rPr>
          <w:lang w:val="en-US"/>
        </w:rPr>
        <w:t xml:space="preserve"> of the offences or related criminal activities</w:t>
      </w:r>
      <w:r w:rsidR="00B74CBA">
        <w:rPr>
          <w:lang w:val="en-US"/>
        </w:rPr>
        <w:t>.</w:t>
      </w:r>
      <w:r w:rsidRPr="00963841">
        <w:rPr>
          <w:lang w:val="en-US"/>
        </w:rPr>
        <w:t xml:space="preserve"> </w:t>
      </w:r>
    </w:p>
    <w:p w14:paraId="06A1C80C" w14:textId="27CCF22B" w:rsidR="00B64103" w:rsidRDefault="00B74CBA" w:rsidP="00C473ED">
      <w:pPr>
        <w:spacing w:line="360" w:lineRule="auto"/>
        <w:rPr>
          <w:lang w:val="en-US"/>
        </w:rPr>
      </w:pPr>
      <w:r>
        <w:rPr>
          <w:lang w:val="en-US"/>
        </w:rPr>
        <w:t>[</w:t>
      </w:r>
      <w:r w:rsidR="004C6E1C">
        <w:rPr>
          <w:lang w:val="en-US"/>
        </w:rPr>
        <w:t>21</w:t>
      </w:r>
      <w:r w:rsidR="00A717E9">
        <w:rPr>
          <w:lang w:val="en-US"/>
        </w:rPr>
        <w:t>]</w:t>
      </w:r>
      <w:r w:rsidR="00B64103">
        <w:rPr>
          <w:lang w:val="en-US"/>
        </w:rPr>
        <w:tab/>
      </w:r>
      <w:r w:rsidR="00CC3F77">
        <w:rPr>
          <w:lang w:val="en-US"/>
        </w:rPr>
        <w:t>The f</w:t>
      </w:r>
      <w:r w:rsidR="00B64103">
        <w:rPr>
          <w:lang w:val="en-US"/>
        </w:rPr>
        <w:t>urther discrepancies</w:t>
      </w:r>
      <w:r w:rsidR="00CC278E">
        <w:rPr>
          <w:lang w:val="en-US"/>
        </w:rPr>
        <w:t>,</w:t>
      </w:r>
      <w:r w:rsidR="00B64103">
        <w:rPr>
          <w:lang w:val="en-US"/>
        </w:rPr>
        <w:t xml:space="preserve"> according to the applicant</w:t>
      </w:r>
      <w:r w:rsidR="00CC278E">
        <w:rPr>
          <w:lang w:val="en-US"/>
        </w:rPr>
        <w:t>,</w:t>
      </w:r>
      <w:r w:rsidR="00B64103">
        <w:rPr>
          <w:lang w:val="en-US"/>
        </w:rPr>
        <w:t xml:space="preserve"> were </w:t>
      </w:r>
      <w:r w:rsidR="00CC3F77">
        <w:rPr>
          <w:lang w:val="en-US"/>
        </w:rPr>
        <w:t>the following</w:t>
      </w:r>
      <w:r w:rsidR="00B64103">
        <w:rPr>
          <w:lang w:val="en-US"/>
        </w:rPr>
        <w:t>:</w:t>
      </w:r>
    </w:p>
    <w:p w14:paraId="324E1E8E" w14:textId="0D562603" w:rsidR="000D3A3A" w:rsidRDefault="00CC3F77" w:rsidP="00B64103">
      <w:pPr>
        <w:spacing w:line="360" w:lineRule="auto"/>
        <w:rPr>
          <w:lang w:val="en-US"/>
        </w:rPr>
      </w:pPr>
      <w:r>
        <w:rPr>
          <w:lang w:val="en-US"/>
        </w:rPr>
        <w:t>a)</w:t>
      </w:r>
      <w:r>
        <w:rPr>
          <w:lang w:val="en-US"/>
        </w:rPr>
        <w:tab/>
      </w:r>
      <w:r w:rsidR="000D3A3A">
        <w:rPr>
          <w:lang w:val="en-US"/>
        </w:rPr>
        <w:t>Non-compliance by the public prosecutor and the magistrate with s</w:t>
      </w:r>
      <w:r w:rsidR="00B64103">
        <w:rPr>
          <w:lang w:val="en-US"/>
        </w:rPr>
        <w:t xml:space="preserve"> 32(</w:t>
      </w:r>
      <w:r w:rsidR="00B74CBA">
        <w:rPr>
          <w:lang w:val="en-US"/>
        </w:rPr>
        <w:t>7</w:t>
      </w:r>
      <w:r w:rsidR="00B64103">
        <w:rPr>
          <w:lang w:val="en-US"/>
        </w:rPr>
        <w:t xml:space="preserve">) of POCA, which provides that </w:t>
      </w:r>
      <w:r w:rsidR="000D3A3A">
        <w:rPr>
          <w:lang w:val="en-US"/>
        </w:rPr>
        <w:t>‘a</w:t>
      </w:r>
      <w:r w:rsidR="00B64103" w:rsidRPr="00B64103">
        <w:rPr>
          <w:lang w:val="en-US"/>
        </w:rPr>
        <w:t xml:space="preserve"> court convicting a defendant may, when passing sentence, indicate that it will hold an enquiry contemplated in subsection (1) at a later stage if-</w:t>
      </w:r>
      <w:r w:rsidR="000D3A3A">
        <w:rPr>
          <w:lang w:val="en-US"/>
        </w:rPr>
        <w:t xml:space="preserve"> </w:t>
      </w:r>
      <w:r w:rsidR="00B64103" w:rsidRPr="00B64103">
        <w:rPr>
          <w:lang w:val="en-US"/>
        </w:rPr>
        <w:t>(a)</w:t>
      </w:r>
      <w:r w:rsidR="00AC7080">
        <w:rPr>
          <w:lang w:val="en-US"/>
        </w:rPr>
        <w:t xml:space="preserve"> </w:t>
      </w:r>
      <w:r w:rsidR="00B64103" w:rsidRPr="00B64103">
        <w:rPr>
          <w:lang w:val="en-US"/>
        </w:rPr>
        <w:t>it is satisfied that that enquiry will unreasonably delay the proceedings in sentencing the accused</w:t>
      </w:r>
      <w:r w:rsidR="000D3A3A">
        <w:rPr>
          <w:lang w:val="en-US"/>
        </w:rPr>
        <w:t>,</w:t>
      </w:r>
      <w:r w:rsidR="00B64103" w:rsidRPr="00B64103">
        <w:rPr>
          <w:lang w:val="en-US"/>
        </w:rPr>
        <w:t xml:space="preserve"> or</w:t>
      </w:r>
      <w:r w:rsidR="000D3A3A">
        <w:rPr>
          <w:lang w:val="en-US"/>
        </w:rPr>
        <w:t xml:space="preserve"> </w:t>
      </w:r>
      <w:r>
        <w:rPr>
          <w:lang w:val="en-US"/>
        </w:rPr>
        <w:t xml:space="preserve">(b) </w:t>
      </w:r>
      <w:r w:rsidR="00B64103" w:rsidRPr="00B64103">
        <w:rPr>
          <w:lang w:val="en-US"/>
        </w:rPr>
        <w:t>the public prosecutor applies to the court to first sentence the accused and the court is satisfied that it is reasonable and justifiable to do so in the circumstances</w:t>
      </w:r>
      <w:r w:rsidR="00AC7080">
        <w:rPr>
          <w:lang w:val="en-US"/>
        </w:rPr>
        <w:t>’</w:t>
      </w:r>
      <w:r w:rsidR="00B64103" w:rsidRPr="00B64103">
        <w:rPr>
          <w:lang w:val="en-US"/>
        </w:rPr>
        <w:t>.</w:t>
      </w:r>
    </w:p>
    <w:p w14:paraId="6026666F" w14:textId="7C732AE4" w:rsidR="00963841" w:rsidRDefault="000D3A3A" w:rsidP="00B64103">
      <w:pPr>
        <w:spacing w:line="360" w:lineRule="auto"/>
        <w:rPr>
          <w:lang w:val="en-US"/>
        </w:rPr>
      </w:pPr>
      <w:r>
        <w:rPr>
          <w:lang w:val="en-US"/>
        </w:rPr>
        <w:t>(b)</w:t>
      </w:r>
      <w:r w:rsidR="00CC3F77">
        <w:rPr>
          <w:lang w:val="en-US"/>
        </w:rPr>
        <w:tab/>
      </w:r>
      <w:r>
        <w:rPr>
          <w:lang w:val="en-US"/>
        </w:rPr>
        <w:t>Non-compliance with s 32(9) of POCA as n</w:t>
      </w:r>
      <w:r w:rsidR="004C6E1C">
        <w:rPr>
          <w:lang w:val="en-US"/>
        </w:rPr>
        <w:t>o written authorisation</w:t>
      </w:r>
      <w:r>
        <w:rPr>
          <w:lang w:val="en-US"/>
        </w:rPr>
        <w:t xml:space="preserve"> from the Prosecutor-General</w:t>
      </w:r>
      <w:r w:rsidR="00963841" w:rsidRPr="00963841">
        <w:rPr>
          <w:lang w:val="en-US"/>
        </w:rPr>
        <w:t xml:space="preserve"> had been handed into court</w:t>
      </w:r>
      <w:r w:rsidR="00CC278E">
        <w:rPr>
          <w:lang w:val="en-US"/>
        </w:rPr>
        <w:t>,</w:t>
      </w:r>
      <w:r w:rsidR="00963841" w:rsidRPr="00963841">
        <w:rPr>
          <w:lang w:val="en-US"/>
        </w:rPr>
        <w:t xml:space="preserve"> </w:t>
      </w:r>
      <w:r>
        <w:rPr>
          <w:lang w:val="en-US"/>
        </w:rPr>
        <w:t xml:space="preserve">nor </w:t>
      </w:r>
      <w:r w:rsidR="00963841" w:rsidRPr="00963841">
        <w:rPr>
          <w:lang w:val="en-US"/>
        </w:rPr>
        <w:t xml:space="preserve">was </w:t>
      </w:r>
      <w:r>
        <w:rPr>
          <w:lang w:val="en-US"/>
        </w:rPr>
        <w:t xml:space="preserve">such written authority </w:t>
      </w:r>
      <w:r w:rsidR="00963841" w:rsidRPr="00963841">
        <w:rPr>
          <w:lang w:val="en-US"/>
        </w:rPr>
        <w:t xml:space="preserve">brought </w:t>
      </w:r>
      <w:r>
        <w:rPr>
          <w:lang w:val="en-US"/>
        </w:rPr>
        <w:t>to</w:t>
      </w:r>
      <w:r w:rsidR="00963841" w:rsidRPr="00963841">
        <w:rPr>
          <w:lang w:val="en-US"/>
        </w:rPr>
        <w:t xml:space="preserve"> the attention of the applicant</w:t>
      </w:r>
      <w:r>
        <w:rPr>
          <w:lang w:val="en-US"/>
        </w:rPr>
        <w:t>.</w:t>
      </w:r>
    </w:p>
    <w:p w14:paraId="69B221E5" w14:textId="65AD8756" w:rsidR="000D3A3A" w:rsidRPr="00963841" w:rsidRDefault="00CC3F77" w:rsidP="00B64103">
      <w:pPr>
        <w:spacing w:line="360" w:lineRule="auto"/>
        <w:rPr>
          <w:lang w:val="en-US"/>
        </w:rPr>
      </w:pPr>
      <w:r>
        <w:rPr>
          <w:lang w:val="en-US"/>
        </w:rPr>
        <w:t>(c)</w:t>
      </w:r>
      <w:r>
        <w:rPr>
          <w:lang w:val="en-US"/>
        </w:rPr>
        <w:tab/>
      </w:r>
      <w:r w:rsidR="000D3A3A">
        <w:rPr>
          <w:lang w:val="en-US"/>
        </w:rPr>
        <w:t>Non-compliance with s 83 of POCA</w:t>
      </w:r>
      <w:r w:rsidR="004C6E1C">
        <w:rPr>
          <w:lang w:val="en-US"/>
        </w:rPr>
        <w:t xml:space="preserve"> as no written authorisation of the Inspector-General authorising the police officers to investigate the matter was handed into court.</w:t>
      </w:r>
    </w:p>
    <w:p w14:paraId="41C5F8B2" w14:textId="694173C6" w:rsidR="00963841" w:rsidRPr="00963841" w:rsidRDefault="004B7B3A" w:rsidP="00C473ED">
      <w:pPr>
        <w:spacing w:line="360" w:lineRule="auto"/>
        <w:rPr>
          <w:lang w:val="en-US"/>
        </w:rPr>
      </w:pPr>
      <w:r>
        <w:rPr>
          <w:lang w:val="en-US"/>
        </w:rPr>
        <w:t>[</w:t>
      </w:r>
      <w:r w:rsidR="004C6E1C">
        <w:rPr>
          <w:lang w:val="en-US"/>
        </w:rPr>
        <w:t>22</w:t>
      </w:r>
      <w:r>
        <w:rPr>
          <w:lang w:val="en-US"/>
        </w:rPr>
        <w:t>]</w:t>
      </w:r>
      <w:r>
        <w:rPr>
          <w:lang w:val="en-US"/>
        </w:rPr>
        <w:tab/>
      </w:r>
      <w:r w:rsidR="004C6E1C">
        <w:rPr>
          <w:lang w:val="en-US"/>
        </w:rPr>
        <w:t>The a</w:t>
      </w:r>
      <w:r w:rsidR="00963841" w:rsidRPr="00963841">
        <w:rPr>
          <w:lang w:val="en-US"/>
        </w:rPr>
        <w:t xml:space="preserve">pplicant </w:t>
      </w:r>
      <w:r w:rsidR="004C6E1C">
        <w:rPr>
          <w:lang w:val="en-US"/>
        </w:rPr>
        <w:t>submitted</w:t>
      </w:r>
      <w:r w:rsidR="00963841" w:rsidRPr="00963841">
        <w:rPr>
          <w:lang w:val="en-US"/>
        </w:rPr>
        <w:t xml:space="preserve"> </w:t>
      </w:r>
      <w:r w:rsidR="004C6E1C">
        <w:rPr>
          <w:lang w:val="en-US"/>
        </w:rPr>
        <w:t xml:space="preserve">that the absence of these written authorities caused </w:t>
      </w:r>
      <w:r w:rsidR="004C6E1C" w:rsidRPr="008F4A7D">
        <w:rPr>
          <w:lang w:val="en-US"/>
        </w:rPr>
        <w:t xml:space="preserve">the </w:t>
      </w:r>
      <w:r w:rsidR="00C47E45" w:rsidRPr="008F4A7D">
        <w:rPr>
          <w:lang w:val="en-US"/>
        </w:rPr>
        <w:t>e</w:t>
      </w:r>
      <w:r w:rsidR="00963841" w:rsidRPr="008F4A7D">
        <w:rPr>
          <w:lang w:val="en-US"/>
        </w:rPr>
        <w:t>nquiry</w:t>
      </w:r>
      <w:r w:rsidR="004C6E1C" w:rsidRPr="008F4A7D">
        <w:rPr>
          <w:lang w:val="en-US"/>
        </w:rPr>
        <w:t xml:space="preserve"> conducted by Magistrate Kambinda </w:t>
      </w:r>
      <w:r w:rsidR="00C47E45" w:rsidRPr="008F4A7D">
        <w:rPr>
          <w:lang w:val="en-US"/>
        </w:rPr>
        <w:t xml:space="preserve">to amount to </w:t>
      </w:r>
      <w:r w:rsidR="00963841" w:rsidRPr="008F4A7D">
        <w:rPr>
          <w:lang w:val="en-US"/>
        </w:rPr>
        <w:t xml:space="preserve">a </w:t>
      </w:r>
      <w:r w:rsidRPr="008F4A7D">
        <w:rPr>
          <w:lang w:val="en-US"/>
        </w:rPr>
        <w:t>nullity</w:t>
      </w:r>
      <w:r w:rsidR="00CC278E">
        <w:rPr>
          <w:lang w:val="en-US"/>
        </w:rPr>
        <w:t>,</w:t>
      </w:r>
      <w:r w:rsidR="00963841" w:rsidRPr="008F4A7D">
        <w:rPr>
          <w:lang w:val="en-US"/>
        </w:rPr>
        <w:t xml:space="preserve"> and the magistrate should have addressed </w:t>
      </w:r>
      <w:r w:rsidR="004C6E1C" w:rsidRPr="008F4A7D">
        <w:rPr>
          <w:lang w:val="en-US"/>
        </w:rPr>
        <w:t>it</w:t>
      </w:r>
      <w:r w:rsidR="00963841" w:rsidRPr="008F4A7D">
        <w:rPr>
          <w:lang w:val="en-US"/>
        </w:rPr>
        <w:t xml:space="preserve"> in his judgment</w:t>
      </w:r>
      <w:r w:rsidRPr="008F4A7D">
        <w:rPr>
          <w:lang w:val="en-US"/>
        </w:rPr>
        <w:t>.</w:t>
      </w:r>
      <w:r w:rsidR="00963841" w:rsidRPr="008F4A7D">
        <w:rPr>
          <w:lang w:val="en-US"/>
        </w:rPr>
        <w:t xml:space="preserve"> </w:t>
      </w:r>
      <w:r w:rsidR="004C6E1C" w:rsidRPr="008F4A7D">
        <w:rPr>
          <w:lang w:val="en-US"/>
        </w:rPr>
        <w:t>However, s</w:t>
      </w:r>
      <w:r w:rsidRPr="008F4A7D">
        <w:rPr>
          <w:lang w:val="en-US"/>
        </w:rPr>
        <w:t xml:space="preserve">ince it was not addressed, it </w:t>
      </w:r>
      <w:r w:rsidR="00963841" w:rsidRPr="008F4A7D">
        <w:rPr>
          <w:lang w:val="en-US"/>
        </w:rPr>
        <w:t>show</w:t>
      </w:r>
      <w:r w:rsidR="004C6E1C" w:rsidRPr="008F4A7D">
        <w:rPr>
          <w:lang w:val="en-US"/>
        </w:rPr>
        <w:t>s</w:t>
      </w:r>
      <w:r w:rsidR="00963841" w:rsidRPr="008F4A7D">
        <w:rPr>
          <w:lang w:val="en-US"/>
        </w:rPr>
        <w:t xml:space="preserve"> </w:t>
      </w:r>
      <w:r w:rsidR="004C6E1C" w:rsidRPr="008F4A7D">
        <w:rPr>
          <w:lang w:val="en-US"/>
        </w:rPr>
        <w:t>a lack of</w:t>
      </w:r>
      <w:r w:rsidR="00963841" w:rsidRPr="008F4A7D">
        <w:rPr>
          <w:lang w:val="en-US"/>
        </w:rPr>
        <w:t xml:space="preserve"> fairness in </w:t>
      </w:r>
      <w:r w:rsidRPr="008F4A7D">
        <w:rPr>
          <w:lang w:val="en-US"/>
        </w:rPr>
        <w:t>the</w:t>
      </w:r>
      <w:r w:rsidR="00C47E45" w:rsidRPr="008F4A7D">
        <w:rPr>
          <w:lang w:val="en-US"/>
        </w:rPr>
        <w:t xml:space="preserve"> e</w:t>
      </w:r>
      <w:r w:rsidR="00963841" w:rsidRPr="008F4A7D">
        <w:rPr>
          <w:lang w:val="en-US"/>
        </w:rPr>
        <w:t>nquiry</w:t>
      </w:r>
      <w:r>
        <w:rPr>
          <w:lang w:val="en-US"/>
        </w:rPr>
        <w:t xml:space="preserve">, resulting in </w:t>
      </w:r>
      <w:r w:rsidR="004C6E1C">
        <w:rPr>
          <w:lang w:val="en-US"/>
        </w:rPr>
        <w:t>prejudice</w:t>
      </w:r>
      <w:r w:rsidR="00963841" w:rsidRPr="00963841">
        <w:rPr>
          <w:lang w:val="en-US"/>
        </w:rPr>
        <w:t xml:space="preserve"> to the applicant.</w:t>
      </w:r>
    </w:p>
    <w:p w14:paraId="3CA790A7" w14:textId="565538E5" w:rsidR="009A48EC" w:rsidRPr="00CC3F77" w:rsidRDefault="004B7B3A" w:rsidP="00CC3F77">
      <w:pPr>
        <w:spacing w:line="360" w:lineRule="auto"/>
        <w:rPr>
          <w:lang w:val="en-US"/>
        </w:rPr>
      </w:pPr>
      <w:r>
        <w:rPr>
          <w:lang w:val="en-US"/>
        </w:rPr>
        <w:t>[</w:t>
      </w:r>
      <w:r w:rsidR="004C6E1C">
        <w:rPr>
          <w:lang w:val="en-US"/>
        </w:rPr>
        <w:t>23</w:t>
      </w:r>
      <w:r>
        <w:rPr>
          <w:lang w:val="en-US"/>
        </w:rPr>
        <w:t>]</w:t>
      </w:r>
      <w:r>
        <w:rPr>
          <w:lang w:val="en-US"/>
        </w:rPr>
        <w:tab/>
      </w:r>
      <w:r w:rsidR="004C6E1C">
        <w:rPr>
          <w:lang w:val="en-US"/>
        </w:rPr>
        <w:t>T</w:t>
      </w:r>
      <w:r w:rsidR="009A48EC">
        <w:rPr>
          <w:lang w:val="en-US"/>
        </w:rPr>
        <w:t>he applicant concluded that</w:t>
      </w:r>
      <w:r w:rsidR="00963841" w:rsidRPr="00963841">
        <w:rPr>
          <w:lang w:val="en-US"/>
        </w:rPr>
        <w:t xml:space="preserve"> </w:t>
      </w:r>
      <w:r w:rsidR="004C6E1C">
        <w:rPr>
          <w:lang w:val="en-US"/>
        </w:rPr>
        <w:t>Magistrate Kambinda</w:t>
      </w:r>
      <w:r w:rsidR="00963841" w:rsidRPr="00963841">
        <w:rPr>
          <w:lang w:val="en-US"/>
        </w:rPr>
        <w:t xml:space="preserve"> </w:t>
      </w:r>
      <w:r w:rsidR="009A48EC">
        <w:rPr>
          <w:lang w:val="en-US"/>
        </w:rPr>
        <w:t xml:space="preserve">could not have reached </w:t>
      </w:r>
      <w:r w:rsidR="004C6E1C">
        <w:rPr>
          <w:lang w:val="en-US"/>
        </w:rPr>
        <w:t>the</w:t>
      </w:r>
      <w:r w:rsidR="009A48EC">
        <w:rPr>
          <w:lang w:val="en-US"/>
        </w:rPr>
        <w:t xml:space="preserve"> conclusion</w:t>
      </w:r>
      <w:r w:rsidR="004C6E1C">
        <w:rPr>
          <w:lang w:val="en-US"/>
        </w:rPr>
        <w:t>s</w:t>
      </w:r>
      <w:r w:rsidR="009A48EC">
        <w:rPr>
          <w:lang w:val="en-US"/>
        </w:rPr>
        <w:t xml:space="preserve"> that </w:t>
      </w:r>
      <w:r w:rsidR="004C6E1C">
        <w:rPr>
          <w:lang w:val="en-US"/>
        </w:rPr>
        <w:t>he did</w:t>
      </w:r>
      <w:r w:rsidR="00030D6E">
        <w:rPr>
          <w:lang w:val="en-US"/>
        </w:rPr>
        <w:t>,</w:t>
      </w:r>
      <w:r w:rsidR="004C6E1C">
        <w:rPr>
          <w:lang w:val="en-US"/>
        </w:rPr>
        <w:t xml:space="preserve"> and as a result, the magistrate’s findings and the resulting </w:t>
      </w:r>
      <w:r w:rsidR="004C6E1C" w:rsidRPr="008F4A7D">
        <w:rPr>
          <w:lang w:val="en-US"/>
        </w:rPr>
        <w:t>order</w:t>
      </w:r>
      <w:r w:rsidR="00963841" w:rsidRPr="008F4A7D">
        <w:rPr>
          <w:lang w:val="en-US"/>
        </w:rPr>
        <w:t xml:space="preserve"> </w:t>
      </w:r>
      <w:r w:rsidR="004C6E1C" w:rsidRPr="008F4A7D">
        <w:rPr>
          <w:lang w:val="en-US"/>
        </w:rPr>
        <w:t>stand</w:t>
      </w:r>
      <w:r w:rsidR="00CC3F77" w:rsidRPr="008F4A7D">
        <w:rPr>
          <w:lang w:val="en-US"/>
        </w:rPr>
        <w:t>s</w:t>
      </w:r>
      <w:r w:rsidR="004C6E1C" w:rsidRPr="008F4A7D">
        <w:rPr>
          <w:lang w:val="en-US"/>
        </w:rPr>
        <w:t xml:space="preserve"> </w:t>
      </w:r>
      <w:r w:rsidR="00963841" w:rsidRPr="008F4A7D">
        <w:rPr>
          <w:lang w:val="en-US"/>
        </w:rPr>
        <w:t>to</w:t>
      </w:r>
      <w:r w:rsidR="00963841" w:rsidRPr="00963841">
        <w:rPr>
          <w:lang w:val="en-US"/>
        </w:rPr>
        <w:t xml:space="preserve"> </w:t>
      </w:r>
      <w:r w:rsidR="004C6E1C">
        <w:rPr>
          <w:lang w:val="en-US"/>
        </w:rPr>
        <w:t xml:space="preserve">be </w:t>
      </w:r>
      <w:r w:rsidR="00963841" w:rsidRPr="00963841">
        <w:rPr>
          <w:lang w:val="en-US"/>
        </w:rPr>
        <w:t>review</w:t>
      </w:r>
      <w:r w:rsidR="004C6E1C">
        <w:rPr>
          <w:lang w:val="en-US"/>
        </w:rPr>
        <w:t>ed</w:t>
      </w:r>
      <w:r w:rsidR="00963841" w:rsidRPr="00963841">
        <w:rPr>
          <w:lang w:val="en-US"/>
        </w:rPr>
        <w:t xml:space="preserve"> </w:t>
      </w:r>
      <w:r w:rsidR="009A48EC">
        <w:rPr>
          <w:lang w:val="en-US"/>
        </w:rPr>
        <w:t>and set aside.</w:t>
      </w:r>
    </w:p>
    <w:p w14:paraId="7415F2E7" w14:textId="64678077" w:rsidR="00802141" w:rsidRDefault="009F631F" w:rsidP="00C473ED">
      <w:pPr>
        <w:spacing w:line="360" w:lineRule="auto"/>
      </w:pPr>
      <w:r>
        <w:rPr>
          <w:u w:val="single"/>
        </w:rPr>
        <w:t>Answering papers</w:t>
      </w:r>
    </w:p>
    <w:p w14:paraId="0F1B9CB2" w14:textId="6D33B510" w:rsidR="009F631F" w:rsidRDefault="00603DBB" w:rsidP="00C473ED">
      <w:pPr>
        <w:spacing w:line="360" w:lineRule="auto"/>
      </w:pPr>
      <w:r>
        <w:t>[</w:t>
      </w:r>
      <w:r w:rsidR="00517D3E">
        <w:t>24</w:t>
      </w:r>
      <w:r>
        <w:t>]</w:t>
      </w:r>
      <w:r w:rsidR="0024699D">
        <w:tab/>
      </w:r>
      <w:r>
        <w:t xml:space="preserve">Although all three respondents filed </w:t>
      </w:r>
      <w:r w:rsidR="009F631F">
        <w:t xml:space="preserve">their </w:t>
      </w:r>
      <w:r w:rsidRPr="008F4A7D">
        <w:t>notice</w:t>
      </w:r>
      <w:r w:rsidR="00CC3F77" w:rsidRPr="008F4A7D">
        <w:t>s</w:t>
      </w:r>
      <w:r w:rsidRPr="008F4A7D">
        <w:t xml:space="preserve"> o</w:t>
      </w:r>
      <w:r>
        <w:t xml:space="preserve">f </w:t>
      </w:r>
      <w:r w:rsidR="009F631F">
        <w:t>intention</w:t>
      </w:r>
      <w:r>
        <w:t xml:space="preserve"> to oppose, only the </w:t>
      </w:r>
      <w:r w:rsidR="00517D3E">
        <w:t>P</w:t>
      </w:r>
      <w:r w:rsidR="00A574C6">
        <w:t>rosecutor-General</w:t>
      </w:r>
      <w:r>
        <w:t xml:space="preserve"> filed answering papers. </w:t>
      </w:r>
    </w:p>
    <w:p w14:paraId="11340FB6" w14:textId="1E7491A5" w:rsidR="00802141" w:rsidRDefault="009F631F" w:rsidP="00C5691A">
      <w:pPr>
        <w:pStyle w:val="BodyTextIndent"/>
      </w:pPr>
      <w:r>
        <w:lastRenderedPageBreak/>
        <w:t xml:space="preserve">[25] </w:t>
      </w:r>
      <w:r>
        <w:tab/>
        <w:t xml:space="preserve">Ms Martha Imalwa deposed to the answering affidavit herein. </w:t>
      </w:r>
      <w:r w:rsidR="00CC3F77">
        <w:t>She</w:t>
      </w:r>
      <w:r>
        <w:t xml:space="preserve"> clarified that the</w:t>
      </w:r>
      <w:r w:rsidR="00603DBB" w:rsidRPr="00603DBB">
        <w:t xml:space="preserve"> enquiry in terms of s 32(1) of POCA</w:t>
      </w:r>
      <w:r>
        <w:t>,</w:t>
      </w:r>
      <w:r w:rsidR="00603DBB" w:rsidRPr="00603DBB">
        <w:t xml:space="preserve"> which is the subject of this application</w:t>
      </w:r>
      <w:r w:rsidR="00030D6E">
        <w:t>,</w:t>
      </w:r>
      <w:r w:rsidR="00603DBB" w:rsidRPr="00603DBB">
        <w:t xml:space="preserve"> pertained to three criminal cases </w:t>
      </w:r>
      <w:r>
        <w:t>and</w:t>
      </w:r>
      <w:r w:rsidR="00603DBB" w:rsidRPr="00603DBB">
        <w:t xml:space="preserve"> the applicant was the accused</w:t>
      </w:r>
      <w:r w:rsidR="00CD4EC3">
        <w:t xml:space="preserve"> in all </w:t>
      </w:r>
      <w:r>
        <w:t xml:space="preserve">three </w:t>
      </w:r>
      <w:r w:rsidR="00CD4EC3">
        <w:t>cases</w:t>
      </w:r>
      <w:r>
        <w:t>, with cas</w:t>
      </w:r>
      <w:r w:rsidR="00603DBB" w:rsidRPr="00603DBB">
        <w:t>e numbers GOB-CRM</w:t>
      </w:r>
      <w:r w:rsidR="00C47E45">
        <w:t>-</w:t>
      </w:r>
      <w:r w:rsidR="00603DBB" w:rsidRPr="00603DBB">
        <w:t>1983/2019, GOB-CRM-1982/2019 and GOB-CRM-247/2019.</w:t>
      </w:r>
      <w:r>
        <w:t xml:space="preserve"> All cases emanated from</w:t>
      </w:r>
      <w:r w:rsidR="00CD4EC3">
        <w:t xml:space="preserve"> the Gobabis Magisterial </w:t>
      </w:r>
      <w:r w:rsidR="00AC7080">
        <w:t>D</w:t>
      </w:r>
      <w:r w:rsidR="00CD4EC3">
        <w:t>istrict.</w:t>
      </w:r>
    </w:p>
    <w:p w14:paraId="0D61104B" w14:textId="6042BB1E" w:rsidR="009F631F" w:rsidRDefault="0024699D" w:rsidP="00B63E8B">
      <w:pPr>
        <w:pStyle w:val="BodyTextIndent"/>
      </w:pPr>
      <w:r>
        <w:t>[</w:t>
      </w:r>
      <w:r w:rsidR="009F631F">
        <w:t>26]</w:t>
      </w:r>
      <w:r w:rsidR="009F631F">
        <w:tab/>
        <w:t xml:space="preserve">Ms Imalwa explained </w:t>
      </w:r>
      <w:r w:rsidR="00B44FA6">
        <w:t xml:space="preserve">that although the facts of each matter </w:t>
      </w:r>
      <w:r w:rsidR="00B63E8B">
        <w:t>were</w:t>
      </w:r>
      <w:r w:rsidR="00B44FA6">
        <w:t xml:space="preserve"> different the process followed after conviction was the same</w:t>
      </w:r>
      <w:r w:rsidR="009F631F">
        <w:t>:</w:t>
      </w:r>
    </w:p>
    <w:p w14:paraId="74AFF774" w14:textId="79F2DF33" w:rsidR="00C5691A" w:rsidRPr="009F631F" w:rsidRDefault="009F631F" w:rsidP="00C5691A">
      <w:pPr>
        <w:pStyle w:val="Heading2"/>
      </w:pPr>
      <w:r w:rsidRPr="00C5691A">
        <w:rPr>
          <w:i w:val="0"/>
        </w:rPr>
        <w:t>a)</w:t>
      </w:r>
      <w:r w:rsidR="00CC3F77">
        <w:rPr>
          <w:i w:val="0"/>
        </w:rPr>
        <w:tab/>
      </w:r>
      <w:r w:rsidR="00C5691A" w:rsidRPr="009F631F">
        <w:t>GOB-CRM-1983/2019</w:t>
      </w:r>
    </w:p>
    <w:p w14:paraId="6EBBEEEC" w14:textId="73B61315" w:rsidR="00B44FA6" w:rsidRDefault="0024699D" w:rsidP="00AC7080">
      <w:pPr>
        <w:pStyle w:val="ListParagraph"/>
        <w:numPr>
          <w:ilvl w:val="0"/>
          <w:numId w:val="11"/>
        </w:numPr>
        <w:spacing w:after="0" w:line="360" w:lineRule="auto"/>
        <w:ind w:left="0" w:firstLine="0"/>
      </w:pPr>
      <w:r>
        <w:t xml:space="preserve">Case number GOB-CRM-1983/2019 pertained to Gobabis CR 30/08/2018. In </w:t>
      </w:r>
      <w:r w:rsidR="00A574C6">
        <w:t>t</w:t>
      </w:r>
      <w:r w:rsidR="009F631F">
        <w:t xml:space="preserve">his instance, </w:t>
      </w:r>
      <w:r>
        <w:t xml:space="preserve">the applicant was charged with </w:t>
      </w:r>
      <w:r w:rsidR="009F631F">
        <w:t>one</w:t>
      </w:r>
      <w:r>
        <w:t xml:space="preserve"> count of theft by false pretences and </w:t>
      </w:r>
      <w:r w:rsidR="009F631F">
        <w:t>one</w:t>
      </w:r>
      <w:r>
        <w:t xml:space="preserve"> count of money laundering (contravening s 4(</w:t>
      </w:r>
      <w:r w:rsidRPr="00FF5057">
        <w:rPr>
          <w:i/>
        </w:rPr>
        <w:t>a</w:t>
      </w:r>
      <w:r>
        <w:t xml:space="preserve">) read with </w:t>
      </w:r>
      <w:r w:rsidR="009F631F">
        <w:t>s</w:t>
      </w:r>
      <w:r w:rsidR="00AC7080">
        <w:t>ubsecs</w:t>
      </w:r>
      <w:r>
        <w:t xml:space="preserve"> 1, 7 and </w:t>
      </w:r>
      <w:r w:rsidR="009F631F">
        <w:t>11</w:t>
      </w:r>
      <w:r>
        <w:t xml:space="preserve"> of POCA, as amended).</w:t>
      </w:r>
      <w:r w:rsidR="00F56C9C">
        <w:t xml:space="preserve"> On 24</w:t>
      </w:r>
      <w:r w:rsidR="00030D6E">
        <w:t xml:space="preserve"> </w:t>
      </w:r>
      <w:r w:rsidRPr="0024699D">
        <w:t>June 2020</w:t>
      </w:r>
      <w:r w:rsidR="00030D6E">
        <w:t>,</w:t>
      </w:r>
      <w:r w:rsidRPr="0024699D">
        <w:t xml:space="preserve"> the applicant pleaded guilty to both counts and was found guilty as charged on the same date. During questioning by the court in terms of s 112(</w:t>
      </w:r>
      <w:r>
        <w:t>1</w:t>
      </w:r>
      <w:r w:rsidRPr="0024699D">
        <w:t>)(</w:t>
      </w:r>
      <w:r w:rsidRPr="00FF5057">
        <w:rPr>
          <w:i/>
        </w:rPr>
        <w:t>b</w:t>
      </w:r>
      <w:r w:rsidRPr="0024699D">
        <w:t>) of the Crim</w:t>
      </w:r>
      <w:r w:rsidR="00FF5057">
        <w:t>inal Procedure Act 51 of 1977</w:t>
      </w:r>
      <w:r w:rsidR="00AC7080">
        <w:t>,</w:t>
      </w:r>
      <w:r w:rsidR="00FF5057">
        <w:t xml:space="preserve"> </w:t>
      </w:r>
      <w:r w:rsidRPr="0024699D">
        <w:t xml:space="preserve">the applicant admitted </w:t>
      </w:r>
      <w:r w:rsidR="009F631F">
        <w:t xml:space="preserve">to receiving </w:t>
      </w:r>
      <w:r w:rsidR="00FF5057">
        <w:t>N$39 500</w:t>
      </w:r>
      <w:r w:rsidRPr="0024699D">
        <w:t xml:space="preserve"> from the complainant. </w:t>
      </w:r>
      <w:r w:rsidR="009F631F">
        <w:t>The applicant admitted that the</w:t>
      </w:r>
      <w:r w:rsidRPr="0024699D">
        <w:t xml:space="preserve"> </w:t>
      </w:r>
      <w:r w:rsidR="009F631F">
        <w:t>said</w:t>
      </w:r>
      <w:r w:rsidRPr="0024699D">
        <w:t xml:space="preserve"> money was deposited into his bank account </w:t>
      </w:r>
      <w:r w:rsidR="009F631F">
        <w:t>at</w:t>
      </w:r>
      <w:r w:rsidRPr="0024699D">
        <w:t xml:space="preserve"> his request.</w:t>
      </w:r>
      <w:r>
        <w:t xml:space="preserve"> </w:t>
      </w:r>
      <w:r w:rsidRPr="0024699D">
        <w:t xml:space="preserve">After the applicant was convicted on the two counts, the matter was postponed to 25 June 2020 for </w:t>
      </w:r>
      <w:r w:rsidR="009F631F">
        <w:t>‘</w:t>
      </w:r>
      <w:r w:rsidRPr="0024699D">
        <w:t>Record (Previous Convictions) and Sentence</w:t>
      </w:r>
      <w:r w:rsidR="009F631F">
        <w:t>’</w:t>
      </w:r>
      <w:r w:rsidRPr="0024699D">
        <w:t>.</w:t>
      </w:r>
    </w:p>
    <w:p w14:paraId="60F075C5" w14:textId="77777777" w:rsidR="00AC7080" w:rsidRDefault="00AC7080" w:rsidP="00AC7080">
      <w:pPr>
        <w:pStyle w:val="ListParagraph"/>
        <w:spacing w:after="0" w:line="360" w:lineRule="auto"/>
        <w:ind w:left="0" w:firstLine="0"/>
      </w:pPr>
    </w:p>
    <w:p w14:paraId="38383216" w14:textId="327CDF4F" w:rsidR="00C5691A" w:rsidRPr="00AC7080" w:rsidRDefault="00C5691A" w:rsidP="00AC7080">
      <w:pPr>
        <w:pStyle w:val="ListParagraph"/>
        <w:numPr>
          <w:ilvl w:val="0"/>
          <w:numId w:val="16"/>
        </w:numPr>
        <w:spacing w:after="0" w:line="360" w:lineRule="auto"/>
        <w:ind w:left="0" w:firstLine="0"/>
        <w:rPr>
          <w:i/>
        </w:rPr>
      </w:pPr>
      <w:r w:rsidRPr="00AC7080">
        <w:rPr>
          <w:i/>
        </w:rPr>
        <w:t>GOB-CRM-1982/2019</w:t>
      </w:r>
    </w:p>
    <w:p w14:paraId="03E2E521" w14:textId="77777777" w:rsidR="00AC7080" w:rsidRDefault="00AC7080" w:rsidP="00AC7080">
      <w:pPr>
        <w:pStyle w:val="ListParagraph"/>
        <w:spacing w:after="0" w:line="360" w:lineRule="auto"/>
        <w:ind w:firstLine="0"/>
      </w:pPr>
    </w:p>
    <w:p w14:paraId="63343938" w14:textId="473D7B0F" w:rsidR="00B44FA6" w:rsidRDefault="00F81928" w:rsidP="00AC7080">
      <w:pPr>
        <w:pStyle w:val="ListParagraph"/>
        <w:numPr>
          <w:ilvl w:val="0"/>
          <w:numId w:val="11"/>
        </w:numPr>
        <w:spacing w:after="0" w:line="360" w:lineRule="auto"/>
        <w:ind w:left="0" w:firstLine="0"/>
      </w:pPr>
      <w:r>
        <w:t xml:space="preserve">Case number GOB-CRM-1982/2019 pertained to Gobabis </w:t>
      </w:r>
      <w:r w:rsidR="00C5691A">
        <w:t>CR 37/06/2018. In this instance,</w:t>
      </w:r>
      <w:r>
        <w:t xml:space="preserve"> the applicant was charged with </w:t>
      </w:r>
      <w:r w:rsidR="00AC7080">
        <w:t>one</w:t>
      </w:r>
      <w:r>
        <w:t xml:space="preserve"> count of fraud and </w:t>
      </w:r>
      <w:r w:rsidR="00AC7080">
        <w:t>one</w:t>
      </w:r>
      <w:r>
        <w:t xml:space="preserve"> count of money laundering</w:t>
      </w:r>
      <w:r w:rsidR="00C5691A">
        <w:t xml:space="preserve"> (contravening s 4(</w:t>
      </w:r>
      <w:r w:rsidR="00C5691A" w:rsidRPr="00FF5057">
        <w:rPr>
          <w:i/>
        </w:rPr>
        <w:t>a</w:t>
      </w:r>
      <w:r w:rsidR="00AC7080">
        <w:t>) read with subsecs</w:t>
      </w:r>
      <w:r w:rsidR="00C5691A">
        <w:t xml:space="preserve"> 1, 7 and 11 of POCA, as amended)</w:t>
      </w:r>
      <w:r w:rsidR="003577A2">
        <w:t>.</w:t>
      </w:r>
      <w:r w:rsidR="005E7903">
        <w:t xml:space="preserve"> </w:t>
      </w:r>
      <w:r w:rsidR="003577A2">
        <w:t>On 24 June 2020</w:t>
      </w:r>
      <w:r w:rsidR="00C5691A">
        <w:t>,</w:t>
      </w:r>
      <w:r w:rsidR="003577A2">
        <w:t xml:space="preserve"> the applicant pleaded guilty to the </w:t>
      </w:r>
      <w:r w:rsidR="00CD4EC3">
        <w:t>charges</w:t>
      </w:r>
      <w:r w:rsidR="003577A2">
        <w:t xml:space="preserve"> and was convicted on the same date.</w:t>
      </w:r>
      <w:r w:rsidR="005E7903">
        <w:t xml:space="preserve"> </w:t>
      </w:r>
      <w:r w:rsidR="003577A2">
        <w:t>During questioning by the court in terms of s 112(</w:t>
      </w:r>
      <w:r w:rsidR="005E7903">
        <w:t>1</w:t>
      </w:r>
      <w:r w:rsidR="003577A2">
        <w:t>)(</w:t>
      </w:r>
      <w:r w:rsidR="003577A2" w:rsidRPr="00FF5057">
        <w:rPr>
          <w:i/>
        </w:rPr>
        <w:t>b</w:t>
      </w:r>
      <w:r w:rsidR="003577A2">
        <w:t xml:space="preserve">) of the </w:t>
      </w:r>
      <w:r w:rsidR="005E7903">
        <w:t>CPA</w:t>
      </w:r>
      <w:r w:rsidR="003577A2">
        <w:t xml:space="preserve"> in respect of the count of fraud</w:t>
      </w:r>
      <w:r w:rsidR="00030D6E">
        <w:t>,</w:t>
      </w:r>
      <w:r w:rsidR="003577A2">
        <w:t xml:space="preserve"> the applicant </w:t>
      </w:r>
      <w:r w:rsidR="00C5691A">
        <w:t>admitted</w:t>
      </w:r>
      <w:r w:rsidR="003577A2">
        <w:t xml:space="preserve"> that the incident occurred on 13 July 2018. The </w:t>
      </w:r>
      <w:r w:rsidR="00C5691A">
        <w:t>applicant further admitted to having received</w:t>
      </w:r>
      <w:r w:rsidR="00FF5057">
        <w:t xml:space="preserve"> N$13 250</w:t>
      </w:r>
      <w:r w:rsidR="003577A2">
        <w:t xml:space="preserve"> from the complainant. </w:t>
      </w:r>
      <w:r w:rsidR="00B44FA6" w:rsidRPr="0024699D">
        <w:t xml:space="preserve">After the applicant was convicted on the two counts, the matter was postponed to 25 June 2020 for </w:t>
      </w:r>
      <w:r w:rsidR="00B44FA6">
        <w:t>‘</w:t>
      </w:r>
      <w:r w:rsidR="00B44FA6" w:rsidRPr="0024699D">
        <w:t>Record (Previous Convictions) and Sentence</w:t>
      </w:r>
      <w:r w:rsidR="00B44FA6">
        <w:t>’</w:t>
      </w:r>
      <w:r w:rsidR="00B44FA6" w:rsidRPr="0024699D">
        <w:t>.</w:t>
      </w:r>
    </w:p>
    <w:p w14:paraId="7B116016" w14:textId="77777777" w:rsidR="00B63E8B" w:rsidRDefault="00B63E8B" w:rsidP="00B63E8B">
      <w:pPr>
        <w:pStyle w:val="ListParagraph"/>
        <w:spacing w:after="0" w:line="360" w:lineRule="auto"/>
        <w:ind w:left="357" w:firstLine="0"/>
      </w:pPr>
    </w:p>
    <w:p w14:paraId="33CF14A4" w14:textId="635562C6" w:rsidR="00B44FA6" w:rsidRDefault="00FF5057" w:rsidP="00551D22">
      <w:pPr>
        <w:spacing w:line="360" w:lineRule="auto"/>
      </w:pPr>
      <w:r>
        <w:lastRenderedPageBreak/>
        <w:t>c)</w:t>
      </w:r>
      <w:r>
        <w:tab/>
      </w:r>
      <w:r w:rsidR="00B44FA6" w:rsidRPr="00B44FA6">
        <w:rPr>
          <w:i/>
        </w:rPr>
        <w:t>GOB-CRM-247/2019</w:t>
      </w:r>
    </w:p>
    <w:p w14:paraId="3E33817D" w14:textId="2161FD41" w:rsidR="00551D22" w:rsidRPr="008F4A7D" w:rsidRDefault="006C198C" w:rsidP="00AC7080">
      <w:pPr>
        <w:pStyle w:val="ListParagraph"/>
        <w:numPr>
          <w:ilvl w:val="0"/>
          <w:numId w:val="11"/>
        </w:numPr>
        <w:spacing w:after="0" w:line="360" w:lineRule="auto"/>
        <w:ind w:left="0" w:firstLine="0"/>
      </w:pPr>
      <w:r w:rsidRPr="006C198C">
        <w:t>Case number GOB-CRM-247/2019 pertained to Gobabis Police Station CR 02/02/2019</w:t>
      </w:r>
      <w:r w:rsidR="00551D22">
        <w:t>, in which the</w:t>
      </w:r>
      <w:r w:rsidR="00551D22" w:rsidRPr="00551D22">
        <w:t xml:space="preserve"> applicant was charged with theft by false pretences. </w:t>
      </w:r>
      <w:r w:rsidR="00551D22">
        <w:t>The applicant pleaded guilty to the charge on 22 June 2020 and was convicted on the same date. During questioning by the court in terms of s 112(1)(</w:t>
      </w:r>
      <w:r w:rsidR="00551D22" w:rsidRPr="00FF5057">
        <w:rPr>
          <w:i/>
        </w:rPr>
        <w:t>b</w:t>
      </w:r>
      <w:r w:rsidR="00551D22">
        <w:t>) of the CPA the applicant admitted the value of the items alleged</w:t>
      </w:r>
      <w:r w:rsidR="00FF5057">
        <w:t xml:space="preserve"> </w:t>
      </w:r>
      <w:r w:rsidR="00FF5057" w:rsidRPr="008F4A7D">
        <w:t>in the charges</w:t>
      </w:r>
      <w:r w:rsidR="00551D22" w:rsidRPr="008F4A7D">
        <w:t xml:space="preserve"> and that he did not pay for the items. The matter was postponed to 24 June 2020 for sentence. After several postponements, the </w:t>
      </w:r>
      <w:r w:rsidR="00030D6E">
        <w:t>case</w:t>
      </w:r>
      <w:r w:rsidR="00551D22" w:rsidRPr="008F4A7D">
        <w:t xml:space="preserve"> was postpon</w:t>
      </w:r>
      <w:r w:rsidR="00706A00" w:rsidRPr="008F4A7D">
        <w:t>ed to 3 August 2020 for sentencing</w:t>
      </w:r>
      <w:r w:rsidR="00551D22" w:rsidRPr="008F4A7D">
        <w:t xml:space="preserve"> and the s 32</w:t>
      </w:r>
      <w:r w:rsidR="00DD3692" w:rsidRPr="008F4A7D">
        <w:t>(1)</w:t>
      </w:r>
      <w:r w:rsidR="00551D22" w:rsidRPr="008F4A7D">
        <w:t xml:space="preserve"> POCA enquiry.</w:t>
      </w:r>
    </w:p>
    <w:p w14:paraId="0BEAEF97" w14:textId="77777777" w:rsidR="00B44FA6" w:rsidRDefault="00B44FA6" w:rsidP="00B44FA6">
      <w:pPr>
        <w:pStyle w:val="ListParagraph"/>
        <w:spacing w:after="0" w:line="360" w:lineRule="auto"/>
        <w:ind w:left="357" w:firstLine="0"/>
      </w:pPr>
    </w:p>
    <w:p w14:paraId="2A57B0AB" w14:textId="3A93D04A" w:rsidR="00B44FA6" w:rsidRDefault="00B44FA6" w:rsidP="00AC7080">
      <w:pPr>
        <w:pStyle w:val="ListParagraph"/>
        <w:numPr>
          <w:ilvl w:val="0"/>
          <w:numId w:val="11"/>
        </w:numPr>
        <w:spacing w:after="0" w:line="360" w:lineRule="auto"/>
        <w:ind w:left="0" w:firstLine="0"/>
      </w:pPr>
      <w:r>
        <w:t>In respect of all three cases, after several postponements, on 3 August 2020, the public prosecutor informed the court that the matter was for a s 32(1) of POCA enquiry and sentencing. She further stated that for the State to proceed with the said enquiry</w:t>
      </w:r>
      <w:r w:rsidR="00030D6E">
        <w:t>,</w:t>
      </w:r>
      <w:r>
        <w:t xml:space="preserve"> it must obtain authorisation from the PG in terms of s 32 of POCA. The authorisation was obtained from the PG and submitted to the court. The court received the authorisation without any objection from the applicant.</w:t>
      </w:r>
      <w:r w:rsidRPr="00F81928">
        <w:t xml:space="preserve"> </w:t>
      </w:r>
      <w:r>
        <w:t xml:space="preserve">The applicant was eventually sentenced on 28 October 2020, and </w:t>
      </w:r>
      <w:r w:rsidR="00FF5057" w:rsidRPr="008F4A7D">
        <w:t>the</w:t>
      </w:r>
      <w:r w:rsidR="00FF5057">
        <w:t xml:space="preserve"> </w:t>
      </w:r>
      <w:r>
        <w:t>enquiry in terms of s 32 of POCA was adjourned to 7 January 2021.</w:t>
      </w:r>
    </w:p>
    <w:p w14:paraId="152A9718" w14:textId="77777777" w:rsidR="00B63E8B" w:rsidRDefault="00B63E8B" w:rsidP="00B63E8B">
      <w:pPr>
        <w:pStyle w:val="ListParagraph"/>
        <w:spacing w:after="0" w:line="360" w:lineRule="auto"/>
      </w:pPr>
    </w:p>
    <w:p w14:paraId="29D87C2B" w14:textId="75C87A29" w:rsidR="00113612" w:rsidRPr="008F4A7D" w:rsidRDefault="0080317A" w:rsidP="00AC7080">
      <w:pPr>
        <w:pStyle w:val="BodyTextIndent"/>
        <w:spacing w:after="0"/>
      </w:pPr>
      <w:r>
        <w:t>[</w:t>
      </w:r>
      <w:r w:rsidR="00CD4EC3">
        <w:t>2</w:t>
      </w:r>
      <w:r w:rsidR="00B44FA6">
        <w:t>7</w:t>
      </w:r>
      <w:r>
        <w:t>]</w:t>
      </w:r>
      <w:r>
        <w:tab/>
      </w:r>
      <w:r w:rsidR="00B44FA6">
        <w:t>According to Ms Imalwa, t</w:t>
      </w:r>
      <w:r>
        <w:t>he confiscation enquiry was conducted under case number GOB-CRM</w:t>
      </w:r>
      <w:r w:rsidR="00AC7080">
        <w:t>-</w:t>
      </w:r>
      <w:r>
        <w:t xml:space="preserve">1983/2019 and commenced on 16 June 2021 before </w:t>
      </w:r>
      <w:r w:rsidR="00B44FA6">
        <w:t>Magistrate Kambinda</w:t>
      </w:r>
      <w:r>
        <w:t xml:space="preserve">. </w:t>
      </w:r>
      <w:r w:rsidR="00B44FA6">
        <w:t xml:space="preserve">Ms Imalwa submitted if one considers the case record it is clear that Magistrate Kambinda </w:t>
      </w:r>
      <w:r>
        <w:t xml:space="preserve">explained </w:t>
      </w:r>
      <w:r w:rsidR="00B44FA6">
        <w:t xml:space="preserve">to the applicant </w:t>
      </w:r>
      <w:r>
        <w:t>that Ms Nangolo</w:t>
      </w:r>
      <w:r w:rsidR="00B44FA6">
        <w:t>, the magistrate</w:t>
      </w:r>
      <w:r>
        <w:t xml:space="preserve"> who convicted and sentenced </w:t>
      </w:r>
      <w:r w:rsidR="00B44FA6">
        <w:t>him</w:t>
      </w:r>
      <w:r w:rsidR="00030D6E">
        <w:t>,</w:t>
      </w:r>
      <w:r>
        <w:t xml:space="preserve"> ha</w:t>
      </w:r>
      <w:r w:rsidR="00B44FA6">
        <w:t>d</w:t>
      </w:r>
      <w:r>
        <w:t xml:space="preserve"> since resigned from the Magistracy and </w:t>
      </w:r>
      <w:r w:rsidR="00FF3D9D">
        <w:t>wa</w:t>
      </w:r>
      <w:r>
        <w:t>s not available to attend to th</w:t>
      </w:r>
      <w:r w:rsidR="00FF3D9D">
        <w:t xml:space="preserve">e </w:t>
      </w:r>
      <w:r>
        <w:t xml:space="preserve">matter. Therefore, the </w:t>
      </w:r>
      <w:r w:rsidR="00030D6E">
        <w:t>case</w:t>
      </w:r>
      <w:r>
        <w:t xml:space="preserve"> </w:t>
      </w:r>
      <w:r w:rsidR="00030D6E">
        <w:t>proceeded</w:t>
      </w:r>
      <w:r>
        <w:t xml:space="preserve"> before another </w:t>
      </w:r>
      <w:r w:rsidR="00FF3D9D">
        <w:t>m</w:t>
      </w:r>
      <w:r>
        <w:t xml:space="preserve">agistrate in terms of s 32(8) of POCA. There was no objection from the </w:t>
      </w:r>
      <w:r w:rsidR="00FF3D9D">
        <w:t>a</w:t>
      </w:r>
      <w:r>
        <w:t xml:space="preserve">pplicant. </w:t>
      </w:r>
      <w:r w:rsidR="00FF5057">
        <w:t xml:space="preserve">The public </w:t>
      </w:r>
      <w:r w:rsidR="00FF3D9D">
        <w:t>prosecutor</w:t>
      </w:r>
      <w:r>
        <w:t xml:space="preserve"> called </w:t>
      </w:r>
      <w:r w:rsidRPr="0080317A">
        <w:t>Sergeant Fred Emmanuel</w:t>
      </w:r>
      <w:r w:rsidR="00FF5057">
        <w:t xml:space="preserve"> to testify </w:t>
      </w:r>
      <w:r w:rsidR="00FF5057" w:rsidRPr="008F4A7D">
        <w:t>i</w:t>
      </w:r>
      <w:r w:rsidRPr="008F4A7D">
        <w:t>n the matter</w:t>
      </w:r>
      <w:r w:rsidR="00CD4EC3" w:rsidRPr="008F4A7D">
        <w:t>. After this</w:t>
      </w:r>
      <w:r w:rsidRPr="008F4A7D">
        <w:t xml:space="preserve"> testimony, the </w:t>
      </w:r>
      <w:r w:rsidR="00030D6E">
        <w:t>case</w:t>
      </w:r>
      <w:r w:rsidRPr="008F4A7D">
        <w:t xml:space="preserve"> was postponed several times and for different reasons</w:t>
      </w:r>
      <w:r w:rsidR="00E849C8" w:rsidRPr="008F4A7D">
        <w:t>, and eventually c</w:t>
      </w:r>
      <w:r w:rsidR="00FF3D9D" w:rsidRPr="008F4A7D">
        <w:t>ontinued</w:t>
      </w:r>
      <w:r w:rsidR="00E849C8" w:rsidRPr="008F4A7D">
        <w:t xml:space="preserve"> on </w:t>
      </w:r>
      <w:r w:rsidRPr="008F4A7D">
        <w:t>26 April 2022.</w:t>
      </w:r>
    </w:p>
    <w:p w14:paraId="73E4BFF6" w14:textId="77777777" w:rsidR="00B63E8B" w:rsidRPr="008F4A7D" w:rsidRDefault="00B63E8B" w:rsidP="00B63E8B">
      <w:pPr>
        <w:spacing w:after="0" w:line="360" w:lineRule="auto"/>
      </w:pPr>
    </w:p>
    <w:p w14:paraId="662F3AAF" w14:textId="4C167F28" w:rsidR="0080317A" w:rsidRDefault="0080317A" w:rsidP="008E798F">
      <w:pPr>
        <w:spacing w:line="360" w:lineRule="auto"/>
      </w:pPr>
      <w:r w:rsidRPr="008F4A7D">
        <w:t>[</w:t>
      </w:r>
      <w:r w:rsidR="00E849C8" w:rsidRPr="008F4A7D">
        <w:t>2</w:t>
      </w:r>
      <w:r w:rsidR="00FF3D9D" w:rsidRPr="008F4A7D">
        <w:t>8</w:t>
      </w:r>
      <w:r w:rsidRPr="008F4A7D">
        <w:t>]</w:t>
      </w:r>
      <w:r w:rsidRPr="008F4A7D">
        <w:tab/>
        <w:t>On 26 April 2022</w:t>
      </w:r>
      <w:r w:rsidR="00B63E8B" w:rsidRPr="008F4A7D">
        <w:t>,</w:t>
      </w:r>
      <w:r w:rsidRPr="008F4A7D">
        <w:t xml:space="preserve"> the </w:t>
      </w:r>
      <w:r w:rsidR="00B63E8B" w:rsidRPr="008F4A7D">
        <w:t>a</w:t>
      </w:r>
      <w:r w:rsidRPr="008F4A7D">
        <w:t>pplicant was not present</w:t>
      </w:r>
      <w:r w:rsidR="00B63E8B" w:rsidRPr="008F4A7D">
        <w:t xml:space="preserve"> in court despite the fact that he was </w:t>
      </w:r>
      <w:r w:rsidRPr="008F4A7D">
        <w:t xml:space="preserve">at </w:t>
      </w:r>
      <w:r w:rsidR="003228BC" w:rsidRPr="008F4A7D">
        <w:t>the</w:t>
      </w:r>
      <w:r w:rsidR="003228BC">
        <w:t xml:space="preserve"> </w:t>
      </w:r>
      <w:r>
        <w:t xml:space="preserve">Gobabis Correctional Facility, where he was brought from </w:t>
      </w:r>
      <w:r w:rsidR="00AC7080">
        <w:t xml:space="preserve">the </w:t>
      </w:r>
      <w:r>
        <w:t>Windhoek Correctional Facili</w:t>
      </w:r>
      <w:r w:rsidR="00B63E8B">
        <w:t xml:space="preserve">ty for purposes of attending the </w:t>
      </w:r>
      <w:r w:rsidR="00B63E8B" w:rsidRPr="008F4A7D">
        <w:t xml:space="preserve">continuation of the </w:t>
      </w:r>
      <w:r w:rsidRPr="008F4A7D">
        <w:t xml:space="preserve">confiscation </w:t>
      </w:r>
      <w:r w:rsidRPr="008F4A7D">
        <w:lastRenderedPageBreak/>
        <w:t xml:space="preserve">enquiry. </w:t>
      </w:r>
      <w:r w:rsidR="008E798F" w:rsidRPr="008F4A7D">
        <w:t>T</w:t>
      </w:r>
      <w:r w:rsidRPr="008F4A7D">
        <w:t xml:space="preserve">he </w:t>
      </w:r>
      <w:r w:rsidR="008E798F" w:rsidRPr="008F4A7D">
        <w:t>applicant</w:t>
      </w:r>
      <w:r w:rsidRPr="008F4A7D">
        <w:t xml:space="preserve"> </w:t>
      </w:r>
      <w:r w:rsidR="00030D6E">
        <w:t>called</w:t>
      </w:r>
      <w:r w:rsidRPr="008F4A7D">
        <w:t xml:space="preserve"> the </w:t>
      </w:r>
      <w:r w:rsidR="003228BC" w:rsidRPr="008F4A7D">
        <w:t xml:space="preserve">public prosecutor </w:t>
      </w:r>
      <w:r w:rsidRPr="008F4A7D">
        <w:t>that morning</w:t>
      </w:r>
      <w:r w:rsidR="008E798F" w:rsidRPr="008F4A7D">
        <w:t xml:space="preserve"> and </w:t>
      </w:r>
      <w:r w:rsidR="00B63E8B" w:rsidRPr="008F4A7D">
        <w:t xml:space="preserve">indicated that he </w:t>
      </w:r>
      <w:r w:rsidRPr="008F4A7D">
        <w:t>refus</w:t>
      </w:r>
      <w:r w:rsidR="008E798F" w:rsidRPr="008F4A7D">
        <w:t>ed</w:t>
      </w:r>
      <w:r w:rsidRPr="008F4A7D">
        <w:t xml:space="preserve"> to </w:t>
      </w:r>
      <w:r w:rsidR="00FF5057" w:rsidRPr="008F4A7D">
        <w:t xml:space="preserve">attend </w:t>
      </w:r>
      <w:r w:rsidRPr="008F4A7D">
        <w:t xml:space="preserve">court that day </w:t>
      </w:r>
      <w:r w:rsidR="00030D6E">
        <w:t>because</w:t>
      </w:r>
      <w:r w:rsidR="003228BC" w:rsidRPr="008F4A7D">
        <w:t xml:space="preserve"> </w:t>
      </w:r>
      <w:r w:rsidRPr="008F4A7D">
        <w:t xml:space="preserve">some of his privileges in the Correctional </w:t>
      </w:r>
      <w:r w:rsidR="00AC7080">
        <w:t>F</w:t>
      </w:r>
      <w:r w:rsidRPr="008F4A7D">
        <w:t>acility were suspended</w:t>
      </w:r>
      <w:r w:rsidR="00B63E8B" w:rsidRPr="008F4A7D">
        <w:t>,</w:t>
      </w:r>
      <w:r w:rsidRPr="008F4A7D">
        <w:t xml:space="preserve"> including visitation</w:t>
      </w:r>
      <w:r w:rsidR="00B63E8B" w:rsidRPr="008F4A7D">
        <w:t xml:space="preserve">. </w:t>
      </w:r>
      <w:r w:rsidR="008E798F" w:rsidRPr="008F4A7D">
        <w:t xml:space="preserve">The matter was then </w:t>
      </w:r>
      <w:r w:rsidRPr="008F4A7D">
        <w:t xml:space="preserve">postponed to the following </w:t>
      </w:r>
      <w:r w:rsidR="008E798F" w:rsidRPr="008F4A7D">
        <w:t>day</w:t>
      </w:r>
      <w:r w:rsidR="00B63E8B" w:rsidRPr="008F4A7D">
        <w:t>, i.e.</w:t>
      </w:r>
      <w:r w:rsidR="008E798F" w:rsidRPr="008F4A7D">
        <w:t xml:space="preserve"> </w:t>
      </w:r>
      <w:r w:rsidRPr="008F4A7D">
        <w:t>27 April 2022</w:t>
      </w:r>
      <w:r w:rsidR="00B63E8B" w:rsidRPr="008F4A7D">
        <w:t>,</w:t>
      </w:r>
      <w:r w:rsidRPr="008F4A7D">
        <w:t xml:space="preserve"> for continuation of the </w:t>
      </w:r>
      <w:r w:rsidR="00FF5057" w:rsidRPr="008F4A7D">
        <w:t>enquiry</w:t>
      </w:r>
      <w:r w:rsidRPr="008F4A7D">
        <w:t>.</w:t>
      </w:r>
    </w:p>
    <w:p w14:paraId="4DD5C56E" w14:textId="2C33AC7D" w:rsidR="008E798F" w:rsidRPr="008F4A7D" w:rsidRDefault="008E798F" w:rsidP="00EB542D">
      <w:pPr>
        <w:spacing w:line="360" w:lineRule="auto"/>
      </w:pPr>
      <w:r>
        <w:t>[</w:t>
      </w:r>
      <w:r w:rsidR="00E849C8">
        <w:t>2</w:t>
      </w:r>
      <w:r w:rsidR="00101DDE">
        <w:t>9</w:t>
      </w:r>
      <w:r>
        <w:t>]</w:t>
      </w:r>
      <w:r w:rsidR="00B63E8B">
        <w:tab/>
      </w:r>
      <w:r>
        <w:t>On 27 April 2022</w:t>
      </w:r>
      <w:r w:rsidR="00B63E8B">
        <w:t>,</w:t>
      </w:r>
      <w:r>
        <w:t xml:space="preserve"> the applicant still refused to go to court. The </w:t>
      </w:r>
      <w:r w:rsidR="00B63E8B">
        <w:t>public prosecutor</w:t>
      </w:r>
      <w:r>
        <w:t xml:space="preserve"> requested the attendance of the officer in charge of the Gobabis Correctional </w:t>
      </w:r>
      <w:r w:rsidR="00AC7080">
        <w:t>F</w:t>
      </w:r>
      <w:r>
        <w:t>acility A/C</w:t>
      </w:r>
      <w:r w:rsidR="00B63E8B">
        <w:t>omm</w:t>
      </w:r>
      <w:r>
        <w:t xml:space="preserve"> Platt for </w:t>
      </w:r>
      <w:r w:rsidR="006838F0">
        <w:t xml:space="preserve">the </w:t>
      </w:r>
      <w:r>
        <w:t xml:space="preserve">purposes of informing the </w:t>
      </w:r>
      <w:r w:rsidRPr="008F4A7D">
        <w:t xml:space="preserve">court as to why the </w:t>
      </w:r>
      <w:r w:rsidR="00B63E8B" w:rsidRPr="008F4A7D">
        <w:t>a</w:t>
      </w:r>
      <w:r w:rsidRPr="008F4A7D">
        <w:t xml:space="preserve">pplicant is not at </w:t>
      </w:r>
      <w:r w:rsidR="00B63E8B" w:rsidRPr="008F4A7D">
        <w:t>c</w:t>
      </w:r>
      <w:r w:rsidRPr="008F4A7D">
        <w:t xml:space="preserve">ourt. </w:t>
      </w:r>
      <w:r w:rsidR="00EB542D" w:rsidRPr="008F4A7D">
        <w:t>In view of the testimony of A/Comm Platt</w:t>
      </w:r>
      <w:r w:rsidR="00101DDE" w:rsidRPr="008F4A7D">
        <w:t xml:space="preserve"> and </w:t>
      </w:r>
      <w:r w:rsidR="003228BC" w:rsidRPr="008F4A7D">
        <w:t xml:space="preserve">on </w:t>
      </w:r>
      <w:r w:rsidR="00101DDE" w:rsidRPr="008F4A7D">
        <w:t>an application by</w:t>
      </w:r>
      <w:r w:rsidR="00EB542D" w:rsidRPr="008F4A7D">
        <w:t xml:space="preserve"> the </w:t>
      </w:r>
      <w:r w:rsidR="00101DDE" w:rsidRPr="008F4A7D">
        <w:t xml:space="preserve">public </w:t>
      </w:r>
      <w:r w:rsidR="00EB542D" w:rsidRPr="008F4A7D">
        <w:t>prosecutor</w:t>
      </w:r>
      <w:r w:rsidR="00AC7080">
        <w:t>,</w:t>
      </w:r>
      <w:r w:rsidR="00EB542D" w:rsidRPr="008F4A7D">
        <w:t xml:space="preserve"> </w:t>
      </w:r>
      <w:r w:rsidR="00101DDE" w:rsidRPr="008F4A7D">
        <w:t>t</w:t>
      </w:r>
      <w:r w:rsidR="00EB542D" w:rsidRPr="008F4A7D">
        <w:t xml:space="preserve">he court </w:t>
      </w:r>
      <w:r w:rsidR="00101DDE" w:rsidRPr="008F4A7D">
        <w:t>held</w:t>
      </w:r>
      <w:r w:rsidR="00EB542D" w:rsidRPr="008F4A7D">
        <w:t xml:space="preserve"> that the matter </w:t>
      </w:r>
      <w:r w:rsidR="003228BC" w:rsidRPr="008F4A7D">
        <w:t>should</w:t>
      </w:r>
      <w:r w:rsidR="00EB542D" w:rsidRPr="008F4A7D">
        <w:t xml:space="preserve"> proceed in the absence of the applicant. The </w:t>
      </w:r>
      <w:r w:rsidR="00AC7080">
        <w:t>S</w:t>
      </w:r>
      <w:r w:rsidR="00EB542D" w:rsidRPr="008F4A7D">
        <w:t>tate called a further witness</w:t>
      </w:r>
      <w:r w:rsidR="00AC7080">
        <w:t>,</w:t>
      </w:r>
      <w:r w:rsidR="00EB542D" w:rsidRPr="008F4A7D">
        <w:t xml:space="preserve"> Inspector Gert Boois.</w:t>
      </w:r>
    </w:p>
    <w:p w14:paraId="1380736B" w14:textId="1D0F20EB" w:rsidR="00984574" w:rsidRDefault="00984574" w:rsidP="00984574">
      <w:pPr>
        <w:spacing w:line="360" w:lineRule="auto"/>
      </w:pPr>
      <w:r w:rsidRPr="008F4A7D">
        <w:t>[</w:t>
      </w:r>
      <w:r w:rsidR="00101DDE" w:rsidRPr="008F4A7D">
        <w:t>30</w:t>
      </w:r>
      <w:r w:rsidRPr="008F4A7D">
        <w:t>]</w:t>
      </w:r>
      <w:r w:rsidR="00101DDE" w:rsidRPr="008F4A7D">
        <w:tab/>
        <w:t xml:space="preserve">Ms Imalwa stated that during </w:t>
      </w:r>
      <w:r w:rsidR="00FF5057" w:rsidRPr="008F4A7D">
        <w:t xml:space="preserve">the </w:t>
      </w:r>
      <w:r w:rsidR="00101DDE" w:rsidRPr="008F4A7D">
        <w:t>course of the enquiry</w:t>
      </w:r>
      <w:r w:rsidR="003228BC" w:rsidRPr="008F4A7D">
        <w:t>,</w:t>
      </w:r>
      <w:r w:rsidR="00101DDE" w:rsidRPr="008F4A7D">
        <w:t xml:space="preserve"> d</w:t>
      </w:r>
      <w:r w:rsidRPr="008F4A7D">
        <w:t xml:space="preserve">ocumentary evidence, being </w:t>
      </w:r>
      <w:r w:rsidR="00AD6853" w:rsidRPr="008F4A7D">
        <w:t xml:space="preserve">the </w:t>
      </w:r>
      <w:r w:rsidRPr="008F4A7D">
        <w:t>court proceedings for cases GOB-CRM</w:t>
      </w:r>
      <w:r w:rsidR="00AC7080">
        <w:t>-</w:t>
      </w:r>
      <w:r w:rsidRPr="008F4A7D">
        <w:t>247/2019 and GOB-CRM-1982/2019</w:t>
      </w:r>
      <w:r w:rsidR="00AC7080">
        <w:t>,</w:t>
      </w:r>
      <w:r w:rsidRPr="008F4A7D">
        <w:t xml:space="preserve"> were handed in and </w:t>
      </w:r>
      <w:r w:rsidR="00AD6853" w:rsidRPr="008F4A7D">
        <w:t xml:space="preserve">became </w:t>
      </w:r>
      <w:r w:rsidRPr="008F4A7D">
        <w:t xml:space="preserve">part of the record </w:t>
      </w:r>
      <w:r w:rsidR="00101DDE" w:rsidRPr="008F4A7D">
        <w:t xml:space="preserve">and </w:t>
      </w:r>
      <w:r w:rsidR="00FE0ED5">
        <w:t xml:space="preserve">were </w:t>
      </w:r>
      <w:r w:rsidR="00101DDE" w:rsidRPr="008F4A7D">
        <w:t>marked as</w:t>
      </w:r>
      <w:r w:rsidRPr="008F4A7D">
        <w:t xml:space="preserve"> exhibits</w:t>
      </w:r>
      <w:r w:rsidR="00101DDE" w:rsidRPr="008F4A7D">
        <w:t xml:space="preserve">. In addition thereto further documents were entered into evidence as exhibits, i.e. </w:t>
      </w:r>
      <w:r w:rsidR="00FE0ED5">
        <w:t>(</w:t>
      </w:r>
      <w:r w:rsidR="00101DDE" w:rsidRPr="008F4A7D">
        <w:t xml:space="preserve">a) the </w:t>
      </w:r>
      <w:r w:rsidRPr="008F4A7D">
        <w:t xml:space="preserve">POL 10 (prisoner's property receipt </w:t>
      </w:r>
      <w:r w:rsidR="00FE0ED5">
        <w:t xml:space="preserve">indicating the amount of N$30 910) </w:t>
      </w:r>
      <w:r w:rsidRPr="008F4A7D">
        <w:t xml:space="preserve">was </w:t>
      </w:r>
      <w:r w:rsidR="00101DDE" w:rsidRPr="008F4A7D">
        <w:t>submitted into evidence as an</w:t>
      </w:r>
      <w:r w:rsidRPr="008F4A7D">
        <w:t xml:space="preserve"> exhibit </w:t>
      </w:r>
      <w:r w:rsidR="00AC7080">
        <w:t>‘</w:t>
      </w:r>
      <w:r w:rsidRPr="008F4A7D">
        <w:t>C</w:t>
      </w:r>
      <w:r w:rsidR="00AC7080">
        <w:t>’</w:t>
      </w:r>
      <w:r w:rsidR="00101DDE" w:rsidRPr="008F4A7D">
        <w:t>,</w:t>
      </w:r>
      <w:r w:rsidRPr="008F4A7D">
        <w:t xml:space="preserve"> </w:t>
      </w:r>
      <w:r w:rsidR="00860B2A">
        <w:t>(</w:t>
      </w:r>
      <w:r w:rsidR="00101DDE" w:rsidRPr="008F4A7D">
        <w:t xml:space="preserve">b) </w:t>
      </w:r>
      <w:r w:rsidRPr="008F4A7D">
        <w:t>the applicant's bank statement for the period 15</w:t>
      </w:r>
      <w:r w:rsidR="00101DDE" w:rsidRPr="008F4A7D">
        <w:t xml:space="preserve"> </w:t>
      </w:r>
      <w:r w:rsidRPr="008F4A7D">
        <w:t>August 2017 to 25 September 2017</w:t>
      </w:r>
      <w:r w:rsidR="00860B2A">
        <w:t>,</w:t>
      </w:r>
      <w:r w:rsidR="00101DDE" w:rsidRPr="008F4A7D">
        <w:t xml:space="preserve"> </w:t>
      </w:r>
      <w:r w:rsidR="00860B2A">
        <w:t>(</w:t>
      </w:r>
      <w:r w:rsidR="003228BC" w:rsidRPr="008F4A7D">
        <w:t xml:space="preserve">c) </w:t>
      </w:r>
      <w:r w:rsidRPr="008F4A7D">
        <w:t xml:space="preserve">the </w:t>
      </w:r>
      <w:r w:rsidR="00101DDE" w:rsidRPr="008F4A7D">
        <w:t>‘</w:t>
      </w:r>
      <w:r w:rsidRPr="008F4A7D">
        <w:t>Know Your Client</w:t>
      </w:r>
      <w:r w:rsidR="00101DDE" w:rsidRPr="008F4A7D">
        <w:t>’</w:t>
      </w:r>
      <w:r w:rsidRPr="008F4A7D">
        <w:t xml:space="preserve"> form </w:t>
      </w:r>
      <w:r w:rsidR="00101DDE" w:rsidRPr="008F4A7D">
        <w:t>together with</w:t>
      </w:r>
      <w:r w:rsidRPr="008F4A7D">
        <w:t xml:space="preserve"> a copy of the applicant's national identity document </w:t>
      </w:r>
      <w:r w:rsidR="00101DDE" w:rsidRPr="008F4A7D">
        <w:t>and</w:t>
      </w:r>
      <w:r w:rsidRPr="008F4A7D">
        <w:t xml:space="preserve"> </w:t>
      </w:r>
      <w:r w:rsidR="00860B2A">
        <w:t>(</w:t>
      </w:r>
      <w:r w:rsidR="003228BC" w:rsidRPr="008F4A7D">
        <w:t xml:space="preserve">d) </w:t>
      </w:r>
      <w:r w:rsidRPr="008F4A7D">
        <w:t>a</w:t>
      </w:r>
      <w:r>
        <w:t xml:space="preserve"> statement under oath from a </w:t>
      </w:r>
      <w:r w:rsidR="00101DDE">
        <w:t>S</w:t>
      </w:r>
      <w:r>
        <w:t xml:space="preserve">tandard </w:t>
      </w:r>
      <w:r w:rsidR="00101DDE">
        <w:t>B</w:t>
      </w:r>
      <w:r>
        <w:t xml:space="preserve">ank employee </w:t>
      </w:r>
      <w:r w:rsidR="00101DDE">
        <w:t xml:space="preserve">were </w:t>
      </w:r>
      <w:r>
        <w:t xml:space="preserve">marked exhibit </w:t>
      </w:r>
      <w:r w:rsidR="00860B2A">
        <w:t>‘</w:t>
      </w:r>
      <w:r>
        <w:t>D</w:t>
      </w:r>
      <w:r w:rsidR="00860B2A">
        <w:t>’</w:t>
      </w:r>
      <w:r>
        <w:t xml:space="preserve">. The applicant did not object to the documentary </w:t>
      </w:r>
      <w:r w:rsidRPr="008F4A7D">
        <w:t xml:space="preserve">evidence </w:t>
      </w:r>
      <w:r w:rsidR="003228BC" w:rsidRPr="008F4A7D">
        <w:t>becoming</w:t>
      </w:r>
      <w:r w:rsidR="00AD6853">
        <w:t xml:space="preserve"> </w:t>
      </w:r>
      <w:r>
        <w:t xml:space="preserve">part of the record. </w:t>
      </w:r>
    </w:p>
    <w:p w14:paraId="457A13B1" w14:textId="3471798B" w:rsidR="00984574" w:rsidRDefault="00984574" w:rsidP="007F2388">
      <w:pPr>
        <w:pStyle w:val="BodyText"/>
      </w:pPr>
      <w:r>
        <w:t>[</w:t>
      </w:r>
      <w:r w:rsidR="004A0C03">
        <w:t>3</w:t>
      </w:r>
      <w:r w:rsidR="00101DDE">
        <w:t>1</w:t>
      </w:r>
      <w:r>
        <w:t>]</w:t>
      </w:r>
      <w:r>
        <w:tab/>
      </w:r>
      <w:r w:rsidR="00101DDE">
        <w:t>According to Ms Imalwa</w:t>
      </w:r>
      <w:r w:rsidR="00030D6E">
        <w:t>,</w:t>
      </w:r>
      <w:r w:rsidR="00101DDE">
        <w:t xml:space="preserve"> the </w:t>
      </w:r>
      <w:r>
        <w:t>benefit of N$54</w:t>
      </w:r>
      <w:r w:rsidR="00860B2A">
        <w:t> </w:t>
      </w:r>
      <w:r>
        <w:t>033</w:t>
      </w:r>
      <w:r w:rsidR="00860B2A">
        <w:t>.</w:t>
      </w:r>
      <w:r>
        <w:t xml:space="preserve">32 is the </w:t>
      </w:r>
      <w:r w:rsidR="00FE30FA">
        <w:t>sum</w:t>
      </w:r>
      <w:r>
        <w:t xml:space="preserve"> of the amounts benefitted by the applicant in the three criminal cases</w:t>
      </w:r>
      <w:r w:rsidR="00860B2A">
        <w:t>,</w:t>
      </w:r>
      <w:r>
        <w:t xml:space="preserve"> namely</w:t>
      </w:r>
      <w:r w:rsidR="00860B2A">
        <w:t>,</w:t>
      </w:r>
      <w:r>
        <w:t xml:space="preserve"> GOB-CRM-1982/2019</w:t>
      </w:r>
      <w:r w:rsidR="006838F0">
        <w:t>,</w:t>
      </w:r>
      <w:r>
        <w:t xml:space="preserve"> where the </w:t>
      </w:r>
      <w:r w:rsidR="00AD6853">
        <w:t>applicant benefitted N$13 250</w:t>
      </w:r>
      <w:r>
        <w:t xml:space="preserve"> cash, GOB-CRM-1983/2019 where the applicant benefitted </w:t>
      </w:r>
      <w:r w:rsidR="00AD6853">
        <w:t>N$39 500</w:t>
      </w:r>
      <w:r>
        <w:t xml:space="preserve"> and GOB-CRM-247/2019 where the applicant benefitted N$1283.32.</w:t>
      </w:r>
      <w:r w:rsidR="007F2388">
        <w:t xml:space="preserve"> Magistrate Kambinda</w:t>
      </w:r>
      <w:r w:rsidR="00860B2A">
        <w:t>,</w:t>
      </w:r>
      <w:r w:rsidR="007F2388">
        <w:t xml:space="preserve"> accordingly</w:t>
      </w:r>
      <w:r w:rsidR="00860B2A">
        <w:t>,</w:t>
      </w:r>
      <w:r w:rsidR="007F2388">
        <w:t xml:space="preserve"> made a confiscation order in the amount of N$54 033.32. The amount which could be realised in terms of s 32(6)(</w:t>
      </w:r>
      <w:r w:rsidR="007F2388" w:rsidRPr="005E1012">
        <w:rPr>
          <w:i/>
        </w:rPr>
        <w:t>a</w:t>
      </w:r>
      <w:r w:rsidR="007F2388">
        <w:t>)(</w:t>
      </w:r>
      <w:r w:rsidR="007F2388" w:rsidRPr="00860B2A">
        <w:t>ii</w:t>
      </w:r>
      <w:r w:rsidR="007F2388">
        <w:t xml:space="preserve">) of the POCA was </w:t>
      </w:r>
      <w:r w:rsidR="005E1012">
        <w:t>N$30</w:t>
      </w:r>
      <w:r w:rsidR="00860B2A">
        <w:t> </w:t>
      </w:r>
      <w:r w:rsidR="005E1012">
        <w:t>910</w:t>
      </w:r>
      <w:r w:rsidR="007F2388">
        <w:t xml:space="preserve"> in cash. </w:t>
      </w:r>
    </w:p>
    <w:p w14:paraId="691419E5" w14:textId="77777777" w:rsidR="007F2388" w:rsidRDefault="007F2388" w:rsidP="007F2388">
      <w:pPr>
        <w:pStyle w:val="BodyText"/>
      </w:pPr>
    </w:p>
    <w:p w14:paraId="4315CC32" w14:textId="743A6DA9" w:rsidR="00FF2E9D" w:rsidRDefault="00FF2E9D" w:rsidP="00EB542D">
      <w:pPr>
        <w:spacing w:line="360" w:lineRule="auto"/>
      </w:pPr>
      <w:r>
        <w:rPr>
          <w:u w:val="single"/>
        </w:rPr>
        <w:t>Discussion</w:t>
      </w:r>
    </w:p>
    <w:p w14:paraId="76FAF8B0" w14:textId="2D01F52C" w:rsidR="00F030B4" w:rsidRPr="008F4A7D" w:rsidRDefault="004B70FF" w:rsidP="00F030B4">
      <w:pPr>
        <w:spacing w:line="360" w:lineRule="auto"/>
        <w:rPr>
          <w:szCs w:val="24"/>
          <w:shd w:val="clear" w:color="auto" w:fill="FFFFFF"/>
        </w:rPr>
      </w:pPr>
      <w:r>
        <w:rPr>
          <w:szCs w:val="24"/>
          <w:shd w:val="clear" w:color="auto" w:fill="FFFFFF"/>
        </w:rPr>
        <w:t>[3</w:t>
      </w:r>
      <w:r w:rsidR="007F2388">
        <w:rPr>
          <w:szCs w:val="24"/>
          <w:shd w:val="clear" w:color="auto" w:fill="FFFFFF"/>
        </w:rPr>
        <w:t>2</w:t>
      </w:r>
      <w:r>
        <w:rPr>
          <w:szCs w:val="24"/>
          <w:shd w:val="clear" w:color="auto" w:fill="FFFFFF"/>
        </w:rPr>
        <w:t>]</w:t>
      </w:r>
      <w:r>
        <w:rPr>
          <w:szCs w:val="24"/>
          <w:shd w:val="clear" w:color="auto" w:fill="FFFFFF"/>
        </w:rPr>
        <w:tab/>
      </w:r>
      <w:r w:rsidR="00F030B4">
        <w:rPr>
          <w:szCs w:val="24"/>
          <w:shd w:val="clear" w:color="auto" w:fill="FFFFFF"/>
        </w:rPr>
        <w:t>The review brought by the applicant relates to statutory prescribed proceedings. It relates to a</w:t>
      </w:r>
      <w:r w:rsidR="00B22EF9">
        <w:rPr>
          <w:szCs w:val="24"/>
          <w:shd w:val="clear" w:color="auto" w:fill="FFFFFF"/>
        </w:rPr>
        <w:t xml:space="preserve"> confiscation</w:t>
      </w:r>
      <w:r w:rsidR="00F030B4">
        <w:rPr>
          <w:szCs w:val="24"/>
          <w:shd w:val="clear" w:color="auto" w:fill="FFFFFF"/>
        </w:rPr>
        <w:t xml:space="preserve"> </w:t>
      </w:r>
      <w:r w:rsidR="007F2388">
        <w:rPr>
          <w:szCs w:val="24"/>
          <w:shd w:val="clear" w:color="auto" w:fill="FFFFFF"/>
        </w:rPr>
        <w:t>e</w:t>
      </w:r>
      <w:r w:rsidR="00F030B4">
        <w:rPr>
          <w:szCs w:val="24"/>
          <w:shd w:val="clear" w:color="auto" w:fill="FFFFFF"/>
        </w:rPr>
        <w:t xml:space="preserve">nquiry authorised by </w:t>
      </w:r>
      <w:r w:rsidR="007F2388">
        <w:rPr>
          <w:szCs w:val="24"/>
          <w:shd w:val="clear" w:color="auto" w:fill="FFFFFF"/>
        </w:rPr>
        <w:t>Chapter</w:t>
      </w:r>
      <w:r w:rsidR="00F030B4">
        <w:rPr>
          <w:szCs w:val="24"/>
          <w:shd w:val="clear" w:color="auto" w:fill="FFFFFF"/>
        </w:rPr>
        <w:t xml:space="preserve"> 5, Part 3, </w:t>
      </w:r>
      <w:r w:rsidR="007F2388">
        <w:rPr>
          <w:szCs w:val="24"/>
          <w:shd w:val="clear" w:color="auto" w:fill="FFFFFF"/>
        </w:rPr>
        <w:t>s</w:t>
      </w:r>
      <w:r w:rsidR="00F030B4">
        <w:rPr>
          <w:szCs w:val="24"/>
          <w:shd w:val="clear" w:color="auto" w:fill="FFFFFF"/>
        </w:rPr>
        <w:t xml:space="preserve"> 32 of POCA. The </w:t>
      </w:r>
      <w:r w:rsidR="00F030B4">
        <w:rPr>
          <w:szCs w:val="24"/>
          <w:shd w:val="clear" w:color="auto" w:fill="FFFFFF"/>
        </w:rPr>
        <w:lastRenderedPageBreak/>
        <w:t xml:space="preserve">nature of this </w:t>
      </w:r>
      <w:r w:rsidR="007F2388">
        <w:rPr>
          <w:szCs w:val="24"/>
          <w:shd w:val="clear" w:color="auto" w:fill="FFFFFF"/>
        </w:rPr>
        <w:t>enquiry</w:t>
      </w:r>
      <w:r w:rsidR="00F030B4">
        <w:rPr>
          <w:szCs w:val="24"/>
          <w:shd w:val="clear" w:color="auto" w:fill="FFFFFF"/>
        </w:rPr>
        <w:t xml:space="preserve"> is therefore one that finds both its </w:t>
      </w:r>
      <w:r w:rsidR="007F2388">
        <w:rPr>
          <w:szCs w:val="24"/>
          <w:shd w:val="clear" w:color="auto" w:fill="FFFFFF"/>
        </w:rPr>
        <w:t>procedural</w:t>
      </w:r>
      <w:r w:rsidR="00F030B4">
        <w:rPr>
          <w:szCs w:val="24"/>
          <w:shd w:val="clear" w:color="auto" w:fill="FFFFFF"/>
        </w:rPr>
        <w:t xml:space="preserve"> and substance in a statute, being POCA. The nature or type of this </w:t>
      </w:r>
      <w:r w:rsidR="005E1012" w:rsidRPr="008F4A7D">
        <w:rPr>
          <w:szCs w:val="24"/>
          <w:shd w:val="clear" w:color="auto" w:fill="FFFFFF"/>
        </w:rPr>
        <w:t xml:space="preserve">enquiry </w:t>
      </w:r>
      <w:r w:rsidR="00F030B4" w:rsidRPr="008F4A7D">
        <w:rPr>
          <w:szCs w:val="24"/>
          <w:shd w:val="clear" w:color="auto" w:fill="FFFFFF"/>
        </w:rPr>
        <w:t xml:space="preserve">has been classified by s 18(1) of POCA </w:t>
      </w:r>
      <w:r w:rsidR="006C6DCA" w:rsidRPr="008F4A7D">
        <w:rPr>
          <w:szCs w:val="24"/>
          <w:shd w:val="clear" w:color="auto" w:fill="FFFFFF"/>
        </w:rPr>
        <w:t>as</w:t>
      </w:r>
      <w:r w:rsidR="007F2388" w:rsidRPr="008F4A7D">
        <w:rPr>
          <w:szCs w:val="24"/>
          <w:shd w:val="clear" w:color="auto" w:fill="FFFFFF"/>
        </w:rPr>
        <w:t>:</w:t>
      </w:r>
    </w:p>
    <w:p w14:paraId="152381F5" w14:textId="56FE619E" w:rsidR="00F030B4" w:rsidRPr="008F4A7D" w:rsidRDefault="007F2388" w:rsidP="007F2388">
      <w:pPr>
        <w:spacing w:after="0" w:line="360" w:lineRule="auto"/>
        <w:ind w:left="0" w:firstLine="720"/>
        <w:rPr>
          <w:iCs/>
          <w:sz w:val="22"/>
        </w:rPr>
      </w:pPr>
      <w:r w:rsidRPr="008F4A7D">
        <w:rPr>
          <w:iCs/>
          <w:sz w:val="22"/>
        </w:rPr>
        <w:t>‘</w:t>
      </w:r>
      <w:r w:rsidR="00F030B4" w:rsidRPr="008F4A7D">
        <w:rPr>
          <w:iCs/>
          <w:sz w:val="22"/>
        </w:rPr>
        <w:t xml:space="preserve">18(1) For the purposes of this Chapter, proceedings on application for a </w:t>
      </w:r>
      <w:r w:rsidR="00F030B4" w:rsidRPr="008F4A7D">
        <w:rPr>
          <w:iCs/>
          <w:sz w:val="22"/>
          <w:u w:val="single"/>
        </w:rPr>
        <w:t>confiscation order</w:t>
      </w:r>
      <w:r w:rsidR="00F030B4" w:rsidRPr="008F4A7D">
        <w:rPr>
          <w:iCs/>
          <w:sz w:val="22"/>
        </w:rPr>
        <w:t xml:space="preserve">, a restraint order or an anti-disposal order are </w:t>
      </w:r>
      <w:r w:rsidR="00F030B4" w:rsidRPr="00FE0ED5">
        <w:rPr>
          <w:iCs/>
          <w:sz w:val="22"/>
          <w:u w:val="single"/>
        </w:rPr>
        <w:t>civil proceedings and are not criminal proceedings</w:t>
      </w:r>
      <w:r w:rsidR="00F030B4" w:rsidRPr="008F4A7D">
        <w:rPr>
          <w:iCs/>
          <w:sz w:val="22"/>
        </w:rPr>
        <w:t>.</w:t>
      </w:r>
      <w:r w:rsidRPr="008F4A7D">
        <w:rPr>
          <w:iCs/>
          <w:sz w:val="22"/>
        </w:rPr>
        <w:t>’</w:t>
      </w:r>
      <w:r w:rsidR="00FE0ED5">
        <w:rPr>
          <w:iCs/>
          <w:sz w:val="22"/>
        </w:rPr>
        <w:t xml:space="preserve"> (my emphasis)</w:t>
      </w:r>
    </w:p>
    <w:p w14:paraId="508C0C24" w14:textId="77777777" w:rsidR="007F2388" w:rsidRPr="008F4A7D" w:rsidRDefault="007F2388" w:rsidP="007F2388">
      <w:pPr>
        <w:spacing w:after="0" w:line="360" w:lineRule="auto"/>
        <w:ind w:left="0" w:firstLine="720"/>
        <w:rPr>
          <w:iCs/>
          <w:sz w:val="22"/>
          <w:shd w:val="clear" w:color="auto" w:fill="FFFFFF"/>
        </w:rPr>
      </w:pPr>
    </w:p>
    <w:p w14:paraId="0E3D5DF6" w14:textId="3F275647" w:rsidR="00F030B4" w:rsidRDefault="004B70FF" w:rsidP="00F030B4">
      <w:pPr>
        <w:spacing w:line="360" w:lineRule="auto"/>
        <w:rPr>
          <w:szCs w:val="24"/>
          <w:shd w:val="clear" w:color="auto" w:fill="FFFFFF"/>
        </w:rPr>
      </w:pPr>
      <w:r w:rsidRPr="008F4A7D">
        <w:rPr>
          <w:szCs w:val="24"/>
          <w:shd w:val="clear" w:color="auto" w:fill="FFFFFF"/>
        </w:rPr>
        <w:t>[3</w:t>
      </w:r>
      <w:r w:rsidR="007F2388" w:rsidRPr="008F4A7D">
        <w:rPr>
          <w:szCs w:val="24"/>
          <w:shd w:val="clear" w:color="auto" w:fill="FFFFFF"/>
        </w:rPr>
        <w:t>3</w:t>
      </w:r>
      <w:r w:rsidRPr="008F4A7D">
        <w:rPr>
          <w:szCs w:val="24"/>
          <w:shd w:val="clear" w:color="auto" w:fill="FFFFFF"/>
        </w:rPr>
        <w:t>]</w:t>
      </w:r>
      <w:r w:rsidRPr="008F4A7D">
        <w:rPr>
          <w:szCs w:val="24"/>
          <w:shd w:val="clear" w:color="auto" w:fill="FFFFFF"/>
        </w:rPr>
        <w:tab/>
      </w:r>
      <w:r w:rsidR="00B22EF9" w:rsidRPr="008F4A7D">
        <w:rPr>
          <w:szCs w:val="24"/>
          <w:shd w:val="clear" w:color="auto" w:fill="FFFFFF"/>
        </w:rPr>
        <w:t xml:space="preserve">In the Constitutional Court of </w:t>
      </w:r>
      <w:r w:rsidR="005E1012" w:rsidRPr="008F4A7D">
        <w:rPr>
          <w:szCs w:val="24"/>
          <w:shd w:val="clear" w:color="auto" w:fill="FFFFFF"/>
        </w:rPr>
        <w:t xml:space="preserve">the </w:t>
      </w:r>
      <w:r w:rsidR="00B22EF9" w:rsidRPr="008F4A7D">
        <w:rPr>
          <w:szCs w:val="24"/>
          <w:shd w:val="clear" w:color="auto" w:fill="FFFFFF"/>
        </w:rPr>
        <w:t>South Africa</w:t>
      </w:r>
      <w:r w:rsidR="005E1012" w:rsidRPr="008F4A7D">
        <w:rPr>
          <w:szCs w:val="24"/>
          <w:shd w:val="clear" w:color="auto" w:fill="FFFFFF"/>
        </w:rPr>
        <w:t>n</w:t>
      </w:r>
      <w:r w:rsidR="00B22EF9" w:rsidRPr="008F4A7D">
        <w:rPr>
          <w:szCs w:val="24"/>
          <w:shd w:val="clear" w:color="auto" w:fill="FFFFFF"/>
        </w:rPr>
        <w:t xml:space="preserve"> </w:t>
      </w:r>
      <w:r w:rsidR="00860B2A">
        <w:rPr>
          <w:szCs w:val="24"/>
          <w:shd w:val="clear" w:color="auto" w:fill="FFFFFF"/>
        </w:rPr>
        <w:t>j</w:t>
      </w:r>
      <w:r w:rsidR="00B22EF9" w:rsidRPr="008F4A7D">
        <w:rPr>
          <w:szCs w:val="24"/>
          <w:shd w:val="clear" w:color="auto" w:fill="FFFFFF"/>
        </w:rPr>
        <w:t>udgment</w:t>
      </w:r>
      <w:r w:rsidR="00B22EF9">
        <w:rPr>
          <w:szCs w:val="24"/>
          <w:shd w:val="clear" w:color="auto" w:fill="FFFFFF"/>
        </w:rPr>
        <w:t xml:space="preserve"> of </w:t>
      </w:r>
      <w:r w:rsidR="00B22EF9" w:rsidRPr="004B70FF">
        <w:rPr>
          <w:i/>
          <w:iCs/>
          <w:szCs w:val="24"/>
          <w:shd w:val="clear" w:color="auto" w:fill="FFFFFF"/>
        </w:rPr>
        <w:t>S v Shaik</w:t>
      </w:r>
      <w:r w:rsidR="006838F0">
        <w:rPr>
          <w:i/>
          <w:iCs/>
          <w:szCs w:val="24"/>
          <w:shd w:val="clear" w:color="auto" w:fill="FFFFFF"/>
        </w:rPr>
        <w:t>,</w:t>
      </w:r>
      <w:r w:rsidR="007F2388">
        <w:rPr>
          <w:rStyle w:val="FootnoteReference"/>
          <w:i/>
          <w:iCs/>
          <w:szCs w:val="24"/>
          <w:shd w:val="clear" w:color="auto" w:fill="FFFFFF"/>
        </w:rPr>
        <w:footnoteReference w:id="1"/>
      </w:r>
      <w:r w:rsidR="00B22EF9" w:rsidRPr="004B70FF">
        <w:rPr>
          <w:i/>
          <w:iCs/>
          <w:szCs w:val="24"/>
          <w:shd w:val="clear" w:color="auto" w:fill="FFFFFF"/>
        </w:rPr>
        <w:t xml:space="preserve"> </w:t>
      </w:r>
      <w:r w:rsidR="00B22EF9">
        <w:rPr>
          <w:szCs w:val="24"/>
          <w:shd w:val="clear" w:color="auto" w:fill="FFFFFF"/>
        </w:rPr>
        <w:t>the nature of confiscation proceedings has been described as</w:t>
      </w:r>
      <w:r w:rsidR="00DF681B">
        <w:rPr>
          <w:szCs w:val="24"/>
          <w:shd w:val="clear" w:color="auto" w:fill="FFFFFF"/>
        </w:rPr>
        <w:t xml:space="preserve"> follows:</w:t>
      </w:r>
    </w:p>
    <w:p w14:paraId="1B7C2540" w14:textId="395CCA5F" w:rsidR="00B22EF9" w:rsidRDefault="007F2388" w:rsidP="000B73F0">
      <w:pPr>
        <w:pStyle w:val="BodyTextIndent2"/>
        <w:spacing w:after="0"/>
        <w:ind w:left="0" w:firstLine="720"/>
      </w:pPr>
      <w:r>
        <w:t>‘</w:t>
      </w:r>
      <w:r w:rsidR="00B22EF9" w:rsidRPr="00B22EF9">
        <w:t>[22]</w:t>
      </w:r>
      <w:r w:rsidR="00B22EF9" w:rsidRPr="00B22EF9">
        <w:tab/>
        <w:t xml:space="preserve">It will be useful at this stage </w:t>
      </w:r>
      <w:r w:rsidR="006838F0">
        <w:t>to briefly</w:t>
      </w:r>
      <w:r w:rsidR="00B22EF9" w:rsidRPr="00B22EF9">
        <w:t xml:space="preserve"> describe the scheme of criminal confisc</w:t>
      </w:r>
      <w:r w:rsidR="005E1012">
        <w:t xml:space="preserve">ation contemplated by the Act. </w:t>
      </w:r>
      <w:r w:rsidR="00B22EF9" w:rsidRPr="00B22EF9">
        <w:t>Chapter 5 of the Act confers a power on a criminal court to make a confiscation order against a person who has been convicted of a crime where the court has found that the person has benefited from the crime.</w:t>
      </w:r>
    </w:p>
    <w:p w14:paraId="119B883C" w14:textId="77777777" w:rsidR="000B73F0" w:rsidRPr="00B22EF9" w:rsidRDefault="000B73F0" w:rsidP="000B73F0">
      <w:pPr>
        <w:pStyle w:val="BodyTextIndent2"/>
        <w:spacing w:after="0"/>
        <w:ind w:left="0" w:firstLine="720"/>
      </w:pPr>
    </w:p>
    <w:p w14:paraId="1ADEDF86" w14:textId="16D5AF94" w:rsidR="00B22EF9" w:rsidRDefault="00B22EF9" w:rsidP="000B73F0">
      <w:pPr>
        <w:pStyle w:val="BodyText2"/>
      </w:pPr>
      <w:r w:rsidRPr="00B22EF9">
        <w:t>[23]</w:t>
      </w:r>
      <w:r w:rsidRPr="00B22EF9">
        <w:tab/>
        <w:t>Once a person has been convicted, the prosecutor may apply for a confiscation order. In order for a confiscation order to be made, the court must find that the person convicted of the offence has derived a benefit from the offence of which he or she has been convicted or of any “criminal activity which the court finds to be sufficien</w:t>
      </w:r>
      <w:r w:rsidR="005E1012">
        <w:t xml:space="preserve">tly related” to that offence. </w:t>
      </w:r>
      <w:r w:rsidRPr="00B22EF9">
        <w:t xml:space="preserve">The court may then make an order that the person pay to the state “any amount it considers appropriate”. </w:t>
      </w:r>
    </w:p>
    <w:p w14:paraId="62FFFD0B" w14:textId="77777777" w:rsidR="000B73F0" w:rsidRPr="00B22EF9" w:rsidRDefault="000B73F0" w:rsidP="000B73F0">
      <w:pPr>
        <w:pStyle w:val="BodyText2"/>
      </w:pPr>
    </w:p>
    <w:p w14:paraId="31AE34A1" w14:textId="5CE4DD7B" w:rsidR="00B22EF9" w:rsidRDefault="00B22EF9" w:rsidP="000B73F0">
      <w:pPr>
        <w:pStyle w:val="BodyText2"/>
      </w:pPr>
      <w:r w:rsidRPr="00B22EF9">
        <w:t>[24]</w:t>
      </w:r>
      <w:r w:rsidRPr="00B22EF9">
        <w:tab/>
        <w:t>A confiscation order is a civil judgment for payment to the state of an amount of money determined by the court and is made by the court in a</w:t>
      </w:r>
      <w:r w:rsidR="005E1012">
        <w:t>ddition to a criminal sentence.</w:t>
      </w:r>
      <w:r w:rsidRPr="00B22EF9">
        <w:t xml:space="preserve"> Before going further, it is important to emphasise that the order that a court may make in terms of chapter 5 is not for the confiscation of a specific object, but an order for the payment of an amount of money to the state, even though it is ordinarily referred to as a “confiscation order” and shall be throughout this judgment.  The mechanism of a civil judgment sounding in money may well have been selected by the legislature to avoid the difficulty of tracing particular assets which may have been the proceeds of crime and so to facilitate the recovery of the value of the proceeds.</w:t>
      </w:r>
      <w:r w:rsidR="007F2388">
        <w:t>’</w:t>
      </w:r>
    </w:p>
    <w:p w14:paraId="1533B63C" w14:textId="77777777" w:rsidR="000B73F0" w:rsidRPr="00B22EF9" w:rsidRDefault="000B73F0" w:rsidP="000B73F0">
      <w:pPr>
        <w:spacing w:after="0" w:line="360" w:lineRule="auto"/>
        <w:ind w:left="0" w:firstLine="720"/>
        <w:rPr>
          <w:sz w:val="22"/>
          <w:shd w:val="clear" w:color="auto" w:fill="FFFFFF"/>
        </w:rPr>
      </w:pPr>
    </w:p>
    <w:p w14:paraId="15D91075" w14:textId="66DA12E4" w:rsidR="00DF681B" w:rsidRDefault="004B70FF" w:rsidP="00630536">
      <w:pPr>
        <w:spacing w:after="0" w:line="360" w:lineRule="auto"/>
        <w:rPr>
          <w:szCs w:val="24"/>
          <w:shd w:val="clear" w:color="auto" w:fill="FFFFFF"/>
        </w:rPr>
      </w:pPr>
      <w:r>
        <w:rPr>
          <w:szCs w:val="24"/>
          <w:shd w:val="clear" w:color="auto" w:fill="FFFFFF"/>
        </w:rPr>
        <w:t>[3</w:t>
      </w:r>
      <w:r w:rsidR="00DF681B">
        <w:rPr>
          <w:szCs w:val="24"/>
          <w:shd w:val="clear" w:color="auto" w:fill="FFFFFF"/>
        </w:rPr>
        <w:t>4</w:t>
      </w:r>
      <w:r>
        <w:rPr>
          <w:szCs w:val="24"/>
          <w:shd w:val="clear" w:color="auto" w:fill="FFFFFF"/>
        </w:rPr>
        <w:t>]</w:t>
      </w:r>
      <w:r>
        <w:rPr>
          <w:szCs w:val="24"/>
          <w:shd w:val="clear" w:color="auto" w:fill="FFFFFF"/>
        </w:rPr>
        <w:tab/>
      </w:r>
      <w:r w:rsidR="00F030B4">
        <w:rPr>
          <w:szCs w:val="24"/>
          <w:shd w:val="clear" w:color="auto" w:fill="FFFFFF"/>
        </w:rPr>
        <w:t xml:space="preserve">Therefore, </w:t>
      </w:r>
      <w:r w:rsidR="006C6DCA">
        <w:rPr>
          <w:szCs w:val="24"/>
          <w:shd w:val="clear" w:color="auto" w:fill="FFFFFF"/>
        </w:rPr>
        <w:t xml:space="preserve">confiscation </w:t>
      </w:r>
      <w:r w:rsidR="00DF681B">
        <w:rPr>
          <w:szCs w:val="24"/>
          <w:shd w:val="clear" w:color="auto" w:fill="FFFFFF"/>
        </w:rPr>
        <w:t>e</w:t>
      </w:r>
      <w:r w:rsidR="006C6DCA">
        <w:rPr>
          <w:szCs w:val="24"/>
          <w:shd w:val="clear" w:color="auto" w:fill="FFFFFF"/>
        </w:rPr>
        <w:t>nquiries are</w:t>
      </w:r>
      <w:r w:rsidR="00F030B4">
        <w:rPr>
          <w:szCs w:val="24"/>
          <w:shd w:val="clear" w:color="auto" w:fill="FFFFFF"/>
        </w:rPr>
        <w:t xml:space="preserve"> civil proceedings </w:t>
      </w:r>
      <w:r w:rsidR="006C6DCA">
        <w:rPr>
          <w:szCs w:val="24"/>
          <w:shd w:val="clear" w:color="auto" w:fill="FFFFFF"/>
        </w:rPr>
        <w:t xml:space="preserve">and </w:t>
      </w:r>
      <w:r w:rsidR="00F030B4">
        <w:rPr>
          <w:szCs w:val="24"/>
          <w:shd w:val="clear" w:color="auto" w:fill="FFFFFF"/>
        </w:rPr>
        <w:t xml:space="preserve">not </w:t>
      </w:r>
      <w:r w:rsidR="00B22EF9">
        <w:rPr>
          <w:szCs w:val="24"/>
          <w:shd w:val="clear" w:color="auto" w:fill="FFFFFF"/>
        </w:rPr>
        <w:t>c</w:t>
      </w:r>
      <w:r w:rsidR="00F030B4">
        <w:rPr>
          <w:szCs w:val="24"/>
          <w:shd w:val="clear" w:color="auto" w:fill="FFFFFF"/>
        </w:rPr>
        <w:t xml:space="preserve">riminal </w:t>
      </w:r>
      <w:r w:rsidR="00B22EF9">
        <w:rPr>
          <w:szCs w:val="24"/>
          <w:shd w:val="clear" w:color="auto" w:fill="FFFFFF"/>
        </w:rPr>
        <w:t>p</w:t>
      </w:r>
      <w:r w:rsidR="005E1012">
        <w:rPr>
          <w:szCs w:val="24"/>
          <w:shd w:val="clear" w:color="auto" w:fill="FFFFFF"/>
        </w:rPr>
        <w:t xml:space="preserve">roceedings. </w:t>
      </w:r>
      <w:r w:rsidR="00957BB1">
        <w:rPr>
          <w:szCs w:val="24"/>
          <w:shd w:val="clear" w:color="auto" w:fill="FFFFFF"/>
        </w:rPr>
        <w:t>Although th</w:t>
      </w:r>
      <w:r w:rsidR="00630536">
        <w:rPr>
          <w:szCs w:val="24"/>
          <w:shd w:val="clear" w:color="auto" w:fill="FFFFFF"/>
        </w:rPr>
        <w:t>e</w:t>
      </w:r>
      <w:r w:rsidR="00957BB1">
        <w:rPr>
          <w:szCs w:val="24"/>
          <w:shd w:val="clear" w:color="auto" w:fill="FFFFFF"/>
        </w:rPr>
        <w:t>s</w:t>
      </w:r>
      <w:r w:rsidR="00630536">
        <w:rPr>
          <w:szCs w:val="24"/>
          <w:shd w:val="clear" w:color="auto" w:fill="FFFFFF"/>
        </w:rPr>
        <w:t>e</w:t>
      </w:r>
      <w:r w:rsidR="00957BB1">
        <w:rPr>
          <w:szCs w:val="24"/>
          <w:shd w:val="clear" w:color="auto" w:fill="FFFFFF"/>
        </w:rPr>
        <w:t xml:space="preserve"> proceedings </w:t>
      </w:r>
      <w:r w:rsidR="00B22EF9">
        <w:rPr>
          <w:szCs w:val="24"/>
          <w:shd w:val="clear" w:color="auto" w:fill="FFFFFF"/>
        </w:rPr>
        <w:t>take</w:t>
      </w:r>
      <w:r w:rsidR="00957BB1">
        <w:rPr>
          <w:szCs w:val="24"/>
          <w:shd w:val="clear" w:color="auto" w:fill="FFFFFF"/>
        </w:rPr>
        <w:t xml:space="preserve"> place</w:t>
      </w:r>
      <w:r w:rsidR="00F030B4">
        <w:rPr>
          <w:szCs w:val="24"/>
          <w:shd w:val="clear" w:color="auto" w:fill="FFFFFF"/>
        </w:rPr>
        <w:t xml:space="preserve"> within an ongoing criminal trial </w:t>
      </w:r>
      <w:r w:rsidR="00F030B4">
        <w:rPr>
          <w:szCs w:val="24"/>
          <w:shd w:val="clear" w:color="auto" w:fill="FFFFFF"/>
        </w:rPr>
        <w:lastRenderedPageBreak/>
        <w:t>(after conviction</w:t>
      </w:r>
      <w:r w:rsidR="00957BB1">
        <w:rPr>
          <w:szCs w:val="24"/>
          <w:shd w:val="clear" w:color="auto" w:fill="FFFFFF"/>
        </w:rPr>
        <w:t>, before</w:t>
      </w:r>
      <w:r w:rsidR="00F030B4">
        <w:rPr>
          <w:szCs w:val="24"/>
          <w:shd w:val="clear" w:color="auto" w:fill="FFFFFF"/>
        </w:rPr>
        <w:t xml:space="preserve"> sentencing or after sentencing if the court </w:t>
      </w:r>
      <w:r w:rsidR="00DF681B">
        <w:rPr>
          <w:szCs w:val="24"/>
          <w:shd w:val="clear" w:color="auto" w:fill="FFFFFF"/>
        </w:rPr>
        <w:t>deems</w:t>
      </w:r>
      <w:r w:rsidR="00F030B4">
        <w:rPr>
          <w:szCs w:val="24"/>
          <w:shd w:val="clear" w:color="auto" w:fill="FFFFFF"/>
        </w:rPr>
        <w:t xml:space="preserve"> it fit), </w:t>
      </w:r>
      <w:r w:rsidR="00DF681B">
        <w:rPr>
          <w:szCs w:val="24"/>
          <w:shd w:val="clear" w:color="auto" w:fill="FFFFFF"/>
        </w:rPr>
        <w:t xml:space="preserve">the </w:t>
      </w:r>
      <w:r w:rsidR="00B22EF9">
        <w:rPr>
          <w:szCs w:val="24"/>
          <w:shd w:val="clear" w:color="auto" w:fill="FFFFFF"/>
        </w:rPr>
        <w:t xml:space="preserve">confiscation </w:t>
      </w:r>
      <w:r w:rsidR="00DF681B">
        <w:rPr>
          <w:szCs w:val="24"/>
          <w:shd w:val="clear" w:color="auto" w:fill="FFFFFF"/>
        </w:rPr>
        <w:t>e</w:t>
      </w:r>
      <w:r w:rsidR="00F030B4">
        <w:rPr>
          <w:szCs w:val="24"/>
          <w:shd w:val="clear" w:color="auto" w:fill="FFFFFF"/>
        </w:rPr>
        <w:t>nquiry i</w:t>
      </w:r>
      <w:r w:rsidR="00957BB1">
        <w:rPr>
          <w:szCs w:val="24"/>
          <w:shd w:val="clear" w:color="auto" w:fill="FFFFFF"/>
        </w:rPr>
        <w:t>tself is classified</w:t>
      </w:r>
      <w:r w:rsidR="00F030B4">
        <w:rPr>
          <w:szCs w:val="24"/>
          <w:shd w:val="clear" w:color="auto" w:fill="FFFFFF"/>
        </w:rPr>
        <w:t xml:space="preserve"> </w:t>
      </w:r>
      <w:r w:rsidR="00957BB1">
        <w:rPr>
          <w:szCs w:val="24"/>
          <w:shd w:val="clear" w:color="auto" w:fill="FFFFFF"/>
        </w:rPr>
        <w:t>as</w:t>
      </w:r>
      <w:r w:rsidR="00F030B4">
        <w:rPr>
          <w:szCs w:val="24"/>
          <w:shd w:val="clear" w:color="auto" w:fill="FFFFFF"/>
        </w:rPr>
        <w:t xml:space="preserve"> civil </w:t>
      </w:r>
      <w:r w:rsidR="00B22EF9">
        <w:rPr>
          <w:szCs w:val="24"/>
          <w:shd w:val="clear" w:color="auto" w:fill="FFFFFF"/>
        </w:rPr>
        <w:t>in nature</w:t>
      </w:r>
      <w:r w:rsidR="00F030B4">
        <w:rPr>
          <w:szCs w:val="24"/>
          <w:shd w:val="clear" w:color="auto" w:fill="FFFFFF"/>
        </w:rPr>
        <w:t xml:space="preserve">. </w:t>
      </w:r>
    </w:p>
    <w:p w14:paraId="4CB710A1" w14:textId="77777777" w:rsidR="00DF681B" w:rsidRDefault="00DF681B" w:rsidP="00630536">
      <w:pPr>
        <w:spacing w:after="0" w:line="360" w:lineRule="auto"/>
        <w:rPr>
          <w:szCs w:val="24"/>
          <w:shd w:val="clear" w:color="auto" w:fill="FFFFFF"/>
        </w:rPr>
      </w:pPr>
    </w:p>
    <w:p w14:paraId="76839907" w14:textId="530A5370" w:rsidR="00AB5499" w:rsidRDefault="00DF681B" w:rsidP="00630536">
      <w:pPr>
        <w:spacing w:after="0" w:line="360" w:lineRule="auto"/>
        <w:rPr>
          <w:szCs w:val="24"/>
        </w:rPr>
      </w:pPr>
      <w:r>
        <w:rPr>
          <w:szCs w:val="24"/>
          <w:shd w:val="clear" w:color="auto" w:fill="FFFFFF"/>
        </w:rPr>
        <w:t>[35]</w:t>
      </w:r>
      <w:r>
        <w:rPr>
          <w:szCs w:val="24"/>
          <w:shd w:val="clear" w:color="auto" w:fill="FFFFFF"/>
        </w:rPr>
        <w:tab/>
      </w:r>
      <w:r w:rsidR="00B22EF9">
        <w:rPr>
          <w:szCs w:val="24"/>
          <w:shd w:val="clear" w:color="auto" w:fill="FFFFFF"/>
        </w:rPr>
        <w:t>Therefore,</w:t>
      </w:r>
      <w:r w:rsidR="00630536">
        <w:rPr>
          <w:szCs w:val="24"/>
          <w:shd w:val="clear" w:color="auto" w:fill="FFFFFF"/>
        </w:rPr>
        <w:t xml:space="preserve"> a party approaching the High Court with a review </w:t>
      </w:r>
      <w:r w:rsidR="00AB5499">
        <w:rPr>
          <w:szCs w:val="24"/>
          <w:shd w:val="clear" w:color="auto" w:fill="FFFFFF"/>
        </w:rPr>
        <w:t>as a result of an enquiry in terms of</w:t>
      </w:r>
      <w:r w:rsidR="00630536">
        <w:rPr>
          <w:szCs w:val="24"/>
          <w:shd w:val="clear" w:color="auto" w:fill="FFFFFF"/>
        </w:rPr>
        <w:t xml:space="preserve"> s 32 of POCA must satisfy the requirements of s 20 of the High Court Act </w:t>
      </w:r>
      <w:r w:rsidR="00630536">
        <w:rPr>
          <w:szCs w:val="24"/>
        </w:rPr>
        <w:t xml:space="preserve">16 of 1990 and rule 76 of the Rules of the High Court. </w:t>
      </w:r>
      <w:r w:rsidR="00AB5499">
        <w:rPr>
          <w:szCs w:val="24"/>
        </w:rPr>
        <w:t>Section 20 reads as follows:</w:t>
      </w:r>
    </w:p>
    <w:p w14:paraId="1EBD851A" w14:textId="77777777" w:rsidR="005E1012" w:rsidRDefault="005E1012" w:rsidP="00630536">
      <w:pPr>
        <w:spacing w:after="0" w:line="360" w:lineRule="auto"/>
        <w:rPr>
          <w:szCs w:val="24"/>
        </w:rPr>
      </w:pPr>
    </w:p>
    <w:p w14:paraId="62CF89CF" w14:textId="0F48D5A4" w:rsidR="00AB5499" w:rsidRDefault="00AB5499" w:rsidP="00AB5499">
      <w:pPr>
        <w:pStyle w:val="BodyTextIndent3"/>
        <w:ind w:firstLine="710"/>
      </w:pPr>
      <w:r>
        <w:t>‘</w:t>
      </w:r>
      <w:r w:rsidRPr="00AB5499">
        <w:t>20 Grounds of review of proceedings of lower court</w:t>
      </w:r>
    </w:p>
    <w:p w14:paraId="1B26B299" w14:textId="77777777" w:rsidR="00117433" w:rsidRDefault="00117433" w:rsidP="00AB5499">
      <w:pPr>
        <w:pStyle w:val="BodyTextIndent3"/>
        <w:ind w:firstLine="710"/>
      </w:pPr>
    </w:p>
    <w:p w14:paraId="010D66DC" w14:textId="0FDD6E70" w:rsidR="00AB5499" w:rsidRDefault="00AB5499" w:rsidP="00AB5499">
      <w:pPr>
        <w:pStyle w:val="BodyTextIndent3"/>
        <w:ind w:left="0" w:firstLine="0"/>
      </w:pPr>
      <w:r w:rsidRPr="00AB5499">
        <w:t>(1)</w:t>
      </w:r>
      <w:r w:rsidR="005E1012">
        <w:tab/>
      </w:r>
      <w:r w:rsidRPr="00AB5499">
        <w:t xml:space="preserve">The grounds upon which the proceedings of any lower court may be brought under review before the High Court are- </w:t>
      </w:r>
    </w:p>
    <w:p w14:paraId="15807D5E" w14:textId="74B1CD97" w:rsidR="00AB5499" w:rsidRDefault="00117433" w:rsidP="00AB5499">
      <w:pPr>
        <w:pStyle w:val="BodyTextIndent3"/>
        <w:ind w:left="0" w:firstLine="0"/>
      </w:pPr>
      <w:r>
        <w:t>(a)</w:t>
      </w:r>
      <w:r w:rsidR="005E1012">
        <w:tab/>
      </w:r>
      <w:r w:rsidR="00AB5499" w:rsidRPr="00AB5499">
        <w:t xml:space="preserve">absence of jurisdiction on the part of the court; </w:t>
      </w:r>
    </w:p>
    <w:p w14:paraId="6F14B377" w14:textId="13DD1109" w:rsidR="00AB5499" w:rsidRDefault="00117433" w:rsidP="00AB5499">
      <w:pPr>
        <w:pStyle w:val="BodyTextIndent3"/>
        <w:ind w:left="0" w:firstLine="0"/>
      </w:pPr>
      <w:r>
        <w:t>(b)</w:t>
      </w:r>
      <w:r w:rsidR="005E1012">
        <w:tab/>
      </w:r>
      <w:r w:rsidR="00AB5499" w:rsidRPr="00AB5499">
        <w:t>interest in the cause, bias, malice or corruption on the part of the presiding judicial officer; (c) gross irregularity in the proceedings;</w:t>
      </w:r>
    </w:p>
    <w:p w14:paraId="3D6407D6" w14:textId="02E03DEA" w:rsidR="00AB5499" w:rsidRDefault="00117433" w:rsidP="00AB5499">
      <w:pPr>
        <w:pStyle w:val="BodyTextIndent3"/>
        <w:ind w:left="0" w:firstLine="0"/>
      </w:pPr>
      <w:r>
        <w:t>(d)</w:t>
      </w:r>
      <w:r w:rsidR="005E1012">
        <w:tab/>
      </w:r>
      <w:r w:rsidR="00AB5499" w:rsidRPr="00AB5499">
        <w:t xml:space="preserve">the admission of inadmissible or incompetent evidence or the rejection of admissible or competent evidence. </w:t>
      </w:r>
    </w:p>
    <w:p w14:paraId="7C31E48B" w14:textId="65EF511B" w:rsidR="00AB5499" w:rsidRPr="00AB5499" w:rsidRDefault="00117433" w:rsidP="00AB5499">
      <w:pPr>
        <w:pStyle w:val="BodyTextIndent3"/>
        <w:ind w:left="0" w:firstLine="0"/>
      </w:pPr>
      <w:r>
        <w:t>(2)</w:t>
      </w:r>
      <w:r w:rsidR="005E1012">
        <w:tab/>
      </w:r>
      <w:r w:rsidR="00AB5499" w:rsidRPr="00AB5499">
        <w:t>Nothing in this section contained shall effect the provisions of any other law relating to the review of proceedings in lower courts.</w:t>
      </w:r>
      <w:r w:rsidR="00AB5499">
        <w:t>’</w:t>
      </w:r>
    </w:p>
    <w:p w14:paraId="60CFB415" w14:textId="77777777" w:rsidR="00AB5499" w:rsidRDefault="00AB5499" w:rsidP="00630536">
      <w:pPr>
        <w:spacing w:after="0" w:line="360" w:lineRule="auto"/>
        <w:rPr>
          <w:szCs w:val="24"/>
        </w:rPr>
      </w:pPr>
    </w:p>
    <w:p w14:paraId="1AA7B6DE" w14:textId="38B6E038" w:rsidR="00630536" w:rsidRDefault="00AB5499" w:rsidP="00630536">
      <w:pPr>
        <w:spacing w:after="0" w:line="360" w:lineRule="auto"/>
        <w:rPr>
          <w:szCs w:val="24"/>
        </w:rPr>
      </w:pPr>
      <w:r>
        <w:rPr>
          <w:szCs w:val="24"/>
        </w:rPr>
        <w:t>[36]</w:t>
      </w:r>
      <w:r>
        <w:rPr>
          <w:szCs w:val="24"/>
        </w:rPr>
        <w:tab/>
      </w:r>
      <w:r w:rsidR="00630536">
        <w:rPr>
          <w:szCs w:val="24"/>
        </w:rPr>
        <w:t xml:space="preserve">It is also important to note </w:t>
      </w:r>
      <w:r w:rsidR="00630536" w:rsidRPr="008F4A7D">
        <w:rPr>
          <w:szCs w:val="24"/>
        </w:rPr>
        <w:t xml:space="preserve">that </w:t>
      </w:r>
      <w:r w:rsidR="00630536" w:rsidRPr="008F4A7D">
        <w:rPr>
          <w:rFonts w:eastAsia="Calibri"/>
          <w:color w:val="auto"/>
          <w:kern w:val="0"/>
          <w:szCs w:val="24"/>
          <w:lang w:val="en-GB" w:eastAsia="en-US"/>
          <w14:ligatures w14:val="none"/>
        </w:rPr>
        <w:t>s 20 of the High Court Act is not restricted to what is contained in subsec</w:t>
      </w:r>
      <w:r w:rsidR="006C6DCA" w:rsidRPr="008F4A7D">
        <w:rPr>
          <w:rFonts w:eastAsia="Calibri"/>
          <w:color w:val="auto"/>
          <w:kern w:val="0"/>
          <w:szCs w:val="24"/>
          <w:lang w:val="en-GB" w:eastAsia="en-US"/>
          <w14:ligatures w14:val="none"/>
        </w:rPr>
        <w:t>tion</w:t>
      </w:r>
      <w:r w:rsidRPr="008F4A7D">
        <w:rPr>
          <w:rFonts w:eastAsia="Calibri"/>
          <w:color w:val="auto"/>
          <w:kern w:val="0"/>
          <w:szCs w:val="24"/>
          <w:lang w:val="en-GB" w:eastAsia="en-US"/>
          <w14:ligatures w14:val="none"/>
        </w:rPr>
        <w:t xml:space="preserve"> (1). S</w:t>
      </w:r>
      <w:r w:rsidR="00630536" w:rsidRPr="008F4A7D">
        <w:rPr>
          <w:rFonts w:eastAsia="Calibri"/>
          <w:color w:val="auto"/>
          <w:kern w:val="0"/>
          <w:szCs w:val="24"/>
          <w:lang w:val="en-GB" w:eastAsia="en-US"/>
          <w14:ligatures w14:val="none"/>
        </w:rPr>
        <w:t>ubsection (2) allows that ‘the provisions of any other law relating to the review of proceeding</w:t>
      </w:r>
      <w:r w:rsidR="006E03F7" w:rsidRPr="008F4A7D">
        <w:rPr>
          <w:rFonts w:eastAsia="Calibri"/>
          <w:color w:val="auto"/>
          <w:kern w:val="0"/>
          <w:szCs w:val="24"/>
          <w:lang w:val="en-GB" w:eastAsia="en-US"/>
          <w14:ligatures w14:val="none"/>
        </w:rPr>
        <w:t>s</w:t>
      </w:r>
      <w:r w:rsidR="00630536" w:rsidRPr="008F4A7D">
        <w:rPr>
          <w:rFonts w:eastAsia="Calibri"/>
          <w:color w:val="auto"/>
          <w:kern w:val="0"/>
          <w:szCs w:val="24"/>
          <w:lang w:val="en-GB" w:eastAsia="en-US"/>
          <w14:ligatures w14:val="none"/>
        </w:rPr>
        <w:t xml:space="preserve"> in the lower court’ are also applicable. Subsection (2), thus, makes the ambit of s</w:t>
      </w:r>
      <w:r w:rsidR="00630536" w:rsidRPr="00630536">
        <w:rPr>
          <w:rFonts w:eastAsia="Calibri"/>
          <w:color w:val="auto"/>
          <w:kern w:val="0"/>
          <w:szCs w:val="24"/>
          <w:lang w:val="en-GB" w:eastAsia="en-US"/>
          <w14:ligatures w14:val="none"/>
        </w:rPr>
        <w:t xml:space="preserve"> 20 wide rather than narrow.</w:t>
      </w:r>
      <w:r w:rsidR="00630536">
        <w:rPr>
          <w:rFonts w:eastAsia="Calibri"/>
          <w:color w:val="auto"/>
          <w:kern w:val="0"/>
          <w:szCs w:val="24"/>
          <w:lang w:val="en-GB" w:eastAsia="en-US"/>
          <w14:ligatures w14:val="none"/>
        </w:rPr>
        <w:t xml:space="preserve"> This proposition was </w:t>
      </w:r>
      <w:r w:rsidR="007942D6">
        <w:rPr>
          <w:rFonts w:eastAsia="Calibri"/>
          <w:color w:val="auto"/>
          <w:kern w:val="0"/>
          <w:szCs w:val="24"/>
          <w:lang w:val="en-GB" w:eastAsia="en-US"/>
          <w14:ligatures w14:val="none"/>
        </w:rPr>
        <w:t>adopted by</w:t>
      </w:r>
      <w:r w:rsidR="00630536">
        <w:rPr>
          <w:rFonts w:eastAsia="Calibri"/>
          <w:color w:val="auto"/>
          <w:kern w:val="0"/>
          <w:szCs w:val="24"/>
          <w:lang w:val="en-GB" w:eastAsia="en-US"/>
          <w14:ligatures w14:val="none"/>
        </w:rPr>
        <w:t xml:space="preserve"> this court in </w:t>
      </w:r>
      <w:r w:rsidR="009B37B8">
        <w:rPr>
          <w:i/>
          <w:szCs w:val="24"/>
        </w:rPr>
        <w:t>Hellens</w:t>
      </w:r>
      <w:r w:rsidR="009B37B8" w:rsidRPr="007B3F5A">
        <w:rPr>
          <w:i/>
          <w:szCs w:val="24"/>
        </w:rPr>
        <w:t xml:space="preserve"> v </w:t>
      </w:r>
      <w:r w:rsidR="009B37B8">
        <w:rPr>
          <w:i/>
          <w:szCs w:val="24"/>
        </w:rPr>
        <w:t xml:space="preserve">The Minister of Home Affairs </w:t>
      </w:r>
      <w:r w:rsidR="009B37B8" w:rsidRPr="007B3F5A">
        <w:rPr>
          <w:i/>
          <w:szCs w:val="24"/>
        </w:rPr>
        <w:t>and Others</w:t>
      </w:r>
      <w:r w:rsidR="00DF681B">
        <w:rPr>
          <w:i/>
          <w:szCs w:val="24"/>
        </w:rPr>
        <w:t>.</w:t>
      </w:r>
      <w:r w:rsidR="00DF681B">
        <w:rPr>
          <w:rStyle w:val="FootnoteReference"/>
          <w:i/>
          <w:szCs w:val="24"/>
        </w:rPr>
        <w:footnoteReference w:id="2"/>
      </w:r>
      <w:r w:rsidR="009B37B8" w:rsidRPr="007B3F5A">
        <w:rPr>
          <w:szCs w:val="24"/>
        </w:rPr>
        <w:t xml:space="preserve"> </w:t>
      </w:r>
    </w:p>
    <w:p w14:paraId="611ED0E2" w14:textId="77777777" w:rsidR="006C6DCA" w:rsidRDefault="006C6DCA" w:rsidP="009B37B8">
      <w:pPr>
        <w:spacing w:after="157" w:line="360" w:lineRule="auto"/>
        <w:ind w:left="0" w:firstLine="0"/>
      </w:pPr>
    </w:p>
    <w:p w14:paraId="4F14F291" w14:textId="0826A408" w:rsidR="005E1012" w:rsidRPr="005E1012" w:rsidRDefault="004B70FF" w:rsidP="001B4F27">
      <w:pPr>
        <w:spacing w:after="157" w:line="360" w:lineRule="auto"/>
        <w:ind w:left="0" w:firstLine="0"/>
        <w:rPr>
          <w:color w:val="212529"/>
          <w:szCs w:val="24"/>
          <w:shd w:val="clear" w:color="auto" w:fill="FFFFFF"/>
        </w:rPr>
      </w:pPr>
      <w:r>
        <w:t>[3</w:t>
      </w:r>
      <w:r w:rsidR="001B14FB">
        <w:t>7</w:t>
      </w:r>
      <w:r>
        <w:t>]</w:t>
      </w:r>
      <w:r>
        <w:tab/>
      </w:r>
      <w:r w:rsidR="00F63B4F">
        <w:rPr>
          <w:rFonts w:eastAsia="Calibri"/>
          <w:color w:val="auto"/>
          <w:kern w:val="0"/>
          <w:szCs w:val="24"/>
          <w:lang w:val="en-GB" w:eastAsia="en-US"/>
          <w14:ligatures w14:val="none"/>
        </w:rPr>
        <w:t xml:space="preserve">The </w:t>
      </w:r>
      <w:r w:rsidR="001B14FB">
        <w:rPr>
          <w:rFonts w:eastAsia="Calibri"/>
          <w:color w:val="auto"/>
          <w:kern w:val="0"/>
          <w:szCs w:val="24"/>
          <w:lang w:val="en-GB" w:eastAsia="en-US"/>
          <w14:ligatures w14:val="none"/>
        </w:rPr>
        <w:t>PG</w:t>
      </w:r>
      <w:r w:rsidR="00F63B4F">
        <w:rPr>
          <w:rFonts w:eastAsia="Calibri"/>
          <w:color w:val="auto"/>
          <w:kern w:val="0"/>
          <w:szCs w:val="24"/>
          <w:lang w:val="en-GB" w:eastAsia="en-US"/>
          <w14:ligatures w14:val="none"/>
        </w:rPr>
        <w:t xml:space="preserve"> reject</w:t>
      </w:r>
      <w:r w:rsidR="005E1012">
        <w:rPr>
          <w:rFonts w:eastAsia="Calibri"/>
          <w:color w:val="auto"/>
          <w:kern w:val="0"/>
          <w:szCs w:val="24"/>
          <w:lang w:val="en-GB" w:eastAsia="en-US"/>
          <w14:ligatures w14:val="none"/>
        </w:rPr>
        <w:t>s</w:t>
      </w:r>
      <w:r w:rsidR="00F63B4F">
        <w:rPr>
          <w:rFonts w:eastAsia="Calibri"/>
          <w:color w:val="auto"/>
          <w:kern w:val="0"/>
          <w:szCs w:val="24"/>
          <w:lang w:val="en-GB" w:eastAsia="en-US"/>
          <w14:ligatures w14:val="none"/>
        </w:rPr>
        <w:t xml:space="preserve"> the applicant’s review application. The trite principles applicable to review proceedings </w:t>
      </w:r>
      <w:r w:rsidR="00FE3448">
        <w:rPr>
          <w:rFonts w:eastAsia="Calibri"/>
          <w:color w:val="auto"/>
          <w:kern w:val="0"/>
          <w:szCs w:val="24"/>
          <w:lang w:val="en-GB" w:eastAsia="en-US"/>
          <w14:ligatures w14:val="none"/>
        </w:rPr>
        <w:t>were</w:t>
      </w:r>
      <w:r w:rsidR="001B4F27">
        <w:rPr>
          <w:rFonts w:eastAsia="Calibri"/>
          <w:color w:val="auto"/>
          <w:kern w:val="0"/>
          <w:szCs w:val="24"/>
          <w:lang w:val="en-GB" w:eastAsia="en-US"/>
          <w14:ligatures w14:val="none"/>
        </w:rPr>
        <w:t xml:space="preserve"> reiterated by Liebenberg J in </w:t>
      </w:r>
      <w:r w:rsidR="001B4F27" w:rsidRPr="001972E7">
        <w:rPr>
          <w:rFonts w:eastAsia="Calibri"/>
          <w:i/>
          <w:color w:val="auto"/>
          <w:kern w:val="0"/>
          <w:szCs w:val="24"/>
          <w:lang w:val="en-GB" w:eastAsia="en-US"/>
          <w14:ligatures w14:val="none"/>
        </w:rPr>
        <w:t>Likoro v S</w:t>
      </w:r>
      <w:r w:rsidR="001972E7">
        <w:rPr>
          <w:rFonts w:eastAsia="Calibri"/>
          <w:i/>
          <w:color w:val="auto"/>
          <w:kern w:val="0"/>
          <w:szCs w:val="24"/>
          <w:lang w:val="en-GB" w:eastAsia="en-US"/>
          <w14:ligatures w14:val="none"/>
        </w:rPr>
        <w:t>,</w:t>
      </w:r>
      <w:r w:rsidR="001972E7">
        <w:rPr>
          <w:rStyle w:val="FootnoteReference"/>
          <w:rFonts w:eastAsia="Calibri"/>
          <w:i/>
          <w:color w:val="auto"/>
          <w:kern w:val="0"/>
          <w:szCs w:val="24"/>
          <w:lang w:val="en-GB" w:eastAsia="en-US"/>
          <w14:ligatures w14:val="none"/>
        </w:rPr>
        <w:footnoteReference w:id="3"/>
      </w:r>
      <w:r w:rsidR="001B4F27">
        <w:rPr>
          <w:rFonts w:eastAsia="Calibri"/>
          <w:color w:val="auto"/>
          <w:kern w:val="0"/>
          <w:szCs w:val="24"/>
          <w:lang w:val="en-GB" w:eastAsia="en-US"/>
          <w14:ligatures w14:val="none"/>
        </w:rPr>
        <w:t xml:space="preserve"> wherein the </w:t>
      </w:r>
      <w:r w:rsidR="001B4F27">
        <w:rPr>
          <w:rFonts w:eastAsia="Calibri"/>
          <w:color w:val="auto"/>
          <w:kern w:val="0"/>
          <w:szCs w:val="24"/>
          <w:lang w:val="en-GB" w:eastAsia="en-US"/>
          <w14:ligatures w14:val="none"/>
        </w:rPr>
        <w:lastRenderedPageBreak/>
        <w:t xml:space="preserve">learned Judge referred to </w:t>
      </w:r>
      <w:r w:rsidR="001B4F27" w:rsidRPr="001B4F27">
        <w:rPr>
          <w:i/>
          <w:iCs/>
          <w:color w:val="212529"/>
          <w:szCs w:val="24"/>
          <w:shd w:val="clear" w:color="auto" w:fill="FFFFFF"/>
        </w:rPr>
        <w:t>Ellis v Morgan</w:t>
      </w:r>
      <w:r w:rsidR="001B4F27" w:rsidRPr="001B4F27">
        <w:rPr>
          <w:color w:val="212529"/>
          <w:szCs w:val="24"/>
          <w:shd w:val="clear" w:color="auto" w:fill="FFFFFF"/>
        </w:rPr>
        <w:t>; </w:t>
      </w:r>
      <w:r w:rsidR="001B4F27" w:rsidRPr="001B4F27">
        <w:rPr>
          <w:i/>
          <w:iCs/>
          <w:color w:val="212529"/>
          <w:szCs w:val="24"/>
          <w:shd w:val="clear" w:color="auto" w:fill="FFFFFF"/>
        </w:rPr>
        <w:t>Ellis v Dessai</w:t>
      </w:r>
      <w:r w:rsidR="007942D6">
        <w:rPr>
          <w:i/>
          <w:iCs/>
          <w:color w:val="212529"/>
          <w:szCs w:val="24"/>
          <w:shd w:val="clear" w:color="auto" w:fill="FFFFFF"/>
        </w:rPr>
        <w:t>,</w:t>
      </w:r>
      <w:r w:rsidR="001B4F27">
        <w:rPr>
          <w:rStyle w:val="FootnoteReference"/>
          <w:i/>
          <w:iCs/>
          <w:color w:val="212529"/>
          <w:szCs w:val="24"/>
          <w:shd w:val="clear" w:color="auto" w:fill="FFFFFF"/>
        </w:rPr>
        <w:footnoteReference w:id="4"/>
      </w:r>
      <w:r w:rsidR="007942D6">
        <w:rPr>
          <w:color w:val="212529"/>
          <w:szCs w:val="24"/>
          <w:shd w:val="clear" w:color="auto" w:fill="FFFFFF"/>
        </w:rPr>
        <w:t xml:space="preserve"> </w:t>
      </w:r>
      <w:r w:rsidR="001B4F27" w:rsidRPr="001B4F27">
        <w:rPr>
          <w:color w:val="212529"/>
          <w:szCs w:val="24"/>
          <w:shd w:val="clear" w:color="auto" w:fill="FFFFFF"/>
        </w:rPr>
        <w:t>where</w:t>
      </w:r>
      <w:r w:rsidR="00860B2A">
        <w:rPr>
          <w:color w:val="212529"/>
          <w:szCs w:val="24"/>
          <w:shd w:val="clear" w:color="auto" w:fill="FFFFFF"/>
        </w:rPr>
        <w:t>in</w:t>
      </w:r>
      <w:r w:rsidR="001B4F27" w:rsidRPr="001B4F27">
        <w:rPr>
          <w:color w:val="212529"/>
          <w:szCs w:val="24"/>
          <w:shd w:val="clear" w:color="auto" w:fill="FFFFFF"/>
        </w:rPr>
        <w:t xml:space="preserve"> Mason J s</w:t>
      </w:r>
      <w:r w:rsidR="001972E7">
        <w:rPr>
          <w:color w:val="212529"/>
          <w:szCs w:val="24"/>
          <w:shd w:val="clear" w:color="auto" w:fill="FFFFFF"/>
        </w:rPr>
        <w:t>tated</w:t>
      </w:r>
      <w:r w:rsidR="001B4F27" w:rsidRPr="001B4F27">
        <w:rPr>
          <w:color w:val="212529"/>
          <w:szCs w:val="24"/>
          <w:shd w:val="clear" w:color="auto" w:fill="FFFFFF"/>
        </w:rPr>
        <w:t xml:space="preserve"> as follows:</w:t>
      </w:r>
    </w:p>
    <w:p w14:paraId="3445F431" w14:textId="35C77EEA" w:rsidR="001B4F27" w:rsidRPr="00860B2A" w:rsidRDefault="001972E7" w:rsidP="001972E7">
      <w:pPr>
        <w:pStyle w:val="western"/>
        <w:shd w:val="clear" w:color="auto" w:fill="FFFFFF"/>
        <w:spacing w:before="0" w:beforeAutospacing="0" w:after="0" w:afterAutospacing="0" w:line="360" w:lineRule="auto"/>
        <w:ind w:firstLine="720"/>
        <w:jc w:val="both"/>
        <w:rPr>
          <w:rFonts w:ascii="Arial" w:hAnsi="Arial" w:cs="Arial"/>
          <w:sz w:val="22"/>
          <w:szCs w:val="22"/>
          <w:lang w:val="en-ZA"/>
        </w:rPr>
      </w:pPr>
      <w:r w:rsidRPr="00860B2A">
        <w:rPr>
          <w:rFonts w:ascii="Arial" w:hAnsi="Arial" w:cs="Arial"/>
          <w:sz w:val="22"/>
          <w:szCs w:val="22"/>
          <w:lang w:val="en-GB"/>
        </w:rPr>
        <w:t>‘</w:t>
      </w:r>
      <w:r w:rsidR="001B4F27" w:rsidRPr="00860B2A">
        <w:rPr>
          <w:rFonts w:ascii="Arial" w:hAnsi="Arial" w:cs="Arial"/>
          <w:sz w:val="22"/>
          <w:szCs w:val="22"/>
          <w:lang w:val="en-ZA"/>
        </w:rPr>
        <w:t>But an irregularity in proceedings does not mean an incorrect judgment; it refers not to the result, but to the methods of a trial, such as, for example, some high-handed or mistaken action which has prevented the aggrieved party from having his case fully and fairly determined.”</w:t>
      </w:r>
      <w:r w:rsidRPr="00860B2A">
        <w:rPr>
          <w:rFonts w:ascii="Arial" w:hAnsi="Arial" w:cs="Arial"/>
          <w:sz w:val="22"/>
          <w:szCs w:val="22"/>
          <w:lang w:val="en-ZA"/>
        </w:rPr>
        <w:t xml:space="preserve"> </w:t>
      </w:r>
      <w:r w:rsidR="001B4F27" w:rsidRPr="00860B2A">
        <w:rPr>
          <w:rFonts w:ascii="Arial" w:hAnsi="Arial" w:cs="Arial"/>
          <w:sz w:val="22"/>
          <w:szCs w:val="22"/>
          <w:lang w:val="en-ZA"/>
        </w:rPr>
        <w:t>(See also </w:t>
      </w:r>
      <w:r w:rsidR="001B4F27" w:rsidRPr="00860B2A">
        <w:rPr>
          <w:rFonts w:ascii="Arial" w:hAnsi="Arial" w:cs="Arial"/>
          <w:i/>
          <w:iCs/>
          <w:sz w:val="22"/>
          <w:szCs w:val="22"/>
          <w:lang w:val="en-ZA"/>
        </w:rPr>
        <w:t>Coetser v Henning and Ente NO</w:t>
      </w:r>
      <w:r w:rsidR="001B4F27" w:rsidRPr="00860B2A">
        <w:rPr>
          <w:rFonts w:ascii="Arial" w:hAnsi="Arial" w:cs="Arial"/>
          <w:sz w:val="22"/>
          <w:szCs w:val="22"/>
          <w:lang w:val="en-ZA"/>
        </w:rPr>
        <w:t> 1926 TPD 401; </w:t>
      </w:r>
      <w:r w:rsidR="001B4F27" w:rsidRPr="00860B2A">
        <w:rPr>
          <w:rFonts w:ascii="Arial" w:hAnsi="Arial" w:cs="Arial"/>
          <w:i/>
          <w:iCs/>
          <w:sz w:val="22"/>
          <w:szCs w:val="22"/>
          <w:lang w:val="en-ZA"/>
        </w:rPr>
        <w:t>Hirschorn v Reich and Another</w:t>
      </w:r>
      <w:r w:rsidR="001B4F27" w:rsidRPr="00860B2A">
        <w:rPr>
          <w:rFonts w:ascii="Arial" w:hAnsi="Arial" w:cs="Arial"/>
          <w:sz w:val="22"/>
          <w:szCs w:val="22"/>
          <w:lang w:val="en-ZA"/>
        </w:rPr>
        <w:t> (1929) 50 NLR 314.)</w:t>
      </w:r>
    </w:p>
    <w:p w14:paraId="021D708C" w14:textId="77777777" w:rsidR="001972E7" w:rsidRPr="00860B2A" w:rsidRDefault="001972E7" w:rsidP="001972E7">
      <w:pPr>
        <w:pStyle w:val="western"/>
        <w:shd w:val="clear" w:color="auto" w:fill="FFFFFF"/>
        <w:spacing w:before="0" w:beforeAutospacing="0" w:after="0" w:afterAutospacing="0" w:line="360" w:lineRule="auto"/>
        <w:ind w:firstLine="720"/>
        <w:jc w:val="both"/>
        <w:rPr>
          <w:rFonts w:ascii="Arial" w:hAnsi="Arial" w:cs="Arial"/>
          <w:sz w:val="22"/>
          <w:szCs w:val="22"/>
          <w:lang w:val="en-GB"/>
        </w:rPr>
      </w:pPr>
    </w:p>
    <w:p w14:paraId="7630BF72" w14:textId="3897B3CD" w:rsidR="00F63B4F" w:rsidRPr="00860B2A" w:rsidRDefault="001B4F27" w:rsidP="001972E7">
      <w:pPr>
        <w:pStyle w:val="western"/>
        <w:shd w:val="clear" w:color="auto" w:fill="FFFFFF"/>
        <w:spacing w:before="0" w:beforeAutospacing="0" w:after="0" w:afterAutospacing="0" w:line="360" w:lineRule="auto"/>
        <w:jc w:val="both"/>
        <w:rPr>
          <w:rFonts w:eastAsia="Calibri"/>
        </w:rPr>
      </w:pPr>
      <w:r w:rsidRPr="00860B2A">
        <w:rPr>
          <w:rFonts w:ascii="Arial" w:hAnsi="Arial" w:cs="Arial"/>
          <w:sz w:val="22"/>
          <w:szCs w:val="22"/>
          <w:lang w:val="en-ZA"/>
        </w:rPr>
        <w:t>The complaint need not, however, arise from mere high-handedness by the magistrate; a bona fide mistake which denies the accused a fair trial is also an irregularity. </w:t>
      </w:r>
      <w:r w:rsidRPr="00860B2A">
        <w:rPr>
          <w:rFonts w:ascii="Arial" w:hAnsi="Arial" w:cs="Arial"/>
          <w:i/>
          <w:iCs/>
          <w:sz w:val="22"/>
          <w:szCs w:val="22"/>
          <w:lang w:val="en-ZA"/>
        </w:rPr>
        <w:t>Goldfields Investment Ltd and Another v City Council of Johannesburg and Another</w:t>
      </w:r>
      <w:r w:rsidRPr="00860B2A">
        <w:rPr>
          <w:rFonts w:ascii="Arial" w:hAnsi="Arial" w:cs="Arial"/>
          <w:sz w:val="22"/>
          <w:szCs w:val="22"/>
          <w:lang w:val="en-ZA"/>
        </w:rPr>
        <w:t> 1938 TPD 551. It must be stressed that in an appeal an appellant is confined to the four corners of the record, but in review proceedings the aggrieved party traverses matters not appearing on the record. </w:t>
      </w:r>
      <w:r w:rsidRPr="00860B2A">
        <w:rPr>
          <w:rFonts w:ascii="Arial" w:hAnsi="Arial" w:cs="Arial"/>
          <w:i/>
          <w:iCs/>
          <w:sz w:val="22"/>
          <w:szCs w:val="22"/>
          <w:lang w:val="en-ZA"/>
        </w:rPr>
        <w:t>Schwartz v Goldschmid</w:t>
      </w:r>
      <w:r w:rsidRPr="00860B2A">
        <w:rPr>
          <w:rFonts w:ascii="Arial" w:hAnsi="Arial" w:cs="Arial"/>
          <w:sz w:val="22"/>
          <w:szCs w:val="22"/>
          <w:lang w:val="en-ZA"/>
        </w:rPr>
        <w:t> 1914 TPD 122.’</w:t>
      </w:r>
      <w:r w:rsidR="00F63B4F" w:rsidRPr="00860B2A">
        <w:rPr>
          <w:rFonts w:eastAsia="Calibri"/>
          <w:lang w:val="en-GB"/>
        </w:rPr>
        <w:t xml:space="preserve"> </w:t>
      </w:r>
    </w:p>
    <w:p w14:paraId="2133DEBC" w14:textId="77777777" w:rsidR="004B70FF" w:rsidRPr="00F63B4F" w:rsidRDefault="004B70FF" w:rsidP="00F63B4F">
      <w:pPr>
        <w:spacing w:after="0" w:line="360" w:lineRule="auto"/>
        <w:rPr>
          <w:rFonts w:eastAsia="Calibri"/>
          <w:color w:val="auto"/>
          <w:kern w:val="0"/>
          <w:szCs w:val="24"/>
          <w:lang w:eastAsia="en-US"/>
          <w14:ligatures w14:val="none"/>
        </w:rPr>
      </w:pPr>
    </w:p>
    <w:p w14:paraId="62C040DD" w14:textId="27D2EF0E" w:rsidR="0045784B" w:rsidRDefault="004B70FF" w:rsidP="0045784B">
      <w:pPr>
        <w:spacing w:line="360" w:lineRule="auto"/>
        <w:rPr>
          <w:szCs w:val="24"/>
          <w:shd w:val="clear" w:color="auto" w:fill="FFFFFF"/>
        </w:rPr>
      </w:pPr>
      <w:r>
        <w:rPr>
          <w:rFonts w:eastAsia="Calibri"/>
          <w:color w:val="auto"/>
          <w:kern w:val="0"/>
          <w:szCs w:val="24"/>
          <w:lang w:val="en-GB" w:eastAsia="en-US"/>
          <w14:ligatures w14:val="none"/>
        </w:rPr>
        <w:t>[3</w:t>
      </w:r>
      <w:r w:rsidR="001972E7">
        <w:rPr>
          <w:rFonts w:eastAsia="Calibri"/>
          <w:color w:val="auto"/>
          <w:kern w:val="0"/>
          <w:szCs w:val="24"/>
          <w:lang w:val="en-GB" w:eastAsia="en-US"/>
          <w14:ligatures w14:val="none"/>
        </w:rPr>
        <w:t>8</w:t>
      </w:r>
      <w:r>
        <w:rPr>
          <w:rFonts w:eastAsia="Calibri"/>
          <w:color w:val="auto"/>
          <w:kern w:val="0"/>
          <w:szCs w:val="24"/>
          <w:lang w:val="en-GB" w:eastAsia="en-US"/>
          <w14:ligatures w14:val="none"/>
        </w:rPr>
        <w:t>]</w:t>
      </w:r>
      <w:r>
        <w:rPr>
          <w:rFonts w:eastAsia="Calibri"/>
          <w:color w:val="auto"/>
          <w:kern w:val="0"/>
          <w:szCs w:val="24"/>
          <w:lang w:val="en-GB" w:eastAsia="en-US"/>
          <w14:ligatures w14:val="none"/>
        </w:rPr>
        <w:tab/>
      </w:r>
      <w:r w:rsidR="00F63B4F">
        <w:rPr>
          <w:rFonts w:eastAsia="Calibri"/>
          <w:color w:val="auto"/>
          <w:kern w:val="0"/>
          <w:szCs w:val="24"/>
          <w:lang w:val="en-GB" w:eastAsia="en-US"/>
          <w14:ligatures w14:val="none"/>
        </w:rPr>
        <w:t xml:space="preserve">Therefore, although the record in this matter is not exemplary, it is sufficient for </w:t>
      </w:r>
      <w:r w:rsidR="00DF681B">
        <w:rPr>
          <w:rFonts w:eastAsia="Calibri"/>
          <w:color w:val="auto"/>
          <w:kern w:val="0"/>
          <w:szCs w:val="24"/>
          <w:lang w:val="en-GB" w:eastAsia="en-US"/>
          <w14:ligatures w14:val="none"/>
        </w:rPr>
        <w:t xml:space="preserve">the </w:t>
      </w:r>
      <w:r w:rsidR="00F63B4F">
        <w:rPr>
          <w:rFonts w:eastAsia="Calibri"/>
          <w:color w:val="auto"/>
          <w:kern w:val="0"/>
          <w:szCs w:val="24"/>
          <w:lang w:val="en-GB" w:eastAsia="en-US"/>
          <w14:ligatures w14:val="none"/>
        </w:rPr>
        <w:t>purposes of th</w:t>
      </w:r>
      <w:r w:rsidR="006C6DCA">
        <w:rPr>
          <w:rFonts w:eastAsia="Calibri"/>
          <w:color w:val="auto"/>
          <w:kern w:val="0"/>
          <w:szCs w:val="24"/>
          <w:lang w:val="en-GB" w:eastAsia="en-US"/>
          <w14:ligatures w14:val="none"/>
        </w:rPr>
        <w:t>is</w:t>
      </w:r>
      <w:r w:rsidR="00F63B4F">
        <w:rPr>
          <w:rFonts w:eastAsia="Calibri"/>
          <w:color w:val="auto"/>
          <w:kern w:val="0"/>
          <w:szCs w:val="24"/>
          <w:lang w:val="en-GB" w:eastAsia="en-US"/>
          <w14:ligatures w14:val="none"/>
        </w:rPr>
        <w:t xml:space="preserve"> review application</w:t>
      </w:r>
      <w:r w:rsidR="00DF681B">
        <w:rPr>
          <w:rFonts w:eastAsia="Calibri"/>
          <w:color w:val="auto"/>
          <w:kern w:val="0"/>
          <w:szCs w:val="24"/>
          <w:lang w:val="en-GB" w:eastAsia="en-US"/>
          <w14:ligatures w14:val="none"/>
        </w:rPr>
        <w:t>.</w:t>
      </w:r>
      <w:r w:rsidR="0045784B">
        <w:rPr>
          <w:rFonts w:eastAsia="Calibri"/>
          <w:color w:val="auto"/>
          <w:kern w:val="0"/>
          <w:szCs w:val="24"/>
          <w:lang w:val="en-GB" w:eastAsia="en-US"/>
          <w14:ligatures w14:val="none"/>
        </w:rPr>
        <w:t xml:space="preserve"> </w:t>
      </w:r>
      <w:r w:rsidR="0045784B">
        <w:rPr>
          <w:szCs w:val="24"/>
          <w:shd w:val="clear" w:color="auto" w:fill="FFFFFF"/>
        </w:rPr>
        <w:t xml:space="preserve">The applicant’s </w:t>
      </w:r>
      <w:r w:rsidR="006C6DCA">
        <w:rPr>
          <w:szCs w:val="24"/>
          <w:shd w:val="clear" w:color="auto" w:fill="FFFFFF"/>
        </w:rPr>
        <w:t>grounds</w:t>
      </w:r>
      <w:r w:rsidR="0045784B">
        <w:rPr>
          <w:szCs w:val="24"/>
          <w:shd w:val="clear" w:color="auto" w:fill="FFFFFF"/>
        </w:rPr>
        <w:t xml:space="preserve"> of review can be distilled from his founding affidavit as follow</w:t>
      </w:r>
      <w:r w:rsidR="00DF681B">
        <w:rPr>
          <w:szCs w:val="24"/>
          <w:shd w:val="clear" w:color="auto" w:fill="FFFFFF"/>
        </w:rPr>
        <w:t>s:</w:t>
      </w:r>
    </w:p>
    <w:p w14:paraId="04855C18" w14:textId="5B9CC6AD" w:rsidR="0045784B" w:rsidRPr="009F2F99" w:rsidRDefault="0045784B" w:rsidP="00860B2A">
      <w:pPr>
        <w:pStyle w:val="ListParagraph"/>
        <w:numPr>
          <w:ilvl w:val="0"/>
          <w:numId w:val="4"/>
        </w:numPr>
        <w:spacing w:after="0" w:line="360" w:lineRule="auto"/>
        <w:ind w:left="0" w:firstLine="0"/>
        <w:rPr>
          <w:szCs w:val="24"/>
          <w:shd w:val="clear" w:color="auto" w:fill="FFFFFF"/>
        </w:rPr>
      </w:pPr>
      <w:r>
        <w:rPr>
          <w:lang w:val="en-US"/>
        </w:rPr>
        <w:t>T</w:t>
      </w:r>
      <w:r w:rsidRPr="00C84A43">
        <w:rPr>
          <w:lang w:val="en-US"/>
        </w:rPr>
        <w:t xml:space="preserve">he case was held </w:t>
      </w:r>
      <w:r>
        <w:rPr>
          <w:lang w:val="en-US"/>
        </w:rPr>
        <w:t>as a</w:t>
      </w:r>
      <w:r w:rsidRPr="00C84A43">
        <w:rPr>
          <w:lang w:val="en-US"/>
        </w:rPr>
        <w:t xml:space="preserve"> criminal </w:t>
      </w:r>
      <w:r>
        <w:rPr>
          <w:lang w:val="en-US"/>
        </w:rPr>
        <w:t xml:space="preserve">matter and not a </w:t>
      </w:r>
      <w:r w:rsidR="00DF681B">
        <w:rPr>
          <w:lang w:val="en-US"/>
        </w:rPr>
        <w:t>c</w:t>
      </w:r>
      <w:r w:rsidRPr="00C84A43">
        <w:rPr>
          <w:lang w:val="en-US"/>
        </w:rPr>
        <w:t xml:space="preserve">ivil </w:t>
      </w:r>
      <w:r>
        <w:rPr>
          <w:lang w:val="en-US"/>
        </w:rPr>
        <w:t>matter.</w:t>
      </w:r>
    </w:p>
    <w:p w14:paraId="0B2AB739" w14:textId="77777777" w:rsidR="0045784B" w:rsidRPr="009F2F99" w:rsidRDefault="0045784B" w:rsidP="00860B2A">
      <w:pPr>
        <w:pStyle w:val="ListParagraph"/>
        <w:spacing w:after="0" w:line="360" w:lineRule="auto"/>
        <w:ind w:left="0" w:firstLine="0"/>
        <w:rPr>
          <w:szCs w:val="24"/>
          <w:shd w:val="clear" w:color="auto" w:fill="FFFFFF"/>
        </w:rPr>
      </w:pPr>
    </w:p>
    <w:p w14:paraId="00C3C985" w14:textId="630BAD22" w:rsidR="0045784B" w:rsidRDefault="00DF681B" w:rsidP="00860B2A">
      <w:pPr>
        <w:pStyle w:val="ListParagraph"/>
        <w:numPr>
          <w:ilvl w:val="0"/>
          <w:numId w:val="4"/>
        </w:numPr>
        <w:spacing w:after="0" w:line="360" w:lineRule="auto"/>
        <w:ind w:left="0" w:firstLine="0"/>
        <w:rPr>
          <w:szCs w:val="24"/>
          <w:shd w:val="clear" w:color="auto" w:fill="FFFFFF"/>
        </w:rPr>
      </w:pPr>
      <w:r>
        <w:rPr>
          <w:szCs w:val="24"/>
          <w:shd w:val="clear" w:color="auto" w:fill="FFFFFF"/>
        </w:rPr>
        <w:t>The applicant’s</w:t>
      </w:r>
      <w:r w:rsidR="0045784B">
        <w:rPr>
          <w:szCs w:val="24"/>
          <w:shd w:val="clear" w:color="auto" w:fill="FFFFFF"/>
        </w:rPr>
        <w:t xml:space="preserve"> rights and </w:t>
      </w:r>
      <w:r>
        <w:rPr>
          <w:szCs w:val="24"/>
          <w:shd w:val="clear" w:color="auto" w:fill="FFFFFF"/>
        </w:rPr>
        <w:t xml:space="preserve">the </w:t>
      </w:r>
      <w:r w:rsidR="0045784B">
        <w:rPr>
          <w:szCs w:val="24"/>
          <w:shd w:val="clear" w:color="auto" w:fill="FFFFFF"/>
        </w:rPr>
        <w:t xml:space="preserve">nature of the </w:t>
      </w:r>
      <w:r>
        <w:rPr>
          <w:szCs w:val="24"/>
          <w:shd w:val="clear" w:color="auto" w:fill="FFFFFF"/>
        </w:rPr>
        <w:t>e</w:t>
      </w:r>
      <w:r w:rsidR="0045784B">
        <w:rPr>
          <w:szCs w:val="24"/>
          <w:shd w:val="clear" w:color="auto" w:fill="FFFFFF"/>
        </w:rPr>
        <w:t xml:space="preserve">nquiry </w:t>
      </w:r>
      <w:r>
        <w:rPr>
          <w:szCs w:val="24"/>
          <w:shd w:val="clear" w:color="auto" w:fill="FFFFFF"/>
        </w:rPr>
        <w:t>were</w:t>
      </w:r>
      <w:r w:rsidR="0045784B">
        <w:rPr>
          <w:szCs w:val="24"/>
          <w:shd w:val="clear" w:color="auto" w:fill="FFFFFF"/>
        </w:rPr>
        <w:t xml:space="preserve"> not explained to him.</w:t>
      </w:r>
    </w:p>
    <w:p w14:paraId="7216B58D" w14:textId="77777777" w:rsidR="0045784B" w:rsidRPr="0073093A" w:rsidRDefault="0045784B" w:rsidP="00860B2A">
      <w:pPr>
        <w:pStyle w:val="ListParagraph"/>
        <w:spacing w:after="0" w:line="360" w:lineRule="auto"/>
        <w:ind w:left="0" w:firstLine="0"/>
        <w:rPr>
          <w:szCs w:val="24"/>
          <w:shd w:val="clear" w:color="auto" w:fill="FFFFFF"/>
        </w:rPr>
      </w:pPr>
    </w:p>
    <w:p w14:paraId="6C3FD1F1" w14:textId="5B2722CC" w:rsidR="0045784B" w:rsidRPr="00197E88" w:rsidRDefault="0045784B" w:rsidP="00860B2A">
      <w:pPr>
        <w:pStyle w:val="ListParagraph"/>
        <w:numPr>
          <w:ilvl w:val="0"/>
          <w:numId w:val="4"/>
        </w:numPr>
        <w:spacing w:after="0" w:line="360" w:lineRule="auto"/>
        <w:ind w:left="0" w:firstLine="0"/>
        <w:rPr>
          <w:szCs w:val="24"/>
          <w:shd w:val="clear" w:color="auto" w:fill="FFFFFF"/>
        </w:rPr>
      </w:pPr>
      <w:r w:rsidRPr="00D71D1E">
        <w:rPr>
          <w:szCs w:val="24"/>
          <w:shd w:val="clear" w:color="auto" w:fill="FFFFFF"/>
        </w:rPr>
        <w:t>No written authorisation in terms of s 32(9) of POCA was handed to the court</w:t>
      </w:r>
      <w:r>
        <w:rPr>
          <w:szCs w:val="24"/>
          <w:shd w:val="clear" w:color="auto" w:fill="FFFFFF"/>
        </w:rPr>
        <w:t xml:space="preserve"> as required by the law.</w:t>
      </w:r>
    </w:p>
    <w:p w14:paraId="6765E955" w14:textId="77777777" w:rsidR="0045784B" w:rsidRPr="00086DAE" w:rsidRDefault="0045784B" w:rsidP="00860B2A">
      <w:pPr>
        <w:pStyle w:val="ListParagraph"/>
        <w:spacing w:after="0" w:line="360" w:lineRule="auto"/>
        <w:ind w:left="0" w:firstLine="0"/>
        <w:rPr>
          <w:szCs w:val="24"/>
          <w:shd w:val="clear" w:color="auto" w:fill="FFFFFF"/>
        </w:rPr>
      </w:pPr>
    </w:p>
    <w:p w14:paraId="4BB5598A" w14:textId="563AFB20" w:rsidR="0045784B" w:rsidRPr="00197E88" w:rsidRDefault="0045784B" w:rsidP="00860B2A">
      <w:pPr>
        <w:pStyle w:val="ListParagraph"/>
        <w:numPr>
          <w:ilvl w:val="0"/>
          <w:numId w:val="4"/>
        </w:numPr>
        <w:spacing w:after="0" w:line="360" w:lineRule="auto"/>
        <w:ind w:left="0" w:firstLine="0"/>
        <w:rPr>
          <w:szCs w:val="24"/>
          <w:shd w:val="clear" w:color="auto" w:fill="FFFFFF"/>
        </w:rPr>
      </w:pPr>
      <w:r>
        <w:t xml:space="preserve">The </w:t>
      </w:r>
      <w:r w:rsidR="001972E7">
        <w:t>e</w:t>
      </w:r>
      <w:r>
        <w:t>nquiry was finalised in the applicant’s absence on 26, 27 and 28 April 2022</w:t>
      </w:r>
      <w:r w:rsidR="007942D6">
        <w:t>,</w:t>
      </w:r>
      <w:r w:rsidR="001972E7">
        <w:t xml:space="preserve"> causing prejudice to the applicant. </w:t>
      </w:r>
    </w:p>
    <w:p w14:paraId="0738E00C" w14:textId="77777777" w:rsidR="0045784B" w:rsidRPr="009C2A84" w:rsidRDefault="0045784B" w:rsidP="00860B2A">
      <w:pPr>
        <w:pStyle w:val="ListParagraph"/>
        <w:spacing w:after="0" w:line="360" w:lineRule="auto"/>
        <w:ind w:left="0" w:firstLine="0"/>
        <w:rPr>
          <w:szCs w:val="24"/>
          <w:shd w:val="clear" w:color="auto" w:fill="FFFFFF"/>
        </w:rPr>
      </w:pPr>
    </w:p>
    <w:p w14:paraId="2BF7E8D4" w14:textId="17068224" w:rsidR="0045784B" w:rsidRPr="00197E88" w:rsidRDefault="00DF681B" w:rsidP="00860B2A">
      <w:pPr>
        <w:pStyle w:val="ListParagraph"/>
        <w:numPr>
          <w:ilvl w:val="0"/>
          <w:numId w:val="4"/>
        </w:numPr>
        <w:spacing w:after="0" w:line="360" w:lineRule="auto"/>
        <w:ind w:left="0" w:firstLine="0"/>
        <w:rPr>
          <w:szCs w:val="24"/>
          <w:shd w:val="clear" w:color="auto" w:fill="FFFFFF"/>
        </w:rPr>
      </w:pPr>
      <w:r>
        <w:t>The applicant</w:t>
      </w:r>
      <w:r w:rsidR="0045784B">
        <w:t xml:space="preserve"> phoned the </w:t>
      </w:r>
      <w:r>
        <w:t>p</w:t>
      </w:r>
      <w:r w:rsidR="0045784B">
        <w:t xml:space="preserve">ublic </w:t>
      </w:r>
      <w:r>
        <w:t>p</w:t>
      </w:r>
      <w:r w:rsidR="0045784B">
        <w:t>rosecutor</w:t>
      </w:r>
      <w:r>
        <w:t>,</w:t>
      </w:r>
      <w:r w:rsidR="0045784B">
        <w:t xml:space="preserve"> Faith Nyaungwa on 26 and 27 April 2022, seeking a postponement, which was not granted.</w:t>
      </w:r>
    </w:p>
    <w:p w14:paraId="60ABD6E5" w14:textId="77777777" w:rsidR="0045784B" w:rsidRPr="00197E88" w:rsidRDefault="0045784B" w:rsidP="0045784B">
      <w:pPr>
        <w:pStyle w:val="ListParagraph"/>
        <w:rPr>
          <w:szCs w:val="24"/>
          <w:shd w:val="clear" w:color="auto" w:fill="FFFFFF"/>
        </w:rPr>
      </w:pPr>
    </w:p>
    <w:p w14:paraId="3B5FECC7" w14:textId="2927AB60" w:rsidR="0045784B" w:rsidRPr="00197E88" w:rsidRDefault="001972E7" w:rsidP="00314E1B">
      <w:pPr>
        <w:pStyle w:val="ListParagraph"/>
        <w:numPr>
          <w:ilvl w:val="0"/>
          <w:numId w:val="4"/>
        </w:numPr>
        <w:spacing w:after="0" w:line="360" w:lineRule="auto"/>
        <w:ind w:left="0" w:firstLine="0"/>
        <w:rPr>
          <w:szCs w:val="24"/>
          <w:shd w:val="clear" w:color="auto" w:fill="FFFFFF"/>
        </w:rPr>
      </w:pPr>
      <w:r>
        <w:rPr>
          <w:lang w:val="en-US"/>
        </w:rPr>
        <w:lastRenderedPageBreak/>
        <w:t>That i</w:t>
      </w:r>
      <w:r w:rsidR="0045784B" w:rsidRPr="00973D86">
        <w:rPr>
          <w:lang w:val="en-US"/>
        </w:rPr>
        <w:t xml:space="preserve">t is not clear how the magistrate could reach a decision and or </w:t>
      </w:r>
      <w:r w:rsidR="0045784B">
        <w:rPr>
          <w:lang w:val="en-US"/>
        </w:rPr>
        <w:t>how he was on a</w:t>
      </w:r>
      <w:r w:rsidR="0045784B" w:rsidRPr="00973D86">
        <w:rPr>
          <w:lang w:val="en-US"/>
        </w:rPr>
        <w:t xml:space="preserve"> balance of probabilities satisfied </w:t>
      </w:r>
      <w:r w:rsidR="0045784B">
        <w:rPr>
          <w:lang w:val="en-US"/>
        </w:rPr>
        <w:t xml:space="preserve">that </w:t>
      </w:r>
      <w:r w:rsidR="0045784B" w:rsidRPr="00973D86">
        <w:rPr>
          <w:lang w:val="en-US"/>
        </w:rPr>
        <w:t xml:space="preserve">the </w:t>
      </w:r>
      <w:r>
        <w:rPr>
          <w:lang w:val="en-US"/>
        </w:rPr>
        <w:t>applicant</w:t>
      </w:r>
      <w:r w:rsidR="0045784B" w:rsidRPr="00973D86">
        <w:rPr>
          <w:lang w:val="en-US"/>
        </w:rPr>
        <w:t xml:space="preserve"> </w:t>
      </w:r>
      <w:r w:rsidR="00DF681B">
        <w:rPr>
          <w:lang w:val="en-US"/>
        </w:rPr>
        <w:t>had</w:t>
      </w:r>
      <w:r w:rsidR="0045784B" w:rsidRPr="00973D86">
        <w:rPr>
          <w:lang w:val="en-US"/>
        </w:rPr>
        <w:t xml:space="preserve"> benefited from his offences and related criminal activities i</w:t>
      </w:r>
      <w:r w:rsidR="0045784B">
        <w:rPr>
          <w:lang w:val="en-US"/>
        </w:rPr>
        <w:t>f</w:t>
      </w:r>
      <w:r w:rsidR="0045784B" w:rsidRPr="00973D86">
        <w:rPr>
          <w:lang w:val="en-US"/>
        </w:rPr>
        <w:t xml:space="preserve"> no proper documentary proof or evidence were handed in as exhibits</w:t>
      </w:r>
      <w:r w:rsidR="0045784B">
        <w:rPr>
          <w:lang w:val="en-US"/>
        </w:rPr>
        <w:t>.</w:t>
      </w:r>
    </w:p>
    <w:p w14:paraId="6A0B631C" w14:textId="77777777" w:rsidR="0045784B" w:rsidRPr="00197E88" w:rsidRDefault="0045784B" w:rsidP="00314E1B">
      <w:pPr>
        <w:pStyle w:val="ListParagraph"/>
        <w:spacing w:after="0" w:line="360" w:lineRule="auto"/>
        <w:ind w:left="0" w:firstLine="0"/>
        <w:rPr>
          <w:szCs w:val="24"/>
          <w:shd w:val="clear" w:color="auto" w:fill="FFFFFF"/>
        </w:rPr>
      </w:pPr>
    </w:p>
    <w:p w14:paraId="51E61AB0" w14:textId="1BD7AE2E" w:rsidR="0045784B" w:rsidRPr="00197E88" w:rsidRDefault="0045784B" w:rsidP="00314E1B">
      <w:pPr>
        <w:pStyle w:val="ListParagraph"/>
        <w:numPr>
          <w:ilvl w:val="0"/>
          <w:numId w:val="4"/>
        </w:numPr>
        <w:spacing w:after="0" w:line="360" w:lineRule="auto"/>
        <w:ind w:left="0" w:firstLine="0"/>
        <w:rPr>
          <w:szCs w:val="24"/>
          <w:shd w:val="clear" w:color="auto" w:fill="FFFFFF"/>
        </w:rPr>
      </w:pPr>
      <w:r>
        <w:rPr>
          <w:lang w:val="en-US"/>
        </w:rPr>
        <w:t xml:space="preserve"> The principle of </w:t>
      </w:r>
      <w:r w:rsidRPr="00DF681B">
        <w:rPr>
          <w:i/>
          <w:lang w:val="en-US"/>
        </w:rPr>
        <w:t>audi alter</w:t>
      </w:r>
      <w:r w:rsidR="00D84154">
        <w:rPr>
          <w:i/>
          <w:lang w:val="en-US"/>
        </w:rPr>
        <w:t>a</w:t>
      </w:r>
      <w:r w:rsidRPr="00DF681B">
        <w:rPr>
          <w:i/>
          <w:lang w:val="en-US"/>
        </w:rPr>
        <w:t>m partem</w:t>
      </w:r>
      <w:r>
        <w:rPr>
          <w:lang w:val="en-US"/>
        </w:rPr>
        <w:t xml:space="preserve"> and </w:t>
      </w:r>
      <w:r w:rsidR="00FE3448">
        <w:rPr>
          <w:lang w:val="en-US"/>
        </w:rPr>
        <w:t xml:space="preserve">the </w:t>
      </w:r>
      <w:r>
        <w:rPr>
          <w:lang w:val="en-US"/>
        </w:rPr>
        <w:t xml:space="preserve">hearsay rule </w:t>
      </w:r>
      <w:r w:rsidR="00D84154">
        <w:rPr>
          <w:lang w:val="en-US"/>
        </w:rPr>
        <w:t>was</w:t>
      </w:r>
      <w:r>
        <w:rPr>
          <w:lang w:val="en-US"/>
        </w:rPr>
        <w:t xml:space="preserve"> not observed by the court, and as such</w:t>
      </w:r>
      <w:r w:rsidR="00314E1B">
        <w:rPr>
          <w:lang w:val="en-US"/>
        </w:rPr>
        <w:t>,</w:t>
      </w:r>
      <w:r>
        <w:rPr>
          <w:lang w:val="en-US"/>
        </w:rPr>
        <w:t xml:space="preserve"> the court accepted inadmissible evidence.</w:t>
      </w:r>
    </w:p>
    <w:p w14:paraId="039AB2E6" w14:textId="77777777" w:rsidR="0045784B" w:rsidRPr="00197E88" w:rsidRDefault="0045784B" w:rsidP="00314E1B">
      <w:pPr>
        <w:pStyle w:val="ListParagraph"/>
        <w:spacing w:after="0" w:line="360" w:lineRule="auto"/>
        <w:ind w:left="0" w:firstLine="0"/>
        <w:rPr>
          <w:szCs w:val="24"/>
          <w:shd w:val="clear" w:color="auto" w:fill="FFFFFF"/>
        </w:rPr>
      </w:pPr>
    </w:p>
    <w:p w14:paraId="60BCD1BF" w14:textId="71E650EC" w:rsidR="0045784B" w:rsidRDefault="0045784B" w:rsidP="00314E1B">
      <w:pPr>
        <w:pStyle w:val="ListParagraph"/>
        <w:numPr>
          <w:ilvl w:val="0"/>
          <w:numId w:val="4"/>
        </w:numPr>
        <w:spacing w:after="0" w:line="360" w:lineRule="auto"/>
        <w:ind w:left="0" w:firstLine="0"/>
        <w:rPr>
          <w:szCs w:val="24"/>
          <w:shd w:val="clear" w:color="auto" w:fill="FFFFFF"/>
        </w:rPr>
      </w:pPr>
      <w:r w:rsidRPr="00D71D1E">
        <w:rPr>
          <w:szCs w:val="24"/>
          <w:shd w:val="clear" w:color="auto" w:fill="FFFFFF"/>
        </w:rPr>
        <w:t>No written authorisation in terms of s 83 of POCA was handed up in court</w:t>
      </w:r>
      <w:r>
        <w:rPr>
          <w:szCs w:val="24"/>
          <w:shd w:val="clear" w:color="auto" w:fill="FFFFFF"/>
        </w:rPr>
        <w:t>.</w:t>
      </w:r>
    </w:p>
    <w:p w14:paraId="46C78938" w14:textId="77777777" w:rsidR="0045784B" w:rsidRPr="00197E88" w:rsidRDefault="0045784B" w:rsidP="00314E1B">
      <w:pPr>
        <w:pStyle w:val="ListParagraph"/>
        <w:spacing w:after="0" w:line="360" w:lineRule="auto"/>
        <w:ind w:left="0" w:firstLine="0"/>
        <w:rPr>
          <w:szCs w:val="24"/>
          <w:shd w:val="clear" w:color="auto" w:fill="FFFFFF"/>
        </w:rPr>
      </w:pPr>
    </w:p>
    <w:p w14:paraId="6FE7F458" w14:textId="2FC0E241" w:rsidR="0045784B" w:rsidRPr="00314E1B" w:rsidRDefault="001972E7" w:rsidP="00314E1B">
      <w:pPr>
        <w:pStyle w:val="ListParagraph"/>
        <w:numPr>
          <w:ilvl w:val="0"/>
          <w:numId w:val="4"/>
        </w:numPr>
        <w:spacing w:after="0" w:line="360" w:lineRule="auto"/>
        <w:ind w:left="0" w:firstLine="0"/>
        <w:rPr>
          <w:szCs w:val="24"/>
          <w:shd w:val="clear" w:color="auto" w:fill="FFFFFF"/>
        </w:rPr>
      </w:pPr>
      <w:r>
        <w:rPr>
          <w:lang w:val="en-US"/>
        </w:rPr>
        <w:t>Although there</w:t>
      </w:r>
      <w:r w:rsidR="0045784B" w:rsidRPr="001972E7">
        <w:rPr>
          <w:lang w:val="en-US"/>
        </w:rPr>
        <w:t xml:space="preserve"> is an indication that three cases were applicable in this matter</w:t>
      </w:r>
      <w:r>
        <w:rPr>
          <w:lang w:val="en-US"/>
        </w:rPr>
        <w:t>, i.e.</w:t>
      </w:r>
      <w:r w:rsidR="0045784B" w:rsidRPr="001972E7">
        <w:rPr>
          <w:lang w:val="en-US"/>
        </w:rPr>
        <w:t xml:space="preserve"> GOB-CRM</w:t>
      </w:r>
      <w:r w:rsidR="00314E1B">
        <w:rPr>
          <w:lang w:val="en-US"/>
        </w:rPr>
        <w:t>-</w:t>
      </w:r>
      <w:r w:rsidR="0045784B" w:rsidRPr="001972E7">
        <w:rPr>
          <w:lang w:val="en-US"/>
        </w:rPr>
        <w:t>247/2019, GOB-CRM</w:t>
      </w:r>
      <w:r w:rsidR="00314E1B">
        <w:rPr>
          <w:lang w:val="en-US"/>
        </w:rPr>
        <w:t>-</w:t>
      </w:r>
      <w:r w:rsidR="0045784B" w:rsidRPr="001972E7">
        <w:rPr>
          <w:lang w:val="en-US"/>
        </w:rPr>
        <w:t>1982/2019 and GOB-CRM</w:t>
      </w:r>
      <w:r w:rsidR="00314E1B">
        <w:rPr>
          <w:lang w:val="en-US"/>
        </w:rPr>
        <w:t>-</w:t>
      </w:r>
      <w:r w:rsidR="0045784B" w:rsidRPr="001972E7">
        <w:rPr>
          <w:lang w:val="en-US"/>
        </w:rPr>
        <w:t>1983/2019</w:t>
      </w:r>
      <w:r w:rsidR="007942D6">
        <w:rPr>
          <w:lang w:val="en-US"/>
        </w:rPr>
        <w:t>,</w:t>
      </w:r>
      <w:r w:rsidR="0045784B" w:rsidRPr="001972E7">
        <w:rPr>
          <w:lang w:val="en-US"/>
        </w:rPr>
        <w:t xml:space="preserve"> none of these records ha</w:t>
      </w:r>
      <w:r w:rsidR="002A1322">
        <w:rPr>
          <w:lang w:val="en-US"/>
        </w:rPr>
        <w:t>ve</w:t>
      </w:r>
      <w:r w:rsidR="0045784B" w:rsidRPr="001972E7">
        <w:rPr>
          <w:lang w:val="en-US"/>
        </w:rPr>
        <w:t xml:space="preserve"> been handed in as exhibit</w:t>
      </w:r>
      <w:r w:rsidR="002A1322">
        <w:rPr>
          <w:lang w:val="en-US"/>
        </w:rPr>
        <w:t>s in terms of which the magistrate could make the relevant findings and the confiscation order</w:t>
      </w:r>
      <w:r w:rsidR="0045784B" w:rsidRPr="001972E7">
        <w:rPr>
          <w:lang w:val="en-US"/>
        </w:rPr>
        <w:t>.</w:t>
      </w:r>
    </w:p>
    <w:p w14:paraId="3EB9B2B3" w14:textId="77777777" w:rsidR="00314E1B" w:rsidRPr="00314E1B" w:rsidRDefault="00314E1B" w:rsidP="00314E1B">
      <w:pPr>
        <w:pStyle w:val="ListParagraph"/>
        <w:spacing w:after="0" w:line="360" w:lineRule="auto"/>
        <w:ind w:left="0" w:firstLine="0"/>
        <w:rPr>
          <w:szCs w:val="24"/>
          <w:shd w:val="clear" w:color="auto" w:fill="FFFFFF"/>
        </w:rPr>
      </w:pPr>
    </w:p>
    <w:p w14:paraId="634A648E" w14:textId="4B7C5530" w:rsidR="00F030B4" w:rsidRDefault="004B70FF" w:rsidP="00314E1B">
      <w:pPr>
        <w:spacing w:after="0" w:line="360" w:lineRule="auto"/>
        <w:ind w:left="0" w:firstLine="0"/>
        <w:rPr>
          <w:szCs w:val="24"/>
          <w:shd w:val="clear" w:color="auto" w:fill="FFFFFF"/>
        </w:rPr>
      </w:pPr>
      <w:r>
        <w:rPr>
          <w:szCs w:val="24"/>
          <w:shd w:val="clear" w:color="auto" w:fill="FFFFFF"/>
        </w:rPr>
        <w:t>[3</w:t>
      </w:r>
      <w:r w:rsidR="002A1322">
        <w:rPr>
          <w:szCs w:val="24"/>
          <w:shd w:val="clear" w:color="auto" w:fill="FFFFFF"/>
        </w:rPr>
        <w:t>9</w:t>
      </w:r>
      <w:r>
        <w:rPr>
          <w:szCs w:val="24"/>
          <w:shd w:val="clear" w:color="auto" w:fill="FFFFFF"/>
        </w:rPr>
        <w:t>]</w:t>
      </w:r>
      <w:r>
        <w:rPr>
          <w:szCs w:val="24"/>
          <w:shd w:val="clear" w:color="auto" w:fill="FFFFFF"/>
        </w:rPr>
        <w:tab/>
      </w:r>
      <w:r w:rsidR="0045784B">
        <w:rPr>
          <w:szCs w:val="24"/>
          <w:shd w:val="clear" w:color="auto" w:fill="FFFFFF"/>
        </w:rPr>
        <w:t>As already stated</w:t>
      </w:r>
      <w:r w:rsidR="00314E1B">
        <w:rPr>
          <w:szCs w:val="24"/>
          <w:shd w:val="clear" w:color="auto" w:fill="FFFFFF"/>
        </w:rPr>
        <w:t>,</w:t>
      </w:r>
      <w:r w:rsidR="0045784B">
        <w:rPr>
          <w:szCs w:val="24"/>
          <w:shd w:val="clear" w:color="auto" w:fill="FFFFFF"/>
        </w:rPr>
        <w:t xml:space="preserve"> a </w:t>
      </w:r>
      <w:r w:rsidR="006C6DCA">
        <w:rPr>
          <w:szCs w:val="24"/>
          <w:shd w:val="clear" w:color="auto" w:fill="FFFFFF"/>
        </w:rPr>
        <w:t xml:space="preserve">confiscation </w:t>
      </w:r>
      <w:r w:rsidR="002A1322">
        <w:rPr>
          <w:szCs w:val="24"/>
          <w:shd w:val="clear" w:color="auto" w:fill="FFFFFF"/>
        </w:rPr>
        <w:t>e</w:t>
      </w:r>
      <w:r w:rsidR="0045784B">
        <w:rPr>
          <w:szCs w:val="24"/>
          <w:shd w:val="clear" w:color="auto" w:fill="FFFFFF"/>
        </w:rPr>
        <w:t>nquiry is civil</w:t>
      </w:r>
      <w:r w:rsidR="006C6DCA">
        <w:rPr>
          <w:szCs w:val="24"/>
          <w:shd w:val="clear" w:color="auto" w:fill="FFFFFF"/>
        </w:rPr>
        <w:t xml:space="preserve"> in nature</w:t>
      </w:r>
      <w:r w:rsidR="0045784B">
        <w:rPr>
          <w:szCs w:val="24"/>
          <w:shd w:val="clear" w:color="auto" w:fill="FFFFFF"/>
        </w:rPr>
        <w:t xml:space="preserve"> and not criminal</w:t>
      </w:r>
      <w:r w:rsidR="00DF681B">
        <w:rPr>
          <w:szCs w:val="24"/>
          <w:shd w:val="clear" w:color="auto" w:fill="FFFFFF"/>
        </w:rPr>
        <w:t xml:space="preserve"> </w:t>
      </w:r>
      <w:r w:rsidR="006E03F7" w:rsidRPr="008F4A7D">
        <w:rPr>
          <w:szCs w:val="24"/>
          <w:shd w:val="clear" w:color="auto" w:fill="FFFFFF"/>
        </w:rPr>
        <w:t>in nature</w:t>
      </w:r>
      <w:r w:rsidR="007942D6">
        <w:rPr>
          <w:szCs w:val="24"/>
          <w:shd w:val="clear" w:color="auto" w:fill="FFFFFF"/>
        </w:rPr>
        <w:t>. From the record of proceedings, nothing</w:t>
      </w:r>
      <w:r w:rsidR="00F030B4" w:rsidRPr="008F4A7D">
        <w:rPr>
          <w:szCs w:val="24"/>
          <w:shd w:val="clear" w:color="auto" w:fill="FFFFFF"/>
        </w:rPr>
        <w:t xml:space="preserve"> </w:t>
      </w:r>
      <w:r w:rsidR="000B73F0" w:rsidRPr="008F4A7D">
        <w:rPr>
          <w:szCs w:val="24"/>
          <w:shd w:val="clear" w:color="auto" w:fill="FFFFFF"/>
        </w:rPr>
        <w:t>indicates</w:t>
      </w:r>
      <w:r w:rsidR="00F030B4" w:rsidRPr="008F4A7D">
        <w:rPr>
          <w:szCs w:val="24"/>
          <w:shd w:val="clear" w:color="auto" w:fill="FFFFFF"/>
        </w:rPr>
        <w:t xml:space="preserve"> that the co</w:t>
      </w:r>
      <w:r w:rsidR="00F030B4">
        <w:rPr>
          <w:szCs w:val="24"/>
          <w:shd w:val="clear" w:color="auto" w:fill="FFFFFF"/>
        </w:rPr>
        <w:t xml:space="preserve">urt </w:t>
      </w:r>
      <w:r w:rsidR="00F030B4" w:rsidRPr="004B5044">
        <w:rPr>
          <w:iCs/>
          <w:szCs w:val="24"/>
          <w:shd w:val="clear" w:color="auto" w:fill="FFFFFF"/>
        </w:rPr>
        <w:t>a</w:t>
      </w:r>
      <w:r w:rsidR="002A1322" w:rsidRPr="004B5044">
        <w:rPr>
          <w:iCs/>
          <w:szCs w:val="24"/>
          <w:shd w:val="clear" w:color="auto" w:fill="FFFFFF"/>
        </w:rPr>
        <w:t xml:space="preserve"> </w:t>
      </w:r>
      <w:r w:rsidR="00F030B4" w:rsidRPr="004B5044">
        <w:rPr>
          <w:iCs/>
          <w:szCs w:val="24"/>
          <w:shd w:val="clear" w:color="auto" w:fill="FFFFFF"/>
        </w:rPr>
        <w:t>quo</w:t>
      </w:r>
      <w:r w:rsidR="00F030B4">
        <w:rPr>
          <w:i/>
          <w:iCs/>
          <w:szCs w:val="24"/>
          <w:shd w:val="clear" w:color="auto" w:fill="FFFFFF"/>
        </w:rPr>
        <w:t xml:space="preserve"> </w:t>
      </w:r>
      <w:r w:rsidR="00F030B4">
        <w:rPr>
          <w:szCs w:val="24"/>
          <w:shd w:val="clear" w:color="auto" w:fill="FFFFFF"/>
        </w:rPr>
        <w:t xml:space="preserve">was not alive to this fact. It also does not show that the court conducted the proceedings as criminal </w:t>
      </w:r>
      <w:r w:rsidR="000B73F0">
        <w:rPr>
          <w:szCs w:val="24"/>
          <w:shd w:val="clear" w:color="auto" w:fill="FFFFFF"/>
        </w:rPr>
        <w:t>proceedings</w:t>
      </w:r>
      <w:r w:rsidR="00F030B4">
        <w:rPr>
          <w:szCs w:val="24"/>
          <w:shd w:val="clear" w:color="auto" w:fill="FFFFFF"/>
        </w:rPr>
        <w:t xml:space="preserve"> as opposed to civil proceedings. The ap</w:t>
      </w:r>
      <w:r w:rsidR="006E03F7">
        <w:rPr>
          <w:szCs w:val="24"/>
          <w:shd w:val="clear" w:color="auto" w:fill="FFFFFF"/>
        </w:rPr>
        <w:t>plicant was referred to as the ‘defendant’</w:t>
      </w:r>
      <w:r w:rsidR="00F030B4">
        <w:rPr>
          <w:szCs w:val="24"/>
          <w:shd w:val="clear" w:color="auto" w:fill="FFFFFF"/>
        </w:rPr>
        <w:t xml:space="preserve"> and not </w:t>
      </w:r>
      <w:r w:rsidR="000B73F0">
        <w:rPr>
          <w:szCs w:val="24"/>
          <w:shd w:val="clear" w:color="auto" w:fill="FFFFFF"/>
        </w:rPr>
        <w:t xml:space="preserve">the </w:t>
      </w:r>
      <w:r w:rsidR="00F030B4">
        <w:rPr>
          <w:szCs w:val="24"/>
          <w:shd w:val="clear" w:color="auto" w:fill="FFFFFF"/>
        </w:rPr>
        <w:t xml:space="preserve">accused, and the </w:t>
      </w:r>
      <w:r w:rsidR="00DF681B">
        <w:rPr>
          <w:szCs w:val="24"/>
          <w:shd w:val="clear" w:color="auto" w:fill="FFFFFF"/>
        </w:rPr>
        <w:t>S</w:t>
      </w:r>
      <w:r w:rsidR="00F030B4">
        <w:rPr>
          <w:szCs w:val="24"/>
          <w:shd w:val="clear" w:color="auto" w:fill="FFFFFF"/>
        </w:rPr>
        <w:t xml:space="preserve">tate was referred to as the </w:t>
      </w:r>
      <w:r w:rsidR="006E03F7">
        <w:rPr>
          <w:szCs w:val="24"/>
          <w:shd w:val="clear" w:color="auto" w:fill="FFFFFF"/>
        </w:rPr>
        <w:t>‘</w:t>
      </w:r>
      <w:r w:rsidR="00F030B4">
        <w:rPr>
          <w:szCs w:val="24"/>
          <w:shd w:val="clear" w:color="auto" w:fill="FFFFFF"/>
        </w:rPr>
        <w:t>applicant</w:t>
      </w:r>
      <w:r w:rsidR="006E03F7">
        <w:rPr>
          <w:szCs w:val="24"/>
          <w:shd w:val="clear" w:color="auto" w:fill="FFFFFF"/>
        </w:rPr>
        <w:t>’</w:t>
      </w:r>
      <w:r w:rsidR="00F030B4">
        <w:rPr>
          <w:szCs w:val="24"/>
          <w:shd w:val="clear" w:color="auto" w:fill="FFFFFF"/>
        </w:rPr>
        <w:t xml:space="preserve">. Therefore, the point raised by the applicant in </w:t>
      </w:r>
      <w:r w:rsidR="0045784B">
        <w:rPr>
          <w:szCs w:val="24"/>
          <w:shd w:val="clear" w:color="auto" w:fill="FFFFFF"/>
        </w:rPr>
        <w:t xml:space="preserve">relation to the nature of proceedings does not need to be </w:t>
      </w:r>
      <w:r w:rsidR="002A1322">
        <w:rPr>
          <w:szCs w:val="24"/>
          <w:shd w:val="clear" w:color="auto" w:fill="FFFFFF"/>
        </w:rPr>
        <w:t>belaboured</w:t>
      </w:r>
      <w:r w:rsidR="0045784B">
        <w:rPr>
          <w:szCs w:val="24"/>
          <w:shd w:val="clear" w:color="auto" w:fill="FFFFFF"/>
        </w:rPr>
        <w:t xml:space="preserve"> any further</w:t>
      </w:r>
      <w:r w:rsidR="00F030B4">
        <w:rPr>
          <w:szCs w:val="24"/>
          <w:shd w:val="clear" w:color="auto" w:fill="FFFFFF"/>
        </w:rPr>
        <w:t>.</w:t>
      </w:r>
    </w:p>
    <w:p w14:paraId="7BDCFF3B" w14:textId="77777777" w:rsidR="007942D6" w:rsidRDefault="007942D6" w:rsidP="00314E1B">
      <w:pPr>
        <w:spacing w:after="0" w:line="360" w:lineRule="auto"/>
        <w:ind w:left="0" w:firstLine="0"/>
        <w:rPr>
          <w:szCs w:val="24"/>
          <w:shd w:val="clear" w:color="auto" w:fill="FFFFFF"/>
        </w:rPr>
      </w:pPr>
    </w:p>
    <w:p w14:paraId="19D54937" w14:textId="3C46D119" w:rsidR="0045784B" w:rsidRDefault="004B70FF" w:rsidP="00F030B4">
      <w:pPr>
        <w:spacing w:line="360" w:lineRule="auto"/>
        <w:rPr>
          <w:szCs w:val="24"/>
          <w:shd w:val="clear" w:color="auto" w:fill="FFFFFF"/>
          <w:lang w:val="en-US"/>
        </w:rPr>
      </w:pPr>
      <w:r>
        <w:rPr>
          <w:szCs w:val="24"/>
          <w:shd w:val="clear" w:color="auto" w:fill="FFFFFF"/>
        </w:rPr>
        <w:t>[</w:t>
      </w:r>
      <w:r w:rsidR="002A1322">
        <w:rPr>
          <w:szCs w:val="24"/>
          <w:shd w:val="clear" w:color="auto" w:fill="FFFFFF"/>
        </w:rPr>
        <w:t>40</w:t>
      </w:r>
      <w:r>
        <w:rPr>
          <w:szCs w:val="24"/>
          <w:shd w:val="clear" w:color="auto" w:fill="FFFFFF"/>
        </w:rPr>
        <w:t>]</w:t>
      </w:r>
      <w:r>
        <w:rPr>
          <w:szCs w:val="24"/>
          <w:shd w:val="clear" w:color="auto" w:fill="FFFFFF"/>
        </w:rPr>
        <w:tab/>
      </w:r>
      <w:r w:rsidR="00F030B4">
        <w:rPr>
          <w:szCs w:val="24"/>
          <w:shd w:val="clear" w:color="auto" w:fill="FFFFFF"/>
        </w:rPr>
        <w:t>It is</w:t>
      </w:r>
      <w:r w:rsidR="002A1322">
        <w:rPr>
          <w:szCs w:val="24"/>
          <w:shd w:val="clear" w:color="auto" w:fill="FFFFFF"/>
        </w:rPr>
        <w:t xml:space="preserve"> further</w:t>
      </w:r>
      <w:r w:rsidR="00F030B4">
        <w:rPr>
          <w:szCs w:val="24"/>
          <w:shd w:val="clear" w:color="auto" w:fill="FFFFFF"/>
        </w:rPr>
        <w:t xml:space="preserve"> worth noting that under case number GOB-CRM 1983/2019, on 25 </w:t>
      </w:r>
      <w:r w:rsidR="00F030B4" w:rsidRPr="00662F27">
        <w:rPr>
          <w:szCs w:val="24"/>
          <w:shd w:val="clear" w:color="auto" w:fill="FFFFFF"/>
          <w:lang w:val="en-US"/>
        </w:rPr>
        <w:t xml:space="preserve">July 2020 </w:t>
      </w:r>
      <w:r w:rsidR="002A1322">
        <w:rPr>
          <w:szCs w:val="24"/>
          <w:shd w:val="clear" w:color="auto" w:fill="FFFFFF"/>
          <w:lang w:val="en-US"/>
        </w:rPr>
        <w:t xml:space="preserve">after his conviction on </w:t>
      </w:r>
      <w:r w:rsidR="000B73F0">
        <w:rPr>
          <w:szCs w:val="24"/>
          <w:shd w:val="clear" w:color="auto" w:fill="FFFFFF"/>
          <w:lang w:val="en-US"/>
        </w:rPr>
        <w:t xml:space="preserve">a </w:t>
      </w:r>
      <w:r w:rsidR="002A1322">
        <w:rPr>
          <w:szCs w:val="24"/>
          <w:shd w:val="clear" w:color="auto" w:fill="FFFFFF"/>
          <w:lang w:val="en-US"/>
        </w:rPr>
        <w:t xml:space="preserve">charge of theft under false </w:t>
      </w:r>
      <w:r w:rsidR="00314E1B">
        <w:rPr>
          <w:szCs w:val="24"/>
          <w:shd w:val="clear" w:color="auto" w:fill="FFFFFF"/>
          <w:lang w:val="en-US"/>
        </w:rPr>
        <w:t>pretences</w:t>
      </w:r>
      <w:r w:rsidR="002A1322">
        <w:rPr>
          <w:szCs w:val="24"/>
          <w:shd w:val="clear" w:color="auto" w:fill="FFFFFF"/>
          <w:lang w:val="en-US"/>
        </w:rPr>
        <w:t xml:space="preserve">, </w:t>
      </w:r>
      <w:r w:rsidR="00F030B4" w:rsidRPr="00662F27">
        <w:rPr>
          <w:szCs w:val="24"/>
          <w:shd w:val="clear" w:color="auto" w:fill="FFFFFF"/>
          <w:lang w:val="en-US"/>
        </w:rPr>
        <w:t xml:space="preserve">the applicant in the </w:t>
      </w:r>
      <w:r w:rsidR="00F030B4">
        <w:rPr>
          <w:szCs w:val="24"/>
          <w:shd w:val="clear" w:color="auto" w:fill="FFFFFF"/>
          <w:lang w:val="en-US"/>
        </w:rPr>
        <w:t xml:space="preserve">court </w:t>
      </w:r>
      <w:r w:rsidR="00F030B4" w:rsidRPr="00314E1B">
        <w:rPr>
          <w:iCs/>
          <w:szCs w:val="24"/>
          <w:shd w:val="clear" w:color="auto" w:fill="FFFFFF"/>
          <w:lang w:val="en-US"/>
        </w:rPr>
        <w:t>a</w:t>
      </w:r>
      <w:r w:rsidR="002A1322" w:rsidRPr="00314E1B">
        <w:rPr>
          <w:iCs/>
          <w:szCs w:val="24"/>
          <w:shd w:val="clear" w:color="auto" w:fill="FFFFFF"/>
          <w:lang w:val="en-US"/>
        </w:rPr>
        <w:t xml:space="preserve"> </w:t>
      </w:r>
      <w:r w:rsidR="00F030B4" w:rsidRPr="00314E1B">
        <w:rPr>
          <w:iCs/>
          <w:szCs w:val="24"/>
          <w:shd w:val="clear" w:color="auto" w:fill="FFFFFF"/>
          <w:lang w:val="en-US"/>
        </w:rPr>
        <w:t>quo</w:t>
      </w:r>
      <w:r w:rsidR="002A1322">
        <w:rPr>
          <w:szCs w:val="24"/>
          <w:shd w:val="clear" w:color="auto" w:fill="FFFFFF"/>
          <w:lang w:val="en-US"/>
        </w:rPr>
        <w:t xml:space="preserve"> indicated his willingness </w:t>
      </w:r>
      <w:r w:rsidR="00F030B4" w:rsidRPr="00662F27">
        <w:rPr>
          <w:szCs w:val="24"/>
          <w:shd w:val="clear" w:color="auto" w:fill="FFFFFF"/>
          <w:lang w:val="en-US"/>
        </w:rPr>
        <w:t xml:space="preserve">to compensate the complainant the amount of </w:t>
      </w:r>
      <w:r w:rsidR="00F030B4">
        <w:rPr>
          <w:szCs w:val="24"/>
          <w:shd w:val="clear" w:color="auto" w:fill="FFFFFF"/>
          <w:lang w:val="en-US"/>
        </w:rPr>
        <w:t>money</w:t>
      </w:r>
      <w:r w:rsidR="00F030B4" w:rsidRPr="00662F27">
        <w:rPr>
          <w:szCs w:val="24"/>
          <w:shd w:val="clear" w:color="auto" w:fill="FFFFFF"/>
          <w:lang w:val="en-US"/>
        </w:rPr>
        <w:t xml:space="preserve"> that </w:t>
      </w:r>
      <w:r w:rsidR="0088457A">
        <w:rPr>
          <w:szCs w:val="24"/>
          <w:shd w:val="clear" w:color="auto" w:fill="FFFFFF"/>
          <w:lang w:val="en-US"/>
        </w:rPr>
        <w:t>he (the applicant)</w:t>
      </w:r>
      <w:r w:rsidR="00F030B4" w:rsidRPr="00662F27">
        <w:rPr>
          <w:szCs w:val="24"/>
          <w:shd w:val="clear" w:color="auto" w:fill="FFFFFF"/>
          <w:lang w:val="en-US"/>
        </w:rPr>
        <w:t xml:space="preserve"> </w:t>
      </w:r>
      <w:r w:rsidR="00F030B4">
        <w:rPr>
          <w:szCs w:val="24"/>
          <w:shd w:val="clear" w:color="auto" w:fill="FFFFFF"/>
          <w:lang w:val="en-US"/>
        </w:rPr>
        <w:t>stole</w:t>
      </w:r>
      <w:r w:rsidR="00F030B4" w:rsidRPr="00662F27">
        <w:rPr>
          <w:szCs w:val="24"/>
          <w:shd w:val="clear" w:color="auto" w:fill="FFFFFF"/>
          <w:lang w:val="en-US"/>
        </w:rPr>
        <w:t xml:space="preserve">. </w:t>
      </w:r>
      <w:r w:rsidR="00E265CC">
        <w:rPr>
          <w:szCs w:val="24"/>
          <w:shd w:val="clear" w:color="auto" w:fill="FFFFFF"/>
          <w:lang w:val="en-US"/>
        </w:rPr>
        <w:t>The a</w:t>
      </w:r>
      <w:r w:rsidR="00F030B4">
        <w:rPr>
          <w:szCs w:val="24"/>
          <w:shd w:val="clear" w:color="auto" w:fill="FFFFFF"/>
          <w:lang w:val="en-US"/>
        </w:rPr>
        <w:t>pplicant</w:t>
      </w:r>
      <w:r w:rsidR="00F030B4" w:rsidRPr="00662F27">
        <w:rPr>
          <w:szCs w:val="24"/>
          <w:shd w:val="clear" w:color="auto" w:fill="FFFFFF"/>
          <w:lang w:val="en-US"/>
        </w:rPr>
        <w:t xml:space="preserve"> sought time to make </w:t>
      </w:r>
      <w:r w:rsidR="00314E1B">
        <w:rPr>
          <w:szCs w:val="24"/>
          <w:shd w:val="clear" w:color="auto" w:fill="FFFFFF"/>
          <w:lang w:val="en-US"/>
        </w:rPr>
        <w:t>arrangements</w:t>
      </w:r>
      <w:r w:rsidR="00F030B4" w:rsidRPr="00662F27">
        <w:rPr>
          <w:szCs w:val="24"/>
          <w:shd w:val="clear" w:color="auto" w:fill="FFFFFF"/>
          <w:lang w:val="en-US"/>
        </w:rPr>
        <w:t xml:space="preserve"> with his family to effect this compensation</w:t>
      </w:r>
      <w:r w:rsidR="00F030B4">
        <w:rPr>
          <w:szCs w:val="24"/>
          <w:shd w:val="clear" w:color="auto" w:fill="FFFFFF"/>
          <w:lang w:val="en-US"/>
        </w:rPr>
        <w:t xml:space="preserve"> to the complainant</w:t>
      </w:r>
      <w:r w:rsidR="00F030B4" w:rsidRPr="00662F27">
        <w:rPr>
          <w:szCs w:val="24"/>
          <w:shd w:val="clear" w:color="auto" w:fill="FFFFFF"/>
          <w:lang w:val="en-US"/>
        </w:rPr>
        <w:t>. This type of compensation is the nature that is envisaged in s 32</w:t>
      </w:r>
      <w:r w:rsidR="00F030B4">
        <w:rPr>
          <w:szCs w:val="24"/>
          <w:shd w:val="clear" w:color="auto" w:fill="FFFFFF"/>
          <w:lang w:val="en-US"/>
        </w:rPr>
        <w:t>(3)</w:t>
      </w:r>
      <w:r w:rsidR="00F030B4" w:rsidRPr="00662F27">
        <w:rPr>
          <w:szCs w:val="24"/>
          <w:shd w:val="clear" w:color="auto" w:fill="FFFFFF"/>
          <w:lang w:val="en-US"/>
        </w:rPr>
        <w:t xml:space="preserve"> of </w:t>
      </w:r>
      <w:r w:rsidR="00F030B4">
        <w:rPr>
          <w:szCs w:val="24"/>
          <w:shd w:val="clear" w:color="auto" w:fill="FFFFFF"/>
          <w:lang w:val="en-US"/>
        </w:rPr>
        <w:t>POCA</w:t>
      </w:r>
      <w:r w:rsidR="00F030B4" w:rsidRPr="00662F27">
        <w:rPr>
          <w:szCs w:val="24"/>
          <w:shd w:val="clear" w:color="auto" w:fill="FFFFFF"/>
          <w:lang w:val="en-US"/>
        </w:rPr>
        <w:t>.</w:t>
      </w:r>
      <w:r w:rsidR="00F030B4">
        <w:rPr>
          <w:szCs w:val="24"/>
          <w:shd w:val="clear" w:color="auto" w:fill="FFFFFF"/>
          <w:lang w:val="en-US"/>
        </w:rPr>
        <w:t xml:space="preserve"> </w:t>
      </w:r>
      <w:r w:rsidR="00F030B4" w:rsidRPr="00662F27">
        <w:rPr>
          <w:szCs w:val="24"/>
          <w:shd w:val="clear" w:color="auto" w:fill="FFFFFF"/>
          <w:lang w:val="en-US"/>
        </w:rPr>
        <w:t>The re</w:t>
      </w:r>
      <w:r w:rsidR="00F030B4">
        <w:rPr>
          <w:szCs w:val="24"/>
          <w:shd w:val="clear" w:color="auto" w:fill="FFFFFF"/>
          <w:lang w:val="en-US"/>
        </w:rPr>
        <w:t>cord</w:t>
      </w:r>
      <w:r w:rsidR="00F030B4" w:rsidRPr="00662F27">
        <w:rPr>
          <w:szCs w:val="24"/>
          <w:shd w:val="clear" w:color="auto" w:fill="FFFFFF"/>
          <w:lang w:val="en-US"/>
        </w:rPr>
        <w:t xml:space="preserve"> does not have any further details as to what became of this undertaking by the applicant at the time. </w:t>
      </w:r>
      <w:r w:rsidR="00F030B4">
        <w:rPr>
          <w:szCs w:val="24"/>
          <w:shd w:val="clear" w:color="auto" w:fill="FFFFFF"/>
          <w:lang w:val="en-US"/>
        </w:rPr>
        <w:t xml:space="preserve">None of the parties addressed this aspect. </w:t>
      </w:r>
      <w:r w:rsidR="006C6DCA">
        <w:rPr>
          <w:szCs w:val="24"/>
          <w:shd w:val="clear" w:color="auto" w:fill="FFFFFF"/>
          <w:lang w:val="en-US"/>
        </w:rPr>
        <w:t>Therefore,</w:t>
      </w:r>
      <w:r w:rsidR="0045784B">
        <w:rPr>
          <w:szCs w:val="24"/>
          <w:shd w:val="clear" w:color="auto" w:fill="FFFFFF"/>
          <w:lang w:val="en-US"/>
        </w:rPr>
        <w:t xml:space="preserve"> at the very least, what is contemplated by s 32 of POCA showed its face on </w:t>
      </w:r>
      <w:r w:rsidR="00314E1B">
        <w:rPr>
          <w:szCs w:val="24"/>
          <w:shd w:val="clear" w:color="auto" w:fill="FFFFFF"/>
          <w:lang w:val="en-US"/>
        </w:rPr>
        <w:t>25</w:t>
      </w:r>
      <w:r w:rsidR="0045784B">
        <w:rPr>
          <w:szCs w:val="24"/>
          <w:shd w:val="clear" w:color="auto" w:fill="FFFFFF"/>
          <w:lang w:val="en-US"/>
        </w:rPr>
        <w:t xml:space="preserve"> July 2020. It is an indication that the parties were a</w:t>
      </w:r>
      <w:r w:rsidR="001D62E4">
        <w:rPr>
          <w:szCs w:val="24"/>
          <w:shd w:val="clear" w:color="auto" w:fill="FFFFFF"/>
          <w:lang w:val="en-US"/>
        </w:rPr>
        <w:t xml:space="preserve">live </w:t>
      </w:r>
      <w:r w:rsidR="006C6DCA">
        <w:rPr>
          <w:szCs w:val="24"/>
          <w:shd w:val="clear" w:color="auto" w:fill="FFFFFF"/>
          <w:lang w:val="en-US"/>
        </w:rPr>
        <w:t>to</w:t>
      </w:r>
      <w:r w:rsidR="0045784B">
        <w:rPr>
          <w:szCs w:val="24"/>
          <w:shd w:val="clear" w:color="auto" w:fill="FFFFFF"/>
          <w:lang w:val="en-US"/>
        </w:rPr>
        <w:t xml:space="preserve"> this fact</w:t>
      </w:r>
      <w:r w:rsidR="006C6DCA">
        <w:rPr>
          <w:szCs w:val="24"/>
          <w:shd w:val="clear" w:color="auto" w:fill="FFFFFF"/>
          <w:lang w:val="en-US"/>
        </w:rPr>
        <w:t xml:space="preserve"> (confiscation)</w:t>
      </w:r>
      <w:r w:rsidR="0045784B">
        <w:rPr>
          <w:szCs w:val="24"/>
          <w:shd w:val="clear" w:color="auto" w:fill="FFFFFF"/>
          <w:lang w:val="en-US"/>
        </w:rPr>
        <w:t xml:space="preserve"> at that stage already.</w:t>
      </w:r>
    </w:p>
    <w:p w14:paraId="0906B5D6" w14:textId="7DB95978" w:rsidR="00F030B4" w:rsidRDefault="00495F49" w:rsidP="00F030B4">
      <w:pPr>
        <w:spacing w:line="360" w:lineRule="auto"/>
        <w:rPr>
          <w:szCs w:val="24"/>
          <w:shd w:val="clear" w:color="auto" w:fill="FFFFFF"/>
          <w:lang w:val="en-US"/>
        </w:rPr>
      </w:pPr>
      <w:r>
        <w:rPr>
          <w:szCs w:val="24"/>
          <w:shd w:val="clear" w:color="auto" w:fill="FFFFFF"/>
          <w:lang w:val="en-US"/>
        </w:rPr>
        <w:lastRenderedPageBreak/>
        <w:t>[4</w:t>
      </w:r>
      <w:r w:rsidR="00E265CC">
        <w:rPr>
          <w:szCs w:val="24"/>
          <w:shd w:val="clear" w:color="auto" w:fill="FFFFFF"/>
          <w:lang w:val="en-US"/>
        </w:rPr>
        <w:t>1</w:t>
      </w:r>
      <w:r w:rsidR="004B70FF">
        <w:rPr>
          <w:szCs w:val="24"/>
          <w:shd w:val="clear" w:color="auto" w:fill="FFFFFF"/>
          <w:lang w:val="en-US"/>
        </w:rPr>
        <w:t>]</w:t>
      </w:r>
      <w:r w:rsidR="004B70FF">
        <w:rPr>
          <w:szCs w:val="24"/>
          <w:shd w:val="clear" w:color="auto" w:fill="FFFFFF"/>
          <w:lang w:val="en-US"/>
        </w:rPr>
        <w:tab/>
      </w:r>
      <w:r w:rsidR="00CF0DDC">
        <w:rPr>
          <w:szCs w:val="24"/>
          <w:shd w:val="clear" w:color="auto" w:fill="FFFFFF"/>
          <w:lang w:val="en-US"/>
        </w:rPr>
        <w:t xml:space="preserve">As a result of the applicant’s undertaking, the matter was postponed to </w:t>
      </w:r>
      <w:r w:rsidR="00314E1B">
        <w:rPr>
          <w:szCs w:val="24"/>
          <w:shd w:val="clear" w:color="auto" w:fill="FFFFFF"/>
          <w:lang w:val="en-US"/>
        </w:rPr>
        <w:t>13</w:t>
      </w:r>
      <w:r w:rsidR="00CF0DDC">
        <w:rPr>
          <w:szCs w:val="24"/>
          <w:shd w:val="clear" w:color="auto" w:fill="FFFFFF"/>
          <w:lang w:val="en-US"/>
        </w:rPr>
        <w:t xml:space="preserve"> Ju</w:t>
      </w:r>
      <w:r w:rsidR="00314E1B">
        <w:rPr>
          <w:szCs w:val="24"/>
          <w:shd w:val="clear" w:color="auto" w:fill="FFFFFF"/>
          <w:lang w:val="en-US"/>
        </w:rPr>
        <w:t xml:space="preserve">ly 2020 for sentencing. On 13 </w:t>
      </w:r>
      <w:r w:rsidR="00CF0DDC">
        <w:rPr>
          <w:szCs w:val="24"/>
          <w:shd w:val="clear" w:color="auto" w:fill="FFFFFF"/>
          <w:lang w:val="en-US"/>
        </w:rPr>
        <w:t>July 2020, again</w:t>
      </w:r>
      <w:r w:rsidR="007942D6">
        <w:rPr>
          <w:szCs w:val="24"/>
          <w:shd w:val="clear" w:color="auto" w:fill="FFFFFF"/>
          <w:lang w:val="en-US"/>
        </w:rPr>
        <w:t>,</w:t>
      </w:r>
      <w:r w:rsidR="00CF0DDC">
        <w:rPr>
          <w:szCs w:val="24"/>
          <w:shd w:val="clear" w:color="auto" w:fill="FFFFFF"/>
          <w:lang w:val="en-US"/>
        </w:rPr>
        <w:t xml:space="preserve"> it was intimated by the </w:t>
      </w:r>
      <w:r w:rsidR="00E265CC">
        <w:rPr>
          <w:szCs w:val="24"/>
          <w:shd w:val="clear" w:color="auto" w:fill="FFFFFF"/>
          <w:lang w:val="en-US"/>
        </w:rPr>
        <w:t xml:space="preserve">public </w:t>
      </w:r>
      <w:r w:rsidR="006C6DCA">
        <w:rPr>
          <w:szCs w:val="24"/>
          <w:shd w:val="clear" w:color="auto" w:fill="FFFFFF"/>
          <w:lang w:val="en-US"/>
        </w:rPr>
        <w:t>prosecutor</w:t>
      </w:r>
      <w:r w:rsidR="00CF0DDC">
        <w:rPr>
          <w:szCs w:val="24"/>
          <w:shd w:val="clear" w:color="auto" w:fill="FFFFFF"/>
          <w:lang w:val="en-US"/>
        </w:rPr>
        <w:t xml:space="preserve"> that the </w:t>
      </w:r>
      <w:r w:rsidR="00E265CC">
        <w:rPr>
          <w:szCs w:val="24"/>
          <w:shd w:val="clear" w:color="auto" w:fill="FFFFFF"/>
          <w:lang w:val="en-US"/>
        </w:rPr>
        <w:t>applicant has</w:t>
      </w:r>
      <w:r w:rsidR="00CF0DDC">
        <w:rPr>
          <w:szCs w:val="24"/>
          <w:shd w:val="clear" w:color="auto" w:fill="FFFFFF"/>
          <w:lang w:val="en-US"/>
        </w:rPr>
        <w:t xml:space="preserve"> to pay some funds</w:t>
      </w:r>
      <w:r w:rsidR="006C6DCA">
        <w:rPr>
          <w:szCs w:val="24"/>
          <w:shd w:val="clear" w:color="auto" w:fill="FFFFFF"/>
          <w:lang w:val="en-US"/>
        </w:rPr>
        <w:t xml:space="preserve"> to the complainant</w:t>
      </w:r>
      <w:r w:rsidR="00CF0DDC">
        <w:rPr>
          <w:szCs w:val="24"/>
          <w:shd w:val="clear" w:color="auto" w:fill="FFFFFF"/>
          <w:lang w:val="en-US"/>
        </w:rPr>
        <w:t>, and a letter to the prison official was requested.</w:t>
      </w:r>
      <w:r w:rsidR="006C6DCA">
        <w:rPr>
          <w:szCs w:val="24"/>
          <w:shd w:val="clear" w:color="auto" w:fill="FFFFFF"/>
          <w:lang w:val="en-US"/>
        </w:rPr>
        <w:t xml:space="preserve"> No further details were provided in the court </w:t>
      </w:r>
      <w:r w:rsidR="006C6DCA" w:rsidRPr="00314E1B">
        <w:rPr>
          <w:iCs/>
          <w:szCs w:val="24"/>
          <w:shd w:val="clear" w:color="auto" w:fill="FFFFFF"/>
          <w:lang w:val="en-US"/>
        </w:rPr>
        <w:t>a</w:t>
      </w:r>
      <w:r w:rsidR="00E265CC" w:rsidRPr="00314E1B">
        <w:rPr>
          <w:iCs/>
          <w:szCs w:val="24"/>
          <w:shd w:val="clear" w:color="auto" w:fill="FFFFFF"/>
          <w:lang w:val="en-US"/>
        </w:rPr>
        <w:t xml:space="preserve"> </w:t>
      </w:r>
      <w:r w:rsidR="006C6DCA" w:rsidRPr="00314E1B">
        <w:rPr>
          <w:iCs/>
          <w:szCs w:val="24"/>
          <w:shd w:val="clear" w:color="auto" w:fill="FFFFFF"/>
          <w:lang w:val="en-US"/>
        </w:rPr>
        <w:t>quo</w:t>
      </w:r>
      <w:r w:rsidR="006C6DCA">
        <w:rPr>
          <w:szCs w:val="24"/>
          <w:shd w:val="clear" w:color="auto" w:fill="FFFFFF"/>
          <w:lang w:val="en-US"/>
        </w:rPr>
        <w:t xml:space="preserve"> </w:t>
      </w:r>
      <w:r w:rsidR="006C6DCA" w:rsidRPr="008F4A7D">
        <w:rPr>
          <w:szCs w:val="24"/>
          <w:shd w:val="clear" w:color="auto" w:fill="FFFFFF"/>
          <w:lang w:val="en-US"/>
        </w:rPr>
        <w:t xml:space="preserve">or </w:t>
      </w:r>
      <w:r w:rsidR="006211DA" w:rsidRPr="008F4A7D">
        <w:rPr>
          <w:szCs w:val="24"/>
          <w:shd w:val="clear" w:color="auto" w:fill="FFFFFF"/>
          <w:lang w:val="en-US"/>
        </w:rPr>
        <w:t xml:space="preserve">in </w:t>
      </w:r>
      <w:r w:rsidR="006C6DCA" w:rsidRPr="008F4A7D">
        <w:rPr>
          <w:szCs w:val="24"/>
          <w:shd w:val="clear" w:color="auto" w:fill="FFFFFF"/>
          <w:lang w:val="en-US"/>
        </w:rPr>
        <w:t>this</w:t>
      </w:r>
      <w:r w:rsidR="006C6DCA">
        <w:rPr>
          <w:szCs w:val="24"/>
          <w:shd w:val="clear" w:color="auto" w:fill="FFFFFF"/>
          <w:lang w:val="en-US"/>
        </w:rPr>
        <w:t xml:space="preserve"> review application as to what became of this arrangement.</w:t>
      </w:r>
      <w:r w:rsidR="00CF0DDC">
        <w:rPr>
          <w:szCs w:val="24"/>
          <w:shd w:val="clear" w:color="auto" w:fill="FFFFFF"/>
          <w:lang w:val="en-US"/>
        </w:rPr>
        <w:t xml:space="preserve"> For the first time</w:t>
      </w:r>
      <w:r w:rsidR="006C6DCA">
        <w:rPr>
          <w:szCs w:val="24"/>
          <w:shd w:val="clear" w:color="auto" w:fill="FFFFFF"/>
          <w:lang w:val="en-US"/>
        </w:rPr>
        <w:t xml:space="preserve"> </w:t>
      </w:r>
      <w:r w:rsidR="00E265CC">
        <w:rPr>
          <w:szCs w:val="24"/>
          <w:shd w:val="clear" w:color="auto" w:fill="FFFFFF"/>
          <w:lang w:val="en-US"/>
        </w:rPr>
        <w:t xml:space="preserve">on </w:t>
      </w:r>
      <w:r w:rsidR="006C6DCA">
        <w:rPr>
          <w:szCs w:val="24"/>
          <w:shd w:val="clear" w:color="auto" w:fill="FFFFFF"/>
          <w:lang w:val="en-US"/>
        </w:rPr>
        <w:t>13 July 2020</w:t>
      </w:r>
      <w:r w:rsidR="00CF0DDC">
        <w:rPr>
          <w:szCs w:val="24"/>
          <w:shd w:val="clear" w:color="auto" w:fill="FFFFFF"/>
          <w:lang w:val="en-US"/>
        </w:rPr>
        <w:t xml:space="preserve">, the </w:t>
      </w:r>
      <w:r w:rsidR="00E265CC">
        <w:rPr>
          <w:szCs w:val="24"/>
          <w:shd w:val="clear" w:color="auto" w:fill="FFFFFF"/>
          <w:lang w:val="en-US"/>
        </w:rPr>
        <w:t xml:space="preserve">public </w:t>
      </w:r>
      <w:r w:rsidR="00CF0DDC">
        <w:rPr>
          <w:szCs w:val="24"/>
          <w:shd w:val="clear" w:color="auto" w:fill="FFFFFF"/>
          <w:lang w:val="en-US"/>
        </w:rPr>
        <w:t xml:space="preserve">prosecutor indicated that the </w:t>
      </w:r>
      <w:r w:rsidR="00E265CC">
        <w:rPr>
          <w:szCs w:val="24"/>
          <w:shd w:val="clear" w:color="auto" w:fill="FFFFFF"/>
          <w:lang w:val="en-US"/>
        </w:rPr>
        <w:t>S</w:t>
      </w:r>
      <w:r w:rsidR="00CF0DDC">
        <w:rPr>
          <w:szCs w:val="24"/>
          <w:shd w:val="clear" w:color="auto" w:fill="FFFFFF"/>
          <w:lang w:val="en-US"/>
        </w:rPr>
        <w:t xml:space="preserve">tate </w:t>
      </w:r>
      <w:r w:rsidR="006C6DCA">
        <w:rPr>
          <w:szCs w:val="24"/>
          <w:shd w:val="clear" w:color="auto" w:fill="FFFFFF"/>
          <w:lang w:val="en-US"/>
        </w:rPr>
        <w:t>intends</w:t>
      </w:r>
      <w:r w:rsidR="00CF0DDC">
        <w:rPr>
          <w:szCs w:val="24"/>
          <w:shd w:val="clear" w:color="auto" w:fill="FFFFFF"/>
          <w:lang w:val="en-US"/>
        </w:rPr>
        <w:t xml:space="preserve"> to file </w:t>
      </w:r>
      <w:r w:rsidR="00314E1B">
        <w:rPr>
          <w:szCs w:val="24"/>
          <w:shd w:val="clear" w:color="auto" w:fill="FFFFFF"/>
          <w:lang w:val="en-US"/>
        </w:rPr>
        <w:t>a</w:t>
      </w:r>
      <w:r w:rsidR="00CF0DDC">
        <w:rPr>
          <w:szCs w:val="24"/>
          <w:shd w:val="clear" w:color="auto" w:fill="FFFFFF"/>
          <w:lang w:val="en-US"/>
        </w:rPr>
        <w:t xml:space="preserve"> s 32(1) POCA application. Consequently, the matter was postponed to 30 July 2020 for </w:t>
      </w:r>
      <w:r w:rsidR="00314E1B">
        <w:rPr>
          <w:szCs w:val="24"/>
          <w:shd w:val="clear" w:color="auto" w:fill="FFFFFF"/>
          <w:lang w:val="en-US"/>
        </w:rPr>
        <w:t xml:space="preserve">sentencing. On </w:t>
      </w:r>
      <w:r w:rsidR="00CF0DDC">
        <w:rPr>
          <w:szCs w:val="24"/>
          <w:shd w:val="clear" w:color="auto" w:fill="FFFFFF"/>
          <w:lang w:val="en-US"/>
        </w:rPr>
        <w:t xml:space="preserve">30 July 2020, the accused was absent </w:t>
      </w:r>
      <w:r w:rsidR="00E265CC">
        <w:rPr>
          <w:szCs w:val="24"/>
          <w:shd w:val="clear" w:color="auto" w:fill="FFFFFF"/>
          <w:lang w:val="en-US"/>
        </w:rPr>
        <w:t xml:space="preserve">from court </w:t>
      </w:r>
      <w:r w:rsidR="00CF0DDC">
        <w:rPr>
          <w:szCs w:val="24"/>
          <w:shd w:val="clear" w:color="auto" w:fill="FFFFFF"/>
          <w:lang w:val="en-US"/>
        </w:rPr>
        <w:t xml:space="preserve">as he was not brought from Windhoek. As a result, the matter was remanded to </w:t>
      </w:r>
      <w:r w:rsidR="00314E1B">
        <w:rPr>
          <w:szCs w:val="24"/>
          <w:shd w:val="clear" w:color="auto" w:fill="FFFFFF"/>
          <w:lang w:val="en-US"/>
        </w:rPr>
        <w:t>3 August</w:t>
      </w:r>
      <w:r w:rsidR="00CF0DDC">
        <w:rPr>
          <w:szCs w:val="24"/>
          <w:shd w:val="clear" w:color="auto" w:fill="FFFFFF"/>
          <w:lang w:val="en-US"/>
        </w:rPr>
        <w:t xml:space="preserve"> 2020.</w:t>
      </w:r>
    </w:p>
    <w:p w14:paraId="7263A179" w14:textId="17E9D905" w:rsidR="00CF0DDC" w:rsidRPr="008F4A7D" w:rsidRDefault="004B70FF" w:rsidP="00F030B4">
      <w:pPr>
        <w:spacing w:line="360" w:lineRule="auto"/>
        <w:rPr>
          <w:szCs w:val="24"/>
          <w:shd w:val="clear" w:color="auto" w:fill="FFFFFF"/>
          <w:lang w:val="en-US"/>
        </w:rPr>
      </w:pPr>
      <w:r>
        <w:rPr>
          <w:szCs w:val="24"/>
          <w:shd w:val="clear" w:color="auto" w:fill="FFFFFF"/>
          <w:lang w:val="en-US"/>
        </w:rPr>
        <w:t>[42]</w:t>
      </w:r>
      <w:r>
        <w:rPr>
          <w:szCs w:val="24"/>
          <w:shd w:val="clear" w:color="auto" w:fill="FFFFFF"/>
          <w:lang w:val="en-US"/>
        </w:rPr>
        <w:tab/>
      </w:r>
      <w:r w:rsidR="000674A4">
        <w:rPr>
          <w:szCs w:val="24"/>
          <w:shd w:val="clear" w:color="auto" w:fill="FFFFFF"/>
          <w:lang w:val="en-US"/>
        </w:rPr>
        <w:t xml:space="preserve">On 3 August 2020, the </w:t>
      </w:r>
      <w:r w:rsidR="00E265CC">
        <w:rPr>
          <w:szCs w:val="24"/>
          <w:shd w:val="clear" w:color="auto" w:fill="FFFFFF"/>
          <w:lang w:val="en-US"/>
        </w:rPr>
        <w:t xml:space="preserve">public </w:t>
      </w:r>
      <w:r w:rsidR="000674A4">
        <w:rPr>
          <w:szCs w:val="24"/>
          <w:shd w:val="clear" w:color="auto" w:fill="FFFFFF"/>
          <w:lang w:val="en-US"/>
        </w:rPr>
        <w:t>prosecutor indicated that t</w:t>
      </w:r>
      <w:r w:rsidR="00CF202B">
        <w:rPr>
          <w:szCs w:val="24"/>
          <w:shd w:val="clear" w:color="auto" w:fill="FFFFFF"/>
          <w:lang w:val="en-US"/>
        </w:rPr>
        <w:t xml:space="preserve">he matter was on the roll for </w:t>
      </w:r>
      <w:r w:rsidR="000674A4" w:rsidRPr="008F4A7D">
        <w:rPr>
          <w:szCs w:val="24"/>
          <w:shd w:val="clear" w:color="auto" w:fill="FFFFFF"/>
          <w:lang w:val="en-US"/>
        </w:rPr>
        <w:t xml:space="preserve">s 32(1) of POCA </w:t>
      </w:r>
      <w:r w:rsidR="00CF202B" w:rsidRPr="008F4A7D">
        <w:rPr>
          <w:szCs w:val="24"/>
          <w:shd w:val="clear" w:color="auto" w:fill="FFFFFF"/>
          <w:lang w:val="en-US"/>
        </w:rPr>
        <w:t xml:space="preserve">enquiry </w:t>
      </w:r>
      <w:r w:rsidR="000674A4" w:rsidRPr="008F4A7D">
        <w:rPr>
          <w:szCs w:val="24"/>
          <w:shd w:val="clear" w:color="auto" w:fill="FFFFFF"/>
          <w:lang w:val="en-US"/>
        </w:rPr>
        <w:t xml:space="preserve">and for sentencing. The </w:t>
      </w:r>
      <w:r w:rsidR="00E265CC" w:rsidRPr="008F4A7D">
        <w:rPr>
          <w:szCs w:val="24"/>
          <w:shd w:val="clear" w:color="auto" w:fill="FFFFFF"/>
          <w:lang w:val="en-US"/>
        </w:rPr>
        <w:t>public p</w:t>
      </w:r>
      <w:r w:rsidR="000674A4" w:rsidRPr="008F4A7D">
        <w:rPr>
          <w:szCs w:val="24"/>
          <w:shd w:val="clear" w:color="auto" w:fill="FFFFFF"/>
          <w:lang w:val="en-US"/>
        </w:rPr>
        <w:t xml:space="preserve">rosecutor further stated that for </w:t>
      </w:r>
      <w:r w:rsidR="00314E1B">
        <w:rPr>
          <w:szCs w:val="24"/>
          <w:shd w:val="clear" w:color="auto" w:fill="FFFFFF"/>
          <w:lang w:val="en-US"/>
        </w:rPr>
        <w:t xml:space="preserve">the </w:t>
      </w:r>
      <w:r w:rsidR="000674A4" w:rsidRPr="008F4A7D">
        <w:rPr>
          <w:szCs w:val="24"/>
          <w:shd w:val="clear" w:color="auto" w:fill="FFFFFF"/>
          <w:lang w:val="en-US"/>
        </w:rPr>
        <w:t xml:space="preserve">s 32(1) of POCA </w:t>
      </w:r>
      <w:r w:rsidR="00E265CC" w:rsidRPr="008F4A7D">
        <w:rPr>
          <w:szCs w:val="24"/>
          <w:shd w:val="clear" w:color="auto" w:fill="FFFFFF"/>
          <w:lang w:val="en-US"/>
        </w:rPr>
        <w:t>e</w:t>
      </w:r>
      <w:r w:rsidR="000674A4" w:rsidRPr="008F4A7D">
        <w:rPr>
          <w:szCs w:val="24"/>
          <w:shd w:val="clear" w:color="auto" w:fill="FFFFFF"/>
          <w:lang w:val="en-US"/>
        </w:rPr>
        <w:t>nquiry to take place, it is imperative that there should be authori</w:t>
      </w:r>
      <w:r w:rsidR="00E265CC" w:rsidRPr="008F4A7D">
        <w:rPr>
          <w:szCs w:val="24"/>
          <w:shd w:val="clear" w:color="auto" w:fill="FFFFFF"/>
          <w:lang w:val="en-US"/>
        </w:rPr>
        <w:t>s</w:t>
      </w:r>
      <w:r w:rsidR="000674A4" w:rsidRPr="008F4A7D">
        <w:rPr>
          <w:szCs w:val="24"/>
          <w:shd w:val="clear" w:color="auto" w:fill="FFFFFF"/>
          <w:lang w:val="en-US"/>
        </w:rPr>
        <w:t>ation in terms of s</w:t>
      </w:r>
      <w:r w:rsidR="00BA1360" w:rsidRPr="008F4A7D">
        <w:rPr>
          <w:szCs w:val="24"/>
          <w:shd w:val="clear" w:color="auto" w:fill="FFFFFF"/>
          <w:lang w:val="en-US"/>
        </w:rPr>
        <w:t xml:space="preserve"> </w:t>
      </w:r>
      <w:r w:rsidR="00DA5396" w:rsidRPr="008F4A7D">
        <w:rPr>
          <w:szCs w:val="24"/>
          <w:shd w:val="clear" w:color="auto" w:fill="FFFFFF"/>
          <w:lang w:val="en-US"/>
        </w:rPr>
        <w:t>32 and</w:t>
      </w:r>
      <w:r w:rsidR="000674A4" w:rsidRPr="008F4A7D">
        <w:rPr>
          <w:szCs w:val="24"/>
          <w:shd w:val="clear" w:color="auto" w:fill="FFFFFF"/>
          <w:lang w:val="en-US"/>
        </w:rPr>
        <w:t xml:space="preserve"> </w:t>
      </w:r>
      <w:r w:rsidR="00314E1B">
        <w:rPr>
          <w:szCs w:val="24"/>
          <w:shd w:val="clear" w:color="auto" w:fill="FFFFFF"/>
          <w:lang w:val="en-US"/>
        </w:rPr>
        <w:t>s</w:t>
      </w:r>
      <w:r w:rsidR="004B5044">
        <w:rPr>
          <w:szCs w:val="24"/>
          <w:shd w:val="clear" w:color="auto" w:fill="FFFFFF"/>
          <w:lang w:val="en-US"/>
        </w:rPr>
        <w:t xml:space="preserve">ought </w:t>
      </w:r>
      <w:r w:rsidR="000674A4" w:rsidRPr="008F4A7D">
        <w:rPr>
          <w:szCs w:val="24"/>
          <w:shd w:val="clear" w:color="auto" w:fill="FFFFFF"/>
          <w:lang w:val="en-US"/>
        </w:rPr>
        <w:t>permission from the court to hand in the authori</w:t>
      </w:r>
      <w:r w:rsidR="00E265CC" w:rsidRPr="008F4A7D">
        <w:rPr>
          <w:szCs w:val="24"/>
          <w:shd w:val="clear" w:color="auto" w:fill="FFFFFF"/>
          <w:lang w:val="en-US"/>
        </w:rPr>
        <w:t>s</w:t>
      </w:r>
      <w:r w:rsidR="000674A4" w:rsidRPr="008F4A7D">
        <w:rPr>
          <w:szCs w:val="24"/>
          <w:shd w:val="clear" w:color="auto" w:fill="FFFFFF"/>
          <w:lang w:val="en-US"/>
        </w:rPr>
        <w:t>ation</w:t>
      </w:r>
      <w:r w:rsidR="00314E1B">
        <w:rPr>
          <w:szCs w:val="24"/>
          <w:shd w:val="clear" w:color="auto" w:fill="FFFFFF"/>
          <w:lang w:val="en-US"/>
        </w:rPr>
        <w:t>.</w:t>
      </w:r>
      <w:r w:rsidR="000B73F0" w:rsidRPr="008F4A7D">
        <w:rPr>
          <w:szCs w:val="24"/>
          <w:shd w:val="clear" w:color="auto" w:fill="FFFFFF"/>
          <w:lang w:val="en-US"/>
        </w:rPr>
        <w:t xml:space="preserve"> </w:t>
      </w:r>
      <w:r w:rsidR="000674A4" w:rsidRPr="008F4A7D">
        <w:rPr>
          <w:szCs w:val="24"/>
          <w:shd w:val="clear" w:color="auto" w:fill="FFFFFF"/>
          <w:lang w:val="en-US"/>
        </w:rPr>
        <w:t xml:space="preserve">As a result, the court </w:t>
      </w:r>
      <w:r w:rsidR="000674A4" w:rsidRPr="00314E1B">
        <w:rPr>
          <w:iCs/>
          <w:szCs w:val="24"/>
          <w:shd w:val="clear" w:color="auto" w:fill="FFFFFF"/>
          <w:lang w:val="en-US"/>
        </w:rPr>
        <w:t>a</w:t>
      </w:r>
      <w:r w:rsidR="00E265CC" w:rsidRPr="00314E1B">
        <w:rPr>
          <w:iCs/>
          <w:szCs w:val="24"/>
          <w:shd w:val="clear" w:color="auto" w:fill="FFFFFF"/>
          <w:lang w:val="en-US"/>
        </w:rPr>
        <w:t xml:space="preserve"> </w:t>
      </w:r>
      <w:r w:rsidR="000674A4" w:rsidRPr="00314E1B">
        <w:rPr>
          <w:iCs/>
          <w:szCs w:val="24"/>
          <w:shd w:val="clear" w:color="auto" w:fill="FFFFFF"/>
          <w:lang w:val="en-US"/>
        </w:rPr>
        <w:t>quo</w:t>
      </w:r>
      <w:r w:rsidR="000674A4">
        <w:rPr>
          <w:szCs w:val="24"/>
          <w:shd w:val="clear" w:color="auto" w:fill="FFFFFF"/>
          <w:lang w:val="en-US"/>
        </w:rPr>
        <w:t xml:space="preserve"> enquired from the applicant if he had any objection to the handing in of the authori</w:t>
      </w:r>
      <w:r w:rsidR="00E265CC">
        <w:rPr>
          <w:szCs w:val="24"/>
          <w:shd w:val="clear" w:color="auto" w:fill="FFFFFF"/>
          <w:lang w:val="en-US"/>
        </w:rPr>
        <w:t>s</w:t>
      </w:r>
      <w:r w:rsidR="000674A4">
        <w:rPr>
          <w:szCs w:val="24"/>
          <w:shd w:val="clear" w:color="auto" w:fill="FFFFFF"/>
          <w:lang w:val="en-US"/>
        </w:rPr>
        <w:t>ation, to which the applicant did not object. As a result, authori</w:t>
      </w:r>
      <w:r w:rsidR="00E265CC">
        <w:rPr>
          <w:szCs w:val="24"/>
          <w:shd w:val="clear" w:color="auto" w:fill="FFFFFF"/>
          <w:lang w:val="en-US"/>
        </w:rPr>
        <w:t>s</w:t>
      </w:r>
      <w:r w:rsidR="000674A4">
        <w:rPr>
          <w:szCs w:val="24"/>
          <w:shd w:val="clear" w:color="auto" w:fill="FFFFFF"/>
          <w:lang w:val="en-US"/>
        </w:rPr>
        <w:t xml:space="preserve">ation was </w:t>
      </w:r>
      <w:r w:rsidR="00DA5396">
        <w:rPr>
          <w:szCs w:val="24"/>
          <w:shd w:val="clear" w:color="auto" w:fill="FFFFFF"/>
          <w:lang w:val="en-US"/>
        </w:rPr>
        <w:t>accepted</w:t>
      </w:r>
      <w:r w:rsidR="000674A4">
        <w:rPr>
          <w:szCs w:val="24"/>
          <w:shd w:val="clear" w:color="auto" w:fill="FFFFFF"/>
          <w:lang w:val="en-US"/>
        </w:rPr>
        <w:t xml:space="preserve"> by the court </w:t>
      </w:r>
      <w:r w:rsidR="000674A4" w:rsidRPr="004B5044">
        <w:rPr>
          <w:iCs/>
          <w:szCs w:val="24"/>
          <w:shd w:val="clear" w:color="auto" w:fill="FFFFFF"/>
          <w:lang w:val="en-US"/>
        </w:rPr>
        <w:t>a</w:t>
      </w:r>
      <w:r w:rsidR="00E265CC" w:rsidRPr="004B5044">
        <w:rPr>
          <w:iCs/>
          <w:szCs w:val="24"/>
          <w:shd w:val="clear" w:color="auto" w:fill="FFFFFF"/>
          <w:lang w:val="en-US"/>
        </w:rPr>
        <w:t xml:space="preserve"> </w:t>
      </w:r>
      <w:r w:rsidR="000674A4" w:rsidRPr="004B5044">
        <w:rPr>
          <w:iCs/>
          <w:szCs w:val="24"/>
          <w:shd w:val="clear" w:color="auto" w:fill="FFFFFF"/>
          <w:lang w:val="en-US"/>
        </w:rPr>
        <w:t>quo</w:t>
      </w:r>
      <w:r w:rsidR="000674A4">
        <w:rPr>
          <w:i/>
          <w:iCs/>
          <w:szCs w:val="24"/>
          <w:shd w:val="clear" w:color="auto" w:fill="FFFFFF"/>
          <w:lang w:val="en-US"/>
        </w:rPr>
        <w:t xml:space="preserve"> </w:t>
      </w:r>
      <w:r w:rsidR="000674A4">
        <w:rPr>
          <w:szCs w:val="24"/>
          <w:shd w:val="clear" w:color="auto" w:fill="FFFFFF"/>
          <w:lang w:val="en-US"/>
        </w:rPr>
        <w:t>as such</w:t>
      </w:r>
      <w:r w:rsidR="000B73F0" w:rsidRPr="000B73F0">
        <w:rPr>
          <w:szCs w:val="24"/>
          <w:shd w:val="clear" w:color="auto" w:fill="FFFFFF"/>
          <w:lang w:val="en-US"/>
        </w:rPr>
        <w:t xml:space="preserve"> </w:t>
      </w:r>
      <w:r w:rsidR="006211DA">
        <w:rPr>
          <w:szCs w:val="24"/>
          <w:shd w:val="clear" w:color="auto" w:fill="FFFFFF"/>
          <w:lang w:val="en-US"/>
        </w:rPr>
        <w:t>and was marked as e</w:t>
      </w:r>
      <w:r w:rsidR="000B73F0">
        <w:rPr>
          <w:szCs w:val="24"/>
          <w:shd w:val="clear" w:color="auto" w:fill="FFFFFF"/>
          <w:lang w:val="en-US"/>
        </w:rPr>
        <w:t xml:space="preserve">xhibit </w:t>
      </w:r>
      <w:r w:rsidR="00314E1B">
        <w:rPr>
          <w:szCs w:val="24"/>
          <w:shd w:val="clear" w:color="auto" w:fill="FFFFFF"/>
          <w:lang w:val="en-US"/>
        </w:rPr>
        <w:t>‘</w:t>
      </w:r>
      <w:r w:rsidR="000B73F0">
        <w:rPr>
          <w:szCs w:val="24"/>
          <w:shd w:val="clear" w:color="auto" w:fill="FFFFFF"/>
          <w:lang w:val="en-US"/>
        </w:rPr>
        <w:t>A</w:t>
      </w:r>
      <w:r w:rsidR="00314E1B">
        <w:rPr>
          <w:szCs w:val="24"/>
          <w:shd w:val="clear" w:color="auto" w:fill="FFFFFF"/>
          <w:lang w:val="en-US"/>
        </w:rPr>
        <w:t>’</w:t>
      </w:r>
      <w:r w:rsidR="000B73F0">
        <w:rPr>
          <w:szCs w:val="24"/>
          <w:shd w:val="clear" w:color="auto" w:fill="FFFFFF"/>
          <w:lang w:val="en-US"/>
        </w:rPr>
        <w:t xml:space="preserve"> to the record</w:t>
      </w:r>
      <w:r w:rsidR="000674A4">
        <w:rPr>
          <w:szCs w:val="24"/>
          <w:shd w:val="clear" w:color="auto" w:fill="FFFFFF"/>
          <w:lang w:val="en-US"/>
        </w:rPr>
        <w:t xml:space="preserve">. </w:t>
      </w:r>
      <w:r w:rsidR="00674CBC">
        <w:rPr>
          <w:szCs w:val="24"/>
          <w:shd w:val="clear" w:color="auto" w:fill="FFFFFF"/>
          <w:lang w:val="en-US"/>
        </w:rPr>
        <w:t xml:space="preserve">It should be noted that the authorisation </w:t>
      </w:r>
      <w:r w:rsidR="00314E1B">
        <w:rPr>
          <w:szCs w:val="24"/>
          <w:shd w:val="clear" w:color="auto" w:fill="FFFFFF"/>
          <w:lang w:val="en-US"/>
        </w:rPr>
        <w:t xml:space="preserve">is </w:t>
      </w:r>
      <w:r w:rsidR="00674CBC">
        <w:rPr>
          <w:szCs w:val="24"/>
          <w:shd w:val="clear" w:color="auto" w:fill="FFFFFF"/>
          <w:lang w:val="en-US"/>
        </w:rPr>
        <w:t xml:space="preserve">related to all three cases concerned. </w:t>
      </w:r>
      <w:r w:rsidR="000674A4">
        <w:rPr>
          <w:szCs w:val="24"/>
          <w:shd w:val="clear" w:color="auto" w:fill="FFFFFF"/>
          <w:lang w:val="en-US"/>
        </w:rPr>
        <w:t xml:space="preserve">The court </w:t>
      </w:r>
      <w:r w:rsidR="000674A4" w:rsidRPr="00314E1B">
        <w:rPr>
          <w:iCs/>
          <w:szCs w:val="24"/>
          <w:shd w:val="clear" w:color="auto" w:fill="FFFFFF"/>
          <w:lang w:val="en-US"/>
        </w:rPr>
        <w:t>a</w:t>
      </w:r>
      <w:r w:rsidR="00E265CC" w:rsidRPr="00314E1B">
        <w:rPr>
          <w:iCs/>
          <w:szCs w:val="24"/>
          <w:shd w:val="clear" w:color="auto" w:fill="FFFFFF"/>
          <w:lang w:val="en-US"/>
        </w:rPr>
        <w:t xml:space="preserve"> </w:t>
      </w:r>
      <w:r w:rsidR="000674A4" w:rsidRPr="00314E1B">
        <w:rPr>
          <w:iCs/>
          <w:szCs w:val="24"/>
          <w:shd w:val="clear" w:color="auto" w:fill="FFFFFF"/>
          <w:lang w:val="en-US"/>
        </w:rPr>
        <w:t>quo</w:t>
      </w:r>
      <w:r w:rsidR="000674A4">
        <w:rPr>
          <w:szCs w:val="24"/>
          <w:shd w:val="clear" w:color="auto" w:fill="FFFFFF"/>
          <w:lang w:val="en-US"/>
        </w:rPr>
        <w:t xml:space="preserve"> the</w:t>
      </w:r>
      <w:r w:rsidR="00DA5396">
        <w:rPr>
          <w:szCs w:val="24"/>
          <w:shd w:val="clear" w:color="auto" w:fill="FFFFFF"/>
          <w:lang w:val="en-US"/>
        </w:rPr>
        <w:t>n</w:t>
      </w:r>
      <w:r w:rsidR="000674A4">
        <w:rPr>
          <w:szCs w:val="24"/>
          <w:shd w:val="clear" w:color="auto" w:fill="FFFFFF"/>
          <w:lang w:val="en-US"/>
        </w:rPr>
        <w:t xml:space="preserve"> postponed </w:t>
      </w:r>
      <w:r w:rsidR="000674A4" w:rsidRPr="008F4A7D">
        <w:rPr>
          <w:szCs w:val="24"/>
          <w:shd w:val="clear" w:color="auto" w:fill="FFFFFF"/>
          <w:lang w:val="en-US"/>
        </w:rPr>
        <w:t xml:space="preserve">the </w:t>
      </w:r>
      <w:r w:rsidR="006211DA" w:rsidRPr="008F4A7D">
        <w:rPr>
          <w:szCs w:val="24"/>
          <w:shd w:val="clear" w:color="auto" w:fill="FFFFFF"/>
          <w:lang w:val="en-US"/>
        </w:rPr>
        <w:t>matter for sentencing</w:t>
      </w:r>
      <w:r w:rsidR="007942D6">
        <w:rPr>
          <w:szCs w:val="24"/>
          <w:shd w:val="clear" w:color="auto" w:fill="FFFFFF"/>
          <w:lang w:val="en-US"/>
        </w:rPr>
        <w:t>,</w:t>
      </w:r>
      <w:r w:rsidR="000B73F0" w:rsidRPr="008F4A7D">
        <w:rPr>
          <w:szCs w:val="24"/>
          <w:shd w:val="clear" w:color="auto" w:fill="FFFFFF"/>
          <w:lang w:val="en-US"/>
        </w:rPr>
        <w:t xml:space="preserve"> and on 28</w:t>
      </w:r>
      <w:r w:rsidR="00CF202B" w:rsidRPr="008F4A7D">
        <w:rPr>
          <w:szCs w:val="24"/>
          <w:shd w:val="clear" w:color="auto" w:fill="FFFFFF"/>
          <w:lang w:val="en-US"/>
        </w:rPr>
        <w:t xml:space="preserve"> </w:t>
      </w:r>
      <w:r w:rsidR="000B73F0" w:rsidRPr="008F4A7D">
        <w:rPr>
          <w:szCs w:val="24"/>
          <w:shd w:val="clear" w:color="auto" w:fill="FFFFFF"/>
          <w:lang w:val="en-US"/>
        </w:rPr>
        <w:t xml:space="preserve">October 2020 </w:t>
      </w:r>
      <w:r w:rsidR="00674CBC" w:rsidRPr="008F4A7D">
        <w:rPr>
          <w:szCs w:val="24"/>
          <w:shd w:val="clear" w:color="auto" w:fill="FFFFFF"/>
          <w:lang w:val="en-US"/>
        </w:rPr>
        <w:t xml:space="preserve">after the applicant was sentenced, </w:t>
      </w:r>
      <w:r w:rsidR="000B73F0" w:rsidRPr="008F4A7D">
        <w:rPr>
          <w:szCs w:val="24"/>
          <w:shd w:val="clear" w:color="auto" w:fill="FFFFFF"/>
          <w:lang w:val="en-US"/>
        </w:rPr>
        <w:t xml:space="preserve">the matter was further postponed for </w:t>
      </w:r>
      <w:r w:rsidR="004B5044">
        <w:rPr>
          <w:szCs w:val="24"/>
          <w:shd w:val="clear" w:color="auto" w:fill="FFFFFF"/>
          <w:lang w:val="en-US"/>
        </w:rPr>
        <w:t>the</w:t>
      </w:r>
      <w:r w:rsidR="00314E1B">
        <w:rPr>
          <w:szCs w:val="24"/>
          <w:shd w:val="clear" w:color="auto" w:fill="FFFFFF"/>
          <w:lang w:val="en-US"/>
        </w:rPr>
        <w:t xml:space="preserve"> </w:t>
      </w:r>
      <w:r w:rsidR="000674A4" w:rsidRPr="008F4A7D">
        <w:rPr>
          <w:szCs w:val="24"/>
          <w:shd w:val="clear" w:color="auto" w:fill="FFFFFF"/>
          <w:lang w:val="en-US"/>
        </w:rPr>
        <w:t xml:space="preserve">s 32(1) </w:t>
      </w:r>
      <w:r w:rsidR="009208EB" w:rsidRPr="008F4A7D">
        <w:rPr>
          <w:szCs w:val="24"/>
          <w:shd w:val="clear" w:color="auto" w:fill="FFFFFF"/>
          <w:lang w:val="en-US"/>
        </w:rPr>
        <w:t xml:space="preserve">POCA </w:t>
      </w:r>
      <w:r w:rsidR="00EF62AC" w:rsidRPr="008F4A7D">
        <w:rPr>
          <w:szCs w:val="24"/>
          <w:shd w:val="clear" w:color="auto" w:fill="FFFFFF"/>
          <w:lang w:val="en-US"/>
        </w:rPr>
        <w:t>e</w:t>
      </w:r>
      <w:r w:rsidR="009208EB" w:rsidRPr="008F4A7D">
        <w:rPr>
          <w:szCs w:val="24"/>
          <w:shd w:val="clear" w:color="auto" w:fill="FFFFFF"/>
          <w:lang w:val="en-US"/>
        </w:rPr>
        <w:t xml:space="preserve">nquiry to </w:t>
      </w:r>
      <w:r w:rsidR="00674CBC" w:rsidRPr="008F4A7D">
        <w:rPr>
          <w:szCs w:val="24"/>
          <w:shd w:val="clear" w:color="auto" w:fill="FFFFFF"/>
          <w:lang w:val="en-US"/>
        </w:rPr>
        <w:t>7 January 2021</w:t>
      </w:r>
      <w:r w:rsidR="007942D6">
        <w:rPr>
          <w:szCs w:val="24"/>
          <w:shd w:val="clear" w:color="auto" w:fill="FFFFFF"/>
          <w:lang w:val="en-US"/>
        </w:rPr>
        <w:t>,</w:t>
      </w:r>
      <w:r w:rsidR="009208EB" w:rsidRPr="008F4A7D">
        <w:rPr>
          <w:szCs w:val="24"/>
          <w:shd w:val="clear" w:color="auto" w:fill="FFFFFF"/>
          <w:lang w:val="en-US"/>
        </w:rPr>
        <w:t xml:space="preserve"> and </w:t>
      </w:r>
      <w:r w:rsidR="006211DA" w:rsidRPr="008F4A7D">
        <w:rPr>
          <w:szCs w:val="24"/>
          <w:shd w:val="clear" w:color="auto" w:fill="FFFFFF"/>
          <w:lang w:val="en-US"/>
        </w:rPr>
        <w:t xml:space="preserve">the court </w:t>
      </w:r>
      <w:r w:rsidR="009208EB" w:rsidRPr="008F4A7D">
        <w:rPr>
          <w:szCs w:val="24"/>
          <w:shd w:val="clear" w:color="auto" w:fill="FFFFFF"/>
          <w:lang w:val="en-US"/>
        </w:rPr>
        <w:t>directed that oral evidence be led.</w:t>
      </w:r>
      <w:r w:rsidR="000674A4" w:rsidRPr="008F4A7D">
        <w:rPr>
          <w:szCs w:val="24"/>
          <w:shd w:val="clear" w:color="auto" w:fill="FFFFFF"/>
          <w:lang w:val="en-US"/>
        </w:rPr>
        <w:t xml:space="preserve">  </w:t>
      </w:r>
    </w:p>
    <w:p w14:paraId="627A42FB" w14:textId="725D07E8" w:rsidR="00243486" w:rsidRPr="00243486" w:rsidRDefault="004B70FF" w:rsidP="00243486">
      <w:pPr>
        <w:spacing w:line="360" w:lineRule="auto"/>
      </w:pPr>
      <w:r w:rsidRPr="008F4A7D">
        <w:rPr>
          <w:szCs w:val="24"/>
          <w:shd w:val="clear" w:color="auto" w:fill="FFFFFF"/>
        </w:rPr>
        <w:t>[43]</w:t>
      </w:r>
      <w:r w:rsidRPr="008F4A7D">
        <w:rPr>
          <w:szCs w:val="24"/>
          <w:shd w:val="clear" w:color="auto" w:fill="FFFFFF"/>
        </w:rPr>
        <w:tab/>
      </w:r>
      <w:r w:rsidR="00243486" w:rsidRPr="008F4A7D">
        <w:rPr>
          <w:szCs w:val="24"/>
          <w:shd w:val="clear" w:color="auto" w:fill="FFFFFF"/>
        </w:rPr>
        <w:t>As I have stated above, s</w:t>
      </w:r>
      <w:r w:rsidR="00EF62AC" w:rsidRPr="008F4A7D">
        <w:rPr>
          <w:szCs w:val="24"/>
          <w:shd w:val="clear" w:color="auto" w:fill="FFFFFF"/>
        </w:rPr>
        <w:t xml:space="preserve"> </w:t>
      </w:r>
      <w:r w:rsidR="00C74A2D" w:rsidRPr="008F4A7D">
        <w:rPr>
          <w:szCs w:val="24"/>
          <w:shd w:val="clear" w:color="auto" w:fill="FFFFFF"/>
        </w:rPr>
        <w:t>32 has set both the procedure</w:t>
      </w:r>
      <w:r w:rsidR="00243486" w:rsidRPr="008F4A7D">
        <w:rPr>
          <w:szCs w:val="24"/>
          <w:shd w:val="clear" w:color="auto" w:fill="FFFFFF"/>
        </w:rPr>
        <w:t xml:space="preserve"> and substance of the </w:t>
      </w:r>
      <w:r w:rsidR="00EF62AC" w:rsidRPr="008F4A7D">
        <w:rPr>
          <w:szCs w:val="24"/>
          <w:shd w:val="clear" w:color="auto" w:fill="FFFFFF"/>
        </w:rPr>
        <w:t>e</w:t>
      </w:r>
      <w:r w:rsidR="00243486" w:rsidRPr="008F4A7D">
        <w:rPr>
          <w:szCs w:val="24"/>
          <w:shd w:val="clear" w:color="auto" w:fill="FFFFFF"/>
        </w:rPr>
        <w:t xml:space="preserve">nquiry. </w:t>
      </w:r>
      <w:r w:rsidR="009208EB" w:rsidRPr="008F4A7D">
        <w:rPr>
          <w:szCs w:val="24"/>
          <w:shd w:val="clear" w:color="auto" w:fill="FFFFFF"/>
        </w:rPr>
        <w:t>The authori</w:t>
      </w:r>
      <w:r w:rsidR="00EF62AC" w:rsidRPr="008F4A7D">
        <w:rPr>
          <w:szCs w:val="24"/>
          <w:shd w:val="clear" w:color="auto" w:fill="FFFFFF"/>
        </w:rPr>
        <w:t>s</w:t>
      </w:r>
      <w:r w:rsidR="009208EB" w:rsidRPr="008F4A7D">
        <w:rPr>
          <w:szCs w:val="24"/>
          <w:shd w:val="clear" w:color="auto" w:fill="FFFFFF"/>
        </w:rPr>
        <w:t>ation by the Prosecutor</w:t>
      </w:r>
      <w:r w:rsidR="00EF62AC" w:rsidRPr="008F4A7D">
        <w:rPr>
          <w:szCs w:val="24"/>
          <w:shd w:val="clear" w:color="auto" w:fill="FFFFFF"/>
        </w:rPr>
        <w:t>-</w:t>
      </w:r>
      <w:r w:rsidR="009208EB" w:rsidRPr="008F4A7D">
        <w:rPr>
          <w:szCs w:val="24"/>
          <w:shd w:val="clear" w:color="auto" w:fill="FFFFFF"/>
        </w:rPr>
        <w:t xml:space="preserve">General that the </w:t>
      </w:r>
      <w:r w:rsidR="00EF62AC" w:rsidRPr="008F4A7D">
        <w:rPr>
          <w:szCs w:val="24"/>
          <w:shd w:val="clear" w:color="auto" w:fill="FFFFFF"/>
        </w:rPr>
        <w:t xml:space="preserve">public </w:t>
      </w:r>
      <w:r w:rsidR="009208EB" w:rsidRPr="008F4A7D">
        <w:rPr>
          <w:szCs w:val="24"/>
          <w:shd w:val="clear" w:color="auto" w:fill="FFFFFF"/>
        </w:rPr>
        <w:t xml:space="preserve">prosecutor handed up </w:t>
      </w:r>
      <w:r w:rsidR="00EF62AC" w:rsidRPr="008F4A7D">
        <w:rPr>
          <w:szCs w:val="24"/>
          <w:shd w:val="clear" w:color="auto" w:fill="FFFFFF"/>
        </w:rPr>
        <w:t xml:space="preserve">to the court </w:t>
      </w:r>
      <w:r w:rsidR="009208EB" w:rsidRPr="008F4A7D">
        <w:rPr>
          <w:szCs w:val="24"/>
          <w:shd w:val="clear" w:color="auto" w:fill="FFFFFF"/>
        </w:rPr>
        <w:t>is a requirement set by s</w:t>
      </w:r>
      <w:r w:rsidR="00314E1B">
        <w:rPr>
          <w:szCs w:val="24"/>
          <w:shd w:val="clear" w:color="auto" w:fill="FFFFFF"/>
        </w:rPr>
        <w:t xml:space="preserve"> </w:t>
      </w:r>
      <w:r w:rsidR="009208EB" w:rsidRPr="008F4A7D">
        <w:rPr>
          <w:szCs w:val="24"/>
          <w:shd w:val="clear" w:color="auto" w:fill="FFFFFF"/>
        </w:rPr>
        <w:t>32(9</w:t>
      </w:r>
      <w:r w:rsidR="009208EB">
        <w:rPr>
          <w:szCs w:val="24"/>
          <w:shd w:val="clear" w:color="auto" w:fill="FFFFFF"/>
        </w:rPr>
        <w:t xml:space="preserve">) of POCA, which </w:t>
      </w:r>
      <w:r w:rsidR="00BA1360">
        <w:rPr>
          <w:szCs w:val="24"/>
          <w:shd w:val="clear" w:color="auto" w:fill="FFFFFF"/>
        </w:rPr>
        <w:t>specifies</w:t>
      </w:r>
      <w:r w:rsidR="009208EB">
        <w:rPr>
          <w:szCs w:val="24"/>
          <w:shd w:val="clear" w:color="auto" w:fill="FFFFFF"/>
        </w:rPr>
        <w:t xml:space="preserve"> that </w:t>
      </w:r>
      <w:r w:rsidR="00EF62AC">
        <w:rPr>
          <w:szCs w:val="24"/>
          <w:shd w:val="clear" w:color="auto" w:fill="FFFFFF"/>
        </w:rPr>
        <w:t>‘</w:t>
      </w:r>
      <w:r w:rsidR="00EF62AC" w:rsidRPr="00EF62AC">
        <w:rPr>
          <w:iCs/>
        </w:rPr>
        <w:t>a</w:t>
      </w:r>
      <w:r w:rsidR="009208EB" w:rsidRPr="00EF62AC">
        <w:rPr>
          <w:iCs/>
        </w:rPr>
        <w:t>n application referred to in subsec (1) must not be made without the written authority of the Prosecutor-General, but the Prosecutor-General may if he or she deems it appropriate, give that authority after an application has been made but before the court makes the confiscation order</w:t>
      </w:r>
      <w:r w:rsidR="00EF62AC">
        <w:rPr>
          <w:iCs/>
        </w:rPr>
        <w:t>’</w:t>
      </w:r>
      <w:r w:rsidR="009208EB" w:rsidRPr="00924EB4">
        <w:rPr>
          <w:i/>
          <w:iCs/>
        </w:rPr>
        <w:t>.</w:t>
      </w:r>
      <w:r w:rsidR="009208EB">
        <w:t xml:space="preserve"> </w:t>
      </w:r>
      <w:r w:rsidR="00243486">
        <w:t xml:space="preserve">This position was further clarified by Miller AJ in </w:t>
      </w:r>
      <w:r w:rsidR="00EF62AC" w:rsidRPr="00EF62AC">
        <w:rPr>
          <w:i/>
          <w:iCs/>
        </w:rPr>
        <w:t xml:space="preserve">Ex parte: Prosecutor- General </w:t>
      </w:r>
      <w:r w:rsidR="00EF62AC" w:rsidRPr="00EF62AC">
        <w:rPr>
          <w:iCs/>
        </w:rPr>
        <w:t>(POCA 11 of 2011)</w:t>
      </w:r>
      <w:r w:rsidR="007942D6">
        <w:rPr>
          <w:iCs/>
        </w:rPr>
        <w:t>,</w:t>
      </w:r>
      <w:r w:rsidR="00EF62AC">
        <w:rPr>
          <w:rStyle w:val="FootnoteReference"/>
          <w:iCs/>
        </w:rPr>
        <w:footnoteReference w:id="5"/>
      </w:r>
      <w:r w:rsidR="00EF62AC" w:rsidRPr="00EF62AC">
        <w:rPr>
          <w:iCs/>
        </w:rPr>
        <w:t xml:space="preserve"> </w:t>
      </w:r>
      <w:r w:rsidR="00DA5396">
        <w:t>where</w:t>
      </w:r>
      <w:r w:rsidR="00243486">
        <w:t xml:space="preserve"> he held </w:t>
      </w:r>
      <w:r w:rsidR="00314E1B">
        <w:t>in</w:t>
      </w:r>
      <w:r w:rsidR="00243486">
        <w:t xml:space="preserve"> paragraph 20 that</w:t>
      </w:r>
      <w:r w:rsidR="00EF62AC">
        <w:t>:</w:t>
      </w:r>
    </w:p>
    <w:p w14:paraId="2FB60973" w14:textId="1E587270" w:rsidR="00243486" w:rsidRDefault="00EF62AC" w:rsidP="00EF62AC">
      <w:pPr>
        <w:pStyle w:val="BodyTextIndent2"/>
        <w:spacing w:after="0"/>
        <w:ind w:left="0" w:firstLine="720"/>
        <w:rPr>
          <w:shd w:val="clear" w:color="auto" w:fill="auto"/>
        </w:rPr>
      </w:pPr>
      <w:r>
        <w:rPr>
          <w:shd w:val="clear" w:color="auto" w:fill="auto"/>
        </w:rPr>
        <w:lastRenderedPageBreak/>
        <w:t>‘</w:t>
      </w:r>
      <w:r w:rsidR="00243486" w:rsidRPr="00EF62AC">
        <w:rPr>
          <w:shd w:val="clear" w:color="auto" w:fill="auto"/>
        </w:rPr>
        <w:t>[20] In contrast Part 3 of Chapter 5 of POCA which deals with confiscation orders contains express provisions to the effect that a public prosecutor may with the written consent of the Prosecutor-General apply for a confiscation order. (Section 32 and Section 33 of POCA), It is noteworthy that POCA provides that the public prosecutor is not authorized to bring an application by virtue of the general delegation to prosecute granted by the Prosecutor-General in terms of Article 88 (2)(</w:t>
      </w:r>
      <w:r w:rsidR="00243486" w:rsidRPr="00C74A2D">
        <w:rPr>
          <w:i/>
          <w:shd w:val="clear" w:color="auto" w:fill="auto"/>
        </w:rPr>
        <w:t>d</w:t>
      </w:r>
      <w:r w:rsidR="00243486" w:rsidRPr="00EF62AC">
        <w:rPr>
          <w:shd w:val="clear" w:color="auto" w:fill="auto"/>
        </w:rPr>
        <w:t>) of the Constitution. The prosecutor requires instead a separate and distinct written authorization in respect of each application.</w:t>
      </w:r>
      <w:r w:rsidR="00BA1360">
        <w:rPr>
          <w:shd w:val="clear" w:color="auto" w:fill="auto"/>
        </w:rPr>
        <w:t>’</w:t>
      </w:r>
    </w:p>
    <w:p w14:paraId="422AE87C" w14:textId="77777777" w:rsidR="00BA1360" w:rsidRPr="00EF62AC" w:rsidRDefault="00BA1360" w:rsidP="00EF62AC">
      <w:pPr>
        <w:pStyle w:val="BodyTextIndent2"/>
        <w:spacing w:after="0"/>
        <w:ind w:left="0" w:firstLine="720"/>
        <w:rPr>
          <w:shd w:val="clear" w:color="auto" w:fill="auto"/>
        </w:rPr>
      </w:pPr>
    </w:p>
    <w:p w14:paraId="791508C1" w14:textId="49105120" w:rsidR="00F030B4" w:rsidRDefault="004B70FF" w:rsidP="008F4A7D">
      <w:pPr>
        <w:pStyle w:val="BodyTextIndent"/>
      </w:pPr>
      <w:r>
        <w:t>[44]</w:t>
      </w:r>
      <w:r>
        <w:tab/>
      </w:r>
      <w:r w:rsidR="008F4A7D" w:rsidRPr="008F4A7D">
        <w:t>B</w:t>
      </w:r>
      <w:r w:rsidR="00C74A2D" w:rsidRPr="008F4A7D">
        <w:t>ased on the above</w:t>
      </w:r>
      <w:r w:rsidR="00314E1B">
        <w:t>,</w:t>
      </w:r>
      <w:r w:rsidR="009208EB">
        <w:t xml:space="preserve"> I find that the application and </w:t>
      </w:r>
      <w:r w:rsidR="00BA1360">
        <w:t>e</w:t>
      </w:r>
      <w:r w:rsidR="009208EB">
        <w:t xml:space="preserve">nquiry </w:t>
      </w:r>
      <w:r w:rsidR="00BA1360">
        <w:t>were</w:t>
      </w:r>
      <w:r w:rsidR="009208EB">
        <w:t xml:space="preserve"> correctly </w:t>
      </w:r>
      <w:r w:rsidR="00243486">
        <w:t>authorised and instituted.</w:t>
      </w:r>
      <w:r w:rsidR="00BA1360">
        <w:t xml:space="preserve"> </w:t>
      </w:r>
    </w:p>
    <w:p w14:paraId="3D5BADC8" w14:textId="76054644" w:rsidR="00F43E35" w:rsidRDefault="004B70FF" w:rsidP="00AA1E27">
      <w:pPr>
        <w:spacing w:line="360" w:lineRule="auto"/>
      </w:pPr>
      <w:r>
        <w:t>[45]</w:t>
      </w:r>
      <w:r>
        <w:tab/>
      </w:r>
      <w:r w:rsidR="00243486">
        <w:t xml:space="preserve">The court </w:t>
      </w:r>
      <w:r w:rsidR="00243486" w:rsidRPr="00314E1B">
        <w:rPr>
          <w:iCs/>
        </w:rPr>
        <w:t>a</w:t>
      </w:r>
      <w:r w:rsidR="00BA1360" w:rsidRPr="00314E1B">
        <w:rPr>
          <w:iCs/>
        </w:rPr>
        <w:t xml:space="preserve"> </w:t>
      </w:r>
      <w:r w:rsidR="00243486" w:rsidRPr="00314E1B">
        <w:rPr>
          <w:iCs/>
        </w:rPr>
        <w:t>quo</w:t>
      </w:r>
      <w:r w:rsidR="00243486">
        <w:t xml:space="preserve"> </w:t>
      </w:r>
      <w:r w:rsidR="00AA1E27">
        <w:t>further</w:t>
      </w:r>
      <w:r w:rsidR="00243486">
        <w:t xml:space="preserve"> had a discretion to hear the </w:t>
      </w:r>
      <w:r w:rsidR="00BA1360">
        <w:t>e</w:t>
      </w:r>
      <w:r w:rsidR="00243486">
        <w:t>nquiry before or after sentencing. This discretion is provided for in s 32(7) of POCA</w:t>
      </w:r>
      <w:r w:rsidR="007942D6">
        <w:t>,</w:t>
      </w:r>
      <w:r w:rsidR="00243486">
        <w:t xml:space="preserve"> which holds that</w:t>
      </w:r>
      <w:r w:rsidR="00F43E35">
        <w:t>:</w:t>
      </w:r>
    </w:p>
    <w:p w14:paraId="426E1532" w14:textId="4ED82E0D" w:rsidR="00243486" w:rsidRPr="00F43E35" w:rsidRDefault="00F43E35" w:rsidP="00F43E35">
      <w:pPr>
        <w:spacing w:line="360" w:lineRule="auto"/>
        <w:ind w:firstLine="710"/>
        <w:rPr>
          <w:iCs/>
        </w:rPr>
      </w:pPr>
      <w:r w:rsidRPr="00F43E35">
        <w:rPr>
          <w:sz w:val="22"/>
        </w:rPr>
        <w:t>‘</w:t>
      </w:r>
      <w:r w:rsidR="00243486" w:rsidRPr="00F43E35">
        <w:rPr>
          <w:iCs/>
          <w:sz w:val="22"/>
        </w:rPr>
        <w:t>A court convicting a defendant may, when passing sentence, indicate that it will hold an enquiry contemplated in subsection (1) at a later stage if (a) it is satisfied that that enquiry will unreasonably delay the proceedings in sentencing the accused; or</w:t>
      </w:r>
      <w:r w:rsidR="00AA1E27" w:rsidRPr="00F43E35">
        <w:rPr>
          <w:iCs/>
          <w:sz w:val="22"/>
        </w:rPr>
        <w:t xml:space="preserve"> </w:t>
      </w:r>
      <w:r w:rsidR="00243486" w:rsidRPr="00F43E35">
        <w:rPr>
          <w:iCs/>
          <w:sz w:val="22"/>
        </w:rPr>
        <w:t>(b) the public prosecutor applies to the court to first sentence the accused and the court is satisfied that it is reasonable and justifiable to do so in the circumstances</w:t>
      </w:r>
      <w:r w:rsidR="00243486" w:rsidRPr="00F43E35">
        <w:rPr>
          <w:iCs/>
        </w:rPr>
        <w:t>.</w:t>
      </w:r>
      <w:r>
        <w:rPr>
          <w:iCs/>
        </w:rPr>
        <w:t>’</w:t>
      </w:r>
    </w:p>
    <w:p w14:paraId="2401C3E6" w14:textId="28F0A155" w:rsidR="00F43E35" w:rsidRDefault="004B70FF" w:rsidP="00AA1E27">
      <w:pPr>
        <w:spacing w:line="360" w:lineRule="auto"/>
      </w:pPr>
      <w:r>
        <w:rPr>
          <w:szCs w:val="24"/>
          <w:shd w:val="clear" w:color="auto" w:fill="FFFFFF"/>
        </w:rPr>
        <w:t>[46]</w:t>
      </w:r>
      <w:r>
        <w:rPr>
          <w:szCs w:val="24"/>
          <w:shd w:val="clear" w:color="auto" w:fill="FFFFFF"/>
        </w:rPr>
        <w:tab/>
      </w:r>
      <w:r w:rsidR="00243486">
        <w:rPr>
          <w:szCs w:val="24"/>
          <w:shd w:val="clear" w:color="auto" w:fill="FFFFFF"/>
        </w:rPr>
        <w:t xml:space="preserve">For this reason, I </w:t>
      </w:r>
      <w:r w:rsidR="00AA1E27">
        <w:rPr>
          <w:szCs w:val="24"/>
          <w:shd w:val="clear" w:color="auto" w:fill="FFFFFF"/>
        </w:rPr>
        <w:t>further</w:t>
      </w:r>
      <w:r w:rsidR="00243486">
        <w:rPr>
          <w:szCs w:val="24"/>
          <w:shd w:val="clear" w:color="auto" w:fill="FFFFFF"/>
        </w:rPr>
        <w:t xml:space="preserve"> find that the court </w:t>
      </w:r>
      <w:r w:rsidR="00AA1E27" w:rsidRPr="00314E1B">
        <w:rPr>
          <w:iCs/>
          <w:szCs w:val="24"/>
          <w:shd w:val="clear" w:color="auto" w:fill="FFFFFF"/>
        </w:rPr>
        <w:t>a</w:t>
      </w:r>
      <w:r w:rsidR="00F43E35" w:rsidRPr="00314E1B">
        <w:rPr>
          <w:iCs/>
          <w:szCs w:val="24"/>
          <w:shd w:val="clear" w:color="auto" w:fill="FFFFFF"/>
        </w:rPr>
        <w:t xml:space="preserve"> </w:t>
      </w:r>
      <w:r w:rsidR="00AA1E27" w:rsidRPr="00314E1B">
        <w:rPr>
          <w:iCs/>
          <w:szCs w:val="24"/>
          <w:shd w:val="clear" w:color="auto" w:fill="FFFFFF"/>
        </w:rPr>
        <w:t>quo</w:t>
      </w:r>
      <w:r w:rsidR="00AA1E27">
        <w:rPr>
          <w:i/>
          <w:iCs/>
          <w:szCs w:val="24"/>
          <w:shd w:val="clear" w:color="auto" w:fill="FFFFFF"/>
        </w:rPr>
        <w:t xml:space="preserve"> </w:t>
      </w:r>
      <w:r w:rsidR="00243486">
        <w:rPr>
          <w:szCs w:val="24"/>
          <w:shd w:val="clear" w:color="auto" w:fill="FFFFFF"/>
        </w:rPr>
        <w:t xml:space="preserve">was </w:t>
      </w:r>
      <w:r w:rsidR="00AA1E27">
        <w:rPr>
          <w:szCs w:val="24"/>
          <w:shd w:val="clear" w:color="auto" w:fill="FFFFFF"/>
        </w:rPr>
        <w:t xml:space="preserve">entitled to and </w:t>
      </w:r>
      <w:r w:rsidR="00DA5396">
        <w:rPr>
          <w:szCs w:val="24"/>
          <w:shd w:val="clear" w:color="auto" w:fill="FFFFFF"/>
        </w:rPr>
        <w:t xml:space="preserve">also </w:t>
      </w:r>
      <w:r w:rsidR="00243486">
        <w:rPr>
          <w:szCs w:val="24"/>
          <w:shd w:val="clear" w:color="auto" w:fill="FFFFFF"/>
        </w:rPr>
        <w:t xml:space="preserve">correct in ordering that the </w:t>
      </w:r>
      <w:r w:rsidR="00F43E35">
        <w:rPr>
          <w:szCs w:val="24"/>
          <w:shd w:val="clear" w:color="auto" w:fill="FFFFFF"/>
        </w:rPr>
        <w:t>e</w:t>
      </w:r>
      <w:r w:rsidR="00243486">
        <w:rPr>
          <w:szCs w:val="24"/>
          <w:shd w:val="clear" w:color="auto" w:fill="FFFFFF"/>
        </w:rPr>
        <w:t>nquiry be held at a later stage</w:t>
      </w:r>
      <w:r w:rsidR="00AA1E27">
        <w:rPr>
          <w:szCs w:val="24"/>
          <w:shd w:val="clear" w:color="auto" w:fill="FFFFFF"/>
        </w:rPr>
        <w:t xml:space="preserve">. The court is further authorised to order the leading of further evidence if </w:t>
      </w:r>
      <w:r w:rsidR="00F43E35">
        <w:rPr>
          <w:szCs w:val="24"/>
          <w:shd w:val="clear" w:color="auto" w:fill="FFFFFF"/>
        </w:rPr>
        <w:t>deemed</w:t>
      </w:r>
      <w:r w:rsidR="00AE0261">
        <w:rPr>
          <w:szCs w:val="24"/>
          <w:shd w:val="clear" w:color="auto" w:fill="FFFFFF"/>
        </w:rPr>
        <w:t xml:space="preserve"> fit. Subsection</w:t>
      </w:r>
      <w:r w:rsidR="00AA1E27">
        <w:rPr>
          <w:szCs w:val="24"/>
          <w:shd w:val="clear" w:color="auto" w:fill="FFFFFF"/>
        </w:rPr>
        <w:t xml:space="preserve"> </w:t>
      </w:r>
      <w:r w:rsidR="00AA1E27" w:rsidRPr="00AA1E27">
        <w:t>(10)</w:t>
      </w:r>
      <w:r w:rsidR="00AA1E27">
        <w:t>(</w:t>
      </w:r>
      <w:r w:rsidR="00AA1E27" w:rsidRPr="00CF202B">
        <w:rPr>
          <w:i/>
        </w:rPr>
        <w:t>a</w:t>
      </w:r>
      <w:r w:rsidR="00AA1E27">
        <w:t>)(</w:t>
      </w:r>
      <w:r w:rsidR="00AA1E27" w:rsidRPr="00314E1B">
        <w:t>ii</w:t>
      </w:r>
      <w:r w:rsidR="00AA1E27">
        <w:t>)</w:t>
      </w:r>
      <w:r w:rsidR="00AA1E27" w:rsidRPr="00924EB4">
        <w:rPr>
          <w:i/>
          <w:iCs/>
        </w:rPr>
        <w:t xml:space="preserve"> </w:t>
      </w:r>
      <w:r w:rsidR="00AA1E27">
        <w:t xml:space="preserve">of s 32 of POCA specifically </w:t>
      </w:r>
      <w:r w:rsidR="00F43E35">
        <w:t>states</w:t>
      </w:r>
      <w:r w:rsidR="00AA1E27">
        <w:t xml:space="preserve"> that</w:t>
      </w:r>
      <w:r w:rsidR="00F43E35">
        <w:t>:</w:t>
      </w:r>
    </w:p>
    <w:p w14:paraId="70B814B8" w14:textId="19C9530E" w:rsidR="00F43E35" w:rsidRDefault="00F43E35" w:rsidP="00F43E35">
      <w:pPr>
        <w:spacing w:line="360" w:lineRule="auto"/>
        <w:ind w:firstLine="710"/>
        <w:rPr>
          <w:sz w:val="22"/>
        </w:rPr>
      </w:pPr>
      <w:r>
        <w:rPr>
          <w:sz w:val="22"/>
        </w:rPr>
        <w:t>‘</w:t>
      </w:r>
      <w:r w:rsidR="00AA1E27" w:rsidRPr="00F43E35">
        <w:rPr>
          <w:iCs/>
          <w:sz w:val="22"/>
        </w:rPr>
        <w:t>A court before which proceedings under this section are pending may (a) in considering an appl</w:t>
      </w:r>
      <w:r w:rsidR="00CF202B">
        <w:rPr>
          <w:iCs/>
          <w:sz w:val="22"/>
        </w:rPr>
        <w:t>ication under subsection (1)</w:t>
      </w:r>
      <w:r w:rsidR="00AA1E27" w:rsidRPr="00F43E35">
        <w:rPr>
          <w:iCs/>
          <w:sz w:val="22"/>
        </w:rPr>
        <w:t>(</w:t>
      </w:r>
      <w:r w:rsidR="00AA1E27" w:rsidRPr="00CF202B">
        <w:rPr>
          <w:i/>
          <w:iCs/>
          <w:sz w:val="22"/>
        </w:rPr>
        <w:t>ii</w:t>
      </w:r>
      <w:r w:rsidR="00AA1E27" w:rsidRPr="00F43E35">
        <w:rPr>
          <w:iCs/>
          <w:sz w:val="22"/>
        </w:rPr>
        <w:t xml:space="preserve">) hear any further oral evidence or receive any other evidence which the court deems </w:t>
      </w:r>
      <w:r w:rsidR="007F0BCA" w:rsidRPr="00F43E35">
        <w:rPr>
          <w:iCs/>
          <w:sz w:val="22"/>
        </w:rPr>
        <w:t>fit</w:t>
      </w:r>
      <w:r w:rsidR="00AA1E27" w:rsidRPr="00F43E35">
        <w:rPr>
          <w:iCs/>
          <w:sz w:val="22"/>
        </w:rPr>
        <w:t>.</w:t>
      </w:r>
      <w:r>
        <w:rPr>
          <w:iCs/>
          <w:sz w:val="22"/>
        </w:rPr>
        <w:t>’</w:t>
      </w:r>
      <w:r w:rsidR="00AA1E27" w:rsidRPr="00F43E35">
        <w:rPr>
          <w:sz w:val="22"/>
        </w:rPr>
        <w:t xml:space="preserve"> </w:t>
      </w:r>
    </w:p>
    <w:p w14:paraId="4599C4F5" w14:textId="07ECFFF5" w:rsidR="00B863EE" w:rsidRDefault="00F43E35" w:rsidP="00C103A7">
      <w:pPr>
        <w:spacing w:line="360" w:lineRule="auto"/>
        <w:ind w:firstLine="0"/>
      </w:pPr>
      <w:r>
        <w:t>[47]</w:t>
      </w:r>
      <w:r>
        <w:tab/>
      </w:r>
      <w:r w:rsidR="001B7128" w:rsidRPr="000B73F0">
        <w:rPr>
          <w:szCs w:val="24"/>
          <w:shd w:val="clear" w:color="auto" w:fill="FFFFFF"/>
        </w:rPr>
        <w:t>The conviction and sentence were concluded before Magistrate Aina Nangolo. The</w:t>
      </w:r>
      <w:r w:rsidR="001B7128">
        <w:rPr>
          <w:szCs w:val="24"/>
          <w:shd w:val="clear" w:color="auto" w:fill="FFFFFF"/>
        </w:rPr>
        <w:t xml:space="preserve"> </w:t>
      </w:r>
      <w:r w:rsidR="00DA5396">
        <w:rPr>
          <w:szCs w:val="24"/>
          <w:shd w:val="clear" w:color="auto" w:fill="FFFFFF"/>
        </w:rPr>
        <w:t xml:space="preserve">confiscation </w:t>
      </w:r>
      <w:r w:rsidR="00C103A7">
        <w:rPr>
          <w:szCs w:val="24"/>
          <w:shd w:val="clear" w:color="auto" w:fill="FFFFFF"/>
        </w:rPr>
        <w:t>e</w:t>
      </w:r>
      <w:r w:rsidR="00DA5396">
        <w:rPr>
          <w:szCs w:val="24"/>
          <w:shd w:val="clear" w:color="auto" w:fill="FFFFFF"/>
        </w:rPr>
        <w:t>nquiry</w:t>
      </w:r>
      <w:r w:rsidR="001B7128">
        <w:rPr>
          <w:szCs w:val="24"/>
          <w:shd w:val="clear" w:color="auto" w:fill="FFFFFF"/>
        </w:rPr>
        <w:t xml:space="preserve"> commenced before another </w:t>
      </w:r>
      <w:r w:rsidR="00314E1B">
        <w:rPr>
          <w:szCs w:val="24"/>
          <w:shd w:val="clear" w:color="auto" w:fill="FFFFFF"/>
        </w:rPr>
        <w:t>m</w:t>
      </w:r>
      <w:r w:rsidR="001B7128">
        <w:rPr>
          <w:szCs w:val="24"/>
          <w:shd w:val="clear" w:color="auto" w:fill="FFFFFF"/>
        </w:rPr>
        <w:t xml:space="preserve">agistrate, </w:t>
      </w:r>
      <w:r w:rsidR="007942D6">
        <w:rPr>
          <w:szCs w:val="24"/>
          <w:shd w:val="clear" w:color="auto" w:fill="FFFFFF"/>
        </w:rPr>
        <w:t>Magistrate</w:t>
      </w:r>
      <w:r w:rsidR="001B7128">
        <w:rPr>
          <w:szCs w:val="24"/>
          <w:shd w:val="clear" w:color="auto" w:fill="FFFFFF"/>
        </w:rPr>
        <w:t xml:space="preserve">. Kambinda. When the proceedings commenced, </w:t>
      </w:r>
      <w:r w:rsidR="00C103A7">
        <w:rPr>
          <w:szCs w:val="24"/>
          <w:shd w:val="clear" w:color="auto" w:fill="FFFFFF"/>
        </w:rPr>
        <w:t>Magistrate</w:t>
      </w:r>
      <w:r w:rsidR="001B7128">
        <w:rPr>
          <w:szCs w:val="24"/>
          <w:shd w:val="clear" w:color="auto" w:fill="FFFFFF"/>
        </w:rPr>
        <w:t xml:space="preserve"> Kambinda was a</w:t>
      </w:r>
      <w:r w:rsidR="00C103A7">
        <w:rPr>
          <w:szCs w:val="24"/>
          <w:shd w:val="clear" w:color="auto" w:fill="FFFFFF"/>
        </w:rPr>
        <w:t>l</w:t>
      </w:r>
      <w:r w:rsidR="001B7128">
        <w:rPr>
          <w:szCs w:val="24"/>
          <w:shd w:val="clear" w:color="auto" w:fill="FFFFFF"/>
        </w:rPr>
        <w:t>ive to this fact and informed the parties that</w:t>
      </w:r>
      <w:r w:rsidR="00B863EE">
        <w:rPr>
          <w:szCs w:val="24"/>
          <w:shd w:val="clear" w:color="auto" w:fill="FFFFFF"/>
        </w:rPr>
        <w:t xml:space="preserve"> Magistrate Nangolo </w:t>
      </w:r>
      <w:r w:rsidR="00C103A7">
        <w:rPr>
          <w:szCs w:val="24"/>
          <w:shd w:val="clear" w:color="auto" w:fill="FFFFFF"/>
        </w:rPr>
        <w:t>had</w:t>
      </w:r>
      <w:r w:rsidR="00B863EE">
        <w:rPr>
          <w:szCs w:val="24"/>
          <w:shd w:val="clear" w:color="auto" w:fill="FFFFFF"/>
        </w:rPr>
        <w:t xml:space="preserve"> left the Magistracy and </w:t>
      </w:r>
      <w:r w:rsidR="00C103A7">
        <w:rPr>
          <w:szCs w:val="24"/>
          <w:shd w:val="clear" w:color="auto" w:fill="FFFFFF"/>
        </w:rPr>
        <w:t>was</w:t>
      </w:r>
      <w:r w:rsidR="00B863EE">
        <w:rPr>
          <w:szCs w:val="24"/>
          <w:shd w:val="clear" w:color="auto" w:fill="FFFFFF"/>
        </w:rPr>
        <w:t xml:space="preserve"> no longer available. He then indicated that the proceedings </w:t>
      </w:r>
      <w:r w:rsidR="00C103A7">
        <w:rPr>
          <w:szCs w:val="24"/>
          <w:shd w:val="clear" w:color="auto" w:fill="FFFFFF"/>
        </w:rPr>
        <w:t>would</w:t>
      </w:r>
      <w:r w:rsidR="00B863EE">
        <w:rPr>
          <w:szCs w:val="24"/>
          <w:shd w:val="clear" w:color="auto" w:fill="FFFFFF"/>
        </w:rPr>
        <w:t xml:space="preserve"> commence in accordance with s 32(8) of POCA</w:t>
      </w:r>
      <w:r w:rsidR="007942D6">
        <w:rPr>
          <w:szCs w:val="24"/>
          <w:shd w:val="clear" w:color="auto" w:fill="FFFFFF"/>
        </w:rPr>
        <w:t>,</w:t>
      </w:r>
      <w:r w:rsidR="00C103A7">
        <w:rPr>
          <w:szCs w:val="24"/>
          <w:shd w:val="clear" w:color="auto" w:fill="FFFFFF"/>
        </w:rPr>
        <w:t xml:space="preserve"> which</w:t>
      </w:r>
      <w:r w:rsidR="00B863EE">
        <w:rPr>
          <w:szCs w:val="24"/>
          <w:shd w:val="clear" w:color="auto" w:fill="FFFFFF"/>
        </w:rPr>
        <w:t xml:space="preserve"> authorises another judicial officer to proceed </w:t>
      </w:r>
      <w:r w:rsidR="00B863EE">
        <w:rPr>
          <w:szCs w:val="24"/>
          <w:shd w:val="clear" w:color="auto" w:fill="FFFFFF"/>
        </w:rPr>
        <w:lastRenderedPageBreak/>
        <w:t xml:space="preserve">with the matter. </w:t>
      </w:r>
      <w:r w:rsidR="00B863EE">
        <w:t>I</w:t>
      </w:r>
      <w:r w:rsidR="00410AEB">
        <w:t>,</w:t>
      </w:r>
      <w:r w:rsidR="00B863EE">
        <w:t xml:space="preserve"> therefore</w:t>
      </w:r>
      <w:r w:rsidR="00410AEB">
        <w:t>,</w:t>
      </w:r>
      <w:r w:rsidR="00B863EE">
        <w:t xml:space="preserve"> find that there is nothing that prevented </w:t>
      </w:r>
      <w:r w:rsidR="00C103A7">
        <w:t>Magistrate</w:t>
      </w:r>
      <w:r w:rsidR="00B863EE">
        <w:t xml:space="preserve"> Kambinda </w:t>
      </w:r>
      <w:r w:rsidR="00DA5396">
        <w:t>from</w:t>
      </w:r>
      <w:r w:rsidR="00B863EE">
        <w:t xml:space="preserve"> proceed</w:t>
      </w:r>
      <w:r w:rsidR="00DA5396">
        <w:t>ing</w:t>
      </w:r>
      <w:r w:rsidR="0034549E">
        <w:t xml:space="preserve"> wit</w:t>
      </w:r>
      <w:r w:rsidR="0034549E" w:rsidRPr="008F4A7D">
        <w:t>h the e</w:t>
      </w:r>
      <w:r w:rsidR="00B863EE" w:rsidRPr="008F4A7D">
        <w:t>nquiry.</w:t>
      </w:r>
    </w:p>
    <w:p w14:paraId="7B7B119F" w14:textId="4317C583" w:rsidR="00C103A7" w:rsidRDefault="004B70FF" w:rsidP="00B22EF9">
      <w:pPr>
        <w:spacing w:line="360" w:lineRule="auto"/>
        <w:ind w:left="0" w:firstLine="0"/>
      </w:pPr>
      <w:r>
        <w:t>[48]</w:t>
      </w:r>
      <w:r>
        <w:tab/>
      </w:r>
      <w:r w:rsidR="00B22EF9">
        <w:t xml:space="preserve">The applicant’s rights to legal representation were also explained on 16 </w:t>
      </w:r>
      <w:r w:rsidR="00C103A7" w:rsidRPr="0039670B">
        <w:t xml:space="preserve">June </w:t>
      </w:r>
      <w:r w:rsidR="00B22EF9" w:rsidRPr="0039670B">
        <w:t>2021</w:t>
      </w:r>
      <w:r w:rsidR="00B22EF9">
        <w:t xml:space="preserve"> by Magistrate Kambinda. The applicant elected to represent himself. I</w:t>
      </w:r>
      <w:r w:rsidR="007942D6">
        <w:t>,</w:t>
      </w:r>
      <w:r w:rsidR="00B22EF9">
        <w:t xml:space="preserve"> therefore</w:t>
      </w:r>
      <w:r w:rsidR="007942D6">
        <w:t>,</w:t>
      </w:r>
      <w:r w:rsidR="00B22EF9">
        <w:t xml:space="preserve"> find it strange that the applicant stated that his rights </w:t>
      </w:r>
      <w:r w:rsidR="00C103A7">
        <w:t>were</w:t>
      </w:r>
      <w:r w:rsidR="00B22EF9">
        <w:t xml:space="preserve"> not explained to him. </w:t>
      </w:r>
      <w:r w:rsidR="00C103A7">
        <w:t xml:space="preserve">In fact, </w:t>
      </w:r>
      <w:r w:rsidR="0039670B">
        <w:t xml:space="preserve">on 23 August 2020, when the enquiry was scheduled to continue, </w:t>
      </w:r>
      <w:r w:rsidR="00C103A7">
        <w:t>the applicant indicated that he intended to apply for legal aid. The matter was postponed for this purpose.</w:t>
      </w:r>
    </w:p>
    <w:p w14:paraId="06F5E108" w14:textId="38208DEB" w:rsidR="00B22EF9" w:rsidRDefault="00C103A7" w:rsidP="00B22EF9">
      <w:pPr>
        <w:spacing w:line="360" w:lineRule="auto"/>
        <w:ind w:left="0" w:firstLine="0"/>
      </w:pPr>
      <w:r>
        <w:t>[49]</w:t>
      </w:r>
      <w:r>
        <w:tab/>
        <w:t>T</w:t>
      </w:r>
      <w:r w:rsidR="00B22EF9">
        <w:t xml:space="preserve">here </w:t>
      </w:r>
      <w:r w:rsidR="0034549E" w:rsidRPr="008F4A7D">
        <w:t xml:space="preserve">was </w:t>
      </w:r>
      <w:r w:rsidR="00B22EF9" w:rsidRPr="008F4A7D">
        <w:t>sufficient</w:t>
      </w:r>
      <w:r w:rsidR="00B22EF9">
        <w:t xml:space="preserve"> explanation of the applicant’s rights to </w:t>
      </w:r>
      <w:r>
        <w:t xml:space="preserve">legal </w:t>
      </w:r>
      <w:r w:rsidR="0034549E">
        <w:t>representation b</w:t>
      </w:r>
      <w:r w:rsidR="00964D9C">
        <w:t>ecause the applicant</w:t>
      </w:r>
      <w:r w:rsidR="004B5044">
        <w:t xml:space="preserve"> subsequently exercised that right</w:t>
      </w:r>
      <w:r w:rsidR="0034549E">
        <w:t>.</w:t>
      </w:r>
      <w:r w:rsidR="00964D9C">
        <w:t xml:space="preserve"> </w:t>
      </w:r>
      <w:r w:rsidR="00B22EF9">
        <w:t xml:space="preserve">I need not address whether it will be a ground of review </w:t>
      </w:r>
      <w:r w:rsidR="00964D9C">
        <w:t xml:space="preserve">if a defendant’s rights </w:t>
      </w:r>
      <w:r w:rsidR="00DA5396">
        <w:t xml:space="preserve">to legal representation </w:t>
      </w:r>
      <w:r w:rsidR="00964D9C">
        <w:t xml:space="preserve">have not been explained to him in civil proceedings, </w:t>
      </w:r>
      <w:r w:rsidR="00964D9C" w:rsidRPr="00410AEB">
        <w:rPr>
          <w:i/>
          <w:iCs/>
        </w:rPr>
        <w:t>vis a vis</w:t>
      </w:r>
      <w:r w:rsidR="00964D9C" w:rsidRPr="00410AEB">
        <w:rPr>
          <w:i/>
        </w:rPr>
        <w:t xml:space="preserve"> </w:t>
      </w:r>
      <w:r w:rsidR="00DA5396">
        <w:t xml:space="preserve">a </w:t>
      </w:r>
      <w:r w:rsidR="00964D9C">
        <w:t>failure to explain the accused rights in criminal proceedings.</w:t>
      </w:r>
    </w:p>
    <w:p w14:paraId="0D43463B" w14:textId="0E4A5938" w:rsidR="00964D9C" w:rsidRDefault="004B70FF" w:rsidP="00410AEB">
      <w:pPr>
        <w:pStyle w:val="BodyText"/>
        <w:spacing w:after="308"/>
      </w:pPr>
      <w:r>
        <w:t>[</w:t>
      </w:r>
      <w:r w:rsidR="00C103A7">
        <w:t>50</w:t>
      </w:r>
      <w:r>
        <w:t>]</w:t>
      </w:r>
      <w:r>
        <w:tab/>
      </w:r>
      <w:r w:rsidR="00964D9C">
        <w:t>On the same date</w:t>
      </w:r>
      <w:r w:rsidR="00EF220E">
        <w:t>,</w:t>
      </w:r>
      <w:r w:rsidR="00964D9C">
        <w:t xml:space="preserve"> 16 June 2021, the </w:t>
      </w:r>
      <w:r w:rsidR="00C103A7">
        <w:t xml:space="preserve">public </w:t>
      </w:r>
      <w:r w:rsidR="00964D9C">
        <w:t>prosecutor called the first witness</w:t>
      </w:r>
      <w:r w:rsidR="007942D6">
        <w:t>,</w:t>
      </w:r>
      <w:r w:rsidR="00964D9C">
        <w:t xml:space="preserve"> S</w:t>
      </w:r>
      <w:r w:rsidR="00C103A7">
        <w:t>gt</w:t>
      </w:r>
      <w:r w:rsidR="00964D9C">
        <w:t xml:space="preserve"> Immanuel. The applicant was present in court and participated in the proceedings. Through th</w:t>
      </w:r>
      <w:r w:rsidR="00410AEB">
        <w:t>e</w:t>
      </w:r>
      <w:r w:rsidR="00964D9C">
        <w:t xml:space="preserve"> witness, S</w:t>
      </w:r>
      <w:r w:rsidR="00C103A7">
        <w:t>gt</w:t>
      </w:r>
      <w:r w:rsidR="00964D9C">
        <w:t xml:space="preserve"> Immanuel</w:t>
      </w:r>
      <w:r w:rsidR="00410AEB">
        <w:t>,</w:t>
      </w:r>
      <w:r w:rsidR="00964D9C">
        <w:t xml:space="preserve"> records </w:t>
      </w:r>
      <w:r w:rsidR="00DA5396">
        <w:t>of</w:t>
      </w:r>
      <w:r w:rsidR="00964D9C">
        <w:t xml:space="preserve"> case </w:t>
      </w:r>
      <w:r w:rsidR="00410AEB">
        <w:t>numbers</w:t>
      </w:r>
      <w:r w:rsidR="00964D9C">
        <w:t xml:space="preserve"> </w:t>
      </w:r>
      <w:bookmarkStart w:id="3" w:name="_Hlk143526793"/>
      <w:r w:rsidR="00964D9C">
        <w:t>GOB-CRM</w:t>
      </w:r>
      <w:r w:rsidR="00410AEB">
        <w:t>-</w:t>
      </w:r>
      <w:r w:rsidR="00974808">
        <w:t>1982</w:t>
      </w:r>
      <w:r w:rsidR="00964D9C">
        <w:t>/2019</w:t>
      </w:r>
      <w:bookmarkEnd w:id="3"/>
      <w:r w:rsidR="00964D9C">
        <w:t xml:space="preserve"> </w:t>
      </w:r>
      <w:r w:rsidR="00974808">
        <w:t>and GOB-CRM</w:t>
      </w:r>
      <w:r w:rsidR="00410AEB">
        <w:t>-</w:t>
      </w:r>
      <w:r w:rsidR="00974808">
        <w:t xml:space="preserve">247/2019 </w:t>
      </w:r>
      <w:r w:rsidR="00964D9C">
        <w:t>w</w:t>
      </w:r>
      <w:r w:rsidR="00974808">
        <w:t xml:space="preserve">ere </w:t>
      </w:r>
      <w:r w:rsidR="00DA5396">
        <w:t xml:space="preserve">also </w:t>
      </w:r>
      <w:r w:rsidR="00974808">
        <w:t>handed in and</w:t>
      </w:r>
      <w:r w:rsidR="00964D9C">
        <w:t xml:space="preserve"> admitted as </w:t>
      </w:r>
      <w:r w:rsidR="00C74A2D">
        <w:t xml:space="preserve">exhibit </w:t>
      </w:r>
      <w:r w:rsidR="00410AEB">
        <w:t>‘</w:t>
      </w:r>
      <w:r w:rsidR="00C74A2D">
        <w:t>A</w:t>
      </w:r>
      <w:r w:rsidR="00410AEB">
        <w:t>’</w:t>
      </w:r>
      <w:r w:rsidR="00C74A2D">
        <w:t xml:space="preserve"> and e</w:t>
      </w:r>
      <w:r w:rsidR="00964D9C">
        <w:t xml:space="preserve">xhibit </w:t>
      </w:r>
      <w:r w:rsidR="00410AEB">
        <w:t>‘</w:t>
      </w:r>
      <w:r w:rsidR="00964D9C">
        <w:t>B</w:t>
      </w:r>
      <w:r w:rsidR="00410AEB">
        <w:t>’</w:t>
      </w:r>
      <w:r w:rsidR="007942D6">
        <w:t>,</w:t>
      </w:r>
      <w:r w:rsidR="00964D9C">
        <w:t xml:space="preserve"> respectively. The applicant </w:t>
      </w:r>
      <w:r w:rsidR="00974808">
        <w:t xml:space="preserve">was specifically asked if he has </w:t>
      </w:r>
      <w:r w:rsidR="00EF220E">
        <w:t xml:space="preserve">an </w:t>
      </w:r>
      <w:r w:rsidR="00974808">
        <w:t xml:space="preserve">objection to the handing in these records, and he </w:t>
      </w:r>
      <w:r w:rsidR="00964D9C">
        <w:t xml:space="preserve">did not </w:t>
      </w:r>
      <w:r w:rsidR="00964D9C" w:rsidRPr="008F4A7D">
        <w:t>object</w:t>
      </w:r>
      <w:r w:rsidR="0034549E" w:rsidRPr="008F4A7D">
        <w:t xml:space="preserve"> to same being handed up</w:t>
      </w:r>
      <w:r w:rsidR="00964D9C" w:rsidRPr="008F4A7D">
        <w:t>.</w:t>
      </w:r>
      <w:r w:rsidR="00974808" w:rsidRPr="008F4A7D">
        <w:t xml:space="preserve"> Further records were also submitted</w:t>
      </w:r>
      <w:r w:rsidR="007942D6">
        <w:t>,</w:t>
      </w:r>
      <w:r w:rsidR="00974808" w:rsidRPr="008F4A7D">
        <w:t xml:space="preserve"> such as a POL10 marked exhibit </w:t>
      </w:r>
      <w:r w:rsidR="004B5044">
        <w:t>‘</w:t>
      </w:r>
      <w:r w:rsidR="00974808" w:rsidRPr="008F4A7D">
        <w:t>C</w:t>
      </w:r>
      <w:r w:rsidR="004B5044">
        <w:t>’</w:t>
      </w:r>
      <w:r w:rsidR="00974808" w:rsidRPr="008F4A7D">
        <w:t xml:space="preserve">, without any objection from the applicant. The </w:t>
      </w:r>
      <w:r w:rsidR="004B5044">
        <w:t>applicant</w:t>
      </w:r>
      <w:r w:rsidR="00974808" w:rsidRPr="008F4A7D">
        <w:t xml:space="preserve">’s rights to </w:t>
      </w:r>
      <w:r w:rsidR="00EF220E" w:rsidRPr="008F4A7D">
        <w:t>cross-examination</w:t>
      </w:r>
      <w:r w:rsidR="00974808" w:rsidRPr="008F4A7D">
        <w:t xml:space="preserve"> </w:t>
      </w:r>
      <w:r w:rsidR="00EF220E" w:rsidRPr="008F4A7D">
        <w:t>were</w:t>
      </w:r>
      <w:r w:rsidR="00974808" w:rsidRPr="008F4A7D">
        <w:t xml:space="preserve"> also explained. The rights of the </w:t>
      </w:r>
      <w:r w:rsidR="004B5044">
        <w:t>applicant</w:t>
      </w:r>
      <w:r w:rsidR="00974808" w:rsidRPr="008F4A7D">
        <w:t xml:space="preserve"> to</w:t>
      </w:r>
      <w:r w:rsidR="0034549E" w:rsidRPr="008F4A7D">
        <w:t xml:space="preserve"> enable him to</w:t>
      </w:r>
      <w:r w:rsidR="00974808" w:rsidRPr="008F4A7D">
        <w:t xml:space="preserve"> prepare for his defence </w:t>
      </w:r>
      <w:r w:rsidR="004B5044">
        <w:t>were explained and he was alerted to</w:t>
      </w:r>
      <w:r w:rsidR="00974808" w:rsidRPr="008F4A7D">
        <w:t xml:space="preserve"> disclose </w:t>
      </w:r>
      <w:r w:rsidR="004B5044" w:rsidRPr="008F4A7D">
        <w:t xml:space="preserve">to the </w:t>
      </w:r>
      <w:r w:rsidR="004B5044">
        <w:t xml:space="preserve">public </w:t>
      </w:r>
      <w:r w:rsidR="004B5044" w:rsidRPr="008F4A7D">
        <w:t xml:space="preserve">prosecutor </w:t>
      </w:r>
      <w:r w:rsidR="00974808" w:rsidRPr="008F4A7D">
        <w:t>any documents in his possession that he intend</w:t>
      </w:r>
      <w:r w:rsidR="00EE3E3C">
        <w:t>ed</w:t>
      </w:r>
      <w:r w:rsidR="00974808" w:rsidRPr="008F4A7D">
        <w:t xml:space="preserve"> to use</w:t>
      </w:r>
      <w:r w:rsidR="004B5044">
        <w:t>.</w:t>
      </w:r>
      <w:r w:rsidR="00DA5396" w:rsidRPr="008F4A7D">
        <w:t xml:space="preserve"> </w:t>
      </w:r>
      <w:r w:rsidR="00EF220E" w:rsidRPr="008F4A7D">
        <w:t>The r</w:t>
      </w:r>
      <w:r w:rsidR="00DA5396" w:rsidRPr="008F4A7D">
        <w:t>ecord of proceedings in case number GOB-CRM</w:t>
      </w:r>
      <w:r w:rsidR="00410AEB">
        <w:t>-</w:t>
      </w:r>
      <w:r w:rsidR="00DA5396" w:rsidRPr="008F4A7D">
        <w:t>198</w:t>
      </w:r>
      <w:r w:rsidR="00CF6943" w:rsidRPr="008F4A7D">
        <w:t>3</w:t>
      </w:r>
      <w:r w:rsidR="00DA5396" w:rsidRPr="008F4A7D">
        <w:t xml:space="preserve">/2019 </w:t>
      </w:r>
      <w:r w:rsidR="00EF220E" w:rsidRPr="008F4A7D">
        <w:t>was</w:t>
      </w:r>
      <w:r w:rsidR="00CF6943" w:rsidRPr="008F4A7D">
        <w:t xml:space="preserve"> not handed up, as</w:t>
      </w:r>
      <w:r w:rsidR="00410AEB">
        <w:t xml:space="preserve"> the</w:t>
      </w:r>
      <w:r w:rsidR="00CF6943" w:rsidRPr="008F4A7D">
        <w:t xml:space="preserve"> </w:t>
      </w:r>
      <w:r w:rsidR="00AE0261" w:rsidRPr="008F4A7D">
        <w:t xml:space="preserve">s </w:t>
      </w:r>
      <w:r w:rsidR="00EF220E" w:rsidRPr="008F4A7D">
        <w:t>32 application was</w:t>
      </w:r>
      <w:r w:rsidR="00EF220E">
        <w:t xml:space="preserve"> brought </w:t>
      </w:r>
      <w:r w:rsidR="00FC082B">
        <w:t xml:space="preserve">under this case number and is also the subject matter of this review. </w:t>
      </w:r>
    </w:p>
    <w:p w14:paraId="4F5AFDED" w14:textId="5EF367F2" w:rsidR="00EC6365" w:rsidRPr="00FC082B" w:rsidRDefault="004B70FF" w:rsidP="00974808">
      <w:pPr>
        <w:spacing w:line="360" w:lineRule="auto"/>
        <w:ind w:left="0" w:firstLine="0"/>
        <w:rPr>
          <w:iCs/>
        </w:rPr>
      </w:pPr>
      <w:r>
        <w:t>[5</w:t>
      </w:r>
      <w:r w:rsidR="00FC082B">
        <w:t>1</w:t>
      </w:r>
      <w:r>
        <w:t>]</w:t>
      </w:r>
      <w:r>
        <w:tab/>
      </w:r>
      <w:r w:rsidR="00974808" w:rsidRPr="00006896">
        <w:t>Section</w:t>
      </w:r>
      <w:r w:rsidR="00974808">
        <w:rPr>
          <w:i/>
          <w:iCs/>
        </w:rPr>
        <w:t xml:space="preserve"> </w:t>
      </w:r>
      <w:r w:rsidR="00EC6365" w:rsidRPr="00FC082B">
        <w:rPr>
          <w:iCs/>
        </w:rPr>
        <w:t>32(1)</w:t>
      </w:r>
      <w:r w:rsidR="00EC6365" w:rsidRPr="00924EB4">
        <w:rPr>
          <w:i/>
          <w:iCs/>
        </w:rPr>
        <w:t xml:space="preserve"> </w:t>
      </w:r>
      <w:r w:rsidR="00006896">
        <w:t xml:space="preserve">of POCA states, </w:t>
      </w:r>
      <w:r w:rsidR="00FC082B">
        <w:t>‘</w:t>
      </w:r>
      <w:r w:rsidR="00EC6365" w:rsidRPr="00FC082B">
        <w:rPr>
          <w:iCs/>
        </w:rPr>
        <w:t>whenever a defendant is convicted of an offence the court convicting the defendant may, on application of the public prosecutor, enquire into any benefit which the defendant may have derived from -</w:t>
      </w:r>
    </w:p>
    <w:p w14:paraId="70CC4416" w14:textId="4EA25525" w:rsidR="00EC6365" w:rsidRPr="00FC082B" w:rsidRDefault="00A90577" w:rsidP="00EC6365">
      <w:pPr>
        <w:spacing w:line="360" w:lineRule="auto"/>
        <w:ind w:firstLine="710"/>
        <w:rPr>
          <w:iCs/>
        </w:rPr>
      </w:pPr>
      <w:r>
        <w:rPr>
          <w:iCs/>
        </w:rPr>
        <w:t>(a)</w:t>
      </w:r>
      <w:r>
        <w:rPr>
          <w:iCs/>
        </w:rPr>
        <w:tab/>
      </w:r>
      <w:r w:rsidR="00EC6365" w:rsidRPr="00FC082B">
        <w:rPr>
          <w:iCs/>
        </w:rPr>
        <w:t>that offence;</w:t>
      </w:r>
    </w:p>
    <w:p w14:paraId="675CFBC6" w14:textId="494564BF" w:rsidR="00EC6365" w:rsidRPr="00FC082B" w:rsidRDefault="00A90577" w:rsidP="00EC6365">
      <w:pPr>
        <w:spacing w:line="360" w:lineRule="auto"/>
        <w:ind w:left="720" w:firstLine="0"/>
        <w:rPr>
          <w:iCs/>
        </w:rPr>
      </w:pPr>
      <w:r>
        <w:rPr>
          <w:iCs/>
        </w:rPr>
        <w:lastRenderedPageBreak/>
        <w:t>(b)</w:t>
      </w:r>
      <w:r>
        <w:rPr>
          <w:iCs/>
        </w:rPr>
        <w:tab/>
      </w:r>
      <w:r w:rsidR="00EC6365" w:rsidRPr="00FC082B">
        <w:rPr>
          <w:iCs/>
        </w:rPr>
        <w:t>any other offence of which the defendant has been convicted at the same trial; or</w:t>
      </w:r>
    </w:p>
    <w:p w14:paraId="5C123695" w14:textId="0D44E73B" w:rsidR="00EC6365" w:rsidRPr="00FC082B" w:rsidRDefault="00A90577" w:rsidP="00EC6365">
      <w:pPr>
        <w:spacing w:line="360" w:lineRule="auto"/>
        <w:ind w:left="720" w:firstLine="0"/>
        <w:rPr>
          <w:iCs/>
        </w:rPr>
      </w:pPr>
      <w:r>
        <w:rPr>
          <w:iCs/>
        </w:rPr>
        <w:t>(c)</w:t>
      </w:r>
      <w:r>
        <w:rPr>
          <w:iCs/>
        </w:rPr>
        <w:tab/>
      </w:r>
      <w:r w:rsidR="00EC6365" w:rsidRPr="00FC082B">
        <w:rPr>
          <w:iCs/>
        </w:rPr>
        <w:t>any criminal activity which the court finds to be sufficiently related to the offences, referred to in paragraph (a) or (b).</w:t>
      </w:r>
      <w:r w:rsidR="00FC082B">
        <w:rPr>
          <w:iCs/>
        </w:rPr>
        <w:t>’</w:t>
      </w:r>
    </w:p>
    <w:p w14:paraId="415FDD6E" w14:textId="05730334" w:rsidR="00D962C3" w:rsidRDefault="004B70FF" w:rsidP="00610324">
      <w:pPr>
        <w:spacing w:line="360" w:lineRule="auto"/>
      </w:pPr>
      <w:r>
        <w:t>[5</w:t>
      </w:r>
      <w:r w:rsidR="00FC082B">
        <w:t>2</w:t>
      </w:r>
      <w:r>
        <w:t>]</w:t>
      </w:r>
      <w:r>
        <w:tab/>
      </w:r>
      <w:r w:rsidR="00EB6B96">
        <w:t>Section</w:t>
      </w:r>
      <w:r w:rsidR="00FC082B">
        <w:t xml:space="preserve"> </w:t>
      </w:r>
      <w:r w:rsidR="00006896">
        <w:t>3</w:t>
      </w:r>
      <w:r w:rsidR="00FC082B">
        <w:t>2</w:t>
      </w:r>
      <w:r w:rsidR="00006896">
        <w:t>(1)(</w:t>
      </w:r>
      <w:r w:rsidR="00006896" w:rsidRPr="00EB6B96">
        <w:rPr>
          <w:i/>
        </w:rPr>
        <w:t>c</w:t>
      </w:r>
      <w:r w:rsidR="00006896">
        <w:t>) of POCA</w:t>
      </w:r>
      <w:r w:rsidR="00CF6943">
        <w:t xml:space="preserve"> </w:t>
      </w:r>
      <w:r w:rsidR="00006896">
        <w:t xml:space="preserve">has extended the scope of </w:t>
      </w:r>
      <w:r w:rsidR="00C74A2D" w:rsidRPr="008F4A7D">
        <w:t xml:space="preserve">the </w:t>
      </w:r>
      <w:r w:rsidR="00006896" w:rsidRPr="008F4A7D">
        <w:t xml:space="preserve">application of the section to not only the offence that one has been convicted </w:t>
      </w:r>
      <w:r w:rsidR="00EB6B96" w:rsidRPr="008F4A7D">
        <w:t>o</w:t>
      </w:r>
      <w:r w:rsidR="00CF6943" w:rsidRPr="008F4A7D">
        <w:t>f</w:t>
      </w:r>
      <w:r w:rsidR="00410AEB">
        <w:t>,</w:t>
      </w:r>
      <w:r w:rsidR="00006896" w:rsidRPr="008F4A7D">
        <w:t xml:space="preserve"> but to any other criminal activity which the court finds to be sufficiently related to the offences</w:t>
      </w:r>
      <w:r w:rsidR="00006896">
        <w:t xml:space="preserve"> that the applicant is convicted of. It is of course expected that there should be evidence to back up such criminal activity. In any event</w:t>
      </w:r>
      <w:r w:rsidR="007942D6">
        <w:t>,</w:t>
      </w:r>
      <w:r w:rsidR="00006896">
        <w:t xml:space="preserve"> in both GOB-CRM</w:t>
      </w:r>
      <w:r w:rsidR="00410AEB">
        <w:t>-</w:t>
      </w:r>
      <w:r w:rsidR="00006896">
        <w:t>1982/2019 and GOB-CRM</w:t>
      </w:r>
      <w:r w:rsidR="00410AEB">
        <w:t>-</w:t>
      </w:r>
      <w:r w:rsidR="00006896">
        <w:t xml:space="preserve">247/2019, it was specifically stated that a s 32(1) of POCA application will be made. What is important to note </w:t>
      </w:r>
      <w:r w:rsidR="007942D6">
        <w:t>is that s 32(6) of POCA sets limits</w:t>
      </w:r>
      <w:r w:rsidR="00006896">
        <w:t xml:space="preserve"> on the amount that the court can order</w:t>
      </w:r>
      <w:r w:rsidR="00610324">
        <w:t xml:space="preserve"> to be confiscated</w:t>
      </w:r>
      <w:r w:rsidR="00006896">
        <w:t xml:space="preserve">. </w:t>
      </w:r>
    </w:p>
    <w:p w14:paraId="5471B5C9" w14:textId="77777777" w:rsidR="00D962C3" w:rsidRDefault="00D962C3" w:rsidP="00610324">
      <w:pPr>
        <w:spacing w:line="360" w:lineRule="auto"/>
      </w:pPr>
      <w:r>
        <w:t>[53]</w:t>
      </w:r>
      <w:r>
        <w:tab/>
      </w:r>
      <w:r w:rsidR="00006896">
        <w:t xml:space="preserve">It </w:t>
      </w:r>
      <w:r>
        <w:t>provides</w:t>
      </w:r>
      <w:r w:rsidR="00006896">
        <w:t xml:space="preserve"> that</w:t>
      </w:r>
      <w:r>
        <w:t>:</w:t>
      </w:r>
    </w:p>
    <w:p w14:paraId="0E373368" w14:textId="023C88FC" w:rsidR="00D962C3" w:rsidRPr="00D962C3" w:rsidRDefault="00D962C3" w:rsidP="00D962C3">
      <w:pPr>
        <w:spacing w:line="360" w:lineRule="auto"/>
        <w:ind w:firstLine="710"/>
        <w:rPr>
          <w:sz w:val="22"/>
        </w:rPr>
      </w:pPr>
      <w:r>
        <w:rPr>
          <w:sz w:val="22"/>
        </w:rPr>
        <w:t>‘</w:t>
      </w:r>
      <w:r w:rsidRPr="00D962C3">
        <w:rPr>
          <w:sz w:val="22"/>
        </w:rPr>
        <w:t>(6) The amount that a court may order the defendant to pay to the State under subsection (2)-</w:t>
      </w:r>
    </w:p>
    <w:p w14:paraId="76BBD01B" w14:textId="77777777" w:rsidR="00D962C3" w:rsidRPr="00D962C3" w:rsidRDefault="00D962C3" w:rsidP="00D962C3">
      <w:pPr>
        <w:spacing w:line="360" w:lineRule="auto"/>
        <w:rPr>
          <w:sz w:val="22"/>
        </w:rPr>
      </w:pPr>
      <w:r w:rsidRPr="00D962C3">
        <w:rPr>
          <w:sz w:val="22"/>
        </w:rPr>
        <w:tab/>
        <w:t>(a)</w:t>
      </w:r>
      <w:r w:rsidRPr="00D962C3">
        <w:rPr>
          <w:sz w:val="22"/>
        </w:rPr>
        <w:tab/>
        <w:t>may be realised from-</w:t>
      </w:r>
    </w:p>
    <w:p w14:paraId="1E2B85E9" w14:textId="77777777" w:rsidR="00D962C3" w:rsidRPr="00D962C3" w:rsidRDefault="00D962C3" w:rsidP="00D962C3">
      <w:pPr>
        <w:spacing w:line="360" w:lineRule="auto"/>
        <w:rPr>
          <w:sz w:val="22"/>
        </w:rPr>
      </w:pPr>
      <w:r w:rsidRPr="00D962C3">
        <w:rPr>
          <w:sz w:val="22"/>
        </w:rPr>
        <w:tab/>
      </w:r>
      <w:r w:rsidRPr="00D962C3">
        <w:rPr>
          <w:sz w:val="22"/>
        </w:rPr>
        <w:tab/>
        <w:t>(i)</w:t>
      </w:r>
      <w:r w:rsidRPr="00D962C3">
        <w:rPr>
          <w:sz w:val="22"/>
        </w:rPr>
        <w:tab/>
        <w:t>the defendant's property which is subject to a restraint order; or</w:t>
      </w:r>
    </w:p>
    <w:p w14:paraId="06BCF6EB" w14:textId="77777777" w:rsidR="00D962C3" w:rsidRPr="00D962C3" w:rsidRDefault="00D962C3" w:rsidP="00D962C3">
      <w:pPr>
        <w:spacing w:line="360" w:lineRule="auto"/>
        <w:rPr>
          <w:sz w:val="22"/>
        </w:rPr>
      </w:pPr>
      <w:r w:rsidRPr="00D962C3">
        <w:rPr>
          <w:sz w:val="22"/>
        </w:rPr>
        <w:tab/>
      </w:r>
      <w:r w:rsidRPr="00D962C3">
        <w:rPr>
          <w:sz w:val="22"/>
        </w:rPr>
        <w:tab/>
        <w:t>(ii)</w:t>
      </w:r>
      <w:r w:rsidRPr="00D962C3">
        <w:rPr>
          <w:sz w:val="22"/>
        </w:rPr>
        <w:tab/>
        <w:t>any other realisable property of the defendant, and</w:t>
      </w:r>
    </w:p>
    <w:p w14:paraId="78889720" w14:textId="77777777" w:rsidR="00D962C3" w:rsidRDefault="00D962C3" w:rsidP="00D962C3">
      <w:pPr>
        <w:pStyle w:val="BodyTextIndent3"/>
        <w:spacing w:after="308"/>
      </w:pPr>
      <w:r w:rsidRPr="00D962C3">
        <w:tab/>
        <w:t>(b)</w:t>
      </w:r>
      <w:r w:rsidRPr="00D962C3">
        <w:tab/>
        <w:t>must not exceed the value of the defendant's proceeds of the offences or related criminal activities referred to in that subsection, as determined by the court in accordance with this Chapter.</w:t>
      </w:r>
      <w:r>
        <w:t>’</w:t>
      </w:r>
    </w:p>
    <w:p w14:paraId="5AB00138" w14:textId="3B25BA0D" w:rsidR="00006896" w:rsidRDefault="004B70FF" w:rsidP="00D962C3">
      <w:pPr>
        <w:spacing w:line="360" w:lineRule="auto"/>
      </w:pPr>
      <w:r>
        <w:t>[5</w:t>
      </w:r>
      <w:r w:rsidR="00D962C3">
        <w:t>4</w:t>
      </w:r>
      <w:r>
        <w:t>]</w:t>
      </w:r>
      <w:r>
        <w:tab/>
      </w:r>
      <w:r w:rsidR="006C4D21" w:rsidRPr="008F4A7D">
        <w:t>Further</w:t>
      </w:r>
      <w:r w:rsidR="0071598B" w:rsidRPr="008F4A7D">
        <w:t>more</w:t>
      </w:r>
      <w:r w:rsidR="00723FB0">
        <w:t>,</w:t>
      </w:r>
      <w:r w:rsidR="006C4D21" w:rsidRPr="008F4A7D">
        <w:t xml:space="preserve"> the</w:t>
      </w:r>
      <w:r w:rsidR="006C4D21">
        <w:t xml:space="preserve"> actual written application or notice in terms of s 32(1) of POCA</w:t>
      </w:r>
      <w:r w:rsidR="00723FB0">
        <w:t>,</w:t>
      </w:r>
      <w:r w:rsidR="006C4D21">
        <w:t xml:space="preserve"> </w:t>
      </w:r>
      <w:r w:rsidR="00CF6943">
        <w:t xml:space="preserve">which the </w:t>
      </w:r>
      <w:r w:rsidR="00D962C3">
        <w:t xml:space="preserve">public </w:t>
      </w:r>
      <w:r w:rsidR="00CF6943">
        <w:t>prosecutor submitted to court with the authorisation</w:t>
      </w:r>
      <w:r w:rsidR="007942D6">
        <w:t>,</w:t>
      </w:r>
      <w:r w:rsidR="00CF6943">
        <w:t xml:space="preserve"> </w:t>
      </w:r>
      <w:r w:rsidR="006C4D21">
        <w:t xml:space="preserve">cites all case numbers involved in the confiscation application. </w:t>
      </w:r>
      <w:r w:rsidR="00610324">
        <w:t xml:space="preserve">Based on the above, I do not find </w:t>
      </w:r>
      <w:r w:rsidR="00D962C3">
        <w:t>it inappropriate that</w:t>
      </w:r>
      <w:r w:rsidR="00610324">
        <w:t xml:space="preserve"> </w:t>
      </w:r>
      <w:r w:rsidR="00D962C3">
        <w:t>these</w:t>
      </w:r>
      <w:r w:rsidR="00610324">
        <w:t xml:space="preserve"> three cases were heard in one application, as all relevant records were produced in court, and the court has </w:t>
      </w:r>
      <w:r w:rsidR="00D962C3">
        <w:t>the power</w:t>
      </w:r>
      <w:r w:rsidR="00610324">
        <w:t xml:space="preserve"> to consider all three cases in one confiscation application.</w:t>
      </w:r>
      <w:r w:rsidR="00CF6943">
        <w:t xml:space="preserve"> The court is entitled to look at the evidence that was presented in the criminal case in a confiscation application. There is nothing </w:t>
      </w:r>
      <w:r w:rsidR="00CF6943">
        <w:lastRenderedPageBreak/>
        <w:t>amis</w:t>
      </w:r>
      <w:r w:rsidR="00D962C3">
        <w:t>s</w:t>
      </w:r>
      <w:r w:rsidR="00CF6943">
        <w:t xml:space="preserve"> with the procedure adopted in the confiscation application.</w:t>
      </w:r>
      <w:r w:rsidR="00610324">
        <w:t xml:space="preserve"> </w:t>
      </w:r>
      <w:r w:rsidR="007942D6">
        <w:t xml:space="preserve">The reasoning in </w:t>
      </w:r>
      <w:r w:rsidR="007942D6" w:rsidRPr="007942D6">
        <w:rPr>
          <w:i/>
        </w:rPr>
        <w:t>Shaik</w:t>
      </w:r>
      <w:r w:rsidR="007942D6">
        <w:t xml:space="preserve"> supra further fortifies my position</w:t>
      </w:r>
      <w:r w:rsidR="00610324">
        <w:rPr>
          <w:i/>
          <w:iCs/>
        </w:rPr>
        <w:t>.</w:t>
      </w:r>
    </w:p>
    <w:p w14:paraId="7DF416D2" w14:textId="554D7091" w:rsidR="00610324" w:rsidRDefault="004B70FF" w:rsidP="00006896">
      <w:pPr>
        <w:spacing w:line="360" w:lineRule="auto"/>
      </w:pPr>
      <w:r>
        <w:t>[5</w:t>
      </w:r>
      <w:r w:rsidR="00D962C3">
        <w:t>5</w:t>
      </w:r>
      <w:r>
        <w:t>]</w:t>
      </w:r>
      <w:r>
        <w:tab/>
      </w:r>
      <w:r w:rsidR="00D962C3">
        <w:t>On 16 June 2021, t</w:t>
      </w:r>
      <w:r w:rsidR="00DA4CFB">
        <w:t xml:space="preserve">he matter was </w:t>
      </w:r>
      <w:r w:rsidR="00D962C3">
        <w:t>further</w:t>
      </w:r>
      <w:r w:rsidR="00DA4CFB">
        <w:t xml:space="preserve"> postponed to 28 June 2021</w:t>
      </w:r>
      <w:r w:rsidR="003504E6">
        <w:t xml:space="preserve"> to continue</w:t>
      </w:r>
      <w:r w:rsidR="00DA4CFB">
        <w:t xml:space="preserve"> </w:t>
      </w:r>
      <w:r w:rsidR="00D962C3">
        <w:t>the e</w:t>
      </w:r>
      <w:r w:rsidR="00DA4CFB">
        <w:t>nquiry.</w:t>
      </w:r>
      <w:r w:rsidR="006C4D21">
        <w:t xml:space="preserve"> </w:t>
      </w:r>
      <w:r w:rsidR="003504E6">
        <w:t xml:space="preserve">In the meantime, the applicant </w:t>
      </w:r>
      <w:r w:rsidR="006C4D21">
        <w:t xml:space="preserve">applied for </w:t>
      </w:r>
      <w:r w:rsidR="00D962C3">
        <w:t>l</w:t>
      </w:r>
      <w:r w:rsidR="006C4D21">
        <w:t xml:space="preserve">egal </w:t>
      </w:r>
      <w:r w:rsidR="00D962C3">
        <w:t>a</w:t>
      </w:r>
      <w:r w:rsidR="006C4D21">
        <w:t>id</w:t>
      </w:r>
      <w:r w:rsidR="00D962C3">
        <w:t>,</w:t>
      </w:r>
      <w:r w:rsidR="00CF6943">
        <w:t xml:space="preserve"> which resulted in further postponements</w:t>
      </w:r>
      <w:r w:rsidR="006C4D21">
        <w:t>. However, on 28 February 2022</w:t>
      </w:r>
      <w:r w:rsidR="003504E6">
        <w:t>,</w:t>
      </w:r>
      <w:r w:rsidR="006C4D21">
        <w:t xml:space="preserve"> when the matter </w:t>
      </w:r>
      <w:r w:rsidR="00A90577" w:rsidRPr="008F4A7D">
        <w:t>came before court</w:t>
      </w:r>
      <w:r w:rsidR="00723FB0">
        <w:t>,</w:t>
      </w:r>
      <w:r w:rsidR="006C4D21">
        <w:t xml:space="preserve"> the applicant informed </w:t>
      </w:r>
      <w:r w:rsidR="00CF6943">
        <w:t xml:space="preserve">the </w:t>
      </w:r>
      <w:r w:rsidR="006C4D21">
        <w:t xml:space="preserve">court </w:t>
      </w:r>
      <w:r w:rsidR="00CF6943" w:rsidRPr="00723FB0">
        <w:rPr>
          <w:iCs/>
        </w:rPr>
        <w:t>a</w:t>
      </w:r>
      <w:r w:rsidR="00D962C3" w:rsidRPr="00723FB0">
        <w:rPr>
          <w:iCs/>
        </w:rPr>
        <w:t xml:space="preserve"> </w:t>
      </w:r>
      <w:r w:rsidR="00CF6943" w:rsidRPr="00723FB0">
        <w:rPr>
          <w:iCs/>
        </w:rPr>
        <w:t>quo</w:t>
      </w:r>
      <w:r w:rsidR="00CF6943">
        <w:rPr>
          <w:i/>
          <w:iCs/>
        </w:rPr>
        <w:t xml:space="preserve"> </w:t>
      </w:r>
      <w:r w:rsidR="006C4D21">
        <w:t xml:space="preserve">that he </w:t>
      </w:r>
      <w:r w:rsidR="00D962C3">
        <w:t xml:space="preserve">had </w:t>
      </w:r>
      <w:r w:rsidR="006C4D21">
        <w:t>canc</w:t>
      </w:r>
      <w:r w:rsidR="003504E6">
        <w:t>elled the legal aid application</w:t>
      </w:r>
      <w:r w:rsidR="006C4D21">
        <w:t xml:space="preserve"> and </w:t>
      </w:r>
      <w:r w:rsidR="00D962C3">
        <w:t xml:space="preserve">that </w:t>
      </w:r>
      <w:r w:rsidR="006C4D21">
        <w:t xml:space="preserve">he </w:t>
      </w:r>
      <w:r w:rsidR="00D962C3">
        <w:t>would</w:t>
      </w:r>
      <w:r w:rsidR="006C4D21">
        <w:t xml:space="preserve"> represent himself.</w:t>
      </w:r>
      <w:r w:rsidR="003504E6">
        <w:t xml:space="preserve"> </w:t>
      </w:r>
      <w:r w:rsidR="006C4D21">
        <w:t xml:space="preserve">As a result, the matter was again postponed to 26 April 2022 for </w:t>
      </w:r>
      <w:r w:rsidR="00D962C3">
        <w:t xml:space="preserve">the </w:t>
      </w:r>
      <w:r w:rsidR="006C4D21">
        <w:t xml:space="preserve">continuation of the application. </w:t>
      </w:r>
      <w:r w:rsidR="003504E6">
        <w:t>The applicant was absent in court when the case was called on 26 April 2022</w:t>
      </w:r>
      <w:r w:rsidR="006C4D21">
        <w:t xml:space="preserve">. This fact is </w:t>
      </w:r>
      <w:r w:rsidR="00CF6943">
        <w:t xml:space="preserve">common </w:t>
      </w:r>
      <w:r w:rsidR="00CF6943" w:rsidRPr="008F4A7D">
        <w:t>cause between</w:t>
      </w:r>
      <w:r w:rsidR="006C4D21" w:rsidRPr="008F4A7D">
        <w:t xml:space="preserve"> both parties. The applicant advanced the reasons for his absence </w:t>
      </w:r>
      <w:r w:rsidR="003504E6">
        <w:t>because he was</w:t>
      </w:r>
      <w:r w:rsidR="00AC4A91" w:rsidRPr="008F4A7D">
        <w:t xml:space="preserve"> emotionally stressed. The applicant alleged that</w:t>
      </w:r>
      <w:r w:rsidR="00C74A2D" w:rsidRPr="008F4A7D">
        <w:t xml:space="preserve"> the</w:t>
      </w:r>
      <w:r w:rsidR="00AC4A91" w:rsidRPr="008F4A7D">
        <w:t xml:space="preserve"> distress </w:t>
      </w:r>
      <w:r w:rsidR="003504E6">
        <w:t>resulted from</w:t>
      </w:r>
      <w:r w:rsidR="00AC4A91" w:rsidRPr="008F4A7D">
        <w:t xml:space="preserve"> the fact that his cell was searched and a cell phone was recovered. </w:t>
      </w:r>
      <w:r w:rsidR="006C4D21" w:rsidRPr="008F4A7D">
        <w:t xml:space="preserve">The officials who searched the holding cell </w:t>
      </w:r>
      <w:r w:rsidR="00AC4A91" w:rsidRPr="008F4A7D">
        <w:t xml:space="preserve">apparently </w:t>
      </w:r>
      <w:r w:rsidR="006C4D21" w:rsidRPr="008F4A7D">
        <w:t xml:space="preserve">alleged that the </w:t>
      </w:r>
      <w:r w:rsidR="00C74A2D" w:rsidRPr="008F4A7D">
        <w:t>cell phone</w:t>
      </w:r>
      <w:r w:rsidR="00EE3E3C">
        <w:t xml:space="preserve"> recovered</w:t>
      </w:r>
      <w:r w:rsidR="006C4D21" w:rsidRPr="008F4A7D">
        <w:t xml:space="preserve"> </w:t>
      </w:r>
      <w:r w:rsidR="00AC4A91" w:rsidRPr="008F4A7D">
        <w:t>belonged</w:t>
      </w:r>
      <w:r w:rsidR="006C4D21" w:rsidRPr="008F4A7D">
        <w:t xml:space="preserve"> to the applicant, and this fact </w:t>
      </w:r>
      <w:r w:rsidR="00A90577" w:rsidRPr="008F4A7D">
        <w:t xml:space="preserve">infuriated the applicant. </w:t>
      </w:r>
      <w:r w:rsidR="00AC4A91" w:rsidRPr="008F4A7D">
        <w:t>A</w:t>
      </w:r>
      <w:r w:rsidR="006C4D21" w:rsidRPr="008F4A7D">
        <w:t xml:space="preserve">s a result </w:t>
      </w:r>
      <w:r w:rsidR="00CF6943" w:rsidRPr="008F4A7D">
        <w:t xml:space="preserve">of this anger, he </w:t>
      </w:r>
      <w:r w:rsidR="006C4D21" w:rsidRPr="008F4A7D">
        <w:t>refused to go to court for the continuation of the con</w:t>
      </w:r>
      <w:r w:rsidR="00A90577" w:rsidRPr="008F4A7D">
        <w:t>fiscation e</w:t>
      </w:r>
      <w:r w:rsidR="006C4D21" w:rsidRPr="008F4A7D">
        <w:t>nquiry.</w:t>
      </w:r>
    </w:p>
    <w:p w14:paraId="2AFC9333" w14:textId="6CB44662" w:rsidR="006C4D21" w:rsidRDefault="004B70FF" w:rsidP="00006896">
      <w:pPr>
        <w:spacing w:line="360" w:lineRule="auto"/>
      </w:pPr>
      <w:r>
        <w:t>[5</w:t>
      </w:r>
      <w:r w:rsidR="00D00A12">
        <w:t>6</w:t>
      </w:r>
      <w:r>
        <w:t>]</w:t>
      </w:r>
      <w:r>
        <w:tab/>
      </w:r>
      <w:r w:rsidR="006C4D21">
        <w:t xml:space="preserve">It is not clear why the applicant’s anger was directed to court </w:t>
      </w:r>
      <w:r w:rsidR="006C4D21" w:rsidRPr="008F4A7D">
        <w:t xml:space="preserve">or </w:t>
      </w:r>
      <w:r w:rsidR="00A90577" w:rsidRPr="008F4A7D">
        <w:t>toward</w:t>
      </w:r>
      <w:r w:rsidR="006C4D21" w:rsidRPr="008F4A7D">
        <w:t xml:space="preserve"> the application. </w:t>
      </w:r>
      <w:r w:rsidR="00D00A12" w:rsidRPr="008F4A7D">
        <w:t>The o</w:t>
      </w:r>
      <w:r w:rsidR="006C4D21" w:rsidRPr="008F4A7D">
        <w:t>fficials at the correction</w:t>
      </w:r>
      <w:r w:rsidR="00CF6943" w:rsidRPr="008F4A7D">
        <w:t>al</w:t>
      </w:r>
      <w:r w:rsidR="006C4D21" w:rsidRPr="008F4A7D">
        <w:t xml:space="preserve"> facility</w:t>
      </w:r>
      <w:r w:rsidR="00CF6943" w:rsidRPr="008F4A7D">
        <w:t xml:space="preserve"> or what</w:t>
      </w:r>
      <w:r w:rsidR="00A90577" w:rsidRPr="008F4A7D">
        <w:t>ever</w:t>
      </w:r>
      <w:r w:rsidR="00CF6943" w:rsidRPr="008F4A7D">
        <w:t xml:space="preserve"> happens at the correctional facility</w:t>
      </w:r>
      <w:r w:rsidR="006C4D21" w:rsidRPr="008F4A7D">
        <w:t xml:space="preserve"> have no bearing on the confiscation application. </w:t>
      </w:r>
      <w:r w:rsidR="00D00A12" w:rsidRPr="008F4A7D">
        <w:t>As a result</w:t>
      </w:r>
      <w:r w:rsidR="006C4D21" w:rsidRPr="008F4A7D">
        <w:t xml:space="preserve"> of the applicant’s refusal to attend court, the matter was postponed to the following day</w:t>
      </w:r>
      <w:r w:rsidR="00723FB0">
        <w:t>,</w:t>
      </w:r>
      <w:r w:rsidR="006C4D21" w:rsidRPr="008F4A7D">
        <w:t xml:space="preserve"> 27 April 2022</w:t>
      </w:r>
      <w:r w:rsidR="00723FB0">
        <w:t>,</w:t>
      </w:r>
      <w:r w:rsidR="006C4D21" w:rsidRPr="008F4A7D">
        <w:t xml:space="preserve"> for continuation, in the hope that the applicant will come to his senses and attend court. The applicant</w:t>
      </w:r>
      <w:r w:rsidR="00723FB0">
        <w:t>,</w:t>
      </w:r>
      <w:r w:rsidR="006C4D21" w:rsidRPr="008F4A7D">
        <w:t xml:space="preserve"> however</w:t>
      </w:r>
      <w:r w:rsidR="00723FB0">
        <w:t>,</w:t>
      </w:r>
      <w:r w:rsidR="006C4D21" w:rsidRPr="008F4A7D">
        <w:t xml:space="preserve"> persisted in his refusal and again refused to go to court.</w:t>
      </w:r>
      <w:r w:rsidR="00CF6943" w:rsidRPr="008F4A7D">
        <w:t xml:space="preserve"> </w:t>
      </w:r>
      <w:r w:rsidR="006C4D21" w:rsidRPr="008F4A7D">
        <w:t xml:space="preserve">Evidence from </w:t>
      </w:r>
      <w:r w:rsidR="00D00A12" w:rsidRPr="008F4A7D">
        <w:t>A/Comm</w:t>
      </w:r>
      <w:r w:rsidR="006C4D21" w:rsidRPr="008F4A7D">
        <w:t xml:space="preserve"> Platt, the officer in charge of </w:t>
      </w:r>
      <w:r w:rsidR="00A90577" w:rsidRPr="008F4A7D">
        <w:t xml:space="preserve">the </w:t>
      </w:r>
      <w:r w:rsidR="006C4D21" w:rsidRPr="008F4A7D">
        <w:t xml:space="preserve">Gobabis </w:t>
      </w:r>
      <w:r w:rsidR="004F17C4" w:rsidRPr="008F4A7D">
        <w:t>Correctional Facility</w:t>
      </w:r>
      <w:r w:rsidR="00723FB0">
        <w:t>,</w:t>
      </w:r>
      <w:r w:rsidR="006C4D21" w:rsidRPr="008F4A7D">
        <w:t xml:space="preserve"> had to be led in an application </w:t>
      </w:r>
      <w:r w:rsidR="00A90577" w:rsidRPr="008F4A7D">
        <w:t xml:space="preserve">brought by the </w:t>
      </w:r>
      <w:r w:rsidR="00723FB0">
        <w:t>S</w:t>
      </w:r>
      <w:r w:rsidR="00A90577" w:rsidRPr="008F4A7D">
        <w:t xml:space="preserve">tate </w:t>
      </w:r>
      <w:r w:rsidR="00A73BE8" w:rsidRPr="008F4A7D">
        <w:t xml:space="preserve">to </w:t>
      </w:r>
      <w:r w:rsidR="00723FB0">
        <w:t>continue</w:t>
      </w:r>
      <w:r w:rsidR="00A73BE8" w:rsidRPr="008F4A7D">
        <w:t xml:space="preserve"> with the proceedings in the absence of the applicant. The application was granted by the court </w:t>
      </w:r>
      <w:r w:rsidR="00A73BE8" w:rsidRPr="00723FB0">
        <w:rPr>
          <w:iCs/>
        </w:rPr>
        <w:t>a</w:t>
      </w:r>
      <w:r w:rsidR="00D00A12" w:rsidRPr="00723FB0">
        <w:rPr>
          <w:iCs/>
        </w:rPr>
        <w:t xml:space="preserve"> </w:t>
      </w:r>
      <w:r w:rsidR="00A73BE8" w:rsidRPr="00723FB0">
        <w:rPr>
          <w:iCs/>
        </w:rPr>
        <w:t>quo</w:t>
      </w:r>
      <w:r w:rsidR="00A73BE8" w:rsidRPr="008F4A7D">
        <w:t xml:space="preserve"> and correctly so</w:t>
      </w:r>
      <w:r w:rsidR="00723FB0">
        <w:t>,</w:t>
      </w:r>
      <w:r w:rsidR="00A73BE8" w:rsidRPr="008F4A7D">
        <w:t xml:space="preserve"> in my view.</w:t>
      </w:r>
    </w:p>
    <w:p w14:paraId="16D18E13" w14:textId="210AFF9B" w:rsidR="006C4081" w:rsidRDefault="004B70FF" w:rsidP="00006896">
      <w:pPr>
        <w:spacing w:line="360" w:lineRule="auto"/>
        <w:rPr>
          <w:szCs w:val="24"/>
        </w:rPr>
      </w:pPr>
      <w:r>
        <w:t>[5</w:t>
      </w:r>
      <w:r w:rsidR="00D00A12">
        <w:t>7</w:t>
      </w:r>
      <w:r>
        <w:t>]</w:t>
      </w:r>
      <w:r>
        <w:tab/>
      </w:r>
      <w:r w:rsidR="000919CD">
        <w:t>The applicant now complains in this review</w:t>
      </w:r>
      <w:r w:rsidR="00D00A12">
        <w:t xml:space="preserve"> proceedings</w:t>
      </w:r>
      <w:r w:rsidR="000919CD">
        <w:t xml:space="preserve"> that</w:t>
      </w:r>
      <w:r w:rsidR="006C4081">
        <w:t xml:space="preserve"> he has not been </w:t>
      </w:r>
      <w:r w:rsidR="006C4081" w:rsidRPr="008F4A7D">
        <w:t xml:space="preserve">afforded </w:t>
      </w:r>
      <w:r w:rsidR="00C74A2D" w:rsidRPr="008F4A7D">
        <w:t xml:space="preserve">the </w:t>
      </w:r>
      <w:r w:rsidR="006C4081" w:rsidRPr="008F4A7D">
        <w:t xml:space="preserve">opportunity to be heard. </w:t>
      </w:r>
      <w:r w:rsidR="006C4081" w:rsidRPr="008F4A7D">
        <w:rPr>
          <w:szCs w:val="24"/>
        </w:rPr>
        <w:t xml:space="preserve">This argument by the applicant is unsound. Firstly, the </w:t>
      </w:r>
      <w:r w:rsidR="006C4081" w:rsidRPr="008F4A7D">
        <w:rPr>
          <w:i/>
          <w:szCs w:val="24"/>
        </w:rPr>
        <w:t xml:space="preserve">audi alteram partem </w:t>
      </w:r>
      <w:r w:rsidR="006C4081" w:rsidRPr="008F4A7D">
        <w:rPr>
          <w:szCs w:val="24"/>
        </w:rPr>
        <w:t>principle was exercised in the applicant’s favour on 26 April 2022, when the applicant did not appear in court on his own refusal. Then again</w:t>
      </w:r>
      <w:r w:rsidR="00F0079A">
        <w:rPr>
          <w:szCs w:val="24"/>
        </w:rPr>
        <w:t>,</w:t>
      </w:r>
      <w:r w:rsidR="006C4081" w:rsidRPr="008F4A7D">
        <w:rPr>
          <w:szCs w:val="24"/>
        </w:rPr>
        <w:t xml:space="preserve"> on 27 April 2022, when the applicant was expected to be in court. Due to the fault of no one but the applicant himself, he refused to attend court because he was accused </w:t>
      </w:r>
      <w:r w:rsidR="006C4081" w:rsidRPr="008F4A7D">
        <w:rPr>
          <w:szCs w:val="24"/>
        </w:rPr>
        <w:lastRenderedPageBreak/>
        <w:t xml:space="preserve">of </w:t>
      </w:r>
      <w:r w:rsidR="003504E6">
        <w:rPr>
          <w:szCs w:val="24"/>
        </w:rPr>
        <w:t>having</w:t>
      </w:r>
      <w:r w:rsidR="00BB33AD" w:rsidRPr="008F4A7D">
        <w:rPr>
          <w:szCs w:val="24"/>
        </w:rPr>
        <w:t xml:space="preserve"> a </w:t>
      </w:r>
      <w:r w:rsidR="006C4081" w:rsidRPr="008F4A7D">
        <w:rPr>
          <w:szCs w:val="24"/>
        </w:rPr>
        <w:t>cell phone in the holding cell. I must pause</w:t>
      </w:r>
      <w:r w:rsidR="004F17C4" w:rsidRPr="008F4A7D">
        <w:rPr>
          <w:szCs w:val="24"/>
        </w:rPr>
        <w:t xml:space="preserve"> and hasten</w:t>
      </w:r>
      <w:r w:rsidR="006C4081" w:rsidRPr="008F4A7D">
        <w:rPr>
          <w:szCs w:val="24"/>
        </w:rPr>
        <w:t xml:space="preserve"> to state that if one has regard to the applicant’s admission</w:t>
      </w:r>
      <w:r w:rsidR="003504E6">
        <w:rPr>
          <w:szCs w:val="24"/>
        </w:rPr>
        <w:t>s</w:t>
      </w:r>
      <w:r w:rsidR="006C4081" w:rsidRPr="008F4A7D">
        <w:rPr>
          <w:szCs w:val="24"/>
        </w:rPr>
        <w:t xml:space="preserve"> in the s</w:t>
      </w:r>
      <w:r w:rsidR="00D00A12" w:rsidRPr="008F4A7D">
        <w:rPr>
          <w:szCs w:val="24"/>
        </w:rPr>
        <w:t xml:space="preserve"> </w:t>
      </w:r>
      <w:r w:rsidR="006C4081" w:rsidRPr="008F4A7D">
        <w:rPr>
          <w:szCs w:val="24"/>
        </w:rPr>
        <w:t>112(</w:t>
      </w:r>
      <w:r w:rsidR="006C4081" w:rsidRPr="008F4A7D">
        <w:rPr>
          <w:i/>
          <w:szCs w:val="24"/>
        </w:rPr>
        <w:t>b</w:t>
      </w:r>
      <w:r w:rsidR="006C4081" w:rsidRPr="008F4A7D">
        <w:rPr>
          <w:szCs w:val="24"/>
        </w:rPr>
        <w:t>) admissions he made when he pleaded guilty</w:t>
      </w:r>
      <w:r w:rsidR="004F17C4" w:rsidRPr="008F4A7D">
        <w:rPr>
          <w:szCs w:val="24"/>
        </w:rPr>
        <w:t xml:space="preserve"> to all the offences</w:t>
      </w:r>
      <w:r w:rsidR="006C4081" w:rsidRPr="008F4A7D">
        <w:rPr>
          <w:szCs w:val="24"/>
        </w:rPr>
        <w:t xml:space="preserve">, the offences that the applicant was convicted </w:t>
      </w:r>
      <w:r w:rsidR="00D00A12" w:rsidRPr="008F4A7D">
        <w:rPr>
          <w:szCs w:val="24"/>
        </w:rPr>
        <w:t>of</w:t>
      </w:r>
      <w:r w:rsidR="006C4081" w:rsidRPr="008F4A7D">
        <w:rPr>
          <w:szCs w:val="24"/>
        </w:rPr>
        <w:t xml:space="preserve"> were all committed </w:t>
      </w:r>
      <w:r w:rsidR="00BB33AD" w:rsidRPr="008F4A7D">
        <w:rPr>
          <w:szCs w:val="24"/>
        </w:rPr>
        <w:t xml:space="preserve">while </w:t>
      </w:r>
      <w:r w:rsidR="006C4081" w:rsidRPr="008F4A7D">
        <w:rPr>
          <w:szCs w:val="24"/>
        </w:rPr>
        <w:t>using</w:t>
      </w:r>
      <w:r w:rsidR="006C4081">
        <w:rPr>
          <w:szCs w:val="24"/>
        </w:rPr>
        <w:t xml:space="preserve"> a cell phone, while the applicant was in the cells.</w:t>
      </w:r>
      <w:r w:rsidR="004F17C4">
        <w:rPr>
          <w:szCs w:val="24"/>
        </w:rPr>
        <w:t xml:space="preserve"> He obviously </w:t>
      </w:r>
      <w:r w:rsidR="003504E6">
        <w:rPr>
          <w:szCs w:val="24"/>
        </w:rPr>
        <w:t>tended</w:t>
      </w:r>
      <w:r w:rsidR="004F17C4">
        <w:rPr>
          <w:szCs w:val="24"/>
        </w:rPr>
        <w:t xml:space="preserve"> </w:t>
      </w:r>
      <w:r w:rsidR="00D00A12">
        <w:rPr>
          <w:szCs w:val="24"/>
        </w:rPr>
        <w:t>to keep</w:t>
      </w:r>
      <w:r w:rsidR="004F17C4">
        <w:rPr>
          <w:szCs w:val="24"/>
        </w:rPr>
        <w:t xml:space="preserve"> and </w:t>
      </w:r>
      <w:r w:rsidR="00D00A12">
        <w:rPr>
          <w:szCs w:val="24"/>
        </w:rPr>
        <w:t>use</w:t>
      </w:r>
      <w:r w:rsidR="004F17C4">
        <w:rPr>
          <w:szCs w:val="24"/>
        </w:rPr>
        <w:t xml:space="preserve"> a cell phone to commit offences and defraud unsuspecting innocent parties while in custody.</w:t>
      </w:r>
      <w:r w:rsidR="006C4081">
        <w:rPr>
          <w:szCs w:val="24"/>
        </w:rPr>
        <w:t xml:space="preserve"> For </w:t>
      </w:r>
      <w:r w:rsidR="00D00A12">
        <w:rPr>
          <w:szCs w:val="24"/>
        </w:rPr>
        <w:t xml:space="preserve">the </w:t>
      </w:r>
      <w:r w:rsidR="006C4081">
        <w:rPr>
          <w:szCs w:val="24"/>
        </w:rPr>
        <w:t>applicant to now cry foul to such an extent that he refuses to go to court and threatens to cause chaos if he is taken to court is beyond comprehension.</w:t>
      </w:r>
    </w:p>
    <w:p w14:paraId="4E62B489" w14:textId="64294281" w:rsidR="000919CD" w:rsidRDefault="004B70FF" w:rsidP="00006896">
      <w:pPr>
        <w:spacing w:line="360" w:lineRule="auto"/>
        <w:rPr>
          <w:szCs w:val="24"/>
        </w:rPr>
      </w:pPr>
      <w:r>
        <w:rPr>
          <w:szCs w:val="24"/>
        </w:rPr>
        <w:t>[5</w:t>
      </w:r>
      <w:r w:rsidR="00D00A12">
        <w:rPr>
          <w:szCs w:val="24"/>
        </w:rPr>
        <w:t>8</w:t>
      </w:r>
      <w:r>
        <w:rPr>
          <w:szCs w:val="24"/>
        </w:rPr>
        <w:t>]</w:t>
      </w:r>
      <w:r>
        <w:rPr>
          <w:szCs w:val="24"/>
        </w:rPr>
        <w:tab/>
      </w:r>
      <w:r w:rsidR="006C4081">
        <w:rPr>
          <w:szCs w:val="24"/>
        </w:rPr>
        <w:t xml:space="preserve">The </w:t>
      </w:r>
      <w:r w:rsidR="006C4081" w:rsidRPr="008F4A7D">
        <w:rPr>
          <w:szCs w:val="24"/>
        </w:rPr>
        <w:t xml:space="preserve">reliance </w:t>
      </w:r>
      <w:r w:rsidR="00514C69" w:rsidRPr="008F4A7D">
        <w:rPr>
          <w:szCs w:val="24"/>
        </w:rPr>
        <w:t xml:space="preserve">by </w:t>
      </w:r>
      <w:r w:rsidR="006C4081" w:rsidRPr="008F4A7D">
        <w:rPr>
          <w:szCs w:val="24"/>
        </w:rPr>
        <w:t xml:space="preserve">the applicant on s 83 of POCA in a confiscation application after he has already been found guilty also has no basis. </w:t>
      </w:r>
      <w:r w:rsidR="00514C69" w:rsidRPr="008F4A7D">
        <w:rPr>
          <w:szCs w:val="24"/>
        </w:rPr>
        <w:t>A confiscation e</w:t>
      </w:r>
      <w:r w:rsidR="006C4081" w:rsidRPr="008F4A7D">
        <w:rPr>
          <w:szCs w:val="24"/>
        </w:rPr>
        <w:t>nquiry is</w:t>
      </w:r>
      <w:r w:rsidR="006C4081">
        <w:rPr>
          <w:szCs w:val="24"/>
        </w:rPr>
        <w:t xml:space="preserve"> not subject</w:t>
      </w:r>
      <w:r w:rsidR="00514C69">
        <w:rPr>
          <w:szCs w:val="24"/>
        </w:rPr>
        <w:t xml:space="preserve"> to s 83 of POCA. The Inspector-</w:t>
      </w:r>
      <w:r w:rsidR="006C4081">
        <w:rPr>
          <w:szCs w:val="24"/>
        </w:rPr>
        <w:t xml:space="preserve">General can give authorisation </w:t>
      </w:r>
      <w:r w:rsidR="00D00A12">
        <w:rPr>
          <w:szCs w:val="24"/>
        </w:rPr>
        <w:t>in</w:t>
      </w:r>
      <w:r w:rsidR="006C4081">
        <w:rPr>
          <w:szCs w:val="24"/>
        </w:rPr>
        <w:t xml:space="preserve"> appropriate cases</w:t>
      </w:r>
      <w:r w:rsidR="003504E6">
        <w:rPr>
          <w:szCs w:val="24"/>
        </w:rPr>
        <w:t>.</w:t>
      </w:r>
      <w:r w:rsidR="006C4081">
        <w:rPr>
          <w:szCs w:val="24"/>
        </w:rPr>
        <w:t xml:space="preserve"> </w:t>
      </w:r>
      <w:r w:rsidR="003504E6">
        <w:rPr>
          <w:szCs w:val="24"/>
        </w:rPr>
        <w:t>T</w:t>
      </w:r>
      <w:r w:rsidR="006C4081">
        <w:rPr>
          <w:szCs w:val="24"/>
        </w:rPr>
        <w:t>he applicant’s case is not one such case.</w:t>
      </w:r>
      <w:r w:rsidR="004F17C4">
        <w:rPr>
          <w:szCs w:val="24"/>
        </w:rPr>
        <w:t xml:space="preserve"> I need not take this point any further.</w:t>
      </w:r>
    </w:p>
    <w:p w14:paraId="2E409A28" w14:textId="5D205992" w:rsidR="006C4081" w:rsidRDefault="004B70FF" w:rsidP="00006896">
      <w:pPr>
        <w:spacing w:line="360" w:lineRule="auto"/>
        <w:rPr>
          <w:szCs w:val="24"/>
        </w:rPr>
      </w:pPr>
      <w:r>
        <w:rPr>
          <w:szCs w:val="24"/>
        </w:rPr>
        <w:t>[5</w:t>
      </w:r>
      <w:r w:rsidR="00D00A12">
        <w:rPr>
          <w:szCs w:val="24"/>
        </w:rPr>
        <w:t>9</w:t>
      </w:r>
      <w:r>
        <w:rPr>
          <w:szCs w:val="24"/>
        </w:rPr>
        <w:t>]</w:t>
      </w:r>
      <w:r>
        <w:rPr>
          <w:szCs w:val="24"/>
        </w:rPr>
        <w:tab/>
      </w:r>
      <w:r w:rsidR="00802FE3" w:rsidRPr="008F4A7D">
        <w:rPr>
          <w:szCs w:val="24"/>
        </w:rPr>
        <w:t>As stated</w:t>
      </w:r>
      <w:r w:rsidR="003A5F05" w:rsidRPr="008F4A7D">
        <w:rPr>
          <w:szCs w:val="24"/>
        </w:rPr>
        <w:t xml:space="preserve"> in the preceding</w:t>
      </w:r>
      <w:r w:rsidR="00514C69" w:rsidRPr="008F4A7D">
        <w:rPr>
          <w:szCs w:val="24"/>
        </w:rPr>
        <w:t xml:space="preserve"> paragraphs</w:t>
      </w:r>
      <w:r w:rsidR="00802FE3" w:rsidRPr="008F4A7D">
        <w:rPr>
          <w:szCs w:val="24"/>
        </w:rPr>
        <w:t>,</w:t>
      </w:r>
      <w:r w:rsidR="00802FE3" w:rsidRPr="00802FE3">
        <w:rPr>
          <w:szCs w:val="24"/>
        </w:rPr>
        <w:t xml:space="preserve"> review</w:t>
      </w:r>
      <w:r w:rsidR="004F17C4">
        <w:rPr>
          <w:szCs w:val="24"/>
        </w:rPr>
        <w:t>s are</w:t>
      </w:r>
      <w:r w:rsidR="00802FE3" w:rsidRPr="00802FE3">
        <w:rPr>
          <w:szCs w:val="24"/>
        </w:rPr>
        <w:t xml:space="preserve"> </w:t>
      </w:r>
      <w:r w:rsidR="00802FE3">
        <w:rPr>
          <w:szCs w:val="24"/>
        </w:rPr>
        <w:t xml:space="preserve">not about whether the judgment or outcome is correct. It is concerned with whether </w:t>
      </w:r>
      <w:r w:rsidR="00F0079A">
        <w:rPr>
          <w:szCs w:val="24"/>
        </w:rPr>
        <w:t>the presiding officer committed any irregularity</w:t>
      </w:r>
      <w:r w:rsidR="00802FE3">
        <w:rPr>
          <w:szCs w:val="24"/>
        </w:rPr>
        <w:t xml:space="preserve"> during the proceedings. In reviewing the record of proceedings in this matter, I find no such irregularity that may vitiate the proceedings. There </w:t>
      </w:r>
      <w:r w:rsidR="00D00A12">
        <w:rPr>
          <w:szCs w:val="24"/>
        </w:rPr>
        <w:t>are</w:t>
      </w:r>
      <w:r w:rsidR="00802FE3">
        <w:rPr>
          <w:szCs w:val="24"/>
        </w:rPr>
        <w:t xml:space="preserve"> no merits in the applicant’s application</w:t>
      </w:r>
      <w:r w:rsidR="004F17C4">
        <w:rPr>
          <w:szCs w:val="24"/>
        </w:rPr>
        <w:t>, and it stands to be dismissed.</w:t>
      </w:r>
    </w:p>
    <w:p w14:paraId="1776EB30" w14:textId="7518F768" w:rsidR="00CD1DB4" w:rsidRPr="00CD1DB4" w:rsidRDefault="00CD1DB4" w:rsidP="00CD1DB4">
      <w:pPr>
        <w:pStyle w:val="Heading3"/>
      </w:pPr>
      <w:r w:rsidRPr="00CD1DB4">
        <w:t>Costs</w:t>
      </w:r>
    </w:p>
    <w:p w14:paraId="3C2535A4" w14:textId="3EC05A77" w:rsidR="00802FE3" w:rsidRDefault="004B70FF" w:rsidP="00006896">
      <w:pPr>
        <w:spacing w:line="360" w:lineRule="auto"/>
        <w:rPr>
          <w:szCs w:val="24"/>
        </w:rPr>
      </w:pPr>
      <w:r>
        <w:rPr>
          <w:szCs w:val="24"/>
        </w:rPr>
        <w:t>[</w:t>
      </w:r>
      <w:r w:rsidR="00CD1DB4">
        <w:rPr>
          <w:szCs w:val="24"/>
        </w:rPr>
        <w:t>60</w:t>
      </w:r>
      <w:r>
        <w:rPr>
          <w:szCs w:val="24"/>
        </w:rPr>
        <w:t>]</w:t>
      </w:r>
      <w:r>
        <w:rPr>
          <w:szCs w:val="24"/>
        </w:rPr>
        <w:tab/>
      </w:r>
      <w:r w:rsidR="00802FE3">
        <w:rPr>
          <w:szCs w:val="24"/>
        </w:rPr>
        <w:t xml:space="preserve">As a general rule, costs should be awarded to the successful party. </w:t>
      </w:r>
      <w:r w:rsidR="00CD1DB4">
        <w:rPr>
          <w:szCs w:val="24"/>
        </w:rPr>
        <w:t xml:space="preserve">However, the applicant is a lay litigant and an inmate at that, currently serving long-term </w:t>
      </w:r>
      <w:r w:rsidR="00CD1DB4" w:rsidRPr="008F4A7D">
        <w:rPr>
          <w:szCs w:val="24"/>
        </w:rPr>
        <w:t xml:space="preserve">imprisonment and has done so since 2012. I, therefore, decided against </w:t>
      </w:r>
      <w:r w:rsidR="00117433" w:rsidRPr="008F4A7D">
        <w:rPr>
          <w:szCs w:val="24"/>
        </w:rPr>
        <w:t xml:space="preserve">granting </w:t>
      </w:r>
      <w:r w:rsidR="00CD1DB4" w:rsidRPr="008F4A7D">
        <w:rPr>
          <w:szCs w:val="24"/>
        </w:rPr>
        <w:t>a</w:t>
      </w:r>
      <w:r w:rsidR="00CD1DB4">
        <w:rPr>
          <w:szCs w:val="24"/>
        </w:rPr>
        <w:t xml:space="preserve"> cost order against the applicant.</w:t>
      </w:r>
    </w:p>
    <w:p w14:paraId="43646116" w14:textId="0EE20BD8" w:rsidR="00802FE3" w:rsidRDefault="004B70FF" w:rsidP="00802FE3">
      <w:pPr>
        <w:spacing w:after="0" w:line="360" w:lineRule="auto"/>
        <w:ind w:left="0" w:firstLine="0"/>
        <w:jc w:val="left"/>
        <w:rPr>
          <w:rFonts w:eastAsia="Calibri"/>
          <w:color w:val="auto"/>
          <w:kern w:val="0"/>
          <w:szCs w:val="24"/>
          <w:shd w:val="clear" w:color="auto" w:fill="FFFFFF"/>
          <w:lang w:val="en-GB" w:eastAsia="en-US"/>
          <w14:ligatures w14:val="none"/>
        </w:rPr>
      </w:pPr>
      <w:r>
        <w:rPr>
          <w:rFonts w:eastAsia="Calibri"/>
          <w:color w:val="auto"/>
          <w:kern w:val="0"/>
          <w:szCs w:val="24"/>
          <w:shd w:val="clear" w:color="auto" w:fill="FFFFFF"/>
          <w:lang w:val="en-GB" w:eastAsia="en-US"/>
          <w14:ligatures w14:val="none"/>
        </w:rPr>
        <w:t>[</w:t>
      </w:r>
      <w:r w:rsidR="00CD1DB4">
        <w:rPr>
          <w:rFonts w:eastAsia="Calibri"/>
          <w:color w:val="auto"/>
          <w:kern w:val="0"/>
          <w:szCs w:val="24"/>
          <w:shd w:val="clear" w:color="auto" w:fill="FFFFFF"/>
          <w:lang w:val="en-GB" w:eastAsia="en-US"/>
          <w14:ligatures w14:val="none"/>
        </w:rPr>
        <w:t>61</w:t>
      </w:r>
      <w:r>
        <w:rPr>
          <w:rFonts w:eastAsia="Calibri"/>
          <w:color w:val="auto"/>
          <w:kern w:val="0"/>
          <w:szCs w:val="24"/>
          <w:shd w:val="clear" w:color="auto" w:fill="FFFFFF"/>
          <w:lang w:val="en-GB" w:eastAsia="en-US"/>
          <w14:ligatures w14:val="none"/>
        </w:rPr>
        <w:t>]</w:t>
      </w:r>
      <w:r>
        <w:rPr>
          <w:rFonts w:eastAsia="Calibri"/>
          <w:color w:val="auto"/>
          <w:kern w:val="0"/>
          <w:szCs w:val="24"/>
          <w:shd w:val="clear" w:color="auto" w:fill="FFFFFF"/>
          <w:lang w:val="en-GB" w:eastAsia="en-US"/>
          <w14:ligatures w14:val="none"/>
        </w:rPr>
        <w:tab/>
      </w:r>
      <w:r w:rsidR="00802FE3" w:rsidRPr="00802FE3">
        <w:rPr>
          <w:rFonts w:eastAsia="Calibri"/>
          <w:color w:val="auto"/>
          <w:kern w:val="0"/>
          <w:szCs w:val="24"/>
          <w:shd w:val="clear" w:color="auto" w:fill="FFFFFF"/>
          <w:lang w:val="en-GB" w:eastAsia="en-US"/>
          <w14:ligatures w14:val="none"/>
        </w:rPr>
        <w:t xml:space="preserve">In light of the </w:t>
      </w:r>
      <w:r w:rsidR="002B251E">
        <w:rPr>
          <w:rFonts w:eastAsia="Calibri"/>
          <w:color w:val="auto"/>
          <w:kern w:val="0"/>
          <w:szCs w:val="24"/>
          <w:shd w:val="clear" w:color="auto" w:fill="FFFFFF"/>
          <w:lang w:val="en-GB" w:eastAsia="en-US"/>
          <w14:ligatures w14:val="none"/>
        </w:rPr>
        <w:t>foregoing</w:t>
      </w:r>
      <w:r w:rsidR="00CD1DB4">
        <w:rPr>
          <w:rFonts w:eastAsia="Calibri"/>
          <w:color w:val="auto"/>
          <w:kern w:val="0"/>
          <w:szCs w:val="24"/>
          <w:shd w:val="clear" w:color="auto" w:fill="FFFFFF"/>
          <w:lang w:val="en-GB" w:eastAsia="en-US"/>
          <w14:ligatures w14:val="none"/>
        </w:rPr>
        <w:t>,</w:t>
      </w:r>
      <w:r w:rsidR="00802FE3" w:rsidRPr="00802FE3">
        <w:rPr>
          <w:rFonts w:eastAsia="Calibri"/>
          <w:color w:val="auto"/>
          <w:kern w:val="0"/>
          <w:szCs w:val="24"/>
          <w:shd w:val="clear" w:color="auto" w:fill="FFFFFF"/>
          <w:lang w:val="en-GB" w:eastAsia="en-US"/>
          <w14:ligatures w14:val="none"/>
        </w:rPr>
        <w:t xml:space="preserve"> the application for </w:t>
      </w:r>
      <w:r w:rsidR="00802FE3">
        <w:rPr>
          <w:rFonts w:eastAsia="Calibri"/>
          <w:color w:val="auto"/>
          <w:kern w:val="0"/>
          <w:szCs w:val="24"/>
          <w:shd w:val="clear" w:color="auto" w:fill="FFFFFF"/>
          <w:lang w:val="en-GB" w:eastAsia="en-US"/>
          <w14:ligatures w14:val="none"/>
        </w:rPr>
        <w:t>review</w:t>
      </w:r>
      <w:r w:rsidR="00802FE3" w:rsidRPr="00802FE3">
        <w:rPr>
          <w:rFonts w:eastAsia="Calibri"/>
          <w:color w:val="auto"/>
          <w:kern w:val="0"/>
          <w:szCs w:val="24"/>
          <w:shd w:val="clear" w:color="auto" w:fill="FFFFFF"/>
          <w:lang w:val="en-GB" w:eastAsia="en-US"/>
          <w14:ligatures w14:val="none"/>
        </w:rPr>
        <w:t xml:space="preserve"> must fail</w:t>
      </w:r>
      <w:r w:rsidR="00CD1DB4">
        <w:rPr>
          <w:rFonts w:eastAsia="Calibri"/>
          <w:color w:val="auto"/>
          <w:kern w:val="0"/>
          <w:szCs w:val="24"/>
          <w:shd w:val="clear" w:color="auto" w:fill="FFFFFF"/>
          <w:lang w:val="en-GB" w:eastAsia="en-US"/>
          <w14:ligatures w14:val="none"/>
        </w:rPr>
        <w:t>,</w:t>
      </w:r>
      <w:r w:rsidR="00802FE3" w:rsidRPr="00802FE3">
        <w:rPr>
          <w:rFonts w:eastAsia="Calibri"/>
          <w:color w:val="auto"/>
          <w:kern w:val="0"/>
          <w:szCs w:val="24"/>
          <w:shd w:val="clear" w:color="auto" w:fill="FFFFFF"/>
          <w:lang w:val="en-GB" w:eastAsia="en-US"/>
          <w14:ligatures w14:val="none"/>
        </w:rPr>
        <w:t xml:space="preserve"> and the following order is made:</w:t>
      </w:r>
    </w:p>
    <w:p w14:paraId="16D3DA37" w14:textId="77777777" w:rsidR="006E5FCF" w:rsidRPr="00802FE3" w:rsidRDefault="006E5FCF" w:rsidP="00802FE3">
      <w:pPr>
        <w:spacing w:after="0" w:line="360" w:lineRule="auto"/>
        <w:ind w:left="0" w:firstLine="0"/>
        <w:jc w:val="left"/>
        <w:rPr>
          <w:rFonts w:eastAsia="Calibri"/>
          <w:color w:val="auto"/>
          <w:kern w:val="0"/>
          <w:szCs w:val="24"/>
          <w:shd w:val="clear" w:color="auto" w:fill="FFFFFF"/>
          <w:lang w:val="en-GB" w:eastAsia="en-US"/>
          <w14:ligatures w14:val="none"/>
        </w:rPr>
      </w:pPr>
    </w:p>
    <w:p w14:paraId="7CED74BC" w14:textId="6CF669AC" w:rsidR="00802FE3" w:rsidRPr="00693104" w:rsidRDefault="00693104" w:rsidP="00693104">
      <w:pPr>
        <w:pStyle w:val="ListParagraph"/>
        <w:numPr>
          <w:ilvl w:val="0"/>
          <w:numId w:val="17"/>
        </w:numPr>
        <w:spacing w:after="0" w:line="360" w:lineRule="auto"/>
        <w:jc w:val="left"/>
        <w:rPr>
          <w:rFonts w:eastAsia="Calibri"/>
          <w:color w:val="auto"/>
          <w:kern w:val="0"/>
          <w:szCs w:val="24"/>
          <w:lang w:val="en-US" w:eastAsia="en-US"/>
          <w14:ligatures w14:val="none"/>
        </w:rPr>
      </w:pPr>
      <w:bookmarkStart w:id="4" w:name="_Hlk143524819"/>
      <w:r>
        <w:rPr>
          <w:rFonts w:eastAsia="Calibri"/>
          <w:color w:val="auto"/>
          <w:kern w:val="0"/>
          <w:szCs w:val="24"/>
          <w:lang w:val="en-US" w:eastAsia="en-US"/>
          <w14:ligatures w14:val="none"/>
        </w:rPr>
        <w:t xml:space="preserve">    </w:t>
      </w:r>
      <w:r w:rsidR="00802FE3" w:rsidRPr="00693104">
        <w:rPr>
          <w:rFonts w:eastAsia="Calibri"/>
          <w:color w:val="auto"/>
          <w:kern w:val="0"/>
          <w:szCs w:val="24"/>
          <w:lang w:val="en-US" w:eastAsia="en-US"/>
          <w14:ligatures w14:val="none"/>
        </w:rPr>
        <w:t>The applicant’s review application is dismissed.</w:t>
      </w:r>
    </w:p>
    <w:p w14:paraId="3CA45824" w14:textId="57A20967" w:rsidR="00802FE3" w:rsidRPr="008F4A7D" w:rsidRDefault="00514C69" w:rsidP="00F0079A">
      <w:pPr>
        <w:numPr>
          <w:ilvl w:val="0"/>
          <w:numId w:val="17"/>
        </w:numPr>
        <w:spacing w:after="0" w:line="360" w:lineRule="auto"/>
        <w:ind w:left="924" w:hanging="567"/>
        <w:jc w:val="left"/>
        <w:rPr>
          <w:rFonts w:eastAsia="Calibri"/>
          <w:color w:val="auto"/>
          <w:kern w:val="0"/>
          <w:szCs w:val="24"/>
          <w:lang w:val="en-US" w:eastAsia="en-US"/>
          <w14:ligatures w14:val="none"/>
        </w:rPr>
      </w:pPr>
      <w:r w:rsidRPr="008F4A7D">
        <w:rPr>
          <w:rFonts w:eastAsia="Calibri"/>
          <w:color w:val="auto"/>
          <w:kern w:val="0"/>
          <w:szCs w:val="24"/>
          <w:lang w:val="en-US" w:eastAsia="en-US"/>
          <w14:ligatures w14:val="none"/>
        </w:rPr>
        <w:t>There is n</w:t>
      </w:r>
      <w:r w:rsidR="00CD1DB4" w:rsidRPr="008F4A7D">
        <w:rPr>
          <w:rFonts w:eastAsia="Calibri"/>
          <w:color w:val="auto"/>
          <w:kern w:val="0"/>
          <w:szCs w:val="24"/>
          <w:lang w:val="en-US" w:eastAsia="en-US"/>
          <w14:ligatures w14:val="none"/>
        </w:rPr>
        <w:t>o order as to costs</w:t>
      </w:r>
      <w:r w:rsidR="00802FE3" w:rsidRPr="008F4A7D">
        <w:rPr>
          <w:rFonts w:eastAsia="Calibri"/>
          <w:color w:val="auto"/>
          <w:kern w:val="0"/>
          <w:szCs w:val="24"/>
          <w:lang w:val="en-US" w:eastAsia="en-US"/>
          <w14:ligatures w14:val="none"/>
        </w:rPr>
        <w:t>.</w:t>
      </w:r>
    </w:p>
    <w:p w14:paraId="07D6430F" w14:textId="6D8793D2" w:rsidR="00802FE3" w:rsidRPr="00802FE3" w:rsidRDefault="00802FE3" w:rsidP="00F0079A">
      <w:pPr>
        <w:numPr>
          <w:ilvl w:val="0"/>
          <w:numId w:val="17"/>
        </w:numPr>
        <w:spacing w:after="0" w:line="360" w:lineRule="auto"/>
        <w:ind w:left="924" w:hanging="567"/>
        <w:contextualSpacing/>
        <w:jc w:val="left"/>
        <w:rPr>
          <w:rFonts w:eastAsia="Calibri"/>
          <w:color w:val="auto"/>
          <w:kern w:val="0"/>
          <w:szCs w:val="24"/>
          <w:lang w:val="en-US" w:eastAsia="en-US"/>
          <w14:ligatures w14:val="none"/>
        </w:rPr>
      </w:pPr>
      <w:r w:rsidRPr="008F4A7D">
        <w:rPr>
          <w:rFonts w:eastAsia="Calibri"/>
          <w:color w:val="auto"/>
          <w:kern w:val="0"/>
          <w:szCs w:val="24"/>
          <w:lang w:val="en-US" w:eastAsia="en-US"/>
          <w14:ligatures w14:val="none"/>
        </w:rPr>
        <w:t xml:space="preserve">The matter is removed from the roll and </w:t>
      </w:r>
      <w:r w:rsidR="00AE0261">
        <w:rPr>
          <w:rFonts w:eastAsia="Calibri"/>
          <w:color w:val="auto"/>
          <w:kern w:val="0"/>
          <w:szCs w:val="24"/>
          <w:lang w:val="en-US" w:eastAsia="en-US"/>
          <w14:ligatures w14:val="none"/>
        </w:rPr>
        <w:t xml:space="preserve">is </w:t>
      </w:r>
      <w:r w:rsidR="00514C69" w:rsidRPr="008F4A7D">
        <w:rPr>
          <w:rFonts w:eastAsia="Calibri"/>
          <w:color w:val="auto"/>
          <w:kern w:val="0"/>
          <w:szCs w:val="24"/>
          <w:lang w:val="en-US" w:eastAsia="en-US"/>
          <w14:ligatures w14:val="none"/>
        </w:rPr>
        <w:t>regarded</w:t>
      </w:r>
      <w:r w:rsidRPr="008F4A7D">
        <w:rPr>
          <w:rFonts w:eastAsia="Calibri"/>
          <w:color w:val="auto"/>
          <w:kern w:val="0"/>
          <w:szCs w:val="24"/>
          <w:lang w:val="en-US" w:eastAsia="en-US"/>
          <w14:ligatures w14:val="none"/>
        </w:rPr>
        <w:t xml:space="preserve"> </w:t>
      </w:r>
      <w:r w:rsidR="00AE0261">
        <w:rPr>
          <w:rFonts w:eastAsia="Calibri"/>
          <w:color w:val="auto"/>
          <w:kern w:val="0"/>
          <w:szCs w:val="24"/>
          <w:lang w:val="en-US" w:eastAsia="en-US"/>
          <w14:ligatures w14:val="none"/>
        </w:rPr>
        <w:t xml:space="preserve">as </w:t>
      </w:r>
      <w:r w:rsidR="004B70FF" w:rsidRPr="008F4A7D">
        <w:rPr>
          <w:rFonts w:eastAsia="Calibri"/>
          <w:color w:val="auto"/>
          <w:kern w:val="0"/>
          <w:szCs w:val="24"/>
          <w:lang w:val="en-US" w:eastAsia="en-US"/>
          <w14:ligatures w14:val="none"/>
        </w:rPr>
        <w:t>finali</w:t>
      </w:r>
      <w:r w:rsidR="00AE0261">
        <w:rPr>
          <w:rFonts w:eastAsia="Calibri"/>
          <w:color w:val="auto"/>
          <w:kern w:val="0"/>
          <w:szCs w:val="24"/>
          <w:lang w:val="en-US" w:eastAsia="en-US"/>
          <w14:ligatures w14:val="none"/>
        </w:rPr>
        <w:t>s</w:t>
      </w:r>
      <w:r w:rsidR="004B70FF" w:rsidRPr="008F4A7D">
        <w:rPr>
          <w:rFonts w:eastAsia="Calibri"/>
          <w:color w:val="auto"/>
          <w:kern w:val="0"/>
          <w:szCs w:val="24"/>
          <w:lang w:val="en-US" w:eastAsia="en-US"/>
          <w14:ligatures w14:val="none"/>
        </w:rPr>
        <w:t>ed</w:t>
      </w:r>
      <w:r w:rsidRPr="00802FE3">
        <w:rPr>
          <w:rFonts w:eastAsia="Calibri"/>
          <w:color w:val="auto"/>
          <w:kern w:val="0"/>
          <w:szCs w:val="24"/>
          <w:lang w:val="en-US" w:eastAsia="en-US"/>
          <w14:ligatures w14:val="none"/>
        </w:rPr>
        <w:t>.</w:t>
      </w:r>
    </w:p>
    <w:p w14:paraId="75E81F55" w14:textId="77777777" w:rsidR="00802FE3" w:rsidRPr="00802FE3" w:rsidRDefault="00802FE3" w:rsidP="00006896">
      <w:pPr>
        <w:spacing w:line="360" w:lineRule="auto"/>
      </w:pPr>
    </w:p>
    <w:bookmarkEnd w:id="4"/>
    <w:p w14:paraId="037AF4EC" w14:textId="77777777" w:rsidR="006E5FCF" w:rsidRPr="006E5FCF" w:rsidRDefault="006E5FCF" w:rsidP="006E5FCF">
      <w:pPr>
        <w:spacing w:after="0" w:line="360" w:lineRule="auto"/>
        <w:ind w:left="0" w:firstLine="0"/>
        <w:rPr>
          <w:rFonts w:eastAsia="Calibri"/>
          <w:color w:val="auto"/>
          <w:kern w:val="0"/>
          <w:szCs w:val="24"/>
          <w:lang w:val="en-US" w:eastAsia="en-US"/>
          <w14:ligatures w14:val="none"/>
        </w:rPr>
      </w:pPr>
    </w:p>
    <w:p w14:paraId="1F12BFB4" w14:textId="77777777" w:rsidR="006E5FCF" w:rsidRPr="006E5FCF" w:rsidRDefault="006E5FCF" w:rsidP="006E5FCF">
      <w:pPr>
        <w:spacing w:after="0" w:line="360" w:lineRule="auto"/>
        <w:ind w:left="6480" w:firstLine="0"/>
        <w:rPr>
          <w:rFonts w:eastAsia="Calibri"/>
          <w:color w:val="auto"/>
          <w:kern w:val="0"/>
          <w:szCs w:val="24"/>
          <w:lang w:val="en-US" w:eastAsia="en-US"/>
          <w14:ligatures w14:val="none"/>
        </w:rPr>
      </w:pPr>
      <w:r w:rsidRPr="006E5FCF">
        <w:rPr>
          <w:rFonts w:eastAsia="Calibri"/>
          <w:color w:val="auto"/>
          <w:kern w:val="0"/>
          <w:szCs w:val="24"/>
          <w:lang w:val="en-US" w:eastAsia="en-US"/>
          <w14:ligatures w14:val="none"/>
        </w:rPr>
        <w:t>_________________</w:t>
      </w:r>
    </w:p>
    <w:p w14:paraId="2D51182F" w14:textId="77777777" w:rsidR="006E5FCF" w:rsidRPr="006E5FCF" w:rsidRDefault="006E5FCF" w:rsidP="006E5FCF">
      <w:pPr>
        <w:spacing w:after="0" w:line="360" w:lineRule="auto"/>
        <w:ind w:left="0" w:firstLine="0"/>
        <w:rPr>
          <w:rFonts w:eastAsia="Calibri"/>
          <w:color w:val="auto"/>
          <w:kern w:val="0"/>
          <w:szCs w:val="24"/>
          <w:lang w:val="en-US" w:eastAsia="en-US"/>
          <w14:ligatures w14:val="none"/>
        </w:rPr>
      </w:pPr>
      <w:r w:rsidRPr="006E5FCF">
        <w:rPr>
          <w:rFonts w:eastAsia="Calibri"/>
          <w:color w:val="auto"/>
          <w:kern w:val="0"/>
          <w:szCs w:val="24"/>
          <w:lang w:val="en-US" w:eastAsia="en-US"/>
          <w14:ligatures w14:val="none"/>
        </w:rPr>
        <w:tab/>
      </w:r>
      <w:r w:rsidRPr="006E5FCF">
        <w:rPr>
          <w:rFonts w:eastAsia="Calibri"/>
          <w:color w:val="auto"/>
          <w:kern w:val="0"/>
          <w:szCs w:val="24"/>
          <w:lang w:val="en-US" w:eastAsia="en-US"/>
          <w14:ligatures w14:val="none"/>
        </w:rPr>
        <w:tab/>
      </w:r>
      <w:r w:rsidRPr="006E5FCF">
        <w:rPr>
          <w:rFonts w:eastAsia="Calibri"/>
          <w:color w:val="auto"/>
          <w:kern w:val="0"/>
          <w:szCs w:val="24"/>
          <w:lang w:val="en-US" w:eastAsia="en-US"/>
          <w14:ligatures w14:val="none"/>
        </w:rPr>
        <w:tab/>
      </w:r>
      <w:r w:rsidRPr="006E5FCF">
        <w:rPr>
          <w:rFonts w:eastAsia="Calibri"/>
          <w:color w:val="auto"/>
          <w:kern w:val="0"/>
          <w:szCs w:val="24"/>
          <w:lang w:val="en-US" w:eastAsia="en-US"/>
          <w14:ligatures w14:val="none"/>
        </w:rPr>
        <w:tab/>
      </w:r>
      <w:r w:rsidRPr="006E5FCF">
        <w:rPr>
          <w:rFonts w:eastAsia="Calibri"/>
          <w:color w:val="auto"/>
          <w:kern w:val="0"/>
          <w:szCs w:val="24"/>
          <w:lang w:val="en-US" w:eastAsia="en-US"/>
          <w14:ligatures w14:val="none"/>
        </w:rPr>
        <w:tab/>
      </w:r>
      <w:r w:rsidRPr="006E5FCF">
        <w:rPr>
          <w:rFonts w:eastAsia="Calibri"/>
          <w:color w:val="auto"/>
          <w:kern w:val="0"/>
          <w:szCs w:val="24"/>
          <w:lang w:val="en-US" w:eastAsia="en-US"/>
          <w14:ligatures w14:val="none"/>
        </w:rPr>
        <w:tab/>
      </w:r>
      <w:r w:rsidRPr="006E5FCF">
        <w:rPr>
          <w:rFonts w:eastAsia="Calibri"/>
          <w:color w:val="auto"/>
          <w:kern w:val="0"/>
          <w:szCs w:val="24"/>
          <w:lang w:val="en-US" w:eastAsia="en-US"/>
          <w14:ligatures w14:val="none"/>
        </w:rPr>
        <w:tab/>
      </w:r>
      <w:r w:rsidRPr="006E5FCF">
        <w:rPr>
          <w:rFonts w:eastAsia="Calibri"/>
          <w:color w:val="auto"/>
          <w:kern w:val="0"/>
          <w:szCs w:val="24"/>
          <w:lang w:val="en-US" w:eastAsia="en-US"/>
          <w14:ligatures w14:val="none"/>
        </w:rPr>
        <w:tab/>
      </w:r>
      <w:r w:rsidRPr="006E5FCF">
        <w:rPr>
          <w:rFonts w:eastAsia="Calibri"/>
          <w:color w:val="auto"/>
          <w:kern w:val="0"/>
          <w:szCs w:val="24"/>
          <w:lang w:val="en-US" w:eastAsia="en-US"/>
          <w14:ligatures w14:val="none"/>
        </w:rPr>
        <w:tab/>
        <w:t>JS Prinsloo</w:t>
      </w:r>
    </w:p>
    <w:p w14:paraId="1B199AF8" w14:textId="77777777" w:rsidR="006E5FCF" w:rsidRPr="006E5FCF" w:rsidRDefault="006E5FCF" w:rsidP="006E5FCF">
      <w:pPr>
        <w:spacing w:after="0" w:line="360" w:lineRule="auto"/>
        <w:ind w:left="0" w:firstLine="0"/>
        <w:rPr>
          <w:rFonts w:eastAsia="Calibri"/>
          <w:color w:val="auto"/>
          <w:kern w:val="0"/>
          <w:szCs w:val="24"/>
          <w:lang w:val="en-US" w:eastAsia="en-US"/>
          <w14:ligatures w14:val="none"/>
        </w:rPr>
      </w:pPr>
      <w:r w:rsidRPr="006E5FCF">
        <w:rPr>
          <w:rFonts w:eastAsia="Calibri"/>
          <w:color w:val="auto"/>
          <w:kern w:val="0"/>
          <w:szCs w:val="24"/>
          <w:lang w:val="en-US" w:eastAsia="en-US"/>
          <w14:ligatures w14:val="none"/>
        </w:rPr>
        <w:tab/>
      </w:r>
      <w:r w:rsidRPr="006E5FCF">
        <w:rPr>
          <w:rFonts w:eastAsia="Calibri"/>
          <w:color w:val="auto"/>
          <w:kern w:val="0"/>
          <w:szCs w:val="24"/>
          <w:lang w:val="en-US" w:eastAsia="en-US"/>
          <w14:ligatures w14:val="none"/>
        </w:rPr>
        <w:tab/>
      </w:r>
      <w:r w:rsidRPr="006E5FCF">
        <w:rPr>
          <w:rFonts w:eastAsia="Calibri"/>
          <w:color w:val="auto"/>
          <w:kern w:val="0"/>
          <w:szCs w:val="24"/>
          <w:lang w:val="en-US" w:eastAsia="en-US"/>
          <w14:ligatures w14:val="none"/>
        </w:rPr>
        <w:tab/>
      </w:r>
      <w:r w:rsidRPr="006E5FCF">
        <w:rPr>
          <w:rFonts w:eastAsia="Calibri"/>
          <w:color w:val="auto"/>
          <w:kern w:val="0"/>
          <w:szCs w:val="24"/>
          <w:lang w:val="en-US" w:eastAsia="en-US"/>
          <w14:ligatures w14:val="none"/>
        </w:rPr>
        <w:tab/>
      </w:r>
      <w:r w:rsidRPr="006E5FCF">
        <w:rPr>
          <w:rFonts w:eastAsia="Calibri"/>
          <w:color w:val="auto"/>
          <w:kern w:val="0"/>
          <w:szCs w:val="24"/>
          <w:lang w:val="en-US" w:eastAsia="en-US"/>
          <w14:ligatures w14:val="none"/>
        </w:rPr>
        <w:tab/>
      </w:r>
      <w:r w:rsidRPr="006E5FCF">
        <w:rPr>
          <w:rFonts w:eastAsia="Calibri"/>
          <w:color w:val="auto"/>
          <w:kern w:val="0"/>
          <w:szCs w:val="24"/>
          <w:lang w:val="en-US" w:eastAsia="en-US"/>
          <w14:ligatures w14:val="none"/>
        </w:rPr>
        <w:tab/>
      </w:r>
      <w:r w:rsidRPr="006E5FCF">
        <w:rPr>
          <w:rFonts w:eastAsia="Calibri"/>
          <w:color w:val="auto"/>
          <w:kern w:val="0"/>
          <w:szCs w:val="24"/>
          <w:lang w:val="en-US" w:eastAsia="en-US"/>
          <w14:ligatures w14:val="none"/>
        </w:rPr>
        <w:tab/>
      </w:r>
      <w:r w:rsidRPr="006E5FCF">
        <w:rPr>
          <w:rFonts w:eastAsia="Calibri"/>
          <w:color w:val="auto"/>
          <w:kern w:val="0"/>
          <w:szCs w:val="24"/>
          <w:lang w:val="en-US" w:eastAsia="en-US"/>
          <w14:ligatures w14:val="none"/>
        </w:rPr>
        <w:tab/>
      </w:r>
      <w:r w:rsidRPr="006E5FCF">
        <w:rPr>
          <w:rFonts w:eastAsia="Calibri"/>
          <w:color w:val="auto"/>
          <w:kern w:val="0"/>
          <w:szCs w:val="24"/>
          <w:lang w:val="en-US" w:eastAsia="en-US"/>
          <w14:ligatures w14:val="none"/>
        </w:rPr>
        <w:tab/>
        <w:t>Judge</w:t>
      </w:r>
    </w:p>
    <w:p w14:paraId="405AD20B" w14:textId="77777777" w:rsidR="006E5FCF" w:rsidRPr="006E5FCF" w:rsidRDefault="006E5FCF" w:rsidP="006E5FCF">
      <w:pPr>
        <w:spacing w:after="0" w:line="360" w:lineRule="auto"/>
        <w:ind w:left="0" w:firstLine="0"/>
        <w:rPr>
          <w:rFonts w:eastAsia="Calibri"/>
          <w:color w:val="auto"/>
          <w:kern w:val="0"/>
          <w:szCs w:val="24"/>
          <w:lang w:val="en-US" w:eastAsia="en-US"/>
          <w14:ligatures w14:val="none"/>
        </w:rPr>
      </w:pPr>
    </w:p>
    <w:p w14:paraId="7738C171" w14:textId="77777777" w:rsidR="006E5FCF" w:rsidRPr="006E5FCF" w:rsidRDefault="006E5FCF" w:rsidP="006E5FCF">
      <w:pPr>
        <w:spacing w:after="0" w:line="360" w:lineRule="auto"/>
        <w:ind w:left="0" w:firstLine="0"/>
        <w:rPr>
          <w:rFonts w:eastAsia="Calibri"/>
          <w:color w:val="auto"/>
          <w:kern w:val="0"/>
          <w:szCs w:val="24"/>
          <w:lang w:val="en-US" w:eastAsia="en-US"/>
          <w14:ligatures w14:val="none"/>
        </w:rPr>
      </w:pPr>
    </w:p>
    <w:p w14:paraId="5761F6E6" w14:textId="77777777" w:rsidR="006E5FCF" w:rsidRPr="006E5FCF" w:rsidRDefault="006E5FCF" w:rsidP="006E5FCF">
      <w:pPr>
        <w:spacing w:after="0" w:line="360" w:lineRule="auto"/>
        <w:ind w:left="0" w:firstLine="0"/>
        <w:rPr>
          <w:rFonts w:eastAsia="Calibri"/>
          <w:color w:val="auto"/>
          <w:kern w:val="0"/>
          <w:szCs w:val="24"/>
          <w:lang w:val="en-US" w:eastAsia="en-US"/>
          <w14:ligatures w14:val="none"/>
        </w:rPr>
      </w:pPr>
    </w:p>
    <w:p w14:paraId="6449B04A" w14:textId="77777777" w:rsidR="006E5FCF" w:rsidRPr="006E5FCF" w:rsidRDefault="006E5FCF" w:rsidP="006E5FCF">
      <w:pPr>
        <w:spacing w:after="0" w:line="360" w:lineRule="auto"/>
        <w:ind w:left="0" w:firstLine="0"/>
        <w:rPr>
          <w:rFonts w:eastAsia="Calibri"/>
          <w:color w:val="auto"/>
          <w:kern w:val="0"/>
          <w:szCs w:val="24"/>
          <w:lang w:val="en-US" w:eastAsia="en-US"/>
          <w14:ligatures w14:val="none"/>
        </w:rPr>
      </w:pPr>
    </w:p>
    <w:p w14:paraId="79FD05CF" w14:textId="77777777" w:rsidR="006E5FCF" w:rsidRPr="006E5FCF" w:rsidRDefault="006E5FCF" w:rsidP="006E5FCF">
      <w:pPr>
        <w:spacing w:after="0" w:line="360" w:lineRule="auto"/>
        <w:ind w:left="0" w:firstLine="0"/>
        <w:rPr>
          <w:rFonts w:eastAsia="Calibri"/>
          <w:color w:val="auto"/>
          <w:kern w:val="0"/>
          <w:szCs w:val="24"/>
          <w:lang w:val="en-US" w:eastAsia="en-US"/>
          <w14:ligatures w14:val="none"/>
        </w:rPr>
      </w:pPr>
    </w:p>
    <w:p w14:paraId="7AD4CADC" w14:textId="77777777" w:rsidR="006E5FCF" w:rsidRPr="006E5FCF" w:rsidRDefault="006E5FCF" w:rsidP="006E5FCF">
      <w:pPr>
        <w:spacing w:after="0" w:line="360" w:lineRule="auto"/>
        <w:ind w:left="0" w:firstLine="0"/>
        <w:rPr>
          <w:rFonts w:eastAsia="Calibri"/>
          <w:color w:val="auto"/>
          <w:kern w:val="0"/>
          <w:szCs w:val="24"/>
          <w:lang w:val="en-US" w:eastAsia="en-US"/>
          <w14:ligatures w14:val="none"/>
        </w:rPr>
      </w:pPr>
    </w:p>
    <w:p w14:paraId="7D668C98" w14:textId="77777777" w:rsidR="00F0079A" w:rsidRDefault="00F0079A" w:rsidP="006E5FCF">
      <w:pPr>
        <w:spacing w:after="0" w:line="360" w:lineRule="auto"/>
        <w:ind w:left="0" w:firstLine="0"/>
        <w:rPr>
          <w:rFonts w:eastAsia="Calibri"/>
          <w:color w:val="auto"/>
          <w:kern w:val="0"/>
          <w:szCs w:val="24"/>
          <w:lang w:val="en-US" w:eastAsia="en-US"/>
          <w14:ligatures w14:val="none"/>
        </w:rPr>
      </w:pPr>
    </w:p>
    <w:p w14:paraId="622C8D51" w14:textId="77777777" w:rsidR="00F0079A" w:rsidRDefault="00F0079A" w:rsidP="006E5FCF">
      <w:pPr>
        <w:spacing w:after="0" w:line="360" w:lineRule="auto"/>
        <w:ind w:left="0" w:firstLine="0"/>
        <w:rPr>
          <w:rFonts w:eastAsia="Calibri"/>
          <w:color w:val="auto"/>
          <w:kern w:val="0"/>
          <w:szCs w:val="24"/>
          <w:lang w:val="en-US" w:eastAsia="en-US"/>
          <w14:ligatures w14:val="none"/>
        </w:rPr>
      </w:pPr>
    </w:p>
    <w:p w14:paraId="62363E0E" w14:textId="77777777" w:rsidR="00F0079A" w:rsidRDefault="00F0079A" w:rsidP="006E5FCF">
      <w:pPr>
        <w:spacing w:after="0" w:line="360" w:lineRule="auto"/>
        <w:ind w:left="0" w:firstLine="0"/>
        <w:rPr>
          <w:rFonts w:eastAsia="Calibri"/>
          <w:color w:val="auto"/>
          <w:kern w:val="0"/>
          <w:szCs w:val="24"/>
          <w:lang w:val="en-US" w:eastAsia="en-US"/>
          <w14:ligatures w14:val="none"/>
        </w:rPr>
      </w:pPr>
    </w:p>
    <w:p w14:paraId="55F792ED" w14:textId="77777777" w:rsidR="00F0079A" w:rsidRDefault="00F0079A" w:rsidP="006E5FCF">
      <w:pPr>
        <w:spacing w:after="0" w:line="360" w:lineRule="auto"/>
        <w:ind w:left="0" w:firstLine="0"/>
        <w:rPr>
          <w:rFonts w:eastAsia="Calibri"/>
          <w:color w:val="auto"/>
          <w:kern w:val="0"/>
          <w:szCs w:val="24"/>
          <w:lang w:val="en-US" w:eastAsia="en-US"/>
          <w14:ligatures w14:val="none"/>
        </w:rPr>
      </w:pPr>
    </w:p>
    <w:p w14:paraId="15CC60E5" w14:textId="77777777" w:rsidR="00F0079A" w:rsidRDefault="00F0079A" w:rsidP="006E5FCF">
      <w:pPr>
        <w:spacing w:after="0" w:line="360" w:lineRule="auto"/>
        <w:ind w:left="0" w:firstLine="0"/>
        <w:rPr>
          <w:rFonts w:eastAsia="Calibri"/>
          <w:color w:val="auto"/>
          <w:kern w:val="0"/>
          <w:szCs w:val="24"/>
          <w:lang w:val="en-US" w:eastAsia="en-US"/>
          <w14:ligatures w14:val="none"/>
        </w:rPr>
      </w:pPr>
    </w:p>
    <w:p w14:paraId="5CAE0004" w14:textId="77777777" w:rsidR="00F0079A" w:rsidRDefault="00F0079A" w:rsidP="006E5FCF">
      <w:pPr>
        <w:spacing w:after="0" w:line="360" w:lineRule="auto"/>
        <w:ind w:left="0" w:firstLine="0"/>
        <w:rPr>
          <w:rFonts w:eastAsia="Calibri"/>
          <w:color w:val="auto"/>
          <w:kern w:val="0"/>
          <w:szCs w:val="24"/>
          <w:lang w:val="en-US" w:eastAsia="en-US"/>
          <w14:ligatures w14:val="none"/>
        </w:rPr>
      </w:pPr>
    </w:p>
    <w:p w14:paraId="1A437697" w14:textId="77777777" w:rsidR="00F0079A" w:rsidRDefault="00F0079A" w:rsidP="006E5FCF">
      <w:pPr>
        <w:spacing w:after="0" w:line="360" w:lineRule="auto"/>
        <w:ind w:left="0" w:firstLine="0"/>
        <w:rPr>
          <w:rFonts w:eastAsia="Calibri"/>
          <w:color w:val="auto"/>
          <w:kern w:val="0"/>
          <w:szCs w:val="24"/>
          <w:lang w:val="en-US" w:eastAsia="en-US"/>
          <w14:ligatures w14:val="none"/>
        </w:rPr>
      </w:pPr>
    </w:p>
    <w:p w14:paraId="2929503B" w14:textId="77777777" w:rsidR="00F0079A" w:rsidRDefault="00F0079A" w:rsidP="006E5FCF">
      <w:pPr>
        <w:spacing w:after="0" w:line="360" w:lineRule="auto"/>
        <w:ind w:left="0" w:firstLine="0"/>
        <w:rPr>
          <w:rFonts w:eastAsia="Calibri"/>
          <w:color w:val="auto"/>
          <w:kern w:val="0"/>
          <w:szCs w:val="24"/>
          <w:lang w:val="en-US" w:eastAsia="en-US"/>
          <w14:ligatures w14:val="none"/>
        </w:rPr>
      </w:pPr>
    </w:p>
    <w:p w14:paraId="30F7A4F3" w14:textId="77777777" w:rsidR="00F0079A" w:rsidRDefault="00F0079A" w:rsidP="006E5FCF">
      <w:pPr>
        <w:spacing w:after="0" w:line="360" w:lineRule="auto"/>
        <w:ind w:left="0" w:firstLine="0"/>
        <w:rPr>
          <w:rFonts w:eastAsia="Calibri"/>
          <w:color w:val="auto"/>
          <w:kern w:val="0"/>
          <w:szCs w:val="24"/>
          <w:lang w:val="en-US" w:eastAsia="en-US"/>
          <w14:ligatures w14:val="none"/>
        </w:rPr>
      </w:pPr>
    </w:p>
    <w:p w14:paraId="277FDCFD" w14:textId="77777777" w:rsidR="00F0079A" w:rsidRDefault="00F0079A" w:rsidP="006E5FCF">
      <w:pPr>
        <w:spacing w:after="0" w:line="360" w:lineRule="auto"/>
        <w:ind w:left="0" w:firstLine="0"/>
        <w:rPr>
          <w:rFonts w:eastAsia="Calibri"/>
          <w:color w:val="auto"/>
          <w:kern w:val="0"/>
          <w:szCs w:val="24"/>
          <w:lang w:val="en-US" w:eastAsia="en-US"/>
          <w14:ligatures w14:val="none"/>
        </w:rPr>
      </w:pPr>
    </w:p>
    <w:p w14:paraId="6F4DA029" w14:textId="77777777" w:rsidR="00F0079A" w:rsidRDefault="00F0079A" w:rsidP="006E5FCF">
      <w:pPr>
        <w:spacing w:after="0" w:line="360" w:lineRule="auto"/>
        <w:ind w:left="0" w:firstLine="0"/>
        <w:rPr>
          <w:rFonts w:eastAsia="Calibri"/>
          <w:color w:val="auto"/>
          <w:kern w:val="0"/>
          <w:szCs w:val="24"/>
          <w:lang w:val="en-US" w:eastAsia="en-US"/>
          <w14:ligatures w14:val="none"/>
        </w:rPr>
      </w:pPr>
    </w:p>
    <w:p w14:paraId="5D5AED9E" w14:textId="77777777" w:rsidR="00F0079A" w:rsidRDefault="00F0079A" w:rsidP="006E5FCF">
      <w:pPr>
        <w:spacing w:after="0" w:line="360" w:lineRule="auto"/>
        <w:ind w:left="0" w:firstLine="0"/>
        <w:rPr>
          <w:rFonts w:eastAsia="Calibri"/>
          <w:color w:val="auto"/>
          <w:kern w:val="0"/>
          <w:szCs w:val="24"/>
          <w:lang w:val="en-US" w:eastAsia="en-US"/>
          <w14:ligatures w14:val="none"/>
        </w:rPr>
      </w:pPr>
    </w:p>
    <w:p w14:paraId="045AC09C" w14:textId="77777777" w:rsidR="00F0079A" w:rsidRDefault="00F0079A" w:rsidP="006E5FCF">
      <w:pPr>
        <w:spacing w:after="0" w:line="360" w:lineRule="auto"/>
        <w:ind w:left="0" w:firstLine="0"/>
        <w:rPr>
          <w:rFonts w:eastAsia="Calibri"/>
          <w:color w:val="auto"/>
          <w:kern w:val="0"/>
          <w:szCs w:val="24"/>
          <w:lang w:val="en-US" w:eastAsia="en-US"/>
          <w14:ligatures w14:val="none"/>
        </w:rPr>
      </w:pPr>
    </w:p>
    <w:p w14:paraId="289BDDF7" w14:textId="77777777" w:rsidR="00F0079A" w:rsidRDefault="00F0079A" w:rsidP="006E5FCF">
      <w:pPr>
        <w:spacing w:after="0" w:line="360" w:lineRule="auto"/>
        <w:ind w:left="0" w:firstLine="0"/>
        <w:rPr>
          <w:rFonts w:eastAsia="Calibri"/>
          <w:color w:val="auto"/>
          <w:kern w:val="0"/>
          <w:szCs w:val="24"/>
          <w:lang w:val="en-US" w:eastAsia="en-US"/>
          <w14:ligatures w14:val="none"/>
        </w:rPr>
      </w:pPr>
    </w:p>
    <w:p w14:paraId="7E9F1688" w14:textId="77777777" w:rsidR="00F0079A" w:rsidRDefault="00F0079A" w:rsidP="006E5FCF">
      <w:pPr>
        <w:spacing w:after="0" w:line="360" w:lineRule="auto"/>
        <w:ind w:left="0" w:firstLine="0"/>
        <w:rPr>
          <w:rFonts w:eastAsia="Calibri"/>
          <w:color w:val="auto"/>
          <w:kern w:val="0"/>
          <w:szCs w:val="24"/>
          <w:lang w:val="en-US" w:eastAsia="en-US"/>
          <w14:ligatures w14:val="none"/>
        </w:rPr>
      </w:pPr>
    </w:p>
    <w:p w14:paraId="38305C63" w14:textId="77777777" w:rsidR="00F0079A" w:rsidRDefault="00F0079A" w:rsidP="006E5FCF">
      <w:pPr>
        <w:spacing w:after="0" w:line="360" w:lineRule="auto"/>
        <w:ind w:left="0" w:firstLine="0"/>
        <w:rPr>
          <w:rFonts w:eastAsia="Calibri"/>
          <w:color w:val="auto"/>
          <w:kern w:val="0"/>
          <w:szCs w:val="24"/>
          <w:lang w:val="en-US" w:eastAsia="en-US"/>
          <w14:ligatures w14:val="none"/>
        </w:rPr>
      </w:pPr>
    </w:p>
    <w:p w14:paraId="32551AE8" w14:textId="77777777" w:rsidR="00F0079A" w:rsidRDefault="00F0079A" w:rsidP="006E5FCF">
      <w:pPr>
        <w:spacing w:after="0" w:line="360" w:lineRule="auto"/>
        <w:ind w:left="0" w:firstLine="0"/>
        <w:rPr>
          <w:rFonts w:eastAsia="Calibri"/>
          <w:color w:val="auto"/>
          <w:kern w:val="0"/>
          <w:szCs w:val="24"/>
          <w:lang w:val="en-US" w:eastAsia="en-US"/>
          <w14:ligatures w14:val="none"/>
        </w:rPr>
      </w:pPr>
    </w:p>
    <w:p w14:paraId="05F60110" w14:textId="77777777" w:rsidR="00F0079A" w:rsidRDefault="00F0079A" w:rsidP="006E5FCF">
      <w:pPr>
        <w:spacing w:after="0" w:line="360" w:lineRule="auto"/>
        <w:ind w:left="0" w:firstLine="0"/>
        <w:rPr>
          <w:rFonts w:eastAsia="Calibri"/>
          <w:color w:val="auto"/>
          <w:kern w:val="0"/>
          <w:szCs w:val="24"/>
          <w:lang w:val="en-US" w:eastAsia="en-US"/>
          <w14:ligatures w14:val="none"/>
        </w:rPr>
      </w:pPr>
    </w:p>
    <w:p w14:paraId="10064553" w14:textId="77777777" w:rsidR="00F0079A" w:rsidRDefault="00F0079A" w:rsidP="006E5FCF">
      <w:pPr>
        <w:spacing w:after="0" w:line="360" w:lineRule="auto"/>
        <w:ind w:left="0" w:firstLine="0"/>
        <w:rPr>
          <w:rFonts w:eastAsia="Calibri"/>
          <w:color w:val="auto"/>
          <w:kern w:val="0"/>
          <w:szCs w:val="24"/>
          <w:lang w:val="en-US" w:eastAsia="en-US"/>
          <w14:ligatures w14:val="none"/>
        </w:rPr>
      </w:pPr>
    </w:p>
    <w:p w14:paraId="499380EE" w14:textId="77777777" w:rsidR="00F0079A" w:rsidRDefault="00F0079A" w:rsidP="006E5FCF">
      <w:pPr>
        <w:spacing w:after="0" w:line="360" w:lineRule="auto"/>
        <w:ind w:left="0" w:firstLine="0"/>
        <w:rPr>
          <w:rFonts w:eastAsia="Calibri"/>
          <w:color w:val="auto"/>
          <w:kern w:val="0"/>
          <w:szCs w:val="24"/>
          <w:lang w:val="en-US" w:eastAsia="en-US"/>
          <w14:ligatures w14:val="none"/>
        </w:rPr>
      </w:pPr>
    </w:p>
    <w:p w14:paraId="3AC5F431" w14:textId="77777777" w:rsidR="00F0079A" w:rsidRDefault="00F0079A" w:rsidP="006E5FCF">
      <w:pPr>
        <w:spacing w:after="0" w:line="360" w:lineRule="auto"/>
        <w:ind w:left="0" w:firstLine="0"/>
        <w:rPr>
          <w:rFonts w:eastAsia="Calibri"/>
          <w:color w:val="auto"/>
          <w:kern w:val="0"/>
          <w:szCs w:val="24"/>
          <w:lang w:val="en-US" w:eastAsia="en-US"/>
          <w14:ligatures w14:val="none"/>
        </w:rPr>
      </w:pPr>
    </w:p>
    <w:p w14:paraId="5735CB73" w14:textId="77777777" w:rsidR="00F0079A" w:rsidRDefault="00F0079A" w:rsidP="006E5FCF">
      <w:pPr>
        <w:spacing w:after="0" w:line="360" w:lineRule="auto"/>
        <w:ind w:left="0" w:firstLine="0"/>
        <w:rPr>
          <w:rFonts w:eastAsia="Calibri"/>
          <w:color w:val="auto"/>
          <w:kern w:val="0"/>
          <w:szCs w:val="24"/>
          <w:lang w:val="en-US" w:eastAsia="en-US"/>
          <w14:ligatures w14:val="none"/>
        </w:rPr>
      </w:pPr>
    </w:p>
    <w:p w14:paraId="45CAD7D7" w14:textId="77777777" w:rsidR="00F0079A" w:rsidRDefault="00F0079A" w:rsidP="006E5FCF">
      <w:pPr>
        <w:spacing w:after="0" w:line="360" w:lineRule="auto"/>
        <w:ind w:left="0" w:firstLine="0"/>
        <w:rPr>
          <w:rFonts w:eastAsia="Calibri"/>
          <w:color w:val="auto"/>
          <w:kern w:val="0"/>
          <w:szCs w:val="24"/>
          <w:lang w:val="en-US" w:eastAsia="en-US"/>
          <w14:ligatures w14:val="none"/>
        </w:rPr>
      </w:pPr>
    </w:p>
    <w:p w14:paraId="5B9E4184" w14:textId="77777777" w:rsidR="00F0079A" w:rsidRDefault="00F0079A" w:rsidP="006E5FCF">
      <w:pPr>
        <w:spacing w:after="0" w:line="360" w:lineRule="auto"/>
        <w:ind w:left="0" w:firstLine="0"/>
        <w:rPr>
          <w:rFonts w:eastAsia="Calibri"/>
          <w:color w:val="auto"/>
          <w:kern w:val="0"/>
          <w:szCs w:val="24"/>
          <w:lang w:val="en-US" w:eastAsia="en-US"/>
          <w14:ligatures w14:val="none"/>
        </w:rPr>
      </w:pPr>
    </w:p>
    <w:p w14:paraId="6C0B3F36" w14:textId="1254E17B" w:rsidR="006E5FCF" w:rsidRPr="006E5FCF" w:rsidRDefault="00F0079A" w:rsidP="006E5FCF">
      <w:pPr>
        <w:spacing w:after="0" w:line="360" w:lineRule="auto"/>
        <w:ind w:left="0" w:firstLine="0"/>
        <w:rPr>
          <w:rFonts w:eastAsia="Calibri"/>
          <w:color w:val="auto"/>
          <w:kern w:val="0"/>
          <w:szCs w:val="24"/>
          <w:lang w:val="en-US" w:eastAsia="en-US"/>
          <w14:ligatures w14:val="none"/>
        </w:rPr>
      </w:pPr>
      <w:r>
        <w:rPr>
          <w:rFonts w:eastAsia="Calibri"/>
          <w:color w:val="auto"/>
          <w:kern w:val="0"/>
          <w:szCs w:val="24"/>
          <w:lang w:val="en-US" w:eastAsia="en-US"/>
          <w14:ligatures w14:val="none"/>
        </w:rPr>
        <w:lastRenderedPageBreak/>
        <w:t>APPEARANCES</w:t>
      </w:r>
      <w:r w:rsidR="006E5FCF" w:rsidRPr="006E5FCF">
        <w:rPr>
          <w:rFonts w:eastAsia="Calibri"/>
          <w:color w:val="auto"/>
          <w:kern w:val="0"/>
          <w:szCs w:val="24"/>
          <w:lang w:val="en-US" w:eastAsia="en-US"/>
          <w14:ligatures w14:val="none"/>
        </w:rPr>
        <w:t>:</w:t>
      </w:r>
    </w:p>
    <w:p w14:paraId="35DC4485" w14:textId="77777777" w:rsidR="006E5FCF" w:rsidRPr="006E5FCF" w:rsidRDefault="006E5FCF" w:rsidP="006E5FCF">
      <w:pPr>
        <w:spacing w:after="0" w:line="360" w:lineRule="auto"/>
        <w:ind w:left="0" w:firstLine="0"/>
        <w:rPr>
          <w:rFonts w:eastAsia="Calibri"/>
          <w:color w:val="auto"/>
          <w:kern w:val="0"/>
          <w:szCs w:val="24"/>
          <w:lang w:val="en-US" w:eastAsia="en-US"/>
          <w14:ligatures w14:val="none"/>
        </w:rPr>
      </w:pPr>
    </w:p>
    <w:p w14:paraId="1ECEC6EF" w14:textId="6B48D348" w:rsidR="00CD1DB4" w:rsidRPr="008F4A7D" w:rsidRDefault="006E5FCF" w:rsidP="006E5FCF">
      <w:pPr>
        <w:spacing w:after="0" w:line="360" w:lineRule="auto"/>
        <w:ind w:left="0" w:firstLine="0"/>
        <w:rPr>
          <w:bCs/>
        </w:rPr>
      </w:pPr>
      <w:r w:rsidRPr="006E5FCF">
        <w:rPr>
          <w:rFonts w:eastAsia="Calibri"/>
          <w:color w:val="auto"/>
          <w:kern w:val="0"/>
          <w:szCs w:val="24"/>
          <w:lang w:val="en-US" w:eastAsia="en-US"/>
          <w14:ligatures w14:val="none"/>
        </w:rPr>
        <w:t>APP</w:t>
      </w:r>
      <w:r>
        <w:rPr>
          <w:rFonts w:eastAsia="Calibri"/>
          <w:color w:val="auto"/>
          <w:kern w:val="0"/>
          <w:szCs w:val="24"/>
          <w:lang w:val="en-US" w:eastAsia="en-US"/>
          <w14:ligatures w14:val="none"/>
        </w:rPr>
        <w:t>LICANT</w:t>
      </w:r>
      <w:r w:rsidRPr="006E5FCF">
        <w:rPr>
          <w:rFonts w:eastAsia="Calibri"/>
          <w:color w:val="auto"/>
          <w:kern w:val="0"/>
          <w:szCs w:val="24"/>
          <w:lang w:val="en-US" w:eastAsia="en-US"/>
          <w14:ligatures w14:val="none"/>
        </w:rPr>
        <w:t xml:space="preserve">:                               </w:t>
      </w:r>
      <w:r w:rsidR="00CD1DB4">
        <w:rPr>
          <w:rFonts w:eastAsia="Calibri"/>
          <w:color w:val="auto"/>
          <w:kern w:val="0"/>
          <w:szCs w:val="24"/>
          <w:lang w:val="en-US" w:eastAsia="en-US"/>
          <w14:ligatures w14:val="none"/>
        </w:rPr>
        <w:t xml:space="preserve"> </w:t>
      </w:r>
      <w:r w:rsidR="00CD1DB4">
        <w:rPr>
          <w:rFonts w:eastAsia="Calibri"/>
          <w:color w:val="auto"/>
          <w:kern w:val="0"/>
          <w:szCs w:val="24"/>
          <w:lang w:val="en-US" w:eastAsia="en-US"/>
          <w14:ligatures w14:val="none"/>
        </w:rPr>
        <w:tab/>
      </w:r>
      <w:r w:rsidR="00CD1DB4">
        <w:rPr>
          <w:rFonts w:eastAsia="Calibri"/>
          <w:color w:val="auto"/>
          <w:kern w:val="0"/>
          <w:szCs w:val="24"/>
          <w:lang w:val="en-US" w:eastAsia="en-US"/>
          <w14:ligatures w14:val="none"/>
        </w:rPr>
        <w:tab/>
      </w:r>
      <w:r w:rsidR="00CD1DB4">
        <w:rPr>
          <w:rFonts w:eastAsia="Calibri"/>
          <w:color w:val="auto"/>
          <w:kern w:val="0"/>
          <w:szCs w:val="24"/>
          <w:lang w:val="en-US" w:eastAsia="en-US"/>
          <w14:ligatures w14:val="none"/>
        </w:rPr>
        <w:tab/>
      </w:r>
      <w:r w:rsidR="00F43AEE" w:rsidRPr="008F4A7D">
        <w:rPr>
          <w:bCs/>
        </w:rPr>
        <w:t>J B</w:t>
      </w:r>
      <w:r w:rsidR="00CD1DB4" w:rsidRPr="008F4A7D">
        <w:rPr>
          <w:bCs/>
        </w:rPr>
        <w:t xml:space="preserve"> Fredericks</w:t>
      </w:r>
    </w:p>
    <w:p w14:paraId="5E3D629A" w14:textId="45034E80" w:rsidR="006E5FCF" w:rsidRPr="008F4A7D" w:rsidRDefault="006E5FCF" w:rsidP="00CD1DB4">
      <w:pPr>
        <w:spacing w:after="0" w:line="360" w:lineRule="auto"/>
        <w:ind w:left="4330" w:firstLine="710"/>
        <w:rPr>
          <w:rFonts w:eastAsia="Calibri"/>
          <w:color w:val="auto"/>
          <w:kern w:val="0"/>
          <w:szCs w:val="24"/>
          <w:lang w:val="en-US" w:eastAsia="en-US"/>
          <w14:ligatures w14:val="none"/>
        </w:rPr>
      </w:pPr>
      <w:r w:rsidRPr="008F4A7D">
        <w:rPr>
          <w:rFonts w:eastAsia="Calibri"/>
          <w:color w:val="auto"/>
          <w:kern w:val="0"/>
          <w:szCs w:val="24"/>
          <w:lang w:val="en-US" w:eastAsia="en-US"/>
          <w14:ligatures w14:val="none"/>
        </w:rPr>
        <w:t>In person</w:t>
      </w:r>
    </w:p>
    <w:p w14:paraId="4DBDC3E3" w14:textId="132D1ECD" w:rsidR="00514C69" w:rsidRPr="008F4A7D" w:rsidRDefault="00514C69" w:rsidP="00CD1DB4">
      <w:pPr>
        <w:spacing w:after="0" w:line="360" w:lineRule="auto"/>
        <w:ind w:left="4330" w:firstLine="710"/>
        <w:rPr>
          <w:rFonts w:eastAsia="Calibri"/>
          <w:color w:val="auto"/>
          <w:kern w:val="0"/>
          <w:szCs w:val="24"/>
          <w:lang w:val="en-US" w:eastAsia="en-US"/>
          <w14:ligatures w14:val="none"/>
        </w:rPr>
      </w:pPr>
      <w:r w:rsidRPr="008F4A7D">
        <w:rPr>
          <w:rFonts w:eastAsia="Calibri"/>
          <w:color w:val="auto"/>
          <w:kern w:val="0"/>
          <w:szCs w:val="24"/>
          <w:lang w:val="en-US" w:eastAsia="en-US"/>
          <w14:ligatures w14:val="none"/>
        </w:rPr>
        <w:t>Windhoek</w:t>
      </w:r>
    </w:p>
    <w:p w14:paraId="73FCA84D" w14:textId="1081B19F" w:rsidR="006E5FCF" w:rsidRPr="008F4A7D" w:rsidRDefault="006E5FCF" w:rsidP="006E5FCF">
      <w:pPr>
        <w:spacing w:after="0" w:line="360" w:lineRule="auto"/>
        <w:ind w:left="0" w:firstLine="0"/>
        <w:rPr>
          <w:rFonts w:eastAsia="Calibri"/>
          <w:color w:val="auto"/>
          <w:kern w:val="0"/>
          <w:szCs w:val="24"/>
          <w:lang w:val="en-US" w:eastAsia="en-US"/>
          <w14:ligatures w14:val="none"/>
        </w:rPr>
      </w:pPr>
      <w:r w:rsidRPr="008F4A7D">
        <w:rPr>
          <w:rFonts w:eastAsia="Calibri"/>
          <w:color w:val="auto"/>
          <w:kern w:val="0"/>
          <w:szCs w:val="24"/>
          <w:lang w:val="en-US" w:eastAsia="en-US"/>
          <w14:ligatures w14:val="none"/>
        </w:rPr>
        <w:tab/>
      </w:r>
      <w:r w:rsidRPr="008F4A7D">
        <w:rPr>
          <w:rFonts w:eastAsia="Calibri"/>
          <w:color w:val="auto"/>
          <w:kern w:val="0"/>
          <w:szCs w:val="24"/>
          <w:lang w:val="en-US" w:eastAsia="en-US"/>
          <w14:ligatures w14:val="none"/>
        </w:rPr>
        <w:tab/>
      </w:r>
      <w:r w:rsidRPr="008F4A7D">
        <w:rPr>
          <w:rFonts w:eastAsia="Calibri"/>
          <w:color w:val="auto"/>
          <w:kern w:val="0"/>
          <w:szCs w:val="24"/>
          <w:lang w:val="en-US" w:eastAsia="en-US"/>
          <w14:ligatures w14:val="none"/>
        </w:rPr>
        <w:tab/>
      </w:r>
      <w:r w:rsidRPr="008F4A7D">
        <w:rPr>
          <w:rFonts w:eastAsia="Calibri"/>
          <w:color w:val="auto"/>
          <w:kern w:val="0"/>
          <w:szCs w:val="24"/>
          <w:lang w:val="en-US" w:eastAsia="en-US"/>
          <w14:ligatures w14:val="none"/>
        </w:rPr>
        <w:tab/>
      </w:r>
      <w:r w:rsidRPr="008F4A7D">
        <w:rPr>
          <w:rFonts w:eastAsia="Calibri"/>
          <w:color w:val="auto"/>
          <w:kern w:val="0"/>
          <w:szCs w:val="24"/>
          <w:lang w:val="en-US" w:eastAsia="en-US"/>
          <w14:ligatures w14:val="none"/>
        </w:rPr>
        <w:tab/>
        <w:t xml:space="preserve"> </w:t>
      </w:r>
    </w:p>
    <w:p w14:paraId="3ED18390" w14:textId="77777777" w:rsidR="006E5FCF" w:rsidRPr="008F4A7D" w:rsidRDefault="006E5FCF" w:rsidP="006E5FCF">
      <w:pPr>
        <w:spacing w:after="0" w:line="360" w:lineRule="auto"/>
        <w:ind w:left="0" w:firstLine="0"/>
        <w:rPr>
          <w:rFonts w:eastAsia="Calibri"/>
          <w:color w:val="auto"/>
          <w:kern w:val="0"/>
          <w:szCs w:val="24"/>
          <w:lang w:val="en-US" w:eastAsia="en-US"/>
          <w14:ligatures w14:val="none"/>
        </w:rPr>
      </w:pPr>
    </w:p>
    <w:p w14:paraId="2A45B272" w14:textId="5B43477D" w:rsidR="00CD1DB4" w:rsidRPr="008F4A7D" w:rsidRDefault="00F44743" w:rsidP="006E5FCF">
      <w:pPr>
        <w:spacing w:after="0" w:line="360" w:lineRule="auto"/>
        <w:ind w:left="0" w:firstLine="0"/>
        <w:rPr>
          <w:rFonts w:eastAsia="Calibri"/>
          <w:color w:val="auto"/>
          <w:kern w:val="0"/>
          <w:szCs w:val="24"/>
          <w:lang w:val="en-US" w:eastAsia="en-US"/>
          <w14:ligatures w14:val="none"/>
        </w:rPr>
      </w:pPr>
      <w:r>
        <w:rPr>
          <w:rFonts w:eastAsia="Calibri"/>
          <w:color w:val="auto"/>
          <w:kern w:val="0"/>
          <w:szCs w:val="24"/>
          <w:lang w:val="en-US" w:eastAsia="en-US"/>
          <w14:ligatures w14:val="none"/>
        </w:rPr>
        <w:t>1</w:t>
      </w:r>
      <w:r w:rsidRPr="00F44743">
        <w:rPr>
          <w:rFonts w:eastAsia="Calibri"/>
          <w:color w:val="auto"/>
          <w:kern w:val="0"/>
          <w:szCs w:val="24"/>
          <w:vertAlign w:val="superscript"/>
          <w:lang w:val="en-US" w:eastAsia="en-US"/>
          <w14:ligatures w14:val="none"/>
        </w:rPr>
        <w:t>st</w:t>
      </w:r>
      <w:r>
        <w:rPr>
          <w:rFonts w:eastAsia="Calibri"/>
          <w:color w:val="auto"/>
          <w:kern w:val="0"/>
          <w:szCs w:val="24"/>
          <w:lang w:val="en-US" w:eastAsia="en-US"/>
          <w14:ligatures w14:val="none"/>
        </w:rPr>
        <w:t xml:space="preserve"> to 3</w:t>
      </w:r>
      <w:r w:rsidRPr="00F44743">
        <w:rPr>
          <w:rFonts w:eastAsia="Calibri"/>
          <w:color w:val="auto"/>
          <w:kern w:val="0"/>
          <w:szCs w:val="24"/>
          <w:vertAlign w:val="superscript"/>
          <w:lang w:val="en-US" w:eastAsia="en-US"/>
          <w14:ligatures w14:val="none"/>
        </w:rPr>
        <w:t>rd</w:t>
      </w:r>
      <w:r w:rsidR="006E5FCF" w:rsidRPr="008F4A7D">
        <w:rPr>
          <w:rFonts w:eastAsia="Calibri"/>
          <w:color w:val="auto"/>
          <w:kern w:val="0"/>
          <w:szCs w:val="24"/>
          <w:lang w:val="en-US" w:eastAsia="en-US"/>
          <w14:ligatures w14:val="none"/>
        </w:rPr>
        <w:t xml:space="preserve"> RESPONDENT</w:t>
      </w:r>
      <w:r>
        <w:rPr>
          <w:rFonts w:eastAsia="Calibri"/>
          <w:color w:val="auto"/>
          <w:kern w:val="0"/>
          <w:szCs w:val="24"/>
          <w:lang w:val="en-US" w:eastAsia="en-US"/>
          <w14:ligatures w14:val="none"/>
        </w:rPr>
        <w:t>S</w:t>
      </w:r>
      <w:r w:rsidR="006E5FCF" w:rsidRPr="008F4A7D">
        <w:rPr>
          <w:rFonts w:eastAsia="Calibri"/>
          <w:color w:val="auto"/>
          <w:kern w:val="0"/>
          <w:szCs w:val="24"/>
          <w:lang w:val="en-US" w:eastAsia="en-US"/>
          <w14:ligatures w14:val="none"/>
        </w:rPr>
        <w:t>:</w:t>
      </w:r>
      <w:r w:rsidR="006E5FCF" w:rsidRPr="008F4A7D">
        <w:rPr>
          <w:rFonts w:eastAsia="Calibri"/>
          <w:color w:val="auto"/>
          <w:kern w:val="0"/>
          <w:szCs w:val="24"/>
          <w:lang w:val="en-US" w:eastAsia="en-US"/>
          <w14:ligatures w14:val="none"/>
        </w:rPr>
        <w:tab/>
      </w:r>
      <w:r w:rsidR="006E5FCF" w:rsidRPr="008F4A7D">
        <w:rPr>
          <w:rFonts w:eastAsia="Calibri"/>
          <w:color w:val="auto"/>
          <w:kern w:val="0"/>
          <w:szCs w:val="24"/>
          <w:lang w:val="en-US" w:eastAsia="en-US"/>
          <w14:ligatures w14:val="none"/>
        </w:rPr>
        <w:tab/>
      </w:r>
      <w:r w:rsidR="00CD1DB4" w:rsidRPr="008F4A7D">
        <w:rPr>
          <w:rFonts w:eastAsia="Calibri"/>
          <w:color w:val="auto"/>
          <w:kern w:val="0"/>
          <w:szCs w:val="24"/>
          <w:lang w:val="en-US" w:eastAsia="en-US"/>
          <w14:ligatures w14:val="none"/>
        </w:rPr>
        <w:tab/>
      </w:r>
      <w:r w:rsidR="00CD1DB4" w:rsidRPr="008F4A7D">
        <w:rPr>
          <w:rFonts w:eastAsia="Calibri"/>
          <w:color w:val="auto"/>
          <w:kern w:val="0"/>
          <w:szCs w:val="24"/>
          <w:lang w:val="en-US" w:eastAsia="en-US"/>
          <w14:ligatures w14:val="none"/>
        </w:rPr>
        <w:tab/>
      </w:r>
      <w:r w:rsidR="00F43AEE" w:rsidRPr="008F4A7D">
        <w:t xml:space="preserve">C </w:t>
      </w:r>
      <w:r w:rsidR="00CD1DB4" w:rsidRPr="008F4A7D">
        <w:t>Piccanin</w:t>
      </w:r>
    </w:p>
    <w:p w14:paraId="523BE287" w14:textId="4EDB2398" w:rsidR="006E5FCF" w:rsidRPr="008F4A7D" w:rsidRDefault="006E5FCF" w:rsidP="006E5FCF">
      <w:pPr>
        <w:spacing w:after="0" w:line="360" w:lineRule="auto"/>
        <w:ind w:left="0" w:firstLine="0"/>
        <w:rPr>
          <w:rFonts w:eastAsia="Calibri"/>
          <w:color w:val="auto"/>
          <w:kern w:val="0"/>
          <w:szCs w:val="24"/>
          <w:lang w:val="en-US" w:eastAsia="en-US"/>
          <w14:ligatures w14:val="none"/>
        </w:rPr>
      </w:pPr>
      <w:r w:rsidRPr="008F4A7D">
        <w:rPr>
          <w:rFonts w:eastAsia="Calibri"/>
          <w:color w:val="auto"/>
          <w:kern w:val="0"/>
          <w:szCs w:val="24"/>
          <w:lang w:val="en-US" w:eastAsia="en-US"/>
          <w14:ligatures w14:val="none"/>
        </w:rPr>
        <w:tab/>
      </w:r>
      <w:r w:rsidRPr="008F4A7D">
        <w:rPr>
          <w:rFonts w:eastAsia="Calibri"/>
          <w:color w:val="auto"/>
          <w:kern w:val="0"/>
          <w:szCs w:val="24"/>
          <w:lang w:val="en-US" w:eastAsia="en-US"/>
          <w14:ligatures w14:val="none"/>
        </w:rPr>
        <w:tab/>
      </w:r>
      <w:r w:rsidR="00CD1DB4" w:rsidRPr="008F4A7D">
        <w:rPr>
          <w:rFonts w:eastAsia="Calibri"/>
          <w:color w:val="auto"/>
          <w:kern w:val="0"/>
          <w:szCs w:val="24"/>
          <w:lang w:val="en-US" w:eastAsia="en-US"/>
          <w14:ligatures w14:val="none"/>
        </w:rPr>
        <w:tab/>
      </w:r>
      <w:r w:rsidR="00CD1DB4" w:rsidRPr="008F4A7D">
        <w:rPr>
          <w:rFonts w:eastAsia="Calibri"/>
          <w:color w:val="auto"/>
          <w:kern w:val="0"/>
          <w:szCs w:val="24"/>
          <w:lang w:val="en-US" w:eastAsia="en-US"/>
          <w14:ligatures w14:val="none"/>
        </w:rPr>
        <w:tab/>
      </w:r>
      <w:r w:rsidR="00CD1DB4" w:rsidRPr="008F4A7D">
        <w:rPr>
          <w:rFonts w:eastAsia="Calibri"/>
          <w:color w:val="auto"/>
          <w:kern w:val="0"/>
          <w:szCs w:val="24"/>
          <w:lang w:val="en-US" w:eastAsia="en-US"/>
          <w14:ligatures w14:val="none"/>
        </w:rPr>
        <w:tab/>
      </w:r>
      <w:r w:rsidR="00CD1DB4" w:rsidRPr="008F4A7D">
        <w:rPr>
          <w:rFonts w:eastAsia="Calibri"/>
          <w:color w:val="auto"/>
          <w:kern w:val="0"/>
          <w:szCs w:val="24"/>
          <w:lang w:val="en-US" w:eastAsia="en-US"/>
          <w14:ligatures w14:val="none"/>
        </w:rPr>
        <w:tab/>
      </w:r>
      <w:r w:rsidR="00CD1DB4" w:rsidRPr="008F4A7D">
        <w:rPr>
          <w:rFonts w:eastAsia="Calibri"/>
          <w:color w:val="auto"/>
          <w:kern w:val="0"/>
          <w:szCs w:val="24"/>
          <w:lang w:val="en-US" w:eastAsia="en-US"/>
          <w14:ligatures w14:val="none"/>
        </w:rPr>
        <w:tab/>
      </w:r>
      <w:r w:rsidRPr="008F4A7D">
        <w:rPr>
          <w:rFonts w:eastAsia="Calibri"/>
          <w:color w:val="auto"/>
          <w:kern w:val="0"/>
          <w:szCs w:val="24"/>
          <w:lang w:val="en-US" w:eastAsia="en-US"/>
          <w14:ligatures w14:val="none"/>
        </w:rPr>
        <w:t>Office of the Government Attorney</w:t>
      </w:r>
    </w:p>
    <w:p w14:paraId="39AA68D8" w14:textId="7E180A7F" w:rsidR="00F43AEE" w:rsidRPr="006E5FCF" w:rsidRDefault="00F43AEE" w:rsidP="006E5FCF">
      <w:pPr>
        <w:spacing w:after="0" w:line="360" w:lineRule="auto"/>
        <w:ind w:left="0" w:firstLine="0"/>
        <w:rPr>
          <w:rFonts w:eastAsia="Calibri"/>
          <w:color w:val="auto"/>
          <w:kern w:val="0"/>
          <w:szCs w:val="24"/>
          <w:lang w:val="en-US" w:eastAsia="en-US"/>
          <w14:ligatures w14:val="none"/>
        </w:rPr>
      </w:pPr>
      <w:r w:rsidRPr="008F4A7D">
        <w:rPr>
          <w:rFonts w:eastAsia="Calibri"/>
          <w:color w:val="auto"/>
          <w:kern w:val="0"/>
          <w:szCs w:val="24"/>
          <w:lang w:val="en-US" w:eastAsia="en-US"/>
          <w14:ligatures w14:val="none"/>
        </w:rPr>
        <w:tab/>
      </w:r>
      <w:r w:rsidRPr="008F4A7D">
        <w:rPr>
          <w:rFonts w:eastAsia="Calibri"/>
          <w:color w:val="auto"/>
          <w:kern w:val="0"/>
          <w:szCs w:val="24"/>
          <w:lang w:val="en-US" w:eastAsia="en-US"/>
          <w14:ligatures w14:val="none"/>
        </w:rPr>
        <w:tab/>
      </w:r>
      <w:r w:rsidRPr="008F4A7D">
        <w:rPr>
          <w:rFonts w:eastAsia="Calibri"/>
          <w:color w:val="auto"/>
          <w:kern w:val="0"/>
          <w:szCs w:val="24"/>
          <w:lang w:val="en-US" w:eastAsia="en-US"/>
          <w14:ligatures w14:val="none"/>
        </w:rPr>
        <w:tab/>
      </w:r>
      <w:r w:rsidRPr="008F4A7D">
        <w:rPr>
          <w:rFonts w:eastAsia="Calibri"/>
          <w:color w:val="auto"/>
          <w:kern w:val="0"/>
          <w:szCs w:val="24"/>
          <w:lang w:val="en-US" w:eastAsia="en-US"/>
          <w14:ligatures w14:val="none"/>
        </w:rPr>
        <w:tab/>
      </w:r>
      <w:r w:rsidRPr="008F4A7D">
        <w:rPr>
          <w:rFonts w:eastAsia="Calibri"/>
          <w:color w:val="auto"/>
          <w:kern w:val="0"/>
          <w:szCs w:val="24"/>
          <w:lang w:val="en-US" w:eastAsia="en-US"/>
          <w14:ligatures w14:val="none"/>
        </w:rPr>
        <w:tab/>
      </w:r>
      <w:r w:rsidRPr="008F4A7D">
        <w:rPr>
          <w:rFonts w:eastAsia="Calibri"/>
          <w:color w:val="auto"/>
          <w:kern w:val="0"/>
          <w:szCs w:val="24"/>
          <w:lang w:val="en-US" w:eastAsia="en-US"/>
          <w14:ligatures w14:val="none"/>
        </w:rPr>
        <w:tab/>
      </w:r>
      <w:r w:rsidRPr="008F4A7D">
        <w:rPr>
          <w:rFonts w:eastAsia="Calibri"/>
          <w:color w:val="auto"/>
          <w:kern w:val="0"/>
          <w:szCs w:val="24"/>
          <w:lang w:val="en-US" w:eastAsia="en-US"/>
          <w14:ligatures w14:val="none"/>
        </w:rPr>
        <w:tab/>
        <w:t>Windhoek</w:t>
      </w:r>
    </w:p>
    <w:p w14:paraId="78AEC45D" w14:textId="586276BF" w:rsidR="00FF2E9D" w:rsidRDefault="00FF2E9D" w:rsidP="00FF2E9D">
      <w:pPr>
        <w:spacing w:line="360" w:lineRule="auto"/>
      </w:pPr>
    </w:p>
    <w:sectPr w:rsidR="00FF2E9D" w:rsidSect="00D962C3">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13E64" w14:textId="77777777" w:rsidR="00D34761" w:rsidRDefault="00D34761" w:rsidP="005E7903">
      <w:pPr>
        <w:spacing w:after="0" w:line="240" w:lineRule="auto"/>
      </w:pPr>
      <w:r>
        <w:separator/>
      </w:r>
    </w:p>
  </w:endnote>
  <w:endnote w:type="continuationSeparator" w:id="0">
    <w:p w14:paraId="3D0DA916" w14:textId="77777777" w:rsidR="00D34761" w:rsidRDefault="00D34761" w:rsidP="005E7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8E103" w14:textId="77777777" w:rsidR="00D34761" w:rsidRDefault="00D34761" w:rsidP="005E7903">
      <w:pPr>
        <w:spacing w:after="0" w:line="240" w:lineRule="auto"/>
      </w:pPr>
      <w:r>
        <w:separator/>
      </w:r>
    </w:p>
  </w:footnote>
  <w:footnote w:type="continuationSeparator" w:id="0">
    <w:p w14:paraId="5C27A939" w14:textId="77777777" w:rsidR="00D34761" w:rsidRDefault="00D34761" w:rsidP="005E7903">
      <w:pPr>
        <w:spacing w:after="0" w:line="240" w:lineRule="auto"/>
      </w:pPr>
      <w:r>
        <w:continuationSeparator/>
      </w:r>
    </w:p>
  </w:footnote>
  <w:footnote w:id="1">
    <w:p w14:paraId="62C938AB" w14:textId="1A9CE5A5" w:rsidR="00CC278E" w:rsidRDefault="00CC278E">
      <w:pPr>
        <w:pStyle w:val="FootnoteText"/>
      </w:pPr>
      <w:r>
        <w:rPr>
          <w:rStyle w:val="FootnoteReference"/>
        </w:rPr>
        <w:footnoteRef/>
      </w:r>
      <w:r>
        <w:t xml:space="preserve"> </w:t>
      </w:r>
      <w:r w:rsidRPr="007F2388">
        <w:rPr>
          <w:i/>
          <w:iCs/>
          <w:shd w:val="clear" w:color="auto" w:fill="FFFFFF"/>
        </w:rPr>
        <w:t xml:space="preserve">S v Shaik </w:t>
      </w:r>
      <w:r w:rsidRPr="007F2388">
        <w:rPr>
          <w:iCs/>
          <w:shd w:val="clear" w:color="auto" w:fill="FFFFFF"/>
        </w:rPr>
        <w:t>2008 (2) SA 165 (CC)</w:t>
      </w:r>
      <w:r>
        <w:rPr>
          <w:iCs/>
          <w:shd w:val="clear" w:color="auto" w:fill="FFFFFF"/>
        </w:rPr>
        <w:t>.</w:t>
      </w:r>
    </w:p>
  </w:footnote>
  <w:footnote w:id="2">
    <w:p w14:paraId="75A2E057" w14:textId="464726C0" w:rsidR="00CC278E" w:rsidRDefault="00CC278E" w:rsidP="001B4F27">
      <w:pPr>
        <w:spacing w:after="0" w:line="360" w:lineRule="auto"/>
      </w:pPr>
      <w:r>
        <w:rPr>
          <w:rStyle w:val="FootnoteReference"/>
        </w:rPr>
        <w:footnoteRef/>
      </w:r>
      <w:r>
        <w:t xml:space="preserve"> </w:t>
      </w:r>
      <w:r w:rsidRPr="00DF681B">
        <w:rPr>
          <w:i/>
          <w:sz w:val="20"/>
          <w:szCs w:val="20"/>
        </w:rPr>
        <w:t>Hellens v The Minister of Home Affairs and Others</w:t>
      </w:r>
      <w:r w:rsidRPr="00DF681B">
        <w:rPr>
          <w:sz w:val="20"/>
          <w:szCs w:val="20"/>
        </w:rPr>
        <w:t xml:space="preserve"> (HC-MD-CIV-MOT-GEN-2020-00071) [2021] NAHCMD 300 (23 June 2021).</w:t>
      </w:r>
    </w:p>
  </w:footnote>
  <w:footnote w:id="3">
    <w:p w14:paraId="0238CE27" w14:textId="347BDAC2" w:rsidR="00CC278E" w:rsidRDefault="00CC278E" w:rsidP="009F28AF">
      <w:pPr>
        <w:pStyle w:val="FootnoteText"/>
        <w:spacing w:line="360" w:lineRule="auto"/>
      </w:pPr>
      <w:r>
        <w:rPr>
          <w:rStyle w:val="FootnoteReference"/>
        </w:rPr>
        <w:footnoteRef/>
      </w:r>
      <w:r>
        <w:t xml:space="preserve"> </w:t>
      </w:r>
      <w:r w:rsidRPr="001972E7">
        <w:rPr>
          <w:rFonts w:eastAsia="Calibri"/>
          <w:i/>
          <w:color w:val="auto"/>
          <w:kern w:val="0"/>
          <w:lang w:val="en-GB" w:eastAsia="en-US"/>
          <w14:ligatures w14:val="none"/>
        </w:rPr>
        <w:t xml:space="preserve">Likoro v S </w:t>
      </w:r>
      <w:r w:rsidRPr="001972E7">
        <w:rPr>
          <w:rFonts w:eastAsia="Calibri"/>
          <w:color w:val="auto"/>
          <w:kern w:val="0"/>
          <w:lang w:val="en-GB" w:eastAsia="en-US"/>
          <w14:ligatures w14:val="none"/>
        </w:rPr>
        <w:t>(CA 19 of 2016) [2017] NAHCMD 355 (8 December 2017)</w:t>
      </w:r>
      <w:r>
        <w:rPr>
          <w:rFonts w:eastAsia="Calibri"/>
          <w:color w:val="auto"/>
          <w:kern w:val="0"/>
          <w:lang w:val="en-GB" w:eastAsia="en-US"/>
          <w14:ligatures w14:val="none"/>
        </w:rPr>
        <w:t xml:space="preserve"> para 12.</w:t>
      </w:r>
    </w:p>
  </w:footnote>
  <w:footnote w:id="4">
    <w:p w14:paraId="615521ED" w14:textId="355D4297" w:rsidR="00CC278E" w:rsidRDefault="00CC278E" w:rsidP="009F28AF">
      <w:pPr>
        <w:pStyle w:val="FootnoteText"/>
        <w:spacing w:line="360" w:lineRule="auto"/>
      </w:pPr>
      <w:r>
        <w:rPr>
          <w:rStyle w:val="FootnoteReference"/>
        </w:rPr>
        <w:footnoteRef/>
      </w:r>
      <w:r>
        <w:t xml:space="preserve"> </w:t>
      </w:r>
      <w:r w:rsidRPr="00860B2A">
        <w:rPr>
          <w:i/>
          <w:iCs/>
          <w:color w:val="auto"/>
          <w:shd w:val="clear" w:color="auto" w:fill="FFFFFF"/>
        </w:rPr>
        <w:t>Ellis v Morgan</w:t>
      </w:r>
      <w:r w:rsidRPr="00860B2A">
        <w:rPr>
          <w:color w:val="auto"/>
          <w:shd w:val="clear" w:color="auto" w:fill="FFFFFF"/>
        </w:rPr>
        <w:t>; </w:t>
      </w:r>
      <w:r w:rsidRPr="00860B2A">
        <w:rPr>
          <w:i/>
          <w:iCs/>
          <w:color w:val="auto"/>
          <w:shd w:val="clear" w:color="auto" w:fill="FFFFFF"/>
        </w:rPr>
        <w:t>Ellis v Dessai</w:t>
      </w:r>
      <w:r w:rsidRPr="00860B2A">
        <w:rPr>
          <w:color w:val="auto"/>
          <w:shd w:val="clear" w:color="auto" w:fill="FFFFFF"/>
        </w:rPr>
        <w:t> 1909 TS 576 at 581.</w:t>
      </w:r>
    </w:p>
  </w:footnote>
  <w:footnote w:id="5">
    <w:p w14:paraId="3DF4FB44" w14:textId="42DCC673" w:rsidR="00CC278E" w:rsidRDefault="00CC278E">
      <w:pPr>
        <w:pStyle w:val="FootnoteText"/>
      </w:pPr>
      <w:r>
        <w:rPr>
          <w:rStyle w:val="FootnoteReference"/>
        </w:rPr>
        <w:footnoteRef/>
      </w:r>
      <w:r>
        <w:t xml:space="preserve"> </w:t>
      </w:r>
      <w:r w:rsidRPr="00EF62AC">
        <w:rPr>
          <w:i/>
          <w:iCs/>
        </w:rPr>
        <w:t xml:space="preserve">Ex parte: Prosecutor- General </w:t>
      </w:r>
      <w:r w:rsidRPr="00EF62AC">
        <w:rPr>
          <w:iCs/>
        </w:rPr>
        <w:t>(POCA 11 of 2011) [2011] NAHC 355 (2 December 2011)</w:t>
      </w:r>
      <w:r>
        <w:rPr>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073998"/>
      <w:docPartObj>
        <w:docPartGallery w:val="Page Numbers (Top of Page)"/>
        <w:docPartUnique/>
      </w:docPartObj>
    </w:sdtPr>
    <w:sdtEndPr>
      <w:rPr>
        <w:noProof/>
      </w:rPr>
    </w:sdtEndPr>
    <w:sdtContent>
      <w:p w14:paraId="487F3E42" w14:textId="6F89AD59" w:rsidR="00CC278E" w:rsidRDefault="00CC278E">
        <w:pPr>
          <w:pStyle w:val="Header"/>
          <w:jc w:val="right"/>
        </w:pPr>
        <w:r>
          <w:fldChar w:fldCharType="begin"/>
        </w:r>
        <w:r>
          <w:instrText xml:space="preserve"> PAGE   \* MERGEFORMAT </w:instrText>
        </w:r>
        <w:r>
          <w:fldChar w:fldCharType="separate"/>
        </w:r>
        <w:r w:rsidR="006C5019">
          <w:rPr>
            <w:noProof/>
          </w:rPr>
          <w:t>2</w:t>
        </w:r>
        <w:r>
          <w:rPr>
            <w:noProof/>
          </w:rPr>
          <w:fldChar w:fldCharType="end"/>
        </w:r>
      </w:p>
    </w:sdtContent>
  </w:sdt>
  <w:p w14:paraId="2DA890CC" w14:textId="77777777" w:rsidR="00CC278E" w:rsidRDefault="00CC27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57BE8"/>
    <w:multiLevelType w:val="hybridMultilevel"/>
    <w:tmpl w:val="20AA773E"/>
    <w:lvl w:ilvl="0" w:tplc="0144F7E0">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14B4E"/>
    <w:multiLevelType w:val="hybridMultilevel"/>
    <w:tmpl w:val="BC106488"/>
    <w:lvl w:ilvl="0" w:tplc="4FCE1510">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52660"/>
    <w:multiLevelType w:val="hybridMultilevel"/>
    <w:tmpl w:val="F30A6F38"/>
    <w:lvl w:ilvl="0" w:tplc="8B20D74C">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143E4"/>
    <w:multiLevelType w:val="hybridMultilevel"/>
    <w:tmpl w:val="71F89226"/>
    <w:lvl w:ilvl="0" w:tplc="06D0B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616D5"/>
    <w:multiLevelType w:val="hybridMultilevel"/>
    <w:tmpl w:val="20AE2806"/>
    <w:lvl w:ilvl="0" w:tplc="0D840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613B3"/>
    <w:multiLevelType w:val="hybridMultilevel"/>
    <w:tmpl w:val="970AEF4E"/>
    <w:lvl w:ilvl="0" w:tplc="A19208D8">
      <w:start w:val="1"/>
      <w:numFmt w:val="lowerRoman"/>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1020C4"/>
    <w:multiLevelType w:val="hybridMultilevel"/>
    <w:tmpl w:val="7C786AEE"/>
    <w:lvl w:ilvl="0" w:tplc="0578104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E49E7"/>
    <w:multiLevelType w:val="hybridMultilevel"/>
    <w:tmpl w:val="41769BD8"/>
    <w:lvl w:ilvl="0" w:tplc="0578104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AB79CF"/>
    <w:multiLevelType w:val="hybridMultilevel"/>
    <w:tmpl w:val="AC26E0FA"/>
    <w:lvl w:ilvl="0" w:tplc="8C0EA1A0">
      <w:start w:val="1"/>
      <w:numFmt w:val="decimal"/>
      <w:lvlText w:val="%1"/>
      <w:lvlJc w:val="left"/>
      <w:pPr>
        <w:ind w:left="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0E2AE8">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B0C2D4">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00A6EE">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486484">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BC44B8">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72941A">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AAB7A6">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4AFACC">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41C614D7"/>
    <w:multiLevelType w:val="hybridMultilevel"/>
    <w:tmpl w:val="8E1EBFF4"/>
    <w:lvl w:ilvl="0" w:tplc="CD2EF72A">
      <w:start w:val="1"/>
      <w:numFmt w:val="decimal"/>
      <w:lvlText w:val="%1."/>
      <w:lvlJc w:val="left"/>
      <w:pPr>
        <w:ind w:left="720" w:hanging="360"/>
      </w:pPr>
      <w:rPr>
        <w:rFonts w:hint="default"/>
      </w:rPr>
    </w:lvl>
    <w:lvl w:ilvl="1" w:tplc="D13203A2" w:tentative="1">
      <w:start w:val="1"/>
      <w:numFmt w:val="lowerLetter"/>
      <w:lvlText w:val="%2."/>
      <w:lvlJc w:val="left"/>
      <w:pPr>
        <w:ind w:left="1440" w:hanging="360"/>
      </w:pPr>
    </w:lvl>
    <w:lvl w:ilvl="2" w:tplc="C11E4BF6" w:tentative="1">
      <w:start w:val="1"/>
      <w:numFmt w:val="lowerRoman"/>
      <w:lvlText w:val="%3."/>
      <w:lvlJc w:val="right"/>
      <w:pPr>
        <w:ind w:left="2160" w:hanging="180"/>
      </w:pPr>
    </w:lvl>
    <w:lvl w:ilvl="3" w:tplc="7A00D8B0" w:tentative="1">
      <w:start w:val="1"/>
      <w:numFmt w:val="decimal"/>
      <w:lvlText w:val="%4."/>
      <w:lvlJc w:val="left"/>
      <w:pPr>
        <w:ind w:left="2880" w:hanging="360"/>
      </w:pPr>
    </w:lvl>
    <w:lvl w:ilvl="4" w:tplc="6EFA0F82" w:tentative="1">
      <w:start w:val="1"/>
      <w:numFmt w:val="lowerLetter"/>
      <w:lvlText w:val="%5."/>
      <w:lvlJc w:val="left"/>
      <w:pPr>
        <w:ind w:left="3600" w:hanging="360"/>
      </w:pPr>
    </w:lvl>
    <w:lvl w:ilvl="5" w:tplc="5F70C8B0" w:tentative="1">
      <w:start w:val="1"/>
      <w:numFmt w:val="lowerRoman"/>
      <w:lvlText w:val="%6."/>
      <w:lvlJc w:val="right"/>
      <w:pPr>
        <w:ind w:left="4320" w:hanging="180"/>
      </w:pPr>
    </w:lvl>
    <w:lvl w:ilvl="6" w:tplc="8BB2D1A4" w:tentative="1">
      <w:start w:val="1"/>
      <w:numFmt w:val="decimal"/>
      <w:lvlText w:val="%7."/>
      <w:lvlJc w:val="left"/>
      <w:pPr>
        <w:ind w:left="5040" w:hanging="360"/>
      </w:pPr>
    </w:lvl>
    <w:lvl w:ilvl="7" w:tplc="1C880250" w:tentative="1">
      <w:start w:val="1"/>
      <w:numFmt w:val="lowerLetter"/>
      <w:lvlText w:val="%8."/>
      <w:lvlJc w:val="left"/>
      <w:pPr>
        <w:ind w:left="5760" w:hanging="360"/>
      </w:pPr>
    </w:lvl>
    <w:lvl w:ilvl="8" w:tplc="288CDF5C" w:tentative="1">
      <w:start w:val="1"/>
      <w:numFmt w:val="lowerRoman"/>
      <w:lvlText w:val="%9."/>
      <w:lvlJc w:val="right"/>
      <w:pPr>
        <w:ind w:left="6480" w:hanging="180"/>
      </w:pPr>
    </w:lvl>
  </w:abstractNum>
  <w:abstractNum w:abstractNumId="10">
    <w:nsid w:val="493A76B5"/>
    <w:multiLevelType w:val="hybridMultilevel"/>
    <w:tmpl w:val="944806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D99193D"/>
    <w:multiLevelType w:val="hybridMultilevel"/>
    <w:tmpl w:val="19D2CF80"/>
    <w:lvl w:ilvl="0" w:tplc="AA4484E8">
      <w:start w:val="1"/>
      <w:numFmt w:val="decimal"/>
      <w:lvlText w:val="[%1]"/>
      <w:lvlJc w:val="left"/>
      <w:pPr>
        <w:ind w:left="644" w:hanging="360"/>
      </w:pPr>
      <w:rPr>
        <w:rFonts w:ascii="Arial" w:hAnsi="Arial" w:cs="Arial"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EC0726"/>
    <w:multiLevelType w:val="hybridMultilevel"/>
    <w:tmpl w:val="7C786AEE"/>
    <w:lvl w:ilvl="0" w:tplc="0578104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7F5C19"/>
    <w:multiLevelType w:val="hybridMultilevel"/>
    <w:tmpl w:val="BA2A87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FD2990"/>
    <w:multiLevelType w:val="hybridMultilevel"/>
    <w:tmpl w:val="8C982A16"/>
    <w:lvl w:ilvl="0" w:tplc="46E40A24">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nsid w:val="6C72316E"/>
    <w:multiLevelType w:val="hybridMultilevel"/>
    <w:tmpl w:val="29EC9C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9BE4AB4"/>
    <w:multiLevelType w:val="hybridMultilevel"/>
    <w:tmpl w:val="41769BD8"/>
    <w:lvl w:ilvl="0" w:tplc="0578104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0"/>
  </w:num>
  <w:num w:numId="3">
    <w:abstractNumId w:val="15"/>
  </w:num>
  <w:num w:numId="4">
    <w:abstractNumId w:val="14"/>
  </w:num>
  <w:num w:numId="5">
    <w:abstractNumId w:val="11"/>
  </w:num>
  <w:num w:numId="6">
    <w:abstractNumId w:val="3"/>
  </w:num>
  <w:num w:numId="7">
    <w:abstractNumId w:val="9"/>
  </w:num>
  <w:num w:numId="8">
    <w:abstractNumId w:val="2"/>
  </w:num>
  <w:num w:numId="9">
    <w:abstractNumId w:val="13"/>
  </w:num>
  <w:num w:numId="10">
    <w:abstractNumId w:val="4"/>
  </w:num>
  <w:num w:numId="11">
    <w:abstractNumId w:val="5"/>
  </w:num>
  <w:num w:numId="12">
    <w:abstractNumId w:val="6"/>
  </w:num>
  <w:num w:numId="13">
    <w:abstractNumId w:val="7"/>
  </w:num>
  <w:num w:numId="14">
    <w:abstractNumId w:val="16"/>
  </w:num>
  <w:num w:numId="15">
    <w:abstractNumId w:val="1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03"/>
    <w:rsid w:val="00006896"/>
    <w:rsid w:val="000178BC"/>
    <w:rsid w:val="00030D6E"/>
    <w:rsid w:val="00035741"/>
    <w:rsid w:val="00057AE5"/>
    <w:rsid w:val="0006461F"/>
    <w:rsid w:val="000674A4"/>
    <w:rsid w:val="00086DAE"/>
    <w:rsid w:val="000919CD"/>
    <w:rsid w:val="00095666"/>
    <w:rsid w:val="000B73F0"/>
    <w:rsid w:val="000D3A3A"/>
    <w:rsid w:val="00100C85"/>
    <w:rsid w:val="00101DDE"/>
    <w:rsid w:val="00113612"/>
    <w:rsid w:val="00114AA4"/>
    <w:rsid w:val="00117433"/>
    <w:rsid w:val="001409B4"/>
    <w:rsid w:val="001843C6"/>
    <w:rsid w:val="001972E7"/>
    <w:rsid w:val="00197E88"/>
    <w:rsid w:val="001B14FB"/>
    <w:rsid w:val="001B4F27"/>
    <w:rsid w:val="001B7128"/>
    <w:rsid w:val="001C719A"/>
    <w:rsid w:val="001D14F3"/>
    <w:rsid w:val="001D62E4"/>
    <w:rsid w:val="001F144F"/>
    <w:rsid w:val="001F6864"/>
    <w:rsid w:val="00217947"/>
    <w:rsid w:val="00220427"/>
    <w:rsid w:val="00241D10"/>
    <w:rsid w:val="00243486"/>
    <w:rsid w:val="0024699D"/>
    <w:rsid w:val="00264E19"/>
    <w:rsid w:val="00270268"/>
    <w:rsid w:val="002A0229"/>
    <w:rsid w:val="002A1322"/>
    <w:rsid w:val="002A4CE0"/>
    <w:rsid w:val="002B251E"/>
    <w:rsid w:val="002C593A"/>
    <w:rsid w:val="002D7CC3"/>
    <w:rsid w:val="0030602F"/>
    <w:rsid w:val="00314E1B"/>
    <w:rsid w:val="003228BC"/>
    <w:rsid w:val="0034549E"/>
    <w:rsid w:val="003504E6"/>
    <w:rsid w:val="003577A2"/>
    <w:rsid w:val="0038155C"/>
    <w:rsid w:val="0039670B"/>
    <w:rsid w:val="003A19E3"/>
    <w:rsid w:val="003A5F05"/>
    <w:rsid w:val="003C243A"/>
    <w:rsid w:val="003F3056"/>
    <w:rsid w:val="00401523"/>
    <w:rsid w:val="004078B5"/>
    <w:rsid w:val="00410AEB"/>
    <w:rsid w:val="0043178F"/>
    <w:rsid w:val="00447A18"/>
    <w:rsid w:val="00454A71"/>
    <w:rsid w:val="004559F2"/>
    <w:rsid w:val="0045784B"/>
    <w:rsid w:val="00470140"/>
    <w:rsid w:val="00477E1C"/>
    <w:rsid w:val="00480AFC"/>
    <w:rsid w:val="00481D35"/>
    <w:rsid w:val="00495F49"/>
    <w:rsid w:val="004A0C03"/>
    <w:rsid w:val="004B5044"/>
    <w:rsid w:val="004B70FF"/>
    <w:rsid w:val="004B7B3A"/>
    <w:rsid w:val="004C6E1C"/>
    <w:rsid w:val="004F13C5"/>
    <w:rsid w:val="004F17C4"/>
    <w:rsid w:val="00514C69"/>
    <w:rsid w:val="00517D3E"/>
    <w:rsid w:val="00551D22"/>
    <w:rsid w:val="005921EE"/>
    <w:rsid w:val="005E1012"/>
    <w:rsid w:val="005E7903"/>
    <w:rsid w:val="006011DA"/>
    <w:rsid w:val="00603DBB"/>
    <w:rsid w:val="00610324"/>
    <w:rsid w:val="006211DA"/>
    <w:rsid w:val="00621679"/>
    <w:rsid w:val="00630536"/>
    <w:rsid w:val="00632FA3"/>
    <w:rsid w:val="00662F27"/>
    <w:rsid w:val="00670387"/>
    <w:rsid w:val="00674CBC"/>
    <w:rsid w:val="006838F0"/>
    <w:rsid w:val="00693104"/>
    <w:rsid w:val="006C198C"/>
    <w:rsid w:val="006C1D37"/>
    <w:rsid w:val="006C2834"/>
    <w:rsid w:val="006C4081"/>
    <w:rsid w:val="006C4D21"/>
    <w:rsid w:val="006C5019"/>
    <w:rsid w:val="006C6DCA"/>
    <w:rsid w:val="006D53DA"/>
    <w:rsid w:val="006E03F7"/>
    <w:rsid w:val="006E2E48"/>
    <w:rsid w:val="006E5FCF"/>
    <w:rsid w:val="006F64E1"/>
    <w:rsid w:val="00706A00"/>
    <w:rsid w:val="00711633"/>
    <w:rsid w:val="0071598B"/>
    <w:rsid w:val="00723FB0"/>
    <w:rsid w:val="007260DF"/>
    <w:rsid w:val="0073093A"/>
    <w:rsid w:val="007627AB"/>
    <w:rsid w:val="007942D6"/>
    <w:rsid w:val="007F0BCA"/>
    <w:rsid w:val="007F2388"/>
    <w:rsid w:val="00802141"/>
    <w:rsid w:val="00802FE3"/>
    <w:rsid w:val="0080317A"/>
    <w:rsid w:val="00805DB8"/>
    <w:rsid w:val="008175CD"/>
    <w:rsid w:val="00860B2A"/>
    <w:rsid w:val="00866F5A"/>
    <w:rsid w:val="0088457A"/>
    <w:rsid w:val="008A1CD8"/>
    <w:rsid w:val="008B2884"/>
    <w:rsid w:val="008E798F"/>
    <w:rsid w:val="008F4A7D"/>
    <w:rsid w:val="009208EB"/>
    <w:rsid w:val="00922FB6"/>
    <w:rsid w:val="00924EB4"/>
    <w:rsid w:val="009331F4"/>
    <w:rsid w:val="00933218"/>
    <w:rsid w:val="00957BB1"/>
    <w:rsid w:val="00963841"/>
    <w:rsid w:val="00964D9C"/>
    <w:rsid w:val="00973D86"/>
    <w:rsid w:val="00974808"/>
    <w:rsid w:val="00984574"/>
    <w:rsid w:val="009A48EC"/>
    <w:rsid w:val="009A4CA0"/>
    <w:rsid w:val="009B271A"/>
    <w:rsid w:val="009B37B8"/>
    <w:rsid w:val="009C2A84"/>
    <w:rsid w:val="009C7D1D"/>
    <w:rsid w:val="009D7178"/>
    <w:rsid w:val="009F28AF"/>
    <w:rsid w:val="009F2F99"/>
    <w:rsid w:val="009F4B47"/>
    <w:rsid w:val="009F631F"/>
    <w:rsid w:val="00A574C6"/>
    <w:rsid w:val="00A717E9"/>
    <w:rsid w:val="00A73BE8"/>
    <w:rsid w:val="00A75405"/>
    <w:rsid w:val="00A90577"/>
    <w:rsid w:val="00AA1E27"/>
    <w:rsid w:val="00AA4104"/>
    <w:rsid w:val="00AB5499"/>
    <w:rsid w:val="00AC4A91"/>
    <w:rsid w:val="00AC7080"/>
    <w:rsid w:val="00AC7A68"/>
    <w:rsid w:val="00AD6853"/>
    <w:rsid w:val="00AE0261"/>
    <w:rsid w:val="00B22EF9"/>
    <w:rsid w:val="00B44FA6"/>
    <w:rsid w:val="00B4541A"/>
    <w:rsid w:val="00B63E8B"/>
    <w:rsid w:val="00B64103"/>
    <w:rsid w:val="00B74CBA"/>
    <w:rsid w:val="00B80307"/>
    <w:rsid w:val="00B80BE4"/>
    <w:rsid w:val="00B863EE"/>
    <w:rsid w:val="00B93851"/>
    <w:rsid w:val="00BA1360"/>
    <w:rsid w:val="00BB33AD"/>
    <w:rsid w:val="00BE2A6C"/>
    <w:rsid w:val="00C01D79"/>
    <w:rsid w:val="00C103A7"/>
    <w:rsid w:val="00C244F3"/>
    <w:rsid w:val="00C26D62"/>
    <w:rsid w:val="00C36A09"/>
    <w:rsid w:val="00C43676"/>
    <w:rsid w:val="00C449FF"/>
    <w:rsid w:val="00C473ED"/>
    <w:rsid w:val="00C47E45"/>
    <w:rsid w:val="00C5691A"/>
    <w:rsid w:val="00C66D3C"/>
    <w:rsid w:val="00C74A2D"/>
    <w:rsid w:val="00C84A43"/>
    <w:rsid w:val="00CC278E"/>
    <w:rsid w:val="00CC3F77"/>
    <w:rsid w:val="00CD0FAB"/>
    <w:rsid w:val="00CD1DB4"/>
    <w:rsid w:val="00CD4EC3"/>
    <w:rsid w:val="00CF0DDC"/>
    <w:rsid w:val="00CF202B"/>
    <w:rsid w:val="00CF6943"/>
    <w:rsid w:val="00D00A12"/>
    <w:rsid w:val="00D34761"/>
    <w:rsid w:val="00D71D1E"/>
    <w:rsid w:val="00D84154"/>
    <w:rsid w:val="00D94726"/>
    <w:rsid w:val="00D962C3"/>
    <w:rsid w:val="00DA4CFB"/>
    <w:rsid w:val="00DA5396"/>
    <w:rsid w:val="00DB689E"/>
    <w:rsid w:val="00DD3692"/>
    <w:rsid w:val="00DD6A6B"/>
    <w:rsid w:val="00DF681B"/>
    <w:rsid w:val="00E1367E"/>
    <w:rsid w:val="00E265CC"/>
    <w:rsid w:val="00E849C8"/>
    <w:rsid w:val="00EB542D"/>
    <w:rsid w:val="00EB6B96"/>
    <w:rsid w:val="00EC6365"/>
    <w:rsid w:val="00EC7BF9"/>
    <w:rsid w:val="00EE3E3C"/>
    <w:rsid w:val="00EF220E"/>
    <w:rsid w:val="00EF4579"/>
    <w:rsid w:val="00EF62AC"/>
    <w:rsid w:val="00F0079A"/>
    <w:rsid w:val="00F030B4"/>
    <w:rsid w:val="00F43AEE"/>
    <w:rsid w:val="00F43E35"/>
    <w:rsid w:val="00F44743"/>
    <w:rsid w:val="00F53667"/>
    <w:rsid w:val="00F56C9C"/>
    <w:rsid w:val="00F63B4F"/>
    <w:rsid w:val="00F770E3"/>
    <w:rsid w:val="00F77192"/>
    <w:rsid w:val="00F81928"/>
    <w:rsid w:val="00F82003"/>
    <w:rsid w:val="00F97EEF"/>
    <w:rsid w:val="00FA4D51"/>
    <w:rsid w:val="00FA5350"/>
    <w:rsid w:val="00FB2188"/>
    <w:rsid w:val="00FC082B"/>
    <w:rsid w:val="00FC2716"/>
    <w:rsid w:val="00FD162E"/>
    <w:rsid w:val="00FE0ED5"/>
    <w:rsid w:val="00FE30FA"/>
    <w:rsid w:val="00FE3448"/>
    <w:rsid w:val="00FF2E9D"/>
    <w:rsid w:val="00FF3D9D"/>
    <w:rsid w:val="00FF50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7A8ED"/>
  <w15:chartTrackingRefBased/>
  <w15:docId w15:val="{C67CC75E-7E86-471E-B76E-1DCB3D3A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104"/>
    <w:pPr>
      <w:spacing w:after="308" w:line="280" w:lineRule="auto"/>
      <w:ind w:left="10" w:hanging="10"/>
      <w:jc w:val="both"/>
    </w:pPr>
    <w:rPr>
      <w:rFonts w:ascii="Arial" w:eastAsia="Arial" w:hAnsi="Arial" w:cs="Arial"/>
      <w:color w:val="000000"/>
      <w:sz w:val="24"/>
      <w:lang w:eastAsia="en-ZA"/>
    </w:rPr>
  </w:style>
  <w:style w:type="paragraph" w:styleId="Heading1">
    <w:name w:val="heading 1"/>
    <w:basedOn w:val="Normal"/>
    <w:next w:val="Normal"/>
    <w:link w:val="Heading1Char"/>
    <w:uiPriority w:val="9"/>
    <w:qFormat/>
    <w:rsid w:val="00C66D3C"/>
    <w:pPr>
      <w:keepNext/>
      <w:spacing w:after="0" w:line="360" w:lineRule="auto"/>
      <w:ind w:left="0" w:firstLine="0"/>
      <w:outlineLvl w:val="0"/>
    </w:pPr>
    <w:rPr>
      <w:i/>
    </w:rPr>
  </w:style>
  <w:style w:type="paragraph" w:styleId="Heading2">
    <w:name w:val="heading 2"/>
    <w:basedOn w:val="Normal"/>
    <w:next w:val="Normal"/>
    <w:link w:val="Heading2Char"/>
    <w:uiPriority w:val="9"/>
    <w:unhideWhenUsed/>
    <w:qFormat/>
    <w:rsid w:val="009F631F"/>
    <w:pPr>
      <w:keepNext/>
      <w:spacing w:line="360" w:lineRule="auto"/>
      <w:outlineLvl w:val="1"/>
    </w:pPr>
    <w:rPr>
      <w:i/>
    </w:rPr>
  </w:style>
  <w:style w:type="paragraph" w:styleId="Heading3">
    <w:name w:val="heading 3"/>
    <w:basedOn w:val="Normal"/>
    <w:next w:val="Normal"/>
    <w:link w:val="Heading3Char"/>
    <w:uiPriority w:val="9"/>
    <w:unhideWhenUsed/>
    <w:qFormat/>
    <w:rsid w:val="00CD1DB4"/>
    <w:pPr>
      <w:keepNext/>
      <w:spacing w:line="360" w:lineRule="auto"/>
      <w:outlineLvl w:val="2"/>
    </w:pPr>
    <w:rPr>
      <w:szCs w:val="24"/>
      <w:u w:val="single"/>
    </w:rPr>
  </w:style>
  <w:style w:type="paragraph" w:styleId="Heading4">
    <w:name w:val="heading 4"/>
    <w:basedOn w:val="Normal"/>
    <w:next w:val="Normal"/>
    <w:link w:val="Heading4Char"/>
    <w:uiPriority w:val="9"/>
    <w:unhideWhenUsed/>
    <w:qFormat/>
    <w:rsid w:val="00AE0261"/>
    <w:pPr>
      <w:keepNext/>
      <w:spacing w:after="0" w:line="360" w:lineRule="auto"/>
      <w:ind w:left="0" w:firstLine="0"/>
      <w:outlineLvl w:val="3"/>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43C6"/>
    <w:pPr>
      <w:ind w:left="720"/>
      <w:contextualSpacing/>
    </w:pPr>
  </w:style>
  <w:style w:type="character" w:customStyle="1" w:styleId="ListParagraphChar">
    <w:name w:val="List Paragraph Char"/>
    <w:link w:val="ListParagraph"/>
    <w:uiPriority w:val="34"/>
    <w:locked/>
    <w:rsid w:val="00D94726"/>
    <w:rPr>
      <w:rFonts w:ascii="Arial" w:eastAsia="Arial" w:hAnsi="Arial" w:cs="Arial"/>
      <w:color w:val="000000"/>
      <w:sz w:val="24"/>
      <w:lang w:eastAsia="en-ZA"/>
    </w:rPr>
  </w:style>
  <w:style w:type="character" w:customStyle="1" w:styleId="Heading1Char">
    <w:name w:val="Heading 1 Char"/>
    <w:basedOn w:val="DefaultParagraphFont"/>
    <w:link w:val="Heading1"/>
    <w:uiPriority w:val="9"/>
    <w:rsid w:val="00C66D3C"/>
    <w:rPr>
      <w:rFonts w:ascii="Arial" w:eastAsia="Arial" w:hAnsi="Arial" w:cs="Arial"/>
      <w:i/>
      <w:color w:val="000000"/>
      <w:sz w:val="24"/>
      <w:lang w:eastAsia="en-ZA"/>
    </w:rPr>
  </w:style>
  <w:style w:type="paragraph" w:styleId="BodyTextIndent">
    <w:name w:val="Body Text Indent"/>
    <w:basedOn w:val="Normal"/>
    <w:link w:val="BodyTextIndentChar"/>
    <w:uiPriority w:val="99"/>
    <w:unhideWhenUsed/>
    <w:rsid w:val="00C66D3C"/>
    <w:pPr>
      <w:spacing w:line="360" w:lineRule="auto"/>
    </w:pPr>
  </w:style>
  <w:style w:type="character" w:customStyle="1" w:styleId="BodyTextIndentChar">
    <w:name w:val="Body Text Indent Char"/>
    <w:basedOn w:val="DefaultParagraphFont"/>
    <w:link w:val="BodyTextIndent"/>
    <w:uiPriority w:val="99"/>
    <w:rsid w:val="00C66D3C"/>
    <w:rPr>
      <w:rFonts w:ascii="Arial" w:eastAsia="Arial" w:hAnsi="Arial" w:cs="Arial"/>
      <w:color w:val="000000"/>
      <w:sz w:val="24"/>
      <w:lang w:eastAsia="en-ZA"/>
    </w:rPr>
  </w:style>
  <w:style w:type="character" w:customStyle="1" w:styleId="Heading2Char">
    <w:name w:val="Heading 2 Char"/>
    <w:basedOn w:val="DefaultParagraphFont"/>
    <w:link w:val="Heading2"/>
    <w:uiPriority w:val="9"/>
    <w:rsid w:val="009F631F"/>
    <w:rPr>
      <w:rFonts w:ascii="Arial" w:eastAsia="Arial" w:hAnsi="Arial" w:cs="Arial"/>
      <w:i/>
      <w:color w:val="000000"/>
      <w:sz w:val="24"/>
      <w:lang w:eastAsia="en-ZA"/>
    </w:rPr>
  </w:style>
  <w:style w:type="paragraph" w:styleId="BodyText">
    <w:name w:val="Body Text"/>
    <w:basedOn w:val="Normal"/>
    <w:link w:val="BodyTextChar"/>
    <w:uiPriority w:val="99"/>
    <w:unhideWhenUsed/>
    <w:rsid w:val="007F2388"/>
    <w:pPr>
      <w:spacing w:after="0" w:line="360" w:lineRule="auto"/>
      <w:ind w:left="0" w:firstLine="0"/>
    </w:pPr>
  </w:style>
  <w:style w:type="character" w:customStyle="1" w:styleId="BodyTextChar">
    <w:name w:val="Body Text Char"/>
    <w:basedOn w:val="DefaultParagraphFont"/>
    <w:link w:val="BodyText"/>
    <w:uiPriority w:val="99"/>
    <w:rsid w:val="007F2388"/>
    <w:rPr>
      <w:rFonts w:ascii="Arial" w:eastAsia="Arial" w:hAnsi="Arial" w:cs="Arial"/>
      <w:color w:val="000000"/>
      <w:sz w:val="24"/>
      <w:lang w:eastAsia="en-ZA"/>
    </w:rPr>
  </w:style>
  <w:style w:type="paragraph" w:styleId="BodyTextIndent2">
    <w:name w:val="Body Text Indent 2"/>
    <w:basedOn w:val="Normal"/>
    <w:link w:val="BodyTextIndent2Char"/>
    <w:uiPriority w:val="99"/>
    <w:unhideWhenUsed/>
    <w:rsid w:val="007F2388"/>
    <w:pPr>
      <w:spacing w:line="360" w:lineRule="auto"/>
      <w:ind w:left="720" w:firstLine="0"/>
    </w:pPr>
    <w:rPr>
      <w:sz w:val="22"/>
      <w:shd w:val="clear" w:color="auto" w:fill="FFFFFF"/>
    </w:rPr>
  </w:style>
  <w:style w:type="character" w:customStyle="1" w:styleId="BodyTextIndent2Char">
    <w:name w:val="Body Text Indent 2 Char"/>
    <w:basedOn w:val="DefaultParagraphFont"/>
    <w:link w:val="BodyTextIndent2"/>
    <w:uiPriority w:val="99"/>
    <w:rsid w:val="007F2388"/>
    <w:rPr>
      <w:rFonts w:ascii="Arial" w:eastAsia="Arial" w:hAnsi="Arial" w:cs="Arial"/>
      <w:color w:val="000000"/>
      <w:lang w:eastAsia="en-ZA"/>
    </w:rPr>
  </w:style>
  <w:style w:type="paragraph" w:styleId="FootnoteText">
    <w:name w:val="footnote text"/>
    <w:basedOn w:val="Normal"/>
    <w:link w:val="FootnoteTextChar"/>
    <w:uiPriority w:val="99"/>
    <w:semiHidden/>
    <w:unhideWhenUsed/>
    <w:rsid w:val="007F23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2388"/>
    <w:rPr>
      <w:rFonts w:ascii="Arial" w:eastAsia="Arial" w:hAnsi="Arial" w:cs="Arial"/>
      <w:color w:val="000000"/>
      <w:sz w:val="20"/>
      <w:szCs w:val="20"/>
      <w:lang w:eastAsia="en-ZA"/>
    </w:rPr>
  </w:style>
  <w:style w:type="character" w:styleId="FootnoteReference">
    <w:name w:val="footnote reference"/>
    <w:basedOn w:val="DefaultParagraphFont"/>
    <w:uiPriority w:val="99"/>
    <w:semiHidden/>
    <w:unhideWhenUsed/>
    <w:rsid w:val="007F2388"/>
    <w:rPr>
      <w:vertAlign w:val="superscript"/>
    </w:rPr>
  </w:style>
  <w:style w:type="paragraph" w:styleId="BodyTextIndent3">
    <w:name w:val="Body Text Indent 3"/>
    <w:basedOn w:val="Normal"/>
    <w:link w:val="BodyTextIndent3Char"/>
    <w:uiPriority w:val="99"/>
    <w:unhideWhenUsed/>
    <w:rsid w:val="00AB5499"/>
    <w:pPr>
      <w:spacing w:after="0" w:line="360" w:lineRule="auto"/>
    </w:pPr>
    <w:rPr>
      <w:sz w:val="22"/>
    </w:rPr>
  </w:style>
  <w:style w:type="character" w:customStyle="1" w:styleId="BodyTextIndent3Char">
    <w:name w:val="Body Text Indent 3 Char"/>
    <w:basedOn w:val="DefaultParagraphFont"/>
    <w:link w:val="BodyTextIndent3"/>
    <w:uiPriority w:val="99"/>
    <w:rsid w:val="00AB5499"/>
    <w:rPr>
      <w:rFonts w:ascii="Arial" w:eastAsia="Arial" w:hAnsi="Arial" w:cs="Arial"/>
      <w:color w:val="000000"/>
      <w:lang w:eastAsia="en-ZA"/>
    </w:rPr>
  </w:style>
  <w:style w:type="paragraph" w:customStyle="1" w:styleId="western">
    <w:name w:val="western"/>
    <w:basedOn w:val="Normal"/>
    <w:rsid w:val="001B4F27"/>
    <w:pPr>
      <w:spacing w:before="100" w:beforeAutospacing="1" w:after="100" w:afterAutospacing="1" w:line="240" w:lineRule="auto"/>
      <w:ind w:left="0" w:firstLine="0"/>
      <w:jc w:val="left"/>
    </w:pPr>
    <w:rPr>
      <w:rFonts w:ascii="Times New Roman" w:eastAsia="Times New Roman" w:hAnsi="Times New Roman" w:cs="Times New Roman"/>
      <w:color w:val="auto"/>
      <w:kern w:val="0"/>
      <w:szCs w:val="24"/>
      <w:lang w:val="en-US" w:eastAsia="en-US"/>
      <w14:ligatures w14:val="none"/>
    </w:rPr>
  </w:style>
  <w:style w:type="character" w:styleId="Hyperlink">
    <w:name w:val="Hyperlink"/>
    <w:basedOn w:val="DefaultParagraphFont"/>
    <w:uiPriority w:val="99"/>
    <w:semiHidden/>
    <w:unhideWhenUsed/>
    <w:rsid w:val="001B4F27"/>
    <w:rPr>
      <w:color w:val="0000FF"/>
      <w:u w:val="single"/>
    </w:rPr>
  </w:style>
  <w:style w:type="paragraph" w:styleId="Header">
    <w:name w:val="header"/>
    <w:basedOn w:val="Normal"/>
    <w:link w:val="HeaderChar"/>
    <w:uiPriority w:val="99"/>
    <w:unhideWhenUsed/>
    <w:rsid w:val="00D96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2C3"/>
    <w:rPr>
      <w:rFonts w:ascii="Arial" w:eastAsia="Arial" w:hAnsi="Arial" w:cs="Arial"/>
      <w:color w:val="000000"/>
      <w:sz w:val="24"/>
      <w:lang w:eastAsia="en-ZA"/>
    </w:rPr>
  </w:style>
  <w:style w:type="paragraph" w:styleId="Footer">
    <w:name w:val="footer"/>
    <w:basedOn w:val="Normal"/>
    <w:link w:val="FooterChar"/>
    <w:uiPriority w:val="99"/>
    <w:unhideWhenUsed/>
    <w:rsid w:val="00D96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2C3"/>
    <w:rPr>
      <w:rFonts w:ascii="Arial" w:eastAsia="Arial" w:hAnsi="Arial" w:cs="Arial"/>
      <w:color w:val="000000"/>
      <w:sz w:val="24"/>
      <w:lang w:eastAsia="en-ZA"/>
    </w:rPr>
  </w:style>
  <w:style w:type="character" w:customStyle="1" w:styleId="Heading3Char">
    <w:name w:val="Heading 3 Char"/>
    <w:basedOn w:val="DefaultParagraphFont"/>
    <w:link w:val="Heading3"/>
    <w:uiPriority w:val="9"/>
    <w:rsid w:val="00CD1DB4"/>
    <w:rPr>
      <w:rFonts w:ascii="Arial" w:eastAsia="Arial" w:hAnsi="Arial" w:cs="Arial"/>
      <w:color w:val="000000"/>
      <w:sz w:val="24"/>
      <w:szCs w:val="24"/>
      <w:u w:val="single"/>
      <w:lang w:eastAsia="en-ZA"/>
    </w:rPr>
  </w:style>
  <w:style w:type="paragraph" w:styleId="BodyText2">
    <w:name w:val="Body Text 2"/>
    <w:basedOn w:val="Normal"/>
    <w:link w:val="BodyText2Char"/>
    <w:uiPriority w:val="99"/>
    <w:unhideWhenUsed/>
    <w:rsid w:val="000B73F0"/>
    <w:pPr>
      <w:spacing w:after="0" w:line="360" w:lineRule="auto"/>
      <w:ind w:left="0" w:firstLine="0"/>
    </w:pPr>
    <w:rPr>
      <w:sz w:val="22"/>
      <w:shd w:val="clear" w:color="auto" w:fill="FFFFFF"/>
    </w:rPr>
  </w:style>
  <w:style w:type="character" w:customStyle="1" w:styleId="BodyText2Char">
    <w:name w:val="Body Text 2 Char"/>
    <w:basedOn w:val="DefaultParagraphFont"/>
    <w:link w:val="BodyText2"/>
    <w:uiPriority w:val="99"/>
    <w:rsid w:val="000B73F0"/>
    <w:rPr>
      <w:rFonts w:ascii="Arial" w:eastAsia="Arial" w:hAnsi="Arial" w:cs="Arial"/>
      <w:color w:val="000000"/>
      <w:lang w:eastAsia="en-ZA"/>
    </w:rPr>
  </w:style>
  <w:style w:type="paragraph" w:styleId="BalloonText">
    <w:name w:val="Balloon Text"/>
    <w:basedOn w:val="Normal"/>
    <w:link w:val="BalloonTextChar"/>
    <w:uiPriority w:val="99"/>
    <w:semiHidden/>
    <w:unhideWhenUsed/>
    <w:rsid w:val="003C2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43A"/>
    <w:rPr>
      <w:rFonts w:ascii="Segoe UI" w:eastAsia="Arial" w:hAnsi="Segoe UI" w:cs="Segoe UI"/>
      <w:color w:val="000000"/>
      <w:sz w:val="18"/>
      <w:szCs w:val="18"/>
      <w:lang w:eastAsia="en-ZA"/>
    </w:rPr>
  </w:style>
  <w:style w:type="character" w:customStyle="1" w:styleId="Heading4Char">
    <w:name w:val="Heading 4 Char"/>
    <w:basedOn w:val="DefaultParagraphFont"/>
    <w:link w:val="Heading4"/>
    <w:uiPriority w:val="9"/>
    <w:rsid w:val="00AE0261"/>
    <w:rPr>
      <w:rFonts w:ascii="Arial" w:eastAsia="Arial" w:hAnsi="Arial" w:cs="Arial"/>
      <w:color w:val="000000"/>
      <w:sz w:val="24"/>
      <w:szCs w:val="24"/>
      <w:u w:val="single"/>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79392">
      <w:bodyDiv w:val="1"/>
      <w:marLeft w:val="0"/>
      <w:marRight w:val="0"/>
      <w:marTop w:val="0"/>
      <w:marBottom w:val="0"/>
      <w:divBdr>
        <w:top w:val="none" w:sz="0" w:space="0" w:color="auto"/>
        <w:left w:val="none" w:sz="0" w:space="0" w:color="auto"/>
        <w:bottom w:val="none" w:sz="0" w:space="0" w:color="auto"/>
        <w:right w:val="none" w:sz="0" w:space="0" w:color="auto"/>
      </w:divBdr>
    </w:div>
    <w:div w:id="106301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2023-10-09T18:30:00+00:00</Judgment_x0020_Date>
    <Year xmlns="c1afb1bd-f2fb-40fd-9abb-aea55b4d7662">2023</Year>
  </documentManagement>
</p:properties>
</file>

<file path=customXml/itemProps1.xml><?xml version="1.0" encoding="utf-8"?>
<ds:datastoreItem xmlns:ds="http://schemas.openxmlformats.org/officeDocument/2006/customXml" ds:itemID="{04617865-0BEB-4A2E-95F9-4567CFE96AA1}"/>
</file>

<file path=customXml/itemProps2.xml><?xml version="1.0" encoding="utf-8"?>
<ds:datastoreItem xmlns:ds="http://schemas.openxmlformats.org/officeDocument/2006/customXml" ds:itemID="{64B1F8A9-9AD6-4E31-AF88-75A7FCCBF755}"/>
</file>

<file path=customXml/itemProps3.xml><?xml version="1.0" encoding="utf-8"?>
<ds:datastoreItem xmlns:ds="http://schemas.openxmlformats.org/officeDocument/2006/customXml" ds:itemID="{516C288A-B103-447A-B149-F5707EC31DFA}"/>
</file>

<file path=customXml/itemProps4.xml><?xml version="1.0" encoding="utf-8"?>
<ds:datastoreItem xmlns:ds="http://schemas.openxmlformats.org/officeDocument/2006/customXml" ds:itemID="{0182C9E0-B72E-47D7-9071-7B0A76721328}"/>
</file>

<file path=docProps/app.xml><?xml version="1.0" encoding="utf-8"?>
<Properties xmlns="http://schemas.openxmlformats.org/officeDocument/2006/extended-properties" xmlns:vt="http://schemas.openxmlformats.org/officeDocument/2006/docPropsVTypes">
  <Template>Normal</Template>
  <TotalTime>0</TotalTime>
  <Pages>23</Pages>
  <Words>6160</Words>
  <Characters>35114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Fredericks v The Prosecutor-General (HC-MD-CIV-MOT-REV-2022-00242) [2023] 637 (10 October 2023)</dc:title>
  <dc:subject/>
  <dc:creator>Mbushandje Ntinda</dc:creator>
  <cp:keywords/>
  <dc:description/>
  <cp:lastModifiedBy>Charlet Mokomele</cp:lastModifiedBy>
  <cp:revision>2</cp:revision>
  <cp:lastPrinted>2023-10-10T12:54:00Z</cp:lastPrinted>
  <dcterms:created xsi:type="dcterms:W3CDTF">2023-10-10T12:56:00Z</dcterms:created>
  <dcterms:modified xsi:type="dcterms:W3CDTF">2023-10-10T12:56:00Z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d3b42d0b960d2f77a0c4708952f29269c5ea8464d573c1483db10a5879e01927</vt:lpwstr>
  </property>
  <property fmtid="{D5CDD505-2E9C-101B-9397-08002B2CF9AE}" pid="3" name="ContentTypeId">
    <vt:lpwstr>0x0101000ECE0F99B3F8644397ECB0C536651393</vt:lpwstr>
  </property>
</Properties>
</file>