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1F4D" w14:textId="77777777" w:rsidR="000629E1" w:rsidRPr="000629E1" w:rsidRDefault="000629E1" w:rsidP="000629E1">
      <w:pPr>
        <w:spacing w:line="360" w:lineRule="auto"/>
        <w:jc w:val="center"/>
        <w:rPr>
          <w:rFonts w:ascii="Arial" w:hAnsi="Arial" w:cs="Arial"/>
          <w:b/>
        </w:rPr>
      </w:pPr>
      <w:r w:rsidRPr="000629E1">
        <w:rPr>
          <w:rFonts w:ascii="Arial" w:hAnsi="Arial" w:cs="Arial"/>
          <w:b/>
        </w:rPr>
        <w:t>REPUBLIC OF NAMIBIA</w:t>
      </w:r>
    </w:p>
    <w:p w14:paraId="3483AAA2" w14:textId="77777777" w:rsidR="000629E1" w:rsidRPr="000629E1" w:rsidRDefault="000629E1" w:rsidP="000629E1">
      <w:pPr>
        <w:spacing w:line="360" w:lineRule="auto"/>
        <w:jc w:val="center"/>
        <w:rPr>
          <w:rFonts w:ascii="Arial" w:hAnsi="Arial" w:cs="Arial"/>
          <w:b/>
          <w:sz w:val="32"/>
          <w:szCs w:val="32"/>
        </w:rPr>
      </w:pPr>
      <w:r w:rsidRPr="000629E1">
        <w:rPr>
          <w:rFonts w:ascii="Arial" w:hAnsi="Arial" w:cs="Arial"/>
          <w:b/>
          <w:noProof/>
          <w:sz w:val="32"/>
          <w:szCs w:val="32"/>
          <w:lang w:val="en-US"/>
        </w:rPr>
        <w:drawing>
          <wp:inline distT="0" distB="0" distL="0" distR="0" wp14:anchorId="1CB5F802" wp14:editId="0BF81655">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1A3B8E2" w14:textId="47BF7421" w:rsidR="00BB3142" w:rsidRDefault="00BB3142" w:rsidP="000629E1">
      <w:pPr>
        <w:spacing w:line="360" w:lineRule="auto"/>
        <w:jc w:val="center"/>
        <w:rPr>
          <w:rFonts w:ascii="Arial" w:hAnsi="Arial"/>
          <w:b/>
        </w:rPr>
      </w:pPr>
      <w:r>
        <w:rPr>
          <w:rFonts w:ascii="Arial" w:hAnsi="Arial"/>
          <w:b/>
        </w:rPr>
        <w:t>HIGH COURT OF NAMIBIA, MAIN DIVISION, WINDHOEK</w:t>
      </w:r>
    </w:p>
    <w:p w14:paraId="50A6F392" w14:textId="241608AE" w:rsidR="000629E1" w:rsidRDefault="00BB3142" w:rsidP="00A10DED">
      <w:pPr>
        <w:spacing w:line="360" w:lineRule="auto"/>
        <w:jc w:val="center"/>
        <w:rPr>
          <w:rFonts w:ascii="Arial" w:hAnsi="Arial"/>
          <w:b/>
        </w:rPr>
      </w:pPr>
      <w:r>
        <w:rPr>
          <w:rFonts w:ascii="Arial" w:hAnsi="Arial"/>
          <w:b/>
        </w:rPr>
        <w:t>RULING</w:t>
      </w:r>
    </w:p>
    <w:p w14:paraId="7C57D0A0" w14:textId="77777777" w:rsidR="00A10DED" w:rsidRDefault="00A10DED" w:rsidP="00A10DED">
      <w:pPr>
        <w:spacing w:line="360" w:lineRule="auto"/>
        <w:jc w:val="center"/>
        <w:rPr>
          <w:rFonts w:ascii="Arial" w:hAnsi="Arial"/>
          <w:b/>
        </w:rPr>
      </w:pPr>
    </w:p>
    <w:p w14:paraId="5EC27BB8" w14:textId="4FEB8D06" w:rsidR="00BB3142" w:rsidRDefault="00BB3142" w:rsidP="00A10DED">
      <w:pPr>
        <w:spacing w:line="360" w:lineRule="auto"/>
        <w:jc w:val="right"/>
        <w:rPr>
          <w:rFonts w:ascii="Arial" w:hAnsi="Arial"/>
        </w:rPr>
      </w:pPr>
      <w:r>
        <w:rPr>
          <w:rFonts w:ascii="Arial" w:hAnsi="Arial"/>
        </w:rPr>
        <w:t>Case No: HC-MD-CIV-MOT-POCA-2018/00140</w:t>
      </w:r>
    </w:p>
    <w:p w14:paraId="66112E1D" w14:textId="77777777" w:rsidR="00BB3142" w:rsidRDefault="00BB3142" w:rsidP="000629E1">
      <w:pPr>
        <w:spacing w:line="360" w:lineRule="auto"/>
        <w:rPr>
          <w:rFonts w:ascii="Arial" w:hAnsi="Arial"/>
        </w:rPr>
      </w:pPr>
      <w:r>
        <w:rPr>
          <w:rFonts w:ascii="Arial" w:hAnsi="Arial"/>
        </w:rPr>
        <w:t>In the matter between:</w:t>
      </w:r>
    </w:p>
    <w:p w14:paraId="3C22FA6F" w14:textId="77777777" w:rsidR="00BB3142" w:rsidRDefault="00BB3142" w:rsidP="000629E1">
      <w:pPr>
        <w:spacing w:line="360" w:lineRule="auto"/>
        <w:rPr>
          <w:rFonts w:ascii="Arial" w:hAnsi="Arial"/>
        </w:rPr>
      </w:pPr>
    </w:p>
    <w:p w14:paraId="24EE3D62" w14:textId="4F3F6A7F" w:rsidR="00BB3142" w:rsidRDefault="00BB3142" w:rsidP="000629E1">
      <w:pPr>
        <w:tabs>
          <w:tab w:val="right" w:pos="8280"/>
        </w:tabs>
        <w:spacing w:line="360" w:lineRule="auto"/>
        <w:rPr>
          <w:rFonts w:ascii="Arial" w:hAnsi="Arial"/>
          <w:b/>
        </w:rPr>
      </w:pPr>
      <w:r>
        <w:rPr>
          <w:rFonts w:ascii="Arial" w:hAnsi="Arial"/>
          <w:b/>
        </w:rPr>
        <w:t xml:space="preserve">THE PROSECUTOR-GENERAL                                                   </w:t>
      </w:r>
      <w:r w:rsidR="000629E1">
        <w:rPr>
          <w:rFonts w:ascii="Arial" w:hAnsi="Arial"/>
          <w:b/>
        </w:rPr>
        <w:tab/>
      </w:r>
      <w:r>
        <w:rPr>
          <w:rFonts w:ascii="Arial" w:hAnsi="Arial"/>
          <w:b/>
        </w:rPr>
        <w:t>APPLICANT</w:t>
      </w:r>
    </w:p>
    <w:p w14:paraId="62B58FE6" w14:textId="77777777" w:rsidR="00BB3142" w:rsidRDefault="00BB3142" w:rsidP="000629E1">
      <w:pPr>
        <w:spacing w:line="360" w:lineRule="auto"/>
        <w:rPr>
          <w:rFonts w:ascii="Arial" w:hAnsi="Arial"/>
          <w:b/>
        </w:rPr>
      </w:pPr>
    </w:p>
    <w:p w14:paraId="3DBD6500" w14:textId="0F0FA785" w:rsidR="00BB3142" w:rsidRDefault="000629E1" w:rsidP="000629E1">
      <w:pPr>
        <w:spacing w:line="360" w:lineRule="auto"/>
        <w:rPr>
          <w:rFonts w:ascii="Arial" w:hAnsi="Arial"/>
        </w:rPr>
      </w:pPr>
      <w:r>
        <w:rPr>
          <w:rFonts w:ascii="Arial" w:hAnsi="Arial"/>
        </w:rPr>
        <w:t>a</w:t>
      </w:r>
      <w:r w:rsidR="00BB3142">
        <w:rPr>
          <w:rFonts w:ascii="Arial" w:hAnsi="Arial"/>
        </w:rPr>
        <w:t>nd</w:t>
      </w:r>
    </w:p>
    <w:p w14:paraId="03731D6B" w14:textId="77777777" w:rsidR="000629E1" w:rsidRDefault="000629E1" w:rsidP="000629E1">
      <w:pPr>
        <w:spacing w:line="360" w:lineRule="auto"/>
        <w:rPr>
          <w:rFonts w:ascii="Arial" w:hAnsi="Arial"/>
        </w:rPr>
      </w:pPr>
    </w:p>
    <w:p w14:paraId="00729ED9" w14:textId="6B411376" w:rsidR="00BB3142" w:rsidRDefault="00BB3142" w:rsidP="000629E1">
      <w:pPr>
        <w:tabs>
          <w:tab w:val="right" w:pos="8280"/>
        </w:tabs>
        <w:spacing w:line="360" w:lineRule="auto"/>
        <w:rPr>
          <w:rFonts w:ascii="Arial" w:hAnsi="Arial"/>
          <w:b/>
        </w:rPr>
      </w:pPr>
      <w:r>
        <w:rPr>
          <w:rFonts w:ascii="Arial" w:hAnsi="Arial"/>
          <w:b/>
        </w:rPr>
        <w:t xml:space="preserve">MARTIN NANDE SHILENGUDWA                                     </w:t>
      </w:r>
      <w:r w:rsidR="000629E1">
        <w:rPr>
          <w:rFonts w:ascii="Arial" w:hAnsi="Arial"/>
          <w:b/>
        </w:rPr>
        <w:tab/>
      </w:r>
      <w:r>
        <w:rPr>
          <w:rFonts w:ascii="Arial" w:hAnsi="Arial"/>
          <w:b/>
        </w:rPr>
        <w:t>1</w:t>
      </w:r>
      <w:r w:rsidRPr="00BB3142">
        <w:rPr>
          <w:rFonts w:ascii="Arial" w:hAnsi="Arial"/>
          <w:b/>
          <w:vertAlign w:val="superscript"/>
        </w:rPr>
        <w:t>ST</w:t>
      </w:r>
      <w:r>
        <w:rPr>
          <w:rFonts w:ascii="Arial" w:hAnsi="Arial"/>
          <w:b/>
        </w:rPr>
        <w:t xml:space="preserve"> RESPONDENT</w:t>
      </w:r>
    </w:p>
    <w:p w14:paraId="0CE43E15" w14:textId="3A947CF8" w:rsidR="00BB3142" w:rsidRDefault="00BB3142" w:rsidP="000629E1">
      <w:pPr>
        <w:tabs>
          <w:tab w:val="right" w:pos="8280"/>
        </w:tabs>
        <w:spacing w:line="360" w:lineRule="auto"/>
        <w:rPr>
          <w:rFonts w:ascii="Arial" w:hAnsi="Arial"/>
          <w:b/>
        </w:rPr>
      </w:pPr>
      <w:r>
        <w:rPr>
          <w:rFonts w:ascii="Arial" w:hAnsi="Arial"/>
          <w:b/>
        </w:rPr>
        <w:t xml:space="preserve">HILMA DALONDOKA SHILENGUDWA                             </w:t>
      </w:r>
      <w:r w:rsidR="000629E1">
        <w:rPr>
          <w:rFonts w:ascii="Arial" w:hAnsi="Arial"/>
          <w:b/>
        </w:rPr>
        <w:tab/>
      </w:r>
      <w:r>
        <w:rPr>
          <w:rFonts w:ascii="Arial" w:hAnsi="Arial"/>
          <w:b/>
        </w:rPr>
        <w:t>2</w:t>
      </w:r>
      <w:r w:rsidRPr="00BB3142">
        <w:rPr>
          <w:rFonts w:ascii="Arial" w:hAnsi="Arial"/>
          <w:b/>
          <w:vertAlign w:val="superscript"/>
        </w:rPr>
        <w:t>ND</w:t>
      </w:r>
      <w:r>
        <w:rPr>
          <w:rFonts w:ascii="Arial" w:hAnsi="Arial"/>
          <w:b/>
        </w:rPr>
        <w:t xml:space="preserve"> RESPONDENT</w:t>
      </w:r>
    </w:p>
    <w:p w14:paraId="2B2E5597" w14:textId="77777777" w:rsidR="00BB3142" w:rsidRDefault="00BB3142" w:rsidP="000629E1">
      <w:pPr>
        <w:spacing w:line="360" w:lineRule="auto"/>
        <w:rPr>
          <w:rFonts w:ascii="Arial" w:hAnsi="Arial"/>
          <w:b/>
        </w:rPr>
      </w:pPr>
      <w:r>
        <w:rPr>
          <w:rFonts w:ascii="Arial" w:hAnsi="Arial"/>
          <w:b/>
        </w:rPr>
        <w:t xml:space="preserve">BUSINESS AND INTELLECTUAL PROPERTY </w:t>
      </w:r>
    </w:p>
    <w:p w14:paraId="2B9650E8" w14:textId="2AF03ED6" w:rsidR="00BB3142" w:rsidRDefault="00BB3142" w:rsidP="000629E1">
      <w:pPr>
        <w:tabs>
          <w:tab w:val="right" w:pos="8280"/>
        </w:tabs>
        <w:spacing w:line="360" w:lineRule="auto"/>
        <w:rPr>
          <w:rFonts w:ascii="Arial" w:hAnsi="Arial"/>
          <w:b/>
        </w:rPr>
      </w:pPr>
      <w:r>
        <w:rPr>
          <w:rFonts w:ascii="Arial" w:hAnsi="Arial"/>
          <w:b/>
        </w:rPr>
        <w:t xml:space="preserve">AUTHORITY                                                                        </w:t>
      </w:r>
      <w:r w:rsidR="000629E1">
        <w:rPr>
          <w:rFonts w:ascii="Arial" w:hAnsi="Arial"/>
          <w:b/>
        </w:rPr>
        <w:tab/>
      </w:r>
      <w:r>
        <w:rPr>
          <w:rFonts w:ascii="Arial" w:hAnsi="Arial"/>
          <w:b/>
        </w:rPr>
        <w:t>3</w:t>
      </w:r>
      <w:r w:rsidRPr="00BB3142">
        <w:rPr>
          <w:rFonts w:ascii="Arial" w:hAnsi="Arial"/>
          <w:b/>
          <w:vertAlign w:val="superscript"/>
        </w:rPr>
        <w:t>RD</w:t>
      </w:r>
      <w:r>
        <w:rPr>
          <w:rFonts w:ascii="Arial" w:hAnsi="Arial"/>
          <w:b/>
        </w:rPr>
        <w:t xml:space="preserve"> RESPONDENT</w:t>
      </w:r>
    </w:p>
    <w:p w14:paraId="215AEE4F" w14:textId="77777777" w:rsidR="000629E1" w:rsidRDefault="000629E1" w:rsidP="000629E1">
      <w:pPr>
        <w:rPr>
          <w:b/>
        </w:rPr>
      </w:pPr>
    </w:p>
    <w:p w14:paraId="64035C43" w14:textId="621AF4C5" w:rsidR="000629E1" w:rsidRDefault="000629E1" w:rsidP="00A10DED">
      <w:pPr>
        <w:spacing w:line="360" w:lineRule="auto"/>
        <w:ind w:left="2160" w:hanging="2160"/>
        <w:rPr>
          <w:rFonts w:ascii="Arial" w:hAnsi="Arial" w:cs="Arial"/>
          <w:bCs/>
        </w:rPr>
      </w:pPr>
      <w:r w:rsidRPr="000629E1">
        <w:rPr>
          <w:rFonts w:ascii="Arial" w:hAnsi="Arial" w:cs="Arial"/>
          <w:b/>
        </w:rPr>
        <w:t>Neutral citation</w:t>
      </w:r>
      <w:r w:rsidRPr="000629E1">
        <w:rPr>
          <w:rFonts w:ascii="Arial" w:hAnsi="Arial" w:cs="Arial"/>
          <w:b/>
        </w:rPr>
        <w:tab/>
      </w:r>
      <w:r>
        <w:rPr>
          <w:rFonts w:ascii="Arial" w:hAnsi="Arial" w:cs="Arial"/>
          <w:bCs/>
          <w:i/>
          <w:iCs/>
        </w:rPr>
        <w:t>The Prosecutor-General</w:t>
      </w:r>
      <w:r w:rsidRPr="000629E1">
        <w:rPr>
          <w:rFonts w:ascii="Arial" w:hAnsi="Arial" w:cs="Arial"/>
          <w:bCs/>
          <w:i/>
          <w:iCs/>
        </w:rPr>
        <w:t xml:space="preserve"> v </w:t>
      </w:r>
      <w:r>
        <w:rPr>
          <w:rFonts w:ascii="Arial" w:hAnsi="Arial" w:cs="Arial"/>
          <w:bCs/>
          <w:i/>
          <w:iCs/>
        </w:rPr>
        <w:t>Shilengudwa</w:t>
      </w:r>
      <w:r w:rsidRPr="000629E1">
        <w:rPr>
          <w:rFonts w:ascii="Arial" w:hAnsi="Arial" w:cs="Arial"/>
          <w:bCs/>
          <w:i/>
          <w:iCs/>
        </w:rPr>
        <w:t xml:space="preserve"> </w:t>
      </w:r>
      <w:r w:rsidRPr="000629E1">
        <w:rPr>
          <w:rFonts w:ascii="Arial" w:hAnsi="Arial" w:cs="Arial"/>
          <w:bCs/>
        </w:rPr>
        <w:t>(</w:t>
      </w:r>
      <w:r>
        <w:rPr>
          <w:rFonts w:ascii="Arial" w:hAnsi="Arial"/>
        </w:rPr>
        <w:t>HC-MD-CIV-MOT-POCA-2018/00140</w:t>
      </w:r>
      <w:r w:rsidR="00A10DED">
        <w:rPr>
          <w:rFonts w:ascii="Arial" w:hAnsi="Arial" w:cs="Arial"/>
          <w:bCs/>
        </w:rPr>
        <w:t>) [2023] NAHCMD 665</w:t>
      </w:r>
      <w:r w:rsidRPr="000629E1">
        <w:rPr>
          <w:rFonts w:ascii="Arial" w:hAnsi="Arial" w:cs="Arial"/>
          <w:bCs/>
        </w:rPr>
        <w:t xml:space="preserve"> (</w:t>
      </w:r>
      <w:r w:rsidR="00C0127D">
        <w:rPr>
          <w:rFonts w:ascii="Arial" w:hAnsi="Arial" w:cs="Arial"/>
          <w:bCs/>
        </w:rPr>
        <w:t xml:space="preserve">19 </w:t>
      </w:r>
      <w:r w:rsidRPr="000629E1">
        <w:rPr>
          <w:rFonts w:ascii="Arial" w:hAnsi="Arial" w:cs="Arial"/>
          <w:bCs/>
        </w:rPr>
        <w:t>October 2023)</w:t>
      </w:r>
    </w:p>
    <w:p w14:paraId="51617D70" w14:textId="77777777" w:rsidR="00A10DED" w:rsidRPr="00A10DED" w:rsidRDefault="00A10DED" w:rsidP="00A10DED">
      <w:pPr>
        <w:spacing w:line="360" w:lineRule="auto"/>
        <w:ind w:left="2160" w:hanging="2160"/>
        <w:rPr>
          <w:rFonts w:ascii="Arial" w:hAnsi="Arial" w:cs="Arial"/>
          <w:bCs/>
        </w:rPr>
      </w:pPr>
    </w:p>
    <w:p w14:paraId="44948CD9" w14:textId="3B1AEBD7" w:rsidR="000629E1" w:rsidRDefault="009136D8" w:rsidP="000629E1">
      <w:pPr>
        <w:spacing w:line="360" w:lineRule="auto"/>
        <w:rPr>
          <w:rFonts w:ascii="Arial" w:hAnsi="Arial"/>
        </w:rPr>
      </w:pPr>
      <w:r>
        <w:rPr>
          <w:rFonts w:ascii="Arial" w:hAnsi="Arial"/>
          <w:b/>
        </w:rPr>
        <w:t>Coram</w:t>
      </w:r>
      <w:r w:rsidR="000629E1">
        <w:rPr>
          <w:rFonts w:ascii="Arial" w:hAnsi="Arial"/>
          <w:b/>
        </w:rPr>
        <w:t>:</w:t>
      </w:r>
      <w:r w:rsidR="000629E1">
        <w:rPr>
          <w:rFonts w:ascii="Arial" w:hAnsi="Arial"/>
          <w:b/>
        </w:rPr>
        <w:tab/>
      </w:r>
      <w:r w:rsidR="000629E1">
        <w:rPr>
          <w:rFonts w:ascii="Arial" w:hAnsi="Arial"/>
          <w:b/>
        </w:rPr>
        <w:tab/>
      </w:r>
      <w:r w:rsidR="000629E1">
        <w:rPr>
          <w:rFonts w:ascii="Arial" w:hAnsi="Arial"/>
        </w:rPr>
        <w:t>MASUKU J</w:t>
      </w:r>
    </w:p>
    <w:p w14:paraId="11EC3B6C" w14:textId="62115093" w:rsidR="000629E1" w:rsidRPr="00C20F5D" w:rsidRDefault="000629E1" w:rsidP="000629E1">
      <w:pPr>
        <w:spacing w:line="360" w:lineRule="auto"/>
        <w:rPr>
          <w:rFonts w:ascii="Arial" w:hAnsi="Arial"/>
          <w:b/>
        </w:rPr>
      </w:pPr>
      <w:r>
        <w:rPr>
          <w:rFonts w:ascii="Arial" w:hAnsi="Arial"/>
          <w:b/>
        </w:rPr>
        <w:t>Heard:</w:t>
      </w:r>
      <w:r>
        <w:rPr>
          <w:rFonts w:ascii="Arial" w:hAnsi="Arial"/>
          <w:b/>
        </w:rPr>
        <w:tab/>
      </w:r>
      <w:r w:rsidR="006E7858">
        <w:rPr>
          <w:rFonts w:ascii="Arial" w:hAnsi="Arial"/>
          <w:b/>
        </w:rPr>
        <w:tab/>
        <w:t>Decided on the papers</w:t>
      </w:r>
    </w:p>
    <w:p w14:paraId="2EB068DD" w14:textId="1E1FCE8E" w:rsidR="000629E1" w:rsidRPr="00C20F5D" w:rsidRDefault="000629E1" w:rsidP="000629E1">
      <w:pPr>
        <w:spacing w:line="360" w:lineRule="auto"/>
        <w:rPr>
          <w:rFonts w:ascii="Arial" w:hAnsi="Arial"/>
          <w:b/>
        </w:rPr>
      </w:pPr>
      <w:r>
        <w:rPr>
          <w:rFonts w:ascii="Arial" w:hAnsi="Arial"/>
          <w:b/>
        </w:rPr>
        <w:t>Delivered:</w:t>
      </w:r>
      <w:r>
        <w:rPr>
          <w:rFonts w:ascii="Arial" w:hAnsi="Arial"/>
          <w:b/>
        </w:rPr>
        <w:tab/>
      </w:r>
      <w:r w:rsidR="00E37F16">
        <w:rPr>
          <w:rFonts w:ascii="Arial" w:hAnsi="Arial"/>
          <w:b/>
        </w:rPr>
        <w:tab/>
      </w:r>
      <w:r w:rsidR="00C0127D">
        <w:rPr>
          <w:rFonts w:ascii="Arial" w:hAnsi="Arial"/>
          <w:b/>
        </w:rPr>
        <w:t xml:space="preserve">19 </w:t>
      </w:r>
      <w:r>
        <w:rPr>
          <w:rFonts w:ascii="Arial" w:hAnsi="Arial"/>
          <w:b/>
        </w:rPr>
        <w:t>October</w:t>
      </w:r>
      <w:r w:rsidRPr="0051379F">
        <w:rPr>
          <w:rFonts w:ascii="Arial" w:hAnsi="Arial"/>
          <w:b/>
        </w:rPr>
        <w:t xml:space="preserve"> 2023</w:t>
      </w:r>
    </w:p>
    <w:p w14:paraId="68727ECC" w14:textId="77777777" w:rsidR="0056786C" w:rsidRDefault="0056786C" w:rsidP="0056786C">
      <w:pPr>
        <w:spacing w:line="360" w:lineRule="auto"/>
        <w:jc w:val="both"/>
        <w:rPr>
          <w:rFonts w:ascii="Arial" w:hAnsi="Arial" w:cs="Arial"/>
          <w:b/>
        </w:rPr>
      </w:pPr>
    </w:p>
    <w:p w14:paraId="4B3BFFC4" w14:textId="0B5CB778" w:rsidR="0056786C" w:rsidRDefault="0056786C" w:rsidP="0056786C">
      <w:pPr>
        <w:spacing w:line="360" w:lineRule="auto"/>
        <w:jc w:val="both"/>
        <w:rPr>
          <w:rFonts w:ascii="Arial" w:hAnsi="Arial" w:cs="Arial"/>
        </w:rPr>
      </w:pPr>
      <w:r>
        <w:rPr>
          <w:rFonts w:ascii="Arial" w:hAnsi="Arial" w:cs="Arial"/>
          <w:b/>
        </w:rPr>
        <w:t>Flynote:</w:t>
      </w:r>
      <w:r>
        <w:rPr>
          <w:rFonts w:ascii="Arial" w:hAnsi="Arial" w:cs="Arial"/>
          <w:b/>
        </w:rPr>
        <w:tab/>
      </w:r>
      <w:r>
        <w:rPr>
          <w:rFonts w:ascii="Arial" w:hAnsi="Arial" w:cs="Arial"/>
        </w:rPr>
        <w:t xml:space="preserve">Civil Procedure – Legislation – Prevention of Organised </w:t>
      </w:r>
      <w:r w:rsidR="009136D8">
        <w:rPr>
          <w:rFonts w:ascii="Arial" w:hAnsi="Arial" w:cs="Arial"/>
        </w:rPr>
        <w:t xml:space="preserve">Crime Act 29 of 2004 (‘POCA’) – </w:t>
      </w:r>
      <w:r>
        <w:rPr>
          <w:rFonts w:ascii="Arial" w:hAnsi="Arial" w:cs="Arial"/>
        </w:rPr>
        <w:t>Effect of noting an appeal on a ruling declaring certain provisions unconstitutional – Whether common law rule that an appeal suspends execution applies.</w:t>
      </w:r>
    </w:p>
    <w:p w14:paraId="57CFF212" w14:textId="77777777" w:rsidR="0056786C" w:rsidRDefault="0056786C" w:rsidP="0056786C">
      <w:pPr>
        <w:spacing w:line="360" w:lineRule="auto"/>
        <w:jc w:val="both"/>
        <w:rPr>
          <w:rFonts w:ascii="Arial" w:hAnsi="Arial" w:cs="Arial"/>
        </w:rPr>
      </w:pPr>
    </w:p>
    <w:p w14:paraId="5F867DA5" w14:textId="2E59BCE9" w:rsidR="0056786C" w:rsidRDefault="0056786C" w:rsidP="0056786C">
      <w:pPr>
        <w:spacing w:line="360" w:lineRule="auto"/>
        <w:jc w:val="both"/>
        <w:rPr>
          <w:rFonts w:ascii="Arial" w:hAnsi="Arial" w:cs="Arial"/>
        </w:rPr>
      </w:pPr>
      <w:r>
        <w:rPr>
          <w:rFonts w:ascii="Arial" w:hAnsi="Arial" w:cs="Arial"/>
          <w:b/>
        </w:rPr>
        <w:t>Summary:</w:t>
      </w:r>
      <w:r>
        <w:rPr>
          <w:rFonts w:ascii="Arial" w:hAnsi="Arial" w:cs="Arial"/>
          <w:b/>
        </w:rPr>
        <w:tab/>
      </w:r>
      <w:r>
        <w:rPr>
          <w:rFonts w:ascii="Arial" w:hAnsi="Arial" w:cs="Arial"/>
        </w:rPr>
        <w:t xml:space="preserve">The applicant, the Prosecutor-General (‘PG’) obtained a preservation order against Mr and Mrs Shilengudwa, the respondents in 2018. After several legal battles between the parties, the respondents launched a constitutional application in which they challenged the constitutionality of the definition section of ‘proceeds of unlawful activity’, as being too broad and unjust. A Full Bench of this court found in the respondents’ favour, culminating in an appeal </w:t>
      </w:r>
      <w:r w:rsidR="002C4294">
        <w:rPr>
          <w:rFonts w:ascii="Arial" w:hAnsi="Arial" w:cs="Arial"/>
        </w:rPr>
        <w:t xml:space="preserve">to the Supreme Court </w:t>
      </w:r>
      <w:r>
        <w:rPr>
          <w:rFonts w:ascii="Arial" w:hAnsi="Arial" w:cs="Arial"/>
        </w:rPr>
        <w:t>by the PG. The respondents are desirous of the matter proceeding to the forfeiture stage. The PG reasons that the forfeiture application must be stayed, pending the decision of the Supreme Court on appeal, regarding the correctness of the Full Bench decision.</w:t>
      </w:r>
    </w:p>
    <w:p w14:paraId="458F0C5E" w14:textId="77777777" w:rsidR="0056786C" w:rsidRDefault="0056786C" w:rsidP="0056786C">
      <w:pPr>
        <w:spacing w:line="360" w:lineRule="auto"/>
        <w:jc w:val="both"/>
        <w:rPr>
          <w:rFonts w:ascii="Arial" w:hAnsi="Arial" w:cs="Arial"/>
        </w:rPr>
      </w:pPr>
    </w:p>
    <w:p w14:paraId="1E26B72A" w14:textId="02E67301" w:rsidR="0056786C" w:rsidRDefault="0056786C" w:rsidP="0056786C">
      <w:pPr>
        <w:spacing w:line="360" w:lineRule="auto"/>
        <w:jc w:val="both"/>
        <w:rPr>
          <w:rFonts w:ascii="Arial" w:hAnsi="Arial" w:cs="Arial"/>
        </w:rPr>
      </w:pPr>
      <w:r>
        <w:rPr>
          <w:rFonts w:ascii="Arial" w:hAnsi="Arial" w:cs="Arial"/>
          <w:i/>
        </w:rPr>
        <w:t>Held</w:t>
      </w:r>
      <w:r>
        <w:rPr>
          <w:rFonts w:ascii="Arial" w:hAnsi="Arial" w:cs="Arial"/>
        </w:rPr>
        <w:t xml:space="preserve">: That on the authority of </w:t>
      </w:r>
      <w:r w:rsidRPr="0056786C">
        <w:rPr>
          <w:rFonts w:ascii="Arial" w:hAnsi="Arial"/>
          <w:i/>
          <w:lang w:val="en-US"/>
        </w:rPr>
        <w:t xml:space="preserve">S v </w:t>
      </w:r>
      <w:proofErr w:type="spellStart"/>
      <w:r w:rsidR="006957A4">
        <w:rPr>
          <w:rFonts w:ascii="Arial" w:hAnsi="Arial"/>
          <w:i/>
          <w:lang w:val="en-US"/>
        </w:rPr>
        <w:t>Huseb</w:t>
      </w:r>
      <w:proofErr w:type="spellEnd"/>
      <w:r w:rsidRPr="0056786C">
        <w:rPr>
          <w:rFonts w:ascii="Arial" w:hAnsi="Arial"/>
          <w:i/>
          <w:lang w:val="en-US"/>
        </w:rPr>
        <w:t xml:space="preserve"> </w:t>
      </w:r>
      <w:r w:rsidRPr="0056786C">
        <w:rPr>
          <w:rFonts w:ascii="Arial" w:hAnsi="Arial"/>
          <w:lang w:val="en-US"/>
        </w:rPr>
        <w:t>2012 (1) NR</w:t>
      </w:r>
      <w:r>
        <w:rPr>
          <w:rFonts w:ascii="Arial" w:hAnsi="Arial"/>
          <w:sz w:val="20"/>
          <w:szCs w:val="20"/>
          <w:lang w:val="en-US"/>
        </w:rPr>
        <w:t xml:space="preserve"> </w:t>
      </w:r>
      <w:r w:rsidRPr="0056786C">
        <w:rPr>
          <w:rFonts w:ascii="Arial" w:hAnsi="Arial"/>
          <w:lang w:val="en-US"/>
        </w:rPr>
        <w:t>130 (HC)</w:t>
      </w:r>
      <w:r>
        <w:rPr>
          <w:rFonts w:ascii="Arial" w:hAnsi="Arial"/>
          <w:lang w:val="en-US"/>
        </w:rPr>
        <w:t>,</w:t>
      </w:r>
      <w:r>
        <w:rPr>
          <w:rFonts w:ascii="Arial" w:hAnsi="Arial" w:cs="Arial"/>
        </w:rPr>
        <w:t xml:space="preserve"> where there has been a constitutional declaration </w:t>
      </w:r>
      <w:r w:rsidR="00431815">
        <w:rPr>
          <w:rFonts w:ascii="Arial" w:hAnsi="Arial" w:cs="Arial"/>
        </w:rPr>
        <w:t xml:space="preserve">of invalidity </w:t>
      </w:r>
      <w:proofErr w:type="spellStart"/>
      <w:r w:rsidR="00431815">
        <w:rPr>
          <w:rFonts w:ascii="Arial" w:hAnsi="Arial" w:cs="Arial"/>
        </w:rPr>
        <w:t>ie</w:t>
      </w:r>
      <w:proofErr w:type="spellEnd"/>
      <w:r w:rsidR="00431815">
        <w:rPr>
          <w:rFonts w:ascii="Arial" w:hAnsi="Arial" w:cs="Arial"/>
        </w:rPr>
        <w:t xml:space="preserve"> </w:t>
      </w:r>
      <w:r>
        <w:rPr>
          <w:rFonts w:ascii="Arial" w:hAnsi="Arial" w:cs="Arial"/>
        </w:rPr>
        <w:t>that a certain provision is unconstitutional, the common law rule that an appeal suspends execution of the order does not apply.</w:t>
      </w:r>
    </w:p>
    <w:p w14:paraId="4216406E" w14:textId="77777777" w:rsidR="00A10DED" w:rsidRDefault="00A10DED" w:rsidP="0056786C">
      <w:pPr>
        <w:spacing w:line="360" w:lineRule="auto"/>
        <w:jc w:val="both"/>
        <w:rPr>
          <w:rFonts w:ascii="Arial" w:hAnsi="Arial" w:cs="Arial"/>
        </w:rPr>
      </w:pPr>
    </w:p>
    <w:p w14:paraId="4E4D95AE" w14:textId="4C73CD9B" w:rsidR="0056786C" w:rsidRDefault="0056786C" w:rsidP="0056786C">
      <w:pPr>
        <w:spacing w:line="360" w:lineRule="auto"/>
        <w:jc w:val="both"/>
        <w:rPr>
          <w:rFonts w:ascii="Arial" w:hAnsi="Arial" w:cs="Arial"/>
        </w:rPr>
      </w:pPr>
      <w:r>
        <w:rPr>
          <w:rFonts w:ascii="Arial" w:hAnsi="Arial" w:cs="Arial"/>
          <w:i/>
        </w:rPr>
        <w:t>Held that</w:t>
      </w:r>
      <w:r>
        <w:rPr>
          <w:rFonts w:ascii="Arial" w:hAnsi="Arial" w:cs="Arial"/>
        </w:rPr>
        <w:t xml:space="preserve">: In the instant case, the decision in </w:t>
      </w:r>
      <w:proofErr w:type="spellStart"/>
      <w:r w:rsidR="006957A4">
        <w:rPr>
          <w:rFonts w:ascii="Arial" w:hAnsi="Arial" w:cs="Arial"/>
          <w:i/>
        </w:rPr>
        <w:t>Huseb</w:t>
      </w:r>
      <w:proofErr w:type="spellEnd"/>
      <w:r w:rsidRPr="00ED6150">
        <w:rPr>
          <w:rFonts w:ascii="Arial" w:hAnsi="Arial" w:cs="Arial"/>
          <w:i/>
        </w:rPr>
        <w:t>,</w:t>
      </w:r>
      <w:r>
        <w:rPr>
          <w:rFonts w:ascii="Arial" w:hAnsi="Arial" w:cs="Arial"/>
        </w:rPr>
        <w:t xml:space="preserve"> </w:t>
      </w:r>
      <w:r w:rsidRPr="00ED6150">
        <w:rPr>
          <w:rFonts w:ascii="Arial" w:hAnsi="Arial" w:cs="Arial"/>
        </w:rPr>
        <w:t>it</w:t>
      </w:r>
      <w:r w:rsidR="00431815">
        <w:rPr>
          <w:rFonts w:ascii="Arial" w:hAnsi="Arial" w:cs="Arial"/>
        </w:rPr>
        <w:t xml:space="preserve"> being </w:t>
      </w:r>
      <w:r>
        <w:rPr>
          <w:rFonts w:ascii="Arial" w:hAnsi="Arial" w:cs="Arial"/>
        </w:rPr>
        <w:t>not the case of the PG that the said judgment</w:t>
      </w:r>
      <w:r w:rsidR="00431815">
        <w:rPr>
          <w:rFonts w:ascii="Arial" w:hAnsi="Arial" w:cs="Arial"/>
        </w:rPr>
        <w:t xml:space="preserve"> is wrongly decided</w:t>
      </w:r>
      <w:r>
        <w:rPr>
          <w:rFonts w:ascii="Arial" w:hAnsi="Arial" w:cs="Arial"/>
        </w:rPr>
        <w:t xml:space="preserve">, </w:t>
      </w:r>
      <w:r w:rsidR="00431815">
        <w:rPr>
          <w:rFonts w:ascii="Arial" w:hAnsi="Arial" w:cs="Arial"/>
        </w:rPr>
        <w:t xml:space="preserve">it is </w:t>
      </w:r>
      <w:r>
        <w:rPr>
          <w:rFonts w:ascii="Arial" w:hAnsi="Arial" w:cs="Arial"/>
        </w:rPr>
        <w:t>one of a full court,</w:t>
      </w:r>
      <w:r w:rsidR="00431815">
        <w:rPr>
          <w:rFonts w:ascii="Arial" w:hAnsi="Arial" w:cs="Arial"/>
        </w:rPr>
        <w:t xml:space="preserve"> which</w:t>
      </w:r>
      <w:r>
        <w:rPr>
          <w:rFonts w:ascii="Arial" w:hAnsi="Arial" w:cs="Arial"/>
        </w:rPr>
        <w:t xml:space="preserve"> is binding. In that connection, considerations of judicial deference, comity and reasons of practicality do not serve to change force, effect and validity of the </w:t>
      </w:r>
      <w:proofErr w:type="spellStart"/>
      <w:r w:rsidR="006957A4">
        <w:rPr>
          <w:rFonts w:ascii="Arial" w:hAnsi="Arial" w:cs="Arial"/>
          <w:i/>
        </w:rPr>
        <w:t>Huseb</w:t>
      </w:r>
      <w:proofErr w:type="spellEnd"/>
      <w:r>
        <w:rPr>
          <w:rFonts w:ascii="Arial" w:hAnsi="Arial" w:cs="Arial"/>
          <w:i/>
        </w:rPr>
        <w:t xml:space="preserve"> </w:t>
      </w:r>
      <w:r>
        <w:rPr>
          <w:rFonts w:ascii="Arial" w:hAnsi="Arial" w:cs="Arial"/>
        </w:rPr>
        <w:t>decision.</w:t>
      </w:r>
    </w:p>
    <w:p w14:paraId="1146DB2B" w14:textId="77777777" w:rsidR="006E7858" w:rsidRDefault="006E7858" w:rsidP="0056786C">
      <w:pPr>
        <w:spacing w:line="360" w:lineRule="auto"/>
        <w:jc w:val="both"/>
        <w:rPr>
          <w:rFonts w:ascii="Arial" w:hAnsi="Arial" w:cs="Arial"/>
        </w:rPr>
      </w:pPr>
    </w:p>
    <w:p w14:paraId="117422BC" w14:textId="77777777" w:rsidR="0056786C" w:rsidRPr="00ED6150" w:rsidRDefault="0056786C" w:rsidP="0056786C">
      <w:pPr>
        <w:spacing w:line="360" w:lineRule="auto"/>
        <w:jc w:val="both"/>
        <w:rPr>
          <w:rFonts w:ascii="Arial" w:hAnsi="Arial" w:cs="Arial"/>
        </w:rPr>
      </w:pPr>
      <w:r>
        <w:rPr>
          <w:rFonts w:ascii="Arial" w:hAnsi="Arial" w:cs="Arial"/>
        </w:rPr>
        <w:t xml:space="preserve">Application was thus set down for allocation of a date for hearing the forfeiture application. </w:t>
      </w:r>
    </w:p>
    <w:p w14:paraId="40AA9FF6" w14:textId="77777777" w:rsidR="00BB3142" w:rsidRDefault="00BB3142" w:rsidP="000629E1">
      <w:pPr>
        <w:spacing w:line="360" w:lineRule="auto"/>
        <w:rPr>
          <w:rFonts w:ascii="Arial" w:hAnsi="Arial"/>
          <w:b/>
        </w:rPr>
      </w:pPr>
    </w:p>
    <w:p w14:paraId="5C7523CD" w14:textId="77777777" w:rsidR="000629E1" w:rsidRDefault="000629E1" w:rsidP="000629E1">
      <w:pPr>
        <w:pBdr>
          <w:top w:val="single" w:sz="4" w:space="1" w:color="auto"/>
          <w:bottom w:val="single" w:sz="4" w:space="1" w:color="auto"/>
        </w:pBdr>
        <w:jc w:val="center"/>
        <w:rPr>
          <w:rFonts w:ascii="Arial" w:hAnsi="Arial"/>
        </w:rPr>
      </w:pPr>
    </w:p>
    <w:p w14:paraId="56001A53" w14:textId="5CFED82A" w:rsidR="000629E1" w:rsidRPr="000629E1" w:rsidRDefault="000629E1" w:rsidP="000629E1">
      <w:pPr>
        <w:pBdr>
          <w:top w:val="single" w:sz="4" w:space="1" w:color="auto"/>
          <w:bottom w:val="single" w:sz="4" w:space="1" w:color="auto"/>
        </w:pBdr>
        <w:jc w:val="center"/>
        <w:rPr>
          <w:rFonts w:ascii="Arial" w:hAnsi="Arial"/>
          <w:b/>
        </w:rPr>
      </w:pPr>
      <w:r w:rsidRPr="000629E1">
        <w:rPr>
          <w:rFonts w:ascii="Arial" w:hAnsi="Arial"/>
          <w:b/>
        </w:rPr>
        <w:t>ORDER</w:t>
      </w:r>
    </w:p>
    <w:p w14:paraId="14EB4DCF" w14:textId="77777777" w:rsidR="000629E1" w:rsidRDefault="000629E1" w:rsidP="000629E1">
      <w:pPr>
        <w:pBdr>
          <w:top w:val="single" w:sz="4" w:space="1" w:color="auto"/>
          <w:bottom w:val="single" w:sz="4" w:space="1" w:color="auto"/>
        </w:pBdr>
        <w:jc w:val="center"/>
        <w:rPr>
          <w:rFonts w:ascii="Arial" w:hAnsi="Arial"/>
        </w:rPr>
      </w:pPr>
    </w:p>
    <w:p w14:paraId="2F6536B4" w14:textId="77777777" w:rsidR="0056786C" w:rsidRDefault="0056786C" w:rsidP="0056786C">
      <w:pPr>
        <w:pStyle w:val="ListParagraph"/>
        <w:spacing w:line="360" w:lineRule="auto"/>
        <w:jc w:val="both"/>
        <w:rPr>
          <w:rFonts w:ascii="Arial" w:hAnsi="Arial"/>
        </w:rPr>
      </w:pPr>
    </w:p>
    <w:p w14:paraId="4E685C3C" w14:textId="709109C0" w:rsidR="0056786C" w:rsidRDefault="000629E1" w:rsidP="00E37F16">
      <w:pPr>
        <w:pStyle w:val="ListParagraph"/>
        <w:spacing w:line="360" w:lineRule="auto"/>
        <w:jc w:val="both"/>
        <w:rPr>
          <w:rFonts w:ascii="Arial" w:hAnsi="Arial"/>
        </w:rPr>
      </w:pPr>
      <w:r w:rsidRPr="000629E1">
        <w:rPr>
          <w:rFonts w:ascii="Arial" w:hAnsi="Arial"/>
        </w:rPr>
        <w:t xml:space="preserve">The matter is postponed to </w:t>
      </w:r>
      <w:r w:rsidR="005A3EFA">
        <w:rPr>
          <w:rFonts w:ascii="Arial" w:hAnsi="Arial"/>
          <w:b/>
        </w:rPr>
        <w:t>2</w:t>
      </w:r>
      <w:r w:rsidRPr="000629E1">
        <w:rPr>
          <w:rFonts w:ascii="Arial" w:hAnsi="Arial"/>
          <w:b/>
        </w:rPr>
        <w:t xml:space="preserve"> November 2023</w:t>
      </w:r>
      <w:r w:rsidRPr="000629E1">
        <w:rPr>
          <w:rFonts w:ascii="Arial" w:hAnsi="Arial"/>
        </w:rPr>
        <w:t xml:space="preserve"> at </w:t>
      </w:r>
      <w:r w:rsidRPr="000629E1">
        <w:rPr>
          <w:rFonts w:ascii="Arial" w:hAnsi="Arial"/>
          <w:b/>
        </w:rPr>
        <w:t>08:30</w:t>
      </w:r>
      <w:r w:rsidRPr="000629E1">
        <w:rPr>
          <w:rFonts w:ascii="Arial" w:hAnsi="Arial"/>
        </w:rPr>
        <w:t xml:space="preserve"> for the setting of a date of hearing of the application for forfeiture in terms of section 59 of the Prevention of Organised Crime Act 29 of 2004. </w:t>
      </w:r>
    </w:p>
    <w:p w14:paraId="1A8E059C" w14:textId="77777777" w:rsidR="00A10DED" w:rsidRPr="0056786C" w:rsidRDefault="00A10DED" w:rsidP="00E37F16">
      <w:pPr>
        <w:pStyle w:val="ListParagraph"/>
        <w:spacing w:line="360" w:lineRule="auto"/>
        <w:jc w:val="both"/>
        <w:rPr>
          <w:rFonts w:ascii="Arial" w:hAnsi="Arial"/>
        </w:rPr>
      </w:pPr>
    </w:p>
    <w:p w14:paraId="6CC76560" w14:textId="77777777" w:rsidR="00BB3142" w:rsidRDefault="00BB3142" w:rsidP="000629E1">
      <w:pPr>
        <w:pBdr>
          <w:bottom w:val="single" w:sz="6" w:space="1" w:color="auto"/>
        </w:pBdr>
        <w:spacing w:line="360" w:lineRule="auto"/>
        <w:rPr>
          <w:rFonts w:ascii="Arial" w:hAnsi="Arial"/>
          <w:b/>
        </w:rPr>
      </w:pPr>
    </w:p>
    <w:p w14:paraId="3888F8E1" w14:textId="77777777" w:rsidR="00BB3142" w:rsidRDefault="00BB3142" w:rsidP="000629E1">
      <w:pPr>
        <w:rPr>
          <w:rFonts w:ascii="Arial" w:hAnsi="Arial"/>
        </w:rPr>
      </w:pPr>
    </w:p>
    <w:p w14:paraId="79C0A3E1" w14:textId="77777777" w:rsidR="00BB3142" w:rsidRDefault="00BB3142" w:rsidP="000629E1">
      <w:pPr>
        <w:jc w:val="center"/>
        <w:rPr>
          <w:rFonts w:ascii="Arial" w:hAnsi="Arial"/>
          <w:b/>
        </w:rPr>
      </w:pPr>
      <w:r>
        <w:rPr>
          <w:rFonts w:ascii="Arial" w:hAnsi="Arial"/>
          <w:b/>
        </w:rPr>
        <w:t>RULING</w:t>
      </w:r>
    </w:p>
    <w:p w14:paraId="6E5BEE44" w14:textId="77777777" w:rsidR="00BB3142" w:rsidRDefault="00BB3142" w:rsidP="000629E1">
      <w:pPr>
        <w:pBdr>
          <w:bottom w:val="single" w:sz="6" w:space="1" w:color="auto"/>
        </w:pBdr>
        <w:spacing w:line="360" w:lineRule="auto"/>
        <w:jc w:val="center"/>
        <w:rPr>
          <w:rFonts w:ascii="Arial" w:hAnsi="Arial"/>
          <w:b/>
        </w:rPr>
      </w:pPr>
    </w:p>
    <w:p w14:paraId="75C61BE5" w14:textId="77777777" w:rsidR="00BB3142" w:rsidRPr="00BB3142" w:rsidRDefault="00BB3142" w:rsidP="000629E1">
      <w:pPr>
        <w:spacing w:line="360" w:lineRule="auto"/>
        <w:rPr>
          <w:rFonts w:ascii="Arial" w:hAnsi="Arial"/>
        </w:rPr>
      </w:pPr>
    </w:p>
    <w:p w14:paraId="29BA8AA5" w14:textId="3FE5D1D3" w:rsidR="00BB3142" w:rsidRDefault="00BB3142" w:rsidP="000629E1">
      <w:pPr>
        <w:spacing w:line="360" w:lineRule="auto"/>
        <w:rPr>
          <w:rFonts w:ascii="Arial" w:hAnsi="Arial"/>
          <w:b/>
        </w:rPr>
      </w:pPr>
      <w:r>
        <w:rPr>
          <w:rFonts w:ascii="Arial" w:hAnsi="Arial"/>
          <w:b/>
        </w:rPr>
        <w:t>MASUKU J:</w:t>
      </w:r>
    </w:p>
    <w:p w14:paraId="5EBF008F" w14:textId="77777777" w:rsidR="000629E1" w:rsidRDefault="000629E1" w:rsidP="000629E1">
      <w:pPr>
        <w:spacing w:line="360" w:lineRule="auto"/>
        <w:rPr>
          <w:rFonts w:ascii="Arial" w:hAnsi="Arial"/>
          <w:u w:val="single"/>
        </w:rPr>
      </w:pPr>
    </w:p>
    <w:p w14:paraId="74659D5A" w14:textId="77777777" w:rsidR="00BB3142" w:rsidRDefault="00BB3142" w:rsidP="000629E1">
      <w:pPr>
        <w:spacing w:line="360" w:lineRule="auto"/>
        <w:rPr>
          <w:rFonts w:ascii="Arial" w:hAnsi="Arial"/>
          <w:u w:val="single"/>
        </w:rPr>
      </w:pPr>
      <w:r>
        <w:rPr>
          <w:rFonts w:ascii="Arial" w:hAnsi="Arial"/>
          <w:u w:val="single"/>
        </w:rPr>
        <w:t>Introduction</w:t>
      </w:r>
    </w:p>
    <w:p w14:paraId="6B72168C" w14:textId="77777777" w:rsidR="00842B1C" w:rsidRPr="00BB3142" w:rsidRDefault="00842B1C" w:rsidP="000629E1">
      <w:pPr>
        <w:spacing w:line="360" w:lineRule="auto"/>
        <w:rPr>
          <w:rFonts w:ascii="Arial" w:hAnsi="Arial"/>
          <w:u w:val="single"/>
        </w:rPr>
      </w:pPr>
    </w:p>
    <w:p w14:paraId="5FB2C1E0" w14:textId="72EFF8E8" w:rsidR="000629E1" w:rsidRPr="007035C1" w:rsidRDefault="007035C1" w:rsidP="007035C1">
      <w:pPr>
        <w:spacing w:line="360" w:lineRule="auto"/>
        <w:jc w:val="both"/>
        <w:rPr>
          <w:rFonts w:ascii="Arial" w:hAnsi="Arial"/>
        </w:rPr>
      </w:pPr>
      <w:r>
        <w:rPr>
          <w:rFonts w:ascii="Arial" w:hAnsi="Arial"/>
        </w:rPr>
        <w:t>[1]</w:t>
      </w:r>
      <w:r>
        <w:rPr>
          <w:rFonts w:ascii="Arial" w:hAnsi="Arial"/>
        </w:rPr>
        <w:tab/>
      </w:r>
      <w:r w:rsidR="00842B1C" w:rsidRPr="007035C1">
        <w:rPr>
          <w:rFonts w:ascii="Arial" w:hAnsi="Arial"/>
        </w:rPr>
        <w:t xml:space="preserve">The question </w:t>
      </w:r>
      <w:r w:rsidR="00673BEC" w:rsidRPr="007035C1">
        <w:rPr>
          <w:rFonts w:ascii="Arial" w:hAnsi="Arial"/>
        </w:rPr>
        <w:t>for determination in this ruling,</w:t>
      </w:r>
      <w:r w:rsidR="00842B1C" w:rsidRPr="007035C1">
        <w:rPr>
          <w:rFonts w:ascii="Arial" w:hAnsi="Arial"/>
        </w:rPr>
        <w:t xml:space="preserve"> is whether this is an appropriate case in which to proceed wi</w:t>
      </w:r>
      <w:r w:rsidR="00673BEC" w:rsidRPr="007035C1">
        <w:rPr>
          <w:rFonts w:ascii="Arial" w:hAnsi="Arial"/>
        </w:rPr>
        <w:t>th the hearing of a forfeiture</w:t>
      </w:r>
      <w:r w:rsidR="00842B1C" w:rsidRPr="007035C1">
        <w:rPr>
          <w:rFonts w:ascii="Arial" w:hAnsi="Arial"/>
        </w:rPr>
        <w:t xml:space="preserve"> of property application in terms </w:t>
      </w:r>
      <w:r w:rsidR="00BE1024" w:rsidRPr="007035C1">
        <w:rPr>
          <w:rFonts w:ascii="Arial" w:hAnsi="Arial"/>
        </w:rPr>
        <w:t xml:space="preserve">s 59 </w:t>
      </w:r>
      <w:r w:rsidR="00842B1C" w:rsidRPr="007035C1">
        <w:rPr>
          <w:rFonts w:ascii="Arial" w:hAnsi="Arial"/>
        </w:rPr>
        <w:t>of the Prevention of Organised Crimes Act 29 of 2004, (‘POCA’), notwithstanding that a judgment favourable to the respondents has been appealed</w:t>
      </w:r>
      <w:r w:rsidR="00673BEC" w:rsidRPr="007035C1">
        <w:rPr>
          <w:rFonts w:ascii="Arial" w:hAnsi="Arial"/>
        </w:rPr>
        <w:t xml:space="preserve"> by the Prosecutor-General (‘PG’),</w:t>
      </w:r>
      <w:r w:rsidR="00842B1C" w:rsidRPr="007035C1">
        <w:rPr>
          <w:rFonts w:ascii="Arial" w:hAnsi="Arial"/>
        </w:rPr>
        <w:t xml:space="preserve"> to the Supreme Court</w:t>
      </w:r>
      <w:r w:rsidR="00673BEC" w:rsidRPr="007035C1">
        <w:rPr>
          <w:rFonts w:ascii="Arial" w:hAnsi="Arial"/>
        </w:rPr>
        <w:t>.</w:t>
      </w:r>
    </w:p>
    <w:p w14:paraId="7A45B0AA" w14:textId="77777777" w:rsidR="000629E1" w:rsidRDefault="000629E1" w:rsidP="000629E1">
      <w:pPr>
        <w:pStyle w:val="ListParagraph"/>
        <w:spacing w:line="360" w:lineRule="auto"/>
        <w:ind w:left="0"/>
        <w:jc w:val="both"/>
        <w:rPr>
          <w:rFonts w:ascii="Arial" w:hAnsi="Arial"/>
        </w:rPr>
      </w:pPr>
    </w:p>
    <w:p w14:paraId="72DCC7B2" w14:textId="77777777" w:rsidR="000629E1" w:rsidRDefault="000629E1" w:rsidP="000629E1">
      <w:pPr>
        <w:spacing w:line="360" w:lineRule="auto"/>
        <w:jc w:val="both"/>
        <w:rPr>
          <w:rFonts w:ascii="Arial" w:hAnsi="Arial"/>
          <w:u w:val="single"/>
        </w:rPr>
      </w:pPr>
      <w:r>
        <w:rPr>
          <w:rFonts w:ascii="Arial" w:hAnsi="Arial"/>
          <w:u w:val="single"/>
        </w:rPr>
        <w:t>Background</w:t>
      </w:r>
    </w:p>
    <w:p w14:paraId="5E977127" w14:textId="77777777" w:rsidR="000629E1" w:rsidRDefault="000629E1" w:rsidP="000629E1">
      <w:pPr>
        <w:pStyle w:val="ListParagraph"/>
        <w:spacing w:line="360" w:lineRule="auto"/>
        <w:ind w:left="0"/>
        <w:jc w:val="both"/>
        <w:rPr>
          <w:rFonts w:ascii="Arial" w:hAnsi="Arial"/>
        </w:rPr>
      </w:pPr>
    </w:p>
    <w:p w14:paraId="06862389" w14:textId="1C20B92A" w:rsidR="000629E1" w:rsidRPr="007035C1" w:rsidRDefault="007035C1" w:rsidP="007035C1">
      <w:pPr>
        <w:spacing w:line="360" w:lineRule="auto"/>
        <w:jc w:val="both"/>
        <w:rPr>
          <w:rFonts w:ascii="Arial" w:hAnsi="Arial"/>
        </w:rPr>
      </w:pPr>
      <w:r>
        <w:rPr>
          <w:rFonts w:ascii="Arial" w:hAnsi="Arial"/>
        </w:rPr>
        <w:t>[2]</w:t>
      </w:r>
      <w:r>
        <w:rPr>
          <w:rFonts w:ascii="Arial" w:hAnsi="Arial"/>
        </w:rPr>
        <w:tab/>
      </w:r>
      <w:r w:rsidR="00BE1024" w:rsidRPr="007035C1">
        <w:rPr>
          <w:rFonts w:ascii="Arial" w:hAnsi="Arial"/>
        </w:rPr>
        <w:t xml:space="preserve">This is a matter in which </w:t>
      </w:r>
      <w:proofErr w:type="gramStart"/>
      <w:r w:rsidR="00BE1024" w:rsidRPr="007035C1">
        <w:rPr>
          <w:rFonts w:ascii="Arial" w:hAnsi="Arial"/>
        </w:rPr>
        <w:t>a number of</w:t>
      </w:r>
      <w:proofErr w:type="gramEnd"/>
      <w:r w:rsidR="00BE1024" w:rsidRPr="007035C1">
        <w:rPr>
          <w:rFonts w:ascii="Arial" w:hAnsi="Arial"/>
        </w:rPr>
        <w:t xml:space="preserve"> judgments and interlocutory rulings have</w:t>
      </w:r>
      <w:r w:rsidR="002C4294" w:rsidRPr="007035C1">
        <w:rPr>
          <w:rFonts w:ascii="Arial" w:hAnsi="Arial"/>
        </w:rPr>
        <w:t xml:space="preserve"> been</w:t>
      </w:r>
      <w:r w:rsidR="00BE1024" w:rsidRPr="007035C1">
        <w:rPr>
          <w:rFonts w:ascii="Arial" w:hAnsi="Arial"/>
        </w:rPr>
        <w:t xml:space="preserve"> </w:t>
      </w:r>
      <w:r w:rsidR="002C4294" w:rsidRPr="007035C1">
        <w:rPr>
          <w:rFonts w:ascii="Arial" w:hAnsi="Arial"/>
        </w:rPr>
        <w:t>delivered</w:t>
      </w:r>
      <w:r w:rsidR="00BE1024" w:rsidRPr="007035C1">
        <w:rPr>
          <w:rFonts w:ascii="Arial" w:hAnsi="Arial"/>
        </w:rPr>
        <w:t xml:space="preserve"> by this court on a number of matters in dispute among the parties cited as the applicant and the first and s</w:t>
      </w:r>
      <w:r w:rsidR="00E37F16" w:rsidRPr="007035C1">
        <w:rPr>
          <w:rFonts w:ascii="Arial" w:hAnsi="Arial"/>
        </w:rPr>
        <w:t>econd respondents</w:t>
      </w:r>
      <w:r w:rsidR="00BE1024" w:rsidRPr="007035C1">
        <w:rPr>
          <w:rFonts w:ascii="Arial" w:hAnsi="Arial"/>
        </w:rPr>
        <w:t>. The third respondent has long ceased being an interested party in these proceedings – in fact, it never really participated in the proceedings as far as I can recall.</w:t>
      </w:r>
    </w:p>
    <w:p w14:paraId="26E585A6" w14:textId="77777777" w:rsidR="000629E1" w:rsidRDefault="000629E1" w:rsidP="000629E1">
      <w:pPr>
        <w:pStyle w:val="ListParagraph"/>
        <w:spacing w:line="360" w:lineRule="auto"/>
        <w:ind w:left="0"/>
        <w:jc w:val="both"/>
        <w:rPr>
          <w:rFonts w:ascii="Arial" w:hAnsi="Arial"/>
        </w:rPr>
      </w:pPr>
    </w:p>
    <w:p w14:paraId="1337F60C" w14:textId="1DF64437" w:rsidR="00A10DED" w:rsidRPr="007035C1" w:rsidRDefault="007035C1" w:rsidP="007035C1">
      <w:pPr>
        <w:spacing w:line="360" w:lineRule="auto"/>
        <w:jc w:val="both"/>
        <w:rPr>
          <w:rFonts w:ascii="Arial" w:hAnsi="Arial"/>
        </w:rPr>
      </w:pPr>
      <w:r>
        <w:rPr>
          <w:rFonts w:ascii="Arial" w:hAnsi="Arial"/>
        </w:rPr>
        <w:t>[3]</w:t>
      </w:r>
      <w:r>
        <w:rPr>
          <w:rFonts w:ascii="Arial" w:hAnsi="Arial"/>
        </w:rPr>
        <w:tab/>
      </w:r>
      <w:r w:rsidR="0011764B" w:rsidRPr="007035C1">
        <w:rPr>
          <w:rFonts w:ascii="Arial" w:hAnsi="Arial"/>
        </w:rPr>
        <w:t xml:space="preserve">The latest instalment, in terms of rulings arises as a result of a constitutional application wrought by the respondents, </w:t>
      </w:r>
      <w:proofErr w:type="gramStart"/>
      <w:r w:rsidR="0011764B" w:rsidRPr="007035C1">
        <w:rPr>
          <w:rFonts w:ascii="Arial" w:hAnsi="Arial"/>
        </w:rPr>
        <w:t>ie</w:t>
      </w:r>
      <w:proofErr w:type="gramEnd"/>
      <w:r w:rsidR="0011764B" w:rsidRPr="007035C1">
        <w:rPr>
          <w:rFonts w:ascii="Arial" w:hAnsi="Arial"/>
        </w:rPr>
        <w:t xml:space="preserve"> Mr and Mrs Shilengudw</w:t>
      </w:r>
      <w:r w:rsidR="00E17504" w:rsidRPr="007035C1">
        <w:rPr>
          <w:rFonts w:ascii="Arial" w:hAnsi="Arial"/>
        </w:rPr>
        <w:t>a</w:t>
      </w:r>
      <w:r w:rsidR="0011764B" w:rsidRPr="007035C1">
        <w:rPr>
          <w:rFonts w:ascii="Arial" w:hAnsi="Arial"/>
        </w:rPr>
        <w:t>. In that application, the Shilengudwas approached a full bench of this court seeking</w:t>
      </w:r>
      <w:r w:rsidR="00E17504" w:rsidRPr="007035C1">
        <w:rPr>
          <w:rFonts w:ascii="Arial" w:hAnsi="Arial"/>
        </w:rPr>
        <w:t xml:space="preserve"> an order declaring the provisions of s1 of POCA, relating to the </w:t>
      </w:r>
      <w:r w:rsidR="00BB073D" w:rsidRPr="007035C1">
        <w:rPr>
          <w:rFonts w:ascii="Arial" w:hAnsi="Arial"/>
        </w:rPr>
        <w:t>definition</w:t>
      </w:r>
      <w:r w:rsidR="009A5ED8" w:rsidRPr="007035C1">
        <w:rPr>
          <w:rFonts w:ascii="Arial" w:hAnsi="Arial"/>
        </w:rPr>
        <w:t xml:space="preserve"> of ‘proceeds of unlawful acti</w:t>
      </w:r>
      <w:r w:rsidR="00BB073D" w:rsidRPr="007035C1">
        <w:rPr>
          <w:rFonts w:ascii="Arial" w:hAnsi="Arial"/>
        </w:rPr>
        <w:t>vities</w:t>
      </w:r>
      <w:r w:rsidR="009A5ED8" w:rsidRPr="007035C1">
        <w:rPr>
          <w:rFonts w:ascii="Arial" w:hAnsi="Arial"/>
        </w:rPr>
        <w:t>’ unconstitutional.</w:t>
      </w:r>
      <w:r w:rsidR="00BB073D" w:rsidRPr="007035C1">
        <w:rPr>
          <w:rFonts w:ascii="Arial" w:hAnsi="Arial"/>
        </w:rPr>
        <w:t xml:space="preserve"> </w:t>
      </w:r>
      <w:r w:rsidR="009A5ED8" w:rsidRPr="007035C1">
        <w:rPr>
          <w:rFonts w:ascii="Arial" w:hAnsi="Arial"/>
        </w:rPr>
        <w:t>This was to the extent that the concept of including property, which is mingled with property that is proceeds of unlawful activity, is concerned.</w:t>
      </w:r>
    </w:p>
    <w:p w14:paraId="62863654" w14:textId="2F41EF59" w:rsidR="000629E1" w:rsidRPr="007035C1" w:rsidRDefault="007035C1" w:rsidP="007035C1">
      <w:pPr>
        <w:spacing w:line="360" w:lineRule="auto"/>
        <w:jc w:val="both"/>
        <w:rPr>
          <w:rFonts w:ascii="Arial" w:hAnsi="Arial"/>
        </w:rPr>
      </w:pPr>
      <w:r w:rsidRPr="00A10DED">
        <w:rPr>
          <w:rFonts w:ascii="Arial" w:hAnsi="Arial"/>
        </w:rPr>
        <w:lastRenderedPageBreak/>
        <w:t>[4]</w:t>
      </w:r>
      <w:r w:rsidRPr="00A10DED">
        <w:rPr>
          <w:rFonts w:ascii="Arial" w:hAnsi="Arial"/>
        </w:rPr>
        <w:tab/>
      </w:r>
      <w:r w:rsidR="009A5ED8" w:rsidRPr="007035C1">
        <w:rPr>
          <w:rFonts w:ascii="Arial" w:hAnsi="Arial"/>
        </w:rPr>
        <w:t>A Full Bench of this court comprising of Oos</w:t>
      </w:r>
      <w:r w:rsidR="0019660A" w:rsidRPr="007035C1">
        <w:rPr>
          <w:rFonts w:ascii="Arial" w:hAnsi="Arial"/>
        </w:rPr>
        <w:t>t</w:t>
      </w:r>
      <w:r w:rsidR="009A5ED8" w:rsidRPr="007035C1">
        <w:rPr>
          <w:rFonts w:ascii="Arial" w:hAnsi="Arial"/>
        </w:rPr>
        <w:t xml:space="preserve">huizen J, Prinsloo </w:t>
      </w:r>
      <w:proofErr w:type="gramStart"/>
      <w:r w:rsidR="009A5ED8" w:rsidRPr="007035C1">
        <w:rPr>
          <w:rFonts w:ascii="Arial" w:hAnsi="Arial"/>
        </w:rPr>
        <w:t>J</w:t>
      </w:r>
      <w:proofErr w:type="gramEnd"/>
      <w:r w:rsidR="009A5ED8" w:rsidRPr="007035C1">
        <w:rPr>
          <w:rFonts w:ascii="Arial" w:hAnsi="Arial"/>
        </w:rPr>
        <w:t xml:space="preserve"> and the undersigned,</w:t>
      </w:r>
      <w:r w:rsidR="00D82420">
        <w:rPr>
          <w:rStyle w:val="FootnoteReference"/>
          <w:rFonts w:ascii="Arial" w:hAnsi="Arial"/>
        </w:rPr>
        <w:footnoteReference w:id="1"/>
      </w:r>
      <w:r w:rsidR="009A5ED8" w:rsidRPr="007035C1">
        <w:rPr>
          <w:rFonts w:ascii="Arial" w:hAnsi="Arial"/>
        </w:rPr>
        <w:t xml:space="preserve"> found in favour of the Shilengudwas</w:t>
      </w:r>
      <w:r w:rsidR="0019660A" w:rsidRPr="007035C1">
        <w:rPr>
          <w:rFonts w:ascii="Arial" w:hAnsi="Arial"/>
        </w:rPr>
        <w:t xml:space="preserve"> and accordingly declared the said definition unconstitutional</w:t>
      </w:r>
      <w:r w:rsidR="009A5ED8" w:rsidRPr="007035C1">
        <w:rPr>
          <w:rFonts w:ascii="Arial" w:hAnsi="Arial"/>
        </w:rPr>
        <w:t xml:space="preserve">. </w:t>
      </w:r>
      <w:r w:rsidR="00C629DE" w:rsidRPr="007035C1">
        <w:rPr>
          <w:rFonts w:ascii="Arial" w:hAnsi="Arial"/>
        </w:rPr>
        <w:t>The court held that ‘the last portion of the definition of “proceeds of unlawful activities” contained in s 1 of the Prevention of Organised Crime Act 29 of 2004</w:t>
      </w:r>
      <w:r w:rsidR="003541F2" w:rsidRPr="007035C1">
        <w:rPr>
          <w:rFonts w:ascii="Arial" w:hAnsi="Arial"/>
        </w:rPr>
        <w:t xml:space="preserve">, </w:t>
      </w:r>
      <w:r w:rsidR="002C4294" w:rsidRPr="007035C1">
        <w:rPr>
          <w:rFonts w:ascii="Arial" w:hAnsi="Arial"/>
        </w:rPr>
        <w:t xml:space="preserve">(‘POCA’), </w:t>
      </w:r>
      <w:r w:rsidR="003541F2" w:rsidRPr="007035C1">
        <w:rPr>
          <w:rFonts w:ascii="Arial" w:hAnsi="Arial"/>
        </w:rPr>
        <w:t>which reads “and includes property which is mingled with property that is proceeds of unlawful activity” is declared to be unconstitutional and is struck from the definition.’</w:t>
      </w:r>
    </w:p>
    <w:p w14:paraId="778F4FB3" w14:textId="77777777" w:rsidR="000629E1" w:rsidRDefault="000629E1" w:rsidP="000629E1">
      <w:pPr>
        <w:pStyle w:val="ListParagraph"/>
        <w:spacing w:line="360" w:lineRule="auto"/>
        <w:ind w:left="0"/>
        <w:jc w:val="both"/>
        <w:rPr>
          <w:rFonts w:ascii="Arial" w:hAnsi="Arial"/>
        </w:rPr>
      </w:pPr>
    </w:p>
    <w:p w14:paraId="68D36B80" w14:textId="10AB2FE7" w:rsidR="003541F2" w:rsidRPr="007035C1" w:rsidRDefault="007035C1" w:rsidP="007035C1">
      <w:pPr>
        <w:spacing w:line="360" w:lineRule="auto"/>
        <w:jc w:val="both"/>
        <w:rPr>
          <w:rFonts w:ascii="Arial" w:hAnsi="Arial"/>
        </w:rPr>
      </w:pPr>
      <w:r w:rsidRPr="000629E1">
        <w:rPr>
          <w:rFonts w:ascii="Arial" w:hAnsi="Arial"/>
        </w:rPr>
        <w:t>[5]</w:t>
      </w:r>
      <w:r w:rsidRPr="000629E1">
        <w:rPr>
          <w:rFonts w:ascii="Arial" w:hAnsi="Arial"/>
        </w:rPr>
        <w:tab/>
      </w:r>
      <w:r w:rsidR="003541F2" w:rsidRPr="007035C1">
        <w:rPr>
          <w:rFonts w:ascii="Arial" w:hAnsi="Arial"/>
        </w:rPr>
        <w:t xml:space="preserve">Aggrieved by the decision of the court, the PG filed a notice of appeal, seeking that the order of this court, declaring the said provision unconstitutional, be set aside. The question that confronts this court is whether the noting of the appeal should have a staying effect on the implementation of the judgment of the Full Bench, pending a final determination of the issue by the Supreme Court. </w:t>
      </w:r>
    </w:p>
    <w:p w14:paraId="11CFF8BA" w14:textId="77777777" w:rsidR="002855A5" w:rsidRDefault="002855A5" w:rsidP="000629E1">
      <w:pPr>
        <w:spacing w:line="360" w:lineRule="auto"/>
        <w:jc w:val="both"/>
        <w:rPr>
          <w:rFonts w:ascii="Arial" w:hAnsi="Arial"/>
        </w:rPr>
      </w:pPr>
    </w:p>
    <w:p w14:paraId="7285BF46" w14:textId="77777777" w:rsidR="002855A5" w:rsidRDefault="002855A5" w:rsidP="000629E1">
      <w:pPr>
        <w:spacing w:line="360" w:lineRule="auto"/>
        <w:jc w:val="both"/>
        <w:rPr>
          <w:rFonts w:ascii="Arial" w:hAnsi="Arial"/>
          <w:u w:val="single"/>
        </w:rPr>
      </w:pPr>
      <w:r>
        <w:rPr>
          <w:rFonts w:ascii="Arial" w:hAnsi="Arial"/>
          <w:u w:val="single"/>
        </w:rPr>
        <w:t>The arguments</w:t>
      </w:r>
    </w:p>
    <w:p w14:paraId="1007DA1E" w14:textId="77777777" w:rsidR="002855A5" w:rsidRDefault="002855A5" w:rsidP="000629E1">
      <w:pPr>
        <w:spacing w:line="360" w:lineRule="auto"/>
        <w:jc w:val="both"/>
        <w:rPr>
          <w:rFonts w:ascii="Arial" w:hAnsi="Arial"/>
          <w:u w:val="single"/>
        </w:rPr>
      </w:pPr>
    </w:p>
    <w:p w14:paraId="08FC2BB6" w14:textId="45DD9F02" w:rsidR="000629E1" w:rsidRPr="007035C1" w:rsidRDefault="007035C1" w:rsidP="007035C1">
      <w:pPr>
        <w:spacing w:line="360" w:lineRule="auto"/>
        <w:jc w:val="both"/>
        <w:rPr>
          <w:rFonts w:ascii="Arial" w:hAnsi="Arial"/>
        </w:rPr>
      </w:pPr>
      <w:r>
        <w:rPr>
          <w:rFonts w:ascii="Arial" w:hAnsi="Arial"/>
        </w:rPr>
        <w:t>[6]</w:t>
      </w:r>
      <w:r>
        <w:rPr>
          <w:rFonts w:ascii="Arial" w:hAnsi="Arial"/>
        </w:rPr>
        <w:tab/>
      </w:r>
      <w:r w:rsidR="002855A5" w:rsidRPr="007035C1">
        <w:rPr>
          <w:rFonts w:ascii="Arial" w:hAnsi="Arial"/>
        </w:rPr>
        <w:t xml:space="preserve">Mr Heathcote, for the respondents, applied that the matter should, with the constitutional ruling in the respondents’ favour, proceed to forfeiture stage in terms of s 59 of POCA. He argued that the respondents have, whilst the matter was pending, been deprived of the use of the money that was held unlawfully, </w:t>
      </w:r>
      <w:proofErr w:type="gramStart"/>
      <w:r w:rsidR="002855A5" w:rsidRPr="007035C1">
        <w:rPr>
          <w:rFonts w:ascii="Arial" w:hAnsi="Arial"/>
        </w:rPr>
        <w:t>as a result of</w:t>
      </w:r>
      <w:proofErr w:type="gramEnd"/>
      <w:r w:rsidR="002855A5" w:rsidRPr="007035C1">
        <w:rPr>
          <w:rFonts w:ascii="Arial" w:hAnsi="Arial"/>
        </w:rPr>
        <w:t xml:space="preserve"> the overbroad definition of unlawful activities, as recorded in s 1 of POCA. It was his argument that the respondents should not be denied the enjoyment of the judgment pending the appeal.</w:t>
      </w:r>
    </w:p>
    <w:p w14:paraId="379522CB" w14:textId="77777777" w:rsidR="000629E1" w:rsidRDefault="000629E1" w:rsidP="000629E1">
      <w:pPr>
        <w:pStyle w:val="ListParagraph"/>
        <w:spacing w:line="360" w:lineRule="auto"/>
        <w:ind w:left="0"/>
        <w:jc w:val="both"/>
        <w:rPr>
          <w:rFonts w:ascii="Arial" w:hAnsi="Arial"/>
        </w:rPr>
      </w:pPr>
    </w:p>
    <w:p w14:paraId="119E295E" w14:textId="41EA703B" w:rsidR="000629E1" w:rsidRPr="007035C1" w:rsidRDefault="007035C1" w:rsidP="007035C1">
      <w:pPr>
        <w:spacing w:line="360" w:lineRule="auto"/>
        <w:jc w:val="both"/>
        <w:rPr>
          <w:rFonts w:ascii="Arial" w:hAnsi="Arial"/>
        </w:rPr>
      </w:pPr>
      <w:r>
        <w:rPr>
          <w:rFonts w:ascii="Arial" w:hAnsi="Arial"/>
        </w:rPr>
        <w:t>[7]</w:t>
      </w:r>
      <w:r>
        <w:rPr>
          <w:rFonts w:ascii="Arial" w:hAnsi="Arial"/>
        </w:rPr>
        <w:tab/>
      </w:r>
      <w:r w:rsidR="002855A5" w:rsidRPr="007035C1">
        <w:rPr>
          <w:rFonts w:ascii="Arial" w:hAnsi="Arial"/>
        </w:rPr>
        <w:t>Much store was laid by Mr Heathcote</w:t>
      </w:r>
      <w:r w:rsidR="0047729D" w:rsidRPr="007035C1">
        <w:rPr>
          <w:rFonts w:ascii="Arial" w:hAnsi="Arial"/>
        </w:rPr>
        <w:t>, in support of his argument</w:t>
      </w:r>
      <w:r w:rsidR="002855A5" w:rsidRPr="007035C1">
        <w:rPr>
          <w:rFonts w:ascii="Arial" w:hAnsi="Arial"/>
        </w:rPr>
        <w:t xml:space="preserve"> on a judgment of a Full Bench of this court, per Smuts J and Miller JA in </w:t>
      </w:r>
      <w:r w:rsidR="002855A5" w:rsidRPr="007035C1">
        <w:rPr>
          <w:rFonts w:ascii="Arial" w:hAnsi="Arial"/>
          <w:i/>
        </w:rPr>
        <w:t xml:space="preserve">S v </w:t>
      </w:r>
      <w:proofErr w:type="spellStart"/>
      <w:r w:rsidR="006957A4" w:rsidRPr="007035C1">
        <w:rPr>
          <w:rFonts w:ascii="Arial" w:hAnsi="Arial"/>
          <w:i/>
        </w:rPr>
        <w:t>Huseb</w:t>
      </w:r>
      <w:proofErr w:type="spellEnd"/>
      <w:r w:rsidR="0047729D" w:rsidRPr="007035C1">
        <w:rPr>
          <w:rFonts w:ascii="Arial" w:hAnsi="Arial"/>
        </w:rPr>
        <w:t>.</w:t>
      </w:r>
      <w:r w:rsidR="002855A5">
        <w:rPr>
          <w:rStyle w:val="FootnoteReference"/>
          <w:rFonts w:ascii="Arial" w:hAnsi="Arial"/>
          <w:i/>
        </w:rPr>
        <w:footnoteReference w:id="2"/>
      </w:r>
      <w:r w:rsidR="0047729D" w:rsidRPr="007035C1">
        <w:rPr>
          <w:rFonts w:ascii="Arial" w:hAnsi="Arial"/>
        </w:rPr>
        <w:t xml:space="preserve"> In that case, s 14 of the Stock Theft Act 12 of 1990, which imposed mandatory sentences on convicts, was struck down as being unconstitutional. The PG noted an appeal against the order of unconstitutionality returned by </w:t>
      </w:r>
      <w:r w:rsidR="0047729D" w:rsidRPr="007035C1">
        <w:rPr>
          <w:rFonts w:ascii="Arial" w:hAnsi="Arial"/>
        </w:rPr>
        <w:lastRenderedPageBreak/>
        <w:t xml:space="preserve">the High Court. </w:t>
      </w:r>
      <w:r w:rsidR="001A1A61" w:rsidRPr="007035C1">
        <w:rPr>
          <w:rFonts w:ascii="Arial" w:hAnsi="Arial"/>
        </w:rPr>
        <w:t>As the appeal on the correctness of the decision of this court was pending, the trial magistrate did not impose the mandatory sentences, in line with the finding of this court. That was so notwithstanding that the question was still to be resolved finally by the Supreme Court.</w:t>
      </w:r>
    </w:p>
    <w:p w14:paraId="1C62D63C" w14:textId="77777777" w:rsidR="000629E1" w:rsidRDefault="000629E1" w:rsidP="000629E1">
      <w:pPr>
        <w:pStyle w:val="ListParagraph"/>
        <w:spacing w:line="360" w:lineRule="auto"/>
        <w:ind w:left="0"/>
        <w:jc w:val="both"/>
        <w:rPr>
          <w:rFonts w:ascii="Arial" w:hAnsi="Arial"/>
        </w:rPr>
      </w:pPr>
    </w:p>
    <w:p w14:paraId="32F9261F" w14:textId="2E3F3E25" w:rsidR="001A1A61" w:rsidRPr="007035C1" w:rsidRDefault="007035C1" w:rsidP="007035C1">
      <w:pPr>
        <w:spacing w:line="360" w:lineRule="auto"/>
        <w:jc w:val="both"/>
        <w:rPr>
          <w:rFonts w:ascii="Arial" w:hAnsi="Arial"/>
        </w:rPr>
      </w:pPr>
      <w:r w:rsidRPr="000629E1">
        <w:rPr>
          <w:rFonts w:ascii="Arial" w:hAnsi="Arial"/>
        </w:rPr>
        <w:t>[8]</w:t>
      </w:r>
      <w:r w:rsidRPr="000629E1">
        <w:rPr>
          <w:rFonts w:ascii="Arial" w:hAnsi="Arial"/>
        </w:rPr>
        <w:tab/>
      </w:r>
      <w:r w:rsidR="001A1A61" w:rsidRPr="007035C1">
        <w:rPr>
          <w:rFonts w:ascii="Arial" w:hAnsi="Arial"/>
        </w:rPr>
        <w:t>Mr Heathcote</w:t>
      </w:r>
      <w:proofErr w:type="gramStart"/>
      <w:r w:rsidR="001A1A61" w:rsidRPr="007035C1">
        <w:rPr>
          <w:rFonts w:ascii="Arial" w:hAnsi="Arial"/>
        </w:rPr>
        <w:t>, in particular, referred</w:t>
      </w:r>
      <w:proofErr w:type="gramEnd"/>
      <w:r w:rsidR="001A1A61" w:rsidRPr="007035C1">
        <w:rPr>
          <w:rFonts w:ascii="Arial" w:hAnsi="Arial"/>
        </w:rPr>
        <w:t xml:space="preserve"> to the following paragraphs in the judgment, namely paras 17 and 18, where this court expressed itself as follows:</w:t>
      </w:r>
    </w:p>
    <w:p w14:paraId="1B384AA1" w14:textId="77777777" w:rsidR="001A1A61" w:rsidRDefault="001A1A61" w:rsidP="000629E1">
      <w:pPr>
        <w:spacing w:line="360" w:lineRule="auto"/>
        <w:jc w:val="both"/>
        <w:rPr>
          <w:rFonts w:ascii="Arial" w:hAnsi="Arial"/>
        </w:rPr>
      </w:pPr>
    </w:p>
    <w:p w14:paraId="5993D462" w14:textId="182A3DFF" w:rsidR="001A1A61" w:rsidRDefault="001A1A61" w:rsidP="000629E1">
      <w:pPr>
        <w:spacing w:line="360" w:lineRule="auto"/>
        <w:jc w:val="both"/>
        <w:rPr>
          <w:rFonts w:ascii="Arial" w:hAnsi="Arial"/>
          <w:sz w:val="22"/>
          <w:szCs w:val="22"/>
        </w:rPr>
      </w:pPr>
      <w:r>
        <w:rPr>
          <w:rFonts w:ascii="Arial" w:hAnsi="Arial"/>
        </w:rPr>
        <w:tab/>
        <w:t>‘</w:t>
      </w:r>
      <w:r>
        <w:rPr>
          <w:rFonts w:ascii="Arial" w:hAnsi="Arial"/>
          <w:sz w:val="22"/>
          <w:szCs w:val="22"/>
        </w:rPr>
        <w:t>[17] I respectfully agree with the approach of the South African</w:t>
      </w:r>
      <w:r w:rsidR="001A18D9">
        <w:rPr>
          <w:rFonts w:ascii="Arial" w:hAnsi="Arial"/>
          <w:sz w:val="22"/>
          <w:szCs w:val="22"/>
        </w:rPr>
        <w:t xml:space="preserve"> Constitutional Court that an appeal against a declaration of constitutional validity of legislation will not breathe new life into that law in the absence of a competent court tampering the effect of the order of constitutional invalidity as contemplated by art 25(1)(</w:t>
      </w:r>
      <w:r w:rsidR="001A18D9">
        <w:rPr>
          <w:rFonts w:ascii="Arial" w:hAnsi="Arial"/>
          <w:i/>
          <w:sz w:val="22"/>
          <w:szCs w:val="22"/>
        </w:rPr>
        <w:t>a</w:t>
      </w:r>
      <w:r w:rsidR="001A18D9">
        <w:rPr>
          <w:rFonts w:ascii="Arial" w:hAnsi="Arial"/>
          <w:sz w:val="22"/>
          <w:szCs w:val="22"/>
        </w:rPr>
        <w:t>). It could follow in my view that the common-law rule that the execution of a judgment</w:t>
      </w:r>
      <w:r w:rsidR="00661288">
        <w:rPr>
          <w:rFonts w:ascii="Arial" w:hAnsi="Arial"/>
          <w:sz w:val="22"/>
          <w:szCs w:val="22"/>
        </w:rPr>
        <w:t xml:space="preserve"> is suspended pending an appeal would likewise have no application to declarati</w:t>
      </w:r>
      <w:r w:rsidR="002C4294">
        <w:rPr>
          <w:rFonts w:ascii="Arial" w:hAnsi="Arial"/>
          <w:sz w:val="22"/>
          <w:szCs w:val="22"/>
        </w:rPr>
        <w:t>ons</w:t>
      </w:r>
      <w:r w:rsidR="00661288">
        <w:rPr>
          <w:rFonts w:ascii="Arial" w:hAnsi="Arial"/>
          <w:sz w:val="22"/>
          <w:szCs w:val="22"/>
        </w:rPr>
        <w:t xml:space="preserve"> of constitutional invalidity of legislation.</w:t>
      </w:r>
    </w:p>
    <w:p w14:paraId="1747A1E6" w14:textId="77777777" w:rsidR="00661288" w:rsidRDefault="00661288" w:rsidP="000629E1">
      <w:pPr>
        <w:spacing w:line="360" w:lineRule="auto"/>
        <w:jc w:val="both"/>
        <w:rPr>
          <w:rFonts w:ascii="Arial" w:hAnsi="Arial"/>
          <w:sz w:val="22"/>
          <w:szCs w:val="22"/>
        </w:rPr>
      </w:pPr>
    </w:p>
    <w:p w14:paraId="321AB66B" w14:textId="77777777" w:rsidR="009B4335" w:rsidRDefault="00661288" w:rsidP="000629E1">
      <w:pPr>
        <w:spacing w:line="360" w:lineRule="auto"/>
        <w:jc w:val="both"/>
        <w:rPr>
          <w:rFonts w:ascii="Arial" w:hAnsi="Arial"/>
          <w:sz w:val="22"/>
          <w:szCs w:val="22"/>
        </w:rPr>
      </w:pPr>
      <w:r>
        <w:rPr>
          <w:rFonts w:ascii="Arial" w:hAnsi="Arial"/>
          <w:sz w:val="22"/>
          <w:szCs w:val="22"/>
        </w:rPr>
        <w:t>[18]</w:t>
      </w:r>
      <w:r>
        <w:rPr>
          <w:rFonts w:ascii="Arial" w:hAnsi="Arial"/>
          <w:sz w:val="22"/>
          <w:szCs w:val="22"/>
        </w:rPr>
        <w:tab/>
        <w:t>It would follow in the circumstances that the appeal against the declaration of invalidity of the two subsections in the Stock Theft Act by the full court would not have the effect of suspending the operation of that judgment. It follows that the sentence imposed by the magistrate in this matter was thus valid and competent in the circumstances.’</w:t>
      </w:r>
    </w:p>
    <w:p w14:paraId="16C16DC7" w14:textId="77777777" w:rsidR="000629E1" w:rsidRDefault="000629E1" w:rsidP="000629E1">
      <w:pPr>
        <w:spacing w:line="360" w:lineRule="auto"/>
        <w:jc w:val="both"/>
        <w:rPr>
          <w:rFonts w:ascii="Arial" w:hAnsi="Arial"/>
          <w:sz w:val="22"/>
          <w:szCs w:val="22"/>
        </w:rPr>
      </w:pPr>
    </w:p>
    <w:p w14:paraId="551C8B2E" w14:textId="69F9A955" w:rsidR="000629E1" w:rsidRPr="007035C1" w:rsidRDefault="007035C1" w:rsidP="007035C1">
      <w:pPr>
        <w:spacing w:line="360" w:lineRule="auto"/>
        <w:jc w:val="both"/>
        <w:rPr>
          <w:rFonts w:ascii="Arial" w:hAnsi="Arial"/>
        </w:rPr>
      </w:pPr>
      <w:r>
        <w:rPr>
          <w:rFonts w:ascii="Arial" w:hAnsi="Arial"/>
        </w:rPr>
        <w:t>[9]</w:t>
      </w:r>
      <w:r>
        <w:rPr>
          <w:rFonts w:ascii="Arial" w:hAnsi="Arial"/>
        </w:rPr>
        <w:tab/>
      </w:r>
      <w:r w:rsidR="009B4335" w:rsidRPr="007035C1">
        <w:rPr>
          <w:rFonts w:ascii="Arial" w:hAnsi="Arial"/>
        </w:rPr>
        <w:t xml:space="preserve">Mr Heathcote accordingly implored the court to follow the </w:t>
      </w:r>
      <w:r w:rsidR="009B4335" w:rsidRPr="007035C1">
        <w:rPr>
          <w:rFonts w:ascii="Arial" w:hAnsi="Arial"/>
          <w:i/>
        </w:rPr>
        <w:t xml:space="preserve">ratio </w:t>
      </w:r>
      <w:r w:rsidR="002C4294" w:rsidRPr="007035C1">
        <w:rPr>
          <w:rFonts w:ascii="Arial" w:hAnsi="Arial"/>
        </w:rPr>
        <w:t xml:space="preserve">of the </w:t>
      </w:r>
      <w:proofErr w:type="spellStart"/>
      <w:r w:rsidR="006957A4" w:rsidRPr="007035C1">
        <w:rPr>
          <w:rFonts w:ascii="Arial" w:hAnsi="Arial"/>
          <w:i/>
        </w:rPr>
        <w:t>Huseb</w:t>
      </w:r>
      <w:proofErr w:type="spellEnd"/>
      <w:r w:rsidR="002C4294" w:rsidRPr="007035C1">
        <w:rPr>
          <w:rFonts w:ascii="Arial" w:hAnsi="Arial"/>
          <w:i/>
        </w:rPr>
        <w:t xml:space="preserve"> </w:t>
      </w:r>
      <w:r w:rsidR="002C4294" w:rsidRPr="007035C1">
        <w:rPr>
          <w:rFonts w:ascii="Arial" w:hAnsi="Arial"/>
        </w:rPr>
        <w:t xml:space="preserve">matter. He, </w:t>
      </w:r>
      <w:proofErr w:type="gramStart"/>
      <w:r w:rsidR="002C4294" w:rsidRPr="007035C1">
        <w:rPr>
          <w:rFonts w:ascii="Arial" w:hAnsi="Arial"/>
        </w:rPr>
        <w:t>in particular urged</w:t>
      </w:r>
      <w:proofErr w:type="gramEnd"/>
      <w:r w:rsidR="002C4294" w:rsidRPr="007035C1">
        <w:rPr>
          <w:rFonts w:ascii="Arial" w:hAnsi="Arial"/>
        </w:rPr>
        <w:t xml:space="preserve"> the court to consider</w:t>
      </w:r>
      <w:r w:rsidR="009B4335" w:rsidRPr="007035C1">
        <w:rPr>
          <w:rFonts w:ascii="Arial" w:hAnsi="Arial"/>
        </w:rPr>
        <w:t xml:space="preserve"> that the respondents’ funds have been preserved since 3 May 2018, thus occasioning some hardships on them in providing for themselves in line with a provision that has been held to be unconstitutional. The noting of an appeal by the PG does not, further submitted Mr Heathcote, breathe life to the portion of the definition that has been held to be unconstitutional.</w:t>
      </w:r>
    </w:p>
    <w:p w14:paraId="08F2DFBE" w14:textId="77777777" w:rsidR="00A10DED" w:rsidRPr="00E37F16" w:rsidRDefault="00A10DED" w:rsidP="00A10DED">
      <w:pPr>
        <w:pStyle w:val="ListParagraph"/>
        <w:spacing w:line="360" w:lineRule="auto"/>
        <w:ind w:left="0"/>
        <w:jc w:val="both"/>
        <w:rPr>
          <w:rFonts w:ascii="Arial" w:hAnsi="Arial"/>
        </w:rPr>
      </w:pPr>
    </w:p>
    <w:p w14:paraId="2312080B" w14:textId="0972E50B" w:rsidR="000629E1" w:rsidRPr="007035C1" w:rsidRDefault="007035C1" w:rsidP="007035C1">
      <w:pPr>
        <w:spacing w:line="360" w:lineRule="auto"/>
        <w:jc w:val="both"/>
        <w:rPr>
          <w:rFonts w:ascii="Arial" w:hAnsi="Arial"/>
        </w:rPr>
      </w:pPr>
      <w:r>
        <w:rPr>
          <w:rFonts w:ascii="Arial" w:hAnsi="Arial"/>
        </w:rPr>
        <w:t>[10]</w:t>
      </w:r>
      <w:r>
        <w:rPr>
          <w:rFonts w:ascii="Arial" w:hAnsi="Arial"/>
        </w:rPr>
        <w:tab/>
      </w:r>
      <w:r w:rsidR="009B4335" w:rsidRPr="007035C1">
        <w:rPr>
          <w:rFonts w:ascii="Arial" w:hAnsi="Arial"/>
        </w:rPr>
        <w:t xml:space="preserve">Mr </w:t>
      </w:r>
      <w:proofErr w:type="spellStart"/>
      <w:r w:rsidR="009B4335" w:rsidRPr="007035C1">
        <w:rPr>
          <w:rFonts w:ascii="Arial" w:hAnsi="Arial"/>
        </w:rPr>
        <w:t>Budlender</w:t>
      </w:r>
      <w:proofErr w:type="spellEnd"/>
      <w:r w:rsidR="009B4335" w:rsidRPr="007035C1">
        <w:rPr>
          <w:rFonts w:ascii="Arial" w:hAnsi="Arial"/>
        </w:rPr>
        <w:t xml:space="preserve">, who </w:t>
      </w:r>
      <w:r w:rsidR="00867CF0" w:rsidRPr="007035C1">
        <w:rPr>
          <w:rFonts w:ascii="Arial" w:hAnsi="Arial"/>
        </w:rPr>
        <w:t>represented the PG argued contrariwise. First, it was hi</w:t>
      </w:r>
      <w:r w:rsidR="002C4294" w:rsidRPr="007035C1">
        <w:rPr>
          <w:rFonts w:ascii="Arial" w:hAnsi="Arial"/>
        </w:rPr>
        <w:t>s</w:t>
      </w:r>
      <w:r w:rsidR="00867CF0" w:rsidRPr="007035C1">
        <w:rPr>
          <w:rFonts w:ascii="Arial" w:hAnsi="Arial"/>
        </w:rPr>
        <w:t xml:space="preserve"> argument that if we take a few steps back, we will realise that this court ordered the forfeiture application to be heard after the constitutional matter had been heard. It was his argument that because of the noting of the </w:t>
      </w:r>
      <w:r w:rsidR="00867CF0" w:rsidRPr="007035C1">
        <w:rPr>
          <w:rFonts w:ascii="Arial" w:hAnsi="Arial"/>
        </w:rPr>
        <w:lastRenderedPageBreak/>
        <w:t>appeal against the judgment of the Full Bench, it follows that the constitutional matter has not yet been finalised. That being the case, the forfeiture application can only be dealt with by this court after the Supreme Court speaks the final word on this matter.</w:t>
      </w:r>
    </w:p>
    <w:p w14:paraId="65C320C7" w14:textId="77777777" w:rsidR="000629E1" w:rsidRDefault="000629E1" w:rsidP="000629E1">
      <w:pPr>
        <w:pStyle w:val="ListParagraph"/>
        <w:spacing w:line="360" w:lineRule="auto"/>
        <w:ind w:left="0"/>
        <w:jc w:val="both"/>
        <w:rPr>
          <w:rFonts w:ascii="Arial" w:hAnsi="Arial"/>
        </w:rPr>
      </w:pPr>
    </w:p>
    <w:p w14:paraId="60DDACA8" w14:textId="579C0EB7" w:rsidR="000629E1" w:rsidRPr="007035C1" w:rsidRDefault="007035C1" w:rsidP="007035C1">
      <w:pPr>
        <w:spacing w:line="360" w:lineRule="auto"/>
        <w:jc w:val="both"/>
        <w:rPr>
          <w:rFonts w:ascii="Arial" w:hAnsi="Arial"/>
        </w:rPr>
      </w:pPr>
      <w:r>
        <w:rPr>
          <w:rFonts w:ascii="Arial" w:hAnsi="Arial"/>
        </w:rPr>
        <w:t>[11]</w:t>
      </w:r>
      <w:r>
        <w:rPr>
          <w:rFonts w:ascii="Arial" w:hAnsi="Arial"/>
        </w:rPr>
        <w:tab/>
      </w:r>
      <w:r w:rsidR="00867CF0" w:rsidRPr="007035C1">
        <w:rPr>
          <w:rFonts w:ascii="Arial" w:hAnsi="Arial"/>
        </w:rPr>
        <w:t xml:space="preserve">In regard to </w:t>
      </w:r>
      <w:proofErr w:type="spellStart"/>
      <w:r w:rsidR="006957A4" w:rsidRPr="007035C1">
        <w:rPr>
          <w:rFonts w:ascii="Arial" w:hAnsi="Arial"/>
          <w:i/>
        </w:rPr>
        <w:t>Huseb</w:t>
      </w:r>
      <w:proofErr w:type="spellEnd"/>
      <w:r w:rsidR="00867CF0" w:rsidRPr="007035C1">
        <w:rPr>
          <w:rFonts w:ascii="Arial" w:hAnsi="Arial"/>
          <w:i/>
        </w:rPr>
        <w:t xml:space="preserve">, </w:t>
      </w:r>
      <w:r w:rsidR="00867CF0" w:rsidRPr="007035C1">
        <w:rPr>
          <w:rFonts w:ascii="Arial" w:hAnsi="Arial"/>
        </w:rPr>
        <w:t xml:space="preserve">it was submitted on the PG’s behalf that </w:t>
      </w:r>
      <w:r w:rsidR="00CE0EAD" w:rsidRPr="007035C1">
        <w:rPr>
          <w:rFonts w:ascii="Arial" w:hAnsi="Arial"/>
        </w:rPr>
        <w:t>the order by the Full Bench in this matter, is in force. That notwithstanding, the judgment of the Full Bench does not constitute a final determination on the validity of the provision in question. That will be done only once the Supreme Court has spoken the final word on the matter.</w:t>
      </w:r>
      <w:r w:rsidR="00116E1E" w:rsidRPr="007035C1">
        <w:rPr>
          <w:rFonts w:ascii="Arial" w:hAnsi="Arial"/>
        </w:rPr>
        <w:t xml:space="preserve"> The court was thus urged to stay the hearing of the forfeiture application until the matter has been finally determined by the Supreme Court.</w:t>
      </w:r>
    </w:p>
    <w:p w14:paraId="2BFDBC3B" w14:textId="77777777" w:rsidR="000629E1" w:rsidRDefault="000629E1" w:rsidP="000629E1">
      <w:pPr>
        <w:pStyle w:val="ListParagraph"/>
        <w:spacing w:line="360" w:lineRule="auto"/>
        <w:ind w:left="0"/>
        <w:jc w:val="both"/>
        <w:rPr>
          <w:rFonts w:ascii="Arial" w:hAnsi="Arial"/>
        </w:rPr>
      </w:pPr>
    </w:p>
    <w:p w14:paraId="002D1C49" w14:textId="16CEA23F" w:rsidR="000629E1" w:rsidRPr="007035C1" w:rsidRDefault="007035C1" w:rsidP="007035C1">
      <w:pPr>
        <w:spacing w:line="360" w:lineRule="auto"/>
        <w:jc w:val="both"/>
        <w:rPr>
          <w:rFonts w:ascii="Arial" w:hAnsi="Arial"/>
        </w:rPr>
      </w:pPr>
      <w:r>
        <w:rPr>
          <w:rFonts w:ascii="Arial" w:hAnsi="Arial"/>
        </w:rPr>
        <w:t>[12]</w:t>
      </w:r>
      <w:r>
        <w:rPr>
          <w:rFonts w:ascii="Arial" w:hAnsi="Arial"/>
        </w:rPr>
        <w:tab/>
      </w:r>
      <w:r w:rsidR="00116E1E" w:rsidRPr="007035C1">
        <w:rPr>
          <w:rFonts w:ascii="Arial" w:hAnsi="Arial"/>
        </w:rPr>
        <w:t xml:space="preserve">It was also urged on the PG’s behalf that the considerations of </w:t>
      </w:r>
      <w:r w:rsidR="00FB7D72" w:rsidRPr="007035C1">
        <w:rPr>
          <w:rFonts w:ascii="Arial" w:hAnsi="Arial"/>
        </w:rPr>
        <w:t xml:space="preserve">practicality should dictate that the forfeiture application should stand over for determination until the judgment of the Supreme Court. It was argued that for the court to proceed to hear the forfeiture application, carries with it inherent risks that this court may decide the forfeiture </w:t>
      </w:r>
      <w:proofErr w:type="gramStart"/>
      <w:r w:rsidR="00FB7D72" w:rsidRPr="007035C1">
        <w:rPr>
          <w:rFonts w:ascii="Arial" w:hAnsi="Arial"/>
        </w:rPr>
        <w:t>on the basis of</w:t>
      </w:r>
      <w:proofErr w:type="gramEnd"/>
      <w:r w:rsidR="00FB7D72" w:rsidRPr="007035C1">
        <w:rPr>
          <w:rFonts w:ascii="Arial" w:hAnsi="Arial"/>
        </w:rPr>
        <w:t xml:space="preserve"> a version that the Supreme Court may find is not sustainable. It was further argued that the possibility exists that the forfeiture application may be rendered moot after all and once the Supreme Court has rend</w:t>
      </w:r>
      <w:r w:rsidR="000629E1" w:rsidRPr="007035C1">
        <w:rPr>
          <w:rFonts w:ascii="Arial" w:hAnsi="Arial"/>
        </w:rPr>
        <w:t>ered its decision on the matter.</w:t>
      </w:r>
    </w:p>
    <w:p w14:paraId="487A0DAD" w14:textId="77777777" w:rsidR="000629E1" w:rsidRDefault="000629E1" w:rsidP="000629E1">
      <w:pPr>
        <w:pStyle w:val="ListParagraph"/>
        <w:spacing w:line="360" w:lineRule="auto"/>
        <w:ind w:left="0"/>
        <w:jc w:val="both"/>
        <w:rPr>
          <w:rFonts w:ascii="Arial" w:hAnsi="Arial"/>
        </w:rPr>
      </w:pPr>
    </w:p>
    <w:p w14:paraId="694015EF" w14:textId="486BC6DA" w:rsidR="000629E1" w:rsidRPr="007035C1" w:rsidRDefault="007035C1" w:rsidP="007035C1">
      <w:pPr>
        <w:spacing w:line="360" w:lineRule="auto"/>
        <w:jc w:val="both"/>
        <w:rPr>
          <w:rFonts w:ascii="Arial" w:hAnsi="Arial"/>
        </w:rPr>
      </w:pPr>
      <w:r>
        <w:rPr>
          <w:rFonts w:ascii="Arial" w:hAnsi="Arial"/>
        </w:rPr>
        <w:t>[13]</w:t>
      </w:r>
      <w:r>
        <w:rPr>
          <w:rFonts w:ascii="Arial" w:hAnsi="Arial"/>
        </w:rPr>
        <w:tab/>
      </w:r>
      <w:r w:rsidR="00FB7D72" w:rsidRPr="007035C1">
        <w:rPr>
          <w:rFonts w:ascii="Arial" w:hAnsi="Arial"/>
        </w:rPr>
        <w:t xml:space="preserve">Finally, it was submitted on the PG’s behalf that when the entire matter is </w:t>
      </w:r>
      <w:proofErr w:type="gramStart"/>
      <w:r w:rsidR="00FB7D72" w:rsidRPr="007035C1">
        <w:rPr>
          <w:rFonts w:ascii="Arial" w:hAnsi="Arial"/>
        </w:rPr>
        <w:t>taken into account</w:t>
      </w:r>
      <w:proofErr w:type="gramEnd"/>
      <w:r w:rsidR="00FB7D72" w:rsidRPr="007035C1">
        <w:rPr>
          <w:rFonts w:ascii="Arial" w:hAnsi="Arial"/>
        </w:rPr>
        <w:t>, it becomes clear that practicality, judicial prudence, judicial deference and judicial economy, all point inexorably in one direction – namely, the stay of the hearing of the forfeiture application until the Supreme Court has pronounced itself on this very imp</w:t>
      </w:r>
      <w:r w:rsidR="00C65F90" w:rsidRPr="007035C1">
        <w:rPr>
          <w:rFonts w:ascii="Arial" w:hAnsi="Arial"/>
        </w:rPr>
        <w:t>ortant matter. The court was al</w:t>
      </w:r>
      <w:r w:rsidR="00FB7D72" w:rsidRPr="007035C1">
        <w:rPr>
          <w:rFonts w:ascii="Arial" w:hAnsi="Arial"/>
        </w:rPr>
        <w:t>s</w:t>
      </w:r>
      <w:r w:rsidR="00C65F90" w:rsidRPr="007035C1">
        <w:rPr>
          <w:rFonts w:ascii="Arial" w:hAnsi="Arial"/>
        </w:rPr>
        <w:t>o</w:t>
      </w:r>
      <w:r w:rsidR="00FB7D72" w:rsidRPr="007035C1">
        <w:rPr>
          <w:rFonts w:ascii="Arial" w:hAnsi="Arial"/>
        </w:rPr>
        <w:t xml:space="preserve"> requested to consider that the appeal has not been noted </w:t>
      </w:r>
      <w:r w:rsidR="00C65F90" w:rsidRPr="007035C1">
        <w:rPr>
          <w:rFonts w:ascii="Arial" w:hAnsi="Arial"/>
        </w:rPr>
        <w:t xml:space="preserve">for frivolous reasons or ends. </w:t>
      </w:r>
    </w:p>
    <w:p w14:paraId="687E412E" w14:textId="77777777" w:rsidR="00A10DED" w:rsidRPr="002C4294" w:rsidRDefault="00A10DED" w:rsidP="00A10DED">
      <w:pPr>
        <w:pStyle w:val="ListParagraph"/>
        <w:spacing w:line="360" w:lineRule="auto"/>
        <w:ind w:left="0"/>
        <w:jc w:val="both"/>
        <w:rPr>
          <w:rFonts w:ascii="Arial" w:hAnsi="Arial"/>
        </w:rPr>
      </w:pPr>
    </w:p>
    <w:p w14:paraId="400964B6" w14:textId="3A0CD810" w:rsidR="000629E1" w:rsidRPr="007035C1" w:rsidRDefault="007035C1" w:rsidP="007035C1">
      <w:pPr>
        <w:spacing w:line="360" w:lineRule="auto"/>
        <w:jc w:val="both"/>
        <w:rPr>
          <w:rFonts w:ascii="Arial" w:hAnsi="Arial"/>
        </w:rPr>
      </w:pPr>
      <w:r>
        <w:rPr>
          <w:rFonts w:ascii="Arial" w:hAnsi="Arial"/>
        </w:rPr>
        <w:t>[14]</w:t>
      </w:r>
      <w:r>
        <w:rPr>
          <w:rFonts w:ascii="Arial" w:hAnsi="Arial"/>
        </w:rPr>
        <w:tab/>
      </w:r>
      <w:r w:rsidR="00C65F90" w:rsidRPr="007035C1">
        <w:rPr>
          <w:rFonts w:ascii="Arial" w:hAnsi="Arial"/>
        </w:rPr>
        <w:t xml:space="preserve">The appeal, the court was reminded by the PG, concerns a very important and serious matter of constitutional interpretation that may change the landscape in this regard. There is nothing that should, that </w:t>
      </w:r>
      <w:proofErr w:type="gramStart"/>
      <w:r w:rsidR="00C65F90" w:rsidRPr="007035C1">
        <w:rPr>
          <w:rFonts w:ascii="Arial" w:hAnsi="Arial"/>
        </w:rPr>
        <w:t xml:space="preserve">taken into </w:t>
      </w:r>
      <w:r w:rsidR="00C65F90" w:rsidRPr="007035C1">
        <w:rPr>
          <w:rFonts w:ascii="Arial" w:hAnsi="Arial"/>
        </w:rPr>
        <w:lastRenderedPageBreak/>
        <w:t>account</w:t>
      </w:r>
      <w:proofErr w:type="gramEnd"/>
      <w:r w:rsidR="00C65F90" w:rsidRPr="007035C1">
        <w:rPr>
          <w:rFonts w:ascii="Arial" w:hAnsi="Arial"/>
        </w:rPr>
        <w:t xml:space="preserve">, prevent the Supreme Court being allowed to deal with the matter with finality, once and for all before judicial clarity is attained. </w:t>
      </w:r>
    </w:p>
    <w:p w14:paraId="03758F02" w14:textId="77777777" w:rsidR="00C0127D" w:rsidRDefault="00C0127D" w:rsidP="00C0127D">
      <w:pPr>
        <w:pStyle w:val="ListParagraph"/>
        <w:spacing w:line="360" w:lineRule="auto"/>
        <w:ind w:left="0"/>
        <w:jc w:val="both"/>
        <w:rPr>
          <w:rFonts w:ascii="Arial" w:hAnsi="Arial"/>
        </w:rPr>
      </w:pPr>
    </w:p>
    <w:p w14:paraId="291C343F" w14:textId="6D4417EE" w:rsidR="00C65F90" w:rsidRPr="007035C1" w:rsidRDefault="007035C1" w:rsidP="007035C1">
      <w:pPr>
        <w:spacing w:line="360" w:lineRule="auto"/>
        <w:jc w:val="both"/>
        <w:rPr>
          <w:rFonts w:ascii="Arial" w:hAnsi="Arial"/>
        </w:rPr>
      </w:pPr>
      <w:r w:rsidRPr="000629E1">
        <w:rPr>
          <w:rFonts w:ascii="Arial" w:hAnsi="Arial"/>
        </w:rPr>
        <w:t>[15]</w:t>
      </w:r>
      <w:r w:rsidRPr="000629E1">
        <w:rPr>
          <w:rFonts w:ascii="Arial" w:hAnsi="Arial"/>
        </w:rPr>
        <w:tab/>
      </w:r>
      <w:r w:rsidR="00470363" w:rsidRPr="007035C1">
        <w:rPr>
          <w:rFonts w:ascii="Arial" w:hAnsi="Arial"/>
        </w:rPr>
        <w:t>In a b</w:t>
      </w:r>
      <w:r w:rsidR="00C65F90" w:rsidRPr="007035C1">
        <w:rPr>
          <w:rFonts w:ascii="Arial" w:hAnsi="Arial"/>
        </w:rPr>
        <w:t xml:space="preserve">rief reply, </w:t>
      </w:r>
      <w:r w:rsidR="00470363" w:rsidRPr="007035C1">
        <w:rPr>
          <w:rFonts w:ascii="Arial" w:hAnsi="Arial"/>
        </w:rPr>
        <w:t>Mr Heathcote asked a rhetorical question – does the PG’s stance mean that there will be no forfeiture application that this court will entertain until the Supreme Court has spo</w:t>
      </w:r>
      <w:r w:rsidR="00E37F16" w:rsidRPr="007035C1">
        <w:rPr>
          <w:rFonts w:ascii="Arial" w:hAnsi="Arial"/>
        </w:rPr>
        <w:t>ken the last word on the matter?</w:t>
      </w:r>
      <w:r w:rsidR="00470363" w:rsidRPr="007035C1">
        <w:rPr>
          <w:rFonts w:ascii="Arial" w:hAnsi="Arial"/>
        </w:rPr>
        <w:t xml:space="preserve"> Mr Boonzaier, who appeared when the matter came for a status hearing, contented himself by stating that the PG stands by the heads of argument filed.</w:t>
      </w:r>
    </w:p>
    <w:p w14:paraId="5684F3C4" w14:textId="77777777" w:rsidR="00FD058B" w:rsidRDefault="00FD058B" w:rsidP="000629E1">
      <w:pPr>
        <w:spacing w:line="360" w:lineRule="auto"/>
        <w:jc w:val="both"/>
        <w:rPr>
          <w:rFonts w:ascii="Arial" w:hAnsi="Arial"/>
        </w:rPr>
      </w:pPr>
    </w:p>
    <w:p w14:paraId="458898C5" w14:textId="1A82B46F" w:rsidR="00FD058B" w:rsidRDefault="00FD058B" w:rsidP="000629E1">
      <w:pPr>
        <w:spacing w:line="360" w:lineRule="auto"/>
        <w:jc w:val="both"/>
        <w:rPr>
          <w:rFonts w:ascii="Arial" w:hAnsi="Arial"/>
          <w:u w:val="single"/>
        </w:rPr>
      </w:pPr>
      <w:r>
        <w:rPr>
          <w:rFonts w:ascii="Arial" w:hAnsi="Arial"/>
          <w:u w:val="single"/>
        </w:rPr>
        <w:t>Determination</w:t>
      </w:r>
    </w:p>
    <w:p w14:paraId="2350B6BB" w14:textId="77777777" w:rsidR="00FD058B" w:rsidRDefault="00FD058B" w:rsidP="000629E1">
      <w:pPr>
        <w:spacing w:line="360" w:lineRule="auto"/>
        <w:jc w:val="both"/>
        <w:rPr>
          <w:rFonts w:ascii="Arial" w:hAnsi="Arial"/>
          <w:u w:val="single"/>
        </w:rPr>
      </w:pPr>
    </w:p>
    <w:p w14:paraId="2AA31252" w14:textId="48964B2B" w:rsidR="000629E1" w:rsidRPr="007035C1" w:rsidRDefault="007035C1" w:rsidP="007035C1">
      <w:pPr>
        <w:spacing w:line="360" w:lineRule="auto"/>
        <w:jc w:val="both"/>
        <w:rPr>
          <w:rFonts w:ascii="Arial" w:hAnsi="Arial"/>
        </w:rPr>
      </w:pPr>
      <w:r>
        <w:rPr>
          <w:rFonts w:ascii="Arial" w:hAnsi="Arial"/>
        </w:rPr>
        <w:t>[16]</w:t>
      </w:r>
      <w:r>
        <w:rPr>
          <w:rFonts w:ascii="Arial" w:hAnsi="Arial"/>
        </w:rPr>
        <w:tab/>
      </w:r>
      <w:r w:rsidR="00FD058B" w:rsidRPr="007035C1">
        <w:rPr>
          <w:rFonts w:ascii="Arial" w:hAnsi="Arial"/>
        </w:rPr>
        <w:t xml:space="preserve">I have listened and considered the argument presented on behalf of both protagonists and for which I am most grateful. I do not, considering the submissions by the PG, get the impression that the PG argues that the </w:t>
      </w:r>
      <w:proofErr w:type="spellStart"/>
      <w:r w:rsidR="006957A4" w:rsidRPr="007035C1">
        <w:rPr>
          <w:rFonts w:ascii="Arial" w:hAnsi="Arial"/>
          <w:i/>
        </w:rPr>
        <w:t>Huseb</w:t>
      </w:r>
      <w:proofErr w:type="spellEnd"/>
      <w:r w:rsidR="00B9101D" w:rsidRPr="007035C1">
        <w:rPr>
          <w:rFonts w:ascii="Arial" w:hAnsi="Arial"/>
          <w:i/>
        </w:rPr>
        <w:t xml:space="preserve"> </w:t>
      </w:r>
      <w:r w:rsidR="00B9101D" w:rsidRPr="007035C1">
        <w:rPr>
          <w:rFonts w:ascii="Arial" w:hAnsi="Arial"/>
        </w:rPr>
        <w:t>case was wrongly decided and is as such not worthy of being followed by this court.</w:t>
      </w:r>
    </w:p>
    <w:p w14:paraId="78E04146" w14:textId="77777777" w:rsidR="000629E1" w:rsidRDefault="000629E1" w:rsidP="000629E1">
      <w:pPr>
        <w:pStyle w:val="ListParagraph"/>
        <w:spacing w:line="360" w:lineRule="auto"/>
        <w:ind w:left="0"/>
        <w:jc w:val="both"/>
        <w:rPr>
          <w:rFonts w:ascii="Arial" w:hAnsi="Arial"/>
        </w:rPr>
      </w:pPr>
    </w:p>
    <w:p w14:paraId="12F751AC" w14:textId="3A4B22D8" w:rsidR="000629E1" w:rsidRPr="007035C1" w:rsidRDefault="007035C1" w:rsidP="007035C1">
      <w:pPr>
        <w:spacing w:line="360" w:lineRule="auto"/>
        <w:jc w:val="both"/>
        <w:rPr>
          <w:rFonts w:ascii="Arial" w:hAnsi="Arial"/>
        </w:rPr>
      </w:pPr>
      <w:r>
        <w:rPr>
          <w:rFonts w:ascii="Arial" w:hAnsi="Arial"/>
        </w:rPr>
        <w:t>[17]</w:t>
      </w:r>
      <w:r>
        <w:rPr>
          <w:rFonts w:ascii="Arial" w:hAnsi="Arial"/>
        </w:rPr>
        <w:tab/>
      </w:r>
      <w:r w:rsidR="00B9101D" w:rsidRPr="007035C1">
        <w:rPr>
          <w:rFonts w:ascii="Arial" w:hAnsi="Arial"/>
        </w:rPr>
        <w:t>I consider that the judgment was delivered by two eminent judges of this court. It was a fully reasoned judgment that lays down a principle, to the effect that where a declaration of invalidity has been returned by this court, an appeal against that declaration, does not have the effect of suspending the operation of this court’s judgment, the appeal notwithstanding.</w:t>
      </w:r>
    </w:p>
    <w:p w14:paraId="1C0E2FA6" w14:textId="77777777" w:rsidR="000629E1" w:rsidRDefault="000629E1" w:rsidP="000629E1">
      <w:pPr>
        <w:pStyle w:val="ListParagraph"/>
        <w:spacing w:line="360" w:lineRule="auto"/>
        <w:ind w:left="0"/>
        <w:jc w:val="both"/>
        <w:rPr>
          <w:rFonts w:ascii="Arial" w:hAnsi="Arial"/>
        </w:rPr>
      </w:pPr>
    </w:p>
    <w:p w14:paraId="101485AB" w14:textId="302C16B2" w:rsidR="000629E1" w:rsidRPr="007035C1" w:rsidRDefault="007035C1" w:rsidP="007035C1">
      <w:pPr>
        <w:spacing w:line="360" w:lineRule="auto"/>
        <w:jc w:val="both"/>
        <w:rPr>
          <w:rFonts w:ascii="Arial" w:hAnsi="Arial"/>
        </w:rPr>
      </w:pPr>
      <w:r>
        <w:rPr>
          <w:rFonts w:ascii="Arial" w:hAnsi="Arial"/>
        </w:rPr>
        <w:t>[18]</w:t>
      </w:r>
      <w:r>
        <w:rPr>
          <w:rFonts w:ascii="Arial" w:hAnsi="Arial"/>
        </w:rPr>
        <w:tab/>
      </w:r>
      <w:r w:rsidR="002C4294" w:rsidRPr="007035C1">
        <w:rPr>
          <w:rFonts w:ascii="Arial" w:hAnsi="Arial"/>
        </w:rPr>
        <w:t>As</w:t>
      </w:r>
      <w:r w:rsidR="00B9101D" w:rsidRPr="007035C1">
        <w:rPr>
          <w:rFonts w:ascii="Arial" w:hAnsi="Arial"/>
        </w:rPr>
        <w:t xml:space="preserve"> intimated above, it was not argued that the judgment in </w:t>
      </w:r>
      <w:proofErr w:type="spellStart"/>
      <w:r w:rsidR="006957A4" w:rsidRPr="007035C1">
        <w:rPr>
          <w:rFonts w:ascii="Arial" w:hAnsi="Arial"/>
          <w:i/>
        </w:rPr>
        <w:t>Huseb</w:t>
      </w:r>
      <w:proofErr w:type="spellEnd"/>
      <w:r w:rsidR="00B9101D" w:rsidRPr="007035C1">
        <w:rPr>
          <w:rFonts w:ascii="Arial" w:hAnsi="Arial"/>
          <w:i/>
        </w:rPr>
        <w:t xml:space="preserve"> </w:t>
      </w:r>
      <w:r w:rsidR="00B9101D" w:rsidRPr="007035C1">
        <w:rPr>
          <w:rFonts w:ascii="Arial" w:hAnsi="Arial"/>
        </w:rPr>
        <w:t>is wrong or was wrongly decided. I also take it into account that it being a judgment of a full court, that it is binding on me</w:t>
      </w:r>
      <w:r w:rsidR="002944A4" w:rsidRPr="007035C1">
        <w:rPr>
          <w:rFonts w:ascii="Arial" w:hAnsi="Arial"/>
        </w:rPr>
        <w:t xml:space="preserve">. This becomes more pronounced in the absence of an argument or submission that the judgment was wrongly decided. I consider that the judgment is correct and that it </w:t>
      </w:r>
      <w:proofErr w:type="gramStart"/>
      <w:r w:rsidR="002944A4" w:rsidRPr="007035C1">
        <w:rPr>
          <w:rFonts w:ascii="Arial" w:hAnsi="Arial"/>
        </w:rPr>
        <w:t>is</w:t>
      </w:r>
      <w:proofErr w:type="gramEnd"/>
      <w:r w:rsidR="002944A4" w:rsidRPr="007035C1">
        <w:rPr>
          <w:rFonts w:ascii="Arial" w:hAnsi="Arial"/>
        </w:rPr>
        <w:t xml:space="preserve"> furthermore, binding on me, sitting as</w:t>
      </w:r>
      <w:r w:rsidR="00E37F16" w:rsidRPr="007035C1">
        <w:rPr>
          <w:rFonts w:ascii="Arial" w:hAnsi="Arial"/>
        </w:rPr>
        <w:t xml:space="preserve"> I do, as a single J</w:t>
      </w:r>
      <w:r w:rsidR="002944A4" w:rsidRPr="007035C1">
        <w:rPr>
          <w:rFonts w:ascii="Arial" w:hAnsi="Arial"/>
        </w:rPr>
        <w:t>udge of this court.</w:t>
      </w:r>
    </w:p>
    <w:p w14:paraId="2A2DCD91" w14:textId="77777777" w:rsidR="000629E1" w:rsidRDefault="000629E1" w:rsidP="000629E1">
      <w:pPr>
        <w:pStyle w:val="ListParagraph"/>
        <w:spacing w:line="360" w:lineRule="auto"/>
        <w:ind w:left="0"/>
        <w:jc w:val="both"/>
        <w:rPr>
          <w:rFonts w:ascii="Arial" w:hAnsi="Arial"/>
        </w:rPr>
      </w:pPr>
    </w:p>
    <w:p w14:paraId="5DFBE184" w14:textId="39C93631" w:rsidR="000629E1" w:rsidRPr="007035C1" w:rsidRDefault="007035C1" w:rsidP="007035C1">
      <w:pPr>
        <w:spacing w:line="360" w:lineRule="auto"/>
        <w:jc w:val="both"/>
        <w:rPr>
          <w:rFonts w:ascii="Arial" w:hAnsi="Arial"/>
        </w:rPr>
      </w:pPr>
      <w:r>
        <w:rPr>
          <w:rFonts w:ascii="Arial" w:hAnsi="Arial"/>
        </w:rPr>
        <w:t>[19]</w:t>
      </w:r>
      <w:r>
        <w:rPr>
          <w:rFonts w:ascii="Arial" w:hAnsi="Arial"/>
        </w:rPr>
        <w:tab/>
      </w:r>
      <w:r w:rsidR="002944A4" w:rsidRPr="007035C1">
        <w:rPr>
          <w:rFonts w:ascii="Arial" w:hAnsi="Arial"/>
        </w:rPr>
        <w:t xml:space="preserve">I do </w:t>
      </w:r>
      <w:proofErr w:type="gramStart"/>
      <w:r w:rsidR="002944A4" w:rsidRPr="007035C1">
        <w:rPr>
          <w:rFonts w:ascii="Arial" w:hAnsi="Arial"/>
        </w:rPr>
        <w:t>understand perfectly</w:t>
      </w:r>
      <w:proofErr w:type="gramEnd"/>
      <w:r w:rsidR="002944A4" w:rsidRPr="007035C1">
        <w:rPr>
          <w:rFonts w:ascii="Arial" w:hAnsi="Arial"/>
        </w:rPr>
        <w:t xml:space="preserve"> that in an ideal world, it would be prudent, practical and convenient to allow the Supreme Court to speak the last word on this matter before the question of forfeiture is entertained in this matter. That </w:t>
      </w:r>
      <w:r w:rsidR="002944A4" w:rsidRPr="007035C1">
        <w:rPr>
          <w:rFonts w:ascii="Arial" w:hAnsi="Arial"/>
        </w:rPr>
        <w:lastRenderedPageBreak/>
        <w:t>is, however,</w:t>
      </w:r>
      <w:r w:rsidR="00D34E7C" w:rsidRPr="007035C1">
        <w:rPr>
          <w:rFonts w:ascii="Arial" w:hAnsi="Arial"/>
        </w:rPr>
        <w:t xml:space="preserve"> not the test. The full court in</w:t>
      </w:r>
      <w:r w:rsidR="002944A4" w:rsidRPr="007035C1">
        <w:rPr>
          <w:rFonts w:ascii="Arial" w:hAnsi="Arial"/>
        </w:rPr>
        <w:t xml:space="preserve"> </w:t>
      </w:r>
      <w:proofErr w:type="spellStart"/>
      <w:r w:rsidR="006957A4" w:rsidRPr="007035C1">
        <w:rPr>
          <w:rFonts w:ascii="Arial" w:hAnsi="Arial"/>
          <w:i/>
        </w:rPr>
        <w:t>Huseb</w:t>
      </w:r>
      <w:proofErr w:type="spellEnd"/>
      <w:r w:rsidR="002944A4" w:rsidRPr="007035C1">
        <w:rPr>
          <w:rFonts w:ascii="Arial" w:hAnsi="Arial"/>
          <w:i/>
        </w:rPr>
        <w:t xml:space="preserve"> </w:t>
      </w:r>
      <w:r w:rsidR="002944A4" w:rsidRPr="007035C1">
        <w:rPr>
          <w:rFonts w:ascii="Arial" w:hAnsi="Arial"/>
        </w:rPr>
        <w:t>pronounced itself with devastating clarity that once an appeal is noted against a declaration of invalidity of a legislative provision, which is the very issue in this matter,</w:t>
      </w:r>
      <w:r w:rsidR="00D34E7C" w:rsidRPr="007035C1">
        <w:rPr>
          <w:rFonts w:ascii="Arial" w:hAnsi="Arial"/>
        </w:rPr>
        <w:t xml:space="preserve"> ‘the common law rule that the execution of a judgment is suspended pending an appeal would have no </w:t>
      </w:r>
      <w:r w:rsidR="002F71CD" w:rsidRPr="007035C1">
        <w:rPr>
          <w:rFonts w:ascii="Arial" w:hAnsi="Arial"/>
        </w:rPr>
        <w:t>application .</w:t>
      </w:r>
      <w:r w:rsidR="00D34E7C" w:rsidRPr="007035C1">
        <w:rPr>
          <w:rFonts w:ascii="Arial" w:hAnsi="Arial"/>
        </w:rPr>
        <w:t xml:space="preserve"> . .’ echoes resoundingly and is binding upon me.</w:t>
      </w:r>
      <w:r w:rsidR="002944A4" w:rsidRPr="007035C1">
        <w:rPr>
          <w:rFonts w:ascii="Arial" w:hAnsi="Arial"/>
        </w:rPr>
        <w:t xml:space="preserve"> </w:t>
      </w:r>
    </w:p>
    <w:p w14:paraId="6D7BBB87" w14:textId="77777777" w:rsidR="000629E1" w:rsidRDefault="000629E1" w:rsidP="000629E1">
      <w:pPr>
        <w:pStyle w:val="ListParagraph"/>
        <w:spacing w:line="360" w:lineRule="auto"/>
        <w:ind w:left="0"/>
        <w:jc w:val="both"/>
        <w:rPr>
          <w:rFonts w:ascii="Arial" w:hAnsi="Arial"/>
        </w:rPr>
      </w:pPr>
    </w:p>
    <w:p w14:paraId="08853EFB" w14:textId="7CF8D68B" w:rsidR="000629E1" w:rsidRPr="007035C1" w:rsidRDefault="007035C1" w:rsidP="007035C1">
      <w:pPr>
        <w:spacing w:line="360" w:lineRule="auto"/>
        <w:jc w:val="both"/>
        <w:rPr>
          <w:rFonts w:ascii="Arial" w:hAnsi="Arial"/>
        </w:rPr>
      </w:pPr>
      <w:r>
        <w:rPr>
          <w:rFonts w:ascii="Arial" w:hAnsi="Arial"/>
        </w:rPr>
        <w:t>[20]</w:t>
      </w:r>
      <w:r>
        <w:rPr>
          <w:rFonts w:ascii="Arial" w:hAnsi="Arial"/>
        </w:rPr>
        <w:tab/>
      </w:r>
      <w:r w:rsidR="00D34E7C" w:rsidRPr="007035C1">
        <w:rPr>
          <w:rFonts w:ascii="Arial" w:hAnsi="Arial"/>
        </w:rPr>
        <w:t xml:space="preserve">I cannot, in this wise, close my eyes to the hardship that the respondents have been subjected </w:t>
      </w:r>
      <w:r w:rsidR="002F71CD" w:rsidRPr="007035C1">
        <w:rPr>
          <w:rFonts w:ascii="Arial" w:hAnsi="Arial"/>
        </w:rPr>
        <w:t>to,</w:t>
      </w:r>
      <w:r w:rsidR="00D34E7C" w:rsidRPr="007035C1">
        <w:rPr>
          <w:rFonts w:ascii="Arial" w:hAnsi="Arial"/>
        </w:rPr>
        <w:t xml:space="preserve"> as this matter has been determined in this court over the last few years. </w:t>
      </w:r>
      <w:r w:rsidR="006957A4" w:rsidRPr="007035C1">
        <w:rPr>
          <w:rFonts w:ascii="Arial" w:hAnsi="Arial"/>
        </w:rPr>
        <w:t xml:space="preserve">I say this cognizant that the respondents are not entirely without blame for the matter being drawn out </w:t>
      </w:r>
      <w:proofErr w:type="gramStart"/>
      <w:r w:rsidR="006957A4" w:rsidRPr="007035C1">
        <w:rPr>
          <w:rFonts w:ascii="Arial" w:hAnsi="Arial"/>
        </w:rPr>
        <w:t>as long as</w:t>
      </w:r>
      <w:proofErr w:type="gramEnd"/>
      <w:r w:rsidR="006957A4" w:rsidRPr="007035C1">
        <w:rPr>
          <w:rFonts w:ascii="Arial" w:hAnsi="Arial"/>
        </w:rPr>
        <w:t xml:space="preserve"> it has been. That said, </w:t>
      </w:r>
      <w:r w:rsidR="00D34E7C" w:rsidRPr="007035C1">
        <w:rPr>
          <w:rFonts w:ascii="Arial" w:hAnsi="Arial"/>
        </w:rPr>
        <w:t>I am of the considered view that there is nothing that should prevent</w:t>
      </w:r>
      <w:r w:rsidR="0021132F" w:rsidRPr="007035C1">
        <w:rPr>
          <w:rFonts w:ascii="Arial" w:hAnsi="Arial"/>
        </w:rPr>
        <w:t xml:space="preserve"> or stay the forfeiture application from being heard and determined</w:t>
      </w:r>
      <w:r w:rsidR="00D34E7C" w:rsidRPr="007035C1">
        <w:rPr>
          <w:rFonts w:ascii="Arial" w:hAnsi="Arial"/>
        </w:rPr>
        <w:t xml:space="preserve"> notwithstanding that the appeal has been noted</w:t>
      </w:r>
      <w:r w:rsidR="0021132F" w:rsidRPr="007035C1">
        <w:rPr>
          <w:rFonts w:ascii="Arial" w:hAnsi="Arial"/>
        </w:rPr>
        <w:t xml:space="preserve">. That is how I understand the imperatives of </w:t>
      </w:r>
      <w:proofErr w:type="spellStart"/>
      <w:r w:rsidR="006957A4" w:rsidRPr="007035C1">
        <w:rPr>
          <w:rFonts w:ascii="Arial" w:hAnsi="Arial"/>
          <w:i/>
        </w:rPr>
        <w:t>Huseb</w:t>
      </w:r>
      <w:proofErr w:type="spellEnd"/>
      <w:r w:rsidR="0021132F" w:rsidRPr="007035C1">
        <w:rPr>
          <w:rFonts w:ascii="Arial" w:hAnsi="Arial"/>
        </w:rPr>
        <w:t>, binding as they are and constitute the law in Namibia</w:t>
      </w:r>
      <w:r w:rsidR="002C4294" w:rsidRPr="007035C1">
        <w:rPr>
          <w:rFonts w:ascii="Arial" w:hAnsi="Arial"/>
        </w:rPr>
        <w:t xml:space="preserve"> presently</w:t>
      </w:r>
      <w:r w:rsidR="0021132F" w:rsidRPr="007035C1">
        <w:rPr>
          <w:rFonts w:ascii="Arial" w:hAnsi="Arial"/>
        </w:rPr>
        <w:t>.</w:t>
      </w:r>
    </w:p>
    <w:p w14:paraId="459FA3D8" w14:textId="77777777" w:rsidR="000629E1" w:rsidRDefault="000629E1" w:rsidP="000629E1">
      <w:pPr>
        <w:pStyle w:val="ListParagraph"/>
        <w:spacing w:line="360" w:lineRule="auto"/>
        <w:ind w:left="0"/>
        <w:jc w:val="both"/>
        <w:rPr>
          <w:rFonts w:ascii="Arial" w:hAnsi="Arial"/>
        </w:rPr>
      </w:pPr>
    </w:p>
    <w:p w14:paraId="1ECB6889" w14:textId="111FA259" w:rsidR="006E7858" w:rsidRPr="007035C1" w:rsidRDefault="007035C1" w:rsidP="007035C1">
      <w:pPr>
        <w:spacing w:line="360" w:lineRule="auto"/>
        <w:jc w:val="both"/>
        <w:rPr>
          <w:rFonts w:ascii="Arial" w:hAnsi="Arial"/>
        </w:rPr>
      </w:pPr>
      <w:r>
        <w:rPr>
          <w:rFonts w:ascii="Arial" w:hAnsi="Arial"/>
        </w:rPr>
        <w:t>[21]</w:t>
      </w:r>
      <w:r>
        <w:rPr>
          <w:rFonts w:ascii="Arial" w:hAnsi="Arial"/>
        </w:rPr>
        <w:tab/>
      </w:r>
      <w:r w:rsidR="0021132F" w:rsidRPr="007035C1">
        <w:rPr>
          <w:rFonts w:ascii="Arial" w:hAnsi="Arial"/>
        </w:rPr>
        <w:t xml:space="preserve">I am not able nor equipped to answer the rhetorical question posed by Mr Heathcote regarding whether the appeal suspends all applications for forfeiture. I do not, in any event, </w:t>
      </w:r>
      <w:proofErr w:type="gramStart"/>
      <w:r w:rsidR="0021132F" w:rsidRPr="007035C1">
        <w:rPr>
          <w:rFonts w:ascii="Arial" w:hAnsi="Arial"/>
        </w:rPr>
        <w:t>have to</w:t>
      </w:r>
      <w:proofErr w:type="gramEnd"/>
      <w:r w:rsidR="0021132F" w:rsidRPr="007035C1">
        <w:rPr>
          <w:rFonts w:ascii="Arial" w:hAnsi="Arial"/>
        </w:rPr>
        <w:t xml:space="preserve"> answer that question because all I need to do is to follow what I understand to be a judgment that is correct in principle and the law and one which has binding effect on me, as I have already stated.</w:t>
      </w:r>
    </w:p>
    <w:p w14:paraId="37F6A8C5" w14:textId="77777777" w:rsidR="006E7858" w:rsidRDefault="006E7858" w:rsidP="006E7858">
      <w:pPr>
        <w:pStyle w:val="ListParagraph"/>
        <w:spacing w:line="360" w:lineRule="auto"/>
        <w:ind w:left="0"/>
        <w:jc w:val="both"/>
        <w:rPr>
          <w:rFonts w:ascii="Arial" w:hAnsi="Arial"/>
        </w:rPr>
      </w:pPr>
    </w:p>
    <w:p w14:paraId="0EFB6EF4" w14:textId="395D96D2" w:rsidR="009136D8" w:rsidRPr="007035C1" w:rsidRDefault="007035C1" w:rsidP="007035C1">
      <w:pPr>
        <w:spacing w:line="360" w:lineRule="auto"/>
        <w:jc w:val="both"/>
        <w:rPr>
          <w:rFonts w:ascii="Arial" w:hAnsi="Arial"/>
        </w:rPr>
      </w:pPr>
      <w:r>
        <w:rPr>
          <w:rFonts w:ascii="Arial" w:hAnsi="Arial"/>
        </w:rPr>
        <w:t>[22]</w:t>
      </w:r>
      <w:r>
        <w:rPr>
          <w:rFonts w:ascii="Arial" w:hAnsi="Arial"/>
        </w:rPr>
        <w:tab/>
      </w:r>
      <w:r w:rsidR="006E7858" w:rsidRPr="007035C1">
        <w:rPr>
          <w:rFonts w:ascii="Arial" w:hAnsi="Arial"/>
        </w:rPr>
        <w:t xml:space="preserve">It must be mentioned that </w:t>
      </w:r>
      <w:proofErr w:type="spellStart"/>
      <w:r w:rsidR="006957A4" w:rsidRPr="007035C1">
        <w:rPr>
          <w:rFonts w:ascii="Arial" w:hAnsi="Arial"/>
          <w:i/>
        </w:rPr>
        <w:t>Huseb</w:t>
      </w:r>
      <w:proofErr w:type="spellEnd"/>
      <w:r w:rsidR="006E7858" w:rsidRPr="007035C1">
        <w:rPr>
          <w:rFonts w:ascii="Arial" w:hAnsi="Arial"/>
        </w:rPr>
        <w:t xml:space="preserve"> states that an appeal against a declaration of constitutional validity of legislation does not breathe new life in the absence of a competent court tampering with the effect of the order. In the instant case there is no such order and as such, there no reason why the hearing of the application for forfeiture should not ensue. </w:t>
      </w:r>
    </w:p>
    <w:p w14:paraId="4F660839" w14:textId="77777777" w:rsidR="00A10DED" w:rsidRPr="00A10DED" w:rsidRDefault="00A10DED" w:rsidP="00A10DED">
      <w:pPr>
        <w:pStyle w:val="ListParagraph"/>
        <w:spacing w:line="360" w:lineRule="auto"/>
        <w:ind w:left="0"/>
        <w:jc w:val="both"/>
        <w:rPr>
          <w:rFonts w:ascii="Arial" w:hAnsi="Arial"/>
        </w:rPr>
      </w:pPr>
    </w:p>
    <w:p w14:paraId="78BB8673" w14:textId="277386DE" w:rsidR="0021132F" w:rsidRDefault="0021132F" w:rsidP="000629E1">
      <w:pPr>
        <w:spacing w:line="360" w:lineRule="auto"/>
        <w:jc w:val="both"/>
        <w:rPr>
          <w:rFonts w:ascii="Arial" w:hAnsi="Arial"/>
          <w:u w:val="single"/>
        </w:rPr>
      </w:pPr>
      <w:r>
        <w:rPr>
          <w:rFonts w:ascii="Arial" w:hAnsi="Arial"/>
          <w:u w:val="single"/>
        </w:rPr>
        <w:t>Conclusion</w:t>
      </w:r>
    </w:p>
    <w:p w14:paraId="4D21DEF7" w14:textId="77777777" w:rsidR="0021132F" w:rsidRDefault="0021132F" w:rsidP="000629E1">
      <w:pPr>
        <w:spacing w:line="360" w:lineRule="auto"/>
        <w:jc w:val="both"/>
        <w:rPr>
          <w:rFonts w:ascii="Arial" w:hAnsi="Arial"/>
          <w:u w:val="single"/>
        </w:rPr>
      </w:pPr>
    </w:p>
    <w:p w14:paraId="1609C406" w14:textId="06E0BBE0" w:rsidR="0021132F" w:rsidRPr="007035C1" w:rsidRDefault="007035C1" w:rsidP="007035C1">
      <w:pPr>
        <w:spacing w:line="360" w:lineRule="auto"/>
        <w:jc w:val="both"/>
        <w:rPr>
          <w:rFonts w:ascii="Arial" w:hAnsi="Arial"/>
        </w:rPr>
      </w:pPr>
      <w:r w:rsidRPr="000629E1">
        <w:rPr>
          <w:rFonts w:ascii="Arial" w:hAnsi="Arial"/>
        </w:rPr>
        <w:t>[23]</w:t>
      </w:r>
      <w:r w:rsidRPr="000629E1">
        <w:rPr>
          <w:rFonts w:ascii="Arial" w:hAnsi="Arial"/>
        </w:rPr>
        <w:tab/>
      </w:r>
      <w:r w:rsidR="0021132F" w:rsidRPr="007035C1">
        <w:rPr>
          <w:rFonts w:ascii="Arial" w:hAnsi="Arial"/>
        </w:rPr>
        <w:t xml:space="preserve">Having regard to the foregoing considerations and conclusions, I am of the considered opinion that it is appropriate, all things </w:t>
      </w:r>
      <w:proofErr w:type="gramStart"/>
      <w:r w:rsidR="0021132F" w:rsidRPr="007035C1">
        <w:rPr>
          <w:rFonts w:ascii="Arial" w:hAnsi="Arial"/>
        </w:rPr>
        <w:t>taken into account</w:t>
      </w:r>
      <w:proofErr w:type="gramEnd"/>
      <w:r w:rsidR="0021132F" w:rsidRPr="007035C1">
        <w:rPr>
          <w:rFonts w:ascii="Arial" w:hAnsi="Arial"/>
        </w:rPr>
        <w:t xml:space="preserve"> – the </w:t>
      </w:r>
      <w:r w:rsidR="0021132F" w:rsidRPr="007035C1">
        <w:rPr>
          <w:rFonts w:ascii="Arial" w:hAnsi="Arial"/>
        </w:rPr>
        <w:lastRenderedPageBreak/>
        <w:t>law, as adumbrated above and the personal circu</w:t>
      </w:r>
      <w:r w:rsidR="006A2B50" w:rsidRPr="007035C1">
        <w:rPr>
          <w:rFonts w:ascii="Arial" w:hAnsi="Arial"/>
        </w:rPr>
        <w:t>mstances of the respondents, not to halt the train of justice in this matter, the appeal notwithstanding.</w:t>
      </w:r>
    </w:p>
    <w:p w14:paraId="7699F2CE" w14:textId="77777777" w:rsidR="006A2B50" w:rsidRDefault="006A2B50" w:rsidP="000629E1">
      <w:pPr>
        <w:spacing w:line="360" w:lineRule="auto"/>
        <w:jc w:val="both"/>
        <w:rPr>
          <w:rFonts w:ascii="Arial" w:hAnsi="Arial"/>
        </w:rPr>
      </w:pPr>
    </w:p>
    <w:p w14:paraId="50DDDF2C" w14:textId="039414E7" w:rsidR="006A2B50" w:rsidRDefault="006A2B50" w:rsidP="000629E1">
      <w:pPr>
        <w:spacing w:line="360" w:lineRule="auto"/>
        <w:jc w:val="both"/>
        <w:rPr>
          <w:rFonts w:ascii="Arial" w:hAnsi="Arial"/>
          <w:u w:val="single"/>
        </w:rPr>
      </w:pPr>
      <w:r>
        <w:rPr>
          <w:rFonts w:ascii="Arial" w:hAnsi="Arial"/>
          <w:u w:val="single"/>
        </w:rPr>
        <w:t>Order</w:t>
      </w:r>
    </w:p>
    <w:p w14:paraId="6AC78707" w14:textId="77777777" w:rsidR="006A2B50" w:rsidRDefault="006A2B50" w:rsidP="000629E1">
      <w:pPr>
        <w:spacing w:line="360" w:lineRule="auto"/>
        <w:jc w:val="both"/>
        <w:rPr>
          <w:rFonts w:ascii="Arial" w:hAnsi="Arial"/>
          <w:u w:val="single"/>
        </w:rPr>
      </w:pPr>
    </w:p>
    <w:p w14:paraId="62F2910C" w14:textId="45CEEA4D" w:rsidR="006A2B50" w:rsidRPr="007035C1" w:rsidRDefault="007035C1" w:rsidP="007035C1">
      <w:pPr>
        <w:spacing w:line="360" w:lineRule="auto"/>
        <w:jc w:val="both"/>
        <w:rPr>
          <w:rFonts w:ascii="Arial" w:hAnsi="Arial"/>
        </w:rPr>
      </w:pPr>
      <w:r w:rsidRPr="000629E1">
        <w:rPr>
          <w:rFonts w:ascii="Arial" w:hAnsi="Arial"/>
        </w:rPr>
        <w:t>[24]</w:t>
      </w:r>
      <w:r w:rsidRPr="000629E1">
        <w:rPr>
          <w:rFonts w:ascii="Arial" w:hAnsi="Arial"/>
        </w:rPr>
        <w:tab/>
      </w:r>
      <w:r w:rsidR="006A2B50" w:rsidRPr="007035C1">
        <w:rPr>
          <w:rFonts w:ascii="Arial" w:hAnsi="Arial"/>
        </w:rPr>
        <w:t>Appreciating the conclusion reached above, I am of the considered opinion that the application for the staying of the forfeiture application, pending the hearing of the appeal, must on the law as it stands, be refused. I accordingly issue the following order:</w:t>
      </w:r>
    </w:p>
    <w:p w14:paraId="3B4745E8" w14:textId="77777777" w:rsidR="006A2B50" w:rsidRDefault="006A2B50" w:rsidP="000629E1">
      <w:pPr>
        <w:spacing w:line="360" w:lineRule="auto"/>
        <w:jc w:val="both"/>
        <w:rPr>
          <w:rFonts w:ascii="Arial" w:hAnsi="Arial"/>
        </w:rPr>
      </w:pPr>
    </w:p>
    <w:p w14:paraId="307BACA7" w14:textId="59EFFB13" w:rsidR="006A2B50" w:rsidRDefault="006A2B50" w:rsidP="00E37F16">
      <w:pPr>
        <w:pStyle w:val="ListParagraph"/>
        <w:spacing w:line="360" w:lineRule="auto"/>
        <w:jc w:val="both"/>
        <w:rPr>
          <w:rFonts w:ascii="Arial" w:hAnsi="Arial"/>
        </w:rPr>
      </w:pPr>
      <w:r w:rsidRPr="006A2B50">
        <w:rPr>
          <w:rFonts w:ascii="Arial" w:hAnsi="Arial"/>
        </w:rPr>
        <w:t xml:space="preserve">The matter is postponed to </w:t>
      </w:r>
      <w:r w:rsidR="005A3EFA">
        <w:rPr>
          <w:rFonts w:ascii="Arial" w:hAnsi="Arial"/>
          <w:b/>
        </w:rPr>
        <w:t>2</w:t>
      </w:r>
      <w:r w:rsidRPr="006A2B50">
        <w:rPr>
          <w:rFonts w:ascii="Arial" w:hAnsi="Arial"/>
          <w:b/>
        </w:rPr>
        <w:t xml:space="preserve"> November 2023</w:t>
      </w:r>
      <w:r w:rsidRPr="006A2B50">
        <w:rPr>
          <w:rFonts w:ascii="Arial" w:hAnsi="Arial"/>
        </w:rPr>
        <w:t xml:space="preserve"> </w:t>
      </w:r>
      <w:r>
        <w:rPr>
          <w:rFonts w:ascii="Arial" w:hAnsi="Arial"/>
        </w:rPr>
        <w:t xml:space="preserve">at </w:t>
      </w:r>
      <w:r w:rsidRPr="006A2B50">
        <w:rPr>
          <w:rFonts w:ascii="Arial" w:hAnsi="Arial"/>
          <w:b/>
        </w:rPr>
        <w:t>08:30</w:t>
      </w:r>
      <w:r>
        <w:rPr>
          <w:rFonts w:ascii="Arial" w:hAnsi="Arial"/>
        </w:rPr>
        <w:t xml:space="preserve"> </w:t>
      </w:r>
      <w:r w:rsidRPr="006A2B50">
        <w:rPr>
          <w:rFonts w:ascii="Arial" w:hAnsi="Arial"/>
        </w:rPr>
        <w:t xml:space="preserve">for the setting of a date of hearing of the application for forfeiture in terms of section 59 of the Prevention of Organised Crime Act 29 of 2004. </w:t>
      </w:r>
    </w:p>
    <w:p w14:paraId="1856486E" w14:textId="77777777" w:rsidR="00A10DED" w:rsidRDefault="00A10DED" w:rsidP="00E37F16">
      <w:pPr>
        <w:pStyle w:val="ListParagraph"/>
        <w:spacing w:line="360" w:lineRule="auto"/>
        <w:jc w:val="both"/>
        <w:rPr>
          <w:rFonts w:ascii="Arial" w:hAnsi="Arial"/>
        </w:rPr>
      </w:pPr>
    </w:p>
    <w:p w14:paraId="166C20DC" w14:textId="77777777" w:rsidR="000629E1" w:rsidRDefault="000629E1" w:rsidP="000629E1">
      <w:pPr>
        <w:spacing w:line="360" w:lineRule="auto"/>
        <w:jc w:val="both"/>
        <w:rPr>
          <w:rFonts w:ascii="Arial" w:hAnsi="Arial"/>
        </w:rPr>
      </w:pPr>
    </w:p>
    <w:p w14:paraId="59E04A26" w14:textId="77777777" w:rsidR="000629E1" w:rsidRPr="008D43A2" w:rsidRDefault="000629E1" w:rsidP="000629E1">
      <w:pPr>
        <w:pStyle w:val="ListParagraph"/>
        <w:spacing w:line="360" w:lineRule="auto"/>
        <w:jc w:val="right"/>
        <w:rPr>
          <w:rFonts w:ascii="Arial" w:hAnsi="Arial" w:cs="Arial"/>
        </w:rPr>
      </w:pPr>
      <w:r w:rsidRPr="008D43A2">
        <w:rPr>
          <w:rFonts w:ascii="Arial" w:hAnsi="Arial" w:cs="Arial"/>
        </w:rPr>
        <w:t>_</w:t>
      </w:r>
      <w:r>
        <w:rPr>
          <w:rFonts w:ascii="Arial" w:hAnsi="Arial" w:cs="Arial"/>
        </w:rPr>
        <w:t>___________</w:t>
      </w:r>
    </w:p>
    <w:p w14:paraId="0C897451" w14:textId="72583254" w:rsidR="000629E1" w:rsidRPr="008D43A2" w:rsidRDefault="00E37F16" w:rsidP="000629E1">
      <w:pPr>
        <w:pStyle w:val="ListParagraph"/>
        <w:spacing w:line="360" w:lineRule="auto"/>
        <w:jc w:val="right"/>
        <w:rPr>
          <w:rFonts w:ascii="Arial" w:hAnsi="Arial" w:cs="Arial"/>
        </w:rPr>
      </w:pPr>
      <w:r>
        <w:rPr>
          <w:rFonts w:ascii="Arial" w:hAnsi="Arial" w:cs="Arial"/>
        </w:rPr>
        <w:t>T S</w:t>
      </w:r>
      <w:r w:rsidR="000629E1" w:rsidRPr="008D43A2">
        <w:rPr>
          <w:rFonts w:ascii="Arial" w:hAnsi="Arial" w:cs="Arial"/>
        </w:rPr>
        <w:t xml:space="preserve"> Masuku</w:t>
      </w:r>
    </w:p>
    <w:p w14:paraId="103FF91B" w14:textId="77777777" w:rsidR="000629E1" w:rsidRDefault="000629E1" w:rsidP="000629E1">
      <w:pPr>
        <w:pStyle w:val="ListParagraph"/>
        <w:spacing w:line="360" w:lineRule="auto"/>
        <w:jc w:val="right"/>
        <w:rPr>
          <w:rFonts w:ascii="Arial" w:hAnsi="Arial" w:cs="Arial"/>
        </w:rPr>
      </w:pPr>
      <w:r>
        <w:rPr>
          <w:rFonts w:ascii="Arial" w:hAnsi="Arial" w:cs="Arial"/>
        </w:rPr>
        <w:t>Judge</w:t>
      </w:r>
    </w:p>
    <w:p w14:paraId="2D2E0771" w14:textId="014444B3" w:rsidR="000629E1" w:rsidRDefault="000629E1">
      <w:pPr>
        <w:rPr>
          <w:rFonts w:ascii="Arial" w:hAnsi="Arial"/>
        </w:rPr>
      </w:pPr>
      <w:r>
        <w:rPr>
          <w:rFonts w:ascii="Arial" w:hAnsi="Arial"/>
        </w:rPr>
        <w:br w:type="page"/>
      </w:r>
    </w:p>
    <w:p w14:paraId="4068A6E6" w14:textId="44A21B63" w:rsidR="000629E1" w:rsidRPr="008D43A2" w:rsidRDefault="000629E1" w:rsidP="000629E1">
      <w:pPr>
        <w:spacing w:line="360" w:lineRule="auto"/>
        <w:jc w:val="both"/>
        <w:rPr>
          <w:rFonts w:ascii="Arial" w:hAnsi="Arial" w:cs="Arial"/>
        </w:rPr>
      </w:pPr>
      <w:r>
        <w:rPr>
          <w:rFonts w:ascii="Arial" w:hAnsi="Arial" w:cs="Arial"/>
        </w:rPr>
        <w:lastRenderedPageBreak/>
        <w:t>APPEARANCES</w:t>
      </w:r>
    </w:p>
    <w:p w14:paraId="09D79E59" w14:textId="77777777" w:rsidR="000629E1" w:rsidRPr="008D43A2" w:rsidRDefault="000629E1" w:rsidP="000629E1">
      <w:pPr>
        <w:spacing w:line="360" w:lineRule="auto"/>
        <w:jc w:val="both"/>
        <w:rPr>
          <w:rFonts w:ascii="Arial" w:hAnsi="Arial" w:cs="Arial"/>
        </w:rPr>
      </w:pPr>
    </w:p>
    <w:p w14:paraId="603A130F" w14:textId="7E69222F" w:rsidR="003E6DA6" w:rsidRDefault="003E6DA6" w:rsidP="003E6DA6">
      <w:pPr>
        <w:spacing w:line="360" w:lineRule="auto"/>
        <w:rPr>
          <w:rFonts w:ascii="Arial" w:hAnsi="Arial" w:cs="Arial"/>
        </w:rPr>
      </w:pPr>
      <w:r>
        <w:rPr>
          <w:rFonts w:ascii="Arial" w:hAnsi="Arial" w:cs="Arial"/>
        </w:rPr>
        <w:t>APPLICANT:</w:t>
      </w:r>
      <w:r>
        <w:rPr>
          <w:rFonts w:ascii="Arial" w:hAnsi="Arial" w:cs="Arial"/>
        </w:rPr>
        <w:tab/>
      </w:r>
      <w:r>
        <w:rPr>
          <w:rFonts w:ascii="Arial" w:hAnsi="Arial" w:cs="Arial"/>
        </w:rPr>
        <w:tab/>
      </w:r>
      <w:r w:rsidR="00A9169B">
        <w:rPr>
          <w:rFonts w:ascii="Arial" w:hAnsi="Arial" w:cs="Arial"/>
        </w:rPr>
        <w:tab/>
      </w:r>
      <w:r w:rsidR="00DF2537">
        <w:rPr>
          <w:rFonts w:ascii="Arial" w:hAnsi="Arial" w:cs="Arial"/>
        </w:rPr>
        <w:t xml:space="preserve">GM </w:t>
      </w:r>
      <w:proofErr w:type="spellStart"/>
      <w:r w:rsidR="00DF2537">
        <w:rPr>
          <w:rFonts w:ascii="Arial" w:hAnsi="Arial" w:cs="Arial"/>
        </w:rPr>
        <w:t>Budlender</w:t>
      </w:r>
      <w:proofErr w:type="spellEnd"/>
      <w:r w:rsidR="00DF2537">
        <w:rPr>
          <w:rFonts w:ascii="Arial" w:hAnsi="Arial" w:cs="Arial"/>
        </w:rPr>
        <w:t xml:space="preserve"> SC</w:t>
      </w:r>
      <w:r>
        <w:rPr>
          <w:rFonts w:ascii="Arial" w:hAnsi="Arial" w:cs="Arial"/>
        </w:rPr>
        <w:t xml:space="preserve"> (With him </w:t>
      </w:r>
      <w:r w:rsidR="004600D3">
        <w:rPr>
          <w:rFonts w:ascii="Arial" w:hAnsi="Arial" w:cs="Arial"/>
        </w:rPr>
        <w:t>M</w:t>
      </w:r>
      <w:r w:rsidR="00DF2537">
        <w:rPr>
          <w:rFonts w:ascii="Arial" w:hAnsi="Arial" w:cs="Arial"/>
        </w:rPr>
        <w:t xml:space="preserve"> </w:t>
      </w:r>
      <w:proofErr w:type="spellStart"/>
      <w:r w:rsidR="00DF2537">
        <w:rPr>
          <w:rFonts w:ascii="Arial" w:hAnsi="Arial" w:cs="Arial"/>
        </w:rPr>
        <w:t>Boon</w:t>
      </w:r>
      <w:r w:rsidR="0036157D">
        <w:rPr>
          <w:rFonts w:ascii="Arial" w:hAnsi="Arial" w:cs="Arial"/>
        </w:rPr>
        <w:t>zaier</w:t>
      </w:r>
      <w:proofErr w:type="spellEnd"/>
      <w:r>
        <w:rPr>
          <w:rFonts w:ascii="Arial" w:hAnsi="Arial" w:cs="Arial"/>
        </w:rPr>
        <w:t>)</w:t>
      </w:r>
    </w:p>
    <w:p w14:paraId="2EFA1C76" w14:textId="22517025" w:rsidR="003E6DA6" w:rsidRDefault="003E6DA6" w:rsidP="003E6DA6">
      <w:pPr>
        <w:spacing w:line="360" w:lineRule="auto"/>
        <w:rPr>
          <w:rFonts w:ascii="Arial" w:hAnsi="Arial" w:cs="Arial"/>
        </w:rPr>
      </w:pPr>
      <w:r>
        <w:rPr>
          <w:rFonts w:ascii="Arial" w:hAnsi="Arial" w:cs="Arial"/>
        </w:rPr>
        <w:t>Instructed by:</w:t>
      </w:r>
      <w:r>
        <w:rPr>
          <w:rFonts w:ascii="Arial" w:hAnsi="Arial" w:cs="Arial"/>
        </w:rPr>
        <w:tab/>
      </w:r>
      <w:r w:rsidR="00A9169B">
        <w:rPr>
          <w:rFonts w:ascii="Arial" w:hAnsi="Arial" w:cs="Arial"/>
        </w:rPr>
        <w:tab/>
      </w:r>
      <w:r>
        <w:rPr>
          <w:rFonts w:ascii="Arial" w:hAnsi="Arial" w:cs="Arial"/>
        </w:rPr>
        <w:t>Office of the Government Attorney</w:t>
      </w:r>
    </w:p>
    <w:p w14:paraId="4C22B7ED" w14:textId="77777777" w:rsidR="003E6DA6" w:rsidRDefault="003E6DA6" w:rsidP="003E6DA6">
      <w:pPr>
        <w:spacing w:line="360" w:lineRule="auto"/>
        <w:rPr>
          <w:rFonts w:ascii="Arial" w:hAnsi="Arial" w:cs="Arial"/>
        </w:rPr>
      </w:pPr>
    </w:p>
    <w:p w14:paraId="6AF6EFDD" w14:textId="77777777" w:rsidR="003E6DA6" w:rsidRDefault="003E6DA6" w:rsidP="003E6DA6">
      <w:pPr>
        <w:spacing w:line="360" w:lineRule="auto"/>
        <w:rPr>
          <w:rFonts w:ascii="Arial" w:hAnsi="Arial" w:cs="Arial"/>
        </w:rPr>
      </w:pPr>
    </w:p>
    <w:p w14:paraId="0B60693F" w14:textId="2947F3B7" w:rsidR="003E6DA6" w:rsidRDefault="0036157D" w:rsidP="003E6DA6">
      <w:pPr>
        <w:spacing w:line="360" w:lineRule="auto"/>
        <w:rPr>
          <w:rFonts w:ascii="Arial" w:hAnsi="Arial" w:cs="Arial"/>
        </w:rPr>
      </w:pPr>
      <w:r>
        <w:rPr>
          <w:rFonts w:ascii="Arial" w:hAnsi="Arial" w:cs="Arial"/>
        </w:rPr>
        <w:t>RESPONDEN</w:t>
      </w:r>
      <w:r w:rsidR="003E6DA6">
        <w:rPr>
          <w:rFonts w:ascii="Arial" w:hAnsi="Arial" w:cs="Arial"/>
        </w:rPr>
        <w:t>TS:</w:t>
      </w:r>
      <w:r w:rsidR="004600D3">
        <w:rPr>
          <w:rFonts w:ascii="Arial" w:hAnsi="Arial" w:cs="Arial"/>
        </w:rPr>
        <w:tab/>
      </w:r>
      <w:r w:rsidR="00A9169B">
        <w:rPr>
          <w:rFonts w:ascii="Arial" w:hAnsi="Arial" w:cs="Arial"/>
        </w:rPr>
        <w:tab/>
      </w:r>
      <w:r w:rsidR="004600D3">
        <w:rPr>
          <w:rFonts w:ascii="Arial" w:hAnsi="Arial" w:cs="Arial"/>
        </w:rPr>
        <w:t>Mr. Heathcote SC, (With him Mr J</w:t>
      </w:r>
      <w:r w:rsidR="003E6DA6">
        <w:rPr>
          <w:rFonts w:ascii="Arial" w:hAnsi="Arial" w:cs="Arial"/>
        </w:rPr>
        <w:t xml:space="preserve"> Jacobs)</w:t>
      </w:r>
    </w:p>
    <w:p w14:paraId="0CB24206" w14:textId="485D76C4" w:rsidR="003E6DA6" w:rsidRDefault="003E6DA6" w:rsidP="003E6DA6">
      <w:pPr>
        <w:spacing w:line="360" w:lineRule="auto"/>
        <w:rPr>
          <w:rFonts w:ascii="Arial" w:hAnsi="Arial" w:cs="Arial"/>
        </w:rPr>
      </w:pPr>
      <w:r>
        <w:rPr>
          <w:rFonts w:ascii="Arial" w:hAnsi="Arial" w:cs="Arial"/>
        </w:rPr>
        <w:t>Instructed by:</w:t>
      </w:r>
      <w:r>
        <w:rPr>
          <w:rFonts w:ascii="Arial" w:hAnsi="Arial" w:cs="Arial"/>
        </w:rPr>
        <w:tab/>
      </w:r>
      <w:r w:rsidR="00A9169B">
        <w:rPr>
          <w:rFonts w:ascii="Arial" w:hAnsi="Arial" w:cs="Arial"/>
        </w:rPr>
        <w:tab/>
      </w:r>
      <w:r>
        <w:rPr>
          <w:rFonts w:ascii="Arial" w:hAnsi="Arial" w:cs="Arial"/>
        </w:rPr>
        <w:t xml:space="preserve">Van der Merwe, Greef, </w:t>
      </w:r>
      <w:proofErr w:type="spellStart"/>
      <w:r>
        <w:rPr>
          <w:rFonts w:ascii="Arial" w:hAnsi="Arial" w:cs="Arial"/>
        </w:rPr>
        <w:t>Andima</w:t>
      </w:r>
      <w:proofErr w:type="spellEnd"/>
      <w:r>
        <w:rPr>
          <w:rFonts w:ascii="Arial" w:hAnsi="Arial" w:cs="Arial"/>
        </w:rPr>
        <w:t>, Windhoek.</w:t>
      </w:r>
    </w:p>
    <w:p w14:paraId="2D9B9322" w14:textId="77777777" w:rsidR="003E6DA6" w:rsidRDefault="003E6DA6" w:rsidP="003E6DA6">
      <w:pPr>
        <w:spacing w:line="360" w:lineRule="auto"/>
        <w:rPr>
          <w:rFonts w:ascii="Arial" w:hAnsi="Arial" w:cs="Arial"/>
        </w:rPr>
      </w:pPr>
    </w:p>
    <w:p w14:paraId="3605690F" w14:textId="77777777" w:rsidR="00BB3142" w:rsidRPr="00BB3142" w:rsidRDefault="00BB3142" w:rsidP="000629E1">
      <w:pPr>
        <w:spacing w:line="360" w:lineRule="auto"/>
        <w:rPr>
          <w:rFonts w:ascii="Arial" w:hAnsi="Arial"/>
        </w:rPr>
      </w:pPr>
    </w:p>
    <w:p w14:paraId="089C44BC" w14:textId="77777777" w:rsidR="00BB3142" w:rsidRPr="00BB3142" w:rsidRDefault="00BB3142" w:rsidP="000629E1">
      <w:pPr>
        <w:spacing w:line="360" w:lineRule="auto"/>
        <w:rPr>
          <w:rFonts w:ascii="Arial" w:hAnsi="Arial"/>
        </w:rPr>
      </w:pPr>
    </w:p>
    <w:sectPr w:rsidR="00BB3142" w:rsidRPr="00BB3142" w:rsidSect="00DF2537">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07E4" w14:textId="77777777" w:rsidR="00430F0A" w:rsidRDefault="00430F0A" w:rsidP="00D82420">
      <w:r>
        <w:separator/>
      </w:r>
    </w:p>
  </w:endnote>
  <w:endnote w:type="continuationSeparator" w:id="0">
    <w:p w14:paraId="1CC610B6" w14:textId="77777777" w:rsidR="00430F0A" w:rsidRDefault="00430F0A" w:rsidP="00D8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58A2" w14:textId="77777777" w:rsidR="00430F0A" w:rsidRDefault="00430F0A" w:rsidP="00D82420">
      <w:r>
        <w:separator/>
      </w:r>
    </w:p>
  </w:footnote>
  <w:footnote w:type="continuationSeparator" w:id="0">
    <w:p w14:paraId="40981D5E" w14:textId="77777777" w:rsidR="00430F0A" w:rsidRDefault="00430F0A" w:rsidP="00D82420">
      <w:r>
        <w:continuationSeparator/>
      </w:r>
    </w:p>
  </w:footnote>
  <w:footnote w:id="1">
    <w:p w14:paraId="237DCEDC" w14:textId="77777777" w:rsidR="006A2B50" w:rsidRPr="00D82420" w:rsidRDefault="006A2B50">
      <w:pPr>
        <w:pStyle w:val="FootnoteText"/>
        <w:rPr>
          <w:rFonts w:ascii="Arial" w:hAnsi="Arial"/>
          <w:sz w:val="20"/>
          <w:szCs w:val="20"/>
          <w:lang w:val="en-US"/>
        </w:rPr>
      </w:pPr>
      <w:r>
        <w:rPr>
          <w:rStyle w:val="FootnoteReference"/>
        </w:rPr>
        <w:footnoteRef/>
      </w:r>
      <w:r>
        <w:t xml:space="preserve"> </w:t>
      </w:r>
      <w:r w:rsidRPr="00C629DE">
        <w:rPr>
          <w:rFonts w:ascii="Arial" w:hAnsi="Arial"/>
          <w:i/>
          <w:sz w:val="20"/>
          <w:szCs w:val="20"/>
          <w:lang w:val="en-US"/>
        </w:rPr>
        <w:t>Shilengudwa v The Prosecutor-General</w:t>
      </w:r>
      <w:r>
        <w:rPr>
          <w:rFonts w:ascii="Arial" w:hAnsi="Arial"/>
          <w:sz w:val="20"/>
          <w:szCs w:val="20"/>
          <w:lang w:val="en-US"/>
        </w:rPr>
        <w:t xml:space="preserve"> (HC-CIV-MOT-GEN-2020/00374) [2023] NAHCMD 496 (11 August 2023).</w:t>
      </w:r>
    </w:p>
  </w:footnote>
  <w:footnote w:id="2">
    <w:p w14:paraId="2C75982D" w14:textId="1990FDF0" w:rsidR="006A2B50" w:rsidRPr="0047729D" w:rsidRDefault="006A2B50">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S v </w:t>
      </w:r>
      <w:proofErr w:type="spellStart"/>
      <w:r w:rsidR="006957A4">
        <w:rPr>
          <w:rFonts w:ascii="Arial" w:hAnsi="Arial"/>
          <w:i/>
          <w:sz w:val="20"/>
          <w:szCs w:val="20"/>
          <w:lang w:val="en-US"/>
        </w:rPr>
        <w:t>Huseb</w:t>
      </w:r>
      <w:proofErr w:type="spellEnd"/>
      <w:r>
        <w:rPr>
          <w:rFonts w:ascii="Arial" w:hAnsi="Arial"/>
          <w:i/>
          <w:sz w:val="20"/>
          <w:szCs w:val="20"/>
          <w:lang w:val="en-US"/>
        </w:rPr>
        <w:t xml:space="preserve"> </w:t>
      </w:r>
      <w:r>
        <w:rPr>
          <w:rFonts w:ascii="Arial" w:hAnsi="Arial"/>
          <w:sz w:val="20"/>
          <w:szCs w:val="20"/>
          <w:lang w:val="en-US"/>
        </w:rPr>
        <w:t>2012 (1) NR 130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241193"/>
      <w:docPartObj>
        <w:docPartGallery w:val="Page Numbers (Top of Page)"/>
        <w:docPartUnique/>
      </w:docPartObj>
    </w:sdtPr>
    <w:sdtEndPr>
      <w:rPr>
        <w:rFonts w:ascii="Arial" w:hAnsi="Arial" w:cs="Arial"/>
        <w:noProof/>
      </w:rPr>
    </w:sdtEndPr>
    <w:sdtContent>
      <w:p w14:paraId="41FFAEB7" w14:textId="5C56B04F" w:rsidR="00DF2537" w:rsidRPr="00DF2537" w:rsidRDefault="00DF2537">
        <w:pPr>
          <w:pStyle w:val="Header"/>
          <w:jc w:val="right"/>
          <w:rPr>
            <w:rFonts w:ascii="Arial" w:hAnsi="Arial" w:cs="Arial"/>
          </w:rPr>
        </w:pPr>
        <w:r w:rsidRPr="00DF2537">
          <w:rPr>
            <w:rFonts w:ascii="Arial" w:hAnsi="Arial" w:cs="Arial"/>
          </w:rPr>
          <w:fldChar w:fldCharType="begin"/>
        </w:r>
        <w:r w:rsidRPr="00DF2537">
          <w:rPr>
            <w:rFonts w:ascii="Arial" w:hAnsi="Arial" w:cs="Arial"/>
          </w:rPr>
          <w:instrText xml:space="preserve"> PAGE   \* MERGEFORMAT </w:instrText>
        </w:r>
        <w:r w:rsidRPr="00DF2537">
          <w:rPr>
            <w:rFonts w:ascii="Arial" w:hAnsi="Arial" w:cs="Arial"/>
          </w:rPr>
          <w:fldChar w:fldCharType="separate"/>
        </w:r>
        <w:r w:rsidR="00FD161C">
          <w:rPr>
            <w:rFonts w:ascii="Arial" w:hAnsi="Arial" w:cs="Arial"/>
            <w:noProof/>
          </w:rPr>
          <w:t>10</w:t>
        </w:r>
        <w:r w:rsidRPr="00DF2537">
          <w:rPr>
            <w:rFonts w:ascii="Arial" w:hAnsi="Arial" w:cs="Arial"/>
            <w:noProof/>
          </w:rPr>
          <w:fldChar w:fldCharType="end"/>
        </w:r>
      </w:p>
    </w:sdtContent>
  </w:sdt>
  <w:p w14:paraId="1C639FEC" w14:textId="77777777" w:rsidR="00DF2537" w:rsidRDefault="00DF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6C"/>
    <w:multiLevelType w:val="hybridMultilevel"/>
    <w:tmpl w:val="4E60482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77C3F"/>
    <w:multiLevelType w:val="hybridMultilevel"/>
    <w:tmpl w:val="9C52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2214B"/>
    <w:multiLevelType w:val="hybridMultilevel"/>
    <w:tmpl w:val="6AC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317499">
    <w:abstractNumId w:val="2"/>
  </w:num>
  <w:num w:numId="2" w16cid:durableId="1883050664">
    <w:abstractNumId w:val="0"/>
  </w:num>
  <w:num w:numId="3" w16cid:durableId="42573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142"/>
    <w:rsid w:val="000629E1"/>
    <w:rsid w:val="001160DB"/>
    <w:rsid w:val="00116E1E"/>
    <w:rsid w:val="0011764B"/>
    <w:rsid w:val="001226F0"/>
    <w:rsid w:val="001310B8"/>
    <w:rsid w:val="0019660A"/>
    <w:rsid w:val="001A18D9"/>
    <w:rsid w:val="001A1A61"/>
    <w:rsid w:val="0021132F"/>
    <w:rsid w:val="002855A5"/>
    <w:rsid w:val="002944A4"/>
    <w:rsid w:val="002C4294"/>
    <w:rsid w:val="002F71CD"/>
    <w:rsid w:val="003541F2"/>
    <w:rsid w:val="0036157D"/>
    <w:rsid w:val="003E6DA6"/>
    <w:rsid w:val="00430F0A"/>
    <w:rsid w:val="00431815"/>
    <w:rsid w:val="004600D3"/>
    <w:rsid w:val="00470363"/>
    <w:rsid w:val="0047729D"/>
    <w:rsid w:val="004B7A8E"/>
    <w:rsid w:val="0056786C"/>
    <w:rsid w:val="005A3EFA"/>
    <w:rsid w:val="005F7937"/>
    <w:rsid w:val="00661288"/>
    <w:rsid w:val="00673BEC"/>
    <w:rsid w:val="006957A4"/>
    <w:rsid w:val="006A2B50"/>
    <w:rsid w:val="006D13E8"/>
    <w:rsid w:val="006E486A"/>
    <w:rsid w:val="006E7858"/>
    <w:rsid w:val="006F3E9E"/>
    <w:rsid w:val="007035C1"/>
    <w:rsid w:val="00842B1C"/>
    <w:rsid w:val="00867CF0"/>
    <w:rsid w:val="009136D8"/>
    <w:rsid w:val="009A5ED8"/>
    <w:rsid w:val="009B4335"/>
    <w:rsid w:val="00A10DED"/>
    <w:rsid w:val="00A9169B"/>
    <w:rsid w:val="00B0365A"/>
    <w:rsid w:val="00B34F3E"/>
    <w:rsid w:val="00B9101D"/>
    <w:rsid w:val="00BB073D"/>
    <w:rsid w:val="00BB3142"/>
    <w:rsid w:val="00BE1024"/>
    <w:rsid w:val="00C0127D"/>
    <w:rsid w:val="00C629DE"/>
    <w:rsid w:val="00C65F90"/>
    <w:rsid w:val="00CE0EAD"/>
    <w:rsid w:val="00D34E7C"/>
    <w:rsid w:val="00D82420"/>
    <w:rsid w:val="00DF2537"/>
    <w:rsid w:val="00E17504"/>
    <w:rsid w:val="00E37F16"/>
    <w:rsid w:val="00FB7D72"/>
    <w:rsid w:val="00FC36BE"/>
    <w:rsid w:val="00FD058B"/>
    <w:rsid w:val="00FD1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1B03B"/>
  <w14:defaultImageDpi w14:val="300"/>
  <w15:docId w15:val="{0DCF6D84-32B9-4865-BE82-725326A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2420"/>
  </w:style>
  <w:style w:type="character" w:customStyle="1" w:styleId="FootnoteTextChar">
    <w:name w:val="Footnote Text Char"/>
    <w:basedOn w:val="DefaultParagraphFont"/>
    <w:link w:val="FootnoteText"/>
    <w:uiPriority w:val="99"/>
    <w:rsid w:val="00D82420"/>
  </w:style>
  <w:style w:type="character" w:styleId="FootnoteReference">
    <w:name w:val="footnote reference"/>
    <w:basedOn w:val="DefaultParagraphFont"/>
    <w:uiPriority w:val="99"/>
    <w:unhideWhenUsed/>
    <w:rsid w:val="00D82420"/>
    <w:rPr>
      <w:vertAlign w:val="superscript"/>
    </w:rPr>
  </w:style>
  <w:style w:type="paragraph" w:styleId="ListParagraph">
    <w:name w:val="List Paragraph"/>
    <w:basedOn w:val="Normal"/>
    <w:uiPriority w:val="34"/>
    <w:qFormat/>
    <w:rsid w:val="006A2B50"/>
    <w:pPr>
      <w:ind w:left="720"/>
      <w:contextualSpacing/>
    </w:pPr>
  </w:style>
  <w:style w:type="paragraph" w:styleId="Header">
    <w:name w:val="header"/>
    <w:basedOn w:val="Normal"/>
    <w:link w:val="HeaderChar"/>
    <w:uiPriority w:val="99"/>
    <w:unhideWhenUsed/>
    <w:rsid w:val="00DF2537"/>
    <w:pPr>
      <w:tabs>
        <w:tab w:val="center" w:pos="4680"/>
        <w:tab w:val="right" w:pos="9360"/>
      </w:tabs>
    </w:pPr>
  </w:style>
  <w:style w:type="character" w:customStyle="1" w:styleId="HeaderChar">
    <w:name w:val="Header Char"/>
    <w:basedOn w:val="DefaultParagraphFont"/>
    <w:link w:val="Header"/>
    <w:uiPriority w:val="99"/>
    <w:rsid w:val="00DF2537"/>
  </w:style>
  <w:style w:type="paragraph" w:styleId="Footer">
    <w:name w:val="footer"/>
    <w:basedOn w:val="Normal"/>
    <w:link w:val="FooterChar"/>
    <w:uiPriority w:val="99"/>
    <w:unhideWhenUsed/>
    <w:rsid w:val="00DF2537"/>
    <w:pPr>
      <w:tabs>
        <w:tab w:val="center" w:pos="4680"/>
        <w:tab w:val="right" w:pos="9360"/>
      </w:tabs>
    </w:pPr>
  </w:style>
  <w:style w:type="character" w:customStyle="1" w:styleId="FooterChar">
    <w:name w:val="Footer Char"/>
    <w:basedOn w:val="DefaultParagraphFont"/>
    <w:link w:val="Footer"/>
    <w:uiPriority w:val="99"/>
    <w:rsid w:val="00DF2537"/>
  </w:style>
  <w:style w:type="paragraph" w:styleId="BalloonText">
    <w:name w:val="Balloon Text"/>
    <w:basedOn w:val="Normal"/>
    <w:link w:val="BalloonTextChar"/>
    <w:uiPriority w:val="99"/>
    <w:semiHidden/>
    <w:unhideWhenUsed/>
    <w:rsid w:val="00131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2023-10-18T18:30:00+00:00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C4ADF-05D5-48BF-8688-1B050E85037C}">
  <ds:schemaRefs>
    <ds:schemaRef ds:uri="http://schemas.microsoft.com/sharepoint/v3/contenttype/forms"/>
  </ds:schemaRefs>
</ds:datastoreItem>
</file>

<file path=customXml/itemProps2.xml><?xml version="1.0" encoding="utf-8"?>
<ds:datastoreItem xmlns:ds="http://schemas.openxmlformats.org/officeDocument/2006/customXml" ds:itemID="{01C59166-3AC9-4534-A58E-5F18BA676A0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F11373E-33C2-4F85-BD70-29DC617F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PG v Shilengudwa (HC-MD-CIV-MOT-POCA-2018-00140) [2023] NAHCMD 665 (19 October 2023)</dc:title>
  <dc:subject/>
  <dc:creator>Thomas Masuku</dc:creator>
  <cp:keywords/>
  <dc:description/>
  <cp:lastModifiedBy>Mariana Anguelov</cp:lastModifiedBy>
  <cp:revision>28</cp:revision>
  <cp:lastPrinted>2023-10-18T14:33:00Z</cp:lastPrinted>
  <dcterms:created xsi:type="dcterms:W3CDTF">2023-10-16T13:24:00Z</dcterms:created>
  <dcterms:modified xsi:type="dcterms:W3CDTF">2023-10-24T18:10:00Z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